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0A704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b/>
          <w:bCs/>
          <w:color w:val="auto"/>
          <w:spacing w:val="0"/>
          <w:kern w:val="0"/>
          <w:sz w:val="24"/>
          <w:szCs w:val="24"/>
          <w:lang w:eastAsia="zh-CN"/>
        </w:rPr>
      </w:pPr>
    </w:p>
    <w:p w14:paraId="31A07037">
      <w:pPr>
        <w:spacing w:line="324" w:lineRule="auto"/>
        <w:jc w:val="center"/>
        <w:rPr>
          <w:rFonts w:ascii="仿宋" w:hAnsi="仿宋" w:eastAsia="仿宋"/>
          <w:color w:val="auto"/>
          <w:sz w:val="28"/>
        </w:rPr>
      </w:pPr>
      <w:r>
        <w:rPr>
          <w:rFonts w:hint="eastAsia" w:ascii="宋体" w:hAnsi="宋体" w:cs="宋体"/>
          <w:color w:val="auto"/>
          <w:sz w:val="36"/>
          <w:szCs w:val="36"/>
          <w:lang w:val="en-US" w:eastAsia="zh-CN"/>
        </w:rPr>
        <w:t>怒江州动物疫病预防控制中心陆生动物疫病病原学监测区域中心建设项目实验室升级改造</w:t>
      </w:r>
      <w:r>
        <w:rPr>
          <w:rFonts w:hint="eastAsia" w:ascii="宋体" w:hAnsi="宋体" w:eastAsia="宋体" w:cs="宋体"/>
          <w:color w:val="auto"/>
          <w:sz w:val="36"/>
          <w:szCs w:val="36"/>
          <w:lang w:val="en-US" w:eastAsia="zh-CN"/>
        </w:rPr>
        <w:t xml:space="preserve">      </w:t>
      </w:r>
    </w:p>
    <w:p w14:paraId="2FF79D80">
      <w:pPr>
        <w:spacing w:line="324" w:lineRule="auto"/>
        <w:jc w:val="both"/>
        <w:rPr>
          <w:rFonts w:ascii="仿宋" w:hAnsi="仿宋" w:eastAsia="仿宋"/>
          <w:color w:val="auto"/>
          <w:sz w:val="28"/>
        </w:rPr>
      </w:pPr>
    </w:p>
    <w:p w14:paraId="1A9D6524">
      <w:pPr>
        <w:pStyle w:val="20"/>
        <w:rPr>
          <w:color w:val="auto"/>
        </w:rPr>
      </w:pPr>
    </w:p>
    <w:p w14:paraId="2685A536">
      <w:pPr>
        <w:spacing w:line="324" w:lineRule="auto"/>
        <w:jc w:val="center"/>
        <w:rPr>
          <w:rFonts w:ascii="仿宋" w:hAnsi="仿宋" w:eastAsia="仿宋"/>
          <w:color w:val="auto"/>
          <w:sz w:val="28"/>
        </w:rPr>
      </w:pPr>
    </w:p>
    <w:p w14:paraId="17850460">
      <w:pPr>
        <w:spacing w:line="324" w:lineRule="auto"/>
        <w:jc w:val="center"/>
        <w:rPr>
          <w:rFonts w:hint="eastAsia" w:ascii="仿宋" w:hAnsi="仿宋" w:eastAsia="仿宋"/>
          <w:color w:val="auto"/>
          <w:sz w:val="28"/>
          <w:lang w:eastAsia="zh-CN"/>
        </w:rPr>
      </w:pPr>
      <w:r>
        <w:rPr>
          <w:rFonts w:hint="eastAsia" w:ascii="宋体" w:hAnsi="宋体"/>
          <w:b/>
          <w:bCs/>
          <w:color w:val="auto"/>
          <w:sz w:val="48"/>
          <w:szCs w:val="48"/>
        </w:rPr>
        <w:pict>
          <v:shape id="_x0000_s1028" o:spid="_x0000_s1028" o:spt="75" alt="C:\Users\ADMINI~1\AppData\Local\Temp\ksohtml976\wps1.png" type="#_x0000_t75" style="position:absolute;left:0pt;margin-left:177.25pt;margin-top:16.85pt;height:101.2pt;width:133.8pt;mso-position-vertical-relative:line;mso-wrap-distance-bottom:0pt;mso-wrap-distance-left:9pt;mso-wrap-distance-right:9pt;mso-wrap-distance-top:0pt;z-index:251659264;mso-width-relative:page;mso-height-relative:page;" filled="f" o:preferrelative="t" stroked="f" coordsize="21600,21600" o:allowoverlap="f">
            <v:path/>
            <v:fill on="f" focussize="0,0"/>
            <v:stroke on="f" joinstyle="miter"/>
            <v:imagedata r:id="rId16" o:title="C:\Users\ADMINI~1\AppData\Local\Temp\ksohtml976\wps1.png"/>
            <o:lock v:ext="edit" aspectratio="t"/>
            <w10:wrap type="square"/>
          </v:shape>
        </w:pict>
      </w:r>
    </w:p>
    <w:p w14:paraId="0220D002">
      <w:pPr>
        <w:tabs>
          <w:tab w:val="left" w:pos="5190"/>
        </w:tabs>
        <w:spacing w:line="324" w:lineRule="auto"/>
        <w:jc w:val="center"/>
        <w:rPr>
          <w:rFonts w:ascii="仿宋" w:hAnsi="仿宋" w:eastAsia="仿宋"/>
          <w:b/>
          <w:color w:val="auto"/>
          <w:sz w:val="36"/>
        </w:rPr>
      </w:pPr>
    </w:p>
    <w:p w14:paraId="54B3868C">
      <w:pPr>
        <w:tabs>
          <w:tab w:val="center" w:pos="4425"/>
          <w:tab w:val="left" w:pos="7685"/>
        </w:tabs>
        <w:spacing w:line="240" w:lineRule="auto"/>
        <w:jc w:val="center"/>
        <w:rPr>
          <w:rFonts w:hint="eastAsia" w:ascii="宋体" w:hAnsi="宋体" w:eastAsia="宋体" w:cs="宋体"/>
          <w:b w:val="0"/>
          <w:bCs w:val="0"/>
          <w:color w:val="auto"/>
          <w:kern w:val="0"/>
          <w:sz w:val="52"/>
          <w:szCs w:val="52"/>
          <w:lang w:eastAsia="zh-CN"/>
        </w:rPr>
      </w:pPr>
    </w:p>
    <w:p w14:paraId="5181F6BA">
      <w:pPr>
        <w:tabs>
          <w:tab w:val="center" w:pos="4425"/>
          <w:tab w:val="left" w:pos="7685"/>
        </w:tabs>
        <w:spacing w:line="240" w:lineRule="auto"/>
        <w:jc w:val="center"/>
        <w:rPr>
          <w:rFonts w:hint="eastAsia" w:ascii="宋体" w:hAnsi="宋体" w:eastAsia="宋体" w:cs="宋体"/>
          <w:b w:val="0"/>
          <w:bCs w:val="0"/>
          <w:color w:val="auto"/>
          <w:kern w:val="0"/>
          <w:sz w:val="52"/>
          <w:szCs w:val="52"/>
          <w:lang w:eastAsia="zh-CN"/>
        </w:rPr>
      </w:pPr>
    </w:p>
    <w:p w14:paraId="4974740C">
      <w:pPr>
        <w:tabs>
          <w:tab w:val="center" w:pos="4425"/>
          <w:tab w:val="left" w:pos="7685"/>
        </w:tabs>
        <w:spacing w:line="240" w:lineRule="auto"/>
        <w:jc w:val="center"/>
        <w:rPr>
          <w:rFonts w:hint="eastAsia" w:ascii="宋体" w:hAnsi="宋体" w:eastAsia="宋体" w:cs="宋体"/>
          <w:b/>
          <w:bCs/>
          <w:color w:val="auto"/>
          <w:kern w:val="0"/>
          <w:sz w:val="44"/>
          <w:szCs w:val="44"/>
          <w:lang w:eastAsia="zh-CN"/>
        </w:rPr>
      </w:pPr>
      <w:r>
        <w:rPr>
          <w:rFonts w:hint="eastAsia" w:ascii="宋体" w:hAnsi="宋体" w:eastAsia="宋体" w:cs="宋体"/>
          <w:b w:val="0"/>
          <w:bCs w:val="0"/>
          <w:color w:val="auto"/>
          <w:kern w:val="0"/>
          <w:sz w:val="52"/>
          <w:szCs w:val="52"/>
          <w:lang w:eastAsia="zh-CN"/>
        </w:rPr>
        <w:t>竞争性磋商文件</w:t>
      </w:r>
    </w:p>
    <w:p w14:paraId="6C1530FF">
      <w:pPr>
        <w:pStyle w:val="9"/>
        <w:rPr>
          <w:rFonts w:hint="eastAsia"/>
          <w:color w:val="auto"/>
        </w:rPr>
      </w:pPr>
    </w:p>
    <w:p w14:paraId="0B30B8CB">
      <w:pPr>
        <w:rPr>
          <w:rFonts w:hint="eastAsia"/>
          <w:color w:val="auto"/>
        </w:rPr>
      </w:pPr>
    </w:p>
    <w:p w14:paraId="69147F1C">
      <w:pPr>
        <w:pStyle w:val="43"/>
        <w:rPr>
          <w:rFonts w:hint="eastAsia"/>
          <w:color w:val="auto"/>
        </w:rPr>
      </w:pPr>
    </w:p>
    <w:p w14:paraId="3A0BCC4B">
      <w:pPr>
        <w:pStyle w:val="43"/>
        <w:rPr>
          <w:rFonts w:hint="eastAsia"/>
          <w:color w:val="auto"/>
        </w:rPr>
      </w:pPr>
    </w:p>
    <w:p w14:paraId="134A9AEB">
      <w:pPr>
        <w:pStyle w:val="43"/>
        <w:rPr>
          <w:rFonts w:hint="eastAsia"/>
          <w:color w:val="auto"/>
        </w:rPr>
      </w:pPr>
    </w:p>
    <w:p w14:paraId="52AD5CC7">
      <w:pPr>
        <w:pStyle w:val="43"/>
        <w:rPr>
          <w:rFonts w:hint="eastAsia"/>
          <w:color w:val="auto"/>
        </w:rPr>
      </w:pPr>
    </w:p>
    <w:p w14:paraId="2761AFF2">
      <w:pPr>
        <w:rPr>
          <w:rFonts w:hint="eastAsia"/>
          <w:color w:val="auto"/>
        </w:rPr>
      </w:pPr>
    </w:p>
    <w:p w14:paraId="4501B342">
      <w:pPr>
        <w:spacing w:line="360" w:lineRule="auto"/>
        <w:jc w:val="center"/>
        <w:rPr>
          <w:rFonts w:hint="eastAsia" w:ascii="宋体" w:hAnsi="宋体" w:eastAsia="宋体" w:cs="宋体"/>
          <w:b w:val="0"/>
          <w:bCs w:val="0"/>
          <w:color w:val="auto"/>
          <w:kern w:val="0"/>
          <w:sz w:val="36"/>
          <w:szCs w:val="36"/>
        </w:rPr>
      </w:pPr>
    </w:p>
    <w:p w14:paraId="1D8ED4E0">
      <w:pPr>
        <w:pStyle w:val="43"/>
        <w:rPr>
          <w:rFonts w:hint="eastAsia" w:ascii="宋体" w:hAnsi="宋体" w:eastAsia="宋体" w:cs="宋体"/>
          <w:b w:val="0"/>
          <w:bCs w:val="0"/>
          <w:color w:val="auto"/>
          <w:kern w:val="0"/>
          <w:sz w:val="36"/>
          <w:szCs w:val="36"/>
        </w:rPr>
      </w:pPr>
    </w:p>
    <w:p w14:paraId="129FBB02">
      <w:pPr>
        <w:pStyle w:val="43"/>
        <w:rPr>
          <w:rFonts w:hint="eastAsia" w:ascii="宋体" w:hAnsi="宋体" w:eastAsia="宋体" w:cs="宋体"/>
          <w:b w:val="0"/>
          <w:bCs w:val="0"/>
          <w:color w:val="auto"/>
          <w:kern w:val="0"/>
          <w:sz w:val="36"/>
          <w:szCs w:val="36"/>
        </w:rPr>
      </w:pPr>
    </w:p>
    <w:tbl>
      <w:tblPr>
        <w:tblStyle w:val="31"/>
        <w:tblW w:w="7159" w:type="dxa"/>
        <w:jc w:val="center"/>
        <w:tblLayout w:type="fixed"/>
        <w:tblCellMar>
          <w:top w:w="0" w:type="dxa"/>
          <w:left w:w="108" w:type="dxa"/>
          <w:bottom w:w="0" w:type="dxa"/>
          <w:right w:w="108" w:type="dxa"/>
        </w:tblCellMar>
      </w:tblPr>
      <w:tblGrid>
        <w:gridCol w:w="1799"/>
        <w:gridCol w:w="5360"/>
      </w:tblGrid>
      <w:tr w14:paraId="30D9DB99">
        <w:tblPrEx>
          <w:tblCellMar>
            <w:top w:w="0" w:type="dxa"/>
            <w:left w:w="108" w:type="dxa"/>
            <w:bottom w:w="0" w:type="dxa"/>
            <w:right w:w="108" w:type="dxa"/>
          </w:tblCellMar>
        </w:tblPrEx>
        <w:trPr>
          <w:trHeight w:val="680" w:hRule="atLeast"/>
          <w:jc w:val="center"/>
        </w:trPr>
        <w:tc>
          <w:tcPr>
            <w:tcW w:w="1799" w:type="dxa"/>
            <w:noWrap/>
            <w:vAlign w:val="center"/>
          </w:tcPr>
          <w:p w14:paraId="71257C75">
            <w:pPr>
              <w:wordWrap w:val="0"/>
              <w:spacing w:line="240" w:lineRule="auto"/>
              <w:jc w:val="right"/>
              <w:rPr>
                <w:rFonts w:hint="eastAsia" w:ascii="宋体" w:cs="宋体"/>
                <w:b w:val="0"/>
                <w:bCs/>
                <w:color w:val="auto"/>
                <w:sz w:val="28"/>
                <w:szCs w:val="28"/>
                <w:lang w:bidi="ar-SA"/>
              </w:rPr>
            </w:pPr>
            <w:r>
              <w:rPr>
                <w:rFonts w:hint="eastAsia" w:ascii="宋体" w:cs="仿宋"/>
                <w:b w:val="0"/>
                <w:bCs/>
                <w:color w:val="auto"/>
                <w:sz w:val="28"/>
                <w:szCs w:val="28"/>
                <w:lang w:val="en-US" w:eastAsia="zh-CN" w:bidi="ar-SA"/>
              </w:rPr>
              <w:t>项目编号：</w:t>
            </w:r>
          </w:p>
        </w:tc>
        <w:tc>
          <w:tcPr>
            <w:tcW w:w="5360" w:type="dxa"/>
            <w:noWrap/>
            <w:vAlign w:val="center"/>
          </w:tcPr>
          <w:p w14:paraId="7E219532">
            <w:pPr>
              <w:wordWrap w:val="0"/>
              <w:spacing w:line="240" w:lineRule="auto"/>
              <w:jc w:val="left"/>
              <w:rPr>
                <w:rFonts w:hint="eastAsia" w:ascii="宋体" w:eastAsia="宋体" w:cs="仿宋"/>
                <w:b w:val="0"/>
                <w:bCs/>
                <w:color w:val="auto"/>
                <w:sz w:val="28"/>
                <w:szCs w:val="28"/>
                <w:lang w:val="en-US" w:eastAsia="zh-CN" w:bidi="ar-SA"/>
              </w:rPr>
            </w:pPr>
            <w:r>
              <w:rPr>
                <w:rFonts w:hint="eastAsia" w:ascii="宋体" w:cs="仿宋"/>
                <w:b w:val="0"/>
                <w:bCs/>
                <w:color w:val="auto"/>
                <w:sz w:val="28"/>
                <w:szCs w:val="28"/>
                <w:lang w:val="en-US" w:eastAsia="zh-CN" w:bidi="ar-SA"/>
              </w:rPr>
              <w:t>HXGSGC2025002</w:t>
            </w:r>
          </w:p>
        </w:tc>
      </w:tr>
      <w:tr w14:paraId="25956FDD">
        <w:tblPrEx>
          <w:tblCellMar>
            <w:top w:w="0" w:type="dxa"/>
            <w:left w:w="108" w:type="dxa"/>
            <w:bottom w:w="0" w:type="dxa"/>
            <w:right w:w="108" w:type="dxa"/>
          </w:tblCellMar>
        </w:tblPrEx>
        <w:trPr>
          <w:trHeight w:val="680" w:hRule="atLeast"/>
          <w:jc w:val="center"/>
        </w:trPr>
        <w:tc>
          <w:tcPr>
            <w:tcW w:w="1799" w:type="dxa"/>
            <w:noWrap/>
            <w:vAlign w:val="center"/>
          </w:tcPr>
          <w:p w14:paraId="1CC2D982">
            <w:pPr>
              <w:wordWrap w:val="0"/>
              <w:spacing w:line="240" w:lineRule="auto"/>
              <w:jc w:val="right"/>
              <w:rPr>
                <w:rFonts w:hint="eastAsia" w:ascii="宋体" w:cs="仿宋"/>
                <w:b w:val="0"/>
                <w:bCs/>
                <w:color w:val="auto"/>
                <w:sz w:val="28"/>
                <w:szCs w:val="28"/>
                <w:lang w:eastAsia="zh-CN" w:bidi="ar-SA"/>
              </w:rPr>
            </w:pPr>
            <w:r>
              <w:rPr>
                <w:rFonts w:hint="eastAsia" w:ascii="宋体" w:cs="仿宋"/>
                <w:b w:val="0"/>
                <w:bCs/>
                <w:color w:val="auto"/>
                <w:sz w:val="28"/>
                <w:szCs w:val="28"/>
                <w:lang w:val="en-US" w:eastAsia="zh-CN" w:bidi="ar-SA"/>
              </w:rPr>
              <w:t>采 购 人：</w:t>
            </w:r>
          </w:p>
        </w:tc>
        <w:tc>
          <w:tcPr>
            <w:tcW w:w="5360" w:type="dxa"/>
            <w:noWrap/>
            <w:vAlign w:val="center"/>
          </w:tcPr>
          <w:p w14:paraId="0D52F6AA">
            <w:pPr>
              <w:wordWrap w:val="0"/>
              <w:spacing w:line="240" w:lineRule="auto"/>
              <w:jc w:val="left"/>
              <w:rPr>
                <w:rFonts w:hint="eastAsia" w:ascii="宋体" w:cs="仿宋"/>
                <w:b w:val="0"/>
                <w:bCs/>
                <w:color w:val="auto"/>
                <w:sz w:val="28"/>
                <w:szCs w:val="28"/>
                <w:lang w:eastAsia="zh-CN" w:bidi="ar-SA"/>
              </w:rPr>
            </w:pPr>
            <w:r>
              <w:rPr>
                <w:rFonts w:hint="eastAsia" w:ascii="宋体" w:cs="仿宋"/>
                <w:b w:val="0"/>
                <w:bCs/>
                <w:color w:val="auto"/>
                <w:sz w:val="28"/>
                <w:szCs w:val="28"/>
                <w:lang w:val="en-US" w:eastAsia="zh-CN" w:bidi="ar-SA"/>
              </w:rPr>
              <w:t>怒江傈僳族自治州动物疫病预防控制中心</w:t>
            </w:r>
          </w:p>
        </w:tc>
      </w:tr>
      <w:tr w14:paraId="60BB73D7">
        <w:tblPrEx>
          <w:tblCellMar>
            <w:top w:w="0" w:type="dxa"/>
            <w:left w:w="108" w:type="dxa"/>
            <w:bottom w:w="0" w:type="dxa"/>
            <w:right w:w="108" w:type="dxa"/>
          </w:tblCellMar>
        </w:tblPrEx>
        <w:trPr>
          <w:trHeight w:val="680" w:hRule="atLeast"/>
          <w:jc w:val="center"/>
        </w:trPr>
        <w:tc>
          <w:tcPr>
            <w:tcW w:w="1799" w:type="dxa"/>
            <w:noWrap/>
            <w:vAlign w:val="center"/>
          </w:tcPr>
          <w:p w14:paraId="522FFECA">
            <w:pPr>
              <w:wordWrap w:val="0"/>
              <w:spacing w:line="240" w:lineRule="auto"/>
              <w:jc w:val="right"/>
              <w:rPr>
                <w:rFonts w:hint="eastAsia" w:ascii="宋体" w:cs="仿宋"/>
                <w:b w:val="0"/>
                <w:bCs/>
                <w:color w:val="auto"/>
                <w:sz w:val="28"/>
                <w:szCs w:val="28"/>
                <w:lang w:eastAsia="zh-CN" w:bidi="ar-SA"/>
              </w:rPr>
            </w:pPr>
            <w:r>
              <w:rPr>
                <w:rFonts w:hint="eastAsia" w:ascii="宋体" w:cs="仿宋"/>
                <w:b w:val="0"/>
                <w:bCs/>
                <w:color w:val="auto"/>
                <w:sz w:val="28"/>
                <w:szCs w:val="28"/>
                <w:lang w:eastAsia="zh-CN" w:bidi="ar-SA"/>
              </w:rPr>
              <w:t>代理机构：</w:t>
            </w:r>
          </w:p>
        </w:tc>
        <w:tc>
          <w:tcPr>
            <w:tcW w:w="5360" w:type="dxa"/>
            <w:noWrap/>
            <w:vAlign w:val="center"/>
          </w:tcPr>
          <w:p w14:paraId="28F41445">
            <w:pPr>
              <w:wordWrap w:val="0"/>
              <w:spacing w:line="240" w:lineRule="auto"/>
              <w:jc w:val="left"/>
              <w:rPr>
                <w:rFonts w:hint="eastAsia" w:ascii="宋体" w:cs="仿宋"/>
                <w:b w:val="0"/>
                <w:bCs/>
                <w:color w:val="auto"/>
                <w:sz w:val="28"/>
                <w:szCs w:val="28"/>
                <w:lang w:eastAsia="zh-CN" w:bidi="ar-SA"/>
              </w:rPr>
            </w:pPr>
            <w:r>
              <w:rPr>
                <w:rFonts w:hint="eastAsia" w:ascii="宋体" w:cs="仿宋"/>
                <w:b w:val="0"/>
                <w:bCs/>
                <w:color w:val="auto"/>
                <w:sz w:val="28"/>
                <w:szCs w:val="28"/>
                <w:lang w:eastAsia="zh-CN" w:bidi="ar-SA"/>
              </w:rPr>
              <w:t>云南行行工程项目管理有限公司</w:t>
            </w:r>
          </w:p>
        </w:tc>
      </w:tr>
      <w:tr w14:paraId="65D1CC43">
        <w:tblPrEx>
          <w:tblCellMar>
            <w:top w:w="0" w:type="dxa"/>
            <w:left w:w="108" w:type="dxa"/>
            <w:bottom w:w="0" w:type="dxa"/>
            <w:right w:w="108" w:type="dxa"/>
          </w:tblCellMar>
        </w:tblPrEx>
        <w:trPr>
          <w:trHeight w:val="680" w:hRule="atLeast"/>
          <w:jc w:val="center"/>
        </w:trPr>
        <w:tc>
          <w:tcPr>
            <w:tcW w:w="1799" w:type="dxa"/>
            <w:noWrap/>
            <w:vAlign w:val="center"/>
          </w:tcPr>
          <w:p w14:paraId="4340FD0D">
            <w:pPr>
              <w:wordWrap w:val="0"/>
              <w:spacing w:line="240" w:lineRule="auto"/>
              <w:jc w:val="right"/>
              <w:rPr>
                <w:rFonts w:hint="eastAsia" w:ascii="宋体" w:cs="仿宋"/>
                <w:b w:val="0"/>
                <w:bCs/>
                <w:color w:val="auto"/>
                <w:sz w:val="28"/>
                <w:szCs w:val="28"/>
                <w:lang w:eastAsia="zh-CN" w:bidi="ar-SA"/>
              </w:rPr>
            </w:pPr>
            <w:r>
              <w:rPr>
                <w:rFonts w:hint="eastAsia" w:ascii="宋体" w:cs="仿宋"/>
                <w:b w:val="0"/>
                <w:bCs/>
                <w:color w:val="auto"/>
                <w:sz w:val="28"/>
                <w:szCs w:val="28"/>
                <w:lang w:eastAsia="zh-CN" w:bidi="ar-SA"/>
              </w:rPr>
              <w:t>日    期：</w:t>
            </w:r>
          </w:p>
        </w:tc>
        <w:tc>
          <w:tcPr>
            <w:tcW w:w="5360" w:type="dxa"/>
            <w:noWrap/>
            <w:vAlign w:val="center"/>
          </w:tcPr>
          <w:p w14:paraId="7F9AA70B">
            <w:pPr>
              <w:wordWrap w:val="0"/>
              <w:spacing w:line="240" w:lineRule="auto"/>
              <w:jc w:val="left"/>
              <w:rPr>
                <w:rFonts w:hint="eastAsia" w:ascii="宋体" w:cs="仿宋"/>
                <w:b w:val="0"/>
                <w:bCs/>
                <w:color w:val="auto"/>
                <w:sz w:val="28"/>
                <w:szCs w:val="28"/>
                <w:lang w:eastAsia="zh-CN" w:bidi="ar-SA"/>
              </w:rPr>
            </w:pPr>
            <w:r>
              <w:rPr>
                <w:rFonts w:hint="eastAsia" w:ascii="宋体" w:cs="仿宋"/>
                <w:b w:val="0"/>
                <w:bCs/>
                <w:color w:val="auto"/>
                <w:sz w:val="28"/>
                <w:szCs w:val="28"/>
                <w:lang w:val="en-US" w:eastAsia="zh-CN" w:bidi="ar-SA"/>
              </w:rPr>
              <w:t>二〇二五</w:t>
            </w:r>
            <w:r>
              <w:rPr>
                <w:rFonts w:hint="eastAsia" w:ascii="宋体" w:cs="仿宋"/>
                <w:b w:val="0"/>
                <w:bCs/>
                <w:color w:val="auto"/>
                <w:sz w:val="28"/>
                <w:szCs w:val="28"/>
                <w:lang w:eastAsia="zh-CN" w:bidi="ar-SA"/>
              </w:rPr>
              <w:t>年</w:t>
            </w:r>
            <w:r>
              <w:rPr>
                <w:rFonts w:hint="eastAsia" w:ascii="宋体" w:cs="仿宋"/>
                <w:b w:val="0"/>
                <w:bCs/>
                <w:color w:val="auto"/>
                <w:sz w:val="28"/>
                <w:szCs w:val="28"/>
                <w:lang w:val="en-US" w:eastAsia="zh-CN" w:bidi="ar-SA"/>
              </w:rPr>
              <w:t>二</w:t>
            </w:r>
            <w:r>
              <w:rPr>
                <w:rFonts w:hint="eastAsia" w:ascii="宋体" w:cs="仿宋"/>
                <w:b w:val="0"/>
                <w:bCs/>
                <w:color w:val="auto"/>
                <w:sz w:val="28"/>
                <w:szCs w:val="28"/>
                <w:lang w:eastAsia="zh-CN" w:bidi="ar-SA"/>
              </w:rPr>
              <w:t>月</w:t>
            </w:r>
          </w:p>
        </w:tc>
      </w:tr>
    </w:tbl>
    <w:p w14:paraId="69308DE7">
      <w:pPr>
        <w:pStyle w:val="110"/>
        <w:keepNext w:val="0"/>
        <w:keepLines w:val="0"/>
        <w:pageBreakBefore w:val="0"/>
        <w:widowControl w:val="0"/>
        <w:kinsoku/>
        <w:wordWrap/>
        <w:overflowPunct/>
        <w:topLinePunct w:val="0"/>
        <w:autoSpaceDE/>
        <w:autoSpaceDN/>
        <w:bidi w:val="0"/>
        <w:spacing w:line="580" w:lineRule="exact"/>
        <w:textAlignment w:val="auto"/>
        <w:rPr>
          <w:rFonts w:hint="eastAsia" w:ascii="宋体" w:hAnsi="宋体" w:eastAsia="宋体" w:cs="宋体"/>
          <w:b w:val="0"/>
          <w:bCs w:val="0"/>
          <w:color w:val="auto"/>
          <w:sz w:val="36"/>
          <w:szCs w:val="36"/>
        </w:rPr>
        <w:sectPr>
          <w:headerReference r:id="rId4" w:type="first"/>
          <w:headerReference r:id="rId3" w:type="default"/>
          <w:pgSz w:w="11906" w:h="16838"/>
          <w:pgMar w:top="1440" w:right="1083" w:bottom="1440" w:left="1083" w:header="1134" w:footer="1134" w:gutter="0"/>
          <w:pgNumType w:fmt="decimal" w:start="1"/>
          <w:cols w:space="0" w:num="1"/>
          <w:rtlGutter w:val="0"/>
          <w:docGrid w:linePitch="312" w:charSpace="0"/>
        </w:sectPr>
      </w:pPr>
    </w:p>
    <w:p w14:paraId="793F97AB">
      <w:pPr>
        <w:keepNext w:val="0"/>
        <w:keepLines w:val="0"/>
        <w:pageBreakBefore w:val="0"/>
        <w:kinsoku/>
        <w:wordWrap/>
        <w:overflowPunct/>
        <w:topLinePunct w:val="0"/>
        <w:autoSpaceDE/>
        <w:autoSpaceDN/>
        <w:bidi w:val="0"/>
        <w:adjustRightInd/>
        <w:snapToGrid/>
        <w:spacing w:before="0" w:after="0" w:line="520" w:lineRule="exact"/>
        <w:ind w:left="0" w:leftChars="0" w:right="0" w:rightChars="0" w:firstLine="0" w:firstLineChars="0"/>
        <w:jc w:val="center"/>
        <w:textAlignment w:val="auto"/>
        <w:rPr>
          <w:rFonts w:hint="eastAsia" w:ascii="宋体" w:hAnsi="宋体" w:cs="宋体"/>
          <w:b/>
          <w:bCs/>
          <w:color w:val="auto"/>
          <w:sz w:val="28"/>
          <w:szCs w:val="28"/>
        </w:rPr>
      </w:pPr>
      <w:bookmarkStart w:id="0" w:name="_Toc364392598"/>
      <w:bookmarkStart w:id="1" w:name="_Toc244341279"/>
      <w:r>
        <w:rPr>
          <w:rFonts w:hint="eastAsia" w:ascii="宋体" w:hAnsi="宋体" w:cs="宋体"/>
          <w:b w:val="0"/>
          <w:bCs w:val="0"/>
          <w:color w:val="auto"/>
          <w:sz w:val="32"/>
          <w:szCs w:val="32"/>
        </w:rPr>
        <w:t>目</w:t>
      </w:r>
      <w:r>
        <w:rPr>
          <w:rFonts w:hint="eastAsia" w:ascii="宋体" w:hAnsi="宋体" w:cs="宋体"/>
          <w:b w:val="0"/>
          <w:bCs w:val="0"/>
          <w:color w:val="auto"/>
          <w:sz w:val="32"/>
          <w:szCs w:val="32"/>
          <w:lang w:val="en-US" w:eastAsia="zh-CN"/>
        </w:rPr>
        <w:t xml:space="preserve"> </w:t>
      </w:r>
      <w:r>
        <w:rPr>
          <w:rFonts w:hint="eastAsia" w:ascii="宋体" w:hAnsi="宋体" w:cs="宋体"/>
          <w:b w:val="0"/>
          <w:bCs w:val="0"/>
          <w:color w:val="auto"/>
          <w:sz w:val="32"/>
          <w:szCs w:val="32"/>
        </w:rPr>
        <w:t>录</w:t>
      </w:r>
    </w:p>
    <w:p w14:paraId="7A2FC765">
      <w:pPr>
        <w:pStyle w:val="170"/>
        <w:keepNext w:val="0"/>
        <w:keepLines w:val="0"/>
        <w:pageBreakBefore w:val="0"/>
        <w:widowControl/>
        <w:tabs>
          <w:tab w:val="right" w:leader="dot" w:pos="9460"/>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TOC \o "1-1" \h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_Toc7870 </w:instrText>
      </w:r>
      <w:r>
        <w:rPr>
          <w:rFonts w:hint="eastAsia" w:ascii="宋体" w:hAnsi="宋体" w:eastAsia="宋体" w:cs="宋体"/>
          <w:color w:val="auto"/>
          <w:sz w:val="21"/>
          <w:szCs w:val="21"/>
        </w:rPr>
        <w:fldChar w:fldCharType="separate"/>
      </w:r>
      <w:r>
        <w:rPr>
          <w:rFonts w:hint="eastAsia" w:ascii="宋体" w:hAnsi="宋体" w:eastAsia="宋体" w:cs="宋体"/>
          <w:bCs/>
          <w:color w:val="auto"/>
          <w:kern w:val="2"/>
          <w:sz w:val="21"/>
          <w:szCs w:val="21"/>
        </w:rPr>
        <w:t xml:space="preserve">第一章 </w:t>
      </w:r>
      <w:r>
        <w:rPr>
          <w:rFonts w:hint="eastAsia" w:ascii="宋体" w:hAnsi="宋体" w:eastAsia="宋体" w:cs="宋体"/>
          <w:bCs/>
          <w:color w:val="auto"/>
          <w:kern w:val="2"/>
          <w:sz w:val="21"/>
          <w:szCs w:val="21"/>
          <w:lang w:eastAsia="zh-CN"/>
        </w:rPr>
        <w:t>磋商公告</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_Toc7870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70EA0963">
      <w:pPr>
        <w:pStyle w:val="170"/>
        <w:keepNext w:val="0"/>
        <w:keepLines w:val="0"/>
        <w:pageBreakBefore w:val="0"/>
        <w:widowControl/>
        <w:tabs>
          <w:tab w:val="right" w:leader="dot" w:pos="9460"/>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_Toc28038 </w:instrText>
      </w:r>
      <w:r>
        <w:rPr>
          <w:rFonts w:hint="eastAsia" w:ascii="宋体" w:hAnsi="宋体" w:eastAsia="宋体" w:cs="宋体"/>
          <w:color w:val="auto"/>
          <w:sz w:val="21"/>
          <w:szCs w:val="21"/>
        </w:rPr>
        <w:fldChar w:fldCharType="separate"/>
      </w:r>
      <w:r>
        <w:rPr>
          <w:rFonts w:hint="eastAsia" w:ascii="宋体" w:hAnsi="宋体" w:eastAsia="宋体" w:cs="宋体"/>
          <w:bCs/>
          <w:color w:val="auto"/>
          <w:kern w:val="2"/>
          <w:sz w:val="21"/>
          <w:szCs w:val="21"/>
        </w:rPr>
        <w:t>第二章</w:t>
      </w:r>
      <w:r>
        <w:rPr>
          <w:rFonts w:hint="eastAsia" w:ascii="宋体" w:hAnsi="宋体" w:eastAsia="宋体" w:cs="宋体"/>
          <w:bCs/>
          <w:color w:val="auto"/>
          <w:kern w:val="2"/>
          <w:sz w:val="21"/>
          <w:szCs w:val="21"/>
          <w:lang w:val="en-US" w:eastAsia="zh-CN"/>
        </w:rPr>
        <w:t xml:space="preserve"> </w:t>
      </w:r>
      <w:r>
        <w:rPr>
          <w:rFonts w:hint="eastAsia" w:ascii="宋体" w:hAnsi="宋体" w:eastAsia="宋体" w:cs="宋体"/>
          <w:bCs/>
          <w:color w:val="auto"/>
          <w:kern w:val="2"/>
          <w:sz w:val="21"/>
          <w:szCs w:val="21"/>
          <w:lang w:eastAsia="zh-CN"/>
        </w:rPr>
        <w:t>磋商申请人须知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_Toc28038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0FCF067">
      <w:pPr>
        <w:pStyle w:val="170"/>
        <w:keepNext w:val="0"/>
        <w:keepLines w:val="0"/>
        <w:pageBreakBefore w:val="0"/>
        <w:widowControl/>
        <w:tabs>
          <w:tab w:val="right" w:leader="dot" w:pos="9460"/>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_Toc2825 </w:instrText>
      </w:r>
      <w:r>
        <w:rPr>
          <w:rFonts w:hint="eastAsia" w:ascii="宋体" w:hAnsi="宋体" w:eastAsia="宋体" w:cs="宋体"/>
          <w:color w:val="auto"/>
          <w:sz w:val="21"/>
          <w:szCs w:val="21"/>
        </w:rPr>
        <w:fldChar w:fldCharType="separate"/>
      </w:r>
      <w:r>
        <w:rPr>
          <w:rFonts w:hint="eastAsia" w:ascii="宋体" w:hAnsi="宋体" w:eastAsia="宋体" w:cs="宋体"/>
          <w:bCs/>
          <w:color w:val="auto"/>
          <w:kern w:val="2"/>
          <w:sz w:val="21"/>
          <w:szCs w:val="21"/>
          <w:lang w:eastAsia="zh-CN"/>
        </w:rPr>
        <w:t>第三章 项目需求</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_Toc2825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F6CB263">
      <w:pPr>
        <w:pStyle w:val="170"/>
        <w:keepNext w:val="0"/>
        <w:keepLines w:val="0"/>
        <w:pageBreakBefore w:val="0"/>
        <w:widowControl/>
        <w:tabs>
          <w:tab w:val="right" w:leader="dot" w:pos="9460"/>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_Toc30685 </w:instrText>
      </w:r>
      <w:r>
        <w:rPr>
          <w:rFonts w:hint="eastAsia" w:ascii="宋体" w:hAnsi="宋体" w:eastAsia="宋体" w:cs="宋体"/>
          <w:color w:val="auto"/>
          <w:sz w:val="21"/>
          <w:szCs w:val="21"/>
        </w:rPr>
        <w:fldChar w:fldCharType="separate"/>
      </w:r>
      <w:r>
        <w:rPr>
          <w:rFonts w:hint="eastAsia" w:ascii="宋体" w:hAnsi="宋体" w:eastAsia="宋体" w:cs="宋体"/>
          <w:bCs/>
          <w:color w:val="auto"/>
          <w:kern w:val="2"/>
          <w:sz w:val="21"/>
          <w:szCs w:val="21"/>
        </w:rPr>
        <w:t>第</w:t>
      </w:r>
      <w:r>
        <w:rPr>
          <w:rFonts w:hint="eastAsia" w:ascii="宋体" w:hAnsi="宋体" w:eastAsia="宋体" w:cs="宋体"/>
          <w:bCs/>
          <w:color w:val="auto"/>
          <w:kern w:val="2"/>
          <w:sz w:val="21"/>
          <w:szCs w:val="21"/>
          <w:lang w:eastAsia="zh-CN"/>
        </w:rPr>
        <w:t>四</w:t>
      </w:r>
      <w:r>
        <w:rPr>
          <w:rFonts w:hint="eastAsia" w:ascii="宋体" w:hAnsi="宋体" w:eastAsia="宋体" w:cs="宋体"/>
          <w:bCs/>
          <w:color w:val="auto"/>
          <w:kern w:val="2"/>
          <w:sz w:val="21"/>
          <w:szCs w:val="21"/>
        </w:rPr>
        <w:t>章</w:t>
      </w:r>
      <w:r>
        <w:rPr>
          <w:rFonts w:hint="eastAsia" w:ascii="宋体" w:hAnsi="宋体" w:eastAsia="宋体" w:cs="宋体"/>
          <w:bCs/>
          <w:color w:val="auto"/>
          <w:kern w:val="2"/>
          <w:sz w:val="21"/>
          <w:szCs w:val="21"/>
          <w:lang w:val="en-US" w:eastAsia="zh-CN"/>
        </w:rPr>
        <w:t xml:space="preserve"> </w:t>
      </w:r>
      <w:r>
        <w:rPr>
          <w:rFonts w:hint="eastAsia" w:ascii="宋体" w:hAnsi="宋体" w:eastAsia="宋体" w:cs="宋体"/>
          <w:bCs/>
          <w:color w:val="auto"/>
          <w:kern w:val="2"/>
          <w:sz w:val="21"/>
          <w:szCs w:val="21"/>
        </w:rPr>
        <w:t>合同书样式及主要条款</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_Toc30685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38CCFDD5">
      <w:pPr>
        <w:pStyle w:val="170"/>
        <w:keepNext w:val="0"/>
        <w:keepLines w:val="0"/>
        <w:pageBreakBefore w:val="0"/>
        <w:widowControl/>
        <w:tabs>
          <w:tab w:val="right" w:leader="dot" w:pos="9460"/>
        </w:tabs>
        <w:kinsoku/>
        <w:wordWrap/>
        <w:overflowPunct/>
        <w:topLinePunct w:val="0"/>
        <w:autoSpaceDE/>
        <w:autoSpaceDN/>
        <w:bidi w:val="0"/>
        <w:adjustRightInd/>
        <w:snapToGrid/>
        <w:spacing w:line="480" w:lineRule="exac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_Toc30845 </w:instrText>
      </w:r>
      <w:r>
        <w:rPr>
          <w:rFonts w:hint="eastAsia" w:ascii="宋体" w:hAnsi="宋体" w:eastAsia="宋体" w:cs="宋体"/>
          <w:color w:val="auto"/>
          <w:sz w:val="21"/>
          <w:szCs w:val="21"/>
        </w:rPr>
        <w:fldChar w:fldCharType="separate"/>
      </w:r>
      <w:r>
        <w:rPr>
          <w:rFonts w:hint="eastAsia" w:ascii="宋体" w:hAnsi="宋体" w:eastAsia="宋体" w:cs="宋体"/>
          <w:bCs w:val="0"/>
          <w:color w:val="auto"/>
          <w:kern w:val="0"/>
          <w:sz w:val="21"/>
          <w:szCs w:val="21"/>
        </w:rPr>
        <w:t>第五章 技术标准和要求</w:t>
      </w:r>
      <w:r>
        <w:rPr>
          <w:rFonts w:hint="eastAsia" w:ascii="宋体" w:hAnsi="宋体" w:eastAsia="宋体" w:cs="宋体"/>
          <w:color w:val="auto"/>
          <w:sz w:val="21"/>
          <w:szCs w:val="21"/>
        </w:rPr>
        <w:tab/>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fldChar w:fldCharType="end"/>
      </w:r>
      <w:r>
        <w:rPr>
          <w:rFonts w:hint="eastAsia" w:ascii="宋体" w:hAnsi="宋体" w:cs="宋体"/>
          <w:color w:val="auto"/>
          <w:sz w:val="21"/>
          <w:szCs w:val="21"/>
          <w:lang w:val="en-US" w:eastAsia="zh-CN"/>
        </w:rPr>
        <w:t>11</w:t>
      </w:r>
    </w:p>
    <w:p w14:paraId="783D9020">
      <w:pPr>
        <w:pStyle w:val="170"/>
        <w:keepNext w:val="0"/>
        <w:keepLines w:val="0"/>
        <w:pageBreakBefore w:val="0"/>
        <w:widowControl/>
        <w:tabs>
          <w:tab w:val="right" w:leader="dot" w:pos="9460"/>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_Toc7097 </w:instrText>
      </w:r>
      <w:r>
        <w:rPr>
          <w:rFonts w:hint="eastAsia" w:ascii="宋体" w:hAnsi="宋体" w:eastAsia="宋体" w:cs="宋体"/>
          <w:color w:val="auto"/>
          <w:sz w:val="21"/>
          <w:szCs w:val="21"/>
        </w:rPr>
        <w:fldChar w:fldCharType="separate"/>
      </w:r>
      <w:r>
        <w:rPr>
          <w:rFonts w:hint="eastAsia" w:ascii="宋体" w:hAnsi="宋体" w:eastAsia="宋体" w:cs="宋体"/>
          <w:bCs/>
          <w:color w:val="auto"/>
          <w:kern w:val="2"/>
          <w:sz w:val="21"/>
          <w:szCs w:val="21"/>
        </w:rPr>
        <w:t>第</w:t>
      </w:r>
      <w:r>
        <w:rPr>
          <w:rFonts w:hint="eastAsia" w:ascii="宋体" w:hAnsi="宋体" w:eastAsia="宋体" w:cs="宋体"/>
          <w:bCs/>
          <w:color w:val="auto"/>
          <w:kern w:val="2"/>
          <w:sz w:val="21"/>
          <w:szCs w:val="21"/>
          <w:lang w:eastAsia="zh-CN"/>
        </w:rPr>
        <w:t>六</w:t>
      </w:r>
      <w:r>
        <w:rPr>
          <w:rFonts w:hint="eastAsia" w:ascii="宋体" w:hAnsi="宋体" w:eastAsia="宋体" w:cs="宋体"/>
          <w:bCs/>
          <w:color w:val="auto"/>
          <w:kern w:val="2"/>
          <w:sz w:val="21"/>
          <w:szCs w:val="21"/>
        </w:rPr>
        <w:t>章</w:t>
      </w:r>
      <w:r>
        <w:rPr>
          <w:rFonts w:hint="eastAsia" w:ascii="宋体" w:hAnsi="宋体" w:eastAsia="宋体" w:cs="宋体"/>
          <w:bCs/>
          <w:color w:val="auto"/>
          <w:kern w:val="2"/>
          <w:sz w:val="21"/>
          <w:szCs w:val="21"/>
          <w:lang w:val="en-US" w:eastAsia="zh-CN"/>
        </w:rPr>
        <w:t xml:space="preserve"> </w:t>
      </w:r>
      <w:r>
        <w:rPr>
          <w:rFonts w:hint="eastAsia" w:ascii="宋体" w:hAnsi="宋体" w:eastAsia="宋体" w:cs="宋体"/>
          <w:bCs/>
          <w:color w:val="auto"/>
          <w:kern w:val="2"/>
          <w:sz w:val="21"/>
          <w:szCs w:val="21"/>
          <w:lang w:eastAsia="zh-CN"/>
        </w:rPr>
        <w:t>磋商申请文件</w:t>
      </w:r>
      <w:r>
        <w:rPr>
          <w:rFonts w:hint="eastAsia" w:ascii="宋体" w:hAnsi="宋体" w:eastAsia="宋体" w:cs="宋体"/>
          <w:bCs/>
          <w:color w:val="auto"/>
          <w:kern w:val="2"/>
          <w:sz w:val="21"/>
          <w:szCs w:val="21"/>
        </w:rPr>
        <w:t>格式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_Toc7097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108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18A3E225">
      <w:pPr>
        <w:pStyle w:val="170"/>
        <w:keepNext w:val="0"/>
        <w:keepLines w:val="0"/>
        <w:pageBreakBefore w:val="0"/>
        <w:widowControl/>
        <w:tabs>
          <w:tab w:val="right" w:leader="dot" w:pos="9460"/>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30"/>
          <w:szCs w:val="30"/>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_Toc4958 </w:instrText>
      </w:r>
      <w:r>
        <w:rPr>
          <w:rFonts w:hint="eastAsia" w:ascii="宋体" w:hAnsi="宋体" w:eastAsia="宋体" w:cs="宋体"/>
          <w:color w:val="auto"/>
          <w:sz w:val="21"/>
          <w:szCs w:val="21"/>
        </w:rPr>
        <w:fldChar w:fldCharType="separate"/>
      </w:r>
      <w:r>
        <w:rPr>
          <w:rFonts w:hint="eastAsia" w:ascii="宋体" w:hAnsi="宋体" w:eastAsia="宋体" w:cs="宋体"/>
          <w:bCs w:val="0"/>
          <w:color w:val="auto"/>
          <w:kern w:val="2"/>
          <w:sz w:val="21"/>
          <w:szCs w:val="21"/>
          <w:lang w:eastAsia="zh-CN"/>
        </w:rPr>
        <w:t>第七章</w:t>
      </w:r>
      <w:r>
        <w:rPr>
          <w:rFonts w:hint="eastAsia" w:ascii="宋体" w:hAnsi="宋体" w:eastAsia="宋体" w:cs="宋体"/>
          <w:bCs w:val="0"/>
          <w:color w:val="auto"/>
          <w:kern w:val="2"/>
          <w:sz w:val="21"/>
          <w:szCs w:val="21"/>
          <w:lang w:val="en-US" w:eastAsia="zh-CN"/>
        </w:rPr>
        <w:t xml:space="preserve"> </w:t>
      </w:r>
      <w:r>
        <w:rPr>
          <w:rFonts w:hint="eastAsia" w:ascii="宋体" w:hAnsi="宋体" w:eastAsia="宋体" w:cs="宋体"/>
          <w:bCs w:val="0"/>
          <w:color w:val="auto"/>
          <w:kern w:val="2"/>
          <w:sz w:val="21"/>
          <w:szCs w:val="21"/>
        </w:rPr>
        <w:t>评标</w:t>
      </w:r>
      <w:r>
        <w:rPr>
          <w:rFonts w:hint="eastAsia" w:ascii="宋体" w:hAnsi="宋体" w:eastAsia="宋体" w:cs="宋体"/>
          <w:bCs w:val="0"/>
          <w:color w:val="auto"/>
          <w:kern w:val="2"/>
          <w:sz w:val="21"/>
          <w:szCs w:val="21"/>
          <w:lang w:eastAsia="zh-CN"/>
        </w:rPr>
        <w:t>（磋商）</w:t>
      </w:r>
      <w:r>
        <w:rPr>
          <w:rFonts w:hint="eastAsia" w:ascii="宋体" w:hAnsi="宋体" w:eastAsia="宋体" w:cs="宋体"/>
          <w:bCs w:val="0"/>
          <w:color w:val="auto"/>
          <w:kern w:val="2"/>
          <w:sz w:val="21"/>
          <w:szCs w:val="21"/>
        </w:rPr>
        <w:t>办法</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_Toc4958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133</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088D9968">
      <w:pPr>
        <w:pStyle w:val="170"/>
        <w:keepNext w:val="0"/>
        <w:keepLines w:val="0"/>
        <w:pageBreakBefore w:val="0"/>
        <w:tabs>
          <w:tab w:val="right" w:leader="dot" w:pos="9460"/>
        </w:tabs>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30"/>
          <w:szCs w:val="30"/>
        </w:rPr>
      </w:pPr>
    </w:p>
    <w:p w14:paraId="7BBAB11E">
      <w:pPr>
        <w:keepNext w:val="0"/>
        <w:keepLines w:val="0"/>
        <w:pageBreakBefore w:val="0"/>
        <w:tabs>
          <w:tab w:val="left" w:pos="1734"/>
          <w:tab w:val="left" w:pos="2814"/>
          <w:tab w:val="left" w:pos="3894"/>
          <w:tab w:val="left" w:pos="5334"/>
          <w:tab w:val="left" w:pos="6414"/>
          <w:tab w:val="left" w:pos="8574"/>
          <w:tab w:val="left" w:pos="9654"/>
        </w:tabs>
        <w:kinsoku/>
        <w:wordWrap/>
        <w:overflowPunct/>
        <w:topLinePunct w:val="0"/>
        <w:autoSpaceDE/>
        <w:autoSpaceDN/>
        <w:bidi w:val="0"/>
        <w:adjustRightInd/>
        <w:snapToGrid/>
        <w:spacing w:line="520" w:lineRule="exact"/>
        <w:textAlignment w:val="auto"/>
        <w:rPr>
          <w:rFonts w:ascii="仿宋" w:hAnsi="仿宋" w:eastAsia="仿宋"/>
          <w:b/>
          <w:color w:val="auto"/>
          <w:sz w:val="24"/>
        </w:rPr>
      </w:pPr>
      <w:r>
        <w:rPr>
          <w:rFonts w:hint="eastAsia" w:ascii="宋体" w:hAnsi="宋体" w:eastAsia="宋体" w:cs="宋体"/>
          <w:color w:val="auto"/>
          <w:sz w:val="30"/>
          <w:szCs w:val="30"/>
        </w:rPr>
        <w:fldChar w:fldCharType="end"/>
      </w:r>
    </w:p>
    <w:p w14:paraId="46CF20E7">
      <w:pPr>
        <w:pStyle w:val="2"/>
        <w:widowControl w:val="0"/>
        <w:kinsoku/>
        <w:wordWrap/>
        <w:overflowPunct/>
        <w:topLinePunct w:val="0"/>
        <w:autoSpaceDE/>
        <w:autoSpaceDN/>
        <w:bidi w:val="0"/>
        <w:spacing w:before="0" w:beforeLines="0" w:after="0" w:afterLines="0" w:line="240" w:lineRule="auto"/>
        <w:jc w:val="center"/>
        <w:textAlignment w:val="auto"/>
        <w:rPr>
          <w:rFonts w:hint="eastAsia" w:ascii="宋体" w:hAnsi="宋体" w:eastAsia="宋体" w:cs="宋体"/>
          <w:b/>
          <w:bCs w:val="0"/>
          <w:color w:val="auto"/>
          <w:kern w:val="2"/>
          <w:sz w:val="44"/>
          <w:szCs w:val="44"/>
        </w:rPr>
        <w:sectPr>
          <w:headerReference r:id="rId5" w:type="default"/>
          <w:footerReference r:id="rId6" w:type="default"/>
          <w:pgSz w:w="11906" w:h="16838"/>
          <w:pgMar w:top="1440" w:right="1083" w:bottom="1440" w:left="1083" w:header="1134" w:footer="1134" w:gutter="0"/>
          <w:pgNumType w:fmt="decimal"/>
          <w:cols w:space="0" w:num="1"/>
          <w:rtlGutter w:val="0"/>
          <w:docGrid w:linePitch="312" w:charSpace="0"/>
        </w:sectPr>
      </w:pPr>
      <w:bookmarkStart w:id="2" w:name="_Toc31105"/>
      <w:bookmarkStart w:id="3" w:name="_Toc9649"/>
      <w:bookmarkStart w:id="4" w:name="_Toc7870"/>
    </w:p>
    <w:p w14:paraId="275BFAB2">
      <w:pPr>
        <w:pStyle w:val="2"/>
        <w:widowControl w:val="0"/>
        <w:kinsoku/>
        <w:wordWrap/>
        <w:overflowPunct/>
        <w:topLinePunct w:val="0"/>
        <w:autoSpaceDE/>
        <w:autoSpaceDN/>
        <w:bidi w:val="0"/>
        <w:spacing w:before="0" w:beforeLines="0" w:after="0" w:afterLines="0" w:line="240" w:lineRule="auto"/>
        <w:jc w:val="center"/>
        <w:textAlignment w:val="auto"/>
        <w:rPr>
          <w:rFonts w:hint="eastAsia" w:ascii="黑体" w:hAnsi="黑体" w:eastAsia="黑体" w:cs="黑体"/>
          <w:b w:val="0"/>
          <w:bCs/>
          <w:color w:val="auto"/>
          <w:sz w:val="28"/>
          <w:szCs w:val="28"/>
        </w:rPr>
      </w:pPr>
      <w:r>
        <w:rPr>
          <w:rFonts w:hint="eastAsia" w:ascii="宋体" w:hAnsi="宋体" w:eastAsia="宋体" w:cs="宋体"/>
          <w:b w:val="0"/>
          <w:bCs/>
          <w:color w:val="auto"/>
          <w:kern w:val="2"/>
          <w:sz w:val="32"/>
          <w:szCs w:val="32"/>
        </w:rPr>
        <w:t>第一章</w:t>
      </w:r>
      <w:bookmarkEnd w:id="0"/>
      <w:bookmarkEnd w:id="1"/>
      <w:bookmarkEnd w:id="2"/>
      <w:bookmarkEnd w:id="3"/>
      <w:bookmarkStart w:id="5" w:name="_Toc364392599"/>
      <w:bookmarkStart w:id="6" w:name="_Toc354651049"/>
      <w:bookmarkStart w:id="7" w:name="_Toc357272408"/>
      <w:bookmarkStart w:id="8" w:name="_Toc357247917"/>
      <w:bookmarkStart w:id="9" w:name="_Toc363509103"/>
      <w:r>
        <w:rPr>
          <w:rFonts w:hint="eastAsia" w:ascii="宋体" w:hAnsi="宋体" w:eastAsia="宋体" w:cs="宋体"/>
          <w:b w:val="0"/>
          <w:bCs/>
          <w:color w:val="auto"/>
          <w:kern w:val="2"/>
          <w:sz w:val="32"/>
          <w:szCs w:val="32"/>
          <w:lang w:eastAsia="zh-CN"/>
        </w:rPr>
        <w:t xml:space="preserve"> </w:t>
      </w:r>
      <w:bookmarkEnd w:id="4"/>
      <w:r>
        <w:rPr>
          <w:rFonts w:hint="eastAsia" w:ascii="宋体" w:hAnsi="宋体" w:eastAsia="宋体" w:cs="宋体"/>
          <w:b w:val="0"/>
          <w:bCs/>
          <w:color w:val="auto"/>
          <w:kern w:val="2"/>
          <w:sz w:val="32"/>
          <w:szCs w:val="32"/>
          <w:lang w:val="en-US" w:eastAsia="zh-CN"/>
        </w:rPr>
        <w:t>竞争性磋商公告</w:t>
      </w:r>
    </w:p>
    <w:bookmarkEnd w:id="5"/>
    <w:bookmarkEnd w:id="6"/>
    <w:bookmarkEnd w:id="7"/>
    <w:bookmarkEnd w:id="8"/>
    <w:bookmarkEnd w:id="9"/>
    <w:p w14:paraId="59E092A3">
      <w:pPr>
        <w:keepNext w:val="0"/>
        <w:keepLines w:val="0"/>
        <w:pageBreakBefore w:val="0"/>
        <w:widowControl w:val="0"/>
        <w:kinsoku/>
        <w:wordWrap/>
        <w:overflowPunct/>
        <w:topLinePunct w:val="0"/>
        <w:autoSpaceDE/>
        <w:autoSpaceDN/>
        <w:bidi w:val="0"/>
        <w:spacing w:line="480" w:lineRule="exact"/>
        <w:textAlignment w:val="auto"/>
        <w:rPr>
          <w:color w:val="auto"/>
        </w:rPr>
      </w:pPr>
      <w:bookmarkStart w:id="10" w:name="_Toc3831"/>
      <w:bookmarkStart w:id="11" w:name="_Toc364392607"/>
      <w:bookmarkStart w:id="12" w:name="_Toc8719"/>
      <w:bookmarkStart w:id="13" w:name="_Toc244341280"/>
    </w:p>
    <w:p w14:paraId="11FF97EF">
      <w:pPr>
        <w:keepNext w:val="0"/>
        <w:keepLines w:val="0"/>
        <w:pageBreakBefore w:val="0"/>
        <w:widowControl w:val="0"/>
        <w:pBdr>
          <w:top w:val="single" w:color="auto" w:sz="4" w:space="1"/>
          <w:left w:val="single" w:color="auto" w:sz="4" w:space="4"/>
          <w:bottom w:val="single" w:color="auto" w:sz="4" w:space="1"/>
          <w:right w:val="single" w:color="auto" w:sz="4" w:space="4"/>
        </w:pBdr>
        <w:kinsoku w:val="0"/>
        <w:wordWrap/>
        <w:overflowPunct w:val="0"/>
        <w:topLinePunct w:val="0"/>
        <w:autoSpaceDE/>
        <w:autoSpaceDN/>
        <w:bidi w:val="0"/>
        <w:spacing w:line="520" w:lineRule="exact"/>
        <w:ind w:left="0" w:leftChars="0" w:firstLine="420" w:firstLineChars="200"/>
        <w:textAlignment w:val="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项目概况</w:t>
      </w:r>
    </w:p>
    <w:p w14:paraId="362FF819">
      <w:pPr>
        <w:keepNext w:val="0"/>
        <w:keepLines w:val="0"/>
        <w:pageBreakBefore w:val="0"/>
        <w:widowControl w:val="0"/>
        <w:pBdr>
          <w:top w:val="single" w:color="auto" w:sz="4" w:space="1"/>
          <w:left w:val="single" w:color="auto" w:sz="4" w:space="4"/>
          <w:bottom w:val="single" w:color="auto" w:sz="4" w:space="1"/>
          <w:right w:val="single" w:color="auto" w:sz="4" w:space="4"/>
        </w:pBdr>
        <w:kinsoku w:val="0"/>
        <w:wordWrap/>
        <w:overflowPunct w:val="0"/>
        <w:topLinePunct w:val="0"/>
        <w:autoSpaceDE/>
        <w:autoSpaceDN/>
        <w:bidi w:val="0"/>
        <w:spacing w:line="520" w:lineRule="exact"/>
        <w:ind w:left="0" w:leftChars="0" w:firstLine="420" w:firstLineChars="200"/>
        <w:jc w:val="left"/>
        <w:textAlignment w:val="auto"/>
        <w:rPr>
          <w:rFonts w:hint="eastAsia" w:ascii="宋体" w:hAnsi="宋体" w:eastAsia="宋体" w:cs="宋体"/>
          <w:color w:val="auto"/>
          <w:spacing w:val="0"/>
          <w:sz w:val="21"/>
          <w:szCs w:val="21"/>
        </w:rPr>
      </w:pPr>
      <w:r>
        <w:rPr>
          <w:rFonts w:hint="eastAsia" w:ascii="宋体" w:hAnsi="宋体" w:cs="宋体"/>
          <w:color w:val="auto"/>
          <w:spacing w:val="0"/>
          <w:sz w:val="21"/>
          <w:szCs w:val="21"/>
          <w:u w:val="single"/>
          <w:lang w:eastAsia="zh-CN"/>
        </w:rPr>
        <w:t>怒江州动物疫病预防控制中心陆生动物疫病病原学监测区域中心建设项目实验室升级改造</w:t>
      </w:r>
      <w:r>
        <w:rPr>
          <w:rFonts w:hint="eastAsia" w:ascii="宋体" w:hAnsi="宋体" w:eastAsia="宋体" w:cs="宋体"/>
          <w:color w:val="auto"/>
          <w:spacing w:val="0"/>
          <w:sz w:val="21"/>
          <w:szCs w:val="21"/>
        </w:rPr>
        <w:t>的潜在供应商应在</w:t>
      </w:r>
      <w:r>
        <w:rPr>
          <w:rFonts w:hint="eastAsia" w:ascii="宋体" w:hAnsi="宋体" w:eastAsia="宋体" w:cs="宋体"/>
          <w:color w:val="auto"/>
          <w:spacing w:val="0"/>
          <w:sz w:val="21"/>
          <w:szCs w:val="21"/>
          <w:u w:val="single"/>
          <w:lang w:eastAsia="zh-CN"/>
        </w:rPr>
        <w:t>政采云平台（https://www.zcygov.cn/）</w:t>
      </w:r>
      <w:r>
        <w:rPr>
          <w:rFonts w:hint="eastAsia" w:ascii="宋体" w:hAnsi="宋体" w:eastAsia="宋体" w:cs="宋体"/>
          <w:color w:val="auto"/>
          <w:spacing w:val="0"/>
          <w:sz w:val="21"/>
          <w:szCs w:val="21"/>
        </w:rPr>
        <w:t>获取采购文件，并于</w:t>
      </w:r>
      <w:r>
        <w:rPr>
          <w:rFonts w:hint="eastAsia" w:ascii="宋体" w:hAnsi="宋体" w:cs="宋体"/>
          <w:color w:val="auto"/>
          <w:spacing w:val="0"/>
          <w:sz w:val="21"/>
          <w:szCs w:val="21"/>
          <w:highlight w:val="none"/>
          <w:u w:val="single"/>
          <w:lang w:val="en-US" w:eastAsia="zh-CN"/>
        </w:rPr>
        <w:t>2025年02月28日14时30分</w:t>
      </w:r>
      <w:r>
        <w:rPr>
          <w:rFonts w:hint="eastAsia" w:ascii="宋体" w:hAnsi="宋体" w:eastAsia="宋体" w:cs="宋体"/>
          <w:bCs/>
          <w:color w:val="auto"/>
          <w:spacing w:val="0"/>
          <w:sz w:val="21"/>
          <w:szCs w:val="21"/>
        </w:rPr>
        <w:t>（北京时间）前提交响应文件</w:t>
      </w:r>
      <w:r>
        <w:rPr>
          <w:rFonts w:hint="eastAsia" w:ascii="宋体" w:hAnsi="宋体" w:eastAsia="宋体" w:cs="宋体"/>
          <w:color w:val="auto"/>
          <w:spacing w:val="0"/>
          <w:sz w:val="21"/>
          <w:szCs w:val="21"/>
        </w:rPr>
        <w:t>。</w:t>
      </w:r>
    </w:p>
    <w:p w14:paraId="256B4235">
      <w:pPr>
        <w:pStyle w:val="3"/>
        <w:keepNext w:val="0"/>
        <w:keepLines w:val="0"/>
        <w:pageBreakBefore w:val="0"/>
        <w:widowControl w:val="0"/>
        <w:kinsoku w:val="0"/>
        <w:wordWrap/>
        <w:overflowPunct w:val="0"/>
        <w:topLinePunct w:val="0"/>
        <w:autoSpaceDE/>
        <w:autoSpaceDN/>
        <w:bidi w:val="0"/>
        <w:spacing w:before="0" w:after="0" w:line="520" w:lineRule="exact"/>
        <w:ind w:left="0" w:leftChars="0" w:firstLine="420" w:firstLineChars="200"/>
        <w:textAlignment w:val="auto"/>
        <w:rPr>
          <w:rFonts w:hint="eastAsia" w:ascii="黑体" w:hAnsi="黑体" w:eastAsia="黑体" w:cs="黑体"/>
          <w:b w:val="0"/>
          <w:color w:val="auto"/>
          <w:spacing w:val="0"/>
          <w:sz w:val="21"/>
          <w:szCs w:val="21"/>
        </w:rPr>
      </w:pPr>
      <w:bookmarkStart w:id="14" w:name="_Toc28359089"/>
      <w:bookmarkStart w:id="15" w:name="_Toc35393629"/>
      <w:bookmarkStart w:id="16" w:name="_Toc35393798"/>
      <w:bookmarkStart w:id="17" w:name="_Toc28359012"/>
      <w:r>
        <w:rPr>
          <w:rFonts w:hint="eastAsia" w:ascii="黑体" w:hAnsi="黑体" w:eastAsia="黑体" w:cs="黑体"/>
          <w:b w:val="0"/>
          <w:color w:val="auto"/>
          <w:spacing w:val="0"/>
          <w:sz w:val="21"/>
          <w:szCs w:val="21"/>
        </w:rPr>
        <w:t>一、项目基本情况</w:t>
      </w:r>
      <w:bookmarkEnd w:id="14"/>
      <w:bookmarkEnd w:id="15"/>
      <w:bookmarkEnd w:id="16"/>
      <w:bookmarkEnd w:id="17"/>
    </w:p>
    <w:p w14:paraId="4FD6D09F">
      <w:pPr>
        <w:keepNext w:val="0"/>
        <w:keepLines w:val="0"/>
        <w:pageBreakBefore w:val="0"/>
        <w:widowControl w:val="0"/>
        <w:kinsoku w:val="0"/>
        <w:wordWrap/>
        <w:overflowPunct w:val="0"/>
        <w:topLinePunct w:val="0"/>
        <w:autoSpaceDE/>
        <w:autoSpaceDN/>
        <w:bidi w:val="0"/>
        <w:spacing w:line="520" w:lineRule="exact"/>
        <w:ind w:left="0" w:leftChars="0" w:firstLine="420" w:firstLineChars="200"/>
        <w:textAlignment w:val="auto"/>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rPr>
        <w:t>项目编号</w:t>
      </w:r>
      <w:r>
        <w:rPr>
          <w:rFonts w:hint="eastAsia" w:ascii="宋体" w:hAnsi="宋体" w:eastAsia="宋体" w:cs="宋体"/>
          <w:color w:val="auto"/>
          <w:spacing w:val="0"/>
          <w:sz w:val="21"/>
          <w:szCs w:val="21"/>
          <w:lang w:eastAsia="zh-CN"/>
        </w:rPr>
        <w:t>：</w:t>
      </w:r>
      <w:r>
        <w:rPr>
          <w:rFonts w:hint="eastAsia" w:ascii="宋体" w:hAnsi="宋体" w:cs="宋体"/>
          <w:color w:val="auto"/>
          <w:spacing w:val="0"/>
          <w:sz w:val="21"/>
          <w:szCs w:val="21"/>
          <w:lang w:eastAsia="zh-CN"/>
        </w:rPr>
        <w:t>HXGSGC2025002</w:t>
      </w:r>
    </w:p>
    <w:p w14:paraId="55E44F47">
      <w:pPr>
        <w:keepNext w:val="0"/>
        <w:keepLines w:val="0"/>
        <w:pageBreakBefore w:val="0"/>
        <w:widowControl w:val="0"/>
        <w:kinsoku w:val="0"/>
        <w:wordWrap/>
        <w:overflowPunct w:val="0"/>
        <w:topLinePunct w:val="0"/>
        <w:autoSpaceDE/>
        <w:autoSpaceDN/>
        <w:bidi w:val="0"/>
        <w:spacing w:line="520" w:lineRule="exact"/>
        <w:ind w:left="0" w:leftChars="0" w:firstLine="420" w:firstLineChars="200"/>
        <w:textAlignment w:val="auto"/>
        <w:rPr>
          <w:rFonts w:hint="eastAsia" w:ascii="宋体" w:hAnsi="宋体" w:eastAsia="宋体" w:cs="宋体"/>
          <w:color w:val="auto"/>
          <w:spacing w:val="-11"/>
          <w:sz w:val="21"/>
          <w:szCs w:val="21"/>
        </w:rPr>
      </w:pPr>
      <w:r>
        <w:rPr>
          <w:rFonts w:hint="eastAsia" w:ascii="宋体" w:hAnsi="宋体" w:eastAsia="宋体" w:cs="宋体"/>
          <w:color w:val="auto"/>
          <w:spacing w:val="0"/>
          <w:sz w:val="21"/>
          <w:szCs w:val="21"/>
        </w:rPr>
        <w:t>项目名称：</w:t>
      </w:r>
      <w:r>
        <w:rPr>
          <w:rFonts w:hint="eastAsia" w:ascii="宋体" w:hAnsi="宋体" w:cs="宋体"/>
          <w:color w:val="auto"/>
          <w:spacing w:val="-6"/>
          <w:sz w:val="21"/>
          <w:szCs w:val="21"/>
          <w:lang w:eastAsia="zh-CN"/>
        </w:rPr>
        <w:t>怒江州动物疫病预防控制中心陆生动物疫病病原学监测区域中心建设项目实验室升级改造</w:t>
      </w:r>
    </w:p>
    <w:p w14:paraId="298C236C">
      <w:pPr>
        <w:keepNext w:val="0"/>
        <w:keepLines w:val="0"/>
        <w:pageBreakBefore w:val="0"/>
        <w:widowControl w:val="0"/>
        <w:kinsoku w:val="0"/>
        <w:wordWrap/>
        <w:overflowPunct w:val="0"/>
        <w:topLinePunct w:val="0"/>
        <w:autoSpaceDE/>
        <w:autoSpaceDN/>
        <w:bidi w:val="0"/>
        <w:spacing w:line="520" w:lineRule="exact"/>
        <w:ind w:left="0" w:leftChars="0" w:firstLine="420" w:firstLineChars="200"/>
        <w:textAlignment w:val="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采购方式：</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rPr>
        <w:t>竞争性</w:t>
      </w:r>
      <w:r>
        <w:rPr>
          <w:rFonts w:hint="eastAsia" w:ascii="宋体" w:hAnsi="宋体" w:eastAsia="宋体" w:cs="宋体"/>
          <w:color w:val="auto"/>
          <w:spacing w:val="0"/>
          <w:sz w:val="21"/>
          <w:szCs w:val="21"/>
          <w:lang w:val="en-US" w:eastAsia="zh-CN"/>
        </w:rPr>
        <w:t>谈判</w:t>
      </w:r>
      <w:r>
        <w:rPr>
          <w:rFonts w:hint="eastAsia" w:ascii="宋体" w:hAnsi="宋体" w:eastAsia="宋体" w:cs="宋体"/>
          <w:color w:val="auto"/>
          <w:spacing w:val="0"/>
          <w:sz w:val="21"/>
          <w:szCs w:val="21"/>
        </w:rPr>
        <w:t xml:space="preserve"> </w:t>
      </w:r>
      <w:r>
        <w:rPr>
          <w:rFonts w:hint="eastAsia" w:ascii="宋体" w:hAnsi="宋体" w:eastAsia="宋体" w:cs="宋体"/>
          <w:color w:val="auto"/>
          <w:spacing w:val="0"/>
          <w:sz w:val="21"/>
          <w:szCs w:val="21"/>
          <w:lang w:eastAsia="zh-CN"/>
        </w:rPr>
        <w:t>☑</w:t>
      </w:r>
      <w:r>
        <w:rPr>
          <w:rFonts w:hint="eastAsia" w:ascii="宋体" w:hAnsi="宋体" w:eastAsia="宋体" w:cs="宋体"/>
          <w:color w:val="auto"/>
          <w:spacing w:val="0"/>
          <w:sz w:val="21"/>
          <w:szCs w:val="21"/>
        </w:rPr>
        <w:t>竞争性磋商 □询价</w:t>
      </w:r>
    </w:p>
    <w:p w14:paraId="376B13B1">
      <w:pPr>
        <w:keepNext w:val="0"/>
        <w:keepLines w:val="0"/>
        <w:pageBreakBefore w:val="0"/>
        <w:widowControl w:val="0"/>
        <w:kinsoku w:val="0"/>
        <w:wordWrap/>
        <w:overflowPunct w:val="0"/>
        <w:topLinePunct w:val="0"/>
        <w:autoSpaceDE/>
        <w:autoSpaceDN/>
        <w:bidi w:val="0"/>
        <w:adjustRightInd/>
        <w:snapToGrid/>
        <w:spacing w:line="520" w:lineRule="exact"/>
        <w:ind w:left="0" w:leftChars="0" w:right="0" w:rightChars="0" w:firstLine="420" w:firstLineChars="200"/>
        <w:textAlignment w:val="auto"/>
        <w:rPr>
          <w:rFonts w:hint="default"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预算金额：</w:t>
      </w:r>
      <w:r>
        <w:rPr>
          <w:rFonts w:hint="eastAsia" w:ascii="宋体" w:hAnsi="宋体" w:cs="宋体"/>
          <w:color w:val="auto"/>
          <w:spacing w:val="0"/>
          <w:sz w:val="21"/>
          <w:szCs w:val="21"/>
          <w:lang w:val="en-US" w:eastAsia="zh-CN"/>
        </w:rPr>
        <w:t>￥860000.00元</w:t>
      </w:r>
    </w:p>
    <w:p w14:paraId="2748CA6B">
      <w:pPr>
        <w:keepNext w:val="0"/>
        <w:keepLines w:val="0"/>
        <w:pageBreakBefore w:val="0"/>
        <w:widowControl w:val="0"/>
        <w:kinsoku w:val="0"/>
        <w:wordWrap/>
        <w:overflowPunct w:val="0"/>
        <w:topLinePunct w:val="0"/>
        <w:autoSpaceDE/>
        <w:autoSpaceDN/>
        <w:bidi w:val="0"/>
        <w:adjustRightInd/>
        <w:snapToGrid/>
        <w:spacing w:line="520" w:lineRule="exact"/>
        <w:ind w:left="0" w:leftChars="0" w:right="0" w:rightChars="0" w:firstLine="420" w:firstLineChars="200"/>
        <w:textAlignment w:val="auto"/>
        <w:rPr>
          <w:rFonts w:hint="eastAsia" w:ascii="宋体" w:hAnsi="宋体" w:cs="宋体"/>
          <w:color w:val="auto"/>
          <w:spacing w:val="0"/>
          <w:sz w:val="21"/>
          <w:szCs w:val="21"/>
          <w:lang w:val="en-US" w:eastAsia="zh-CN"/>
        </w:rPr>
      </w:pPr>
      <w:r>
        <w:rPr>
          <w:rFonts w:hint="eastAsia" w:ascii="宋体" w:hAnsi="宋体" w:eastAsia="宋体" w:cs="宋体"/>
          <w:color w:val="auto"/>
          <w:spacing w:val="0"/>
          <w:sz w:val="21"/>
          <w:szCs w:val="21"/>
          <w:lang w:eastAsia="zh-CN"/>
        </w:rPr>
        <w:t>最高限价（如有）：</w:t>
      </w:r>
      <w:r>
        <w:rPr>
          <w:rFonts w:hint="eastAsia" w:ascii="宋体" w:hAnsi="宋体" w:cs="宋体"/>
          <w:color w:val="auto"/>
          <w:spacing w:val="0"/>
          <w:sz w:val="21"/>
          <w:szCs w:val="21"/>
          <w:lang w:val="en-US" w:eastAsia="zh-CN"/>
        </w:rPr>
        <w:t>￥860000.00元（设计部分：￥25000.00元，施工部分：￥835000.00元）</w:t>
      </w:r>
    </w:p>
    <w:p w14:paraId="227B06CB">
      <w:pPr>
        <w:keepNext w:val="0"/>
        <w:keepLines w:val="0"/>
        <w:pageBreakBefore w:val="0"/>
        <w:widowControl w:val="0"/>
        <w:kinsoku w:val="0"/>
        <w:wordWrap/>
        <w:overflowPunct w:val="0"/>
        <w:topLinePunct w:val="0"/>
        <w:autoSpaceDE/>
        <w:autoSpaceDN/>
        <w:bidi w:val="0"/>
        <w:spacing w:line="520" w:lineRule="exact"/>
        <w:ind w:firstLine="420" w:firstLineChars="200"/>
        <w:textAlignment w:val="auto"/>
        <w:rPr>
          <w:rFonts w:hint="eastAsia" w:ascii="宋体" w:hAnsi="宋体" w:eastAsia="宋体" w:cs="宋体"/>
          <w:bCs w:val="0"/>
          <w:color w:val="auto"/>
          <w:spacing w:val="0"/>
          <w:kern w:val="2"/>
          <w:sz w:val="21"/>
          <w:szCs w:val="21"/>
          <w:lang w:val="en-US" w:eastAsia="zh-CN" w:bidi="ar-SA"/>
        </w:rPr>
      </w:pPr>
      <w:r>
        <w:rPr>
          <w:rFonts w:hint="eastAsia" w:ascii="宋体" w:hAnsi="宋体" w:eastAsia="宋体" w:cs="宋体"/>
          <w:color w:val="auto"/>
          <w:spacing w:val="0"/>
          <w:sz w:val="21"/>
          <w:szCs w:val="21"/>
          <w:lang w:eastAsia="zh-CN"/>
        </w:rPr>
        <w:t>采购需求：</w:t>
      </w:r>
      <w:r>
        <w:rPr>
          <w:rFonts w:hint="eastAsia" w:ascii="宋体" w:hAnsi="宋体" w:cs="宋体"/>
          <w:color w:val="auto"/>
          <w:spacing w:val="0"/>
          <w:sz w:val="21"/>
          <w:szCs w:val="21"/>
          <w:lang w:val="en-US" w:eastAsia="zh-CN"/>
        </w:rPr>
        <w:t>1.设计部分：完成本项目的施工图设计及施工过程中的技术服务等；2.施工部分：完成</w:t>
      </w:r>
      <w:r>
        <w:rPr>
          <w:rFonts w:hint="eastAsia" w:ascii="宋体" w:hAnsi="宋体" w:eastAsia="宋体" w:cs="宋体"/>
          <w:color w:val="auto"/>
          <w:spacing w:val="0"/>
          <w:sz w:val="21"/>
          <w:szCs w:val="21"/>
          <w:lang w:eastAsia="zh-CN"/>
        </w:rPr>
        <w:t>实验室改建约</w:t>
      </w:r>
      <w:r>
        <w:rPr>
          <w:rFonts w:hint="eastAsia" w:ascii="宋体" w:hAnsi="宋体" w:cs="宋体"/>
          <w:color w:val="auto"/>
          <w:spacing w:val="0"/>
          <w:sz w:val="21"/>
          <w:szCs w:val="21"/>
          <w:lang w:val="en-US" w:eastAsia="zh-CN"/>
        </w:rPr>
        <w:t>530</w:t>
      </w:r>
      <w:r>
        <w:rPr>
          <w:rFonts w:hint="eastAsia" w:ascii="宋体" w:hAnsi="宋体" w:eastAsia="宋体" w:cs="宋体"/>
          <w:color w:val="auto"/>
          <w:spacing w:val="0"/>
          <w:sz w:val="21"/>
          <w:szCs w:val="21"/>
          <w:lang w:eastAsia="zh-CN"/>
        </w:rPr>
        <w:t>㎡，主要用于实验室吊顶、门窗改建、各个功能室的改建、夯实地面、铺设地胶、安装门禁系统、</w:t>
      </w:r>
      <w:r>
        <w:rPr>
          <w:rFonts w:hint="eastAsia" w:ascii="宋体" w:hAnsi="宋体" w:eastAsia="宋体" w:cs="宋体"/>
          <w:color w:val="auto"/>
          <w:spacing w:val="0"/>
          <w:sz w:val="21"/>
          <w:szCs w:val="21"/>
          <w:lang w:val="en-US" w:eastAsia="zh-CN"/>
        </w:rPr>
        <w:t>监控系统、</w:t>
      </w:r>
      <w:r>
        <w:rPr>
          <w:rFonts w:hint="eastAsia" w:ascii="宋体" w:hAnsi="宋体" w:eastAsia="宋体" w:cs="宋体"/>
          <w:color w:val="auto"/>
          <w:spacing w:val="0"/>
          <w:sz w:val="21"/>
          <w:szCs w:val="21"/>
          <w:lang w:eastAsia="zh-CN"/>
        </w:rPr>
        <w:t>通风设备、</w:t>
      </w:r>
      <w:r>
        <w:rPr>
          <w:rFonts w:hint="eastAsia" w:ascii="宋体" w:hAnsi="宋体" w:eastAsia="宋体" w:cs="宋体"/>
          <w:color w:val="auto"/>
          <w:spacing w:val="0"/>
          <w:sz w:val="21"/>
          <w:szCs w:val="21"/>
          <w:lang w:val="en-US" w:eastAsia="zh-CN"/>
        </w:rPr>
        <w:t>空调、</w:t>
      </w:r>
      <w:r>
        <w:rPr>
          <w:rFonts w:hint="eastAsia" w:ascii="宋体" w:hAnsi="宋体" w:eastAsia="宋体" w:cs="宋体"/>
          <w:color w:val="auto"/>
          <w:spacing w:val="0"/>
          <w:sz w:val="21"/>
          <w:szCs w:val="21"/>
          <w:lang w:eastAsia="zh-CN"/>
        </w:rPr>
        <w:t>照明设备、紫外线消毒装置、给排水供电改造、应急供电设备、安装洗涤槽、配备操作台、椅子、污水处理设施以及其他相关改建</w:t>
      </w:r>
      <w:r>
        <w:rPr>
          <w:rFonts w:hint="eastAsia" w:ascii="宋体" w:hAnsi="宋体" w:cs="宋体"/>
          <w:color w:val="auto"/>
          <w:spacing w:val="0"/>
          <w:sz w:val="21"/>
          <w:szCs w:val="21"/>
          <w:lang w:val="en-US" w:eastAsia="zh-CN"/>
        </w:rPr>
        <w:t>等</w:t>
      </w:r>
      <w:r>
        <w:rPr>
          <w:rFonts w:hint="eastAsia" w:ascii="宋体" w:hAnsi="宋体" w:eastAsia="宋体" w:cs="宋体"/>
          <w:color w:val="auto"/>
          <w:spacing w:val="0"/>
          <w:sz w:val="21"/>
          <w:szCs w:val="21"/>
          <w:lang w:eastAsia="zh-CN"/>
        </w:rPr>
        <w:t>。</w:t>
      </w:r>
    </w:p>
    <w:p w14:paraId="1E2C58C7">
      <w:pPr>
        <w:keepNext w:val="0"/>
        <w:keepLines w:val="0"/>
        <w:pageBreakBefore w:val="0"/>
        <w:widowControl w:val="0"/>
        <w:kinsoku w:val="0"/>
        <w:wordWrap/>
        <w:overflowPunct w:val="0"/>
        <w:topLinePunct w:val="0"/>
        <w:autoSpaceDE/>
        <w:autoSpaceDN/>
        <w:bidi w:val="0"/>
        <w:adjustRightInd/>
        <w:snapToGrid w:val="0"/>
        <w:spacing w:line="520" w:lineRule="exact"/>
        <w:ind w:left="0" w:leftChars="0" w:right="0" w:rightChars="0" w:firstLine="420" w:firstLineChars="20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合同履行期限：签订合同之日起3个月内完成全部工作。</w:t>
      </w:r>
    </w:p>
    <w:p w14:paraId="40F8870B">
      <w:pPr>
        <w:pStyle w:val="9"/>
        <w:keepNext w:val="0"/>
        <w:keepLines w:val="0"/>
        <w:pageBreakBefore w:val="0"/>
        <w:widowControl w:val="0"/>
        <w:kinsoku w:val="0"/>
        <w:wordWrap/>
        <w:overflowPunct w:val="0"/>
        <w:topLinePunct w:val="0"/>
        <w:autoSpaceDE/>
        <w:autoSpaceDN/>
        <w:bidi w:val="0"/>
        <w:spacing w:line="520" w:lineRule="exact"/>
        <w:ind w:left="0" w:leftChars="0" w:firstLine="420" w:firstLineChars="200"/>
        <w:textAlignment w:val="auto"/>
        <w:rPr>
          <w:rFonts w:hint="eastAsia" w:ascii="宋体" w:hAnsi="宋体" w:eastAsia="宋体" w:cs="宋体"/>
          <w:bCs w:val="0"/>
          <w:color w:val="auto"/>
          <w:spacing w:val="0"/>
          <w:kern w:val="2"/>
          <w:sz w:val="21"/>
          <w:szCs w:val="21"/>
          <w:lang w:val="en-US" w:eastAsia="zh-CN" w:bidi="ar-SA"/>
        </w:rPr>
      </w:pPr>
      <w:r>
        <w:rPr>
          <w:rFonts w:hint="eastAsia" w:ascii="宋体" w:hAnsi="宋体" w:eastAsia="宋体" w:cs="宋体"/>
          <w:color w:val="auto"/>
          <w:spacing w:val="0"/>
          <w:sz w:val="21"/>
          <w:szCs w:val="21"/>
          <w:lang w:eastAsia="zh-CN"/>
        </w:rPr>
        <w:t>本项目（</w:t>
      </w:r>
      <w:r>
        <w:rPr>
          <w:rFonts w:hint="eastAsia" w:cs="宋体"/>
          <w:color w:val="auto"/>
          <w:spacing w:val="0"/>
          <w:sz w:val="21"/>
          <w:szCs w:val="21"/>
          <w:lang w:eastAsia="zh-CN"/>
        </w:rPr>
        <w:t>是</w:t>
      </w:r>
      <w:r>
        <w:rPr>
          <w:rFonts w:hint="eastAsia" w:ascii="宋体" w:hAnsi="宋体" w:eastAsia="宋体" w:cs="宋体"/>
          <w:color w:val="auto"/>
          <w:spacing w:val="0"/>
          <w:sz w:val="21"/>
          <w:szCs w:val="21"/>
          <w:lang w:eastAsia="zh-CN"/>
        </w:rPr>
        <w:t>）接受联合体。</w:t>
      </w:r>
    </w:p>
    <w:p w14:paraId="1F6F9B1A">
      <w:pPr>
        <w:pStyle w:val="3"/>
        <w:keepNext w:val="0"/>
        <w:keepLines w:val="0"/>
        <w:pageBreakBefore w:val="0"/>
        <w:widowControl w:val="0"/>
        <w:kinsoku w:val="0"/>
        <w:wordWrap/>
        <w:overflowPunct w:val="0"/>
        <w:topLinePunct w:val="0"/>
        <w:autoSpaceDE/>
        <w:autoSpaceDN/>
        <w:bidi w:val="0"/>
        <w:spacing w:before="0" w:after="0" w:line="520" w:lineRule="exact"/>
        <w:ind w:left="0" w:leftChars="0" w:firstLine="420" w:firstLineChars="200"/>
        <w:textAlignment w:val="auto"/>
        <w:rPr>
          <w:rFonts w:hint="eastAsia" w:ascii="黑体" w:hAnsi="黑体" w:eastAsia="黑体" w:cs="黑体"/>
          <w:b w:val="0"/>
          <w:color w:val="auto"/>
          <w:spacing w:val="0"/>
          <w:sz w:val="21"/>
          <w:szCs w:val="21"/>
        </w:rPr>
      </w:pPr>
      <w:r>
        <w:rPr>
          <w:rFonts w:hint="eastAsia" w:ascii="黑体" w:hAnsi="黑体" w:eastAsia="黑体" w:cs="黑体"/>
          <w:b w:val="0"/>
          <w:color w:val="auto"/>
          <w:spacing w:val="0"/>
          <w:sz w:val="21"/>
          <w:szCs w:val="21"/>
        </w:rPr>
        <w:t>二、申请人的资格要求</w:t>
      </w:r>
    </w:p>
    <w:p w14:paraId="770A8F75">
      <w:pPr>
        <w:keepNext w:val="0"/>
        <w:keepLines w:val="0"/>
        <w:pageBreakBefore w:val="0"/>
        <w:widowControl w:val="0"/>
        <w:kinsoku w:val="0"/>
        <w:wordWrap/>
        <w:overflowPunct w:val="0"/>
        <w:topLinePunct w:val="0"/>
        <w:autoSpaceDE/>
        <w:autoSpaceDN/>
        <w:bidi w:val="0"/>
        <w:snapToGrid w:val="0"/>
        <w:spacing w:line="520" w:lineRule="exact"/>
        <w:ind w:left="0" w:leftChars="0" w:firstLine="420" w:firstLineChars="200"/>
        <w:jc w:val="left"/>
        <w:textAlignment w:val="auto"/>
        <w:rPr>
          <w:rFonts w:hint="eastAsia" w:ascii="宋体" w:hAnsi="宋体" w:eastAsia="宋体" w:cs="宋体"/>
          <w:color w:val="auto"/>
          <w:spacing w:val="0"/>
          <w:sz w:val="21"/>
          <w:szCs w:val="21"/>
          <w:lang w:val="en-US" w:eastAsia="zh-CN"/>
        </w:rPr>
      </w:pPr>
      <w:bookmarkStart w:id="18" w:name="_Toc28359014"/>
      <w:bookmarkStart w:id="19" w:name="_Toc28359091"/>
      <w:r>
        <w:rPr>
          <w:rFonts w:hint="eastAsia" w:ascii="宋体" w:hAnsi="宋体" w:eastAsia="宋体" w:cs="宋体"/>
          <w:color w:val="auto"/>
          <w:spacing w:val="0"/>
          <w:sz w:val="21"/>
          <w:szCs w:val="21"/>
          <w:lang w:val="en-US" w:eastAsia="zh-CN"/>
        </w:rPr>
        <w:t>1.满足《中华人民共和国政府采购法》第二十二条规定</w:t>
      </w:r>
      <w:r>
        <w:rPr>
          <w:rFonts w:hint="eastAsia" w:ascii="宋体" w:hAnsi="宋体" w:cs="宋体"/>
          <w:color w:val="auto"/>
          <w:spacing w:val="0"/>
          <w:sz w:val="21"/>
          <w:szCs w:val="21"/>
          <w:lang w:val="en-US" w:eastAsia="zh-CN"/>
        </w:rPr>
        <w:t>。</w:t>
      </w:r>
    </w:p>
    <w:p w14:paraId="0636B8F4">
      <w:pPr>
        <w:keepNext w:val="0"/>
        <w:keepLines w:val="0"/>
        <w:pageBreakBefore w:val="0"/>
        <w:widowControl w:val="0"/>
        <w:kinsoku w:val="0"/>
        <w:wordWrap/>
        <w:overflowPunct w:val="0"/>
        <w:topLinePunct w:val="0"/>
        <w:autoSpaceDE/>
        <w:autoSpaceDN/>
        <w:bidi w:val="0"/>
        <w:snapToGrid w:val="0"/>
        <w:spacing w:line="520" w:lineRule="exact"/>
        <w:ind w:left="0" w:leftChars="0" w:firstLine="420" w:firstLineChars="200"/>
        <w:jc w:val="left"/>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2.落实政府采购政策需满足的资格要求：本项目属于专门面向中小企业采购项目。</w:t>
      </w:r>
    </w:p>
    <w:p w14:paraId="2F7D3AA1">
      <w:pPr>
        <w:keepNext w:val="0"/>
        <w:keepLines w:val="0"/>
        <w:pageBreakBefore w:val="0"/>
        <w:widowControl w:val="0"/>
        <w:kinsoku w:val="0"/>
        <w:wordWrap/>
        <w:overflowPunct w:val="0"/>
        <w:topLinePunct w:val="0"/>
        <w:autoSpaceDE/>
        <w:autoSpaceDN/>
        <w:bidi w:val="0"/>
        <w:snapToGrid w:val="0"/>
        <w:spacing w:line="520" w:lineRule="exact"/>
        <w:ind w:left="0" w:leftChars="0" w:firstLine="420" w:firstLineChars="200"/>
        <w:jc w:val="left"/>
        <w:textAlignment w:val="auto"/>
        <w:rPr>
          <w:rFonts w:hint="eastAsia" w:ascii="宋体" w:hAnsi="宋体" w:eastAsia="宋体" w:cs="宋体"/>
          <w:color w:val="auto"/>
          <w:spacing w:val="0"/>
          <w:sz w:val="21"/>
          <w:szCs w:val="21"/>
          <w:lang w:val="en-US" w:eastAsia="zh-CN"/>
        </w:rPr>
      </w:pPr>
      <w:r>
        <w:rPr>
          <w:rFonts w:hint="eastAsia" w:ascii="宋体" w:hAnsi="宋体" w:cs="宋体"/>
          <w:color w:val="auto"/>
          <w:spacing w:val="0"/>
          <w:sz w:val="21"/>
          <w:szCs w:val="21"/>
          <w:lang w:val="en-US" w:eastAsia="zh-CN"/>
        </w:rPr>
        <w:t>3</w:t>
      </w:r>
      <w:r>
        <w:rPr>
          <w:rFonts w:hint="eastAsia" w:ascii="宋体" w:hAnsi="宋体" w:eastAsia="宋体" w:cs="宋体"/>
          <w:color w:val="auto"/>
          <w:spacing w:val="0"/>
          <w:sz w:val="21"/>
          <w:szCs w:val="21"/>
          <w:lang w:val="en-US" w:eastAsia="zh-CN"/>
        </w:rPr>
        <w:t>.本项目的特定资格要求：</w:t>
      </w:r>
    </w:p>
    <w:p w14:paraId="00ACD250">
      <w:pPr>
        <w:pStyle w:val="3"/>
        <w:keepNext w:val="0"/>
        <w:keepLines w:val="0"/>
        <w:pageBreakBefore w:val="0"/>
        <w:widowControl w:val="0"/>
        <w:kinsoku w:val="0"/>
        <w:wordWrap/>
        <w:overflowPunct w:val="0"/>
        <w:topLinePunct w:val="0"/>
        <w:autoSpaceDE/>
        <w:autoSpaceDN/>
        <w:bidi w:val="0"/>
        <w:spacing w:before="0" w:after="0" w:line="520" w:lineRule="exact"/>
        <w:ind w:left="0" w:leftChars="0" w:firstLine="420" w:firstLineChars="200"/>
        <w:textAlignment w:val="auto"/>
        <w:rPr>
          <w:rFonts w:hint="eastAsia" w:ascii="宋体" w:hAnsi="宋体" w:eastAsia="宋体" w:cs="宋体"/>
          <w:b w:val="0"/>
          <w:color w:val="auto"/>
          <w:spacing w:val="0"/>
          <w:kern w:val="2"/>
          <w:sz w:val="21"/>
          <w:szCs w:val="21"/>
          <w:lang w:val="en-US" w:eastAsia="zh-CN" w:bidi="ar-SA"/>
        </w:rPr>
      </w:pPr>
      <w:bookmarkStart w:id="20" w:name="_Toc35393800"/>
      <w:bookmarkStart w:id="21" w:name="_Toc35393631"/>
      <w:r>
        <w:rPr>
          <w:rFonts w:hint="eastAsia" w:ascii="宋体" w:hAnsi="宋体" w:eastAsia="宋体" w:cs="宋体"/>
          <w:b w:val="0"/>
          <w:color w:val="auto"/>
          <w:spacing w:val="0"/>
          <w:kern w:val="2"/>
          <w:sz w:val="21"/>
          <w:szCs w:val="21"/>
          <w:lang w:val="en-US" w:eastAsia="zh-CN" w:bidi="ar-SA"/>
        </w:rPr>
        <w:t>3.1供应商须同时具备以下资质：</w:t>
      </w:r>
    </w:p>
    <w:p w14:paraId="1E38181E">
      <w:pPr>
        <w:pStyle w:val="3"/>
        <w:keepNext w:val="0"/>
        <w:keepLines w:val="0"/>
        <w:pageBreakBefore w:val="0"/>
        <w:widowControl w:val="0"/>
        <w:numPr>
          <w:ilvl w:val="0"/>
          <w:numId w:val="0"/>
        </w:numPr>
        <w:kinsoku w:val="0"/>
        <w:wordWrap/>
        <w:overflowPunct w:val="0"/>
        <w:topLinePunct w:val="0"/>
        <w:autoSpaceDE/>
        <w:autoSpaceDN/>
        <w:bidi w:val="0"/>
        <w:spacing w:before="0" w:after="0" w:line="520" w:lineRule="exact"/>
        <w:ind w:left="0" w:leftChars="0" w:firstLine="420" w:firstLineChars="200"/>
        <w:textAlignment w:val="auto"/>
        <w:rPr>
          <w:rFonts w:hint="eastAsia" w:ascii="宋体" w:hAnsi="宋体" w:eastAsia="宋体" w:cs="宋体"/>
          <w:b w:val="0"/>
          <w:color w:val="auto"/>
          <w:spacing w:val="0"/>
          <w:kern w:val="2"/>
          <w:sz w:val="21"/>
          <w:szCs w:val="21"/>
          <w:lang w:val="en-US" w:eastAsia="zh-CN" w:bidi="ar-SA"/>
        </w:rPr>
      </w:pPr>
      <w:r>
        <w:rPr>
          <w:rFonts w:hint="eastAsia" w:ascii="宋体" w:hAnsi="宋体" w:eastAsia="宋体" w:cs="宋体"/>
          <w:b w:val="0"/>
          <w:color w:val="auto"/>
          <w:spacing w:val="0"/>
          <w:kern w:val="2"/>
          <w:sz w:val="21"/>
          <w:szCs w:val="21"/>
          <w:lang w:val="en-US" w:eastAsia="zh-CN" w:bidi="ar-SA"/>
        </w:rPr>
        <w:t>（1）设计单位</w:t>
      </w:r>
      <w:r>
        <w:rPr>
          <w:rFonts w:hint="eastAsia" w:ascii="宋体" w:eastAsia="宋体" w:cs="宋体"/>
          <w:b w:val="0"/>
          <w:color w:val="auto"/>
          <w:spacing w:val="0"/>
          <w:kern w:val="2"/>
          <w:sz w:val="21"/>
          <w:szCs w:val="21"/>
          <w:lang w:val="en-US" w:eastAsia="zh-CN" w:bidi="ar-SA"/>
        </w:rPr>
        <w:t>：</w:t>
      </w:r>
      <w:r>
        <w:rPr>
          <w:rFonts w:hint="eastAsia" w:ascii="宋体" w:hAnsi="宋体" w:eastAsia="宋体" w:cs="宋体"/>
          <w:b w:val="0"/>
          <w:color w:val="auto"/>
          <w:spacing w:val="0"/>
          <w:kern w:val="2"/>
          <w:sz w:val="21"/>
          <w:szCs w:val="21"/>
          <w:lang w:val="en-US" w:eastAsia="zh-CN" w:bidi="ar-SA"/>
        </w:rPr>
        <w:t>须具备工程设计综合甲级资质或建筑行业（建筑工程）设计</w:t>
      </w:r>
      <w:r>
        <w:rPr>
          <w:rFonts w:hint="eastAsia" w:ascii="宋体" w:eastAsia="宋体" w:cs="宋体"/>
          <w:b w:val="0"/>
          <w:color w:val="auto"/>
          <w:spacing w:val="0"/>
          <w:kern w:val="2"/>
          <w:sz w:val="21"/>
          <w:szCs w:val="21"/>
          <w:lang w:val="en-US" w:eastAsia="zh-CN" w:bidi="ar-SA"/>
        </w:rPr>
        <w:t>乙</w:t>
      </w:r>
      <w:r>
        <w:rPr>
          <w:rFonts w:hint="eastAsia" w:ascii="宋体" w:hAnsi="宋体" w:eastAsia="宋体" w:cs="宋体"/>
          <w:b w:val="0"/>
          <w:color w:val="auto"/>
          <w:spacing w:val="0"/>
          <w:kern w:val="2"/>
          <w:sz w:val="21"/>
          <w:szCs w:val="21"/>
          <w:lang w:val="en-US" w:eastAsia="zh-CN" w:bidi="ar-SA"/>
        </w:rPr>
        <w:t>级及以上资质；</w:t>
      </w:r>
    </w:p>
    <w:p w14:paraId="499689E7">
      <w:pPr>
        <w:pStyle w:val="3"/>
        <w:keepNext w:val="0"/>
        <w:keepLines w:val="0"/>
        <w:pageBreakBefore w:val="0"/>
        <w:widowControl w:val="0"/>
        <w:numPr>
          <w:ilvl w:val="0"/>
          <w:numId w:val="0"/>
        </w:numPr>
        <w:kinsoku w:val="0"/>
        <w:wordWrap/>
        <w:overflowPunct w:val="0"/>
        <w:topLinePunct w:val="0"/>
        <w:autoSpaceDE/>
        <w:autoSpaceDN/>
        <w:bidi w:val="0"/>
        <w:spacing w:before="0" w:after="0" w:line="520" w:lineRule="exact"/>
        <w:ind w:firstLine="420" w:firstLineChars="200"/>
        <w:textAlignment w:val="auto"/>
        <w:rPr>
          <w:rFonts w:hint="eastAsia" w:ascii="宋体" w:hAnsi="宋体" w:eastAsia="宋体" w:cs="宋体"/>
          <w:b w:val="0"/>
          <w:color w:val="auto"/>
          <w:spacing w:val="0"/>
          <w:kern w:val="2"/>
          <w:sz w:val="21"/>
          <w:szCs w:val="21"/>
          <w:lang w:val="en-US" w:eastAsia="zh-CN" w:bidi="ar-SA"/>
        </w:rPr>
      </w:pPr>
      <w:r>
        <w:rPr>
          <w:rFonts w:hint="eastAsia" w:ascii="宋体" w:hAnsi="宋体" w:eastAsia="宋体" w:cs="宋体"/>
          <w:b w:val="0"/>
          <w:color w:val="auto"/>
          <w:spacing w:val="0"/>
          <w:kern w:val="2"/>
          <w:sz w:val="21"/>
          <w:szCs w:val="21"/>
          <w:lang w:val="en-US" w:eastAsia="zh-CN" w:bidi="ar-SA"/>
        </w:rPr>
        <w:t>（2）施工单位</w:t>
      </w:r>
      <w:r>
        <w:rPr>
          <w:rFonts w:hint="eastAsia" w:ascii="宋体" w:eastAsia="宋体" w:cs="宋体"/>
          <w:b w:val="0"/>
          <w:color w:val="auto"/>
          <w:spacing w:val="0"/>
          <w:kern w:val="2"/>
          <w:sz w:val="21"/>
          <w:szCs w:val="21"/>
          <w:lang w:val="en-US" w:eastAsia="zh-CN" w:bidi="ar-SA"/>
        </w:rPr>
        <w:t>：</w:t>
      </w:r>
      <w:r>
        <w:rPr>
          <w:rFonts w:hint="eastAsia" w:ascii="宋体" w:hAnsi="宋体" w:eastAsia="宋体" w:cs="宋体"/>
          <w:b w:val="0"/>
          <w:color w:val="auto"/>
          <w:spacing w:val="0"/>
          <w:kern w:val="2"/>
          <w:sz w:val="21"/>
          <w:szCs w:val="21"/>
          <w:lang w:val="en-US" w:eastAsia="zh-CN" w:bidi="ar-SA"/>
        </w:rPr>
        <w:t>须具备建设行政主管部门核发且有效的‌</w:t>
      </w:r>
      <w:r>
        <w:rPr>
          <w:rFonts w:hint="eastAsia" w:ascii="宋体" w:hAnsi="宋体" w:eastAsia="宋体" w:cs="宋体"/>
          <w:b w:val="0"/>
          <w:color w:val="auto"/>
          <w:spacing w:val="0"/>
          <w:kern w:val="2"/>
          <w:sz w:val="21"/>
          <w:szCs w:val="21"/>
          <w:lang w:val="en-US" w:eastAsia="zh-CN" w:bidi="ar-SA"/>
        </w:rPr>
        <w:fldChar w:fldCharType="begin"/>
      </w:r>
      <w:r>
        <w:rPr>
          <w:rFonts w:hint="eastAsia" w:ascii="宋体" w:hAnsi="宋体" w:eastAsia="宋体" w:cs="宋体"/>
          <w:b w:val="0"/>
          <w:color w:val="auto"/>
          <w:spacing w:val="0"/>
          <w:kern w:val="2"/>
          <w:sz w:val="21"/>
          <w:szCs w:val="21"/>
          <w:lang w:val="en-US" w:eastAsia="zh-CN" w:bidi="ar-SA"/>
        </w:rPr>
        <w:instrText xml:space="preserve"> HYPERLINK "https://www.baidu.com/s?tn=49055317_40_hao_pg&amp;usm=3&amp;wd=%E5%BB%BA%E7%AD%91%E8%A3%85%E4%BF%AE%E8%A3%85%E9%A5%B0%E5%B7%A5%E7%A8%8B%E4%B8%93%E4%B8%9A%E6%89%BF%E5%8C%85%E4%BC%81%E4%B8%9A&amp;ie=utf-8&amp;rsv_pq=fb18ed3f01905cbf&amp;oq=%E8%A3%85%E4%BF%AE%E8%B5%84%E8%B4%A8&amp;rsv_t=309fE7lIxsrMEs4/ZSgUxRcBI1tGksyDm8RdMN9p1KjoutzgjNRjdqDB6FlYoLWSzOPDT/3S7KlY&amp;rsv_dl=re_dqa_generate&amp;sa=re_dqa_generate" \t "https://www.baidu.com/_self" </w:instrText>
      </w:r>
      <w:r>
        <w:rPr>
          <w:rFonts w:hint="eastAsia" w:ascii="宋体" w:hAnsi="宋体" w:eastAsia="宋体" w:cs="宋体"/>
          <w:b w:val="0"/>
          <w:color w:val="auto"/>
          <w:spacing w:val="0"/>
          <w:kern w:val="2"/>
          <w:sz w:val="21"/>
          <w:szCs w:val="21"/>
          <w:lang w:val="en-US" w:eastAsia="zh-CN" w:bidi="ar-SA"/>
        </w:rPr>
        <w:fldChar w:fldCharType="separate"/>
      </w:r>
      <w:r>
        <w:rPr>
          <w:rFonts w:hint="eastAsia" w:ascii="宋体" w:hAnsi="宋体" w:eastAsia="宋体" w:cs="宋体"/>
          <w:b w:val="0"/>
          <w:color w:val="auto"/>
          <w:spacing w:val="0"/>
          <w:kern w:val="2"/>
          <w:sz w:val="21"/>
          <w:szCs w:val="21"/>
          <w:lang w:val="en-US" w:eastAsia="zh-CN" w:bidi="ar-SA"/>
        </w:rPr>
        <w:t>建筑装修装饰工程专业承包</w:t>
      </w:r>
      <w:r>
        <w:rPr>
          <w:rFonts w:hint="eastAsia" w:ascii="宋体" w:hAnsi="宋体" w:eastAsia="宋体" w:cs="宋体"/>
          <w:b w:val="0"/>
          <w:color w:val="auto"/>
          <w:spacing w:val="0"/>
          <w:kern w:val="2"/>
          <w:sz w:val="21"/>
          <w:szCs w:val="21"/>
          <w:lang w:val="en-US" w:eastAsia="zh-CN" w:bidi="ar-SA"/>
        </w:rPr>
        <w:fldChar w:fldCharType="end"/>
      </w:r>
      <w:r>
        <w:rPr>
          <w:rFonts w:hint="eastAsia" w:ascii="宋体" w:eastAsia="宋体" w:cs="宋体"/>
          <w:b w:val="0"/>
          <w:color w:val="auto"/>
          <w:spacing w:val="0"/>
          <w:kern w:val="2"/>
          <w:sz w:val="21"/>
          <w:szCs w:val="21"/>
          <w:lang w:val="en-US" w:eastAsia="zh-CN" w:bidi="ar-SA"/>
        </w:rPr>
        <w:t>二</w:t>
      </w:r>
      <w:r>
        <w:rPr>
          <w:rFonts w:hint="eastAsia" w:ascii="宋体" w:hAnsi="宋体" w:eastAsia="宋体" w:cs="宋体"/>
          <w:b w:val="0"/>
          <w:color w:val="auto"/>
          <w:spacing w:val="0"/>
          <w:kern w:val="2"/>
          <w:sz w:val="21"/>
          <w:szCs w:val="21"/>
          <w:lang w:val="en-US" w:eastAsia="zh-CN" w:bidi="ar-SA"/>
        </w:rPr>
        <w:t>级及以上资质，并具有有效的安全生产许可证书。</w:t>
      </w:r>
    </w:p>
    <w:p w14:paraId="618AA000">
      <w:pPr>
        <w:pStyle w:val="3"/>
        <w:keepNext w:val="0"/>
        <w:keepLines w:val="0"/>
        <w:pageBreakBefore w:val="0"/>
        <w:widowControl w:val="0"/>
        <w:kinsoku w:val="0"/>
        <w:wordWrap/>
        <w:overflowPunct w:val="0"/>
        <w:topLinePunct w:val="0"/>
        <w:autoSpaceDE/>
        <w:autoSpaceDN/>
        <w:bidi w:val="0"/>
        <w:spacing w:before="0" w:after="0" w:line="520" w:lineRule="exact"/>
        <w:ind w:left="0" w:leftChars="0" w:firstLine="396" w:firstLineChars="200"/>
        <w:textAlignment w:val="auto"/>
        <w:rPr>
          <w:rFonts w:hint="eastAsia" w:ascii="宋体" w:hAnsi="宋体" w:eastAsia="宋体" w:cs="宋体"/>
          <w:b w:val="0"/>
          <w:color w:val="auto"/>
          <w:spacing w:val="-6"/>
          <w:kern w:val="2"/>
          <w:sz w:val="21"/>
          <w:szCs w:val="21"/>
          <w:lang w:val="en-US" w:eastAsia="zh-CN" w:bidi="ar-SA"/>
        </w:rPr>
      </w:pPr>
      <w:r>
        <w:rPr>
          <w:rFonts w:hint="eastAsia" w:ascii="宋体" w:hAnsi="宋体" w:eastAsia="宋体" w:cs="宋体"/>
          <w:b w:val="0"/>
          <w:color w:val="auto"/>
          <w:spacing w:val="-6"/>
          <w:kern w:val="2"/>
          <w:sz w:val="21"/>
          <w:szCs w:val="21"/>
          <w:lang w:val="en-US" w:eastAsia="zh-CN" w:bidi="ar-SA"/>
        </w:rPr>
        <w:t>3.2设计负责人要求：具有二级及以上注册建筑师执业资格，具备工程师及以上职称。</w:t>
      </w:r>
    </w:p>
    <w:p w14:paraId="23CA38BB">
      <w:pPr>
        <w:pStyle w:val="3"/>
        <w:keepNext w:val="0"/>
        <w:keepLines w:val="0"/>
        <w:pageBreakBefore w:val="0"/>
        <w:widowControl w:val="0"/>
        <w:kinsoku w:val="0"/>
        <w:wordWrap/>
        <w:overflowPunct w:val="0"/>
        <w:topLinePunct w:val="0"/>
        <w:autoSpaceDE/>
        <w:autoSpaceDN/>
        <w:bidi w:val="0"/>
        <w:spacing w:before="0" w:after="0" w:line="520" w:lineRule="exact"/>
        <w:ind w:left="0" w:leftChars="0" w:firstLine="396" w:firstLineChars="200"/>
        <w:textAlignment w:val="auto"/>
        <w:rPr>
          <w:rFonts w:hint="eastAsia" w:ascii="宋体" w:hAnsi="宋体" w:eastAsia="宋体" w:cs="宋体"/>
          <w:b w:val="0"/>
          <w:color w:val="auto"/>
          <w:spacing w:val="-6"/>
          <w:kern w:val="2"/>
          <w:sz w:val="21"/>
          <w:szCs w:val="21"/>
          <w:lang w:val="en-US" w:eastAsia="zh-CN" w:bidi="ar-SA"/>
        </w:rPr>
      </w:pPr>
      <w:r>
        <w:rPr>
          <w:rFonts w:hint="eastAsia" w:ascii="宋体" w:hAnsi="宋体" w:eastAsia="宋体" w:cs="宋体"/>
          <w:b w:val="0"/>
          <w:color w:val="auto"/>
          <w:spacing w:val="-6"/>
          <w:kern w:val="2"/>
          <w:sz w:val="21"/>
          <w:szCs w:val="21"/>
          <w:lang w:val="en-US" w:eastAsia="zh-CN" w:bidi="ar-SA"/>
        </w:rPr>
        <w:t>3.3项目负责人要求：项目负责人应由项目经理担任，项目经理需具有建筑工程专业贰级及以上注册建造师资格证,具备有效的安全生产考核合格证书（B证）（有效期内），且必须注册在</w:t>
      </w:r>
      <w:r>
        <w:rPr>
          <w:rFonts w:hint="eastAsia" w:ascii="宋体" w:eastAsia="宋体" w:cs="宋体"/>
          <w:b w:val="0"/>
          <w:color w:val="auto"/>
          <w:spacing w:val="-6"/>
          <w:kern w:val="2"/>
          <w:sz w:val="21"/>
          <w:szCs w:val="21"/>
          <w:lang w:val="en-US" w:eastAsia="zh-CN" w:bidi="ar-SA"/>
        </w:rPr>
        <w:t>磋商申请人</w:t>
      </w:r>
      <w:r>
        <w:rPr>
          <w:rFonts w:hint="eastAsia" w:ascii="宋体" w:hAnsi="宋体" w:eastAsia="宋体" w:cs="宋体"/>
          <w:b w:val="0"/>
          <w:color w:val="auto"/>
          <w:spacing w:val="-6"/>
          <w:kern w:val="2"/>
          <w:sz w:val="21"/>
          <w:szCs w:val="21"/>
          <w:lang w:val="en-US" w:eastAsia="zh-CN" w:bidi="ar-SA"/>
        </w:rPr>
        <w:t>本单位，如注册单位曾有变更的，需提供注册单位变更记录（或相关说明），不得为其他在建项目的项目经理。</w:t>
      </w:r>
    </w:p>
    <w:p w14:paraId="24A9621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color w:val="auto"/>
          <w:spacing w:val="0"/>
          <w:kern w:val="2"/>
          <w:sz w:val="21"/>
          <w:szCs w:val="21"/>
          <w:lang w:val="en-US" w:eastAsia="zh-CN" w:bidi="ar-SA"/>
        </w:rPr>
      </w:pPr>
      <w:r>
        <w:rPr>
          <w:rFonts w:hint="eastAsia" w:ascii="宋体" w:hAnsi="宋体" w:eastAsia="宋体" w:cs="宋体"/>
          <w:b w:val="0"/>
          <w:color w:val="auto"/>
          <w:spacing w:val="0"/>
          <w:kern w:val="2"/>
          <w:sz w:val="21"/>
          <w:szCs w:val="21"/>
          <w:lang w:val="en-US" w:eastAsia="zh-CN" w:bidi="ar-SA"/>
        </w:rPr>
        <w:t xml:space="preserve"> 3.4本次采购接受联合体磋商。联合体磋商的，应满足下列要求：</w:t>
      </w:r>
    </w:p>
    <w:p w14:paraId="41294EAC">
      <w:pPr>
        <w:keepNext w:val="0"/>
        <w:keepLines w:val="0"/>
        <w:pageBreakBefore w:val="0"/>
        <w:widowControl w:val="0"/>
        <w:kinsoku/>
        <w:wordWrap/>
        <w:overflowPunct/>
        <w:topLinePunct w:val="0"/>
        <w:autoSpaceDE/>
        <w:autoSpaceDN/>
        <w:bidi w:val="0"/>
        <w:adjustRightInd/>
        <w:snapToGrid/>
        <w:spacing w:line="480" w:lineRule="exact"/>
        <w:ind w:firstLine="444" w:firstLineChars="200"/>
        <w:textAlignment w:val="auto"/>
        <w:rPr>
          <w:rFonts w:hint="eastAsia" w:ascii="宋体" w:hAnsi="宋体" w:eastAsia="宋体" w:cs="宋体"/>
          <w:b w:val="0"/>
          <w:color w:val="auto"/>
          <w:spacing w:val="6"/>
          <w:kern w:val="2"/>
          <w:sz w:val="21"/>
          <w:szCs w:val="21"/>
          <w:lang w:val="en-US" w:eastAsia="zh-CN" w:bidi="ar-SA"/>
        </w:rPr>
      </w:pPr>
      <w:r>
        <w:rPr>
          <w:rFonts w:hint="eastAsia" w:ascii="宋体" w:hAnsi="宋体" w:eastAsia="宋体" w:cs="宋体"/>
          <w:b w:val="0"/>
          <w:color w:val="auto"/>
          <w:spacing w:val="6"/>
          <w:kern w:val="2"/>
          <w:sz w:val="21"/>
          <w:szCs w:val="21"/>
          <w:lang w:val="en-US" w:eastAsia="zh-CN" w:bidi="ar-SA"/>
        </w:rPr>
        <w:t>（1）联合体各成员均须具有独立法人资格，具备合法有效的企业法人营业执照或事业单位法人证书。</w:t>
      </w:r>
    </w:p>
    <w:p w14:paraId="7EE1D2E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color w:val="auto"/>
          <w:spacing w:val="0"/>
          <w:kern w:val="2"/>
          <w:sz w:val="21"/>
          <w:szCs w:val="21"/>
          <w:lang w:val="en-US" w:eastAsia="zh-CN" w:bidi="ar-SA"/>
        </w:rPr>
      </w:pPr>
      <w:r>
        <w:rPr>
          <w:rFonts w:hint="eastAsia" w:ascii="宋体" w:hAnsi="宋体" w:eastAsia="宋体" w:cs="宋体"/>
          <w:b w:val="0"/>
          <w:color w:val="auto"/>
          <w:spacing w:val="0"/>
          <w:kern w:val="2"/>
          <w:sz w:val="21"/>
          <w:szCs w:val="21"/>
          <w:lang w:val="en-US" w:eastAsia="zh-CN" w:bidi="ar-SA"/>
        </w:rPr>
        <w:t>（2）联合体牵头方须为具有相应资质的施工企业，成员是设计单位，且组成联合体的单位不得超过2家，以联合体身份磋商的，还需提供自本公告发布之日起由联合体各方签订的联合体协议书，联合体各成员签订联合体协议书后，不得再以自己的名义单独投标，也不得组成新的联合体或参加其他联合体在本项目中投标，否则，其所有投标均无效。</w:t>
      </w:r>
    </w:p>
    <w:p w14:paraId="74D4DC3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color w:val="auto"/>
          <w:spacing w:val="0"/>
          <w:kern w:val="2"/>
          <w:sz w:val="21"/>
          <w:szCs w:val="21"/>
          <w:lang w:val="en-US" w:eastAsia="zh-CN" w:bidi="ar-SA"/>
        </w:rPr>
      </w:pPr>
      <w:r>
        <w:rPr>
          <w:rFonts w:hint="eastAsia" w:ascii="宋体" w:hAnsi="宋体" w:eastAsia="宋体" w:cs="宋体"/>
          <w:b w:val="0"/>
          <w:color w:val="auto"/>
          <w:spacing w:val="0"/>
          <w:kern w:val="2"/>
          <w:sz w:val="21"/>
          <w:szCs w:val="21"/>
          <w:lang w:val="en-US" w:eastAsia="zh-CN" w:bidi="ar-SA"/>
        </w:rPr>
        <w:t>（3）由成交人负责项目的设计和施工。</w:t>
      </w:r>
    </w:p>
    <w:p w14:paraId="1CDEFDD8">
      <w:pPr>
        <w:pStyle w:val="3"/>
        <w:keepNext w:val="0"/>
        <w:keepLines w:val="0"/>
        <w:pageBreakBefore w:val="0"/>
        <w:widowControl w:val="0"/>
        <w:kinsoku w:val="0"/>
        <w:wordWrap/>
        <w:overflowPunct w:val="0"/>
        <w:topLinePunct w:val="0"/>
        <w:autoSpaceDE/>
        <w:autoSpaceDN/>
        <w:bidi w:val="0"/>
        <w:spacing w:before="0" w:after="0" w:line="520" w:lineRule="exact"/>
        <w:ind w:left="0" w:leftChars="0" w:firstLine="420" w:firstLineChars="200"/>
        <w:textAlignment w:val="auto"/>
        <w:rPr>
          <w:rFonts w:hint="eastAsia" w:ascii="黑体" w:hAnsi="黑体" w:eastAsia="黑体" w:cs="黑体"/>
          <w:b w:val="0"/>
          <w:color w:val="auto"/>
          <w:spacing w:val="0"/>
          <w:sz w:val="21"/>
          <w:szCs w:val="21"/>
        </w:rPr>
      </w:pPr>
      <w:r>
        <w:rPr>
          <w:rFonts w:hint="eastAsia" w:ascii="黑体" w:hAnsi="黑体" w:eastAsia="黑体" w:cs="黑体"/>
          <w:b w:val="0"/>
          <w:color w:val="auto"/>
          <w:spacing w:val="0"/>
          <w:sz w:val="21"/>
          <w:szCs w:val="21"/>
        </w:rPr>
        <w:t>三、获取采购文件</w:t>
      </w:r>
      <w:bookmarkEnd w:id="18"/>
      <w:bookmarkEnd w:id="19"/>
      <w:bookmarkEnd w:id="20"/>
      <w:bookmarkEnd w:id="21"/>
    </w:p>
    <w:p w14:paraId="154B6FEE">
      <w:pPr>
        <w:keepNext w:val="0"/>
        <w:keepLines w:val="0"/>
        <w:pageBreakBefore w:val="0"/>
        <w:widowControl w:val="0"/>
        <w:kinsoku w:val="0"/>
        <w:wordWrap/>
        <w:overflowPunct w:val="0"/>
        <w:topLinePunct w:val="0"/>
        <w:autoSpaceDE/>
        <w:autoSpaceDN/>
        <w:bidi w:val="0"/>
        <w:snapToGrid w:val="0"/>
        <w:spacing w:line="520" w:lineRule="exact"/>
        <w:ind w:left="0" w:leftChars="0" w:firstLine="420" w:firstLineChars="200"/>
        <w:jc w:val="left"/>
        <w:textAlignment w:val="auto"/>
        <w:rPr>
          <w:rFonts w:hint="eastAsia" w:ascii="宋体" w:hAnsi="宋体" w:eastAsia="宋体" w:cs="宋体"/>
          <w:color w:val="auto"/>
          <w:spacing w:val="0"/>
          <w:sz w:val="21"/>
          <w:szCs w:val="21"/>
          <w:highlight w:val="none"/>
          <w:u w:val="none"/>
          <w:lang w:val="en-US" w:eastAsia="zh-CN"/>
        </w:rPr>
      </w:pPr>
      <w:bookmarkStart w:id="22" w:name="_Toc28359015"/>
      <w:bookmarkStart w:id="23" w:name="_Toc28359092"/>
      <w:bookmarkStart w:id="24" w:name="_Toc35393632"/>
      <w:bookmarkStart w:id="25" w:name="_Toc35393801"/>
      <w:r>
        <w:rPr>
          <w:rFonts w:hint="eastAsia" w:ascii="宋体" w:hAnsi="宋体" w:eastAsia="宋体" w:cs="宋体"/>
          <w:color w:val="auto"/>
          <w:spacing w:val="0"/>
          <w:sz w:val="21"/>
          <w:szCs w:val="21"/>
          <w:highlight w:val="none"/>
          <w:u w:val="none"/>
          <w:lang w:val="en-US" w:eastAsia="zh-CN"/>
        </w:rPr>
        <w:t>时间：2025年</w:t>
      </w:r>
      <w:r>
        <w:rPr>
          <w:rFonts w:hint="eastAsia" w:ascii="宋体" w:hAnsi="宋体" w:cs="宋体"/>
          <w:color w:val="auto"/>
          <w:spacing w:val="0"/>
          <w:sz w:val="21"/>
          <w:szCs w:val="21"/>
          <w:highlight w:val="none"/>
          <w:u w:val="none"/>
          <w:lang w:val="en-US" w:eastAsia="zh-CN"/>
        </w:rPr>
        <w:t>02</w:t>
      </w:r>
      <w:r>
        <w:rPr>
          <w:rFonts w:hint="eastAsia" w:ascii="宋体" w:hAnsi="宋体" w:eastAsia="宋体" w:cs="宋体"/>
          <w:color w:val="auto"/>
          <w:spacing w:val="0"/>
          <w:sz w:val="21"/>
          <w:szCs w:val="21"/>
          <w:highlight w:val="none"/>
          <w:u w:val="none"/>
          <w:lang w:val="en-US" w:eastAsia="zh-CN"/>
        </w:rPr>
        <w:t>月</w:t>
      </w:r>
      <w:r>
        <w:rPr>
          <w:rFonts w:hint="eastAsia" w:ascii="宋体" w:hAnsi="宋体" w:cs="宋体"/>
          <w:color w:val="auto"/>
          <w:spacing w:val="0"/>
          <w:sz w:val="21"/>
          <w:szCs w:val="21"/>
          <w:highlight w:val="none"/>
          <w:u w:val="none"/>
          <w:lang w:val="en-US" w:eastAsia="zh-CN"/>
        </w:rPr>
        <w:t>18</w:t>
      </w:r>
      <w:r>
        <w:rPr>
          <w:rFonts w:hint="eastAsia" w:ascii="宋体" w:hAnsi="宋体" w:eastAsia="宋体" w:cs="宋体"/>
          <w:color w:val="auto"/>
          <w:spacing w:val="0"/>
          <w:sz w:val="21"/>
          <w:szCs w:val="21"/>
          <w:highlight w:val="none"/>
          <w:u w:val="none"/>
          <w:lang w:val="en-US" w:eastAsia="zh-CN"/>
        </w:rPr>
        <w:t>日至2025年</w:t>
      </w:r>
      <w:r>
        <w:rPr>
          <w:rFonts w:hint="eastAsia" w:ascii="宋体" w:hAnsi="宋体" w:cs="宋体"/>
          <w:color w:val="auto"/>
          <w:spacing w:val="0"/>
          <w:sz w:val="21"/>
          <w:szCs w:val="21"/>
          <w:highlight w:val="none"/>
          <w:u w:val="none"/>
          <w:lang w:val="en-US" w:eastAsia="zh-CN"/>
        </w:rPr>
        <w:t>02</w:t>
      </w:r>
      <w:r>
        <w:rPr>
          <w:rFonts w:hint="eastAsia" w:ascii="宋体" w:hAnsi="宋体" w:eastAsia="宋体" w:cs="宋体"/>
          <w:color w:val="auto"/>
          <w:spacing w:val="0"/>
          <w:sz w:val="21"/>
          <w:szCs w:val="21"/>
          <w:highlight w:val="none"/>
          <w:u w:val="none"/>
          <w:lang w:val="en-US" w:eastAsia="zh-CN"/>
        </w:rPr>
        <w:t>月</w:t>
      </w:r>
      <w:r>
        <w:rPr>
          <w:rFonts w:hint="eastAsia" w:ascii="宋体" w:hAnsi="宋体" w:cs="宋体"/>
          <w:color w:val="auto"/>
          <w:spacing w:val="0"/>
          <w:sz w:val="21"/>
          <w:szCs w:val="21"/>
          <w:highlight w:val="none"/>
          <w:u w:val="none"/>
          <w:lang w:val="en-US" w:eastAsia="zh-CN"/>
        </w:rPr>
        <w:t>24</w:t>
      </w:r>
      <w:r>
        <w:rPr>
          <w:rFonts w:hint="eastAsia" w:ascii="宋体" w:hAnsi="宋体" w:eastAsia="宋体" w:cs="宋体"/>
          <w:color w:val="auto"/>
          <w:spacing w:val="0"/>
          <w:sz w:val="21"/>
          <w:szCs w:val="21"/>
          <w:highlight w:val="none"/>
          <w:u w:val="none"/>
          <w:lang w:val="en-US" w:eastAsia="zh-CN"/>
        </w:rPr>
        <w:t>日（五个工作日）。</w:t>
      </w:r>
    </w:p>
    <w:p w14:paraId="27BED080">
      <w:pPr>
        <w:keepNext w:val="0"/>
        <w:keepLines w:val="0"/>
        <w:pageBreakBefore w:val="0"/>
        <w:widowControl w:val="0"/>
        <w:kinsoku w:val="0"/>
        <w:wordWrap/>
        <w:overflowPunct w:val="0"/>
        <w:topLinePunct w:val="0"/>
        <w:autoSpaceDE/>
        <w:autoSpaceDN/>
        <w:bidi w:val="0"/>
        <w:adjustRightInd/>
        <w:snapToGrid w:val="0"/>
        <w:spacing w:line="520" w:lineRule="exact"/>
        <w:ind w:left="0" w:leftChars="0" w:right="0" w:rightChars="0" w:firstLine="420" w:firstLineChars="200"/>
        <w:jc w:val="left"/>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地点：</w:t>
      </w:r>
      <w:r>
        <w:rPr>
          <w:rFonts w:hint="eastAsia" w:ascii="新宋体" w:hAnsi="新宋体" w:eastAsia="新宋体" w:cs="新宋体"/>
          <w:color w:val="auto"/>
          <w:highlight w:val="none"/>
        </w:rPr>
        <w:t>政采云平台线上获取（https://www.zcygov.cn/）</w:t>
      </w:r>
      <w:r>
        <w:rPr>
          <w:rFonts w:hint="eastAsia" w:ascii="宋体" w:hAnsi="宋体" w:eastAsia="宋体" w:cs="宋体"/>
          <w:color w:val="auto"/>
          <w:spacing w:val="0"/>
          <w:sz w:val="21"/>
          <w:szCs w:val="21"/>
          <w:lang w:val="en-US" w:eastAsia="zh-CN"/>
        </w:rPr>
        <w:t>。</w:t>
      </w:r>
    </w:p>
    <w:p w14:paraId="4B5FC492">
      <w:pPr>
        <w:keepNext w:val="0"/>
        <w:keepLines w:val="0"/>
        <w:pageBreakBefore w:val="0"/>
        <w:widowControl w:val="0"/>
        <w:kinsoku/>
        <w:wordWrap w:val="0"/>
        <w:overflowPunct/>
        <w:topLinePunct w:val="0"/>
        <w:autoSpaceDE/>
        <w:autoSpaceDN/>
        <w:bidi w:val="0"/>
        <w:adjustRightInd/>
        <w:snapToGrid w:val="0"/>
        <w:spacing w:line="520" w:lineRule="exact"/>
        <w:ind w:left="0" w:leftChars="0" w:right="0" w:rightChars="0" w:firstLine="420" w:firstLineChars="200"/>
        <w:jc w:val="left"/>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注：云南本地申请人如之前已在云南CA在线数字证书办理网进行过注册并办理过企业数字证书（CA），直接绑定即可，无需重复办理（2022年1月1日前办理的云南CA需到云南CA办理处进行升级）。外省申请人在政采云平台办理的其他CA可直接使用，无需重复办理。（2）按上述要求获取文件的申请人视为合法获取了本项目采购文件，具备本项目的投标资格。</w:t>
      </w:r>
    </w:p>
    <w:p w14:paraId="31840954">
      <w:pPr>
        <w:keepNext w:val="0"/>
        <w:keepLines w:val="0"/>
        <w:pageBreakBefore w:val="0"/>
        <w:widowControl w:val="0"/>
        <w:kinsoku w:val="0"/>
        <w:wordWrap/>
        <w:overflowPunct w:val="0"/>
        <w:topLinePunct w:val="0"/>
        <w:autoSpaceDE/>
        <w:autoSpaceDN/>
        <w:bidi w:val="0"/>
        <w:adjustRightInd/>
        <w:snapToGrid/>
        <w:spacing w:line="520" w:lineRule="exact"/>
        <w:ind w:left="0" w:leftChars="0" w:firstLine="420" w:firstLineChars="200"/>
        <w:textAlignment w:val="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lang w:val="en-US" w:eastAsia="zh-CN"/>
        </w:rPr>
        <w:t>售价：￥0.00元。</w:t>
      </w:r>
    </w:p>
    <w:p w14:paraId="33123ADB">
      <w:pPr>
        <w:pStyle w:val="3"/>
        <w:keepNext w:val="0"/>
        <w:keepLines w:val="0"/>
        <w:pageBreakBefore w:val="0"/>
        <w:widowControl w:val="0"/>
        <w:kinsoku w:val="0"/>
        <w:wordWrap/>
        <w:overflowPunct w:val="0"/>
        <w:topLinePunct w:val="0"/>
        <w:autoSpaceDE/>
        <w:autoSpaceDN/>
        <w:bidi w:val="0"/>
        <w:spacing w:before="0" w:after="0" w:line="520" w:lineRule="exact"/>
        <w:ind w:left="0" w:leftChars="0" w:firstLine="420" w:firstLineChars="200"/>
        <w:textAlignment w:val="auto"/>
        <w:rPr>
          <w:rFonts w:hint="eastAsia" w:ascii="黑体" w:hAnsi="黑体" w:eastAsia="黑体" w:cs="黑体"/>
          <w:b w:val="0"/>
          <w:color w:val="auto"/>
          <w:spacing w:val="0"/>
          <w:sz w:val="21"/>
          <w:szCs w:val="21"/>
        </w:rPr>
      </w:pPr>
      <w:r>
        <w:rPr>
          <w:rFonts w:hint="eastAsia" w:ascii="黑体" w:hAnsi="黑体" w:eastAsia="黑体" w:cs="黑体"/>
          <w:b w:val="0"/>
          <w:color w:val="auto"/>
          <w:spacing w:val="0"/>
          <w:sz w:val="21"/>
          <w:szCs w:val="21"/>
        </w:rPr>
        <w:t>四、响应文件提交</w:t>
      </w:r>
      <w:bookmarkEnd w:id="22"/>
      <w:bookmarkEnd w:id="23"/>
      <w:bookmarkEnd w:id="24"/>
      <w:bookmarkEnd w:id="25"/>
    </w:p>
    <w:p w14:paraId="302BBAF1">
      <w:pPr>
        <w:keepNext w:val="0"/>
        <w:keepLines w:val="0"/>
        <w:pageBreakBefore w:val="0"/>
        <w:widowControl w:val="0"/>
        <w:kinsoku w:val="0"/>
        <w:wordWrap/>
        <w:overflowPunct w:val="0"/>
        <w:topLinePunct w:val="0"/>
        <w:autoSpaceDE/>
        <w:autoSpaceDN/>
        <w:bidi w:val="0"/>
        <w:snapToGrid w:val="0"/>
        <w:spacing w:line="520" w:lineRule="exact"/>
        <w:ind w:left="0" w:leftChars="0" w:firstLine="420" w:firstLineChars="200"/>
        <w:jc w:val="left"/>
        <w:textAlignment w:val="auto"/>
        <w:rPr>
          <w:rFonts w:hint="eastAsia" w:ascii="宋体" w:hAnsi="宋体" w:eastAsia="宋体" w:cs="宋体"/>
          <w:color w:val="auto"/>
          <w:spacing w:val="0"/>
          <w:sz w:val="21"/>
          <w:szCs w:val="21"/>
          <w:highlight w:val="none"/>
          <w:u w:val="none"/>
          <w:lang w:val="en-US" w:eastAsia="zh-CN"/>
        </w:rPr>
      </w:pPr>
      <w:bookmarkStart w:id="26" w:name="_Toc35393633"/>
      <w:bookmarkStart w:id="27" w:name="_Toc35393802"/>
      <w:bookmarkStart w:id="28" w:name="_Toc28359093"/>
      <w:bookmarkStart w:id="29" w:name="_Toc28359016"/>
      <w:r>
        <w:rPr>
          <w:rFonts w:hint="eastAsia" w:ascii="宋体" w:hAnsi="宋体" w:eastAsia="宋体" w:cs="宋体"/>
          <w:color w:val="auto"/>
          <w:spacing w:val="0"/>
          <w:sz w:val="21"/>
          <w:szCs w:val="21"/>
          <w:highlight w:val="none"/>
          <w:u w:val="none"/>
          <w:lang w:val="en-US" w:eastAsia="zh-CN"/>
        </w:rPr>
        <w:t>截止时间：</w:t>
      </w:r>
      <w:r>
        <w:rPr>
          <w:rFonts w:hint="eastAsia" w:ascii="宋体" w:hAnsi="宋体" w:cs="宋体"/>
          <w:color w:val="auto"/>
          <w:spacing w:val="0"/>
          <w:sz w:val="21"/>
          <w:szCs w:val="21"/>
          <w:highlight w:val="none"/>
          <w:u w:val="none"/>
          <w:lang w:val="en-US" w:eastAsia="zh-CN"/>
        </w:rPr>
        <w:t>2025年02月28日14时30分</w:t>
      </w:r>
      <w:r>
        <w:rPr>
          <w:rFonts w:hint="eastAsia" w:ascii="宋体" w:hAnsi="宋体" w:eastAsia="宋体" w:cs="宋体"/>
          <w:color w:val="auto"/>
          <w:spacing w:val="0"/>
          <w:sz w:val="21"/>
          <w:szCs w:val="21"/>
          <w:highlight w:val="none"/>
          <w:u w:val="none"/>
          <w:lang w:val="en-US" w:eastAsia="zh-CN"/>
        </w:rPr>
        <w:t>（北京时间）。</w:t>
      </w:r>
    </w:p>
    <w:p w14:paraId="2DC1CB3F">
      <w:pPr>
        <w:keepNext w:val="0"/>
        <w:keepLines w:val="0"/>
        <w:pageBreakBefore w:val="0"/>
        <w:widowControl w:val="0"/>
        <w:kinsoku w:val="0"/>
        <w:wordWrap/>
        <w:overflowPunct w:val="0"/>
        <w:topLinePunct w:val="0"/>
        <w:autoSpaceDE/>
        <w:autoSpaceDN/>
        <w:bidi w:val="0"/>
        <w:adjustRightInd/>
        <w:snapToGrid/>
        <w:spacing w:line="520" w:lineRule="exact"/>
        <w:ind w:left="0" w:leftChars="0" w:firstLine="420" w:firstLineChars="200"/>
        <w:textAlignment w:val="auto"/>
        <w:rPr>
          <w:rFonts w:hint="eastAsia" w:ascii="宋体" w:hAnsi="宋体" w:eastAsia="宋体" w:cs="宋体"/>
          <w:color w:val="auto"/>
          <w:spacing w:val="0"/>
          <w:sz w:val="21"/>
          <w:szCs w:val="21"/>
        </w:rPr>
      </w:pPr>
      <w:r>
        <w:rPr>
          <w:rFonts w:hint="eastAsia" w:ascii="宋体" w:hAnsi="宋体" w:eastAsia="宋体" w:cs="宋体"/>
          <w:b w:val="0"/>
          <w:color w:val="auto"/>
          <w:spacing w:val="0"/>
          <w:sz w:val="21"/>
          <w:szCs w:val="21"/>
          <w:lang w:eastAsia="zh-CN"/>
        </w:rPr>
        <w:t>地点：政采云平台（http：//www.zcygov.cn），</w:t>
      </w:r>
      <w:r>
        <w:rPr>
          <w:rFonts w:hint="eastAsia" w:ascii="宋体" w:hAnsi="宋体" w:eastAsia="宋体" w:cs="宋体"/>
          <w:b w:val="0"/>
          <w:color w:val="auto"/>
          <w:spacing w:val="0"/>
          <w:sz w:val="21"/>
          <w:szCs w:val="21"/>
          <w:lang w:val="en-US" w:eastAsia="zh-CN"/>
        </w:rPr>
        <w:t>申请人</w:t>
      </w:r>
      <w:r>
        <w:rPr>
          <w:rFonts w:hint="eastAsia" w:ascii="宋体" w:hAnsi="宋体" w:eastAsia="宋体" w:cs="宋体"/>
          <w:b w:val="0"/>
          <w:color w:val="auto"/>
          <w:spacing w:val="0"/>
          <w:sz w:val="21"/>
          <w:szCs w:val="21"/>
          <w:lang w:eastAsia="zh-CN"/>
        </w:rPr>
        <w:t>应按照本项目</w:t>
      </w:r>
      <w:r>
        <w:rPr>
          <w:rFonts w:hint="eastAsia" w:ascii="宋体" w:hAnsi="宋体" w:eastAsia="宋体" w:cs="宋体"/>
          <w:b w:val="0"/>
          <w:color w:val="auto"/>
          <w:spacing w:val="0"/>
          <w:sz w:val="21"/>
          <w:szCs w:val="21"/>
          <w:lang w:val="en-US" w:eastAsia="zh-CN"/>
        </w:rPr>
        <w:t>磋商</w:t>
      </w:r>
      <w:r>
        <w:rPr>
          <w:rFonts w:hint="eastAsia" w:ascii="宋体" w:hAnsi="宋体" w:eastAsia="宋体" w:cs="宋体"/>
          <w:b w:val="0"/>
          <w:color w:val="auto"/>
          <w:spacing w:val="0"/>
          <w:sz w:val="21"/>
          <w:szCs w:val="21"/>
          <w:lang w:eastAsia="zh-CN"/>
        </w:rPr>
        <w:t>文件和"政采云"平台的要求编制、加密后在</w:t>
      </w:r>
      <w:r>
        <w:rPr>
          <w:rFonts w:hint="eastAsia" w:ascii="宋体" w:hAnsi="宋体" w:eastAsia="宋体" w:cs="宋体"/>
          <w:b w:val="0"/>
          <w:color w:val="auto"/>
          <w:spacing w:val="0"/>
          <w:sz w:val="21"/>
          <w:szCs w:val="21"/>
          <w:lang w:val="en-US" w:eastAsia="zh-CN"/>
        </w:rPr>
        <w:t>响应</w:t>
      </w:r>
      <w:r>
        <w:rPr>
          <w:rFonts w:hint="eastAsia" w:ascii="宋体" w:hAnsi="宋体" w:eastAsia="宋体" w:cs="宋体"/>
          <w:b w:val="0"/>
          <w:color w:val="auto"/>
          <w:spacing w:val="0"/>
          <w:sz w:val="21"/>
          <w:szCs w:val="21"/>
          <w:lang w:eastAsia="zh-CN"/>
        </w:rPr>
        <w:t>文件提交截止时间前上传至"政采云"平台，</w:t>
      </w:r>
      <w:r>
        <w:rPr>
          <w:rFonts w:hint="eastAsia" w:ascii="宋体" w:hAnsi="宋体" w:eastAsia="宋体" w:cs="宋体"/>
          <w:b w:val="0"/>
          <w:color w:val="auto"/>
          <w:spacing w:val="0"/>
          <w:sz w:val="21"/>
          <w:szCs w:val="21"/>
          <w:lang w:val="en-US" w:eastAsia="zh-CN"/>
        </w:rPr>
        <w:t>磋商</w:t>
      </w:r>
      <w:r>
        <w:rPr>
          <w:rFonts w:hint="eastAsia" w:ascii="宋体" w:hAnsi="宋体" w:eastAsia="宋体" w:cs="宋体"/>
          <w:b w:val="0"/>
          <w:color w:val="auto"/>
          <w:spacing w:val="0"/>
          <w:sz w:val="21"/>
          <w:szCs w:val="21"/>
          <w:lang w:eastAsia="zh-CN"/>
        </w:rPr>
        <w:t>文件提交截止时间前未完成</w:t>
      </w:r>
      <w:r>
        <w:rPr>
          <w:rFonts w:hint="eastAsia" w:ascii="宋体" w:hAnsi="宋体" w:eastAsia="宋体" w:cs="宋体"/>
          <w:b w:val="0"/>
          <w:color w:val="auto"/>
          <w:spacing w:val="0"/>
          <w:sz w:val="21"/>
          <w:szCs w:val="21"/>
          <w:lang w:val="en-US" w:eastAsia="zh-CN"/>
        </w:rPr>
        <w:t>响应</w:t>
      </w:r>
      <w:r>
        <w:rPr>
          <w:rFonts w:hint="eastAsia" w:ascii="宋体" w:hAnsi="宋体" w:eastAsia="宋体" w:cs="宋体"/>
          <w:b w:val="0"/>
          <w:color w:val="auto"/>
          <w:spacing w:val="0"/>
          <w:sz w:val="21"/>
          <w:szCs w:val="21"/>
          <w:lang w:eastAsia="zh-CN"/>
        </w:rPr>
        <w:t>文件上传的，视为撤回</w:t>
      </w:r>
      <w:r>
        <w:rPr>
          <w:rFonts w:hint="eastAsia" w:ascii="宋体" w:hAnsi="宋体" w:cs="宋体"/>
          <w:b w:val="0"/>
          <w:color w:val="auto"/>
          <w:spacing w:val="0"/>
          <w:sz w:val="21"/>
          <w:szCs w:val="21"/>
          <w:lang w:eastAsia="zh-CN"/>
        </w:rPr>
        <w:t>磋商申请文件</w:t>
      </w:r>
      <w:r>
        <w:rPr>
          <w:rFonts w:hint="eastAsia" w:ascii="宋体" w:hAnsi="宋体" w:eastAsia="宋体" w:cs="宋体"/>
          <w:b w:val="0"/>
          <w:color w:val="auto"/>
          <w:spacing w:val="0"/>
          <w:sz w:val="21"/>
          <w:szCs w:val="21"/>
          <w:lang w:eastAsia="zh-CN"/>
        </w:rPr>
        <w:t>。申请人在"政采云"平台提交电子版</w:t>
      </w:r>
      <w:r>
        <w:rPr>
          <w:rFonts w:hint="eastAsia" w:ascii="宋体" w:hAnsi="宋体" w:eastAsia="宋体" w:cs="宋体"/>
          <w:b w:val="0"/>
          <w:color w:val="auto"/>
          <w:spacing w:val="0"/>
          <w:sz w:val="21"/>
          <w:szCs w:val="21"/>
          <w:lang w:val="en-US" w:eastAsia="zh-CN"/>
        </w:rPr>
        <w:t>响应</w:t>
      </w:r>
      <w:r>
        <w:rPr>
          <w:rFonts w:hint="eastAsia" w:ascii="宋体" w:hAnsi="宋体" w:eastAsia="宋体" w:cs="宋体"/>
          <w:b w:val="0"/>
          <w:color w:val="auto"/>
          <w:spacing w:val="0"/>
          <w:sz w:val="21"/>
          <w:szCs w:val="21"/>
          <w:lang w:eastAsia="zh-CN"/>
        </w:rPr>
        <w:t>文件时，请填写参加远程采购活动经办人联系方式。</w:t>
      </w:r>
    </w:p>
    <w:p w14:paraId="66236707">
      <w:pPr>
        <w:pStyle w:val="3"/>
        <w:keepNext w:val="0"/>
        <w:keepLines w:val="0"/>
        <w:pageBreakBefore w:val="0"/>
        <w:widowControl w:val="0"/>
        <w:kinsoku w:val="0"/>
        <w:wordWrap/>
        <w:overflowPunct w:val="0"/>
        <w:topLinePunct w:val="0"/>
        <w:autoSpaceDE/>
        <w:autoSpaceDN/>
        <w:bidi w:val="0"/>
        <w:spacing w:before="0" w:after="0" w:line="520" w:lineRule="exact"/>
        <w:ind w:left="0" w:leftChars="0" w:firstLine="420" w:firstLineChars="200"/>
        <w:textAlignment w:val="auto"/>
        <w:rPr>
          <w:rFonts w:hint="eastAsia" w:ascii="黑体" w:hAnsi="黑体" w:eastAsia="黑体" w:cs="黑体"/>
          <w:b w:val="0"/>
          <w:color w:val="auto"/>
          <w:spacing w:val="0"/>
          <w:sz w:val="21"/>
          <w:szCs w:val="21"/>
        </w:rPr>
      </w:pPr>
      <w:r>
        <w:rPr>
          <w:rFonts w:hint="eastAsia" w:ascii="黑体" w:hAnsi="黑体" w:eastAsia="黑体" w:cs="黑体"/>
          <w:b w:val="0"/>
          <w:color w:val="auto"/>
          <w:spacing w:val="0"/>
          <w:sz w:val="21"/>
          <w:szCs w:val="21"/>
        </w:rPr>
        <w:t>五、开启</w:t>
      </w:r>
      <w:bookmarkEnd w:id="26"/>
      <w:bookmarkEnd w:id="27"/>
      <w:bookmarkEnd w:id="28"/>
      <w:bookmarkEnd w:id="29"/>
    </w:p>
    <w:p w14:paraId="6A787B6F">
      <w:pPr>
        <w:keepNext w:val="0"/>
        <w:keepLines w:val="0"/>
        <w:pageBreakBefore w:val="0"/>
        <w:widowControl w:val="0"/>
        <w:kinsoku w:val="0"/>
        <w:wordWrap/>
        <w:overflowPunct w:val="0"/>
        <w:topLinePunct w:val="0"/>
        <w:autoSpaceDE/>
        <w:autoSpaceDN/>
        <w:bidi w:val="0"/>
        <w:adjustRightInd/>
        <w:snapToGrid/>
        <w:spacing w:line="520" w:lineRule="exact"/>
        <w:ind w:left="0" w:leftChars="0" w:firstLine="420" w:firstLineChars="200"/>
        <w:textAlignment w:val="auto"/>
        <w:rPr>
          <w:rFonts w:hint="eastAsia" w:ascii="宋体" w:hAnsi="宋体" w:eastAsia="宋体" w:cs="宋体"/>
          <w:b w:val="0"/>
          <w:color w:val="auto"/>
          <w:spacing w:val="0"/>
          <w:sz w:val="21"/>
          <w:szCs w:val="21"/>
          <w:lang w:val="en-US" w:eastAsia="zh-CN"/>
        </w:rPr>
      </w:pPr>
      <w:r>
        <w:rPr>
          <w:rFonts w:hint="eastAsia" w:ascii="宋体" w:hAnsi="宋体" w:eastAsia="宋体" w:cs="宋体"/>
          <w:b w:val="0"/>
          <w:color w:val="auto"/>
          <w:spacing w:val="0"/>
          <w:sz w:val="21"/>
          <w:szCs w:val="21"/>
          <w:lang w:val="en-US" w:eastAsia="zh-CN"/>
        </w:rPr>
        <w:t>时间：</w:t>
      </w:r>
      <w:r>
        <w:rPr>
          <w:rFonts w:hint="eastAsia" w:ascii="宋体" w:hAnsi="宋体" w:cs="宋体"/>
          <w:color w:val="auto"/>
          <w:spacing w:val="0"/>
          <w:sz w:val="21"/>
          <w:szCs w:val="21"/>
          <w:highlight w:val="none"/>
          <w:u w:val="none"/>
          <w:lang w:val="en-US" w:eastAsia="zh-CN"/>
        </w:rPr>
        <w:t>2025年02月28日14时30分</w:t>
      </w:r>
      <w:r>
        <w:rPr>
          <w:rFonts w:hint="eastAsia" w:ascii="宋体" w:hAnsi="宋体" w:eastAsia="宋体" w:cs="宋体"/>
          <w:b w:val="0"/>
          <w:color w:val="auto"/>
          <w:spacing w:val="0"/>
          <w:sz w:val="21"/>
          <w:szCs w:val="21"/>
          <w:lang w:val="en-US" w:eastAsia="zh-CN"/>
        </w:rPr>
        <w:t>（北京时间）。</w:t>
      </w:r>
    </w:p>
    <w:p w14:paraId="5F80D750">
      <w:pPr>
        <w:keepNext w:val="0"/>
        <w:keepLines w:val="0"/>
        <w:pageBreakBefore w:val="0"/>
        <w:widowControl w:val="0"/>
        <w:kinsoku w:val="0"/>
        <w:wordWrap/>
        <w:overflowPunct w:val="0"/>
        <w:topLinePunct w:val="0"/>
        <w:autoSpaceDE/>
        <w:autoSpaceDN/>
        <w:bidi w:val="0"/>
        <w:adjustRightInd/>
        <w:snapToGrid/>
        <w:spacing w:line="520" w:lineRule="exact"/>
        <w:ind w:left="0" w:leftChars="0" w:firstLine="420" w:firstLineChars="200"/>
        <w:textAlignment w:val="auto"/>
        <w:rPr>
          <w:rFonts w:hint="eastAsia" w:ascii="宋体" w:hAnsi="宋体" w:eastAsia="宋体" w:cs="宋体"/>
          <w:color w:val="auto"/>
          <w:spacing w:val="0"/>
          <w:sz w:val="21"/>
          <w:szCs w:val="21"/>
          <w:highlight w:val="none"/>
          <w:u w:val="none"/>
          <w:lang w:val="en-US" w:eastAsia="zh-CN"/>
        </w:rPr>
      </w:pPr>
      <w:r>
        <w:rPr>
          <w:rFonts w:hint="eastAsia" w:ascii="宋体" w:hAnsi="宋体" w:eastAsia="宋体" w:cs="宋体"/>
          <w:b w:val="0"/>
          <w:color w:val="auto"/>
          <w:spacing w:val="0"/>
          <w:sz w:val="21"/>
          <w:szCs w:val="21"/>
          <w:lang w:val="en-US" w:eastAsia="zh-CN"/>
        </w:rPr>
        <w:t>地点：保山市隆阳区兰城街道金水路永昌文化园6号。</w:t>
      </w:r>
    </w:p>
    <w:p w14:paraId="1C7FBAA9">
      <w:pPr>
        <w:pStyle w:val="3"/>
        <w:keepNext w:val="0"/>
        <w:keepLines w:val="0"/>
        <w:pageBreakBefore w:val="0"/>
        <w:widowControl w:val="0"/>
        <w:kinsoku w:val="0"/>
        <w:wordWrap/>
        <w:overflowPunct w:val="0"/>
        <w:topLinePunct w:val="0"/>
        <w:autoSpaceDE/>
        <w:autoSpaceDN/>
        <w:bidi w:val="0"/>
        <w:spacing w:before="0" w:after="0" w:line="520" w:lineRule="exact"/>
        <w:ind w:left="0" w:leftChars="0" w:firstLine="420" w:firstLineChars="200"/>
        <w:textAlignment w:val="auto"/>
        <w:rPr>
          <w:rFonts w:hint="eastAsia" w:ascii="黑体" w:hAnsi="黑体" w:eastAsia="黑体" w:cs="黑体"/>
          <w:b w:val="0"/>
          <w:color w:val="auto"/>
          <w:spacing w:val="0"/>
          <w:sz w:val="21"/>
          <w:szCs w:val="21"/>
        </w:rPr>
      </w:pPr>
      <w:bookmarkStart w:id="30" w:name="_Toc35393634"/>
      <w:bookmarkStart w:id="31" w:name="_Toc28359094"/>
      <w:bookmarkStart w:id="32" w:name="_Toc28359017"/>
      <w:bookmarkStart w:id="33" w:name="_Toc35393803"/>
      <w:r>
        <w:rPr>
          <w:rFonts w:hint="eastAsia" w:ascii="黑体" w:hAnsi="黑体" w:eastAsia="黑体" w:cs="黑体"/>
          <w:b w:val="0"/>
          <w:color w:val="auto"/>
          <w:spacing w:val="0"/>
          <w:sz w:val="21"/>
          <w:szCs w:val="21"/>
        </w:rPr>
        <w:t>六、公告期限</w:t>
      </w:r>
      <w:bookmarkEnd w:id="30"/>
      <w:bookmarkEnd w:id="31"/>
      <w:bookmarkEnd w:id="32"/>
      <w:bookmarkEnd w:id="33"/>
    </w:p>
    <w:p w14:paraId="26453EEE">
      <w:pPr>
        <w:keepNext w:val="0"/>
        <w:keepLines w:val="0"/>
        <w:pageBreakBefore w:val="0"/>
        <w:widowControl w:val="0"/>
        <w:kinsoku w:val="0"/>
        <w:wordWrap/>
        <w:overflowPunct w:val="0"/>
        <w:topLinePunct w:val="0"/>
        <w:autoSpaceDE/>
        <w:autoSpaceDN/>
        <w:bidi w:val="0"/>
        <w:adjustRightInd/>
        <w:snapToGrid/>
        <w:spacing w:line="520" w:lineRule="exact"/>
        <w:ind w:left="0" w:leftChars="0" w:firstLine="420" w:firstLineChars="200"/>
        <w:textAlignment w:val="auto"/>
        <w:rPr>
          <w:rFonts w:hint="eastAsia" w:ascii="宋体" w:hAnsi="宋体" w:eastAsia="宋体" w:cs="宋体"/>
          <w:color w:val="auto"/>
          <w:spacing w:val="0"/>
          <w:sz w:val="21"/>
          <w:szCs w:val="21"/>
          <w:highlight w:val="none"/>
          <w:u w:val="none"/>
          <w:lang w:val="en-US" w:eastAsia="zh-CN"/>
        </w:rPr>
      </w:pPr>
      <w:r>
        <w:rPr>
          <w:rFonts w:hint="eastAsia" w:ascii="宋体" w:hAnsi="宋体" w:eastAsia="宋体" w:cs="宋体"/>
          <w:color w:val="auto"/>
          <w:spacing w:val="0"/>
          <w:sz w:val="21"/>
          <w:szCs w:val="21"/>
          <w:lang w:eastAsia="zh-CN"/>
        </w:rPr>
        <w:t>自本公告发布之日起</w:t>
      </w:r>
      <w:r>
        <w:rPr>
          <w:rFonts w:hint="eastAsia" w:ascii="宋体" w:hAnsi="宋体" w:eastAsia="宋体" w:cs="宋体"/>
          <w:color w:val="auto"/>
          <w:spacing w:val="0"/>
          <w:sz w:val="21"/>
          <w:szCs w:val="21"/>
          <w:lang w:val="en-US" w:eastAsia="zh-CN"/>
        </w:rPr>
        <w:t>5</w:t>
      </w:r>
      <w:r>
        <w:rPr>
          <w:rFonts w:hint="eastAsia" w:ascii="宋体" w:hAnsi="宋体" w:eastAsia="宋体" w:cs="宋体"/>
          <w:color w:val="auto"/>
          <w:spacing w:val="0"/>
          <w:sz w:val="21"/>
          <w:szCs w:val="21"/>
          <w:lang w:eastAsia="zh-CN"/>
        </w:rPr>
        <w:t>个工作日</w:t>
      </w:r>
      <w:r>
        <w:rPr>
          <w:rFonts w:hint="eastAsia" w:ascii="宋体" w:hAnsi="宋体" w:eastAsia="宋体" w:cs="宋体"/>
          <w:color w:val="auto"/>
          <w:spacing w:val="0"/>
          <w:sz w:val="21"/>
          <w:szCs w:val="21"/>
          <w:highlight w:val="none"/>
          <w:u w:val="none"/>
          <w:lang w:val="en-US" w:eastAsia="zh-CN"/>
        </w:rPr>
        <w:t>(即</w:t>
      </w:r>
      <w:r>
        <w:rPr>
          <w:rFonts w:hint="eastAsia" w:ascii="宋体" w:hAnsi="宋体" w:cs="宋体"/>
          <w:color w:val="auto"/>
          <w:spacing w:val="0"/>
          <w:sz w:val="21"/>
          <w:szCs w:val="21"/>
          <w:highlight w:val="none"/>
          <w:u w:val="none"/>
          <w:lang w:val="en-US" w:eastAsia="zh-CN"/>
        </w:rPr>
        <w:t>：</w:t>
      </w:r>
      <w:r>
        <w:rPr>
          <w:rFonts w:hint="eastAsia" w:ascii="宋体" w:hAnsi="宋体" w:eastAsia="宋体" w:cs="宋体"/>
          <w:color w:val="auto"/>
          <w:spacing w:val="0"/>
          <w:sz w:val="21"/>
          <w:szCs w:val="21"/>
          <w:highlight w:val="none"/>
          <w:u w:val="none"/>
          <w:lang w:val="en-US" w:eastAsia="zh-CN"/>
        </w:rPr>
        <w:t>2025年</w:t>
      </w:r>
      <w:r>
        <w:rPr>
          <w:rFonts w:hint="eastAsia" w:ascii="宋体" w:hAnsi="宋体" w:cs="宋体"/>
          <w:color w:val="auto"/>
          <w:spacing w:val="0"/>
          <w:sz w:val="21"/>
          <w:szCs w:val="21"/>
          <w:highlight w:val="none"/>
          <w:u w:val="none"/>
          <w:lang w:val="en-US" w:eastAsia="zh-CN"/>
        </w:rPr>
        <w:t>02</w:t>
      </w:r>
      <w:r>
        <w:rPr>
          <w:rFonts w:hint="eastAsia" w:ascii="宋体" w:hAnsi="宋体" w:eastAsia="宋体" w:cs="宋体"/>
          <w:color w:val="auto"/>
          <w:spacing w:val="0"/>
          <w:sz w:val="21"/>
          <w:szCs w:val="21"/>
          <w:highlight w:val="none"/>
          <w:u w:val="none"/>
          <w:lang w:val="en-US" w:eastAsia="zh-CN"/>
        </w:rPr>
        <w:t>月</w:t>
      </w:r>
      <w:r>
        <w:rPr>
          <w:rFonts w:hint="eastAsia" w:ascii="宋体" w:hAnsi="宋体" w:cs="宋体"/>
          <w:color w:val="auto"/>
          <w:spacing w:val="0"/>
          <w:sz w:val="21"/>
          <w:szCs w:val="21"/>
          <w:highlight w:val="none"/>
          <w:u w:val="none"/>
          <w:lang w:val="en-US" w:eastAsia="zh-CN"/>
        </w:rPr>
        <w:t>18</w:t>
      </w:r>
      <w:r>
        <w:rPr>
          <w:rFonts w:hint="eastAsia" w:ascii="宋体" w:hAnsi="宋体" w:eastAsia="宋体" w:cs="宋体"/>
          <w:color w:val="auto"/>
          <w:spacing w:val="0"/>
          <w:sz w:val="21"/>
          <w:szCs w:val="21"/>
          <w:highlight w:val="none"/>
          <w:u w:val="none"/>
          <w:lang w:val="en-US" w:eastAsia="zh-CN"/>
        </w:rPr>
        <w:t>日至2025年</w:t>
      </w:r>
      <w:r>
        <w:rPr>
          <w:rFonts w:hint="eastAsia" w:ascii="宋体" w:hAnsi="宋体" w:cs="宋体"/>
          <w:color w:val="auto"/>
          <w:spacing w:val="0"/>
          <w:sz w:val="21"/>
          <w:szCs w:val="21"/>
          <w:highlight w:val="none"/>
          <w:u w:val="none"/>
          <w:lang w:val="en-US" w:eastAsia="zh-CN"/>
        </w:rPr>
        <w:t>02</w:t>
      </w:r>
      <w:r>
        <w:rPr>
          <w:rFonts w:hint="eastAsia" w:ascii="宋体" w:hAnsi="宋体" w:eastAsia="宋体" w:cs="宋体"/>
          <w:color w:val="auto"/>
          <w:spacing w:val="0"/>
          <w:sz w:val="21"/>
          <w:szCs w:val="21"/>
          <w:highlight w:val="none"/>
          <w:u w:val="none"/>
          <w:lang w:val="en-US" w:eastAsia="zh-CN"/>
        </w:rPr>
        <w:t>月</w:t>
      </w:r>
      <w:r>
        <w:rPr>
          <w:rFonts w:hint="eastAsia" w:ascii="宋体" w:hAnsi="宋体" w:cs="宋体"/>
          <w:color w:val="auto"/>
          <w:spacing w:val="0"/>
          <w:sz w:val="21"/>
          <w:szCs w:val="21"/>
          <w:highlight w:val="none"/>
          <w:u w:val="none"/>
          <w:lang w:val="en-US" w:eastAsia="zh-CN"/>
        </w:rPr>
        <w:t>24</w:t>
      </w:r>
      <w:r>
        <w:rPr>
          <w:rFonts w:hint="eastAsia" w:ascii="宋体" w:hAnsi="宋体" w:eastAsia="宋体" w:cs="宋体"/>
          <w:color w:val="auto"/>
          <w:spacing w:val="0"/>
          <w:sz w:val="21"/>
          <w:szCs w:val="21"/>
          <w:highlight w:val="none"/>
          <w:u w:val="none"/>
          <w:lang w:val="en-US" w:eastAsia="zh-CN"/>
        </w:rPr>
        <w:t>日）。</w:t>
      </w:r>
    </w:p>
    <w:p w14:paraId="3B2D787F">
      <w:pPr>
        <w:pStyle w:val="3"/>
        <w:keepNext w:val="0"/>
        <w:keepLines w:val="0"/>
        <w:pageBreakBefore w:val="0"/>
        <w:widowControl w:val="0"/>
        <w:kinsoku w:val="0"/>
        <w:wordWrap/>
        <w:overflowPunct w:val="0"/>
        <w:topLinePunct w:val="0"/>
        <w:autoSpaceDE/>
        <w:autoSpaceDN/>
        <w:bidi w:val="0"/>
        <w:spacing w:before="0" w:after="0" w:line="520" w:lineRule="exact"/>
        <w:ind w:left="0" w:leftChars="0" w:firstLine="420" w:firstLineChars="200"/>
        <w:textAlignment w:val="auto"/>
        <w:rPr>
          <w:rFonts w:hint="eastAsia" w:ascii="黑体" w:hAnsi="黑体" w:eastAsia="黑体" w:cs="黑体"/>
          <w:b w:val="0"/>
          <w:color w:val="auto"/>
          <w:spacing w:val="0"/>
          <w:sz w:val="21"/>
          <w:szCs w:val="21"/>
        </w:rPr>
      </w:pPr>
      <w:bookmarkStart w:id="34" w:name="_Toc35393635"/>
      <w:bookmarkStart w:id="35" w:name="_Toc35393804"/>
      <w:r>
        <w:rPr>
          <w:rFonts w:hint="eastAsia" w:ascii="黑体" w:hAnsi="黑体" w:eastAsia="黑体" w:cs="黑体"/>
          <w:b w:val="0"/>
          <w:color w:val="auto"/>
          <w:spacing w:val="0"/>
          <w:sz w:val="21"/>
          <w:szCs w:val="21"/>
        </w:rPr>
        <w:t>七、其他补充事宜</w:t>
      </w:r>
      <w:bookmarkEnd w:id="34"/>
      <w:bookmarkEnd w:id="35"/>
    </w:p>
    <w:p w14:paraId="02944852">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bookmarkStart w:id="36" w:name="_Toc28359018"/>
      <w:bookmarkStart w:id="37" w:name="_Toc28359095"/>
      <w:bookmarkStart w:id="38" w:name="_Toc35393636"/>
      <w:bookmarkStart w:id="39" w:name="_Toc35393805"/>
      <w:r>
        <w:rPr>
          <w:rFonts w:hint="eastAsia" w:ascii="宋体" w:hAnsi="宋体" w:eastAsia="宋体" w:cs="宋体"/>
          <w:b w:val="0"/>
          <w:bCs w:val="0"/>
          <w:color w:val="auto"/>
          <w:spacing w:val="0"/>
          <w:kern w:val="2"/>
          <w:sz w:val="21"/>
          <w:szCs w:val="21"/>
          <w:lang w:val="en-US" w:eastAsia="zh-CN" w:bidi="ar-SA"/>
        </w:rPr>
        <w:t>1.开标方式：</w:t>
      </w:r>
      <w:r>
        <w:rPr>
          <w:rFonts w:hint="eastAsia" w:ascii="宋体" w:hAnsi="宋体" w:eastAsia="宋体" w:cs="宋体"/>
          <w:b w:val="0"/>
          <w:bCs w:val="0"/>
          <w:color w:val="auto"/>
          <w:spacing w:val="0"/>
          <w:kern w:val="2"/>
          <w:sz w:val="21"/>
          <w:szCs w:val="21"/>
          <w:u w:val="single"/>
          <w:lang w:val="en-US" w:eastAsia="zh-CN" w:bidi="ar-SA"/>
        </w:rPr>
        <w:t>网上开标</w:t>
      </w:r>
      <w:r>
        <w:rPr>
          <w:rFonts w:hint="eastAsia" w:ascii="宋体" w:hAnsi="宋体" w:eastAsia="宋体" w:cs="宋体"/>
          <w:b w:val="0"/>
          <w:bCs w:val="0"/>
          <w:color w:val="auto"/>
          <w:spacing w:val="0"/>
          <w:kern w:val="2"/>
          <w:sz w:val="21"/>
          <w:szCs w:val="21"/>
          <w:u w:val="none"/>
          <w:lang w:val="en-US" w:eastAsia="zh-CN" w:bidi="ar-SA"/>
        </w:rPr>
        <w:t>。</w:t>
      </w:r>
    </w:p>
    <w:p w14:paraId="4392D0CA">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2.是否需要缴纳磋商保证金：</w:t>
      </w:r>
      <w:r>
        <w:rPr>
          <w:rFonts w:hint="eastAsia" w:ascii="宋体" w:hAnsi="宋体" w:eastAsia="宋体" w:cs="宋体"/>
          <w:b w:val="0"/>
          <w:bCs w:val="0"/>
          <w:color w:val="auto"/>
          <w:spacing w:val="0"/>
          <w:kern w:val="2"/>
          <w:sz w:val="21"/>
          <w:szCs w:val="21"/>
          <w:u w:val="single"/>
          <w:lang w:val="en-US" w:eastAsia="zh-CN" w:bidi="ar-SA"/>
        </w:rPr>
        <w:t>是</w:t>
      </w:r>
      <w:r>
        <w:rPr>
          <w:rFonts w:hint="eastAsia" w:ascii="宋体" w:hAnsi="宋体" w:eastAsia="宋体" w:cs="宋体"/>
          <w:b w:val="0"/>
          <w:bCs w:val="0"/>
          <w:color w:val="auto"/>
          <w:spacing w:val="0"/>
          <w:kern w:val="2"/>
          <w:sz w:val="21"/>
          <w:szCs w:val="21"/>
          <w:u w:val="none"/>
          <w:lang w:val="en-US" w:eastAsia="zh-CN" w:bidi="ar-SA"/>
        </w:rPr>
        <w:t>。</w:t>
      </w:r>
    </w:p>
    <w:p w14:paraId="114D3910">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3.保证金缴纳金额(元)：</w:t>
      </w:r>
      <w:r>
        <w:rPr>
          <w:rFonts w:hint="eastAsia" w:ascii="宋体" w:eastAsia="宋体" w:cs="宋体"/>
          <w:b w:val="0"/>
          <w:bCs w:val="0"/>
          <w:color w:val="auto"/>
          <w:spacing w:val="0"/>
          <w:kern w:val="2"/>
          <w:sz w:val="21"/>
          <w:szCs w:val="21"/>
          <w:u w:val="single"/>
          <w:lang w:val="en-US" w:eastAsia="zh-CN" w:bidi="ar-SA"/>
        </w:rPr>
        <w:t>￥8000.00元（大写：捌仟元整）</w:t>
      </w:r>
      <w:r>
        <w:rPr>
          <w:rFonts w:hint="eastAsia" w:ascii="宋体" w:hAnsi="宋体" w:eastAsia="宋体" w:cs="宋体"/>
          <w:b w:val="0"/>
          <w:bCs w:val="0"/>
          <w:color w:val="auto"/>
          <w:spacing w:val="0"/>
          <w:kern w:val="2"/>
          <w:sz w:val="21"/>
          <w:szCs w:val="21"/>
          <w:u w:val="none"/>
          <w:lang w:val="en-US" w:eastAsia="zh-CN" w:bidi="ar-SA"/>
        </w:rPr>
        <w:t>。</w:t>
      </w:r>
    </w:p>
    <w:p w14:paraId="1CCE86C0">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4.保证金缴纳方式：</w:t>
      </w:r>
      <w:r>
        <w:rPr>
          <w:rFonts w:hint="eastAsia" w:ascii="宋体" w:hAnsi="宋体" w:eastAsia="宋体" w:cs="宋体"/>
          <w:b w:val="0"/>
          <w:bCs w:val="0"/>
          <w:color w:val="auto"/>
          <w:spacing w:val="0"/>
          <w:kern w:val="2"/>
          <w:sz w:val="21"/>
          <w:szCs w:val="21"/>
          <w:u w:val="single"/>
          <w:lang w:val="en-US" w:eastAsia="zh-CN" w:bidi="ar-SA"/>
        </w:rPr>
        <w:t>支票、汇票、本票、保函、保证保险、银行转账或电汇等非现金形式</w:t>
      </w:r>
      <w:r>
        <w:rPr>
          <w:rFonts w:hint="eastAsia" w:ascii="宋体" w:hAnsi="宋体" w:eastAsia="宋体" w:cs="宋体"/>
          <w:b w:val="0"/>
          <w:bCs w:val="0"/>
          <w:color w:val="auto"/>
          <w:spacing w:val="0"/>
          <w:kern w:val="2"/>
          <w:sz w:val="21"/>
          <w:szCs w:val="21"/>
          <w:u w:val="none"/>
          <w:lang w:val="en-US" w:eastAsia="zh-CN" w:bidi="ar-SA"/>
        </w:rPr>
        <w:t>。</w:t>
      </w:r>
    </w:p>
    <w:p w14:paraId="61DA8A73">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5.保证金缴纳账户及开户行：</w:t>
      </w:r>
    </w:p>
    <w:p w14:paraId="618F967D">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5.1账户名称：</w:t>
      </w:r>
      <w:r>
        <w:rPr>
          <w:rFonts w:hint="eastAsia" w:ascii="宋体" w:eastAsia="宋体" w:cs="宋体"/>
          <w:b w:val="0"/>
          <w:bCs w:val="0"/>
          <w:color w:val="auto"/>
          <w:spacing w:val="0"/>
          <w:kern w:val="2"/>
          <w:sz w:val="21"/>
          <w:szCs w:val="21"/>
          <w:lang w:val="en-US" w:eastAsia="zh-CN" w:bidi="ar-SA"/>
        </w:rPr>
        <w:t>云南行行工程项目管理有限公司</w:t>
      </w:r>
    </w:p>
    <w:p w14:paraId="4684879E">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5.2开 户 行：</w:t>
      </w:r>
      <w:r>
        <w:rPr>
          <w:rFonts w:hint="eastAsia" w:ascii="宋体" w:eastAsia="宋体" w:cs="宋体"/>
          <w:b w:val="0"/>
          <w:color w:val="auto"/>
          <w:spacing w:val="0"/>
          <w:kern w:val="2"/>
          <w:sz w:val="21"/>
          <w:szCs w:val="21"/>
          <w:lang w:val="en-US" w:eastAsia="zh-CN" w:bidi="ar-SA"/>
        </w:rPr>
        <w:t>中国工商银行股份有限公司保山祥和支行</w:t>
      </w:r>
    </w:p>
    <w:p w14:paraId="4D8D5CAD">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5.3账    号：2510020809200027079</w:t>
      </w:r>
    </w:p>
    <w:p w14:paraId="18574D9A">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6.保证金缴纳截止时间：</w:t>
      </w:r>
      <w:r>
        <w:rPr>
          <w:rFonts w:hint="eastAsia" w:ascii="宋体" w:hAnsi="宋体" w:eastAsia="宋体" w:cs="宋体"/>
          <w:b w:val="0"/>
          <w:bCs w:val="0"/>
          <w:color w:val="auto"/>
          <w:spacing w:val="0"/>
          <w:kern w:val="2"/>
          <w:sz w:val="21"/>
          <w:szCs w:val="21"/>
          <w:u w:val="single"/>
          <w:lang w:val="en-US" w:eastAsia="zh-CN" w:bidi="ar-SA"/>
        </w:rPr>
        <w:t>同响应文件递交截止时间</w:t>
      </w:r>
      <w:r>
        <w:rPr>
          <w:rFonts w:hint="eastAsia" w:ascii="宋体" w:hAnsi="宋体" w:eastAsia="宋体" w:cs="宋体"/>
          <w:b w:val="0"/>
          <w:bCs w:val="0"/>
          <w:color w:val="auto"/>
          <w:spacing w:val="0"/>
          <w:kern w:val="2"/>
          <w:sz w:val="21"/>
          <w:szCs w:val="21"/>
          <w:u w:val="none"/>
          <w:lang w:val="en-US" w:eastAsia="zh-CN" w:bidi="ar-SA"/>
        </w:rPr>
        <w:t>。</w:t>
      </w:r>
    </w:p>
    <w:p w14:paraId="774E6A2A">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7.其他：</w:t>
      </w:r>
    </w:p>
    <w:p w14:paraId="1CD4636D">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eastAsia="宋体" w:cs="宋体"/>
          <w:b w:val="0"/>
          <w:bCs w:val="0"/>
          <w:color w:val="auto"/>
          <w:spacing w:val="0"/>
          <w:kern w:val="2"/>
          <w:sz w:val="21"/>
          <w:szCs w:val="21"/>
          <w:lang w:val="en-US" w:eastAsia="zh-CN" w:bidi="ar-SA"/>
        </w:rPr>
      </w:pPr>
      <w:r>
        <w:rPr>
          <w:rFonts w:hint="eastAsia" w:ascii="宋体" w:eastAsia="宋体" w:cs="宋体"/>
          <w:b w:val="0"/>
          <w:bCs w:val="0"/>
          <w:color w:val="auto"/>
          <w:spacing w:val="0"/>
          <w:kern w:val="2"/>
          <w:sz w:val="21"/>
          <w:szCs w:val="21"/>
          <w:lang w:val="en-US" w:eastAsia="zh-CN" w:bidi="ar-SA"/>
        </w:rPr>
        <w:t>7.1质量要求：</w:t>
      </w:r>
    </w:p>
    <w:p w14:paraId="0CEB6038">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eastAsia="宋体" w:cs="宋体"/>
          <w:b w:val="0"/>
          <w:bCs w:val="0"/>
          <w:color w:val="auto"/>
          <w:spacing w:val="0"/>
          <w:kern w:val="2"/>
          <w:sz w:val="21"/>
          <w:szCs w:val="21"/>
          <w:lang w:val="en-US" w:eastAsia="zh-CN" w:bidi="ar-SA"/>
        </w:rPr>
      </w:pPr>
      <w:r>
        <w:rPr>
          <w:rFonts w:hint="eastAsia" w:ascii="宋体" w:eastAsia="宋体" w:cs="宋体"/>
          <w:b w:val="0"/>
          <w:bCs w:val="0"/>
          <w:color w:val="auto"/>
          <w:spacing w:val="0"/>
          <w:kern w:val="2"/>
          <w:sz w:val="21"/>
          <w:szCs w:val="21"/>
          <w:lang w:val="en-US" w:eastAsia="zh-CN" w:bidi="ar-SA"/>
        </w:rPr>
        <w:t>（1）设计的质量要求：设计成果符合国家、行业及地方现行的相关标准及规范，满足招标人就本项目提出的要求，并通过备案。</w:t>
      </w:r>
    </w:p>
    <w:p w14:paraId="0A4E9F5D">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eastAsia="宋体" w:cs="宋体"/>
          <w:b w:val="0"/>
          <w:bCs w:val="0"/>
          <w:color w:val="auto"/>
          <w:spacing w:val="0"/>
          <w:kern w:val="2"/>
          <w:sz w:val="21"/>
          <w:szCs w:val="21"/>
          <w:lang w:val="en-US" w:eastAsia="zh-CN" w:bidi="ar-SA"/>
        </w:rPr>
      </w:pPr>
      <w:r>
        <w:rPr>
          <w:rFonts w:hint="eastAsia" w:ascii="宋体" w:eastAsia="宋体" w:cs="宋体"/>
          <w:b w:val="0"/>
          <w:bCs w:val="0"/>
          <w:color w:val="auto"/>
          <w:spacing w:val="0"/>
          <w:kern w:val="2"/>
          <w:sz w:val="21"/>
          <w:szCs w:val="21"/>
          <w:lang w:val="en-US" w:eastAsia="zh-CN" w:bidi="ar-SA"/>
        </w:rPr>
        <w:t>（2）施工质量要求：符合国家、行业及地方现行的相关标准及规范，并通过相关部门的验收，确保一次性验收合格。</w:t>
      </w:r>
    </w:p>
    <w:p w14:paraId="6FFAD216">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eastAsia="宋体" w:cs="宋体"/>
          <w:b w:val="0"/>
          <w:bCs w:val="0"/>
          <w:color w:val="auto"/>
          <w:spacing w:val="0"/>
          <w:kern w:val="2"/>
          <w:sz w:val="21"/>
          <w:szCs w:val="21"/>
          <w:lang w:val="en-US" w:eastAsia="zh-CN" w:bidi="ar-SA"/>
        </w:rPr>
      </w:pPr>
      <w:r>
        <w:rPr>
          <w:rFonts w:hint="eastAsia" w:ascii="宋体" w:eastAsia="宋体" w:cs="宋体"/>
          <w:b w:val="0"/>
          <w:bCs w:val="0"/>
          <w:color w:val="auto"/>
          <w:spacing w:val="0"/>
          <w:kern w:val="2"/>
          <w:sz w:val="21"/>
          <w:szCs w:val="21"/>
          <w:lang w:val="en-US" w:eastAsia="zh-CN" w:bidi="ar-SA"/>
        </w:rPr>
        <w:t>注：在项目实施过程中如有相关规范及标准调整，按最新执行的规范及标准执行。</w:t>
      </w:r>
    </w:p>
    <w:p w14:paraId="7FC9C305">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7.</w:t>
      </w:r>
      <w:r>
        <w:rPr>
          <w:rFonts w:hint="eastAsia" w:ascii="宋体" w:eastAsia="宋体" w:cs="宋体"/>
          <w:b w:val="0"/>
          <w:bCs w:val="0"/>
          <w:color w:val="auto"/>
          <w:spacing w:val="0"/>
          <w:kern w:val="2"/>
          <w:sz w:val="21"/>
          <w:szCs w:val="21"/>
          <w:lang w:val="en-US" w:eastAsia="zh-CN" w:bidi="ar-SA"/>
        </w:rPr>
        <w:t>2</w:t>
      </w:r>
      <w:r>
        <w:rPr>
          <w:rFonts w:hint="eastAsia" w:ascii="宋体" w:hAnsi="宋体" w:eastAsia="宋体" w:cs="宋体"/>
          <w:b w:val="0"/>
          <w:bCs w:val="0"/>
          <w:color w:val="auto"/>
          <w:spacing w:val="0"/>
          <w:kern w:val="2"/>
          <w:sz w:val="21"/>
          <w:szCs w:val="21"/>
          <w:lang w:val="en-US" w:eastAsia="zh-CN" w:bidi="ar-SA"/>
        </w:rPr>
        <w:t>本次竞争性磋商公告在“云南省政府采购网”和“政采云平台”上发布，采购人及采购代理机构对其他网站发布或转载的公告内容不承担任何责任。</w:t>
      </w:r>
    </w:p>
    <w:p w14:paraId="5CF0C893">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7.</w:t>
      </w:r>
      <w:r>
        <w:rPr>
          <w:rFonts w:hint="eastAsia" w:ascii="宋体" w:eastAsia="宋体" w:cs="宋体"/>
          <w:b w:val="0"/>
          <w:bCs w:val="0"/>
          <w:color w:val="auto"/>
          <w:spacing w:val="0"/>
          <w:kern w:val="2"/>
          <w:sz w:val="21"/>
          <w:szCs w:val="21"/>
          <w:lang w:val="en-US" w:eastAsia="zh-CN" w:bidi="ar-SA"/>
        </w:rPr>
        <w:t>3</w:t>
      </w:r>
      <w:r>
        <w:rPr>
          <w:rFonts w:hint="eastAsia" w:ascii="宋体" w:hAnsi="宋体" w:eastAsia="宋体" w:cs="宋体"/>
          <w:b w:val="0"/>
          <w:bCs w:val="0"/>
          <w:color w:val="auto"/>
          <w:spacing w:val="0"/>
          <w:kern w:val="2"/>
          <w:sz w:val="21"/>
          <w:szCs w:val="21"/>
          <w:lang w:val="en-US" w:eastAsia="zh-CN" w:bidi="ar-SA"/>
        </w:rPr>
        <w:t>本项目执行政府采购促进中小企业发展、支持监狱企业、促进残疾人就业、强制采购和优先采购节能、环保产品等政府采购政策。</w:t>
      </w:r>
    </w:p>
    <w:p w14:paraId="18028780">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7.</w:t>
      </w:r>
      <w:r>
        <w:rPr>
          <w:rFonts w:hint="eastAsia" w:ascii="宋体" w:eastAsia="宋体" w:cs="宋体"/>
          <w:b w:val="0"/>
          <w:bCs w:val="0"/>
          <w:color w:val="auto"/>
          <w:spacing w:val="0"/>
          <w:kern w:val="2"/>
          <w:sz w:val="21"/>
          <w:szCs w:val="21"/>
          <w:lang w:val="en-US" w:eastAsia="zh-CN" w:bidi="ar-SA"/>
        </w:rPr>
        <w:t>4</w:t>
      </w:r>
      <w:r>
        <w:rPr>
          <w:rFonts w:hint="eastAsia" w:ascii="宋体" w:hAnsi="宋体" w:eastAsia="宋体" w:cs="宋体"/>
          <w:b w:val="0"/>
          <w:bCs w:val="0"/>
          <w:color w:val="auto"/>
          <w:spacing w:val="0"/>
          <w:kern w:val="2"/>
          <w:sz w:val="21"/>
          <w:szCs w:val="21"/>
          <w:lang w:val="en-US" w:eastAsia="zh-CN" w:bidi="ar-SA"/>
        </w:rPr>
        <w:t>本项目实行网上投标，采用电子</w:t>
      </w:r>
      <w:r>
        <w:rPr>
          <w:rFonts w:hint="eastAsia" w:ascii="宋体" w:eastAsia="宋体" w:cs="宋体"/>
          <w:b w:val="0"/>
          <w:bCs w:val="0"/>
          <w:color w:val="auto"/>
          <w:spacing w:val="0"/>
          <w:kern w:val="2"/>
          <w:sz w:val="21"/>
          <w:szCs w:val="21"/>
          <w:lang w:val="en-US" w:eastAsia="zh-CN" w:bidi="ar-SA"/>
        </w:rPr>
        <w:t>磋商申请文件</w:t>
      </w:r>
      <w:r>
        <w:rPr>
          <w:rFonts w:hint="eastAsia" w:ascii="宋体" w:hAnsi="宋体" w:eastAsia="宋体" w:cs="宋体"/>
          <w:b w:val="0"/>
          <w:bCs w:val="0"/>
          <w:color w:val="auto"/>
          <w:spacing w:val="0"/>
          <w:kern w:val="2"/>
          <w:sz w:val="21"/>
          <w:szCs w:val="21"/>
          <w:lang w:val="en-US" w:eastAsia="zh-CN" w:bidi="ar-SA"/>
        </w:rPr>
        <w:t>；</w:t>
      </w:r>
    </w:p>
    <w:p w14:paraId="54B27590">
      <w:pPr>
        <w:pStyle w:val="3"/>
        <w:keepNext w:val="0"/>
        <w:keepLines w:val="0"/>
        <w:pageBreakBefore w:val="0"/>
        <w:widowControl w:val="0"/>
        <w:numPr>
          <w:ilvl w:val="0"/>
          <w:numId w:val="0"/>
        </w:numPr>
        <w:kinsoku/>
        <w:wordWrap w:val="0"/>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bCs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7.</w:t>
      </w:r>
      <w:r>
        <w:rPr>
          <w:rFonts w:hint="eastAsia" w:ascii="宋体" w:eastAsia="宋体" w:cs="宋体"/>
          <w:b w:val="0"/>
          <w:bCs w:val="0"/>
          <w:color w:val="auto"/>
          <w:spacing w:val="0"/>
          <w:kern w:val="2"/>
          <w:sz w:val="21"/>
          <w:szCs w:val="21"/>
          <w:lang w:val="en-US" w:eastAsia="zh-CN" w:bidi="ar-SA"/>
        </w:rPr>
        <w:t>5</w:t>
      </w:r>
      <w:r>
        <w:rPr>
          <w:rFonts w:hint="eastAsia" w:ascii="宋体" w:hAnsi="宋体" w:eastAsia="宋体" w:cs="宋体"/>
          <w:b w:val="0"/>
          <w:bCs w:val="0"/>
          <w:color w:val="auto"/>
          <w:spacing w:val="0"/>
          <w:kern w:val="2"/>
          <w:sz w:val="21"/>
          <w:szCs w:val="21"/>
          <w:lang w:val="en-US" w:eastAsia="zh-CN" w:bidi="ar-SA"/>
        </w:rPr>
        <w:t>各申请人应在开标前应确保成为政采云平台申请人，并完成CA数字证书申领。因未注册入库、未办理CA数字证书等原因造成无法投标或投标失败等后果由申请人自行承担。凡有意参加投标的磋商申请人，须在政采云平台办理数字证书（CA）CA申领链接：https://middle.zcygov.cn/ca/apply/list?_app_=zcy.sys，并通过政采云绑定数字证书（CA）后在网上获取采购文件及其它采购资料，数字证书（CA）详见其办理流程；</w:t>
      </w:r>
    </w:p>
    <w:p w14:paraId="4364BDFF">
      <w:pPr>
        <w:pStyle w:val="3"/>
        <w:keepNext w:val="0"/>
        <w:keepLines w:val="0"/>
        <w:pageBreakBefore w:val="0"/>
        <w:widowControl w:val="0"/>
        <w:numPr>
          <w:ilvl w:val="0"/>
          <w:numId w:val="0"/>
        </w:numPr>
        <w:kinsoku w:val="0"/>
        <w:wordWrap/>
        <w:overflowPunct w:val="0"/>
        <w:topLinePunct w:val="0"/>
        <w:autoSpaceDE/>
        <w:autoSpaceDN/>
        <w:bidi w:val="0"/>
        <w:adjustRightInd/>
        <w:snapToGrid/>
        <w:spacing w:before="0" w:after="0" w:line="520" w:lineRule="exact"/>
        <w:ind w:leftChars="0" w:firstLine="420" w:firstLineChars="200"/>
        <w:textAlignment w:val="auto"/>
        <w:rPr>
          <w:rFonts w:hint="eastAsia" w:ascii="宋体" w:hAnsi="宋体" w:eastAsia="宋体" w:cs="宋体"/>
          <w:b w:val="0"/>
          <w:color w:val="auto"/>
          <w:spacing w:val="0"/>
          <w:kern w:val="2"/>
          <w:sz w:val="21"/>
          <w:szCs w:val="21"/>
          <w:lang w:val="en-US" w:eastAsia="zh-CN" w:bidi="ar-SA"/>
        </w:rPr>
      </w:pPr>
      <w:r>
        <w:rPr>
          <w:rFonts w:hint="eastAsia" w:ascii="宋体" w:hAnsi="宋体" w:eastAsia="宋体" w:cs="宋体"/>
          <w:b w:val="0"/>
          <w:bCs w:val="0"/>
          <w:color w:val="auto"/>
          <w:spacing w:val="0"/>
          <w:kern w:val="2"/>
          <w:sz w:val="21"/>
          <w:szCs w:val="21"/>
          <w:lang w:val="en-US" w:eastAsia="zh-CN" w:bidi="ar-SA"/>
        </w:rPr>
        <w:t>7.</w:t>
      </w:r>
      <w:r>
        <w:rPr>
          <w:rFonts w:hint="eastAsia" w:ascii="宋体" w:eastAsia="宋体" w:cs="宋体"/>
          <w:b w:val="0"/>
          <w:bCs w:val="0"/>
          <w:color w:val="auto"/>
          <w:spacing w:val="0"/>
          <w:kern w:val="2"/>
          <w:sz w:val="21"/>
          <w:szCs w:val="21"/>
          <w:lang w:val="en-US" w:eastAsia="zh-CN" w:bidi="ar-SA"/>
        </w:rPr>
        <w:t>6</w:t>
      </w:r>
      <w:r>
        <w:rPr>
          <w:rFonts w:hint="eastAsia" w:ascii="宋体" w:hAnsi="宋体" w:eastAsia="宋体" w:cs="宋体"/>
          <w:b w:val="0"/>
          <w:bCs w:val="0"/>
          <w:color w:val="auto"/>
          <w:spacing w:val="0"/>
          <w:kern w:val="2"/>
          <w:sz w:val="21"/>
          <w:szCs w:val="21"/>
          <w:lang w:val="en-US" w:eastAsia="zh-CN" w:bidi="ar-SA"/>
        </w:rPr>
        <w:t>申请人将政采云电子交易客户端下载、安装完成后，可通过账号密码或CA登录客户端进行</w:t>
      </w:r>
      <w:r>
        <w:rPr>
          <w:rFonts w:hint="eastAsia" w:ascii="宋体" w:eastAsia="宋体" w:cs="宋体"/>
          <w:b w:val="0"/>
          <w:bCs w:val="0"/>
          <w:color w:val="auto"/>
          <w:spacing w:val="0"/>
          <w:kern w:val="2"/>
          <w:sz w:val="21"/>
          <w:szCs w:val="21"/>
          <w:lang w:val="en-US" w:eastAsia="zh-CN" w:bidi="ar-SA"/>
        </w:rPr>
        <w:t>磋商申请文件</w:t>
      </w:r>
      <w:r>
        <w:rPr>
          <w:rFonts w:hint="eastAsia" w:ascii="宋体" w:hAnsi="宋体" w:eastAsia="宋体" w:cs="宋体"/>
          <w:b w:val="0"/>
          <w:bCs w:val="0"/>
          <w:color w:val="auto"/>
          <w:spacing w:val="0"/>
          <w:kern w:val="2"/>
          <w:sz w:val="21"/>
          <w:szCs w:val="21"/>
          <w:lang w:val="en-US" w:eastAsia="zh-CN" w:bidi="ar-SA"/>
        </w:rPr>
        <w:t>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申请人自身原因导致在规定时间内无法正常解密的（如：浏览器故障、未安装相关驱动、网络故障、加密CA与解密CA不一致等），代理机构不予异常处理，视为申请人自动弃标。</w:t>
      </w:r>
    </w:p>
    <w:p w14:paraId="6D6A92B3">
      <w:pPr>
        <w:pStyle w:val="3"/>
        <w:keepNext w:val="0"/>
        <w:keepLines w:val="0"/>
        <w:pageBreakBefore w:val="0"/>
        <w:widowControl w:val="0"/>
        <w:kinsoku w:val="0"/>
        <w:wordWrap/>
        <w:overflowPunct w:val="0"/>
        <w:topLinePunct w:val="0"/>
        <w:autoSpaceDE/>
        <w:autoSpaceDN/>
        <w:bidi w:val="0"/>
        <w:spacing w:before="0" w:after="0" w:line="520" w:lineRule="exact"/>
        <w:ind w:left="0" w:leftChars="0" w:firstLine="420" w:firstLineChars="200"/>
        <w:textAlignment w:val="auto"/>
        <w:rPr>
          <w:rFonts w:hint="eastAsia" w:ascii="黑体" w:hAnsi="黑体" w:eastAsia="黑体" w:cs="黑体"/>
          <w:b w:val="0"/>
          <w:color w:val="auto"/>
          <w:spacing w:val="0"/>
          <w:sz w:val="21"/>
          <w:szCs w:val="21"/>
        </w:rPr>
      </w:pPr>
      <w:r>
        <w:rPr>
          <w:rFonts w:hint="eastAsia" w:ascii="黑体" w:hAnsi="黑体" w:eastAsia="黑体" w:cs="黑体"/>
          <w:b w:val="0"/>
          <w:bCs w:val="0"/>
          <w:color w:val="auto"/>
          <w:spacing w:val="0"/>
          <w:kern w:val="2"/>
          <w:sz w:val="21"/>
          <w:szCs w:val="21"/>
          <w:lang w:val="en-US" w:eastAsia="zh-CN" w:bidi="ar-SA"/>
        </w:rPr>
        <w:t>八、</w:t>
      </w:r>
      <w:r>
        <w:rPr>
          <w:rFonts w:hint="eastAsia" w:ascii="黑体" w:hAnsi="黑体" w:eastAsia="黑体" w:cs="黑体"/>
          <w:b w:val="0"/>
          <w:color w:val="auto"/>
          <w:spacing w:val="0"/>
          <w:sz w:val="21"/>
          <w:szCs w:val="21"/>
        </w:rPr>
        <w:t>凡对本次采购提出询问，请按以下方式联系</w:t>
      </w:r>
      <w:bookmarkEnd w:id="36"/>
      <w:bookmarkEnd w:id="37"/>
      <w:bookmarkEnd w:id="38"/>
      <w:bookmarkEnd w:id="39"/>
    </w:p>
    <w:p w14:paraId="174507B3">
      <w:pPr>
        <w:pStyle w:val="9"/>
        <w:keepNext w:val="0"/>
        <w:keepLines w:val="0"/>
        <w:pageBreakBefore w:val="0"/>
        <w:widowControl w:val="0"/>
        <w:wordWrap/>
        <w:topLinePunct w:val="0"/>
        <w:autoSpaceDE/>
        <w:autoSpaceDN/>
        <w:bidi w:val="0"/>
        <w:spacing w:line="480" w:lineRule="exact"/>
        <w:ind w:firstLine="420" w:firstLineChars="200"/>
        <w:textAlignment w:val="auto"/>
        <w:rPr>
          <w:rFonts w:hint="eastAsia" w:ascii="宋体" w:hAnsi="宋体" w:eastAsia="宋体" w:cs="宋体"/>
          <w:b w:val="0"/>
          <w:bCs w:val="0"/>
          <w:color w:val="auto"/>
          <w:spacing w:val="0"/>
          <w:sz w:val="21"/>
          <w:szCs w:val="21"/>
          <w:lang w:val="en-US" w:eastAsia="zh-CN" w:bidi="ar-SA"/>
        </w:rPr>
      </w:pPr>
      <w:r>
        <w:rPr>
          <w:rFonts w:hint="eastAsia" w:ascii="宋体" w:hAnsi="宋体" w:eastAsia="宋体" w:cs="宋体"/>
          <w:b w:val="0"/>
          <w:bCs w:val="0"/>
          <w:color w:val="auto"/>
          <w:spacing w:val="0"/>
          <w:sz w:val="21"/>
          <w:szCs w:val="21"/>
          <w:lang w:val="en-US" w:eastAsia="zh-CN" w:bidi="ar-SA"/>
        </w:rPr>
        <w:t>1.采购人信息</w:t>
      </w:r>
    </w:p>
    <w:p w14:paraId="10053C2F">
      <w:pPr>
        <w:pStyle w:val="9"/>
        <w:keepNext w:val="0"/>
        <w:keepLines w:val="0"/>
        <w:pageBreakBefore w:val="0"/>
        <w:widowControl w:val="0"/>
        <w:wordWrap/>
        <w:topLinePunct w:val="0"/>
        <w:autoSpaceDE/>
        <w:autoSpaceDN/>
        <w:bidi w:val="0"/>
        <w:spacing w:line="480" w:lineRule="exact"/>
        <w:ind w:firstLine="420" w:firstLineChars="200"/>
        <w:textAlignment w:val="auto"/>
        <w:rPr>
          <w:rFonts w:hint="eastAsia" w:ascii="宋体" w:hAnsi="宋体" w:eastAsia="宋体" w:cs="宋体"/>
          <w:b w:val="0"/>
          <w:bCs w:val="0"/>
          <w:color w:val="auto"/>
          <w:spacing w:val="0"/>
          <w:sz w:val="21"/>
          <w:szCs w:val="21"/>
          <w:lang w:val="en-US" w:eastAsia="zh-CN" w:bidi="ar-SA"/>
        </w:rPr>
      </w:pPr>
      <w:r>
        <w:rPr>
          <w:rFonts w:hint="eastAsia" w:ascii="宋体" w:hAnsi="宋体" w:eastAsia="宋体" w:cs="宋体"/>
          <w:b w:val="0"/>
          <w:bCs w:val="0"/>
          <w:color w:val="auto"/>
          <w:spacing w:val="0"/>
          <w:sz w:val="21"/>
          <w:szCs w:val="21"/>
          <w:lang w:val="en-US" w:eastAsia="zh-CN" w:bidi="ar-SA"/>
        </w:rPr>
        <w:t>名 称：怒江傈僳族自治州动物疫病预防控制中心</w:t>
      </w:r>
    </w:p>
    <w:p w14:paraId="66E1DEA7">
      <w:pPr>
        <w:pStyle w:val="9"/>
        <w:keepNext w:val="0"/>
        <w:keepLines w:val="0"/>
        <w:pageBreakBefore w:val="0"/>
        <w:widowControl w:val="0"/>
        <w:wordWrap/>
        <w:topLinePunct w:val="0"/>
        <w:autoSpaceDE/>
        <w:autoSpaceDN/>
        <w:bidi w:val="0"/>
        <w:spacing w:line="480" w:lineRule="exact"/>
        <w:ind w:firstLine="420" w:firstLineChars="200"/>
        <w:textAlignment w:val="auto"/>
        <w:rPr>
          <w:rFonts w:hint="eastAsia" w:ascii="宋体" w:hAnsi="宋体" w:eastAsia="宋体" w:cs="宋体"/>
          <w:b w:val="0"/>
          <w:bCs w:val="0"/>
          <w:color w:val="auto"/>
          <w:spacing w:val="0"/>
          <w:sz w:val="21"/>
          <w:szCs w:val="21"/>
          <w:lang w:val="en-US" w:eastAsia="zh-CN" w:bidi="ar-SA"/>
        </w:rPr>
      </w:pPr>
      <w:r>
        <w:rPr>
          <w:rFonts w:hint="eastAsia" w:ascii="宋体" w:hAnsi="宋体" w:eastAsia="宋体" w:cs="宋体"/>
          <w:b w:val="0"/>
          <w:bCs w:val="0"/>
          <w:color w:val="auto"/>
          <w:spacing w:val="0"/>
          <w:sz w:val="21"/>
          <w:szCs w:val="21"/>
          <w:lang w:val="en-US" w:eastAsia="zh-CN" w:bidi="ar-SA"/>
        </w:rPr>
        <w:t xml:space="preserve">地 址：怒江州泸水市大练地街道怒江大道381号 </w:t>
      </w:r>
    </w:p>
    <w:p w14:paraId="5FAFF77A">
      <w:pPr>
        <w:pStyle w:val="9"/>
        <w:keepNext w:val="0"/>
        <w:keepLines w:val="0"/>
        <w:pageBreakBefore w:val="0"/>
        <w:widowControl w:val="0"/>
        <w:wordWrap/>
        <w:topLinePunct w:val="0"/>
        <w:autoSpaceDE/>
        <w:autoSpaceDN/>
        <w:bidi w:val="0"/>
        <w:spacing w:line="480" w:lineRule="exact"/>
        <w:ind w:firstLine="420" w:firstLineChars="200"/>
        <w:textAlignment w:val="auto"/>
        <w:rPr>
          <w:rFonts w:hint="eastAsia" w:ascii="宋体" w:hAnsi="宋体" w:eastAsia="宋体" w:cs="宋体"/>
          <w:b w:val="0"/>
          <w:bCs w:val="0"/>
          <w:color w:val="auto"/>
          <w:spacing w:val="0"/>
          <w:sz w:val="21"/>
          <w:szCs w:val="21"/>
          <w:lang w:val="en-US" w:eastAsia="zh-CN" w:bidi="ar-SA"/>
        </w:rPr>
      </w:pPr>
      <w:r>
        <w:rPr>
          <w:rFonts w:hint="eastAsia" w:ascii="宋体" w:hAnsi="宋体" w:eastAsia="宋体" w:cs="宋体"/>
          <w:b w:val="0"/>
          <w:bCs w:val="0"/>
          <w:color w:val="auto"/>
          <w:spacing w:val="0"/>
          <w:sz w:val="21"/>
          <w:szCs w:val="21"/>
          <w:lang w:val="en-US" w:eastAsia="zh-CN" w:bidi="ar-SA"/>
        </w:rPr>
        <w:t>联系方式：</w:t>
      </w:r>
      <w:bookmarkStart w:id="40" w:name="_Toc28359009"/>
      <w:bookmarkStart w:id="41" w:name="_Toc28359086"/>
      <w:r>
        <w:rPr>
          <w:rFonts w:hint="eastAsia" w:ascii="宋体" w:hAnsi="宋体" w:eastAsia="宋体" w:cs="宋体"/>
          <w:b w:val="0"/>
          <w:bCs w:val="0"/>
          <w:color w:val="auto"/>
          <w:spacing w:val="0"/>
          <w:sz w:val="21"/>
          <w:szCs w:val="21"/>
          <w:lang w:val="en-US" w:eastAsia="zh-CN" w:bidi="ar-SA"/>
        </w:rPr>
        <w:t>0886-3625558</w:t>
      </w:r>
    </w:p>
    <w:p w14:paraId="60516917">
      <w:pPr>
        <w:pStyle w:val="9"/>
        <w:keepNext w:val="0"/>
        <w:keepLines w:val="0"/>
        <w:pageBreakBefore w:val="0"/>
        <w:widowControl w:val="0"/>
        <w:wordWrap/>
        <w:topLinePunct w:val="0"/>
        <w:autoSpaceDE/>
        <w:autoSpaceDN/>
        <w:bidi w:val="0"/>
        <w:spacing w:line="480" w:lineRule="exact"/>
        <w:ind w:firstLine="420" w:firstLineChars="200"/>
        <w:textAlignment w:val="auto"/>
        <w:rPr>
          <w:rFonts w:hint="eastAsia" w:ascii="宋体" w:hAnsi="宋体" w:eastAsia="宋体" w:cs="宋体"/>
          <w:b w:val="0"/>
          <w:bCs w:val="0"/>
          <w:color w:val="auto"/>
          <w:spacing w:val="0"/>
          <w:sz w:val="21"/>
          <w:szCs w:val="21"/>
          <w:lang w:val="en-US" w:eastAsia="zh-CN" w:bidi="ar-SA"/>
        </w:rPr>
      </w:pPr>
      <w:r>
        <w:rPr>
          <w:rFonts w:hint="eastAsia" w:ascii="宋体" w:hAnsi="宋体" w:eastAsia="宋体" w:cs="宋体"/>
          <w:b w:val="0"/>
          <w:bCs w:val="0"/>
          <w:color w:val="auto"/>
          <w:spacing w:val="0"/>
          <w:sz w:val="21"/>
          <w:szCs w:val="21"/>
          <w:lang w:val="en-US" w:eastAsia="zh-CN" w:bidi="ar-SA"/>
        </w:rPr>
        <w:t>2.采购代理机构信息</w:t>
      </w:r>
      <w:bookmarkEnd w:id="40"/>
      <w:bookmarkEnd w:id="41"/>
    </w:p>
    <w:p w14:paraId="54DCD732">
      <w:pPr>
        <w:pStyle w:val="9"/>
        <w:keepNext w:val="0"/>
        <w:keepLines w:val="0"/>
        <w:pageBreakBefore w:val="0"/>
        <w:widowControl w:val="0"/>
        <w:wordWrap/>
        <w:topLinePunct w:val="0"/>
        <w:autoSpaceDE/>
        <w:autoSpaceDN/>
        <w:bidi w:val="0"/>
        <w:spacing w:line="480" w:lineRule="exact"/>
        <w:ind w:firstLine="420" w:firstLineChars="200"/>
        <w:textAlignment w:val="auto"/>
        <w:rPr>
          <w:rFonts w:hint="eastAsia" w:ascii="宋体" w:hAnsi="宋体" w:eastAsia="宋体" w:cs="宋体"/>
          <w:b w:val="0"/>
          <w:bCs w:val="0"/>
          <w:color w:val="auto"/>
          <w:spacing w:val="0"/>
          <w:sz w:val="21"/>
          <w:szCs w:val="21"/>
          <w:lang w:val="en-US" w:eastAsia="zh-CN" w:bidi="ar-SA"/>
        </w:rPr>
      </w:pPr>
      <w:r>
        <w:rPr>
          <w:rFonts w:hint="eastAsia" w:ascii="宋体" w:hAnsi="宋体" w:eastAsia="宋体" w:cs="宋体"/>
          <w:b w:val="0"/>
          <w:bCs w:val="0"/>
          <w:color w:val="auto"/>
          <w:spacing w:val="0"/>
          <w:sz w:val="21"/>
          <w:szCs w:val="21"/>
          <w:lang w:val="en-US" w:eastAsia="zh-CN" w:bidi="ar-SA"/>
        </w:rPr>
        <w:t>名 称：云南行行工程项目管理有限公司</w:t>
      </w:r>
    </w:p>
    <w:p w14:paraId="2CE5636B">
      <w:pPr>
        <w:pStyle w:val="9"/>
        <w:keepNext w:val="0"/>
        <w:keepLines w:val="0"/>
        <w:pageBreakBefore w:val="0"/>
        <w:widowControl w:val="0"/>
        <w:wordWrap/>
        <w:topLinePunct w:val="0"/>
        <w:autoSpaceDE/>
        <w:autoSpaceDN/>
        <w:bidi w:val="0"/>
        <w:spacing w:line="480" w:lineRule="exact"/>
        <w:ind w:firstLine="420" w:firstLineChars="200"/>
        <w:textAlignment w:val="auto"/>
        <w:rPr>
          <w:rFonts w:hint="eastAsia" w:ascii="宋体" w:hAnsi="宋体" w:eastAsia="宋体" w:cs="宋体"/>
          <w:b w:val="0"/>
          <w:bCs w:val="0"/>
          <w:color w:val="auto"/>
          <w:spacing w:val="0"/>
          <w:sz w:val="21"/>
          <w:szCs w:val="21"/>
          <w:lang w:val="en-US" w:eastAsia="zh-CN" w:bidi="ar-SA"/>
        </w:rPr>
      </w:pPr>
      <w:r>
        <w:rPr>
          <w:rFonts w:hint="eastAsia" w:ascii="宋体" w:hAnsi="宋体" w:eastAsia="宋体" w:cs="宋体"/>
          <w:b w:val="0"/>
          <w:bCs w:val="0"/>
          <w:color w:val="auto"/>
          <w:spacing w:val="0"/>
          <w:sz w:val="21"/>
          <w:szCs w:val="21"/>
          <w:lang w:val="en-US" w:eastAsia="zh-CN" w:bidi="ar-SA"/>
        </w:rPr>
        <w:t>地 址：保山市隆阳区兰城街道金水路永昌文化园6号</w:t>
      </w:r>
    </w:p>
    <w:p w14:paraId="3BDE08B8">
      <w:pPr>
        <w:pStyle w:val="9"/>
        <w:keepNext w:val="0"/>
        <w:keepLines w:val="0"/>
        <w:pageBreakBefore w:val="0"/>
        <w:widowControl w:val="0"/>
        <w:wordWrap/>
        <w:topLinePunct w:val="0"/>
        <w:autoSpaceDE/>
        <w:autoSpaceDN/>
        <w:bidi w:val="0"/>
        <w:spacing w:line="480" w:lineRule="exact"/>
        <w:ind w:firstLine="420" w:firstLineChars="200"/>
        <w:textAlignment w:val="auto"/>
        <w:rPr>
          <w:rFonts w:hint="eastAsia" w:ascii="宋体" w:hAnsi="宋体" w:eastAsia="宋体" w:cs="宋体"/>
          <w:b w:val="0"/>
          <w:bCs w:val="0"/>
          <w:color w:val="auto"/>
          <w:spacing w:val="0"/>
          <w:sz w:val="21"/>
          <w:szCs w:val="21"/>
          <w:lang w:val="en-US" w:eastAsia="zh-CN" w:bidi="ar-SA"/>
        </w:rPr>
      </w:pPr>
      <w:r>
        <w:rPr>
          <w:rFonts w:hint="eastAsia" w:ascii="宋体" w:hAnsi="宋体" w:eastAsia="宋体" w:cs="宋体"/>
          <w:b w:val="0"/>
          <w:bCs w:val="0"/>
          <w:color w:val="auto"/>
          <w:spacing w:val="0"/>
          <w:sz w:val="21"/>
          <w:szCs w:val="21"/>
          <w:lang w:val="en-US" w:eastAsia="zh-CN" w:bidi="ar-SA"/>
        </w:rPr>
        <w:t>联系方式：</w:t>
      </w:r>
      <w:bookmarkStart w:id="42" w:name="_Toc28359087"/>
      <w:bookmarkStart w:id="43" w:name="_Toc28359010"/>
      <w:r>
        <w:rPr>
          <w:rFonts w:hint="eastAsia" w:ascii="宋体" w:hAnsi="宋体" w:eastAsia="宋体" w:cs="宋体"/>
          <w:b w:val="0"/>
          <w:bCs w:val="0"/>
          <w:color w:val="auto"/>
          <w:spacing w:val="0"/>
          <w:sz w:val="21"/>
          <w:szCs w:val="21"/>
          <w:lang w:val="en-US" w:eastAsia="zh-CN" w:bidi="ar-SA"/>
        </w:rPr>
        <w:t>18187542990</w:t>
      </w:r>
    </w:p>
    <w:p w14:paraId="129AFBB3">
      <w:pPr>
        <w:pStyle w:val="9"/>
        <w:keepNext w:val="0"/>
        <w:keepLines w:val="0"/>
        <w:pageBreakBefore w:val="0"/>
        <w:widowControl w:val="0"/>
        <w:wordWrap/>
        <w:topLinePunct w:val="0"/>
        <w:autoSpaceDE/>
        <w:autoSpaceDN/>
        <w:bidi w:val="0"/>
        <w:spacing w:line="480" w:lineRule="exact"/>
        <w:ind w:firstLine="420" w:firstLineChars="200"/>
        <w:textAlignment w:val="auto"/>
        <w:rPr>
          <w:rFonts w:hint="eastAsia" w:ascii="宋体" w:hAnsi="宋体" w:eastAsia="宋体" w:cs="宋体"/>
          <w:b w:val="0"/>
          <w:bCs w:val="0"/>
          <w:color w:val="auto"/>
          <w:spacing w:val="0"/>
          <w:sz w:val="21"/>
          <w:szCs w:val="21"/>
          <w:lang w:val="en-US" w:eastAsia="zh-CN" w:bidi="ar-SA"/>
        </w:rPr>
      </w:pPr>
      <w:r>
        <w:rPr>
          <w:rFonts w:hint="eastAsia" w:ascii="宋体" w:hAnsi="宋体" w:eastAsia="宋体" w:cs="宋体"/>
          <w:b w:val="0"/>
          <w:bCs w:val="0"/>
          <w:color w:val="auto"/>
          <w:spacing w:val="0"/>
          <w:sz w:val="21"/>
          <w:szCs w:val="21"/>
          <w:lang w:val="en-US" w:eastAsia="zh-CN" w:bidi="ar-SA"/>
        </w:rPr>
        <w:t>3.项目联系方式</w:t>
      </w:r>
      <w:bookmarkEnd w:id="42"/>
      <w:bookmarkEnd w:id="43"/>
    </w:p>
    <w:p w14:paraId="2960465C">
      <w:pPr>
        <w:pStyle w:val="9"/>
        <w:keepNext w:val="0"/>
        <w:keepLines w:val="0"/>
        <w:pageBreakBefore w:val="0"/>
        <w:widowControl w:val="0"/>
        <w:wordWrap/>
        <w:topLinePunct w:val="0"/>
        <w:autoSpaceDE/>
        <w:autoSpaceDN/>
        <w:bidi w:val="0"/>
        <w:spacing w:line="480" w:lineRule="exact"/>
        <w:ind w:firstLine="420" w:firstLineChars="200"/>
        <w:textAlignment w:val="auto"/>
        <w:rPr>
          <w:rFonts w:hint="eastAsia" w:ascii="宋体" w:hAnsi="宋体" w:eastAsia="宋体" w:cs="宋体"/>
          <w:b w:val="0"/>
          <w:bCs w:val="0"/>
          <w:color w:val="auto"/>
          <w:spacing w:val="0"/>
          <w:sz w:val="21"/>
          <w:szCs w:val="21"/>
          <w:lang w:val="en-US" w:eastAsia="zh-CN" w:bidi="ar-SA"/>
        </w:rPr>
      </w:pPr>
      <w:r>
        <w:rPr>
          <w:rFonts w:hint="eastAsia" w:ascii="宋体" w:hAnsi="宋体" w:eastAsia="宋体" w:cs="宋体"/>
          <w:b w:val="0"/>
          <w:bCs w:val="0"/>
          <w:color w:val="auto"/>
          <w:spacing w:val="0"/>
          <w:sz w:val="21"/>
          <w:szCs w:val="21"/>
          <w:lang w:val="en-US" w:eastAsia="zh-CN" w:bidi="ar-SA"/>
        </w:rPr>
        <w:t>项目联系人：阿夏华、尹世斌、赵兴益、黄丽娜</w:t>
      </w:r>
    </w:p>
    <w:p w14:paraId="46F703C1">
      <w:pPr>
        <w:pStyle w:val="9"/>
        <w:keepNext w:val="0"/>
        <w:keepLines w:val="0"/>
        <w:pageBreakBefore w:val="0"/>
        <w:widowControl w:val="0"/>
        <w:wordWrap/>
        <w:topLinePunct w:val="0"/>
        <w:autoSpaceDE/>
        <w:autoSpaceDN/>
        <w:bidi w:val="0"/>
        <w:spacing w:line="480" w:lineRule="exact"/>
        <w:ind w:firstLine="420" w:firstLineChars="200"/>
        <w:textAlignment w:val="auto"/>
        <w:rPr>
          <w:rFonts w:hint="eastAsia" w:ascii="宋体" w:hAnsi="宋体" w:eastAsia="宋体" w:cs="宋体"/>
          <w:b w:val="0"/>
          <w:bCs w:val="0"/>
          <w:color w:val="auto"/>
          <w:spacing w:val="0"/>
          <w:sz w:val="21"/>
          <w:szCs w:val="21"/>
          <w:lang w:val="en-US" w:eastAsia="zh-CN" w:bidi="ar-SA"/>
        </w:rPr>
      </w:pPr>
      <w:r>
        <w:rPr>
          <w:rFonts w:hint="eastAsia" w:ascii="宋体" w:hAnsi="宋体" w:eastAsia="宋体" w:cs="宋体"/>
          <w:b w:val="0"/>
          <w:bCs w:val="0"/>
          <w:color w:val="auto"/>
          <w:spacing w:val="0"/>
          <w:sz w:val="21"/>
          <w:szCs w:val="21"/>
          <w:lang w:val="en-US" w:eastAsia="zh-CN" w:bidi="ar-SA"/>
        </w:rPr>
        <w:t>电　话：0886-3625558、18187542990</w:t>
      </w:r>
    </w:p>
    <w:p w14:paraId="62860DD0">
      <w:pPr>
        <w:pStyle w:val="9"/>
        <w:keepNext w:val="0"/>
        <w:keepLines w:val="0"/>
        <w:pageBreakBefore w:val="0"/>
        <w:widowControl w:val="0"/>
        <w:wordWrap/>
        <w:topLinePunct w:val="0"/>
        <w:autoSpaceDE/>
        <w:autoSpaceDN/>
        <w:bidi w:val="0"/>
        <w:spacing w:line="480" w:lineRule="exact"/>
        <w:ind w:firstLine="600" w:firstLineChars="200"/>
        <w:textAlignment w:val="auto"/>
        <w:rPr>
          <w:rFonts w:hint="eastAsia" w:ascii="宋体" w:hAnsi="宋体" w:eastAsia="宋体" w:cs="宋体"/>
          <w:color w:val="auto"/>
          <w:spacing w:val="0"/>
          <w:sz w:val="30"/>
          <w:szCs w:val="30"/>
          <w:lang w:val="en-US" w:eastAsia="zh-CN"/>
        </w:rPr>
      </w:pPr>
    </w:p>
    <w:p w14:paraId="127026D5">
      <w:pPr>
        <w:pStyle w:val="9"/>
        <w:keepNext w:val="0"/>
        <w:keepLines w:val="0"/>
        <w:pageBreakBefore w:val="0"/>
        <w:widowControl w:val="0"/>
        <w:wordWrap/>
        <w:topLinePunct w:val="0"/>
        <w:autoSpaceDE/>
        <w:autoSpaceDN/>
        <w:bidi w:val="0"/>
        <w:spacing w:line="480" w:lineRule="exact"/>
        <w:textAlignment w:val="auto"/>
        <w:rPr>
          <w:rFonts w:hint="eastAsia" w:ascii="宋体" w:hAnsi="宋体" w:eastAsia="宋体" w:cs="宋体"/>
          <w:color w:val="auto"/>
          <w:sz w:val="30"/>
          <w:szCs w:val="30"/>
          <w:lang w:val="en-US" w:eastAsia="zh-CN"/>
        </w:rPr>
      </w:pPr>
    </w:p>
    <w:p w14:paraId="2CF914AA">
      <w:pPr>
        <w:pStyle w:val="2"/>
        <w:spacing w:before="0" w:after="0" w:line="520" w:lineRule="exact"/>
        <w:rPr>
          <w:rFonts w:hint="eastAsia" w:ascii="黑体" w:hAnsi="黑体" w:eastAsia="黑体" w:cs="黑体"/>
          <w:b/>
          <w:bCs w:val="0"/>
          <w:color w:val="auto"/>
          <w:sz w:val="28"/>
          <w:szCs w:val="28"/>
        </w:rPr>
      </w:pPr>
      <w:bookmarkStart w:id="44" w:name="_Toc28038"/>
      <w:r>
        <w:rPr>
          <w:rFonts w:hint="eastAsia" w:ascii="宋体" w:hAnsi="宋体" w:eastAsia="宋体" w:cs="宋体"/>
          <w:b w:val="0"/>
          <w:bCs/>
          <w:color w:val="auto"/>
          <w:kern w:val="2"/>
          <w:sz w:val="32"/>
          <w:szCs w:val="32"/>
        </w:rPr>
        <w:t>第二章</w:t>
      </w:r>
      <w:bookmarkEnd w:id="10"/>
      <w:bookmarkEnd w:id="11"/>
      <w:bookmarkEnd w:id="12"/>
      <w:bookmarkEnd w:id="13"/>
      <w:bookmarkStart w:id="45" w:name="_Toc364392608"/>
      <w:r>
        <w:rPr>
          <w:rFonts w:hint="eastAsia" w:ascii="宋体" w:hAnsi="宋体" w:eastAsia="宋体" w:cs="宋体"/>
          <w:b w:val="0"/>
          <w:bCs/>
          <w:color w:val="auto"/>
          <w:kern w:val="2"/>
          <w:sz w:val="32"/>
          <w:szCs w:val="32"/>
          <w:lang w:val="en-US" w:eastAsia="zh-CN"/>
        </w:rPr>
        <w:t xml:space="preserve"> </w:t>
      </w:r>
      <w:r>
        <w:rPr>
          <w:rFonts w:hint="eastAsia" w:ascii="宋体" w:hAnsi="宋体" w:eastAsia="宋体" w:cs="宋体"/>
          <w:b w:val="0"/>
          <w:bCs/>
          <w:color w:val="auto"/>
          <w:kern w:val="2"/>
          <w:sz w:val="32"/>
          <w:szCs w:val="32"/>
          <w:lang w:eastAsia="zh-CN"/>
        </w:rPr>
        <w:t>磋商申请人须知</w:t>
      </w:r>
      <w:bookmarkEnd w:id="44"/>
    </w:p>
    <w:p w14:paraId="567548C8">
      <w:pPr>
        <w:pStyle w:val="110"/>
        <w:pageBreakBefore w:val="0"/>
        <w:widowControl w:val="0"/>
        <w:wordWrap/>
        <w:topLinePunct w:val="0"/>
        <w:autoSpaceDE/>
        <w:autoSpaceDN/>
        <w:bidi w:val="0"/>
        <w:spacing w:line="460" w:lineRule="exact"/>
        <w:ind w:firstLine="420" w:firstLineChars="200"/>
        <w:textAlignment w:val="auto"/>
        <w:rPr>
          <w:rFonts w:ascii="仿宋" w:hAnsi="仿宋" w:eastAsia="仿宋"/>
          <w:b/>
          <w:color w:val="auto"/>
          <w:sz w:val="21"/>
          <w:szCs w:val="21"/>
        </w:rPr>
      </w:pPr>
      <w:r>
        <w:rPr>
          <w:rFonts w:hint="eastAsia" w:ascii="黑体" w:hAnsi="黑体" w:eastAsia="黑体" w:cs="黑体"/>
          <w:bCs/>
          <w:color w:val="auto"/>
          <w:sz w:val="21"/>
          <w:szCs w:val="21"/>
        </w:rPr>
        <w:t>一、</w:t>
      </w:r>
      <w:r>
        <w:rPr>
          <w:rFonts w:hint="eastAsia" w:ascii="黑体" w:hAnsi="黑体" w:eastAsia="黑体" w:cs="黑体"/>
          <w:bCs/>
          <w:color w:val="auto"/>
          <w:sz w:val="21"/>
          <w:szCs w:val="21"/>
          <w:lang w:eastAsia="zh-CN"/>
        </w:rPr>
        <w:t>磋商申请人</w:t>
      </w:r>
      <w:r>
        <w:rPr>
          <w:rFonts w:hint="eastAsia" w:ascii="黑体" w:hAnsi="黑体" w:eastAsia="黑体" w:cs="黑体"/>
          <w:bCs/>
          <w:color w:val="auto"/>
          <w:sz w:val="21"/>
          <w:szCs w:val="21"/>
        </w:rPr>
        <w:t>须知前附表</w:t>
      </w:r>
      <w:bookmarkEnd w:id="45"/>
    </w:p>
    <w:tbl>
      <w:tblPr>
        <w:tblStyle w:val="31"/>
        <w:tblW w:w="9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2009"/>
        <w:gridCol w:w="6917"/>
      </w:tblGrid>
      <w:tr w14:paraId="62265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937" w:type="dxa"/>
            <w:shd w:val="clear" w:color="auto" w:fill="D9D9D9"/>
            <w:vAlign w:val="center"/>
          </w:tcPr>
          <w:p w14:paraId="6D48209C">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color w:val="auto"/>
                <w:sz w:val="21"/>
                <w:szCs w:val="21"/>
              </w:rPr>
            </w:pPr>
            <w:bookmarkStart w:id="46" w:name="_Toc244341281"/>
            <w:r>
              <w:rPr>
                <w:rFonts w:hint="eastAsia" w:ascii="宋体" w:hAnsi="宋体" w:eastAsia="宋体" w:cs="宋体"/>
                <w:b/>
                <w:color w:val="auto"/>
                <w:sz w:val="21"/>
                <w:szCs w:val="21"/>
              </w:rPr>
              <w:t>条款号</w:t>
            </w:r>
          </w:p>
        </w:tc>
        <w:tc>
          <w:tcPr>
            <w:tcW w:w="2009" w:type="dxa"/>
            <w:shd w:val="clear" w:color="auto" w:fill="D9D9D9"/>
            <w:vAlign w:val="center"/>
          </w:tcPr>
          <w:p w14:paraId="172B20C7">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条款名称</w:t>
            </w:r>
          </w:p>
        </w:tc>
        <w:tc>
          <w:tcPr>
            <w:tcW w:w="6917" w:type="dxa"/>
            <w:shd w:val="clear" w:color="auto" w:fill="D9D9D9"/>
            <w:vAlign w:val="center"/>
          </w:tcPr>
          <w:p w14:paraId="4808BB56">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编列内容</w:t>
            </w:r>
          </w:p>
        </w:tc>
      </w:tr>
      <w:tr w14:paraId="289FB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55226C2B">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2009" w:type="dxa"/>
            <w:vAlign w:val="center"/>
          </w:tcPr>
          <w:p w14:paraId="2E525F5A">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u w:val="single"/>
              </w:rPr>
            </w:pPr>
            <w:r>
              <w:rPr>
                <w:rFonts w:hint="eastAsia" w:ascii="宋体" w:hAnsi="宋体" w:eastAsia="宋体" w:cs="宋体"/>
                <w:bCs/>
                <w:color w:val="auto"/>
                <w:sz w:val="21"/>
                <w:szCs w:val="21"/>
              </w:rPr>
              <w:t>采购人</w:t>
            </w:r>
          </w:p>
        </w:tc>
        <w:tc>
          <w:tcPr>
            <w:tcW w:w="6917" w:type="dxa"/>
          </w:tcPr>
          <w:p w14:paraId="5CE7CA96">
            <w:pPr>
              <w:keepNext w:val="0"/>
              <w:keepLines w:val="0"/>
              <w:pageBreakBefore w:val="0"/>
              <w:widowControl w:val="0"/>
              <w:kinsoku/>
              <w:wordWrap/>
              <w:overflowPunct/>
              <w:topLinePunct w:val="0"/>
              <w:autoSpaceDE/>
              <w:autoSpaceDN/>
              <w:bidi w:val="0"/>
              <w:adjustRightInd/>
              <w:snapToGrid/>
              <w:spacing w:line="460" w:lineRule="exact"/>
              <w:contextualSpacing/>
              <w:jc w:val="left"/>
              <w:textAlignment w:val="auto"/>
              <w:rPr>
                <w:rFonts w:hint="eastAsia" w:ascii="宋体" w:hAnsi="宋体" w:eastAsia="宋体" w:cs="宋体"/>
                <w:color w:val="auto"/>
                <w:sz w:val="21"/>
                <w:szCs w:val="21"/>
                <w:lang w:eastAsia="zh-CN"/>
              </w:rPr>
            </w:pPr>
            <w:r>
              <w:rPr>
                <w:rFonts w:hint="eastAsia" w:ascii="宋体" w:hAnsi="宋体" w:cs="宋体"/>
                <w:bCs/>
                <w:color w:val="auto"/>
                <w:kern w:val="2"/>
                <w:sz w:val="21"/>
                <w:szCs w:val="21"/>
                <w:lang w:val="en-US" w:eastAsia="zh-CN" w:bidi="ar-SA"/>
              </w:rPr>
              <w:t>怒江傈僳族自治州动物疫病预防控制中心</w:t>
            </w:r>
          </w:p>
        </w:tc>
      </w:tr>
      <w:tr w14:paraId="788C9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2B77B307">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2009" w:type="dxa"/>
            <w:vAlign w:val="center"/>
          </w:tcPr>
          <w:p w14:paraId="4D747050">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代理机构</w:t>
            </w:r>
          </w:p>
        </w:tc>
        <w:tc>
          <w:tcPr>
            <w:tcW w:w="6917" w:type="dxa"/>
          </w:tcPr>
          <w:p w14:paraId="7770F62F">
            <w:pPr>
              <w:keepNext w:val="0"/>
              <w:keepLines w:val="0"/>
              <w:pageBreakBefore w:val="0"/>
              <w:widowControl w:val="0"/>
              <w:kinsoku/>
              <w:wordWrap/>
              <w:overflowPunct/>
              <w:topLinePunct w:val="0"/>
              <w:autoSpaceDE/>
              <w:autoSpaceDN/>
              <w:bidi w:val="0"/>
              <w:adjustRightInd/>
              <w:snapToGrid/>
              <w:spacing w:line="460" w:lineRule="exact"/>
              <w:contextualSpacing/>
              <w:jc w:val="left"/>
              <w:textAlignment w:val="auto"/>
              <w:rPr>
                <w:rFonts w:hint="eastAsia" w:ascii="宋体" w:hAnsi="宋体" w:eastAsia="宋体" w:cs="宋体"/>
                <w:color w:val="auto"/>
                <w:sz w:val="21"/>
                <w:szCs w:val="21"/>
              </w:rPr>
            </w:pPr>
            <w:r>
              <w:rPr>
                <w:rFonts w:hint="eastAsia" w:ascii="宋体" w:hAnsi="宋体" w:cs="宋体"/>
                <w:color w:val="auto"/>
                <w:sz w:val="21"/>
                <w:szCs w:val="21"/>
                <w:lang w:eastAsia="zh-CN"/>
              </w:rPr>
              <w:t>云南行行工程项目管理有限公司</w:t>
            </w:r>
          </w:p>
        </w:tc>
      </w:tr>
      <w:tr w14:paraId="7920D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0DEC4165">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2009" w:type="dxa"/>
            <w:vAlign w:val="center"/>
          </w:tcPr>
          <w:p w14:paraId="09F96EFE">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项目名称及项目编号</w:t>
            </w:r>
          </w:p>
        </w:tc>
        <w:tc>
          <w:tcPr>
            <w:tcW w:w="6917" w:type="dxa"/>
          </w:tcPr>
          <w:p w14:paraId="39EA0FAD">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项目名称：</w:t>
            </w:r>
            <w:r>
              <w:rPr>
                <w:rFonts w:hint="eastAsia" w:hAnsi="宋体" w:cs="宋体"/>
                <w:color w:val="auto"/>
                <w:sz w:val="21"/>
                <w:szCs w:val="21"/>
                <w:lang w:eastAsia="zh-CN"/>
              </w:rPr>
              <w:t>怒江州动物疫病预防控制中心陆生动物疫病病原学监测区域中心建设项目实验室升级改造</w:t>
            </w:r>
          </w:p>
          <w:p w14:paraId="73FB88B6">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项目编号：</w:t>
            </w:r>
            <w:r>
              <w:rPr>
                <w:rFonts w:hint="eastAsia" w:hAnsi="宋体" w:cs="宋体"/>
                <w:color w:val="auto"/>
                <w:sz w:val="21"/>
                <w:szCs w:val="21"/>
                <w:lang w:eastAsia="zh-CN"/>
              </w:rPr>
              <w:t>HXGSGC2025002</w:t>
            </w:r>
          </w:p>
        </w:tc>
      </w:tr>
      <w:tr w14:paraId="4D90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1297CAB4">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2009" w:type="dxa"/>
            <w:vAlign w:val="center"/>
          </w:tcPr>
          <w:p w14:paraId="71691872">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资金来源</w:t>
            </w:r>
          </w:p>
        </w:tc>
        <w:tc>
          <w:tcPr>
            <w:tcW w:w="6917" w:type="dxa"/>
          </w:tcPr>
          <w:p w14:paraId="0CB15459">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hAnsi="宋体" w:cs="宋体"/>
                <w:color w:val="auto"/>
                <w:sz w:val="21"/>
                <w:szCs w:val="21"/>
                <w:lang w:val="en-US" w:eastAsia="zh-CN"/>
              </w:rPr>
              <w:t>财政</w:t>
            </w:r>
            <w:r>
              <w:rPr>
                <w:rFonts w:hint="eastAsia" w:ascii="宋体" w:hAnsi="宋体" w:eastAsia="宋体" w:cs="宋体"/>
                <w:color w:val="auto"/>
                <w:sz w:val="21"/>
                <w:szCs w:val="21"/>
                <w:lang w:val="en-US" w:eastAsia="zh-CN"/>
              </w:rPr>
              <w:t>资金</w:t>
            </w:r>
            <w:r>
              <w:rPr>
                <w:rFonts w:hint="eastAsia" w:ascii="宋体" w:hAnsi="宋体" w:eastAsia="宋体" w:cs="宋体"/>
                <w:color w:val="auto"/>
                <w:sz w:val="21"/>
                <w:szCs w:val="21"/>
              </w:rPr>
              <w:tab/>
            </w:r>
          </w:p>
        </w:tc>
      </w:tr>
      <w:tr w14:paraId="6B6F5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516BF530">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2009" w:type="dxa"/>
            <w:vAlign w:val="center"/>
          </w:tcPr>
          <w:p w14:paraId="2B7CE7B3">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出资比例</w:t>
            </w:r>
          </w:p>
        </w:tc>
        <w:tc>
          <w:tcPr>
            <w:tcW w:w="6917" w:type="dxa"/>
          </w:tcPr>
          <w:p w14:paraId="6FA66CD2">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100%</w:t>
            </w:r>
          </w:p>
        </w:tc>
      </w:tr>
      <w:tr w14:paraId="6730C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37" w:type="dxa"/>
            <w:vAlign w:val="center"/>
          </w:tcPr>
          <w:p w14:paraId="05B778A4">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2009" w:type="dxa"/>
            <w:vAlign w:val="center"/>
          </w:tcPr>
          <w:p w14:paraId="151DB870">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资金落实情况</w:t>
            </w:r>
          </w:p>
        </w:tc>
        <w:tc>
          <w:tcPr>
            <w:tcW w:w="6917" w:type="dxa"/>
            <w:vAlign w:val="center"/>
          </w:tcPr>
          <w:p w14:paraId="0B23B43E">
            <w:pPr>
              <w:pStyle w:val="110"/>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已落实</w:t>
            </w:r>
          </w:p>
        </w:tc>
      </w:tr>
      <w:tr w14:paraId="688B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4CF641D8">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p>
        </w:tc>
        <w:tc>
          <w:tcPr>
            <w:tcW w:w="2009" w:type="dxa"/>
            <w:vAlign w:val="center"/>
          </w:tcPr>
          <w:p w14:paraId="0F55EC76">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建设</w:t>
            </w:r>
            <w:r>
              <w:rPr>
                <w:rFonts w:hint="eastAsia" w:ascii="宋体" w:hAnsi="宋体" w:eastAsia="宋体" w:cs="宋体"/>
                <w:color w:val="auto"/>
                <w:sz w:val="21"/>
                <w:szCs w:val="21"/>
              </w:rPr>
              <w:t>地点</w:t>
            </w:r>
          </w:p>
        </w:tc>
        <w:tc>
          <w:tcPr>
            <w:tcW w:w="6917" w:type="dxa"/>
          </w:tcPr>
          <w:p w14:paraId="1DC04032">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default" w:ascii="宋体" w:hAnsi="宋体" w:eastAsia="宋体" w:cs="宋体"/>
                <w:color w:val="auto"/>
                <w:sz w:val="21"/>
                <w:szCs w:val="21"/>
                <w:lang w:val="en-US" w:eastAsia="zh-CN"/>
              </w:rPr>
            </w:pPr>
            <w:r>
              <w:rPr>
                <w:rFonts w:hint="eastAsia" w:hAnsi="宋体" w:cs="宋体"/>
                <w:color w:val="auto"/>
                <w:sz w:val="21"/>
                <w:szCs w:val="21"/>
                <w:lang w:val="en-US" w:eastAsia="zh-CN"/>
              </w:rPr>
              <w:t>怒江州泸水市大练地街道</w:t>
            </w:r>
            <w:r>
              <w:rPr>
                <w:rFonts w:hint="default" w:ascii="宋体" w:hAnsi="宋体" w:eastAsia="宋体" w:cs="宋体"/>
                <w:color w:val="auto"/>
                <w:sz w:val="21"/>
                <w:szCs w:val="21"/>
                <w:lang w:val="en-US" w:eastAsia="zh-CN"/>
              </w:rPr>
              <w:t>。</w:t>
            </w:r>
          </w:p>
        </w:tc>
      </w:tr>
      <w:tr w14:paraId="7EA4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09D2E7D0">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c>
          <w:tcPr>
            <w:tcW w:w="2009" w:type="dxa"/>
            <w:vAlign w:val="center"/>
          </w:tcPr>
          <w:p w14:paraId="4CDECD93">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pacing w:val="0"/>
                <w:sz w:val="21"/>
                <w:szCs w:val="21"/>
                <w:lang w:val="en-US" w:eastAsia="zh-CN"/>
              </w:rPr>
              <w:t>合同履行期限</w:t>
            </w:r>
          </w:p>
        </w:tc>
        <w:tc>
          <w:tcPr>
            <w:tcW w:w="6917" w:type="dxa"/>
          </w:tcPr>
          <w:p w14:paraId="75DA97F3">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default" w:ascii="宋体" w:hAnsi="宋体" w:eastAsia="宋体" w:cs="宋体"/>
                <w:color w:val="auto"/>
                <w:sz w:val="21"/>
                <w:szCs w:val="21"/>
                <w:lang w:val="en-US"/>
              </w:rPr>
            </w:pPr>
            <w:r>
              <w:rPr>
                <w:rFonts w:hint="eastAsia" w:hAnsi="宋体" w:cs="宋体"/>
                <w:bCs w:val="0"/>
                <w:color w:val="auto"/>
                <w:spacing w:val="0"/>
                <w:kern w:val="2"/>
                <w:sz w:val="21"/>
                <w:szCs w:val="21"/>
                <w:lang w:val="en-US" w:eastAsia="zh-CN" w:bidi="ar-SA"/>
              </w:rPr>
              <w:t>签订合同之日起3个月内完成全部工作</w:t>
            </w:r>
            <w:r>
              <w:rPr>
                <w:rFonts w:hint="eastAsia" w:ascii="宋体" w:hAnsi="宋体" w:eastAsia="宋体" w:cs="宋体"/>
                <w:bCs w:val="0"/>
                <w:color w:val="auto"/>
                <w:spacing w:val="0"/>
                <w:kern w:val="2"/>
                <w:sz w:val="21"/>
                <w:szCs w:val="21"/>
                <w:lang w:val="en-US" w:eastAsia="zh-CN" w:bidi="ar-SA"/>
              </w:rPr>
              <w:t>。</w:t>
            </w:r>
          </w:p>
        </w:tc>
      </w:tr>
      <w:tr w14:paraId="705F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6B89F624">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w:t>
            </w:r>
          </w:p>
        </w:tc>
        <w:tc>
          <w:tcPr>
            <w:tcW w:w="2009" w:type="dxa"/>
            <w:vAlign w:val="center"/>
          </w:tcPr>
          <w:p w14:paraId="57FE91D4">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申请人资格要求</w:t>
            </w:r>
          </w:p>
        </w:tc>
        <w:tc>
          <w:tcPr>
            <w:tcW w:w="6917" w:type="dxa"/>
          </w:tcPr>
          <w:p w14:paraId="40602A12">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1.满足《中华人民共和国政府采购法》第二十二条规定。</w:t>
            </w:r>
          </w:p>
          <w:p w14:paraId="2DC5C65F">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1.1具有独立承担民事责任的能力：在国内注册的独立法人、其他组织等(提供统一信用代码证等有效证件扫描件)；</w:t>
            </w:r>
          </w:p>
          <w:p w14:paraId="3C21B1CE">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1.2具有良好的商业信誉和健全的财务会计制度（提供2022年至今任意一个季度财务报表或审计报告；若为新成立企业，提供银行开具的资信证明文件或资金证明文件）；</w:t>
            </w:r>
          </w:p>
          <w:p w14:paraId="3544C26C">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1.3具有履行合同所必需的设备和专业技术能力；</w:t>
            </w:r>
          </w:p>
          <w:p w14:paraId="700C62FB">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申请人须提供依法缴纳税收和社会保障资金的良好记录（提供2022年1月至今任意1个月的税收交纳凭证，依法免税或新成立未营业的企业提供税务机关出具的相关说明文件；提供2022年1月至今任意1个月的社保缴纳凭证，</w:t>
            </w:r>
            <w:r>
              <w:rPr>
                <w:rFonts w:hint="eastAsia" w:ascii="宋体" w:hAnsi="宋体" w:eastAsia="宋体" w:cs="宋体"/>
                <w:color w:val="auto"/>
                <w:sz w:val="21"/>
                <w:szCs w:val="21"/>
              </w:rPr>
              <w:t>若为新成立企业提供社保机关出具的参保说明等资料</w:t>
            </w:r>
            <w:r>
              <w:rPr>
                <w:rFonts w:hint="eastAsia" w:ascii="宋体" w:hAnsi="宋体" w:eastAsia="宋体" w:cs="宋体"/>
                <w:color w:val="auto"/>
                <w:sz w:val="21"/>
                <w:szCs w:val="21"/>
                <w:lang w:val="en-US" w:eastAsia="zh-CN"/>
              </w:rPr>
              <w:t>）；</w:t>
            </w:r>
          </w:p>
          <w:p w14:paraId="7F175BF2">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1.5参加政府采购活动前三年内，在经营活动中没有重大违法记录；</w:t>
            </w:r>
          </w:p>
          <w:p w14:paraId="512B907E">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1.6法律、行政法规规定的其他条件。</w:t>
            </w:r>
          </w:p>
          <w:p w14:paraId="3505D61B">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2.落实政府采购政策需满足的资格要求：本项目属于专门面向中小企业采购项目。</w:t>
            </w:r>
          </w:p>
          <w:p w14:paraId="353EAC16">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3.本项目的特定资格要求：</w:t>
            </w:r>
          </w:p>
          <w:p w14:paraId="6F648F1F">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3.1供应商须同时具备以下资质：</w:t>
            </w:r>
          </w:p>
          <w:p w14:paraId="260592D9">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（1）设计单位：须具备工程设计综合甲级资质或建筑行业（建筑工程）设计乙级及以上资质；</w:t>
            </w:r>
          </w:p>
          <w:p w14:paraId="210688B1">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（2）施工单位：须具备建设行政主管部门核发且有效的‌建筑装修装饰工程专业承包二级及以上资质，并具有有效的安全生产许可证书。</w:t>
            </w:r>
          </w:p>
          <w:p w14:paraId="3702E7D3">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3.2设计负责人要求：具有二级及以上注册建筑师执业资格，具备工程师及以上职称。</w:t>
            </w:r>
          </w:p>
          <w:p w14:paraId="104F4699">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3.3项目负责人要求：项目负责人应由项目经理担任，项目经理需具有建筑工程专业贰级及以上注册建造师资格证,具备有效的安全生产考核合格证书（B证）（有效期内），且必须注册在磋商申请人本单位，如注册单位曾有变更的，需提供注册单位变更记录（或相关说明），不得为其他在建项目的项目经理。</w:t>
            </w:r>
          </w:p>
          <w:p w14:paraId="1D96494C">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3.4本次采购接受联合体磋商。联合体磋商的，应满足下列要求：</w:t>
            </w:r>
          </w:p>
          <w:p w14:paraId="67363A73">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（1）联合体各成员均须具有独立法人资格，具备合法有效的企业法人营业执照或事业单位法人证书。</w:t>
            </w:r>
          </w:p>
          <w:p w14:paraId="669841C3">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联合体牵头方须为具有相应资质的施工企业，成员是设计单位，且组成联合体的单位不得超过2家，以联合体身份磋商的，还需提供自本公告发布之日起由联合体各方签订的联合体协议书，联合体各成员签订联合体协议书后，不得再以自己的名义单独投标，也不得组成新的联合体或参加其他联合体在本项目中投标，否则，其所有投标均无效。</w:t>
            </w:r>
          </w:p>
          <w:p w14:paraId="7B3FAA0D">
            <w:pPr>
              <w:pStyle w:val="9"/>
              <w:keepNext w:val="0"/>
              <w:keepLines w:val="0"/>
              <w:pageBreakBefore w:val="0"/>
              <w:widowControl w:val="0"/>
              <w:wordWrap/>
              <w:topLinePunct w:val="0"/>
              <w:autoSpaceDE/>
              <w:autoSpaceDN/>
              <w:bidi w:val="0"/>
              <w:spacing w:line="4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（3）由成交人负责项目的设计和施工。</w:t>
            </w:r>
          </w:p>
        </w:tc>
      </w:tr>
      <w:tr w14:paraId="405F8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6BA5057F">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c>
          <w:tcPr>
            <w:tcW w:w="2009" w:type="dxa"/>
            <w:vAlign w:val="center"/>
          </w:tcPr>
          <w:p w14:paraId="10C4D92F">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澄清要求递交的截止时间</w:t>
            </w:r>
          </w:p>
        </w:tc>
        <w:tc>
          <w:tcPr>
            <w:tcW w:w="6917" w:type="dxa"/>
            <w:vAlign w:val="center"/>
          </w:tcPr>
          <w:p w14:paraId="12A6A494">
            <w:pPr>
              <w:pStyle w:val="110"/>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截止时间前5</w:t>
            </w:r>
            <w:r>
              <w:rPr>
                <w:rFonts w:hint="eastAsia" w:ascii="宋体" w:hAnsi="宋体" w:eastAsia="宋体" w:cs="宋体"/>
                <w:color w:val="auto"/>
                <w:sz w:val="21"/>
                <w:szCs w:val="21"/>
                <w:lang w:eastAsia="zh-CN"/>
              </w:rPr>
              <w:t>日</w:t>
            </w:r>
            <w:r>
              <w:rPr>
                <w:rFonts w:hint="eastAsia" w:ascii="宋体" w:hAnsi="宋体" w:eastAsia="宋体" w:cs="宋体"/>
                <w:color w:val="auto"/>
                <w:sz w:val="21"/>
                <w:szCs w:val="21"/>
              </w:rPr>
              <w:t>。</w:t>
            </w:r>
          </w:p>
        </w:tc>
      </w:tr>
      <w:tr w14:paraId="3C6E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21AB67F1">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w:t>
            </w:r>
          </w:p>
        </w:tc>
        <w:tc>
          <w:tcPr>
            <w:tcW w:w="2009" w:type="dxa"/>
            <w:vAlign w:val="center"/>
          </w:tcPr>
          <w:p w14:paraId="1ABA2A8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修改截止时间</w:t>
            </w:r>
          </w:p>
        </w:tc>
        <w:tc>
          <w:tcPr>
            <w:tcW w:w="6917" w:type="dxa"/>
            <w:vAlign w:val="center"/>
          </w:tcPr>
          <w:p w14:paraId="66C9B91D">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截止时间前5</w:t>
            </w:r>
            <w:r>
              <w:rPr>
                <w:rFonts w:hint="eastAsia" w:ascii="宋体" w:hAnsi="宋体" w:eastAsia="宋体" w:cs="宋体"/>
                <w:color w:val="auto"/>
                <w:sz w:val="21"/>
                <w:szCs w:val="21"/>
                <w:lang w:eastAsia="zh-CN"/>
              </w:rPr>
              <w:t>日</w:t>
            </w:r>
            <w:r>
              <w:rPr>
                <w:rFonts w:hint="eastAsia" w:ascii="宋体" w:hAnsi="宋体" w:eastAsia="宋体" w:cs="宋体"/>
                <w:color w:val="auto"/>
                <w:sz w:val="21"/>
                <w:szCs w:val="21"/>
              </w:rPr>
              <w:t>。</w:t>
            </w:r>
          </w:p>
        </w:tc>
      </w:tr>
      <w:tr w14:paraId="2EEA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39C8F089">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w:t>
            </w:r>
          </w:p>
        </w:tc>
        <w:tc>
          <w:tcPr>
            <w:tcW w:w="2009" w:type="dxa"/>
            <w:vAlign w:val="center"/>
          </w:tcPr>
          <w:p w14:paraId="2D6B9F4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的签署</w:t>
            </w:r>
          </w:p>
        </w:tc>
        <w:tc>
          <w:tcPr>
            <w:tcW w:w="6917" w:type="dxa"/>
          </w:tcPr>
          <w:p w14:paraId="11A7D3D2">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磋商申请文件编制须</w:t>
            </w:r>
            <w:r>
              <w:rPr>
                <w:rFonts w:hint="eastAsia" w:ascii="宋体" w:hAnsi="宋体" w:eastAsia="宋体" w:cs="宋体"/>
                <w:color w:val="auto"/>
                <w:sz w:val="21"/>
                <w:szCs w:val="21"/>
              </w:rPr>
              <w:t>按照</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格式要求，采用单位和个人签章或签名。</w:t>
            </w:r>
            <w:r>
              <w:rPr>
                <w:rFonts w:hint="eastAsia" w:ascii="宋体" w:hAnsi="宋体" w:eastAsia="宋体" w:cs="宋体"/>
                <w:color w:val="auto"/>
                <w:sz w:val="21"/>
                <w:szCs w:val="21"/>
                <w:lang w:eastAsia="zh-CN"/>
              </w:rPr>
              <w:t>在磋商申请文件</w:t>
            </w:r>
            <w:r>
              <w:rPr>
                <w:rFonts w:hint="eastAsia" w:ascii="宋体" w:hAnsi="宋体" w:eastAsia="宋体" w:cs="宋体"/>
                <w:color w:val="auto"/>
                <w:sz w:val="21"/>
                <w:szCs w:val="21"/>
              </w:rPr>
              <w:t>格式</w:t>
            </w:r>
            <w:r>
              <w:rPr>
                <w:rFonts w:hint="eastAsia" w:ascii="宋体" w:hAnsi="宋体" w:eastAsia="宋体" w:cs="宋体"/>
                <w:color w:val="auto"/>
                <w:sz w:val="21"/>
                <w:szCs w:val="21"/>
                <w:lang w:eastAsia="zh-CN"/>
              </w:rPr>
              <w:t>要求</w:t>
            </w:r>
            <w:r>
              <w:rPr>
                <w:rFonts w:hint="eastAsia" w:ascii="宋体" w:hAnsi="宋体" w:eastAsia="宋体" w:cs="宋体"/>
                <w:color w:val="auto"/>
                <w:sz w:val="21"/>
                <w:szCs w:val="21"/>
              </w:rPr>
              <w:t>签章或签名的地方进行签章或签名。签章、签名要求清晰</w:t>
            </w:r>
            <w:r>
              <w:rPr>
                <w:rFonts w:hint="eastAsia" w:ascii="宋体" w:hAnsi="宋体" w:eastAsia="宋体" w:cs="宋体"/>
                <w:color w:val="auto"/>
                <w:sz w:val="21"/>
                <w:szCs w:val="21"/>
                <w:lang w:eastAsia="zh-CN"/>
              </w:rPr>
              <w:t>完整</w:t>
            </w:r>
            <w:r>
              <w:rPr>
                <w:rFonts w:hint="eastAsia" w:ascii="宋体" w:hAnsi="宋体" w:eastAsia="宋体" w:cs="宋体"/>
                <w:color w:val="auto"/>
                <w:sz w:val="21"/>
                <w:szCs w:val="21"/>
              </w:rPr>
              <w:t>并按</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要求进行，不按要求签章、签名的视为不响应</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w:t>
            </w:r>
          </w:p>
          <w:p w14:paraId="0F08DD45">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u w:val="single"/>
                <w:lang w:eastAsia="zh-CN"/>
              </w:rPr>
              <w:t>注：</w:t>
            </w:r>
            <w:r>
              <w:rPr>
                <w:rFonts w:hint="eastAsia" w:ascii="宋体" w:hAnsi="宋体" w:eastAsia="宋体" w:cs="宋体"/>
                <w:color w:val="auto"/>
                <w:sz w:val="21"/>
                <w:szCs w:val="21"/>
                <w:u w:val="single"/>
              </w:rPr>
              <w:t>如为联合体参加磋商的，除联合体协议书由联合体成员单位各自盖章</w:t>
            </w:r>
            <w:r>
              <w:rPr>
                <w:rFonts w:hint="eastAsia" w:ascii="宋体" w:hAnsi="宋体" w:eastAsia="宋体" w:cs="宋体"/>
                <w:color w:val="auto"/>
                <w:sz w:val="21"/>
                <w:szCs w:val="21"/>
                <w:u w:val="single"/>
                <w:lang w:val="en-US" w:eastAsia="zh-CN"/>
              </w:rPr>
              <w:t>及响应文件格式中明确要求联合体成员单位盖章的地方</w:t>
            </w:r>
            <w:r>
              <w:rPr>
                <w:rFonts w:hint="eastAsia" w:ascii="宋体" w:hAnsi="宋体" w:eastAsia="宋体" w:cs="宋体"/>
                <w:color w:val="auto"/>
                <w:sz w:val="21"/>
                <w:szCs w:val="21"/>
                <w:u w:val="single"/>
              </w:rPr>
              <w:t>外，其余签名或签章均由联合体牵头人完成。</w:t>
            </w:r>
          </w:p>
        </w:tc>
      </w:tr>
      <w:tr w14:paraId="70AE2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4F5A16EE">
            <w:pPr>
              <w:pStyle w:val="17"/>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w:t>
            </w:r>
          </w:p>
        </w:tc>
        <w:tc>
          <w:tcPr>
            <w:tcW w:w="2009" w:type="dxa"/>
            <w:vAlign w:val="center"/>
          </w:tcPr>
          <w:p w14:paraId="65C84D1F">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pacing w:val="0"/>
                <w:sz w:val="21"/>
                <w:szCs w:val="21"/>
                <w:lang w:eastAsia="zh-CN"/>
              </w:rPr>
              <w:t>磋商</w:t>
            </w:r>
            <w:r>
              <w:rPr>
                <w:rFonts w:hint="eastAsia" w:ascii="宋体" w:hAnsi="宋体" w:eastAsia="宋体" w:cs="宋体"/>
                <w:color w:val="auto"/>
                <w:spacing w:val="0"/>
                <w:sz w:val="21"/>
                <w:szCs w:val="21"/>
              </w:rPr>
              <w:t>保证金</w:t>
            </w:r>
          </w:p>
        </w:tc>
        <w:tc>
          <w:tcPr>
            <w:tcW w:w="6917" w:type="dxa"/>
          </w:tcPr>
          <w:p w14:paraId="622887FB">
            <w:pPr>
              <w:pStyle w:val="197"/>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详见“</w:t>
            </w:r>
            <w:r>
              <w:rPr>
                <w:rFonts w:hint="eastAsia" w:ascii="宋体" w:hAnsi="宋体" w:cs="宋体"/>
                <w:color w:val="auto"/>
                <w:sz w:val="21"/>
                <w:szCs w:val="21"/>
                <w:lang w:val="en-US" w:eastAsia="zh-CN"/>
              </w:rPr>
              <w:t>竞争性</w:t>
            </w:r>
            <w:r>
              <w:rPr>
                <w:rFonts w:hint="eastAsia" w:ascii="宋体" w:hAnsi="宋体" w:cs="宋体"/>
                <w:color w:val="auto"/>
                <w:sz w:val="21"/>
                <w:szCs w:val="21"/>
                <w:lang w:eastAsia="zh-CN"/>
              </w:rPr>
              <w:t>磋商公告”。</w:t>
            </w:r>
          </w:p>
        </w:tc>
      </w:tr>
      <w:tr w14:paraId="49B1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33557FA4">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w:t>
            </w:r>
          </w:p>
        </w:tc>
        <w:tc>
          <w:tcPr>
            <w:tcW w:w="2009" w:type="dxa"/>
            <w:vAlign w:val="center"/>
          </w:tcPr>
          <w:p w14:paraId="53439CE5">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hAnsi="宋体" w:cs="宋体"/>
                <w:color w:val="auto"/>
                <w:sz w:val="21"/>
                <w:szCs w:val="21"/>
                <w:lang w:val="en-US" w:eastAsia="zh-CN"/>
              </w:rPr>
              <w:t>磋商</w:t>
            </w:r>
            <w:r>
              <w:rPr>
                <w:rFonts w:hint="eastAsia" w:ascii="宋体" w:hAnsi="宋体" w:eastAsia="宋体" w:cs="宋体"/>
                <w:color w:val="auto"/>
                <w:sz w:val="21"/>
                <w:szCs w:val="21"/>
              </w:rPr>
              <w:t>有效期</w:t>
            </w:r>
          </w:p>
        </w:tc>
        <w:tc>
          <w:tcPr>
            <w:tcW w:w="6917" w:type="dxa"/>
          </w:tcPr>
          <w:p w14:paraId="4AD80E61">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磋商会议</w:t>
            </w:r>
            <w:r>
              <w:rPr>
                <w:rFonts w:hint="eastAsia" w:ascii="宋体" w:hAnsi="宋体" w:eastAsia="宋体" w:cs="宋体"/>
                <w:color w:val="auto"/>
                <w:sz w:val="21"/>
                <w:szCs w:val="21"/>
              </w:rPr>
              <w:t>之日起</w:t>
            </w:r>
            <w:r>
              <w:rPr>
                <w:rFonts w:hint="eastAsia" w:ascii="宋体" w:hAnsi="宋体" w:eastAsia="宋体" w:cs="宋体"/>
                <w:color w:val="auto"/>
                <w:sz w:val="21"/>
                <w:szCs w:val="21"/>
                <w:lang w:val="en-US" w:eastAsia="zh-CN"/>
              </w:rPr>
              <w:t>90</w:t>
            </w:r>
            <w:r>
              <w:rPr>
                <w:rFonts w:hint="eastAsia" w:ascii="宋体" w:hAnsi="宋体" w:eastAsia="宋体" w:cs="宋体"/>
                <w:color w:val="auto"/>
                <w:sz w:val="21"/>
                <w:szCs w:val="21"/>
              </w:rPr>
              <w:t>日历天</w:t>
            </w:r>
          </w:p>
        </w:tc>
      </w:tr>
      <w:tr w14:paraId="3A0BF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1211E785">
            <w:pPr>
              <w:pStyle w:val="17"/>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5</w:t>
            </w:r>
          </w:p>
        </w:tc>
        <w:tc>
          <w:tcPr>
            <w:tcW w:w="2009" w:type="dxa"/>
            <w:vAlign w:val="center"/>
          </w:tcPr>
          <w:p w14:paraId="694E68CA">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磋商会议</w:t>
            </w:r>
            <w:r>
              <w:rPr>
                <w:rFonts w:hint="eastAsia" w:ascii="宋体" w:hAnsi="宋体" w:eastAsia="宋体" w:cs="宋体"/>
                <w:color w:val="auto"/>
                <w:sz w:val="21"/>
                <w:szCs w:val="21"/>
              </w:rPr>
              <w:t>截止时间</w:t>
            </w:r>
          </w:p>
        </w:tc>
        <w:tc>
          <w:tcPr>
            <w:tcW w:w="6917" w:type="dxa"/>
            <w:vAlign w:val="center"/>
          </w:tcPr>
          <w:p w14:paraId="71DB7C99">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pacing w:val="-11"/>
                <w:kern w:val="2"/>
                <w:sz w:val="21"/>
                <w:szCs w:val="21"/>
                <w:lang w:val="en-US" w:eastAsia="zh-CN" w:bidi="ar-SA"/>
              </w:rPr>
            </w:pPr>
            <w:r>
              <w:rPr>
                <w:rFonts w:hint="eastAsia" w:hAnsi="宋体" w:cs="宋体"/>
                <w:color w:val="auto"/>
                <w:spacing w:val="0"/>
                <w:sz w:val="21"/>
                <w:szCs w:val="21"/>
                <w:highlight w:val="none"/>
                <w:u w:val="none"/>
                <w:lang w:val="en-US" w:eastAsia="zh-CN"/>
              </w:rPr>
              <w:t>2025年02月28日14时30分</w:t>
            </w:r>
            <w:r>
              <w:rPr>
                <w:rFonts w:hint="eastAsia" w:ascii="宋体" w:hAnsi="宋体" w:eastAsia="宋体" w:cs="宋体"/>
                <w:color w:val="auto"/>
                <w:kern w:val="2"/>
                <w:sz w:val="21"/>
                <w:szCs w:val="21"/>
                <w:lang w:val="en-US" w:eastAsia="zh-CN" w:bidi="ar-SA"/>
              </w:rPr>
              <w:t>（北京时间）</w:t>
            </w:r>
            <w:r>
              <w:rPr>
                <w:rFonts w:hint="eastAsia" w:hAnsi="宋体" w:cs="宋体"/>
                <w:color w:val="auto"/>
                <w:kern w:val="2"/>
                <w:sz w:val="21"/>
                <w:szCs w:val="21"/>
                <w:lang w:val="en-US" w:eastAsia="zh-CN" w:bidi="ar-SA"/>
              </w:rPr>
              <w:t>。</w:t>
            </w:r>
          </w:p>
        </w:tc>
      </w:tr>
      <w:tr w14:paraId="70D19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58138F18">
            <w:pPr>
              <w:pStyle w:val="17"/>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6</w:t>
            </w:r>
          </w:p>
        </w:tc>
        <w:tc>
          <w:tcPr>
            <w:tcW w:w="2009" w:type="dxa"/>
            <w:vAlign w:val="center"/>
          </w:tcPr>
          <w:p w14:paraId="64206546">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的提交及份数</w:t>
            </w:r>
          </w:p>
        </w:tc>
        <w:tc>
          <w:tcPr>
            <w:tcW w:w="6917" w:type="dxa"/>
          </w:tcPr>
          <w:p w14:paraId="5B580A23">
            <w:pPr>
              <w:pStyle w:val="206"/>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递交方式：网上递交</w:t>
            </w:r>
          </w:p>
          <w:p w14:paraId="3A21CB2D">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申请人</w:t>
            </w:r>
            <w:r>
              <w:rPr>
                <w:rFonts w:hint="eastAsia" w:ascii="宋体" w:hAnsi="宋体" w:eastAsia="宋体" w:cs="宋体"/>
                <w:color w:val="auto"/>
                <w:sz w:val="21"/>
                <w:szCs w:val="21"/>
              </w:rPr>
              <w:t>应按照本项目磋商文件和"政采云"平台的要求编制、加密后在响应文件提交截止时间前上传至"政采云"平台，磋商文件提交截止时间前未完成响应文件上传的，视为撤回</w:t>
            </w:r>
            <w:r>
              <w:rPr>
                <w:rFonts w:hint="eastAsia" w:hAnsi="宋体" w:cs="宋体"/>
                <w:color w:val="auto"/>
                <w:sz w:val="21"/>
                <w:szCs w:val="21"/>
                <w:lang w:eastAsia="zh-CN"/>
              </w:rPr>
              <w:t>磋商申请文件</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申请人</w:t>
            </w:r>
            <w:r>
              <w:rPr>
                <w:rFonts w:hint="eastAsia" w:ascii="宋体" w:hAnsi="宋体" w:eastAsia="宋体" w:cs="宋体"/>
                <w:color w:val="auto"/>
                <w:sz w:val="21"/>
                <w:szCs w:val="21"/>
              </w:rPr>
              <w:t>在"政采云"平台提交电子版响应文件时，请填写参加远程采购活动经办人联系方式。</w:t>
            </w:r>
          </w:p>
        </w:tc>
      </w:tr>
      <w:tr w14:paraId="0A2F3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75D195C0">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1"/>
                <w:szCs w:val="21"/>
                <w:lang w:val="en-US" w:eastAsia="zh-CN"/>
              </w:rPr>
            </w:pPr>
            <w:r>
              <w:rPr>
                <w:rFonts w:hint="eastAsia" w:hAnsi="宋体" w:cs="宋体"/>
                <w:color w:val="auto"/>
                <w:sz w:val="21"/>
                <w:szCs w:val="21"/>
                <w:lang w:val="en-US" w:eastAsia="zh-CN"/>
              </w:rPr>
              <w:t>17</w:t>
            </w:r>
          </w:p>
        </w:tc>
        <w:tc>
          <w:tcPr>
            <w:tcW w:w="2009" w:type="dxa"/>
            <w:vAlign w:val="center"/>
          </w:tcPr>
          <w:p w14:paraId="7103F9C4">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磋商会议</w:t>
            </w:r>
            <w:r>
              <w:rPr>
                <w:rFonts w:hint="eastAsia" w:ascii="宋体" w:hAnsi="宋体" w:eastAsia="宋体" w:cs="宋体"/>
                <w:color w:val="auto"/>
                <w:sz w:val="21"/>
                <w:szCs w:val="21"/>
              </w:rPr>
              <w:t>时间和地点</w:t>
            </w:r>
          </w:p>
        </w:tc>
        <w:tc>
          <w:tcPr>
            <w:tcW w:w="6917" w:type="dxa"/>
          </w:tcPr>
          <w:p w14:paraId="2E9D1954">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磋商会议时间：同磋商会议截止时间</w:t>
            </w:r>
          </w:p>
          <w:p w14:paraId="74FA932B">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磋商会议地点：保山市隆阳区兰城街道金水路永昌文化园6号。</w:t>
            </w:r>
          </w:p>
        </w:tc>
      </w:tr>
      <w:tr w14:paraId="78907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7" w:type="dxa"/>
            <w:vAlign w:val="center"/>
          </w:tcPr>
          <w:p w14:paraId="51FE35F4">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1"/>
                <w:szCs w:val="21"/>
                <w:lang w:val="en-US" w:eastAsia="zh-CN"/>
              </w:rPr>
            </w:pPr>
            <w:r>
              <w:rPr>
                <w:rFonts w:hint="eastAsia" w:hAnsi="宋体" w:cs="宋体"/>
                <w:color w:val="auto"/>
                <w:sz w:val="21"/>
                <w:szCs w:val="21"/>
                <w:lang w:val="en-US" w:eastAsia="zh-CN"/>
              </w:rPr>
              <w:t>18</w:t>
            </w:r>
          </w:p>
        </w:tc>
        <w:tc>
          <w:tcPr>
            <w:tcW w:w="2009" w:type="dxa"/>
            <w:vAlign w:val="center"/>
          </w:tcPr>
          <w:p w14:paraId="257368B8">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评标方法</w:t>
            </w:r>
          </w:p>
        </w:tc>
        <w:tc>
          <w:tcPr>
            <w:tcW w:w="6917" w:type="dxa"/>
          </w:tcPr>
          <w:p w14:paraId="6A4C7FC6">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综合评分法</w:t>
            </w:r>
            <w:r>
              <w:rPr>
                <w:rFonts w:hint="eastAsia" w:hAnsi="宋体" w:cs="宋体"/>
                <w:color w:val="auto"/>
                <w:sz w:val="21"/>
                <w:szCs w:val="21"/>
                <w:lang w:eastAsia="zh-CN"/>
              </w:rPr>
              <w:t>。</w:t>
            </w:r>
          </w:p>
        </w:tc>
      </w:tr>
      <w:tr w14:paraId="64FDE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7" w:type="dxa"/>
            <w:vAlign w:val="center"/>
          </w:tcPr>
          <w:p w14:paraId="1D87D8DB">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1"/>
                <w:szCs w:val="21"/>
                <w:lang w:val="en-US" w:eastAsia="zh-CN"/>
              </w:rPr>
            </w:pPr>
            <w:r>
              <w:rPr>
                <w:rFonts w:hint="eastAsia" w:hAnsi="宋体" w:cs="宋体"/>
                <w:color w:val="auto"/>
                <w:sz w:val="21"/>
                <w:szCs w:val="21"/>
                <w:lang w:val="en-US" w:eastAsia="zh-CN"/>
              </w:rPr>
              <w:t>19</w:t>
            </w:r>
          </w:p>
        </w:tc>
        <w:tc>
          <w:tcPr>
            <w:tcW w:w="2009" w:type="dxa"/>
            <w:vAlign w:val="center"/>
          </w:tcPr>
          <w:p w14:paraId="3C8DEE15">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hAnsi="宋体" w:cs="宋体"/>
                <w:color w:val="auto"/>
                <w:sz w:val="21"/>
                <w:szCs w:val="21"/>
                <w:lang w:val="en-US" w:eastAsia="zh-CN"/>
              </w:rPr>
              <w:t>采购</w:t>
            </w:r>
            <w:r>
              <w:rPr>
                <w:rFonts w:hint="eastAsia" w:ascii="宋体" w:hAnsi="宋体" w:eastAsia="宋体" w:cs="宋体"/>
                <w:color w:val="auto"/>
                <w:sz w:val="21"/>
                <w:szCs w:val="21"/>
              </w:rPr>
              <w:t>代理服务费</w:t>
            </w:r>
          </w:p>
        </w:tc>
        <w:tc>
          <w:tcPr>
            <w:tcW w:w="6917" w:type="dxa"/>
          </w:tcPr>
          <w:p w14:paraId="5959FAD7">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招标代理机构发出成交通知书的同时，成交人向招标代理机构按标准支付招标代理服务费。本次招标产生的全部费用由成交人承担。</w:t>
            </w:r>
          </w:p>
        </w:tc>
      </w:tr>
      <w:tr w14:paraId="304BC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vAlign w:val="center"/>
          </w:tcPr>
          <w:p w14:paraId="6EF69A9C">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hAnsi="宋体" w:cs="宋体"/>
                <w:color w:val="auto"/>
                <w:sz w:val="21"/>
                <w:szCs w:val="21"/>
                <w:lang w:val="en-US" w:eastAsia="zh-CN"/>
              </w:rPr>
              <w:t>0</w:t>
            </w:r>
          </w:p>
        </w:tc>
        <w:tc>
          <w:tcPr>
            <w:tcW w:w="2009" w:type="dxa"/>
            <w:vAlign w:val="center"/>
          </w:tcPr>
          <w:p w14:paraId="484ED590">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履约保证金</w:t>
            </w:r>
          </w:p>
        </w:tc>
        <w:tc>
          <w:tcPr>
            <w:tcW w:w="6917" w:type="dxa"/>
          </w:tcPr>
          <w:p w14:paraId="760471DB">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不超过</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总报价（</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价）的10%，具体缴纳数额在签订合同时双方协商确定。</w:t>
            </w:r>
          </w:p>
        </w:tc>
      </w:tr>
      <w:tr w14:paraId="21CD8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7" w:type="dxa"/>
            <w:vAlign w:val="center"/>
          </w:tcPr>
          <w:p w14:paraId="1DC7C5D9">
            <w:pPr>
              <w:keepNext w:val="0"/>
              <w:keepLines w:val="0"/>
              <w:pageBreakBefore w:val="0"/>
              <w:widowControl w:val="0"/>
              <w:kinsoku/>
              <w:wordWrap/>
              <w:overflowPunct/>
              <w:topLinePunct w:val="0"/>
              <w:autoSpaceDE/>
              <w:autoSpaceDN/>
              <w:bidi w:val="0"/>
              <w:adjustRightInd/>
              <w:snapToGrid/>
              <w:spacing w:line="460" w:lineRule="exact"/>
              <w:ind w:left="-34" w:firstLine="33" w:firstLineChars="16"/>
              <w:jc w:val="center"/>
              <w:textAlignment w:val="auto"/>
              <w:rPr>
                <w:rFonts w:hint="default" w:ascii="宋体" w:hAnsi="宋体" w:eastAsia="宋体" w:cs="宋体"/>
                <w:color w:val="auto"/>
                <w:sz w:val="21"/>
                <w:szCs w:val="21"/>
                <w:lang w:val="en-US" w:eastAsia="zh-CN"/>
              </w:rPr>
            </w:pPr>
            <w:bookmarkStart w:id="47" w:name="_Toc364392609"/>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1</w:t>
            </w:r>
          </w:p>
        </w:tc>
        <w:tc>
          <w:tcPr>
            <w:tcW w:w="2009" w:type="dxa"/>
            <w:vAlign w:val="center"/>
          </w:tcPr>
          <w:p w14:paraId="18649FAE">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是否接受联合体投标</w:t>
            </w:r>
          </w:p>
        </w:tc>
        <w:tc>
          <w:tcPr>
            <w:tcW w:w="6917" w:type="dxa"/>
            <w:vAlign w:val="center"/>
          </w:tcPr>
          <w:p w14:paraId="62F228CC">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接受</w:t>
            </w:r>
            <w:r>
              <w:rPr>
                <w:rFonts w:hint="eastAsia" w:ascii="宋体" w:hAnsi="宋体" w:cs="宋体"/>
                <w:color w:val="auto"/>
                <w:sz w:val="21"/>
                <w:szCs w:val="21"/>
                <w:lang w:eastAsia="zh-CN"/>
              </w:rPr>
              <w:t>。</w:t>
            </w:r>
          </w:p>
        </w:tc>
      </w:tr>
      <w:tr w14:paraId="1E9FD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37" w:type="dxa"/>
            <w:vAlign w:val="center"/>
          </w:tcPr>
          <w:p w14:paraId="2E75B688">
            <w:pPr>
              <w:keepNext w:val="0"/>
              <w:keepLines w:val="0"/>
              <w:pageBreakBefore w:val="0"/>
              <w:widowControl w:val="0"/>
              <w:kinsoku/>
              <w:wordWrap/>
              <w:overflowPunct/>
              <w:topLinePunct w:val="0"/>
              <w:autoSpaceDE/>
              <w:autoSpaceDN/>
              <w:bidi w:val="0"/>
              <w:adjustRightInd/>
              <w:snapToGrid/>
              <w:spacing w:line="460" w:lineRule="exact"/>
              <w:ind w:left="-34" w:firstLine="33" w:firstLineChars="16"/>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2</w:t>
            </w:r>
          </w:p>
        </w:tc>
        <w:tc>
          <w:tcPr>
            <w:tcW w:w="2009" w:type="dxa"/>
            <w:vAlign w:val="center"/>
          </w:tcPr>
          <w:p w14:paraId="017C37CD">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eastAsia="zh-CN"/>
              </w:rPr>
            </w:pPr>
            <w:r>
              <w:rPr>
                <w:rFonts w:hint="eastAsia" w:hAnsi="宋体" w:cs="宋体"/>
                <w:color w:val="auto"/>
                <w:sz w:val="21"/>
                <w:szCs w:val="21"/>
                <w:lang w:eastAsia="zh-CN"/>
              </w:rPr>
              <w:t>磋商</w:t>
            </w:r>
            <w:r>
              <w:rPr>
                <w:rFonts w:hint="eastAsia" w:ascii="宋体" w:hAnsi="宋体" w:eastAsia="宋体" w:cs="宋体"/>
                <w:color w:val="auto"/>
                <w:sz w:val="21"/>
                <w:szCs w:val="21"/>
                <w:lang w:eastAsia="zh-CN"/>
              </w:rPr>
              <w:t>报价、结算方法及最高限价</w:t>
            </w:r>
          </w:p>
        </w:tc>
        <w:tc>
          <w:tcPr>
            <w:tcW w:w="6917" w:type="dxa"/>
            <w:vAlign w:val="center"/>
          </w:tcPr>
          <w:p w14:paraId="2EDB5692">
            <w:pPr>
              <w:keepNext w:val="0"/>
              <w:keepLines w:val="0"/>
              <w:pageBreakBefore w:val="0"/>
              <w:kinsoku/>
              <w:wordWrap/>
              <w:overflowPunct/>
              <w:topLinePunct w:val="0"/>
              <w:autoSpaceDE/>
              <w:autoSpaceDN/>
              <w:bidi w:val="0"/>
              <w:adjustRightInd/>
              <w:snapToGrid/>
              <w:spacing w:after="0" w:line="400" w:lineRule="exact"/>
              <w:jc w:val="left"/>
              <w:textAlignment w:val="auto"/>
              <w:rPr>
                <w:rFonts w:hint="eastAsia" w:ascii="宋体" w:hAnsi="宋体" w:eastAsia="宋体" w:cs="宋体"/>
                <w:color w:val="auto"/>
              </w:rPr>
            </w:pPr>
            <w:r>
              <w:rPr>
                <w:rFonts w:hint="eastAsia" w:ascii="宋体" w:hAnsi="宋体" w:cs="宋体"/>
                <w:b/>
                <w:bCs/>
                <w:color w:val="auto"/>
                <w:lang w:val="en-US" w:eastAsia="zh-CN"/>
              </w:rPr>
              <w:t>设</w:t>
            </w:r>
            <w:r>
              <w:rPr>
                <w:rFonts w:hint="eastAsia" w:ascii="宋体" w:hAnsi="宋体" w:eastAsia="宋体" w:cs="宋体"/>
                <w:b/>
                <w:bCs/>
                <w:color w:val="auto"/>
              </w:rPr>
              <w:t>计部分：</w:t>
            </w:r>
            <w:r>
              <w:rPr>
                <w:rFonts w:hint="eastAsia" w:ascii="宋体" w:hAnsi="宋体" w:eastAsia="宋体" w:cs="宋体"/>
                <w:color w:val="auto"/>
              </w:rPr>
              <w:t>设计费应结合《国家发展改革委关于进一步放开建设项目专业服务价格的通知》（发改价格〔2015〕299号）规定及《工程勘察设计收费标准》（计价格（2002）10号）文件要求</w:t>
            </w:r>
            <w:r>
              <w:rPr>
                <w:rFonts w:hint="eastAsia" w:ascii="宋体" w:hAnsi="宋体" w:cs="宋体"/>
                <w:color w:val="auto"/>
                <w:lang w:val="en-US" w:eastAsia="zh-CN"/>
              </w:rPr>
              <w:t>报固定</w:t>
            </w:r>
            <w:r>
              <w:rPr>
                <w:rFonts w:hint="eastAsia" w:ascii="宋体" w:hAnsi="宋体" w:cs="宋体"/>
                <w:color w:val="auto"/>
                <w:u w:val="single"/>
                <w:lang w:val="en-US" w:eastAsia="zh-CN"/>
              </w:rPr>
              <w:t>总价</w:t>
            </w:r>
            <w:r>
              <w:rPr>
                <w:rFonts w:hint="eastAsia" w:ascii="宋体" w:hAnsi="宋体" w:eastAsia="宋体" w:cs="宋体"/>
                <w:color w:val="auto"/>
              </w:rPr>
              <w:t>。</w:t>
            </w:r>
          </w:p>
          <w:p w14:paraId="5284E7D8">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default" w:ascii="宋体" w:hAnsi="宋体" w:eastAsia="宋体" w:cs="宋体"/>
                <w:color w:val="auto"/>
                <w:sz w:val="21"/>
                <w:szCs w:val="21"/>
                <w:lang w:val="en-US" w:eastAsia="zh-CN"/>
              </w:rPr>
            </w:pPr>
            <w:r>
              <w:rPr>
                <w:rFonts w:hint="eastAsia" w:ascii="宋体" w:hAnsi="宋体" w:eastAsia="宋体" w:cs="宋体"/>
                <w:b/>
                <w:bCs/>
                <w:color w:val="auto"/>
              </w:rPr>
              <w:t>施工部分：</w:t>
            </w:r>
            <w:r>
              <w:rPr>
                <w:rFonts w:hint="eastAsia" w:ascii="宋体" w:hAnsi="宋体" w:eastAsia="宋体" w:cs="宋体"/>
                <w:color w:val="auto"/>
              </w:rPr>
              <w:t>本项目施工费用报</w:t>
            </w:r>
            <w:r>
              <w:rPr>
                <w:rFonts w:hint="eastAsia" w:ascii="宋体" w:hAnsi="宋体" w:cs="宋体"/>
                <w:color w:val="auto"/>
                <w:lang w:val="en-US" w:eastAsia="zh-CN"/>
              </w:rPr>
              <w:t>固定</w:t>
            </w:r>
            <w:r>
              <w:rPr>
                <w:rFonts w:hint="eastAsia" w:ascii="宋体" w:hAnsi="宋体" w:cs="宋体"/>
                <w:color w:val="auto"/>
                <w:u w:val="single"/>
                <w:lang w:val="en-US" w:eastAsia="zh-CN"/>
              </w:rPr>
              <w:t>总价</w:t>
            </w:r>
            <w:r>
              <w:rPr>
                <w:rFonts w:hint="eastAsia" w:ascii="宋体" w:hAnsi="宋体" w:cs="宋体"/>
                <w:color w:val="auto"/>
                <w:lang w:val="en-US" w:eastAsia="zh-CN"/>
              </w:rPr>
              <w:t>。</w:t>
            </w:r>
          </w:p>
        </w:tc>
      </w:tr>
      <w:tr w14:paraId="3F2D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937" w:type="dxa"/>
            <w:vAlign w:val="center"/>
          </w:tcPr>
          <w:p w14:paraId="49DEC417">
            <w:pPr>
              <w:keepNext w:val="0"/>
              <w:keepLines w:val="0"/>
              <w:pageBreakBefore w:val="0"/>
              <w:widowControl w:val="0"/>
              <w:kinsoku/>
              <w:wordWrap/>
              <w:overflowPunct/>
              <w:topLinePunct w:val="0"/>
              <w:autoSpaceDE/>
              <w:autoSpaceDN/>
              <w:bidi w:val="0"/>
              <w:adjustRightInd/>
              <w:snapToGrid/>
              <w:spacing w:line="460" w:lineRule="exact"/>
              <w:ind w:left="-34" w:firstLine="33" w:firstLineChars="16"/>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3</w:t>
            </w:r>
          </w:p>
        </w:tc>
        <w:tc>
          <w:tcPr>
            <w:tcW w:w="2009" w:type="dxa"/>
            <w:vAlign w:val="center"/>
          </w:tcPr>
          <w:p w14:paraId="7F42B23C">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是否退还</w:t>
            </w:r>
            <w:r>
              <w:rPr>
                <w:rFonts w:hint="eastAsia" w:ascii="宋体" w:hAnsi="宋体" w:eastAsia="宋体" w:cs="宋体"/>
                <w:color w:val="auto"/>
                <w:sz w:val="21"/>
                <w:szCs w:val="21"/>
                <w:lang w:eastAsia="zh-CN"/>
              </w:rPr>
              <w:t>磋商申请文件</w:t>
            </w:r>
          </w:p>
        </w:tc>
        <w:tc>
          <w:tcPr>
            <w:tcW w:w="6917" w:type="dxa"/>
            <w:vAlign w:val="center"/>
          </w:tcPr>
          <w:p w14:paraId="186195DE">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否</w:t>
            </w:r>
          </w:p>
        </w:tc>
      </w:tr>
      <w:tr w14:paraId="57FE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37" w:type="dxa"/>
            <w:vAlign w:val="center"/>
          </w:tcPr>
          <w:p w14:paraId="7ECBA2E5">
            <w:pPr>
              <w:keepNext w:val="0"/>
              <w:keepLines w:val="0"/>
              <w:pageBreakBefore w:val="0"/>
              <w:widowControl w:val="0"/>
              <w:kinsoku/>
              <w:wordWrap/>
              <w:overflowPunct/>
              <w:topLinePunct w:val="0"/>
              <w:autoSpaceDE/>
              <w:autoSpaceDN/>
              <w:bidi w:val="0"/>
              <w:adjustRightInd/>
              <w:snapToGrid/>
              <w:spacing w:line="460" w:lineRule="exact"/>
              <w:ind w:left="-34" w:firstLine="33" w:firstLineChars="16"/>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4</w:t>
            </w:r>
          </w:p>
        </w:tc>
        <w:tc>
          <w:tcPr>
            <w:tcW w:w="2009" w:type="dxa"/>
            <w:vAlign w:val="center"/>
          </w:tcPr>
          <w:p w14:paraId="74CA8B6B">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磋商会议</w:t>
            </w:r>
            <w:r>
              <w:rPr>
                <w:rFonts w:hint="eastAsia" w:ascii="宋体" w:hAnsi="宋体" w:eastAsia="宋体" w:cs="宋体"/>
                <w:color w:val="auto"/>
                <w:sz w:val="21"/>
                <w:szCs w:val="21"/>
              </w:rPr>
              <w:t>程序</w:t>
            </w:r>
          </w:p>
        </w:tc>
        <w:tc>
          <w:tcPr>
            <w:tcW w:w="6917" w:type="dxa"/>
          </w:tcPr>
          <w:p w14:paraId="3C8D62BD">
            <w:pPr>
              <w:pStyle w:val="206"/>
              <w:keepNext w:val="0"/>
              <w:keepLines w:val="0"/>
              <w:pageBreakBefore w:val="0"/>
              <w:kinsoku/>
              <w:wordWrap/>
              <w:overflowPunct/>
              <w:topLinePunct w:val="0"/>
              <w:autoSpaceDE/>
              <w:autoSpaceDN/>
              <w:bidi w:val="0"/>
              <w:adjustRightInd/>
              <w:snapToGrid/>
              <w:spacing w:line="440" w:lineRule="exact"/>
              <w:ind w:left="0" w:right="0" w:rightChars="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密封情况检查：按照</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要求密封完好；</w:t>
            </w:r>
          </w:p>
          <w:p w14:paraId="04AC7126">
            <w:pPr>
              <w:pStyle w:val="110"/>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开标顺序：</w:t>
            </w:r>
            <w:r>
              <w:rPr>
                <w:rFonts w:hint="eastAsia" w:ascii="宋体" w:hAnsi="宋体" w:eastAsia="宋体" w:cs="宋体"/>
                <w:color w:val="auto"/>
                <w:sz w:val="21"/>
                <w:szCs w:val="21"/>
                <w:lang w:eastAsia="zh-CN"/>
              </w:rPr>
              <w:t>随机抽取的方式打开磋商申请人的磋商申请文件。</w:t>
            </w:r>
          </w:p>
        </w:tc>
      </w:tr>
      <w:tr w14:paraId="500F5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37" w:type="dxa"/>
            <w:vAlign w:val="center"/>
          </w:tcPr>
          <w:p w14:paraId="370C99BA">
            <w:pPr>
              <w:keepNext w:val="0"/>
              <w:keepLines w:val="0"/>
              <w:pageBreakBefore w:val="0"/>
              <w:widowControl w:val="0"/>
              <w:kinsoku/>
              <w:wordWrap/>
              <w:overflowPunct/>
              <w:topLinePunct w:val="0"/>
              <w:autoSpaceDE/>
              <w:autoSpaceDN/>
              <w:bidi w:val="0"/>
              <w:adjustRightInd/>
              <w:snapToGrid/>
              <w:spacing w:line="460" w:lineRule="exact"/>
              <w:ind w:left="-34" w:firstLine="33" w:firstLineChars="16"/>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5</w:t>
            </w:r>
          </w:p>
        </w:tc>
        <w:tc>
          <w:tcPr>
            <w:tcW w:w="2009" w:type="dxa"/>
            <w:vAlign w:val="center"/>
          </w:tcPr>
          <w:p w14:paraId="628DF27D">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的组建</w:t>
            </w:r>
          </w:p>
        </w:tc>
        <w:tc>
          <w:tcPr>
            <w:tcW w:w="6917" w:type="dxa"/>
          </w:tcPr>
          <w:p w14:paraId="24299F4C">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构成：</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人（含</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人）以上单数；</w:t>
            </w:r>
          </w:p>
          <w:p w14:paraId="0F7165C6">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确定方式：</w:t>
            </w:r>
            <w:r>
              <w:rPr>
                <w:rFonts w:hint="eastAsia" w:ascii="宋体" w:hAnsi="宋体" w:eastAsia="宋体" w:cs="宋体"/>
                <w:color w:val="auto"/>
                <w:sz w:val="21"/>
                <w:szCs w:val="21"/>
                <w:lang w:eastAsia="zh-CN"/>
              </w:rPr>
              <w:t>采购人代表和</w:t>
            </w:r>
            <w:r>
              <w:rPr>
                <w:rFonts w:hint="eastAsia" w:ascii="宋体" w:hAnsi="宋体" w:eastAsia="宋体" w:cs="宋体"/>
                <w:color w:val="auto"/>
                <w:sz w:val="21"/>
                <w:szCs w:val="21"/>
              </w:rPr>
              <w:t>专家库中随机抽取。</w:t>
            </w:r>
          </w:p>
        </w:tc>
      </w:tr>
      <w:tr w14:paraId="3202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37" w:type="dxa"/>
            <w:vAlign w:val="center"/>
          </w:tcPr>
          <w:p w14:paraId="0E43C456">
            <w:pPr>
              <w:keepNext w:val="0"/>
              <w:keepLines w:val="0"/>
              <w:pageBreakBefore w:val="0"/>
              <w:widowControl w:val="0"/>
              <w:kinsoku/>
              <w:wordWrap/>
              <w:overflowPunct/>
              <w:topLinePunct w:val="0"/>
              <w:autoSpaceDE/>
              <w:autoSpaceDN/>
              <w:bidi w:val="0"/>
              <w:adjustRightInd/>
              <w:snapToGrid/>
              <w:spacing w:line="460" w:lineRule="exact"/>
              <w:ind w:left="-34" w:firstLine="33" w:firstLineChars="16"/>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6</w:t>
            </w:r>
          </w:p>
        </w:tc>
        <w:tc>
          <w:tcPr>
            <w:tcW w:w="2009" w:type="dxa"/>
            <w:vAlign w:val="center"/>
          </w:tcPr>
          <w:p w14:paraId="72CBBA85">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是否授权</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确定</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w:t>
            </w:r>
          </w:p>
        </w:tc>
        <w:tc>
          <w:tcPr>
            <w:tcW w:w="6917" w:type="dxa"/>
            <w:vAlign w:val="center"/>
          </w:tcPr>
          <w:p w14:paraId="32CA86DD">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否、推荐的</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候选人数：3家</w:t>
            </w:r>
            <w:r>
              <w:rPr>
                <w:rFonts w:hint="eastAsia" w:ascii="宋体" w:hAnsi="宋体" w:cs="宋体"/>
                <w:color w:val="auto"/>
                <w:sz w:val="21"/>
                <w:szCs w:val="21"/>
                <w:lang w:eastAsia="zh-CN"/>
              </w:rPr>
              <w:t>。</w:t>
            </w:r>
          </w:p>
        </w:tc>
      </w:tr>
      <w:tr w14:paraId="73F0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vAlign w:val="center"/>
          </w:tcPr>
          <w:p w14:paraId="2734A5EC">
            <w:pPr>
              <w:keepNext w:val="0"/>
              <w:keepLines w:val="0"/>
              <w:pageBreakBefore w:val="0"/>
              <w:widowControl w:val="0"/>
              <w:kinsoku/>
              <w:wordWrap/>
              <w:overflowPunct/>
              <w:topLinePunct w:val="0"/>
              <w:autoSpaceDE/>
              <w:autoSpaceDN/>
              <w:bidi w:val="0"/>
              <w:adjustRightInd/>
              <w:snapToGrid/>
              <w:spacing w:line="460" w:lineRule="exact"/>
              <w:ind w:left="-34" w:firstLine="33" w:firstLineChars="16"/>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7</w:t>
            </w:r>
          </w:p>
        </w:tc>
        <w:tc>
          <w:tcPr>
            <w:tcW w:w="2009" w:type="dxa"/>
            <w:vAlign w:val="center"/>
          </w:tcPr>
          <w:p w14:paraId="1033DEED">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lang w:eastAsia="zh-CN"/>
              </w:rPr>
            </w:pPr>
            <w:r>
              <w:rPr>
                <w:rFonts w:hint="eastAsia" w:hAnsi="宋体" w:cs="宋体"/>
                <w:color w:val="auto"/>
                <w:sz w:val="21"/>
                <w:szCs w:val="21"/>
                <w:lang w:eastAsia="zh-CN"/>
              </w:rPr>
              <w:t>最高限价</w:t>
            </w:r>
          </w:p>
        </w:tc>
        <w:tc>
          <w:tcPr>
            <w:tcW w:w="6917" w:type="dxa"/>
          </w:tcPr>
          <w:p w14:paraId="7EF1DCF9">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lang w:val="en-US" w:eastAsia="zh-CN"/>
              </w:rPr>
            </w:pPr>
            <w:r>
              <w:rPr>
                <w:rFonts w:hint="eastAsia" w:ascii="宋体" w:hAnsi="宋体" w:cs="宋体"/>
                <w:b/>
                <w:bCs/>
                <w:color w:val="auto"/>
                <w:sz w:val="21"/>
                <w:szCs w:val="21"/>
                <w:u w:val="single"/>
                <w:lang w:val="en-US" w:eastAsia="zh-CN"/>
              </w:rPr>
              <w:t>本项目最高限价：￥860000.00元</w:t>
            </w:r>
            <w:r>
              <w:rPr>
                <w:rFonts w:hint="eastAsia" w:ascii="宋体" w:hAnsi="宋体" w:eastAsia="宋体" w:cs="宋体"/>
                <w:b/>
                <w:bCs/>
                <w:color w:val="auto"/>
                <w:sz w:val="21"/>
                <w:szCs w:val="21"/>
                <w:u w:val="single"/>
                <w:lang w:val="en-US" w:eastAsia="zh-CN"/>
              </w:rPr>
              <w:t>（</w:t>
            </w:r>
            <w:r>
              <w:rPr>
                <w:rFonts w:hint="eastAsia" w:ascii="宋体" w:hAnsi="宋体" w:cs="宋体"/>
                <w:b/>
                <w:bCs/>
                <w:color w:val="auto"/>
                <w:sz w:val="21"/>
                <w:szCs w:val="21"/>
                <w:u w:val="single"/>
                <w:lang w:val="en-US" w:eastAsia="zh-CN"/>
              </w:rPr>
              <w:t>其中</w:t>
            </w:r>
            <w:r>
              <w:rPr>
                <w:rFonts w:hint="eastAsia" w:ascii="宋体" w:hAnsi="宋体" w:eastAsia="宋体" w:cs="宋体"/>
                <w:b/>
                <w:bCs/>
                <w:color w:val="auto"/>
                <w:sz w:val="21"/>
                <w:szCs w:val="21"/>
                <w:u w:val="single"/>
                <w:lang w:val="en-US" w:eastAsia="zh-CN"/>
              </w:rPr>
              <w:t>设计部分￥25000.00元，施工部分￥</w:t>
            </w:r>
            <w:r>
              <w:rPr>
                <w:rFonts w:hint="eastAsia" w:ascii="宋体" w:hAnsi="宋体" w:cs="宋体"/>
                <w:b/>
                <w:bCs/>
                <w:color w:val="auto"/>
                <w:sz w:val="21"/>
                <w:szCs w:val="21"/>
                <w:u w:val="single"/>
                <w:lang w:val="en-US" w:eastAsia="zh-CN"/>
              </w:rPr>
              <w:t>835</w:t>
            </w:r>
            <w:r>
              <w:rPr>
                <w:rFonts w:hint="eastAsia" w:ascii="宋体" w:hAnsi="宋体" w:eastAsia="宋体" w:cs="宋体"/>
                <w:b/>
                <w:bCs/>
                <w:color w:val="auto"/>
                <w:sz w:val="21"/>
                <w:szCs w:val="21"/>
                <w:u w:val="single"/>
                <w:lang w:val="en-US" w:eastAsia="zh-CN"/>
              </w:rPr>
              <w:t>000.00元）</w:t>
            </w:r>
            <w:r>
              <w:rPr>
                <w:rFonts w:hint="eastAsia" w:ascii="宋体" w:hAnsi="宋体" w:eastAsia="宋体" w:cs="宋体"/>
                <w:color w:val="auto"/>
                <w:sz w:val="21"/>
                <w:szCs w:val="21"/>
                <w:lang w:val="en-US" w:eastAsia="zh-CN"/>
              </w:rPr>
              <w:t>。</w:t>
            </w:r>
          </w:p>
          <w:p w14:paraId="1E86C6F0">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报价不得超出控制价，否则</w:t>
            </w: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作无效标处理。</w:t>
            </w:r>
          </w:p>
        </w:tc>
      </w:tr>
      <w:tr w14:paraId="6E0F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37" w:type="dxa"/>
            <w:vAlign w:val="center"/>
          </w:tcPr>
          <w:p w14:paraId="3028E16B">
            <w:pPr>
              <w:keepNext w:val="0"/>
              <w:keepLines w:val="0"/>
              <w:pageBreakBefore w:val="0"/>
              <w:widowControl w:val="0"/>
              <w:kinsoku/>
              <w:wordWrap/>
              <w:overflowPunct/>
              <w:topLinePunct w:val="0"/>
              <w:autoSpaceDE/>
              <w:autoSpaceDN/>
              <w:bidi w:val="0"/>
              <w:adjustRightInd/>
              <w:snapToGrid/>
              <w:spacing w:line="460" w:lineRule="exact"/>
              <w:ind w:left="-34" w:firstLine="33" w:firstLineChars="16"/>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28</w:t>
            </w:r>
          </w:p>
        </w:tc>
        <w:tc>
          <w:tcPr>
            <w:tcW w:w="2009" w:type="dxa"/>
            <w:vAlign w:val="center"/>
          </w:tcPr>
          <w:p w14:paraId="5CD11A73">
            <w:pPr>
              <w:pStyle w:val="110"/>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其他补充</w:t>
            </w:r>
          </w:p>
        </w:tc>
        <w:tc>
          <w:tcPr>
            <w:tcW w:w="6917" w:type="dxa"/>
          </w:tcPr>
          <w:p w14:paraId="78E3AD26">
            <w:pPr>
              <w:pStyle w:val="45"/>
              <w:keepNext w:val="0"/>
              <w:keepLines w:val="0"/>
              <w:pageBreakBefore w:val="0"/>
              <w:widowControl w:val="0"/>
              <w:kinsoku/>
              <w:wordWrap/>
              <w:topLinePunct w:val="0"/>
              <w:bidi w:val="0"/>
              <w:snapToGrid/>
              <w:spacing w:line="480" w:lineRule="exact"/>
              <w:rPr>
                <w:rFonts w:hint="default" w:ascii="宋体" w:hAnsi="宋体" w:eastAsia="宋体" w:cs="宋体"/>
                <w:color w:val="auto"/>
                <w:lang w:val="en-US" w:eastAsia="zh-CN"/>
              </w:rPr>
            </w:pPr>
            <w:r>
              <w:rPr>
                <w:rFonts w:hint="default" w:ascii="宋体" w:hAnsi="宋体" w:eastAsia="宋体" w:cs="宋体"/>
                <w:color w:val="auto"/>
                <w:lang w:val="en-US" w:eastAsia="zh-CN"/>
              </w:rPr>
              <w:t>1.申请人须充分了解项目所在地实际情况，同时在采购人规定的时间内完成</w:t>
            </w:r>
            <w:r>
              <w:rPr>
                <w:rFonts w:hint="eastAsia" w:ascii="宋体" w:hAnsi="宋体" w:cs="宋体"/>
                <w:color w:val="auto"/>
                <w:lang w:val="en-US" w:eastAsia="zh-CN"/>
              </w:rPr>
              <w:t>全部</w:t>
            </w:r>
            <w:r>
              <w:rPr>
                <w:rFonts w:hint="default" w:ascii="宋体" w:hAnsi="宋体" w:eastAsia="宋体" w:cs="宋体"/>
                <w:color w:val="auto"/>
                <w:lang w:val="en-US" w:eastAsia="zh-CN"/>
              </w:rPr>
              <w:t>工作。各申请人根据自家单位情况，自行组织实地踏勘，确保磋商报价准确无误，顺利完成各项服务工作。申请人应承诺成交后将不会以不了解现场为由，提出磋商报价以外的任何费用要求。参与本次投标产生的全部费用由申请人承担。</w:t>
            </w:r>
          </w:p>
          <w:p w14:paraId="38D13F40">
            <w:pPr>
              <w:pStyle w:val="45"/>
              <w:keepNext w:val="0"/>
              <w:keepLines w:val="0"/>
              <w:pageBreakBefore w:val="0"/>
              <w:widowControl w:val="0"/>
              <w:kinsoku/>
              <w:wordWrap/>
              <w:topLinePunct w:val="0"/>
              <w:bidi w:val="0"/>
              <w:snapToGrid/>
              <w:spacing w:line="480" w:lineRule="exact"/>
              <w:rPr>
                <w:rFonts w:hint="default" w:ascii="宋体" w:hAnsi="宋体" w:eastAsia="宋体" w:cs="宋体"/>
                <w:color w:val="auto"/>
                <w:lang w:val="en-US" w:eastAsia="zh-CN"/>
              </w:rPr>
            </w:pPr>
            <w:r>
              <w:rPr>
                <w:rFonts w:hint="default" w:ascii="宋体" w:hAnsi="宋体" w:eastAsia="宋体" w:cs="宋体"/>
                <w:color w:val="auto"/>
                <w:lang w:val="en-US" w:eastAsia="zh-CN"/>
              </w:rPr>
              <w:t>3.本项目采购代理服务费按照《云南省建设工程招标代理服务收费参考意见》云建招协〔2024〕58号文规定向成交人收取，供应商报价时须将采购代理服务费考虑在内。</w:t>
            </w:r>
          </w:p>
          <w:p w14:paraId="028A3A46">
            <w:pPr>
              <w:pStyle w:val="45"/>
              <w:keepNext w:val="0"/>
              <w:keepLines w:val="0"/>
              <w:pageBreakBefore w:val="0"/>
              <w:widowControl w:val="0"/>
              <w:kinsoku/>
              <w:wordWrap/>
              <w:topLinePunct w:val="0"/>
              <w:bidi w:val="0"/>
              <w:snapToGrid/>
              <w:spacing w:line="480" w:lineRule="exact"/>
              <w:rPr>
                <w:rFonts w:hint="default" w:ascii="宋体" w:hAnsi="宋体" w:eastAsia="宋体" w:cs="宋体"/>
                <w:color w:val="auto"/>
                <w:lang w:val="en-US" w:eastAsia="zh-CN"/>
              </w:rPr>
            </w:pPr>
            <w:r>
              <w:rPr>
                <w:rFonts w:hint="default" w:ascii="宋体" w:hAnsi="宋体" w:eastAsia="宋体" w:cs="宋体"/>
                <w:color w:val="auto"/>
                <w:lang w:val="en-US" w:eastAsia="zh-CN"/>
              </w:rPr>
              <w:t>4.</w:t>
            </w:r>
            <w:r>
              <w:rPr>
                <w:rFonts w:hint="eastAsia" w:ascii="宋体" w:hAnsi="宋体" w:cs="宋体"/>
                <w:color w:val="auto"/>
                <w:lang w:val="en-US" w:eastAsia="zh-CN"/>
              </w:rPr>
              <w:t>应采购人要求，</w:t>
            </w:r>
            <w:r>
              <w:rPr>
                <w:rFonts w:hint="default" w:ascii="宋体" w:hAnsi="宋体" w:eastAsia="宋体" w:cs="宋体"/>
                <w:color w:val="auto"/>
                <w:lang w:val="en-US" w:eastAsia="zh-CN"/>
              </w:rPr>
              <w:t>签订合同时</w:t>
            </w:r>
            <w:r>
              <w:rPr>
                <w:rFonts w:hint="eastAsia" w:ascii="宋体" w:hAnsi="宋体" w:cs="宋体"/>
                <w:color w:val="auto"/>
                <w:lang w:val="en-US" w:eastAsia="zh-CN"/>
              </w:rPr>
              <w:t>成交</w:t>
            </w:r>
            <w:r>
              <w:rPr>
                <w:rFonts w:hint="default" w:ascii="宋体" w:hAnsi="宋体" w:eastAsia="宋体" w:cs="宋体"/>
                <w:color w:val="auto"/>
                <w:lang w:val="en-US" w:eastAsia="zh-CN"/>
              </w:rPr>
              <w:t>人须提供一份与上传电子文件一致的纸质版的</w:t>
            </w:r>
            <w:r>
              <w:rPr>
                <w:rFonts w:hint="eastAsia" w:ascii="宋体" w:hAnsi="宋体" w:cs="宋体"/>
                <w:color w:val="auto"/>
                <w:lang w:val="en-US" w:eastAsia="zh-CN"/>
              </w:rPr>
              <w:t>磋商申请文件</w:t>
            </w:r>
            <w:r>
              <w:rPr>
                <w:rFonts w:hint="default" w:ascii="宋体" w:hAnsi="宋体" w:eastAsia="宋体" w:cs="宋体"/>
                <w:color w:val="auto"/>
                <w:lang w:val="en-US" w:eastAsia="zh-CN"/>
              </w:rPr>
              <w:t>。</w:t>
            </w:r>
          </w:p>
          <w:p w14:paraId="05736BD1">
            <w:pPr>
              <w:pStyle w:val="45"/>
              <w:keepNext w:val="0"/>
              <w:keepLines w:val="0"/>
              <w:pageBreakBefore w:val="0"/>
              <w:widowControl w:val="0"/>
              <w:kinsoku/>
              <w:wordWrap/>
              <w:topLinePunct w:val="0"/>
              <w:bidi w:val="0"/>
              <w:snapToGrid/>
              <w:spacing w:line="480" w:lineRule="exact"/>
              <w:rPr>
                <w:rFonts w:hint="default" w:ascii="宋体" w:hAnsi="宋体" w:eastAsia="宋体" w:cs="宋体"/>
                <w:color w:val="auto"/>
                <w:lang w:val="en-US" w:eastAsia="zh-CN"/>
              </w:rPr>
            </w:pPr>
            <w:r>
              <w:rPr>
                <w:rFonts w:hint="default" w:ascii="宋体" w:hAnsi="宋体" w:eastAsia="宋体" w:cs="宋体"/>
                <w:color w:val="auto"/>
                <w:lang w:val="en-US" w:eastAsia="zh-CN"/>
              </w:rPr>
              <w:t>5.如</w:t>
            </w:r>
            <w:r>
              <w:rPr>
                <w:rFonts w:hint="eastAsia" w:ascii="宋体" w:hAnsi="宋体" w:cs="宋体"/>
                <w:color w:val="auto"/>
                <w:lang w:val="en-US" w:eastAsia="zh-CN"/>
              </w:rPr>
              <w:t>磋商文件</w:t>
            </w:r>
            <w:r>
              <w:rPr>
                <w:rFonts w:hint="default" w:ascii="宋体" w:hAnsi="宋体" w:eastAsia="宋体" w:cs="宋体"/>
                <w:color w:val="auto"/>
                <w:lang w:val="en-US" w:eastAsia="zh-CN"/>
              </w:rPr>
              <w:t>中有前后不一致的，以“</w:t>
            </w:r>
            <w:r>
              <w:rPr>
                <w:rFonts w:hint="eastAsia" w:ascii="宋体" w:hAnsi="宋体" w:cs="宋体"/>
                <w:color w:val="auto"/>
                <w:lang w:val="en-US" w:eastAsia="zh-CN"/>
              </w:rPr>
              <w:t>磋商申请人</w:t>
            </w:r>
            <w:r>
              <w:rPr>
                <w:rFonts w:hint="default" w:ascii="宋体" w:hAnsi="宋体" w:eastAsia="宋体" w:cs="宋体"/>
                <w:color w:val="auto"/>
                <w:lang w:val="en-US" w:eastAsia="zh-CN"/>
              </w:rPr>
              <w:t>须知前附表”为准。</w:t>
            </w:r>
          </w:p>
        </w:tc>
      </w:tr>
    </w:tbl>
    <w:p w14:paraId="1ABDDD69">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rPr>
          <w:rFonts w:hint="eastAsia" w:ascii="黑体" w:hAnsi="黑体" w:eastAsia="黑体" w:cs="黑体"/>
          <w:b w:val="0"/>
          <w:bCs/>
          <w:color w:val="auto"/>
          <w:spacing w:val="0"/>
          <w:kern w:val="2"/>
          <w:sz w:val="21"/>
          <w:szCs w:val="21"/>
          <w:lang w:val="zh-CN"/>
        </w:rPr>
      </w:pPr>
      <w:r>
        <w:rPr>
          <w:rFonts w:hint="eastAsia" w:ascii="仿宋" w:hAnsi="仿宋" w:eastAsia="仿宋"/>
          <w:color w:val="auto"/>
          <w:sz w:val="21"/>
          <w:szCs w:val="21"/>
        </w:rPr>
        <w:t xml:space="preserve"> </w:t>
      </w:r>
      <w:bookmarkEnd w:id="46"/>
      <w:bookmarkEnd w:id="47"/>
      <w:bookmarkStart w:id="48" w:name="_Toc285481730"/>
      <w:bookmarkStart w:id="49" w:name="_Toc280032894"/>
      <w:bookmarkStart w:id="50" w:name="_Toc364392640"/>
      <w:bookmarkStart w:id="51" w:name="_Toc29357076"/>
      <w:r>
        <w:rPr>
          <w:rFonts w:hint="eastAsia" w:ascii="仿宋" w:hAnsi="仿宋" w:eastAsia="仿宋"/>
          <w:color w:val="auto"/>
          <w:sz w:val="21"/>
          <w:szCs w:val="21"/>
          <w:lang w:val="en-US" w:eastAsia="zh-CN"/>
        </w:rPr>
        <w:t xml:space="preserve">  </w:t>
      </w:r>
      <w:r>
        <w:rPr>
          <w:rFonts w:hint="eastAsia" w:ascii="黑体" w:hAnsi="黑体" w:eastAsia="黑体" w:cs="黑体"/>
          <w:b w:val="0"/>
          <w:bCs/>
          <w:color w:val="auto"/>
          <w:spacing w:val="0"/>
          <w:kern w:val="2"/>
          <w:sz w:val="21"/>
          <w:szCs w:val="21"/>
          <w:lang w:val="zh-CN"/>
        </w:rPr>
        <w:t>二、总</w:t>
      </w:r>
      <w:r>
        <w:rPr>
          <w:rFonts w:hint="eastAsia" w:ascii="黑体" w:hAnsi="黑体" w:eastAsia="黑体" w:cs="黑体"/>
          <w:b w:val="0"/>
          <w:bCs/>
          <w:color w:val="auto"/>
          <w:spacing w:val="0"/>
          <w:kern w:val="2"/>
          <w:sz w:val="21"/>
          <w:szCs w:val="21"/>
        </w:rPr>
        <w:t xml:space="preserve">  </w:t>
      </w:r>
      <w:r>
        <w:rPr>
          <w:rFonts w:hint="eastAsia" w:ascii="黑体" w:hAnsi="黑体" w:eastAsia="黑体" w:cs="黑体"/>
          <w:b w:val="0"/>
          <w:bCs/>
          <w:color w:val="auto"/>
          <w:spacing w:val="0"/>
          <w:kern w:val="2"/>
          <w:sz w:val="21"/>
          <w:szCs w:val="21"/>
          <w:lang w:val="zh-CN"/>
        </w:rPr>
        <w:t>则</w:t>
      </w:r>
    </w:p>
    <w:p w14:paraId="7B24AD5A">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420" w:firstLineChars="200"/>
        <w:jc w:val="both"/>
        <w:textAlignment w:val="auto"/>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1、适用范围</w:t>
      </w:r>
    </w:p>
    <w:p w14:paraId="37108BD7">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b/>
          <w:color w:val="auto"/>
          <w:spacing w:val="0"/>
          <w:kern w:val="2"/>
          <w:sz w:val="21"/>
          <w:szCs w:val="21"/>
        </w:rPr>
      </w:pPr>
      <w:r>
        <w:rPr>
          <w:rFonts w:hint="eastAsia" w:ascii="宋体" w:hAnsi="宋体" w:eastAsia="宋体" w:cs="宋体"/>
          <w:color w:val="auto"/>
          <w:spacing w:val="0"/>
          <w:kern w:val="2"/>
          <w:sz w:val="21"/>
          <w:szCs w:val="21"/>
          <w:lang w:val="zh-CN"/>
        </w:rPr>
        <w:t>　　</w:t>
      </w:r>
      <w:r>
        <w:rPr>
          <w:rFonts w:hint="eastAsia" w:ascii="宋体" w:hAnsi="宋体" w:eastAsia="宋体" w:cs="宋体"/>
          <w:bCs w:val="0"/>
          <w:color w:val="auto"/>
          <w:spacing w:val="0"/>
          <w:sz w:val="21"/>
          <w:szCs w:val="21"/>
        </w:rPr>
        <w:t>本</w:t>
      </w:r>
      <w:r>
        <w:rPr>
          <w:rFonts w:hint="eastAsia" w:ascii="宋体" w:hAnsi="宋体" w:eastAsia="宋体" w:cs="宋体"/>
          <w:bCs w:val="0"/>
          <w:color w:val="auto"/>
          <w:spacing w:val="0"/>
          <w:sz w:val="21"/>
          <w:szCs w:val="21"/>
          <w:lang w:val="en-US" w:eastAsia="zh-CN"/>
        </w:rPr>
        <w:t>磋商</w:t>
      </w:r>
      <w:r>
        <w:rPr>
          <w:rFonts w:hint="eastAsia" w:ascii="宋体" w:hAnsi="宋体" w:eastAsia="宋体" w:cs="宋体"/>
          <w:bCs w:val="0"/>
          <w:color w:val="auto"/>
          <w:spacing w:val="0"/>
          <w:sz w:val="21"/>
          <w:szCs w:val="21"/>
        </w:rPr>
        <w:t>文件仅适用于本次</w:t>
      </w:r>
      <w:r>
        <w:rPr>
          <w:rFonts w:hint="eastAsia" w:ascii="宋体" w:hAnsi="宋体" w:eastAsia="宋体" w:cs="宋体"/>
          <w:bCs w:val="0"/>
          <w:color w:val="auto"/>
          <w:spacing w:val="0"/>
          <w:sz w:val="21"/>
          <w:szCs w:val="21"/>
          <w:lang w:val="en-US" w:eastAsia="zh-CN"/>
        </w:rPr>
        <w:t>磋商</w:t>
      </w:r>
      <w:r>
        <w:rPr>
          <w:rFonts w:hint="eastAsia" w:ascii="宋体" w:hAnsi="宋体" w:eastAsia="宋体" w:cs="宋体"/>
          <w:bCs w:val="0"/>
          <w:color w:val="auto"/>
          <w:spacing w:val="0"/>
          <w:sz w:val="21"/>
          <w:szCs w:val="21"/>
        </w:rPr>
        <w:t>公告中所叙述的项目</w:t>
      </w:r>
      <w:r>
        <w:rPr>
          <w:rFonts w:hint="eastAsia" w:ascii="宋体" w:hAnsi="宋体" w:eastAsia="宋体" w:cs="宋体"/>
          <w:color w:val="auto"/>
          <w:spacing w:val="0"/>
          <w:kern w:val="2"/>
          <w:sz w:val="21"/>
          <w:szCs w:val="21"/>
          <w:lang w:val="zh-CN"/>
        </w:rPr>
        <w:t>。</w:t>
      </w:r>
    </w:p>
    <w:p w14:paraId="75CD1C1F">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　　2、定义</w:t>
      </w:r>
    </w:p>
    <w:p w14:paraId="5A2443CC">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b/>
          <w:color w:val="auto"/>
          <w:spacing w:val="0"/>
          <w:kern w:val="2"/>
          <w:sz w:val="21"/>
          <w:szCs w:val="21"/>
        </w:rPr>
      </w:pPr>
      <w:r>
        <w:rPr>
          <w:rFonts w:hint="eastAsia" w:ascii="宋体" w:hAnsi="宋体" w:eastAsia="宋体" w:cs="宋体"/>
          <w:color w:val="auto"/>
          <w:spacing w:val="0"/>
          <w:kern w:val="2"/>
          <w:sz w:val="21"/>
          <w:szCs w:val="21"/>
          <w:lang w:val="zh-CN"/>
        </w:rPr>
        <w:t>　　本磋商文件中所称“采购人”系本次磋商采购</w:t>
      </w:r>
      <w:r>
        <w:rPr>
          <w:rFonts w:hint="eastAsia" w:ascii="宋体" w:hAnsi="宋体" w:cs="宋体"/>
          <w:color w:val="auto"/>
          <w:spacing w:val="0"/>
          <w:kern w:val="2"/>
          <w:sz w:val="21"/>
          <w:szCs w:val="21"/>
          <w:lang w:val="en-US" w:eastAsia="zh-CN"/>
        </w:rPr>
        <w:t>工程</w:t>
      </w:r>
      <w:r>
        <w:rPr>
          <w:rFonts w:hint="eastAsia" w:ascii="宋体" w:hAnsi="宋体" w:eastAsia="宋体" w:cs="宋体"/>
          <w:color w:val="auto"/>
          <w:spacing w:val="0"/>
          <w:kern w:val="2"/>
          <w:sz w:val="21"/>
          <w:szCs w:val="21"/>
          <w:lang w:val="zh-CN"/>
        </w:rPr>
        <w:t>的购买单位“</w:t>
      </w:r>
      <w:r>
        <w:rPr>
          <w:rFonts w:hint="eastAsia" w:ascii="宋体" w:hAnsi="宋体" w:cs="宋体"/>
          <w:color w:val="auto"/>
          <w:spacing w:val="0"/>
          <w:kern w:val="2"/>
          <w:sz w:val="21"/>
          <w:szCs w:val="21"/>
          <w:lang w:val="zh-CN" w:eastAsia="zh-CN"/>
        </w:rPr>
        <w:t>怒江傈僳族自治州动物疫病预防控制中心</w:t>
      </w:r>
      <w:r>
        <w:rPr>
          <w:rFonts w:hint="eastAsia" w:ascii="宋体" w:hAnsi="宋体" w:eastAsia="宋体" w:cs="宋体"/>
          <w:color w:val="auto"/>
          <w:spacing w:val="0"/>
          <w:kern w:val="2"/>
          <w:sz w:val="21"/>
          <w:szCs w:val="21"/>
          <w:lang w:val="zh-CN"/>
        </w:rPr>
        <w:t>”。</w:t>
      </w:r>
    </w:p>
    <w:p w14:paraId="65F78CB4">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b/>
          <w:color w:val="auto"/>
          <w:spacing w:val="0"/>
          <w:kern w:val="2"/>
          <w:sz w:val="21"/>
          <w:szCs w:val="21"/>
        </w:rPr>
      </w:pPr>
      <w:r>
        <w:rPr>
          <w:rFonts w:hint="eastAsia" w:ascii="宋体" w:hAnsi="宋体" w:eastAsia="宋体" w:cs="宋体"/>
          <w:color w:val="auto"/>
          <w:spacing w:val="0"/>
          <w:kern w:val="2"/>
          <w:sz w:val="21"/>
          <w:szCs w:val="21"/>
          <w:lang w:val="zh-CN"/>
        </w:rPr>
        <w:t>　　“采购代理机构”系指“</w:t>
      </w:r>
      <w:r>
        <w:rPr>
          <w:rFonts w:hint="eastAsia" w:ascii="宋体" w:hAnsi="宋体" w:cs="宋体"/>
          <w:color w:val="auto"/>
          <w:spacing w:val="0"/>
          <w:kern w:val="2"/>
          <w:sz w:val="21"/>
          <w:szCs w:val="21"/>
          <w:lang w:val="zh-CN"/>
        </w:rPr>
        <w:t>云南行行工程项目管理有限公司</w:t>
      </w:r>
      <w:r>
        <w:rPr>
          <w:rFonts w:hint="eastAsia" w:ascii="宋体" w:hAnsi="宋体" w:eastAsia="宋体" w:cs="宋体"/>
          <w:color w:val="auto"/>
          <w:spacing w:val="0"/>
          <w:kern w:val="2"/>
          <w:sz w:val="21"/>
          <w:szCs w:val="21"/>
          <w:lang w:val="zh-CN"/>
        </w:rPr>
        <w:t>”。</w:t>
      </w:r>
    </w:p>
    <w:p w14:paraId="41B8E7E8">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b/>
          <w:color w:val="auto"/>
          <w:spacing w:val="0"/>
          <w:kern w:val="2"/>
          <w:sz w:val="21"/>
          <w:szCs w:val="21"/>
        </w:rPr>
      </w:pPr>
      <w:r>
        <w:rPr>
          <w:rFonts w:hint="eastAsia" w:ascii="宋体" w:hAnsi="宋体" w:eastAsia="宋体" w:cs="宋体"/>
          <w:color w:val="auto"/>
          <w:spacing w:val="0"/>
          <w:kern w:val="2"/>
          <w:sz w:val="21"/>
          <w:szCs w:val="21"/>
          <w:lang w:val="zh-CN"/>
        </w:rPr>
        <w:t>　　“供应商”系指“参加磋商采购的供应商”。</w:t>
      </w:r>
    </w:p>
    <w:p w14:paraId="3007DF78">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b/>
          <w:color w:val="auto"/>
          <w:spacing w:val="0"/>
          <w:kern w:val="2"/>
          <w:sz w:val="21"/>
          <w:szCs w:val="21"/>
        </w:rPr>
      </w:pPr>
      <w:r>
        <w:rPr>
          <w:rFonts w:hint="eastAsia" w:ascii="宋体" w:hAnsi="宋体" w:eastAsia="宋体" w:cs="宋体"/>
          <w:color w:val="auto"/>
          <w:spacing w:val="0"/>
          <w:kern w:val="2"/>
          <w:sz w:val="21"/>
          <w:szCs w:val="21"/>
          <w:lang w:val="zh-CN"/>
        </w:rPr>
        <w:t>　　“磋商文件”系指由采购代理机构编制、发售的文件。</w:t>
      </w:r>
    </w:p>
    <w:p w14:paraId="18D58343">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b/>
          <w:color w:val="auto"/>
          <w:spacing w:val="0"/>
          <w:kern w:val="2"/>
          <w:sz w:val="21"/>
          <w:szCs w:val="21"/>
        </w:rPr>
      </w:pPr>
      <w:r>
        <w:rPr>
          <w:rFonts w:hint="eastAsia" w:ascii="宋体" w:hAnsi="宋体" w:eastAsia="宋体" w:cs="宋体"/>
          <w:color w:val="auto"/>
          <w:spacing w:val="0"/>
          <w:kern w:val="2"/>
          <w:sz w:val="21"/>
          <w:szCs w:val="21"/>
          <w:lang w:val="zh-CN"/>
        </w:rPr>
        <w:t>　　“磋商申请文件”系指供应商根据磋商文件要求编制并</w:t>
      </w:r>
      <w:r>
        <w:rPr>
          <w:rFonts w:hint="eastAsia" w:ascii="宋体" w:hAnsi="宋体" w:eastAsia="宋体" w:cs="宋体"/>
          <w:color w:val="auto"/>
          <w:spacing w:val="0"/>
          <w:kern w:val="2"/>
          <w:sz w:val="21"/>
          <w:szCs w:val="21"/>
          <w:lang w:val="en-US" w:eastAsia="zh-CN"/>
        </w:rPr>
        <w:t>递</w:t>
      </w:r>
      <w:r>
        <w:rPr>
          <w:rFonts w:hint="eastAsia" w:ascii="宋体" w:hAnsi="宋体" w:eastAsia="宋体" w:cs="宋体"/>
          <w:color w:val="auto"/>
          <w:spacing w:val="0"/>
          <w:kern w:val="2"/>
          <w:sz w:val="21"/>
          <w:szCs w:val="21"/>
          <w:lang w:val="zh-CN"/>
        </w:rPr>
        <w:t>交的</w:t>
      </w:r>
      <w:r>
        <w:rPr>
          <w:rFonts w:hint="eastAsia" w:ascii="宋体" w:hAnsi="宋体" w:eastAsia="宋体" w:cs="宋体"/>
          <w:color w:val="auto"/>
          <w:spacing w:val="0"/>
          <w:sz w:val="21"/>
          <w:szCs w:val="21"/>
          <w:lang w:eastAsia="zh-CN"/>
        </w:rPr>
        <w:t>磋商申请文件</w:t>
      </w:r>
      <w:r>
        <w:rPr>
          <w:rFonts w:hint="eastAsia" w:ascii="宋体" w:hAnsi="宋体" w:eastAsia="宋体" w:cs="宋体"/>
          <w:color w:val="auto"/>
          <w:spacing w:val="0"/>
          <w:kern w:val="2"/>
          <w:sz w:val="21"/>
          <w:szCs w:val="21"/>
          <w:lang w:val="zh-CN"/>
        </w:rPr>
        <w:t>。</w:t>
      </w:r>
    </w:p>
    <w:p w14:paraId="07F52D55">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　　3、合格供应商</w:t>
      </w:r>
    </w:p>
    <w:p w14:paraId="304E32B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auto"/>
          <w:spacing w:val="0"/>
          <w:kern w:val="2"/>
          <w:sz w:val="21"/>
          <w:szCs w:val="21"/>
          <w:lang w:val="zh-CN"/>
        </w:rPr>
      </w:pPr>
      <w:r>
        <w:rPr>
          <w:rFonts w:hint="eastAsia" w:ascii="宋体" w:hAnsi="宋体" w:eastAsia="宋体" w:cs="宋体"/>
          <w:b w:val="0"/>
          <w:color w:val="auto"/>
          <w:spacing w:val="0"/>
          <w:kern w:val="2"/>
          <w:sz w:val="21"/>
          <w:szCs w:val="21"/>
          <w:lang w:val="en-US" w:eastAsia="zh-CN" w:bidi="ar-SA"/>
        </w:rPr>
        <w:t>详见“磋商申请人须知前附表”。</w:t>
      </w:r>
    </w:p>
    <w:p w14:paraId="788FE2A7">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　　4、</w:t>
      </w:r>
      <w:bookmarkStart w:id="52" w:name="_Toc364392612"/>
      <w:bookmarkStart w:id="53" w:name="_Toc9937"/>
      <w:bookmarkStart w:id="54" w:name="_Toc244341285"/>
      <w:r>
        <w:rPr>
          <w:rFonts w:hint="eastAsia" w:ascii="宋体" w:hAnsi="宋体" w:eastAsia="宋体" w:cs="宋体"/>
          <w:color w:val="auto"/>
          <w:spacing w:val="0"/>
          <w:kern w:val="2"/>
          <w:sz w:val="21"/>
          <w:szCs w:val="21"/>
          <w:lang w:val="zh-CN"/>
        </w:rPr>
        <w:t>投标费用</w:t>
      </w:r>
      <w:bookmarkEnd w:id="52"/>
      <w:bookmarkEnd w:id="53"/>
      <w:bookmarkEnd w:id="54"/>
    </w:p>
    <w:p w14:paraId="223C79B7">
      <w:pPr>
        <w:pStyle w:val="206"/>
        <w:keepNext w:val="0"/>
        <w:keepLines w:val="0"/>
        <w:pageBreakBefore w:val="0"/>
        <w:widowControl w:val="0"/>
        <w:kinsoku/>
        <w:wordWrap/>
        <w:overflowPunct/>
        <w:topLinePunct w:val="0"/>
        <w:autoSpaceDE/>
        <w:autoSpaceDN/>
        <w:bidi w:val="0"/>
        <w:adjustRightInd/>
        <w:snapToGrid/>
        <w:spacing w:line="480" w:lineRule="exact"/>
        <w:ind w:left="0" w:right="0" w:rightChars="0" w:firstLine="0" w:firstLineChars="0"/>
        <w:jc w:val="both"/>
        <w:textAlignment w:val="auto"/>
        <w:rPr>
          <w:rFonts w:hint="eastAsia" w:ascii="宋体" w:hAnsi="宋体" w:eastAsia="宋体" w:cs="宋体"/>
          <w:color w:val="auto"/>
          <w:spacing w:val="0"/>
          <w:kern w:val="2"/>
          <w:sz w:val="21"/>
          <w:szCs w:val="21"/>
          <w:lang w:val="en-US" w:eastAsia="zh-CN"/>
        </w:rPr>
      </w:pPr>
      <w:r>
        <w:rPr>
          <w:rFonts w:hint="eastAsia" w:ascii="宋体" w:hAnsi="宋体" w:eastAsia="宋体" w:cs="宋体"/>
          <w:color w:val="auto"/>
          <w:spacing w:val="0"/>
          <w:kern w:val="2"/>
          <w:sz w:val="21"/>
          <w:szCs w:val="21"/>
          <w:lang w:val="en-US" w:eastAsia="zh-CN"/>
        </w:rPr>
        <w:t>　　4.1磋商申请人应承担其编制磋商申请人文件与递交磋商申请人文件所涉及的一切费用，不管结果如何，采购人和代理机构对上述费用不负任何责任。</w:t>
      </w:r>
    </w:p>
    <w:p w14:paraId="5DFF61E8">
      <w:pPr>
        <w:pStyle w:val="206"/>
        <w:keepNext w:val="0"/>
        <w:keepLines w:val="0"/>
        <w:pageBreakBefore w:val="0"/>
        <w:widowControl w:val="0"/>
        <w:kinsoku/>
        <w:wordWrap/>
        <w:overflowPunct/>
        <w:topLinePunct w:val="0"/>
        <w:autoSpaceDE/>
        <w:autoSpaceDN/>
        <w:bidi w:val="0"/>
        <w:adjustRightInd/>
        <w:snapToGrid/>
        <w:spacing w:line="480" w:lineRule="exact"/>
        <w:ind w:left="0" w:right="0" w:rightChars="0" w:firstLine="0" w:firstLineChars="0"/>
        <w:jc w:val="both"/>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kern w:val="2"/>
          <w:sz w:val="21"/>
          <w:szCs w:val="21"/>
          <w:lang w:val="en-US" w:eastAsia="zh-CN"/>
        </w:rPr>
        <w:t>　　4.2本项目采购代理服务费按照《云南省建设工程招标代理服务收费参考意见》云建招协〔2024〕58号文规定向成交人收取，供应商报价时须将采购代理服务费考虑在内。成交人须在领取成交通知书时向采购代理机构一次性支付招标代理服务费。</w:t>
      </w:r>
    </w:p>
    <w:p w14:paraId="3694C8B5">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黑体" w:hAnsi="黑体" w:eastAsia="黑体" w:cs="黑体"/>
          <w:b w:val="0"/>
          <w:bCs/>
          <w:color w:val="auto"/>
          <w:spacing w:val="0"/>
          <w:kern w:val="2"/>
          <w:sz w:val="21"/>
          <w:szCs w:val="21"/>
        </w:rPr>
      </w:pPr>
      <w:bookmarkStart w:id="55" w:name="_Toc518305291"/>
      <w:r>
        <w:rPr>
          <w:rFonts w:hint="eastAsia" w:ascii="黑体" w:hAnsi="黑体" w:eastAsia="黑体" w:cs="黑体"/>
          <w:b w:val="0"/>
          <w:bCs/>
          <w:color w:val="auto"/>
          <w:spacing w:val="0"/>
          <w:kern w:val="2"/>
          <w:sz w:val="21"/>
          <w:szCs w:val="21"/>
          <w:lang w:val="zh-CN"/>
        </w:rPr>
        <w:t>　　三、</w:t>
      </w:r>
      <w:bookmarkEnd w:id="55"/>
      <w:r>
        <w:rPr>
          <w:rFonts w:hint="eastAsia" w:ascii="黑体" w:hAnsi="黑体" w:eastAsia="黑体" w:cs="黑体"/>
          <w:b w:val="0"/>
          <w:bCs/>
          <w:color w:val="auto"/>
          <w:spacing w:val="0"/>
          <w:kern w:val="2"/>
          <w:sz w:val="21"/>
          <w:szCs w:val="21"/>
          <w:lang w:val="zh-CN"/>
        </w:rPr>
        <w:t>磋商文件</w:t>
      </w:r>
    </w:p>
    <w:p w14:paraId="7A3E539A">
      <w:pPr>
        <w:keepNext w:val="0"/>
        <w:keepLines w:val="0"/>
        <w:pageBreakBefore w:val="0"/>
        <w:widowControl w:val="0"/>
        <w:tabs>
          <w:tab w:val="left" w:pos="0"/>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　　5、磋商文件构成</w:t>
      </w:r>
    </w:p>
    <w:p w14:paraId="3089D658">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b/>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5.1</w:t>
      </w:r>
      <w:r>
        <w:rPr>
          <w:rFonts w:hint="eastAsia" w:ascii="宋体" w:hAnsi="宋体" w:eastAsia="宋体" w:cs="宋体"/>
          <w:color w:val="auto"/>
          <w:spacing w:val="0"/>
          <w:kern w:val="2"/>
          <w:sz w:val="21"/>
          <w:szCs w:val="21"/>
          <w:lang w:val="zh-CN"/>
        </w:rPr>
        <w:t>磋商文件由磋商文件目录所列内容组成。请供应商仔细检查磋商文件是否齐全，如有缺漏，请立即与招标代理机构联系解决。</w:t>
      </w:r>
    </w:p>
    <w:p w14:paraId="3544888E">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b/>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5.2供应商</w:t>
      </w:r>
      <w:r>
        <w:rPr>
          <w:rFonts w:hint="eastAsia" w:ascii="宋体" w:hAnsi="宋体" w:eastAsia="宋体" w:cs="宋体"/>
          <w:color w:val="auto"/>
          <w:spacing w:val="0"/>
          <w:kern w:val="2"/>
          <w:sz w:val="21"/>
          <w:szCs w:val="21"/>
          <w:lang w:val="zh-CN"/>
        </w:rPr>
        <w:t>应认真阅读磋商文件中所有的事项、格式、条款和规范等要求。按磋商文件要求和规定顺序编制磋商申请文件，并保证所提供全部资料的真实性；如果供应商没有按照磋商文件要求和规定编制磋商申请文件及</w:t>
      </w:r>
      <w:r>
        <w:rPr>
          <w:rFonts w:hint="eastAsia" w:ascii="宋体" w:hAnsi="宋体" w:eastAsia="宋体" w:cs="宋体"/>
          <w:color w:val="auto"/>
          <w:spacing w:val="0"/>
          <w:kern w:val="2"/>
          <w:sz w:val="21"/>
          <w:szCs w:val="21"/>
          <w:lang w:val="en-US" w:eastAsia="zh-CN"/>
        </w:rPr>
        <w:t>递</w:t>
      </w:r>
      <w:r>
        <w:rPr>
          <w:rFonts w:hint="eastAsia" w:ascii="宋体" w:hAnsi="宋体" w:eastAsia="宋体" w:cs="宋体"/>
          <w:color w:val="auto"/>
          <w:spacing w:val="0"/>
          <w:kern w:val="2"/>
          <w:sz w:val="21"/>
          <w:szCs w:val="21"/>
          <w:lang w:val="zh-CN"/>
        </w:rPr>
        <w:t>交全部资料，或者磋商申请文件没有对本磋商文件在各方面的要求做出实质性响应，其风险应由供应商自行承担。没有实质性响应本磋商文件要求的磋商申请文件将被拒绝。</w:t>
      </w:r>
    </w:p>
    <w:p w14:paraId="6CCE6F69">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6</w:t>
      </w:r>
      <w:r>
        <w:rPr>
          <w:rFonts w:hint="eastAsia" w:ascii="宋体" w:hAnsi="宋体" w:eastAsia="宋体" w:cs="宋体"/>
          <w:color w:val="auto"/>
          <w:spacing w:val="0"/>
          <w:kern w:val="2"/>
          <w:sz w:val="21"/>
          <w:szCs w:val="21"/>
          <w:lang w:val="zh-CN"/>
        </w:rPr>
        <w:t>、磋商文件的澄清和修改</w:t>
      </w:r>
    </w:p>
    <w:p w14:paraId="16FF7923">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6.1任何要求对</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rPr>
        <w:t>进行澄清的潜在供应商，均应以书面形式通知招标代理机构。</w:t>
      </w:r>
    </w:p>
    <w:p w14:paraId="17DFFF3B">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6.2在</w:t>
      </w:r>
      <w:r>
        <w:rPr>
          <w:rFonts w:hint="eastAsia" w:ascii="宋体" w:hAnsi="宋体" w:eastAsia="宋体" w:cs="宋体"/>
          <w:color w:val="auto"/>
          <w:spacing w:val="0"/>
          <w:kern w:val="2"/>
          <w:sz w:val="21"/>
          <w:szCs w:val="21"/>
          <w:lang w:val="en-US" w:eastAsia="zh-CN"/>
        </w:rPr>
        <w:t>递</w:t>
      </w:r>
      <w:r>
        <w:rPr>
          <w:rFonts w:hint="eastAsia" w:ascii="宋体" w:hAnsi="宋体" w:eastAsia="宋体" w:cs="宋体"/>
          <w:color w:val="auto"/>
          <w:spacing w:val="0"/>
          <w:kern w:val="2"/>
          <w:sz w:val="21"/>
          <w:szCs w:val="21"/>
          <w:lang w:val="zh-CN"/>
        </w:rPr>
        <w:t>交磋商申请文件截止之日前</w:t>
      </w:r>
      <w:r>
        <w:rPr>
          <w:rFonts w:hint="eastAsia" w:ascii="宋体" w:hAnsi="宋体" w:eastAsia="宋体" w:cs="宋体"/>
          <w:color w:val="auto"/>
          <w:spacing w:val="0"/>
          <w:kern w:val="2"/>
          <w:sz w:val="21"/>
          <w:szCs w:val="21"/>
        </w:rPr>
        <w:t>，无论出于何种原因，采购人、采购代理机构或者</w:t>
      </w:r>
      <w:r>
        <w:rPr>
          <w:rFonts w:hint="eastAsia" w:ascii="宋体" w:hAnsi="宋体" w:eastAsia="宋体" w:cs="宋体"/>
          <w:color w:val="auto"/>
          <w:spacing w:val="0"/>
          <w:kern w:val="2"/>
          <w:sz w:val="21"/>
          <w:szCs w:val="21"/>
          <w:lang w:eastAsia="zh-CN"/>
        </w:rPr>
        <w:t>磋商小组</w:t>
      </w:r>
      <w:r>
        <w:rPr>
          <w:rFonts w:hint="eastAsia" w:ascii="宋体" w:hAnsi="宋体" w:eastAsia="宋体" w:cs="宋体"/>
          <w:color w:val="auto"/>
          <w:spacing w:val="0"/>
          <w:kern w:val="2"/>
          <w:sz w:val="21"/>
          <w:szCs w:val="21"/>
        </w:rPr>
        <w:t>可主动地或在解答潜在供应商提出的澄清问题时对</w:t>
      </w:r>
      <w:r>
        <w:rPr>
          <w:rFonts w:hint="eastAsia" w:ascii="宋体" w:hAnsi="宋体" w:eastAsia="宋体" w:cs="宋体"/>
          <w:color w:val="auto"/>
          <w:spacing w:val="0"/>
          <w:kern w:val="2"/>
          <w:sz w:val="21"/>
          <w:szCs w:val="21"/>
          <w:lang w:eastAsia="zh-CN"/>
        </w:rPr>
        <w:t>磋商文件</w:t>
      </w:r>
      <w:r>
        <w:rPr>
          <w:rFonts w:hint="eastAsia" w:ascii="宋体" w:hAnsi="宋体" w:eastAsia="宋体" w:cs="宋体"/>
          <w:color w:val="auto"/>
          <w:spacing w:val="0"/>
          <w:kern w:val="2"/>
          <w:sz w:val="21"/>
          <w:szCs w:val="21"/>
        </w:rPr>
        <w:t>进行修改。</w:t>
      </w:r>
    </w:p>
    <w:p w14:paraId="4E4BFA51">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6.3</w:t>
      </w:r>
      <w:r>
        <w:rPr>
          <w:rFonts w:hint="eastAsia" w:ascii="宋体" w:hAnsi="宋体" w:eastAsia="宋体" w:cs="宋体"/>
          <w:color w:val="auto"/>
          <w:spacing w:val="0"/>
          <w:kern w:val="2"/>
          <w:sz w:val="21"/>
          <w:szCs w:val="21"/>
          <w:lang w:eastAsia="zh-CN"/>
        </w:rPr>
        <w:t>磋商文件</w:t>
      </w:r>
      <w:r>
        <w:rPr>
          <w:rFonts w:hint="eastAsia" w:ascii="宋体" w:hAnsi="宋体" w:eastAsia="宋体" w:cs="宋体"/>
          <w:color w:val="auto"/>
          <w:spacing w:val="0"/>
          <w:kern w:val="2"/>
          <w:sz w:val="21"/>
          <w:szCs w:val="21"/>
        </w:rPr>
        <w:t>的修改是</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rPr>
        <w:t>的组成部分，将以书面形式通知所有购买</w:t>
      </w:r>
      <w:r>
        <w:rPr>
          <w:rFonts w:hint="eastAsia" w:ascii="宋体" w:hAnsi="宋体" w:eastAsia="宋体" w:cs="宋体"/>
          <w:color w:val="auto"/>
          <w:spacing w:val="0"/>
          <w:kern w:val="2"/>
          <w:sz w:val="21"/>
          <w:szCs w:val="21"/>
          <w:lang w:eastAsia="zh-CN"/>
        </w:rPr>
        <w:t>磋商文件</w:t>
      </w:r>
      <w:r>
        <w:rPr>
          <w:rFonts w:hint="eastAsia" w:ascii="宋体" w:hAnsi="宋体" w:eastAsia="宋体" w:cs="宋体"/>
          <w:color w:val="auto"/>
          <w:spacing w:val="0"/>
          <w:kern w:val="2"/>
          <w:sz w:val="21"/>
          <w:szCs w:val="21"/>
        </w:rPr>
        <w:t>的潜在供应商，采购人可以视采购具体情况，延长</w:t>
      </w:r>
      <w:r>
        <w:rPr>
          <w:rFonts w:hint="eastAsia" w:ascii="宋体" w:hAnsi="宋体" w:eastAsia="宋体" w:cs="宋体"/>
          <w:color w:val="auto"/>
          <w:spacing w:val="0"/>
          <w:kern w:val="2"/>
          <w:sz w:val="21"/>
          <w:szCs w:val="21"/>
          <w:lang w:val="en-US" w:eastAsia="zh-CN"/>
        </w:rPr>
        <w:t>递</w:t>
      </w:r>
      <w:r>
        <w:rPr>
          <w:rFonts w:hint="eastAsia" w:ascii="宋体" w:hAnsi="宋体" w:eastAsia="宋体" w:cs="宋体"/>
          <w:color w:val="auto"/>
          <w:spacing w:val="0"/>
          <w:kern w:val="2"/>
          <w:sz w:val="21"/>
          <w:szCs w:val="21"/>
        </w:rPr>
        <w:t>交</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rPr>
        <w:t>截止时间和开标时间，但至少应当在</w:t>
      </w:r>
      <w:r>
        <w:rPr>
          <w:rFonts w:hint="eastAsia" w:ascii="宋体" w:hAnsi="宋体" w:eastAsia="宋体" w:cs="宋体"/>
          <w:color w:val="auto"/>
          <w:spacing w:val="0"/>
          <w:kern w:val="2"/>
          <w:sz w:val="21"/>
          <w:szCs w:val="21"/>
          <w:lang w:val="en-US" w:eastAsia="zh-CN"/>
        </w:rPr>
        <w:t>递</w:t>
      </w:r>
      <w:r>
        <w:rPr>
          <w:rFonts w:hint="eastAsia" w:ascii="宋体" w:hAnsi="宋体" w:eastAsia="宋体" w:cs="宋体"/>
          <w:color w:val="auto"/>
          <w:spacing w:val="0"/>
          <w:kern w:val="2"/>
          <w:sz w:val="21"/>
          <w:szCs w:val="21"/>
        </w:rPr>
        <w:t>交</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rPr>
        <w:t>截止之日3个工作日前，将变更时间书面通知所有</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lang w:val="en-US" w:eastAsia="zh-CN"/>
        </w:rPr>
        <w:t>收受人</w:t>
      </w:r>
      <w:r>
        <w:rPr>
          <w:rFonts w:hint="eastAsia" w:ascii="宋体" w:hAnsi="宋体" w:eastAsia="宋体" w:cs="宋体"/>
          <w:color w:val="auto"/>
          <w:spacing w:val="0"/>
          <w:kern w:val="2"/>
          <w:sz w:val="21"/>
          <w:szCs w:val="21"/>
        </w:rPr>
        <w:t>，并</w:t>
      </w:r>
      <w:r>
        <w:rPr>
          <w:rFonts w:hint="eastAsia" w:ascii="宋体" w:hAnsi="宋体" w:eastAsia="宋体" w:cs="宋体"/>
          <w:color w:val="auto"/>
          <w:spacing w:val="0"/>
          <w:kern w:val="2"/>
          <w:sz w:val="21"/>
          <w:szCs w:val="21"/>
          <w:lang w:eastAsia="zh-CN"/>
        </w:rPr>
        <w:t>在</w:t>
      </w:r>
      <w:r>
        <w:rPr>
          <w:rFonts w:hint="eastAsia" w:ascii="宋体" w:hAnsi="宋体" w:eastAsia="宋体" w:cs="宋体"/>
          <w:color w:val="auto"/>
          <w:spacing w:val="0"/>
          <w:kern w:val="2"/>
          <w:sz w:val="21"/>
          <w:szCs w:val="21"/>
          <w:lang w:val="en-US" w:eastAsia="zh-CN"/>
        </w:rPr>
        <w:t>“云南省政府采购网”和“政采云平台”</w:t>
      </w:r>
      <w:r>
        <w:rPr>
          <w:rFonts w:hint="eastAsia" w:ascii="宋体" w:hAnsi="宋体" w:eastAsia="宋体" w:cs="宋体"/>
          <w:color w:val="auto"/>
          <w:spacing w:val="0"/>
          <w:kern w:val="2"/>
          <w:sz w:val="21"/>
          <w:szCs w:val="21"/>
          <w:lang w:eastAsia="zh-CN"/>
        </w:rPr>
        <w:t>公开发布变更。对潜在供应商具</w:t>
      </w:r>
      <w:r>
        <w:rPr>
          <w:rFonts w:hint="eastAsia" w:ascii="宋体" w:hAnsi="宋体" w:eastAsia="宋体" w:cs="宋体"/>
          <w:color w:val="auto"/>
          <w:spacing w:val="0"/>
          <w:kern w:val="2"/>
          <w:sz w:val="21"/>
          <w:szCs w:val="21"/>
        </w:rPr>
        <w:t>有约束力。潜在供应商在收到上述通知后，应立即以书面形式向</w:t>
      </w:r>
      <w:r>
        <w:rPr>
          <w:rFonts w:hint="eastAsia" w:ascii="宋体" w:hAnsi="宋体" w:eastAsia="宋体" w:cs="宋体"/>
          <w:color w:val="auto"/>
          <w:spacing w:val="0"/>
          <w:sz w:val="21"/>
          <w:szCs w:val="21"/>
        </w:rPr>
        <w:t>采购人</w:t>
      </w:r>
      <w:r>
        <w:rPr>
          <w:rFonts w:hint="eastAsia" w:ascii="宋体" w:hAnsi="宋体" w:eastAsia="宋体" w:cs="宋体"/>
          <w:color w:val="auto"/>
          <w:spacing w:val="0"/>
          <w:kern w:val="2"/>
          <w:sz w:val="21"/>
          <w:szCs w:val="21"/>
        </w:rPr>
        <w:t>和招标代理机构确认。</w:t>
      </w:r>
    </w:p>
    <w:p w14:paraId="381B2610">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textAlignment w:val="auto"/>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6.4为使采购人准备</w:t>
      </w:r>
      <w:r>
        <w:rPr>
          <w:rFonts w:hint="eastAsia" w:ascii="宋体" w:hAnsi="宋体" w:eastAsia="宋体" w:cs="宋体"/>
          <w:color w:val="auto"/>
          <w:spacing w:val="0"/>
          <w:kern w:val="2"/>
          <w:sz w:val="21"/>
          <w:szCs w:val="21"/>
          <w:lang w:val="en-US" w:eastAsia="zh-CN"/>
        </w:rPr>
        <w:t>投标</w:t>
      </w:r>
      <w:r>
        <w:rPr>
          <w:rFonts w:hint="eastAsia" w:ascii="宋体" w:hAnsi="宋体" w:eastAsia="宋体" w:cs="宋体"/>
          <w:color w:val="auto"/>
          <w:spacing w:val="0"/>
          <w:kern w:val="2"/>
          <w:sz w:val="21"/>
          <w:szCs w:val="21"/>
        </w:rPr>
        <w:t>时有充分时间对</w:t>
      </w:r>
      <w:r>
        <w:rPr>
          <w:rFonts w:hint="eastAsia" w:ascii="宋体" w:hAnsi="宋体" w:eastAsia="宋体" w:cs="宋体"/>
          <w:color w:val="auto"/>
          <w:spacing w:val="0"/>
          <w:kern w:val="2"/>
          <w:sz w:val="21"/>
          <w:szCs w:val="21"/>
          <w:lang w:eastAsia="zh-CN"/>
        </w:rPr>
        <w:t>磋商文件</w:t>
      </w:r>
      <w:r>
        <w:rPr>
          <w:rFonts w:hint="eastAsia" w:ascii="宋体" w:hAnsi="宋体" w:eastAsia="宋体" w:cs="宋体"/>
          <w:color w:val="auto"/>
          <w:spacing w:val="0"/>
          <w:kern w:val="2"/>
          <w:sz w:val="21"/>
          <w:szCs w:val="21"/>
        </w:rPr>
        <w:t>的修改部分进行研究，采购代理机构和采购人可适当推迟投标截止期，并将此变更通知所有购买</w:t>
      </w:r>
      <w:r>
        <w:rPr>
          <w:rFonts w:hint="eastAsia" w:ascii="宋体" w:hAnsi="宋体" w:eastAsia="宋体" w:cs="宋体"/>
          <w:color w:val="auto"/>
          <w:spacing w:val="0"/>
          <w:kern w:val="2"/>
          <w:sz w:val="21"/>
          <w:szCs w:val="21"/>
          <w:lang w:eastAsia="zh-CN"/>
        </w:rPr>
        <w:t>磋商文件</w:t>
      </w:r>
      <w:r>
        <w:rPr>
          <w:rFonts w:hint="eastAsia" w:ascii="宋体" w:hAnsi="宋体" w:eastAsia="宋体" w:cs="宋体"/>
          <w:color w:val="auto"/>
          <w:spacing w:val="0"/>
          <w:kern w:val="2"/>
          <w:sz w:val="21"/>
          <w:szCs w:val="21"/>
        </w:rPr>
        <w:t>的潜在供应商。</w:t>
      </w:r>
    </w:p>
    <w:p w14:paraId="64350DE7">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6.5除非有特殊要求，</w:t>
      </w:r>
      <w:r>
        <w:rPr>
          <w:rFonts w:hint="eastAsia" w:ascii="宋体" w:hAnsi="宋体" w:eastAsia="宋体" w:cs="宋体"/>
          <w:color w:val="auto"/>
          <w:spacing w:val="0"/>
          <w:sz w:val="21"/>
          <w:szCs w:val="21"/>
          <w:lang w:eastAsia="zh-CN"/>
        </w:rPr>
        <w:t>磋商申请文件</w:t>
      </w:r>
      <w:r>
        <w:rPr>
          <w:rFonts w:hint="eastAsia" w:ascii="宋体" w:hAnsi="宋体" w:eastAsia="宋体" w:cs="宋体"/>
          <w:color w:val="auto"/>
          <w:spacing w:val="0"/>
          <w:kern w:val="2"/>
          <w:sz w:val="21"/>
          <w:szCs w:val="21"/>
        </w:rPr>
        <w:t>不单独提供</w:t>
      </w:r>
      <w:r>
        <w:rPr>
          <w:rFonts w:hint="eastAsia" w:ascii="宋体" w:hAnsi="宋体" w:eastAsia="宋体" w:cs="宋体"/>
          <w:color w:val="auto"/>
          <w:spacing w:val="0"/>
          <w:kern w:val="2"/>
          <w:sz w:val="21"/>
          <w:szCs w:val="21"/>
          <w:lang w:eastAsia="zh-CN"/>
        </w:rPr>
        <w:t>磋商</w:t>
      </w:r>
      <w:r>
        <w:rPr>
          <w:rFonts w:hint="eastAsia" w:ascii="宋体" w:hAnsi="宋体" w:eastAsia="宋体" w:cs="宋体"/>
          <w:color w:val="auto"/>
          <w:spacing w:val="0"/>
          <w:kern w:val="2"/>
          <w:sz w:val="21"/>
          <w:szCs w:val="21"/>
        </w:rPr>
        <w:t>货物使用地的自然环境、气象条件、公用设施等情况，供应商被视为熟悉上述与履行合同有关的一切情况。</w:t>
      </w:r>
    </w:p>
    <w:p w14:paraId="0B18E729">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rPr>
          <w:rFonts w:hint="eastAsia" w:ascii="黑体" w:hAnsi="黑体" w:eastAsia="黑体" w:cs="黑体"/>
          <w:b w:val="0"/>
          <w:bCs/>
          <w:color w:val="auto"/>
          <w:spacing w:val="0"/>
          <w:kern w:val="2"/>
          <w:sz w:val="21"/>
          <w:szCs w:val="21"/>
          <w:lang w:val="zh-CN"/>
        </w:rPr>
      </w:pPr>
      <w:bookmarkStart w:id="56" w:name="_Toc518305292"/>
      <w:r>
        <w:rPr>
          <w:rFonts w:hint="eastAsia" w:ascii="黑体" w:hAnsi="黑体" w:eastAsia="黑体" w:cs="黑体"/>
          <w:b w:val="0"/>
          <w:bCs/>
          <w:color w:val="auto"/>
          <w:spacing w:val="0"/>
          <w:kern w:val="2"/>
          <w:sz w:val="21"/>
          <w:szCs w:val="21"/>
          <w:lang w:val="zh-CN"/>
        </w:rPr>
        <w:t>　　四、磋商文件的编制</w:t>
      </w:r>
      <w:bookmarkEnd w:id="56"/>
    </w:p>
    <w:p w14:paraId="3D22F740">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420" w:firstLineChars="20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rPr>
        <w:t>7</w:t>
      </w:r>
      <w:r>
        <w:rPr>
          <w:rFonts w:hint="eastAsia" w:ascii="宋体" w:hAnsi="宋体" w:eastAsia="宋体" w:cs="宋体"/>
          <w:color w:val="auto"/>
          <w:spacing w:val="0"/>
          <w:kern w:val="2"/>
          <w:sz w:val="21"/>
          <w:szCs w:val="21"/>
          <w:lang w:val="zh-CN"/>
        </w:rPr>
        <w:t>、磋商文件</w:t>
      </w:r>
    </w:p>
    <w:p w14:paraId="14DE344E">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420" w:firstLineChars="20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rPr>
        <w:t>7.1</w:t>
      </w:r>
      <w:r>
        <w:rPr>
          <w:rFonts w:hint="eastAsia" w:ascii="宋体" w:hAnsi="宋体" w:eastAsia="宋体" w:cs="宋体"/>
          <w:color w:val="auto"/>
          <w:spacing w:val="0"/>
          <w:kern w:val="2"/>
          <w:sz w:val="21"/>
          <w:szCs w:val="21"/>
          <w:lang w:val="zh-CN"/>
        </w:rPr>
        <w:t>供应商提交的磋商申请文件以及供应商与采购代理机构就有关本次采购事宜的所有来往书面材料均应使用简体中文。</w:t>
      </w:r>
    </w:p>
    <w:p w14:paraId="1C78B171">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　　7.2除磋商文件中另有规定外，磋商申请文件所使用的计量单位，均须采用国家法定计量单位。</w:t>
      </w:r>
    </w:p>
    <w:p w14:paraId="30961383">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　　8、磋商文件的组成</w:t>
      </w:r>
    </w:p>
    <w:p w14:paraId="387FCF1E">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　　8.1磋商文件共</w:t>
      </w:r>
      <w:r>
        <w:rPr>
          <w:rFonts w:hint="eastAsia" w:ascii="宋体" w:hAnsi="宋体" w:eastAsia="宋体" w:cs="宋体"/>
          <w:color w:val="auto"/>
          <w:spacing w:val="0"/>
          <w:kern w:val="2"/>
          <w:sz w:val="21"/>
          <w:szCs w:val="21"/>
          <w:lang w:val="zh-CN" w:eastAsia="zh-CN"/>
        </w:rPr>
        <w:t>六</w:t>
      </w:r>
      <w:r>
        <w:rPr>
          <w:rFonts w:hint="eastAsia" w:ascii="宋体" w:hAnsi="宋体" w:eastAsia="宋体" w:cs="宋体"/>
          <w:color w:val="auto"/>
          <w:spacing w:val="0"/>
          <w:kern w:val="2"/>
          <w:sz w:val="21"/>
          <w:szCs w:val="21"/>
          <w:lang w:val="zh-CN"/>
        </w:rPr>
        <w:t>个部分，内容如下：</w:t>
      </w:r>
    </w:p>
    <w:p w14:paraId="64DBCEF0">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left"/>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　　第一章磋商公告</w:t>
      </w:r>
    </w:p>
    <w:p w14:paraId="08421084">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left"/>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lang w:eastAsia="zh-CN"/>
        </w:rPr>
        <w:t>　　</w:t>
      </w:r>
      <w:r>
        <w:rPr>
          <w:rFonts w:hint="eastAsia" w:ascii="宋体" w:hAnsi="宋体" w:eastAsia="宋体" w:cs="宋体"/>
          <w:color w:val="auto"/>
          <w:spacing w:val="0"/>
          <w:sz w:val="21"/>
          <w:szCs w:val="21"/>
        </w:rPr>
        <w:t>第二章</w:t>
      </w:r>
      <w:r>
        <w:rPr>
          <w:rFonts w:hint="eastAsia" w:ascii="宋体" w:hAnsi="宋体" w:eastAsia="宋体" w:cs="宋体"/>
          <w:color w:val="auto"/>
          <w:spacing w:val="0"/>
          <w:sz w:val="21"/>
          <w:szCs w:val="21"/>
          <w:lang w:eastAsia="zh-CN"/>
        </w:rPr>
        <w:t>磋商申请人</w:t>
      </w:r>
      <w:r>
        <w:rPr>
          <w:rFonts w:hint="eastAsia" w:ascii="宋体" w:hAnsi="宋体" w:eastAsia="宋体" w:cs="宋体"/>
          <w:color w:val="auto"/>
          <w:spacing w:val="0"/>
          <w:sz w:val="21"/>
          <w:szCs w:val="21"/>
        </w:rPr>
        <w:t>须知</w:t>
      </w:r>
    </w:p>
    <w:p w14:paraId="7E1EF835">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left"/>
        <w:rPr>
          <w:rFonts w:hint="eastAsia"/>
          <w:color w:val="auto"/>
          <w:spacing w:val="0"/>
          <w:sz w:val="21"/>
          <w:szCs w:val="21"/>
        </w:rPr>
      </w:pPr>
      <w:r>
        <w:rPr>
          <w:rFonts w:hint="eastAsia" w:ascii="宋体" w:hAnsi="宋体" w:eastAsia="宋体" w:cs="宋体"/>
          <w:color w:val="auto"/>
          <w:spacing w:val="0"/>
          <w:sz w:val="21"/>
          <w:szCs w:val="21"/>
          <w:lang w:eastAsia="zh-CN"/>
        </w:rPr>
        <w:t>　　</w:t>
      </w:r>
      <w:r>
        <w:rPr>
          <w:rFonts w:hint="eastAsia" w:ascii="宋体" w:hAnsi="宋体" w:eastAsia="宋体" w:cs="宋体"/>
          <w:color w:val="auto"/>
          <w:spacing w:val="0"/>
          <w:sz w:val="21"/>
          <w:szCs w:val="21"/>
        </w:rPr>
        <w:t>第三章合同主要条款</w:t>
      </w:r>
    </w:p>
    <w:p w14:paraId="31D785B2">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left"/>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　　第四章</w:t>
      </w:r>
      <w:r>
        <w:rPr>
          <w:rFonts w:hint="eastAsia" w:ascii="宋体" w:hAnsi="宋体" w:eastAsia="宋体" w:cs="宋体"/>
          <w:color w:val="auto"/>
          <w:spacing w:val="0"/>
          <w:kern w:val="2"/>
          <w:sz w:val="21"/>
          <w:szCs w:val="21"/>
          <w:lang w:val="zh-CN" w:eastAsia="zh-CN"/>
        </w:rPr>
        <w:t>磋商申请</w:t>
      </w:r>
      <w:r>
        <w:rPr>
          <w:rFonts w:hint="eastAsia" w:ascii="宋体" w:hAnsi="宋体" w:eastAsia="宋体" w:cs="宋体"/>
          <w:color w:val="auto"/>
          <w:spacing w:val="0"/>
          <w:kern w:val="2"/>
          <w:sz w:val="21"/>
          <w:szCs w:val="21"/>
          <w:lang w:val="zh-CN"/>
        </w:rPr>
        <w:t>文件格式</w:t>
      </w:r>
    </w:p>
    <w:p w14:paraId="2E3A2299">
      <w:pPr>
        <w:keepNext w:val="0"/>
        <w:keepLines w:val="0"/>
        <w:pageBreakBefore w:val="0"/>
        <w:widowControl w:val="0"/>
        <w:kinsoku/>
        <w:wordWrap/>
        <w:overflowPunct/>
        <w:topLinePunct w:val="0"/>
        <w:autoSpaceDE/>
        <w:autoSpaceDN/>
        <w:bidi w:val="0"/>
        <w:adjustRightInd/>
        <w:snapToGrid/>
        <w:spacing w:line="480" w:lineRule="exact"/>
        <w:ind w:left="0" w:firstLine="420" w:firstLineChars="200"/>
        <w:jc w:val="left"/>
        <w:rPr>
          <w:rFonts w:hint="default" w:ascii="宋体" w:hAnsi="宋体" w:eastAsia="宋体" w:cs="宋体"/>
          <w:color w:val="auto"/>
          <w:spacing w:val="0"/>
          <w:kern w:val="2"/>
          <w:sz w:val="21"/>
          <w:szCs w:val="21"/>
          <w:lang w:val="en-US" w:eastAsia="zh-CN"/>
        </w:rPr>
      </w:pPr>
      <w:r>
        <w:rPr>
          <w:rFonts w:hint="eastAsia" w:ascii="宋体" w:hAnsi="宋体" w:eastAsia="宋体" w:cs="宋体"/>
          <w:color w:val="auto"/>
          <w:spacing w:val="0"/>
          <w:kern w:val="2"/>
          <w:sz w:val="21"/>
          <w:szCs w:val="21"/>
          <w:lang w:val="zh-CN" w:eastAsia="zh-CN"/>
        </w:rPr>
        <w:t>第五章</w:t>
      </w:r>
      <w:r>
        <w:rPr>
          <w:rFonts w:hint="eastAsia" w:ascii="宋体" w:hAnsi="宋体" w:eastAsia="宋体" w:cs="宋体"/>
          <w:color w:val="auto"/>
          <w:spacing w:val="0"/>
          <w:kern w:val="2"/>
          <w:sz w:val="21"/>
          <w:szCs w:val="21"/>
          <w:lang w:val="en-US" w:eastAsia="zh-CN"/>
        </w:rPr>
        <w:t>评标（磋商）办法</w:t>
      </w:r>
    </w:p>
    <w:p w14:paraId="5F3BE468">
      <w:pPr>
        <w:keepNext w:val="0"/>
        <w:keepLines w:val="0"/>
        <w:pageBreakBefore w:val="0"/>
        <w:widowControl w:val="0"/>
        <w:kinsoku/>
        <w:wordWrap/>
        <w:overflowPunct/>
        <w:topLinePunct w:val="0"/>
        <w:autoSpaceDE/>
        <w:autoSpaceDN/>
        <w:bidi w:val="0"/>
        <w:adjustRightInd/>
        <w:snapToGrid/>
        <w:spacing w:line="480" w:lineRule="exact"/>
        <w:ind w:left="0" w:firstLine="420" w:firstLineChars="200"/>
        <w:jc w:val="left"/>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第六章采购内容与要求</w:t>
      </w:r>
    </w:p>
    <w:p w14:paraId="71586671">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sz w:val="21"/>
          <w:szCs w:val="21"/>
          <w:lang w:val="zh-CN"/>
        </w:rPr>
      </w:pPr>
      <w:r>
        <w:rPr>
          <w:rFonts w:hint="eastAsia" w:ascii="宋体" w:hAnsi="宋体" w:eastAsia="宋体" w:cs="宋体"/>
          <w:color w:val="auto"/>
          <w:spacing w:val="0"/>
          <w:sz w:val="21"/>
          <w:szCs w:val="21"/>
          <w:lang w:eastAsia="zh-CN"/>
        </w:rPr>
        <w:t>　　</w:t>
      </w:r>
      <w:r>
        <w:rPr>
          <w:rFonts w:hint="eastAsia" w:ascii="宋体" w:hAnsi="宋体" w:eastAsia="宋体" w:cs="宋体"/>
          <w:color w:val="auto"/>
          <w:spacing w:val="0"/>
          <w:sz w:val="21"/>
          <w:szCs w:val="21"/>
        </w:rPr>
        <w:t>9</w:t>
      </w:r>
      <w:r>
        <w:rPr>
          <w:rFonts w:hint="eastAsia" w:ascii="宋体" w:hAnsi="宋体" w:eastAsia="宋体" w:cs="宋体"/>
          <w:color w:val="auto"/>
          <w:spacing w:val="0"/>
          <w:sz w:val="21"/>
          <w:szCs w:val="21"/>
          <w:lang w:val="zh-CN"/>
        </w:rPr>
        <w:t>、</w:t>
      </w:r>
      <w:r>
        <w:rPr>
          <w:rFonts w:hint="eastAsia" w:ascii="宋体" w:hAnsi="宋体" w:eastAsia="宋体" w:cs="宋体"/>
          <w:color w:val="auto"/>
          <w:spacing w:val="0"/>
          <w:sz w:val="21"/>
          <w:szCs w:val="21"/>
          <w:lang w:eastAsia="zh-CN"/>
        </w:rPr>
        <w:t>磋商</w:t>
      </w:r>
      <w:r>
        <w:rPr>
          <w:rFonts w:hint="eastAsia" w:ascii="宋体" w:hAnsi="宋体" w:eastAsia="宋体" w:cs="宋体"/>
          <w:color w:val="auto"/>
          <w:spacing w:val="0"/>
          <w:sz w:val="21"/>
          <w:szCs w:val="21"/>
        </w:rPr>
        <w:t>声明格式和</w:t>
      </w:r>
      <w:r>
        <w:rPr>
          <w:rFonts w:hint="eastAsia" w:ascii="宋体" w:hAnsi="宋体" w:eastAsia="宋体" w:cs="宋体"/>
          <w:color w:val="auto"/>
          <w:spacing w:val="0"/>
          <w:sz w:val="21"/>
          <w:szCs w:val="21"/>
          <w:lang w:val="zh-CN"/>
        </w:rPr>
        <w:t>报价一览表</w:t>
      </w:r>
    </w:p>
    <w:p w14:paraId="7E6B92DC">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9.1</w:t>
      </w:r>
      <w:r>
        <w:rPr>
          <w:rFonts w:hint="eastAsia" w:ascii="宋体" w:hAnsi="宋体" w:eastAsia="宋体" w:cs="宋体"/>
          <w:color w:val="auto"/>
          <w:spacing w:val="0"/>
          <w:kern w:val="2"/>
          <w:sz w:val="21"/>
          <w:szCs w:val="21"/>
          <w:lang w:val="zh-CN"/>
        </w:rPr>
        <w:t>供应商应按照磋商文件中提供的格式填写磋商声明、报价一览表及资格证明文件等。</w:t>
      </w:r>
    </w:p>
    <w:p w14:paraId="70195E76">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9.2</w:t>
      </w:r>
      <w:r>
        <w:rPr>
          <w:rFonts w:hint="eastAsia" w:ascii="宋体" w:hAnsi="宋体" w:eastAsia="宋体" w:cs="宋体"/>
          <w:color w:val="auto"/>
          <w:spacing w:val="0"/>
          <w:kern w:val="2"/>
          <w:sz w:val="21"/>
          <w:szCs w:val="21"/>
          <w:lang w:val="zh-CN"/>
        </w:rPr>
        <w:t>磋商申请文件中的报价均以人民币报价。</w:t>
      </w:r>
    </w:p>
    <w:p w14:paraId="42703DD8">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9.3</w:t>
      </w:r>
      <w:r>
        <w:rPr>
          <w:rFonts w:hint="eastAsia" w:ascii="宋体" w:hAnsi="宋体" w:eastAsia="宋体" w:cs="宋体"/>
          <w:color w:val="auto"/>
          <w:spacing w:val="0"/>
          <w:kern w:val="2"/>
          <w:sz w:val="21"/>
          <w:szCs w:val="21"/>
          <w:lang w:val="zh-CN"/>
        </w:rPr>
        <w:t>报价表中的货物种类按磋商文件要求填写。</w:t>
      </w:r>
    </w:p>
    <w:p w14:paraId="64258ECF">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sz w:val="21"/>
          <w:szCs w:val="21"/>
          <w:lang w:val="zh-CN"/>
        </w:rPr>
      </w:pPr>
      <w:r>
        <w:rPr>
          <w:rFonts w:hint="eastAsia" w:ascii="宋体" w:hAnsi="宋体" w:eastAsia="宋体" w:cs="宋体"/>
          <w:color w:val="auto"/>
          <w:spacing w:val="0"/>
          <w:sz w:val="21"/>
          <w:szCs w:val="21"/>
          <w:lang w:eastAsia="zh-CN"/>
        </w:rPr>
        <w:t>　　</w:t>
      </w:r>
      <w:r>
        <w:rPr>
          <w:rFonts w:hint="eastAsia" w:ascii="宋体" w:hAnsi="宋体" w:eastAsia="宋体" w:cs="宋体"/>
          <w:color w:val="auto"/>
          <w:spacing w:val="0"/>
          <w:sz w:val="21"/>
          <w:szCs w:val="21"/>
        </w:rPr>
        <w:t>10</w:t>
      </w:r>
      <w:r>
        <w:rPr>
          <w:rFonts w:hint="eastAsia" w:ascii="宋体" w:hAnsi="宋体" w:eastAsia="宋体" w:cs="宋体"/>
          <w:color w:val="auto"/>
          <w:spacing w:val="0"/>
          <w:sz w:val="21"/>
          <w:szCs w:val="21"/>
          <w:lang w:val="zh-CN"/>
        </w:rPr>
        <w:t>、供应商资格证明文件</w:t>
      </w:r>
    </w:p>
    <w:p w14:paraId="628D36FA">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10.1</w:t>
      </w:r>
      <w:r>
        <w:rPr>
          <w:rFonts w:hint="eastAsia" w:ascii="宋体" w:hAnsi="宋体" w:eastAsia="宋体" w:cs="宋体"/>
          <w:color w:val="auto"/>
          <w:spacing w:val="0"/>
          <w:kern w:val="2"/>
          <w:sz w:val="21"/>
          <w:szCs w:val="21"/>
          <w:lang w:val="zh-CN"/>
        </w:rPr>
        <w:t>供应商应提交的资格证明文件：详见“公告第二项资格要求”。</w:t>
      </w:r>
    </w:p>
    <w:p w14:paraId="12EDFDD0">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10.2</w:t>
      </w:r>
      <w:r>
        <w:rPr>
          <w:rFonts w:hint="eastAsia" w:ascii="宋体" w:hAnsi="宋体" w:eastAsia="宋体" w:cs="宋体"/>
          <w:color w:val="auto"/>
          <w:spacing w:val="0"/>
          <w:kern w:val="2"/>
          <w:sz w:val="21"/>
          <w:szCs w:val="21"/>
          <w:lang w:val="zh-CN"/>
        </w:rPr>
        <w:t>供应商应提交证明其有资格参加磋商和成交后有能力履行合同的文件，作为其磋商申请文件的一部分。</w:t>
      </w:r>
    </w:p>
    <w:p w14:paraId="0FFCE8EC">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10.3</w:t>
      </w:r>
      <w:r>
        <w:rPr>
          <w:rFonts w:hint="eastAsia" w:ascii="宋体" w:hAnsi="宋体" w:eastAsia="宋体" w:cs="宋体"/>
          <w:color w:val="auto"/>
          <w:spacing w:val="0"/>
          <w:kern w:val="2"/>
          <w:sz w:val="21"/>
          <w:szCs w:val="21"/>
          <w:lang w:val="zh-CN"/>
        </w:rPr>
        <w:t>供应商应按照磋商文件中的要求和格式，顺序制作并提交相关磋商文件所附的“资格证明文件”。</w:t>
      </w:r>
    </w:p>
    <w:p w14:paraId="4744FBB7">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　　1</w:t>
      </w:r>
      <w:r>
        <w:rPr>
          <w:rFonts w:hint="eastAsia" w:ascii="宋体" w:hAnsi="宋体" w:eastAsia="宋体" w:cs="宋体"/>
          <w:color w:val="auto"/>
          <w:spacing w:val="0"/>
          <w:kern w:val="2"/>
          <w:sz w:val="21"/>
          <w:szCs w:val="21"/>
          <w:lang w:val="en-US" w:eastAsia="zh-CN"/>
        </w:rPr>
        <w:t>1</w:t>
      </w:r>
      <w:r>
        <w:rPr>
          <w:rFonts w:hint="eastAsia" w:ascii="宋体" w:hAnsi="宋体" w:eastAsia="宋体" w:cs="宋体"/>
          <w:color w:val="auto"/>
          <w:spacing w:val="0"/>
          <w:kern w:val="2"/>
          <w:sz w:val="21"/>
          <w:szCs w:val="21"/>
          <w:lang w:val="zh-CN"/>
        </w:rPr>
        <w:t>、磋商有效期</w:t>
      </w:r>
    </w:p>
    <w:p w14:paraId="22251AA1">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1</w:t>
      </w:r>
      <w:r>
        <w:rPr>
          <w:rFonts w:hint="eastAsia" w:ascii="宋体" w:hAnsi="宋体" w:eastAsia="宋体" w:cs="宋体"/>
          <w:color w:val="auto"/>
          <w:spacing w:val="0"/>
          <w:kern w:val="2"/>
          <w:sz w:val="21"/>
          <w:szCs w:val="21"/>
          <w:lang w:val="en-US" w:eastAsia="zh-CN"/>
        </w:rPr>
        <w:t>1</w:t>
      </w:r>
      <w:r>
        <w:rPr>
          <w:rFonts w:hint="eastAsia" w:ascii="宋体" w:hAnsi="宋体" w:eastAsia="宋体" w:cs="宋体"/>
          <w:color w:val="auto"/>
          <w:spacing w:val="0"/>
          <w:kern w:val="2"/>
          <w:sz w:val="21"/>
          <w:szCs w:val="21"/>
        </w:rPr>
        <w:t>.1</w:t>
      </w:r>
      <w:r>
        <w:rPr>
          <w:rFonts w:hint="eastAsia" w:ascii="宋体" w:hAnsi="宋体" w:eastAsia="宋体" w:cs="宋体"/>
          <w:color w:val="auto"/>
          <w:spacing w:val="0"/>
          <w:kern w:val="2"/>
          <w:sz w:val="21"/>
          <w:szCs w:val="21"/>
          <w:lang w:val="zh-CN"/>
        </w:rPr>
        <w:t>磋商有效期为磋商之日起90个日历天，</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rPr>
        <w:t>中须注明</w:t>
      </w:r>
      <w:r>
        <w:rPr>
          <w:rFonts w:hint="eastAsia" w:ascii="宋体" w:hAnsi="宋体" w:eastAsia="宋体" w:cs="宋体"/>
          <w:color w:val="auto"/>
          <w:spacing w:val="0"/>
          <w:kern w:val="2"/>
          <w:sz w:val="21"/>
          <w:szCs w:val="21"/>
          <w:lang w:eastAsia="zh-CN"/>
        </w:rPr>
        <w:t>磋商</w:t>
      </w:r>
      <w:r>
        <w:rPr>
          <w:rFonts w:hint="eastAsia" w:ascii="宋体" w:hAnsi="宋体" w:eastAsia="宋体" w:cs="宋体"/>
          <w:color w:val="auto"/>
          <w:spacing w:val="0"/>
          <w:kern w:val="2"/>
          <w:sz w:val="21"/>
          <w:szCs w:val="21"/>
        </w:rPr>
        <w:t>有效期。</w:t>
      </w:r>
    </w:p>
    <w:p w14:paraId="46134A01">
      <w:pPr>
        <w:keepNext w:val="0"/>
        <w:keepLines w:val="0"/>
        <w:pageBreakBefore w:val="0"/>
        <w:widowControl w:val="0"/>
        <w:kinsoku/>
        <w:wordWrap/>
        <w:overflowPunct/>
        <w:topLinePunct w:val="0"/>
        <w:autoSpaceDE/>
        <w:autoSpaceDN/>
        <w:bidi w:val="0"/>
        <w:adjustRightInd/>
        <w:snapToGrid/>
        <w:spacing w:line="480" w:lineRule="exact"/>
        <w:ind w:left="0" w:firstLine="420" w:firstLineChars="0"/>
        <w:jc w:val="both"/>
        <w:rPr>
          <w:rFonts w:hint="eastAsia" w:ascii="宋体" w:hAnsi="宋体" w:eastAsia="宋体" w:cs="宋体"/>
          <w:color w:val="auto"/>
          <w:spacing w:val="0"/>
          <w:kern w:val="2"/>
          <w:sz w:val="21"/>
          <w:szCs w:val="21"/>
          <w:lang w:val="zh-CN" w:eastAsia="zh-CN"/>
        </w:rPr>
      </w:pPr>
      <w:r>
        <w:rPr>
          <w:rFonts w:hint="eastAsia" w:ascii="宋体" w:hAnsi="宋体" w:eastAsia="宋体" w:cs="宋体"/>
          <w:color w:val="auto"/>
          <w:spacing w:val="0"/>
          <w:kern w:val="2"/>
          <w:sz w:val="21"/>
          <w:szCs w:val="21"/>
        </w:rPr>
        <w:t>1</w:t>
      </w:r>
      <w:r>
        <w:rPr>
          <w:rFonts w:hint="eastAsia" w:ascii="宋体" w:hAnsi="宋体" w:eastAsia="宋体" w:cs="宋体"/>
          <w:color w:val="auto"/>
          <w:spacing w:val="0"/>
          <w:kern w:val="2"/>
          <w:sz w:val="21"/>
          <w:szCs w:val="21"/>
          <w:lang w:val="en-US" w:eastAsia="zh-CN"/>
        </w:rPr>
        <w:t>1</w:t>
      </w:r>
      <w:r>
        <w:rPr>
          <w:rFonts w:hint="eastAsia" w:ascii="宋体" w:hAnsi="宋体" w:eastAsia="宋体" w:cs="宋体"/>
          <w:color w:val="auto"/>
          <w:spacing w:val="0"/>
          <w:kern w:val="2"/>
          <w:sz w:val="21"/>
          <w:szCs w:val="21"/>
        </w:rPr>
        <w:t>.2</w:t>
      </w:r>
      <w:r>
        <w:rPr>
          <w:rFonts w:hint="eastAsia" w:ascii="宋体" w:hAnsi="宋体" w:eastAsia="宋体" w:cs="宋体"/>
          <w:color w:val="auto"/>
          <w:spacing w:val="0"/>
          <w:kern w:val="2"/>
          <w:sz w:val="21"/>
          <w:szCs w:val="21"/>
          <w:lang w:val="zh-CN"/>
        </w:rPr>
        <w:t>在特殊情况下，采购人于原磋商有效期期满之前，可向供应商提出延长磋商有效期的要求，这种要求与答复均应采用书面形式。供应商可以拒绝接受这种要求而放弃磋商，其保证金将予以退还。同意延长有效期的供应商既不能要求也不允许修改其磋商申请文件。第</w:t>
      </w:r>
      <w:r>
        <w:rPr>
          <w:rFonts w:hint="eastAsia" w:ascii="宋体" w:hAnsi="宋体" w:eastAsia="宋体" w:cs="宋体"/>
          <w:color w:val="auto"/>
          <w:spacing w:val="0"/>
          <w:kern w:val="2"/>
          <w:sz w:val="21"/>
          <w:szCs w:val="21"/>
        </w:rPr>
        <w:t>12</w:t>
      </w:r>
      <w:r>
        <w:rPr>
          <w:rFonts w:hint="eastAsia" w:ascii="宋体" w:hAnsi="宋体" w:eastAsia="宋体" w:cs="宋体"/>
          <w:color w:val="auto"/>
          <w:spacing w:val="0"/>
          <w:kern w:val="2"/>
          <w:sz w:val="21"/>
          <w:szCs w:val="21"/>
          <w:lang w:val="zh-CN"/>
        </w:rPr>
        <w:t>条有关保证金没收和退还的规定在延长的磋商有效期内继续有效，同时受磋商有效期约束的所有权利与义务均延长至新的有效期。</w:t>
      </w:r>
      <w:r>
        <w:rPr>
          <w:rFonts w:hint="eastAsia" w:ascii="宋体" w:hAnsi="宋体" w:eastAsia="宋体" w:cs="宋体"/>
          <w:color w:val="auto"/>
          <w:spacing w:val="0"/>
          <w:kern w:val="2"/>
          <w:sz w:val="21"/>
          <w:szCs w:val="21"/>
          <w:lang w:val="zh-CN" w:eastAsia="zh-CN"/>
        </w:rPr>
        <w:t>各供应商应对此条款做出实质性响应承诺。</w:t>
      </w:r>
    </w:p>
    <w:p w14:paraId="16FF59B0">
      <w:pPr>
        <w:keepNext w:val="0"/>
        <w:keepLines w:val="0"/>
        <w:pageBreakBefore w:val="0"/>
        <w:widowControl w:val="0"/>
        <w:kinsoku/>
        <w:wordWrap/>
        <w:overflowPunct/>
        <w:topLinePunct w:val="0"/>
        <w:autoSpaceDE/>
        <w:autoSpaceDN/>
        <w:bidi w:val="0"/>
        <w:adjustRightInd/>
        <w:snapToGrid/>
        <w:spacing w:line="480" w:lineRule="exact"/>
        <w:ind w:left="0" w:firstLine="420" w:firstLineChars="0"/>
        <w:jc w:val="both"/>
        <w:rPr>
          <w:rFonts w:hint="eastAsia" w:ascii="宋体" w:hAnsi="宋体" w:eastAsia="宋体" w:cs="宋体"/>
          <w:b/>
          <w:color w:val="auto"/>
          <w:spacing w:val="0"/>
          <w:kern w:val="2"/>
          <w:sz w:val="21"/>
          <w:szCs w:val="21"/>
        </w:rPr>
      </w:pPr>
      <w:r>
        <w:rPr>
          <w:rFonts w:hint="eastAsia" w:ascii="宋体" w:hAnsi="宋体" w:eastAsia="宋体" w:cs="宋体"/>
          <w:color w:val="auto"/>
          <w:spacing w:val="0"/>
          <w:kern w:val="2"/>
          <w:sz w:val="21"/>
          <w:szCs w:val="21"/>
          <w:lang w:val="zh-CN"/>
        </w:rPr>
        <w:t>1</w:t>
      </w:r>
      <w:r>
        <w:rPr>
          <w:rFonts w:hint="eastAsia" w:ascii="宋体" w:hAnsi="宋体" w:eastAsia="宋体" w:cs="宋体"/>
          <w:color w:val="auto"/>
          <w:spacing w:val="0"/>
          <w:kern w:val="2"/>
          <w:sz w:val="21"/>
          <w:szCs w:val="21"/>
          <w:lang w:val="en-US" w:eastAsia="zh-CN"/>
        </w:rPr>
        <w:t>2</w:t>
      </w:r>
      <w:r>
        <w:rPr>
          <w:rFonts w:hint="eastAsia" w:ascii="宋体" w:hAnsi="宋体" w:eastAsia="宋体" w:cs="宋体"/>
          <w:color w:val="auto"/>
          <w:spacing w:val="0"/>
          <w:kern w:val="2"/>
          <w:sz w:val="21"/>
          <w:szCs w:val="21"/>
          <w:lang w:val="zh-CN"/>
        </w:rPr>
        <w:t>、签署</w:t>
      </w:r>
    </w:p>
    <w:p w14:paraId="2A4DBA66">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lang w:val="zh-CN"/>
        </w:rPr>
        <w:t>　</w:t>
      </w:r>
      <w:r>
        <w:rPr>
          <w:rFonts w:hint="eastAsia" w:ascii="宋体" w:hAnsi="宋体" w:eastAsia="宋体" w:cs="宋体"/>
          <w:color w:val="auto"/>
          <w:spacing w:val="0"/>
          <w:kern w:val="2"/>
          <w:sz w:val="21"/>
          <w:szCs w:val="21"/>
          <w:lang w:val="en-US" w:eastAsia="zh-CN"/>
        </w:rPr>
        <w:t xml:space="preserve">  </w:t>
      </w:r>
      <w:r>
        <w:rPr>
          <w:rFonts w:hint="eastAsia" w:ascii="宋体" w:hAnsi="宋体" w:eastAsia="宋体" w:cs="宋体"/>
          <w:color w:val="auto"/>
          <w:spacing w:val="0"/>
          <w:kern w:val="2"/>
          <w:sz w:val="21"/>
          <w:szCs w:val="21"/>
          <w:lang w:val="zh-CN"/>
        </w:rPr>
        <w:t>申请人除对错处做必要修改外，磋商申请文件不得行间插字、涂改或增删，必须按照磋商申请文件格式编写，并按磋商申请文件要求签署和盖章。</w:t>
      </w:r>
    </w:p>
    <w:p w14:paraId="47EFFC7A">
      <w:pPr>
        <w:keepNext w:val="0"/>
        <w:keepLines w:val="0"/>
        <w:pageBreakBefore w:val="0"/>
        <w:widowControl w:val="0"/>
        <w:tabs>
          <w:tab w:val="left" w:pos="645"/>
        </w:tabs>
        <w:kinsoku/>
        <w:wordWrap/>
        <w:overflowPunct/>
        <w:topLinePunct w:val="0"/>
        <w:autoSpaceDE/>
        <w:autoSpaceDN/>
        <w:bidi w:val="0"/>
        <w:adjustRightInd/>
        <w:snapToGrid/>
        <w:spacing w:line="480" w:lineRule="exact"/>
        <w:ind w:left="0" w:firstLine="0" w:firstLineChars="0"/>
        <w:jc w:val="both"/>
        <w:rPr>
          <w:rFonts w:hint="eastAsia" w:ascii="黑体" w:hAnsi="黑体" w:eastAsia="黑体" w:cs="黑体"/>
          <w:b w:val="0"/>
          <w:bCs/>
          <w:color w:val="auto"/>
          <w:spacing w:val="0"/>
          <w:kern w:val="2"/>
          <w:sz w:val="21"/>
          <w:szCs w:val="21"/>
          <w:lang w:val="zh-CN"/>
        </w:rPr>
      </w:pPr>
      <w:bookmarkStart w:id="57" w:name="_Toc518305293"/>
      <w:r>
        <w:rPr>
          <w:rFonts w:hint="eastAsia" w:ascii="黑体" w:hAnsi="黑体" w:eastAsia="黑体" w:cs="黑体"/>
          <w:b w:val="0"/>
          <w:bCs/>
          <w:color w:val="auto"/>
          <w:spacing w:val="0"/>
          <w:kern w:val="2"/>
          <w:sz w:val="21"/>
          <w:szCs w:val="21"/>
          <w:lang w:val="zh-CN"/>
        </w:rPr>
        <w:t>　　五、磋商申请文件的递交</w:t>
      </w:r>
      <w:bookmarkEnd w:id="57"/>
    </w:p>
    <w:p w14:paraId="79649F7B">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spacing w:val="0"/>
          <w:kern w:val="2"/>
          <w:sz w:val="21"/>
          <w:szCs w:val="21"/>
          <w:lang w:val="zh-CN"/>
        </w:rPr>
        <w:t>　　</w:t>
      </w: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lang w:val="zh-CN"/>
        </w:rPr>
        <w:t>、磋商截止时间</w:t>
      </w:r>
    </w:p>
    <w:p w14:paraId="7C05BAAC">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6"/>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spacing w:val="-6"/>
          <w:kern w:val="2"/>
          <w:sz w:val="21"/>
          <w:szCs w:val="21"/>
        </w:rPr>
        <w:t>1</w:t>
      </w:r>
      <w:r>
        <w:rPr>
          <w:rFonts w:hint="eastAsia" w:ascii="宋体" w:hAnsi="宋体" w:eastAsia="宋体" w:cs="宋体"/>
          <w:color w:val="auto"/>
          <w:spacing w:val="-6"/>
          <w:kern w:val="2"/>
          <w:sz w:val="21"/>
          <w:szCs w:val="21"/>
          <w:lang w:val="en-US" w:eastAsia="zh-CN"/>
        </w:rPr>
        <w:t>3</w:t>
      </w:r>
      <w:r>
        <w:rPr>
          <w:rFonts w:hint="eastAsia" w:ascii="宋体" w:hAnsi="宋体" w:eastAsia="宋体" w:cs="宋体"/>
          <w:color w:val="auto"/>
          <w:spacing w:val="-6"/>
          <w:kern w:val="2"/>
          <w:sz w:val="21"/>
          <w:szCs w:val="21"/>
        </w:rPr>
        <w:t xml:space="preserve">.1 </w:t>
      </w:r>
      <w:r>
        <w:rPr>
          <w:rFonts w:hint="eastAsia" w:ascii="宋体" w:hAnsi="宋体" w:eastAsia="宋体" w:cs="宋体"/>
          <w:color w:val="auto"/>
          <w:spacing w:val="-6"/>
          <w:kern w:val="2"/>
          <w:sz w:val="21"/>
          <w:szCs w:val="21"/>
          <w:lang w:eastAsia="zh-CN"/>
        </w:rPr>
        <w:t>磋商申请文件</w:t>
      </w:r>
      <w:r>
        <w:rPr>
          <w:rFonts w:hint="eastAsia" w:ascii="宋体" w:hAnsi="宋体" w:eastAsia="宋体" w:cs="宋体"/>
          <w:color w:val="auto"/>
          <w:spacing w:val="-6"/>
          <w:kern w:val="2"/>
          <w:sz w:val="21"/>
          <w:szCs w:val="21"/>
        </w:rPr>
        <w:t>必须在</w:t>
      </w:r>
      <w:r>
        <w:rPr>
          <w:rFonts w:hint="eastAsia" w:ascii="宋体" w:hAnsi="宋体" w:eastAsia="宋体" w:cs="宋体"/>
          <w:color w:val="auto"/>
          <w:spacing w:val="-6"/>
          <w:sz w:val="21"/>
          <w:szCs w:val="21"/>
          <w:lang w:eastAsia="zh-CN"/>
        </w:rPr>
        <w:t>磋商申请文件</w:t>
      </w:r>
      <w:r>
        <w:rPr>
          <w:rFonts w:hint="eastAsia" w:ascii="宋体" w:hAnsi="宋体" w:eastAsia="宋体" w:cs="宋体"/>
          <w:color w:val="auto"/>
          <w:spacing w:val="-6"/>
          <w:sz w:val="21"/>
          <w:szCs w:val="21"/>
        </w:rPr>
        <w:t>截止之日前</w:t>
      </w:r>
      <w:r>
        <w:rPr>
          <w:rFonts w:hint="eastAsia" w:ascii="宋体" w:hAnsi="宋体" w:eastAsia="宋体" w:cs="宋体"/>
          <w:color w:val="auto"/>
          <w:spacing w:val="-6"/>
          <w:kern w:val="2"/>
          <w:sz w:val="21"/>
          <w:szCs w:val="21"/>
          <w:lang w:val="en-US" w:eastAsia="zh-CN"/>
        </w:rPr>
        <w:t>上传</w:t>
      </w:r>
      <w:r>
        <w:rPr>
          <w:rFonts w:hint="eastAsia" w:ascii="宋体" w:hAnsi="宋体" w:eastAsia="宋体" w:cs="宋体"/>
          <w:color w:val="auto"/>
          <w:spacing w:val="-6"/>
          <w:kern w:val="2"/>
          <w:sz w:val="21"/>
          <w:szCs w:val="21"/>
        </w:rPr>
        <w:t>到指定的地点。</w:t>
      </w:r>
    </w:p>
    <w:p w14:paraId="227C053D">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rPr>
        <w:t>.2 采购人可以视采购具体情况，延长</w:t>
      </w:r>
      <w:r>
        <w:rPr>
          <w:rFonts w:hint="eastAsia" w:ascii="宋体" w:hAnsi="宋体" w:eastAsia="宋体" w:cs="宋体"/>
          <w:color w:val="auto"/>
          <w:kern w:val="2"/>
          <w:sz w:val="21"/>
          <w:szCs w:val="21"/>
          <w:lang w:eastAsia="zh-CN"/>
        </w:rPr>
        <w:t>磋商申请文件</w:t>
      </w:r>
      <w:r>
        <w:rPr>
          <w:rFonts w:hint="eastAsia" w:ascii="宋体" w:hAnsi="宋体" w:eastAsia="宋体" w:cs="宋体"/>
          <w:color w:val="auto"/>
          <w:kern w:val="2"/>
          <w:sz w:val="21"/>
          <w:szCs w:val="21"/>
        </w:rPr>
        <w:t>截止时间，但至少应当在</w:t>
      </w:r>
      <w:r>
        <w:rPr>
          <w:rFonts w:hint="eastAsia" w:ascii="宋体" w:hAnsi="宋体" w:eastAsia="宋体" w:cs="宋体"/>
          <w:color w:val="auto"/>
          <w:kern w:val="2"/>
          <w:sz w:val="21"/>
          <w:szCs w:val="21"/>
          <w:lang w:eastAsia="zh-CN"/>
        </w:rPr>
        <w:t>磋商文件</w:t>
      </w:r>
      <w:r>
        <w:rPr>
          <w:rFonts w:hint="eastAsia" w:ascii="宋体" w:hAnsi="宋体" w:eastAsia="宋体" w:cs="宋体"/>
          <w:color w:val="auto"/>
          <w:kern w:val="2"/>
          <w:sz w:val="21"/>
          <w:szCs w:val="21"/>
        </w:rPr>
        <w:t>要求</w:t>
      </w:r>
      <w:r>
        <w:rPr>
          <w:rFonts w:hint="eastAsia" w:ascii="宋体" w:hAnsi="宋体" w:eastAsia="宋体" w:cs="宋体"/>
          <w:color w:val="auto"/>
          <w:kern w:val="2"/>
          <w:sz w:val="21"/>
          <w:szCs w:val="21"/>
          <w:lang w:val="en-US" w:eastAsia="zh-CN"/>
        </w:rPr>
        <w:t>递</w:t>
      </w:r>
      <w:r>
        <w:rPr>
          <w:rFonts w:hint="eastAsia" w:ascii="宋体" w:hAnsi="宋体" w:eastAsia="宋体" w:cs="宋体"/>
          <w:color w:val="auto"/>
          <w:kern w:val="2"/>
          <w:sz w:val="21"/>
          <w:szCs w:val="21"/>
        </w:rPr>
        <w:t>交</w:t>
      </w:r>
      <w:r>
        <w:rPr>
          <w:rFonts w:hint="eastAsia" w:ascii="宋体" w:hAnsi="宋体" w:eastAsia="宋体" w:cs="宋体"/>
          <w:color w:val="auto"/>
          <w:kern w:val="2"/>
          <w:sz w:val="21"/>
          <w:szCs w:val="21"/>
          <w:lang w:eastAsia="zh-CN"/>
        </w:rPr>
        <w:t>磋商申请文件</w:t>
      </w:r>
      <w:r>
        <w:rPr>
          <w:rFonts w:hint="eastAsia" w:ascii="宋体" w:hAnsi="宋体" w:eastAsia="宋体" w:cs="宋体"/>
          <w:color w:val="auto"/>
          <w:kern w:val="2"/>
          <w:sz w:val="21"/>
          <w:szCs w:val="21"/>
        </w:rPr>
        <w:t>的截止时间3日前，将变更时间书面通知所有</w:t>
      </w:r>
      <w:r>
        <w:rPr>
          <w:rFonts w:hint="eastAsia" w:ascii="宋体" w:hAnsi="宋体" w:eastAsia="宋体" w:cs="宋体"/>
          <w:color w:val="auto"/>
          <w:kern w:val="2"/>
          <w:sz w:val="21"/>
          <w:szCs w:val="21"/>
          <w:lang w:eastAsia="zh-CN"/>
        </w:rPr>
        <w:t>磋商申请文件</w:t>
      </w:r>
      <w:r>
        <w:rPr>
          <w:rFonts w:hint="eastAsia" w:ascii="宋体" w:hAnsi="宋体" w:eastAsia="宋体" w:cs="宋体"/>
          <w:color w:val="auto"/>
          <w:kern w:val="2"/>
          <w:sz w:val="21"/>
          <w:szCs w:val="21"/>
        </w:rPr>
        <w:t>收受人，并在</w:t>
      </w:r>
      <w:r>
        <w:rPr>
          <w:rFonts w:hint="eastAsia" w:ascii="宋体" w:hAnsi="宋体" w:eastAsia="宋体" w:cs="宋体"/>
          <w:color w:val="auto"/>
          <w:kern w:val="2"/>
          <w:sz w:val="21"/>
          <w:szCs w:val="21"/>
          <w:lang w:eastAsia="zh-CN"/>
        </w:rPr>
        <w:t>“云南省政府采购网”和“政采云平台”</w:t>
      </w:r>
      <w:r>
        <w:rPr>
          <w:rFonts w:hint="eastAsia" w:ascii="宋体" w:hAnsi="宋体" w:eastAsia="宋体" w:cs="宋体"/>
          <w:color w:val="auto"/>
          <w:kern w:val="2"/>
          <w:sz w:val="21"/>
          <w:szCs w:val="21"/>
        </w:rPr>
        <w:t>公开发布变更。对潜在</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具有约束力。潜在</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在收到上述通知后，应立即以书面形式向</w:t>
      </w:r>
      <w:r>
        <w:rPr>
          <w:rFonts w:hint="eastAsia" w:ascii="宋体" w:hAnsi="宋体" w:eastAsia="宋体" w:cs="宋体"/>
          <w:color w:val="auto"/>
          <w:kern w:val="2"/>
          <w:sz w:val="21"/>
          <w:szCs w:val="21"/>
          <w:lang w:val="zh-CN"/>
        </w:rPr>
        <w:t>采购人</w:t>
      </w:r>
      <w:r>
        <w:rPr>
          <w:rFonts w:hint="eastAsia" w:ascii="宋体" w:hAnsi="宋体" w:eastAsia="宋体" w:cs="宋体"/>
          <w:color w:val="auto"/>
          <w:kern w:val="2"/>
          <w:sz w:val="21"/>
          <w:szCs w:val="21"/>
        </w:rPr>
        <w:t>和招标代理机构确认。</w:t>
      </w:r>
    </w:p>
    <w:p w14:paraId="3BC62868">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zh-CN"/>
        </w:rPr>
        <w:t>　　</w:t>
      </w:r>
      <w:r>
        <w:rPr>
          <w:rFonts w:hint="eastAsia" w:ascii="宋体" w:hAnsi="宋体" w:eastAsia="宋体" w:cs="宋体"/>
          <w:color w:val="auto"/>
          <w:kern w:val="2"/>
          <w:sz w:val="21"/>
          <w:szCs w:val="21"/>
          <w:lang w:val="en-US" w:eastAsia="zh-CN"/>
        </w:rPr>
        <w:t>14</w:t>
      </w:r>
      <w:r>
        <w:rPr>
          <w:rFonts w:hint="eastAsia" w:ascii="宋体" w:hAnsi="宋体" w:eastAsia="宋体" w:cs="宋体"/>
          <w:color w:val="auto"/>
          <w:kern w:val="2"/>
          <w:sz w:val="21"/>
          <w:szCs w:val="21"/>
          <w:lang w:val="zh-CN"/>
        </w:rPr>
        <w:t>、磋商申请文件的修改和撤回</w:t>
      </w:r>
    </w:p>
    <w:p w14:paraId="2DB3A79F">
      <w:pPr>
        <w:keepNext w:val="0"/>
        <w:keepLines w:val="0"/>
        <w:pageBreakBefore w:val="0"/>
        <w:widowControl w:val="0"/>
        <w:kinsoku/>
        <w:wordWrap/>
        <w:overflowPunct/>
        <w:topLinePunct w:val="0"/>
        <w:autoSpaceDE/>
        <w:autoSpaceDN/>
        <w:bidi w:val="0"/>
        <w:snapToGrid/>
        <w:spacing w:line="440" w:lineRule="exact"/>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zh-CN"/>
        </w:rPr>
        <w:t xml:space="preserve">    </w:t>
      </w:r>
      <w:r>
        <w:rPr>
          <w:rFonts w:hint="eastAsia" w:ascii="宋体" w:hAnsi="宋体" w:eastAsia="宋体" w:cs="宋体"/>
          <w:color w:val="auto"/>
          <w:kern w:val="2"/>
          <w:sz w:val="21"/>
          <w:szCs w:val="21"/>
          <w:lang w:val="en-US" w:eastAsia="zh-CN"/>
        </w:rPr>
        <w:t>14</w:t>
      </w:r>
      <w:r>
        <w:rPr>
          <w:rFonts w:hint="eastAsia" w:ascii="宋体" w:hAnsi="宋体" w:eastAsia="宋体" w:cs="宋体"/>
          <w:color w:val="auto"/>
          <w:kern w:val="2"/>
          <w:sz w:val="21"/>
          <w:szCs w:val="21"/>
          <w:lang w:val="zh-CN"/>
        </w:rPr>
        <w:t>.1 申请人在递交</w:t>
      </w:r>
      <w:r>
        <w:rPr>
          <w:rFonts w:hint="eastAsia" w:ascii="宋体" w:hAnsi="宋体" w:eastAsia="宋体" w:cs="宋体"/>
          <w:color w:val="auto"/>
          <w:kern w:val="2"/>
          <w:sz w:val="21"/>
          <w:szCs w:val="21"/>
          <w:lang w:val="en-US" w:eastAsia="zh-CN"/>
        </w:rPr>
        <w:t>响应</w:t>
      </w:r>
      <w:r>
        <w:rPr>
          <w:rFonts w:hint="eastAsia" w:ascii="宋体" w:hAnsi="宋体" w:eastAsia="宋体" w:cs="宋体"/>
          <w:color w:val="auto"/>
          <w:kern w:val="2"/>
          <w:sz w:val="21"/>
          <w:szCs w:val="21"/>
          <w:lang w:val="zh-CN"/>
        </w:rPr>
        <w:t>文件后，可以在规定的</w:t>
      </w:r>
      <w:r>
        <w:rPr>
          <w:rFonts w:hint="eastAsia" w:ascii="宋体" w:hAnsi="宋体" w:eastAsia="宋体" w:cs="宋体"/>
          <w:color w:val="auto"/>
          <w:kern w:val="2"/>
          <w:sz w:val="21"/>
          <w:szCs w:val="21"/>
          <w:lang w:val="en-US" w:eastAsia="zh-CN"/>
        </w:rPr>
        <w:t>响应</w:t>
      </w:r>
      <w:r>
        <w:rPr>
          <w:rFonts w:hint="eastAsia" w:ascii="宋体" w:hAnsi="宋体" w:eastAsia="宋体" w:cs="宋体"/>
          <w:color w:val="auto"/>
          <w:kern w:val="2"/>
          <w:sz w:val="21"/>
          <w:szCs w:val="21"/>
          <w:lang w:val="zh-CN"/>
        </w:rPr>
        <w:t>文件截止时间前，以书面形式通知招标代理机构，修改或撤回其磋商申请文件。修改或撤回文件的时间以修改或撤回通知送达招标代理机构之日为准。</w:t>
      </w:r>
    </w:p>
    <w:p w14:paraId="466B56A5">
      <w:pPr>
        <w:keepNext w:val="0"/>
        <w:keepLines w:val="0"/>
        <w:pageBreakBefore w:val="0"/>
        <w:widowControl w:val="0"/>
        <w:kinsoku/>
        <w:wordWrap/>
        <w:overflowPunct/>
        <w:topLinePunct w:val="0"/>
        <w:autoSpaceDE/>
        <w:autoSpaceDN/>
        <w:bidi w:val="0"/>
        <w:snapToGrid/>
        <w:spacing w:line="440" w:lineRule="exact"/>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 xml:space="preserve">    1</w:t>
      </w: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rPr>
        <w:t xml:space="preserve">.2 </w:t>
      </w:r>
      <w:r>
        <w:rPr>
          <w:rFonts w:hint="eastAsia" w:ascii="宋体" w:hAnsi="宋体" w:eastAsia="宋体" w:cs="宋体"/>
          <w:color w:val="auto"/>
          <w:kern w:val="2"/>
          <w:sz w:val="21"/>
          <w:szCs w:val="21"/>
          <w:lang w:val="zh-CN"/>
        </w:rPr>
        <w:t>修改文件应按第</w:t>
      </w: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lang w:val="zh-CN"/>
        </w:rPr>
        <w:t>条的规定进行编制和签署，并按第</w:t>
      </w:r>
      <w:r>
        <w:rPr>
          <w:rFonts w:hint="eastAsia" w:ascii="宋体" w:hAnsi="宋体" w:eastAsia="宋体" w:cs="宋体"/>
          <w:color w:val="auto"/>
          <w:kern w:val="2"/>
          <w:sz w:val="21"/>
          <w:szCs w:val="21"/>
        </w:rPr>
        <w:t>14</w:t>
      </w:r>
      <w:r>
        <w:rPr>
          <w:rFonts w:hint="eastAsia" w:ascii="宋体" w:hAnsi="宋体" w:eastAsia="宋体" w:cs="宋体"/>
          <w:color w:val="auto"/>
          <w:kern w:val="2"/>
          <w:sz w:val="21"/>
          <w:szCs w:val="21"/>
          <w:lang w:val="zh-CN"/>
        </w:rPr>
        <w:t>条的规定进行加密。</w:t>
      </w:r>
    </w:p>
    <w:p w14:paraId="4F71BB11">
      <w:pPr>
        <w:keepNext w:val="0"/>
        <w:keepLines w:val="0"/>
        <w:pageBreakBefore w:val="0"/>
        <w:widowControl w:val="0"/>
        <w:kinsoku/>
        <w:wordWrap/>
        <w:overflowPunct/>
        <w:topLinePunct w:val="0"/>
        <w:autoSpaceDE/>
        <w:autoSpaceDN/>
        <w:bidi w:val="0"/>
        <w:snapToGrid/>
        <w:spacing w:line="440" w:lineRule="exact"/>
        <w:ind w:left="-105" w:firstLine="556" w:firstLineChars="0"/>
        <w:jc w:val="both"/>
        <w:rPr>
          <w:rFonts w:hint="eastAsia" w:ascii="宋体" w:hAnsi="宋体" w:eastAsia="宋体" w:cs="宋体"/>
          <w:color w:val="auto"/>
          <w:spacing w:val="0"/>
          <w:kern w:val="2"/>
          <w:sz w:val="21"/>
          <w:szCs w:val="21"/>
          <w:lang w:val="zh-CN"/>
        </w:rPr>
      </w:pPr>
      <w:r>
        <w:rPr>
          <w:rFonts w:hint="eastAsia" w:ascii="宋体" w:hAnsi="宋体" w:eastAsia="宋体" w:cs="宋体"/>
          <w:color w:val="auto"/>
          <w:spacing w:val="0"/>
          <w:kern w:val="2"/>
          <w:sz w:val="21"/>
          <w:szCs w:val="21"/>
        </w:rPr>
        <w:t>1</w:t>
      </w:r>
      <w:r>
        <w:rPr>
          <w:rFonts w:hint="eastAsia" w:ascii="宋体" w:hAnsi="宋体" w:eastAsia="宋体" w:cs="宋体"/>
          <w:color w:val="auto"/>
          <w:spacing w:val="0"/>
          <w:kern w:val="2"/>
          <w:sz w:val="21"/>
          <w:szCs w:val="21"/>
          <w:lang w:val="en-US" w:eastAsia="zh-CN"/>
        </w:rPr>
        <w:t>4</w:t>
      </w:r>
      <w:r>
        <w:rPr>
          <w:rFonts w:hint="eastAsia" w:ascii="宋体" w:hAnsi="宋体" w:eastAsia="宋体" w:cs="宋体"/>
          <w:color w:val="auto"/>
          <w:spacing w:val="0"/>
          <w:kern w:val="2"/>
          <w:sz w:val="21"/>
          <w:szCs w:val="21"/>
        </w:rPr>
        <w:t xml:space="preserve">.3 </w:t>
      </w:r>
      <w:r>
        <w:rPr>
          <w:rFonts w:hint="eastAsia" w:ascii="宋体" w:hAnsi="宋体" w:eastAsia="宋体" w:cs="宋体"/>
          <w:color w:val="auto"/>
          <w:spacing w:val="0"/>
          <w:kern w:val="2"/>
          <w:sz w:val="21"/>
          <w:szCs w:val="21"/>
          <w:lang w:val="zh-CN"/>
        </w:rPr>
        <w:t>在磋商申请文件截止时间之后，申请人不得对其磋商申请文件做任何修改。</w:t>
      </w:r>
    </w:p>
    <w:p w14:paraId="167D97AE">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rPr>
        <w:t>.4</w:t>
      </w:r>
      <w:r>
        <w:rPr>
          <w:rFonts w:hint="eastAsia" w:ascii="宋体" w:hAnsi="宋体" w:eastAsia="宋体" w:cs="宋体"/>
          <w:b/>
          <w:color w:val="auto"/>
          <w:kern w:val="2"/>
          <w:sz w:val="21"/>
          <w:szCs w:val="21"/>
        </w:rPr>
        <w:t xml:space="preserve"> </w:t>
      </w:r>
      <w:r>
        <w:rPr>
          <w:rFonts w:hint="eastAsia" w:ascii="宋体" w:hAnsi="宋体" w:eastAsia="宋体" w:cs="宋体"/>
          <w:color w:val="auto"/>
          <w:kern w:val="2"/>
          <w:sz w:val="21"/>
          <w:szCs w:val="21"/>
          <w:lang w:val="zh-CN"/>
        </w:rPr>
        <w:t>在磋商申请文件截止时间至招标代理机构在磋商文件中规定的有效期期满之前的这段时间内，申请人不得撤回其磋商申请文件，否则其保证金将不予退还（如缴纳）。</w:t>
      </w:r>
    </w:p>
    <w:p w14:paraId="759772FF">
      <w:pPr>
        <w:keepNext w:val="0"/>
        <w:keepLines w:val="0"/>
        <w:pageBreakBefore w:val="0"/>
        <w:widowControl w:val="0"/>
        <w:tabs>
          <w:tab w:val="left" w:pos="645"/>
        </w:tabs>
        <w:kinsoku/>
        <w:wordWrap/>
        <w:overflowPunct/>
        <w:topLinePunct w:val="0"/>
        <w:autoSpaceDE/>
        <w:autoSpaceDN/>
        <w:bidi w:val="0"/>
        <w:snapToGrid/>
        <w:spacing w:line="440" w:lineRule="exact"/>
        <w:ind w:firstLine="0" w:firstLineChars="0"/>
        <w:jc w:val="both"/>
        <w:rPr>
          <w:rFonts w:hint="eastAsia" w:ascii="黑体" w:hAnsi="黑体" w:eastAsia="黑体" w:cs="黑体"/>
          <w:b w:val="0"/>
          <w:bCs/>
          <w:color w:val="auto"/>
          <w:kern w:val="2"/>
          <w:sz w:val="21"/>
          <w:szCs w:val="21"/>
          <w:lang w:val="zh-CN"/>
        </w:rPr>
      </w:pPr>
      <w:r>
        <w:rPr>
          <w:rFonts w:hint="eastAsia" w:ascii="宋体" w:hAnsi="宋体" w:eastAsia="宋体" w:cs="宋体"/>
          <w:color w:val="auto"/>
          <w:spacing w:val="0"/>
          <w:kern w:val="2"/>
          <w:sz w:val="21"/>
          <w:szCs w:val="21"/>
          <w:lang w:val="zh-CN"/>
        </w:rPr>
        <w:t>　　</w:t>
      </w:r>
      <w:r>
        <w:rPr>
          <w:rFonts w:hint="eastAsia" w:ascii="黑体" w:hAnsi="黑体" w:eastAsia="黑体" w:cs="黑体"/>
          <w:b w:val="0"/>
          <w:bCs/>
          <w:color w:val="auto"/>
          <w:kern w:val="2"/>
          <w:sz w:val="21"/>
          <w:szCs w:val="21"/>
          <w:lang w:val="zh-CN"/>
        </w:rPr>
        <w:t>六、磋商与确定成交</w:t>
      </w:r>
    </w:p>
    <w:p w14:paraId="0FE78F02">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zh-CN"/>
        </w:rPr>
        <w:t>　　</w:t>
      </w:r>
      <w:r>
        <w:rPr>
          <w:rFonts w:hint="eastAsia" w:ascii="宋体" w:hAnsi="宋体" w:eastAsia="宋体" w:cs="宋体"/>
          <w:color w:val="auto"/>
          <w:kern w:val="2"/>
          <w:sz w:val="21"/>
          <w:szCs w:val="21"/>
          <w:lang w:val="en-US" w:eastAsia="zh-CN"/>
        </w:rPr>
        <w:t>15</w:t>
      </w:r>
      <w:r>
        <w:rPr>
          <w:rFonts w:hint="eastAsia" w:ascii="宋体" w:hAnsi="宋体" w:eastAsia="宋体" w:cs="宋体"/>
          <w:color w:val="auto"/>
          <w:kern w:val="2"/>
          <w:sz w:val="21"/>
          <w:szCs w:val="21"/>
          <w:lang w:val="zh-CN"/>
        </w:rPr>
        <w:t>、磋商</w:t>
      </w:r>
    </w:p>
    <w:p w14:paraId="33608582">
      <w:pPr>
        <w:keepNext w:val="0"/>
        <w:keepLines w:val="0"/>
        <w:pageBreakBefore w:val="0"/>
        <w:widowControl w:val="0"/>
        <w:kinsoku/>
        <w:wordWrap/>
        <w:overflowPunct/>
        <w:topLinePunct w:val="0"/>
        <w:autoSpaceDE/>
        <w:autoSpaceDN/>
        <w:bidi w:val="0"/>
        <w:snapToGrid/>
        <w:spacing w:line="440" w:lineRule="exact"/>
        <w:ind w:firstLine="420" w:firstLineChars="0"/>
        <w:jc w:val="both"/>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en-US" w:eastAsia="zh-CN"/>
        </w:rPr>
        <w:t>15</w:t>
      </w:r>
      <w:r>
        <w:rPr>
          <w:rFonts w:hint="eastAsia" w:ascii="宋体" w:hAnsi="宋体" w:eastAsia="宋体" w:cs="宋体"/>
          <w:color w:val="auto"/>
          <w:kern w:val="2"/>
          <w:sz w:val="21"/>
          <w:szCs w:val="21"/>
          <w:lang w:val="zh-CN"/>
        </w:rPr>
        <w:t>.1招标代理机构将在“申请人须知”中规定的时间和地点组织磋商。</w:t>
      </w:r>
    </w:p>
    <w:p w14:paraId="6769D50E">
      <w:pPr>
        <w:keepNext w:val="0"/>
        <w:keepLines w:val="0"/>
        <w:pageBreakBefore w:val="0"/>
        <w:widowControl w:val="0"/>
        <w:kinsoku/>
        <w:wordWrap/>
        <w:overflowPunct/>
        <w:topLinePunct w:val="0"/>
        <w:autoSpaceDE/>
        <w:autoSpaceDN/>
        <w:bidi w:val="0"/>
        <w:snapToGrid/>
        <w:spacing w:line="440" w:lineRule="exact"/>
        <w:ind w:firstLine="420" w:firstLineChars="0"/>
        <w:jc w:val="both"/>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zh-CN"/>
        </w:rPr>
        <w:t>1</w:t>
      </w:r>
      <w:r>
        <w:rPr>
          <w:rFonts w:hint="eastAsia" w:ascii="宋体" w:hAnsi="宋体" w:eastAsia="宋体" w:cs="宋体"/>
          <w:color w:val="auto"/>
          <w:kern w:val="2"/>
          <w:sz w:val="21"/>
          <w:szCs w:val="21"/>
          <w:lang w:val="en-US" w:eastAsia="zh-CN"/>
        </w:rPr>
        <w:t>5</w:t>
      </w:r>
      <w:r>
        <w:rPr>
          <w:rFonts w:hint="eastAsia" w:ascii="宋体" w:hAnsi="宋体" w:eastAsia="宋体" w:cs="宋体"/>
          <w:color w:val="auto"/>
          <w:kern w:val="2"/>
          <w:sz w:val="21"/>
          <w:szCs w:val="21"/>
          <w:lang w:val="zh-CN"/>
        </w:rPr>
        <w:t>.2按照第</w:t>
      </w:r>
      <w:r>
        <w:rPr>
          <w:rFonts w:hint="eastAsia" w:ascii="宋体" w:hAnsi="宋体" w:eastAsia="宋体" w:cs="宋体"/>
          <w:color w:val="auto"/>
          <w:kern w:val="2"/>
          <w:sz w:val="21"/>
          <w:szCs w:val="21"/>
          <w:lang w:val="en-US" w:eastAsia="zh-CN"/>
        </w:rPr>
        <w:t>14</w:t>
      </w:r>
      <w:r>
        <w:rPr>
          <w:rFonts w:hint="eastAsia" w:ascii="宋体" w:hAnsi="宋体" w:eastAsia="宋体" w:cs="宋体"/>
          <w:color w:val="auto"/>
          <w:kern w:val="2"/>
          <w:sz w:val="21"/>
          <w:szCs w:val="21"/>
          <w:lang w:val="zh-CN"/>
        </w:rPr>
        <w:t>条规定，同意撤回的磋商申请文件将不予开启。</w:t>
      </w:r>
    </w:p>
    <w:p w14:paraId="56741803">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zh-CN"/>
        </w:rPr>
        <w:t>　　1</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val="zh-CN"/>
        </w:rPr>
        <w:t>、磋商小组</w:t>
      </w:r>
    </w:p>
    <w:p w14:paraId="4D10E631">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zh-CN"/>
        </w:rPr>
        <w:t>　　1</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val="zh-CN"/>
        </w:rPr>
        <w:t>.1采购人根据本次磋商采购项目的性质和特点依法组建的磋商小组。磋商小组成员由采购人熟悉相关业务的代表</w:t>
      </w:r>
      <w:r>
        <w:rPr>
          <w:rFonts w:hint="eastAsia" w:ascii="宋体" w:hAnsi="宋体" w:eastAsia="宋体" w:cs="宋体"/>
          <w:color w:val="auto"/>
          <w:kern w:val="2"/>
          <w:sz w:val="21"/>
          <w:szCs w:val="21"/>
          <w:lang w:eastAsia="zh-CN"/>
        </w:rPr>
        <w:t>和</w:t>
      </w:r>
      <w:r>
        <w:rPr>
          <w:rFonts w:hint="eastAsia" w:ascii="宋体" w:hAnsi="宋体" w:eastAsia="宋体" w:cs="宋体"/>
          <w:color w:val="auto"/>
          <w:kern w:val="2"/>
          <w:sz w:val="21"/>
          <w:szCs w:val="21"/>
        </w:rPr>
        <w:t>有关技术、经济等方面的专家组成</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rPr>
        <w:t>其中技术、经济等方面的专家不得少于成员总数的</w:t>
      </w:r>
      <w:r>
        <w:rPr>
          <w:rFonts w:hint="eastAsia" w:ascii="宋体" w:hAnsi="宋体" w:eastAsia="宋体" w:cs="宋体"/>
          <w:color w:val="auto"/>
          <w:kern w:val="2"/>
          <w:sz w:val="21"/>
          <w:szCs w:val="21"/>
          <w:lang w:val="en-US" w:eastAsia="zh-CN"/>
        </w:rPr>
        <w:t>2/3</w:t>
      </w:r>
      <w:r>
        <w:rPr>
          <w:rFonts w:hint="eastAsia" w:ascii="宋体" w:hAnsi="宋体" w:eastAsia="宋体" w:cs="宋体"/>
          <w:color w:val="auto"/>
          <w:kern w:val="2"/>
          <w:sz w:val="21"/>
          <w:szCs w:val="21"/>
        </w:rPr>
        <w:t>。</w:t>
      </w:r>
    </w:p>
    <w:p w14:paraId="7B0A3B95">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rPr>
        <w:t>.2在评审前，由</w:t>
      </w:r>
      <w:r>
        <w:rPr>
          <w:rFonts w:hint="eastAsia" w:ascii="宋体" w:hAnsi="宋体" w:eastAsia="宋体" w:cs="宋体"/>
          <w:color w:val="auto"/>
          <w:kern w:val="2"/>
          <w:sz w:val="21"/>
          <w:szCs w:val="21"/>
          <w:lang w:eastAsia="zh-CN"/>
        </w:rPr>
        <w:t>磋商小组</w:t>
      </w:r>
      <w:r>
        <w:rPr>
          <w:rFonts w:hint="eastAsia" w:ascii="宋体" w:hAnsi="宋体" w:eastAsia="宋体" w:cs="宋体"/>
          <w:color w:val="auto"/>
          <w:kern w:val="2"/>
          <w:sz w:val="21"/>
          <w:szCs w:val="21"/>
        </w:rPr>
        <w:t>成员共同推举或者通过随机抽取的方式确定一名</w:t>
      </w:r>
      <w:r>
        <w:rPr>
          <w:rFonts w:hint="eastAsia" w:ascii="宋体" w:hAnsi="宋体" w:eastAsia="宋体" w:cs="宋体"/>
          <w:color w:val="auto"/>
          <w:kern w:val="2"/>
          <w:sz w:val="21"/>
          <w:szCs w:val="21"/>
          <w:lang w:val="en-US" w:eastAsia="zh-CN"/>
        </w:rPr>
        <w:t>磋商小组</w:t>
      </w:r>
      <w:r>
        <w:rPr>
          <w:rFonts w:hint="eastAsia" w:ascii="宋体" w:hAnsi="宋体" w:eastAsia="宋体" w:cs="宋体"/>
          <w:color w:val="auto"/>
          <w:kern w:val="2"/>
          <w:sz w:val="21"/>
          <w:szCs w:val="21"/>
        </w:rPr>
        <w:t>负责人。</w:t>
      </w:r>
      <w:r>
        <w:rPr>
          <w:rFonts w:hint="eastAsia" w:ascii="宋体" w:hAnsi="宋体" w:eastAsia="宋体" w:cs="宋体"/>
          <w:color w:val="auto"/>
          <w:kern w:val="2"/>
          <w:sz w:val="21"/>
          <w:szCs w:val="21"/>
          <w:lang w:eastAsia="zh-CN"/>
        </w:rPr>
        <w:t>磋商小组</w:t>
      </w:r>
      <w:r>
        <w:rPr>
          <w:rFonts w:hint="eastAsia" w:ascii="宋体" w:hAnsi="宋体" w:eastAsia="宋体" w:cs="宋体"/>
          <w:color w:val="auto"/>
          <w:kern w:val="2"/>
          <w:sz w:val="21"/>
          <w:szCs w:val="21"/>
        </w:rPr>
        <w:t>负责人主要工作如下：</w:t>
      </w:r>
    </w:p>
    <w:p w14:paraId="1AC957A9">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（一）组织</w:t>
      </w:r>
      <w:r>
        <w:rPr>
          <w:rFonts w:hint="eastAsia" w:ascii="宋体" w:hAnsi="宋体" w:eastAsia="宋体" w:cs="宋体"/>
          <w:color w:val="auto"/>
          <w:kern w:val="2"/>
          <w:sz w:val="21"/>
          <w:szCs w:val="21"/>
          <w:lang w:eastAsia="zh-CN"/>
        </w:rPr>
        <w:t>磋商小组</w:t>
      </w:r>
      <w:r>
        <w:rPr>
          <w:rFonts w:hint="eastAsia" w:ascii="宋体" w:hAnsi="宋体" w:eastAsia="宋体" w:cs="宋体"/>
          <w:color w:val="auto"/>
          <w:kern w:val="2"/>
          <w:sz w:val="21"/>
          <w:szCs w:val="21"/>
        </w:rPr>
        <w:t>成员学习</w:t>
      </w:r>
      <w:r>
        <w:rPr>
          <w:rFonts w:hint="eastAsia" w:ascii="宋体" w:hAnsi="宋体" w:eastAsia="宋体" w:cs="宋体"/>
          <w:color w:val="auto"/>
          <w:kern w:val="2"/>
          <w:sz w:val="21"/>
          <w:szCs w:val="21"/>
          <w:lang w:eastAsia="zh-CN"/>
        </w:rPr>
        <w:t>磋商文件</w:t>
      </w:r>
      <w:r>
        <w:rPr>
          <w:rFonts w:hint="eastAsia" w:ascii="宋体" w:hAnsi="宋体" w:eastAsia="宋体" w:cs="宋体"/>
          <w:color w:val="auto"/>
          <w:kern w:val="2"/>
          <w:sz w:val="21"/>
          <w:szCs w:val="21"/>
        </w:rPr>
        <w:t>；</w:t>
      </w:r>
    </w:p>
    <w:p w14:paraId="18C029BD">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（二）提醒采购人做好评审准备工作；</w:t>
      </w:r>
    </w:p>
    <w:p w14:paraId="40B68B4B">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（三）在评审较复杂或者</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较多项目时，合理安排</w:t>
      </w:r>
      <w:r>
        <w:rPr>
          <w:rFonts w:hint="eastAsia" w:ascii="宋体" w:hAnsi="宋体" w:eastAsia="宋体" w:cs="宋体"/>
          <w:color w:val="auto"/>
          <w:kern w:val="2"/>
          <w:sz w:val="21"/>
          <w:szCs w:val="21"/>
          <w:lang w:eastAsia="zh-CN"/>
        </w:rPr>
        <w:t>磋商小组</w:t>
      </w:r>
      <w:r>
        <w:rPr>
          <w:rFonts w:hint="eastAsia" w:ascii="宋体" w:hAnsi="宋体" w:eastAsia="宋体" w:cs="宋体"/>
          <w:color w:val="auto"/>
          <w:kern w:val="2"/>
          <w:sz w:val="21"/>
          <w:szCs w:val="21"/>
        </w:rPr>
        <w:t>员的分工；</w:t>
      </w:r>
    </w:p>
    <w:p w14:paraId="38E29237">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（四）汇总各</w:t>
      </w:r>
      <w:r>
        <w:rPr>
          <w:rFonts w:hint="eastAsia" w:ascii="宋体" w:hAnsi="宋体" w:eastAsia="宋体" w:cs="宋体"/>
          <w:color w:val="auto"/>
          <w:kern w:val="2"/>
          <w:sz w:val="21"/>
          <w:szCs w:val="21"/>
          <w:lang w:eastAsia="zh-CN"/>
        </w:rPr>
        <w:t>磋商小组</w:t>
      </w:r>
      <w:r>
        <w:rPr>
          <w:rFonts w:hint="eastAsia" w:ascii="宋体" w:hAnsi="宋体" w:eastAsia="宋体" w:cs="宋体"/>
          <w:color w:val="auto"/>
          <w:kern w:val="2"/>
          <w:sz w:val="21"/>
          <w:szCs w:val="21"/>
        </w:rPr>
        <w:t>会成员认为需要</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澄清、说明或者补正的问题，组织</w:t>
      </w:r>
      <w:r>
        <w:rPr>
          <w:rFonts w:hint="eastAsia" w:ascii="宋体" w:hAnsi="宋体" w:eastAsia="宋体" w:cs="宋体"/>
          <w:color w:val="auto"/>
          <w:kern w:val="2"/>
          <w:sz w:val="21"/>
          <w:szCs w:val="21"/>
          <w:lang w:eastAsia="zh-CN"/>
        </w:rPr>
        <w:t>磋商小组</w:t>
      </w:r>
      <w:r>
        <w:rPr>
          <w:rFonts w:hint="eastAsia" w:ascii="宋体" w:hAnsi="宋体" w:eastAsia="宋体" w:cs="宋体"/>
          <w:color w:val="auto"/>
          <w:kern w:val="2"/>
          <w:sz w:val="21"/>
          <w:szCs w:val="21"/>
        </w:rPr>
        <w:t>对</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质询并对</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的答复进行评审；</w:t>
      </w:r>
    </w:p>
    <w:p w14:paraId="5EB5CEDF">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（五）对出现较大争议的事项进行书面记录；</w:t>
      </w:r>
    </w:p>
    <w:p w14:paraId="3BF8E64B">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（六）回收评审表格和评审记录并查验完整性及有效性；</w:t>
      </w:r>
    </w:p>
    <w:p w14:paraId="3267619D">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（七）组织编写评审报告。</w:t>
      </w:r>
    </w:p>
    <w:p w14:paraId="68D4592A">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rPr>
        <w:t xml:space="preserve">.3 </w:t>
      </w:r>
      <w:r>
        <w:rPr>
          <w:rFonts w:hint="eastAsia" w:ascii="宋体" w:hAnsi="宋体" w:eastAsia="宋体" w:cs="宋体"/>
          <w:color w:val="auto"/>
          <w:kern w:val="2"/>
          <w:sz w:val="21"/>
          <w:szCs w:val="21"/>
          <w:lang w:eastAsia="zh-CN"/>
        </w:rPr>
        <w:t>磋商小组</w:t>
      </w:r>
      <w:r>
        <w:rPr>
          <w:rFonts w:hint="eastAsia" w:ascii="宋体" w:hAnsi="宋体" w:eastAsia="宋体" w:cs="宋体"/>
          <w:color w:val="auto"/>
          <w:kern w:val="2"/>
          <w:sz w:val="21"/>
          <w:szCs w:val="21"/>
        </w:rPr>
        <w:t>独立开展工作，负责审议所有</w:t>
      </w:r>
      <w:r>
        <w:rPr>
          <w:rFonts w:hint="eastAsia" w:ascii="宋体" w:hAnsi="宋体" w:eastAsia="宋体" w:cs="宋体"/>
          <w:color w:val="auto"/>
          <w:kern w:val="2"/>
          <w:sz w:val="21"/>
          <w:szCs w:val="21"/>
          <w:lang w:eastAsia="zh-CN"/>
        </w:rPr>
        <w:t>磋商申请文件</w:t>
      </w:r>
      <w:r>
        <w:rPr>
          <w:rFonts w:hint="eastAsia" w:ascii="宋体" w:hAnsi="宋体" w:eastAsia="宋体" w:cs="宋体"/>
          <w:color w:val="auto"/>
          <w:kern w:val="2"/>
          <w:sz w:val="21"/>
          <w:szCs w:val="21"/>
        </w:rPr>
        <w:t>。</w:t>
      </w:r>
    </w:p>
    <w:p w14:paraId="7E600989">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rPr>
        <w:t>.4</w:t>
      </w:r>
      <w:r>
        <w:rPr>
          <w:rFonts w:hint="eastAsia" w:ascii="宋体" w:hAnsi="宋体" w:eastAsia="宋体" w:cs="宋体"/>
          <w:b/>
          <w:color w:val="auto"/>
          <w:kern w:val="2"/>
          <w:sz w:val="21"/>
          <w:szCs w:val="21"/>
        </w:rPr>
        <w:t xml:space="preserve"> </w:t>
      </w:r>
      <w:r>
        <w:rPr>
          <w:rFonts w:hint="eastAsia" w:ascii="宋体" w:hAnsi="宋体" w:eastAsia="宋体" w:cs="宋体"/>
          <w:color w:val="auto"/>
          <w:kern w:val="2"/>
          <w:sz w:val="21"/>
          <w:szCs w:val="21"/>
          <w:lang w:eastAsia="zh-CN"/>
        </w:rPr>
        <w:t>磋商小组</w:t>
      </w:r>
      <w:r>
        <w:rPr>
          <w:rFonts w:hint="eastAsia" w:ascii="宋体" w:hAnsi="宋体" w:eastAsia="宋体" w:cs="宋体"/>
          <w:color w:val="auto"/>
          <w:kern w:val="2"/>
          <w:sz w:val="21"/>
          <w:szCs w:val="21"/>
        </w:rPr>
        <w:t>应对</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的商业、技术秘密予以保密。</w:t>
      </w:r>
    </w:p>
    <w:p w14:paraId="765F02C5">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　　17</w:t>
      </w:r>
      <w:r>
        <w:rPr>
          <w:rFonts w:hint="eastAsia" w:ascii="宋体" w:hAnsi="宋体" w:eastAsia="宋体" w:cs="宋体"/>
          <w:color w:val="auto"/>
          <w:kern w:val="2"/>
          <w:sz w:val="21"/>
          <w:szCs w:val="21"/>
        </w:rPr>
        <w:t>、出现下列情形之一的，采购人或者采购代理机构应当终止</w:t>
      </w:r>
      <w:r>
        <w:rPr>
          <w:rFonts w:hint="eastAsia" w:ascii="宋体" w:hAnsi="宋体" w:eastAsia="宋体" w:cs="宋体"/>
          <w:color w:val="auto"/>
          <w:kern w:val="2"/>
          <w:sz w:val="21"/>
          <w:szCs w:val="21"/>
          <w:lang w:eastAsia="zh-CN"/>
        </w:rPr>
        <w:t>磋商</w:t>
      </w:r>
      <w:r>
        <w:rPr>
          <w:rFonts w:hint="eastAsia" w:ascii="宋体" w:hAnsi="宋体" w:eastAsia="宋体" w:cs="宋体"/>
          <w:color w:val="auto"/>
          <w:kern w:val="2"/>
          <w:sz w:val="21"/>
          <w:szCs w:val="21"/>
        </w:rPr>
        <w:t>采购活动，发布项目终止公告并说明原因，重新开展采购活动：</w:t>
      </w:r>
    </w:p>
    <w:p w14:paraId="64B9888E">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（一）因情况变化，不再符合规定的</w:t>
      </w:r>
      <w:r>
        <w:rPr>
          <w:rFonts w:hint="eastAsia" w:ascii="宋体" w:hAnsi="宋体" w:eastAsia="宋体" w:cs="宋体"/>
          <w:color w:val="auto"/>
          <w:kern w:val="2"/>
          <w:sz w:val="21"/>
          <w:szCs w:val="21"/>
          <w:lang w:eastAsia="zh-CN"/>
        </w:rPr>
        <w:t>磋商</w:t>
      </w:r>
      <w:r>
        <w:rPr>
          <w:rFonts w:hint="eastAsia" w:ascii="宋体" w:hAnsi="宋体" w:eastAsia="宋体" w:cs="宋体"/>
          <w:color w:val="auto"/>
          <w:kern w:val="2"/>
          <w:sz w:val="21"/>
          <w:szCs w:val="21"/>
        </w:rPr>
        <w:t>采购方式适用情形的；</w:t>
      </w:r>
    </w:p>
    <w:p w14:paraId="1CB63697">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（二）出现影响采购公正的违法、违规行为的；</w:t>
      </w:r>
    </w:p>
    <w:p w14:paraId="52C37A0A">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（三）在采购过程中符合竞争要求的</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或者报价未超过采购预算的</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不足</w:t>
      </w: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rPr>
        <w:t>家的。</w:t>
      </w:r>
    </w:p>
    <w:p w14:paraId="135B20E7">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　　18</w:t>
      </w: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eastAsia="zh-CN"/>
        </w:rPr>
        <w:t>磋商</w:t>
      </w:r>
      <w:r>
        <w:rPr>
          <w:rFonts w:hint="eastAsia" w:ascii="宋体" w:hAnsi="宋体" w:eastAsia="宋体" w:cs="宋体"/>
          <w:color w:val="auto"/>
          <w:kern w:val="2"/>
          <w:sz w:val="21"/>
          <w:szCs w:val="21"/>
        </w:rPr>
        <w:t>过程的保密性</w:t>
      </w:r>
    </w:p>
    <w:p w14:paraId="032320D1">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　　18</w:t>
      </w: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eastAsia="zh-CN"/>
        </w:rPr>
        <w:t>磋商申请文件</w:t>
      </w:r>
      <w:r>
        <w:rPr>
          <w:rFonts w:hint="eastAsia" w:ascii="宋体" w:hAnsi="宋体" w:eastAsia="宋体" w:cs="宋体"/>
          <w:color w:val="auto"/>
          <w:kern w:val="2"/>
          <w:sz w:val="21"/>
          <w:szCs w:val="21"/>
        </w:rPr>
        <w:t>启封后，直至向成交人授予合同时止，凡是与审查、澄清、评价和比较的有关资料以及推荐建议等，均不得向</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及与</w:t>
      </w:r>
      <w:r>
        <w:rPr>
          <w:rFonts w:hint="eastAsia" w:ascii="宋体" w:hAnsi="宋体" w:eastAsia="宋体" w:cs="宋体"/>
          <w:color w:val="auto"/>
          <w:kern w:val="2"/>
          <w:sz w:val="21"/>
          <w:szCs w:val="21"/>
          <w:lang w:eastAsia="zh-CN"/>
        </w:rPr>
        <w:t>磋商</w:t>
      </w:r>
      <w:r>
        <w:rPr>
          <w:rFonts w:hint="eastAsia" w:ascii="宋体" w:hAnsi="宋体" w:eastAsia="宋体" w:cs="宋体"/>
          <w:color w:val="auto"/>
          <w:kern w:val="2"/>
          <w:sz w:val="21"/>
          <w:szCs w:val="21"/>
        </w:rPr>
        <w:t>无关的其他人员透露。</w:t>
      </w:r>
    </w:p>
    <w:p w14:paraId="559CD394">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　　18</w:t>
      </w:r>
      <w:r>
        <w:rPr>
          <w:rFonts w:hint="eastAsia" w:ascii="宋体" w:hAnsi="宋体" w:eastAsia="宋体" w:cs="宋体"/>
          <w:color w:val="auto"/>
          <w:kern w:val="2"/>
          <w:sz w:val="21"/>
          <w:szCs w:val="21"/>
        </w:rPr>
        <w:t>.2 在</w:t>
      </w:r>
      <w:r>
        <w:rPr>
          <w:rFonts w:hint="eastAsia" w:ascii="宋体" w:hAnsi="宋体" w:eastAsia="宋体" w:cs="宋体"/>
          <w:color w:val="auto"/>
          <w:kern w:val="2"/>
          <w:sz w:val="21"/>
          <w:szCs w:val="21"/>
          <w:lang w:eastAsia="zh-CN"/>
        </w:rPr>
        <w:t>磋商</w:t>
      </w:r>
      <w:r>
        <w:rPr>
          <w:rFonts w:hint="eastAsia" w:ascii="宋体" w:hAnsi="宋体" w:eastAsia="宋体" w:cs="宋体"/>
          <w:color w:val="auto"/>
          <w:kern w:val="2"/>
          <w:sz w:val="21"/>
          <w:szCs w:val="21"/>
        </w:rPr>
        <w:t>过程中，如果</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试图向招标代理机构和参与评审的人员施加任何影响，都将会导致其申请被拒绝。</w:t>
      </w:r>
    </w:p>
    <w:p w14:paraId="39EA1640">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lang w:val="en-US" w:eastAsia="zh-CN"/>
        </w:rPr>
        <w:t>19</w:t>
      </w:r>
      <w:r>
        <w:rPr>
          <w:rFonts w:hint="eastAsia" w:ascii="宋体" w:hAnsi="宋体" w:eastAsia="宋体" w:cs="宋体"/>
          <w:color w:val="auto"/>
          <w:kern w:val="2"/>
          <w:sz w:val="21"/>
          <w:szCs w:val="21"/>
        </w:rPr>
        <w:t>、评审程序</w:t>
      </w:r>
    </w:p>
    <w:p w14:paraId="60C1EE1A">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评标程序：资格性评审→符合性评审→</w:t>
      </w:r>
      <w:r>
        <w:rPr>
          <w:rFonts w:hint="eastAsia" w:ascii="宋体" w:hAnsi="宋体" w:eastAsia="宋体" w:cs="宋体"/>
          <w:color w:val="auto"/>
          <w:kern w:val="2"/>
          <w:sz w:val="21"/>
          <w:szCs w:val="21"/>
          <w:lang w:val="en-US" w:eastAsia="zh-CN"/>
        </w:rPr>
        <w:t>二次报价</w:t>
      </w: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val="en-US" w:eastAsia="zh-CN"/>
        </w:rPr>
        <w:t>详细评审</w:t>
      </w:r>
      <w:r>
        <w:rPr>
          <w:rFonts w:hint="eastAsia" w:ascii="宋体" w:hAnsi="宋体" w:eastAsia="宋体" w:cs="宋体"/>
          <w:color w:val="auto"/>
          <w:kern w:val="2"/>
          <w:sz w:val="21"/>
          <w:szCs w:val="21"/>
        </w:rPr>
        <w:t>→评审报告。</w:t>
      </w:r>
      <w:bookmarkStart w:id="58" w:name="_Toc169430814"/>
    </w:p>
    <w:bookmarkEnd w:id="58"/>
    <w:p w14:paraId="162A2010">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6"/>
          <w:kern w:val="2"/>
          <w:sz w:val="21"/>
          <w:szCs w:val="21"/>
          <w:lang w:eastAsia="zh-CN"/>
        </w:rPr>
        <w:t>　</w:t>
      </w: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lang w:val="en-US" w:eastAsia="zh-CN"/>
        </w:rPr>
        <w:t>19.1</w:t>
      </w:r>
      <w:r>
        <w:rPr>
          <w:rFonts w:hint="eastAsia" w:ascii="宋体" w:hAnsi="宋体" w:eastAsia="宋体" w:cs="宋体"/>
          <w:color w:val="auto"/>
          <w:spacing w:val="0"/>
          <w:kern w:val="2"/>
          <w:sz w:val="21"/>
          <w:szCs w:val="21"/>
        </w:rPr>
        <w:t xml:space="preserve"> 如果</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rPr>
        <w:t>实质上没有响应</w:t>
      </w:r>
      <w:r>
        <w:rPr>
          <w:rFonts w:hint="eastAsia" w:ascii="宋体" w:hAnsi="宋体" w:eastAsia="宋体" w:cs="宋体"/>
          <w:color w:val="auto"/>
          <w:spacing w:val="0"/>
          <w:kern w:val="2"/>
          <w:sz w:val="21"/>
          <w:szCs w:val="21"/>
          <w:lang w:eastAsia="zh-CN"/>
        </w:rPr>
        <w:t>磋商文件</w:t>
      </w:r>
      <w:r>
        <w:rPr>
          <w:rFonts w:hint="eastAsia" w:ascii="宋体" w:hAnsi="宋体" w:eastAsia="宋体" w:cs="宋体"/>
          <w:color w:val="auto"/>
          <w:spacing w:val="0"/>
          <w:kern w:val="2"/>
          <w:sz w:val="21"/>
          <w:szCs w:val="21"/>
        </w:rPr>
        <w:t>要求，</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不得通过修改或撤销不符合要求的偏离或保留而使其成为实质性响应的</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rPr>
        <w:t>。</w:t>
      </w:r>
    </w:p>
    <w:p w14:paraId="26027480">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lang w:eastAsia="zh-CN"/>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lang w:val="en-US" w:eastAsia="zh-CN"/>
        </w:rPr>
        <w:t>19</w:t>
      </w:r>
      <w:r>
        <w:rPr>
          <w:rFonts w:hint="eastAsia" w:ascii="宋体" w:hAnsi="宋体" w:eastAsia="宋体" w:cs="宋体"/>
          <w:color w:val="auto"/>
          <w:spacing w:val="0"/>
          <w:kern w:val="2"/>
          <w:sz w:val="21"/>
          <w:szCs w:val="21"/>
        </w:rPr>
        <w:t>.</w:t>
      </w:r>
      <w:r>
        <w:rPr>
          <w:rFonts w:hint="eastAsia" w:ascii="宋体" w:hAnsi="宋体" w:eastAsia="宋体" w:cs="宋体"/>
          <w:color w:val="auto"/>
          <w:spacing w:val="0"/>
          <w:kern w:val="2"/>
          <w:sz w:val="21"/>
          <w:szCs w:val="21"/>
          <w:lang w:val="en-US" w:eastAsia="zh-CN"/>
        </w:rPr>
        <w:t>2</w:t>
      </w:r>
      <w:r>
        <w:rPr>
          <w:rFonts w:hint="eastAsia" w:ascii="宋体" w:hAnsi="宋体" w:eastAsia="宋体" w:cs="宋体"/>
          <w:color w:val="auto"/>
          <w:spacing w:val="0"/>
          <w:kern w:val="2"/>
          <w:sz w:val="21"/>
          <w:szCs w:val="21"/>
        </w:rPr>
        <w:t xml:space="preserve"> </w:t>
      </w:r>
      <w:r>
        <w:rPr>
          <w:rFonts w:hint="eastAsia" w:ascii="宋体" w:hAnsi="宋体" w:eastAsia="宋体" w:cs="宋体"/>
          <w:color w:val="auto"/>
          <w:spacing w:val="0"/>
          <w:kern w:val="2"/>
          <w:sz w:val="21"/>
          <w:szCs w:val="21"/>
          <w:lang w:eastAsia="zh-CN"/>
        </w:rPr>
        <w:t>磋商小组</w:t>
      </w:r>
      <w:r>
        <w:rPr>
          <w:rFonts w:hint="eastAsia" w:ascii="宋体" w:hAnsi="宋体" w:eastAsia="宋体" w:cs="宋体"/>
          <w:color w:val="auto"/>
          <w:spacing w:val="0"/>
          <w:kern w:val="2"/>
          <w:sz w:val="21"/>
          <w:szCs w:val="21"/>
        </w:rPr>
        <w:t>将对确定为实质性响应的</w:t>
      </w:r>
      <w:r>
        <w:rPr>
          <w:rFonts w:hint="eastAsia" w:ascii="宋体" w:hAnsi="宋体" w:eastAsia="宋体" w:cs="宋体"/>
          <w:color w:val="auto"/>
          <w:spacing w:val="0"/>
          <w:kern w:val="2"/>
          <w:sz w:val="21"/>
          <w:szCs w:val="21"/>
          <w:lang w:eastAsia="zh-CN"/>
        </w:rPr>
        <w:t>磋商文件</w:t>
      </w:r>
      <w:r>
        <w:rPr>
          <w:rFonts w:hint="eastAsia" w:ascii="宋体" w:hAnsi="宋体" w:eastAsia="宋体" w:cs="宋体"/>
          <w:color w:val="auto"/>
          <w:spacing w:val="0"/>
          <w:kern w:val="2"/>
          <w:sz w:val="21"/>
          <w:szCs w:val="21"/>
        </w:rPr>
        <w:t>进行进一步的审核，看其是否有计算上或累加上的算术错误，修正错误的原则如下</w:t>
      </w:r>
      <w:r>
        <w:rPr>
          <w:rFonts w:hint="eastAsia" w:ascii="宋体" w:hAnsi="宋体" w:eastAsia="宋体" w:cs="宋体"/>
          <w:color w:val="auto"/>
          <w:spacing w:val="0"/>
          <w:kern w:val="2"/>
          <w:sz w:val="21"/>
          <w:szCs w:val="21"/>
          <w:lang w:eastAsia="zh-CN"/>
        </w:rPr>
        <w:t>：</w:t>
      </w:r>
    </w:p>
    <w:p w14:paraId="489059D3">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如果用数字表示的金额和用文字表示的金额不一致时，应以文字表示的金额为准进行修正；</w:t>
      </w:r>
    </w:p>
    <w:p w14:paraId="2E0C17EB">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lang w:eastAsia="zh-CN"/>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当单价与数量的乘积和总价不一致时，以单价为准进行修正。只有在</w:t>
      </w:r>
      <w:r>
        <w:rPr>
          <w:rFonts w:hint="eastAsia" w:ascii="宋体" w:hAnsi="宋体" w:eastAsia="宋体" w:cs="宋体"/>
          <w:color w:val="auto"/>
          <w:spacing w:val="0"/>
          <w:kern w:val="2"/>
          <w:sz w:val="21"/>
          <w:szCs w:val="21"/>
          <w:lang w:eastAsia="zh-CN"/>
        </w:rPr>
        <w:t>磋商小组</w:t>
      </w:r>
      <w:r>
        <w:rPr>
          <w:rFonts w:hint="eastAsia" w:ascii="宋体" w:hAnsi="宋体" w:eastAsia="宋体" w:cs="宋体"/>
          <w:color w:val="auto"/>
          <w:spacing w:val="0"/>
          <w:kern w:val="2"/>
          <w:sz w:val="21"/>
          <w:szCs w:val="21"/>
        </w:rPr>
        <w:t>认为单价有明显的小数点错误时，才能以标出的总价为准，并修改单价</w:t>
      </w:r>
      <w:r>
        <w:rPr>
          <w:rFonts w:hint="eastAsia" w:ascii="宋体" w:hAnsi="宋体" w:eastAsia="宋体" w:cs="宋体"/>
          <w:color w:val="auto"/>
          <w:spacing w:val="0"/>
          <w:kern w:val="2"/>
          <w:sz w:val="21"/>
          <w:szCs w:val="21"/>
          <w:lang w:eastAsia="zh-CN"/>
        </w:rPr>
        <w:t>。</w:t>
      </w:r>
    </w:p>
    <w:p w14:paraId="0F718D76">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lang w:eastAsia="zh-CN"/>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lang w:val="en-US" w:eastAsia="zh-CN"/>
        </w:rPr>
        <w:t>19</w:t>
      </w:r>
      <w:r>
        <w:rPr>
          <w:rFonts w:hint="eastAsia" w:ascii="宋体" w:hAnsi="宋体" w:eastAsia="宋体" w:cs="宋体"/>
          <w:color w:val="auto"/>
          <w:spacing w:val="0"/>
          <w:kern w:val="2"/>
          <w:sz w:val="21"/>
          <w:szCs w:val="21"/>
        </w:rPr>
        <w:t>.</w:t>
      </w:r>
      <w:r>
        <w:rPr>
          <w:rFonts w:hint="eastAsia" w:ascii="宋体" w:hAnsi="宋体" w:eastAsia="宋体" w:cs="宋体"/>
          <w:color w:val="auto"/>
          <w:spacing w:val="0"/>
          <w:kern w:val="2"/>
          <w:sz w:val="21"/>
          <w:szCs w:val="21"/>
          <w:lang w:val="en-US" w:eastAsia="zh-CN"/>
        </w:rPr>
        <w:t>3</w:t>
      </w:r>
      <w:r>
        <w:rPr>
          <w:rFonts w:hint="eastAsia" w:ascii="宋体" w:hAnsi="宋体" w:eastAsia="宋体" w:cs="宋体"/>
          <w:color w:val="auto"/>
          <w:spacing w:val="0"/>
          <w:kern w:val="2"/>
          <w:sz w:val="21"/>
          <w:szCs w:val="21"/>
        </w:rPr>
        <w:t xml:space="preserve"> </w:t>
      </w:r>
      <w:r>
        <w:rPr>
          <w:rFonts w:hint="eastAsia" w:ascii="宋体" w:hAnsi="宋体" w:eastAsia="宋体" w:cs="宋体"/>
          <w:color w:val="auto"/>
          <w:spacing w:val="0"/>
          <w:kern w:val="2"/>
          <w:sz w:val="21"/>
          <w:szCs w:val="21"/>
          <w:lang w:eastAsia="zh-CN"/>
        </w:rPr>
        <w:t>磋商小组</w:t>
      </w:r>
      <w:r>
        <w:rPr>
          <w:rFonts w:hint="eastAsia" w:ascii="宋体" w:hAnsi="宋体" w:eastAsia="宋体" w:cs="宋体"/>
          <w:color w:val="auto"/>
          <w:spacing w:val="0"/>
          <w:kern w:val="2"/>
          <w:sz w:val="21"/>
          <w:szCs w:val="21"/>
        </w:rPr>
        <w:t>将按上述修正错误的方法调整</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sz w:val="21"/>
          <w:szCs w:val="21"/>
          <w:lang w:eastAsia="zh-CN"/>
        </w:rPr>
        <w:t>磋商申请文件</w:t>
      </w:r>
      <w:r>
        <w:rPr>
          <w:rFonts w:hint="eastAsia" w:ascii="宋体" w:hAnsi="宋体" w:eastAsia="宋体" w:cs="宋体"/>
          <w:color w:val="auto"/>
          <w:spacing w:val="0"/>
          <w:kern w:val="2"/>
          <w:sz w:val="21"/>
          <w:szCs w:val="21"/>
        </w:rPr>
        <w:t>中的</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报价，调整后的价格应对</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具有约束力。如果</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不接受修正后的价格，则其</w:t>
      </w:r>
      <w:r>
        <w:rPr>
          <w:rFonts w:hint="eastAsia" w:ascii="宋体" w:hAnsi="宋体" w:eastAsia="宋体" w:cs="宋体"/>
          <w:color w:val="auto"/>
          <w:spacing w:val="0"/>
          <w:sz w:val="21"/>
          <w:szCs w:val="21"/>
          <w:lang w:eastAsia="zh-CN"/>
        </w:rPr>
        <w:t>磋商申请文件</w:t>
      </w:r>
      <w:r>
        <w:rPr>
          <w:rFonts w:hint="eastAsia" w:ascii="宋体" w:hAnsi="宋体" w:eastAsia="宋体" w:cs="宋体"/>
          <w:color w:val="auto"/>
          <w:spacing w:val="0"/>
          <w:kern w:val="2"/>
          <w:sz w:val="21"/>
          <w:szCs w:val="21"/>
        </w:rPr>
        <w:t>将被拒绝。</w:t>
      </w:r>
      <w:r>
        <w:rPr>
          <w:rFonts w:hint="eastAsia" w:ascii="宋体" w:hAnsi="宋体" w:eastAsia="宋体" w:cs="宋体"/>
          <w:color w:val="auto"/>
          <w:spacing w:val="0"/>
          <w:sz w:val="21"/>
          <w:szCs w:val="21"/>
          <w:lang w:eastAsia="zh-CN"/>
        </w:rPr>
        <w:t>磋商申请文件。</w:t>
      </w:r>
    </w:p>
    <w:p w14:paraId="06D43FF2">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lang w:val="en-US" w:eastAsia="zh-CN"/>
        </w:rPr>
        <w:t>20</w:t>
      </w:r>
      <w:r>
        <w:rPr>
          <w:rFonts w:hint="eastAsia" w:ascii="宋体" w:hAnsi="宋体" w:eastAsia="宋体" w:cs="宋体"/>
          <w:color w:val="auto"/>
          <w:spacing w:val="0"/>
          <w:kern w:val="2"/>
          <w:sz w:val="21"/>
          <w:szCs w:val="21"/>
        </w:rPr>
        <w:t>、</w:t>
      </w:r>
      <w:r>
        <w:rPr>
          <w:rFonts w:hint="eastAsia" w:ascii="宋体" w:hAnsi="宋体" w:eastAsia="宋体" w:cs="宋体"/>
          <w:color w:val="auto"/>
          <w:spacing w:val="0"/>
          <w:kern w:val="2"/>
          <w:sz w:val="21"/>
          <w:szCs w:val="21"/>
          <w:lang w:eastAsia="zh-CN"/>
        </w:rPr>
        <w:t>磋商</w:t>
      </w:r>
      <w:r>
        <w:rPr>
          <w:rFonts w:hint="eastAsia" w:ascii="宋体" w:hAnsi="宋体" w:eastAsia="宋体" w:cs="宋体"/>
          <w:color w:val="auto"/>
          <w:spacing w:val="0"/>
          <w:kern w:val="2"/>
          <w:sz w:val="21"/>
          <w:szCs w:val="21"/>
        </w:rPr>
        <w:t>过程及</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rPr>
        <w:t>的澄清</w:t>
      </w:r>
    </w:p>
    <w:p w14:paraId="0BD8DD48">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2</w:t>
      </w:r>
      <w:r>
        <w:rPr>
          <w:rFonts w:hint="eastAsia" w:ascii="宋体" w:hAnsi="宋体" w:eastAsia="宋体" w:cs="宋体"/>
          <w:color w:val="auto"/>
          <w:spacing w:val="0"/>
          <w:kern w:val="2"/>
          <w:sz w:val="21"/>
          <w:szCs w:val="21"/>
          <w:lang w:val="en-US" w:eastAsia="zh-CN"/>
        </w:rPr>
        <w:t>0</w:t>
      </w:r>
      <w:r>
        <w:rPr>
          <w:rFonts w:hint="eastAsia" w:ascii="宋体" w:hAnsi="宋体" w:eastAsia="宋体" w:cs="宋体"/>
          <w:color w:val="auto"/>
          <w:spacing w:val="0"/>
          <w:kern w:val="2"/>
          <w:sz w:val="21"/>
          <w:szCs w:val="21"/>
        </w:rPr>
        <w:t xml:space="preserve">.1 </w:t>
      </w:r>
      <w:r>
        <w:rPr>
          <w:rFonts w:hint="eastAsia" w:ascii="宋体" w:hAnsi="宋体" w:eastAsia="宋体" w:cs="宋体"/>
          <w:color w:val="auto"/>
          <w:spacing w:val="0"/>
          <w:kern w:val="2"/>
          <w:sz w:val="21"/>
          <w:szCs w:val="21"/>
          <w:lang w:eastAsia="zh-CN"/>
        </w:rPr>
        <w:t>磋商小组</w:t>
      </w:r>
      <w:r>
        <w:rPr>
          <w:rFonts w:hint="eastAsia" w:ascii="宋体" w:hAnsi="宋体" w:eastAsia="宋体" w:cs="宋体"/>
          <w:color w:val="auto"/>
          <w:spacing w:val="0"/>
          <w:kern w:val="2"/>
          <w:sz w:val="21"/>
          <w:szCs w:val="21"/>
        </w:rPr>
        <w:t>将对确定为实质性响应</w:t>
      </w:r>
      <w:r>
        <w:rPr>
          <w:rFonts w:hint="eastAsia" w:ascii="宋体" w:hAnsi="宋体" w:eastAsia="宋体" w:cs="宋体"/>
          <w:color w:val="auto"/>
          <w:spacing w:val="0"/>
          <w:kern w:val="2"/>
          <w:sz w:val="21"/>
          <w:szCs w:val="21"/>
          <w:lang w:eastAsia="zh-CN"/>
        </w:rPr>
        <w:t>磋商文件</w:t>
      </w:r>
      <w:r>
        <w:rPr>
          <w:rFonts w:hint="eastAsia" w:ascii="宋体" w:hAnsi="宋体" w:eastAsia="宋体" w:cs="宋体"/>
          <w:color w:val="auto"/>
          <w:spacing w:val="0"/>
          <w:kern w:val="2"/>
          <w:sz w:val="21"/>
          <w:szCs w:val="21"/>
        </w:rPr>
        <w:t>的</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rPr>
        <w:t>进行详细评价和比较，并要求对有必要澄清的</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的</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rPr>
        <w:t>进行澄清，主要就</w:t>
      </w:r>
      <w:r>
        <w:rPr>
          <w:rFonts w:hint="eastAsia" w:ascii="宋体" w:hAnsi="宋体" w:eastAsia="宋体" w:cs="宋体"/>
          <w:color w:val="auto"/>
          <w:spacing w:val="0"/>
          <w:kern w:val="2"/>
          <w:sz w:val="21"/>
          <w:szCs w:val="21"/>
          <w:lang w:eastAsia="zh-CN"/>
        </w:rPr>
        <w:t>磋商文件</w:t>
      </w:r>
      <w:r>
        <w:rPr>
          <w:rFonts w:hint="eastAsia" w:ascii="宋体" w:hAnsi="宋体" w:eastAsia="宋体" w:cs="宋体"/>
          <w:color w:val="auto"/>
          <w:spacing w:val="0"/>
          <w:kern w:val="2"/>
          <w:sz w:val="21"/>
          <w:szCs w:val="21"/>
        </w:rPr>
        <w:t>第三章中的内容及</w:t>
      </w:r>
      <w:r>
        <w:rPr>
          <w:rFonts w:hint="eastAsia" w:ascii="宋体" w:hAnsi="宋体" w:eastAsia="宋体" w:cs="宋体"/>
          <w:color w:val="auto"/>
          <w:spacing w:val="0"/>
          <w:kern w:val="2"/>
          <w:sz w:val="21"/>
          <w:szCs w:val="21"/>
          <w:lang w:eastAsia="zh-CN"/>
        </w:rPr>
        <w:t>磋商小组</w:t>
      </w:r>
      <w:r>
        <w:rPr>
          <w:rFonts w:hint="eastAsia" w:ascii="宋体" w:hAnsi="宋体" w:eastAsia="宋体" w:cs="宋体"/>
          <w:color w:val="auto"/>
          <w:spacing w:val="0"/>
          <w:kern w:val="2"/>
          <w:sz w:val="21"/>
          <w:szCs w:val="21"/>
        </w:rPr>
        <w:t>认为与本次采购有关的因素。</w:t>
      </w:r>
    </w:p>
    <w:p w14:paraId="606598AF">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2</w:t>
      </w:r>
      <w:r>
        <w:rPr>
          <w:rFonts w:hint="eastAsia" w:ascii="宋体" w:hAnsi="宋体" w:eastAsia="宋体" w:cs="宋体"/>
          <w:color w:val="auto"/>
          <w:spacing w:val="0"/>
          <w:kern w:val="2"/>
          <w:sz w:val="21"/>
          <w:szCs w:val="21"/>
          <w:lang w:val="en-US" w:eastAsia="zh-CN"/>
        </w:rPr>
        <w:t>0</w:t>
      </w:r>
      <w:r>
        <w:rPr>
          <w:rFonts w:hint="eastAsia" w:ascii="宋体" w:hAnsi="宋体" w:eastAsia="宋体" w:cs="宋体"/>
          <w:color w:val="auto"/>
          <w:spacing w:val="0"/>
          <w:kern w:val="2"/>
          <w:sz w:val="21"/>
          <w:szCs w:val="21"/>
        </w:rPr>
        <w:t xml:space="preserve">.2 </w:t>
      </w:r>
      <w:r>
        <w:rPr>
          <w:rFonts w:hint="eastAsia" w:ascii="宋体" w:hAnsi="宋体" w:eastAsia="宋体" w:cs="宋体"/>
          <w:color w:val="auto"/>
          <w:spacing w:val="0"/>
          <w:kern w:val="2"/>
          <w:sz w:val="21"/>
          <w:szCs w:val="21"/>
          <w:lang w:eastAsia="zh-CN"/>
        </w:rPr>
        <w:t>磋商小组</w:t>
      </w:r>
      <w:r>
        <w:rPr>
          <w:rFonts w:hint="eastAsia" w:ascii="宋体" w:hAnsi="宋体" w:eastAsia="宋体" w:cs="宋体"/>
          <w:color w:val="auto"/>
          <w:spacing w:val="0"/>
          <w:kern w:val="2"/>
          <w:sz w:val="21"/>
          <w:szCs w:val="21"/>
        </w:rPr>
        <w:t>在</w:t>
      </w:r>
      <w:r>
        <w:rPr>
          <w:rFonts w:hint="eastAsia" w:ascii="宋体" w:hAnsi="宋体" w:eastAsia="宋体" w:cs="宋体"/>
          <w:color w:val="auto"/>
          <w:spacing w:val="0"/>
          <w:kern w:val="2"/>
          <w:sz w:val="21"/>
          <w:szCs w:val="21"/>
          <w:lang w:eastAsia="zh-CN"/>
        </w:rPr>
        <w:t>磋商</w:t>
      </w:r>
      <w:r>
        <w:rPr>
          <w:rFonts w:hint="eastAsia" w:ascii="宋体" w:hAnsi="宋体" w:eastAsia="宋体" w:cs="宋体"/>
          <w:color w:val="auto"/>
          <w:spacing w:val="0"/>
          <w:kern w:val="2"/>
          <w:sz w:val="21"/>
          <w:szCs w:val="21"/>
        </w:rPr>
        <w:t>过程中，不得改变</w:t>
      </w:r>
      <w:r>
        <w:rPr>
          <w:rFonts w:hint="eastAsia" w:ascii="宋体" w:hAnsi="宋体" w:eastAsia="宋体" w:cs="宋体"/>
          <w:color w:val="auto"/>
          <w:spacing w:val="0"/>
          <w:kern w:val="2"/>
          <w:sz w:val="21"/>
          <w:szCs w:val="21"/>
          <w:lang w:eastAsia="zh-CN"/>
        </w:rPr>
        <w:t>磋商文件</w:t>
      </w:r>
      <w:r>
        <w:rPr>
          <w:rFonts w:hint="eastAsia" w:ascii="宋体" w:hAnsi="宋体" w:eastAsia="宋体" w:cs="宋体"/>
          <w:color w:val="auto"/>
          <w:spacing w:val="0"/>
          <w:kern w:val="2"/>
          <w:sz w:val="21"/>
          <w:szCs w:val="21"/>
        </w:rPr>
        <w:t>所确定的技术和</w:t>
      </w:r>
      <w:r>
        <w:rPr>
          <w:rFonts w:hint="eastAsia" w:ascii="宋体" w:hAnsi="宋体" w:eastAsia="宋体" w:cs="宋体"/>
          <w:color w:val="auto"/>
          <w:spacing w:val="0"/>
          <w:kern w:val="2"/>
          <w:sz w:val="21"/>
          <w:szCs w:val="21"/>
          <w:lang w:eastAsia="zh-CN"/>
        </w:rPr>
        <w:t>采购设备</w:t>
      </w:r>
      <w:r>
        <w:rPr>
          <w:rFonts w:hint="eastAsia" w:ascii="宋体" w:hAnsi="宋体" w:eastAsia="宋体" w:cs="宋体"/>
          <w:color w:val="auto"/>
          <w:spacing w:val="0"/>
          <w:kern w:val="2"/>
          <w:sz w:val="21"/>
          <w:szCs w:val="21"/>
        </w:rPr>
        <w:t>等要求、评审程序、评定成交的标准和合同文本等事项。</w:t>
      </w:r>
    </w:p>
    <w:p w14:paraId="388F214B">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2</w:t>
      </w:r>
      <w:r>
        <w:rPr>
          <w:rFonts w:hint="eastAsia" w:ascii="宋体" w:hAnsi="宋体" w:eastAsia="宋体" w:cs="宋体"/>
          <w:color w:val="auto"/>
          <w:spacing w:val="0"/>
          <w:kern w:val="2"/>
          <w:sz w:val="21"/>
          <w:szCs w:val="21"/>
          <w:lang w:val="en-US" w:eastAsia="zh-CN"/>
        </w:rPr>
        <w:t>0</w:t>
      </w:r>
      <w:r>
        <w:rPr>
          <w:rFonts w:hint="eastAsia" w:ascii="宋体" w:hAnsi="宋体" w:eastAsia="宋体" w:cs="宋体"/>
          <w:color w:val="auto"/>
          <w:spacing w:val="0"/>
          <w:kern w:val="2"/>
          <w:sz w:val="21"/>
          <w:szCs w:val="21"/>
        </w:rPr>
        <w:t xml:space="preserve">.3 </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不得通过修改或撤销不符合要求的偏离或保留而使其递交的</w:t>
      </w:r>
      <w:r>
        <w:rPr>
          <w:rFonts w:hint="eastAsia" w:ascii="宋体" w:hAnsi="宋体" w:eastAsia="宋体" w:cs="宋体"/>
          <w:color w:val="auto"/>
          <w:spacing w:val="0"/>
          <w:kern w:val="2"/>
          <w:sz w:val="21"/>
          <w:szCs w:val="21"/>
          <w:lang w:eastAsia="zh-CN"/>
        </w:rPr>
        <w:t>申请文件</w:t>
      </w:r>
      <w:r>
        <w:rPr>
          <w:rFonts w:hint="eastAsia" w:ascii="宋体" w:hAnsi="宋体" w:eastAsia="宋体" w:cs="宋体"/>
          <w:color w:val="auto"/>
          <w:spacing w:val="0"/>
          <w:kern w:val="2"/>
          <w:sz w:val="21"/>
          <w:szCs w:val="21"/>
        </w:rPr>
        <w:t>成为实质性响应。</w:t>
      </w:r>
    </w:p>
    <w:p w14:paraId="7A24C36B">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2</w:t>
      </w:r>
      <w:r>
        <w:rPr>
          <w:rFonts w:hint="eastAsia" w:ascii="宋体" w:hAnsi="宋体" w:eastAsia="宋体" w:cs="宋体"/>
          <w:color w:val="auto"/>
          <w:spacing w:val="0"/>
          <w:kern w:val="2"/>
          <w:sz w:val="21"/>
          <w:szCs w:val="21"/>
          <w:lang w:val="en-US" w:eastAsia="zh-CN"/>
        </w:rPr>
        <w:t>0</w:t>
      </w:r>
      <w:r>
        <w:rPr>
          <w:rFonts w:hint="eastAsia" w:ascii="宋体" w:hAnsi="宋体" w:eastAsia="宋体" w:cs="宋体"/>
          <w:color w:val="auto"/>
          <w:spacing w:val="0"/>
          <w:kern w:val="2"/>
          <w:sz w:val="21"/>
          <w:szCs w:val="21"/>
        </w:rPr>
        <w:t>.</w:t>
      </w:r>
      <w:r>
        <w:rPr>
          <w:rFonts w:hint="eastAsia" w:ascii="宋体" w:hAnsi="宋体" w:eastAsia="宋体" w:cs="宋体"/>
          <w:color w:val="auto"/>
          <w:spacing w:val="0"/>
          <w:kern w:val="2"/>
          <w:sz w:val="21"/>
          <w:szCs w:val="21"/>
          <w:lang w:val="en-US" w:eastAsia="zh-CN"/>
        </w:rPr>
        <w:t>4</w:t>
      </w:r>
      <w:r>
        <w:rPr>
          <w:rFonts w:hint="eastAsia" w:ascii="宋体" w:hAnsi="宋体" w:eastAsia="宋体" w:cs="宋体"/>
          <w:color w:val="auto"/>
          <w:spacing w:val="0"/>
          <w:kern w:val="2"/>
          <w:sz w:val="21"/>
          <w:szCs w:val="21"/>
        </w:rPr>
        <w:t xml:space="preserve"> 接到</w:t>
      </w:r>
      <w:r>
        <w:rPr>
          <w:rFonts w:hint="eastAsia" w:ascii="宋体" w:hAnsi="宋体" w:eastAsia="宋体" w:cs="宋体"/>
          <w:color w:val="auto"/>
          <w:spacing w:val="0"/>
          <w:kern w:val="2"/>
          <w:sz w:val="21"/>
          <w:szCs w:val="21"/>
          <w:lang w:eastAsia="zh-CN"/>
        </w:rPr>
        <w:t>磋商小组</w:t>
      </w:r>
      <w:r>
        <w:rPr>
          <w:rFonts w:hint="eastAsia" w:ascii="宋体" w:hAnsi="宋体" w:eastAsia="宋体" w:cs="宋体"/>
          <w:color w:val="auto"/>
          <w:spacing w:val="0"/>
          <w:kern w:val="2"/>
          <w:sz w:val="21"/>
          <w:szCs w:val="21"/>
        </w:rPr>
        <w:t>澄清要求的</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应派代表按</w:t>
      </w:r>
      <w:r>
        <w:rPr>
          <w:rFonts w:hint="eastAsia" w:ascii="宋体" w:hAnsi="宋体" w:eastAsia="宋体" w:cs="宋体"/>
          <w:color w:val="auto"/>
          <w:spacing w:val="0"/>
          <w:kern w:val="2"/>
          <w:sz w:val="21"/>
          <w:szCs w:val="21"/>
          <w:lang w:eastAsia="zh-CN"/>
        </w:rPr>
        <w:t>磋商小组</w:t>
      </w:r>
      <w:r>
        <w:rPr>
          <w:rFonts w:hint="eastAsia" w:ascii="宋体" w:hAnsi="宋体" w:eastAsia="宋体" w:cs="宋体"/>
          <w:color w:val="auto"/>
          <w:spacing w:val="0"/>
          <w:kern w:val="2"/>
          <w:sz w:val="21"/>
          <w:szCs w:val="21"/>
        </w:rPr>
        <w:t>通知的时间和地点做出书面承诺，书面承诺的内容须由</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法定代表人或授权代表签署，并作为谈</w:t>
      </w:r>
      <w:r>
        <w:rPr>
          <w:rFonts w:hint="eastAsia" w:ascii="宋体" w:hAnsi="宋体" w:eastAsia="宋体" w:cs="宋体"/>
          <w:color w:val="auto"/>
          <w:spacing w:val="0"/>
          <w:kern w:val="2"/>
          <w:sz w:val="21"/>
          <w:szCs w:val="21"/>
          <w:lang w:eastAsia="zh-CN"/>
        </w:rPr>
        <w:t>磋商申请文件</w:t>
      </w:r>
      <w:r>
        <w:rPr>
          <w:rFonts w:hint="eastAsia" w:ascii="宋体" w:hAnsi="宋体" w:eastAsia="宋体" w:cs="宋体"/>
          <w:color w:val="auto"/>
          <w:spacing w:val="0"/>
          <w:kern w:val="2"/>
          <w:sz w:val="21"/>
          <w:szCs w:val="21"/>
        </w:rPr>
        <w:t>的补充部分。</w:t>
      </w:r>
    </w:p>
    <w:p w14:paraId="6CC51E4B">
      <w:pPr>
        <w:keepNext w:val="0"/>
        <w:keepLines w:val="0"/>
        <w:pageBreakBefore w:val="0"/>
        <w:widowControl w:val="0"/>
        <w:kinsoku/>
        <w:wordWrap/>
        <w:overflowPunct/>
        <w:topLinePunct w:val="0"/>
        <w:autoSpaceDE/>
        <w:autoSpaceDN/>
        <w:bidi w:val="0"/>
        <w:snapToGrid/>
        <w:spacing w:line="440" w:lineRule="exact"/>
        <w:ind w:firstLine="420" w:firstLineChars="20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rPr>
        <w:t>2</w:t>
      </w:r>
      <w:r>
        <w:rPr>
          <w:rFonts w:hint="eastAsia" w:ascii="宋体" w:hAnsi="宋体" w:eastAsia="宋体" w:cs="宋体"/>
          <w:color w:val="auto"/>
          <w:spacing w:val="0"/>
          <w:kern w:val="2"/>
          <w:sz w:val="21"/>
          <w:szCs w:val="21"/>
          <w:lang w:val="en-US" w:eastAsia="zh-CN"/>
        </w:rPr>
        <w:t>1</w:t>
      </w:r>
      <w:r>
        <w:rPr>
          <w:rFonts w:hint="eastAsia" w:ascii="宋体" w:hAnsi="宋体" w:eastAsia="宋体" w:cs="宋体"/>
          <w:color w:val="auto"/>
          <w:spacing w:val="0"/>
          <w:kern w:val="2"/>
          <w:sz w:val="21"/>
          <w:szCs w:val="21"/>
        </w:rPr>
        <w:t>、报价</w:t>
      </w:r>
    </w:p>
    <w:p w14:paraId="34FD46A4">
      <w:pPr>
        <w:keepNext w:val="0"/>
        <w:keepLines w:val="0"/>
        <w:pageBreakBefore w:val="0"/>
        <w:widowControl w:val="0"/>
        <w:kinsoku/>
        <w:wordWrap/>
        <w:overflowPunct/>
        <w:topLinePunct w:val="0"/>
        <w:autoSpaceDE/>
        <w:autoSpaceDN/>
        <w:bidi w:val="0"/>
        <w:snapToGrid/>
        <w:spacing w:line="440" w:lineRule="exact"/>
        <w:ind w:firstLine="420" w:firstLineChars="20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val="en-US" w:eastAsia="zh-CN"/>
        </w:rPr>
        <w:t>21.1</w:t>
      </w:r>
      <w:r>
        <w:rPr>
          <w:rFonts w:hint="eastAsia" w:ascii="宋体" w:hAnsi="宋体" w:eastAsia="宋体" w:cs="宋体"/>
          <w:color w:val="auto"/>
          <w:spacing w:val="0"/>
          <w:kern w:val="2"/>
          <w:sz w:val="21"/>
          <w:szCs w:val="21"/>
        </w:rPr>
        <w:t>本项目采用</w:t>
      </w:r>
      <w:r>
        <w:rPr>
          <w:rFonts w:hint="eastAsia" w:ascii="宋体" w:hAnsi="宋体" w:eastAsia="宋体" w:cs="宋体"/>
          <w:color w:val="auto"/>
          <w:spacing w:val="0"/>
          <w:kern w:val="2"/>
          <w:sz w:val="21"/>
          <w:szCs w:val="21"/>
          <w:lang w:val="en-US" w:eastAsia="zh-CN"/>
        </w:rPr>
        <w:t>固定总价</w:t>
      </w:r>
      <w:r>
        <w:rPr>
          <w:rFonts w:hint="eastAsia" w:ascii="宋体" w:hAnsi="宋体" w:eastAsia="宋体" w:cs="宋体"/>
          <w:color w:val="auto"/>
          <w:spacing w:val="0"/>
          <w:kern w:val="2"/>
          <w:sz w:val="21"/>
          <w:szCs w:val="21"/>
        </w:rPr>
        <w:t>的方式进行报价。</w:t>
      </w:r>
    </w:p>
    <w:p w14:paraId="5A23BCF9">
      <w:pPr>
        <w:keepNext w:val="0"/>
        <w:keepLines w:val="0"/>
        <w:pageBreakBefore w:val="0"/>
        <w:widowControl w:val="0"/>
        <w:kinsoku/>
        <w:wordWrap/>
        <w:overflowPunct/>
        <w:topLinePunct w:val="0"/>
        <w:autoSpaceDE/>
        <w:autoSpaceDN/>
        <w:bidi w:val="0"/>
        <w:snapToGrid/>
        <w:spacing w:line="440" w:lineRule="exact"/>
        <w:ind w:firstLine="420" w:firstLineChars="20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val="en-US" w:eastAsia="zh-CN"/>
        </w:rPr>
        <w:t>21.2磋商</w:t>
      </w:r>
      <w:r>
        <w:rPr>
          <w:rFonts w:hint="eastAsia" w:ascii="宋体" w:hAnsi="宋体" w:eastAsia="宋体" w:cs="宋体"/>
          <w:color w:val="auto"/>
          <w:spacing w:val="0"/>
          <w:kern w:val="2"/>
          <w:sz w:val="21"/>
          <w:szCs w:val="21"/>
        </w:rPr>
        <w:t>所报的</w:t>
      </w:r>
      <w:r>
        <w:rPr>
          <w:rFonts w:hint="eastAsia" w:ascii="宋体" w:hAnsi="宋体" w:eastAsia="宋体" w:cs="宋体"/>
          <w:color w:val="auto"/>
          <w:spacing w:val="0"/>
          <w:kern w:val="2"/>
          <w:sz w:val="21"/>
          <w:szCs w:val="21"/>
          <w:lang w:val="en-US" w:eastAsia="zh-CN"/>
        </w:rPr>
        <w:t>总价</w:t>
      </w:r>
      <w:r>
        <w:rPr>
          <w:rFonts w:hint="eastAsia" w:ascii="宋体" w:hAnsi="宋体" w:eastAsia="宋体" w:cs="宋体"/>
          <w:color w:val="auto"/>
          <w:spacing w:val="0"/>
          <w:kern w:val="2"/>
          <w:sz w:val="21"/>
          <w:szCs w:val="21"/>
        </w:rPr>
        <w:t>为</w:t>
      </w:r>
      <w:r>
        <w:rPr>
          <w:rFonts w:hint="eastAsia" w:ascii="宋体" w:hAnsi="宋体" w:eastAsia="宋体" w:cs="宋体"/>
          <w:color w:val="auto"/>
          <w:spacing w:val="0"/>
          <w:kern w:val="2"/>
          <w:sz w:val="21"/>
          <w:szCs w:val="21"/>
          <w:lang w:eastAsia="zh-CN"/>
        </w:rPr>
        <w:t>磋商申请</w:t>
      </w:r>
      <w:r>
        <w:rPr>
          <w:rFonts w:hint="eastAsia" w:ascii="宋体" w:hAnsi="宋体" w:eastAsia="宋体" w:cs="宋体"/>
          <w:color w:val="auto"/>
          <w:spacing w:val="0"/>
          <w:kern w:val="2"/>
          <w:sz w:val="21"/>
          <w:szCs w:val="21"/>
        </w:rPr>
        <w:t>人按期完成本</w:t>
      </w:r>
      <w:r>
        <w:rPr>
          <w:rFonts w:hint="eastAsia" w:ascii="宋体" w:hAnsi="宋体" w:eastAsia="宋体" w:cs="宋体"/>
          <w:color w:val="auto"/>
          <w:spacing w:val="0"/>
          <w:kern w:val="2"/>
          <w:sz w:val="21"/>
          <w:szCs w:val="21"/>
          <w:lang w:eastAsia="zh-CN"/>
        </w:rPr>
        <w:t>采购</w:t>
      </w:r>
      <w:r>
        <w:rPr>
          <w:rFonts w:hint="eastAsia" w:ascii="宋体" w:hAnsi="宋体" w:eastAsia="宋体" w:cs="宋体"/>
          <w:color w:val="auto"/>
          <w:spacing w:val="0"/>
          <w:kern w:val="2"/>
          <w:sz w:val="21"/>
          <w:szCs w:val="21"/>
        </w:rPr>
        <w:t>文件和合同条款上所列</w:t>
      </w:r>
      <w:r>
        <w:rPr>
          <w:rFonts w:hint="eastAsia" w:ascii="宋体" w:hAnsi="宋体" w:eastAsia="宋体" w:cs="宋体"/>
          <w:color w:val="auto"/>
          <w:spacing w:val="0"/>
          <w:kern w:val="2"/>
          <w:sz w:val="21"/>
          <w:szCs w:val="21"/>
          <w:lang w:eastAsia="zh-CN"/>
        </w:rPr>
        <w:t>采购</w:t>
      </w:r>
      <w:r>
        <w:rPr>
          <w:rFonts w:hint="eastAsia" w:ascii="宋体" w:hAnsi="宋体" w:eastAsia="宋体" w:cs="宋体"/>
          <w:color w:val="auto"/>
          <w:spacing w:val="0"/>
          <w:kern w:val="2"/>
          <w:sz w:val="21"/>
          <w:szCs w:val="21"/>
        </w:rPr>
        <w:t>范围内所有工程内容的</w:t>
      </w:r>
      <w:r>
        <w:rPr>
          <w:rFonts w:hint="eastAsia" w:ascii="宋体" w:hAnsi="宋体" w:eastAsia="宋体" w:cs="宋体"/>
          <w:color w:val="auto"/>
          <w:spacing w:val="0"/>
          <w:kern w:val="2"/>
          <w:sz w:val="21"/>
          <w:szCs w:val="21"/>
          <w:lang w:val="en-US" w:eastAsia="zh-CN"/>
        </w:rPr>
        <w:t>所有费用</w:t>
      </w:r>
      <w:r>
        <w:rPr>
          <w:rFonts w:hint="eastAsia" w:ascii="宋体" w:hAnsi="宋体" w:eastAsia="宋体" w:cs="宋体"/>
          <w:color w:val="auto"/>
          <w:spacing w:val="0"/>
          <w:kern w:val="2"/>
          <w:sz w:val="21"/>
          <w:szCs w:val="21"/>
        </w:rPr>
        <w:t>，该</w:t>
      </w:r>
      <w:r>
        <w:rPr>
          <w:rFonts w:hint="eastAsia" w:ascii="宋体" w:hAnsi="宋体" w:eastAsia="宋体" w:cs="宋体"/>
          <w:color w:val="auto"/>
          <w:spacing w:val="0"/>
          <w:kern w:val="2"/>
          <w:sz w:val="21"/>
          <w:szCs w:val="21"/>
          <w:lang w:val="en-US" w:eastAsia="zh-CN"/>
        </w:rPr>
        <w:t>报价</w:t>
      </w:r>
      <w:r>
        <w:rPr>
          <w:rFonts w:hint="eastAsia" w:ascii="宋体" w:hAnsi="宋体" w:eastAsia="宋体" w:cs="宋体"/>
          <w:color w:val="auto"/>
          <w:spacing w:val="0"/>
          <w:kern w:val="2"/>
          <w:sz w:val="21"/>
          <w:szCs w:val="21"/>
        </w:rPr>
        <w:t>在整个合同签订及履行中固定不变，</w:t>
      </w:r>
      <w:r>
        <w:rPr>
          <w:rFonts w:hint="eastAsia" w:ascii="宋体" w:hAnsi="宋体" w:eastAsia="宋体" w:cs="宋体"/>
          <w:color w:val="auto"/>
          <w:spacing w:val="0"/>
          <w:kern w:val="2"/>
          <w:sz w:val="21"/>
          <w:szCs w:val="21"/>
          <w:lang w:eastAsia="zh-CN"/>
        </w:rPr>
        <w:t>成交</w:t>
      </w:r>
      <w:r>
        <w:rPr>
          <w:rFonts w:hint="eastAsia" w:ascii="宋体" w:hAnsi="宋体" w:eastAsia="宋体" w:cs="宋体"/>
          <w:color w:val="auto"/>
          <w:spacing w:val="0"/>
          <w:kern w:val="2"/>
          <w:sz w:val="21"/>
          <w:szCs w:val="21"/>
        </w:rPr>
        <w:t>人不得以任何理由更改该</w:t>
      </w:r>
      <w:r>
        <w:rPr>
          <w:rFonts w:hint="eastAsia" w:ascii="宋体" w:hAnsi="宋体" w:eastAsia="宋体" w:cs="宋体"/>
          <w:color w:val="auto"/>
          <w:spacing w:val="0"/>
          <w:kern w:val="2"/>
          <w:sz w:val="21"/>
          <w:szCs w:val="21"/>
          <w:lang w:eastAsia="zh-CN"/>
        </w:rPr>
        <w:t>成交</w:t>
      </w:r>
      <w:r>
        <w:rPr>
          <w:rFonts w:hint="eastAsia" w:ascii="宋体" w:hAnsi="宋体" w:eastAsia="宋体" w:cs="宋体"/>
          <w:color w:val="auto"/>
          <w:spacing w:val="0"/>
          <w:kern w:val="2"/>
          <w:sz w:val="21"/>
          <w:szCs w:val="21"/>
        </w:rPr>
        <w:t>的</w:t>
      </w:r>
      <w:r>
        <w:rPr>
          <w:rFonts w:hint="eastAsia" w:ascii="宋体" w:hAnsi="宋体" w:eastAsia="宋体" w:cs="宋体"/>
          <w:color w:val="auto"/>
          <w:spacing w:val="0"/>
          <w:kern w:val="2"/>
          <w:sz w:val="21"/>
          <w:szCs w:val="21"/>
          <w:lang w:val="en-US" w:eastAsia="zh-CN"/>
        </w:rPr>
        <w:t>报价</w:t>
      </w:r>
      <w:r>
        <w:rPr>
          <w:rFonts w:hint="eastAsia" w:ascii="宋体" w:hAnsi="宋体" w:eastAsia="宋体" w:cs="宋体"/>
          <w:color w:val="auto"/>
          <w:spacing w:val="0"/>
          <w:kern w:val="2"/>
          <w:sz w:val="21"/>
          <w:szCs w:val="21"/>
        </w:rPr>
        <w:t>。</w:t>
      </w:r>
    </w:p>
    <w:p w14:paraId="2A6680C1">
      <w:pPr>
        <w:keepNext w:val="0"/>
        <w:keepLines w:val="0"/>
        <w:pageBreakBefore w:val="0"/>
        <w:widowControl w:val="0"/>
        <w:kinsoku/>
        <w:wordWrap/>
        <w:overflowPunct/>
        <w:topLinePunct w:val="0"/>
        <w:autoSpaceDE/>
        <w:autoSpaceDN/>
        <w:bidi w:val="0"/>
        <w:snapToGrid/>
        <w:spacing w:line="440" w:lineRule="exact"/>
        <w:ind w:firstLine="420" w:firstLineChars="20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val="en-US" w:eastAsia="zh-CN"/>
        </w:rPr>
        <w:t>21.3</w:t>
      </w:r>
      <w:r>
        <w:rPr>
          <w:rFonts w:hint="eastAsia" w:ascii="宋体" w:hAnsi="宋体" w:eastAsia="宋体" w:cs="宋体"/>
          <w:color w:val="auto"/>
          <w:spacing w:val="0"/>
          <w:kern w:val="2"/>
          <w:sz w:val="21"/>
          <w:szCs w:val="21"/>
          <w:lang w:eastAsia="zh-CN"/>
        </w:rPr>
        <w:t>磋商申请</w:t>
      </w:r>
      <w:r>
        <w:rPr>
          <w:rFonts w:hint="eastAsia" w:ascii="宋体" w:hAnsi="宋体" w:eastAsia="宋体" w:cs="宋体"/>
          <w:color w:val="auto"/>
          <w:spacing w:val="0"/>
          <w:kern w:val="2"/>
          <w:sz w:val="21"/>
          <w:szCs w:val="21"/>
        </w:rPr>
        <w:t>人可先到工地踏勘以充分了解工地位置、情况、道路、储存空间、施工现场条件的限制和临时设施的搭建、施工场地周边居民住房，铁路、公路等基础设施、装卸限制及任何其他足以影响报价的情况。</w:t>
      </w:r>
      <w:r>
        <w:rPr>
          <w:rFonts w:hint="eastAsia" w:ascii="宋体" w:hAnsi="宋体" w:eastAsia="宋体" w:cs="宋体"/>
          <w:color w:val="auto"/>
          <w:spacing w:val="0"/>
          <w:kern w:val="2"/>
          <w:sz w:val="21"/>
          <w:szCs w:val="21"/>
          <w:lang w:eastAsia="zh-CN"/>
        </w:rPr>
        <w:t>磋商申请</w:t>
      </w:r>
      <w:r>
        <w:rPr>
          <w:rFonts w:hint="eastAsia" w:ascii="宋体" w:hAnsi="宋体" w:eastAsia="宋体" w:cs="宋体"/>
          <w:color w:val="auto"/>
          <w:spacing w:val="0"/>
          <w:kern w:val="2"/>
          <w:sz w:val="21"/>
          <w:szCs w:val="21"/>
        </w:rPr>
        <w:t>人的</w:t>
      </w:r>
      <w:r>
        <w:rPr>
          <w:rFonts w:hint="eastAsia" w:ascii="宋体" w:hAnsi="宋体" w:eastAsia="宋体" w:cs="宋体"/>
          <w:color w:val="auto"/>
          <w:spacing w:val="0"/>
          <w:kern w:val="2"/>
          <w:sz w:val="21"/>
          <w:szCs w:val="21"/>
          <w:lang w:eastAsia="zh-CN"/>
        </w:rPr>
        <w:t>磋商</w:t>
      </w:r>
      <w:r>
        <w:rPr>
          <w:rFonts w:hint="eastAsia" w:ascii="宋体" w:hAnsi="宋体" w:eastAsia="宋体" w:cs="宋体"/>
          <w:color w:val="auto"/>
          <w:spacing w:val="0"/>
          <w:kern w:val="2"/>
          <w:sz w:val="21"/>
          <w:szCs w:val="21"/>
        </w:rPr>
        <w:t>报价应考虑上述情况对工程造价的影响，以及施工期间对施工场地周边居民住房，铁路、公路等基础设施的影响，因上述条件产生的相关费用包含在</w:t>
      </w:r>
      <w:r>
        <w:rPr>
          <w:rFonts w:hint="eastAsia" w:ascii="宋体" w:hAnsi="宋体" w:eastAsia="宋体" w:cs="宋体"/>
          <w:color w:val="auto"/>
          <w:spacing w:val="0"/>
          <w:kern w:val="2"/>
          <w:sz w:val="21"/>
          <w:szCs w:val="21"/>
          <w:lang w:eastAsia="zh-CN"/>
        </w:rPr>
        <w:t>磋商报价</w:t>
      </w:r>
      <w:r>
        <w:rPr>
          <w:rFonts w:hint="eastAsia" w:ascii="宋体" w:hAnsi="宋体" w:eastAsia="宋体" w:cs="宋体"/>
          <w:color w:val="auto"/>
          <w:spacing w:val="0"/>
          <w:kern w:val="2"/>
          <w:sz w:val="21"/>
          <w:szCs w:val="21"/>
        </w:rPr>
        <w:t>中，</w:t>
      </w:r>
      <w:r>
        <w:rPr>
          <w:rFonts w:hint="eastAsia" w:ascii="宋体" w:hAnsi="宋体" w:eastAsia="宋体" w:cs="宋体"/>
          <w:color w:val="auto"/>
          <w:spacing w:val="0"/>
          <w:kern w:val="2"/>
          <w:sz w:val="21"/>
          <w:szCs w:val="21"/>
          <w:lang w:eastAsia="zh-CN"/>
        </w:rPr>
        <w:t>采购</w:t>
      </w:r>
      <w:r>
        <w:rPr>
          <w:rFonts w:hint="eastAsia" w:ascii="宋体" w:hAnsi="宋体" w:eastAsia="宋体" w:cs="宋体"/>
          <w:color w:val="auto"/>
          <w:spacing w:val="0"/>
          <w:kern w:val="2"/>
          <w:sz w:val="21"/>
          <w:szCs w:val="21"/>
        </w:rPr>
        <w:t>人不另行支付任何有关费用。</w:t>
      </w:r>
    </w:p>
    <w:p w14:paraId="7D93AFBD">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cs="宋体"/>
          <w:color w:val="auto"/>
          <w:spacing w:val="0"/>
          <w:kern w:val="2"/>
          <w:sz w:val="21"/>
          <w:szCs w:val="21"/>
          <w:lang w:val="en-US" w:eastAsia="zh-CN"/>
        </w:rPr>
        <w:t xml:space="preserve">  21.4</w:t>
      </w:r>
      <w:r>
        <w:rPr>
          <w:rFonts w:hint="eastAsia" w:ascii="宋体" w:hAnsi="宋体" w:eastAsia="宋体" w:cs="宋体"/>
          <w:color w:val="auto"/>
          <w:spacing w:val="0"/>
          <w:kern w:val="2"/>
          <w:sz w:val="21"/>
          <w:szCs w:val="21"/>
        </w:rPr>
        <w:t xml:space="preserve"> </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应一次性报出不得更改的价格。</w:t>
      </w:r>
    </w:p>
    <w:p w14:paraId="608083C7">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rPr>
        <w:t>2</w:t>
      </w:r>
      <w:r>
        <w:rPr>
          <w:rFonts w:hint="eastAsia" w:ascii="宋体" w:hAnsi="宋体" w:eastAsia="宋体" w:cs="宋体"/>
          <w:color w:val="auto"/>
          <w:spacing w:val="0"/>
          <w:kern w:val="2"/>
          <w:sz w:val="21"/>
          <w:szCs w:val="21"/>
          <w:lang w:val="en-US" w:eastAsia="zh-CN"/>
        </w:rPr>
        <w:t>1</w:t>
      </w:r>
      <w:r>
        <w:rPr>
          <w:rFonts w:hint="eastAsia" w:ascii="宋体" w:hAnsi="宋体" w:eastAsia="宋体" w:cs="宋体"/>
          <w:color w:val="auto"/>
          <w:spacing w:val="0"/>
          <w:kern w:val="2"/>
          <w:sz w:val="21"/>
          <w:szCs w:val="21"/>
        </w:rPr>
        <w:t>.</w:t>
      </w:r>
      <w:r>
        <w:rPr>
          <w:rFonts w:hint="eastAsia" w:ascii="宋体" w:hAnsi="宋体" w:cs="宋体"/>
          <w:color w:val="auto"/>
          <w:spacing w:val="0"/>
          <w:kern w:val="2"/>
          <w:sz w:val="21"/>
          <w:szCs w:val="21"/>
          <w:lang w:val="en-US" w:eastAsia="zh-CN"/>
        </w:rPr>
        <w:t>5</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不得以低于成本的报价恶性竞争。</w:t>
      </w:r>
    </w:p>
    <w:p w14:paraId="4F465C3E">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zh-CN"/>
        </w:rPr>
        <w:t>　　2</w:t>
      </w: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lang w:val="zh-CN"/>
        </w:rPr>
        <w:t>、确定成交候选人</w:t>
      </w:r>
    </w:p>
    <w:p w14:paraId="7E628CBE">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zh-CN"/>
        </w:rPr>
        <w:t>　　2</w:t>
      </w: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lang w:val="zh-CN"/>
        </w:rPr>
        <w:t>.1磋商小组应当从质量和服务均能满足采购文件实质性响应要求的申请人中，按照综合评审分数由</w:t>
      </w:r>
      <w:r>
        <w:rPr>
          <w:rFonts w:hint="eastAsia" w:ascii="宋体" w:hAnsi="宋体" w:eastAsia="宋体" w:cs="宋体"/>
          <w:color w:val="auto"/>
          <w:kern w:val="2"/>
          <w:sz w:val="21"/>
          <w:szCs w:val="21"/>
          <w:lang w:val="en-US" w:eastAsia="zh-CN"/>
        </w:rPr>
        <w:t>高</w:t>
      </w:r>
      <w:r>
        <w:rPr>
          <w:rFonts w:hint="eastAsia" w:ascii="宋体" w:hAnsi="宋体" w:eastAsia="宋体" w:cs="宋体"/>
          <w:color w:val="auto"/>
          <w:kern w:val="2"/>
          <w:sz w:val="21"/>
          <w:szCs w:val="21"/>
          <w:lang w:val="zh-CN"/>
        </w:rPr>
        <w:t>到</w:t>
      </w:r>
      <w:r>
        <w:rPr>
          <w:rFonts w:hint="eastAsia" w:ascii="宋体" w:hAnsi="宋体" w:eastAsia="宋体" w:cs="宋体"/>
          <w:color w:val="auto"/>
          <w:kern w:val="2"/>
          <w:sz w:val="21"/>
          <w:szCs w:val="21"/>
          <w:lang w:val="en-US" w:eastAsia="zh-CN"/>
        </w:rPr>
        <w:t>底</w:t>
      </w:r>
      <w:r>
        <w:rPr>
          <w:rFonts w:hint="eastAsia" w:ascii="宋体" w:hAnsi="宋体" w:eastAsia="宋体" w:cs="宋体"/>
          <w:color w:val="auto"/>
          <w:kern w:val="2"/>
          <w:sz w:val="21"/>
          <w:szCs w:val="21"/>
          <w:lang w:val="zh-CN"/>
        </w:rPr>
        <w:t>的顺序提出3名成交候选人，并编写评审报告。评审报告由磋商小组全体成员签字。对评审结论持有异议的磋商小组可以用书面方式阐述不同意见和理由。磋商小组成员拒绝在评审报告上签字且不陈述其不同意见和理由的，可视为同意评标结论。磋商小组将对此做出书面说明并记录在案。</w:t>
      </w:r>
    </w:p>
    <w:p w14:paraId="381BEF29">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spacing w:val="-6"/>
          <w:w w:val="100"/>
          <w:kern w:val="2"/>
          <w:sz w:val="21"/>
          <w:szCs w:val="21"/>
        </w:rPr>
      </w:pPr>
      <w:r>
        <w:rPr>
          <w:rFonts w:hint="eastAsia" w:ascii="宋体" w:hAnsi="宋体" w:eastAsia="宋体" w:cs="宋体"/>
          <w:color w:val="auto"/>
          <w:spacing w:val="-6"/>
          <w:w w:val="100"/>
          <w:kern w:val="2"/>
          <w:sz w:val="21"/>
          <w:szCs w:val="21"/>
          <w:lang w:val="zh-CN"/>
        </w:rPr>
        <w:t>　　</w:t>
      </w:r>
      <w:r>
        <w:rPr>
          <w:rFonts w:hint="eastAsia" w:ascii="宋体" w:hAnsi="宋体" w:eastAsia="宋体" w:cs="宋体"/>
          <w:color w:val="auto"/>
          <w:spacing w:val="0"/>
          <w:w w:val="100"/>
          <w:kern w:val="2"/>
          <w:sz w:val="21"/>
          <w:szCs w:val="21"/>
          <w:lang w:val="zh-CN"/>
        </w:rPr>
        <w:t>2</w:t>
      </w:r>
      <w:r>
        <w:rPr>
          <w:rFonts w:hint="eastAsia" w:ascii="宋体" w:hAnsi="宋体" w:eastAsia="宋体" w:cs="宋体"/>
          <w:color w:val="auto"/>
          <w:spacing w:val="0"/>
          <w:w w:val="100"/>
          <w:kern w:val="2"/>
          <w:sz w:val="21"/>
          <w:szCs w:val="21"/>
          <w:lang w:val="en-US" w:eastAsia="zh-CN"/>
        </w:rPr>
        <w:t>2</w:t>
      </w:r>
      <w:r>
        <w:rPr>
          <w:rFonts w:hint="eastAsia" w:ascii="宋体" w:hAnsi="宋体" w:eastAsia="宋体" w:cs="宋体"/>
          <w:color w:val="auto"/>
          <w:spacing w:val="0"/>
          <w:w w:val="100"/>
          <w:kern w:val="2"/>
          <w:sz w:val="21"/>
          <w:szCs w:val="21"/>
          <w:lang w:val="zh-CN"/>
        </w:rPr>
        <w:t>.2评审结果实行公示制度。在确定成交候选人后发出成交通知书前，</w:t>
      </w:r>
      <w:r>
        <w:rPr>
          <w:rFonts w:hint="eastAsia" w:ascii="宋体" w:hAnsi="宋体" w:eastAsia="宋体" w:cs="宋体"/>
          <w:b w:val="0"/>
          <w:bCs w:val="0"/>
          <w:color w:val="auto"/>
          <w:spacing w:val="0"/>
          <w:kern w:val="0"/>
          <w:sz w:val="21"/>
          <w:szCs w:val="21"/>
          <w:lang w:eastAsia="zh-CN"/>
        </w:rPr>
        <w:t>在</w:t>
      </w:r>
      <w:r>
        <w:rPr>
          <w:rFonts w:hint="eastAsia" w:ascii="宋体" w:hAnsi="宋体" w:eastAsia="宋体" w:cs="宋体"/>
          <w:color w:val="auto"/>
          <w:spacing w:val="0"/>
          <w:w w:val="100"/>
          <w:kern w:val="2"/>
          <w:sz w:val="21"/>
          <w:szCs w:val="21"/>
          <w:lang w:val="zh-CN" w:eastAsia="zh-CN"/>
        </w:rPr>
        <w:t>“云南省政府采购网”和“政采云平台”</w:t>
      </w:r>
      <w:r>
        <w:rPr>
          <w:rFonts w:hint="eastAsia" w:ascii="宋体" w:hAnsi="宋体" w:eastAsia="宋体" w:cs="宋体"/>
          <w:color w:val="auto"/>
          <w:spacing w:val="0"/>
          <w:w w:val="100"/>
          <w:kern w:val="2"/>
          <w:sz w:val="21"/>
          <w:szCs w:val="21"/>
          <w:lang w:val="zh-CN"/>
        </w:rPr>
        <w:t>媒介上发</w:t>
      </w:r>
      <w:r>
        <w:rPr>
          <w:rFonts w:hint="eastAsia" w:ascii="宋体" w:hAnsi="宋体" w:eastAsia="宋体" w:cs="宋体"/>
          <w:color w:val="auto"/>
          <w:spacing w:val="0"/>
          <w:sz w:val="21"/>
          <w:szCs w:val="21"/>
        </w:rPr>
        <w:t>布</w:t>
      </w:r>
      <w:r>
        <w:rPr>
          <w:rFonts w:hint="eastAsia" w:ascii="宋体" w:hAnsi="宋体" w:eastAsia="宋体" w:cs="宋体"/>
          <w:b w:val="0"/>
          <w:bCs w:val="0"/>
          <w:color w:val="auto"/>
          <w:spacing w:val="0"/>
          <w:kern w:val="0"/>
          <w:sz w:val="21"/>
          <w:szCs w:val="21"/>
          <w:lang w:eastAsia="zh-CN"/>
        </w:rPr>
        <w:t>，</w:t>
      </w:r>
      <w:r>
        <w:rPr>
          <w:rFonts w:hint="eastAsia" w:ascii="宋体" w:hAnsi="宋体" w:eastAsia="宋体" w:cs="宋体"/>
          <w:color w:val="auto"/>
          <w:spacing w:val="0"/>
          <w:w w:val="100"/>
          <w:kern w:val="2"/>
          <w:sz w:val="21"/>
          <w:szCs w:val="21"/>
        </w:rPr>
        <w:t>公示时间为1个工作日。</w:t>
      </w:r>
    </w:p>
    <w:p w14:paraId="6DF98A2A">
      <w:pPr>
        <w:keepNext w:val="0"/>
        <w:keepLines w:val="0"/>
        <w:pageBreakBefore w:val="0"/>
        <w:widowControl w:val="0"/>
        <w:tabs>
          <w:tab w:val="left" w:pos="645"/>
        </w:tabs>
        <w:kinsoku/>
        <w:wordWrap/>
        <w:overflowPunct/>
        <w:topLinePunct w:val="0"/>
        <w:autoSpaceDE/>
        <w:autoSpaceDN/>
        <w:bidi w:val="0"/>
        <w:snapToGrid/>
        <w:spacing w:line="440" w:lineRule="exact"/>
        <w:ind w:firstLine="0" w:firstLineChars="0"/>
        <w:jc w:val="both"/>
        <w:rPr>
          <w:rFonts w:hint="eastAsia" w:ascii="黑体" w:hAnsi="黑体" w:eastAsia="黑体" w:cs="黑体"/>
          <w:b w:val="0"/>
          <w:bCs/>
          <w:color w:val="auto"/>
          <w:kern w:val="2"/>
          <w:sz w:val="21"/>
          <w:szCs w:val="21"/>
          <w:lang w:val="zh-CN"/>
        </w:rPr>
      </w:pPr>
      <w:bookmarkStart w:id="59" w:name="_Toc518305295"/>
      <w:r>
        <w:rPr>
          <w:rFonts w:hint="eastAsia" w:ascii="黑体" w:hAnsi="黑体" w:eastAsia="黑体" w:cs="黑体"/>
          <w:b w:val="0"/>
          <w:bCs/>
          <w:color w:val="auto"/>
          <w:kern w:val="2"/>
          <w:sz w:val="21"/>
          <w:szCs w:val="21"/>
          <w:lang w:val="zh-CN"/>
        </w:rPr>
        <w:t>　　七、</w:t>
      </w:r>
      <w:bookmarkEnd w:id="59"/>
      <w:r>
        <w:rPr>
          <w:rFonts w:hint="eastAsia" w:ascii="黑体" w:hAnsi="黑体" w:eastAsia="黑体" w:cs="黑体"/>
          <w:b w:val="0"/>
          <w:bCs/>
          <w:color w:val="auto"/>
          <w:kern w:val="2"/>
          <w:sz w:val="21"/>
          <w:szCs w:val="21"/>
          <w:lang w:val="zh-CN" w:eastAsia="zh-CN"/>
        </w:rPr>
        <w:t>磋商结果和合同授予</w:t>
      </w:r>
    </w:p>
    <w:p w14:paraId="522CD863">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zh-CN"/>
        </w:rPr>
        <w:t>　　2</w:t>
      </w: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lang w:val="zh-CN"/>
        </w:rPr>
        <w:t>.定标</w:t>
      </w:r>
    </w:p>
    <w:p w14:paraId="543BCE69">
      <w:pPr>
        <w:keepNext w:val="0"/>
        <w:keepLines w:val="0"/>
        <w:pageBreakBefore w:val="0"/>
        <w:widowControl w:val="0"/>
        <w:kinsoku/>
        <w:wordWrap/>
        <w:overflowPunct/>
        <w:topLinePunct w:val="0"/>
        <w:autoSpaceDE/>
        <w:autoSpaceDN/>
        <w:bidi w:val="0"/>
        <w:snapToGrid/>
        <w:spacing w:line="440" w:lineRule="exact"/>
        <w:ind w:firstLine="420" w:firstLineChars="200"/>
        <w:jc w:val="both"/>
        <w:textAlignment w:val="baseline"/>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zh-CN"/>
        </w:rPr>
        <w:t>2</w:t>
      </w: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lang w:val="zh-CN"/>
        </w:rPr>
        <w:t>.1采购代理机构应当自评审结束之日起2个工作日内将评审报告送交采购人。采购人应当自收到评审报告之日起5个工作日内在评审报告推荐的成交或者成交候选人中按顺序确定成交或者成交人。</w:t>
      </w:r>
    </w:p>
    <w:p w14:paraId="515EB5BF">
      <w:pPr>
        <w:keepNext w:val="0"/>
        <w:keepLines w:val="0"/>
        <w:pageBreakBefore w:val="0"/>
        <w:widowControl w:val="0"/>
        <w:kinsoku/>
        <w:wordWrap/>
        <w:overflowPunct/>
        <w:topLinePunct w:val="0"/>
        <w:autoSpaceDE/>
        <w:autoSpaceDN/>
        <w:bidi w:val="0"/>
        <w:snapToGrid/>
        <w:spacing w:line="440" w:lineRule="exact"/>
        <w:ind w:firstLine="420" w:firstLineChars="200"/>
        <w:jc w:val="both"/>
        <w:textAlignment w:val="baseline"/>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zh-CN"/>
        </w:rPr>
        <w:t>2</w:t>
      </w: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lang w:val="zh-CN"/>
        </w:rPr>
        <w:t>.2排名第一的成交</w:t>
      </w:r>
      <w:r>
        <w:rPr>
          <w:rFonts w:hint="eastAsia" w:ascii="宋体" w:hAnsi="宋体" w:eastAsia="宋体" w:cs="宋体"/>
          <w:color w:val="auto"/>
          <w:kern w:val="2"/>
          <w:sz w:val="21"/>
          <w:szCs w:val="21"/>
          <w:lang w:val="en-US" w:eastAsia="zh-CN"/>
        </w:rPr>
        <w:t>候选</w:t>
      </w:r>
      <w:r>
        <w:rPr>
          <w:rFonts w:hint="eastAsia" w:ascii="宋体" w:hAnsi="宋体" w:eastAsia="宋体" w:cs="宋体"/>
          <w:color w:val="auto"/>
          <w:kern w:val="2"/>
          <w:sz w:val="21"/>
          <w:szCs w:val="21"/>
          <w:lang w:val="zh-CN"/>
        </w:rPr>
        <w:t>人放弃成交、因不可抗力提出不能履行合同，或者磋商文件规定应当提交履约保证金而在规定的期限内未能提交的，采购人可以确定排名第二的成交</w:t>
      </w:r>
      <w:r>
        <w:rPr>
          <w:rFonts w:hint="eastAsia" w:ascii="宋体" w:hAnsi="宋体" w:eastAsia="宋体" w:cs="宋体"/>
          <w:color w:val="auto"/>
          <w:kern w:val="2"/>
          <w:sz w:val="21"/>
          <w:szCs w:val="21"/>
          <w:lang w:val="en-US" w:eastAsia="zh-CN"/>
        </w:rPr>
        <w:t>候选</w:t>
      </w:r>
      <w:r>
        <w:rPr>
          <w:rFonts w:hint="eastAsia" w:ascii="宋体" w:hAnsi="宋体" w:eastAsia="宋体" w:cs="宋体"/>
          <w:color w:val="auto"/>
          <w:kern w:val="2"/>
          <w:sz w:val="21"/>
          <w:szCs w:val="21"/>
          <w:lang w:val="zh-CN"/>
        </w:rPr>
        <w:t xml:space="preserve">人为成交人。 </w:t>
      </w:r>
    </w:p>
    <w:p w14:paraId="0D4499C3">
      <w:pPr>
        <w:keepNext w:val="0"/>
        <w:keepLines w:val="0"/>
        <w:pageBreakBefore w:val="0"/>
        <w:widowControl w:val="0"/>
        <w:kinsoku/>
        <w:wordWrap/>
        <w:overflowPunct/>
        <w:topLinePunct w:val="0"/>
        <w:autoSpaceDE/>
        <w:autoSpaceDN/>
        <w:bidi w:val="0"/>
        <w:snapToGrid/>
        <w:spacing w:line="440" w:lineRule="exact"/>
        <w:ind w:firstLine="420" w:firstLineChars="200"/>
        <w:jc w:val="both"/>
        <w:textAlignment w:val="baseline"/>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zh-CN"/>
        </w:rPr>
        <w:t>2</w:t>
      </w: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lang w:val="zh-CN"/>
        </w:rPr>
        <w:t>.3排名第二的成交磋商申请人因前款规定的同样原因不能签订合同的，采购人可以确定排名第三的成交</w:t>
      </w:r>
      <w:r>
        <w:rPr>
          <w:rFonts w:hint="eastAsia" w:ascii="宋体" w:hAnsi="宋体" w:eastAsia="宋体" w:cs="宋体"/>
          <w:color w:val="auto"/>
          <w:kern w:val="2"/>
          <w:sz w:val="21"/>
          <w:szCs w:val="21"/>
          <w:lang w:val="en-US" w:eastAsia="zh-CN"/>
        </w:rPr>
        <w:t>候选</w:t>
      </w:r>
      <w:r>
        <w:rPr>
          <w:rFonts w:hint="eastAsia" w:ascii="宋体" w:hAnsi="宋体" w:eastAsia="宋体" w:cs="宋体"/>
          <w:color w:val="auto"/>
          <w:kern w:val="2"/>
          <w:sz w:val="21"/>
          <w:szCs w:val="21"/>
          <w:lang w:val="zh-CN"/>
        </w:rPr>
        <w:t>人为成交人。也可以组织重新招标（采购）。</w:t>
      </w:r>
    </w:p>
    <w:p w14:paraId="293C87F9">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2</w:t>
      </w: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lang w:val="zh-CN"/>
        </w:rPr>
        <w:t>、成交通知书</w:t>
      </w:r>
    </w:p>
    <w:p w14:paraId="1A96BE0A">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spacing w:val="0"/>
          <w:kern w:val="2"/>
          <w:sz w:val="21"/>
          <w:szCs w:val="21"/>
        </w:rPr>
      </w:pPr>
      <w:r>
        <w:rPr>
          <w:rFonts w:hint="eastAsia" w:ascii="宋体" w:hAnsi="宋体" w:eastAsia="宋体" w:cs="宋体"/>
          <w:color w:val="auto"/>
          <w:spacing w:val="-11"/>
          <w:kern w:val="2"/>
          <w:sz w:val="21"/>
          <w:szCs w:val="21"/>
          <w:lang w:eastAsia="zh-CN"/>
        </w:rPr>
        <w:t>　　</w:t>
      </w:r>
      <w:r>
        <w:rPr>
          <w:rFonts w:hint="eastAsia" w:ascii="宋体" w:hAnsi="宋体" w:eastAsia="宋体" w:cs="宋体"/>
          <w:color w:val="auto"/>
          <w:spacing w:val="0"/>
          <w:kern w:val="2"/>
          <w:sz w:val="21"/>
          <w:szCs w:val="21"/>
        </w:rPr>
        <w:t>2</w:t>
      </w:r>
      <w:r>
        <w:rPr>
          <w:rFonts w:hint="eastAsia" w:ascii="宋体" w:hAnsi="宋体" w:eastAsia="宋体" w:cs="宋体"/>
          <w:color w:val="auto"/>
          <w:spacing w:val="0"/>
          <w:kern w:val="2"/>
          <w:sz w:val="21"/>
          <w:szCs w:val="21"/>
          <w:lang w:val="en-US" w:eastAsia="zh-CN"/>
        </w:rPr>
        <w:t>4</w:t>
      </w:r>
      <w:r>
        <w:rPr>
          <w:rFonts w:hint="eastAsia" w:ascii="宋体" w:hAnsi="宋体" w:eastAsia="宋体" w:cs="宋体"/>
          <w:color w:val="auto"/>
          <w:spacing w:val="0"/>
          <w:kern w:val="2"/>
          <w:sz w:val="21"/>
          <w:szCs w:val="21"/>
        </w:rPr>
        <w:t xml:space="preserve">.1 </w:t>
      </w:r>
      <w:r>
        <w:rPr>
          <w:rFonts w:hint="eastAsia" w:ascii="宋体" w:hAnsi="宋体" w:eastAsia="宋体" w:cs="宋体"/>
          <w:color w:val="auto"/>
          <w:spacing w:val="0"/>
          <w:kern w:val="2"/>
          <w:sz w:val="21"/>
          <w:szCs w:val="21"/>
          <w:lang w:val="zh-CN"/>
        </w:rPr>
        <w:t>在有效期期满之前，招标代理机构将以书面形式通知成交申请人。</w:t>
      </w:r>
    </w:p>
    <w:p w14:paraId="4E6D0716">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2</w:t>
      </w: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rPr>
        <w:t xml:space="preserve">.2 </w:t>
      </w:r>
      <w:r>
        <w:rPr>
          <w:rFonts w:hint="eastAsia" w:ascii="宋体" w:hAnsi="宋体" w:eastAsia="宋体" w:cs="宋体"/>
          <w:color w:val="auto"/>
          <w:kern w:val="2"/>
          <w:sz w:val="21"/>
          <w:szCs w:val="21"/>
          <w:lang w:val="zh-CN"/>
        </w:rPr>
        <w:t>成交通知书将是合同的一个组成部分。</w:t>
      </w:r>
    </w:p>
    <w:p w14:paraId="1D44518E">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2</w:t>
      </w: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rPr>
        <w:t xml:space="preserve">.3 </w:t>
      </w:r>
      <w:r>
        <w:rPr>
          <w:rFonts w:hint="eastAsia" w:ascii="宋体" w:hAnsi="宋体" w:eastAsia="宋体" w:cs="宋体"/>
          <w:color w:val="auto"/>
          <w:kern w:val="2"/>
          <w:sz w:val="21"/>
          <w:szCs w:val="21"/>
          <w:lang w:val="zh-CN"/>
        </w:rPr>
        <w:t>在成交申请人按照第</w:t>
      </w:r>
      <w:r>
        <w:rPr>
          <w:rFonts w:hint="eastAsia" w:ascii="宋体" w:hAnsi="宋体" w:eastAsia="宋体" w:cs="宋体"/>
          <w:color w:val="auto"/>
          <w:kern w:val="2"/>
          <w:sz w:val="21"/>
          <w:szCs w:val="21"/>
          <w:lang w:val="en-US" w:eastAsia="zh-CN"/>
        </w:rPr>
        <w:t>26</w:t>
      </w:r>
      <w:r>
        <w:rPr>
          <w:rFonts w:hint="eastAsia" w:ascii="宋体" w:hAnsi="宋体" w:eastAsia="宋体" w:cs="宋体"/>
          <w:color w:val="auto"/>
          <w:kern w:val="2"/>
          <w:sz w:val="21"/>
          <w:szCs w:val="21"/>
          <w:lang w:val="zh-CN"/>
        </w:rPr>
        <w:t>条规定向采购人提交履约保证金后，采购代理机构将及时通知其他未成交的申请人，并按照</w:t>
      </w:r>
      <w:r>
        <w:rPr>
          <w:rFonts w:hint="eastAsia" w:ascii="宋体" w:hAnsi="宋体" w:eastAsia="宋体" w:cs="宋体"/>
          <w:color w:val="auto"/>
          <w:kern w:val="2"/>
          <w:sz w:val="21"/>
          <w:szCs w:val="21"/>
          <w:lang w:val="en-US" w:eastAsia="zh-CN"/>
        </w:rPr>
        <w:t>磋商文件</w:t>
      </w:r>
      <w:r>
        <w:rPr>
          <w:rFonts w:hint="eastAsia" w:ascii="宋体" w:hAnsi="宋体" w:eastAsia="宋体" w:cs="宋体"/>
          <w:color w:val="auto"/>
          <w:kern w:val="2"/>
          <w:sz w:val="21"/>
          <w:szCs w:val="21"/>
          <w:lang w:val="zh-CN"/>
        </w:rPr>
        <w:t>规定退还其保证金。</w:t>
      </w:r>
    </w:p>
    <w:p w14:paraId="4EBD56D7">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2</w:t>
      </w:r>
      <w:r>
        <w:rPr>
          <w:rFonts w:hint="eastAsia" w:ascii="宋体" w:hAnsi="宋体" w:eastAsia="宋体" w:cs="宋体"/>
          <w:color w:val="auto"/>
          <w:kern w:val="2"/>
          <w:sz w:val="21"/>
          <w:szCs w:val="21"/>
          <w:lang w:val="en-US" w:eastAsia="zh-CN"/>
        </w:rPr>
        <w:t>5</w:t>
      </w:r>
      <w:r>
        <w:rPr>
          <w:rFonts w:hint="eastAsia" w:ascii="宋体" w:hAnsi="宋体" w:eastAsia="宋体" w:cs="宋体"/>
          <w:color w:val="auto"/>
          <w:kern w:val="2"/>
          <w:sz w:val="21"/>
          <w:szCs w:val="21"/>
          <w:lang w:val="zh-CN"/>
        </w:rPr>
        <w:t>、签订合同</w:t>
      </w:r>
    </w:p>
    <w:p w14:paraId="3C6D6F4A">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val="zh-CN"/>
        </w:rPr>
        <w:t>　　成交申请人应按成交通知书指定的时间、地点与采购人签订合同。磋商文件、成交申请人的磋商申请文件及澄清文件等，均作为签订合同的依据。</w:t>
      </w:r>
      <w:r>
        <w:rPr>
          <w:rFonts w:hint="eastAsia" w:ascii="宋体" w:hAnsi="宋体" w:eastAsia="宋体" w:cs="宋体"/>
          <w:color w:val="auto"/>
          <w:kern w:val="2"/>
          <w:sz w:val="21"/>
          <w:szCs w:val="21"/>
        </w:rPr>
        <w:t>成交的</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接到成交通知书后，按要求由法定代表人或其委托代理人与采购人商谈和签订合同。</w:t>
      </w:r>
    </w:p>
    <w:p w14:paraId="4253A2A1">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2</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val="zh-CN"/>
        </w:rPr>
        <w:t>、履约保证金</w:t>
      </w:r>
    </w:p>
    <w:p w14:paraId="4D8D9E00">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2</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rPr>
        <w:t xml:space="preserve">.1 </w:t>
      </w:r>
      <w:r>
        <w:rPr>
          <w:rFonts w:hint="eastAsia" w:ascii="宋体" w:hAnsi="宋体" w:eastAsia="宋体" w:cs="宋体"/>
          <w:color w:val="auto"/>
          <w:kern w:val="2"/>
          <w:sz w:val="21"/>
          <w:szCs w:val="21"/>
          <w:lang w:eastAsia="zh-CN"/>
        </w:rPr>
        <w:t>是否缴纳保证金及缴纳数额签订合同时双方协商确定。</w:t>
      </w:r>
    </w:p>
    <w:p w14:paraId="1195AB9E">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spacing w:val="-6"/>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spacing w:val="-6"/>
          <w:kern w:val="2"/>
          <w:sz w:val="21"/>
          <w:szCs w:val="21"/>
        </w:rPr>
        <w:t>2</w:t>
      </w:r>
      <w:r>
        <w:rPr>
          <w:rFonts w:hint="eastAsia" w:ascii="宋体" w:hAnsi="宋体" w:eastAsia="宋体" w:cs="宋体"/>
          <w:color w:val="auto"/>
          <w:spacing w:val="-6"/>
          <w:kern w:val="2"/>
          <w:sz w:val="21"/>
          <w:szCs w:val="21"/>
          <w:lang w:val="en-US" w:eastAsia="zh-CN"/>
        </w:rPr>
        <w:t>6</w:t>
      </w:r>
      <w:r>
        <w:rPr>
          <w:rFonts w:hint="eastAsia" w:ascii="宋体" w:hAnsi="宋体" w:eastAsia="宋体" w:cs="宋体"/>
          <w:color w:val="auto"/>
          <w:spacing w:val="-6"/>
          <w:kern w:val="2"/>
          <w:sz w:val="21"/>
          <w:szCs w:val="21"/>
        </w:rPr>
        <w:t xml:space="preserve">.2 </w:t>
      </w:r>
      <w:r>
        <w:rPr>
          <w:rFonts w:hint="eastAsia" w:ascii="宋体" w:hAnsi="宋体" w:eastAsia="宋体" w:cs="宋体"/>
          <w:color w:val="auto"/>
          <w:spacing w:val="0"/>
          <w:kern w:val="2"/>
          <w:sz w:val="21"/>
          <w:szCs w:val="21"/>
          <w:lang w:val="zh-CN"/>
        </w:rPr>
        <w:t>履约保证金必须是人民币。形式为支票、汇票、本票、保函、银行</w:t>
      </w:r>
      <w:r>
        <w:rPr>
          <w:rFonts w:hint="eastAsia" w:ascii="宋体" w:hAnsi="宋体" w:eastAsia="宋体" w:cs="宋体"/>
          <w:color w:val="auto"/>
          <w:spacing w:val="0"/>
          <w:kern w:val="2"/>
          <w:sz w:val="21"/>
          <w:szCs w:val="21"/>
          <w:highlight w:val="none"/>
          <w:lang w:val="zh-CN"/>
        </w:rPr>
        <w:t>转账或电汇等非现金形式。</w:t>
      </w:r>
    </w:p>
    <w:p w14:paraId="6A008056">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lang w:val="zh-CN"/>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2</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rPr>
        <w:t xml:space="preserve">.3 </w:t>
      </w:r>
      <w:r>
        <w:rPr>
          <w:rFonts w:hint="eastAsia" w:ascii="宋体" w:hAnsi="宋体" w:eastAsia="宋体" w:cs="宋体"/>
          <w:color w:val="auto"/>
          <w:kern w:val="2"/>
          <w:sz w:val="21"/>
          <w:szCs w:val="21"/>
          <w:lang w:val="zh-CN"/>
        </w:rPr>
        <w:t>如果成交申请人未按照第</w:t>
      </w:r>
      <w:r>
        <w:rPr>
          <w:rFonts w:hint="eastAsia" w:ascii="宋体" w:hAnsi="宋体" w:eastAsia="宋体" w:cs="宋体"/>
          <w:color w:val="auto"/>
          <w:kern w:val="2"/>
          <w:sz w:val="21"/>
          <w:szCs w:val="21"/>
          <w:lang w:val="en-US" w:eastAsia="zh-CN"/>
        </w:rPr>
        <w:t>26</w:t>
      </w:r>
      <w:r>
        <w:rPr>
          <w:rFonts w:hint="eastAsia" w:ascii="宋体" w:hAnsi="宋体" w:eastAsia="宋体" w:cs="宋体"/>
          <w:color w:val="auto"/>
          <w:kern w:val="2"/>
          <w:sz w:val="21"/>
          <w:szCs w:val="21"/>
          <w:lang w:val="zh-CN"/>
        </w:rPr>
        <w:t>条的规定去做，采购人将取消该成交决定，其保证金将不予退还。</w:t>
      </w:r>
    </w:p>
    <w:p w14:paraId="5FB9A41E">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　　27</w:t>
      </w:r>
      <w:r>
        <w:rPr>
          <w:rFonts w:hint="eastAsia" w:ascii="宋体" w:hAnsi="宋体" w:eastAsia="宋体" w:cs="宋体"/>
          <w:color w:val="auto"/>
          <w:kern w:val="2"/>
          <w:sz w:val="21"/>
          <w:szCs w:val="21"/>
        </w:rPr>
        <w:t>、服务费</w:t>
      </w:r>
    </w:p>
    <w:p w14:paraId="4C4BF3C7">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spacing w:val="0"/>
          <w:kern w:val="2"/>
          <w:sz w:val="21"/>
          <w:szCs w:val="21"/>
          <w:lang w:val="en-US" w:eastAsia="zh-CN" w:bidi="ar-SA"/>
        </w:rPr>
      </w:pPr>
      <w:r>
        <w:rPr>
          <w:rFonts w:hint="eastAsia" w:ascii="宋体" w:hAnsi="宋体" w:eastAsia="宋体" w:cs="宋体"/>
          <w:color w:val="auto"/>
          <w:kern w:val="2"/>
          <w:sz w:val="21"/>
          <w:szCs w:val="21"/>
          <w:lang w:val="en-US" w:eastAsia="zh-CN"/>
        </w:rPr>
        <w:t>　　</w:t>
      </w:r>
      <w:r>
        <w:rPr>
          <w:rFonts w:hint="eastAsia" w:ascii="宋体" w:hAnsi="宋体" w:eastAsia="宋体" w:cs="宋体"/>
          <w:color w:val="auto"/>
          <w:spacing w:val="0"/>
          <w:kern w:val="2"/>
          <w:sz w:val="21"/>
          <w:szCs w:val="21"/>
          <w:lang w:val="en-US" w:eastAsia="zh-CN"/>
        </w:rPr>
        <w:t>27</w:t>
      </w:r>
      <w:r>
        <w:rPr>
          <w:rFonts w:hint="eastAsia" w:ascii="宋体" w:hAnsi="宋体" w:eastAsia="宋体" w:cs="宋体"/>
          <w:color w:val="auto"/>
          <w:spacing w:val="0"/>
          <w:kern w:val="2"/>
          <w:sz w:val="21"/>
          <w:szCs w:val="21"/>
        </w:rPr>
        <w:t xml:space="preserve">.1 </w:t>
      </w:r>
      <w:r>
        <w:rPr>
          <w:rFonts w:hint="eastAsia" w:ascii="宋体" w:hAnsi="宋体" w:eastAsia="宋体" w:cs="宋体"/>
          <w:color w:val="auto"/>
          <w:spacing w:val="0"/>
          <w:kern w:val="2"/>
          <w:sz w:val="21"/>
          <w:szCs w:val="21"/>
          <w:lang w:eastAsia="zh-CN"/>
        </w:rPr>
        <w:t>公示结束</w:t>
      </w:r>
      <w:r>
        <w:rPr>
          <w:rFonts w:hint="eastAsia" w:ascii="宋体" w:hAnsi="宋体" w:eastAsia="宋体" w:cs="宋体"/>
          <w:color w:val="auto"/>
          <w:spacing w:val="0"/>
          <w:kern w:val="2"/>
          <w:sz w:val="21"/>
          <w:szCs w:val="21"/>
        </w:rPr>
        <w:t>后，</w:t>
      </w:r>
      <w:r>
        <w:rPr>
          <w:rFonts w:hint="eastAsia" w:ascii="宋体" w:hAnsi="宋体" w:eastAsia="宋体" w:cs="宋体"/>
          <w:color w:val="auto"/>
          <w:spacing w:val="0"/>
          <w:kern w:val="2"/>
          <w:sz w:val="21"/>
          <w:szCs w:val="21"/>
          <w:lang w:val="en-US" w:eastAsia="zh-CN" w:bidi="ar-SA"/>
        </w:rPr>
        <w:t>成交申请人领取成交通知书时，向</w:t>
      </w:r>
      <w:r>
        <w:rPr>
          <w:rFonts w:hint="eastAsia" w:ascii="宋体" w:hAnsi="宋体" w:cs="宋体"/>
          <w:color w:val="auto"/>
          <w:spacing w:val="0"/>
          <w:kern w:val="2"/>
          <w:sz w:val="21"/>
          <w:szCs w:val="21"/>
          <w:lang w:val="en-US" w:eastAsia="zh-CN" w:bidi="ar-SA"/>
        </w:rPr>
        <w:t>云南行行工程项目管理有限公司</w:t>
      </w:r>
      <w:r>
        <w:rPr>
          <w:rFonts w:hint="eastAsia" w:ascii="宋体" w:hAnsi="宋体" w:eastAsia="宋体" w:cs="宋体"/>
          <w:color w:val="auto"/>
          <w:spacing w:val="0"/>
          <w:kern w:val="2"/>
          <w:sz w:val="21"/>
          <w:szCs w:val="21"/>
          <w:lang w:val="en-US" w:eastAsia="zh-CN" w:bidi="ar-SA"/>
        </w:rPr>
        <w:t>一次性付清代理服务费，向成交申请人收取。</w:t>
      </w:r>
    </w:p>
    <w:p w14:paraId="1F69BC77">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val="en-US" w:eastAsia="zh-CN"/>
        </w:rPr>
        <w:t>　　27</w:t>
      </w:r>
      <w:r>
        <w:rPr>
          <w:rFonts w:hint="eastAsia" w:ascii="宋体" w:hAnsi="宋体" w:eastAsia="宋体" w:cs="宋体"/>
          <w:color w:val="auto"/>
          <w:spacing w:val="0"/>
          <w:kern w:val="2"/>
          <w:sz w:val="21"/>
          <w:szCs w:val="21"/>
        </w:rPr>
        <w:t xml:space="preserve">.2 </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应承担其参加本</w:t>
      </w:r>
      <w:r>
        <w:rPr>
          <w:rFonts w:hint="eastAsia" w:ascii="宋体" w:hAnsi="宋体" w:eastAsia="宋体" w:cs="宋体"/>
          <w:color w:val="auto"/>
          <w:spacing w:val="0"/>
          <w:kern w:val="2"/>
          <w:sz w:val="21"/>
          <w:szCs w:val="21"/>
          <w:lang w:eastAsia="zh-CN"/>
        </w:rPr>
        <w:t>磋商</w:t>
      </w:r>
      <w:r>
        <w:rPr>
          <w:rFonts w:hint="eastAsia" w:ascii="宋体" w:hAnsi="宋体" w:eastAsia="宋体" w:cs="宋体"/>
          <w:color w:val="auto"/>
          <w:spacing w:val="0"/>
          <w:kern w:val="2"/>
          <w:sz w:val="21"/>
          <w:szCs w:val="21"/>
        </w:rPr>
        <w:t>活动自身所发生的费用。</w:t>
      </w:r>
    </w:p>
    <w:p w14:paraId="4D6BAA10">
      <w:pPr>
        <w:keepNext w:val="0"/>
        <w:keepLines w:val="0"/>
        <w:pageBreakBefore w:val="0"/>
        <w:widowControl w:val="0"/>
        <w:kinsoku/>
        <w:wordWrap/>
        <w:overflowPunct/>
        <w:topLinePunct w:val="0"/>
        <w:autoSpaceDE/>
        <w:autoSpaceDN/>
        <w:bidi w:val="0"/>
        <w:snapToGrid/>
        <w:spacing w:line="440" w:lineRule="exact"/>
        <w:ind w:firstLine="0" w:firstLineChars="0"/>
        <w:jc w:val="both"/>
        <w:textAlignment w:val="baseline"/>
        <w:rPr>
          <w:rFonts w:hint="eastAsia" w:ascii="宋体" w:hAnsi="宋体" w:eastAsia="宋体" w:cs="宋体"/>
          <w:color w:val="auto"/>
          <w:spacing w:val="0"/>
          <w:sz w:val="21"/>
          <w:szCs w:val="21"/>
        </w:rPr>
      </w:pPr>
      <w:bookmarkStart w:id="60" w:name="_Toc511638142"/>
      <w:bookmarkStart w:id="61" w:name="_Toc449704239"/>
      <w:bookmarkStart w:id="62" w:name="_Toc503620359"/>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lang w:val="en-US" w:eastAsia="zh-CN"/>
        </w:rPr>
        <w:t>28</w:t>
      </w:r>
      <w:r>
        <w:rPr>
          <w:rFonts w:hint="eastAsia" w:ascii="宋体" w:hAnsi="宋体" w:eastAsia="宋体" w:cs="宋体"/>
          <w:color w:val="auto"/>
          <w:spacing w:val="0"/>
          <w:kern w:val="2"/>
          <w:sz w:val="21"/>
          <w:szCs w:val="21"/>
          <w:lang w:eastAsia="zh-CN"/>
        </w:rPr>
        <w:t>、</w:t>
      </w:r>
      <w:bookmarkEnd w:id="60"/>
      <w:bookmarkEnd w:id="61"/>
      <w:bookmarkEnd w:id="62"/>
      <w:bookmarkStart w:id="63" w:name="_Toc511638144"/>
      <w:bookmarkStart w:id="64" w:name="_Toc508380825"/>
      <w:r>
        <w:rPr>
          <w:rFonts w:hint="eastAsia" w:ascii="宋体" w:hAnsi="宋体" w:eastAsia="宋体" w:cs="宋体"/>
          <w:color w:val="auto"/>
          <w:spacing w:val="0"/>
          <w:sz w:val="21"/>
          <w:szCs w:val="21"/>
        </w:rPr>
        <w:t>政府采购政策</w:t>
      </w:r>
    </w:p>
    <w:p w14:paraId="6DEA060C">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28.1 关于中小企业：</w:t>
      </w:r>
    </w:p>
    <w:p w14:paraId="60D513FD">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28.1.1 根据《关于印发&lt;政府采购促进中小企业发展管理办法&gt;的通知》（财库〔2020〕46 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63DE899F">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28.1.2 符合中小企业划分标准的个体工商户，在政府采购活动中视同中小企业。</w:t>
      </w:r>
    </w:p>
    <w:p w14:paraId="1E51EA56">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28.1.3 在政府采购活动中，磋商申请人提供的货物、工程或者服务符合下列情形的，享受《关于印发&lt;政府采购促进中小企业发展管理办法&gt;的通知》（财库〔2020〕46 号）规定的中小企业扶持政策：</w:t>
      </w:r>
    </w:p>
    <w:p w14:paraId="02073E7C">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（一）在货物采购项目中，货物由中小企业制造，即货物由中小企业生产且使用该中小企业商号或者注册商标；</w:t>
      </w:r>
    </w:p>
    <w:p w14:paraId="0AA3A2F7">
      <w:pPr>
        <w:keepNext w:val="0"/>
        <w:keepLines w:val="0"/>
        <w:pageBreakBefore w:val="0"/>
        <w:widowControl w:val="0"/>
        <w:kinsoku/>
        <w:wordWrap/>
        <w:overflowPunct/>
        <w:topLinePunct w:val="0"/>
        <w:autoSpaceDE/>
        <w:autoSpaceDN/>
        <w:bidi w:val="0"/>
        <w:adjustRightInd w:val="0"/>
        <w:snapToGrid/>
        <w:spacing w:line="440" w:lineRule="exact"/>
        <w:ind w:left="0" w:firstLine="396" w:firstLineChars="200"/>
        <w:textAlignment w:val="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（二）在工程采购项目中，工程由中小企业承建，即工程施工单位为中小企业；</w:t>
      </w:r>
    </w:p>
    <w:p w14:paraId="082B0E93">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（三）在服务采购项目中，服务由中小企业承接，即提供服务的人员为中小企业依照《中华人民共和国劳动合同法》订立劳动合同的从业人员。</w:t>
      </w:r>
    </w:p>
    <w:p w14:paraId="66452335">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28.1.4 在货物采购项目中，磋商申请人提供的货物既有中小企业制造货物，也有大型企业制造货物的，不享受本办法规定的中小企业扶持政策。</w:t>
      </w:r>
    </w:p>
    <w:p w14:paraId="05AC6ECF">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28.1.5 以联合体形式参加政府采购活动，联合体各方均为中小企业的，联合体视同中小企业。其中，联合体各方均为小微企业的,联合体视同小微企业。</w:t>
      </w:r>
    </w:p>
    <w:p w14:paraId="515D2C11">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28.1.6 中小企业参加政府采购活动，应当出具《关于印发&lt;政府采购促进中小企业发展管理办法&gt;的通知》（财库〔2020〕46 号）规定的《中小企业声明函》，否则不得享受相关中小企业扶持政策。</w:t>
      </w:r>
    </w:p>
    <w:p w14:paraId="379E7927">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28.1.7 规定依据《关于印发&lt;政府采购促进中小企业发展管理办法&gt;的通知》（财库〔2020〕46号）规定享受扶持政策获得政府采购合同的，小微企业不得将合同分包给大中型企业，中型企业不得将合同分包给大型企业。</w:t>
      </w:r>
    </w:p>
    <w:p w14:paraId="606B029A">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28.1.8 根据中小企业划分标准，本项目所属行业为建筑业。</w:t>
      </w:r>
    </w:p>
    <w:p w14:paraId="2065B5FA">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28.1.9 本项目针对小微企业价格扣除优惠比例:</w:t>
      </w:r>
      <w:r>
        <w:rPr>
          <w:rFonts w:hint="eastAsia" w:ascii="宋体" w:hAnsi="宋体" w:eastAsia="宋体" w:cs="宋体"/>
          <w:color w:val="auto"/>
          <w:spacing w:val="0"/>
          <w:sz w:val="21"/>
          <w:szCs w:val="21"/>
          <w:u w:val="single"/>
          <w:lang w:val="en-US" w:eastAsia="zh-CN"/>
        </w:rPr>
        <w:t>5%</w:t>
      </w:r>
      <w:r>
        <w:rPr>
          <w:rFonts w:hint="eastAsia" w:ascii="宋体" w:hAnsi="宋体" w:eastAsia="宋体" w:cs="宋体"/>
          <w:color w:val="auto"/>
          <w:spacing w:val="0"/>
          <w:sz w:val="21"/>
          <w:szCs w:val="21"/>
          <w:lang w:val="en-US" w:eastAsia="zh-CN"/>
        </w:rPr>
        <w:t>。</w:t>
      </w:r>
    </w:p>
    <w:p w14:paraId="52227941">
      <w:pPr>
        <w:keepNext w:val="0"/>
        <w:keepLines w:val="0"/>
        <w:pageBreakBefore w:val="0"/>
        <w:widowControl w:val="0"/>
        <w:kinsoku/>
        <w:wordWrap/>
        <w:overflowPunct/>
        <w:topLinePunct w:val="0"/>
        <w:autoSpaceDE/>
        <w:autoSpaceDN/>
        <w:bidi w:val="0"/>
        <w:adjustRightInd w:val="0"/>
        <w:snapToGrid/>
        <w:spacing w:line="440" w:lineRule="exact"/>
        <w:ind w:left="0" w:firstLine="420" w:firstLineChars="200"/>
        <w:textAlignment w:val="auto"/>
        <w:rPr>
          <w:rFonts w:hint="eastAsia" w:ascii="宋体" w:hAnsi="宋体" w:eastAsia="宋体" w:cs="宋体"/>
          <w:b/>
          <w:color w:val="auto"/>
          <w:spacing w:val="0"/>
          <w:kern w:val="2"/>
          <w:sz w:val="21"/>
          <w:szCs w:val="21"/>
          <w:lang w:val="en-US" w:eastAsia="zh-CN" w:bidi="ar-SA"/>
        </w:rPr>
      </w:pPr>
      <w:r>
        <w:rPr>
          <w:rFonts w:hint="eastAsia" w:ascii="宋体" w:hAnsi="宋体" w:eastAsia="宋体" w:cs="宋体"/>
          <w:color w:val="auto"/>
          <w:spacing w:val="0"/>
          <w:sz w:val="21"/>
          <w:szCs w:val="21"/>
          <w:lang w:val="en-US" w:eastAsia="zh-CN"/>
        </w:rPr>
        <w:t>28.1.10 中标、成交磋商申请人享受本办法规定的中小企业扶持政策的，采购人、采购代理机构将随中标、成交结果公开中标、成交磋商申请人的《中小企业声明函》。</w:t>
      </w:r>
    </w:p>
    <w:p w14:paraId="7D55EB31">
      <w:pPr>
        <w:pStyle w:val="15"/>
        <w:keepNext w:val="0"/>
        <w:keepLines w:val="0"/>
        <w:pageBreakBefore w:val="0"/>
        <w:widowControl w:val="0"/>
        <w:tabs>
          <w:tab w:val="left" w:pos="2472"/>
        </w:tabs>
        <w:kinsoku/>
        <w:wordWrap/>
        <w:overflowPunct/>
        <w:topLinePunct w:val="0"/>
        <w:autoSpaceDE/>
        <w:autoSpaceDN/>
        <w:bidi w:val="0"/>
        <w:snapToGrid/>
        <w:spacing w:line="440" w:lineRule="exact"/>
        <w:ind w:left="0" w:firstLine="420" w:firstLineChars="200"/>
        <w:textAlignment w:val="auto"/>
        <w:rPr>
          <w:rFonts w:hint="eastAsia" w:ascii="宋体" w:hAnsi="宋体" w:eastAsia="宋体" w:cs="宋体"/>
          <w:b/>
          <w:color w:val="auto"/>
          <w:sz w:val="21"/>
          <w:szCs w:val="21"/>
        </w:rPr>
      </w:pPr>
      <w:r>
        <w:rPr>
          <w:rFonts w:hint="eastAsia" w:ascii="宋体" w:hAnsi="宋体" w:eastAsia="宋体" w:cs="宋体"/>
          <w:b w:val="0"/>
          <w:bCs/>
          <w:color w:val="auto"/>
          <w:sz w:val="21"/>
          <w:szCs w:val="21"/>
          <w:lang w:val="en-US" w:eastAsia="zh-CN"/>
        </w:rPr>
        <w:t>28</w:t>
      </w:r>
      <w:r>
        <w:rPr>
          <w:rFonts w:hint="eastAsia" w:ascii="宋体" w:hAnsi="宋体" w:eastAsia="宋体" w:cs="宋体"/>
          <w:b w:val="0"/>
          <w:bCs/>
          <w:color w:val="auto"/>
          <w:sz w:val="21"/>
          <w:szCs w:val="21"/>
        </w:rPr>
        <w:t>.2监狱企业</w:t>
      </w:r>
    </w:p>
    <w:p w14:paraId="7FF54280">
      <w:pPr>
        <w:pStyle w:val="15"/>
        <w:keepNext w:val="0"/>
        <w:keepLines w:val="0"/>
        <w:pageBreakBefore w:val="0"/>
        <w:widowControl w:val="0"/>
        <w:tabs>
          <w:tab w:val="left" w:pos="2472"/>
        </w:tabs>
        <w:kinsoku/>
        <w:wordWrap/>
        <w:overflowPunct/>
        <w:topLinePunct w:val="0"/>
        <w:autoSpaceDE/>
        <w:autoSpaceDN/>
        <w:bidi w:val="0"/>
        <w:snapToGrid/>
        <w:spacing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6F0256A">
      <w:pPr>
        <w:pStyle w:val="15"/>
        <w:keepNext w:val="0"/>
        <w:keepLines w:val="0"/>
        <w:pageBreakBefore w:val="0"/>
        <w:widowControl w:val="0"/>
        <w:tabs>
          <w:tab w:val="left" w:pos="2472"/>
        </w:tabs>
        <w:kinsoku/>
        <w:wordWrap/>
        <w:overflowPunct/>
        <w:topLinePunct w:val="0"/>
        <w:autoSpaceDE/>
        <w:autoSpaceDN/>
        <w:bidi w:val="0"/>
        <w:snapToGrid/>
        <w:spacing w:line="440" w:lineRule="exact"/>
        <w:ind w:left="0" w:firstLine="420" w:firstLineChars="200"/>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28</w:t>
      </w:r>
      <w:r>
        <w:rPr>
          <w:rFonts w:hint="eastAsia" w:ascii="宋体" w:hAnsi="宋体" w:eastAsia="宋体" w:cs="宋体"/>
          <w:b w:val="0"/>
          <w:bCs/>
          <w:color w:val="auto"/>
          <w:sz w:val="21"/>
          <w:szCs w:val="21"/>
        </w:rPr>
        <w:t>.3残疾人福利性单位</w:t>
      </w:r>
    </w:p>
    <w:p w14:paraId="7857E2FE">
      <w:pPr>
        <w:pStyle w:val="15"/>
        <w:keepNext w:val="0"/>
        <w:keepLines w:val="0"/>
        <w:pageBreakBefore w:val="0"/>
        <w:widowControl w:val="0"/>
        <w:tabs>
          <w:tab w:val="left" w:pos="2472"/>
        </w:tabs>
        <w:kinsoku/>
        <w:wordWrap/>
        <w:overflowPunct/>
        <w:topLinePunct w:val="0"/>
        <w:autoSpaceDE/>
        <w:autoSpaceDN/>
        <w:bidi w:val="0"/>
        <w:snapToGrid/>
        <w:spacing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28</w:t>
      </w:r>
      <w:r>
        <w:rPr>
          <w:rFonts w:hint="eastAsia" w:ascii="宋体" w:hAnsi="宋体" w:eastAsia="宋体" w:cs="宋体"/>
          <w:color w:val="auto"/>
          <w:sz w:val="21"/>
          <w:szCs w:val="21"/>
        </w:rPr>
        <w:t>.3.1根据《财政部 民政部 中国残疾人联合会关于促进残疾人就业政府采购政策的通知》，享受政府采购支持政策的残疾人福利性单位应当同时满足以下条件：</w:t>
      </w:r>
    </w:p>
    <w:p w14:paraId="407C771D">
      <w:pPr>
        <w:pStyle w:val="15"/>
        <w:keepNext w:val="0"/>
        <w:keepLines w:val="0"/>
        <w:pageBreakBefore w:val="0"/>
        <w:widowControl w:val="0"/>
        <w:tabs>
          <w:tab w:val="left" w:pos="2472"/>
        </w:tabs>
        <w:kinsoku/>
        <w:wordWrap/>
        <w:overflowPunct/>
        <w:topLinePunct w:val="0"/>
        <w:autoSpaceDE/>
        <w:autoSpaceDN/>
        <w:bidi w:val="0"/>
        <w:snapToGrid/>
        <w:spacing w:line="44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（1）安置的残疾人占本单位在职职工人数的比例不低于25%（含25%），并且安置的残疾人人数不少于10人（含10人）；</w:t>
      </w:r>
    </w:p>
    <w:p w14:paraId="04F9B462">
      <w:pPr>
        <w:pStyle w:val="15"/>
        <w:keepNext w:val="0"/>
        <w:keepLines w:val="0"/>
        <w:pageBreakBefore w:val="0"/>
        <w:widowControl w:val="0"/>
        <w:tabs>
          <w:tab w:val="left" w:pos="2472"/>
        </w:tabs>
        <w:kinsoku/>
        <w:wordWrap/>
        <w:overflowPunct/>
        <w:topLinePunct w:val="0"/>
        <w:autoSpaceDE/>
        <w:autoSpaceDN/>
        <w:bidi w:val="0"/>
        <w:snapToGrid/>
        <w:spacing w:line="44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（2）依法与安置的每位残疾人签订了一年以上（含一年）的劳动合同或服务协议；</w:t>
      </w:r>
    </w:p>
    <w:p w14:paraId="0C4CA402">
      <w:pPr>
        <w:pStyle w:val="15"/>
        <w:keepNext w:val="0"/>
        <w:keepLines w:val="0"/>
        <w:pageBreakBefore w:val="0"/>
        <w:widowControl w:val="0"/>
        <w:tabs>
          <w:tab w:val="left" w:pos="2472"/>
        </w:tabs>
        <w:kinsoku/>
        <w:wordWrap/>
        <w:overflowPunct/>
        <w:topLinePunct w:val="0"/>
        <w:autoSpaceDE/>
        <w:autoSpaceDN/>
        <w:bidi w:val="0"/>
        <w:snapToGrid/>
        <w:spacing w:line="44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（3）为安置的每位残疾人按月足额缴纳了基本养老保险、基本医疗保险、失业保险、工伤保险和生育保险等社会保险费；</w:t>
      </w:r>
    </w:p>
    <w:p w14:paraId="25033218">
      <w:pPr>
        <w:pStyle w:val="15"/>
        <w:keepNext w:val="0"/>
        <w:keepLines w:val="0"/>
        <w:pageBreakBefore w:val="0"/>
        <w:widowControl w:val="0"/>
        <w:tabs>
          <w:tab w:val="left" w:pos="2472"/>
        </w:tabs>
        <w:kinsoku/>
        <w:wordWrap/>
        <w:overflowPunct/>
        <w:topLinePunct w:val="0"/>
        <w:autoSpaceDE/>
        <w:autoSpaceDN/>
        <w:bidi w:val="0"/>
        <w:snapToGrid/>
        <w:spacing w:line="44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（4）通过银行等金融机构向安置的每位残疾人，按月支付了不低于单位所在区县适用的经省级人民政府批准的月最低工资标准的工资；</w:t>
      </w:r>
    </w:p>
    <w:p w14:paraId="341FFEA6">
      <w:pPr>
        <w:pStyle w:val="15"/>
        <w:keepNext w:val="0"/>
        <w:keepLines w:val="0"/>
        <w:pageBreakBefore w:val="0"/>
        <w:widowControl w:val="0"/>
        <w:tabs>
          <w:tab w:val="left" w:pos="2472"/>
        </w:tabs>
        <w:kinsoku/>
        <w:wordWrap/>
        <w:overflowPunct/>
        <w:topLinePunct w:val="0"/>
        <w:autoSpaceDE/>
        <w:autoSpaceDN/>
        <w:bidi w:val="0"/>
        <w:snapToGrid/>
        <w:spacing w:line="44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（5）提供本单位制造的货物、承担的工程或者服务（以下简称产品），或者提供其他残疾人福利性单位制造的货物（不包括使用非残疾人福利性单位注册商标的货物）。</w:t>
      </w:r>
    </w:p>
    <w:p w14:paraId="25EE3CF4">
      <w:pPr>
        <w:pStyle w:val="15"/>
        <w:keepNext w:val="0"/>
        <w:keepLines w:val="0"/>
        <w:pageBreakBefore w:val="0"/>
        <w:widowControl w:val="0"/>
        <w:tabs>
          <w:tab w:val="left" w:pos="2472"/>
        </w:tabs>
        <w:kinsoku/>
        <w:wordWrap/>
        <w:overflowPunct/>
        <w:topLinePunct w:val="0"/>
        <w:autoSpaceDE/>
        <w:autoSpaceDN/>
        <w:bidi w:val="0"/>
        <w:snapToGrid/>
        <w:spacing w:line="44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506095">
      <w:pPr>
        <w:pStyle w:val="15"/>
        <w:keepNext w:val="0"/>
        <w:keepLines w:val="0"/>
        <w:pageBreakBefore w:val="0"/>
        <w:widowControl w:val="0"/>
        <w:tabs>
          <w:tab w:val="left" w:pos="2472"/>
        </w:tabs>
        <w:kinsoku/>
        <w:wordWrap/>
        <w:overflowPunct/>
        <w:topLinePunct w:val="0"/>
        <w:autoSpaceDE/>
        <w:autoSpaceDN/>
        <w:bidi w:val="0"/>
        <w:snapToGrid/>
        <w:spacing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28</w:t>
      </w:r>
      <w:r>
        <w:rPr>
          <w:rFonts w:hint="eastAsia" w:ascii="宋体" w:hAnsi="宋体" w:eastAsia="宋体" w:cs="宋体"/>
          <w:color w:val="auto"/>
          <w:sz w:val="21"/>
          <w:szCs w:val="21"/>
        </w:rPr>
        <w:t>.3.2符合条件的残疾人福利性单位在参加政府采购活动时，应当提供《残疾人福利性单位声明函》，并对声明的真实性负责。</w:t>
      </w:r>
    </w:p>
    <w:p w14:paraId="4ADBFDD6">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lang w:val="en-US" w:eastAsia="zh-CN"/>
        </w:rPr>
        <w:t>29</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rPr>
        <w:t>质疑</w:t>
      </w:r>
      <w:bookmarkEnd w:id="63"/>
      <w:bookmarkEnd w:id="64"/>
    </w:p>
    <w:p w14:paraId="0F427E80">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lang w:val="en-US" w:eastAsia="zh-CN"/>
        </w:rPr>
        <w:t>29</w:t>
      </w:r>
      <w:r>
        <w:rPr>
          <w:rFonts w:hint="eastAsia" w:ascii="宋体" w:hAnsi="宋体" w:eastAsia="宋体" w:cs="宋体"/>
          <w:color w:val="auto"/>
          <w:kern w:val="2"/>
          <w:sz w:val="21"/>
          <w:szCs w:val="21"/>
        </w:rPr>
        <w:t xml:space="preserve">.1 </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认为</w:t>
      </w:r>
      <w:r>
        <w:rPr>
          <w:rFonts w:hint="eastAsia" w:ascii="宋体" w:hAnsi="宋体" w:eastAsia="宋体" w:cs="宋体"/>
          <w:color w:val="auto"/>
          <w:kern w:val="2"/>
          <w:sz w:val="21"/>
          <w:szCs w:val="21"/>
          <w:lang w:eastAsia="zh-CN"/>
        </w:rPr>
        <w:t>磋商文件</w:t>
      </w:r>
      <w:r>
        <w:rPr>
          <w:rFonts w:hint="eastAsia" w:ascii="宋体" w:hAnsi="宋体" w:eastAsia="宋体" w:cs="宋体"/>
          <w:color w:val="auto"/>
          <w:kern w:val="2"/>
          <w:sz w:val="21"/>
          <w:szCs w:val="21"/>
        </w:rPr>
        <w:t>、采购过程、中标或成交结果使自己的合法权益受到损害的，可以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37930FFD">
      <w:pPr>
        <w:keepNext w:val="0"/>
        <w:keepLines w:val="0"/>
        <w:pageBreakBefore w:val="0"/>
        <w:widowControl w:val="0"/>
        <w:kinsoku/>
        <w:wordWrap/>
        <w:overflowPunct/>
        <w:topLinePunct w:val="0"/>
        <w:autoSpaceDE/>
        <w:autoSpaceDN/>
        <w:bidi w:val="0"/>
        <w:snapToGrid/>
        <w:spacing w:line="440" w:lineRule="exact"/>
        <w:ind w:firstLine="396" w:firstLineChars="200"/>
        <w:jc w:val="both"/>
        <w:rPr>
          <w:rFonts w:hint="eastAsia" w:ascii="宋体" w:hAnsi="宋体" w:eastAsia="宋体" w:cs="宋体"/>
          <w:color w:val="auto"/>
          <w:kern w:val="2"/>
          <w:sz w:val="21"/>
          <w:szCs w:val="21"/>
          <w:lang w:val="en-US"/>
        </w:rPr>
      </w:pPr>
      <w:r>
        <w:rPr>
          <w:rFonts w:hint="eastAsia" w:ascii="宋体" w:hAnsi="宋体" w:eastAsia="宋体" w:cs="宋体"/>
          <w:color w:val="auto"/>
          <w:spacing w:val="-6"/>
          <w:kern w:val="2"/>
          <w:sz w:val="21"/>
          <w:szCs w:val="21"/>
        </w:rPr>
        <w:t>受理质疑部门：</w:t>
      </w:r>
      <w:r>
        <w:rPr>
          <w:rFonts w:hint="eastAsia" w:ascii="宋体" w:hAnsi="宋体" w:cs="宋体"/>
          <w:color w:val="auto"/>
          <w:spacing w:val="-6"/>
          <w:kern w:val="2"/>
          <w:sz w:val="21"/>
          <w:szCs w:val="21"/>
          <w:lang w:val="en-US" w:eastAsia="zh-CN"/>
        </w:rPr>
        <w:t>云南行行工程项目管理有限公司</w:t>
      </w:r>
      <w:r>
        <w:rPr>
          <w:rFonts w:hint="eastAsia" w:ascii="宋体" w:hAnsi="宋体" w:eastAsia="宋体" w:cs="宋体"/>
          <w:color w:val="auto"/>
          <w:spacing w:val="-6"/>
          <w:kern w:val="2"/>
          <w:sz w:val="21"/>
          <w:szCs w:val="21"/>
          <w:lang w:val="en-US" w:eastAsia="zh-CN"/>
        </w:rPr>
        <w:t>，地址：</w:t>
      </w:r>
      <w:r>
        <w:rPr>
          <w:rFonts w:hint="eastAsia" w:ascii="宋体" w:hAnsi="宋体" w:cs="宋体"/>
          <w:color w:val="auto"/>
          <w:spacing w:val="-6"/>
          <w:kern w:val="2"/>
          <w:sz w:val="21"/>
          <w:szCs w:val="21"/>
          <w:lang w:val="en-US" w:eastAsia="zh-CN"/>
        </w:rPr>
        <w:t>保山市隆阳区兰城街道金水路永昌文化园6号</w:t>
      </w:r>
      <w:r>
        <w:rPr>
          <w:rFonts w:hint="eastAsia" w:ascii="宋体" w:hAnsi="宋体" w:eastAsia="宋体" w:cs="宋体"/>
          <w:color w:val="auto"/>
          <w:kern w:val="2"/>
          <w:sz w:val="21"/>
          <w:szCs w:val="21"/>
          <w:lang w:val="en-US" w:eastAsia="zh-CN"/>
        </w:rPr>
        <w:t>，联系人：尹工；联系电话：</w:t>
      </w:r>
      <w:r>
        <w:rPr>
          <w:rFonts w:hint="eastAsia" w:ascii="宋体" w:hAnsi="宋体" w:cs="宋体"/>
          <w:color w:val="auto"/>
          <w:kern w:val="2"/>
          <w:sz w:val="21"/>
          <w:szCs w:val="21"/>
          <w:lang w:val="en-US" w:eastAsia="zh-CN"/>
        </w:rPr>
        <w:t>18187542990</w:t>
      </w:r>
      <w:r>
        <w:rPr>
          <w:rFonts w:hint="eastAsia" w:ascii="宋体" w:hAnsi="宋体" w:eastAsia="宋体" w:cs="宋体"/>
          <w:color w:val="auto"/>
          <w:kern w:val="2"/>
          <w:sz w:val="21"/>
          <w:szCs w:val="21"/>
          <w:lang w:val="en-US" w:eastAsia="zh-CN"/>
        </w:rPr>
        <w:t>。</w:t>
      </w:r>
    </w:p>
    <w:p w14:paraId="69DEA705">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lang w:val="en-US" w:eastAsia="zh-CN"/>
        </w:rPr>
        <w:t>29</w:t>
      </w:r>
      <w:r>
        <w:rPr>
          <w:rFonts w:hint="eastAsia" w:ascii="宋体" w:hAnsi="宋体" w:eastAsia="宋体" w:cs="宋体"/>
          <w:color w:val="auto"/>
          <w:kern w:val="2"/>
          <w:sz w:val="21"/>
          <w:szCs w:val="21"/>
        </w:rPr>
        <w:t xml:space="preserve">.2 </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提供的质疑书应符合中华人民共和国财政部第94号令《政府采购质疑和投诉办法》的规定。</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提供的质疑书（如材料中有外文资料应同时附上中文译本）应当包括以下主要内容：</w:t>
      </w:r>
    </w:p>
    <w:p w14:paraId="17824907">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eastAsia="zh-CN"/>
        </w:rPr>
        <w:t>申请人</w:t>
      </w:r>
      <w:r>
        <w:rPr>
          <w:rFonts w:hint="eastAsia" w:ascii="宋体" w:hAnsi="宋体" w:eastAsia="宋体" w:cs="宋体"/>
          <w:color w:val="auto"/>
          <w:kern w:val="2"/>
          <w:sz w:val="21"/>
          <w:szCs w:val="21"/>
        </w:rPr>
        <w:t>的姓名或者名称、地址、邮编、联系人及联系电话；</w:t>
      </w:r>
    </w:p>
    <w:p w14:paraId="4A86CC00">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（2）质疑项目的名称、编号；</w:t>
      </w:r>
    </w:p>
    <w:p w14:paraId="663910E7">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（3）具体、明确的质疑事项和与质疑事项相关的请求；</w:t>
      </w:r>
    </w:p>
    <w:p w14:paraId="7C2B41A3">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（4）事实依据；</w:t>
      </w:r>
    </w:p>
    <w:p w14:paraId="094B6AD6">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（5）必要的法律依据；</w:t>
      </w:r>
    </w:p>
    <w:p w14:paraId="5F97DB3B">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kern w:val="2"/>
          <w:sz w:val="21"/>
          <w:szCs w:val="21"/>
        </w:rPr>
        <w:t>（6）提出质疑的日期。</w:t>
      </w:r>
    </w:p>
    <w:p w14:paraId="6EEA3E0C">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kern w:val="2"/>
          <w:sz w:val="21"/>
          <w:szCs w:val="21"/>
          <w:lang w:eastAsia="zh-CN"/>
        </w:rPr>
        <w:t>　　</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为自然人的，应当由本人签字；</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为法人或者其他组织的，应当由法定代表人、主要负责人，或者其授权代表签字或者盖章，并加盖公章。质疑书实行实名制，并提交由法定代表人或其授权代理人签字并加盖单位章的原件。 </w:t>
      </w:r>
    </w:p>
    <w:p w14:paraId="22689B81">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lang w:val="en-US" w:eastAsia="zh-CN"/>
        </w:rPr>
        <w:t>29</w:t>
      </w:r>
      <w:r>
        <w:rPr>
          <w:rFonts w:hint="eastAsia" w:ascii="宋体" w:hAnsi="宋体" w:eastAsia="宋体" w:cs="宋体"/>
          <w:color w:val="auto"/>
          <w:spacing w:val="0"/>
          <w:kern w:val="2"/>
          <w:sz w:val="21"/>
          <w:szCs w:val="21"/>
        </w:rPr>
        <w:t>.3 采购人、采购代理机构将在收到</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的书面质疑后七个工作日内做出书面答复，但答复的内容不涉及商业秘密。</w:t>
      </w:r>
    </w:p>
    <w:p w14:paraId="18CC6BC9">
      <w:pPr>
        <w:keepNext w:val="0"/>
        <w:keepLines w:val="0"/>
        <w:pageBreakBefore w:val="0"/>
        <w:widowControl w:val="0"/>
        <w:kinsoku/>
        <w:wordWrap/>
        <w:overflowPunct/>
        <w:topLinePunct w:val="0"/>
        <w:autoSpaceDE/>
        <w:autoSpaceDN/>
        <w:bidi w:val="0"/>
        <w:snapToGrid/>
        <w:spacing w:line="440" w:lineRule="exact"/>
        <w:ind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lang w:val="en-US" w:eastAsia="zh-CN"/>
        </w:rPr>
        <w:t>29</w:t>
      </w:r>
      <w:r>
        <w:rPr>
          <w:rFonts w:hint="eastAsia" w:ascii="宋体" w:hAnsi="宋体" w:eastAsia="宋体" w:cs="宋体"/>
          <w:color w:val="auto"/>
          <w:spacing w:val="0"/>
          <w:kern w:val="2"/>
          <w:sz w:val="21"/>
          <w:szCs w:val="21"/>
        </w:rPr>
        <w:t>.4 参与政府采购活动的</w:t>
      </w:r>
      <w:r>
        <w:rPr>
          <w:rFonts w:hint="eastAsia" w:ascii="宋体" w:hAnsi="宋体" w:eastAsia="宋体" w:cs="宋体"/>
          <w:color w:val="auto"/>
          <w:spacing w:val="0"/>
          <w:kern w:val="2"/>
          <w:sz w:val="21"/>
          <w:szCs w:val="21"/>
          <w:lang w:eastAsia="zh-CN"/>
        </w:rPr>
        <w:t>申请人</w:t>
      </w:r>
      <w:r>
        <w:rPr>
          <w:rFonts w:hint="eastAsia" w:ascii="宋体" w:hAnsi="宋体" w:eastAsia="宋体" w:cs="宋体"/>
          <w:color w:val="auto"/>
          <w:spacing w:val="0"/>
          <w:kern w:val="2"/>
          <w:sz w:val="21"/>
          <w:szCs w:val="21"/>
        </w:rPr>
        <w:t>对评审过程、中标或者成交结果提出质疑的，采购人或采购代理机构可以组织原评审委员会协助答复质疑事项，并依据评审委员会出具的意见进行答复。质疑答复导致中标或者成交结果改变的，采购人或采购代理机构应当将相关情况书面报财政部门备案。</w:t>
      </w:r>
    </w:p>
    <w:p w14:paraId="743CAE24">
      <w:pPr>
        <w:keepNext w:val="0"/>
        <w:keepLines w:val="0"/>
        <w:pageBreakBefore w:val="0"/>
        <w:widowControl w:val="0"/>
        <w:kinsoku/>
        <w:wordWrap/>
        <w:overflowPunct/>
        <w:topLinePunct w:val="0"/>
        <w:autoSpaceDE/>
        <w:autoSpaceDN/>
        <w:bidi w:val="0"/>
        <w:adjustRightInd/>
        <w:snapToGrid/>
        <w:spacing w:line="480" w:lineRule="exact"/>
        <w:ind w:left="0" w:firstLine="0" w:firstLineChars="0"/>
        <w:jc w:val="both"/>
        <w:rPr>
          <w:rFonts w:hint="eastAsia" w:ascii="宋体" w:hAnsi="宋体" w:eastAsia="宋体" w:cs="宋体"/>
          <w:color w:val="auto"/>
          <w:spacing w:val="0"/>
          <w:kern w:val="2"/>
          <w:sz w:val="21"/>
          <w:szCs w:val="21"/>
        </w:rPr>
      </w:pPr>
      <w:r>
        <w:rPr>
          <w:rFonts w:hint="eastAsia" w:ascii="宋体" w:hAnsi="宋体" w:eastAsia="宋体" w:cs="宋体"/>
          <w:color w:val="auto"/>
          <w:spacing w:val="0"/>
          <w:kern w:val="2"/>
          <w:sz w:val="21"/>
          <w:szCs w:val="21"/>
          <w:lang w:eastAsia="zh-CN"/>
        </w:rPr>
        <w:t>　　</w:t>
      </w:r>
      <w:r>
        <w:rPr>
          <w:rFonts w:hint="eastAsia" w:ascii="宋体" w:hAnsi="宋体" w:eastAsia="宋体" w:cs="宋体"/>
          <w:color w:val="auto"/>
          <w:spacing w:val="0"/>
          <w:kern w:val="2"/>
          <w:sz w:val="21"/>
          <w:szCs w:val="21"/>
          <w:lang w:val="en-US" w:eastAsia="zh-CN"/>
        </w:rPr>
        <w:t>29</w:t>
      </w:r>
      <w:r>
        <w:rPr>
          <w:rFonts w:hint="eastAsia" w:ascii="宋体" w:hAnsi="宋体" w:eastAsia="宋体" w:cs="宋体"/>
          <w:color w:val="auto"/>
          <w:spacing w:val="0"/>
          <w:kern w:val="2"/>
          <w:sz w:val="21"/>
          <w:szCs w:val="21"/>
        </w:rPr>
        <w:t xml:space="preserve">.5 </w:t>
      </w:r>
      <w:r>
        <w:rPr>
          <w:rFonts w:hint="eastAsia" w:ascii="宋体" w:hAnsi="宋体" w:eastAsia="宋体" w:cs="宋体"/>
          <w:color w:val="auto"/>
          <w:spacing w:val="-6"/>
          <w:kern w:val="2"/>
          <w:sz w:val="21"/>
          <w:szCs w:val="21"/>
        </w:rPr>
        <w:t>投诉人必须首先经过质疑程序，在对采购人、采购代理机构的答复不满意，或者采购人、采购代理机构未在规定的时间内做出答复的，可以在答复期满后十五个工作日内书面向政府采购监督管理部门投诉。</w:t>
      </w:r>
    </w:p>
    <w:bookmarkEnd w:id="48"/>
    <w:bookmarkEnd w:id="49"/>
    <w:p w14:paraId="3EB10071">
      <w:pPr>
        <w:pStyle w:val="2"/>
        <w:numPr>
          <w:ilvl w:val="0"/>
          <w:numId w:val="0"/>
        </w:numPr>
        <w:spacing w:before="0" w:after="0" w:line="240" w:lineRule="auto"/>
        <w:jc w:val="center"/>
        <w:rPr>
          <w:rFonts w:hint="eastAsia" w:ascii="宋体" w:hAnsi="宋体" w:eastAsia="宋体" w:cs="宋体"/>
          <w:b w:val="0"/>
          <w:bCs/>
          <w:color w:val="auto"/>
          <w:kern w:val="2"/>
          <w:sz w:val="36"/>
          <w:szCs w:val="36"/>
          <w:lang w:eastAsia="zh-CN"/>
        </w:rPr>
      </w:pPr>
      <w:bookmarkStart w:id="65" w:name="_Toc2825"/>
      <w:bookmarkStart w:id="66" w:name="_Toc23471"/>
      <w:bookmarkStart w:id="67" w:name="_Toc21877"/>
      <w:r>
        <w:rPr>
          <w:rFonts w:hint="eastAsia" w:ascii="宋体" w:hAnsi="宋体" w:eastAsia="宋体" w:cs="宋体"/>
          <w:b w:val="0"/>
          <w:bCs/>
          <w:color w:val="auto"/>
          <w:kern w:val="2"/>
          <w:sz w:val="32"/>
          <w:szCs w:val="32"/>
          <w:lang w:val="en-US" w:eastAsia="zh-CN"/>
        </w:rPr>
        <w:t xml:space="preserve">第三章 </w:t>
      </w:r>
      <w:r>
        <w:rPr>
          <w:rFonts w:hint="eastAsia" w:ascii="宋体" w:hAnsi="宋体" w:eastAsia="宋体" w:cs="宋体"/>
          <w:b w:val="0"/>
          <w:bCs/>
          <w:color w:val="auto"/>
          <w:kern w:val="2"/>
          <w:sz w:val="32"/>
          <w:szCs w:val="32"/>
          <w:lang w:eastAsia="zh-CN"/>
        </w:rPr>
        <w:t>项目需求</w:t>
      </w:r>
      <w:bookmarkEnd w:id="65"/>
    </w:p>
    <w:p w14:paraId="756A3982">
      <w:pPr>
        <w:keepNext w:val="0"/>
        <w:keepLines w:val="0"/>
        <w:pageBreakBefore w:val="0"/>
        <w:widowControl/>
        <w:kinsoku/>
        <w:wordWrap/>
        <w:overflowPunct/>
        <w:topLinePunct w:val="0"/>
        <w:autoSpaceDE/>
        <w:autoSpaceDN/>
        <w:bidi w:val="0"/>
        <w:adjustRightInd/>
        <w:snapToGrid w:val="0"/>
        <w:spacing w:line="460" w:lineRule="exact"/>
        <w:ind w:firstLine="420" w:firstLineChars="200"/>
        <w:textAlignment w:val="auto"/>
        <w:rPr>
          <w:rFonts w:hint="eastAsia" w:ascii="仿宋" w:hAnsi="仿宋" w:eastAsia="仿宋" w:cs="仿宋"/>
          <w:color w:val="auto"/>
          <w:spacing w:val="0"/>
          <w:sz w:val="21"/>
          <w:szCs w:val="21"/>
          <w:lang w:eastAsia="zh-CN"/>
        </w:rPr>
      </w:pPr>
      <w:r>
        <w:rPr>
          <w:rFonts w:hint="eastAsia" w:ascii="黑体" w:hAnsi="黑体" w:eastAsia="黑体" w:cs="黑体"/>
          <w:color w:val="auto"/>
          <w:spacing w:val="0"/>
          <w:sz w:val="21"/>
          <w:szCs w:val="21"/>
        </w:rPr>
        <w:t>一、</w:t>
      </w:r>
      <w:r>
        <w:rPr>
          <w:rFonts w:hint="eastAsia" w:ascii="黑体" w:hAnsi="黑体" w:eastAsia="黑体" w:cs="黑体"/>
          <w:color w:val="auto"/>
          <w:spacing w:val="0"/>
          <w:sz w:val="21"/>
          <w:szCs w:val="21"/>
          <w:lang w:eastAsia="zh-CN"/>
        </w:rPr>
        <w:t>项目概况</w:t>
      </w:r>
    </w:p>
    <w:p w14:paraId="0E5EA7BF">
      <w:pPr>
        <w:keepNext w:val="0"/>
        <w:keepLines w:val="0"/>
        <w:pageBreakBefore w:val="0"/>
        <w:widowControl w:val="0"/>
        <w:kinsoku/>
        <w:wordWrap/>
        <w:overflowPunct/>
        <w:topLinePunct w:val="0"/>
        <w:autoSpaceDE/>
        <w:autoSpaceDN/>
        <w:bidi w:val="0"/>
        <w:spacing w:line="460" w:lineRule="exact"/>
        <w:ind w:firstLine="420" w:firstLineChars="200"/>
        <w:textAlignment w:val="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lang w:val="en-US" w:eastAsia="zh-CN"/>
        </w:rPr>
        <w:t>1.</w:t>
      </w:r>
      <w:r>
        <w:rPr>
          <w:rFonts w:hint="eastAsia" w:ascii="宋体" w:hAnsi="宋体" w:eastAsia="宋体" w:cs="宋体"/>
          <w:color w:val="auto"/>
          <w:spacing w:val="0"/>
          <w:sz w:val="21"/>
          <w:szCs w:val="21"/>
        </w:rPr>
        <w:t>项目编号：</w:t>
      </w:r>
      <w:r>
        <w:rPr>
          <w:rFonts w:hint="eastAsia" w:ascii="宋体" w:hAnsi="宋体" w:cs="宋体"/>
          <w:color w:val="auto"/>
          <w:spacing w:val="0"/>
          <w:sz w:val="21"/>
          <w:szCs w:val="21"/>
          <w:lang w:eastAsia="zh-CN"/>
        </w:rPr>
        <w:t>HXGSGC2025002</w:t>
      </w:r>
      <w:r>
        <w:rPr>
          <w:rFonts w:hint="eastAsia" w:ascii="宋体" w:hAnsi="宋体" w:eastAsia="宋体" w:cs="宋体"/>
          <w:color w:val="auto"/>
          <w:spacing w:val="0"/>
          <w:sz w:val="21"/>
          <w:szCs w:val="21"/>
        </w:rPr>
        <w:t>。</w:t>
      </w:r>
    </w:p>
    <w:p w14:paraId="2BD2FA9D">
      <w:pPr>
        <w:keepNext w:val="0"/>
        <w:keepLines w:val="0"/>
        <w:pageBreakBefore w:val="0"/>
        <w:widowControl w:val="0"/>
        <w:kinsoku/>
        <w:wordWrap/>
        <w:overflowPunct/>
        <w:topLinePunct w:val="0"/>
        <w:autoSpaceDE/>
        <w:autoSpaceDN/>
        <w:bidi w:val="0"/>
        <w:spacing w:line="460" w:lineRule="exact"/>
        <w:ind w:firstLine="420" w:firstLineChars="200"/>
        <w:textAlignment w:val="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lang w:val="en-US" w:eastAsia="zh-CN"/>
        </w:rPr>
        <w:t>2.</w:t>
      </w:r>
      <w:r>
        <w:rPr>
          <w:rFonts w:hint="eastAsia" w:ascii="宋体" w:hAnsi="宋体" w:eastAsia="宋体" w:cs="宋体"/>
          <w:color w:val="auto"/>
          <w:spacing w:val="0"/>
          <w:sz w:val="21"/>
          <w:szCs w:val="21"/>
        </w:rPr>
        <w:t>项目名称：</w:t>
      </w:r>
      <w:r>
        <w:rPr>
          <w:rFonts w:hint="eastAsia" w:ascii="宋体" w:hAnsi="宋体" w:cs="宋体"/>
          <w:color w:val="auto"/>
          <w:spacing w:val="0"/>
          <w:sz w:val="21"/>
          <w:szCs w:val="21"/>
          <w:lang w:eastAsia="zh-CN"/>
        </w:rPr>
        <w:t>怒江州动物疫病预防控制中心陆生动物疫病病原学监测区域中心建设项目实验室升级改造</w:t>
      </w:r>
      <w:r>
        <w:rPr>
          <w:rFonts w:hint="eastAsia" w:ascii="宋体" w:hAnsi="宋体" w:eastAsia="宋体" w:cs="宋体"/>
          <w:color w:val="auto"/>
          <w:spacing w:val="0"/>
          <w:sz w:val="21"/>
          <w:szCs w:val="21"/>
        </w:rPr>
        <w:t>。</w:t>
      </w:r>
    </w:p>
    <w:p w14:paraId="308A9000">
      <w:pPr>
        <w:keepNext w:val="0"/>
        <w:keepLines w:val="0"/>
        <w:pageBreakBefore w:val="0"/>
        <w:widowControl w:val="0"/>
        <w:kinsoku/>
        <w:wordWrap/>
        <w:overflowPunct/>
        <w:topLinePunct w:val="0"/>
        <w:autoSpaceDE/>
        <w:autoSpaceDN/>
        <w:bidi w:val="0"/>
        <w:spacing w:line="460" w:lineRule="exact"/>
        <w:ind w:firstLine="420" w:firstLineChars="200"/>
        <w:textAlignment w:val="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lang w:val="en-US" w:eastAsia="zh-CN"/>
        </w:rPr>
        <w:t>3.</w:t>
      </w:r>
      <w:r>
        <w:rPr>
          <w:rFonts w:hint="eastAsia" w:ascii="宋体" w:hAnsi="宋体" w:eastAsia="宋体" w:cs="宋体"/>
          <w:color w:val="auto"/>
          <w:spacing w:val="0"/>
          <w:sz w:val="21"/>
          <w:szCs w:val="21"/>
        </w:rPr>
        <w:t>采购方式：</w:t>
      </w:r>
      <w:r>
        <w:rPr>
          <w:rFonts w:hint="eastAsia" w:ascii="宋体" w:hAnsi="宋体" w:eastAsia="宋体" w:cs="宋体"/>
          <w:color w:val="auto"/>
          <w:spacing w:val="0"/>
          <w:sz w:val="21"/>
          <w:szCs w:val="21"/>
          <w:lang w:eastAsia="zh-CN"/>
        </w:rPr>
        <w:t>竞争性磋商</w:t>
      </w:r>
      <w:r>
        <w:rPr>
          <w:rFonts w:hint="eastAsia" w:ascii="宋体" w:hAnsi="宋体" w:eastAsia="宋体" w:cs="宋体"/>
          <w:color w:val="auto"/>
          <w:spacing w:val="0"/>
          <w:sz w:val="21"/>
          <w:szCs w:val="21"/>
        </w:rPr>
        <w:t>。</w:t>
      </w:r>
    </w:p>
    <w:p w14:paraId="12B6E11B">
      <w:pPr>
        <w:keepNext w:val="0"/>
        <w:keepLines w:val="0"/>
        <w:pageBreakBefore w:val="0"/>
        <w:widowControl w:val="0"/>
        <w:kinsoku/>
        <w:wordWrap/>
        <w:overflowPunct/>
        <w:topLinePunct w:val="0"/>
        <w:autoSpaceDE/>
        <w:autoSpaceDN/>
        <w:bidi w:val="0"/>
        <w:spacing w:line="460" w:lineRule="exact"/>
        <w:ind w:firstLine="420" w:firstLineChars="20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4.采购预算</w:t>
      </w:r>
      <w:r>
        <w:rPr>
          <w:rFonts w:hint="eastAsia" w:ascii="宋体" w:hAnsi="宋体" w:cs="宋体"/>
          <w:color w:val="auto"/>
          <w:spacing w:val="0"/>
          <w:sz w:val="21"/>
          <w:szCs w:val="21"/>
          <w:lang w:val="en-US" w:eastAsia="zh-CN"/>
        </w:rPr>
        <w:t>：￥860000.00元。</w:t>
      </w:r>
    </w:p>
    <w:p w14:paraId="31261811">
      <w:pPr>
        <w:keepNext w:val="0"/>
        <w:keepLines w:val="0"/>
        <w:pageBreakBefore w:val="0"/>
        <w:widowControl w:val="0"/>
        <w:kinsoku w:val="0"/>
        <w:wordWrap/>
        <w:overflowPunct w:val="0"/>
        <w:topLinePunct w:val="0"/>
        <w:autoSpaceDE/>
        <w:autoSpaceDN/>
        <w:bidi w:val="0"/>
        <w:spacing w:line="460" w:lineRule="exact"/>
        <w:ind w:left="0" w:leftChars="0" w:firstLine="420" w:firstLineChars="200"/>
        <w:textAlignment w:val="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5.最高限价：</w:t>
      </w:r>
      <w:r>
        <w:rPr>
          <w:rFonts w:hint="eastAsia" w:ascii="宋体" w:hAnsi="宋体" w:cs="宋体"/>
          <w:color w:val="auto"/>
          <w:spacing w:val="0"/>
          <w:sz w:val="21"/>
          <w:szCs w:val="21"/>
          <w:lang w:val="en-US" w:eastAsia="zh-CN"/>
        </w:rPr>
        <w:t>￥860000.00元</w:t>
      </w:r>
      <w:r>
        <w:rPr>
          <w:rFonts w:hint="eastAsia" w:ascii="宋体" w:hAnsi="宋体" w:eastAsia="宋体" w:cs="宋体"/>
          <w:color w:val="auto"/>
          <w:spacing w:val="0"/>
          <w:sz w:val="21"/>
          <w:szCs w:val="21"/>
          <w:lang w:val="en-US" w:eastAsia="zh-CN"/>
        </w:rPr>
        <w:t>（设计部分：￥25000.00元，施工部分：￥8</w:t>
      </w:r>
      <w:r>
        <w:rPr>
          <w:rFonts w:hint="eastAsia" w:ascii="宋体" w:hAnsi="宋体" w:cs="宋体"/>
          <w:color w:val="auto"/>
          <w:spacing w:val="0"/>
          <w:sz w:val="21"/>
          <w:szCs w:val="21"/>
          <w:lang w:val="en-US" w:eastAsia="zh-CN"/>
        </w:rPr>
        <w:t>35</w:t>
      </w:r>
      <w:r>
        <w:rPr>
          <w:rFonts w:hint="eastAsia" w:ascii="宋体" w:hAnsi="宋体" w:eastAsia="宋体" w:cs="宋体"/>
          <w:color w:val="auto"/>
          <w:spacing w:val="0"/>
          <w:sz w:val="21"/>
          <w:szCs w:val="21"/>
          <w:lang w:val="en-US" w:eastAsia="zh-CN"/>
        </w:rPr>
        <w:t>000.00元）</w:t>
      </w:r>
      <w:r>
        <w:rPr>
          <w:rFonts w:hint="eastAsia" w:ascii="宋体" w:hAnsi="宋体" w:cs="宋体"/>
          <w:color w:val="auto"/>
          <w:spacing w:val="0"/>
          <w:sz w:val="21"/>
          <w:szCs w:val="21"/>
          <w:lang w:val="en-US" w:eastAsia="zh-CN"/>
        </w:rPr>
        <w:t>。</w:t>
      </w:r>
    </w:p>
    <w:p w14:paraId="646370C9">
      <w:pPr>
        <w:keepNext w:val="0"/>
        <w:keepLines w:val="0"/>
        <w:pageBreakBefore w:val="0"/>
        <w:widowControl w:val="0"/>
        <w:kinsoku w:val="0"/>
        <w:wordWrap/>
        <w:overflowPunct w:val="0"/>
        <w:topLinePunct w:val="0"/>
        <w:autoSpaceDE/>
        <w:autoSpaceDN/>
        <w:bidi w:val="0"/>
        <w:spacing w:line="460" w:lineRule="exact"/>
        <w:ind w:left="0" w:leftChars="0" w:firstLine="420" w:firstLineChars="200"/>
        <w:textAlignment w:val="auto"/>
        <w:rPr>
          <w:rFonts w:hint="eastAsia" w:ascii="宋体" w:hAnsi="宋体" w:eastAsia="宋体" w:cs="宋体"/>
          <w:color w:val="auto"/>
        </w:rPr>
      </w:pPr>
      <w:r>
        <w:rPr>
          <w:rFonts w:hint="eastAsia" w:ascii="宋体" w:hAnsi="宋体" w:eastAsia="宋体" w:cs="宋体"/>
          <w:color w:val="auto"/>
          <w:spacing w:val="0"/>
          <w:sz w:val="21"/>
          <w:szCs w:val="21"/>
          <w:lang w:val="en-US" w:eastAsia="zh-CN"/>
        </w:rPr>
        <w:t>6.</w:t>
      </w:r>
      <w:r>
        <w:rPr>
          <w:rFonts w:hint="eastAsia" w:ascii="宋体" w:hAnsi="宋体" w:cs="宋体"/>
          <w:color w:val="auto"/>
          <w:spacing w:val="0"/>
          <w:sz w:val="21"/>
          <w:szCs w:val="21"/>
          <w:lang w:val="en-US" w:eastAsia="zh-CN"/>
        </w:rPr>
        <w:t>采购</w:t>
      </w:r>
      <w:r>
        <w:rPr>
          <w:rFonts w:hint="eastAsia" w:ascii="宋体" w:hAnsi="宋体" w:eastAsia="宋体" w:cs="宋体"/>
          <w:color w:val="auto"/>
          <w:spacing w:val="0"/>
          <w:sz w:val="21"/>
          <w:szCs w:val="21"/>
        </w:rPr>
        <w:t>内容：1.设计部分：完成本项目的施工图设计及施工过程中的技术服务等；2.施工部分：完成实验室改建约530㎡，主要用于实验室吊顶、门窗改建、各个功能室的改建、夯实地面、铺设地胶、安装门禁系统、监控系统、通风设备、空调、照明设备、紫外线消毒装置、给排水供电改造、应急供电设备、安装洗涤槽、配备操作台、椅子、污水处理设施以及其他相关改建等。</w:t>
      </w:r>
    </w:p>
    <w:p w14:paraId="34F5394F">
      <w:pPr>
        <w:pStyle w:val="9"/>
        <w:keepNext w:val="0"/>
        <w:keepLines w:val="0"/>
        <w:pageBreakBefore w:val="0"/>
        <w:widowControl w:val="0"/>
        <w:kinsoku/>
        <w:wordWrap/>
        <w:overflowPunct/>
        <w:topLinePunct w:val="0"/>
        <w:autoSpaceDE/>
        <w:autoSpaceDN/>
        <w:bidi w:val="0"/>
        <w:spacing w:line="460" w:lineRule="exact"/>
        <w:ind w:firstLine="420" w:firstLineChars="200"/>
        <w:textAlignment w:val="auto"/>
        <w:rPr>
          <w:rFonts w:hint="eastAsia" w:ascii="宋体" w:hAnsi="宋体" w:eastAsia="宋体" w:cs="宋体"/>
          <w:color w:val="auto"/>
          <w:spacing w:val="0"/>
          <w:sz w:val="21"/>
          <w:szCs w:val="21"/>
          <w:lang w:val="en-US" w:eastAsia="zh-CN"/>
        </w:rPr>
      </w:pPr>
      <w:r>
        <w:rPr>
          <w:rFonts w:hint="eastAsia" w:cs="宋体"/>
          <w:color w:val="auto"/>
          <w:spacing w:val="0"/>
          <w:sz w:val="21"/>
          <w:szCs w:val="21"/>
          <w:lang w:val="en-US" w:eastAsia="zh-CN"/>
        </w:rPr>
        <w:t>7</w:t>
      </w:r>
      <w:r>
        <w:rPr>
          <w:rFonts w:hint="eastAsia" w:ascii="宋体" w:hAnsi="宋体" w:eastAsia="宋体" w:cs="宋体"/>
          <w:color w:val="auto"/>
          <w:spacing w:val="0"/>
          <w:sz w:val="21"/>
          <w:szCs w:val="21"/>
          <w:lang w:val="en-US" w:eastAsia="zh-CN"/>
        </w:rPr>
        <w:t>.合同履行期限：签订合同之日起</w:t>
      </w:r>
      <w:r>
        <w:rPr>
          <w:rFonts w:hint="eastAsia" w:cs="宋体"/>
          <w:color w:val="auto"/>
          <w:spacing w:val="0"/>
          <w:sz w:val="21"/>
          <w:szCs w:val="21"/>
          <w:lang w:val="en-US" w:eastAsia="zh-CN"/>
        </w:rPr>
        <w:t>3</w:t>
      </w:r>
      <w:r>
        <w:rPr>
          <w:rFonts w:hint="eastAsia" w:ascii="宋体" w:hAnsi="宋体" w:eastAsia="宋体" w:cs="宋体"/>
          <w:color w:val="auto"/>
          <w:spacing w:val="0"/>
          <w:sz w:val="21"/>
          <w:szCs w:val="21"/>
          <w:lang w:val="en-US" w:eastAsia="zh-CN"/>
        </w:rPr>
        <w:t>个月内完成全部工作。</w:t>
      </w:r>
    </w:p>
    <w:p w14:paraId="20D506BE">
      <w:pPr>
        <w:keepNext w:val="0"/>
        <w:keepLines w:val="0"/>
        <w:pageBreakBefore w:val="0"/>
        <w:widowControl w:val="0"/>
        <w:kinsoku/>
        <w:wordWrap/>
        <w:overflowPunct/>
        <w:topLinePunct w:val="0"/>
        <w:autoSpaceDE/>
        <w:autoSpaceDN/>
        <w:bidi w:val="0"/>
        <w:spacing w:line="460" w:lineRule="exact"/>
        <w:ind w:firstLine="420" w:firstLineChars="200"/>
        <w:textAlignment w:val="auto"/>
        <w:rPr>
          <w:rFonts w:hint="eastAsia" w:ascii="宋体" w:hAnsi="宋体" w:cs="宋体"/>
          <w:color w:val="auto"/>
          <w:spacing w:val="0"/>
          <w:sz w:val="21"/>
          <w:szCs w:val="21"/>
          <w:lang w:val="en-US" w:eastAsia="zh-CN"/>
        </w:rPr>
      </w:pPr>
      <w:r>
        <w:rPr>
          <w:rFonts w:hint="eastAsia" w:ascii="宋体" w:hAnsi="宋体" w:cs="宋体"/>
          <w:color w:val="auto"/>
          <w:spacing w:val="0"/>
          <w:sz w:val="21"/>
          <w:szCs w:val="21"/>
          <w:lang w:val="en-US" w:eastAsia="zh-CN"/>
        </w:rPr>
        <w:t>8</w:t>
      </w:r>
      <w:r>
        <w:rPr>
          <w:rFonts w:hint="eastAsia" w:ascii="宋体" w:hAnsi="宋体" w:eastAsia="宋体" w:cs="宋体"/>
          <w:color w:val="auto"/>
          <w:spacing w:val="0"/>
          <w:sz w:val="21"/>
          <w:szCs w:val="21"/>
          <w:lang w:val="en-US" w:eastAsia="zh-CN"/>
        </w:rPr>
        <w:t>.建设地点：</w:t>
      </w:r>
      <w:r>
        <w:rPr>
          <w:rFonts w:hint="eastAsia" w:ascii="宋体" w:hAnsi="宋体" w:cs="宋体"/>
          <w:color w:val="auto"/>
          <w:spacing w:val="0"/>
          <w:sz w:val="21"/>
          <w:szCs w:val="21"/>
          <w:lang w:val="en-US" w:eastAsia="zh-CN"/>
        </w:rPr>
        <w:t>怒江州</w:t>
      </w:r>
      <w:r>
        <w:rPr>
          <w:rFonts w:hint="eastAsia" w:ascii="宋体" w:hAnsi="宋体" w:eastAsia="宋体" w:cs="宋体"/>
          <w:color w:val="auto"/>
          <w:spacing w:val="0"/>
          <w:sz w:val="21"/>
          <w:szCs w:val="21"/>
          <w:lang w:val="en-US" w:eastAsia="zh-CN"/>
        </w:rPr>
        <w:t>泸水市大练地街道</w:t>
      </w:r>
      <w:r>
        <w:rPr>
          <w:rFonts w:hint="eastAsia" w:ascii="宋体" w:hAnsi="宋体" w:cs="宋体"/>
          <w:color w:val="auto"/>
          <w:spacing w:val="0"/>
          <w:sz w:val="21"/>
          <w:szCs w:val="21"/>
          <w:lang w:val="en-US" w:eastAsia="zh-CN"/>
        </w:rPr>
        <w:t>。</w:t>
      </w:r>
    </w:p>
    <w:p w14:paraId="2250BD6D">
      <w:pPr>
        <w:keepNext w:val="0"/>
        <w:keepLines w:val="0"/>
        <w:pageBreakBefore w:val="0"/>
        <w:widowControl w:val="0"/>
        <w:kinsoku/>
        <w:wordWrap/>
        <w:overflowPunct/>
        <w:topLinePunct w:val="0"/>
        <w:autoSpaceDE/>
        <w:autoSpaceDN/>
        <w:bidi w:val="0"/>
        <w:spacing w:line="460" w:lineRule="exact"/>
        <w:ind w:firstLine="420" w:firstLineChars="200"/>
        <w:textAlignment w:val="auto"/>
        <w:rPr>
          <w:rFonts w:hint="eastAsia" w:cs="宋体"/>
          <w:color w:val="auto"/>
          <w:spacing w:val="0"/>
          <w:sz w:val="21"/>
          <w:szCs w:val="21"/>
          <w:lang w:val="en-US" w:eastAsia="zh-CN"/>
        </w:rPr>
      </w:pPr>
      <w:r>
        <w:rPr>
          <w:rFonts w:hint="eastAsia" w:cs="宋体"/>
          <w:color w:val="auto"/>
          <w:spacing w:val="0"/>
          <w:sz w:val="21"/>
          <w:szCs w:val="21"/>
          <w:lang w:val="en-US" w:eastAsia="zh-CN"/>
        </w:rPr>
        <w:t>9.质量要求：质量要求：</w:t>
      </w:r>
    </w:p>
    <w:p w14:paraId="07ADC457">
      <w:pPr>
        <w:pStyle w:val="9"/>
        <w:keepNext w:val="0"/>
        <w:keepLines w:val="0"/>
        <w:pageBreakBefore w:val="0"/>
        <w:wordWrap/>
        <w:topLinePunct w:val="0"/>
        <w:autoSpaceDE/>
        <w:autoSpaceDN/>
        <w:bidi w:val="0"/>
        <w:spacing w:line="460" w:lineRule="exact"/>
        <w:ind w:firstLine="420" w:firstLineChars="200"/>
        <w:textAlignment w:val="auto"/>
        <w:rPr>
          <w:rFonts w:hint="eastAsia" w:cs="宋体"/>
          <w:color w:val="auto"/>
          <w:spacing w:val="0"/>
          <w:sz w:val="21"/>
          <w:szCs w:val="21"/>
          <w:lang w:val="en-US" w:eastAsia="zh-CN"/>
        </w:rPr>
      </w:pPr>
      <w:r>
        <w:rPr>
          <w:rFonts w:hint="eastAsia" w:cs="宋体"/>
          <w:color w:val="auto"/>
          <w:spacing w:val="0"/>
          <w:sz w:val="21"/>
          <w:szCs w:val="21"/>
          <w:lang w:val="en-US" w:eastAsia="zh-CN"/>
        </w:rPr>
        <w:t>（1）设计的质量要求：设计成果符合国家、行业及地方现行的相关标准及规范，满足招标人就本项目提出的要求，并通过备案。</w:t>
      </w:r>
    </w:p>
    <w:p w14:paraId="2B5D51AF">
      <w:pPr>
        <w:pStyle w:val="9"/>
        <w:keepNext w:val="0"/>
        <w:keepLines w:val="0"/>
        <w:pageBreakBefore w:val="0"/>
        <w:wordWrap/>
        <w:topLinePunct w:val="0"/>
        <w:autoSpaceDE/>
        <w:autoSpaceDN/>
        <w:bidi w:val="0"/>
        <w:spacing w:line="460" w:lineRule="exact"/>
        <w:ind w:firstLine="420" w:firstLineChars="200"/>
        <w:textAlignment w:val="auto"/>
        <w:rPr>
          <w:rFonts w:hint="eastAsia" w:cs="宋体"/>
          <w:color w:val="auto"/>
          <w:spacing w:val="0"/>
          <w:sz w:val="21"/>
          <w:szCs w:val="21"/>
          <w:lang w:val="en-US" w:eastAsia="zh-CN"/>
        </w:rPr>
      </w:pPr>
      <w:r>
        <w:rPr>
          <w:rFonts w:hint="eastAsia" w:cs="宋体"/>
          <w:color w:val="auto"/>
          <w:spacing w:val="0"/>
          <w:sz w:val="21"/>
          <w:szCs w:val="21"/>
          <w:lang w:val="en-US" w:eastAsia="zh-CN"/>
        </w:rPr>
        <w:t>（2）施工质量要求：符合国家、行业及地方现行的相关标准及规范，并通过相关部门的验收，确保一次性验收合格。</w:t>
      </w:r>
    </w:p>
    <w:p w14:paraId="0A55827B">
      <w:pPr>
        <w:pStyle w:val="9"/>
        <w:keepNext w:val="0"/>
        <w:keepLines w:val="0"/>
        <w:pageBreakBefore w:val="0"/>
        <w:wordWrap/>
        <w:topLinePunct w:val="0"/>
        <w:autoSpaceDE/>
        <w:autoSpaceDN/>
        <w:bidi w:val="0"/>
        <w:spacing w:line="460" w:lineRule="exact"/>
        <w:ind w:firstLine="420" w:firstLineChars="200"/>
        <w:textAlignment w:val="auto"/>
        <w:rPr>
          <w:rFonts w:hint="eastAsia" w:cs="宋体"/>
          <w:color w:val="auto"/>
          <w:spacing w:val="0"/>
          <w:sz w:val="21"/>
          <w:szCs w:val="21"/>
          <w:lang w:val="en-US" w:eastAsia="zh-CN"/>
        </w:rPr>
      </w:pPr>
      <w:r>
        <w:rPr>
          <w:rFonts w:hint="eastAsia" w:cs="宋体"/>
          <w:color w:val="auto"/>
          <w:spacing w:val="0"/>
          <w:sz w:val="21"/>
          <w:szCs w:val="21"/>
          <w:lang w:val="en-US" w:eastAsia="zh-CN"/>
        </w:rPr>
        <w:t>注：在项目实施过程中如有相关规范及标准调整，按最新执行的规范及标准执行。</w:t>
      </w:r>
    </w:p>
    <w:p w14:paraId="6C58CE45">
      <w:pPr>
        <w:pStyle w:val="9"/>
        <w:keepNext w:val="0"/>
        <w:keepLines w:val="0"/>
        <w:pageBreakBefore w:val="0"/>
        <w:wordWrap/>
        <w:topLinePunct w:val="0"/>
        <w:autoSpaceDE/>
        <w:autoSpaceDN/>
        <w:bidi w:val="0"/>
        <w:spacing w:line="460" w:lineRule="exact"/>
        <w:ind w:firstLine="420" w:firstLineChars="200"/>
        <w:textAlignment w:val="auto"/>
        <w:rPr>
          <w:rFonts w:hint="eastAsia" w:cs="宋体"/>
          <w:color w:val="auto"/>
          <w:spacing w:val="0"/>
          <w:sz w:val="21"/>
          <w:szCs w:val="21"/>
          <w:lang w:val="en-US" w:eastAsia="zh-CN"/>
        </w:rPr>
      </w:pPr>
      <w:r>
        <w:rPr>
          <w:rFonts w:hint="eastAsia" w:cs="宋体"/>
          <w:color w:val="auto"/>
          <w:spacing w:val="0"/>
          <w:sz w:val="21"/>
          <w:szCs w:val="21"/>
          <w:lang w:val="en-US" w:eastAsia="zh-CN"/>
        </w:rPr>
        <w:t>10.付款方式：签订合同时协商。</w:t>
      </w:r>
    </w:p>
    <w:p w14:paraId="33E9F8B0">
      <w:pPr>
        <w:keepNext w:val="0"/>
        <w:keepLines w:val="0"/>
        <w:pageBreakBefore w:val="0"/>
        <w:widowControl/>
        <w:kinsoku/>
        <w:wordWrap/>
        <w:overflowPunct/>
        <w:topLinePunct w:val="0"/>
        <w:autoSpaceDE/>
        <w:autoSpaceDN/>
        <w:bidi w:val="0"/>
        <w:adjustRightInd/>
        <w:snapToGrid w:val="0"/>
        <w:spacing w:line="460" w:lineRule="exact"/>
        <w:ind w:firstLine="420" w:firstLineChars="200"/>
        <w:textAlignment w:val="auto"/>
        <w:rPr>
          <w:rFonts w:hint="eastAsia" w:ascii="黑体" w:hAnsi="黑体" w:eastAsia="黑体" w:cs="黑体"/>
          <w:color w:val="auto"/>
          <w:spacing w:val="0"/>
          <w:sz w:val="21"/>
          <w:szCs w:val="21"/>
          <w:lang w:eastAsia="zh-CN"/>
        </w:rPr>
      </w:pPr>
      <w:r>
        <w:rPr>
          <w:rFonts w:hint="eastAsia" w:ascii="黑体" w:hAnsi="黑体" w:eastAsia="黑体" w:cs="黑体"/>
          <w:color w:val="auto"/>
          <w:spacing w:val="0"/>
          <w:sz w:val="21"/>
          <w:szCs w:val="21"/>
          <w:lang w:eastAsia="zh-CN"/>
        </w:rPr>
        <w:t>二、质保期</w:t>
      </w:r>
    </w:p>
    <w:p w14:paraId="47539345">
      <w:pPr>
        <w:keepNext w:val="0"/>
        <w:keepLines w:val="0"/>
        <w:pageBreakBefore w:val="0"/>
        <w:widowControl/>
        <w:kinsoku/>
        <w:wordWrap/>
        <w:overflowPunct/>
        <w:topLinePunct w:val="0"/>
        <w:autoSpaceDE/>
        <w:autoSpaceDN/>
        <w:bidi w:val="0"/>
        <w:adjustRightInd/>
        <w:snapToGrid w:val="0"/>
        <w:spacing w:line="460" w:lineRule="exact"/>
        <w:ind w:firstLine="420" w:firstLineChars="200"/>
        <w:textAlignment w:val="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按《建设工程质量管理条例》规定执行。</w:t>
      </w:r>
    </w:p>
    <w:p w14:paraId="06FE61A1">
      <w:pPr>
        <w:keepNext w:val="0"/>
        <w:keepLines w:val="0"/>
        <w:pageBreakBefore w:val="0"/>
        <w:widowControl/>
        <w:numPr>
          <w:ilvl w:val="0"/>
          <w:numId w:val="0"/>
        </w:numPr>
        <w:kinsoku/>
        <w:wordWrap/>
        <w:overflowPunct/>
        <w:topLinePunct w:val="0"/>
        <w:autoSpaceDE/>
        <w:autoSpaceDN/>
        <w:bidi w:val="0"/>
        <w:adjustRightInd/>
        <w:snapToGrid w:val="0"/>
        <w:spacing w:line="460" w:lineRule="exact"/>
        <w:ind w:firstLine="420" w:firstLineChars="200"/>
        <w:textAlignment w:val="auto"/>
        <w:rPr>
          <w:rFonts w:hint="eastAsia" w:ascii="黑体" w:hAnsi="黑体" w:eastAsia="黑体" w:cs="黑体"/>
          <w:color w:val="auto"/>
          <w:spacing w:val="0"/>
          <w:sz w:val="21"/>
          <w:szCs w:val="21"/>
          <w:lang w:eastAsia="zh-CN"/>
        </w:rPr>
      </w:pPr>
      <w:r>
        <w:rPr>
          <w:rFonts w:hint="eastAsia" w:ascii="黑体" w:hAnsi="黑体" w:eastAsia="黑体" w:cs="黑体"/>
          <w:color w:val="auto"/>
          <w:spacing w:val="0"/>
          <w:kern w:val="2"/>
          <w:sz w:val="21"/>
          <w:szCs w:val="21"/>
          <w:lang w:val="en-US" w:eastAsia="zh-CN" w:bidi="ar-SA"/>
        </w:rPr>
        <w:t>三、</w:t>
      </w:r>
      <w:r>
        <w:rPr>
          <w:rFonts w:hint="eastAsia" w:ascii="黑体" w:hAnsi="黑体" w:eastAsia="黑体" w:cs="黑体"/>
          <w:color w:val="auto"/>
          <w:spacing w:val="0"/>
          <w:sz w:val="21"/>
          <w:szCs w:val="21"/>
          <w:lang w:eastAsia="zh-CN"/>
        </w:rPr>
        <w:t>结算方式</w:t>
      </w:r>
    </w:p>
    <w:p w14:paraId="6B2FDEBD">
      <w:pPr>
        <w:keepNext w:val="0"/>
        <w:keepLines w:val="0"/>
        <w:pageBreakBefore w:val="0"/>
        <w:widowControl/>
        <w:numPr>
          <w:ilvl w:val="0"/>
          <w:numId w:val="0"/>
        </w:numPr>
        <w:kinsoku/>
        <w:wordWrap/>
        <w:overflowPunct/>
        <w:topLinePunct w:val="0"/>
        <w:autoSpaceDE/>
        <w:autoSpaceDN/>
        <w:bidi w:val="0"/>
        <w:adjustRightInd/>
        <w:snapToGrid w:val="0"/>
        <w:spacing w:line="460" w:lineRule="exact"/>
        <w:ind w:firstLine="420" w:firstLineChars="200"/>
        <w:textAlignment w:val="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按实际完成量结算。</w:t>
      </w:r>
    </w:p>
    <w:p w14:paraId="0F92F3F0">
      <w:pPr>
        <w:keepNext w:val="0"/>
        <w:keepLines w:val="0"/>
        <w:pageBreakBefore w:val="0"/>
        <w:widowControl/>
        <w:numPr>
          <w:ilvl w:val="0"/>
          <w:numId w:val="0"/>
        </w:numPr>
        <w:kinsoku/>
        <w:wordWrap/>
        <w:overflowPunct/>
        <w:topLinePunct w:val="0"/>
        <w:autoSpaceDE/>
        <w:autoSpaceDN/>
        <w:bidi w:val="0"/>
        <w:adjustRightInd/>
        <w:snapToGrid w:val="0"/>
        <w:spacing w:line="460" w:lineRule="exact"/>
        <w:ind w:left="0" w:leftChars="0" w:firstLine="420" w:firstLineChars="200"/>
        <w:textAlignment w:val="auto"/>
        <w:rPr>
          <w:rFonts w:hint="eastAsia" w:ascii="黑体" w:hAnsi="黑体" w:eastAsia="黑体" w:cs="黑体"/>
          <w:color w:val="auto"/>
          <w:spacing w:val="0"/>
          <w:sz w:val="21"/>
          <w:szCs w:val="21"/>
          <w:lang w:eastAsia="zh-CN"/>
        </w:rPr>
      </w:pPr>
      <w:r>
        <w:rPr>
          <w:rFonts w:hint="eastAsia" w:ascii="黑体" w:hAnsi="黑体" w:eastAsia="黑体" w:cs="黑体"/>
          <w:color w:val="auto"/>
          <w:spacing w:val="0"/>
          <w:kern w:val="2"/>
          <w:sz w:val="21"/>
          <w:szCs w:val="21"/>
          <w:lang w:val="en-US" w:eastAsia="zh-CN" w:bidi="ar-SA"/>
        </w:rPr>
        <w:t>四、</w:t>
      </w:r>
      <w:r>
        <w:rPr>
          <w:rFonts w:hint="eastAsia" w:ascii="黑体" w:hAnsi="黑体" w:eastAsia="黑体" w:cs="黑体"/>
          <w:color w:val="auto"/>
          <w:spacing w:val="0"/>
          <w:sz w:val="21"/>
          <w:szCs w:val="21"/>
          <w:lang w:eastAsia="zh-CN"/>
        </w:rPr>
        <w:t>调价</w:t>
      </w:r>
    </w:p>
    <w:p w14:paraId="1A6B568B">
      <w:pPr>
        <w:keepNext w:val="0"/>
        <w:keepLines w:val="0"/>
        <w:pageBreakBefore w:val="0"/>
        <w:widowControl/>
        <w:numPr>
          <w:ilvl w:val="0"/>
          <w:numId w:val="0"/>
        </w:numPr>
        <w:kinsoku/>
        <w:wordWrap/>
        <w:overflowPunct/>
        <w:topLinePunct w:val="0"/>
        <w:autoSpaceDE/>
        <w:autoSpaceDN/>
        <w:bidi w:val="0"/>
        <w:adjustRightInd/>
        <w:snapToGrid w:val="0"/>
        <w:spacing w:line="460" w:lineRule="exact"/>
        <w:ind w:firstLine="420" w:firstLineChars="200"/>
        <w:textAlignment w:val="auto"/>
        <w:rPr>
          <w:rFonts w:hint="eastAsia" w:ascii="宋体" w:hAnsi="宋体" w:eastAsia="宋体" w:cs="宋体"/>
          <w:color w:val="auto"/>
          <w:spacing w:val="-6"/>
          <w:sz w:val="30"/>
          <w:szCs w:val="30"/>
        </w:rPr>
      </w:pPr>
      <w:r>
        <w:rPr>
          <w:rFonts w:hint="eastAsia" w:ascii="宋体" w:hAnsi="宋体" w:eastAsia="宋体" w:cs="宋体"/>
          <w:color w:val="auto"/>
          <w:spacing w:val="0"/>
          <w:sz w:val="21"/>
          <w:szCs w:val="21"/>
        </w:rPr>
        <w:t>本项目合同工期内不调价。</w:t>
      </w:r>
    </w:p>
    <w:p w14:paraId="2BB9819B">
      <w:pPr>
        <w:pStyle w:val="2"/>
        <w:spacing w:before="0" w:after="0" w:line="240" w:lineRule="auto"/>
        <w:rPr>
          <w:rFonts w:hint="eastAsia" w:ascii="宋体" w:hAnsi="宋体" w:eastAsia="宋体" w:cs="宋体"/>
          <w:b w:val="0"/>
          <w:bCs/>
          <w:color w:val="auto"/>
          <w:kern w:val="2"/>
          <w:sz w:val="36"/>
          <w:szCs w:val="36"/>
        </w:rPr>
      </w:pPr>
      <w:bookmarkStart w:id="68" w:name="_Toc30685"/>
      <w:r>
        <w:rPr>
          <w:rFonts w:hint="eastAsia" w:ascii="宋体" w:hAnsi="宋体" w:eastAsia="宋体" w:cs="宋体"/>
          <w:b w:val="0"/>
          <w:bCs/>
          <w:color w:val="auto"/>
          <w:kern w:val="2"/>
          <w:sz w:val="32"/>
          <w:szCs w:val="32"/>
          <w:lang w:eastAsia="zh-CN"/>
        </w:rPr>
        <w:t>第四章</w:t>
      </w:r>
      <w:r>
        <w:rPr>
          <w:rFonts w:hint="eastAsia" w:ascii="宋体" w:hAnsi="宋体" w:eastAsia="宋体" w:cs="宋体"/>
          <w:b w:val="0"/>
          <w:bCs/>
          <w:color w:val="auto"/>
          <w:kern w:val="2"/>
          <w:sz w:val="32"/>
          <w:szCs w:val="32"/>
          <w:lang w:val="en-US" w:eastAsia="zh-CN"/>
        </w:rPr>
        <w:t xml:space="preserve"> </w:t>
      </w:r>
      <w:r>
        <w:rPr>
          <w:rFonts w:hint="eastAsia" w:ascii="宋体" w:hAnsi="宋体" w:eastAsia="宋体" w:cs="宋体"/>
          <w:b w:val="0"/>
          <w:bCs/>
          <w:color w:val="auto"/>
          <w:kern w:val="2"/>
          <w:sz w:val="32"/>
          <w:szCs w:val="32"/>
          <w:lang w:eastAsia="zh-CN"/>
        </w:rPr>
        <w:t>合同书样式及主要条款</w:t>
      </w:r>
      <w:bookmarkEnd w:id="50"/>
      <w:bookmarkEnd w:id="66"/>
      <w:bookmarkEnd w:id="67"/>
      <w:bookmarkEnd w:id="68"/>
    </w:p>
    <w:bookmarkEnd w:id="51"/>
    <w:p w14:paraId="4C119249">
      <w:pPr>
        <w:rPr>
          <w:rFonts w:ascii="仿宋" w:hAnsi="仿宋" w:eastAsia="仿宋"/>
          <w:color w:val="auto"/>
        </w:rPr>
      </w:pPr>
      <w:bookmarkStart w:id="69" w:name="_Toc29357077"/>
      <w:bookmarkStart w:id="70" w:name="_Toc364392642"/>
    </w:p>
    <w:p w14:paraId="41219F07">
      <w:pPr>
        <w:pStyle w:val="3"/>
        <w:spacing w:before="0" w:after="0" w:line="520" w:lineRule="exact"/>
        <w:jc w:val="center"/>
        <w:rPr>
          <w:rFonts w:cs="仿宋" w:asciiTheme="minorEastAsia" w:hAnsiTheme="minorEastAsia" w:eastAsiaTheme="minorEastAsia"/>
          <w:bCs w:val="0"/>
          <w:color w:val="auto"/>
          <w:kern w:val="0"/>
        </w:rPr>
      </w:pPr>
      <w:bookmarkStart w:id="71" w:name="_Toc30845"/>
      <w:bookmarkStart w:id="72" w:name="_Toc59034538"/>
      <w:r>
        <w:rPr>
          <w:rFonts w:hint="eastAsia" w:cs="仿宋" w:asciiTheme="minorEastAsia" w:hAnsiTheme="minorEastAsia" w:eastAsiaTheme="minorEastAsia"/>
          <w:bCs w:val="0"/>
          <w:color w:val="auto"/>
          <w:kern w:val="0"/>
        </w:rPr>
        <w:t>合同主要条款</w:t>
      </w:r>
    </w:p>
    <w:p w14:paraId="6B3ED2C3">
      <w:pPr>
        <w:keepNext w:val="0"/>
        <w:keepLines w:val="0"/>
        <w:pageBreakBefore w:val="0"/>
        <w:kinsoku/>
        <w:wordWrap/>
        <w:overflowPunct/>
        <w:topLinePunct w:val="0"/>
        <w:autoSpaceDE/>
        <w:autoSpaceDN/>
        <w:bidi w:val="0"/>
        <w:adjustRightInd/>
        <w:snapToGrid/>
        <w:spacing w:beforeAutospacing="0" w:after="0" w:afterAutospacing="0" w:line="420" w:lineRule="exact"/>
        <w:jc w:val="left"/>
        <w:textAlignment w:val="auto"/>
        <w:rPr>
          <w:rFonts w:hint="eastAsia" w:asciiTheme="minorEastAsia" w:hAnsiTheme="minorEastAsia" w:eastAsiaTheme="minorEastAsia"/>
          <w:b/>
          <w:bCs/>
          <w:color w:val="auto"/>
          <w:sz w:val="30"/>
          <w:szCs w:val="30"/>
          <w:highlight w:val="none"/>
        </w:rPr>
      </w:pPr>
      <w:r>
        <w:rPr>
          <w:rFonts w:hint="eastAsia" w:cs="仿宋" w:asciiTheme="minorEastAsia" w:hAnsiTheme="minorEastAsia"/>
          <w:color w:val="auto"/>
          <w:sz w:val="24"/>
        </w:rPr>
        <w:t>（</w:t>
      </w:r>
      <w:r>
        <w:rPr>
          <w:rFonts w:hint="eastAsia" w:cs="仿宋" w:asciiTheme="minorEastAsia" w:hAnsiTheme="minorEastAsia"/>
          <w:color w:val="auto"/>
          <w:sz w:val="24"/>
          <w:lang w:eastAsia="zh-CN"/>
        </w:rPr>
        <w:t>磋商文件</w:t>
      </w:r>
      <w:r>
        <w:rPr>
          <w:rFonts w:hint="eastAsia" w:cs="仿宋" w:asciiTheme="minorEastAsia" w:hAnsiTheme="minorEastAsia"/>
          <w:color w:val="auto"/>
          <w:sz w:val="24"/>
        </w:rPr>
        <w:t>内本章合同条款及格式仅作为参考，本章节中未明确内容将在合同谈判中明确，招标人保留最终修订合同的权利，最终本合同以实际签订为准）</w:t>
      </w:r>
    </w:p>
    <w:p w14:paraId="78ABD8FC">
      <w:pPr>
        <w:keepNext w:val="0"/>
        <w:keepLines w:val="0"/>
        <w:pageBreakBefore w:val="0"/>
        <w:kinsoku/>
        <w:wordWrap/>
        <w:overflowPunct/>
        <w:topLinePunct w:val="0"/>
        <w:autoSpaceDE/>
        <w:autoSpaceDN/>
        <w:bidi w:val="0"/>
        <w:adjustRightInd/>
        <w:snapToGrid/>
        <w:spacing w:beforeAutospacing="0" w:after="0" w:afterAutospacing="0" w:line="420" w:lineRule="exact"/>
        <w:jc w:val="left"/>
        <w:textAlignment w:val="auto"/>
        <w:rPr>
          <w:rFonts w:hint="eastAsia" w:asciiTheme="minorEastAsia" w:hAnsiTheme="minorEastAsia" w:eastAsiaTheme="minorEastAsia"/>
          <w:b/>
          <w:bCs/>
          <w:color w:val="auto"/>
          <w:sz w:val="30"/>
          <w:szCs w:val="30"/>
          <w:highlight w:val="none"/>
        </w:rPr>
      </w:pPr>
    </w:p>
    <w:p w14:paraId="798DF093">
      <w:pPr>
        <w:wordWrap/>
        <w:topLinePunct w:val="0"/>
        <w:ind w:firstLine="0" w:firstLineChars="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GF-2020-0216</w:t>
      </w:r>
    </w:p>
    <w:p w14:paraId="5457AA8D">
      <w:pPr>
        <w:keepNext w:val="0"/>
        <w:keepLines w:val="0"/>
        <w:pageBreakBefore w:val="0"/>
        <w:kinsoku/>
        <w:wordWrap/>
        <w:overflowPunct/>
        <w:topLinePunct w:val="0"/>
        <w:autoSpaceDE/>
        <w:autoSpaceDN/>
        <w:bidi w:val="0"/>
        <w:adjustRightInd/>
        <w:snapToGrid/>
        <w:spacing w:beforeAutospacing="0" w:after="0" w:afterAutospacing="0" w:line="420" w:lineRule="exact"/>
        <w:jc w:val="center"/>
        <w:textAlignment w:val="auto"/>
        <w:rPr>
          <w:rFonts w:asciiTheme="minorEastAsia" w:hAnsiTheme="minorEastAsia" w:eastAsiaTheme="minorEastAsia"/>
          <w:b/>
          <w:bCs/>
          <w:color w:val="auto"/>
          <w:sz w:val="48"/>
          <w:highlight w:val="none"/>
        </w:rPr>
      </w:pPr>
    </w:p>
    <w:p w14:paraId="30423C8D">
      <w:pPr>
        <w:keepNext w:val="0"/>
        <w:keepLines w:val="0"/>
        <w:pageBreakBefore w:val="0"/>
        <w:kinsoku/>
        <w:wordWrap/>
        <w:overflowPunct/>
        <w:topLinePunct w:val="0"/>
        <w:autoSpaceDE/>
        <w:autoSpaceDN/>
        <w:bidi w:val="0"/>
        <w:adjustRightInd/>
        <w:snapToGrid/>
        <w:spacing w:beforeAutospacing="0" w:after="0" w:afterAutospacing="0" w:line="560" w:lineRule="exact"/>
        <w:jc w:val="center"/>
        <w:textAlignment w:val="auto"/>
        <w:rPr>
          <w:rFonts w:asciiTheme="minorEastAsia" w:hAnsiTheme="minorEastAsia" w:eastAsiaTheme="minorEastAsia"/>
          <w:b/>
          <w:bCs/>
          <w:color w:val="auto"/>
          <w:sz w:val="48"/>
          <w:highlight w:val="none"/>
        </w:rPr>
      </w:pPr>
    </w:p>
    <w:p w14:paraId="34F4FA56">
      <w:pPr>
        <w:keepNext w:val="0"/>
        <w:keepLines w:val="0"/>
        <w:pageBreakBefore w:val="0"/>
        <w:kinsoku/>
        <w:wordWrap/>
        <w:overflowPunct/>
        <w:topLinePunct w:val="0"/>
        <w:autoSpaceDE/>
        <w:autoSpaceDN/>
        <w:bidi w:val="0"/>
        <w:adjustRightInd/>
        <w:snapToGrid/>
        <w:spacing w:beforeAutospacing="0" w:after="0" w:afterAutospacing="0" w:line="560" w:lineRule="exact"/>
        <w:jc w:val="center"/>
        <w:textAlignment w:val="auto"/>
        <w:rPr>
          <w:rFonts w:asciiTheme="minorEastAsia" w:hAnsiTheme="minorEastAsia" w:eastAsiaTheme="minorEastAsia"/>
          <w:b/>
          <w:bCs/>
          <w:color w:val="auto"/>
          <w:sz w:val="48"/>
          <w:highlight w:val="none"/>
        </w:rPr>
      </w:pPr>
    </w:p>
    <w:p w14:paraId="1FE5725F">
      <w:pPr>
        <w:pStyle w:val="207"/>
        <w:rPr>
          <w:rFonts w:hint="eastAsia" w:ascii="方正小标宋简体" w:hAnsi="方正小标宋简体" w:eastAsia="方正小标宋简体" w:cs="方正小标宋简体"/>
          <w:b w:val="0"/>
          <w:bCs/>
          <w:color w:val="auto"/>
          <w:sz w:val="52"/>
          <w:szCs w:val="52"/>
        </w:rPr>
      </w:pPr>
      <w:r>
        <w:rPr>
          <w:rFonts w:hint="eastAsia" w:ascii="方正小标宋简体" w:hAnsi="方正小标宋简体" w:eastAsia="方正小标宋简体" w:cs="方正小标宋简体"/>
          <w:b w:val="0"/>
          <w:bCs/>
          <w:color w:val="auto"/>
          <w:sz w:val="52"/>
          <w:szCs w:val="52"/>
        </w:rPr>
        <w:t>建设项目工程总承包合同</w:t>
      </w:r>
    </w:p>
    <w:p w14:paraId="6F6A688F">
      <w:pPr>
        <w:pStyle w:val="207"/>
        <w:rPr>
          <w:rFonts w:ascii="华文中宋" w:hAnsi="华文中宋" w:eastAsia="华文中宋"/>
          <w:b w:val="0"/>
          <w:bCs/>
          <w:color w:val="auto"/>
          <w:sz w:val="52"/>
          <w:szCs w:val="52"/>
        </w:rPr>
      </w:pPr>
      <w:r>
        <w:rPr>
          <w:rFonts w:hint="eastAsia" w:ascii="方正小标宋简体" w:hAnsi="方正小标宋简体" w:eastAsia="方正小标宋简体" w:cs="方正小标宋简体"/>
          <w:b w:val="0"/>
          <w:bCs/>
          <w:color w:val="auto"/>
          <w:sz w:val="52"/>
          <w:szCs w:val="52"/>
        </w:rPr>
        <w:t>（示范文本）</w:t>
      </w:r>
    </w:p>
    <w:p w14:paraId="634767B0">
      <w:pPr>
        <w:keepNext w:val="0"/>
        <w:keepLines w:val="0"/>
        <w:pageBreakBefore w:val="0"/>
        <w:kinsoku/>
        <w:wordWrap/>
        <w:overflowPunct/>
        <w:topLinePunct w:val="0"/>
        <w:autoSpaceDE/>
        <w:autoSpaceDN/>
        <w:bidi w:val="0"/>
        <w:adjustRightInd/>
        <w:snapToGrid/>
        <w:spacing w:beforeAutospacing="0" w:after="0" w:afterAutospacing="0" w:line="560" w:lineRule="exact"/>
        <w:jc w:val="center"/>
        <w:textAlignment w:val="auto"/>
        <w:rPr>
          <w:rFonts w:asciiTheme="minorEastAsia" w:hAnsiTheme="minorEastAsia" w:eastAsiaTheme="minorEastAsia"/>
          <w:b/>
          <w:bCs/>
          <w:color w:val="auto"/>
          <w:sz w:val="44"/>
          <w:szCs w:val="44"/>
          <w:highlight w:val="none"/>
        </w:rPr>
      </w:pPr>
    </w:p>
    <w:p w14:paraId="06FADC1D">
      <w:pPr>
        <w:keepNext w:val="0"/>
        <w:keepLines w:val="0"/>
        <w:pageBreakBefore w:val="0"/>
        <w:kinsoku/>
        <w:wordWrap/>
        <w:overflowPunct/>
        <w:topLinePunct w:val="0"/>
        <w:autoSpaceDE/>
        <w:autoSpaceDN/>
        <w:bidi w:val="0"/>
        <w:adjustRightInd/>
        <w:snapToGrid/>
        <w:spacing w:beforeAutospacing="0" w:after="0" w:afterAutospacing="0" w:line="560" w:lineRule="exact"/>
        <w:jc w:val="center"/>
        <w:textAlignment w:val="auto"/>
        <w:rPr>
          <w:rFonts w:asciiTheme="minorEastAsia" w:hAnsiTheme="minorEastAsia" w:eastAsiaTheme="minorEastAsia"/>
          <w:b/>
          <w:bCs/>
          <w:color w:val="auto"/>
          <w:sz w:val="44"/>
          <w:szCs w:val="44"/>
          <w:highlight w:val="none"/>
        </w:rPr>
      </w:pPr>
    </w:p>
    <w:p w14:paraId="777B5755">
      <w:pPr>
        <w:keepNext w:val="0"/>
        <w:keepLines w:val="0"/>
        <w:pageBreakBefore w:val="0"/>
        <w:kinsoku/>
        <w:wordWrap/>
        <w:overflowPunct/>
        <w:topLinePunct w:val="0"/>
        <w:autoSpaceDE/>
        <w:autoSpaceDN/>
        <w:bidi w:val="0"/>
        <w:adjustRightInd/>
        <w:snapToGrid/>
        <w:spacing w:beforeAutospacing="0" w:after="0" w:afterAutospacing="0" w:line="560" w:lineRule="exact"/>
        <w:jc w:val="center"/>
        <w:textAlignment w:val="auto"/>
        <w:rPr>
          <w:rFonts w:asciiTheme="minorEastAsia" w:hAnsiTheme="minorEastAsia" w:eastAsiaTheme="minorEastAsia"/>
          <w:b/>
          <w:bCs/>
          <w:color w:val="auto"/>
          <w:sz w:val="44"/>
          <w:szCs w:val="44"/>
          <w:highlight w:val="none"/>
        </w:rPr>
      </w:pPr>
    </w:p>
    <w:p w14:paraId="6ECCB31D">
      <w:pPr>
        <w:keepNext w:val="0"/>
        <w:keepLines w:val="0"/>
        <w:pageBreakBefore w:val="0"/>
        <w:kinsoku/>
        <w:wordWrap/>
        <w:overflowPunct/>
        <w:topLinePunct w:val="0"/>
        <w:autoSpaceDE/>
        <w:autoSpaceDN/>
        <w:bidi w:val="0"/>
        <w:adjustRightInd/>
        <w:snapToGrid/>
        <w:spacing w:beforeAutospacing="0" w:after="0" w:afterAutospacing="0" w:line="560" w:lineRule="exact"/>
        <w:jc w:val="center"/>
        <w:textAlignment w:val="auto"/>
        <w:rPr>
          <w:rFonts w:asciiTheme="minorEastAsia" w:hAnsiTheme="minorEastAsia" w:eastAsiaTheme="minorEastAsia"/>
          <w:b/>
          <w:bCs/>
          <w:color w:val="auto"/>
          <w:sz w:val="44"/>
          <w:szCs w:val="44"/>
          <w:highlight w:val="none"/>
        </w:rPr>
      </w:pPr>
    </w:p>
    <w:p w14:paraId="359086B6">
      <w:pPr>
        <w:keepNext w:val="0"/>
        <w:keepLines w:val="0"/>
        <w:pageBreakBefore w:val="0"/>
        <w:kinsoku/>
        <w:wordWrap/>
        <w:overflowPunct/>
        <w:topLinePunct w:val="0"/>
        <w:autoSpaceDE/>
        <w:autoSpaceDN/>
        <w:bidi w:val="0"/>
        <w:adjustRightInd/>
        <w:snapToGrid/>
        <w:spacing w:beforeAutospacing="0" w:after="0" w:afterAutospacing="0" w:line="560" w:lineRule="exact"/>
        <w:jc w:val="center"/>
        <w:textAlignment w:val="auto"/>
        <w:rPr>
          <w:rFonts w:asciiTheme="minorEastAsia" w:hAnsiTheme="minorEastAsia" w:eastAsiaTheme="minorEastAsia"/>
          <w:b/>
          <w:bCs/>
          <w:color w:val="auto"/>
          <w:sz w:val="44"/>
          <w:szCs w:val="44"/>
          <w:highlight w:val="none"/>
        </w:rPr>
      </w:pPr>
    </w:p>
    <w:p w14:paraId="10312897">
      <w:pPr>
        <w:keepNext w:val="0"/>
        <w:keepLines w:val="0"/>
        <w:pageBreakBefore w:val="0"/>
        <w:kinsoku/>
        <w:wordWrap/>
        <w:overflowPunct/>
        <w:topLinePunct w:val="0"/>
        <w:autoSpaceDE/>
        <w:autoSpaceDN/>
        <w:bidi w:val="0"/>
        <w:adjustRightInd/>
        <w:snapToGrid/>
        <w:spacing w:beforeAutospacing="0" w:after="0" w:afterAutospacing="0" w:line="560" w:lineRule="exact"/>
        <w:jc w:val="center"/>
        <w:textAlignment w:val="auto"/>
        <w:rPr>
          <w:rFonts w:asciiTheme="minorEastAsia" w:hAnsiTheme="minorEastAsia" w:eastAsiaTheme="minorEastAsia"/>
          <w:b/>
          <w:bCs/>
          <w:color w:val="auto"/>
          <w:sz w:val="44"/>
          <w:szCs w:val="44"/>
          <w:highlight w:val="none"/>
        </w:rPr>
      </w:pPr>
    </w:p>
    <w:p w14:paraId="3345AEF4">
      <w:pPr>
        <w:keepNext w:val="0"/>
        <w:keepLines w:val="0"/>
        <w:pageBreakBefore w:val="0"/>
        <w:kinsoku/>
        <w:wordWrap/>
        <w:overflowPunct/>
        <w:topLinePunct w:val="0"/>
        <w:autoSpaceDE/>
        <w:autoSpaceDN/>
        <w:bidi w:val="0"/>
        <w:adjustRightInd/>
        <w:snapToGrid/>
        <w:spacing w:beforeAutospacing="0" w:after="0" w:afterAutospacing="0" w:line="560" w:lineRule="exact"/>
        <w:jc w:val="center"/>
        <w:textAlignment w:val="auto"/>
        <w:rPr>
          <w:rFonts w:asciiTheme="minorEastAsia" w:hAnsiTheme="minorEastAsia" w:eastAsiaTheme="minorEastAsia"/>
          <w:b/>
          <w:bCs/>
          <w:color w:val="auto"/>
          <w:sz w:val="44"/>
          <w:szCs w:val="44"/>
          <w:highlight w:val="none"/>
        </w:rPr>
      </w:pPr>
    </w:p>
    <w:p w14:paraId="28543692">
      <w:pPr>
        <w:keepNext w:val="0"/>
        <w:keepLines w:val="0"/>
        <w:pageBreakBefore w:val="0"/>
        <w:kinsoku/>
        <w:wordWrap/>
        <w:overflowPunct/>
        <w:topLinePunct w:val="0"/>
        <w:autoSpaceDE/>
        <w:autoSpaceDN/>
        <w:bidi w:val="0"/>
        <w:adjustRightInd/>
        <w:snapToGrid/>
        <w:spacing w:beforeAutospacing="0" w:after="0" w:afterAutospacing="0" w:line="560" w:lineRule="exact"/>
        <w:jc w:val="center"/>
        <w:textAlignment w:val="auto"/>
        <w:rPr>
          <w:rFonts w:asciiTheme="minorEastAsia" w:hAnsiTheme="minorEastAsia" w:eastAsiaTheme="minorEastAsia"/>
          <w:b/>
          <w:bCs/>
          <w:color w:val="auto"/>
          <w:sz w:val="44"/>
          <w:szCs w:val="44"/>
          <w:highlight w:val="none"/>
        </w:rPr>
      </w:pPr>
    </w:p>
    <w:p w14:paraId="2146F709">
      <w:pPr>
        <w:wordWrap/>
        <w:topLinePunct w:val="0"/>
        <w:ind w:right="2182" w:rightChars="1039" w:firstLine="0" w:firstLineChars="0"/>
        <w:jc w:val="distribute"/>
        <w:rPr>
          <w:b/>
          <w:bCs/>
          <w:color w:val="auto"/>
          <w:sz w:val="32"/>
          <w:szCs w:val="32"/>
        </w:rPr>
      </w:pPr>
      <w:r>
        <w:rPr>
          <w:b/>
          <w:bCs/>
          <w:color w:val="auto"/>
          <w:sz w:val="32"/>
          <w:szCs w:val="32"/>
        </w:rPr>
        <w:pict>
          <v:shape id="_x0000_s1031" o:spid="_x0000_s1031" o:spt="202" type="#_x0000_t202" style="position:absolute;left:0pt;margin-left:381.05pt;margin-top:11.85pt;height:139.55pt;width:59.4pt;z-index:251662336;mso-width-relative:page;mso-height-relative:margin;mso-height-percent:200;" fillcolor="#FFFFFF" filled="t" stroked="f" coordsize="21600,21600">
            <v:path/>
            <v:fill on="t" focussize="0,0"/>
            <v:stroke on="f"/>
            <v:imagedata o:title=""/>
            <o:lock v:ext="edit" aspectratio="f"/>
            <v:textbox style="mso-fit-shape-to-text:t;">
              <w:txbxContent>
                <w:p w14:paraId="1CD1FAE4">
                  <w:pPr>
                    <w:wordWrap/>
                    <w:topLinePunct w:val="0"/>
                    <w:spacing w:after="0" w:afterLines="0" w:line="240" w:lineRule="auto"/>
                    <w:ind w:firstLine="0" w:firstLineChars="0"/>
                    <w:jc w:val="center"/>
                    <w:rPr>
                      <w:b/>
                      <w:bCs/>
                      <w:sz w:val="32"/>
                      <w:szCs w:val="32"/>
                    </w:rPr>
                  </w:pPr>
                  <w:r>
                    <w:rPr>
                      <w:rFonts w:hint="eastAsia"/>
                      <w:b/>
                      <w:bCs/>
                      <w:sz w:val="32"/>
                      <w:szCs w:val="32"/>
                    </w:rPr>
                    <w:t>制定</w:t>
                  </w:r>
                </w:p>
              </w:txbxContent>
            </v:textbox>
          </v:shape>
        </w:pict>
      </w:r>
      <w:r>
        <w:rPr>
          <w:rFonts w:hint="eastAsia"/>
          <w:b/>
          <w:color w:val="auto"/>
          <w:sz w:val="32"/>
          <w:szCs w:val="28"/>
        </w:rPr>
        <w:t xml:space="preserve"> </w:t>
      </w:r>
      <w:r>
        <w:rPr>
          <w:rFonts w:hint="eastAsia"/>
          <w:b/>
          <w:bCs/>
          <w:color w:val="auto"/>
          <w:sz w:val="32"/>
          <w:szCs w:val="32"/>
        </w:rPr>
        <w:t>中华人民共和国</w:t>
      </w:r>
      <w:r>
        <w:rPr>
          <w:b/>
          <w:bCs/>
          <w:color w:val="auto"/>
          <w:sz w:val="32"/>
          <w:szCs w:val="32"/>
        </w:rPr>
        <w:t>住房</w:t>
      </w:r>
      <w:r>
        <w:rPr>
          <w:rFonts w:hint="eastAsia"/>
          <w:b/>
          <w:bCs/>
          <w:color w:val="auto"/>
          <w:sz w:val="32"/>
          <w:szCs w:val="32"/>
        </w:rPr>
        <w:t>和</w:t>
      </w:r>
      <w:r>
        <w:rPr>
          <w:b/>
          <w:bCs/>
          <w:color w:val="auto"/>
          <w:sz w:val="32"/>
          <w:szCs w:val="32"/>
        </w:rPr>
        <w:t>城乡建设部</w:t>
      </w:r>
    </w:p>
    <w:p w14:paraId="367EFFDA">
      <w:pPr>
        <w:wordWrap/>
        <w:topLinePunct w:val="0"/>
        <w:ind w:right="2182" w:rightChars="1039" w:firstLine="0" w:firstLineChars="0"/>
        <w:jc w:val="distribute"/>
        <w:rPr>
          <w:rFonts w:asciiTheme="minorEastAsia" w:hAnsiTheme="minorEastAsia" w:eastAsiaTheme="minorEastAsia"/>
          <w:b/>
          <w:color w:val="auto"/>
          <w:sz w:val="28"/>
          <w:szCs w:val="28"/>
          <w:highlight w:val="none"/>
        </w:rPr>
        <w:sectPr>
          <w:footerReference r:id="rId7" w:type="default"/>
          <w:pgSz w:w="11906" w:h="16838"/>
          <w:pgMar w:top="1247" w:right="1247" w:bottom="1247" w:left="1247" w:header="907" w:footer="964" w:gutter="0"/>
          <w:pgNumType w:fmt="decimal" w:start="1"/>
          <w:cols w:space="425" w:num="1"/>
          <w:docGrid w:type="lines" w:linePitch="312" w:charSpace="0"/>
        </w:sectPr>
      </w:pPr>
      <w:r>
        <w:rPr>
          <w:rFonts w:hint="eastAsia"/>
          <w:b/>
          <w:color w:val="auto"/>
          <w:sz w:val="32"/>
          <w:szCs w:val="28"/>
        </w:rPr>
        <w:t xml:space="preserve">     国家</w:t>
      </w:r>
      <w:r>
        <w:rPr>
          <w:rFonts w:hint="eastAsia"/>
          <w:b/>
          <w:bCs/>
          <w:color w:val="auto"/>
          <w:sz w:val="32"/>
          <w:szCs w:val="32"/>
        </w:rPr>
        <w:t>市场监</w:t>
      </w:r>
      <w:r>
        <w:rPr>
          <w:rFonts w:hint="eastAsia"/>
          <w:b/>
          <w:color w:val="auto"/>
          <w:sz w:val="32"/>
          <w:szCs w:val="28"/>
        </w:rPr>
        <w:t>督</w:t>
      </w:r>
      <w:r>
        <w:rPr>
          <w:rFonts w:hint="eastAsia"/>
          <w:b/>
          <w:bCs/>
          <w:color w:val="auto"/>
          <w:sz w:val="32"/>
          <w:szCs w:val="32"/>
        </w:rPr>
        <w:t>管理</w:t>
      </w:r>
      <w:r>
        <w:rPr>
          <w:rFonts w:hint="eastAsia"/>
          <w:b/>
          <w:bCs/>
          <w:color w:val="auto"/>
          <w:sz w:val="32"/>
          <w:szCs w:val="32"/>
          <w:lang w:eastAsia="zh-CN"/>
        </w:rPr>
        <w:t>总局</w:t>
      </w:r>
    </w:p>
    <w:p w14:paraId="175CD916">
      <w:pPr>
        <w:keepNext w:val="0"/>
        <w:keepLines w:val="0"/>
        <w:pageBreakBefore w:val="0"/>
        <w:kinsoku/>
        <w:wordWrap/>
        <w:overflowPunct/>
        <w:topLinePunct w:val="0"/>
        <w:autoSpaceDE/>
        <w:autoSpaceDN/>
        <w:bidi w:val="0"/>
        <w:adjustRightInd/>
        <w:snapToGrid/>
        <w:spacing w:beforeAutospacing="0" w:after="0" w:afterAutospacing="0" w:line="420" w:lineRule="exact"/>
        <w:jc w:val="center"/>
        <w:textAlignment w:val="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说  明</w:t>
      </w:r>
    </w:p>
    <w:p w14:paraId="3B03A3AA">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bookmarkStart w:id="73" w:name="_Toc54862164"/>
      <w:r>
        <w:rPr>
          <w:rFonts w:hint="eastAsia" w:ascii="宋体" w:hAnsi="宋体" w:eastAsia="宋体" w:cs="宋体"/>
          <w:color w:val="auto"/>
          <w:sz w:val="21"/>
          <w:szCs w:val="21"/>
        </w:rPr>
        <w:t>为指导建设项目工程总承包合同当事人的签约行为，维护合同当事人的合法权益，依据《中华人民共和国民法典》、《中华人民共和国建筑法》、《中华人民共和国招标投标法》以及相关法律、法规，住房和城乡建设部、市场监管总局对《建设项目工程总承包合同示范文本（试行）》（GF-2011-0216）进行了修订，制定了《建设项目工程总承包合同（示范文本）》（GF-2020-0216）（以下简称《示范文本》）。现就有关问题说明如下：</w:t>
      </w:r>
    </w:p>
    <w:p w14:paraId="19484D5A">
      <w:pPr>
        <w:pStyle w:val="208"/>
        <w:keepNext w:val="0"/>
        <w:keepLines w:val="0"/>
        <w:pageBreakBefore w:val="0"/>
        <w:numPr>
          <w:ilvl w:val="0"/>
          <w:numId w:val="0"/>
        </w:numPr>
        <w:kinsoku/>
        <w:wordWrap/>
        <w:overflowPunct/>
        <w:topLinePunct w:val="0"/>
        <w:autoSpaceDE/>
        <w:autoSpaceDN/>
        <w:bidi w:val="0"/>
        <w:spacing w:after="0" w:afterLines="0" w:line="440" w:lineRule="exact"/>
        <w:ind w:firstLine="420" w:firstLineChars="200"/>
        <w:textAlignment w:val="auto"/>
        <w:rPr>
          <w:rFonts w:hint="eastAsia" w:ascii="宋体" w:hAnsi="宋体" w:eastAsia="宋体" w:cs="宋体"/>
          <w:b w:val="0"/>
          <w:bCs/>
          <w:color w:val="auto"/>
          <w:sz w:val="21"/>
          <w:szCs w:val="21"/>
        </w:rPr>
      </w:pPr>
      <w:bookmarkStart w:id="74" w:name="_Toc521079598"/>
      <w:r>
        <w:rPr>
          <w:rFonts w:hint="eastAsia" w:ascii="宋体" w:hAnsi="宋体" w:eastAsia="宋体" w:cs="宋体"/>
          <w:b w:val="0"/>
          <w:bCs/>
          <w:color w:val="auto"/>
          <w:sz w:val="21"/>
          <w:szCs w:val="21"/>
        </w:rPr>
        <w:t>一、《示范文本》的组成</w:t>
      </w:r>
      <w:bookmarkEnd w:id="74"/>
    </w:p>
    <w:p w14:paraId="52A475E3">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《示范文本》由合同协议书、通用合同条件和专用合同条件三部分组成。</w:t>
      </w:r>
    </w:p>
    <w:p w14:paraId="1138715E">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bookmarkStart w:id="75" w:name="_Toc521079599"/>
      <w:r>
        <w:rPr>
          <w:rFonts w:hint="eastAsia" w:ascii="宋体" w:hAnsi="宋体" w:eastAsia="宋体" w:cs="宋体"/>
          <w:color w:val="auto"/>
          <w:sz w:val="21"/>
          <w:szCs w:val="21"/>
        </w:rPr>
        <w:t>（一）合同协议书</w:t>
      </w:r>
      <w:bookmarkEnd w:id="75"/>
    </w:p>
    <w:p w14:paraId="2C859A67">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示范文本》合同协议书共计11条，主要包括：工程概况、合同工期、质量标准、签约合同价与合同价格形式、工程总承包项目经理、合同文件构成、承诺、订立时间、订立地点、合同生效和合同份数，集中约定了合同当事人基本的合同权利义务。</w:t>
      </w:r>
    </w:p>
    <w:p w14:paraId="52F0A4EC">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bookmarkStart w:id="76" w:name="_Toc521079600"/>
      <w:r>
        <w:rPr>
          <w:rFonts w:hint="eastAsia" w:ascii="宋体" w:hAnsi="宋体" w:eastAsia="宋体" w:cs="宋体"/>
          <w:color w:val="auto"/>
          <w:sz w:val="21"/>
          <w:szCs w:val="21"/>
        </w:rPr>
        <w:t>（二）通用合同条件</w:t>
      </w:r>
      <w:bookmarkEnd w:id="76"/>
    </w:p>
    <w:p w14:paraId="22FBB7B3">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通用合同条件是合同当事人根据《中华人民共和国民法典》、《中华人民共和国建筑法》等法律法规的规定，就工程总承包项目的实施及相关事项，对合同当事人的权利义务作出的原则性约定。通用合同条件共计20条，具体条款分别为：</w:t>
      </w:r>
      <w:bookmarkStart w:id="77" w:name="_Hlk54448922"/>
      <w:r>
        <w:rPr>
          <w:rFonts w:hint="eastAsia" w:ascii="宋体" w:hAnsi="宋体" w:eastAsia="宋体" w:cs="宋体"/>
          <w:color w:val="auto"/>
          <w:sz w:val="21"/>
          <w:szCs w:val="21"/>
        </w:rPr>
        <w:t>第1条 一般约定，第2条 发包人，第3条 发包人的管理，第4条 承包人，第5条 设计，第6条 材料、工程设备，第7条 施工，第8条 工期和进度，第9条 竣工试验，第10条 验收和工程接收，第11条 缺陷责任与保修，第12条 竣工后试验，第13条 变更与调整，第14条 合同价格与支付，第15条 违约，第16条 合同解除，第17条 不可抗力，第18条 保险，第19条 索赔，第20条 争议解决。</w:t>
      </w:r>
      <w:bookmarkEnd w:id="77"/>
      <w:r>
        <w:rPr>
          <w:rFonts w:hint="eastAsia" w:ascii="宋体" w:hAnsi="宋体" w:eastAsia="宋体" w:cs="宋体"/>
          <w:color w:val="auto"/>
          <w:sz w:val="21"/>
          <w:szCs w:val="21"/>
        </w:rPr>
        <w:t>前述条款安排既考虑了现行法律法规对工程总承包活动的有关要求，也考虑了工程总承包项目管理的实际需要。</w:t>
      </w:r>
    </w:p>
    <w:p w14:paraId="76E81E31">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bookmarkStart w:id="78" w:name="_Toc521079601"/>
      <w:r>
        <w:rPr>
          <w:rFonts w:hint="eastAsia" w:ascii="宋体" w:hAnsi="宋体" w:eastAsia="宋体" w:cs="宋体"/>
          <w:color w:val="auto"/>
          <w:sz w:val="21"/>
          <w:szCs w:val="21"/>
        </w:rPr>
        <w:t>（三）专用合同条件</w:t>
      </w:r>
      <w:bookmarkEnd w:id="78"/>
    </w:p>
    <w:p w14:paraId="3E1D0EFB">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专用合同条件是合同当事人根据不同建设项目的特点及具体情况，通过双方的谈判、协商对通用合同条件原则性约定细化、完善、补充、修改或另行约定的合同条件。在编写专用合同条件时，应注意以下事项：</w:t>
      </w:r>
    </w:p>
    <w:p w14:paraId="0F294676">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1.专用合同条件的编号应与相应的通用合同条件的编号一致；</w:t>
      </w:r>
    </w:p>
    <w:p w14:paraId="6B94F661">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2.在专用合同条件中有横道线的地方，合同当事人可针对相应的通用合同条件进行细化、完善、补充、修改或另行约定；如无细化、完善、补充、修改或另行约定，则填写“无”或划“/”；</w:t>
      </w:r>
    </w:p>
    <w:p w14:paraId="411ACFD9">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3.对于在专用合同条件中未列出的通用合同条件中的条款，合同当事人根据建设项目的具体情况认为需要进行细化、完善、补充、修改或另行约定的，可在专用合同条件中，以同一条款号增加相关条款的内容。</w:t>
      </w:r>
    </w:p>
    <w:p w14:paraId="28805784">
      <w:pPr>
        <w:pStyle w:val="208"/>
        <w:keepNext w:val="0"/>
        <w:keepLines w:val="0"/>
        <w:pageBreakBefore w:val="0"/>
        <w:numPr>
          <w:ilvl w:val="0"/>
          <w:numId w:val="0"/>
        </w:numPr>
        <w:kinsoku/>
        <w:wordWrap/>
        <w:overflowPunct/>
        <w:topLinePunct w:val="0"/>
        <w:autoSpaceDE/>
        <w:autoSpaceDN/>
        <w:bidi w:val="0"/>
        <w:spacing w:after="0" w:afterLines="0" w:line="440" w:lineRule="exact"/>
        <w:ind w:firstLine="420" w:firstLineChars="200"/>
        <w:textAlignment w:val="auto"/>
        <w:rPr>
          <w:rFonts w:hint="eastAsia" w:ascii="宋体" w:hAnsi="宋体" w:eastAsia="宋体" w:cs="宋体"/>
          <w:b w:val="0"/>
          <w:bCs/>
          <w:color w:val="auto"/>
          <w:sz w:val="21"/>
          <w:szCs w:val="21"/>
        </w:rPr>
      </w:pPr>
      <w:bookmarkStart w:id="79" w:name="_Toc521079602"/>
      <w:r>
        <w:rPr>
          <w:rFonts w:hint="eastAsia" w:ascii="宋体" w:hAnsi="宋体" w:eastAsia="宋体" w:cs="宋体"/>
          <w:b w:val="0"/>
          <w:bCs/>
          <w:color w:val="auto"/>
          <w:sz w:val="21"/>
          <w:szCs w:val="21"/>
        </w:rPr>
        <w:t>二、《示范文本》的适用范围</w:t>
      </w:r>
      <w:bookmarkEnd w:id="79"/>
    </w:p>
    <w:p w14:paraId="2BAB528A">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《示范文本》适用于房屋建筑和市政基础设施项目工程总承包承发包活动。</w:t>
      </w:r>
    </w:p>
    <w:p w14:paraId="01D44209">
      <w:pPr>
        <w:pStyle w:val="208"/>
        <w:keepNext w:val="0"/>
        <w:keepLines w:val="0"/>
        <w:pageBreakBefore w:val="0"/>
        <w:numPr>
          <w:ilvl w:val="0"/>
          <w:numId w:val="0"/>
        </w:numPr>
        <w:kinsoku/>
        <w:wordWrap/>
        <w:overflowPunct/>
        <w:topLinePunct w:val="0"/>
        <w:autoSpaceDE/>
        <w:autoSpaceDN/>
        <w:bidi w:val="0"/>
        <w:spacing w:after="0" w:afterLines="0" w:line="440" w:lineRule="exact"/>
        <w:ind w:firstLine="420" w:firstLineChars="200"/>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三、《示范文本》的性质</w:t>
      </w:r>
    </w:p>
    <w:p w14:paraId="7EFCE0D3">
      <w:pPr>
        <w:keepNext w:val="0"/>
        <w:keepLines w:val="0"/>
        <w:pageBreakBefore w:val="0"/>
        <w:kinsoku/>
        <w:wordWrap/>
        <w:overflowPunct/>
        <w:topLinePunct w:val="0"/>
        <w:autoSpaceDE/>
        <w:autoSpaceDN/>
        <w:bidi w:val="0"/>
        <w:spacing w:after="0" w:line="440" w:lineRule="exact"/>
        <w:ind w:firstLine="420" w:firstLineChars="200"/>
        <w:textAlignment w:val="auto"/>
        <w:rPr>
          <w:rFonts w:hint="eastAsia" w:ascii="宋体" w:hAnsi="宋体" w:eastAsia="宋体" w:cs="宋体"/>
          <w:color w:val="auto"/>
          <w:spacing w:val="-6"/>
          <w:sz w:val="21"/>
          <w:szCs w:val="21"/>
        </w:rPr>
        <w:sectPr>
          <w:footerReference r:id="rId9" w:type="first"/>
          <w:footerReference r:id="rId8" w:type="default"/>
          <w:pgSz w:w="11906" w:h="16838"/>
          <w:pgMar w:top="1247" w:right="1247" w:bottom="1247" w:left="1247" w:header="850" w:footer="998" w:gutter="0"/>
          <w:pgNumType w:fmt="decimal"/>
          <w:cols w:space="720" w:num="1"/>
          <w:titlePg/>
          <w:docGrid w:linePitch="326" w:charSpace="0"/>
        </w:sectPr>
      </w:pPr>
      <w:r>
        <w:rPr>
          <w:rFonts w:hint="eastAsia" w:ascii="宋体" w:hAnsi="宋体" w:eastAsia="宋体" w:cs="宋体"/>
          <w:color w:val="auto"/>
          <w:sz w:val="21"/>
          <w:szCs w:val="21"/>
        </w:rPr>
        <w:t>《示范文本》为推荐使用的非强制性使用文本。合同当事人可结合建设工程具体情况，</w:t>
      </w:r>
      <w:r>
        <w:rPr>
          <w:rFonts w:hint="eastAsia" w:ascii="宋体" w:hAnsi="宋体" w:eastAsia="宋体" w:cs="宋体"/>
          <w:color w:val="auto"/>
          <w:spacing w:val="-6"/>
          <w:sz w:val="21"/>
          <w:szCs w:val="21"/>
        </w:rPr>
        <w:t>参照《示范文本》订立合同，并按照法律法规和合同约定承担相应的法律责任及合同权利义务。</w:t>
      </w:r>
    </w:p>
    <w:p w14:paraId="4C3893CE">
      <w:pPr>
        <w:pStyle w:val="209"/>
        <w:keepNext w:val="0"/>
        <w:keepLines w:val="0"/>
        <w:pageBreakBefore w:val="0"/>
        <w:widowControl/>
        <w:wordWrap/>
        <w:overflowPunct/>
        <w:topLinePunct w:val="0"/>
        <w:bidi w:val="0"/>
        <w:adjustRightInd w:val="0"/>
        <w:snapToGrid w:val="0"/>
        <w:spacing w:before="0" w:after="0" w:line="44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第一部分 合同协议书</w:t>
      </w:r>
      <w:bookmarkEnd w:id="73"/>
    </w:p>
    <w:p w14:paraId="4D8D07F3">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发包人（全称）：</w:t>
      </w:r>
      <w:r>
        <w:rPr>
          <w:rFonts w:hint="eastAsia" w:ascii="宋体" w:hAnsi="宋体" w:eastAsia="宋体" w:cs="宋体"/>
          <w:color w:val="auto"/>
          <w:sz w:val="21"/>
          <w:szCs w:val="21"/>
          <w:u w:val="single"/>
        </w:rPr>
        <w:t xml:space="preserve">                                    </w:t>
      </w:r>
    </w:p>
    <w:p w14:paraId="3F7E8979">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4043952E">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根据《中华人民共和国民法典》、《中华人民共和国建筑法》及有关法律规定，遵循平等、自愿、公平和诚实信用的原则，双方就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项目的工程总承包及有关事项协商一致，共同达成如下协议：</w:t>
      </w:r>
      <w:bookmarkStart w:id="80" w:name="_Toc54862165"/>
    </w:p>
    <w:p w14:paraId="143C2402">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一、工程概况</w:t>
      </w:r>
      <w:bookmarkEnd w:id="80"/>
    </w:p>
    <w:p w14:paraId="3C9A21FD">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工程名称：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D5C41E7">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工程地点：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81791F0">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工程审批、核准或备案文号：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60F9152">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资金来源：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AE830FE">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工程内容及规模：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B91FB78">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工程承包范围：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bookmarkStart w:id="81" w:name="_Toc54862166"/>
    </w:p>
    <w:p w14:paraId="223C9B51">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二、合同工期</w:t>
      </w:r>
      <w:bookmarkEnd w:id="81"/>
    </w:p>
    <w:p w14:paraId="0D42C557">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计划开始工作日期：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6BF2C217">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计划开始现场施工日期：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1F7BFD9A">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计划竣工日期：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13D3ABE4">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工期总日历天数：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天，工期总日历天数与根据前述计划日期计算的工期天数不一致的，以工期总日历天数为准。</w:t>
      </w:r>
    </w:p>
    <w:p w14:paraId="1F08BF20">
      <w:pPr>
        <w:pStyle w:val="210"/>
        <w:keepNext w:val="0"/>
        <w:keepLines w:val="0"/>
        <w:pageBreakBefore w:val="0"/>
        <w:widowControl w:val="0"/>
        <w:numPr>
          <w:ilvl w:val="0"/>
          <w:numId w:val="0"/>
        </w:numPr>
        <w:wordWrap/>
        <w:overflowPunct/>
        <w:topLinePunct w:val="0"/>
        <w:autoSpaceDE/>
        <w:autoSpaceDN/>
        <w:bidi w:val="0"/>
        <w:adjustRightInd/>
        <w:snapToGrid/>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2" w:name="_Toc54862167"/>
      <w:r>
        <w:rPr>
          <w:rFonts w:hint="eastAsia" w:ascii="宋体" w:hAnsi="宋体" w:eastAsia="宋体" w:cs="宋体"/>
          <w:b w:val="0"/>
          <w:bCs/>
          <w:color w:val="auto"/>
          <w:sz w:val="21"/>
          <w:szCs w:val="21"/>
        </w:rPr>
        <w:t>三、质量标准</w:t>
      </w:r>
      <w:bookmarkEnd w:id="82"/>
    </w:p>
    <w:p w14:paraId="4FDD1358">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工程质量标准：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EEF66CE">
      <w:pPr>
        <w:pStyle w:val="210"/>
        <w:keepNext w:val="0"/>
        <w:keepLines w:val="0"/>
        <w:pageBreakBefore w:val="0"/>
        <w:widowControl w:val="0"/>
        <w:numPr>
          <w:ilvl w:val="0"/>
          <w:numId w:val="0"/>
        </w:numPr>
        <w:wordWrap/>
        <w:overflowPunct/>
        <w:topLinePunct w:val="0"/>
        <w:autoSpaceDE/>
        <w:autoSpaceDN/>
        <w:bidi w:val="0"/>
        <w:adjustRightInd/>
        <w:snapToGrid/>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3" w:name="_Toc54862168"/>
      <w:r>
        <w:rPr>
          <w:rFonts w:hint="eastAsia" w:ascii="宋体" w:hAnsi="宋体" w:eastAsia="宋体" w:cs="宋体"/>
          <w:b w:val="0"/>
          <w:bCs/>
          <w:color w:val="auto"/>
          <w:sz w:val="21"/>
          <w:szCs w:val="21"/>
        </w:rPr>
        <w:t>四、签约合同价与合同价格形式</w:t>
      </w:r>
      <w:bookmarkEnd w:id="83"/>
    </w:p>
    <w:p w14:paraId="0BFEDF93">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签约合同价（含税）为：</w:t>
      </w:r>
    </w:p>
    <w:p w14:paraId="1FA00377">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01362A42">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具体构成详见价格清单。其中： </w:t>
      </w:r>
    </w:p>
    <w:p w14:paraId="5F5AE750">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设计费（含税）：</w:t>
      </w:r>
    </w:p>
    <w:p w14:paraId="67392D61">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 </w:t>
      </w:r>
    </w:p>
    <w:p w14:paraId="1D3A3E5F">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设备购置费（含税）：</w:t>
      </w:r>
    </w:p>
    <w:p w14:paraId="3A034988">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 </w:t>
      </w:r>
    </w:p>
    <w:p w14:paraId="61FC8EC4">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建筑安装工程费（含税）：</w:t>
      </w:r>
    </w:p>
    <w:p w14:paraId="0BF7B0F0">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 </w:t>
      </w:r>
    </w:p>
    <w:p w14:paraId="42C7B993">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暂估价（含税）：</w:t>
      </w:r>
    </w:p>
    <w:p w14:paraId="103C57B0">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5DD30573">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暂列金额（含税）：</w:t>
      </w:r>
    </w:p>
    <w:p w14:paraId="432B08B4">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2D2F7856">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双方约定的其他费用（含税）：</w:t>
      </w:r>
    </w:p>
    <w:p w14:paraId="28EE6567">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元）；适用税率：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%，税金为人民币（大写)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15550A7C">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合同价格形式：</w:t>
      </w:r>
    </w:p>
    <w:p w14:paraId="7974559E">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合同价格形式为总价合同，除根据合同约定的在工程实施过程中需进行增减的款项外，合同价格不予调整，但合同当事人另有约定的除外。</w:t>
      </w:r>
    </w:p>
    <w:p w14:paraId="10E416BD">
      <w:pPr>
        <w:keepNext w:val="0"/>
        <w:keepLines w:val="0"/>
        <w:pageBreakBefore w:val="0"/>
        <w:widowControl w:val="0"/>
        <w:kinsoku w:val="0"/>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合同当事人对合同价格形式的其他约定：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2576E58">
      <w:pPr>
        <w:pStyle w:val="210"/>
        <w:keepNext w:val="0"/>
        <w:keepLines w:val="0"/>
        <w:pageBreakBefore w:val="0"/>
        <w:widowControl w:val="0"/>
        <w:numPr>
          <w:ilvl w:val="0"/>
          <w:numId w:val="0"/>
        </w:numPr>
        <w:wordWrap/>
        <w:overflowPunct/>
        <w:topLinePunct w:val="0"/>
        <w:autoSpaceDE/>
        <w:autoSpaceDN/>
        <w:bidi w:val="0"/>
        <w:adjustRightInd/>
        <w:snapToGrid/>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4" w:name="_Toc54862169"/>
      <w:r>
        <w:rPr>
          <w:rFonts w:hint="eastAsia" w:ascii="宋体" w:hAnsi="宋体" w:eastAsia="宋体" w:cs="宋体"/>
          <w:b w:val="0"/>
          <w:bCs/>
          <w:color w:val="auto"/>
          <w:sz w:val="21"/>
          <w:szCs w:val="21"/>
        </w:rPr>
        <w:t>五、工程总承包项目经理</w:t>
      </w:r>
      <w:bookmarkEnd w:id="84"/>
    </w:p>
    <w:p w14:paraId="06E4FC6A">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工程总承包项目经理：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D5AB2F">
      <w:pPr>
        <w:pStyle w:val="210"/>
        <w:keepNext w:val="0"/>
        <w:keepLines w:val="0"/>
        <w:pageBreakBefore w:val="0"/>
        <w:widowControl w:val="0"/>
        <w:numPr>
          <w:ilvl w:val="0"/>
          <w:numId w:val="0"/>
        </w:numPr>
        <w:wordWrap/>
        <w:overflowPunct/>
        <w:topLinePunct w:val="0"/>
        <w:autoSpaceDE/>
        <w:autoSpaceDN/>
        <w:bidi w:val="0"/>
        <w:adjustRightInd/>
        <w:snapToGrid/>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5" w:name="_Toc54862170"/>
      <w:r>
        <w:rPr>
          <w:rFonts w:hint="eastAsia" w:ascii="宋体" w:hAnsi="宋体" w:eastAsia="宋体" w:cs="宋体"/>
          <w:b w:val="0"/>
          <w:bCs/>
          <w:color w:val="auto"/>
          <w:sz w:val="21"/>
          <w:szCs w:val="21"/>
        </w:rPr>
        <w:t>六、合同文件构成</w:t>
      </w:r>
      <w:bookmarkEnd w:id="85"/>
    </w:p>
    <w:p w14:paraId="47CD39F0">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本协议书与下列文件一起构成合同文件： </w:t>
      </w:r>
    </w:p>
    <w:p w14:paraId="0AB50E1F">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中标通知书（如果有）；</w:t>
      </w:r>
    </w:p>
    <w:p w14:paraId="3C65918F">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投标函及投标函附录（如果有）；</w:t>
      </w:r>
    </w:p>
    <w:p w14:paraId="527C8FDF">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专用合同条件及《发包人要求》等附件；</w:t>
      </w:r>
    </w:p>
    <w:p w14:paraId="4787BD9F">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通用合同条件；</w:t>
      </w:r>
    </w:p>
    <w:p w14:paraId="4D181293">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 承包人建议书； </w:t>
      </w:r>
    </w:p>
    <w:p w14:paraId="3C6914A0">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价格清单；</w:t>
      </w:r>
    </w:p>
    <w:p w14:paraId="1397769E">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双方约定的其他合同文件。</w:t>
      </w:r>
    </w:p>
    <w:p w14:paraId="11B37152">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上述各项合同文件包括双方就该项合同文件所作出的补充和修改，属于同一类内容的合同文件应以最新签署的为准。专用合同条件及其附件须经合同当事人签字或盖章。</w:t>
      </w:r>
    </w:p>
    <w:p w14:paraId="5ADCD2DF">
      <w:pPr>
        <w:pStyle w:val="210"/>
        <w:keepNext w:val="0"/>
        <w:keepLines w:val="0"/>
        <w:pageBreakBefore w:val="0"/>
        <w:widowControl w:val="0"/>
        <w:numPr>
          <w:ilvl w:val="0"/>
          <w:numId w:val="0"/>
        </w:numPr>
        <w:wordWrap/>
        <w:overflowPunct/>
        <w:topLinePunct w:val="0"/>
        <w:autoSpaceDE/>
        <w:autoSpaceDN/>
        <w:bidi w:val="0"/>
        <w:adjustRightInd/>
        <w:snapToGrid/>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6" w:name="_Toc54862171"/>
      <w:r>
        <w:rPr>
          <w:rFonts w:hint="eastAsia" w:ascii="宋体" w:hAnsi="宋体" w:eastAsia="宋体" w:cs="宋体"/>
          <w:b w:val="0"/>
          <w:bCs/>
          <w:color w:val="auto"/>
          <w:sz w:val="21"/>
          <w:szCs w:val="21"/>
        </w:rPr>
        <w:t>七、承诺</w:t>
      </w:r>
      <w:bookmarkEnd w:id="86"/>
    </w:p>
    <w:p w14:paraId="5AC008EF">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发包人承诺按照法律规定履行项目审批手续、筹集工程建设资金并按照合同约定的期限和方式支付合同价款。</w:t>
      </w:r>
    </w:p>
    <w:p w14:paraId="0DFFFDF8">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承包人承诺按照法律规定及合同约定组织完成工程的设计、采购和施工等工作，确保工程质量和安全，不进行转包及违法分包，并在缺陷责任期及保修期内承担相应的工程维修责任。</w:t>
      </w:r>
    </w:p>
    <w:p w14:paraId="548582CA">
      <w:pPr>
        <w:pStyle w:val="210"/>
        <w:keepNext w:val="0"/>
        <w:keepLines w:val="0"/>
        <w:pageBreakBefore w:val="0"/>
        <w:widowControl w:val="0"/>
        <w:numPr>
          <w:ilvl w:val="0"/>
          <w:numId w:val="0"/>
        </w:numPr>
        <w:wordWrap/>
        <w:overflowPunct/>
        <w:topLinePunct w:val="0"/>
        <w:autoSpaceDE/>
        <w:autoSpaceDN/>
        <w:bidi w:val="0"/>
        <w:adjustRightInd/>
        <w:snapToGrid/>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7" w:name="_Toc54862172"/>
      <w:r>
        <w:rPr>
          <w:rFonts w:hint="eastAsia" w:ascii="宋体" w:hAnsi="宋体" w:eastAsia="宋体" w:cs="宋体"/>
          <w:b w:val="0"/>
          <w:bCs/>
          <w:color w:val="auto"/>
          <w:sz w:val="21"/>
          <w:szCs w:val="21"/>
        </w:rPr>
        <w:t>八、订立时间</w:t>
      </w:r>
      <w:bookmarkEnd w:id="87"/>
    </w:p>
    <w:p w14:paraId="177DF406">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日订立。</w:t>
      </w:r>
    </w:p>
    <w:p w14:paraId="11BB9C45">
      <w:pPr>
        <w:pStyle w:val="210"/>
        <w:keepNext w:val="0"/>
        <w:keepLines w:val="0"/>
        <w:pageBreakBefore w:val="0"/>
        <w:widowControl w:val="0"/>
        <w:numPr>
          <w:ilvl w:val="0"/>
          <w:numId w:val="0"/>
        </w:numPr>
        <w:wordWrap/>
        <w:overflowPunct/>
        <w:topLinePunct w:val="0"/>
        <w:autoSpaceDE/>
        <w:autoSpaceDN/>
        <w:bidi w:val="0"/>
        <w:adjustRightInd/>
        <w:snapToGrid/>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8" w:name="_Toc54862173"/>
      <w:r>
        <w:rPr>
          <w:rFonts w:hint="eastAsia" w:ascii="宋体" w:hAnsi="宋体" w:eastAsia="宋体" w:cs="宋体"/>
          <w:b w:val="0"/>
          <w:bCs/>
          <w:color w:val="auto"/>
          <w:sz w:val="21"/>
          <w:szCs w:val="21"/>
        </w:rPr>
        <w:t>九、订立地点</w:t>
      </w:r>
      <w:bookmarkEnd w:id="88"/>
    </w:p>
    <w:p w14:paraId="6FF6808E">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订立。</w:t>
      </w:r>
    </w:p>
    <w:p w14:paraId="131DCC9C">
      <w:pPr>
        <w:pStyle w:val="210"/>
        <w:keepNext w:val="0"/>
        <w:keepLines w:val="0"/>
        <w:pageBreakBefore w:val="0"/>
        <w:widowControl w:val="0"/>
        <w:numPr>
          <w:ilvl w:val="0"/>
          <w:numId w:val="0"/>
        </w:numPr>
        <w:wordWrap/>
        <w:overflowPunct/>
        <w:topLinePunct w:val="0"/>
        <w:autoSpaceDE/>
        <w:autoSpaceDN/>
        <w:bidi w:val="0"/>
        <w:adjustRightInd/>
        <w:snapToGrid/>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9" w:name="_Toc54862174"/>
      <w:r>
        <w:rPr>
          <w:rFonts w:hint="eastAsia" w:ascii="宋体" w:hAnsi="宋体" w:eastAsia="宋体" w:cs="宋体"/>
          <w:b w:val="0"/>
          <w:bCs/>
          <w:color w:val="auto"/>
          <w:sz w:val="21"/>
          <w:szCs w:val="21"/>
        </w:rPr>
        <w:t>十、合同生效</w:t>
      </w:r>
      <w:bookmarkEnd w:id="89"/>
    </w:p>
    <w:p w14:paraId="73A6282A">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本合同经双方签字或盖章后成立，并自</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生效。</w:t>
      </w:r>
    </w:p>
    <w:p w14:paraId="4858BCF1">
      <w:pPr>
        <w:pStyle w:val="210"/>
        <w:keepNext w:val="0"/>
        <w:keepLines w:val="0"/>
        <w:pageBreakBefore w:val="0"/>
        <w:widowControl w:val="0"/>
        <w:numPr>
          <w:ilvl w:val="0"/>
          <w:numId w:val="0"/>
        </w:numPr>
        <w:wordWrap/>
        <w:overflowPunct/>
        <w:topLinePunct w:val="0"/>
        <w:autoSpaceDE/>
        <w:autoSpaceDN/>
        <w:bidi w:val="0"/>
        <w:adjustRightInd/>
        <w:snapToGrid/>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90" w:name="_Toc54862175"/>
      <w:r>
        <w:rPr>
          <w:rFonts w:hint="eastAsia" w:ascii="宋体" w:hAnsi="宋体" w:eastAsia="宋体" w:cs="宋体"/>
          <w:b w:val="0"/>
          <w:bCs/>
          <w:color w:val="auto"/>
          <w:sz w:val="21"/>
          <w:szCs w:val="21"/>
        </w:rPr>
        <w:t>十一、合同份数</w:t>
      </w:r>
      <w:bookmarkEnd w:id="90"/>
    </w:p>
    <w:p w14:paraId="2D56A27C">
      <w:pPr>
        <w:keepNext w:val="0"/>
        <w:keepLines w:val="0"/>
        <w:pageBreakBefore w:val="0"/>
        <w:widowControl w:val="0"/>
        <w:wordWrap/>
        <w:overflowPunct/>
        <w:topLinePunct w:val="0"/>
        <w:autoSpaceDE/>
        <w:autoSpaceDN/>
        <w:bidi w:val="0"/>
        <w:adjustRightInd/>
        <w:snapToGrid/>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本合同一式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份，均具有同等法律效力，发包人执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份，承包人执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w:t>
      </w:r>
    </w:p>
    <w:p w14:paraId="7C3A46D4">
      <w:pPr>
        <w:pageBreakBefore w:val="0"/>
        <w:wordWrap/>
        <w:overflowPunct/>
        <w:topLinePunct w:val="0"/>
        <w:bidi w:val="0"/>
        <w:spacing w:after="0" w:line="440" w:lineRule="exact"/>
        <w:ind w:firstLine="600"/>
        <w:textAlignment w:val="auto"/>
        <w:rPr>
          <w:rFonts w:hint="eastAsia" w:ascii="宋体" w:hAnsi="宋体" w:eastAsia="宋体" w:cs="宋体"/>
          <w:color w:val="auto"/>
          <w:sz w:val="21"/>
          <w:szCs w:val="21"/>
        </w:rPr>
      </w:pPr>
    </w:p>
    <w:p w14:paraId="41E1A2D9">
      <w:pPr>
        <w:pageBreakBefore w:val="0"/>
        <w:wordWrap/>
        <w:overflowPunct/>
        <w:topLinePunct w:val="0"/>
        <w:bidi w:val="0"/>
        <w:spacing w:after="0" w:line="440" w:lineRule="exact"/>
        <w:ind w:firstLine="600"/>
        <w:textAlignment w:val="auto"/>
        <w:rPr>
          <w:rFonts w:hint="eastAsia" w:ascii="宋体" w:hAnsi="宋体" w:eastAsia="宋体" w:cs="宋体"/>
          <w:color w:val="auto"/>
          <w:sz w:val="21"/>
          <w:szCs w:val="21"/>
        </w:rPr>
      </w:pPr>
    </w:p>
    <w:tbl>
      <w:tblPr>
        <w:tblStyle w:val="31"/>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76568600">
        <w:tblPrEx>
          <w:tblCellMar>
            <w:top w:w="0" w:type="dxa"/>
            <w:left w:w="108" w:type="dxa"/>
            <w:bottom w:w="0" w:type="dxa"/>
            <w:right w:w="108" w:type="dxa"/>
          </w:tblCellMar>
        </w:tblPrEx>
        <w:tc>
          <w:tcPr>
            <w:tcW w:w="4507" w:type="dxa"/>
            <w:noWrap w:val="0"/>
            <w:vAlign w:val="top"/>
          </w:tcPr>
          <w:p w14:paraId="11224B16">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发包人：（公章）</w:t>
            </w:r>
          </w:p>
          <w:p w14:paraId="1DD882B8">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p>
          <w:p w14:paraId="4409B9DA">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p>
        </w:tc>
        <w:tc>
          <w:tcPr>
            <w:tcW w:w="4565" w:type="dxa"/>
            <w:noWrap w:val="0"/>
            <w:vAlign w:val="top"/>
          </w:tcPr>
          <w:p w14:paraId="4241E6EE">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承包人：（公章）</w:t>
            </w:r>
          </w:p>
          <w:p w14:paraId="3CBF9DA3">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p>
          <w:p w14:paraId="7FB51946">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p>
        </w:tc>
      </w:tr>
      <w:tr w14:paraId="21B5367E">
        <w:tblPrEx>
          <w:tblCellMar>
            <w:top w:w="0" w:type="dxa"/>
            <w:left w:w="108" w:type="dxa"/>
            <w:bottom w:w="0" w:type="dxa"/>
            <w:right w:w="108" w:type="dxa"/>
          </w:tblCellMar>
        </w:tblPrEx>
        <w:tc>
          <w:tcPr>
            <w:tcW w:w="4507" w:type="dxa"/>
            <w:noWrap w:val="0"/>
            <w:vAlign w:val="top"/>
          </w:tcPr>
          <w:p w14:paraId="1DFA52CF">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w:t>
            </w:r>
          </w:p>
          <w:p w14:paraId="5E785DC7">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（签字）</w:t>
            </w:r>
          </w:p>
          <w:p w14:paraId="1CA7E174">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p>
        </w:tc>
        <w:tc>
          <w:tcPr>
            <w:tcW w:w="4565" w:type="dxa"/>
            <w:noWrap w:val="0"/>
            <w:vAlign w:val="top"/>
          </w:tcPr>
          <w:p w14:paraId="24F28151">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w:t>
            </w:r>
          </w:p>
          <w:p w14:paraId="1C8E854B">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（签字）</w:t>
            </w:r>
          </w:p>
          <w:p w14:paraId="06336888">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p>
        </w:tc>
      </w:tr>
      <w:tr w14:paraId="2B6CD31A">
        <w:tblPrEx>
          <w:tblCellMar>
            <w:top w:w="0" w:type="dxa"/>
            <w:left w:w="108" w:type="dxa"/>
            <w:bottom w:w="0" w:type="dxa"/>
            <w:right w:w="108" w:type="dxa"/>
          </w:tblCellMar>
        </w:tblPrEx>
        <w:tc>
          <w:tcPr>
            <w:tcW w:w="4507" w:type="dxa"/>
            <w:noWrap w:val="0"/>
            <w:vAlign w:val="top"/>
          </w:tcPr>
          <w:p w14:paraId="66522CE1">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统一社会信用代码：</w:t>
            </w:r>
            <w:r>
              <w:rPr>
                <w:rFonts w:hint="eastAsia" w:ascii="宋体" w:hAnsi="宋体" w:eastAsia="宋体" w:cs="宋体"/>
                <w:color w:val="auto"/>
                <w:kern w:val="0"/>
                <w:sz w:val="21"/>
                <w:szCs w:val="21"/>
                <w:u w:val="single"/>
              </w:rPr>
              <w:t xml:space="preserve">            </w:t>
            </w:r>
          </w:p>
          <w:p w14:paraId="584D0F8C">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地址：</w:t>
            </w:r>
            <w:r>
              <w:rPr>
                <w:rFonts w:hint="eastAsia" w:ascii="宋体" w:hAnsi="宋体" w:eastAsia="宋体" w:cs="宋体"/>
                <w:color w:val="auto"/>
                <w:kern w:val="0"/>
                <w:sz w:val="21"/>
                <w:szCs w:val="21"/>
                <w:u w:val="single"/>
              </w:rPr>
              <w:t xml:space="preserve">                       </w:t>
            </w:r>
          </w:p>
          <w:p w14:paraId="02E3C01F">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邮政编码：</w:t>
            </w:r>
            <w:r>
              <w:rPr>
                <w:rFonts w:hint="eastAsia" w:ascii="宋体" w:hAnsi="宋体" w:eastAsia="宋体" w:cs="宋体"/>
                <w:color w:val="auto"/>
                <w:kern w:val="0"/>
                <w:sz w:val="21"/>
                <w:szCs w:val="21"/>
                <w:u w:val="single"/>
              </w:rPr>
              <w:t xml:space="preserve">                      </w:t>
            </w:r>
          </w:p>
          <w:p w14:paraId="31D834D1">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kern w:val="0"/>
                <w:sz w:val="21"/>
                <w:szCs w:val="21"/>
                <w:u w:val="single"/>
              </w:rPr>
              <w:t xml:space="preserve">                 </w:t>
            </w:r>
          </w:p>
          <w:p w14:paraId="65B8BE63">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委托代理人：</w:t>
            </w:r>
            <w:r>
              <w:rPr>
                <w:rFonts w:hint="eastAsia" w:ascii="宋体" w:hAnsi="宋体" w:eastAsia="宋体" w:cs="宋体"/>
                <w:color w:val="auto"/>
                <w:kern w:val="0"/>
                <w:sz w:val="21"/>
                <w:szCs w:val="21"/>
                <w:u w:val="single"/>
              </w:rPr>
              <w:t xml:space="preserve">                 </w:t>
            </w:r>
          </w:p>
          <w:p w14:paraId="64C86E54">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电话：</w:t>
            </w:r>
            <w:r>
              <w:rPr>
                <w:rFonts w:hint="eastAsia" w:ascii="宋体" w:hAnsi="宋体" w:eastAsia="宋体" w:cs="宋体"/>
                <w:color w:val="auto"/>
                <w:kern w:val="0"/>
                <w:sz w:val="21"/>
                <w:szCs w:val="21"/>
                <w:u w:val="single"/>
              </w:rPr>
              <w:t xml:space="preserve">                       </w:t>
            </w:r>
          </w:p>
          <w:p w14:paraId="22DA9CD9">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 </w:t>
            </w:r>
            <w:r>
              <w:rPr>
                <w:rFonts w:hint="eastAsia" w:ascii="宋体" w:hAnsi="宋体" w:eastAsia="宋体" w:cs="宋体"/>
                <w:color w:val="auto"/>
                <w:kern w:val="0"/>
                <w:sz w:val="21"/>
                <w:szCs w:val="21"/>
                <w:u w:val="single"/>
              </w:rPr>
              <w:t xml:space="preserve">                      </w:t>
            </w:r>
          </w:p>
          <w:p w14:paraId="4C92BF7F">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p>
          <w:p w14:paraId="180992A7">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开户银行：</w:t>
            </w:r>
            <w:r>
              <w:rPr>
                <w:rFonts w:hint="eastAsia" w:ascii="宋体" w:hAnsi="宋体" w:eastAsia="宋体" w:cs="宋体"/>
                <w:color w:val="auto"/>
                <w:kern w:val="0"/>
                <w:sz w:val="21"/>
                <w:szCs w:val="21"/>
                <w:u w:val="single"/>
              </w:rPr>
              <w:t xml:space="preserve">                   </w:t>
            </w:r>
          </w:p>
          <w:p w14:paraId="3139BE68">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账号：</w:t>
            </w:r>
            <w:r>
              <w:rPr>
                <w:rFonts w:hint="eastAsia" w:ascii="宋体" w:hAnsi="宋体" w:eastAsia="宋体" w:cs="宋体"/>
                <w:color w:val="auto"/>
                <w:kern w:val="0"/>
                <w:sz w:val="21"/>
                <w:szCs w:val="21"/>
                <w:u w:val="single"/>
              </w:rPr>
              <w:t xml:space="preserve">                       </w:t>
            </w:r>
          </w:p>
        </w:tc>
        <w:tc>
          <w:tcPr>
            <w:tcW w:w="4565" w:type="dxa"/>
            <w:noWrap w:val="0"/>
            <w:vAlign w:val="top"/>
          </w:tcPr>
          <w:p w14:paraId="7FEB5CB6">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统一社会信用代码：</w:t>
            </w:r>
            <w:r>
              <w:rPr>
                <w:rFonts w:hint="eastAsia" w:ascii="宋体" w:hAnsi="宋体" w:eastAsia="宋体" w:cs="宋体"/>
                <w:color w:val="auto"/>
                <w:kern w:val="0"/>
                <w:sz w:val="21"/>
                <w:szCs w:val="21"/>
                <w:u w:val="single"/>
              </w:rPr>
              <w:t xml:space="preserve">            </w:t>
            </w:r>
          </w:p>
          <w:p w14:paraId="0E3093AA">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地址：</w:t>
            </w:r>
            <w:r>
              <w:rPr>
                <w:rFonts w:hint="eastAsia" w:ascii="宋体" w:hAnsi="宋体" w:eastAsia="宋体" w:cs="宋体"/>
                <w:color w:val="auto"/>
                <w:kern w:val="0"/>
                <w:sz w:val="21"/>
                <w:szCs w:val="21"/>
                <w:u w:val="single"/>
              </w:rPr>
              <w:t xml:space="preserve">                        </w:t>
            </w:r>
          </w:p>
          <w:p w14:paraId="317032EA">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邮政编码：</w:t>
            </w:r>
            <w:r>
              <w:rPr>
                <w:rFonts w:hint="eastAsia" w:ascii="宋体" w:hAnsi="宋体" w:eastAsia="宋体" w:cs="宋体"/>
                <w:color w:val="auto"/>
                <w:kern w:val="0"/>
                <w:sz w:val="21"/>
                <w:szCs w:val="21"/>
                <w:u w:val="single"/>
              </w:rPr>
              <w:t xml:space="preserve">                      </w:t>
            </w:r>
          </w:p>
          <w:p w14:paraId="55B45953">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kern w:val="0"/>
                <w:sz w:val="21"/>
                <w:szCs w:val="21"/>
                <w:u w:val="single"/>
              </w:rPr>
              <w:t xml:space="preserve">                  </w:t>
            </w:r>
          </w:p>
          <w:p w14:paraId="46ABD2E6">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委托代理人：</w:t>
            </w:r>
            <w:r>
              <w:rPr>
                <w:rFonts w:hint="eastAsia" w:ascii="宋体" w:hAnsi="宋体" w:eastAsia="宋体" w:cs="宋体"/>
                <w:color w:val="auto"/>
                <w:kern w:val="0"/>
                <w:sz w:val="21"/>
                <w:szCs w:val="21"/>
                <w:u w:val="single"/>
              </w:rPr>
              <w:t xml:space="preserve">                 </w:t>
            </w:r>
          </w:p>
          <w:p w14:paraId="63096464">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电话：</w:t>
            </w:r>
            <w:r>
              <w:rPr>
                <w:rFonts w:hint="eastAsia" w:ascii="宋体" w:hAnsi="宋体" w:eastAsia="宋体" w:cs="宋体"/>
                <w:color w:val="auto"/>
                <w:kern w:val="0"/>
                <w:sz w:val="21"/>
                <w:szCs w:val="21"/>
                <w:u w:val="single"/>
              </w:rPr>
              <w:t xml:space="preserve">                       </w:t>
            </w:r>
          </w:p>
          <w:p w14:paraId="5D598492">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传真：</w:t>
            </w:r>
            <w:r>
              <w:rPr>
                <w:rFonts w:hint="eastAsia" w:ascii="宋体" w:hAnsi="宋体" w:eastAsia="宋体" w:cs="宋体"/>
                <w:color w:val="auto"/>
                <w:kern w:val="0"/>
                <w:sz w:val="21"/>
                <w:szCs w:val="21"/>
                <w:u w:val="single"/>
              </w:rPr>
              <w:t xml:space="preserve">                       </w:t>
            </w:r>
          </w:p>
          <w:p w14:paraId="72B5FE12">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p>
          <w:p w14:paraId="46972563">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开户银行：</w:t>
            </w:r>
            <w:r>
              <w:rPr>
                <w:rFonts w:hint="eastAsia" w:ascii="宋体" w:hAnsi="宋体" w:eastAsia="宋体" w:cs="宋体"/>
                <w:color w:val="auto"/>
                <w:kern w:val="0"/>
                <w:sz w:val="21"/>
                <w:szCs w:val="21"/>
                <w:u w:val="single"/>
              </w:rPr>
              <w:t xml:space="preserve">                   </w:t>
            </w:r>
          </w:p>
          <w:p w14:paraId="2D8C3668">
            <w:pPr>
              <w:pStyle w:val="211"/>
              <w:pageBreakBefore w:val="0"/>
              <w:framePr w:hSpace="0" w:wrap="auto" w:vAnchor="margin" w:hAnchor="text" w:yAlign="inline"/>
              <w:wordWrap/>
              <w:overflowPunct/>
              <w:topLinePunct w:val="0"/>
              <w:bidi w:val="0"/>
              <w:spacing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账号：</w:t>
            </w:r>
            <w:r>
              <w:rPr>
                <w:rFonts w:hint="eastAsia" w:ascii="宋体" w:hAnsi="宋体" w:eastAsia="宋体" w:cs="宋体"/>
                <w:color w:val="auto"/>
                <w:sz w:val="21"/>
                <w:szCs w:val="21"/>
                <w:u w:val="single"/>
              </w:rPr>
              <w:t xml:space="preserve">                       </w:t>
            </w:r>
          </w:p>
        </w:tc>
      </w:tr>
    </w:tbl>
    <w:p w14:paraId="60114D57">
      <w:pPr>
        <w:pageBreakBefore w:val="0"/>
        <w:wordWrap/>
        <w:overflowPunct/>
        <w:topLinePunct w:val="0"/>
        <w:bidi w:val="0"/>
        <w:spacing w:after="0" w:line="440" w:lineRule="exact"/>
        <w:textAlignment w:val="auto"/>
        <w:rPr>
          <w:rFonts w:hint="eastAsia" w:ascii="宋体" w:hAnsi="宋体" w:eastAsia="宋体" w:cs="宋体"/>
          <w:color w:val="auto"/>
          <w:sz w:val="21"/>
          <w:szCs w:val="21"/>
        </w:rPr>
        <w:sectPr>
          <w:footerReference r:id="rId10" w:type="default"/>
          <w:pgSz w:w="11906" w:h="16838"/>
          <w:pgMar w:top="1247" w:right="1247" w:bottom="1247" w:left="1247" w:header="907" w:footer="964" w:gutter="0"/>
          <w:pgNumType w:fmt="decimal"/>
          <w:cols w:space="720" w:num="1"/>
          <w:docGrid w:linePitch="326" w:charSpace="0"/>
        </w:sectPr>
      </w:pPr>
      <w:r>
        <w:rPr>
          <w:rFonts w:hint="eastAsia" w:ascii="宋体" w:hAnsi="宋体" w:eastAsia="宋体" w:cs="宋体"/>
          <w:color w:val="auto"/>
          <w:sz w:val="21"/>
          <w:szCs w:val="21"/>
        </w:rPr>
        <w:tab/>
      </w:r>
    </w:p>
    <w:p w14:paraId="1456DAAD">
      <w:pPr>
        <w:pStyle w:val="209"/>
        <w:keepNext w:val="0"/>
        <w:keepLines w:val="0"/>
        <w:pageBreakBefore w:val="0"/>
        <w:widowControl/>
        <w:wordWrap/>
        <w:overflowPunct/>
        <w:topLinePunct w:val="0"/>
        <w:bidi w:val="0"/>
        <w:adjustRightInd w:val="0"/>
        <w:snapToGrid w:val="0"/>
        <w:spacing w:before="0" w:after="0" w:line="440" w:lineRule="exact"/>
        <w:jc w:val="center"/>
        <w:textAlignment w:val="auto"/>
        <w:rPr>
          <w:rFonts w:hint="eastAsia" w:ascii="宋体" w:hAnsi="宋体" w:eastAsia="宋体" w:cs="宋体"/>
          <w:color w:val="auto"/>
          <w:sz w:val="21"/>
          <w:szCs w:val="21"/>
        </w:rPr>
      </w:pPr>
      <w:bookmarkStart w:id="91" w:name="_Toc54862176"/>
      <w:r>
        <w:rPr>
          <w:rFonts w:hint="eastAsia" w:ascii="宋体" w:hAnsi="宋体" w:eastAsia="宋体" w:cs="宋体"/>
          <w:color w:val="auto"/>
          <w:sz w:val="21"/>
          <w:szCs w:val="21"/>
        </w:rPr>
        <w:t>第二部分 通用合同条件</w:t>
      </w:r>
      <w:bookmarkEnd w:id="91"/>
    </w:p>
    <w:p w14:paraId="0C4B4163">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92" w:name="_Ref508893699"/>
      <w:bookmarkStart w:id="93" w:name="_Toc54862177"/>
      <w:bookmarkStart w:id="94" w:name="_Ref509040831"/>
      <w:bookmarkStart w:id="95" w:name="_Ref509040826"/>
      <w:r>
        <w:rPr>
          <w:rFonts w:hint="eastAsia" w:ascii="宋体" w:hAnsi="宋体" w:eastAsia="宋体" w:cs="宋体"/>
          <w:b w:val="0"/>
          <w:bCs/>
          <w:color w:val="auto"/>
          <w:sz w:val="21"/>
          <w:szCs w:val="21"/>
        </w:rPr>
        <w:t>第1条 一般约定</w:t>
      </w:r>
      <w:bookmarkEnd w:id="92"/>
      <w:bookmarkEnd w:id="93"/>
    </w:p>
    <w:p w14:paraId="18BFE4A2">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96" w:name="_Ref523741474"/>
      <w:bookmarkStart w:id="97" w:name="_Ref523741471"/>
      <w:bookmarkStart w:id="98" w:name="_Toc54862178"/>
      <w:r>
        <w:rPr>
          <w:rFonts w:hint="eastAsia" w:ascii="宋体" w:hAnsi="宋体" w:eastAsia="宋体" w:cs="宋体"/>
          <w:b w:val="0"/>
          <w:bCs/>
          <w:color w:val="auto"/>
          <w:sz w:val="21"/>
          <w:szCs w:val="21"/>
        </w:rPr>
        <w:t>1.1 词语定义和解释</w:t>
      </w:r>
      <w:bookmarkEnd w:id="94"/>
      <w:bookmarkEnd w:id="95"/>
      <w:bookmarkEnd w:id="96"/>
      <w:bookmarkEnd w:id="97"/>
      <w:bookmarkEnd w:id="98"/>
    </w:p>
    <w:p w14:paraId="1B5B0C7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合同协议书、通用合同条件、专用合同条件中的下列词语应具有本款所赋予的含义：</w:t>
      </w:r>
    </w:p>
    <w:p w14:paraId="7337342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99" w:name="_Ref4757289"/>
      <w:bookmarkStart w:id="100" w:name="_Ref521288340"/>
      <w:r>
        <w:rPr>
          <w:rFonts w:hint="eastAsia" w:ascii="宋体" w:hAnsi="宋体" w:eastAsia="宋体" w:cs="宋体"/>
          <w:color w:val="auto"/>
          <w:sz w:val="21"/>
          <w:szCs w:val="21"/>
        </w:rPr>
        <w:t>1.1.1 合同</w:t>
      </w:r>
      <w:bookmarkEnd w:id="99"/>
    </w:p>
    <w:p w14:paraId="28849C90">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04A5251E">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1.1.1.2 </w:t>
      </w:r>
      <w:r>
        <w:rPr>
          <w:rFonts w:hint="eastAsia" w:ascii="宋体" w:hAnsi="宋体" w:eastAsia="宋体" w:cs="宋体"/>
          <w:color w:val="auto"/>
          <w:spacing w:val="-6"/>
          <w:sz w:val="21"/>
          <w:szCs w:val="21"/>
        </w:rPr>
        <w:t>合同协议书：是指构成合同的由发包人和承包人共同签署的称为“合同协议书”的书面文件。</w:t>
      </w:r>
    </w:p>
    <w:p w14:paraId="4308EC03">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1.1.1.3 中标通知书：是指构成合同的由发包人通知承包人中标的书面文件。中标通知书随附的澄清、说明、补正事项纪要等，是中标通知书的组成部分。</w:t>
      </w:r>
    </w:p>
    <w:p w14:paraId="74FC9555">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1.1.1.4 投标函：是指构成合同的由承包人填写并签署的用于投标的称为“投标函”的文件。</w:t>
      </w:r>
    </w:p>
    <w:p w14:paraId="17BD8FAD">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1.1.1.5 投标函附录：是指构成合同的附在投标函后的称为“投标函附录”的文件。</w:t>
      </w:r>
    </w:p>
    <w:p w14:paraId="7DB7EB90">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1.1.1.6 《发包人要求》：指构成合同文件组成部分的名为《发包人要求》的文件，其中列明工程的目的、范围、设计与其他技术标准和要求，以及合同双方当事人约定对其所作的修改或补充。</w:t>
      </w:r>
    </w:p>
    <w:p w14:paraId="69F674E9">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1.1.1.7 项目清单：是指发包人提供的载明工程总承包项目勘察费（如果有）、设计费、建筑安装工程费、设备购置费、暂估价、暂列金额和双方约定的其他费用的名称和相应数量等内容的项目明细。</w:t>
      </w:r>
    </w:p>
    <w:p w14:paraId="3F229FAA">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1.1.1.8 价格清单：指构成合同文件组成部分的由承包人按发包人提供的项目清单规定的格式和要求填写并标明价格的清单。</w:t>
      </w:r>
    </w:p>
    <w:p w14:paraId="77D73591">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1.1.1.9 承包人建议书：指构成合同文件组成部分的名为承包人建议书的文件。承包人建议书由承包人随投标函一起提交。</w:t>
      </w:r>
    </w:p>
    <w:p w14:paraId="0D2D81E8">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01" w:name="_Ref4415300"/>
      <w:r>
        <w:rPr>
          <w:rFonts w:hint="eastAsia" w:ascii="宋体" w:hAnsi="宋体" w:eastAsia="宋体" w:cs="宋体"/>
          <w:color w:val="auto"/>
          <w:sz w:val="21"/>
          <w:szCs w:val="21"/>
        </w:rPr>
        <w:t>1.1.1.10 其他合同文件：是指经合同当事人约定的与工程实施有关的具有合同约束力的文件或书面协议。合同当事人可以在专用合同条件中进行约定。</w:t>
      </w:r>
      <w:bookmarkEnd w:id="101"/>
    </w:p>
    <w:p w14:paraId="6C50687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02" w:name="_Ref4757418"/>
      <w:r>
        <w:rPr>
          <w:rFonts w:hint="eastAsia" w:ascii="宋体" w:hAnsi="宋体" w:eastAsia="宋体" w:cs="宋体"/>
          <w:color w:val="auto"/>
          <w:sz w:val="21"/>
          <w:szCs w:val="21"/>
        </w:rPr>
        <w:t>1.1.2 合同当事人及其他相关方</w:t>
      </w:r>
      <w:bookmarkEnd w:id="102"/>
    </w:p>
    <w:p w14:paraId="4A63DDD5">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1.1.2.1 合同当事人：是指发包人和（或）承包人。</w:t>
      </w:r>
    </w:p>
    <w:p w14:paraId="1DA8B4A6">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1.1.2.2 发包人：是指与承包人订立合同协议书的当事人及取得该当事人资格的合法继受人。本合同中“因发包人原因”里的“发包人”包括发包人及所有发包人人员。</w:t>
      </w:r>
    </w:p>
    <w:p w14:paraId="596D9FC7">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1.1.2.3 承包人：是指与发包人订立合同协议书的当事人及取得该当事人资格的合法继受人。</w:t>
      </w:r>
    </w:p>
    <w:p w14:paraId="00067830">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1.1.2.4 联合体：是指经发包人同意由两个或两个以上法人或者其他组织组成的，作为承包人的临时机构。</w:t>
      </w:r>
    </w:p>
    <w:p w14:paraId="1E881797">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03" w:name="_Ref4420046"/>
      <w:r>
        <w:rPr>
          <w:rFonts w:hint="eastAsia" w:ascii="宋体" w:hAnsi="宋体" w:eastAsia="宋体" w:cs="宋体"/>
          <w:color w:val="auto"/>
          <w:sz w:val="21"/>
          <w:szCs w:val="21"/>
        </w:rPr>
        <w:t>1.1.2.5 发包人代表：是指由发包人任命并派驻工作现场，在发包人授权范围内行使发包人权利和履行发包人义务的人。</w:t>
      </w:r>
    </w:p>
    <w:p w14:paraId="76FD83FE">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04" w:name="_Ref4756982"/>
      <w:r>
        <w:rPr>
          <w:rFonts w:hint="eastAsia" w:ascii="宋体" w:hAnsi="宋体" w:eastAsia="宋体" w:cs="宋体"/>
          <w:color w:val="auto"/>
          <w:sz w:val="21"/>
          <w:szCs w:val="21"/>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103"/>
      <w:bookmarkEnd w:id="104"/>
    </w:p>
    <w:p w14:paraId="1B0BE612">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1.1.2.7 工程总承包项目经理：是指由承包人任命的，在承包人授权范围内负责合同履行的管理，且按照法律规定具有相应资格的项目负责人。</w:t>
      </w:r>
    </w:p>
    <w:p w14:paraId="2F336B03">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1.1.2.8 设计负责人：是指承包人指定负责组织、指导、协调设计工作并具有相应资格的人员。</w:t>
      </w:r>
    </w:p>
    <w:p w14:paraId="1B8BE381">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1.1.2.9 采购负责人：是指承包人指定负责组织、指导、协调采购工作的人员。</w:t>
      </w:r>
    </w:p>
    <w:p w14:paraId="4F3F15F6">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1.1.2.10 施工负责人：是指承包人指定负责组织、指导、协调施工工作并具有相应资格的人员。</w:t>
      </w:r>
    </w:p>
    <w:p w14:paraId="43B05C38">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1.1.2.11 分包人：是指按照法律规定和合同约定，分包部分工程或工作，并与承包人订立分包合同的具有相应资质或资格的法人或其他组织。</w:t>
      </w:r>
    </w:p>
    <w:p w14:paraId="7C072A0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05" w:name="_Ref4758319"/>
      <w:r>
        <w:rPr>
          <w:rFonts w:hint="eastAsia" w:ascii="宋体" w:hAnsi="宋体" w:eastAsia="宋体" w:cs="宋体"/>
          <w:color w:val="auto"/>
          <w:sz w:val="21"/>
          <w:szCs w:val="21"/>
        </w:rPr>
        <w:t>1.1.3 工程和设备</w:t>
      </w:r>
      <w:bookmarkEnd w:id="105"/>
    </w:p>
    <w:p w14:paraId="5C5F6F0F">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1.1.3.1 工程：是指与合同协议书中工程承包范围对应的永久工程和（或）临时工程。</w:t>
      </w:r>
    </w:p>
    <w:p w14:paraId="05C65809">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1.1.3.2 工程实施：是指进行工程的设计、采购、施工和竣工以及对工程任何缺陷的修复。</w:t>
      </w:r>
    </w:p>
    <w:p w14:paraId="56143F78">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1.1.3.3 永久工程：是指按合同约定建造并移交给发包人的工程，包括工程设备。</w:t>
      </w:r>
    </w:p>
    <w:p w14:paraId="271651DA">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1.1.3.4 临时工程：是指为完成合同约定的永久工程所修建的各类临时性工程，不包括施工设备。</w:t>
      </w:r>
    </w:p>
    <w:p w14:paraId="35476E2E">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06" w:name="_Ref4419825"/>
      <w:r>
        <w:rPr>
          <w:rFonts w:hint="eastAsia" w:ascii="宋体" w:hAnsi="宋体" w:eastAsia="宋体" w:cs="宋体"/>
          <w:color w:val="auto"/>
          <w:sz w:val="21"/>
          <w:szCs w:val="21"/>
        </w:rPr>
        <w:t>1.1.3.5 单位/区段工程：是指在专用合同条件中指明特定范围的，能单独接收并使用的永久工程。</w:t>
      </w:r>
      <w:bookmarkEnd w:id="106"/>
    </w:p>
    <w:p w14:paraId="77B3A698">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1.1.3.6 工程设备：指构成永久工程的机电设备、仪器装置、运载工具及其他类似的设备和装置，包括其配件及备品、备件、易损易耗件等。</w:t>
      </w:r>
    </w:p>
    <w:p w14:paraId="0CE147B8">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1.1.3.7 施工设备：指为完成合同约定的各项工作所需的设备、器具和其他物品，不包括工程设备、临时工程和材料。</w:t>
      </w:r>
    </w:p>
    <w:p w14:paraId="53A45878">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1.1.3.8 临时设施：指为完成合同约定的各项工作所服务的临时性生产和生活设施。</w:t>
      </w:r>
    </w:p>
    <w:p w14:paraId="55E0C744">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07" w:name="_Ref4420577"/>
      <w:r>
        <w:rPr>
          <w:rFonts w:hint="eastAsia" w:ascii="宋体" w:hAnsi="宋体" w:eastAsia="宋体" w:cs="宋体"/>
          <w:color w:val="auto"/>
          <w:sz w:val="21"/>
          <w:szCs w:val="21"/>
        </w:rPr>
        <w:t>1.1.3.9 施工现场：是指用于工程施工的场所，以及在专用合同条件中指明作为施工场所组成部分的其他场所，包括永久占地和临时占地。</w:t>
      </w:r>
      <w:bookmarkEnd w:id="107"/>
    </w:p>
    <w:p w14:paraId="0ABC3E6E">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08" w:name="_Ref4420746"/>
      <w:r>
        <w:rPr>
          <w:rFonts w:hint="eastAsia" w:ascii="宋体" w:hAnsi="宋体" w:eastAsia="宋体" w:cs="宋体"/>
          <w:color w:val="auto"/>
          <w:sz w:val="21"/>
          <w:szCs w:val="21"/>
        </w:rPr>
        <w:t>1.1.3.10 永久占地：是指专用合同条件中指明为实施工程需永久占用的土地。</w:t>
      </w:r>
      <w:bookmarkEnd w:id="108"/>
    </w:p>
    <w:p w14:paraId="7C867493">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09" w:name="_Ref4420821"/>
      <w:r>
        <w:rPr>
          <w:rFonts w:hint="eastAsia" w:ascii="宋体" w:hAnsi="宋体" w:eastAsia="宋体" w:cs="宋体"/>
          <w:color w:val="auto"/>
          <w:sz w:val="21"/>
          <w:szCs w:val="21"/>
        </w:rPr>
        <w:t>1.1.3.11 临时占地：是指专用合同条件中指明为实施工程需临时占用的土地。</w:t>
      </w:r>
      <w:bookmarkEnd w:id="109"/>
    </w:p>
    <w:p w14:paraId="4E4B9A7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 日期和期限</w:t>
      </w:r>
    </w:p>
    <w:p w14:paraId="2BE97279">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1.1.4.1 开始工作通知：指工程师按第8.1.2项[开始工作通知]的约定通知承包人开始工作的函件。</w:t>
      </w:r>
    </w:p>
    <w:p w14:paraId="72557AC9">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796EA771">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6B9DDD5B">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1.1.4.4 竣工日期：包括计划竣工日期和实际竣工日期。计划竣工日期是指合同协议书约定的竣工日期；实际竣工日期按照第8.2款[竣工日期]的约定确定。</w:t>
      </w:r>
    </w:p>
    <w:p w14:paraId="707C6FE2">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1.1.4.5 工期：是指在合同协议书约定的承包人完成合同工作所需的期限，包括按照合同约定所作的期限变更及按合同约定承包人有权取得的工期延长。</w:t>
      </w:r>
    </w:p>
    <w:p w14:paraId="0035B564">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1.1.4.6 缺陷责任期：是指发包人预留工程质量保证金以保证承包人履行第11.3款[缺陷调查]下质量缺陷责任的期限。</w:t>
      </w:r>
    </w:p>
    <w:p w14:paraId="0661FAEE">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1.1.4.7 保修期：是指承包人按照合同约定和法律规定对工程质量承担保修责任的期限，该期限自缺陷责任期起算之日起计算。</w:t>
      </w:r>
    </w:p>
    <w:p w14:paraId="4B8D62C4">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1.1.4.8 基准日期：招标发包的工程以投标截止日前28天的日期为基准日期，直接发包的工程以合同订立日前28天的日期为基准日期。</w:t>
      </w:r>
    </w:p>
    <w:p w14:paraId="24EA3645">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1.1.4.9 天：除特别指明外，均指日历天。合同中按天计算时间的，开始当天不计入，从次日开始计算。期限最后一天的截止时间为当天24:00。</w:t>
      </w:r>
    </w:p>
    <w:p w14:paraId="7F876D67">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1.1.4.10 竣工试验：是指在工程竣工验收前，根据第9条[竣工试验]要求进行的试验。</w:t>
      </w:r>
    </w:p>
    <w:p w14:paraId="57BF690D">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1.1.4.11 竣工验收：是指承包人完成了合同约定的各项内容后，发包人按合同要求进行的验收。</w:t>
      </w:r>
    </w:p>
    <w:p w14:paraId="3315B4A2">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1.1.4.12 竣工后试验：是指在工程竣工验收后，根据第12条[竣工后试验]约定进行的试验。</w:t>
      </w:r>
    </w:p>
    <w:p w14:paraId="137CC80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1.1.5 合同价格和费用</w:t>
      </w:r>
    </w:p>
    <w:p w14:paraId="5095B5BB">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1.1.5.1 </w:t>
      </w:r>
      <w:r>
        <w:rPr>
          <w:rFonts w:hint="eastAsia" w:ascii="宋体" w:hAnsi="宋体" w:eastAsia="宋体" w:cs="宋体"/>
          <w:color w:val="auto"/>
          <w:spacing w:val="-6"/>
          <w:sz w:val="21"/>
          <w:szCs w:val="21"/>
        </w:rPr>
        <w:t>签约合同价：是指发包人和承包人在合同协议书中确定的总金额，包括暂估价及暂列金额等。</w:t>
      </w:r>
    </w:p>
    <w:p w14:paraId="11A31BA9">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1.1.5.2 合同价格：是指发包人用于支付承包人按照合同约定完成承包范围内全部工作的金额，包括合同履行过程中按合同约定发生的价格变化。</w:t>
      </w:r>
    </w:p>
    <w:p w14:paraId="4F58FC0F">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1.1.5.3 费用：是指为履行合同所发生的或将要发生的所有合理开支，包括管理费和应分摊的其他费用，但不包括利润。</w:t>
      </w:r>
    </w:p>
    <w:p w14:paraId="0E6AE497">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1.1.5.4 人工费：是指支付给直接从事建筑安装工程施工作业的建筑工人的各项费用。</w:t>
      </w:r>
    </w:p>
    <w:p w14:paraId="0748766A">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1.1.5.5 暂估价：</w:t>
      </w:r>
      <w:bookmarkStart w:id="110" w:name="_Hlk18973781"/>
      <w:r>
        <w:rPr>
          <w:rFonts w:hint="eastAsia" w:ascii="宋体" w:hAnsi="宋体" w:eastAsia="宋体" w:cs="宋体"/>
          <w:color w:val="auto"/>
          <w:sz w:val="21"/>
          <w:szCs w:val="21"/>
        </w:rPr>
        <w:t>是指发包人在项目清单中给定的，用于支付必然发生但暂时不能确定价格的专业服务、材料、设备、专业工程的金额。</w:t>
      </w:r>
      <w:bookmarkEnd w:id="110"/>
    </w:p>
    <w:p w14:paraId="67E49D37">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1.1.5.6 暂列金额：是指发包人在项目清单中给定的，用于在订立协议书时尚未确定或不可预见变更的设计、施工及其所需材料、工程设备、服务等的金额，包括以计日工方式支付的金额。</w:t>
      </w:r>
    </w:p>
    <w:p w14:paraId="189A3000">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1.1.5.7 计日工：是指合同履行过程中，承包人完成发包人提出的零星工作或需要采用计日工计价的变更工作时，按合同中约定的单价计价的一种方式。</w:t>
      </w:r>
    </w:p>
    <w:p w14:paraId="3C549A10">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1.1.5.8 质量保证金：是指按第14.6款[质量保证金]约定承包人用于保证其在缺陷责任期内履行缺陷修复义务的担保。</w:t>
      </w:r>
    </w:p>
    <w:p w14:paraId="04A56C9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1.1.6 其他</w:t>
      </w:r>
    </w:p>
    <w:p w14:paraId="6E4AB82F">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1.1.6.1 书面形式：指合同文件、信函、电报、传真、数据电文、电子邮件、会议纪要等可以有形地表现所载内容的形式。</w:t>
      </w:r>
    </w:p>
    <w:p w14:paraId="037A845E">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1.1.6.2 承包人文件：指由承包人根据合同约定应提交的所有图纸、手册、模型、计算书、软件、函件、洽商性文件和其他技术性文件。</w:t>
      </w:r>
    </w:p>
    <w:p w14:paraId="622622F2">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1.1.6.3 变更：指根据第13条[变更与调整]的约定，经指示或批准对《发包人要求》或工程所做的改变。</w:t>
      </w:r>
    </w:p>
    <w:bookmarkEnd w:id="100"/>
    <w:p w14:paraId="7ADFC32E">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11" w:name="_Toc54862179"/>
      <w:bookmarkStart w:id="112" w:name="_Ref509042104"/>
      <w:bookmarkStart w:id="113" w:name="_Ref509042101"/>
      <w:bookmarkStart w:id="114" w:name="_Ref522730353"/>
      <w:bookmarkStart w:id="115" w:name="_Ref522730349"/>
      <w:r>
        <w:rPr>
          <w:rFonts w:hint="eastAsia" w:ascii="宋体" w:hAnsi="宋体" w:eastAsia="宋体" w:cs="宋体"/>
          <w:b w:val="0"/>
          <w:bCs/>
          <w:color w:val="auto"/>
          <w:sz w:val="21"/>
          <w:szCs w:val="21"/>
        </w:rPr>
        <w:t>1.2 语言文字</w:t>
      </w:r>
      <w:bookmarkEnd w:id="111"/>
      <w:bookmarkEnd w:id="112"/>
      <w:bookmarkEnd w:id="113"/>
    </w:p>
    <w:p w14:paraId="1CDE1AB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合同文件以中国的汉语简体语言文字编写、解释和说明。专用术语使用外文的，应附有中文注释。合同当事人在专用合同条件约定使用两种及以上语言时，汉语为优先解释和说明合同的语言。</w:t>
      </w:r>
    </w:p>
    <w:p w14:paraId="65680B4C">
      <w:pPr>
        <w:keepNext w:val="0"/>
        <w:keepLines w:val="0"/>
        <w:pageBreakBefore w:val="0"/>
        <w:kinsoku/>
        <w:wordWrap/>
        <w:overflowPunct/>
        <w:topLinePunct w:val="0"/>
        <w:bidi w:val="0"/>
        <w:spacing w:after="0" w:line="440" w:lineRule="exact"/>
        <w:ind w:left="0" w:leftChars="0" w:firstLine="396" w:firstLineChars="200"/>
        <w:textAlignment w:val="auto"/>
        <w:rPr>
          <w:rFonts w:hint="eastAsia" w:ascii="宋体" w:hAnsi="宋体" w:eastAsia="宋体" w:cs="宋体"/>
          <w:color w:val="auto"/>
          <w:sz w:val="21"/>
          <w:szCs w:val="21"/>
        </w:rPr>
      </w:pPr>
      <w:r>
        <w:rPr>
          <w:rFonts w:hint="eastAsia" w:ascii="宋体" w:hAnsi="宋体" w:eastAsia="宋体" w:cs="宋体"/>
          <w:color w:val="auto"/>
          <w:spacing w:val="-6"/>
          <w:sz w:val="21"/>
          <w:szCs w:val="21"/>
        </w:rPr>
        <w:t>与合同有关的联络应使用专用合同条件约定的语言。如没有约定，则应使用中国的汉语简体语言文字。</w:t>
      </w:r>
    </w:p>
    <w:p w14:paraId="6F2E8026">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16" w:name="_Ref531949539"/>
      <w:bookmarkStart w:id="117" w:name="_Ref531949543"/>
      <w:bookmarkStart w:id="118" w:name="_Toc54862180"/>
      <w:r>
        <w:rPr>
          <w:rFonts w:hint="eastAsia" w:ascii="宋体" w:hAnsi="宋体" w:eastAsia="宋体" w:cs="宋体"/>
          <w:b w:val="0"/>
          <w:bCs/>
          <w:color w:val="auto"/>
          <w:sz w:val="21"/>
          <w:szCs w:val="21"/>
        </w:rPr>
        <w:t>1.3 法律</w:t>
      </w:r>
      <w:bookmarkEnd w:id="116"/>
      <w:bookmarkEnd w:id="117"/>
      <w:bookmarkEnd w:id="118"/>
    </w:p>
    <w:p w14:paraId="0894E7E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合同所称法律是指中华人民共和国法律、行政法规、部门规章，以及工程所在地的地方法规、自治条例、单行条例和地方政府规章等。</w:t>
      </w:r>
    </w:p>
    <w:p w14:paraId="5F99901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合同当事人可以在专用合同条件中约定合同适用的其他规范性文件。</w:t>
      </w:r>
    </w:p>
    <w:p w14:paraId="491F7C8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19" w:name="_Toc54862181"/>
      <w:bookmarkStart w:id="120" w:name="_Ref531949594"/>
      <w:bookmarkStart w:id="121" w:name="_Ref531949589"/>
      <w:r>
        <w:rPr>
          <w:rFonts w:hint="eastAsia" w:ascii="宋体" w:hAnsi="宋体" w:eastAsia="宋体" w:cs="宋体"/>
          <w:b w:val="0"/>
          <w:bCs/>
          <w:color w:val="auto"/>
          <w:sz w:val="21"/>
          <w:szCs w:val="21"/>
        </w:rPr>
        <w:t>1.4 标准和规范</w:t>
      </w:r>
      <w:bookmarkEnd w:id="119"/>
      <w:bookmarkEnd w:id="120"/>
      <w:bookmarkEnd w:id="121"/>
    </w:p>
    <w:p w14:paraId="33B2488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22" w:name="_Ref4420991"/>
      <w:r>
        <w:rPr>
          <w:rFonts w:hint="eastAsia" w:ascii="宋体" w:hAnsi="宋体" w:eastAsia="宋体" w:cs="宋体"/>
          <w:color w:val="auto"/>
          <w:sz w:val="21"/>
          <w:szCs w:val="21"/>
        </w:rPr>
        <w:t>1.4.1 适用于工程的国家标准、行业标准、工程所在地的地方性标准，以及相应的规范、规程等，合同当事人有特别要求的，应在专用合同条件中约定。</w:t>
      </w:r>
      <w:bookmarkEnd w:id="122"/>
    </w:p>
    <w:p w14:paraId="0F7BDDB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23" w:name="_Ref531949642"/>
      <w:r>
        <w:rPr>
          <w:rFonts w:hint="eastAsia" w:ascii="宋体" w:hAnsi="宋体" w:eastAsia="宋体" w:cs="宋体"/>
          <w:color w:val="auto"/>
          <w:sz w:val="21"/>
          <w:szCs w:val="21"/>
        </w:rPr>
        <w:t>1.4.2 发包人要求使用国外标准、规范的，发包人负责提供原文版本和中文译本，并在专用合同条件中约定提供标准规范的名称、份数和时间。</w:t>
      </w:r>
      <w:bookmarkEnd w:id="123"/>
    </w:p>
    <w:p w14:paraId="28C72EA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24" w:name="_Ref531949657"/>
      <w:r>
        <w:rPr>
          <w:rFonts w:hint="eastAsia" w:ascii="宋体" w:hAnsi="宋体" w:eastAsia="宋体" w:cs="宋体"/>
          <w:color w:val="auto"/>
          <w:sz w:val="21"/>
          <w:szCs w:val="21"/>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124"/>
    </w:p>
    <w:p w14:paraId="6750393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25" w:name="_Ref4421272"/>
      <w:r>
        <w:rPr>
          <w:rFonts w:hint="eastAsia" w:ascii="宋体" w:hAnsi="宋体" w:eastAsia="宋体" w:cs="宋体"/>
          <w:color w:val="auto"/>
          <w:sz w:val="21"/>
          <w:szCs w:val="21"/>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125"/>
    </w:p>
    <w:p w14:paraId="6E72EA54">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26" w:name="_Toc54862182"/>
      <w:bookmarkStart w:id="127" w:name="_Ref4421717"/>
      <w:r>
        <w:rPr>
          <w:rFonts w:hint="eastAsia" w:ascii="宋体" w:hAnsi="宋体" w:eastAsia="宋体" w:cs="宋体"/>
          <w:b w:val="0"/>
          <w:bCs/>
          <w:color w:val="auto"/>
          <w:sz w:val="21"/>
          <w:szCs w:val="21"/>
        </w:rPr>
        <w:t>1.5 合同文件的优先顺序</w:t>
      </w:r>
      <w:bookmarkEnd w:id="114"/>
      <w:bookmarkEnd w:id="115"/>
      <w:bookmarkEnd w:id="126"/>
      <w:bookmarkEnd w:id="127"/>
    </w:p>
    <w:p w14:paraId="4D121B8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128" w:name="_Ref531948776"/>
      <w:r>
        <w:rPr>
          <w:rFonts w:hint="eastAsia" w:ascii="宋体" w:hAnsi="宋体" w:eastAsia="宋体" w:cs="宋体"/>
          <w:color w:val="auto"/>
          <w:sz w:val="21"/>
          <w:szCs w:val="21"/>
        </w:rPr>
        <w:t>组成合同的各项文件应互相解释，互为说明。除专用合同条件另有约定外，</w:t>
      </w:r>
      <w:bookmarkEnd w:id="128"/>
      <w:r>
        <w:rPr>
          <w:rFonts w:hint="eastAsia" w:ascii="宋体" w:hAnsi="宋体" w:eastAsia="宋体" w:cs="宋体"/>
          <w:color w:val="auto"/>
          <w:sz w:val="21"/>
          <w:szCs w:val="21"/>
        </w:rPr>
        <w:t>解释合同文件的优先顺序如下：</w:t>
      </w:r>
    </w:p>
    <w:p w14:paraId="3AD11C1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合同协议书；</w:t>
      </w:r>
    </w:p>
    <w:p w14:paraId="52745BF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中标通知书（如果有）；</w:t>
      </w:r>
    </w:p>
    <w:p w14:paraId="01475FA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投标函及投标函附录（如果有）；</w:t>
      </w:r>
    </w:p>
    <w:p w14:paraId="677AB65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专用合同条件及《发包人要求》等附件；</w:t>
      </w:r>
    </w:p>
    <w:p w14:paraId="35AD45C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通用合同条件；</w:t>
      </w:r>
    </w:p>
    <w:p w14:paraId="4CB0546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 承包人建议书； </w:t>
      </w:r>
    </w:p>
    <w:p w14:paraId="105D46A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价格清单；</w:t>
      </w:r>
    </w:p>
    <w:p w14:paraId="10C2179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 双方约定的其他合同文件。</w:t>
      </w:r>
    </w:p>
    <w:p w14:paraId="1057867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129" w:name="_Hlk18951547"/>
      <w:r>
        <w:rPr>
          <w:rFonts w:hint="eastAsia" w:ascii="宋体" w:hAnsi="宋体" w:eastAsia="宋体" w:cs="宋体"/>
          <w:color w:val="auto"/>
          <w:sz w:val="21"/>
          <w:szCs w:val="21"/>
        </w:rPr>
        <w:t>上述各项合同文件包括合同当事人就该项合同文件所作出的补充和修改，属于同一类内容的文件，应以最新签署的为准</w:t>
      </w:r>
      <w:bookmarkEnd w:id="129"/>
      <w:r>
        <w:rPr>
          <w:rFonts w:hint="eastAsia" w:ascii="宋体" w:hAnsi="宋体" w:eastAsia="宋体" w:cs="宋体"/>
          <w:color w:val="auto"/>
          <w:sz w:val="21"/>
          <w:szCs w:val="21"/>
        </w:rPr>
        <w:t>。</w:t>
      </w:r>
    </w:p>
    <w:p w14:paraId="71549AA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在合同订立及履行过程中形成的与合同有关的文件均构成合同文件组成部分，并根据其性质确定优先解释顺序。</w:t>
      </w:r>
    </w:p>
    <w:p w14:paraId="0085846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30" w:name="_Ref4422060"/>
      <w:bookmarkStart w:id="131" w:name="_Toc54862183"/>
      <w:bookmarkStart w:id="132" w:name="_Ref11917818"/>
      <w:bookmarkStart w:id="133" w:name="_Ref531949803"/>
      <w:bookmarkStart w:id="134" w:name="_Ref531949822"/>
      <w:bookmarkStart w:id="135" w:name="_Ref531949807"/>
      <w:r>
        <w:rPr>
          <w:rFonts w:hint="eastAsia" w:ascii="宋体" w:hAnsi="宋体" w:eastAsia="宋体" w:cs="宋体"/>
          <w:b w:val="0"/>
          <w:bCs/>
          <w:color w:val="auto"/>
          <w:sz w:val="21"/>
          <w:szCs w:val="21"/>
        </w:rPr>
        <w:t>1.6 文件的提供和</w:t>
      </w:r>
      <w:bookmarkEnd w:id="130"/>
      <w:r>
        <w:rPr>
          <w:rFonts w:hint="eastAsia" w:ascii="宋体" w:hAnsi="宋体" w:eastAsia="宋体" w:cs="宋体"/>
          <w:b w:val="0"/>
          <w:bCs/>
          <w:color w:val="auto"/>
          <w:sz w:val="21"/>
          <w:szCs w:val="21"/>
        </w:rPr>
        <w:t>照管</w:t>
      </w:r>
      <w:bookmarkEnd w:id="131"/>
      <w:bookmarkEnd w:id="132"/>
    </w:p>
    <w:p w14:paraId="37D3DB3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36" w:name="_Ref4421991"/>
      <w:r>
        <w:rPr>
          <w:rFonts w:hint="eastAsia" w:ascii="宋体" w:hAnsi="宋体" w:eastAsia="宋体" w:cs="宋体"/>
          <w:color w:val="auto"/>
          <w:sz w:val="21"/>
          <w:szCs w:val="21"/>
        </w:rPr>
        <w:t>1.6.1 发包人文件的提供</w:t>
      </w:r>
      <w:bookmarkEnd w:id="136"/>
    </w:p>
    <w:p w14:paraId="7A705BB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08C98F08">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37" w:name="_Ref4422317"/>
      <w:r>
        <w:rPr>
          <w:rFonts w:hint="eastAsia" w:ascii="宋体" w:hAnsi="宋体" w:eastAsia="宋体" w:cs="宋体"/>
          <w:color w:val="auto"/>
          <w:sz w:val="21"/>
          <w:szCs w:val="21"/>
        </w:rPr>
        <w:t>1.6.2 承包人文件的提供</w:t>
      </w:r>
      <w:bookmarkEnd w:id="137"/>
    </w:p>
    <w:p w14:paraId="02FFB695">
      <w:pPr>
        <w:keepNext w:val="0"/>
        <w:keepLines w:val="0"/>
        <w:pageBreakBefore w:val="0"/>
        <w:kinsoku/>
        <w:wordWrap/>
        <w:overflowPunct/>
        <w:topLinePunct w:val="0"/>
        <w:bidi w:val="0"/>
        <w:spacing w:after="0" w:line="440" w:lineRule="exact"/>
        <w:ind w:left="0" w:leftChars="0" w:firstLine="396" w:firstLineChars="200"/>
        <w:textAlignment w:val="auto"/>
        <w:rPr>
          <w:rFonts w:hint="eastAsia" w:ascii="宋体" w:hAnsi="宋体" w:eastAsia="宋体" w:cs="宋体"/>
          <w:color w:val="auto"/>
          <w:sz w:val="21"/>
          <w:szCs w:val="21"/>
        </w:rPr>
      </w:pPr>
      <w:r>
        <w:rPr>
          <w:rFonts w:hint="eastAsia" w:ascii="宋体" w:hAnsi="宋体" w:eastAsia="宋体" w:cs="宋体"/>
          <w:color w:val="auto"/>
          <w:spacing w:val="-6"/>
          <w:sz w:val="21"/>
          <w:szCs w:val="21"/>
        </w:rPr>
        <w:t>除专用合同条件另有约定外，承包人文件应包含下列内容，并用第1.2款[语言文字]约定的语言制作：</w:t>
      </w:r>
    </w:p>
    <w:p w14:paraId="60A6F1A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《发包人要求》中规定的相关文件；</w:t>
      </w:r>
    </w:p>
    <w:p w14:paraId="38F1B8F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满足工程相关行政审批手续所必须的应由承包人负责的相关文件；</w:t>
      </w:r>
    </w:p>
    <w:p w14:paraId="0722B43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第5.4款[竣工文件]与第5.5款[操作和维修手册]中要求的相关文件。</w:t>
      </w:r>
    </w:p>
    <w:p w14:paraId="386A03A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0755731D">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1.6.3 文件错误的通知</w:t>
      </w:r>
    </w:p>
    <w:p w14:paraId="2219C71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任何一方发现文件中存在明显的错误或疏忽，应及时通知另一方。</w:t>
      </w:r>
    </w:p>
    <w:p w14:paraId="1733271B">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38" w:name="_Ref4678410"/>
      <w:bookmarkStart w:id="139" w:name="_Ref11957673"/>
      <w:r>
        <w:rPr>
          <w:rFonts w:hint="eastAsia" w:ascii="宋体" w:hAnsi="宋体" w:eastAsia="宋体" w:cs="宋体"/>
          <w:color w:val="auto"/>
          <w:sz w:val="21"/>
          <w:szCs w:val="21"/>
        </w:rPr>
        <w:t>1.6.4 文件的</w:t>
      </w:r>
      <w:bookmarkEnd w:id="138"/>
      <w:r>
        <w:rPr>
          <w:rFonts w:hint="eastAsia" w:ascii="宋体" w:hAnsi="宋体" w:eastAsia="宋体" w:cs="宋体"/>
          <w:color w:val="auto"/>
          <w:sz w:val="21"/>
          <w:szCs w:val="21"/>
        </w:rPr>
        <w:t>照管</w:t>
      </w:r>
      <w:bookmarkEnd w:id="139"/>
    </w:p>
    <w:p w14:paraId="74D1010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4D785646">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40" w:name="_Ref4415170"/>
      <w:bookmarkStart w:id="141" w:name="_Toc54862184"/>
      <w:r>
        <w:rPr>
          <w:rFonts w:hint="eastAsia" w:ascii="宋体" w:hAnsi="宋体" w:eastAsia="宋体" w:cs="宋体"/>
          <w:b w:val="0"/>
          <w:bCs/>
          <w:color w:val="auto"/>
          <w:sz w:val="21"/>
          <w:szCs w:val="21"/>
        </w:rPr>
        <w:t>1.7 联络</w:t>
      </w:r>
      <w:bookmarkEnd w:id="140"/>
      <w:bookmarkEnd w:id="141"/>
    </w:p>
    <w:p w14:paraId="219EE55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25063FE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42" w:name="_Ref531949897"/>
      <w:r>
        <w:rPr>
          <w:rFonts w:hint="eastAsia" w:ascii="宋体" w:hAnsi="宋体" w:eastAsia="宋体" w:cs="宋体"/>
          <w:color w:val="auto"/>
          <w:sz w:val="21"/>
          <w:szCs w:val="21"/>
        </w:rPr>
        <w:t>1.7.2 发包人和承包人应在专用合同条件中约定各自的送达方式和收件地址。任何一方合同当事人指定的送达方式或收件地址发生变动的，应提前3天以书面形式通知对方。</w:t>
      </w:r>
      <w:bookmarkEnd w:id="142"/>
    </w:p>
    <w:p w14:paraId="1EDEF0E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1.7.3 发包人和承包人应当及时签收另一方通过约定的送达方式送达至收件地址的来往文件。拒不签收的，由此增加的费用和（或）延误的工期由拒绝接收一方承担。</w:t>
      </w:r>
    </w:p>
    <w:p w14:paraId="699DE1E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3DF9EF72">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43" w:name="_Toc54862185"/>
      <w:r>
        <w:rPr>
          <w:rFonts w:hint="eastAsia" w:ascii="宋体" w:hAnsi="宋体" w:eastAsia="宋体" w:cs="宋体"/>
          <w:b w:val="0"/>
          <w:bCs/>
          <w:color w:val="auto"/>
          <w:sz w:val="21"/>
          <w:szCs w:val="21"/>
        </w:rPr>
        <w:t>1.8 严禁贿赂</w:t>
      </w:r>
      <w:bookmarkEnd w:id="133"/>
      <w:bookmarkEnd w:id="134"/>
      <w:bookmarkEnd w:id="135"/>
      <w:bookmarkEnd w:id="143"/>
    </w:p>
    <w:p w14:paraId="5132184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合同当事人不得以贿赂或变相贿赂的方式，谋取非法利益或损害对方权益。因一方合同当事人的贿赂造成对方损失的，应赔偿损失，并承担相应的法律责任。</w:t>
      </w:r>
    </w:p>
    <w:p w14:paraId="485387F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承包人不得与工程师或发包人聘请的第三方串通损害发包人利益。未经发包人书面同意，承包人不得为工程师提供合同约定以外的通讯设备、交通工具及其他任何形式的利益，不得向工程师支付报酬。</w:t>
      </w:r>
    </w:p>
    <w:p w14:paraId="145C70B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44" w:name="_Toc54862186"/>
      <w:r>
        <w:rPr>
          <w:rFonts w:hint="eastAsia" w:ascii="宋体" w:hAnsi="宋体" w:eastAsia="宋体" w:cs="宋体"/>
          <w:b w:val="0"/>
          <w:bCs/>
          <w:color w:val="auto"/>
          <w:sz w:val="21"/>
          <w:szCs w:val="21"/>
        </w:rPr>
        <w:t>1.9 化石、文物</w:t>
      </w:r>
      <w:bookmarkEnd w:id="144"/>
    </w:p>
    <w:p w14:paraId="075A86E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3EAC7BB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发包人、工程师和承包人应按有关政府行政管理部门要求采取妥善的保护措施，由此增加的费用和（或）延误的工期由发包人承担。</w:t>
      </w:r>
    </w:p>
    <w:p w14:paraId="41193BE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承包人发现文物后不及时报告或隐瞒不报，致使文物丢失或损坏的，应赔偿损失，并承担相应的法律责任。</w:t>
      </w:r>
    </w:p>
    <w:p w14:paraId="227232B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45" w:name="_Ref531949766"/>
      <w:bookmarkStart w:id="146" w:name="_Toc54862187"/>
      <w:bookmarkStart w:id="147" w:name="_Ref4423426"/>
      <w:bookmarkStart w:id="148" w:name="_Ref531949770"/>
      <w:bookmarkStart w:id="149" w:name="_Ref531949841"/>
      <w:bookmarkStart w:id="150" w:name="_Ref531949826"/>
      <w:bookmarkStart w:id="151" w:name="_Ref531949855"/>
      <w:r>
        <w:rPr>
          <w:rFonts w:hint="eastAsia" w:ascii="宋体" w:hAnsi="宋体" w:eastAsia="宋体" w:cs="宋体"/>
          <w:b w:val="0"/>
          <w:bCs/>
          <w:color w:val="auto"/>
          <w:sz w:val="21"/>
          <w:szCs w:val="21"/>
        </w:rPr>
        <w:t>1.10 知识产权</w:t>
      </w:r>
      <w:bookmarkEnd w:id="145"/>
      <w:bookmarkEnd w:id="146"/>
      <w:bookmarkEnd w:id="147"/>
      <w:bookmarkEnd w:id="148"/>
      <w:r>
        <w:rPr>
          <w:rFonts w:hint="eastAsia" w:ascii="宋体" w:hAnsi="宋体" w:eastAsia="宋体" w:cs="宋体"/>
          <w:b w:val="0"/>
          <w:bCs/>
          <w:color w:val="auto"/>
          <w:sz w:val="21"/>
          <w:szCs w:val="21"/>
        </w:rPr>
        <w:t xml:space="preserve"> </w:t>
      </w:r>
    </w:p>
    <w:p w14:paraId="7718E6C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52" w:name="_Ref4423563"/>
      <w:r>
        <w:rPr>
          <w:rFonts w:hint="eastAsia" w:ascii="宋体" w:hAnsi="宋体" w:eastAsia="宋体" w:cs="宋体"/>
          <w:color w:val="auto"/>
          <w:sz w:val="21"/>
          <w:szCs w:val="21"/>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152"/>
    </w:p>
    <w:p w14:paraId="1F89BC5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53" w:name="_Ref4423604"/>
      <w:r>
        <w:rPr>
          <w:rFonts w:hint="eastAsia" w:ascii="宋体" w:hAnsi="宋体" w:eastAsia="宋体" w:cs="宋体"/>
          <w:color w:val="auto"/>
          <w:sz w:val="21"/>
          <w:szCs w:val="21"/>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153"/>
    </w:p>
    <w:p w14:paraId="691A5028">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36D33D6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54" w:name="_Ref4423695"/>
      <w:r>
        <w:rPr>
          <w:rFonts w:hint="eastAsia" w:ascii="宋体" w:hAnsi="宋体" w:eastAsia="宋体" w:cs="宋体"/>
          <w:color w:val="auto"/>
          <w:sz w:val="21"/>
          <w:szCs w:val="21"/>
        </w:rPr>
        <w:t>1.10.4 除专用合同条件另有约定外，承包人在</w:t>
      </w:r>
      <w:r>
        <w:rPr>
          <w:rFonts w:hint="eastAsia" w:cs="宋体"/>
          <w:color w:val="auto"/>
          <w:sz w:val="21"/>
          <w:szCs w:val="21"/>
          <w:lang w:eastAsia="zh-CN"/>
        </w:rPr>
        <w:t>磋商申请文件</w:t>
      </w:r>
      <w:r>
        <w:rPr>
          <w:rFonts w:hint="eastAsia" w:ascii="宋体" w:hAnsi="宋体" w:eastAsia="宋体" w:cs="宋体"/>
          <w:color w:val="auto"/>
          <w:sz w:val="21"/>
          <w:szCs w:val="21"/>
        </w:rPr>
        <w:t>中采用的专利、专有技术、商业软件、技术秘密的使用费已包含在签约合同价中。</w:t>
      </w:r>
      <w:bookmarkEnd w:id="154"/>
    </w:p>
    <w:p w14:paraId="5C105BB8">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2F70364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55" w:name="_Ref4423898"/>
      <w:bookmarkStart w:id="156" w:name="_Ref4423873"/>
      <w:bookmarkStart w:id="157" w:name="_Toc54862188"/>
      <w:r>
        <w:rPr>
          <w:rFonts w:hint="eastAsia" w:ascii="宋体" w:hAnsi="宋体" w:eastAsia="宋体" w:cs="宋体"/>
          <w:b w:val="0"/>
          <w:bCs/>
          <w:color w:val="auto"/>
          <w:sz w:val="21"/>
          <w:szCs w:val="21"/>
        </w:rPr>
        <w:t>1.11 保密</w:t>
      </w:r>
      <w:bookmarkEnd w:id="149"/>
      <w:bookmarkEnd w:id="150"/>
      <w:bookmarkEnd w:id="151"/>
      <w:bookmarkEnd w:id="155"/>
      <w:bookmarkEnd w:id="156"/>
      <w:bookmarkEnd w:id="157"/>
    </w:p>
    <w:p w14:paraId="00848D4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合同当事人一方对在订立和履行合同过程中知悉的另一方的商业秘密、技术秘密，以及任何一方明确要求保密的其它信息，负有保密责任。</w:t>
      </w:r>
    </w:p>
    <w:p w14:paraId="44CBAE0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除法律规定或合同另有约定外，未经对方同意，任何一方当事人不得将对方提供的文件、技术秘密以及声明需要保密的资料信息等商业秘密泄露给第三方或者用于本合同以外的目的。</w:t>
      </w:r>
    </w:p>
    <w:p w14:paraId="58B3F0C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5FC1C66E">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58" w:name="_Toc54862189"/>
      <w:bookmarkStart w:id="159" w:name="_Ref532336812"/>
      <w:r>
        <w:rPr>
          <w:rFonts w:hint="eastAsia" w:ascii="宋体" w:hAnsi="宋体" w:eastAsia="宋体" w:cs="宋体"/>
          <w:b w:val="0"/>
          <w:bCs/>
          <w:color w:val="auto"/>
          <w:sz w:val="21"/>
          <w:szCs w:val="21"/>
        </w:rPr>
        <w:t xml:space="preserve">1.12 </w:t>
      </w:r>
      <w:bookmarkStart w:id="160" w:name="_Hlk55215423"/>
      <w:r>
        <w:rPr>
          <w:rFonts w:hint="eastAsia" w:ascii="宋体" w:hAnsi="宋体" w:eastAsia="宋体" w:cs="宋体"/>
          <w:b w:val="0"/>
          <w:bCs/>
          <w:color w:val="auto"/>
          <w:sz w:val="21"/>
          <w:szCs w:val="21"/>
        </w:rPr>
        <w:t>《发包人要求》和基础资料中的错误</w:t>
      </w:r>
      <w:bookmarkEnd w:id="158"/>
      <w:bookmarkEnd w:id="159"/>
      <w:bookmarkEnd w:id="160"/>
    </w:p>
    <w:p w14:paraId="7457708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承包人应尽早认真阅读、复核《发包人要求》以及其提供的基础资料，发现错误的，应及时书面通知发包人补正。发包人作相应修改的，按照第13条[变更与调整</w:t>
      </w:r>
      <w:bookmarkStart w:id="161" w:name="_Ref523403409"/>
      <w:bookmarkStart w:id="162" w:name="_Ref523403776"/>
      <w:r>
        <w:rPr>
          <w:rFonts w:hint="eastAsia" w:ascii="宋体" w:hAnsi="宋体" w:eastAsia="宋体" w:cs="宋体"/>
          <w:color w:val="auto"/>
          <w:sz w:val="21"/>
          <w:szCs w:val="21"/>
        </w:rPr>
        <w:t>]的约定处理。</w:t>
      </w:r>
    </w:p>
    <w:p w14:paraId="4F17140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《发包人要求》或其提供的基础资料中的错误导致承包人增加费用和（或）工期延误的，发包人应承担由此增加的费用和（或）工期延误，并向承包人支付合理利润。</w:t>
      </w:r>
    </w:p>
    <w:bookmarkEnd w:id="161"/>
    <w:bookmarkEnd w:id="162"/>
    <w:p w14:paraId="0D855C0A">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63" w:name="_Ref531949937"/>
      <w:bookmarkStart w:id="164" w:name="_Toc54862190"/>
      <w:bookmarkStart w:id="165" w:name="_Ref531949933"/>
      <w:r>
        <w:rPr>
          <w:rFonts w:hint="eastAsia" w:ascii="宋体" w:hAnsi="宋体" w:eastAsia="宋体" w:cs="宋体"/>
          <w:b w:val="0"/>
          <w:bCs/>
          <w:color w:val="auto"/>
          <w:sz w:val="21"/>
          <w:szCs w:val="21"/>
        </w:rPr>
        <w:t>1.13 责任限制</w:t>
      </w:r>
      <w:bookmarkEnd w:id="163"/>
      <w:bookmarkEnd w:id="164"/>
      <w:bookmarkEnd w:id="165"/>
    </w:p>
    <w:p w14:paraId="6580159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043687E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66" w:name="_Toc54862191"/>
      <w:bookmarkStart w:id="167" w:name="_Hlk51506160"/>
      <w:r>
        <w:rPr>
          <w:rFonts w:hint="eastAsia" w:ascii="宋体" w:hAnsi="宋体" w:eastAsia="宋体" w:cs="宋体"/>
          <w:b w:val="0"/>
          <w:bCs/>
          <w:color w:val="auto"/>
          <w:sz w:val="21"/>
          <w:szCs w:val="21"/>
        </w:rPr>
        <w:t>1.14 建筑信息模型技术的应用</w:t>
      </w:r>
      <w:bookmarkEnd w:id="166"/>
    </w:p>
    <w:bookmarkEnd w:id="167"/>
    <w:p w14:paraId="3E1195C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如果项目中拟采用建筑信息模型技术，合同双方应遵守国家现行相关标准的规定，并符合项目所在地的相关地方标准或指南</w:t>
      </w:r>
      <w:r>
        <w:rPr>
          <w:rFonts w:hint="eastAsia" w:ascii="宋体" w:hAnsi="宋体" w:eastAsia="宋体" w:cs="宋体"/>
          <w:color w:val="auto"/>
          <w:spacing w:val="-6"/>
          <w:sz w:val="21"/>
          <w:szCs w:val="21"/>
        </w:rPr>
        <w:t>。合同双方应在专用合同条件中就建筑信息模型的开发、使用、存储、传输、交付及费用等相关内容进行约定。除专用合同条件另有约定外，承包人应负责与本项目中其他使用方协商。</w:t>
      </w:r>
    </w:p>
    <w:p w14:paraId="61AEF1A6">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168" w:name="_Ref4796511"/>
      <w:bookmarkStart w:id="169" w:name="_Toc54862192"/>
      <w:r>
        <w:rPr>
          <w:rFonts w:hint="eastAsia" w:ascii="宋体" w:hAnsi="宋体" w:eastAsia="宋体" w:cs="宋体"/>
          <w:b w:val="0"/>
          <w:bCs/>
          <w:color w:val="auto"/>
          <w:sz w:val="21"/>
          <w:szCs w:val="21"/>
        </w:rPr>
        <w:t>第2条 发包人</w:t>
      </w:r>
      <w:bookmarkEnd w:id="168"/>
      <w:bookmarkEnd w:id="169"/>
    </w:p>
    <w:p w14:paraId="5A86DEDE">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70" w:name="_Toc54862193"/>
      <w:r>
        <w:rPr>
          <w:rFonts w:hint="eastAsia" w:ascii="宋体" w:hAnsi="宋体" w:eastAsia="宋体" w:cs="宋体"/>
          <w:b w:val="0"/>
          <w:bCs/>
          <w:color w:val="auto"/>
          <w:sz w:val="21"/>
          <w:szCs w:val="21"/>
        </w:rPr>
        <w:t>2.1 遵守法律</w:t>
      </w:r>
      <w:bookmarkEnd w:id="170"/>
    </w:p>
    <w:p w14:paraId="0B2BB6F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53B62179">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71" w:name="_Ref11917995"/>
      <w:bookmarkStart w:id="172" w:name="_Ref11917977"/>
      <w:bookmarkStart w:id="173" w:name="_Toc54862194"/>
      <w:r>
        <w:rPr>
          <w:rFonts w:hint="eastAsia" w:ascii="宋体" w:hAnsi="宋体" w:eastAsia="宋体" w:cs="宋体"/>
          <w:b w:val="0"/>
          <w:bCs/>
          <w:color w:val="auto"/>
          <w:sz w:val="21"/>
          <w:szCs w:val="21"/>
        </w:rPr>
        <w:t>2.2 提供施工现场和工作条件</w:t>
      </w:r>
      <w:bookmarkEnd w:id="171"/>
      <w:bookmarkEnd w:id="172"/>
      <w:bookmarkEnd w:id="173"/>
      <w:bookmarkStart w:id="174" w:name="_Toc51505125"/>
      <w:bookmarkEnd w:id="174"/>
      <w:bookmarkStart w:id="175" w:name="_Toc54862195"/>
      <w:bookmarkEnd w:id="175"/>
      <w:bookmarkStart w:id="176" w:name="_Toc54862196"/>
      <w:bookmarkEnd w:id="176"/>
      <w:bookmarkStart w:id="177" w:name="_Toc51505123"/>
      <w:bookmarkEnd w:id="177"/>
      <w:bookmarkStart w:id="178" w:name="_Toc54862197"/>
      <w:bookmarkEnd w:id="178"/>
      <w:bookmarkStart w:id="179" w:name="_Toc51505124"/>
      <w:bookmarkEnd w:id="179"/>
      <w:bookmarkStart w:id="180" w:name="_Ref531950085"/>
    </w:p>
    <w:p w14:paraId="0D273E7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2.2.1 提供施工</w:t>
      </w:r>
      <w:bookmarkEnd w:id="180"/>
      <w:r>
        <w:rPr>
          <w:rFonts w:hint="eastAsia" w:ascii="宋体" w:hAnsi="宋体" w:eastAsia="宋体" w:cs="宋体"/>
          <w:color w:val="auto"/>
          <w:sz w:val="21"/>
          <w:szCs w:val="21"/>
        </w:rPr>
        <w:t>现场</w:t>
      </w:r>
    </w:p>
    <w:p w14:paraId="62AFB6F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4C49D58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81" w:name="_Ref531950101"/>
      <w:r>
        <w:rPr>
          <w:rFonts w:hint="eastAsia" w:ascii="宋体" w:hAnsi="宋体" w:eastAsia="宋体" w:cs="宋体"/>
          <w:color w:val="auto"/>
          <w:sz w:val="21"/>
          <w:szCs w:val="21"/>
        </w:rPr>
        <w:t>2.2.2 提供工作条件</w:t>
      </w:r>
      <w:bookmarkEnd w:id="181"/>
    </w:p>
    <w:p w14:paraId="1786F68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发包人应按专用合同条件约定向承包人提供工作条件。专用合同条件对此没有约定的，发包人应负责提供开展本合同相关工作所需要的条件，包括：</w:t>
      </w:r>
    </w:p>
    <w:p w14:paraId="1DE102D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将施工用水、电力、通讯线路等施工所必需的条件接至施工现场内；</w:t>
      </w:r>
    </w:p>
    <w:p w14:paraId="0B23284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保证向承包人提供正常施工所需要的进入施工现场的交通条件；</w:t>
      </w:r>
    </w:p>
    <w:p w14:paraId="789B3EF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协调处理施工现场周围地下管线和邻近建筑物、构筑物、古树名木、文物、化石及坟墓等的保护工作，并承担相关费用；</w:t>
      </w:r>
    </w:p>
    <w:p w14:paraId="78ACA98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对工程现场临近发包人正在使用、运行、或由发包人用于生产的建筑物、构筑物、生产装置、设施、设备等，设置隔离设施，竖立禁止入内、禁止动火的明显标志， 并以书面形式通知承包人须遵守的安全规定和位置范围；</w:t>
      </w:r>
    </w:p>
    <w:p w14:paraId="7E7A757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按照专用合同条件约定应提供的其他设施和条件。</w:t>
      </w:r>
    </w:p>
    <w:p w14:paraId="077DCB5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2.2.3 逾期提供的责任</w:t>
      </w:r>
    </w:p>
    <w:p w14:paraId="7CEC2AA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因发包人原因未能按合同约定及时向承包人提供施工现场和施工条件的，由发包人承担由此增加的费用和（或）延误的工期。</w:t>
      </w:r>
    </w:p>
    <w:p w14:paraId="267FBC1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82" w:name="_Ref11918025"/>
      <w:bookmarkStart w:id="183" w:name="_Ref11918036"/>
      <w:bookmarkStart w:id="184" w:name="_Toc54862198"/>
      <w:bookmarkStart w:id="185" w:name="_Ref11956654"/>
      <w:bookmarkStart w:id="186" w:name="_Ref11956647"/>
      <w:r>
        <w:rPr>
          <w:rFonts w:hint="eastAsia" w:ascii="宋体" w:hAnsi="宋体" w:eastAsia="宋体" w:cs="宋体"/>
          <w:b w:val="0"/>
          <w:bCs/>
          <w:color w:val="auto"/>
          <w:sz w:val="21"/>
          <w:szCs w:val="21"/>
        </w:rPr>
        <w:t>2.3 提供基础资料</w:t>
      </w:r>
      <w:bookmarkEnd w:id="182"/>
      <w:bookmarkEnd w:id="183"/>
      <w:bookmarkEnd w:id="184"/>
      <w:bookmarkEnd w:id="185"/>
      <w:bookmarkEnd w:id="186"/>
    </w:p>
    <w:p w14:paraId="5B0185C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187" w:name="_Hlk51506429"/>
      <w:r>
        <w:rPr>
          <w:rFonts w:hint="eastAsia" w:ascii="宋体" w:hAnsi="宋体" w:eastAsia="宋体" w:cs="宋体"/>
          <w:color w:val="auto"/>
          <w:sz w:val="21"/>
          <w:szCs w:val="21"/>
        </w:rPr>
        <w:t>发包人应按专用合同条件和《发包人要求》中的约定向承包人提供</w:t>
      </w:r>
      <w:bookmarkEnd w:id="187"/>
      <w:r>
        <w:rPr>
          <w:rFonts w:hint="eastAsia" w:ascii="宋体" w:hAnsi="宋体" w:eastAsia="宋体" w:cs="宋体"/>
          <w:color w:val="auto"/>
          <w:sz w:val="21"/>
          <w:szCs w:val="21"/>
        </w:rPr>
        <w:t>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1E60BDE3">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88" w:name="_Ref531950041"/>
      <w:bookmarkStart w:id="189" w:name="_Ref531950045"/>
      <w:bookmarkStart w:id="190" w:name="_Toc54862199"/>
      <w:r>
        <w:rPr>
          <w:rFonts w:hint="eastAsia" w:ascii="宋体" w:hAnsi="宋体" w:eastAsia="宋体" w:cs="宋体"/>
          <w:b w:val="0"/>
          <w:bCs/>
          <w:color w:val="auto"/>
          <w:sz w:val="21"/>
          <w:szCs w:val="21"/>
        </w:rPr>
        <w:t>2.4 办理许可和批准</w:t>
      </w:r>
      <w:bookmarkEnd w:id="188"/>
      <w:bookmarkEnd w:id="189"/>
      <w:bookmarkEnd w:id="190"/>
    </w:p>
    <w:p w14:paraId="5A4E00CE">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91" w:name="_Toc51505128"/>
      <w:r>
        <w:rPr>
          <w:rFonts w:hint="eastAsia" w:ascii="宋体" w:hAnsi="宋体" w:eastAsia="宋体" w:cs="宋体"/>
          <w:color w:val="auto"/>
          <w:sz w:val="21"/>
          <w:szCs w:val="21"/>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191"/>
    </w:p>
    <w:p w14:paraId="413082E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92" w:name="_Toc51505129"/>
      <w:r>
        <w:rPr>
          <w:rFonts w:hint="eastAsia" w:ascii="宋体" w:hAnsi="宋体" w:eastAsia="宋体" w:cs="宋体"/>
          <w:color w:val="auto"/>
          <w:sz w:val="21"/>
          <w:szCs w:val="21"/>
        </w:rPr>
        <w:t>2.4.2 因发包人原因未能及时办理完毕前述许可、批准或备案，由发包人承担由此增加的费用和（或）延误的工期，并支付承包人合理的利润。</w:t>
      </w:r>
      <w:bookmarkEnd w:id="192"/>
    </w:p>
    <w:p w14:paraId="3FCC934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193" w:name="_Ref11956533"/>
      <w:bookmarkStart w:id="194" w:name="_Ref11918060"/>
      <w:bookmarkStart w:id="195" w:name="_Ref11956525"/>
      <w:bookmarkStart w:id="196" w:name="_Ref11918070"/>
      <w:bookmarkStart w:id="197" w:name="_Toc54862200"/>
      <w:r>
        <w:rPr>
          <w:rFonts w:hint="eastAsia" w:ascii="宋体" w:hAnsi="宋体" w:eastAsia="宋体" w:cs="宋体"/>
          <w:b w:val="0"/>
          <w:bCs/>
          <w:color w:val="auto"/>
          <w:sz w:val="21"/>
          <w:szCs w:val="21"/>
        </w:rPr>
        <w:t>2.5 支付合同价款</w:t>
      </w:r>
      <w:bookmarkEnd w:id="193"/>
      <w:bookmarkEnd w:id="194"/>
      <w:bookmarkEnd w:id="195"/>
      <w:bookmarkEnd w:id="196"/>
      <w:bookmarkEnd w:id="197"/>
    </w:p>
    <w:p w14:paraId="145221F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198" w:name="_Toc51505131"/>
      <w:bookmarkStart w:id="199" w:name="_Ref531950147"/>
      <w:r>
        <w:rPr>
          <w:rFonts w:hint="eastAsia" w:ascii="宋体" w:hAnsi="宋体" w:eastAsia="宋体" w:cs="宋体"/>
          <w:color w:val="auto"/>
          <w:sz w:val="21"/>
          <w:szCs w:val="21"/>
        </w:rPr>
        <w:t>2.5.1 发包人应按合同约定向承包人及时支付合同价款。</w:t>
      </w:r>
      <w:bookmarkEnd w:id="198"/>
    </w:p>
    <w:bookmarkEnd w:id="199"/>
    <w:p w14:paraId="7552465B">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00" w:name="_Toc51505132"/>
      <w:r>
        <w:rPr>
          <w:rFonts w:hint="eastAsia" w:ascii="宋体" w:hAnsi="宋体" w:eastAsia="宋体" w:cs="宋体"/>
          <w:color w:val="auto"/>
          <w:sz w:val="21"/>
          <w:szCs w:val="21"/>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200"/>
    </w:p>
    <w:p w14:paraId="5259E29D">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01" w:name="_Toc51505133"/>
      <w:bookmarkStart w:id="202" w:name="_Ref531950161"/>
      <w:r>
        <w:rPr>
          <w:rFonts w:hint="eastAsia" w:ascii="宋体" w:hAnsi="宋体" w:eastAsia="宋体" w:cs="宋体"/>
          <w:color w:val="auto"/>
          <w:sz w:val="21"/>
          <w:szCs w:val="21"/>
        </w:rPr>
        <w:t>2.5.3 发包人应当向承包人提供支付担保。支付担保可以采用银行保函或担保公司担保等形式，具体由合同当事人在专用合同条件中约定。</w:t>
      </w:r>
      <w:bookmarkEnd w:id="201"/>
      <w:bookmarkEnd w:id="202"/>
    </w:p>
    <w:p w14:paraId="34FF96B9">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03" w:name="_Toc54862201"/>
      <w:r>
        <w:rPr>
          <w:rFonts w:hint="eastAsia" w:ascii="宋体" w:hAnsi="宋体" w:eastAsia="宋体" w:cs="宋体"/>
          <w:b w:val="0"/>
          <w:bCs/>
          <w:color w:val="auto"/>
          <w:sz w:val="21"/>
          <w:szCs w:val="21"/>
        </w:rPr>
        <w:t>2.6 现场管理配合</w:t>
      </w:r>
      <w:bookmarkEnd w:id="203"/>
    </w:p>
    <w:p w14:paraId="2569D9F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发包人应负责保证在现场或现场附近的发包人人员和发包人的其他承包人（如有）：</w:t>
      </w:r>
    </w:p>
    <w:p w14:paraId="4FDFC11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根据第7.3款[现场合作]的约定，与承包人进行合作；</w:t>
      </w:r>
    </w:p>
    <w:p w14:paraId="16F1AC8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遵守第7.5款[现场劳动用工]、第7.6款[安全文明施工]、第7.7款[职业健康</w:t>
      </w:r>
      <w:bookmarkStart w:id="204" w:name="_Ref531952756"/>
      <w:bookmarkStart w:id="205" w:name="_Ref531952761"/>
      <w:r>
        <w:rPr>
          <w:rFonts w:hint="eastAsia" w:ascii="宋体" w:hAnsi="宋体" w:eastAsia="宋体" w:cs="宋体"/>
          <w:color w:val="auto"/>
          <w:sz w:val="21"/>
          <w:szCs w:val="21"/>
        </w:rPr>
        <w:t>]和第7.8款[环境保护]的相关约定。</w:t>
      </w:r>
    </w:p>
    <w:p w14:paraId="4058155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发包人应与承包人、由发包人直接发包的其他承包人（如有）订立施工现场统一管理协议，明确各方的权利义务。</w:t>
      </w:r>
    </w:p>
    <w:p w14:paraId="54B919BA">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06" w:name="_Toc54862202"/>
      <w:bookmarkStart w:id="207" w:name="_Ref11959376"/>
      <w:bookmarkStart w:id="208" w:name="_Ref11959372"/>
      <w:r>
        <w:rPr>
          <w:rFonts w:hint="eastAsia" w:ascii="宋体" w:hAnsi="宋体" w:eastAsia="宋体" w:cs="宋体"/>
          <w:b w:val="0"/>
          <w:bCs/>
          <w:color w:val="auto"/>
          <w:sz w:val="21"/>
          <w:szCs w:val="21"/>
        </w:rPr>
        <w:t>2.7 其他义务</w:t>
      </w:r>
      <w:bookmarkEnd w:id="206"/>
      <w:bookmarkEnd w:id="207"/>
      <w:bookmarkEnd w:id="208"/>
    </w:p>
    <w:p w14:paraId="52078D2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发包人应履行合同约定的其他义务，双方可在专用合同条件内对发包人应履行的其他义务进行补充约定。</w:t>
      </w:r>
    </w:p>
    <w:bookmarkEnd w:id="204"/>
    <w:bookmarkEnd w:id="205"/>
    <w:p w14:paraId="050C68EB">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209" w:name="_Toc54862203"/>
      <w:bookmarkStart w:id="210" w:name="_Ref531952791"/>
      <w:r>
        <w:rPr>
          <w:rFonts w:hint="eastAsia" w:ascii="宋体" w:hAnsi="宋体" w:eastAsia="宋体" w:cs="宋体"/>
          <w:b w:val="0"/>
          <w:bCs/>
          <w:color w:val="auto"/>
          <w:sz w:val="21"/>
          <w:szCs w:val="21"/>
        </w:rPr>
        <w:t>第3条 发包人的管理</w:t>
      </w:r>
      <w:bookmarkEnd w:id="209"/>
      <w:bookmarkEnd w:id="210"/>
    </w:p>
    <w:p w14:paraId="5DA7DC52">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11" w:name="_Ref522810097"/>
      <w:bookmarkStart w:id="212" w:name="_Ref522810094"/>
      <w:bookmarkStart w:id="213" w:name="_Ref531951533"/>
      <w:bookmarkStart w:id="214" w:name="_Toc54862204"/>
      <w:bookmarkStart w:id="215" w:name="_Ref531951538"/>
      <w:r>
        <w:rPr>
          <w:rFonts w:hint="eastAsia" w:ascii="宋体" w:hAnsi="宋体" w:eastAsia="宋体" w:cs="宋体"/>
          <w:b w:val="0"/>
          <w:bCs/>
          <w:color w:val="auto"/>
          <w:sz w:val="21"/>
          <w:szCs w:val="21"/>
        </w:rPr>
        <w:t>3.1 发包人</w:t>
      </w:r>
      <w:bookmarkEnd w:id="211"/>
      <w:bookmarkEnd w:id="212"/>
      <w:r>
        <w:rPr>
          <w:rFonts w:hint="eastAsia" w:ascii="宋体" w:hAnsi="宋体" w:eastAsia="宋体" w:cs="宋体"/>
          <w:b w:val="0"/>
          <w:bCs/>
          <w:color w:val="auto"/>
          <w:sz w:val="21"/>
          <w:szCs w:val="21"/>
        </w:rPr>
        <w:t>代表</w:t>
      </w:r>
      <w:bookmarkEnd w:id="213"/>
      <w:bookmarkEnd w:id="214"/>
      <w:bookmarkEnd w:id="215"/>
    </w:p>
    <w:p w14:paraId="26E8184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0A6D91F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除非发包人另行通知承包人，发包人代表应被授予并且被认为具有发包人在授权范围内享有的相应权利，涉及第16.1款[由发包人解除合同]的权利除外。</w:t>
      </w:r>
    </w:p>
    <w:p w14:paraId="2548663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发包人代表（或者在其为法人的情况下，被任命代表其行事的自然人）应：</w:t>
      </w:r>
    </w:p>
    <w:p w14:paraId="2405B0D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履行指派给其的职责，行使发包人托付给的权利；</w:t>
      </w:r>
    </w:p>
    <w:p w14:paraId="592B07B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具备履行这些职责、行使这些权利的能力；</w:t>
      </w:r>
    </w:p>
    <w:p w14:paraId="346EF24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作为熟练的专业人员行事。</w:t>
      </w:r>
    </w:p>
    <w:p w14:paraId="21F261E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3BA1099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1CA443C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发包人代表不能按照合同约定履行其职责及义务，并导致合同无法继续正常履行的，承包人可以要求发包人撤换发包人代表。</w:t>
      </w:r>
    </w:p>
    <w:p w14:paraId="771322C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16" w:name="_Ref531951553"/>
      <w:bookmarkStart w:id="217" w:name="_Toc54862205"/>
      <w:bookmarkStart w:id="218" w:name="_Ref531951557"/>
      <w:r>
        <w:rPr>
          <w:rFonts w:hint="eastAsia" w:ascii="宋体" w:hAnsi="宋体" w:eastAsia="宋体" w:cs="宋体"/>
          <w:b w:val="0"/>
          <w:bCs/>
          <w:color w:val="auto"/>
          <w:sz w:val="21"/>
          <w:szCs w:val="21"/>
        </w:rPr>
        <w:t>3.2 发包人人员</w:t>
      </w:r>
      <w:bookmarkEnd w:id="216"/>
      <w:bookmarkEnd w:id="217"/>
      <w:bookmarkEnd w:id="218"/>
    </w:p>
    <w:p w14:paraId="68A7DB3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5A436B0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发包人应要求在施工现场的发包人人员遵守法律及有关安全、质量、环境保护、文明施工等规定，因发包人人员未遵守上述要求给承包人造成的损失和责任由发包人承担。</w:t>
      </w:r>
    </w:p>
    <w:p w14:paraId="5BC9466A">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19" w:name="_Toc54862206"/>
      <w:r>
        <w:rPr>
          <w:rFonts w:hint="eastAsia" w:ascii="宋体" w:hAnsi="宋体" w:eastAsia="宋体" w:cs="宋体"/>
          <w:b w:val="0"/>
          <w:bCs/>
          <w:color w:val="auto"/>
          <w:sz w:val="21"/>
          <w:szCs w:val="21"/>
        </w:rPr>
        <w:t>3.3 工程师</w:t>
      </w:r>
      <w:bookmarkEnd w:id="219"/>
      <w:r>
        <w:rPr>
          <w:rFonts w:hint="eastAsia" w:ascii="宋体" w:hAnsi="宋体" w:eastAsia="宋体" w:cs="宋体"/>
          <w:b w:val="0"/>
          <w:bCs/>
          <w:color w:val="auto"/>
          <w:sz w:val="21"/>
          <w:szCs w:val="21"/>
        </w:rPr>
        <w:t xml:space="preserve"> </w:t>
      </w:r>
    </w:p>
    <w:p w14:paraId="5B20BB6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4F499DC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4AB4330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7580003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36509806">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20" w:name="_Toc54862207"/>
      <w:bookmarkStart w:id="221" w:name="_Ref531951594"/>
      <w:bookmarkStart w:id="222" w:name="_Ref531951597"/>
      <w:r>
        <w:rPr>
          <w:rFonts w:hint="eastAsia" w:ascii="宋体" w:hAnsi="宋体" w:eastAsia="宋体" w:cs="宋体"/>
          <w:b w:val="0"/>
          <w:bCs/>
          <w:color w:val="auto"/>
          <w:sz w:val="21"/>
          <w:szCs w:val="21"/>
        </w:rPr>
        <w:t>3.4 任命和授权</w:t>
      </w:r>
      <w:bookmarkEnd w:id="220"/>
    </w:p>
    <w:p w14:paraId="7BCB0B2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0B53844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756E2A2A">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23" w:name="_Toc54862208"/>
      <w:bookmarkStart w:id="224" w:name="_Ref20165400"/>
      <w:r>
        <w:rPr>
          <w:rFonts w:hint="eastAsia" w:ascii="宋体" w:hAnsi="宋体" w:eastAsia="宋体" w:cs="宋体"/>
          <w:b w:val="0"/>
          <w:bCs/>
          <w:color w:val="auto"/>
          <w:sz w:val="21"/>
          <w:szCs w:val="21"/>
        </w:rPr>
        <w:t>3.5 指示</w:t>
      </w:r>
      <w:bookmarkEnd w:id="221"/>
      <w:bookmarkEnd w:id="222"/>
      <w:bookmarkEnd w:id="223"/>
      <w:bookmarkEnd w:id="224"/>
    </w:p>
    <w:p w14:paraId="5ED83D1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6688FB7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3.5.2 承包人收到工程师作出的指示后应遵照执行。如果任何此类指示构成一项变更时，应按照第13条[变更与调整]的约定办理。</w:t>
      </w:r>
    </w:p>
    <w:p w14:paraId="6EC81E2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3.5.3 由于工程师未能按合同约定发出指示、指示延误或指示错误而导致承包人费用增加和（或）工期延误的，发包人应承担由此增加的费用和（或）工期延误，并向承包人支付合理利润。</w:t>
      </w:r>
    </w:p>
    <w:p w14:paraId="43C5FAA9">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25" w:name="_Ref531951611"/>
      <w:bookmarkStart w:id="226" w:name="_Toc54862209"/>
      <w:bookmarkStart w:id="227" w:name="_Ref531951609"/>
      <w:r>
        <w:rPr>
          <w:rFonts w:hint="eastAsia" w:ascii="宋体" w:hAnsi="宋体" w:eastAsia="宋体" w:cs="宋体"/>
          <w:b w:val="0"/>
          <w:bCs/>
          <w:color w:val="auto"/>
          <w:sz w:val="21"/>
          <w:szCs w:val="21"/>
        </w:rPr>
        <w:t>3.6 商定或确定</w:t>
      </w:r>
      <w:bookmarkEnd w:id="225"/>
      <w:bookmarkEnd w:id="226"/>
      <w:bookmarkEnd w:id="227"/>
    </w:p>
    <w:p w14:paraId="747A1C2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3.6.1 合同约定工程师应按照本款对任何事项进行商定或确定时，工程师应及时与合同当事人协商，尽量达成一致。工程师应将商定的结果以书面形式通知发包人和承包人，并由双方签署确认。</w:t>
      </w:r>
    </w:p>
    <w:p w14:paraId="31245FED">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284DB14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28" w:name="_Ref532287856"/>
      <w:r>
        <w:rPr>
          <w:rFonts w:hint="eastAsia" w:ascii="宋体" w:hAnsi="宋体" w:eastAsia="宋体" w:cs="宋体"/>
          <w:color w:val="auto"/>
          <w:sz w:val="21"/>
          <w:szCs w:val="21"/>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228"/>
    </w:p>
    <w:p w14:paraId="0D66BD9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3.6.4 在该争议解决前，双方应暂按工程师的确定执行。按照第20条[争议解决]的约定对工程师的确定作出修改的，按修改后的结果执行，由此导致承包人增加的费用和延误的工期由责任方承担。</w:t>
      </w:r>
    </w:p>
    <w:p w14:paraId="6D2A2EC4">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29" w:name="_Ref531951749"/>
      <w:bookmarkStart w:id="230" w:name="_Ref531951747"/>
      <w:bookmarkStart w:id="231" w:name="_Toc54862210"/>
      <w:r>
        <w:rPr>
          <w:rFonts w:hint="eastAsia" w:ascii="宋体" w:hAnsi="宋体" w:eastAsia="宋体" w:cs="宋体"/>
          <w:b w:val="0"/>
          <w:bCs/>
          <w:color w:val="auto"/>
          <w:sz w:val="21"/>
          <w:szCs w:val="21"/>
        </w:rPr>
        <w:t>3.7 会议</w:t>
      </w:r>
      <w:bookmarkEnd w:id="229"/>
      <w:bookmarkEnd w:id="230"/>
      <w:bookmarkEnd w:id="231"/>
    </w:p>
    <w:p w14:paraId="13299BD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0583384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3.7.2 除专用合同条件另有约定外，发包人应保存每次会议参加人签名的记录，并将会议纪要提供给出席会议的人员。任何根据此类会议以及会议纪要采取的行动应符合本合同的约定。</w:t>
      </w:r>
    </w:p>
    <w:p w14:paraId="711EA537">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232" w:name="_Toc54862211"/>
      <w:bookmarkStart w:id="233" w:name="_Ref531952805"/>
      <w:r>
        <w:rPr>
          <w:rFonts w:hint="eastAsia" w:ascii="宋体" w:hAnsi="宋体" w:eastAsia="宋体" w:cs="宋体"/>
          <w:b w:val="0"/>
          <w:bCs/>
          <w:color w:val="auto"/>
          <w:sz w:val="21"/>
          <w:szCs w:val="21"/>
        </w:rPr>
        <w:t>第4条 承包人</w:t>
      </w:r>
      <w:bookmarkEnd w:id="232"/>
      <w:bookmarkEnd w:id="233"/>
    </w:p>
    <w:p w14:paraId="456F5E3E">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34" w:name="_Ref531951958"/>
      <w:bookmarkStart w:id="235" w:name="_Ref531951945"/>
      <w:bookmarkStart w:id="236" w:name="_Ref531951961"/>
      <w:bookmarkStart w:id="237" w:name="_Toc54862212"/>
      <w:bookmarkStart w:id="238" w:name="_Ref531951975"/>
      <w:bookmarkStart w:id="239" w:name="_Ref531951941"/>
      <w:r>
        <w:rPr>
          <w:rFonts w:hint="eastAsia" w:ascii="宋体" w:hAnsi="宋体" w:eastAsia="宋体" w:cs="宋体"/>
          <w:b w:val="0"/>
          <w:bCs/>
          <w:color w:val="auto"/>
          <w:sz w:val="21"/>
          <w:szCs w:val="21"/>
        </w:rPr>
        <w:t>4.1 承包人的一般义务</w:t>
      </w:r>
      <w:bookmarkEnd w:id="234"/>
      <w:bookmarkEnd w:id="235"/>
      <w:bookmarkEnd w:id="236"/>
      <w:bookmarkEnd w:id="237"/>
      <w:bookmarkEnd w:id="238"/>
      <w:bookmarkEnd w:id="239"/>
      <w:r>
        <w:rPr>
          <w:rFonts w:hint="eastAsia" w:ascii="宋体" w:hAnsi="宋体" w:eastAsia="宋体" w:cs="宋体"/>
          <w:b w:val="0"/>
          <w:bCs/>
          <w:color w:val="auto"/>
          <w:sz w:val="21"/>
          <w:szCs w:val="21"/>
        </w:rPr>
        <w:t xml:space="preserve"> </w:t>
      </w:r>
    </w:p>
    <w:p w14:paraId="4B37DD1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240" w:name="_Ref509046929"/>
      <w:r>
        <w:rPr>
          <w:rFonts w:hint="eastAsia" w:ascii="宋体" w:hAnsi="宋体" w:eastAsia="宋体" w:cs="宋体"/>
          <w:color w:val="auto"/>
          <w:sz w:val="21"/>
          <w:szCs w:val="21"/>
        </w:rPr>
        <w:t>除专用合同条件另有约定外，承包人在履行合同过程中应遵守法律和工程建设标准规范，并履行以下义务：</w:t>
      </w:r>
    </w:p>
    <w:p w14:paraId="1F07B23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办理法律规定和合同约定由承包人办理的许可和批准，将办理结果书面报送发包人留存，并承担因承包人违反法律或合同约定给发包人造成的任何费用和损失；</w:t>
      </w:r>
    </w:p>
    <w:p w14:paraId="6AFD4CC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按合同约定完成全部工作并在缺陷责任期和保修期内承担缺陷保证责任和保修义务，对工作中的任何缺陷进行整改、完善和修补，使其满足合同约定的目的；</w:t>
      </w:r>
    </w:p>
    <w:p w14:paraId="1084BA9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提供合同约定的工程设备和承包人文件，以及为完成合同工作所需的劳务、材料、施工设备和其他物品，并按合同约定负责临时设施的设计、施工、运行、维护、管理和拆除；</w:t>
      </w:r>
    </w:p>
    <w:p w14:paraId="13DE373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按合同约定的工作内容和进度要求，编制设计、施工的组织和实施计划，保证项目进度计划的实现，并对所有设计、施工作业和施工方法，以及全部工程的完备性和安全可靠性负责；</w:t>
      </w:r>
    </w:p>
    <w:p w14:paraId="60AE417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按法律规定和合同约定采取安全文明施工、职业健康和环境保护措施，办理员工工伤保险等相关保险，确保工程及人员、材料、设备和设施的安全，防止因工程实施造成的人身伤害和财产损失；</w:t>
      </w:r>
    </w:p>
    <w:p w14:paraId="5BB321B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将发包人按合同约定支付的各项价款专用于合同工程，且应及时支付其雇用人员（包括建筑工人）工资，并及时向分包人支付合同价款；</w:t>
      </w:r>
    </w:p>
    <w:p w14:paraId="19E2F7C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在进行合同约定的各项工作时，不得侵害发包人与他人使用公用道路、水源、市政管网等公共设施的权利，避免对邻近的公共设施产生干扰。</w:t>
      </w:r>
    </w:p>
    <w:p w14:paraId="119198BC">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41" w:name="_Ref4426803"/>
      <w:bookmarkStart w:id="242" w:name="_Toc54862213"/>
      <w:bookmarkStart w:id="243" w:name="_Ref4428418"/>
      <w:r>
        <w:rPr>
          <w:rFonts w:hint="eastAsia" w:ascii="宋体" w:hAnsi="宋体" w:eastAsia="宋体" w:cs="宋体"/>
          <w:b w:val="0"/>
          <w:bCs/>
          <w:color w:val="auto"/>
          <w:sz w:val="21"/>
          <w:szCs w:val="21"/>
        </w:rPr>
        <w:t>4.2 履约担保</w:t>
      </w:r>
      <w:bookmarkEnd w:id="241"/>
      <w:bookmarkEnd w:id="242"/>
    </w:p>
    <w:p w14:paraId="1B34626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5ED8295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承包人应保证其履约担保在发包人竣工验收前一直有效，发包人应在竣工验收合格后7天内将履约担保款项退还给承包人或者解除履约担保。</w:t>
      </w:r>
    </w:p>
    <w:p w14:paraId="74F219E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因承包人原因导致工期延长的，继续提供履约担保所增加的费用由承包人承担；非因承包人原因导致工期延长的，继续提供履约担保所增加的费用由发包人承担。</w:t>
      </w:r>
    </w:p>
    <w:bookmarkEnd w:id="240"/>
    <w:bookmarkEnd w:id="243"/>
    <w:p w14:paraId="115FA43C">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44" w:name="_Toc54862214"/>
      <w:bookmarkStart w:id="245" w:name="_Ref532689108"/>
      <w:bookmarkStart w:id="246" w:name="_Ref532689105"/>
      <w:r>
        <w:rPr>
          <w:rFonts w:hint="eastAsia" w:ascii="宋体" w:hAnsi="宋体" w:eastAsia="宋体" w:cs="宋体"/>
          <w:b w:val="0"/>
          <w:bCs/>
          <w:color w:val="auto"/>
          <w:sz w:val="21"/>
          <w:szCs w:val="21"/>
        </w:rPr>
        <w:t>4.3 工程总承包项目经理</w:t>
      </w:r>
      <w:bookmarkEnd w:id="244"/>
      <w:bookmarkEnd w:id="245"/>
      <w:bookmarkEnd w:id="246"/>
    </w:p>
    <w:p w14:paraId="528C9B2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47" w:name="_Ref532351726"/>
      <w:r>
        <w:rPr>
          <w:rFonts w:hint="eastAsia" w:ascii="宋体" w:hAnsi="宋体" w:eastAsia="宋体" w:cs="宋体"/>
          <w:color w:val="auto"/>
          <w:sz w:val="21"/>
          <w:szCs w:val="21"/>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247"/>
    </w:p>
    <w:p w14:paraId="14D1EA4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48" w:name="_Ref532689263"/>
      <w:r>
        <w:rPr>
          <w:rFonts w:hint="eastAsia" w:ascii="宋体" w:hAnsi="宋体" w:eastAsia="宋体" w:cs="宋体"/>
          <w:color w:val="auto"/>
          <w:sz w:val="21"/>
          <w:szCs w:val="21"/>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248"/>
    </w:p>
    <w:p w14:paraId="5EAE452E">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49" w:name="_Ref532689178"/>
      <w:bookmarkStart w:id="250" w:name="_Ref531952112"/>
      <w:r>
        <w:rPr>
          <w:rFonts w:hint="eastAsia" w:ascii="宋体" w:hAnsi="宋体" w:eastAsia="宋体" w:cs="宋体"/>
          <w:color w:val="auto"/>
          <w:sz w:val="21"/>
          <w:szCs w:val="21"/>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249"/>
    </w:p>
    <w:bookmarkEnd w:id="250"/>
    <w:p w14:paraId="4147421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51" w:name="_Ref4426412"/>
      <w:r>
        <w:rPr>
          <w:rFonts w:hint="eastAsia" w:ascii="宋体" w:hAnsi="宋体" w:eastAsia="宋体" w:cs="宋体"/>
          <w:color w:val="auto"/>
          <w:sz w:val="21"/>
          <w:szCs w:val="21"/>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252" w:name="_Hlk55056591"/>
      <w:r>
        <w:rPr>
          <w:rFonts w:hint="eastAsia" w:ascii="宋体" w:hAnsi="宋体" w:eastAsia="宋体" w:cs="宋体"/>
          <w:color w:val="auto"/>
          <w:sz w:val="21"/>
          <w:szCs w:val="21"/>
        </w:rPr>
        <w:t>应按照专用合同条件的约定承担违约责任。</w:t>
      </w:r>
      <w:bookmarkEnd w:id="251"/>
      <w:bookmarkEnd w:id="252"/>
    </w:p>
    <w:p w14:paraId="1000E9A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53" w:name="_Ref531952137"/>
      <w:r>
        <w:rPr>
          <w:rFonts w:hint="eastAsia" w:ascii="宋体" w:hAnsi="宋体" w:eastAsia="宋体" w:cs="宋体"/>
          <w:color w:val="auto"/>
          <w:sz w:val="21"/>
          <w:szCs w:val="21"/>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253"/>
    </w:p>
    <w:p w14:paraId="0297454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54" w:name="_Ref122620"/>
      <w:r>
        <w:rPr>
          <w:rFonts w:hint="eastAsia" w:ascii="宋体" w:hAnsi="宋体" w:eastAsia="宋体" w:cs="宋体"/>
          <w:color w:val="auto"/>
          <w:sz w:val="21"/>
          <w:szCs w:val="21"/>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254"/>
    </w:p>
    <w:p w14:paraId="0DBBD61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55" w:name="_Ref531952175"/>
      <w:bookmarkStart w:id="256" w:name="_Ref531952172"/>
      <w:bookmarkStart w:id="257" w:name="_Toc54862215"/>
      <w:r>
        <w:rPr>
          <w:rFonts w:hint="eastAsia" w:ascii="宋体" w:hAnsi="宋体" w:eastAsia="宋体" w:cs="宋体"/>
          <w:b w:val="0"/>
          <w:bCs/>
          <w:color w:val="auto"/>
          <w:sz w:val="21"/>
          <w:szCs w:val="21"/>
        </w:rPr>
        <w:t>4.4 承包人人员</w:t>
      </w:r>
      <w:bookmarkEnd w:id="255"/>
      <w:bookmarkEnd w:id="256"/>
      <w:bookmarkEnd w:id="257"/>
    </w:p>
    <w:p w14:paraId="3207CF2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58" w:name="_Ref531952185"/>
      <w:r>
        <w:rPr>
          <w:rFonts w:hint="eastAsia" w:ascii="宋体" w:hAnsi="宋体" w:eastAsia="宋体" w:cs="宋体"/>
          <w:color w:val="auto"/>
          <w:sz w:val="21"/>
          <w:szCs w:val="21"/>
        </w:rPr>
        <w:t>4.4.1 人员安排</w:t>
      </w:r>
      <w:bookmarkEnd w:id="258"/>
    </w:p>
    <w:p w14:paraId="35BC835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571D042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关键人员</w:t>
      </w:r>
      <w:bookmarkStart w:id="259" w:name="_Hlk16210335"/>
      <w:r>
        <w:rPr>
          <w:rFonts w:hint="eastAsia" w:ascii="宋体" w:hAnsi="宋体" w:eastAsia="宋体" w:cs="宋体"/>
          <w:color w:val="auto"/>
          <w:sz w:val="21"/>
          <w:szCs w:val="21"/>
        </w:rPr>
        <w:t>是发包人及承包人一致认为对工程建设起重要作用的承包人主要管理人员或技术人员。关键人员的具体范围由发包人及承包人在附件5[承包人主要管理人员表]中另行约定。</w:t>
      </w:r>
    </w:p>
    <w:bookmarkEnd w:id="259"/>
    <w:p w14:paraId="377851AE">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60" w:name="_Ref4426641"/>
      <w:bookmarkStart w:id="261" w:name="_Ref531952211"/>
      <w:r>
        <w:rPr>
          <w:rFonts w:hint="eastAsia" w:ascii="宋体" w:hAnsi="宋体" w:eastAsia="宋体" w:cs="宋体"/>
          <w:color w:val="auto"/>
          <w:sz w:val="21"/>
          <w:szCs w:val="21"/>
        </w:rPr>
        <w:t>4.4.2 关键人员更换</w:t>
      </w:r>
      <w:bookmarkEnd w:id="260"/>
      <w:bookmarkEnd w:id="261"/>
    </w:p>
    <w:p w14:paraId="6BD6C37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w:t>
      </w:r>
      <w:r>
        <w:rPr>
          <w:rFonts w:hint="eastAsia" w:ascii="宋体" w:hAnsi="宋体" w:eastAsia="宋体" w:cs="宋体"/>
          <w:color w:val="auto"/>
          <w:spacing w:val="-6"/>
          <w:sz w:val="21"/>
          <w:szCs w:val="21"/>
        </w:rPr>
        <w:t>发包人同意新的关键人员任命之日止。承包人擅自更换关键人员，应按照专用合同条件约定承担违约责任。</w:t>
      </w:r>
    </w:p>
    <w:p w14:paraId="590EE77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79274E6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62" w:name="_Ref531952227"/>
      <w:r>
        <w:rPr>
          <w:rFonts w:hint="eastAsia" w:ascii="宋体" w:hAnsi="宋体" w:eastAsia="宋体" w:cs="宋体"/>
          <w:color w:val="auto"/>
          <w:sz w:val="21"/>
          <w:szCs w:val="21"/>
        </w:rPr>
        <w:t>4.4.3 现场管理关键人员在岗要求</w:t>
      </w:r>
      <w:bookmarkEnd w:id="262"/>
    </w:p>
    <w:p w14:paraId="54734A1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5F700F1E">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63" w:name="_Ref531952259"/>
      <w:bookmarkStart w:id="264" w:name="_Toc54862216"/>
      <w:bookmarkStart w:id="265" w:name="_Ref531952262"/>
      <w:r>
        <w:rPr>
          <w:rFonts w:hint="eastAsia" w:ascii="宋体" w:hAnsi="宋体" w:eastAsia="宋体" w:cs="宋体"/>
          <w:b w:val="0"/>
          <w:bCs/>
          <w:color w:val="auto"/>
          <w:sz w:val="21"/>
          <w:szCs w:val="21"/>
        </w:rPr>
        <w:t>4.5 分包</w:t>
      </w:r>
      <w:bookmarkEnd w:id="263"/>
      <w:bookmarkEnd w:id="264"/>
      <w:bookmarkEnd w:id="265"/>
      <w:r>
        <w:rPr>
          <w:rFonts w:hint="eastAsia" w:ascii="宋体" w:hAnsi="宋体" w:eastAsia="宋体" w:cs="宋体"/>
          <w:b w:val="0"/>
          <w:bCs/>
          <w:color w:val="auto"/>
          <w:sz w:val="21"/>
          <w:szCs w:val="21"/>
        </w:rPr>
        <w:t xml:space="preserve"> </w:t>
      </w:r>
    </w:p>
    <w:p w14:paraId="73C6963E">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66" w:name="_Ref531952273"/>
      <w:r>
        <w:rPr>
          <w:rFonts w:hint="eastAsia" w:ascii="宋体" w:hAnsi="宋体" w:eastAsia="宋体" w:cs="宋体"/>
          <w:color w:val="auto"/>
          <w:sz w:val="21"/>
          <w:szCs w:val="21"/>
        </w:rPr>
        <w:t>4.5.1 一般约定</w:t>
      </w:r>
      <w:bookmarkEnd w:id="266"/>
    </w:p>
    <w:p w14:paraId="0F5E923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38586EE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67" w:name="_Ref531952286"/>
      <w:r>
        <w:rPr>
          <w:rFonts w:hint="eastAsia" w:ascii="宋体" w:hAnsi="宋体" w:eastAsia="宋体" w:cs="宋体"/>
          <w:color w:val="auto"/>
          <w:sz w:val="21"/>
          <w:szCs w:val="21"/>
        </w:rPr>
        <w:t>4.5.2 分包的确定</w:t>
      </w:r>
      <w:bookmarkEnd w:id="267"/>
    </w:p>
    <w:p w14:paraId="407F0AA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承包人应按照专用合同条件约定对工作事项进行分包，确定分包人。</w:t>
      </w:r>
    </w:p>
    <w:p w14:paraId="3F4311D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2616D4D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4.5.3 分包人资质</w:t>
      </w:r>
    </w:p>
    <w:p w14:paraId="4588260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分包人应符合国家法律规定的资质等级，否则不能作为分包人。承包人有义务对分包人的资质进行审查。</w:t>
      </w:r>
    </w:p>
    <w:p w14:paraId="1A4EE3E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4.5.4 分包管理</w:t>
      </w:r>
    </w:p>
    <w:p w14:paraId="1CF259A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0A34042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68" w:name="_Ref531952298"/>
      <w:r>
        <w:rPr>
          <w:rFonts w:hint="eastAsia" w:ascii="宋体" w:hAnsi="宋体" w:eastAsia="宋体" w:cs="宋体"/>
          <w:color w:val="auto"/>
          <w:sz w:val="21"/>
          <w:szCs w:val="21"/>
        </w:rPr>
        <w:t>4.5.5 分包合同价款支付</w:t>
      </w:r>
      <w:bookmarkEnd w:id="268"/>
    </w:p>
    <w:p w14:paraId="514324E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除本项第（2）目约定的情况或专用合同条件另有约定外，分包合同价款由承包人与分包人结算，未经承包人同意，发包人不得向分包人支付分包合同价款；</w:t>
      </w:r>
    </w:p>
    <w:p w14:paraId="0590BC2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269" w:name="_Ref4613798"/>
      <w:r>
        <w:rPr>
          <w:rFonts w:hint="eastAsia" w:ascii="宋体" w:hAnsi="宋体" w:eastAsia="宋体" w:cs="宋体"/>
          <w:color w:val="auto"/>
          <w:sz w:val="21"/>
          <w:szCs w:val="21"/>
        </w:rPr>
        <w:t>（2） 生效法律文书要求发包人向分包人支付分包合同价款的，发包人有权从应付承包人工程款中扣除该部分款项</w:t>
      </w:r>
      <w:bookmarkEnd w:id="269"/>
      <w:r>
        <w:rPr>
          <w:rFonts w:hint="eastAsia" w:ascii="宋体" w:hAnsi="宋体" w:eastAsia="宋体" w:cs="宋体"/>
          <w:color w:val="auto"/>
          <w:sz w:val="21"/>
          <w:szCs w:val="21"/>
        </w:rPr>
        <w:t>，将扣款直接支付给分包人，并书面通知承包人。</w:t>
      </w:r>
    </w:p>
    <w:p w14:paraId="0582B69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4.5.6 责任承担</w:t>
      </w:r>
    </w:p>
    <w:p w14:paraId="7365497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承包人对分包人的行为向发包人负责，承包人和分包人就分包工作向发包人承担连带责任。</w:t>
      </w:r>
    </w:p>
    <w:p w14:paraId="4D4450EB">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70" w:name="_Toc54862217"/>
      <w:bookmarkStart w:id="271" w:name="_Ref4426916"/>
      <w:bookmarkStart w:id="272" w:name="_Ref531952317"/>
      <w:bookmarkStart w:id="273" w:name="_Ref4768805"/>
      <w:bookmarkStart w:id="274" w:name="_Ref531952321"/>
      <w:r>
        <w:rPr>
          <w:rFonts w:hint="eastAsia" w:ascii="宋体" w:hAnsi="宋体" w:eastAsia="宋体" w:cs="宋体"/>
          <w:b w:val="0"/>
          <w:bCs/>
          <w:color w:val="auto"/>
          <w:sz w:val="21"/>
          <w:szCs w:val="21"/>
        </w:rPr>
        <w:t>4.6 联合体</w:t>
      </w:r>
      <w:bookmarkEnd w:id="270"/>
      <w:bookmarkEnd w:id="271"/>
    </w:p>
    <w:p w14:paraId="47DC581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75" w:name="_Hlk16235129"/>
      <w:r>
        <w:rPr>
          <w:rFonts w:hint="eastAsia" w:ascii="宋体" w:hAnsi="宋体" w:eastAsia="宋体" w:cs="宋体"/>
          <w:color w:val="auto"/>
          <w:sz w:val="21"/>
          <w:szCs w:val="21"/>
        </w:rPr>
        <w:t>4.6.1 经发包人同意，</w:t>
      </w:r>
      <w:bookmarkEnd w:id="275"/>
      <w:r>
        <w:rPr>
          <w:rFonts w:hint="eastAsia" w:ascii="宋体" w:hAnsi="宋体" w:eastAsia="宋体" w:cs="宋体"/>
          <w:color w:val="auto"/>
          <w:sz w:val="21"/>
          <w:szCs w:val="21"/>
        </w:rPr>
        <w:t>以联合体方式承包工程的，联合体各方应共同与发包人订立合同协议书。联合体各方应为履行合同向发包人承担连带责任。</w:t>
      </w:r>
    </w:p>
    <w:p w14:paraId="29969BD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5FA26CE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4.6.3 联合体协议经发包人确认后作为合同附件。在履行合同过程中，未经发包人同意，不得变更联合体成员和其负责的工作范围，或者修改联合体协议中与本合同履行相关的内容。</w:t>
      </w:r>
    </w:p>
    <w:p w14:paraId="6FF9752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76" w:name="_Ref11926629"/>
      <w:bookmarkStart w:id="277" w:name="_Toc54862218"/>
      <w:bookmarkStart w:id="278" w:name="_Ref11926631"/>
      <w:r>
        <w:rPr>
          <w:rFonts w:hint="eastAsia" w:ascii="宋体" w:hAnsi="宋体" w:eastAsia="宋体" w:cs="宋体"/>
          <w:b w:val="0"/>
          <w:bCs/>
          <w:color w:val="auto"/>
          <w:sz w:val="21"/>
          <w:szCs w:val="21"/>
        </w:rPr>
        <w:t>4.7 承包人现场查勘</w:t>
      </w:r>
      <w:bookmarkEnd w:id="276"/>
      <w:bookmarkEnd w:id="277"/>
      <w:bookmarkEnd w:id="278"/>
    </w:p>
    <w:p w14:paraId="4680D2A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122F8868">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4.7.2 承包人应对现场和工程实施条件进行查勘，并充分了解工程所在地的气象条件、交通条件、风俗习惯以及其他与完成合同工作有关的其他资料。承包人提交</w:t>
      </w:r>
      <w:r>
        <w:rPr>
          <w:rFonts w:hint="eastAsia" w:cs="宋体"/>
          <w:color w:val="auto"/>
          <w:sz w:val="21"/>
          <w:szCs w:val="21"/>
          <w:lang w:eastAsia="zh-CN"/>
        </w:rPr>
        <w:t>磋商申请文件</w:t>
      </w:r>
      <w:r>
        <w:rPr>
          <w:rFonts w:hint="eastAsia" w:ascii="宋体" w:hAnsi="宋体" w:eastAsia="宋体" w:cs="宋体"/>
          <w:color w:val="auto"/>
          <w:sz w:val="21"/>
          <w:szCs w:val="21"/>
        </w:rPr>
        <w:t>，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638CDD16">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79" w:name="_Ref11918626"/>
      <w:bookmarkStart w:id="280" w:name="不可预见的困难"/>
      <w:bookmarkStart w:id="281" w:name="_Ref11918693"/>
      <w:bookmarkStart w:id="282" w:name="_Toc54862219"/>
      <w:bookmarkStart w:id="283" w:name="_Ref11918789"/>
      <w:r>
        <w:rPr>
          <w:rFonts w:hint="eastAsia" w:ascii="宋体" w:hAnsi="宋体" w:eastAsia="宋体" w:cs="宋体"/>
          <w:b w:val="0"/>
          <w:bCs/>
          <w:color w:val="auto"/>
          <w:sz w:val="21"/>
          <w:szCs w:val="21"/>
        </w:rPr>
        <w:t>4.8 不可预见的困难</w:t>
      </w:r>
      <w:bookmarkEnd w:id="272"/>
      <w:bookmarkEnd w:id="273"/>
      <w:bookmarkEnd w:id="274"/>
      <w:bookmarkEnd w:id="279"/>
      <w:bookmarkEnd w:id="280"/>
      <w:bookmarkEnd w:id="281"/>
      <w:bookmarkEnd w:id="282"/>
      <w:bookmarkEnd w:id="283"/>
      <w:r>
        <w:rPr>
          <w:rFonts w:hint="eastAsia" w:ascii="宋体" w:hAnsi="宋体" w:eastAsia="宋体" w:cs="宋体"/>
          <w:b w:val="0"/>
          <w:bCs/>
          <w:color w:val="auto"/>
          <w:sz w:val="21"/>
          <w:szCs w:val="21"/>
        </w:rPr>
        <w:t xml:space="preserve"> </w:t>
      </w:r>
    </w:p>
    <w:p w14:paraId="3427C4A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753FDA8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180B23F4">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84" w:name="_Toc54862220"/>
      <w:bookmarkStart w:id="285" w:name="_Ref11926566"/>
      <w:bookmarkStart w:id="286" w:name="_Ref11926570"/>
      <w:r>
        <w:rPr>
          <w:rFonts w:hint="eastAsia" w:ascii="宋体" w:hAnsi="宋体" w:eastAsia="宋体" w:cs="宋体"/>
          <w:b w:val="0"/>
          <w:bCs/>
          <w:color w:val="auto"/>
          <w:sz w:val="21"/>
          <w:szCs w:val="21"/>
        </w:rPr>
        <w:t>4.9 工程质量管理</w:t>
      </w:r>
      <w:bookmarkEnd w:id="284"/>
      <w:bookmarkEnd w:id="285"/>
      <w:bookmarkEnd w:id="286"/>
    </w:p>
    <w:p w14:paraId="4DA06EC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459CBEB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7DA1B97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4.9.3 承包人应对其人员进行质量教育和技术培训，定期考核人员的劳动技能，严格执行相关规范和操作规程。</w:t>
      </w:r>
    </w:p>
    <w:p w14:paraId="137D8618">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28542253">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287" w:name="_Toc54862221"/>
      <w:bookmarkStart w:id="288" w:name="_Ref531952837"/>
      <w:r>
        <w:rPr>
          <w:rFonts w:hint="eastAsia" w:ascii="宋体" w:hAnsi="宋体" w:eastAsia="宋体" w:cs="宋体"/>
          <w:b w:val="0"/>
          <w:bCs/>
          <w:color w:val="auto"/>
          <w:sz w:val="21"/>
          <w:szCs w:val="21"/>
        </w:rPr>
        <w:t>第5条 设计</w:t>
      </w:r>
      <w:bookmarkEnd w:id="287"/>
      <w:bookmarkEnd w:id="288"/>
    </w:p>
    <w:p w14:paraId="2DC4E52A">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89" w:name="_Ref531952860"/>
      <w:bookmarkStart w:id="290" w:name="_Ref531952863"/>
      <w:bookmarkStart w:id="291" w:name="_Toc54862222"/>
      <w:r>
        <w:rPr>
          <w:rFonts w:hint="eastAsia" w:ascii="宋体" w:hAnsi="宋体" w:eastAsia="宋体" w:cs="宋体"/>
          <w:b w:val="0"/>
          <w:bCs/>
          <w:color w:val="auto"/>
          <w:sz w:val="21"/>
          <w:szCs w:val="21"/>
        </w:rPr>
        <w:t>5.1 承包人的设计义务</w:t>
      </w:r>
      <w:bookmarkEnd w:id="289"/>
      <w:bookmarkEnd w:id="290"/>
      <w:bookmarkEnd w:id="291"/>
      <w:r>
        <w:rPr>
          <w:rFonts w:hint="eastAsia" w:ascii="宋体" w:hAnsi="宋体" w:eastAsia="宋体" w:cs="宋体"/>
          <w:b w:val="0"/>
          <w:bCs/>
          <w:color w:val="auto"/>
          <w:sz w:val="21"/>
          <w:szCs w:val="21"/>
        </w:rPr>
        <w:t xml:space="preserve"> </w:t>
      </w:r>
    </w:p>
    <w:p w14:paraId="7A0491F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92" w:name="_Ref531952881"/>
      <w:r>
        <w:rPr>
          <w:rFonts w:hint="eastAsia" w:ascii="宋体" w:hAnsi="宋体" w:eastAsia="宋体" w:cs="宋体"/>
          <w:color w:val="auto"/>
          <w:sz w:val="21"/>
          <w:szCs w:val="21"/>
        </w:rPr>
        <w:t>5.1.1 设计义务的一般要求</w:t>
      </w:r>
      <w:bookmarkEnd w:id="292"/>
    </w:p>
    <w:p w14:paraId="71C6732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146FA42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93" w:name="_Ref531952952"/>
      <w:bookmarkStart w:id="294" w:name="_Ref531952899"/>
      <w:r>
        <w:rPr>
          <w:rFonts w:hint="eastAsia" w:ascii="宋体" w:hAnsi="宋体" w:eastAsia="宋体" w:cs="宋体"/>
          <w:color w:val="auto"/>
          <w:sz w:val="21"/>
          <w:szCs w:val="21"/>
        </w:rPr>
        <w:t>5.1.2 对设计人员的要求</w:t>
      </w:r>
      <w:bookmarkEnd w:id="293"/>
    </w:p>
    <w:p w14:paraId="64667A4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bookmarkEnd w:id="294"/>
    <w:p w14:paraId="0CDFBBA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5.1.3 法律和标准的变化</w:t>
      </w:r>
    </w:p>
    <w:p w14:paraId="6780D76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14F262F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在基准日期之后，因国家颁布新的强制性规范、标准导致承包人的费用变化的，发包人应合理调整合同价格；导致工期延误的，发包人应合理延长工期。</w:t>
      </w:r>
    </w:p>
    <w:p w14:paraId="528D6570">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295" w:name="_Ref531953051"/>
      <w:bookmarkStart w:id="296" w:name="_Toc54862223"/>
      <w:bookmarkStart w:id="297" w:name="_Ref531953054"/>
      <w:r>
        <w:rPr>
          <w:rFonts w:hint="eastAsia" w:ascii="宋体" w:hAnsi="宋体" w:eastAsia="宋体" w:cs="宋体"/>
          <w:b w:val="0"/>
          <w:bCs/>
          <w:color w:val="auto"/>
          <w:sz w:val="21"/>
          <w:szCs w:val="21"/>
        </w:rPr>
        <w:t>5.2 承包人文件审查</w:t>
      </w:r>
      <w:bookmarkEnd w:id="295"/>
      <w:bookmarkEnd w:id="296"/>
      <w:bookmarkEnd w:id="297"/>
      <w:r>
        <w:rPr>
          <w:rFonts w:hint="eastAsia" w:ascii="宋体" w:hAnsi="宋体" w:eastAsia="宋体" w:cs="宋体"/>
          <w:b w:val="0"/>
          <w:bCs/>
          <w:color w:val="auto"/>
          <w:sz w:val="21"/>
          <w:szCs w:val="21"/>
        </w:rPr>
        <w:t xml:space="preserve"> </w:t>
      </w:r>
    </w:p>
    <w:p w14:paraId="4A73912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98" w:name="_Ref531953064"/>
      <w:r>
        <w:rPr>
          <w:rFonts w:hint="eastAsia" w:ascii="宋体" w:hAnsi="宋体" w:eastAsia="宋体" w:cs="宋体"/>
          <w:color w:val="auto"/>
          <w:sz w:val="21"/>
          <w:szCs w:val="21"/>
        </w:rPr>
        <w:t>5.2.1 根据《发包人要求》应当通过工程师报发包人审查同意的承包人文件，承包人应当按照《发包人要求》约定的范围和内容及时报送审查。</w:t>
      </w:r>
      <w:bookmarkEnd w:id="298"/>
    </w:p>
    <w:p w14:paraId="472073A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41D8460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发包人同意承包人文件的，应及时通知承包人，发包人不同意承包人文件的，应在审查期限内通过工程师以书面形式通知承包人，并说明不同意的具体内容和理由。</w:t>
      </w:r>
    </w:p>
    <w:p w14:paraId="309E362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承包人对发包人的意见按以下方式处理：</w:t>
      </w:r>
    </w:p>
    <w:p w14:paraId="319DD74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发包人的意见构成变更的，承包人应在7天内通知发包人按照第13条[变更与调整]中关于发包人指示变更的约定执行，双方对是否构成变更无法达成一致的，按照第20条[争议解决]的约定执行；</w:t>
      </w:r>
    </w:p>
    <w:p w14:paraId="083AC87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因承包人原因导致无法通过审查的，承包人应根据发包人的书面说明，对承包人文件进行修改后重新报送发包人审查，审查期重新起算。因此引起的工期延长和必要的工程费用增加，由承包人负责。</w:t>
      </w:r>
    </w:p>
    <w:p w14:paraId="0E0303D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合同约定的审查期满，发包人没有做出审查结论也没有提出异议的，视为承包人文件已获发包人同意。</w:t>
      </w:r>
    </w:p>
    <w:p w14:paraId="6A1D6EA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发包人对承包人文件的审查和同意不得被理解为对合同的修改或改变，也并不减轻或免除承包人任何的责任和义务。</w:t>
      </w:r>
    </w:p>
    <w:p w14:paraId="66C4177E">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5.2.2 承包人文件不需要政府有关部门或专用合同条件约定的第三方审查单位审查或批准的，承包人应当严格按照经发包人审查同意的承包人文件设计和实施工程。</w:t>
      </w:r>
    </w:p>
    <w:p w14:paraId="277EC52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496CCA6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发包人有义务向承包人提供审查会议的批准文件和纪要。承包人有义务按照相关审查会议批准的文件和纪要，并依据合同约定及相关技术标准，对承包人文件进行修改、补充和完善。</w:t>
      </w:r>
    </w:p>
    <w:p w14:paraId="49237AC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299" w:name="_Ref531953074"/>
      <w:r>
        <w:rPr>
          <w:rFonts w:hint="eastAsia" w:ascii="宋体" w:hAnsi="宋体" w:eastAsia="宋体" w:cs="宋体"/>
          <w:color w:val="auto"/>
          <w:sz w:val="21"/>
          <w:szCs w:val="21"/>
        </w:rPr>
        <w:t>5.2.3 承包人文件需政府有关部门或专用合同条件约定的第三方审查单位审查或批准的，发包人应在发包人审查同意承包人文件后7天内，向政府有关部门或第三方报送承包人文件，承包人应予以协助。</w:t>
      </w:r>
      <w:bookmarkEnd w:id="299"/>
    </w:p>
    <w:p w14:paraId="7D1180B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05DCD5D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6F0A4FBB">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00" w:name="_Ref531953097"/>
      <w:bookmarkStart w:id="301" w:name="_Toc54862224"/>
      <w:bookmarkStart w:id="302" w:name="_Ref531953095"/>
      <w:r>
        <w:rPr>
          <w:rFonts w:hint="eastAsia" w:ascii="宋体" w:hAnsi="宋体" w:eastAsia="宋体" w:cs="宋体"/>
          <w:b w:val="0"/>
          <w:bCs/>
          <w:color w:val="auto"/>
          <w:sz w:val="21"/>
          <w:szCs w:val="21"/>
        </w:rPr>
        <w:t>5.3 培训</w:t>
      </w:r>
      <w:bookmarkEnd w:id="300"/>
      <w:bookmarkEnd w:id="301"/>
      <w:bookmarkEnd w:id="302"/>
    </w:p>
    <w:p w14:paraId="526DDDA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14:paraId="1D6F3FC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培训的时长应由双方在专用合同条件中约定，承包人应为培训提供有经验的人员、设施和其它必要条件。</w:t>
      </w:r>
    </w:p>
    <w:p w14:paraId="29687194">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03" w:name="_Ref531953105"/>
      <w:bookmarkStart w:id="304" w:name="_Ref531953108"/>
      <w:bookmarkStart w:id="305" w:name="_Toc54862225"/>
      <w:r>
        <w:rPr>
          <w:rFonts w:hint="eastAsia" w:ascii="宋体" w:hAnsi="宋体" w:eastAsia="宋体" w:cs="宋体"/>
          <w:b w:val="0"/>
          <w:bCs/>
          <w:color w:val="auto"/>
          <w:sz w:val="21"/>
          <w:szCs w:val="21"/>
        </w:rPr>
        <w:t>5.4 竣工文件</w:t>
      </w:r>
      <w:bookmarkEnd w:id="303"/>
      <w:bookmarkEnd w:id="304"/>
      <w:bookmarkEnd w:id="305"/>
    </w:p>
    <w:p w14:paraId="0AED15EB">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06" w:name="_Ref531953134"/>
      <w:r>
        <w:rPr>
          <w:rFonts w:hint="eastAsia" w:ascii="宋体" w:hAnsi="宋体" w:eastAsia="宋体" w:cs="宋体"/>
          <w:color w:val="auto"/>
          <w:sz w:val="21"/>
          <w:szCs w:val="21"/>
        </w:rPr>
        <w:t>5.4.1 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bookmarkEnd w:id="306"/>
    </w:p>
    <w:p w14:paraId="0951C5C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77F7493D">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5.4.3 除专用合同条件另有约定外，在工程师收到本款下的文件前，不应认为工程已根据第10.1款[竣工验收]和第10.2款[单位/区段工程的验收]的约定完成验收。</w:t>
      </w:r>
    </w:p>
    <w:p w14:paraId="278EBDB0">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07" w:name="_Ref531953117"/>
      <w:bookmarkStart w:id="308" w:name="_Ref531953119"/>
      <w:bookmarkStart w:id="309" w:name="_Toc54862226"/>
      <w:r>
        <w:rPr>
          <w:rFonts w:hint="eastAsia" w:ascii="宋体" w:hAnsi="宋体" w:eastAsia="宋体" w:cs="宋体"/>
          <w:b w:val="0"/>
          <w:bCs/>
          <w:color w:val="auto"/>
          <w:sz w:val="21"/>
          <w:szCs w:val="21"/>
        </w:rPr>
        <w:t>5.5 操作和维修手册</w:t>
      </w:r>
      <w:bookmarkEnd w:id="307"/>
      <w:bookmarkEnd w:id="308"/>
      <w:bookmarkEnd w:id="309"/>
    </w:p>
    <w:p w14:paraId="1F50313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10" w:name="_Ref531953145"/>
      <w:r>
        <w:rPr>
          <w:rFonts w:hint="eastAsia" w:ascii="宋体" w:hAnsi="宋体" w:eastAsia="宋体" w:cs="宋体"/>
          <w:color w:val="auto"/>
          <w:sz w:val="21"/>
          <w:szCs w:val="21"/>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310"/>
    </w:p>
    <w:p w14:paraId="735D223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5.5.2 工程师收到承包人提交的文件后，应依据第5.2款[承包人文件审查]的约定对操作和维修手册进行审查，竣工试验工程中，承包人应为任何因操作和维修手册错误或遗漏引起的风险或损失承担责任。</w:t>
      </w:r>
    </w:p>
    <w:p w14:paraId="40BAFBF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1A6D0248">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11" w:name="_Toc54862227"/>
      <w:r>
        <w:rPr>
          <w:rFonts w:hint="eastAsia" w:ascii="宋体" w:hAnsi="宋体" w:eastAsia="宋体" w:cs="宋体"/>
          <w:b w:val="0"/>
          <w:bCs/>
          <w:color w:val="auto"/>
          <w:sz w:val="21"/>
          <w:szCs w:val="21"/>
        </w:rPr>
        <w:t>5.6 承包人文件错误</w:t>
      </w:r>
      <w:bookmarkEnd w:id="311"/>
      <w:r>
        <w:rPr>
          <w:rFonts w:hint="eastAsia" w:ascii="宋体" w:hAnsi="宋体" w:eastAsia="宋体" w:cs="宋体"/>
          <w:b w:val="0"/>
          <w:bCs/>
          <w:color w:val="auto"/>
          <w:sz w:val="21"/>
          <w:szCs w:val="21"/>
        </w:rPr>
        <w:t xml:space="preserve"> </w:t>
      </w:r>
    </w:p>
    <w:p w14:paraId="39A71F5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5D9BC4C1">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312" w:name="_Toc54862228"/>
      <w:bookmarkStart w:id="313" w:name="_Ref531953765"/>
      <w:bookmarkStart w:id="314" w:name="_Ref531953761"/>
      <w:r>
        <w:rPr>
          <w:rFonts w:hint="eastAsia" w:ascii="宋体" w:hAnsi="宋体" w:eastAsia="宋体" w:cs="宋体"/>
          <w:b w:val="0"/>
          <w:bCs/>
          <w:color w:val="auto"/>
          <w:sz w:val="21"/>
          <w:szCs w:val="21"/>
        </w:rPr>
        <w:t>第6条 材料、工程设备</w:t>
      </w:r>
      <w:bookmarkEnd w:id="312"/>
      <w:bookmarkEnd w:id="313"/>
      <w:bookmarkEnd w:id="314"/>
    </w:p>
    <w:p w14:paraId="35E48B98">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15" w:name="_Ref531953828"/>
      <w:bookmarkStart w:id="316" w:name="_Toc54862229"/>
      <w:bookmarkStart w:id="317" w:name="_Ref531953832"/>
      <w:r>
        <w:rPr>
          <w:rFonts w:hint="eastAsia" w:ascii="宋体" w:hAnsi="宋体" w:eastAsia="宋体" w:cs="宋体"/>
          <w:b w:val="0"/>
          <w:bCs/>
          <w:color w:val="auto"/>
          <w:sz w:val="21"/>
          <w:szCs w:val="21"/>
        </w:rPr>
        <w:t>6.1 实施方法</w:t>
      </w:r>
      <w:bookmarkEnd w:id="315"/>
      <w:bookmarkEnd w:id="316"/>
      <w:bookmarkEnd w:id="317"/>
      <w:r>
        <w:rPr>
          <w:rFonts w:hint="eastAsia" w:ascii="宋体" w:hAnsi="宋体" w:eastAsia="宋体" w:cs="宋体"/>
          <w:b w:val="0"/>
          <w:bCs/>
          <w:color w:val="auto"/>
          <w:sz w:val="21"/>
          <w:szCs w:val="21"/>
        </w:rPr>
        <w:t xml:space="preserve"> </w:t>
      </w:r>
    </w:p>
    <w:p w14:paraId="6582C3EC">
      <w:pPr>
        <w:keepNext w:val="0"/>
        <w:keepLines w:val="0"/>
        <w:pageBreakBefore w:val="0"/>
        <w:kinsoku/>
        <w:wordWrap/>
        <w:overflowPunct/>
        <w:topLinePunct w:val="0"/>
        <w:bidi w:val="0"/>
        <w:spacing w:after="0" w:line="440" w:lineRule="exact"/>
        <w:ind w:left="0" w:leftChars="0" w:firstLine="396" w:firstLineChars="200"/>
        <w:textAlignment w:val="auto"/>
        <w:rPr>
          <w:rFonts w:hint="eastAsia" w:ascii="宋体" w:hAnsi="宋体" w:eastAsia="宋体" w:cs="宋体"/>
          <w:color w:val="auto"/>
          <w:sz w:val="21"/>
          <w:szCs w:val="21"/>
        </w:rPr>
      </w:pPr>
      <w:r>
        <w:rPr>
          <w:rFonts w:hint="eastAsia" w:ascii="宋体" w:hAnsi="宋体" w:eastAsia="宋体" w:cs="宋体"/>
          <w:color w:val="auto"/>
          <w:spacing w:val="-6"/>
          <w:sz w:val="21"/>
          <w:szCs w:val="21"/>
        </w:rPr>
        <w:t>承包人应按以下方法进行材料的加工、工程设备的采购、制造和安装、以及工程的所有其他实施作业：</w:t>
      </w:r>
    </w:p>
    <w:p w14:paraId="33D7EC8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318" w:name="_Ref531953847"/>
      <w:r>
        <w:rPr>
          <w:rFonts w:hint="eastAsia" w:ascii="宋体" w:hAnsi="宋体" w:eastAsia="宋体" w:cs="宋体"/>
          <w:color w:val="auto"/>
          <w:sz w:val="21"/>
          <w:szCs w:val="21"/>
        </w:rPr>
        <w:t>（1） 按照法律规定和合同约定的方法；</w:t>
      </w:r>
      <w:bookmarkEnd w:id="318"/>
    </w:p>
    <w:p w14:paraId="10D98CC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按照公认的良好行业习惯，使用恰当、审慎、先进的方法；</w:t>
      </w:r>
    </w:p>
    <w:p w14:paraId="104C4E2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除专用合同条件另有规定外，应使用适当配备的实施方法、设备、设施和无危险的材料。</w:t>
      </w:r>
    </w:p>
    <w:p w14:paraId="5A052E77">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19" w:name="_Toc54862230"/>
      <w:bookmarkStart w:id="320" w:name="_Ref11926422"/>
      <w:bookmarkStart w:id="321" w:name="_Ref4427594"/>
      <w:r>
        <w:rPr>
          <w:rFonts w:hint="eastAsia" w:ascii="宋体" w:hAnsi="宋体" w:eastAsia="宋体" w:cs="宋体"/>
          <w:b w:val="0"/>
          <w:bCs/>
          <w:color w:val="auto"/>
          <w:sz w:val="21"/>
          <w:szCs w:val="21"/>
        </w:rPr>
        <w:t>6.2 材料和工程设备</w:t>
      </w:r>
      <w:bookmarkEnd w:id="319"/>
      <w:bookmarkEnd w:id="320"/>
    </w:p>
    <w:p w14:paraId="430F80A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22" w:name="_Ref11960295"/>
      <w:r>
        <w:rPr>
          <w:rFonts w:hint="eastAsia" w:ascii="宋体" w:hAnsi="宋体" w:eastAsia="宋体" w:cs="宋体"/>
          <w:color w:val="auto"/>
          <w:sz w:val="21"/>
          <w:szCs w:val="21"/>
        </w:rPr>
        <w:t>6.2.1 发包人提供的材料和工程设备</w:t>
      </w:r>
      <w:bookmarkEnd w:id="321"/>
      <w:bookmarkEnd w:id="322"/>
    </w:p>
    <w:p w14:paraId="735F3C6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发包人自行供应材料、工程设备的，应在订立合同时在专用合同条件的附件《发包人供应材料设备一览表》中明确材料、工程设备的品种、规格、型号、主要参数、数量、单价、质量等级和交接地点等。</w:t>
      </w:r>
    </w:p>
    <w:p w14:paraId="65FD954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50022CE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78E8869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6AE3A3F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380C31E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23" w:name="_Ref531953918"/>
      <w:r>
        <w:rPr>
          <w:rFonts w:hint="eastAsia" w:ascii="宋体" w:hAnsi="宋体" w:eastAsia="宋体" w:cs="宋体"/>
          <w:color w:val="auto"/>
          <w:sz w:val="21"/>
          <w:szCs w:val="21"/>
        </w:rPr>
        <w:t>6.2.2 承包人提供的材料和工程设备</w:t>
      </w:r>
      <w:bookmarkEnd w:id="323"/>
    </w:p>
    <w:p w14:paraId="0266581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2CE0802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7B7CD2B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657F749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7649D0E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24" w:name="_Ref531953999"/>
      <w:bookmarkStart w:id="325" w:name="_Ref531953991"/>
      <w:r>
        <w:rPr>
          <w:rFonts w:hint="eastAsia" w:ascii="宋体" w:hAnsi="宋体" w:eastAsia="宋体" w:cs="宋体"/>
          <w:color w:val="auto"/>
          <w:sz w:val="21"/>
          <w:szCs w:val="21"/>
        </w:rPr>
        <w:t>6.2.3 材料和工程设备的保管</w:t>
      </w:r>
      <w:bookmarkEnd w:id="324"/>
      <w:bookmarkEnd w:id="325"/>
      <w:r>
        <w:rPr>
          <w:rFonts w:hint="eastAsia" w:ascii="宋体" w:hAnsi="宋体" w:eastAsia="宋体" w:cs="宋体"/>
          <w:color w:val="auto"/>
          <w:sz w:val="21"/>
          <w:szCs w:val="21"/>
        </w:rPr>
        <w:t xml:space="preserve"> </w:t>
      </w:r>
    </w:p>
    <w:p w14:paraId="64CCE16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发包人供应材料与工程设备的保管与使用</w:t>
      </w:r>
    </w:p>
    <w:p w14:paraId="7B031E4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发包人供应的材料和工程设备，承包人清点并接收后由承包人妥善保管，保管费用由承包人承担，但专用合同条件另有约定除外。因承包人原因发生丢失毁损的，由承包人负责赔偿。</w:t>
      </w:r>
    </w:p>
    <w:p w14:paraId="289069D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发包人供应的材料和工程设备使用前，由承包人负责必要的检验，检验费用由发包人承担，不合格的不得使用。</w:t>
      </w:r>
    </w:p>
    <w:p w14:paraId="6AEB3FA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承包人采购材料与工程设备的保管与使用</w:t>
      </w:r>
    </w:p>
    <w:p w14:paraId="6703CF1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5A62894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工程师发现承包人使用不符合设计或有关标准要求的材料和工程设备时，有权要求承包人进行修复、拆除或重新采购，由此增加的费用和（或）延误的工期，由承包人承担。</w:t>
      </w:r>
    </w:p>
    <w:p w14:paraId="2571A46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6.2.4 材料和工程设备的所有权</w:t>
      </w:r>
    </w:p>
    <w:p w14:paraId="29C65B1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10FB3BD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承包人按第6.2.2项提供的材料和工程设备，承包人应确保发包人取得无权利负担的材料及工程设备所有权，因承包人与第三人的物权争议导致的增加的费用和（或）延误的工期，由承包人承担。</w:t>
      </w:r>
    </w:p>
    <w:p w14:paraId="33B19D00">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26" w:name="_Ref4428239"/>
      <w:bookmarkStart w:id="327" w:name="_Toc54862231"/>
      <w:bookmarkStart w:id="328" w:name="_Toc351203565"/>
      <w:bookmarkStart w:id="329" w:name="_Toc337558785"/>
      <w:r>
        <w:rPr>
          <w:rFonts w:hint="eastAsia" w:ascii="宋体" w:hAnsi="宋体" w:eastAsia="宋体" w:cs="宋体"/>
          <w:b w:val="0"/>
          <w:bCs/>
          <w:color w:val="auto"/>
          <w:sz w:val="21"/>
          <w:szCs w:val="21"/>
        </w:rPr>
        <w:t>6.3 样品</w:t>
      </w:r>
      <w:bookmarkEnd w:id="326"/>
      <w:bookmarkEnd w:id="327"/>
    </w:p>
    <w:p w14:paraId="1082E10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6.3.1 样品的报送与封存</w:t>
      </w:r>
    </w:p>
    <w:p w14:paraId="5EE66D0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需要承包人报送样品的材料或工程设备，样品的种类、名称、规格、数量等要求均应在专用合同条件中约定。样品的报送程序如下：</w:t>
      </w:r>
    </w:p>
    <w:p w14:paraId="371646B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495A17E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0A965FE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经工程师审批确认的样品应按约定的方法封样，封存的样品作为检验工程相关部分的标准之一。承包人在施工过程中不得使用与样品不符的材料或工程设备。</w:t>
      </w:r>
    </w:p>
    <w:p w14:paraId="3C97554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747B0DC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6.3.2 样品的保管</w:t>
      </w:r>
    </w:p>
    <w:p w14:paraId="05A64F8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经批准的样品应由工程师负责封存于现场，承包人应在现场为保存样品提供适当和固定的场所并保持适当和良好的存储环境条件。</w:t>
      </w:r>
    </w:p>
    <w:p w14:paraId="4662CD58">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30" w:name="_Ref11959210"/>
      <w:bookmarkStart w:id="331" w:name="_Toc54862232"/>
      <w:bookmarkStart w:id="332" w:name="_Ref11959204"/>
      <w:r>
        <w:rPr>
          <w:rFonts w:hint="eastAsia" w:ascii="宋体" w:hAnsi="宋体" w:eastAsia="宋体" w:cs="宋体"/>
          <w:b w:val="0"/>
          <w:bCs/>
          <w:color w:val="auto"/>
          <w:sz w:val="21"/>
          <w:szCs w:val="21"/>
        </w:rPr>
        <w:t>6.4 质量检查</w:t>
      </w:r>
      <w:bookmarkEnd w:id="330"/>
      <w:bookmarkEnd w:id="331"/>
      <w:bookmarkEnd w:id="332"/>
    </w:p>
    <w:p w14:paraId="10EF85F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33" w:name="_Ref18990699"/>
      <w:r>
        <w:rPr>
          <w:rFonts w:hint="eastAsia" w:ascii="宋体" w:hAnsi="宋体" w:eastAsia="宋体" w:cs="宋体"/>
          <w:color w:val="auto"/>
          <w:sz w:val="21"/>
          <w:szCs w:val="21"/>
        </w:rPr>
        <w:t>6.4.1 工程质量要求</w:t>
      </w:r>
      <w:bookmarkEnd w:id="333"/>
    </w:p>
    <w:p w14:paraId="390596A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工程质量标准必须符合现行国家有关工程施工质量验收规范和标准的要求。有关工程质量的特殊标准或要求由合同当事人在专用合同条件中约定。</w:t>
      </w:r>
    </w:p>
    <w:p w14:paraId="0F280A0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auto"/>
          <w:spacing w:val="-6"/>
          <w:sz w:val="21"/>
          <w:szCs w:val="21"/>
        </w:rPr>
        <w:t>。因发包人原因造成工程质量未达到合同约定标准的，由发包人承担由此增加的费用和（或）延误的工期，并支付承包人合理的利润。</w:t>
      </w:r>
    </w:p>
    <w:p w14:paraId="3470198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34" w:name="_Ref18990717"/>
      <w:r>
        <w:rPr>
          <w:rFonts w:hint="eastAsia" w:ascii="宋体" w:hAnsi="宋体" w:eastAsia="宋体" w:cs="宋体"/>
          <w:color w:val="auto"/>
          <w:sz w:val="21"/>
          <w:szCs w:val="21"/>
        </w:rPr>
        <w:t>6.4.2 质量检查</w:t>
      </w:r>
      <w:bookmarkEnd w:id="334"/>
    </w:p>
    <w:p w14:paraId="1C31B55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34B4C0E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35" w:name="_Ref11959222"/>
      <w:r>
        <w:rPr>
          <w:rFonts w:hint="eastAsia" w:ascii="宋体" w:hAnsi="宋体" w:eastAsia="宋体" w:cs="宋体"/>
          <w:color w:val="auto"/>
          <w:sz w:val="21"/>
          <w:szCs w:val="21"/>
        </w:rPr>
        <w:t>6.4.3 隐蔽工程检查</w:t>
      </w:r>
      <w:bookmarkEnd w:id="335"/>
    </w:p>
    <w:p w14:paraId="5880FD2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5E9636A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64FAB41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14:paraId="0AC39A9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0BE4363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承包人未通知工程师到场检查，私自将工程隐蔽部位覆盖的，工程师有权指示承包人钻孔探测或揭开检查，无论工程隐蔽部位质量是否合格，由此增加的费用和（或）延误的工期均由承包人承担。</w:t>
      </w:r>
    </w:p>
    <w:bookmarkEnd w:id="328"/>
    <w:p w14:paraId="674E37B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36" w:name="_Ref11927403"/>
      <w:bookmarkStart w:id="337" w:name="_Ref11927398"/>
      <w:bookmarkStart w:id="338" w:name="_Ref11927389"/>
      <w:bookmarkStart w:id="339" w:name="_Ref11959158"/>
      <w:bookmarkStart w:id="340" w:name="_Ref11959175"/>
      <w:bookmarkStart w:id="341" w:name="_Toc54862233"/>
      <w:r>
        <w:rPr>
          <w:rFonts w:hint="eastAsia" w:ascii="宋体" w:hAnsi="宋体" w:eastAsia="宋体" w:cs="宋体"/>
          <w:b w:val="0"/>
          <w:bCs/>
          <w:color w:val="auto"/>
          <w:sz w:val="21"/>
          <w:szCs w:val="21"/>
        </w:rPr>
        <w:t>6.5 由承包人试验</w:t>
      </w:r>
      <w:bookmarkEnd w:id="336"/>
      <w:bookmarkEnd w:id="337"/>
      <w:bookmarkEnd w:id="338"/>
      <w:r>
        <w:rPr>
          <w:rFonts w:hint="eastAsia" w:ascii="宋体" w:hAnsi="宋体" w:eastAsia="宋体" w:cs="宋体"/>
          <w:b w:val="0"/>
          <w:bCs/>
          <w:color w:val="auto"/>
          <w:sz w:val="21"/>
          <w:szCs w:val="21"/>
        </w:rPr>
        <w:t>和检验</w:t>
      </w:r>
      <w:bookmarkEnd w:id="339"/>
      <w:bookmarkEnd w:id="340"/>
      <w:bookmarkEnd w:id="341"/>
    </w:p>
    <w:bookmarkEnd w:id="329"/>
    <w:p w14:paraId="7D26514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6.5.1 试验设备与试验人员</w:t>
      </w:r>
    </w:p>
    <w:p w14:paraId="69F8ACA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5D48B1E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承包人应按专用合同条件约定的试验内容、时间和地点提供试验设备、取样装置、试验场所和试验条件，并向工程师提交相应进场计划表。</w:t>
      </w:r>
    </w:p>
    <w:p w14:paraId="20B2E8F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承包人配置的试验设备要符合相应试验规程的要求并经过具有资质的检测单位检测，且在正式使用该试验设备前，需要经过工程师与承包人共同校定。</w:t>
      </w:r>
    </w:p>
    <w:p w14:paraId="47BB181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承包人应向工程师提交试验人员的名单及其岗位、资格等证明资料，试验人员必须能够熟练进行相应的检测试验，承包人对试验人员的试验程序和试验结果的正确性负责。</w:t>
      </w:r>
    </w:p>
    <w:p w14:paraId="236C9B8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6.5.2 取样</w:t>
      </w:r>
    </w:p>
    <w:p w14:paraId="55810AE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试验属于自检性质的，承包人可以单独取样。试验属于工程师抽检性质的，可由工程师取样，也可由承包人的试验人员在工程师的监督下取样。</w:t>
      </w:r>
    </w:p>
    <w:p w14:paraId="3B72626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6.5.3 材料、工程设备和工程的试验和检验</w:t>
      </w:r>
    </w:p>
    <w:p w14:paraId="2B28F0E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42A1EEF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477661D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0B6A6FF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42" w:name="_Toc351203566"/>
      <w:bookmarkStart w:id="343" w:name="_Toc337558786"/>
      <w:r>
        <w:rPr>
          <w:rFonts w:hint="eastAsia" w:ascii="宋体" w:hAnsi="宋体" w:eastAsia="宋体" w:cs="宋体"/>
          <w:color w:val="auto"/>
          <w:sz w:val="21"/>
          <w:szCs w:val="21"/>
        </w:rPr>
        <w:t>6.5.4 现场工艺试验</w:t>
      </w:r>
      <w:bookmarkEnd w:id="342"/>
    </w:p>
    <w:bookmarkEnd w:id="343"/>
    <w:p w14:paraId="02D86A9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承包人应按合同约定进行现场工艺试验。对大型的现场工艺试验，发包人认为必要时，承包人应根据发包人提出的工艺试验要求，编制工艺试验措施计划，报送发包人审查。</w:t>
      </w:r>
    </w:p>
    <w:p w14:paraId="39B9D734">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44" w:name="_Toc54862234"/>
      <w:bookmarkStart w:id="345" w:name="_Ref532592784"/>
      <w:bookmarkStart w:id="346" w:name="_Ref532592787"/>
      <w:r>
        <w:rPr>
          <w:rFonts w:hint="eastAsia" w:ascii="宋体" w:hAnsi="宋体" w:eastAsia="宋体" w:cs="宋体"/>
          <w:b w:val="0"/>
          <w:bCs/>
          <w:color w:val="auto"/>
          <w:sz w:val="21"/>
          <w:szCs w:val="21"/>
        </w:rPr>
        <w:t>6.6 缺陷和修补</w:t>
      </w:r>
      <w:bookmarkEnd w:id="344"/>
      <w:bookmarkEnd w:id="345"/>
      <w:bookmarkEnd w:id="346"/>
    </w:p>
    <w:p w14:paraId="41BE138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47" w:name="_Ref16875551"/>
      <w:r>
        <w:rPr>
          <w:rFonts w:hint="eastAsia" w:ascii="宋体" w:hAnsi="宋体" w:eastAsia="宋体" w:cs="宋体"/>
          <w:color w:val="auto"/>
          <w:sz w:val="21"/>
          <w:szCs w:val="21"/>
        </w:rPr>
        <w:t>6.6.1 发包人可在颁发接收证书前随时指示承包人：</w:t>
      </w:r>
      <w:bookmarkEnd w:id="347"/>
    </w:p>
    <w:p w14:paraId="23144A7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对不符合合同要求的任何工程设备或材料进行修补，或者将其移出现场并进行更换；</w:t>
      </w:r>
    </w:p>
    <w:p w14:paraId="027840F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 对不符合合同的其他工作进行修补，或者将其去除并重新实施； </w:t>
      </w:r>
    </w:p>
    <w:p w14:paraId="36BA8D9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348" w:name="_Ref4708991"/>
      <w:r>
        <w:rPr>
          <w:rFonts w:hint="eastAsia" w:ascii="宋体" w:hAnsi="宋体" w:eastAsia="宋体" w:cs="宋体"/>
          <w:color w:val="auto"/>
          <w:sz w:val="21"/>
          <w:szCs w:val="21"/>
        </w:rPr>
        <w:t>（3） 实施因意外、不可预见的事件或其他原因引起的、为工程的安全迫切需要的任何修补工作。</w:t>
      </w:r>
      <w:bookmarkEnd w:id="348"/>
    </w:p>
    <w:p w14:paraId="393E47A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49" w:name="_Ref11956964"/>
      <w:r>
        <w:rPr>
          <w:rFonts w:hint="eastAsia" w:ascii="宋体" w:hAnsi="宋体" w:eastAsia="宋体" w:cs="宋体"/>
          <w:color w:val="auto"/>
          <w:sz w:val="21"/>
          <w:szCs w:val="21"/>
        </w:rPr>
        <w:t>6.6.2 承包人应遵守第6.6.1项下指示，并在合理可行的情况下，根据上述指示中规定的时间完成修补工作。除因下列原因引起的第6.6.1项第（3）目下的情形外，承包人应承担所有修补工作的费用：</w:t>
      </w:r>
      <w:bookmarkEnd w:id="349"/>
    </w:p>
    <w:p w14:paraId="6FBF2F3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因发包人或其人员的任何行为导致的情形，且在此情况下发包人应承担因此引起的工期延误和承包人费用损失，并向承包人支付合理的利润。</w:t>
      </w:r>
    </w:p>
    <w:p w14:paraId="639B0AB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第17.4款[不可抗力后果的承担]中适用的不可抗力事件的情形。</w:t>
      </w:r>
    </w:p>
    <w:p w14:paraId="15BB8C2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14:paraId="2EE4E098">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350" w:name="_Ref531954214"/>
      <w:bookmarkStart w:id="351" w:name="_Toc54862235"/>
      <w:r>
        <w:rPr>
          <w:rFonts w:hint="eastAsia" w:ascii="宋体" w:hAnsi="宋体" w:eastAsia="宋体" w:cs="宋体"/>
          <w:b w:val="0"/>
          <w:bCs/>
          <w:color w:val="auto"/>
          <w:sz w:val="21"/>
          <w:szCs w:val="21"/>
        </w:rPr>
        <w:t>第7条 施工</w:t>
      </w:r>
      <w:bookmarkEnd w:id="350"/>
      <w:bookmarkEnd w:id="351"/>
    </w:p>
    <w:p w14:paraId="5C184016">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52" w:name="_Toc54862236"/>
      <w:bookmarkStart w:id="353" w:name="_Ref531954272"/>
      <w:bookmarkStart w:id="354" w:name="_Ref531954276"/>
      <w:bookmarkStart w:id="355" w:name="_Ref531954260"/>
      <w:bookmarkStart w:id="356" w:name="_Ref531954246"/>
      <w:r>
        <w:rPr>
          <w:rFonts w:hint="eastAsia" w:ascii="宋体" w:hAnsi="宋体" w:eastAsia="宋体" w:cs="宋体"/>
          <w:b w:val="0"/>
          <w:bCs/>
          <w:color w:val="auto"/>
          <w:sz w:val="21"/>
          <w:szCs w:val="21"/>
        </w:rPr>
        <w:t>7.1 交通运输</w:t>
      </w:r>
      <w:bookmarkEnd w:id="352"/>
      <w:bookmarkEnd w:id="353"/>
      <w:bookmarkEnd w:id="354"/>
      <w:r>
        <w:rPr>
          <w:rFonts w:hint="eastAsia" w:ascii="宋体" w:hAnsi="宋体" w:eastAsia="宋体" w:cs="宋体"/>
          <w:b w:val="0"/>
          <w:bCs/>
          <w:color w:val="auto"/>
          <w:sz w:val="21"/>
          <w:szCs w:val="21"/>
        </w:rPr>
        <w:t xml:space="preserve"> </w:t>
      </w:r>
    </w:p>
    <w:p w14:paraId="2C677B1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57" w:name="_Ref4422645"/>
      <w:r>
        <w:rPr>
          <w:rFonts w:hint="eastAsia" w:ascii="宋体" w:hAnsi="宋体" w:eastAsia="宋体" w:cs="宋体"/>
          <w:color w:val="auto"/>
          <w:sz w:val="21"/>
          <w:szCs w:val="21"/>
        </w:rPr>
        <w:t>7.1.1 出入现场的权利</w:t>
      </w:r>
      <w:bookmarkEnd w:id="357"/>
    </w:p>
    <w:p w14:paraId="16A4A5A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3AEE733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58" w:name="_Ref18957045"/>
      <w:r>
        <w:rPr>
          <w:rFonts w:hint="eastAsia" w:ascii="宋体" w:hAnsi="宋体" w:eastAsia="宋体" w:cs="宋体"/>
          <w:color w:val="auto"/>
          <w:sz w:val="21"/>
          <w:szCs w:val="21"/>
        </w:rPr>
        <w:t>7.1.2 场外交通</w:t>
      </w:r>
      <w:bookmarkEnd w:id="358"/>
    </w:p>
    <w:p w14:paraId="4CEF800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0896967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59" w:name="_Ref4622358"/>
      <w:r>
        <w:rPr>
          <w:rFonts w:hint="eastAsia" w:ascii="宋体" w:hAnsi="宋体" w:eastAsia="宋体" w:cs="宋体"/>
          <w:color w:val="auto"/>
          <w:sz w:val="21"/>
          <w:szCs w:val="21"/>
        </w:rPr>
        <w:t>7.1.3 场内交通</w:t>
      </w:r>
      <w:bookmarkEnd w:id="359"/>
    </w:p>
    <w:p w14:paraId="233F8F8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04A425D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60" w:name="_Ref4622376"/>
      <w:r>
        <w:rPr>
          <w:rFonts w:hint="eastAsia" w:ascii="宋体" w:hAnsi="宋体" w:eastAsia="宋体" w:cs="宋体"/>
          <w:color w:val="auto"/>
          <w:sz w:val="21"/>
          <w:szCs w:val="21"/>
        </w:rPr>
        <w:t>7.1.4 超大件和超重件的运输</w:t>
      </w:r>
      <w:bookmarkEnd w:id="360"/>
    </w:p>
    <w:p w14:paraId="483B198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7F69466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7.1.5 道路和桥梁的损坏责任</w:t>
      </w:r>
    </w:p>
    <w:p w14:paraId="26FEA1F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因承包人运输造成施工现场内外公共道路和桥梁损坏的，由承包人承担修复损坏的全部费用和可能引起的赔偿。</w:t>
      </w:r>
    </w:p>
    <w:p w14:paraId="1861787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7.1.6 水路和航空运输</w:t>
      </w:r>
    </w:p>
    <w:p w14:paraId="50BC68A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本条上述各款的内容适用于水路运输和航空运输，其中“道路”一词的涵义包括河道、航线、船闸、机场、码头、堤防以及水路或航空运输中其他相似结构物；“车辆”一词的涵义包括船舶和飞机等。</w:t>
      </w:r>
    </w:p>
    <w:p w14:paraId="1180745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61" w:name="_Toc54862237"/>
      <w:bookmarkStart w:id="362" w:name="_Ref11919294"/>
      <w:bookmarkStart w:id="363" w:name="_Ref11919459"/>
      <w:r>
        <w:rPr>
          <w:rFonts w:hint="eastAsia" w:ascii="宋体" w:hAnsi="宋体" w:eastAsia="宋体" w:cs="宋体"/>
          <w:b w:val="0"/>
          <w:bCs/>
          <w:color w:val="auto"/>
          <w:sz w:val="21"/>
          <w:szCs w:val="21"/>
        </w:rPr>
        <w:t>7.2 施工设备和临时设施</w:t>
      </w:r>
      <w:bookmarkEnd w:id="355"/>
      <w:bookmarkEnd w:id="356"/>
      <w:bookmarkEnd w:id="361"/>
      <w:bookmarkEnd w:id="362"/>
      <w:bookmarkEnd w:id="363"/>
      <w:r>
        <w:rPr>
          <w:rFonts w:hint="eastAsia" w:ascii="宋体" w:hAnsi="宋体" w:eastAsia="宋体" w:cs="宋体"/>
          <w:b w:val="0"/>
          <w:bCs/>
          <w:color w:val="auto"/>
          <w:sz w:val="21"/>
          <w:szCs w:val="21"/>
        </w:rPr>
        <w:t xml:space="preserve"> </w:t>
      </w:r>
    </w:p>
    <w:p w14:paraId="3995771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64" w:name="_Ref18990767"/>
      <w:bookmarkStart w:id="365" w:name="_Ref509043186"/>
      <w:r>
        <w:rPr>
          <w:rFonts w:hint="eastAsia" w:ascii="宋体" w:hAnsi="宋体" w:eastAsia="宋体" w:cs="宋体"/>
          <w:color w:val="auto"/>
          <w:sz w:val="21"/>
          <w:szCs w:val="21"/>
        </w:rPr>
        <w:t>7.2.1 承包人提供的施工设备和临时设施</w:t>
      </w:r>
      <w:bookmarkEnd w:id="364"/>
    </w:p>
    <w:p w14:paraId="44FC256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7C04117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bookmarkEnd w:id="365"/>
    <w:p w14:paraId="48453EF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66" w:name="_Ref18990784"/>
      <w:r>
        <w:rPr>
          <w:rFonts w:hint="eastAsia" w:ascii="宋体" w:hAnsi="宋体" w:eastAsia="宋体" w:cs="宋体"/>
          <w:color w:val="auto"/>
          <w:sz w:val="21"/>
          <w:szCs w:val="21"/>
        </w:rPr>
        <w:t>7.2.2 发包人提供的施工设备和临时设施</w:t>
      </w:r>
      <w:bookmarkEnd w:id="366"/>
    </w:p>
    <w:p w14:paraId="6D36A0E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发包人提供的施工设备或临时设施在专用合同条件中约定。</w:t>
      </w:r>
    </w:p>
    <w:p w14:paraId="565F956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7.2.3 要求承包人增加或更换施工设备</w:t>
      </w:r>
    </w:p>
    <w:p w14:paraId="7FB2419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承包人使用的施工设备不能满足项目进度计划和（或）质量要求时，工程师有权要求承包人增加或更换施工设备，承包人应及时增加或更换，由此增加的费用和（或）延误的工期由承包人承担。</w:t>
      </w:r>
    </w:p>
    <w:p w14:paraId="2F74C34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7.2.4 施工设备和临时设施专用于合同工程</w:t>
      </w:r>
    </w:p>
    <w:p w14:paraId="6E940D9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0138DDF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67" w:name="_Ref11874352"/>
      <w:bookmarkStart w:id="368" w:name="_Toc54862238"/>
      <w:r>
        <w:rPr>
          <w:rFonts w:hint="eastAsia" w:ascii="宋体" w:hAnsi="宋体" w:eastAsia="宋体" w:cs="宋体"/>
          <w:b w:val="0"/>
          <w:bCs/>
          <w:color w:val="auto"/>
          <w:sz w:val="21"/>
          <w:szCs w:val="21"/>
        </w:rPr>
        <w:t>7.3 现场合作</w:t>
      </w:r>
      <w:bookmarkEnd w:id="367"/>
      <w:bookmarkEnd w:id="368"/>
    </w:p>
    <w:p w14:paraId="73B3EBE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承包人应按合同约定或发包人的指示，与发包人人员、发包人的其他承包人等人员就在现场或附近实施与工程有关的各项工作进行合作并提供适当条件，包括使用承包人设备、临时工程或进入现场等。</w:t>
      </w:r>
    </w:p>
    <w:p w14:paraId="359C341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承包人应对其在现场的施工活动负责，并应尽合理努力按合同约定或发包人的指示，协调自身与发包人人员、发包人的其他承包人等人员的活动。</w:t>
      </w:r>
    </w:p>
    <w:p w14:paraId="7048D29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320A1B8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69" w:name="_Ref531954285"/>
      <w:bookmarkStart w:id="370" w:name="_Toc54862239"/>
      <w:bookmarkStart w:id="371" w:name="_Ref531954287"/>
      <w:r>
        <w:rPr>
          <w:rFonts w:hint="eastAsia" w:ascii="宋体" w:hAnsi="宋体" w:eastAsia="宋体" w:cs="宋体"/>
          <w:b w:val="0"/>
          <w:bCs/>
          <w:color w:val="auto"/>
          <w:sz w:val="21"/>
          <w:szCs w:val="21"/>
        </w:rPr>
        <w:t>7.4 测量放线</w:t>
      </w:r>
      <w:bookmarkEnd w:id="369"/>
      <w:bookmarkEnd w:id="370"/>
      <w:bookmarkEnd w:id="371"/>
    </w:p>
    <w:p w14:paraId="413A395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66BCCDF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1CF5797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62C473A3">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72" w:name="_Toc54862240"/>
      <w:bookmarkStart w:id="373" w:name="_Ref531954323"/>
      <w:bookmarkStart w:id="374" w:name="_Ref531954329"/>
      <w:bookmarkStart w:id="375" w:name="_Ref4770992"/>
      <w:r>
        <w:rPr>
          <w:rFonts w:hint="eastAsia" w:ascii="宋体" w:hAnsi="宋体" w:eastAsia="宋体" w:cs="宋体"/>
          <w:b w:val="0"/>
          <w:bCs/>
          <w:color w:val="auto"/>
          <w:sz w:val="21"/>
          <w:szCs w:val="21"/>
        </w:rPr>
        <w:t>7.5 现场劳动用工</w:t>
      </w:r>
      <w:bookmarkEnd w:id="372"/>
    </w:p>
    <w:p w14:paraId="3B660A1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459AEBF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6E70354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7.5.3 承包人应当按照相关法律法规的要求，进行劳动用工管理和建筑工人工资支付。</w:t>
      </w:r>
    </w:p>
    <w:p w14:paraId="237FEF90">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76" w:name="_Ref41554059"/>
      <w:bookmarkStart w:id="377" w:name="_Toc54862241"/>
      <w:r>
        <w:rPr>
          <w:rFonts w:hint="eastAsia" w:ascii="宋体" w:hAnsi="宋体" w:eastAsia="宋体" w:cs="宋体"/>
          <w:b w:val="0"/>
          <w:bCs/>
          <w:color w:val="auto"/>
          <w:sz w:val="21"/>
          <w:szCs w:val="21"/>
        </w:rPr>
        <w:t>7.6 安全文明施工</w:t>
      </w:r>
      <w:bookmarkEnd w:id="373"/>
      <w:bookmarkEnd w:id="374"/>
      <w:bookmarkEnd w:id="375"/>
      <w:bookmarkEnd w:id="376"/>
      <w:bookmarkEnd w:id="377"/>
    </w:p>
    <w:p w14:paraId="56BC65F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78" w:name="_Ref18990822"/>
      <w:r>
        <w:rPr>
          <w:rFonts w:hint="eastAsia" w:ascii="宋体" w:hAnsi="宋体" w:eastAsia="宋体" w:cs="宋体"/>
          <w:color w:val="auto"/>
          <w:sz w:val="21"/>
          <w:szCs w:val="21"/>
        </w:rPr>
        <w:t>7.6.1 安全生产要求</w:t>
      </w:r>
      <w:bookmarkEnd w:id="378"/>
    </w:p>
    <w:p w14:paraId="7753352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77773B5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77A234C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因安全生产需要暂停施工的，按照第8.9款[暂停工作]的约定执行。</w:t>
      </w:r>
    </w:p>
    <w:p w14:paraId="0797436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7.6.2 安全生产保证措施</w:t>
      </w:r>
    </w:p>
    <w:p w14:paraId="796FAC0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1CC6CBF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0DB8BFF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1AD3C26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379" w:name="_Ref18990840"/>
      <w:r>
        <w:rPr>
          <w:rFonts w:hint="eastAsia" w:ascii="宋体" w:hAnsi="宋体" w:eastAsia="宋体" w:cs="宋体"/>
          <w:color w:val="auto"/>
          <w:sz w:val="21"/>
          <w:szCs w:val="21"/>
        </w:rPr>
        <w:t>7.6.3 文明施工</w:t>
      </w:r>
      <w:bookmarkEnd w:id="379"/>
    </w:p>
    <w:p w14:paraId="470BF4E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397458A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58B7029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7.6.4 事故处理</w:t>
      </w:r>
    </w:p>
    <w:p w14:paraId="3BD6A38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C26C9C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52809DDB">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7.6.5 安全生产责任</w:t>
      </w:r>
    </w:p>
    <w:p w14:paraId="384A775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发包人应负责赔偿以下各种情况造成的损失：</w:t>
      </w:r>
    </w:p>
    <w:p w14:paraId="7A6611F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工程或工程的任何部分对土地的占用所造成的第三者财产损失；</w:t>
      </w:r>
    </w:p>
    <w:p w14:paraId="2DC7B57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由于发包人原因在施工现场及其毗邻地带、履行合同工作中造成的第三者人身伤亡和财产损失；</w:t>
      </w:r>
    </w:p>
    <w:p w14:paraId="054CF8D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由于发包人原因对发包人自身、承包人、工程师造成的人身伤害和财产损失。</w:t>
      </w:r>
    </w:p>
    <w:p w14:paraId="7699C72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承包人应负责赔偿由于承包人原因在施工现场及其毗邻地带、履行合同工作中造成的第三者人身伤亡和财产损失。</w:t>
      </w:r>
    </w:p>
    <w:p w14:paraId="63B593E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如果上述损失是由于发包人和承包人共同原因导致的，则双方应根据过错情况按比例承担。</w:t>
      </w:r>
    </w:p>
    <w:p w14:paraId="4F21DA48">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80" w:name="_Toc54862242"/>
      <w:bookmarkStart w:id="381" w:name="_Ref11874562"/>
      <w:bookmarkStart w:id="382" w:name="_Ref41554069"/>
      <w:r>
        <w:rPr>
          <w:rFonts w:hint="eastAsia" w:ascii="宋体" w:hAnsi="宋体" w:eastAsia="宋体" w:cs="宋体"/>
          <w:b w:val="0"/>
          <w:bCs/>
          <w:color w:val="auto"/>
          <w:sz w:val="21"/>
          <w:szCs w:val="21"/>
        </w:rPr>
        <w:t>7.7 职业健康</w:t>
      </w:r>
      <w:bookmarkEnd w:id="380"/>
      <w:bookmarkEnd w:id="381"/>
      <w:bookmarkEnd w:id="382"/>
    </w:p>
    <w:p w14:paraId="6DF58C7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承包人应遵守适用的职业健康的法律和合同约定（包括对雇用、职业健康、安全、福利等方面的规定），负责现场实施过程中其人员的职业健康和保护，包括：</w:t>
      </w:r>
    </w:p>
    <w:p w14:paraId="7BA57D1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501F217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承包人应依法为承包人</w:t>
      </w:r>
      <w:bookmarkStart w:id="383" w:name="_Hlk46339538"/>
      <w:r>
        <w:rPr>
          <w:rFonts w:hint="eastAsia" w:ascii="宋体" w:hAnsi="宋体" w:eastAsia="宋体" w:cs="宋体"/>
          <w:color w:val="auto"/>
          <w:sz w:val="21"/>
          <w:szCs w:val="21"/>
        </w:rPr>
        <w:t>员工及承包人聘用的第三方人员</w:t>
      </w:r>
      <w:bookmarkEnd w:id="383"/>
      <w:r>
        <w:rPr>
          <w:rFonts w:hint="eastAsia" w:ascii="宋体" w:hAnsi="宋体" w:eastAsia="宋体" w:cs="宋体"/>
          <w:color w:val="auto"/>
          <w:sz w:val="21"/>
          <w:szCs w:val="21"/>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5F8C2A2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774672B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0FCDB67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0EEFD68C">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84" w:name="_Ref11874570"/>
      <w:bookmarkStart w:id="385" w:name="_Toc54862243"/>
      <w:r>
        <w:rPr>
          <w:rFonts w:hint="eastAsia" w:ascii="宋体" w:hAnsi="宋体" w:eastAsia="宋体" w:cs="宋体"/>
          <w:b w:val="0"/>
          <w:bCs/>
          <w:color w:val="auto"/>
          <w:sz w:val="21"/>
          <w:szCs w:val="21"/>
        </w:rPr>
        <w:t>7.8 环境保护</w:t>
      </w:r>
      <w:bookmarkEnd w:id="384"/>
      <w:bookmarkEnd w:id="385"/>
    </w:p>
    <w:p w14:paraId="1830DBAE">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5B7D2988">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7.8.2 承包人应采取措施，并负责控制和（或）处理现场的粉尘、废气、废水、固体废物和噪声对环境的污染和危害。因此发生的伤害、赔偿、罚款等费用增加，和（或）竣工日期延误，由承包人负责。</w:t>
      </w:r>
    </w:p>
    <w:p w14:paraId="39BD16D8">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607A7074">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86" w:name="_Toc54862244"/>
      <w:bookmarkStart w:id="387" w:name="_Ref531954344"/>
      <w:bookmarkStart w:id="388" w:name="_Ref531954340"/>
      <w:bookmarkStart w:id="389" w:name="_Ref4771116"/>
      <w:r>
        <w:rPr>
          <w:rFonts w:hint="eastAsia" w:ascii="宋体" w:hAnsi="宋体" w:eastAsia="宋体" w:cs="宋体"/>
          <w:b w:val="0"/>
          <w:bCs/>
          <w:color w:val="auto"/>
          <w:sz w:val="21"/>
          <w:szCs w:val="21"/>
        </w:rPr>
        <w:t>7.9 临时性公用设施</w:t>
      </w:r>
      <w:bookmarkEnd w:id="386"/>
      <w:bookmarkEnd w:id="387"/>
      <w:bookmarkEnd w:id="388"/>
      <w:r>
        <w:rPr>
          <w:rFonts w:hint="eastAsia" w:ascii="宋体" w:hAnsi="宋体" w:eastAsia="宋体" w:cs="宋体"/>
          <w:b w:val="0"/>
          <w:bCs/>
          <w:color w:val="auto"/>
          <w:sz w:val="21"/>
          <w:szCs w:val="21"/>
        </w:rPr>
        <w:t xml:space="preserve"> </w:t>
      </w:r>
      <w:bookmarkEnd w:id="389"/>
    </w:p>
    <w:p w14:paraId="23683F7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7.9.1 提供临时用水、用电等和节点铺设</w:t>
      </w:r>
    </w:p>
    <w:p w14:paraId="18F0CDF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5E2B00E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18B32F0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7.9.2 临时用水、用电等</w:t>
      </w:r>
    </w:p>
    <w:p w14:paraId="4A8C442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482E24D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因承包人未能按合同约定提交上述资料，造成发包人费用增加和竣工日期延误时，由承包人负责。</w:t>
      </w:r>
      <w:bookmarkStart w:id="390" w:name="_Ref508893743"/>
    </w:p>
    <w:p w14:paraId="58B3DAF8">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91" w:name="_Toc54862245"/>
      <w:bookmarkStart w:id="392" w:name="_Ref531952239"/>
      <w:bookmarkStart w:id="393" w:name="_Ref531952248"/>
      <w:r>
        <w:rPr>
          <w:rFonts w:hint="eastAsia" w:ascii="宋体" w:hAnsi="宋体" w:eastAsia="宋体" w:cs="宋体"/>
          <w:b w:val="0"/>
          <w:bCs/>
          <w:color w:val="auto"/>
          <w:sz w:val="21"/>
          <w:szCs w:val="21"/>
        </w:rPr>
        <w:t>7.10 现场安保</w:t>
      </w:r>
      <w:bookmarkEnd w:id="391"/>
      <w:bookmarkEnd w:id="392"/>
      <w:bookmarkEnd w:id="393"/>
    </w:p>
    <w:p w14:paraId="7CBEC40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10F92B8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承包人应将其作业限制在现场区域、合同约定的区域或为履行合同所需的区域内。承包人应采取一切必要的预防措施，以保持承包人的设备和人员处于现场区域内，避免其进入邻近地区。</w:t>
      </w:r>
    </w:p>
    <w:p w14:paraId="4585A30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承包人为履行合同义务而占用的其他场所（如预制加工场所、办公及生活营区） 的安保适用本款前述关于现场安保的规定。</w:t>
      </w:r>
    </w:p>
    <w:p w14:paraId="112E167A">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94" w:name="_Toc54862246"/>
      <w:r>
        <w:rPr>
          <w:rFonts w:hint="eastAsia" w:ascii="宋体" w:hAnsi="宋体" w:eastAsia="宋体" w:cs="宋体"/>
          <w:b w:val="0"/>
          <w:bCs/>
          <w:color w:val="auto"/>
          <w:sz w:val="21"/>
          <w:szCs w:val="21"/>
        </w:rPr>
        <w:t>7.11 工程照管</w:t>
      </w:r>
      <w:bookmarkEnd w:id="394"/>
    </w:p>
    <w:p w14:paraId="6C19F7B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自开始现场施工日期起至发包人应当接收工程之日止，承包人应承担工程现场、材料、设备及承包人文件的照管和维护工作。</w:t>
      </w:r>
    </w:p>
    <w:p w14:paraId="16C409F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如部分工程于竣工验收前提前交付发包人的，则自交付之日起，该部分工程照管及维护职责由发包人承担。</w:t>
      </w:r>
    </w:p>
    <w:p w14:paraId="5FAB688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如发包人及承包人进行竣工验收时尚有部分未竣工工程的，承包人应负责该未竣工工程的照管和维护工作，直至竣工后移交给发包人。</w:t>
      </w:r>
    </w:p>
    <w:p w14:paraId="284DA3A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如合同解除或终止的，承包人自合同解除或终止之日起不再对工程承担照管和维护义务。</w:t>
      </w:r>
    </w:p>
    <w:p w14:paraId="27A063DB">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395" w:name="_Ref508998009"/>
      <w:bookmarkStart w:id="396" w:name="_Toc54862247"/>
      <w:bookmarkStart w:id="397" w:name="_Ref531954505"/>
      <w:bookmarkStart w:id="398" w:name="_Ref531954518"/>
      <w:r>
        <w:rPr>
          <w:rFonts w:hint="eastAsia" w:ascii="宋体" w:hAnsi="宋体" w:eastAsia="宋体" w:cs="宋体"/>
          <w:b w:val="0"/>
          <w:bCs/>
          <w:color w:val="auto"/>
          <w:sz w:val="21"/>
          <w:szCs w:val="21"/>
        </w:rPr>
        <w:t>第8条 工期和进度</w:t>
      </w:r>
      <w:bookmarkEnd w:id="395"/>
      <w:bookmarkEnd w:id="396"/>
    </w:p>
    <w:p w14:paraId="47E2D3E6">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399" w:name="_Toc54862248"/>
      <w:bookmarkStart w:id="400" w:name="_Ref532362075"/>
      <w:bookmarkStart w:id="401" w:name="_Ref532362774"/>
      <w:bookmarkStart w:id="402" w:name="_Ref532362072"/>
      <w:bookmarkStart w:id="403" w:name="_Ref532362777"/>
      <w:r>
        <w:rPr>
          <w:rFonts w:hint="eastAsia" w:ascii="宋体" w:hAnsi="宋体" w:eastAsia="宋体" w:cs="宋体"/>
          <w:b w:val="0"/>
          <w:bCs/>
          <w:color w:val="auto"/>
          <w:sz w:val="21"/>
          <w:szCs w:val="21"/>
        </w:rPr>
        <w:t>8.1 开始工作</w:t>
      </w:r>
      <w:bookmarkEnd w:id="399"/>
      <w:bookmarkEnd w:id="400"/>
      <w:bookmarkEnd w:id="401"/>
      <w:bookmarkEnd w:id="402"/>
      <w:bookmarkEnd w:id="403"/>
    </w:p>
    <w:p w14:paraId="251B133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04" w:name="_Ref4428890"/>
      <w:r>
        <w:rPr>
          <w:rFonts w:hint="eastAsia" w:ascii="宋体" w:hAnsi="宋体" w:eastAsia="宋体" w:cs="宋体"/>
          <w:color w:val="auto"/>
          <w:sz w:val="21"/>
          <w:szCs w:val="21"/>
        </w:rPr>
        <w:t>8.1.1 开始工作准备</w:t>
      </w:r>
      <w:bookmarkEnd w:id="404"/>
    </w:p>
    <w:p w14:paraId="1EE0278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合同当事人应按专用合同条件约定完成开始工作准备工作。</w:t>
      </w:r>
    </w:p>
    <w:p w14:paraId="083476C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05" w:name="_Ref536790534"/>
      <w:bookmarkStart w:id="406" w:name="_Hlk51506490"/>
      <w:r>
        <w:rPr>
          <w:rFonts w:hint="eastAsia" w:ascii="宋体" w:hAnsi="宋体" w:eastAsia="宋体" w:cs="宋体"/>
          <w:color w:val="auto"/>
          <w:sz w:val="21"/>
          <w:szCs w:val="21"/>
        </w:rPr>
        <w:t>8.1.2 开始工作通知</w:t>
      </w:r>
      <w:bookmarkEnd w:id="405"/>
    </w:p>
    <w:bookmarkEnd w:id="406"/>
    <w:p w14:paraId="2A664E3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经发包人同意后，工程师应提前7天向承包人发出经发包人签认的开始工作通知，工期自开始工作通知中载明的开始工作日期起算。</w:t>
      </w:r>
    </w:p>
    <w:p w14:paraId="500E98D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除专用合同条件另有约定外，因发包人原因造成实际开始现场施工日期迟于</w:t>
      </w:r>
      <w:bookmarkStart w:id="407" w:name="_Hlk51506566"/>
      <w:r>
        <w:rPr>
          <w:rFonts w:hint="eastAsia" w:ascii="宋体" w:hAnsi="宋体" w:eastAsia="宋体" w:cs="宋体"/>
          <w:color w:val="auto"/>
          <w:sz w:val="21"/>
          <w:szCs w:val="21"/>
        </w:rPr>
        <w:t>计划开始现场施工日期</w:t>
      </w:r>
      <w:bookmarkEnd w:id="407"/>
      <w:r>
        <w:rPr>
          <w:rFonts w:hint="eastAsia" w:ascii="宋体" w:hAnsi="宋体" w:eastAsia="宋体" w:cs="宋体"/>
          <w:color w:val="auto"/>
          <w:sz w:val="21"/>
          <w:szCs w:val="21"/>
        </w:rPr>
        <w:t>后第84天的，承包人有权提出价格调整要求，或者解除合同。发包人应当承担由此增加的费用和（或）延误的工期，并向承包人支付合理利润。</w:t>
      </w:r>
    </w:p>
    <w:p w14:paraId="79DFCA1C">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08" w:name="_Ref532362124"/>
      <w:bookmarkStart w:id="409" w:name="_Toc54862249"/>
      <w:r>
        <w:rPr>
          <w:rFonts w:hint="eastAsia" w:ascii="宋体" w:hAnsi="宋体" w:eastAsia="宋体" w:cs="宋体"/>
          <w:b w:val="0"/>
          <w:bCs/>
          <w:color w:val="auto"/>
          <w:sz w:val="21"/>
          <w:szCs w:val="21"/>
        </w:rPr>
        <w:t>8.2 竣工日期</w:t>
      </w:r>
      <w:bookmarkEnd w:id="408"/>
      <w:bookmarkEnd w:id="409"/>
      <w:r>
        <w:rPr>
          <w:rFonts w:hint="eastAsia" w:ascii="宋体" w:hAnsi="宋体" w:eastAsia="宋体" w:cs="宋体"/>
          <w:b w:val="0"/>
          <w:bCs/>
          <w:color w:val="auto"/>
          <w:sz w:val="21"/>
          <w:szCs w:val="21"/>
        </w:rPr>
        <w:t xml:space="preserve"> </w:t>
      </w:r>
    </w:p>
    <w:p w14:paraId="0E3226F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承包人应在合同协议书约定的工期内完成合同工作。除专用合同条件另有约定外，工程的竣工日期以第10.1条[竣工验收]的约定为准，并在工程接收证书中写明。</w:t>
      </w:r>
    </w:p>
    <w:p w14:paraId="5003793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因发包人原因，在工程师收到承包人竣工验收申请报告42天后未进行验收的，视为验收合格，实际竣工日期以提交竣工验收申请报告的日期为准，但发包人由于不可抗力不能进行验收的除外。</w:t>
      </w:r>
    </w:p>
    <w:p w14:paraId="301B89D9">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10" w:name="_Ref11863334"/>
      <w:bookmarkStart w:id="411" w:name="_Toc54862250"/>
      <w:bookmarkStart w:id="412" w:name="_Ref532362204"/>
      <w:bookmarkStart w:id="413" w:name="_Ref532352856"/>
      <w:bookmarkStart w:id="414" w:name="_Ref532352853"/>
      <w:bookmarkStart w:id="415" w:name="_Ref532362207"/>
      <w:r>
        <w:rPr>
          <w:rFonts w:hint="eastAsia" w:ascii="宋体" w:hAnsi="宋体" w:eastAsia="宋体" w:cs="宋体"/>
          <w:b w:val="0"/>
          <w:bCs/>
          <w:color w:val="auto"/>
          <w:sz w:val="21"/>
          <w:szCs w:val="21"/>
        </w:rPr>
        <w:t>8.3 项目实施计划</w:t>
      </w:r>
      <w:bookmarkEnd w:id="410"/>
      <w:bookmarkEnd w:id="411"/>
    </w:p>
    <w:p w14:paraId="524B1C1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16" w:name="_Ref18990904"/>
      <w:r>
        <w:rPr>
          <w:rFonts w:hint="eastAsia" w:ascii="宋体" w:hAnsi="宋体" w:eastAsia="宋体" w:cs="宋体"/>
          <w:color w:val="auto"/>
          <w:sz w:val="21"/>
          <w:szCs w:val="21"/>
        </w:rPr>
        <w:t>8.3.1 项目实施计划的内容</w:t>
      </w:r>
      <w:bookmarkEnd w:id="416"/>
    </w:p>
    <w:p w14:paraId="1A638C2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4FF5423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17" w:name="_Ref18990921"/>
      <w:r>
        <w:rPr>
          <w:rFonts w:hint="eastAsia" w:ascii="宋体" w:hAnsi="宋体" w:eastAsia="宋体" w:cs="宋体"/>
          <w:color w:val="auto"/>
          <w:sz w:val="21"/>
          <w:szCs w:val="21"/>
        </w:rPr>
        <w:t>8.3.2 项目实施计划的提交和修改</w:t>
      </w:r>
      <w:bookmarkEnd w:id="417"/>
    </w:p>
    <w:p w14:paraId="39FD239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38391A2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项目进度计划的编制和修改按照第8.4款[项目进度计划]执行。</w:t>
      </w:r>
    </w:p>
    <w:p w14:paraId="76812A7C">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18" w:name="_Toc54862251"/>
      <w:bookmarkStart w:id="419" w:name="_Ref11865507"/>
      <w:r>
        <w:rPr>
          <w:rFonts w:hint="eastAsia" w:ascii="宋体" w:hAnsi="宋体" w:eastAsia="宋体" w:cs="宋体"/>
          <w:b w:val="0"/>
          <w:bCs/>
          <w:color w:val="auto"/>
          <w:sz w:val="21"/>
          <w:szCs w:val="21"/>
        </w:rPr>
        <w:t>8.4 项目进度计划</w:t>
      </w:r>
      <w:bookmarkEnd w:id="412"/>
      <w:bookmarkEnd w:id="413"/>
      <w:bookmarkEnd w:id="414"/>
      <w:bookmarkEnd w:id="415"/>
      <w:bookmarkEnd w:id="418"/>
      <w:bookmarkEnd w:id="419"/>
    </w:p>
    <w:p w14:paraId="29A01C0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20" w:name="_Ref4681217"/>
      <w:r>
        <w:rPr>
          <w:rFonts w:hint="eastAsia" w:ascii="宋体" w:hAnsi="宋体" w:eastAsia="宋体" w:cs="宋体"/>
          <w:color w:val="auto"/>
          <w:sz w:val="21"/>
          <w:szCs w:val="21"/>
        </w:rPr>
        <w:t>8.4.1 项目进度计划的提交和修改</w:t>
      </w:r>
      <w:bookmarkEnd w:id="420"/>
    </w:p>
    <w:p w14:paraId="7CC6520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20BC783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587B918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21" w:name="_Ref4429079"/>
      <w:r>
        <w:rPr>
          <w:rFonts w:hint="eastAsia" w:ascii="宋体" w:hAnsi="宋体" w:eastAsia="宋体" w:cs="宋体"/>
          <w:color w:val="auto"/>
          <w:sz w:val="21"/>
          <w:szCs w:val="21"/>
        </w:rPr>
        <w:t>8.4.2 项目进度计划的内容</w:t>
      </w:r>
      <w:bookmarkEnd w:id="421"/>
    </w:p>
    <w:p w14:paraId="4EA2E2E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086A462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22" w:name="_Ref3848203"/>
      <w:r>
        <w:rPr>
          <w:rFonts w:hint="eastAsia" w:ascii="宋体" w:hAnsi="宋体" w:eastAsia="宋体" w:cs="宋体"/>
          <w:color w:val="auto"/>
          <w:sz w:val="21"/>
          <w:szCs w:val="21"/>
        </w:rPr>
        <w:t>8.4.3 项目进度计划的修订</w:t>
      </w:r>
      <w:bookmarkEnd w:id="422"/>
    </w:p>
    <w:p w14:paraId="06DA491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204E283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1140CEA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除合同当事人另有约定外，项目进度计划的修订并不能减轻或者免除双方按第8.7款[工期延误]、第8.8款[工期提前]、第8.9款[暂停工作]应承担的合同责任。</w:t>
      </w:r>
    </w:p>
    <w:p w14:paraId="2CA5C03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23" w:name="_Ref532362278"/>
      <w:bookmarkStart w:id="424" w:name="_Toc54862252"/>
      <w:bookmarkStart w:id="425" w:name="_Ref532362276"/>
      <w:r>
        <w:rPr>
          <w:rFonts w:hint="eastAsia" w:ascii="宋体" w:hAnsi="宋体" w:eastAsia="宋体" w:cs="宋体"/>
          <w:b w:val="0"/>
          <w:bCs/>
          <w:color w:val="auto"/>
          <w:sz w:val="21"/>
          <w:szCs w:val="21"/>
        </w:rPr>
        <w:t>8.5 进度报告</w:t>
      </w:r>
      <w:bookmarkEnd w:id="423"/>
      <w:bookmarkEnd w:id="424"/>
      <w:bookmarkEnd w:id="425"/>
    </w:p>
    <w:p w14:paraId="0C117BB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项目实施过程中，承包人应进行实际进度记录，并根据工程师的要求编制月进度报告，并提交给工程师。进度报告应包含以下主要内容：</w:t>
      </w:r>
    </w:p>
    <w:p w14:paraId="103D33F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工程设计、采购、施工等各个工作内容的进展报告；</w:t>
      </w:r>
    </w:p>
    <w:p w14:paraId="41C3FC4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工程施工方法的一般说明；</w:t>
      </w:r>
    </w:p>
    <w:p w14:paraId="42F7EAF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当月工程实施介入的项目人员、设备和材料的预估明细报告；</w:t>
      </w:r>
    </w:p>
    <w:p w14:paraId="4949D74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 当月实际进度与进度计划对比分析，以及提出未来可能引起工期延误的情形，同时提出应对措施；需要修订项目进度计划的，应对项目进度计划的修订部分进行说明； </w:t>
      </w:r>
    </w:p>
    <w:p w14:paraId="56C5910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承包人对于解决工期延误所提出的建议；</w:t>
      </w:r>
    </w:p>
    <w:p w14:paraId="7D5C426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其他与工程有关的重大事项。</w:t>
      </w:r>
    </w:p>
    <w:p w14:paraId="097D5E9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进度报告的具体要求等，在专用合同条件约定。</w:t>
      </w:r>
    </w:p>
    <w:p w14:paraId="4B230B1E">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26" w:name="_Toc54862253"/>
      <w:r>
        <w:rPr>
          <w:rFonts w:hint="eastAsia" w:ascii="宋体" w:hAnsi="宋体" w:eastAsia="宋体" w:cs="宋体"/>
          <w:b w:val="0"/>
          <w:bCs/>
          <w:color w:val="auto"/>
          <w:sz w:val="21"/>
          <w:szCs w:val="21"/>
        </w:rPr>
        <w:t>8.6 提前预警</w:t>
      </w:r>
      <w:bookmarkEnd w:id="426"/>
    </w:p>
    <w:p w14:paraId="514EB92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任何一方应当在下列情形发生时尽快书面通知另一方：</w:t>
      </w:r>
    </w:p>
    <w:p w14:paraId="6394461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该情形可能对合同的履行或实现合同目的产生不利影响；</w:t>
      </w:r>
    </w:p>
    <w:p w14:paraId="29C4557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该情形可能对工程完成后的使用产生不利影响；</w:t>
      </w:r>
    </w:p>
    <w:p w14:paraId="15EAE40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该情形可能导致合同价款增加；</w:t>
      </w:r>
    </w:p>
    <w:p w14:paraId="4C439D1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该情形可能导致整个工程或单位/区段工程的工期延长。</w:t>
      </w:r>
    </w:p>
    <w:p w14:paraId="77C8F7D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发包人有权要求承包人根据第13.2款[承包人的合理化建议]的约定提交变更建议，采取措施尽量避免或最小化上述情形的发生或影响。</w:t>
      </w:r>
    </w:p>
    <w:p w14:paraId="53288BB0">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27" w:name="_Toc4784157"/>
      <w:bookmarkEnd w:id="427"/>
      <w:bookmarkStart w:id="428" w:name="_Toc4784162"/>
      <w:bookmarkEnd w:id="428"/>
      <w:bookmarkStart w:id="429" w:name="_Toc4784156"/>
      <w:bookmarkEnd w:id="429"/>
      <w:bookmarkStart w:id="430" w:name="_Toc4784159"/>
      <w:bookmarkEnd w:id="430"/>
      <w:bookmarkStart w:id="431" w:name="_Toc4784168"/>
      <w:bookmarkEnd w:id="431"/>
      <w:bookmarkStart w:id="432" w:name="_Toc4784172"/>
      <w:bookmarkEnd w:id="432"/>
      <w:bookmarkStart w:id="433" w:name="_Toc4784164"/>
      <w:bookmarkEnd w:id="433"/>
      <w:bookmarkStart w:id="434" w:name="_Toc4784167"/>
      <w:bookmarkEnd w:id="434"/>
      <w:bookmarkStart w:id="435" w:name="_Toc4784174"/>
      <w:bookmarkEnd w:id="435"/>
      <w:bookmarkStart w:id="436" w:name="_Toc4784166"/>
      <w:bookmarkEnd w:id="436"/>
      <w:bookmarkStart w:id="437" w:name="_Toc4784165"/>
      <w:bookmarkEnd w:id="437"/>
      <w:bookmarkStart w:id="438" w:name="_Toc4784175"/>
      <w:bookmarkEnd w:id="438"/>
      <w:bookmarkStart w:id="439" w:name="_Toc4784173"/>
      <w:bookmarkEnd w:id="439"/>
      <w:bookmarkStart w:id="440" w:name="_Toc4784158"/>
      <w:bookmarkEnd w:id="440"/>
      <w:bookmarkStart w:id="441" w:name="_Toc4784160"/>
      <w:bookmarkEnd w:id="441"/>
      <w:bookmarkStart w:id="442" w:name="_Toc4784161"/>
      <w:bookmarkEnd w:id="442"/>
      <w:bookmarkStart w:id="443" w:name="_Toc4784155"/>
      <w:bookmarkEnd w:id="443"/>
      <w:bookmarkStart w:id="444" w:name="_Toc4784163"/>
      <w:bookmarkEnd w:id="444"/>
      <w:bookmarkStart w:id="445" w:name="_Toc4784171"/>
      <w:bookmarkEnd w:id="445"/>
      <w:bookmarkStart w:id="446" w:name="_Toc4784169"/>
      <w:bookmarkEnd w:id="446"/>
      <w:bookmarkStart w:id="447" w:name="_Toc4784154"/>
      <w:bookmarkEnd w:id="447"/>
      <w:bookmarkStart w:id="448" w:name="_Toc4784170"/>
      <w:bookmarkEnd w:id="448"/>
      <w:bookmarkStart w:id="449" w:name="_Toc54862254"/>
      <w:bookmarkStart w:id="450" w:name="_Ref4770106"/>
      <w:bookmarkStart w:id="451" w:name="_Ref532362359"/>
      <w:bookmarkStart w:id="452" w:name="_Ref532362356"/>
      <w:r>
        <w:rPr>
          <w:rFonts w:hint="eastAsia" w:ascii="宋体" w:hAnsi="宋体" w:eastAsia="宋体" w:cs="宋体"/>
          <w:b w:val="0"/>
          <w:bCs/>
          <w:color w:val="auto"/>
          <w:sz w:val="21"/>
          <w:szCs w:val="21"/>
        </w:rPr>
        <w:t>8.7 工期延误</w:t>
      </w:r>
      <w:bookmarkEnd w:id="449"/>
      <w:bookmarkEnd w:id="450"/>
    </w:p>
    <w:p w14:paraId="1FC2C38D">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53" w:name="_Ref4796050"/>
      <w:r>
        <w:rPr>
          <w:rFonts w:hint="eastAsia" w:ascii="宋体" w:hAnsi="宋体" w:eastAsia="宋体" w:cs="宋体"/>
          <w:color w:val="auto"/>
          <w:sz w:val="21"/>
          <w:szCs w:val="21"/>
        </w:rPr>
        <w:t>8.7.1 因发包人原因导致工期延误</w:t>
      </w:r>
      <w:bookmarkEnd w:id="453"/>
    </w:p>
    <w:p w14:paraId="1D79586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在合同履行过程中，因下列情况导致工期延误和（或）费用增加的，由发包人承担由此延误的工期和（或）增加的费用，且发包人应支付承包人合理的利润：</w:t>
      </w:r>
    </w:p>
    <w:p w14:paraId="31D077C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根据第13条[变更与调整]的约定构成一项变更的；</w:t>
      </w:r>
    </w:p>
    <w:p w14:paraId="6ECE2BE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发包人违反本合同约定，导致工期延误和（或）费用增加的；</w:t>
      </w:r>
    </w:p>
    <w:p w14:paraId="7EAA599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发包人、发包人代表、工程师或发包人聘请的任意第三方造成或引起的任何延误、妨碍和阻碍；</w:t>
      </w:r>
    </w:p>
    <w:p w14:paraId="0B99287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发包人未能依据第6.2.1项[发包人提供的材料和工程设备]的约定提供材料和工程设备导致工期延误和（或）费用增加的；</w:t>
      </w:r>
    </w:p>
    <w:p w14:paraId="381BACF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因发包人原因导致的暂停施工；</w:t>
      </w:r>
    </w:p>
    <w:p w14:paraId="695D601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发包人未及时履行相关合同义务，造成工期延误的其他原因。</w:t>
      </w:r>
    </w:p>
    <w:p w14:paraId="0801707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54" w:name="_Ref4770209"/>
      <w:r>
        <w:rPr>
          <w:rFonts w:hint="eastAsia" w:ascii="宋体" w:hAnsi="宋体" w:eastAsia="宋体" w:cs="宋体"/>
          <w:color w:val="auto"/>
          <w:sz w:val="21"/>
          <w:szCs w:val="21"/>
        </w:rPr>
        <w:t>8.7.2 因承包人原因导致工期延误</w:t>
      </w:r>
      <w:bookmarkEnd w:id="454"/>
    </w:p>
    <w:p w14:paraId="354CDE2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由于承包人的原因，未能按项目进度计划完成工作，承包人应采取措施加快进度，并承担加快进度所增加的费用。</w:t>
      </w:r>
    </w:p>
    <w:p w14:paraId="52844B5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430CCAAE">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55" w:name="_Ref4770872"/>
      <w:r>
        <w:rPr>
          <w:rFonts w:hint="eastAsia" w:ascii="宋体" w:hAnsi="宋体" w:eastAsia="宋体" w:cs="宋体"/>
          <w:color w:val="auto"/>
          <w:sz w:val="21"/>
          <w:szCs w:val="21"/>
        </w:rPr>
        <w:t>8.7.3 行政审批迟延</w:t>
      </w:r>
      <w:bookmarkEnd w:id="455"/>
      <w:r>
        <w:rPr>
          <w:rFonts w:hint="eastAsia" w:ascii="宋体" w:hAnsi="宋体" w:eastAsia="宋体" w:cs="宋体"/>
          <w:color w:val="auto"/>
          <w:sz w:val="21"/>
          <w:szCs w:val="21"/>
        </w:rPr>
        <w:t xml:space="preserve"> </w:t>
      </w:r>
    </w:p>
    <w:p w14:paraId="6588692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02556C4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56" w:name="_Ref4770933"/>
      <w:r>
        <w:rPr>
          <w:rFonts w:hint="eastAsia" w:ascii="宋体" w:hAnsi="宋体" w:eastAsia="宋体" w:cs="宋体"/>
          <w:color w:val="auto"/>
          <w:sz w:val="21"/>
          <w:szCs w:val="21"/>
        </w:rPr>
        <w:t>8.7.4 异常恶劣的气候条件</w:t>
      </w:r>
      <w:bookmarkEnd w:id="456"/>
    </w:p>
    <w:p w14:paraId="4ACB2FA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28F28C3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14BA67E7">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57" w:name="_Toc54862255"/>
      <w:bookmarkStart w:id="458" w:name="_Ref4781828"/>
      <w:r>
        <w:rPr>
          <w:rFonts w:hint="eastAsia" w:ascii="宋体" w:hAnsi="宋体" w:eastAsia="宋体" w:cs="宋体"/>
          <w:b w:val="0"/>
          <w:bCs/>
          <w:color w:val="auto"/>
          <w:sz w:val="21"/>
          <w:szCs w:val="21"/>
        </w:rPr>
        <w:t>8.8 工期提前</w:t>
      </w:r>
      <w:bookmarkEnd w:id="451"/>
      <w:bookmarkEnd w:id="452"/>
      <w:bookmarkEnd w:id="457"/>
      <w:bookmarkEnd w:id="458"/>
    </w:p>
    <w:p w14:paraId="73B5929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405FBF9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59" w:name="_Ref4429347"/>
      <w:r>
        <w:rPr>
          <w:rFonts w:hint="eastAsia" w:ascii="宋体" w:hAnsi="宋体" w:eastAsia="宋体" w:cs="宋体"/>
          <w:color w:val="auto"/>
          <w:sz w:val="21"/>
          <w:szCs w:val="21"/>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bookmarkEnd w:id="459"/>
    </w:p>
    <w:p w14:paraId="47134C3C">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60" w:name="_Ref4615031"/>
      <w:bookmarkStart w:id="461" w:name="_Ref4615040"/>
      <w:bookmarkStart w:id="462" w:name="_Toc54862256"/>
      <w:r>
        <w:rPr>
          <w:rFonts w:hint="eastAsia" w:ascii="宋体" w:hAnsi="宋体" w:eastAsia="宋体" w:cs="宋体"/>
          <w:b w:val="0"/>
          <w:bCs/>
          <w:color w:val="auto"/>
          <w:sz w:val="21"/>
          <w:szCs w:val="21"/>
        </w:rPr>
        <w:t>8.9 暂停工作</w:t>
      </w:r>
      <w:bookmarkEnd w:id="460"/>
      <w:bookmarkEnd w:id="461"/>
      <w:bookmarkEnd w:id="462"/>
      <w:r>
        <w:rPr>
          <w:rFonts w:hint="eastAsia" w:ascii="宋体" w:hAnsi="宋体" w:eastAsia="宋体" w:cs="宋体"/>
          <w:b w:val="0"/>
          <w:bCs/>
          <w:color w:val="auto"/>
          <w:sz w:val="21"/>
          <w:szCs w:val="21"/>
        </w:rPr>
        <w:t xml:space="preserve"> </w:t>
      </w:r>
    </w:p>
    <w:p w14:paraId="322D268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63" w:name="_Ref4709151"/>
      <w:r>
        <w:rPr>
          <w:rFonts w:hint="eastAsia" w:ascii="宋体" w:hAnsi="宋体" w:eastAsia="宋体" w:cs="宋体"/>
          <w:color w:val="auto"/>
          <w:sz w:val="21"/>
          <w:szCs w:val="21"/>
        </w:rPr>
        <w:t>8.9.1 由发包人暂停工作</w:t>
      </w:r>
      <w:bookmarkEnd w:id="463"/>
    </w:p>
    <w:p w14:paraId="0E90B2B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发包人认为必要时，可通过工程师向承包人发出经发包人签认的暂停工作通知，应列明暂停原因、暂停的日期及预计暂停的期限。承包人应按该通知暂停工作。</w:t>
      </w:r>
      <w:bookmarkStart w:id="464" w:name="_Ref4709233"/>
    </w:p>
    <w:p w14:paraId="3B330D7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承包人因执行暂停工作通知而造成费用的增加和（或）工期延误由发包人承担，并有权要求发包人支付合理利润，但</w:t>
      </w:r>
      <w:bookmarkEnd w:id="464"/>
      <w:r>
        <w:rPr>
          <w:rFonts w:hint="eastAsia" w:ascii="宋体" w:hAnsi="宋体" w:eastAsia="宋体" w:cs="宋体"/>
          <w:color w:val="auto"/>
          <w:sz w:val="21"/>
          <w:szCs w:val="21"/>
        </w:rPr>
        <w:t>由于承包人原因造成发包人暂停工作的除外。</w:t>
      </w:r>
    </w:p>
    <w:p w14:paraId="74ECD2B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65" w:name="_Ref18972173"/>
      <w:r>
        <w:rPr>
          <w:rFonts w:hint="eastAsia" w:ascii="宋体" w:hAnsi="宋体" w:eastAsia="宋体" w:cs="宋体"/>
          <w:color w:val="auto"/>
          <w:sz w:val="21"/>
          <w:szCs w:val="21"/>
        </w:rPr>
        <w:t>8.9.2 由承包人暂停工作</w:t>
      </w:r>
      <w:bookmarkEnd w:id="465"/>
      <w:r>
        <w:rPr>
          <w:rFonts w:hint="eastAsia" w:ascii="宋体" w:hAnsi="宋体" w:eastAsia="宋体" w:cs="宋体"/>
          <w:color w:val="auto"/>
          <w:sz w:val="21"/>
          <w:szCs w:val="21"/>
        </w:rPr>
        <w:t xml:space="preserve"> </w:t>
      </w:r>
    </w:p>
    <w:p w14:paraId="700E9A7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0F74266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7F709D4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466" w:name="_Ref4709224"/>
      <w:r>
        <w:rPr>
          <w:rFonts w:hint="eastAsia" w:ascii="宋体" w:hAnsi="宋体" w:eastAsia="宋体" w:cs="宋体"/>
          <w:color w:val="auto"/>
          <w:sz w:val="21"/>
          <w:szCs w:val="21"/>
        </w:rPr>
        <w:t>（1） 发包人拖延、拒绝批准付款申请和支付证书，或未能按合同约定支付价款，导致付款延误的；</w:t>
      </w:r>
      <w:bookmarkEnd w:id="466"/>
    </w:p>
    <w:p w14:paraId="3522331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发包人未按约定履行合同其他义务导致承包人无法继续履行合同的，或者发包人明确表示暂停或实质上已暂停履行合同的。</w:t>
      </w:r>
    </w:p>
    <w:p w14:paraId="66565A8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8.9.3 除上述原因以外的暂停工作，双方应遵守第17条[不可抗力]的相关约定。</w:t>
      </w:r>
    </w:p>
    <w:p w14:paraId="6AC53BAD">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67" w:name="_Ref4709158"/>
      <w:r>
        <w:rPr>
          <w:rFonts w:hint="eastAsia" w:ascii="宋体" w:hAnsi="宋体" w:eastAsia="宋体" w:cs="宋体"/>
          <w:color w:val="auto"/>
          <w:sz w:val="21"/>
          <w:szCs w:val="21"/>
        </w:rPr>
        <w:t>8.9.4 暂停工作期间的工程照管</w:t>
      </w:r>
      <w:bookmarkEnd w:id="467"/>
      <w:r>
        <w:rPr>
          <w:rFonts w:hint="eastAsia" w:ascii="宋体" w:hAnsi="宋体" w:eastAsia="宋体" w:cs="宋体"/>
          <w:color w:val="auto"/>
          <w:sz w:val="21"/>
          <w:szCs w:val="21"/>
        </w:rPr>
        <w:t xml:space="preserve"> </w:t>
      </w:r>
    </w:p>
    <w:p w14:paraId="3FC4C9A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55065F3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因承包人未能尽到照管、保护的责任造成损失的，使发包人的费用增加，（或）竣工日期延误的，由承包人按本合同约定承担责任。</w:t>
      </w:r>
    </w:p>
    <w:p w14:paraId="5FB6F93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8.9.5 拖长的暂停</w:t>
      </w:r>
    </w:p>
    <w:p w14:paraId="4211900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12EA2F84">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68" w:name="_Toc54862257"/>
      <w:r>
        <w:rPr>
          <w:rFonts w:hint="eastAsia" w:ascii="宋体" w:hAnsi="宋体" w:eastAsia="宋体" w:cs="宋体"/>
          <w:b w:val="0"/>
          <w:bCs/>
          <w:color w:val="auto"/>
          <w:sz w:val="21"/>
          <w:szCs w:val="21"/>
        </w:rPr>
        <w:t>8.10 复工</w:t>
      </w:r>
      <w:bookmarkEnd w:id="468"/>
      <w:r>
        <w:rPr>
          <w:rFonts w:hint="eastAsia" w:ascii="宋体" w:hAnsi="宋体" w:eastAsia="宋体" w:cs="宋体"/>
          <w:b w:val="0"/>
          <w:bCs/>
          <w:color w:val="auto"/>
          <w:sz w:val="21"/>
          <w:szCs w:val="21"/>
        </w:rPr>
        <w:t xml:space="preserve"> </w:t>
      </w:r>
    </w:p>
    <w:p w14:paraId="3509866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8.10.1 收到发包人的复工通知后，承包人应按通知时间复工；发包人通知的复工时间应当给予承包人必要的准备复工时间。</w:t>
      </w:r>
    </w:p>
    <w:p w14:paraId="36B2095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8.10.2 不论由于何种原因引起暂停工作，双方均可要求对方一同对受暂停影响的工程、工程设备和工程物资进行检查，承包人应将检查结果及需要恢复、修复的内容和估算通知发包人。</w:t>
      </w:r>
    </w:p>
    <w:p w14:paraId="6273D96B">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8.10.3 除第17条[不可抗力]另有约定外，发生的恢复、修复价款及工期延误的后果由责任方承担。</w:t>
      </w:r>
    </w:p>
    <w:p w14:paraId="4FD33E82">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469" w:name="_Ref4621029"/>
      <w:bookmarkStart w:id="470" w:name="_Ref4621041"/>
      <w:bookmarkStart w:id="471" w:name="_Toc54862258"/>
      <w:r>
        <w:rPr>
          <w:rFonts w:hint="eastAsia" w:ascii="宋体" w:hAnsi="宋体" w:eastAsia="宋体" w:cs="宋体"/>
          <w:b w:val="0"/>
          <w:bCs/>
          <w:color w:val="auto"/>
          <w:sz w:val="21"/>
          <w:szCs w:val="21"/>
        </w:rPr>
        <w:t>第9条 竣工试验</w:t>
      </w:r>
      <w:bookmarkEnd w:id="397"/>
      <w:bookmarkEnd w:id="469"/>
      <w:bookmarkEnd w:id="470"/>
      <w:bookmarkEnd w:id="471"/>
      <w:r>
        <w:rPr>
          <w:rFonts w:hint="eastAsia" w:ascii="宋体" w:hAnsi="宋体" w:eastAsia="宋体" w:cs="宋体"/>
          <w:b w:val="0"/>
          <w:bCs/>
          <w:color w:val="auto"/>
          <w:sz w:val="21"/>
          <w:szCs w:val="21"/>
        </w:rPr>
        <w:t xml:space="preserve"> </w:t>
      </w:r>
    </w:p>
    <w:p w14:paraId="7C1C928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72" w:name="_Ref532586248"/>
      <w:bookmarkStart w:id="473" w:name="_Toc54862259"/>
      <w:bookmarkStart w:id="474" w:name="_Ref532586251"/>
      <w:r>
        <w:rPr>
          <w:rFonts w:hint="eastAsia" w:ascii="宋体" w:hAnsi="宋体" w:eastAsia="宋体" w:cs="宋体"/>
          <w:b w:val="0"/>
          <w:bCs/>
          <w:color w:val="auto"/>
          <w:sz w:val="21"/>
          <w:szCs w:val="21"/>
        </w:rPr>
        <w:t>9.1 竣工试验的义务</w:t>
      </w:r>
      <w:bookmarkEnd w:id="472"/>
      <w:bookmarkEnd w:id="473"/>
      <w:bookmarkEnd w:id="474"/>
    </w:p>
    <w:p w14:paraId="0A33BF3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9.1.1 承包人完成工程或区段工程进行竣工试验所需的作业，并根据第5.4款[竣工文件]和第5.5款[操作和维修手册]提交文件后，进行竣工试验。</w:t>
      </w:r>
      <w:bookmarkStart w:id="475" w:name="_Ref532586608"/>
    </w:p>
    <w:p w14:paraId="651C98D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76" w:name="_Ref11919920"/>
      <w:r>
        <w:rPr>
          <w:rFonts w:hint="eastAsia" w:ascii="宋体" w:hAnsi="宋体" w:eastAsia="宋体" w:cs="宋体"/>
          <w:color w:val="auto"/>
          <w:sz w:val="21"/>
          <w:szCs w:val="21"/>
        </w:rPr>
        <w:t>9.1.2 承包人应在进行竣工试验之前，至少提前42天向工程师提交详细的竣工试验计划，该计划应载明竣工试验的内容、地点、拟开展时间和需要发包人提供的资源条件。</w:t>
      </w:r>
      <w:bookmarkEnd w:id="475"/>
      <w:r>
        <w:rPr>
          <w:rFonts w:hint="eastAsia" w:ascii="宋体" w:hAnsi="宋体" w:eastAsia="宋体" w:cs="宋体"/>
          <w:color w:val="auto"/>
          <w:sz w:val="21"/>
          <w:szCs w:val="21"/>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476"/>
    </w:p>
    <w:p w14:paraId="3E3CD50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77" w:name="_Ref532688147"/>
      <w:r>
        <w:rPr>
          <w:rFonts w:hint="eastAsia" w:ascii="宋体" w:hAnsi="宋体" w:eastAsia="宋体" w:cs="宋体"/>
          <w:color w:val="auto"/>
          <w:sz w:val="21"/>
          <w:szCs w:val="21"/>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bookmarkEnd w:id="477"/>
    </w:p>
    <w:p w14:paraId="4F62F16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承包人进行启动前试验，包括适当的检查和功能性试验，以证明工程或区段工程的每一部分均能够安全地承受下一阶段试验；</w:t>
      </w:r>
    </w:p>
    <w:p w14:paraId="5BED864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承包人进行启动试验，以证明工程或区段工程能够在所有可利用的操作条件下安全运行，并按照专用合同条件和《发包人要求》中的规定操作；</w:t>
      </w:r>
    </w:p>
    <w:p w14:paraId="7A3B9D2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承包人进行试运行试验。当工程或区段工程能稳定安全运行时，承包人应通知工程师，可以进行其他竣工试验，包括各种性能测试，以证明工程或区段工程符合《发包人要求》中列明的性能保证指标。</w:t>
      </w:r>
    </w:p>
    <w:p w14:paraId="3716F00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进行上述试验不应构成第10条[验收和工程接收]规定的接收，但试验所产生的任何产品或其他收益均应归属于发包人。</w:t>
      </w:r>
    </w:p>
    <w:p w14:paraId="5628A2B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49FDB3C4">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78" w:name="_Toc54862260"/>
      <w:r>
        <w:rPr>
          <w:rFonts w:hint="eastAsia" w:ascii="宋体" w:hAnsi="宋体" w:eastAsia="宋体" w:cs="宋体"/>
          <w:b w:val="0"/>
          <w:bCs/>
          <w:color w:val="auto"/>
          <w:sz w:val="21"/>
          <w:szCs w:val="21"/>
        </w:rPr>
        <w:t>9.2 延误的试验</w:t>
      </w:r>
      <w:bookmarkEnd w:id="478"/>
    </w:p>
    <w:p w14:paraId="7D3B151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1F81160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9.2.2 承包人无正当理由延误进行竣工试验的，工程师可向其发出通知，要求其在收到通知后的21天内进行该项竣工试验。承包人应在该21天的期限内确定进行试验的日期，并至少提前7天通知工程师。</w:t>
      </w:r>
    </w:p>
    <w:p w14:paraId="058C11F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9.2.3 如果承包人未在该期限内进行竣工试验，则发包人有权自行组织该项竣工试验，由此产生的合理费用由承包人承担。发包人应在试验完成后28天内向承包人发送试验结果。</w:t>
      </w:r>
    </w:p>
    <w:p w14:paraId="43A86F96">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79" w:name="_Ref532594592"/>
      <w:bookmarkStart w:id="480" w:name="_Toc54862261"/>
      <w:bookmarkStart w:id="481" w:name="_Ref532594588"/>
      <w:r>
        <w:rPr>
          <w:rFonts w:hint="eastAsia" w:ascii="宋体" w:hAnsi="宋体" w:eastAsia="宋体" w:cs="宋体"/>
          <w:b w:val="0"/>
          <w:bCs/>
          <w:color w:val="auto"/>
          <w:sz w:val="21"/>
          <w:szCs w:val="21"/>
        </w:rPr>
        <w:t>9.3 重新试验</w:t>
      </w:r>
      <w:bookmarkEnd w:id="479"/>
      <w:bookmarkEnd w:id="480"/>
      <w:bookmarkEnd w:id="481"/>
      <w:r>
        <w:rPr>
          <w:rFonts w:hint="eastAsia" w:ascii="宋体" w:hAnsi="宋体" w:eastAsia="宋体" w:cs="宋体"/>
          <w:b w:val="0"/>
          <w:bCs/>
          <w:color w:val="auto"/>
          <w:sz w:val="21"/>
          <w:szCs w:val="21"/>
        </w:rPr>
        <w:t xml:space="preserve"> </w:t>
      </w:r>
    </w:p>
    <w:p w14:paraId="07D620B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1F63A45B">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82" w:name="_Ref532688226"/>
      <w:bookmarkStart w:id="483" w:name="_Toc54862262"/>
      <w:bookmarkStart w:id="484" w:name="_Ref532688221"/>
      <w:r>
        <w:rPr>
          <w:rFonts w:hint="eastAsia" w:ascii="宋体" w:hAnsi="宋体" w:eastAsia="宋体" w:cs="宋体"/>
          <w:b w:val="0"/>
          <w:bCs/>
          <w:color w:val="auto"/>
          <w:sz w:val="21"/>
          <w:szCs w:val="21"/>
        </w:rPr>
        <w:t>9.4 未能通过竣工试验</w:t>
      </w:r>
      <w:bookmarkEnd w:id="482"/>
      <w:bookmarkEnd w:id="483"/>
      <w:bookmarkEnd w:id="484"/>
    </w:p>
    <w:p w14:paraId="2CF0C40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9.4.1 因发包人原因导致竣工试验未能通过的，承包人进行竣工试验的费用由发包人承担，竣工日期相应顺延。</w:t>
      </w:r>
    </w:p>
    <w:p w14:paraId="77B7DC9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9.4.2 如果工程或区段工程未能通过根据第9.3款[重新试验]重新进行的竣工试验的，则：</w:t>
      </w:r>
    </w:p>
    <w:p w14:paraId="297EB72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发包人有权要求承包人根据第6.6款[缺陷和修补]继续进行修补和改正，并根据第9.3款[重新试验]再次进行竣工试验；</w:t>
      </w:r>
    </w:p>
    <w:p w14:paraId="697E3C4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287D2E9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485" w:name="_Ref4621461"/>
      <w:r>
        <w:rPr>
          <w:rFonts w:hint="eastAsia" w:ascii="宋体" w:hAnsi="宋体" w:eastAsia="宋体" w:cs="宋体"/>
          <w:color w:val="auto"/>
          <w:sz w:val="21"/>
          <w:szCs w:val="21"/>
        </w:rPr>
        <w:t>（3） 未能通过竣工试验，使工程或区段工程的任何主要部分丧失了生产、使用功能时，发包人有权指令承包人更换相关部分，承包人应承担因此增加的费用和误期损害赔偿责任，并赔偿发包人的相应损失</w:t>
      </w:r>
      <w:bookmarkEnd w:id="485"/>
      <w:r>
        <w:rPr>
          <w:rFonts w:hint="eastAsia" w:ascii="宋体" w:hAnsi="宋体" w:eastAsia="宋体" w:cs="宋体"/>
          <w:color w:val="auto"/>
          <w:sz w:val="21"/>
          <w:szCs w:val="21"/>
        </w:rPr>
        <w:t>；</w:t>
      </w:r>
    </w:p>
    <w:p w14:paraId="4EEAE8D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7BADE58E">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486" w:name="_Toc54862263"/>
      <w:bookmarkStart w:id="487" w:name="_Ref4618338"/>
      <w:bookmarkStart w:id="488" w:name="_Ref4624043"/>
      <w:bookmarkStart w:id="489" w:name="_Ref4618348"/>
      <w:r>
        <w:rPr>
          <w:rFonts w:hint="eastAsia" w:ascii="宋体" w:hAnsi="宋体" w:eastAsia="宋体" w:cs="宋体"/>
          <w:b w:val="0"/>
          <w:bCs/>
          <w:color w:val="auto"/>
          <w:sz w:val="21"/>
          <w:szCs w:val="21"/>
        </w:rPr>
        <w:t>第10条 验收和工程接收</w:t>
      </w:r>
      <w:bookmarkEnd w:id="486"/>
      <w:bookmarkEnd w:id="487"/>
      <w:bookmarkEnd w:id="488"/>
      <w:bookmarkEnd w:id="489"/>
    </w:p>
    <w:p w14:paraId="7518A983">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490" w:name="_Toc54862264"/>
      <w:bookmarkStart w:id="491" w:name="_Ref532300801"/>
      <w:bookmarkStart w:id="492" w:name="_Ref532359143"/>
      <w:bookmarkStart w:id="493" w:name="_Ref532301202"/>
      <w:bookmarkStart w:id="494" w:name="_Ref532359152"/>
      <w:bookmarkStart w:id="495" w:name="_Ref532301199"/>
      <w:bookmarkStart w:id="496" w:name="_Ref532300804"/>
      <w:r>
        <w:rPr>
          <w:rFonts w:hint="eastAsia" w:ascii="宋体" w:hAnsi="宋体" w:eastAsia="宋体" w:cs="宋体"/>
          <w:b w:val="0"/>
          <w:bCs/>
          <w:color w:val="auto"/>
          <w:sz w:val="21"/>
          <w:szCs w:val="21"/>
        </w:rPr>
        <w:t>10.1 竣工验收</w:t>
      </w:r>
      <w:bookmarkEnd w:id="490"/>
      <w:bookmarkEnd w:id="491"/>
      <w:bookmarkEnd w:id="492"/>
      <w:bookmarkEnd w:id="493"/>
      <w:bookmarkEnd w:id="494"/>
      <w:bookmarkEnd w:id="495"/>
      <w:bookmarkEnd w:id="496"/>
    </w:p>
    <w:p w14:paraId="080CB4E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97" w:name="_Ref532628356"/>
      <w:r>
        <w:rPr>
          <w:rFonts w:hint="eastAsia" w:ascii="宋体" w:hAnsi="宋体" w:eastAsia="宋体" w:cs="宋体"/>
          <w:color w:val="auto"/>
          <w:sz w:val="21"/>
          <w:szCs w:val="21"/>
        </w:rPr>
        <w:t>10.1.1 竣工验收条件</w:t>
      </w:r>
    </w:p>
    <w:p w14:paraId="64AEA20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工程具备以下条件的，承包人可以申请竣工验收：</w:t>
      </w:r>
    </w:p>
    <w:p w14:paraId="2205B00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16AF992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已按合同约定编制了扫尾工作和缺陷修补工作清单以及相应实施计划；</w:t>
      </w:r>
    </w:p>
    <w:p w14:paraId="5B281FC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已按合同约定的内容和份数备齐竣工资料；</w:t>
      </w:r>
    </w:p>
    <w:p w14:paraId="5C0F199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合同约定要求在竣工验收前应完成的其他工作。</w:t>
      </w:r>
    </w:p>
    <w:bookmarkEnd w:id="497"/>
    <w:p w14:paraId="772486D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498" w:name="_Ref4429424"/>
      <w:bookmarkStart w:id="499" w:name="_Hlk51506601"/>
      <w:r>
        <w:rPr>
          <w:rFonts w:hint="eastAsia" w:ascii="宋体" w:hAnsi="宋体" w:eastAsia="宋体" w:cs="宋体"/>
          <w:color w:val="auto"/>
          <w:sz w:val="21"/>
          <w:szCs w:val="21"/>
        </w:rPr>
        <w:t>10.1.2 竣工验收程序</w:t>
      </w:r>
      <w:bookmarkEnd w:id="498"/>
    </w:p>
    <w:bookmarkEnd w:id="499"/>
    <w:p w14:paraId="413887D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除专用合同条件另有约定外，承包人申请竣工验收的，应当按照以下程序进行：</w:t>
      </w:r>
    </w:p>
    <w:p w14:paraId="3737A66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6074B43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5257CF6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0CFEAB5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500" w:name="_Hlk51506640"/>
      <w:r>
        <w:rPr>
          <w:rFonts w:hint="eastAsia" w:ascii="宋体" w:hAnsi="宋体" w:eastAsia="宋体" w:cs="宋体"/>
          <w:color w:val="auto"/>
          <w:sz w:val="21"/>
          <w:szCs w:val="21"/>
        </w:rPr>
        <w:t>（4） 因发包人原因，未在工程师收到承包人竣工验收申请报告之日起42天内完成竣工验收的，以承包人提交竣工验收申请报告之日作为工程实际竣工日期。</w:t>
      </w:r>
    </w:p>
    <w:bookmarkEnd w:id="500"/>
    <w:p w14:paraId="2009D9D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工程未经竣工验收，发包人擅自使用的，以转移占有工程之日为实际竣工日期。</w:t>
      </w:r>
    </w:p>
    <w:p w14:paraId="52CED95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除专用合同条件另有约定外，发包人不按照本项和第10.4款[接收证书]约定组织竣工验收、颁发工程接收证书的，每逾期一天，应以签约合同价为基数，按照贷款市场报价利率（LPR）支付违约金。</w:t>
      </w:r>
    </w:p>
    <w:p w14:paraId="7904D51D">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01" w:name="_Ref532301210"/>
      <w:bookmarkStart w:id="502" w:name="_Ref532301213"/>
      <w:bookmarkStart w:id="503" w:name="_Toc54862265"/>
      <w:r>
        <w:rPr>
          <w:rFonts w:hint="eastAsia" w:ascii="宋体" w:hAnsi="宋体" w:eastAsia="宋体" w:cs="宋体"/>
          <w:b w:val="0"/>
          <w:bCs/>
          <w:color w:val="auto"/>
          <w:sz w:val="21"/>
          <w:szCs w:val="21"/>
        </w:rPr>
        <w:t>10.2 单位/区段工程的验收</w:t>
      </w:r>
      <w:bookmarkEnd w:id="501"/>
      <w:bookmarkEnd w:id="502"/>
      <w:bookmarkEnd w:id="503"/>
    </w:p>
    <w:p w14:paraId="35E81D8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23BC3E1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10.2.2 发包人在全部工程竣工前，使用已接收的单位/区段工程导致承包人费用增加的，发包人应承担由此增加的费用和（或）工期延误，并支付承包人合理利润。</w:t>
      </w:r>
    </w:p>
    <w:p w14:paraId="59B69B28">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04" w:name="_Toc54862266"/>
      <w:bookmarkStart w:id="505" w:name="_Ref4429473"/>
      <w:bookmarkStart w:id="506" w:name="_Ref532688351"/>
      <w:bookmarkStart w:id="507" w:name="_Ref532688354"/>
      <w:r>
        <w:rPr>
          <w:rFonts w:hint="eastAsia" w:ascii="宋体" w:hAnsi="宋体" w:eastAsia="宋体" w:cs="宋体"/>
          <w:b w:val="0"/>
          <w:bCs/>
          <w:color w:val="auto"/>
          <w:sz w:val="21"/>
          <w:szCs w:val="21"/>
        </w:rPr>
        <w:t>10.3 工程的接收</w:t>
      </w:r>
      <w:bookmarkEnd w:id="504"/>
    </w:p>
    <w:p w14:paraId="6F5FB3A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10.3.1 根据工程项目的具体情况和特点，可按工程或单位/区段工程进行接收，并在专用合同条件约定接收的先后顺序、时间安排和其他要求。</w:t>
      </w:r>
    </w:p>
    <w:p w14:paraId="35FC30FB">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10.3.2 除按本条约定已经提交的资料外，接收工程时承包人需提交竣工验收资料的类别、内容、份数和提交时间，在专用合同条件中约定。</w:t>
      </w:r>
    </w:p>
    <w:p w14:paraId="6A4279D8">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10.3.3 发包人无正当理由不接收工程的，发包人自应当接收工程之日起，承担工程照管、成品保护、保管等与工程有关的各项费用，合同当事人可以在专用合同条件中另行约定发包人逾期接收工程的违约责任。</w:t>
      </w:r>
    </w:p>
    <w:p w14:paraId="7B1565C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10.3.4 承包人无正当理由不移交工程的，承包人应承担工程照管、成品保护、保管等与工程有关的各项费用，合同当事人可以在专用合同条件中另行约定承包人无正当理由不移交工程的违约责任。</w:t>
      </w:r>
    </w:p>
    <w:p w14:paraId="6F8B10AC">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08" w:name="_Toc54862267"/>
      <w:r>
        <w:rPr>
          <w:rFonts w:hint="eastAsia" w:ascii="宋体" w:hAnsi="宋体" w:eastAsia="宋体" w:cs="宋体"/>
          <w:b w:val="0"/>
          <w:bCs/>
          <w:color w:val="auto"/>
          <w:sz w:val="21"/>
          <w:szCs w:val="21"/>
        </w:rPr>
        <w:t>10.4 接收证书</w:t>
      </w:r>
      <w:bookmarkEnd w:id="505"/>
      <w:bookmarkEnd w:id="508"/>
    </w:p>
    <w:p w14:paraId="4F116BDE">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09" w:name="_Ref4429542"/>
      <w:r>
        <w:rPr>
          <w:rFonts w:hint="eastAsia" w:ascii="宋体" w:hAnsi="宋体" w:eastAsia="宋体" w:cs="宋体"/>
          <w:color w:val="auto"/>
          <w:sz w:val="21"/>
          <w:szCs w:val="21"/>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509"/>
    </w:p>
    <w:p w14:paraId="402BE96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5918FA3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10.4.3 竣工验收合格而发包人无正当理由逾期不颁发工程接收证书的，自验收合格后第15天起视为已颁发工程接收证书。</w:t>
      </w:r>
    </w:p>
    <w:p w14:paraId="6CF8AF5D">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22A2E46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10.4.5 存在扫尾工作的，工程接收证书中应当将第14.5.3项[扫尾工作清单]中约定的扫尾工作清单作为工程接收证书附件。</w:t>
      </w:r>
    </w:p>
    <w:bookmarkEnd w:id="506"/>
    <w:bookmarkEnd w:id="507"/>
    <w:p w14:paraId="68A8AA0E">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10" w:name="_Toc54862268"/>
      <w:bookmarkStart w:id="511" w:name="_Ref4429935"/>
      <w:bookmarkStart w:id="512" w:name="_Ref4429932"/>
      <w:r>
        <w:rPr>
          <w:rFonts w:hint="eastAsia" w:ascii="宋体" w:hAnsi="宋体" w:eastAsia="宋体" w:cs="宋体"/>
          <w:b w:val="0"/>
          <w:bCs/>
          <w:color w:val="auto"/>
          <w:sz w:val="21"/>
          <w:szCs w:val="21"/>
        </w:rPr>
        <w:t>10.5 竣工退场</w:t>
      </w:r>
      <w:bookmarkEnd w:id="510"/>
      <w:bookmarkEnd w:id="511"/>
      <w:bookmarkEnd w:id="512"/>
    </w:p>
    <w:p w14:paraId="3ABD75FD">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13" w:name="_Ref4429943"/>
      <w:r>
        <w:rPr>
          <w:rFonts w:hint="eastAsia" w:ascii="宋体" w:hAnsi="宋体" w:eastAsia="宋体" w:cs="宋体"/>
          <w:color w:val="auto"/>
          <w:sz w:val="21"/>
          <w:szCs w:val="21"/>
        </w:rPr>
        <w:t>10.5.1 竣工退场</w:t>
      </w:r>
      <w:bookmarkEnd w:id="513"/>
    </w:p>
    <w:p w14:paraId="1F093E1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颁发工程接收证书后，承包人应对施工现场进行清理，并撤离相关人员，使得施工现场处于以下状态，直至工程师检验合格为止：</w:t>
      </w:r>
    </w:p>
    <w:p w14:paraId="6D0BCCE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施工现场内残留的垃圾已全部清除出场；</w:t>
      </w:r>
    </w:p>
    <w:p w14:paraId="2462285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临时工程已拆除，场地已按合同约定进行清理、平整或复原；</w:t>
      </w:r>
    </w:p>
    <w:p w14:paraId="544E522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按合同约定应撤离的人员、承包人提供的施工设备和剩余的材料，包括废弃的施工设备和材料，已按计划撤离施工现场；</w:t>
      </w:r>
    </w:p>
    <w:p w14:paraId="5D70A70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施工现场周边及其附近道路、河道的施工堆积物，已全部清理；</w:t>
      </w:r>
    </w:p>
    <w:p w14:paraId="6143464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施工现场其他竣工退场工作已全部完成。</w:t>
      </w:r>
    </w:p>
    <w:p w14:paraId="4876268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3688924D">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10.5.2 地表还原</w:t>
      </w:r>
    </w:p>
    <w:p w14:paraId="686379D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承包人应按合同约定和工程师的要求恢复临时占地及清理场地，否则发包人有权委托其他人恢复或清理，所发生的费用由承包人承担。</w:t>
      </w:r>
    </w:p>
    <w:p w14:paraId="49A3E78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14" w:name="_Ref20159437"/>
      <w:r>
        <w:rPr>
          <w:rFonts w:hint="eastAsia" w:ascii="宋体" w:hAnsi="宋体" w:eastAsia="宋体" w:cs="宋体"/>
          <w:color w:val="auto"/>
          <w:sz w:val="21"/>
          <w:szCs w:val="21"/>
        </w:rPr>
        <w:t>10.5.3 人员撤离</w:t>
      </w:r>
      <w:bookmarkEnd w:id="514"/>
    </w:p>
    <w:p w14:paraId="7B0FDB8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398"/>
    </w:p>
    <w:p w14:paraId="47755F68">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515" w:name="_Ref4796906"/>
      <w:bookmarkStart w:id="516" w:name="_Ref531955009"/>
      <w:bookmarkStart w:id="517" w:name="_Ref4796909"/>
      <w:bookmarkStart w:id="518" w:name="_Toc54862269"/>
      <w:r>
        <w:rPr>
          <w:rFonts w:hint="eastAsia" w:ascii="宋体" w:hAnsi="宋体" w:eastAsia="宋体" w:cs="宋体"/>
          <w:b w:val="0"/>
          <w:bCs/>
          <w:color w:val="auto"/>
          <w:sz w:val="21"/>
          <w:szCs w:val="21"/>
        </w:rPr>
        <w:t>第11条 缺陷责任与保修</w:t>
      </w:r>
      <w:bookmarkEnd w:id="515"/>
      <w:bookmarkEnd w:id="516"/>
      <w:bookmarkEnd w:id="517"/>
      <w:bookmarkEnd w:id="518"/>
      <w:r>
        <w:rPr>
          <w:rFonts w:hint="eastAsia" w:ascii="宋体" w:hAnsi="宋体" w:eastAsia="宋体" w:cs="宋体"/>
          <w:b w:val="0"/>
          <w:bCs/>
          <w:color w:val="auto"/>
          <w:sz w:val="21"/>
          <w:szCs w:val="21"/>
        </w:rPr>
        <w:t xml:space="preserve"> </w:t>
      </w:r>
    </w:p>
    <w:p w14:paraId="5545C822">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19" w:name="_Toc54862270"/>
      <w:bookmarkStart w:id="520" w:name="_Ref531955248"/>
      <w:bookmarkStart w:id="521" w:name="_Ref531955245"/>
      <w:bookmarkStart w:id="522" w:name="_Ref532362928"/>
      <w:bookmarkStart w:id="523" w:name="_Toc296346648"/>
      <w:bookmarkStart w:id="524" w:name="_Toc337558841"/>
      <w:bookmarkStart w:id="525" w:name="_Toc296503147"/>
      <w:r>
        <w:rPr>
          <w:rFonts w:hint="eastAsia" w:ascii="宋体" w:hAnsi="宋体" w:eastAsia="宋体" w:cs="宋体"/>
          <w:b w:val="0"/>
          <w:bCs/>
          <w:color w:val="auto"/>
          <w:sz w:val="21"/>
          <w:szCs w:val="21"/>
        </w:rPr>
        <w:t>11.1 工程保修的原则</w:t>
      </w:r>
      <w:bookmarkEnd w:id="519"/>
    </w:p>
    <w:p w14:paraId="729CFFD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在工程移交发包人后，因承包人原因产生的质量缺陷，承包人应承担质量缺陷责任和保修义务。缺陷责任期届满，承包人仍应按合同约定的工程各部位保修年限承担保修义务。</w:t>
      </w:r>
    </w:p>
    <w:p w14:paraId="5F29FCAE">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26" w:name="_Toc54862271"/>
      <w:bookmarkStart w:id="527" w:name="_Ref4430062"/>
      <w:r>
        <w:rPr>
          <w:rFonts w:hint="eastAsia" w:ascii="宋体" w:hAnsi="宋体" w:eastAsia="宋体" w:cs="宋体"/>
          <w:b w:val="0"/>
          <w:bCs/>
          <w:color w:val="auto"/>
          <w:sz w:val="21"/>
          <w:szCs w:val="21"/>
        </w:rPr>
        <w:t>11.2 缺陷责任</w:t>
      </w:r>
      <w:bookmarkEnd w:id="520"/>
      <w:bookmarkEnd w:id="521"/>
      <w:r>
        <w:rPr>
          <w:rFonts w:hint="eastAsia" w:ascii="宋体" w:hAnsi="宋体" w:eastAsia="宋体" w:cs="宋体"/>
          <w:b w:val="0"/>
          <w:bCs/>
          <w:color w:val="auto"/>
          <w:sz w:val="21"/>
          <w:szCs w:val="21"/>
        </w:rPr>
        <w:t>期</w:t>
      </w:r>
      <w:bookmarkEnd w:id="522"/>
      <w:bookmarkEnd w:id="526"/>
      <w:bookmarkEnd w:id="527"/>
      <w:r>
        <w:rPr>
          <w:rFonts w:hint="eastAsia" w:ascii="宋体" w:hAnsi="宋体" w:eastAsia="宋体" w:cs="宋体"/>
          <w:b w:val="0"/>
          <w:bCs/>
          <w:color w:val="auto"/>
          <w:sz w:val="21"/>
          <w:szCs w:val="21"/>
        </w:rPr>
        <w:t xml:space="preserve"> </w:t>
      </w:r>
    </w:p>
    <w:p w14:paraId="3C20505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缺陷责任期原则上从工程竣工验收合格之日起计算，合同当事人应在专用合同条件约定缺陷责任期的具体期限，但该期限最长不超过24个月。</w:t>
      </w:r>
    </w:p>
    <w:p w14:paraId="299D41A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53E75B5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76DAE0BA">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28" w:name="_Ref532662486"/>
      <w:bookmarkStart w:id="529" w:name="_Ref532662491"/>
      <w:bookmarkStart w:id="530" w:name="_Toc54862272"/>
      <w:r>
        <w:rPr>
          <w:rFonts w:hint="eastAsia" w:ascii="宋体" w:hAnsi="宋体" w:eastAsia="宋体" w:cs="宋体"/>
          <w:b w:val="0"/>
          <w:bCs/>
          <w:color w:val="auto"/>
          <w:sz w:val="21"/>
          <w:szCs w:val="21"/>
        </w:rPr>
        <w:t>11.3 缺陷调查</w:t>
      </w:r>
      <w:bookmarkEnd w:id="528"/>
      <w:bookmarkEnd w:id="529"/>
      <w:bookmarkEnd w:id="530"/>
    </w:p>
    <w:p w14:paraId="43080B6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color w:val="auto"/>
          <w:sz w:val="21"/>
          <w:szCs w:val="21"/>
        </w:rPr>
      </w:pPr>
      <w:r>
        <w:rPr>
          <w:rFonts w:hint="eastAsia" w:ascii="宋体" w:hAnsi="宋体" w:eastAsia="宋体" w:cs="宋体"/>
          <w:color w:val="auto"/>
          <w:sz w:val="21"/>
          <w:szCs w:val="21"/>
        </w:rPr>
        <w:t>11.3.1 承包人缺陷调查</w:t>
      </w:r>
    </w:p>
    <w:p w14:paraId="609F5C2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1C3E562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7CEE236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11.3.2 缺陷责任</w:t>
      </w:r>
    </w:p>
    <w:p w14:paraId="30B8F51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59CB6B1B">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11.3.3 修复费用</w:t>
      </w:r>
    </w:p>
    <w:p w14:paraId="0BA8D86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发包人和承包人应共同查清缺陷或损坏的原因。经查明属承包人原因造成的，应由承包人承担修复的费用。经查验非承包人原因造成的，发包人应承担修复的费用，并支付承包人合理利润。</w:t>
      </w:r>
    </w:p>
    <w:p w14:paraId="3451C8D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31" w:name="_Ref531955041"/>
      <w:r>
        <w:rPr>
          <w:rFonts w:hint="eastAsia" w:ascii="宋体" w:hAnsi="宋体" w:eastAsia="宋体" w:cs="宋体"/>
          <w:color w:val="auto"/>
          <w:sz w:val="21"/>
          <w:szCs w:val="21"/>
        </w:rPr>
        <w:t>11.3.4 修复通知</w:t>
      </w:r>
      <w:bookmarkEnd w:id="531"/>
    </w:p>
    <w:p w14:paraId="6FD406A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099C97D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11.3.5 在现场外修复</w:t>
      </w:r>
    </w:p>
    <w:p w14:paraId="4700BE7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0D5508A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32" w:name="_Ref4534291"/>
      <w:bookmarkStart w:id="533" w:name="_Hlk51506786"/>
      <w:r>
        <w:rPr>
          <w:rFonts w:hint="eastAsia" w:ascii="宋体" w:hAnsi="宋体" w:eastAsia="宋体" w:cs="宋体"/>
          <w:color w:val="auto"/>
          <w:sz w:val="21"/>
          <w:szCs w:val="21"/>
        </w:rPr>
        <w:t>11.3.6 未能修复</w:t>
      </w:r>
      <w:bookmarkEnd w:id="532"/>
    </w:p>
    <w:bookmarkEnd w:id="533"/>
    <w:p w14:paraId="37D1A56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65D15A8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如果工程或工程设备的缺陷或损害使发包人实质上失去了工程的整体功能，发包人有权向承包人追回已支付的工程款项，并要求其赔偿发包人相应损失。</w:t>
      </w:r>
    </w:p>
    <w:bookmarkEnd w:id="523"/>
    <w:bookmarkEnd w:id="524"/>
    <w:bookmarkEnd w:id="525"/>
    <w:p w14:paraId="6C2DB90A">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34" w:name="_Ref532662552"/>
      <w:bookmarkStart w:id="535" w:name="_Ref532662554"/>
      <w:bookmarkStart w:id="536" w:name="_Toc54862273"/>
      <w:r>
        <w:rPr>
          <w:rFonts w:hint="eastAsia" w:ascii="宋体" w:hAnsi="宋体" w:eastAsia="宋体" w:cs="宋体"/>
          <w:b w:val="0"/>
          <w:bCs/>
          <w:color w:val="auto"/>
          <w:sz w:val="21"/>
          <w:szCs w:val="21"/>
        </w:rPr>
        <w:t>11.4 缺陷修复后的进一步试验</w:t>
      </w:r>
      <w:bookmarkEnd w:id="534"/>
      <w:bookmarkEnd w:id="535"/>
      <w:bookmarkEnd w:id="536"/>
    </w:p>
    <w:p w14:paraId="28BC8A2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3738A32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所有的重复试验应按照适用于先前试验的条款进行，但应由责任方承担修补工作的成本和重新试验的风险和费用。</w:t>
      </w:r>
    </w:p>
    <w:p w14:paraId="7E329796">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37" w:name="_Toc54862274"/>
      <w:r>
        <w:rPr>
          <w:rFonts w:hint="eastAsia" w:ascii="宋体" w:hAnsi="宋体" w:eastAsia="宋体" w:cs="宋体"/>
          <w:b w:val="0"/>
          <w:bCs/>
          <w:color w:val="auto"/>
          <w:sz w:val="21"/>
          <w:szCs w:val="21"/>
        </w:rPr>
        <w:t>11.5 承包人出入权</w:t>
      </w:r>
      <w:bookmarkEnd w:id="537"/>
    </w:p>
    <w:p w14:paraId="4F38ACA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27DE3D10">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38" w:name="_Ref4430229"/>
      <w:bookmarkStart w:id="539" w:name="_Toc54862275"/>
      <w:bookmarkStart w:id="540" w:name="_Ref4430223"/>
      <w:r>
        <w:rPr>
          <w:rFonts w:hint="eastAsia" w:ascii="宋体" w:hAnsi="宋体" w:eastAsia="宋体" w:cs="宋体"/>
          <w:b w:val="0"/>
          <w:bCs/>
          <w:color w:val="auto"/>
          <w:sz w:val="21"/>
          <w:szCs w:val="21"/>
        </w:rPr>
        <w:t>11.6 缺陷责任期终止证书</w:t>
      </w:r>
      <w:bookmarkEnd w:id="538"/>
      <w:bookmarkEnd w:id="539"/>
      <w:bookmarkEnd w:id="540"/>
    </w:p>
    <w:p w14:paraId="5BDD621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w:t>
      </w:r>
      <w:bookmarkStart w:id="541" w:name="_Hlk4686672"/>
      <w:r>
        <w:rPr>
          <w:rFonts w:hint="eastAsia" w:ascii="宋体" w:hAnsi="宋体" w:eastAsia="宋体" w:cs="宋体"/>
          <w:color w:val="auto"/>
          <w:sz w:val="21"/>
          <w:szCs w:val="21"/>
        </w:rPr>
        <w:t>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541"/>
    </w:p>
    <w:p w14:paraId="5067CE5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如根据第10.5.3项[人员撤离]承包人在施工现场还留有人员、施工设备和临时工程的，承包人应当在收到缺陷责任期终止证书后28天内，将上述人员、施工设备和临时工程撤离施工现场。</w:t>
      </w:r>
    </w:p>
    <w:p w14:paraId="0D0DA763">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42" w:name="_Toc54862276"/>
      <w:bookmarkStart w:id="543" w:name="_Ref4430272"/>
      <w:r>
        <w:rPr>
          <w:rFonts w:hint="eastAsia" w:ascii="宋体" w:hAnsi="宋体" w:eastAsia="宋体" w:cs="宋体"/>
          <w:b w:val="0"/>
          <w:bCs/>
          <w:color w:val="auto"/>
          <w:sz w:val="21"/>
          <w:szCs w:val="21"/>
        </w:rPr>
        <w:t>11.7 保修责任</w:t>
      </w:r>
      <w:bookmarkEnd w:id="542"/>
      <w:bookmarkEnd w:id="543"/>
    </w:p>
    <w:p w14:paraId="456A97C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因承包人原因导致的质量缺陷责任，由合同当事人根据有关法律规定，在专用合同条件和工程质量保修书中约定工程质量保修范围、期限和责任。</w:t>
      </w:r>
      <w:bookmarkEnd w:id="390"/>
      <w:bookmarkStart w:id="544" w:name="_Ref531957860"/>
      <w:bookmarkStart w:id="545" w:name="_Ref531958289"/>
    </w:p>
    <w:bookmarkEnd w:id="544"/>
    <w:p w14:paraId="62998265">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546" w:name="_Ref4621065"/>
      <w:bookmarkStart w:id="547" w:name="_Toc54862277"/>
      <w:bookmarkStart w:id="548" w:name="_Ref4621057"/>
      <w:bookmarkStart w:id="549" w:name="_Ref4796955"/>
      <w:bookmarkStart w:id="550" w:name="_Ref4796958"/>
      <w:r>
        <w:rPr>
          <w:rFonts w:hint="eastAsia" w:ascii="宋体" w:hAnsi="宋体" w:eastAsia="宋体" w:cs="宋体"/>
          <w:b w:val="0"/>
          <w:bCs/>
          <w:color w:val="auto"/>
          <w:sz w:val="21"/>
          <w:szCs w:val="21"/>
        </w:rPr>
        <w:t>第12条 竣工后试验</w:t>
      </w:r>
      <w:bookmarkEnd w:id="546"/>
      <w:bookmarkEnd w:id="547"/>
      <w:bookmarkEnd w:id="548"/>
    </w:p>
    <w:p w14:paraId="14B08C8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本合同工程包含竣工后试验的，遵守本条约定。</w:t>
      </w:r>
    </w:p>
    <w:p w14:paraId="252137C7">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51" w:name="_Ref531954604"/>
      <w:bookmarkStart w:id="552" w:name="_Ref531954601"/>
      <w:bookmarkStart w:id="553" w:name="_Toc54862278"/>
      <w:bookmarkStart w:id="554" w:name="_Ref531954694"/>
      <w:bookmarkStart w:id="555" w:name="_Hlk522259976"/>
      <w:r>
        <w:rPr>
          <w:rFonts w:hint="eastAsia" w:ascii="宋体" w:hAnsi="宋体" w:eastAsia="宋体" w:cs="宋体"/>
          <w:b w:val="0"/>
          <w:bCs/>
          <w:color w:val="auto"/>
          <w:sz w:val="21"/>
          <w:szCs w:val="21"/>
        </w:rPr>
        <w:t>12.1 竣工后试验</w:t>
      </w:r>
      <w:bookmarkEnd w:id="551"/>
      <w:bookmarkEnd w:id="552"/>
      <w:r>
        <w:rPr>
          <w:rFonts w:hint="eastAsia" w:ascii="宋体" w:hAnsi="宋体" w:eastAsia="宋体" w:cs="宋体"/>
          <w:b w:val="0"/>
          <w:bCs/>
          <w:color w:val="auto"/>
          <w:sz w:val="21"/>
          <w:szCs w:val="21"/>
        </w:rPr>
        <w:t>的程序</w:t>
      </w:r>
      <w:bookmarkEnd w:id="553"/>
      <w:bookmarkEnd w:id="554"/>
    </w:p>
    <w:p w14:paraId="3EA6CF8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56" w:name="_Ref11920184"/>
      <w:r>
        <w:rPr>
          <w:rFonts w:hint="eastAsia" w:ascii="宋体" w:hAnsi="宋体" w:eastAsia="宋体" w:cs="宋体"/>
          <w:color w:val="auto"/>
          <w:sz w:val="21"/>
          <w:szCs w:val="21"/>
        </w:rPr>
        <w:t xml:space="preserve">12.1.1 </w:t>
      </w:r>
      <w:r>
        <w:rPr>
          <w:rFonts w:hint="eastAsia" w:ascii="宋体" w:hAnsi="宋体" w:eastAsia="宋体" w:cs="宋体"/>
          <w:color w:val="auto"/>
          <w:spacing w:val="-6"/>
          <w:sz w:val="21"/>
          <w:szCs w:val="21"/>
        </w:rPr>
        <w:t>工程或区段工程被发包人接收后，在合理可行的情况下应根据合同约定尽早进行竣工后试验。</w:t>
      </w:r>
      <w:bookmarkEnd w:id="556"/>
    </w:p>
    <w:p w14:paraId="1722CD8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105AA57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57" w:name="_Ref11920162"/>
      <w:r>
        <w:rPr>
          <w:rFonts w:hint="eastAsia" w:ascii="宋体" w:hAnsi="宋体" w:eastAsia="宋体" w:cs="宋体"/>
          <w:color w:val="auto"/>
          <w:sz w:val="21"/>
          <w:szCs w:val="21"/>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557"/>
    </w:p>
    <w:p w14:paraId="4E84B45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58" w:name="_Ref11920146"/>
      <w:r>
        <w:rPr>
          <w:rFonts w:hint="eastAsia" w:ascii="宋体" w:hAnsi="宋体" w:eastAsia="宋体" w:cs="宋体"/>
          <w:color w:val="auto"/>
          <w:sz w:val="21"/>
          <w:szCs w:val="21"/>
        </w:rPr>
        <w:t>12.1.4 发包人应根据《发包人要求》、承包人按照第5.5款</w:t>
      </w:r>
      <w:bookmarkStart w:id="559" w:name="_Hlk18943978"/>
      <w:r>
        <w:rPr>
          <w:rFonts w:hint="eastAsia" w:ascii="宋体" w:hAnsi="宋体" w:eastAsia="宋体" w:cs="宋体"/>
          <w:color w:val="auto"/>
          <w:sz w:val="21"/>
          <w:szCs w:val="21"/>
        </w:rPr>
        <w:t>[操作和维修手册]</w:t>
      </w:r>
      <w:bookmarkEnd w:id="559"/>
      <w:r>
        <w:rPr>
          <w:rFonts w:hint="eastAsia" w:ascii="宋体" w:hAnsi="宋体" w:eastAsia="宋体" w:cs="宋体"/>
          <w:color w:val="auto"/>
          <w:sz w:val="21"/>
          <w:szCs w:val="21"/>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558"/>
    </w:p>
    <w:p w14:paraId="77198E8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12.1.5 竣工后试验的结果应由双方进行整理和评价，并应适当考虑发包人对工程或其任何部分的使用，对工程或区段工程的性能、特性和试验结果产生的影响。</w:t>
      </w:r>
    </w:p>
    <w:p w14:paraId="2794BF62">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60" w:name="_Toc54862279"/>
      <w:bookmarkStart w:id="561" w:name="_Ref531954781"/>
      <w:bookmarkStart w:id="562" w:name="_Ref531954785"/>
      <w:r>
        <w:rPr>
          <w:rFonts w:hint="eastAsia" w:ascii="宋体" w:hAnsi="宋体" w:eastAsia="宋体" w:cs="宋体"/>
          <w:b w:val="0"/>
          <w:bCs/>
          <w:color w:val="auto"/>
          <w:sz w:val="21"/>
          <w:szCs w:val="21"/>
        </w:rPr>
        <w:t>12.2 延误的试验</w:t>
      </w:r>
      <w:bookmarkEnd w:id="560"/>
      <w:bookmarkEnd w:id="561"/>
      <w:bookmarkEnd w:id="562"/>
      <w:r>
        <w:rPr>
          <w:rFonts w:hint="eastAsia" w:ascii="宋体" w:hAnsi="宋体" w:eastAsia="宋体" w:cs="宋体"/>
          <w:b w:val="0"/>
          <w:bCs/>
          <w:color w:val="auto"/>
          <w:sz w:val="21"/>
          <w:szCs w:val="21"/>
        </w:rPr>
        <w:t xml:space="preserve"> </w:t>
      </w:r>
    </w:p>
    <w:p w14:paraId="180BA51D">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12.2.1 如果竣工后试验因发包人原因被延误的，发包人应承担承包人由此增加的费用并支付承包人合理利润。</w:t>
      </w:r>
    </w:p>
    <w:p w14:paraId="4065588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12.2.2 如果因承包人以外的原因，导致竣工后试验未能在缺陷责任期或双方另行同意的其他期限内完成，则相关工程或区段工程应视为已通过该竣工后试验。</w:t>
      </w:r>
    </w:p>
    <w:p w14:paraId="1B50383E">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63" w:name="_Toc54862280"/>
      <w:r>
        <w:rPr>
          <w:rFonts w:hint="eastAsia" w:ascii="宋体" w:hAnsi="宋体" w:eastAsia="宋体" w:cs="宋体"/>
          <w:b w:val="0"/>
          <w:bCs/>
          <w:color w:val="auto"/>
          <w:sz w:val="21"/>
          <w:szCs w:val="21"/>
        </w:rPr>
        <w:t>12.3 重新试验</w:t>
      </w:r>
      <w:bookmarkEnd w:id="563"/>
    </w:p>
    <w:p w14:paraId="21FBAA9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bookmarkEnd w:id="555"/>
    <w:p w14:paraId="25147DA0">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64" w:name="_Toc54862281"/>
      <w:bookmarkStart w:id="565" w:name="_Ref531954811"/>
      <w:bookmarkStart w:id="566" w:name="_Ref531954819"/>
      <w:r>
        <w:rPr>
          <w:rFonts w:hint="eastAsia" w:ascii="宋体" w:hAnsi="宋体" w:eastAsia="宋体" w:cs="宋体"/>
          <w:b w:val="0"/>
          <w:bCs/>
          <w:color w:val="auto"/>
          <w:sz w:val="21"/>
          <w:szCs w:val="21"/>
        </w:rPr>
        <w:t>12.4 未能通过竣工后试验</w:t>
      </w:r>
      <w:bookmarkEnd w:id="564"/>
      <w:bookmarkEnd w:id="565"/>
      <w:bookmarkEnd w:id="566"/>
    </w:p>
    <w:p w14:paraId="5774F0D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67" w:name="_Ref531954829"/>
      <w:r>
        <w:rPr>
          <w:rFonts w:hint="eastAsia" w:ascii="宋体" w:hAnsi="宋体" w:eastAsia="宋体" w:cs="宋体"/>
          <w:color w:val="auto"/>
          <w:sz w:val="21"/>
          <w:szCs w:val="21"/>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567"/>
    </w:p>
    <w:p w14:paraId="6E6C44E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5957BD3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12.4.3 发包人无故拖延给予承包人进行调查、调整或修补所需的进入工程或区段工程的许可，并造成承包人费用增加的，应承担由此增加的费用并支付承包人合理利润。</w:t>
      </w:r>
    </w:p>
    <w:p w14:paraId="77236423">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568" w:name="_Ref4415801"/>
      <w:bookmarkStart w:id="569" w:name="_Toc54862282"/>
      <w:r>
        <w:rPr>
          <w:rFonts w:hint="eastAsia" w:ascii="宋体" w:hAnsi="宋体" w:eastAsia="宋体" w:cs="宋体"/>
          <w:b w:val="0"/>
          <w:bCs/>
          <w:color w:val="auto"/>
          <w:sz w:val="21"/>
          <w:szCs w:val="21"/>
        </w:rPr>
        <w:t>第13条 变更与调整</w:t>
      </w:r>
      <w:bookmarkEnd w:id="568"/>
      <w:bookmarkEnd w:id="569"/>
    </w:p>
    <w:p w14:paraId="3405653B">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70" w:name="_Toc54862283"/>
      <w:bookmarkStart w:id="571" w:name="_Ref532677084"/>
      <w:bookmarkStart w:id="572" w:name="_Ref532668569"/>
      <w:bookmarkStart w:id="573" w:name="_Ref532670393"/>
      <w:bookmarkStart w:id="574" w:name="_Ref532670395"/>
      <w:bookmarkStart w:id="575" w:name="_Ref532668573"/>
      <w:bookmarkStart w:id="576" w:name="_Ref532677087"/>
      <w:r>
        <w:rPr>
          <w:rFonts w:hint="eastAsia" w:ascii="宋体" w:hAnsi="宋体" w:eastAsia="宋体" w:cs="宋体"/>
          <w:b w:val="0"/>
          <w:bCs/>
          <w:color w:val="auto"/>
          <w:sz w:val="21"/>
          <w:szCs w:val="21"/>
        </w:rPr>
        <w:t>13.1 发包人变更权</w:t>
      </w:r>
      <w:bookmarkEnd w:id="570"/>
      <w:bookmarkEnd w:id="571"/>
      <w:bookmarkEnd w:id="572"/>
      <w:bookmarkEnd w:id="573"/>
      <w:bookmarkEnd w:id="574"/>
      <w:bookmarkEnd w:id="575"/>
      <w:bookmarkEnd w:id="576"/>
      <w:r>
        <w:rPr>
          <w:rFonts w:hint="eastAsia" w:ascii="宋体" w:hAnsi="宋体" w:eastAsia="宋体" w:cs="宋体"/>
          <w:b w:val="0"/>
          <w:bCs/>
          <w:color w:val="auto"/>
          <w:sz w:val="21"/>
          <w:szCs w:val="21"/>
        </w:rPr>
        <w:t xml:space="preserve"> </w:t>
      </w:r>
    </w:p>
    <w:p w14:paraId="172E4C7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77" w:name="_Ref4534979"/>
      <w:r>
        <w:rPr>
          <w:rFonts w:hint="eastAsia" w:ascii="宋体" w:hAnsi="宋体" w:eastAsia="宋体" w:cs="宋体"/>
          <w:color w:val="auto"/>
          <w:sz w:val="21"/>
          <w:szCs w:val="21"/>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577"/>
      <w:r>
        <w:rPr>
          <w:rFonts w:hint="eastAsia" w:ascii="宋体" w:hAnsi="宋体" w:eastAsia="宋体" w:cs="宋体"/>
          <w:color w:val="auto"/>
          <w:sz w:val="21"/>
          <w:szCs w:val="21"/>
        </w:rPr>
        <w:t>发包人与承包人对某项指示或批准是否构成变更产生争议的，按第20条[争议解决]处理。</w:t>
      </w:r>
    </w:p>
    <w:p w14:paraId="35BC2EFB">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7735C29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78" w:name="_Ref531955590"/>
      <w:bookmarkStart w:id="579" w:name="_Ref531955587"/>
      <w:bookmarkStart w:id="580" w:name="_Toc54862284"/>
      <w:bookmarkStart w:id="581" w:name="_Ref4623207"/>
      <w:r>
        <w:rPr>
          <w:rFonts w:hint="eastAsia" w:ascii="宋体" w:hAnsi="宋体" w:eastAsia="宋体" w:cs="宋体"/>
          <w:b w:val="0"/>
          <w:bCs/>
          <w:color w:val="auto"/>
          <w:sz w:val="21"/>
          <w:szCs w:val="21"/>
        </w:rPr>
        <w:t>13.2 承</w:t>
      </w:r>
      <w:bookmarkEnd w:id="578"/>
      <w:bookmarkEnd w:id="579"/>
      <w:r>
        <w:rPr>
          <w:rFonts w:hint="eastAsia" w:ascii="宋体" w:hAnsi="宋体" w:eastAsia="宋体" w:cs="宋体"/>
          <w:b w:val="0"/>
          <w:bCs/>
          <w:color w:val="auto"/>
          <w:sz w:val="21"/>
          <w:szCs w:val="21"/>
        </w:rPr>
        <w:t>包人的合理化建议</w:t>
      </w:r>
      <w:bookmarkEnd w:id="580"/>
      <w:bookmarkEnd w:id="581"/>
    </w:p>
    <w:p w14:paraId="7BA8C728">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13.2.1 承包人提出合理化建议的，应向工程师提交合理化建议说明，说明建议的内容、理由以及实施该建议对合同价格和工期的影响。</w:t>
      </w:r>
    </w:p>
    <w:p w14:paraId="09DD989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82" w:name="_Ref4681686"/>
      <w:r>
        <w:rPr>
          <w:rFonts w:hint="eastAsia" w:ascii="宋体" w:hAnsi="宋体" w:eastAsia="宋体" w:cs="宋体"/>
          <w:color w:val="auto"/>
          <w:sz w:val="21"/>
          <w:szCs w:val="21"/>
        </w:rPr>
        <w:t>13.2.2 除专用合同条件另有约定外，</w:t>
      </w:r>
      <w:bookmarkStart w:id="583" w:name="_Hlk4682273"/>
      <w:r>
        <w:rPr>
          <w:rFonts w:hint="eastAsia" w:ascii="宋体" w:hAnsi="宋体" w:eastAsia="宋体" w:cs="宋体"/>
          <w:color w:val="auto"/>
          <w:sz w:val="21"/>
          <w:szCs w:val="21"/>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582"/>
      <w:r>
        <w:rPr>
          <w:rFonts w:hint="eastAsia" w:ascii="宋体" w:hAnsi="宋体" w:eastAsia="宋体" w:cs="宋体"/>
          <w:color w:val="auto"/>
          <w:sz w:val="21"/>
          <w:szCs w:val="21"/>
        </w:rPr>
        <w:t>。</w:t>
      </w:r>
    </w:p>
    <w:p w14:paraId="23802FC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13.2.3 合理化建议降低了合同价格、缩短了工期或者提高了工程经济效益的，双方可以按照专用合同条件的约定进行利益分享。</w:t>
      </w:r>
    </w:p>
    <w:bookmarkEnd w:id="583"/>
    <w:p w14:paraId="17F3885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84" w:name="_Toc54862285"/>
      <w:bookmarkStart w:id="585" w:name="_Ref532671484"/>
      <w:bookmarkStart w:id="586" w:name="_Ref532671480"/>
      <w:bookmarkStart w:id="587" w:name="_Ref532673541"/>
      <w:bookmarkStart w:id="588" w:name="_Ref532673538"/>
      <w:bookmarkStart w:id="589" w:name="_Ref532669305"/>
      <w:bookmarkStart w:id="590" w:name="_Ref532669302"/>
      <w:r>
        <w:rPr>
          <w:rFonts w:hint="eastAsia" w:ascii="宋体" w:hAnsi="宋体" w:eastAsia="宋体" w:cs="宋体"/>
          <w:b w:val="0"/>
          <w:bCs/>
          <w:color w:val="auto"/>
          <w:sz w:val="21"/>
          <w:szCs w:val="21"/>
        </w:rPr>
        <w:t>13.3 变更程序</w:t>
      </w:r>
      <w:bookmarkEnd w:id="584"/>
      <w:bookmarkEnd w:id="585"/>
      <w:bookmarkEnd w:id="586"/>
      <w:bookmarkEnd w:id="587"/>
      <w:bookmarkEnd w:id="588"/>
      <w:bookmarkEnd w:id="589"/>
      <w:bookmarkEnd w:id="590"/>
    </w:p>
    <w:p w14:paraId="6C31CF68">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91" w:name="_Ref4534600"/>
      <w:r>
        <w:rPr>
          <w:rFonts w:hint="eastAsia" w:ascii="宋体" w:hAnsi="宋体" w:eastAsia="宋体" w:cs="宋体"/>
          <w:color w:val="auto"/>
          <w:sz w:val="21"/>
          <w:szCs w:val="21"/>
        </w:rPr>
        <w:t>13.3.1 发包人提出变更</w:t>
      </w:r>
      <w:bookmarkEnd w:id="591"/>
    </w:p>
    <w:p w14:paraId="324198F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发包人提出变更的，应通过工程师向承包人发出书面形式的变更指示，变更指示应说明计划变更的工程范围和变更的内容。</w:t>
      </w:r>
    </w:p>
    <w:p w14:paraId="6724C6F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92" w:name="_Ref4534617"/>
      <w:r>
        <w:rPr>
          <w:rFonts w:hint="eastAsia" w:ascii="宋体" w:hAnsi="宋体" w:eastAsia="宋体" w:cs="宋体"/>
          <w:color w:val="auto"/>
          <w:sz w:val="21"/>
          <w:szCs w:val="21"/>
        </w:rPr>
        <w:t>13.3.2 变更执行</w:t>
      </w:r>
      <w:bookmarkEnd w:id="592"/>
    </w:p>
    <w:p w14:paraId="33B2649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26E9057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593" w:name="_Ref3835481"/>
      <w:r>
        <w:rPr>
          <w:rFonts w:hint="eastAsia" w:ascii="宋体" w:hAnsi="宋体" w:eastAsia="宋体" w:cs="宋体"/>
          <w:color w:val="auto"/>
          <w:sz w:val="21"/>
          <w:szCs w:val="21"/>
        </w:rPr>
        <w:t>13.3.3 变更估价</w:t>
      </w:r>
      <w:bookmarkEnd w:id="593"/>
    </w:p>
    <w:p w14:paraId="259825BE">
      <w:pPr>
        <w:pStyle w:val="215"/>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13.3.3.1 变更估价原则</w:t>
      </w:r>
    </w:p>
    <w:p w14:paraId="026039D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除专用合同条件另有约定外，变更估价按照本款约定处理：</w:t>
      </w:r>
    </w:p>
    <w:p w14:paraId="28512C2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合同中未包含价格清单，合同价格应按照所执行的变更工程的成本加利润调整；</w:t>
      </w:r>
    </w:p>
    <w:p w14:paraId="2A727CC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合同中包含价格清单，合同价格按照如下规则调整：</w:t>
      </w:r>
    </w:p>
    <w:p w14:paraId="2FF5D58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价格清单中有适用于变更工程项目的，应采用该项目的费率和价格；</w:t>
      </w:r>
    </w:p>
    <w:p w14:paraId="6207E12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价格清单中没有适用但有类似于变更工程项目的，可在合理范围内参照类似项目的费率或价格；</w:t>
      </w:r>
    </w:p>
    <w:p w14:paraId="614D6DB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价格清单中没有适用也没有类似于变更工程项目的，该工程项目应按成本加利润原则调整适用新的费率或价格。</w:t>
      </w:r>
    </w:p>
    <w:p w14:paraId="21D9366E">
      <w:pPr>
        <w:pStyle w:val="215"/>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13.3.3.2 变更估价程序</w:t>
      </w:r>
    </w:p>
    <w:p w14:paraId="6E91E00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594" w:name="_Ref531955607"/>
      <w:bookmarkStart w:id="595" w:name="_Ref531955605"/>
      <w:bookmarkStart w:id="596" w:name="_Toc296503150"/>
      <w:bookmarkStart w:id="597" w:name="_Toc337558844"/>
      <w:bookmarkStart w:id="598" w:name="_Toc296346651"/>
      <w:r>
        <w:rPr>
          <w:rFonts w:hint="eastAsia" w:ascii="宋体" w:hAnsi="宋体" w:eastAsia="宋体" w:cs="宋体"/>
          <w:color w:val="auto"/>
          <w:sz w:val="21"/>
          <w:szCs w:val="21"/>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20392CC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因变更引起的价格调整应计入最近一期的进度款中支付。</w:t>
      </w:r>
    </w:p>
    <w:p w14:paraId="7AC1EA6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13.3.4 变更引起的工期调整</w:t>
      </w:r>
    </w:p>
    <w:p w14:paraId="629C4FF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因变更引起工期变化的，合同当事人均可要求调整合同工期，由合同当事人按照第3.6款[商定或确定]并参考工程所在地的工期定额标准确定增减工期天数。</w:t>
      </w:r>
    </w:p>
    <w:p w14:paraId="6BE7CADA">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599" w:name="_Ref4431237"/>
      <w:bookmarkStart w:id="600" w:name="_Toc54862286"/>
      <w:r>
        <w:rPr>
          <w:rFonts w:hint="eastAsia" w:ascii="宋体" w:hAnsi="宋体" w:eastAsia="宋体" w:cs="宋体"/>
          <w:b w:val="0"/>
          <w:bCs/>
          <w:color w:val="auto"/>
          <w:sz w:val="21"/>
          <w:szCs w:val="21"/>
        </w:rPr>
        <w:t>13.4 暂估价</w:t>
      </w:r>
      <w:bookmarkEnd w:id="599"/>
      <w:bookmarkEnd w:id="600"/>
    </w:p>
    <w:p w14:paraId="7F3AC63D">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01" w:name="_Ref4616729"/>
      <w:r>
        <w:rPr>
          <w:rFonts w:hint="eastAsia" w:ascii="宋体" w:hAnsi="宋体" w:eastAsia="宋体" w:cs="宋体"/>
          <w:color w:val="auto"/>
          <w:sz w:val="21"/>
          <w:szCs w:val="21"/>
        </w:rPr>
        <w:t>13.4.1 依法必须招标的暂估价项目</w:t>
      </w:r>
      <w:bookmarkEnd w:id="601"/>
    </w:p>
    <w:p w14:paraId="5B1ECD6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对于依法必须招标的暂估价项目，专用合同条件约定由承包人作为招标人的，</w:t>
      </w:r>
      <w:r>
        <w:rPr>
          <w:rFonts w:hint="eastAsia" w:ascii="宋体" w:hAnsi="宋体" w:cs="宋体"/>
          <w:color w:val="auto"/>
          <w:sz w:val="21"/>
          <w:szCs w:val="21"/>
          <w:lang w:eastAsia="zh-CN"/>
        </w:rPr>
        <w:t>磋商文件</w:t>
      </w:r>
      <w:r>
        <w:rPr>
          <w:rFonts w:hint="eastAsia" w:ascii="宋体" w:hAnsi="宋体" w:eastAsia="宋体" w:cs="宋体"/>
          <w:color w:val="auto"/>
          <w:sz w:val="21"/>
          <w:szCs w:val="21"/>
        </w:rPr>
        <w:t>、评标方案、评标结果应报送发包人批准。与组织招标工作有关的费用应当被认为已经包括在承包人的签约合同价中。</w:t>
      </w:r>
    </w:p>
    <w:p w14:paraId="5ED3FE09">
      <w:pPr>
        <w:pStyle w:val="216"/>
        <w:keepNext w:val="0"/>
        <w:keepLines w:val="0"/>
        <w:pageBreakBefore w:val="0"/>
        <w:numPr>
          <w:ilvl w:val="0"/>
          <w:numId w:val="0"/>
        </w:numPr>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专用合同条件约定由发包人和承包人共同作为招标人的，与组织招标工作有关的费用在专用合同条件中约定。</w:t>
      </w:r>
    </w:p>
    <w:p w14:paraId="3B4823C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具体的招标程序以及发包人和承包人权利义务关系可在专用合同条件中约定。暂估价项目的中标金额与价格清单中所列暂估价的金额差以及相应的税金等其他费用应列入合同价格。</w:t>
      </w:r>
    </w:p>
    <w:p w14:paraId="6D55FCB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02" w:name="_Ref4682312"/>
      <w:r>
        <w:rPr>
          <w:rFonts w:hint="eastAsia" w:ascii="宋体" w:hAnsi="宋体" w:eastAsia="宋体" w:cs="宋体"/>
          <w:color w:val="auto"/>
          <w:sz w:val="21"/>
          <w:szCs w:val="21"/>
        </w:rPr>
        <w:t>13.4.2 不属于依法必须招标的暂估价项目</w:t>
      </w:r>
      <w:bookmarkEnd w:id="602"/>
    </w:p>
    <w:p w14:paraId="5969019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72E0BBF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56B596FD">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03" w:name="_Toc54862287"/>
      <w:bookmarkStart w:id="604" w:name="_Ref4431250"/>
      <w:r>
        <w:rPr>
          <w:rFonts w:hint="eastAsia" w:ascii="宋体" w:hAnsi="宋体" w:eastAsia="宋体" w:cs="宋体"/>
          <w:b w:val="0"/>
          <w:bCs/>
          <w:color w:val="auto"/>
          <w:sz w:val="21"/>
          <w:szCs w:val="21"/>
        </w:rPr>
        <w:t>13.5 暂列金额</w:t>
      </w:r>
      <w:bookmarkEnd w:id="603"/>
      <w:bookmarkEnd w:id="604"/>
      <w:r>
        <w:rPr>
          <w:rFonts w:hint="eastAsia" w:ascii="宋体" w:hAnsi="宋体" w:eastAsia="宋体" w:cs="宋体"/>
          <w:b w:val="0"/>
          <w:bCs/>
          <w:color w:val="auto"/>
          <w:sz w:val="21"/>
          <w:szCs w:val="21"/>
        </w:rPr>
        <w:t xml:space="preserve"> </w:t>
      </w:r>
      <w:bookmarkEnd w:id="594"/>
      <w:bookmarkEnd w:id="595"/>
    </w:p>
    <w:bookmarkEnd w:id="596"/>
    <w:bookmarkEnd w:id="597"/>
    <w:bookmarkEnd w:id="598"/>
    <w:p w14:paraId="0084884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1C72C74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对于每笔暂列金额，发包人可以指示用于下列支付：</w:t>
      </w:r>
    </w:p>
    <w:p w14:paraId="0CC2F45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发包人根据第13.1款[发包人变更权]指示变更，决定对合同价格和付款计划表（如有）进行调整的、由承包人实施的工作（包括要提供的工程设备、材料和服务）；</w:t>
      </w:r>
    </w:p>
    <w:p w14:paraId="4BD1D81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承包人购买的工程设备、材料、工作或服务，应支付包括承包人已付（或应付）的实际金额以及相应的管理费等费用和利润（管理费和利润应以实际金额为基数根据合同约定的费率（如有）或百分比计算）。</w:t>
      </w:r>
    </w:p>
    <w:p w14:paraId="3230665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786A639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每份包含暂列金额的文件还应包括用以证明暂列金额的所有有效的发票、凭证和账户或收据。</w:t>
      </w:r>
    </w:p>
    <w:p w14:paraId="369BCD2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05" w:name="_Ref4431438"/>
      <w:bookmarkStart w:id="606" w:name="_Toc54862288"/>
      <w:bookmarkStart w:id="607" w:name="_Toc337558845"/>
      <w:bookmarkStart w:id="608" w:name="_Toc296503152"/>
      <w:bookmarkStart w:id="609" w:name="_Toc296346653"/>
      <w:r>
        <w:rPr>
          <w:rFonts w:hint="eastAsia" w:ascii="宋体" w:hAnsi="宋体" w:eastAsia="宋体" w:cs="宋体"/>
          <w:b w:val="0"/>
          <w:bCs/>
          <w:color w:val="auto"/>
          <w:sz w:val="21"/>
          <w:szCs w:val="21"/>
        </w:rPr>
        <w:t>13.6 计日工</w:t>
      </w:r>
      <w:bookmarkEnd w:id="605"/>
      <w:bookmarkEnd w:id="606"/>
      <w:bookmarkEnd w:id="607"/>
      <w:bookmarkEnd w:id="608"/>
      <w:bookmarkEnd w:id="609"/>
    </w:p>
    <w:p w14:paraId="7D5F52E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51230CF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13.6.2 采用计日工计价的任何一项工作，承包人应在该项工作实施过程中，每天提交以下报表和有关凭证报送工程师审查：</w:t>
      </w:r>
    </w:p>
    <w:p w14:paraId="551E1A1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工作名称、内容和数量；</w:t>
      </w:r>
    </w:p>
    <w:p w14:paraId="66D6FEF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投入该工作的所有人员的姓名、专业、工种、级别和耗用工时；</w:t>
      </w:r>
    </w:p>
    <w:p w14:paraId="603A7E5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投入该工作的材料类别和数量；</w:t>
      </w:r>
    </w:p>
    <w:p w14:paraId="3165CBE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投入该工作的施工设备型号、台数和耗用台时；</w:t>
      </w:r>
    </w:p>
    <w:p w14:paraId="751C2CF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其他有关资料和凭证。</w:t>
      </w:r>
    </w:p>
    <w:p w14:paraId="202D190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计日工由承包人汇总后，列入最近一期进度付款申请单，由工程师审查并经发包人批准后列入进度付款。</w:t>
      </w:r>
    </w:p>
    <w:p w14:paraId="3FDE1072">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10" w:name="_Ref4617331"/>
      <w:bookmarkStart w:id="611" w:name="_Ref4617318"/>
      <w:bookmarkStart w:id="612" w:name="_Toc54862289"/>
      <w:r>
        <w:rPr>
          <w:rFonts w:hint="eastAsia" w:ascii="宋体" w:hAnsi="宋体" w:eastAsia="宋体" w:cs="宋体"/>
          <w:b w:val="0"/>
          <w:bCs/>
          <w:color w:val="auto"/>
          <w:sz w:val="21"/>
          <w:szCs w:val="21"/>
        </w:rPr>
        <w:t>13.7 法律变化引起的调整</w:t>
      </w:r>
      <w:bookmarkEnd w:id="610"/>
      <w:bookmarkEnd w:id="611"/>
      <w:bookmarkEnd w:id="612"/>
    </w:p>
    <w:p w14:paraId="301D767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2E71C5C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13.7.2 因法律变化引起的合同价格和工期调整，合同当事人无法达成一致的，由工程师按第3.6款[商定或确定]的约定处理。</w:t>
      </w:r>
    </w:p>
    <w:p w14:paraId="4C18BF9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13.7.3 因承包人原因造成工期延误，在工期延误期间出现法律变化的，由此增加的费用和（或）延误的工期由承包人承担。</w:t>
      </w:r>
    </w:p>
    <w:p w14:paraId="04B7B36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13.7.4 因法律变化而需要对工程的实施进行任何调整的，承包人应迅速通知发包人，或者发包人应迅速通知承包人，并附上详细的辅助资料。发包人接到通知后，应根据第13.3款[变更程序]发出变更指示。</w:t>
      </w:r>
    </w:p>
    <w:p w14:paraId="60CB9FFC">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13" w:name="_Ref531955627"/>
      <w:bookmarkStart w:id="614" w:name="_Ref18977613"/>
      <w:bookmarkStart w:id="615" w:name="_Toc54862290"/>
      <w:bookmarkStart w:id="616" w:name="_Ref531955630"/>
      <w:r>
        <w:rPr>
          <w:rFonts w:hint="eastAsia" w:ascii="宋体" w:hAnsi="宋体" w:eastAsia="宋体" w:cs="宋体"/>
          <w:b w:val="0"/>
          <w:bCs/>
          <w:color w:val="auto"/>
          <w:sz w:val="21"/>
          <w:szCs w:val="21"/>
        </w:rPr>
        <w:t>13.8 市场价格波动引起的调整</w:t>
      </w:r>
      <w:bookmarkEnd w:id="613"/>
      <w:bookmarkEnd w:id="614"/>
      <w:bookmarkEnd w:id="615"/>
      <w:bookmarkEnd w:id="616"/>
    </w:p>
    <w:p w14:paraId="5BE641F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17" w:name="_Ref4709841"/>
      <w:r>
        <w:rPr>
          <w:rFonts w:hint="eastAsia" w:ascii="宋体" w:hAnsi="宋体" w:eastAsia="宋体" w:cs="宋体"/>
          <w:color w:val="auto"/>
          <w:sz w:val="21"/>
          <w:szCs w:val="21"/>
        </w:rPr>
        <w:t>13.8.1 主要工程材料、设备、人工价格与招标时基期价相比，波动幅度超过合同约定幅度的，双方按照合同约定的价格调整方式调整。</w:t>
      </w:r>
    </w:p>
    <w:p w14:paraId="30EC6C3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13.8.2 发包人与承包人在专用合同条件中约定采用《价格指数权重表》的，适用本项约定。</w:t>
      </w:r>
    </w:p>
    <w:p w14:paraId="115D5A1C">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13.8.2.1 双方当事人可以将部分主要工程材料、工程设备、人工价格及其他双方认为应当根据市场价格调整的费用列入附件6[价格指数权重表]，并根据以下公式计算差额并调整合同价格：</w:t>
      </w:r>
    </w:p>
    <w:bookmarkEnd w:id="617"/>
    <w:p w14:paraId="69A3278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618" w:name="_Ref4616996"/>
      <w:r>
        <w:rPr>
          <w:rFonts w:hint="eastAsia" w:ascii="宋体" w:hAnsi="宋体" w:eastAsia="宋体" w:cs="宋体"/>
          <w:color w:val="auto"/>
          <w:sz w:val="21"/>
          <w:szCs w:val="21"/>
        </w:rPr>
        <w:t>（1） 价格调整公式</w:t>
      </w:r>
      <w:bookmarkEnd w:id="618"/>
    </w:p>
    <w:p w14:paraId="799121B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p>
    <w:p w14:paraId="49DE5B9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p>
    <w:p w14:paraId="6A46C6E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p>
    <w:p w14:paraId="7B7947D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公式中：△P---需调整的价格差额；</w:t>
      </w:r>
    </w:p>
    <w:p w14:paraId="16FF163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P</w:t>
      </w:r>
      <w:r>
        <w:rPr>
          <w:rFonts w:hint="eastAsia" w:ascii="宋体" w:hAnsi="宋体" w:eastAsia="宋体" w:cs="宋体"/>
          <w:color w:val="auto"/>
          <w:sz w:val="21"/>
          <w:szCs w:val="21"/>
          <w:vertAlign w:val="subscript"/>
        </w:rPr>
        <w:t>O</w:t>
      </w:r>
      <w:r>
        <w:rPr>
          <w:rFonts w:hint="eastAsia" w:ascii="宋体" w:hAnsi="宋体" w:eastAsia="宋体" w:cs="宋体"/>
          <w:color w:val="auto"/>
          <w:sz w:val="21"/>
          <w:szCs w:val="21"/>
        </w:rPr>
        <w:t>---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3525844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A ---定值权重（即不调部分的权重）； </w:t>
      </w:r>
    </w:p>
    <w:p w14:paraId="12BE95A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619" w:name="_Hlk24103184"/>
      <w:r>
        <w:rPr>
          <w:rFonts w:hint="eastAsia" w:ascii="宋体" w:hAnsi="宋体" w:eastAsia="宋体" w:cs="宋体"/>
          <w:color w:val="auto"/>
          <w:sz w:val="21"/>
          <w:szCs w:val="21"/>
        </w:rPr>
        <w:t>B</w:t>
      </w:r>
      <w:r>
        <w:rPr>
          <w:rFonts w:hint="eastAsia" w:ascii="宋体" w:hAnsi="宋体" w:eastAsia="宋体" w:cs="宋体"/>
          <w:color w:val="auto"/>
          <w:sz w:val="21"/>
          <w:szCs w:val="21"/>
          <w:vertAlign w:val="subscript"/>
        </w:rPr>
        <w:t>1</w:t>
      </w:r>
      <w:bookmarkEnd w:id="619"/>
      <w:r>
        <w:rPr>
          <w:rFonts w:hint="eastAsia" w:ascii="宋体" w:hAnsi="宋体" w:eastAsia="宋体" w:cs="宋体"/>
          <w:color w:val="auto"/>
          <w:sz w:val="21"/>
          <w:szCs w:val="21"/>
        </w:rPr>
        <w:t>；</w:t>
      </w:r>
      <w:bookmarkStart w:id="620" w:name="_Hlk24103205"/>
      <w:r>
        <w:rPr>
          <w:rFonts w:hint="eastAsia" w:ascii="宋体" w:hAnsi="宋体" w:eastAsia="宋体" w:cs="宋体"/>
          <w:color w:val="auto"/>
          <w:sz w:val="21"/>
          <w:szCs w:val="21"/>
        </w:rPr>
        <w:t>B</w:t>
      </w:r>
      <w:r>
        <w:rPr>
          <w:rFonts w:hint="eastAsia" w:ascii="宋体" w:hAnsi="宋体" w:eastAsia="宋体" w:cs="宋体"/>
          <w:color w:val="auto"/>
          <w:sz w:val="21"/>
          <w:szCs w:val="21"/>
          <w:vertAlign w:val="subscript"/>
        </w:rPr>
        <w:t>2</w:t>
      </w:r>
      <w:bookmarkEnd w:id="620"/>
      <w:r>
        <w:rPr>
          <w:rFonts w:hint="eastAsia" w:ascii="宋体" w:hAnsi="宋体" w:eastAsia="宋体" w:cs="宋体"/>
          <w:color w:val="auto"/>
          <w:sz w:val="21"/>
          <w:szCs w:val="21"/>
        </w:rPr>
        <w:t>；</w:t>
      </w:r>
      <w:bookmarkStart w:id="621" w:name="_Hlk24103220"/>
      <w:r>
        <w:rPr>
          <w:rFonts w:hint="eastAsia" w:ascii="宋体" w:hAnsi="宋体" w:eastAsia="宋体" w:cs="宋体"/>
          <w:color w:val="auto"/>
          <w:sz w:val="21"/>
          <w:szCs w:val="21"/>
        </w:rPr>
        <w:t>B</w:t>
      </w:r>
      <w:r>
        <w:rPr>
          <w:rFonts w:hint="eastAsia" w:ascii="宋体" w:hAnsi="宋体" w:eastAsia="宋体" w:cs="宋体"/>
          <w:color w:val="auto"/>
          <w:sz w:val="21"/>
          <w:szCs w:val="21"/>
          <w:vertAlign w:val="subscript"/>
        </w:rPr>
        <w:t>3</w:t>
      </w:r>
      <w:bookmarkEnd w:id="621"/>
      <w:r>
        <w:rPr>
          <w:rFonts w:hint="eastAsia" w:ascii="宋体" w:hAnsi="宋体" w:eastAsia="宋体" w:cs="宋体"/>
          <w:color w:val="auto"/>
          <w:sz w:val="21"/>
          <w:szCs w:val="21"/>
        </w:rPr>
        <w:t>；……</w:t>
      </w:r>
      <w:bookmarkStart w:id="622" w:name="_Hlk24103245"/>
      <w:r>
        <w:rPr>
          <w:rFonts w:hint="eastAsia" w:ascii="宋体" w:hAnsi="宋体" w:eastAsia="宋体" w:cs="宋体"/>
          <w:color w:val="auto"/>
          <w:sz w:val="21"/>
          <w:szCs w:val="21"/>
        </w:rPr>
        <w:t>B</w:t>
      </w:r>
      <w:r>
        <w:rPr>
          <w:rFonts w:hint="eastAsia" w:ascii="宋体" w:hAnsi="宋体" w:eastAsia="宋体" w:cs="宋体"/>
          <w:color w:val="auto"/>
          <w:sz w:val="21"/>
          <w:szCs w:val="21"/>
          <w:vertAlign w:val="subscript"/>
        </w:rPr>
        <w:t>n</w:t>
      </w:r>
      <w:bookmarkEnd w:id="622"/>
      <w:r>
        <w:rPr>
          <w:rFonts w:hint="eastAsia" w:ascii="宋体" w:hAnsi="宋体" w:eastAsia="宋体" w:cs="宋体"/>
          <w:color w:val="auto"/>
          <w:sz w:val="21"/>
          <w:szCs w:val="21"/>
        </w:rPr>
        <w:t>---各可调因子的变值权重（即可调部分的权重）为各可调因子在投标函投标总报价中所占的比例，且A+B</w:t>
      </w:r>
      <w:r>
        <w:rPr>
          <w:rFonts w:hint="eastAsia" w:ascii="宋体" w:hAnsi="宋体" w:eastAsia="宋体" w:cs="宋体"/>
          <w:color w:val="auto"/>
          <w:sz w:val="21"/>
          <w:szCs w:val="21"/>
          <w:vertAlign w:val="subscript"/>
        </w:rPr>
        <w:t>1</w:t>
      </w:r>
      <w:r>
        <w:rPr>
          <w:rFonts w:hint="eastAsia" w:ascii="宋体" w:hAnsi="宋体" w:eastAsia="宋体" w:cs="宋体"/>
          <w:color w:val="auto"/>
          <w:sz w:val="21"/>
          <w:szCs w:val="21"/>
        </w:rPr>
        <w:t>+B</w:t>
      </w:r>
      <w:r>
        <w:rPr>
          <w:rFonts w:hint="eastAsia" w:ascii="宋体" w:hAnsi="宋体" w:eastAsia="宋体" w:cs="宋体"/>
          <w:color w:val="auto"/>
          <w:sz w:val="21"/>
          <w:szCs w:val="21"/>
          <w:vertAlign w:val="subscript"/>
        </w:rPr>
        <w:t>2</w:t>
      </w:r>
      <w:r>
        <w:rPr>
          <w:rFonts w:hint="eastAsia" w:ascii="宋体" w:hAnsi="宋体" w:eastAsia="宋体" w:cs="宋体"/>
          <w:color w:val="auto"/>
          <w:sz w:val="21"/>
          <w:szCs w:val="21"/>
        </w:rPr>
        <w:t>+B</w:t>
      </w:r>
      <w:r>
        <w:rPr>
          <w:rFonts w:hint="eastAsia" w:ascii="宋体" w:hAnsi="宋体" w:eastAsia="宋体" w:cs="宋体"/>
          <w:color w:val="auto"/>
          <w:sz w:val="21"/>
          <w:szCs w:val="21"/>
          <w:vertAlign w:val="subscript"/>
        </w:rPr>
        <w:t>3</w:t>
      </w:r>
      <w:r>
        <w:rPr>
          <w:rFonts w:hint="eastAsia" w:ascii="宋体" w:hAnsi="宋体" w:eastAsia="宋体" w:cs="宋体"/>
          <w:color w:val="auto"/>
          <w:sz w:val="21"/>
          <w:szCs w:val="21"/>
        </w:rPr>
        <w:t>+……+B</w:t>
      </w:r>
      <w:r>
        <w:rPr>
          <w:rFonts w:hint="eastAsia" w:ascii="宋体" w:hAnsi="宋体" w:eastAsia="宋体" w:cs="宋体"/>
          <w:color w:val="auto"/>
          <w:sz w:val="21"/>
          <w:szCs w:val="21"/>
          <w:vertAlign w:val="subscript"/>
        </w:rPr>
        <w:t>n</w:t>
      </w:r>
      <w:r>
        <w:rPr>
          <w:rFonts w:hint="eastAsia" w:ascii="宋体" w:hAnsi="宋体" w:eastAsia="宋体" w:cs="宋体"/>
          <w:color w:val="auto"/>
          <w:sz w:val="21"/>
          <w:szCs w:val="21"/>
        </w:rPr>
        <w:t>=1；</w:t>
      </w:r>
    </w:p>
    <w:p w14:paraId="7C59470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pict>
          <v:shape id="图片 6" o:spid="_x0000_s1032" o:spt="75" type="#_x0000_t75" style="position:absolute;left:0pt;margin-left:42.65pt;margin-top:594.85pt;height:53.45pt;width:376.2pt;mso-position-vertical-relative:page;mso-wrap-distance-bottom:0pt;mso-wrap-distance-left:9pt;mso-wrap-distance-right:9pt;mso-wrap-distance-top:0pt;z-index:251662336;mso-width-relative:page;mso-height-relative:page;" filled="f" o:preferrelative="t" stroked="f" coordsize="21600,21600">
            <v:path/>
            <v:fill on="f" focussize="0,0"/>
            <v:stroke on="f"/>
            <v:imagedata r:id="rId17" o:title=""/>
            <o:lock v:ext="edit" aspectratio="t"/>
            <w10:wrap type="square"/>
          </v:shape>
        </w:pict>
      </w:r>
    </w:p>
    <w:p w14:paraId="742E22F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p>
    <w:p w14:paraId="1479798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p>
    <w:p w14:paraId="74260C8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F</w:t>
      </w:r>
      <w:r>
        <w:rPr>
          <w:rFonts w:hint="eastAsia" w:ascii="宋体" w:hAnsi="宋体" w:eastAsia="宋体" w:cs="宋体"/>
          <w:color w:val="auto"/>
          <w:sz w:val="21"/>
          <w:szCs w:val="21"/>
          <w:vertAlign w:val="subscript"/>
        </w:rPr>
        <w:t>t1</w:t>
      </w:r>
      <w:r>
        <w:rPr>
          <w:rFonts w:hint="eastAsia" w:ascii="宋体" w:hAnsi="宋体" w:eastAsia="宋体" w:cs="宋体"/>
          <w:color w:val="auto"/>
          <w:sz w:val="21"/>
          <w:szCs w:val="21"/>
        </w:rPr>
        <w:t>；F</w:t>
      </w:r>
      <w:r>
        <w:rPr>
          <w:rFonts w:hint="eastAsia" w:ascii="宋体" w:hAnsi="宋体" w:eastAsia="宋体" w:cs="宋体"/>
          <w:color w:val="auto"/>
          <w:sz w:val="21"/>
          <w:szCs w:val="21"/>
          <w:vertAlign w:val="subscript"/>
        </w:rPr>
        <w:t>t2</w:t>
      </w:r>
      <w:r>
        <w:rPr>
          <w:rFonts w:hint="eastAsia" w:ascii="宋体" w:hAnsi="宋体" w:eastAsia="宋体" w:cs="宋体"/>
          <w:color w:val="auto"/>
          <w:sz w:val="21"/>
          <w:szCs w:val="21"/>
        </w:rPr>
        <w:t>；F</w:t>
      </w:r>
      <w:r>
        <w:rPr>
          <w:rFonts w:hint="eastAsia" w:ascii="宋体" w:hAnsi="宋体" w:eastAsia="宋体" w:cs="宋体"/>
          <w:color w:val="auto"/>
          <w:sz w:val="21"/>
          <w:szCs w:val="21"/>
          <w:vertAlign w:val="subscript"/>
        </w:rPr>
        <w:t>t3</w:t>
      </w:r>
      <w:r>
        <w:rPr>
          <w:rFonts w:hint="eastAsia" w:ascii="宋体" w:hAnsi="宋体" w:eastAsia="宋体" w:cs="宋体"/>
          <w:color w:val="auto"/>
          <w:sz w:val="21"/>
          <w:szCs w:val="21"/>
        </w:rPr>
        <w:t>；……F</w:t>
      </w:r>
      <w:r>
        <w:rPr>
          <w:rFonts w:hint="eastAsia" w:ascii="宋体" w:hAnsi="宋体" w:eastAsia="宋体" w:cs="宋体"/>
          <w:color w:val="auto"/>
          <w:sz w:val="21"/>
          <w:szCs w:val="21"/>
          <w:vertAlign w:val="subscript"/>
        </w:rPr>
        <w:t>tn</w:t>
      </w:r>
      <w:r>
        <w:rPr>
          <w:rFonts w:hint="eastAsia" w:ascii="宋体" w:hAnsi="宋体" w:eastAsia="宋体" w:cs="宋体"/>
          <w:color w:val="auto"/>
          <w:sz w:val="21"/>
          <w:szCs w:val="21"/>
        </w:rPr>
        <w:t>---各可调因子的当期价格指数，指付款证书相关周期最后一天的前42天的各可调因子的价格指数；</w:t>
      </w:r>
    </w:p>
    <w:p w14:paraId="2BE3BF7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F</w:t>
      </w:r>
      <w:r>
        <w:rPr>
          <w:rFonts w:hint="eastAsia" w:ascii="宋体" w:hAnsi="宋体" w:eastAsia="宋体" w:cs="宋体"/>
          <w:color w:val="auto"/>
          <w:sz w:val="21"/>
          <w:szCs w:val="21"/>
          <w:vertAlign w:val="subscript"/>
        </w:rPr>
        <w:t>01</w:t>
      </w:r>
      <w:r>
        <w:rPr>
          <w:rFonts w:hint="eastAsia" w:ascii="宋体" w:hAnsi="宋体" w:eastAsia="宋体" w:cs="宋体"/>
          <w:color w:val="auto"/>
          <w:sz w:val="21"/>
          <w:szCs w:val="21"/>
        </w:rPr>
        <w:t>；F</w:t>
      </w:r>
      <w:r>
        <w:rPr>
          <w:rFonts w:hint="eastAsia" w:ascii="宋体" w:hAnsi="宋体" w:eastAsia="宋体" w:cs="宋体"/>
          <w:color w:val="auto"/>
          <w:sz w:val="21"/>
          <w:szCs w:val="21"/>
          <w:vertAlign w:val="subscript"/>
        </w:rPr>
        <w:t>02</w:t>
      </w:r>
      <w:r>
        <w:rPr>
          <w:rFonts w:hint="eastAsia" w:ascii="宋体" w:hAnsi="宋体" w:eastAsia="宋体" w:cs="宋体"/>
          <w:color w:val="auto"/>
          <w:sz w:val="21"/>
          <w:szCs w:val="21"/>
        </w:rPr>
        <w:t>；F</w:t>
      </w:r>
      <w:r>
        <w:rPr>
          <w:rFonts w:hint="eastAsia" w:ascii="宋体" w:hAnsi="宋体" w:eastAsia="宋体" w:cs="宋体"/>
          <w:color w:val="auto"/>
          <w:sz w:val="21"/>
          <w:szCs w:val="21"/>
          <w:vertAlign w:val="subscript"/>
        </w:rPr>
        <w:t>03</w:t>
      </w:r>
      <w:r>
        <w:rPr>
          <w:rFonts w:hint="eastAsia" w:ascii="宋体" w:hAnsi="宋体" w:eastAsia="宋体" w:cs="宋体"/>
          <w:color w:val="auto"/>
          <w:sz w:val="21"/>
          <w:szCs w:val="21"/>
        </w:rPr>
        <w:t>；……F</w:t>
      </w:r>
      <w:r>
        <w:rPr>
          <w:rFonts w:hint="eastAsia" w:ascii="宋体" w:hAnsi="宋体" w:eastAsia="宋体" w:cs="宋体"/>
          <w:color w:val="auto"/>
          <w:sz w:val="21"/>
          <w:szCs w:val="21"/>
          <w:vertAlign w:val="subscript"/>
        </w:rPr>
        <w:t>0n</w:t>
      </w:r>
      <w:r>
        <w:rPr>
          <w:rFonts w:hint="eastAsia" w:ascii="宋体" w:hAnsi="宋体" w:eastAsia="宋体" w:cs="宋体"/>
          <w:color w:val="auto"/>
          <w:sz w:val="21"/>
          <w:szCs w:val="21"/>
        </w:rPr>
        <w:t>---各可调因子的基本价格指数，指基准日期的各可调因子的价格指数。</w:t>
      </w:r>
    </w:p>
    <w:p w14:paraId="68B6B97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2955C8E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暂时确定调整差额</w:t>
      </w:r>
    </w:p>
    <w:p w14:paraId="42403AD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在计算调整差额时得不到当期价格指数的，可暂用上一次价格指数计算，并在以后的付款中再按实际价格指数进行调整。</w:t>
      </w:r>
    </w:p>
    <w:p w14:paraId="4A7241D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权重的调整</w:t>
      </w:r>
    </w:p>
    <w:p w14:paraId="349CF02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按第13.1款[发包人变更权]约定的变更导致原定合同中的权重不合理的，由工程师与承包人和发包人协商后进行调整。</w:t>
      </w:r>
    </w:p>
    <w:p w14:paraId="3D9FA0F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承包人原因工期延误后的价格调整</w:t>
      </w:r>
    </w:p>
    <w:p w14:paraId="6522C84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53A6F9A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发包人引起的工期延误后的价格调整</w:t>
      </w:r>
    </w:p>
    <w:p w14:paraId="135E1D0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53896DAA">
      <w:pPr>
        <w:pStyle w:val="215"/>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13.8.2.2 未列入</w:t>
      </w:r>
      <w:bookmarkStart w:id="623" w:name="_Hlk24494865"/>
      <w:r>
        <w:rPr>
          <w:rFonts w:hint="eastAsia" w:ascii="宋体" w:hAnsi="宋体" w:eastAsia="宋体" w:cs="宋体"/>
          <w:color w:val="auto"/>
          <w:sz w:val="21"/>
          <w:szCs w:val="21"/>
        </w:rPr>
        <w:t>《价格指数权重表》</w:t>
      </w:r>
      <w:bookmarkEnd w:id="623"/>
      <w:r>
        <w:rPr>
          <w:rFonts w:hint="eastAsia" w:ascii="宋体" w:hAnsi="宋体" w:eastAsia="宋体" w:cs="宋体"/>
          <w:color w:val="auto"/>
          <w:sz w:val="21"/>
          <w:szCs w:val="21"/>
        </w:rPr>
        <w:t>的费用不因市场变化而调整。</w:t>
      </w:r>
    </w:p>
    <w:p w14:paraId="1A671C6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13.8.3 双方约定采用其他方式调整合同价款的，以专用合同条件约定为准。</w:t>
      </w:r>
    </w:p>
    <w:p w14:paraId="08F9D39E">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624" w:name="_Ref531955885"/>
      <w:bookmarkStart w:id="625" w:name="_Toc54862291"/>
      <w:bookmarkStart w:id="626" w:name="_Ref531955880"/>
      <w:r>
        <w:rPr>
          <w:rFonts w:hint="eastAsia" w:ascii="宋体" w:hAnsi="宋体" w:eastAsia="宋体" w:cs="宋体"/>
          <w:b w:val="0"/>
          <w:bCs/>
          <w:color w:val="auto"/>
          <w:sz w:val="21"/>
          <w:szCs w:val="21"/>
        </w:rPr>
        <w:t>第14条 合同价格与支付</w:t>
      </w:r>
      <w:bookmarkEnd w:id="624"/>
      <w:bookmarkEnd w:id="625"/>
      <w:bookmarkEnd w:id="626"/>
    </w:p>
    <w:p w14:paraId="799D4F79">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27" w:name="_Ref4431521"/>
      <w:bookmarkStart w:id="628" w:name="_Ref4431531"/>
      <w:bookmarkStart w:id="629" w:name="_Toc54862292"/>
      <w:r>
        <w:rPr>
          <w:rFonts w:hint="eastAsia" w:ascii="宋体" w:hAnsi="宋体" w:eastAsia="宋体" w:cs="宋体"/>
          <w:b w:val="0"/>
          <w:bCs/>
          <w:color w:val="auto"/>
          <w:sz w:val="21"/>
          <w:szCs w:val="21"/>
        </w:rPr>
        <w:t>14.1 合同价格形式</w:t>
      </w:r>
      <w:bookmarkEnd w:id="627"/>
      <w:bookmarkEnd w:id="628"/>
      <w:bookmarkEnd w:id="629"/>
    </w:p>
    <w:p w14:paraId="5416B6C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14.1.1 除专用合同条件中另有约定外，本合同为总价合同，除根据第13条[变更与调整]，以及合同中其它相关增减金额的约定进行调整外，合同价格不做调整。</w:t>
      </w:r>
    </w:p>
    <w:p w14:paraId="631BD2C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14.1.2 除专用合同条件另有约定外：</w:t>
      </w:r>
    </w:p>
    <w:p w14:paraId="50EBB7A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工程款的支付应以合同协议书约定的签约合同价格为基础，按照合同约定进行调整；</w:t>
      </w:r>
    </w:p>
    <w:p w14:paraId="18BE1A7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承包人应支付根据法律规定或合同约定应由其支付的各项税费，除第13.7款[法律变化引起的调整]约定外，合同价格不应因任何这些税费进行调整；</w:t>
      </w:r>
    </w:p>
    <w:p w14:paraId="5D9C9B2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4DC9C91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14.1.3 合同约定工程的某部分按照实际完成的工程量进行支付的，应按照专用合同条件的约定进行计量和估价，并据此调整合同价格。</w:t>
      </w:r>
    </w:p>
    <w:p w14:paraId="756D6EA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30" w:name="_Toc54862293"/>
      <w:bookmarkStart w:id="631" w:name="_Ref531956884"/>
      <w:bookmarkStart w:id="632" w:name="_Ref531956881"/>
      <w:r>
        <w:rPr>
          <w:rFonts w:hint="eastAsia" w:ascii="宋体" w:hAnsi="宋体" w:eastAsia="宋体" w:cs="宋体"/>
          <w:b w:val="0"/>
          <w:bCs/>
          <w:color w:val="auto"/>
          <w:sz w:val="21"/>
          <w:szCs w:val="21"/>
        </w:rPr>
        <w:t>14.2 预付款</w:t>
      </w:r>
      <w:bookmarkEnd w:id="630"/>
      <w:bookmarkEnd w:id="631"/>
      <w:bookmarkEnd w:id="632"/>
    </w:p>
    <w:p w14:paraId="5F88E02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14.2.1 预付款支付</w:t>
      </w:r>
    </w:p>
    <w:p w14:paraId="2B84036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预付款的额度和支付按照专用合同条件约定执行。预付款应当专用于承包人为合同工程的设计和工程实施购置材料、工程设备、施工设备、修建临时设施以及组织施工队伍进场等合同工作。</w:t>
      </w:r>
    </w:p>
    <w:p w14:paraId="515E29B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除专用合同条件另有约定外，预付款在进度付款中同比例扣回。在颁发工程接收证书前，提前解除合同的，尚未扣完的预付款应与合同价款一并结算。</w:t>
      </w:r>
    </w:p>
    <w:p w14:paraId="1947EAD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发包人逾期支付预付款超过7天的，承包人有权向发包人发出要求预付的催告通知，发包人收到通知后7天内仍未支付的，承包人有权暂停施工，并按第15.1.1项[发包人违约的情形]执行。</w:t>
      </w:r>
    </w:p>
    <w:p w14:paraId="03BAB0E5">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33" w:name="_Ref531956907"/>
      <w:bookmarkStart w:id="634" w:name="_Ref4797624"/>
      <w:bookmarkStart w:id="635" w:name="_Hlk54429963"/>
      <w:r>
        <w:rPr>
          <w:rFonts w:hint="eastAsia" w:ascii="宋体" w:hAnsi="宋体" w:eastAsia="宋体" w:cs="宋体"/>
          <w:color w:val="auto"/>
          <w:sz w:val="21"/>
          <w:szCs w:val="21"/>
        </w:rPr>
        <w:t>14.2.2 预付款</w:t>
      </w:r>
      <w:bookmarkEnd w:id="633"/>
      <w:r>
        <w:rPr>
          <w:rFonts w:hint="eastAsia" w:ascii="宋体" w:hAnsi="宋体" w:eastAsia="宋体" w:cs="宋体"/>
          <w:color w:val="auto"/>
          <w:sz w:val="21"/>
          <w:szCs w:val="21"/>
        </w:rPr>
        <w:t>担保</w:t>
      </w:r>
      <w:bookmarkEnd w:id="634"/>
    </w:p>
    <w:bookmarkEnd w:id="635"/>
    <w:p w14:paraId="6AD5FF0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78E05CB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发包人在工程款中逐期扣回预付款后，预付款担保额度应相应减少，但剩余的预付款担保金额不得低于未被扣回的预付款金额。</w:t>
      </w:r>
    </w:p>
    <w:p w14:paraId="116583B7">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36" w:name="_Toc4784195"/>
      <w:bookmarkEnd w:id="636"/>
      <w:bookmarkStart w:id="637" w:name="_Toc4784194"/>
      <w:bookmarkEnd w:id="637"/>
      <w:bookmarkStart w:id="638" w:name="_Toc4784193"/>
      <w:bookmarkEnd w:id="638"/>
      <w:bookmarkStart w:id="639" w:name="_Ref531956963"/>
      <w:bookmarkStart w:id="640" w:name="_Ref531956967"/>
      <w:bookmarkStart w:id="641" w:name="_Toc54862294"/>
      <w:bookmarkStart w:id="642" w:name="_Ref4623398"/>
      <w:r>
        <w:rPr>
          <w:rFonts w:hint="eastAsia" w:ascii="宋体" w:hAnsi="宋体" w:eastAsia="宋体" w:cs="宋体"/>
          <w:b w:val="0"/>
          <w:bCs/>
          <w:color w:val="auto"/>
          <w:sz w:val="21"/>
          <w:szCs w:val="21"/>
        </w:rPr>
        <w:t>14.3 工程进度款</w:t>
      </w:r>
      <w:bookmarkEnd w:id="639"/>
      <w:bookmarkEnd w:id="640"/>
      <w:bookmarkEnd w:id="641"/>
      <w:bookmarkEnd w:id="642"/>
    </w:p>
    <w:p w14:paraId="5C3BC24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43" w:name="_Ref531956987"/>
      <w:bookmarkStart w:id="644" w:name="_Ref532679934"/>
      <w:r>
        <w:rPr>
          <w:rFonts w:hint="eastAsia" w:ascii="宋体" w:hAnsi="宋体" w:eastAsia="宋体" w:cs="宋体"/>
          <w:color w:val="auto"/>
          <w:sz w:val="21"/>
          <w:szCs w:val="21"/>
        </w:rPr>
        <w:t>14.3.1 工程进度付款申请</w:t>
      </w:r>
      <w:bookmarkEnd w:id="643"/>
      <w:bookmarkEnd w:id="644"/>
    </w:p>
    <w:p w14:paraId="3A21FC0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（1）人工费的申请</w:t>
      </w:r>
    </w:p>
    <w:p w14:paraId="45EF345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72E0D7C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（2）除专用合同条件另有约定外，承包人应在每月月末向工程师提交进度付款申请单，该进度付款申请单应包括下列内容：</w:t>
      </w:r>
    </w:p>
    <w:p w14:paraId="0D4427A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645" w:name="_Ref24496054"/>
      <w:r>
        <w:rPr>
          <w:rFonts w:hint="eastAsia" w:ascii="宋体" w:hAnsi="宋体" w:eastAsia="宋体" w:cs="宋体"/>
          <w:color w:val="auto"/>
          <w:sz w:val="21"/>
          <w:szCs w:val="21"/>
        </w:rPr>
        <w:t>1） 截至本次付款周期内已完成工作对应的金额；</w:t>
      </w:r>
      <w:bookmarkEnd w:id="645"/>
    </w:p>
    <w:p w14:paraId="50EC8E9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扣除依据本款第（1）目约定中已扣除的人工费金额；</w:t>
      </w:r>
    </w:p>
    <w:p w14:paraId="702AE04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根据第13条[变更与调整]应增加和扣减的变更金额；</w:t>
      </w:r>
    </w:p>
    <w:p w14:paraId="569D7EA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根据第14.2款[预付款]约定应支付的预付款和扣减的返还预付款；</w:t>
      </w:r>
    </w:p>
    <w:p w14:paraId="6738A76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根据第14.6.2项[质量保证金的预留]约定应预留的质量保证金金额；</w:t>
      </w:r>
    </w:p>
    <w:p w14:paraId="6098741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根据第19条[索赔]应增加和扣减的索赔金额；</w:t>
      </w:r>
    </w:p>
    <w:p w14:paraId="5B8E88A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对已签发的进度款支付证书中出现错误的修正，应在本次进度付款中支付或扣除的金额；</w:t>
      </w:r>
    </w:p>
    <w:p w14:paraId="7B701F9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 根据合同约定应增加和扣减的其他金额。</w:t>
      </w:r>
    </w:p>
    <w:p w14:paraId="75CA1E1B">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46" w:name="_Ref531957608"/>
      <w:r>
        <w:rPr>
          <w:rFonts w:hint="eastAsia" w:ascii="宋体" w:hAnsi="宋体" w:eastAsia="宋体" w:cs="宋体"/>
          <w:color w:val="auto"/>
          <w:sz w:val="21"/>
          <w:szCs w:val="21"/>
        </w:rPr>
        <w:t>14.3.2 进度付款审核和支付</w:t>
      </w:r>
      <w:bookmarkEnd w:id="646"/>
    </w:p>
    <w:p w14:paraId="6705859D">
      <w:pPr>
        <w:pStyle w:val="216"/>
        <w:keepNext w:val="0"/>
        <w:keepLines w:val="0"/>
        <w:pageBreakBefore w:val="0"/>
        <w:numPr>
          <w:ilvl w:val="0"/>
          <w:numId w:val="0"/>
        </w:numPr>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3526C95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174735E0">
      <w:pPr>
        <w:pStyle w:val="216"/>
        <w:keepNext w:val="0"/>
        <w:keepLines w:val="0"/>
        <w:pageBreakBefore w:val="0"/>
        <w:numPr>
          <w:ilvl w:val="0"/>
          <w:numId w:val="0"/>
        </w:numPr>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684E9DB8">
      <w:pPr>
        <w:pStyle w:val="216"/>
        <w:keepNext w:val="0"/>
        <w:keepLines w:val="0"/>
        <w:pageBreakBefore w:val="0"/>
        <w:numPr>
          <w:ilvl w:val="0"/>
          <w:numId w:val="0"/>
        </w:numPr>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发包人签发进度款支付证书，不表明发包人已同意、批准或接受了承包人完成的相应部分的工作。</w:t>
      </w:r>
    </w:p>
    <w:p w14:paraId="3F68B0D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47" w:name="_Ref531957023"/>
      <w:r>
        <w:rPr>
          <w:rFonts w:hint="eastAsia" w:ascii="宋体" w:hAnsi="宋体" w:eastAsia="宋体" w:cs="宋体"/>
          <w:color w:val="auto"/>
          <w:sz w:val="21"/>
          <w:szCs w:val="21"/>
        </w:rPr>
        <w:t>14.3.3 进度付款的修正</w:t>
      </w:r>
      <w:bookmarkEnd w:id="647"/>
    </w:p>
    <w:p w14:paraId="2982A37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在对已签发的进度款支付证书进行阶段汇总和复核中发现错误、遗漏或重复的，发包人和承包人均有权提出修正申请。经发包人和承包人同意的修正，应在下期进度付款中支付或扣除。</w:t>
      </w:r>
    </w:p>
    <w:p w14:paraId="11ABBD23">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48" w:name="_Ref4538578"/>
      <w:bookmarkStart w:id="649" w:name="_Toc54862295"/>
      <w:bookmarkStart w:id="650" w:name="_Ref536647814"/>
      <w:bookmarkStart w:id="651" w:name="_Ref536647822"/>
      <w:r>
        <w:rPr>
          <w:rFonts w:hint="eastAsia" w:ascii="宋体" w:hAnsi="宋体" w:eastAsia="宋体" w:cs="宋体"/>
          <w:b w:val="0"/>
          <w:bCs/>
          <w:color w:val="auto"/>
          <w:sz w:val="21"/>
          <w:szCs w:val="21"/>
        </w:rPr>
        <w:t>14.4 付款计划表</w:t>
      </w:r>
      <w:bookmarkEnd w:id="648"/>
      <w:bookmarkEnd w:id="649"/>
    </w:p>
    <w:p w14:paraId="6CD9E3CE">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52" w:name="_Ref4570974"/>
      <w:r>
        <w:rPr>
          <w:rFonts w:hint="eastAsia" w:ascii="宋体" w:hAnsi="宋体" w:eastAsia="宋体" w:cs="宋体"/>
          <w:color w:val="auto"/>
          <w:sz w:val="21"/>
          <w:szCs w:val="21"/>
        </w:rPr>
        <w:t>14.4.1 付款计划表的编制要求</w:t>
      </w:r>
      <w:bookmarkEnd w:id="652"/>
    </w:p>
    <w:p w14:paraId="40DCC2D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除专用合同条件另有约定外，付款计划表按如下要求编制：</w:t>
      </w:r>
    </w:p>
    <w:p w14:paraId="6F6E786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付款计划表中所列的每期付款金额，应为第14.3.1项[工程进度付款申请]每期进度款的估算金额；</w:t>
      </w:r>
    </w:p>
    <w:p w14:paraId="0781A4D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rPr>
          <w:rFonts w:hint="eastAsia" w:ascii="宋体" w:hAnsi="宋体" w:eastAsia="宋体" w:cs="宋体"/>
          <w:color w:val="auto"/>
          <w:spacing w:val="-6"/>
          <w:sz w:val="21"/>
          <w:szCs w:val="21"/>
        </w:rPr>
        <w:t>实际进度与项目进度计划不一致的，合同当事人可按照第3.6款[商定或确定]修改付款计划表；</w:t>
      </w:r>
    </w:p>
    <w:p w14:paraId="2454113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 </w:t>
      </w:r>
      <w:r>
        <w:rPr>
          <w:rFonts w:hint="eastAsia" w:ascii="宋体" w:hAnsi="宋体" w:eastAsia="宋体" w:cs="宋体"/>
          <w:color w:val="auto"/>
          <w:spacing w:val="-6"/>
          <w:sz w:val="21"/>
          <w:szCs w:val="21"/>
        </w:rPr>
        <w:t>不采用付款计划表的，承包人应向工程师提交按季度编制的支付估算付款计划表，用于支付参考。</w:t>
      </w:r>
    </w:p>
    <w:p w14:paraId="6EBCF6B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53" w:name="_Ref4571011"/>
      <w:r>
        <w:rPr>
          <w:rFonts w:hint="eastAsia" w:ascii="宋体" w:hAnsi="宋体" w:eastAsia="宋体" w:cs="宋体"/>
          <w:color w:val="auto"/>
          <w:sz w:val="21"/>
          <w:szCs w:val="21"/>
        </w:rPr>
        <w:t>14.4.2 付款计划表的编制与审批</w:t>
      </w:r>
      <w:bookmarkEnd w:id="653"/>
    </w:p>
    <w:p w14:paraId="7E1FE6F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4FF3B0D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工程师应在收到付款计划表后7天内完成审核并报送发包人。发包人应在收到经工程师审核的付款计划表后7天内完成审批，经发包人批准的付款计划表为有约束力的付款计划表。</w:t>
      </w:r>
    </w:p>
    <w:p w14:paraId="4C45A3D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发包人逾期未完成付款计划表审批的，也未及时要求承包人进行修正和提供补充资料的，则承包人提交的付款计划表视为已经获得发包人批准。</w:t>
      </w:r>
    </w:p>
    <w:p w14:paraId="3750E66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54" w:name="_Ref4538634"/>
      <w:bookmarkStart w:id="655" w:name="_Toc54862296"/>
      <w:r>
        <w:rPr>
          <w:rFonts w:hint="eastAsia" w:ascii="宋体" w:hAnsi="宋体" w:eastAsia="宋体" w:cs="宋体"/>
          <w:b w:val="0"/>
          <w:bCs/>
          <w:color w:val="auto"/>
          <w:sz w:val="21"/>
          <w:szCs w:val="21"/>
        </w:rPr>
        <w:t>14.5 竣工结算</w:t>
      </w:r>
      <w:bookmarkEnd w:id="654"/>
      <w:bookmarkEnd w:id="655"/>
    </w:p>
    <w:p w14:paraId="1E3A964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56" w:name="_Ref4571361"/>
      <w:r>
        <w:rPr>
          <w:rFonts w:hint="eastAsia" w:ascii="宋体" w:hAnsi="宋体" w:eastAsia="宋体" w:cs="宋体"/>
          <w:color w:val="auto"/>
          <w:sz w:val="21"/>
          <w:szCs w:val="21"/>
        </w:rPr>
        <w:t>14.5.1 竣工结算申请</w:t>
      </w:r>
      <w:bookmarkEnd w:id="656"/>
    </w:p>
    <w:p w14:paraId="7A9051A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2222E55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除专用合同条件另有约定外，竣工结算申请单应包括以下内容：</w:t>
      </w:r>
    </w:p>
    <w:p w14:paraId="33B0D2C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竣工结算合同价格；</w:t>
      </w:r>
    </w:p>
    <w:p w14:paraId="2B5F5F7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发包人已支付承包人的款项；</w:t>
      </w:r>
    </w:p>
    <w:p w14:paraId="316ADEB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47671E8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发包人应支付承包人的合同价款。</w:t>
      </w:r>
    </w:p>
    <w:p w14:paraId="6A0BED2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57" w:name="_Ref4571384"/>
      <w:r>
        <w:rPr>
          <w:rFonts w:hint="eastAsia" w:ascii="宋体" w:hAnsi="宋体" w:eastAsia="宋体" w:cs="宋体"/>
          <w:color w:val="auto"/>
          <w:sz w:val="21"/>
          <w:szCs w:val="21"/>
        </w:rPr>
        <w:t>14.5.2 竣工结算审核</w:t>
      </w:r>
      <w:bookmarkEnd w:id="657"/>
    </w:p>
    <w:p w14:paraId="3E3372D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58CF798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4A23364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658" w:name="_Ref4618006"/>
      <w:r>
        <w:rPr>
          <w:rFonts w:hint="eastAsia" w:ascii="宋体" w:hAnsi="宋体" w:eastAsia="宋体" w:cs="宋体"/>
          <w:color w:val="auto"/>
          <w:sz w:val="21"/>
          <w:szCs w:val="21"/>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658"/>
    </w:p>
    <w:p w14:paraId="6DF20C3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1830405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59" w:name="_Ref15484305"/>
      <w:r>
        <w:rPr>
          <w:rFonts w:hint="eastAsia" w:ascii="宋体" w:hAnsi="宋体" w:eastAsia="宋体" w:cs="宋体"/>
          <w:color w:val="auto"/>
          <w:sz w:val="21"/>
          <w:szCs w:val="21"/>
        </w:rPr>
        <w:t>14.5.3 扫尾工作清单</w:t>
      </w:r>
      <w:bookmarkEnd w:id="659"/>
    </w:p>
    <w:p w14:paraId="1D88493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经双方协商，部分工作在工程竣工验收后进行的，承包人应当编制扫尾工作清单，扫尾工作清单中应当列明承包人应当完成的扫尾工作的内容及完成时间。</w:t>
      </w:r>
    </w:p>
    <w:p w14:paraId="65D3372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承包人完成扫尾工作清单中的内容应取得的费用包含在第14.5.1项[竣工结算申请]及第14.5.2项[竣工结算审核]中一并结算。</w:t>
      </w:r>
    </w:p>
    <w:p w14:paraId="68CB9D8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扫尾工作的缺陷责任期按第11条[缺陷责任与保修]处理。承包人未能按照扫尾工作清单约定的完成时间完成扫尾工作的，视为承包人原因导致的工程质量缺陷按照第11.3款[缺陷调查]处理。</w:t>
      </w:r>
    </w:p>
    <w:p w14:paraId="5B205758">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60" w:name="_Ref4582115"/>
      <w:bookmarkStart w:id="661" w:name="_Ref4571100"/>
      <w:bookmarkStart w:id="662" w:name="_Ref4617582"/>
      <w:bookmarkStart w:id="663" w:name="_Ref4571127"/>
      <w:bookmarkStart w:id="664" w:name="_Ref4617592"/>
      <w:bookmarkStart w:id="665" w:name="_Ref15395020"/>
      <w:bookmarkStart w:id="666" w:name="_Toc54862297"/>
      <w:bookmarkStart w:id="667" w:name="_Hlk15394931"/>
      <w:r>
        <w:rPr>
          <w:rFonts w:hint="eastAsia" w:ascii="宋体" w:hAnsi="宋体" w:eastAsia="宋体" w:cs="宋体"/>
          <w:b w:val="0"/>
          <w:bCs/>
          <w:color w:val="auto"/>
          <w:sz w:val="21"/>
          <w:szCs w:val="21"/>
        </w:rPr>
        <w:t>14.6 质量保证金</w:t>
      </w:r>
      <w:bookmarkEnd w:id="650"/>
      <w:bookmarkEnd w:id="651"/>
      <w:bookmarkEnd w:id="660"/>
      <w:bookmarkEnd w:id="661"/>
      <w:bookmarkEnd w:id="662"/>
      <w:bookmarkEnd w:id="663"/>
      <w:bookmarkEnd w:id="664"/>
      <w:bookmarkEnd w:id="665"/>
      <w:bookmarkEnd w:id="666"/>
      <w:r>
        <w:rPr>
          <w:rFonts w:hint="eastAsia" w:ascii="宋体" w:hAnsi="宋体" w:eastAsia="宋体" w:cs="宋体"/>
          <w:b w:val="0"/>
          <w:bCs/>
          <w:color w:val="auto"/>
          <w:sz w:val="21"/>
          <w:szCs w:val="21"/>
        </w:rPr>
        <w:t xml:space="preserve"> </w:t>
      </w:r>
    </w:p>
    <w:p w14:paraId="42218B6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经合同当事人协商一致提供质量保证金的，应在专用合同条件中予以明确。在工程项目竣工前，承包人已经提供履约担保的，发包人不得同时要求承包人提供质量保证金。</w:t>
      </w:r>
    </w:p>
    <w:bookmarkEnd w:id="667"/>
    <w:p w14:paraId="723BF4C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68" w:name="_Ref531955069"/>
      <w:bookmarkStart w:id="669" w:name="_Ref531957153"/>
      <w:r>
        <w:rPr>
          <w:rFonts w:hint="eastAsia" w:ascii="宋体" w:hAnsi="宋体" w:eastAsia="宋体" w:cs="宋体"/>
          <w:color w:val="auto"/>
          <w:sz w:val="21"/>
          <w:szCs w:val="21"/>
        </w:rPr>
        <w:t>14.6.1 承包人提供质量保证金的方式</w:t>
      </w:r>
      <w:bookmarkEnd w:id="668"/>
    </w:p>
    <w:p w14:paraId="0E2D240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承包人提供质量保证金有以下三种方式：</w:t>
      </w:r>
    </w:p>
    <w:p w14:paraId="38FF176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670" w:name="_Ref531955096"/>
      <w:r>
        <w:rPr>
          <w:rFonts w:hint="eastAsia" w:ascii="宋体" w:hAnsi="宋体" w:eastAsia="宋体" w:cs="宋体"/>
          <w:color w:val="auto"/>
          <w:sz w:val="21"/>
          <w:szCs w:val="21"/>
        </w:rPr>
        <w:t>（1） 提交工程质量保证担保；</w:t>
      </w:r>
      <w:bookmarkEnd w:id="670"/>
    </w:p>
    <w:p w14:paraId="3748AAE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671" w:name="_Ref531955107"/>
      <w:r>
        <w:rPr>
          <w:rFonts w:hint="eastAsia" w:ascii="宋体" w:hAnsi="宋体" w:eastAsia="宋体" w:cs="宋体"/>
          <w:color w:val="auto"/>
          <w:sz w:val="21"/>
          <w:szCs w:val="21"/>
        </w:rPr>
        <w:t>（2） 预留相应比例的工程款；</w:t>
      </w:r>
      <w:bookmarkEnd w:id="671"/>
    </w:p>
    <w:p w14:paraId="713A7D5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672" w:name="_Ref531955117"/>
      <w:r>
        <w:rPr>
          <w:rFonts w:hint="eastAsia" w:ascii="宋体" w:hAnsi="宋体" w:eastAsia="宋体" w:cs="宋体"/>
          <w:color w:val="auto"/>
          <w:sz w:val="21"/>
          <w:szCs w:val="21"/>
        </w:rPr>
        <w:t>（3） 双方约定的其他方式。</w:t>
      </w:r>
      <w:bookmarkEnd w:id="672"/>
    </w:p>
    <w:p w14:paraId="5D72281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37AEA9A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73" w:name="_Ref15419738"/>
      <w:bookmarkStart w:id="674" w:name="_Ref18931667"/>
      <w:r>
        <w:rPr>
          <w:rFonts w:hint="eastAsia" w:ascii="宋体" w:hAnsi="宋体" w:eastAsia="宋体" w:cs="宋体"/>
          <w:color w:val="auto"/>
          <w:sz w:val="21"/>
          <w:szCs w:val="21"/>
        </w:rPr>
        <w:t>14.6.2 质量保证金的预留</w:t>
      </w:r>
      <w:bookmarkEnd w:id="673"/>
      <w:bookmarkEnd w:id="674"/>
    </w:p>
    <w:p w14:paraId="066C530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双方约定采用预留相应比例的工程款方式提供质量保证金的，质量保证金的预留有以下三种方式：</w:t>
      </w:r>
    </w:p>
    <w:p w14:paraId="60B655D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675" w:name="_Hlk18840714"/>
      <w:bookmarkStart w:id="676" w:name="_Ref531955143"/>
      <w:r>
        <w:rPr>
          <w:rFonts w:hint="eastAsia" w:ascii="宋体" w:hAnsi="宋体" w:eastAsia="宋体" w:cs="宋体"/>
          <w:color w:val="auto"/>
          <w:sz w:val="21"/>
          <w:szCs w:val="21"/>
        </w:rPr>
        <w:t>（1） 按专用合同条件的约定在支付工程进度款时逐次预留，直至预留的质量保证金总额达到专用合同条件约定的金额或比例为止</w:t>
      </w:r>
      <w:bookmarkEnd w:id="675"/>
      <w:r>
        <w:rPr>
          <w:rFonts w:hint="eastAsia" w:ascii="宋体" w:hAnsi="宋体" w:eastAsia="宋体" w:cs="宋体"/>
          <w:color w:val="auto"/>
          <w:sz w:val="21"/>
          <w:szCs w:val="21"/>
        </w:rPr>
        <w:t>。在此情形下，质量保证金的计算基数不包括预付款的支付、扣回以及价格调整的金额；</w:t>
      </w:r>
      <w:bookmarkEnd w:id="676"/>
    </w:p>
    <w:p w14:paraId="7083393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677" w:name="_Ref531955151"/>
      <w:r>
        <w:rPr>
          <w:rFonts w:hint="eastAsia" w:ascii="宋体" w:hAnsi="宋体" w:eastAsia="宋体" w:cs="宋体"/>
          <w:color w:val="auto"/>
          <w:sz w:val="21"/>
          <w:szCs w:val="21"/>
        </w:rPr>
        <w:t>（2） 工程竣工结算时一次性预留质量保证金；</w:t>
      </w:r>
      <w:bookmarkEnd w:id="677"/>
    </w:p>
    <w:p w14:paraId="28E7EB6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678" w:name="_Ref531955161"/>
      <w:r>
        <w:rPr>
          <w:rFonts w:hint="eastAsia" w:ascii="宋体" w:hAnsi="宋体" w:eastAsia="宋体" w:cs="宋体"/>
          <w:color w:val="auto"/>
          <w:sz w:val="21"/>
          <w:szCs w:val="21"/>
        </w:rPr>
        <w:t>（3） 双方约定的其他预留方式。</w:t>
      </w:r>
      <w:bookmarkEnd w:id="678"/>
    </w:p>
    <w:p w14:paraId="213BF25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5D7FD1D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79" w:name="_Ref532690096"/>
      <w:bookmarkStart w:id="680" w:name="_Ref4571243"/>
      <w:r>
        <w:rPr>
          <w:rFonts w:hint="eastAsia" w:ascii="宋体" w:hAnsi="宋体" w:eastAsia="宋体" w:cs="宋体"/>
          <w:color w:val="auto"/>
          <w:sz w:val="21"/>
          <w:szCs w:val="21"/>
        </w:rPr>
        <w:t>14.6.3 质量保证金的</w:t>
      </w:r>
      <w:bookmarkEnd w:id="679"/>
      <w:r>
        <w:rPr>
          <w:rFonts w:hint="eastAsia" w:ascii="宋体" w:hAnsi="宋体" w:eastAsia="宋体" w:cs="宋体"/>
          <w:color w:val="auto"/>
          <w:sz w:val="21"/>
          <w:szCs w:val="21"/>
        </w:rPr>
        <w:t>返还</w:t>
      </w:r>
      <w:bookmarkEnd w:id="680"/>
    </w:p>
    <w:p w14:paraId="70AA54E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缺陷责任期内，承包人认真履行合同约定的责任，缺陷责任期满，发包人根据第11.6款[缺陷责任期终止证书]向承包人颁发缺陷责任期终止证书后，承包人可向发包人申请返还质量保证金。</w:t>
      </w:r>
    </w:p>
    <w:p w14:paraId="41BFEEA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2AB25BB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发包人和承包人对质量保证金预留、返还以及工程维修质量、费用有争议的，按本合同第20条[争议解决]约定的争议和纠纷解决程序处理。</w:t>
      </w:r>
    </w:p>
    <w:bookmarkEnd w:id="669"/>
    <w:p w14:paraId="1D92948B">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81" w:name="_Toc54862298"/>
      <w:bookmarkStart w:id="682" w:name="_Ref531957341"/>
      <w:bookmarkStart w:id="683" w:name="_Ref531957339"/>
      <w:r>
        <w:rPr>
          <w:rFonts w:hint="eastAsia" w:ascii="宋体" w:hAnsi="宋体" w:eastAsia="宋体" w:cs="宋体"/>
          <w:b w:val="0"/>
          <w:bCs/>
          <w:color w:val="auto"/>
          <w:sz w:val="21"/>
          <w:szCs w:val="21"/>
        </w:rPr>
        <w:t>14.7 最终结清</w:t>
      </w:r>
      <w:bookmarkEnd w:id="681"/>
      <w:bookmarkEnd w:id="682"/>
      <w:bookmarkEnd w:id="683"/>
      <w:r>
        <w:rPr>
          <w:rFonts w:hint="eastAsia" w:ascii="宋体" w:hAnsi="宋体" w:eastAsia="宋体" w:cs="宋体"/>
          <w:b w:val="0"/>
          <w:bCs/>
          <w:color w:val="auto"/>
          <w:sz w:val="21"/>
          <w:szCs w:val="21"/>
        </w:rPr>
        <w:t xml:space="preserve"> </w:t>
      </w:r>
    </w:p>
    <w:p w14:paraId="7BD81BD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84" w:name="_Ref531957350"/>
      <w:r>
        <w:rPr>
          <w:rFonts w:hint="eastAsia" w:ascii="宋体" w:hAnsi="宋体" w:eastAsia="宋体" w:cs="宋体"/>
          <w:color w:val="auto"/>
          <w:sz w:val="21"/>
          <w:szCs w:val="21"/>
        </w:rPr>
        <w:t>14.7.1 最终结清申请</w:t>
      </w:r>
      <w:bookmarkEnd w:id="684"/>
      <w:r>
        <w:rPr>
          <w:rFonts w:hint="eastAsia" w:ascii="宋体" w:hAnsi="宋体" w:eastAsia="宋体" w:cs="宋体"/>
          <w:color w:val="auto"/>
          <w:sz w:val="21"/>
          <w:szCs w:val="21"/>
        </w:rPr>
        <w:t>单</w:t>
      </w:r>
    </w:p>
    <w:p w14:paraId="00EABC7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除专用合同条件另有约定外，承包人应在缺陷责任期终止证书颁发后7天内，按专用合同条件约定的份数向发包人提交最终结清申请单，并提供相关证明材料。</w:t>
      </w:r>
    </w:p>
    <w:p w14:paraId="7D4EEED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除专用合同条件另有约定外，最终结清申请单应列明质量保证金、应扣除的质量保证金、缺陷责任期内发生的增减费用。</w:t>
      </w:r>
    </w:p>
    <w:p w14:paraId="45AC6BB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发包人对最终结清申请单内容有异议的，有权要求承包人进行修正和提供补充资料，承包人应向发包人提交修正后的最终结清申请单。</w:t>
      </w:r>
    </w:p>
    <w:p w14:paraId="6A13A86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85" w:name="_Ref531957369"/>
      <w:bookmarkStart w:id="686" w:name="_Ref4624099"/>
      <w:r>
        <w:rPr>
          <w:rFonts w:hint="eastAsia" w:ascii="宋体" w:hAnsi="宋体" w:eastAsia="宋体" w:cs="宋体"/>
          <w:color w:val="auto"/>
          <w:sz w:val="21"/>
          <w:szCs w:val="21"/>
        </w:rPr>
        <w:t>14.7.2 最终结清证书</w:t>
      </w:r>
      <w:bookmarkEnd w:id="685"/>
      <w:r>
        <w:rPr>
          <w:rFonts w:hint="eastAsia" w:ascii="宋体" w:hAnsi="宋体" w:eastAsia="宋体" w:cs="宋体"/>
          <w:color w:val="auto"/>
          <w:sz w:val="21"/>
          <w:szCs w:val="21"/>
        </w:rPr>
        <w:t>和支付</w:t>
      </w:r>
      <w:bookmarkEnd w:id="686"/>
    </w:p>
    <w:p w14:paraId="7F40F73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12AFDF5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除专用合同条件另有约定外，发包人应在颁发最终结清证书后7天内完成支付。发包人逾期支付的，按照贷款市场报价利率（LPR）支付利息；逾期支付超过56天的，按照贷款市场报价利率（LPR）的两倍支付利息。</w:t>
      </w:r>
    </w:p>
    <w:p w14:paraId="63F1239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承包人对发包人颁发的最终结清证书有异议的，按第20条[争议解决]的约定办理。</w:t>
      </w:r>
    </w:p>
    <w:p w14:paraId="1310460E">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687" w:name="_Ref11920407"/>
      <w:bookmarkStart w:id="688" w:name="_Toc54862299"/>
      <w:bookmarkStart w:id="689" w:name="_Ref11920396"/>
      <w:bookmarkStart w:id="690" w:name="_Ref11874957"/>
      <w:r>
        <w:rPr>
          <w:rFonts w:hint="eastAsia" w:ascii="宋体" w:hAnsi="宋体" w:eastAsia="宋体" w:cs="宋体"/>
          <w:b w:val="0"/>
          <w:bCs/>
          <w:color w:val="auto"/>
          <w:sz w:val="21"/>
          <w:szCs w:val="21"/>
        </w:rPr>
        <w:t>第15条 违约</w:t>
      </w:r>
      <w:bookmarkEnd w:id="545"/>
      <w:bookmarkEnd w:id="549"/>
      <w:bookmarkEnd w:id="550"/>
      <w:bookmarkEnd w:id="687"/>
      <w:bookmarkEnd w:id="688"/>
      <w:bookmarkEnd w:id="689"/>
      <w:bookmarkEnd w:id="690"/>
    </w:p>
    <w:p w14:paraId="51BB9FF1">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691" w:name="_Ref4534384"/>
      <w:bookmarkStart w:id="692" w:name="_Ref4534376"/>
      <w:bookmarkStart w:id="693" w:name="_Toc54862300"/>
      <w:bookmarkStart w:id="694" w:name="_Ref4534399"/>
      <w:bookmarkStart w:id="695" w:name="_Ref4534411"/>
      <w:r>
        <w:rPr>
          <w:rFonts w:hint="eastAsia" w:ascii="宋体" w:hAnsi="宋体" w:eastAsia="宋体" w:cs="宋体"/>
          <w:b w:val="0"/>
          <w:bCs/>
          <w:color w:val="auto"/>
          <w:sz w:val="21"/>
          <w:szCs w:val="21"/>
        </w:rPr>
        <w:t>15.1 发包人违约</w:t>
      </w:r>
      <w:bookmarkEnd w:id="691"/>
      <w:bookmarkEnd w:id="692"/>
      <w:bookmarkEnd w:id="693"/>
      <w:bookmarkEnd w:id="694"/>
      <w:bookmarkEnd w:id="695"/>
    </w:p>
    <w:p w14:paraId="3B1C59D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96" w:name="_Ref3841087"/>
      <w:r>
        <w:rPr>
          <w:rFonts w:hint="eastAsia" w:ascii="宋体" w:hAnsi="宋体" w:eastAsia="宋体" w:cs="宋体"/>
          <w:color w:val="auto"/>
          <w:sz w:val="21"/>
          <w:szCs w:val="21"/>
        </w:rPr>
        <w:t>15.1.1 发包人违约的情形</w:t>
      </w:r>
      <w:bookmarkEnd w:id="696"/>
    </w:p>
    <w:p w14:paraId="4DFB833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除专用合同条件另有约定外，在合同履行过程中发生的下列情形，属于发包人违约：</w:t>
      </w:r>
    </w:p>
    <w:p w14:paraId="7AC8C70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 因发包人原因导致开始工作日期延误的； </w:t>
      </w:r>
    </w:p>
    <w:p w14:paraId="1915800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因发包人原因未能按合同约定支付合同价款的；</w:t>
      </w:r>
    </w:p>
    <w:p w14:paraId="6EE3B20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发包人违反第13.1.1项约定，自行实施被取消的工作或转由他人实施的；</w:t>
      </w:r>
    </w:p>
    <w:p w14:paraId="49146E7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因发包人违反合同约定造成工程暂停施工的；</w:t>
      </w:r>
    </w:p>
    <w:p w14:paraId="37EFA77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工程师无正当理由没有在约定期限内发出复工指示，导致承包人无法复工的；</w:t>
      </w:r>
    </w:p>
    <w:p w14:paraId="5C0BE3D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发包人明确表示或者以其行为表明不履行合同主要义务的；</w:t>
      </w:r>
    </w:p>
    <w:p w14:paraId="58B764E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发包人未能按照合同约定履行其他义务的。</w:t>
      </w:r>
    </w:p>
    <w:p w14:paraId="5B1AE17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97" w:name="_Ref4535692"/>
      <w:r>
        <w:rPr>
          <w:rFonts w:hint="eastAsia" w:ascii="宋体" w:hAnsi="宋体" w:eastAsia="宋体" w:cs="宋体"/>
          <w:color w:val="auto"/>
          <w:sz w:val="21"/>
          <w:szCs w:val="21"/>
        </w:rPr>
        <w:t>15.1.2 通知改正</w:t>
      </w:r>
      <w:bookmarkEnd w:id="697"/>
    </w:p>
    <w:p w14:paraId="15D12CB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698" w:name="_Hlk16248297"/>
      <w:r>
        <w:rPr>
          <w:rFonts w:hint="eastAsia" w:ascii="宋体" w:hAnsi="宋体" w:eastAsia="宋体" w:cs="宋体"/>
          <w:color w:val="auto"/>
          <w:sz w:val="21"/>
          <w:szCs w:val="21"/>
        </w:rPr>
        <w:t>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bookmarkEnd w:id="698"/>
    </w:p>
    <w:p w14:paraId="41439C72">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699" w:name="_Ref3841132"/>
      <w:r>
        <w:rPr>
          <w:rFonts w:hint="eastAsia" w:ascii="宋体" w:hAnsi="宋体" w:eastAsia="宋体" w:cs="宋体"/>
          <w:color w:val="auto"/>
          <w:sz w:val="21"/>
          <w:szCs w:val="21"/>
        </w:rPr>
        <w:t>15.1.3 发包人违约的责任</w:t>
      </w:r>
      <w:bookmarkEnd w:id="699"/>
    </w:p>
    <w:p w14:paraId="75686C6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700" w:name="_Hlk16247984"/>
      <w:r>
        <w:rPr>
          <w:rFonts w:hint="eastAsia" w:ascii="宋体" w:hAnsi="宋体" w:eastAsia="宋体" w:cs="宋体"/>
          <w:color w:val="auto"/>
          <w:sz w:val="21"/>
          <w:szCs w:val="21"/>
        </w:rPr>
        <w:t>发包人应承担因其违约给承包人增加的费用和（或）延误的工期，并支付承包人合理的利润。此外，合同当事人可在专用合同条件中另行约定发包人违约责任的承担方式和计算方法。</w:t>
      </w:r>
      <w:bookmarkEnd w:id="700"/>
    </w:p>
    <w:p w14:paraId="4FA3EB2B">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01" w:name="_Toc54862301"/>
      <w:bookmarkStart w:id="702" w:name="_Ref11958663"/>
      <w:bookmarkStart w:id="703" w:name="_Ref11958660"/>
      <w:r>
        <w:rPr>
          <w:rFonts w:hint="eastAsia" w:ascii="宋体" w:hAnsi="宋体" w:eastAsia="宋体" w:cs="宋体"/>
          <w:b w:val="0"/>
          <w:bCs/>
          <w:color w:val="auto"/>
          <w:sz w:val="21"/>
          <w:szCs w:val="21"/>
        </w:rPr>
        <w:t>15.2 承包人违约</w:t>
      </w:r>
      <w:bookmarkEnd w:id="701"/>
      <w:bookmarkEnd w:id="702"/>
      <w:bookmarkEnd w:id="703"/>
    </w:p>
    <w:p w14:paraId="1ABCA92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704" w:name="_Ref3841153"/>
      <w:r>
        <w:rPr>
          <w:rFonts w:hint="eastAsia" w:ascii="宋体" w:hAnsi="宋体" w:eastAsia="宋体" w:cs="宋体"/>
          <w:color w:val="auto"/>
          <w:sz w:val="21"/>
          <w:szCs w:val="21"/>
        </w:rPr>
        <w:t>15.2.1 承包人违约的情形</w:t>
      </w:r>
      <w:bookmarkEnd w:id="704"/>
    </w:p>
    <w:p w14:paraId="6F5CF75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除专用合同条件另有约定外，在履行合同过程中发生的下列情况之一的，属于承包人违约：</w:t>
      </w:r>
    </w:p>
    <w:p w14:paraId="3A584B6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承包人的原因导致的承包人文件、实施和竣工的工程不符合法律法规、工程质量验收标准以及合同约定；</w:t>
      </w:r>
    </w:p>
    <w:p w14:paraId="7ECB7BD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承包人违反合同约定进行转包或违法分包的；</w:t>
      </w:r>
    </w:p>
    <w:p w14:paraId="69297D1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承包人违反约定采购和使用不合格材料或工程设备；</w:t>
      </w:r>
    </w:p>
    <w:p w14:paraId="39F34DD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因承包人原因导致工程质量不符合合同要求的；</w:t>
      </w:r>
    </w:p>
    <w:p w14:paraId="5F51C8E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承包人未经工程师批准，擅自将已按合同约定进入施工现场的施工设备、临时设施或材料撤离施工现场；</w:t>
      </w:r>
    </w:p>
    <w:p w14:paraId="6547F72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承包人未能按项目进度计划及时完成合同约定的工作，造成工期延误；</w:t>
      </w:r>
    </w:p>
    <w:p w14:paraId="6F9ACF1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由于承包人原因未能通过竣工试验或竣工后试验的；</w:t>
      </w:r>
    </w:p>
    <w:p w14:paraId="57B8C1B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 承包人在缺陷责任期及保修期内，未能在合理期限对工程缺陷进行修复，或拒绝按发包人指示进行修复的；</w:t>
      </w:r>
    </w:p>
    <w:p w14:paraId="286975D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 承包人明确表示或者以其行为表明不履行合同主要义务的；</w:t>
      </w:r>
    </w:p>
    <w:p w14:paraId="6E6C093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 承包人未能按照合同约定履行其他义务的。</w:t>
      </w:r>
    </w:p>
    <w:p w14:paraId="230EC25B">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705" w:name="_Ref531958512"/>
      <w:r>
        <w:rPr>
          <w:rFonts w:hint="eastAsia" w:ascii="宋体" w:hAnsi="宋体" w:eastAsia="宋体" w:cs="宋体"/>
          <w:color w:val="auto"/>
          <w:sz w:val="21"/>
          <w:szCs w:val="21"/>
        </w:rPr>
        <w:t>15.2.2 通知改正</w:t>
      </w:r>
      <w:bookmarkEnd w:id="705"/>
    </w:p>
    <w:p w14:paraId="43834B0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承包人发生除第15.2.1项第(7)目、第(9)目约定以外的其他违约情况时，工程师可在专用合同条件约定的合理期限内向承包人发出整改通知，要求其在指定的期限内改正。</w:t>
      </w:r>
    </w:p>
    <w:p w14:paraId="52A5EC3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706" w:name="_Ref3841166"/>
      <w:r>
        <w:rPr>
          <w:rFonts w:hint="eastAsia" w:ascii="宋体" w:hAnsi="宋体" w:eastAsia="宋体" w:cs="宋体"/>
          <w:color w:val="auto"/>
          <w:sz w:val="21"/>
          <w:szCs w:val="21"/>
        </w:rPr>
        <w:t>15.2.3 承包人违约的责任</w:t>
      </w:r>
      <w:bookmarkEnd w:id="706"/>
    </w:p>
    <w:p w14:paraId="33FECB4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承包人应承担因其违约行为而增加的费用和（或）延误的工期。此外，合同当事人可在专用合同条件中另行约定承包人违约责任的承担方式和计算方法。</w:t>
      </w:r>
    </w:p>
    <w:p w14:paraId="022B364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07" w:name="_Toc54862302"/>
      <w:r>
        <w:rPr>
          <w:rFonts w:hint="eastAsia" w:ascii="宋体" w:hAnsi="宋体" w:eastAsia="宋体" w:cs="宋体"/>
          <w:b w:val="0"/>
          <w:bCs/>
          <w:color w:val="auto"/>
          <w:sz w:val="21"/>
          <w:szCs w:val="21"/>
        </w:rPr>
        <w:t>15.3 第三人造成的违约</w:t>
      </w:r>
      <w:bookmarkEnd w:id="707"/>
    </w:p>
    <w:p w14:paraId="1C135AA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在履行合同过程中，一方当事人因第三人的原因造成违约的，应当向对方当事人承担违约责任。一方当事人和第三人之间的纠纷，依照法律规定或者按照约定解决。</w:t>
      </w:r>
    </w:p>
    <w:p w14:paraId="125C9AC6">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708" w:name="_Toc54862303"/>
      <w:bookmarkStart w:id="709" w:name="_Ref4510572"/>
      <w:bookmarkStart w:id="710" w:name="_Ref532142069"/>
      <w:bookmarkStart w:id="711" w:name="_Ref3840457"/>
      <w:r>
        <w:rPr>
          <w:rFonts w:hint="eastAsia" w:ascii="宋体" w:hAnsi="宋体" w:eastAsia="宋体" w:cs="宋体"/>
          <w:b w:val="0"/>
          <w:bCs/>
          <w:color w:val="auto"/>
          <w:sz w:val="21"/>
          <w:szCs w:val="21"/>
        </w:rPr>
        <w:t>第16条 合同解除</w:t>
      </w:r>
      <w:bookmarkEnd w:id="708"/>
      <w:bookmarkEnd w:id="709"/>
    </w:p>
    <w:p w14:paraId="5E46CCF2">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12" w:name="_Ref531958499"/>
      <w:bookmarkStart w:id="713" w:name="_Ref531958502"/>
      <w:bookmarkStart w:id="714" w:name="_Toc54862304"/>
      <w:r>
        <w:rPr>
          <w:rFonts w:hint="eastAsia" w:ascii="宋体" w:hAnsi="宋体" w:eastAsia="宋体" w:cs="宋体"/>
          <w:b w:val="0"/>
          <w:bCs/>
          <w:color w:val="auto"/>
          <w:sz w:val="21"/>
          <w:szCs w:val="21"/>
        </w:rPr>
        <w:t>16.1 由发包人解除合同</w:t>
      </w:r>
      <w:bookmarkEnd w:id="712"/>
      <w:bookmarkEnd w:id="713"/>
      <w:bookmarkEnd w:id="714"/>
    </w:p>
    <w:p w14:paraId="110CB67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715" w:name="_Ref4535422"/>
      <w:r>
        <w:rPr>
          <w:rFonts w:hint="eastAsia" w:ascii="宋体" w:hAnsi="宋体" w:eastAsia="宋体" w:cs="宋体"/>
          <w:color w:val="auto"/>
          <w:sz w:val="21"/>
          <w:szCs w:val="21"/>
        </w:rPr>
        <w:t>16.1.1 因承包人违约解除合同</w:t>
      </w:r>
      <w:bookmarkEnd w:id="715"/>
    </w:p>
    <w:p w14:paraId="6959B6F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p>
    <w:p w14:paraId="49FAAE2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716" w:name="_Ref531958536"/>
      <w:r>
        <w:rPr>
          <w:rFonts w:hint="eastAsia" w:ascii="宋体" w:hAnsi="宋体" w:eastAsia="宋体" w:cs="宋体"/>
          <w:color w:val="auto"/>
          <w:sz w:val="21"/>
          <w:szCs w:val="21"/>
        </w:rPr>
        <w:t>（1） 承包人未能遵守第4.2款</w:t>
      </w:r>
      <w:bookmarkStart w:id="717" w:name="_Hlk18839947"/>
      <w:r>
        <w:rPr>
          <w:rFonts w:hint="eastAsia" w:ascii="宋体" w:hAnsi="宋体" w:eastAsia="宋体" w:cs="宋体"/>
          <w:color w:val="auto"/>
          <w:sz w:val="21"/>
          <w:szCs w:val="21"/>
        </w:rPr>
        <w:t>[履约担保]</w:t>
      </w:r>
      <w:bookmarkEnd w:id="717"/>
      <w:r>
        <w:rPr>
          <w:rFonts w:hint="eastAsia" w:ascii="宋体" w:hAnsi="宋体" w:eastAsia="宋体" w:cs="宋体"/>
          <w:color w:val="auto"/>
          <w:sz w:val="21"/>
          <w:szCs w:val="21"/>
        </w:rPr>
        <w:t>的约定；</w:t>
      </w:r>
    </w:p>
    <w:p w14:paraId="35A8D23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承包人未能遵守第4.5款[分包]有关分包和转包的约定；</w:t>
      </w:r>
    </w:p>
    <w:p w14:paraId="64CDE44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承包人实际进度明显落后于进度计划，并且未按发包人的指令采取措施并修正进度计划；</w:t>
      </w:r>
    </w:p>
    <w:p w14:paraId="50FC11C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工程质量有严重缺陷，承包人无正当理由使修复开始日期拖延达28天以上；</w:t>
      </w:r>
    </w:p>
    <w:p w14:paraId="4D9E8E3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46B021D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承包人明确表示或以自己的行为表明不履行合同、或经发包人以书面形式通知其履约后仍未能依约履行合同、或以不适当的方式履行合同；</w:t>
      </w:r>
    </w:p>
    <w:p w14:paraId="2634A07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未能通过的竣工试验、未能通过的竣工后试验，使工程的任何部分和（或）整个工程丧失了主要使用功能、生产功能；</w:t>
      </w:r>
    </w:p>
    <w:p w14:paraId="54CCEFE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 因承包人的原因暂停工作超过56天且暂停影响到整个工程，或因承包人的原因暂停工作超过182天；</w:t>
      </w:r>
    </w:p>
    <w:p w14:paraId="6F7EC3C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 承包人未能遵守第8.2款[竣工日期]规定，延误超过182天；</w:t>
      </w:r>
    </w:p>
    <w:p w14:paraId="77AF7EF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 工程师根据第15.2.2项[通知改正]发出整改通知后，承包人在指定的合理期限内仍不纠正违约行为并致使合同目的不能实现的。</w:t>
      </w:r>
    </w:p>
    <w:bookmarkEnd w:id="716"/>
    <w:p w14:paraId="11C2F4E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718" w:name="_Ref3841839"/>
      <w:bookmarkStart w:id="719" w:name="_Ref4624315"/>
      <w:r>
        <w:rPr>
          <w:rFonts w:hint="eastAsia" w:ascii="宋体" w:hAnsi="宋体" w:eastAsia="宋体" w:cs="宋体"/>
          <w:color w:val="auto"/>
          <w:sz w:val="21"/>
          <w:szCs w:val="21"/>
        </w:rPr>
        <w:t>16.1.2 因承包人违约解除合同后</w:t>
      </w:r>
      <w:bookmarkEnd w:id="718"/>
      <w:r>
        <w:rPr>
          <w:rFonts w:hint="eastAsia" w:ascii="宋体" w:hAnsi="宋体" w:eastAsia="宋体" w:cs="宋体"/>
          <w:color w:val="auto"/>
          <w:sz w:val="21"/>
          <w:szCs w:val="21"/>
        </w:rPr>
        <w:t>承包人的义务</w:t>
      </w:r>
      <w:bookmarkEnd w:id="719"/>
    </w:p>
    <w:p w14:paraId="0ACC4F1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合同解除后，承包人应按以下约定执行：</w:t>
      </w:r>
    </w:p>
    <w:p w14:paraId="1AFC839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除了为保护生命、财产或工程安全、清理和必须执行的工作外，停止执行所有被通知解除的工作，并将相关人员撤离现场；</w:t>
      </w:r>
    </w:p>
    <w:p w14:paraId="085AC95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经发包人批准，承包人应将与被解除合同相关的和正在执行的分包合同及相关的责任和义务转让至发包人和（或）发包人指定方的名下，包括永久性工程及工程物资，以及相关工作；</w:t>
      </w:r>
    </w:p>
    <w:p w14:paraId="7004F6D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移交已完成的永久性工程及负责已运抵现场的工程物资。在移交前，妥善做好己完工程和已运抵现场的工程物资的保管、维护和保养；</w:t>
      </w:r>
    </w:p>
    <w:p w14:paraId="25FA33F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将发包人提供的所有信息及承包人为本工程编制的设计文件、技术资料及其它文件移交给发包人。在承包人留有的资料文件中，销毁与发包人提供的所有信息相关的数据及资料的备份；</w:t>
      </w:r>
    </w:p>
    <w:p w14:paraId="2034E44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移交相应实施阶段已经付款的并已完成的和尚待完成的设计文件、图纸、资料、操作维修手册、施工组织设计、质检资料、竣工资料等；</w:t>
      </w:r>
    </w:p>
    <w:p w14:paraId="2CD9F44E">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16.1.3 因承包人违约解除合同后的估价、付款和结算</w:t>
      </w:r>
    </w:p>
    <w:p w14:paraId="0D1F370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因承包人原因导致合同解除的，则合同当事人应在合同解除后28天内完成估价、付款和清算，并按以下约定执行：</w:t>
      </w:r>
    </w:p>
    <w:p w14:paraId="2A400B9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合同解除后，按第3.6款[商定或确定]商定或确定承包人实际完成工作对应的合同价款，以及承包人已提供的材料、工程设备、施工设备和临时工程等的价值；</w:t>
      </w:r>
    </w:p>
    <w:p w14:paraId="27665CF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合同解除后，承包人应支付的违约金；</w:t>
      </w:r>
    </w:p>
    <w:p w14:paraId="070F346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合同解除后，因解除合同给发包人造成的损失；</w:t>
      </w:r>
    </w:p>
    <w:p w14:paraId="4FCDA29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合同解除后，承包人应按照发包人的指示完成现场的清理和撤离；</w:t>
      </w:r>
    </w:p>
    <w:p w14:paraId="60E2214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发包人和承包人应在合同解除后进行清算，出具最终结清付款证书，结清全部款项。</w:t>
      </w:r>
    </w:p>
    <w:p w14:paraId="5E7CCFC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因承包人违约解除合同的，发包人有权暂停对承包人的付款，查清各项付款和已扣款项，发包人和承包人未能就合同解除后的清算和款项支付达成一致的，按照第20条[争议解决]的约定处理。</w:t>
      </w:r>
    </w:p>
    <w:p w14:paraId="09A285C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16.1.4 因承包人违约解除合同的合同权益转让</w:t>
      </w:r>
    </w:p>
    <w:p w14:paraId="157EF6A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245B8605">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20" w:name="_Ref531958554"/>
      <w:bookmarkStart w:id="721" w:name="_Ref531958549"/>
      <w:bookmarkStart w:id="722" w:name="_Toc54862305"/>
      <w:r>
        <w:rPr>
          <w:rFonts w:hint="eastAsia" w:ascii="宋体" w:hAnsi="宋体" w:eastAsia="宋体" w:cs="宋体"/>
          <w:b w:val="0"/>
          <w:bCs/>
          <w:color w:val="auto"/>
          <w:sz w:val="21"/>
          <w:szCs w:val="21"/>
        </w:rPr>
        <w:t>16.2 由承包人解除合同</w:t>
      </w:r>
      <w:bookmarkEnd w:id="720"/>
      <w:bookmarkEnd w:id="721"/>
      <w:bookmarkEnd w:id="722"/>
    </w:p>
    <w:p w14:paraId="64A3C0A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723" w:name="_Ref3841758"/>
      <w:r>
        <w:rPr>
          <w:rFonts w:hint="eastAsia" w:ascii="宋体" w:hAnsi="宋体" w:eastAsia="宋体" w:cs="宋体"/>
          <w:color w:val="auto"/>
          <w:sz w:val="21"/>
          <w:szCs w:val="21"/>
        </w:rPr>
        <w:t>16.2.1 因发包人违约解除合同</w:t>
      </w:r>
      <w:bookmarkEnd w:id="723"/>
    </w:p>
    <w:p w14:paraId="7DDBC40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50D39D6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承包人就发包人未能遵守第2.5.2项关于发包人的资金安排发出通知后42天内，仍未收到合理的证明；</w:t>
      </w:r>
    </w:p>
    <w:p w14:paraId="3149D60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 在第14条规定的付款时间到期后42天内，承包人仍未收到应付款项； </w:t>
      </w:r>
    </w:p>
    <w:p w14:paraId="539EFED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发包人实质上未能根据合同约定履行其义务，构成根本性违约；</w:t>
      </w:r>
    </w:p>
    <w:p w14:paraId="3D430F9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发承包双方订立本合同协议书后的84天内，承包人未收到根据第8.1款[开始工作]的开始工作通知；</w:t>
      </w:r>
    </w:p>
    <w:p w14:paraId="44A26D0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17DA5B4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发包人未能遵守第2.5.3项的约定提交支付担保；</w:t>
      </w:r>
    </w:p>
    <w:p w14:paraId="694E667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发包人未能执行第15.1.2项[通知改正]的约定，致使合同目的不能实现的；</w:t>
      </w:r>
    </w:p>
    <w:p w14:paraId="3B61B6D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 因发包人的原因暂停工作超过56天且暂停影响到整个工程，或因发包人的原因暂停工作超过182天的；</w:t>
      </w:r>
    </w:p>
    <w:p w14:paraId="3D8728B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 因发包人原因造成开始工作日期迟于承包人收到中标通知书（或在无中标通知书的情况下，订立本合同之日）后第84天的。</w:t>
      </w:r>
    </w:p>
    <w:p w14:paraId="6C8647F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53EFB42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724" w:name="_Ref3842018"/>
      <w:bookmarkStart w:id="725" w:name="_Ref4624336"/>
      <w:r>
        <w:rPr>
          <w:rFonts w:hint="eastAsia" w:ascii="宋体" w:hAnsi="宋体" w:eastAsia="宋体" w:cs="宋体"/>
          <w:color w:val="auto"/>
          <w:sz w:val="21"/>
          <w:szCs w:val="21"/>
        </w:rPr>
        <w:t>16.2.2 因发包人违约解除合同后</w:t>
      </w:r>
      <w:bookmarkEnd w:id="724"/>
      <w:r>
        <w:rPr>
          <w:rFonts w:hint="eastAsia" w:ascii="宋体" w:hAnsi="宋体" w:eastAsia="宋体" w:cs="宋体"/>
          <w:color w:val="auto"/>
          <w:sz w:val="21"/>
          <w:szCs w:val="21"/>
        </w:rPr>
        <w:t>承包人的义务</w:t>
      </w:r>
      <w:bookmarkEnd w:id="725"/>
    </w:p>
    <w:p w14:paraId="5691819E">
      <w:pPr>
        <w:pStyle w:val="216"/>
        <w:keepNext w:val="0"/>
        <w:keepLines w:val="0"/>
        <w:pageBreakBefore w:val="0"/>
        <w:numPr>
          <w:ilvl w:val="0"/>
          <w:numId w:val="0"/>
        </w:numPr>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合同解除后，承包人应按以下约定执行：</w:t>
      </w:r>
    </w:p>
    <w:p w14:paraId="004215A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除为保护生命、财产、工程安全的工作外，停止所有进一步的工作；承包人因执行该保护工作而产生费用的，由发包人承担；</w:t>
      </w:r>
    </w:p>
    <w:p w14:paraId="7F65505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向发包人移交承包人已获得支付的承包人文件、生产设备、材料和其他工作；</w:t>
      </w:r>
    </w:p>
    <w:p w14:paraId="2A05A49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从现场运走除为了安全需要以外的所有属于承包人的其他货物，并撤离现场。</w:t>
      </w:r>
    </w:p>
    <w:p w14:paraId="0CDDB1A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16.2.3 因发包人违约解除合同后的付款</w:t>
      </w:r>
    </w:p>
    <w:p w14:paraId="1924453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承包人按照本款约定解除合同的，发包人应在解除合同后28天内支付下列款项，并退还履约担保：</w:t>
      </w:r>
    </w:p>
    <w:p w14:paraId="0848D71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合同解除前所完成工作的价款；</w:t>
      </w:r>
    </w:p>
    <w:p w14:paraId="25E84FC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承包人为工程施工订购并已付款的材料、工程设备和其他物品的价款；发包人付款后，该材料、工程设备和其他物品归发包人所有；</w:t>
      </w:r>
    </w:p>
    <w:p w14:paraId="58D182F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承包人为完成工程所发生的，而发包人未支付的金额；</w:t>
      </w:r>
    </w:p>
    <w:p w14:paraId="77E06F5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承包人撤离施工现场以及遣散承包人人员的款项；</w:t>
      </w:r>
    </w:p>
    <w:p w14:paraId="0971FDC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按照合同约定在合同解除前应支付的违约金；</w:t>
      </w:r>
    </w:p>
    <w:p w14:paraId="07B41E6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按照合同约定应当支付给承包人的其他款项；</w:t>
      </w:r>
    </w:p>
    <w:p w14:paraId="77B1AE9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按照合同约定应返还的质量保证金；</w:t>
      </w:r>
    </w:p>
    <w:p w14:paraId="0B5BF3E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 因解除合同给承包人造成的损失。</w:t>
      </w:r>
    </w:p>
    <w:p w14:paraId="38D0F87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承包人应妥善做好已完工程和与工程有关的已购材料、工程设备的保护和移交工作，并将施工设备和人员撤出施工现场，发包人应为承包人撤出提供必要条件。</w:t>
      </w:r>
    </w:p>
    <w:p w14:paraId="7201B7F6">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26" w:name="_Ref3841966"/>
      <w:bookmarkStart w:id="727" w:name="_Toc54862306"/>
      <w:r>
        <w:rPr>
          <w:rFonts w:hint="eastAsia" w:ascii="宋体" w:hAnsi="宋体" w:eastAsia="宋体" w:cs="宋体"/>
          <w:b w:val="0"/>
          <w:bCs/>
          <w:color w:val="auto"/>
          <w:sz w:val="21"/>
          <w:szCs w:val="21"/>
        </w:rPr>
        <w:t>16.3 合同解除后的事项</w:t>
      </w:r>
      <w:bookmarkEnd w:id="726"/>
      <w:bookmarkEnd w:id="727"/>
    </w:p>
    <w:p w14:paraId="32AFB6F9">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16.3.1 结算约定依然有效</w:t>
      </w:r>
    </w:p>
    <w:p w14:paraId="65736CE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合同解除后，由发包人或由承包人解除合同的结算及结算后的付款约定仍然有效，直至解除合同的结算工作结清。</w:t>
      </w:r>
    </w:p>
    <w:p w14:paraId="7E366A1F">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16.3.2 解除合同的争议</w:t>
      </w:r>
    </w:p>
    <w:p w14:paraId="3259CD8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728" w:name="_Hlk18988355"/>
      <w:r>
        <w:rPr>
          <w:rFonts w:hint="eastAsia" w:ascii="宋体" w:hAnsi="宋体" w:eastAsia="宋体" w:cs="宋体"/>
          <w:color w:val="auto"/>
          <w:sz w:val="21"/>
          <w:szCs w:val="21"/>
        </w:rPr>
        <w:t>双方对解除合同或解除合同后的结算有争议的，按照第20条[争议解决]的约定处理。</w:t>
      </w:r>
      <w:bookmarkEnd w:id="728"/>
    </w:p>
    <w:p w14:paraId="1EA6F551">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729" w:name="_Toc54862307"/>
      <w:bookmarkStart w:id="730" w:name="_Ref3840974"/>
      <w:bookmarkStart w:id="731" w:name="_Ref3840605"/>
      <w:r>
        <w:rPr>
          <w:rFonts w:hint="eastAsia" w:ascii="宋体" w:hAnsi="宋体" w:eastAsia="宋体" w:cs="宋体"/>
          <w:b w:val="0"/>
          <w:bCs/>
          <w:color w:val="auto"/>
          <w:sz w:val="21"/>
          <w:szCs w:val="21"/>
        </w:rPr>
        <w:t>第17条 不可抗力</w:t>
      </w:r>
      <w:bookmarkEnd w:id="729"/>
      <w:bookmarkEnd w:id="730"/>
    </w:p>
    <w:p w14:paraId="52F3EB4D">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32" w:name="_Ref531958161"/>
      <w:bookmarkStart w:id="733" w:name="_Ref531958158"/>
      <w:bookmarkStart w:id="734" w:name="_Toc54862308"/>
      <w:r>
        <w:rPr>
          <w:rFonts w:hint="eastAsia" w:ascii="宋体" w:hAnsi="宋体" w:eastAsia="宋体" w:cs="宋体"/>
          <w:b w:val="0"/>
          <w:bCs/>
          <w:color w:val="auto"/>
          <w:sz w:val="21"/>
          <w:szCs w:val="21"/>
        </w:rPr>
        <w:t>17.1 不可抗力的</w:t>
      </w:r>
      <w:bookmarkEnd w:id="732"/>
      <w:bookmarkEnd w:id="733"/>
      <w:r>
        <w:rPr>
          <w:rFonts w:hint="eastAsia" w:ascii="宋体" w:hAnsi="宋体" w:eastAsia="宋体" w:cs="宋体"/>
          <w:b w:val="0"/>
          <w:bCs/>
          <w:color w:val="auto"/>
          <w:sz w:val="21"/>
          <w:szCs w:val="21"/>
        </w:rPr>
        <w:t>定义</w:t>
      </w:r>
      <w:bookmarkEnd w:id="734"/>
    </w:p>
    <w:p w14:paraId="42F39D1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15EB9AE0">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35" w:name="_Toc54862309"/>
      <w:r>
        <w:rPr>
          <w:rFonts w:hint="eastAsia" w:ascii="宋体" w:hAnsi="宋体" w:eastAsia="宋体" w:cs="宋体"/>
          <w:b w:val="0"/>
          <w:bCs/>
          <w:color w:val="auto"/>
          <w:sz w:val="21"/>
          <w:szCs w:val="21"/>
        </w:rPr>
        <w:t>17.2 不可抗力的通知</w:t>
      </w:r>
      <w:bookmarkEnd w:id="735"/>
      <w:r>
        <w:rPr>
          <w:rFonts w:hint="eastAsia" w:ascii="宋体" w:hAnsi="宋体" w:eastAsia="宋体" w:cs="宋体"/>
          <w:b w:val="0"/>
          <w:bCs/>
          <w:color w:val="auto"/>
          <w:sz w:val="21"/>
          <w:szCs w:val="21"/>
        </w:rPr>
        <w:t xml:space="preserve"> </w:t>
      </w:r>
    </w:p>
    <w:p w14:paraId="56091C8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合同一方当事人觉察或发现不可抗力事件发生，使其履行合同义务受到阻碍时，有义务立即通知合同另一方当事人和工程师，书面说明不可抗力和受阻碍的详细情况，并提供必要的证明。</w:t>
      </w:r>
    </w:p>
    <w:p w14:paraId="2FF00DB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不可抗力持续发生的，合同一方当事人应每隔28天向合同另一方当事人和工程师提交中间报告，说明不可抗力和履行合同受阻的情况，并于不可抗力事件结束后28天内提交最终报告及有关资料。</w:t>
      </w:r>
    </w:p>
    <w:p w14:paraId="5AAE1454">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36" w:name="_Toc54862310"/>
      <w:r>
        <w:rPr>
          <w:rFonts w:hint="eastAsia" w:ascii="宋体" w:hAnsi="宋体" w:eastAsia="宋体" w:cs="宋体"/>
          <w:b w:val="0"/>
          <w:bCs/>
          <w:color w:val="auto"/>
          <w:sz w:val="21"/>
          <w:szCs w:val="21"/>
        </w:rPr>
        <w:t>17.3 将损失减至最小的义务</w:t>
      </w:r>
      <w:bookmarkEnd w:id="736"/>
    </w:p>
    <w:p w14:paraId="5B8DB2F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3E106A8A">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37" w:name="_Ref531958170"/>
      <w:bookmarkStart w:id="738" w:name="_Ref531958172"/>
      <w:bookmarkStart w:id="739" w:name="_Ref3840916"/>
      <w:bookmarkStart w:id="740" w:name="_Toc54862311"/>
      <w:r>
        <w:rPr>
          <w:rFonts w:hint="eastAsia" w:ascii="宋体" w:hAnsi="宋体" w:eastAsia="宋体" w:cs="宋体"/>
          <w:b w:val="0"/>
          <w:bCs/>
          <w:color w:val="auto"/>
          <w:sz w:val="21"/>
          <w:szCs w:val="21"/>
        </w:rPr>
        <w:t>17.4 不可抗力后果</w:t>
      </w:r>
      <w:bookmarkEnd w:id="737"/>
      <w:bookmarkEnd w:id="738"/>
      <w:r>
        <w:rPr>
          <w:rFonts w:hint="eastAsia" w:ascii="宋体" w:hAnsi="宋体" w:eastAsia="宋体" w:cs="宋体"/>
          <w:b w:val="0"/>
          <w:bCs/>
          <w:color w:val="auto"/>
          <w:sz w:val="21"/>
          <w:szCs w:val="21"/>
        </w:rPr>
        <w:t>的承担</w:t>
      </w:r>
      <w:bookmarkEnd w:id="739"/>
      <w:bookmarkEnd w:id="740"/>
      <w:r>
        <w:rPr>
          <w:rFonts w:hint="eastAsia" w:ascii="宋体" w:hAnsi="宋体" w:eastAsia="宋体" w:cs="宋体"/>
          <w:b w:val="0"/>
          <w:bCs/>
          <w:color w:val="auto"/>
          <w:sz w:val="21"/>
          <w:szCs w:val="21"/>
        </w:rPr>
        <w:t xml:space="preserve"> </w:t>
      </w:r>
    </w:p>
    <w:p w14:paraId="5D4232B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不可抗力导致的人员伤亡、财产损失、费用增加和（或）工期延误等后果，由合同当事人按以下原则承担：</w:t>
      </w:r>
    </w:p>
    <w:p w14:paraId="70A1E95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永久工程，包括已运至施工现场的材料和工程设备的损害，以及因工程损害造成的第三人人员伤亡和财产损失由发包人承担；</w:t>
      </w:r>
    </w:p>
    <w:p w14:paraId="7DF3782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承包人提供的施工设备的损坏由承包人承担；</w:t>
      </w:r>
    </w:p>
    <w:p w14:paraId="4C01F68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发包人和承包人各自承担其人员伤亡及其他财产损失；</w:t>
      </w:r>
    </w:p>
    <w:p w14:paraId="6D0998A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因不可抗力影响承包人履行合同约定的义务，已经引起或将引起工期延误的，应当顺延工期，由此导致承包人停工的费用损失由发包人和承包人合理分担，</w:t>
      </w:r>
      <w:bookmarkStart w:id="741" w:name="_Hlk51507024"/>
      <w:r>
        <w:rPr>
          <w:rFonts w:hint="eastAsia" w:ascii="宋体" w:hAnsi="宋体" w:eastAsia="宋体" w:cs="宋体"/>
          <w:color w:val="auto"/>
          <w:sz w:val="21"/>
          <w:szCs w:val="21"/>
        </w:rPr>
        <w:t>停工期间必须支付的现场必要的工人工资</w:t>
      </w:r>
      <w:bookmarkEnd w:id="741"/>
      <w:r>
        <w:rPr>
          <w:rFonts w:hint="eastAsia" w:ascii="宋体" w:hAnsi="宋体" w:eastAsia="宋体" w:cs="宋体"/>
          <w:color w:val="auto"/>
          <w:sz w:val="21"/>
          <w:szCs w:val="21"/>
        </w:rPr>
        <w:t>由发包人承担；</w:t>
      </w:r>
    </w:p>
    <w:p w14:paraId="7055DC5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因不可抗力引起或将引起工期延误，发包人指示赶工的，由此增加的赶工费用由发包人承担；</w:t>
      </w:r>
    </w:p>
    <w:p w14:paraId="7C05269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承包人在停工期间按照工程师或发包人要求照管、清理和修复工程的费用由发包人承担。</w:t>
      </w:r>
    </w:p>
    <w:p w14:paraId="2E03F69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不可抗力引起的后果及造成的损失由合同当事人按照法律规定及合同约定各自承担。不可抗力发生前已完成的工程应当按照合同约定进行支付。</w:t>
      </w:r>
    </w:p>
    <w:p w14:paraId="7217CF8D">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42" w:name="_Toc54862312"/>
      <w:r>
        <w:rPr>
          <w:rFonts w:hint="eastAsia" w:ascii="宋体" w:hAnsi="宋体" w:eastAsia="宋体" w:cs="宋体"/>
          <w:b w:val="0"/>
          <w:bCs/>
          <w:color w:val="auto"/>
          <w:sz w:val="21"/>
          <w:szCs w:val="21"/>
        </w:rPr>
        <w:t>17.5 不可抗力影响分包人</w:t>
      </w:r>
      <w:bookmarkEnd w:id="742"/>
      <w:r>
        <w:rPr>
          <w:rFonts w:hint="eastAsia" w:ascii="宋体" w:hAnsi="宋体" w:eastAsia="宋体" w:cs="宋体"/>
          <w:b w:val="0"/>
          <w:bCs/>
          <w:color w:val="auto"/>
          <w:sz w:val="21"/>
          <w:szCs w:val="21"/>
        </w:rPr>
        <w:t xml:space="preserve"> </w:t>
      </w:r>
    </w:p>
    <w:p w14:paraId="0218572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分包人根据分包合同的约定，有权获得更多或者更广的不可抗力而免除某些义务时，承包人不得以分包合同中不可抗力约定向发包人抗辩免除其义务。</w:t>
      </w:r>
    </w:p>
    <w:p w14:paraId="162009C9">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43" w:name="_Ref531958181"/>
      <w:bookmarkStart w:id="744" w:name="_Ref531958184"/>
      <w:bookmarkStart w:id="745" w:name="_Toc54862313"/>
      <w:bookmarkStart w:id="746" w:name="_Ref3840892"/>
      <w:bookmarkStart w:id="747" w:name="_Ref4538024"/>
      <w:r>
        <w:rPr>
          <w:rFonts w:hint="eastAsia" w:ascii="宋体" w:hAnsi="宋体" w:eastAsia="宋体" w:cs="宋体"/>
          <w:b w:val="0"/>
          <w:bCs/>
          <w:color w:val="auto"/>
          <w:sz w:val="21"/>
          <w:szCs w:val="21"/>
        </w:rPr>
        <w:t>17.6 因不可抗力解除</w:t>
      </w:r>
      <w:bookmarkEnd w:id="743"/>
      <w:bookmarkEnd w:id="744"/>
      <w:r>
        <w:rPr>
          <w:rFonts w:hint="eastAsia" w:ascii="宋体" w:hAnsi="宋体" w:eastAsia="宋体" w:cs="宋体"/>
          <w:b w:val="0"/>
          <w:bCs/>
          <w:color w:val="auto"/>
          <w:sz w:val="21"/>
          <w:szCs w:val="21"/>
        </w:rPr>
        <w:t>合同</w:t>
      </w:r>
      <w:bookmarkEnd w:id="745"/>
      <w:bookmarkEnd w:id="746"/>
      <w:bookmarkEnd w:id="747"/>
      <w:r>
        <w:rPr>
          <w:rFonts w:hint="eastAsia" w:ascii="宋体" w:hAnsi="宋体" w:eastAsia="宋体" w:cs="宋体"/>
          <w:b w:val="0"/>
          <w:bCs/>
          <w:color w:val="auto"/>
          <w:sz w:val="21"/>
          <w:szCs w:val="21"/>
        </w:rPr>
        <w:t xml:space="preserve"> </w:t>
      </w:r>
    </w:p>
    <w:p w14:paraId="2A6CB86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402CF9A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合同解除前承包人已完成工作的价款；</w:t>
      </w:r>
    </w:p>
    <w:p w14:paraId="6C7D1D3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5A8B1A6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 </w:t>
      </w:r>
      <w:r>
        <w:rPr>
          <w:rFonts w:hint="eastAsia" w:ascii="宋体" w:hAnsi="宋体" w:eastAsia="宋体" w:cs="宋体"/>
          <w:color w:val="auto"/>
          <w:spacing w:val="-6"/>
          <w:sz w:val="21"/>
          <w:szCs w:val="21"/>
        </w:rPr>
        <w:t>发包人指示承包人退货或解除订货合同而产生的费用，或因不能退货或解除合同而产生的损失；</w:t>
      </w:r>
    </w:p>
    <w:p w14:paraId="2E0B4AE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承包人撤离施工现场以及遣散承包人人员的费用；</w:t>
      </w:r>
    </w:p>
    <w:p w14:paraId="7421CB8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按照合同约定在合同解除前应支付给承包人的其他款项；</w:t>
      </w:r>
    </w:p>
    <w:p w14:paraId="7D906DB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扣减承包人按照合同约定应向发包人支付的款项；</w:t>
      </w:r>
    </w:p>
    <w:p w14:paraId="28BA909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双方商定或确定的其他款项。</w:t>
      </w:r>
    </w:p>
    <w:p w14:paraId="49EA583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除专用合同条件另有约定外，合同解除后，发包人应当在商定或确定上述款项后28天内完成上述款项的支付。</w:t>
      </w:r>
    </w:p>
    <w:p w14:paraId="7833F6D1">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748" w:name="_Ref11848274"/>
      <w:bookmarkStart w:id="749" w:name="_Toc54862314"/>
      <w:bookmarkStart w:id="750" w:name="_Ref11848264"/>
      <w:r>
        <w:rPr>
          <w:rFonts w:hint="eastAsia" w:ascii="宋体" w:hAnsi="宋体" w:eastAsia="宋体" w:cs="宋体"/>
          <w:b w:val="0"/>
          <w:bCs/>
          <w:color w:val="auto"/>
          <w:sz w:val="21"/>
          <w:szCs w:val="21"/>
        </w:rPr>
        <w:t>第18条 保险</w:t>
      </w:r>
      <w:bookmarkEnd w:id="731"/>
      <w:bookmarkEnd w:id="748"/>
      <w:bookmarkEnd w:id="749"/>
      <w:bookmarkEnd w:id="750"/>
      <w:r>
        <w:rPr>
          <w:rFonts w:hint="eastAsia" w:ascii="宋体" w:hAnsi="宋体" w:eastAsia="宋体" w:cs="宋体"/>
          <w:b w:val="0"/>
          <w:bCs/>
          <w:color w:val="auto"/>
          <w:sz w:val="21"/>
          <w:szCs w:val="21"/>
        </w:rPr>
        <w:t xml:space="preserve"> </w:t>
      </w:r>
    </w:p>
    <w:p w14:paraId="2E7BC343">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51" w:name="_Ref3840730"/>
      <w:bookmarkStart w:id="752" w:name="_Ref3840734"/>
      <w:bookmarkStart w:id="753" w:name="_Toc54862315"/>
      <w:bookmarkStart w:id="754" w:name="_Ref531957914"/>
      <w:bookmarkStart w:id="755" w:name="_Ref531957911"/>
      <w:bookmarkStart w:id="756" w:name="_Toc351203616"/>
      <w:r>
        <w:rPr>
          <w:rFonts w:hint="eastAsia" w:ascii="宋体" w:hAnsi="宋体" w:eastAsia="宋体" w:cs="宋体"/>
          <w:b w:val="0"/>
          <w:bCs/>
          <w:color w:val="auto"/>
          <w:sz w:val="21"/>
          <w:szCs w:val="21"/>
        </w:rPr>
        <w:t>18.1 设计和工程保险</w:t>
      </w:r>
      <w:bookmarkEnd w:id="751"/>
      <w:bookmarkEnd w:id="752"/>
      <w:bookmarkEnd w:id="753"/>
    </w:p>
    <w:bookmarkEnd w:id="754"/>
    <w:bookmarkEnd w:id="755"/>
    <w:p w14:paraId="7C3E10A6">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1E7D95D7">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18.1.2 双方应按照专用合同条件的约定投保第三者责任险，并在缺陷责任期终止证书颁发前维持其持续有效。第三者责任险最低投保额应在专用合同条件内约定。</w:t>
      </w:r>
    </w:p>
    <w:p w14:paraId="41D44F17">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57" w:name="_Ref3840683"/>
      <w:bookmarkStart w:id="758" w:name="_Toc54862316"/>
      <w:r>
        <w:rPr>
          <w:rFonts w:hint="eastAsia" w:ascii="宋体" w:hAnsi="宋体" w:eastAsia="宋体" w:cs="宋体"/>
          <w:b w:val="0"/>
          <w:bCs/>
          <w:color w:val="auto"/>
          <w:sz w:val="21"/>
          <w:szCs w:val="21"/>
        </w:rPr>
        <w:t>18.2 工伤和意外伤害保险</w:t>
      </w:r>
      <w:bookmarkEnd w:id="757"/>
      <w:bookmarkEnd w:id="758"/>
    </w:p>
    <w:p w14:paraId="021E5DA1">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18.2.1 发包人应依照法律规定为其在施工现场的雇用人员办理工伤保险，缴纳工伤保险费；并要求工程师及由发包人为履行合同聘请的第三方在施工现场的雇用人员依法办理工伤保险。</w:t>
      </w:r>
    </w:p>
    <w:p w14:paraId="075C18FC">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18.2.2 承包人应依照法律规定为其履行合同雇用的全部人员办理工伤保险，缴纳工伤保险费，并要求分包人及由承包人为履行合同聘请的第三方雇用的全部人员依法办理工伤保险。</w:t>
      </w:r>
    </w:p>
    <w:p w14:paraId="5A735E5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18.2.3 发包人和承包人可以为其施工现场的全部人员办理意外伤害保险并支付保险费，包括其员工及为履行合同聘请的第三方的人员，具体事项由合同当事人在专用合同条件约定。</w:t>
      </w:r>
    </w:p>
    <w:p w14:paraId="0DEBEDF1">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59" w:name="_Ref3840782"/>
      <w:bookmarkStart w:id="760" w:name="_Toc54862317"/>
      <w:r>
        <w:rPr>
          <w:rFonts w:hint="eastAsia" w:ascii="宋体" w:hAnsi="宋体" w:eastAsia="宋体" w:cs="宋体"/>
          <w:b w:val="0"/>
          <w:bCs/>
          <w:color w:val="auto"/>
          <w:sz w:val="21"/>
          <w:szCs w:val="21"/>
        </w:rPr>
        <w:t>18.3 货物保险</w:t>
      </w:r>
      <w:bookmarkEnd w:id="759"/>
      <w:bookmarkEnd w:id="760"/>
    </w:p>
    <w:p w14:paraId="67A0B87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w:t>
      </w:r>
      <w:r>
        <w:rPr>
          <w:rFonts w:hint="eastAsia" w:ascii="宋体" w:hAnsi="宋体" w:eastAsia="宋体" w:cs="宋体"/>
          <w:iCs/>
          <w:color w:val="auto"/>
          <w:sz w:val="21"/>
          <w:szCs w:val="21"/>
        </w:rPr>
        <w:t>按照</w:t>
      </w:r>
      <w:r>
        <w:rPr>
          <w:rFonts w:hint="eastAsia" w:ascii="宋体" w:hAnsi="宋体" w:eastAsia="宋体" w:cs="宋体"/>
          <w:color w:val="auto"/>
          <w:sz w:val="21"/>
          <w:szCs w:val="21"/>
        </w:rPr>
        <w:t>专用合同条件的约定为</w:t>
      </w:r>
      <w:r>
        <w:rPr>
          <w:rFonts w:hint="eastAsia" w:ascii="宋体" w:hAnsi="宋体" w:eastAsia="宋体" w:cs="宋体"/>
          <w:iCs/>
          <w:color w:val="auto"/>
          <w:sz w:val="21"/>
          <w:szCs w:val="21"/>
        </w:rPr>
        <w:t>运抵现场的</w:t>
      </w:r>
      <w:r>
        <w:rPr>
          <w:rFonts w:hint="eastAsia" w:ascii="宋体" w:hAnsi="宋体" w:eastAsia="宋体" w:cs="宋体"/>
          <w:color w:val="auto"/>
          <w:sz w:val="21"/>
          <w:szCs w:val="21"/>
        </w:rPr>
        <w:t>施工设备、材料、工程设备和临时工程等办理财产保险，保险期限自上述货物运抵现场至其不再为工程所需要为止。</w:t>
      </w:r>
    </w:p>
    <w:p w14:paraId="77F0BE59">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61" w:name="_Toc54862318"/>
      <w:bookmarkStart w:id="762" w:name="_Ref4692231"/>
      <w:bookmarkStart w:id="763" w:name="_Ref4692238"/>
      <w:r>
        <w:rPr>
          <w:rFonts w:hint="eastAsia" w:ascii="宋体" w:hAnsi="宋体" w:eastAsia="宋体" w:cs="宋体"/>
          <w:b w:val="0"/>
          <w:bCs/>
          <w:color w:val="auto"/>
          <w:sz w:val="21"/>
          <w:szCs w:val="21"/>
        </w:rPr>
        <w:t>18.4 其他保险</w:t>
      </w:r>
      <w:bookmarkEnd w:id="761"/>
      <w:bookmarkEnd w:id="762"/>
      <w:bookmarkEnd w:id="763"/>
    </w:p>
    <w:p w14:paraId="5BC7A3C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756"/>
      <w:r>
        <w:rPr>
          <w:rFonts w:hint="eastAsia" w:ascii="宋体" w:hAnsi="宋体" w:eastAsia="宋体" w:cs="宋体"/>
          <w:color w:val="auto"/>
          <w:sz w:val="21"/>
          <w:szCs w:val="21"/>
        </w:rPr>
        <w:t>保费用包含在合同价格中，但在合同执行过程中，新颁布适用的法律法规规定由承包人投保的强制保险，应根据本合同</w:t>
      </w:r>
      <w:bookmarkStart w:id="764" w:name="_Toc351203617"/>
      <w:bookmarkStart w:id="765" w:name="_Toc337558832"/>
      <w:bookmarkStart w:id="766" w:name="_Toc296503126"/>
      <w:bookmarkStart w:id="767" w:name="_Toc296346627"/>
      <w:r>
        <w:rPr>
          <w:rFonts w:hint="eastAsia" w:ascii="宋体" w:hAnsi="宋体" w:eastAsia="宋体" w:cs="宋体"/>
          <w:color w:val="auto"/>
          <w:sz w:val="21"/>
          <w:szCs w:val="21"/>
        </w:rPr>
        <w:t>第13条[变更与调整]的约定增加合同价款。</w:t>
      </w:r>
    </w:p>
    <w:p w14:paraId="64332F2D">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68" w:name="_Ref3840659"/>
      <w:bookmarkStart w:id="769" w:name="_Toc54862319"/>
      <w:r>
        <w:rPr>
          <w:rFonts w:hint="eastAsia" w:ascii="宋体" w:hAnsi="宋体" w:eastAsia="宋体" w:cs="宋体"/>
          <w:b w:val="0"/>
          <w:bCs/>
          <w:color w:val="auto"/>
          <w:sz w:val="21"/>
          <w:szCs w:val="21"/>
        </w:rPr>
        <w:t>18.5 对各项保险的一般要求</w:t>
      </w:r>
      <w:bookmarkEnd w:id="768"/>
      <w:bookmarkEnd w:id="769"/>
    </w:p>
    <w:p w14:paraId="4154452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18.5.1 持续保险</w:t>
      </w:r>
    </w:p>
    <w:p w14:paraId="568937A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合同当事人应与保险人保持联系，使保险人能够随时了</w:t>
      </w:r>
      <w:bookmarkEnd w:id="764"/>
      <w:r>
        <w:rPr>
          <w:rFonts w:hint="eastAsia" w:ascii="宋体" w:hAnsi="宋体" w:eastAsia="宋体" w:cs="宋体"/>
          <w:color w:val="auto"/>
          <w:sz w:val="21"/>
          <w:szCs w:val="21"/>
        </w:rPr>
        <w:t>解</w:t>
      </w:r>
      <w:bookmarkEnd w:id="765"/>
      <w:bookmarkEnd w:id="766"/>
      <w:bookmarkEnd w:id="767"/>
      <w:r>
        <w:rPr>
          <w:rFonts w:hint="eastAsia" w:ascii="宋体" w:hAnsi="宋体" w:eastAsia="宋体" w:cs="宋体"/>
          <w:color w:val="auto"/>
          <w:sz w:val="21"/>
          <w:szCs w:val="21"/>
        </w:rPr>
        <w:t>工程实施中的变动，并确保按保险合同条款要求持续保险。</w:t>
      </w:r>
    </w:p>
    <w:p w14:paraId="1C9F9E43">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770" w:name="_Ref4777650"/>
      <w:r>
        <w:rPr>
          <w:rFonts w:hint="eastAsia" w:ascii="宋体" w:hAnsi="宋体" w:eastAsia="宋体" w:cs="宋体"/>
          <w:color w:val="auto"/>
          <w:sz w:val="21"/>
          <w:szCs w:val="21"/>
        </w:rPr>
        <w:t>18.5.2 保险凭证</w:t>
      </w:r>
      <w:bookmarkEnd w:id="770"/>
    </w:p>
    <w:p w14:paraId="3654496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合同当事人应及时向另一方当事人提交其已投保的各项保险的凭证和保险单复印件，保险单必须与专用合同条件约定的条件保持一致。</w:t>
      </w:r>
    </w:p>
    <w:p w14:paraId="3DE4AF2A">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18.5.3 未按约定投保的补救</w:t>
      </w:r>
    </w:p>
    <w:p w14:paraId="3D79395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负有投保义务的一方当事人未按合同约定办理保险，或未能使保险持续有效的，则另一方当事人可代为办理，所需费用由负有投保义务的一方当事人承担。</w:t>
      </w:r>
    </w:p>
    <w:p w14:paraId="2B08196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负有投保</w:t>
      </w:r>
      <w:bookmarkStart w:id="771" w:name="_Toc351203619"/>
      <w:bookmarkStart w:id="772" w:name="_Toc337558834"/>
      <w:r>
        <w:rPr>
          <w:rFonts w:hint="eastAsia" w:ascii="宋体" w:hAnsi="宋体" w:eastAsia="宋体" w:cs="宋体"/>
          <w:color w:val="auto"/>
          <w:sz w:val="21"/>
          <w:szCs w:val="21"/>
        </w:rPr>
        <w:t>义务的一方当事人未</w:t>
      </w:r>
      <w:bookmarkEnd w:id="771"/>
      <w:r>
        <w:rPr>
          <w:rFonts w:hint="eastAsia" w:ascii="宋体" w:hAnsi="宋体" w:eastAsia="宋体" w:cs="宋体"/>
          <w:color w:val="auto"/>
          <w:sz w:val="21"/>
          <w:szCs w:val="21"/>
        </w:rPr>
        <w:t>按</w:t>
      </w:r>
      <w:bookmarkEnd w:id="772"/>
      <w:r>
        <w:rPr>
          <w:rFonts w:hint="eastAsia" w:ascii="宋体" w:hAnsi="宋体" w:eastAsia="宋体" w:cs="宋体"/>
          <w:color w:val="auto"/>
          <w:sz w:val="21"/>
          <w:szCs w:val="21"/>
        </w:rPr>
        <w:t>合同约定办理某项保险，导致受益人未能得到足额赔偿的，由负有投保义务的一方当事人负责按照原应从该项保险得到的保险金数额进行补足。</w:t>
      </w:r>
    </w:p>
    <w:p w14:paraId="67E8CDB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773" w:name="_Ref4692685"/>
      <w:r>
        <w:rPr>
          <w:rFonts w:hint="eastAsia" w:ascii="宋体" w:hAnsi="宋体" w:eastAsia="宋体" w:cs="宋体"/>
          <w:color w:val="auto"/>
          <w:sz w:val="21"/>
          <w:szCs w:val="21"/>
        </w:rPr>
        <w:t>18.5.4 通知义务</w:t>
      </w:r>
      <w:bookmarkEnd w:id="773"/>
    </w:p>
    <w:p w14:paraId="1533461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除专用合同条件另有约定外，任何一方当事人变更除工伤保险之外的保险合同时，应事先征得另一方当事人同意，并通知工程师。</w:t>
      </w:r>
    </w:p>
    <w:p w14:paraId="76841A7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保险事故发生时，投保人应按照保险合同规定的条件和期限及时向保险人报告。发包人和承包人应当在知道保险事故发生后及时通知对方。</w:t>
      </w:r>
    </w:p>
    <w:p w14:paraId="4875878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双方按本条规定投保不减少双方在合同下的其他义务。</w:t>
      </w:r>
    </w:p>
    <w:p w14:paraId="70356517">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774" w:name="_Ref11874997"/>
      <w:bookmarkStart w:id="775" w:name="_Toc54862320"/>
      <w:r>
        <w:rPr>
          <w:rFonts w:hint="eastAsia" w:ascii="宋体" w:hAnsi="宋体" w:eastAsia="宋体" w:cs="宋体"/>
          <w:b w:val="0"/>
          <w:bCs/>
          <w:color w:val="auto"/>
          <w:sz w:val="21"/>
          <w:szCs w:val="21"/>
        </w:rPr>
        <w:t>第19条 索赔</w:t>
      </w:r>
      <w:bookmarkEnd w:id="710"/>
      <w:bookmarkEnd w:id="711"/>
      <w:bookmarkEnd w:id="774"/>
      <w:bookmarkEnd w:id="775"/>
      <w:r>
        <w:rPr>
          <w:rFonts w:hint="eastAsia" w:ascii="宋体" w:hAnsi="宋体" w:eastAsia="宋体" w:cs="宋体"/>
          <w:b w:val="0"/>
          <w:bCs/>
          <w:color w:val="auto"/>
          <w:sz w:val="21"/>
          <w:szCs w:val="21"/>
        </w:rPr>
        <w:t xml:space="preserve"> </w:t>
      </w:r>
    </w:p>
    <w:p w14:paraId="6CDF797E">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76" w:name="_Ref4798164"/>
      <w:bookmarkStart w:id="777" w:name="_Ref4798173"/>
      <w:bookmarkStart w:id="778" w:name="_Toc54862321"/>
      <w:r>
        <w:rPr>
          <w:rFonts w:hint="eastAsia" w:ascii="宋体" w:hAnsi="宋体" w:eastAsia="宋体" w:cs="宋体"/>
          <w:b w:val="0"/>
          <w:bCs/>
          <w:color w:val="auto"/>
          <w:sz w:val="21"/>
          <w:szCs w:val="21"/>
        </w:rPr>
        <w:t>19.1 索赔</w:t>
      </w:r>
      <w:bookmarkEnd w:id="776"/>
      <w:bookmarkEnd w:id="777"/>
      <w:r>
        <w:rPr>
          <w:rFonts w:hint="eastAsia" w:ascii="宋体" w:hAnsi="宋体" w:eastAsia="宋体" w:cs="宋体"/>
          <w:b w:val="0"/>
          <w:bCs/>
          <w:color w:val="auto"/>
          <w:sz w:val="21"/>
          <w:szCs w:val="21"/>
        </w:rPr>
        <w:t>的提出</w:t>
      </w:r>
      <w:bookmarkEnd w:id="778"/>
    </w:p>
    <w:p w14:paraId="5F38CD7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根据合同约定，任意一方认为有权得到追加/减少付款、延长缺陷责任期和（或）延长工期的，应按以下程序向对方提出索赔：</w:t>
      </w:r>
    </w:p>
    <w:p w14:paraId="56B2861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22D11E3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索赔方应在发出索赔意向通知书后28天内，向对方正式递交索赔报告；索赔报告应详细说明索赔理由以及要求追加的付款金额、延长缺陷责任期和（或）延长的工期，并附必要的记录和证明材料；</w:t>
      </w:r>
    </w:p>
    <w:p w14:paraId="24309AA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索赔事件具有持续影响的，索赔方应每月递交延续索赔通知，说明持续影响的实际情况和记录，列出累计的追加付款金额、延长缺陷责任期和（或）工期延长天数；</w:t>
      </w:r>
    </w:p>
    <w:p w14:paraId="6587AED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779" w:name="_Ref4796178"/>
      <w:r>
        <w:rPr>
          <w:rFonts w:hint="eastAsia" w:ascii="宋体" w:hAnsi="宋体" w:eastAsia="宋体" w:cs="宋体"/>
          <w:color w:val="auto"/>
          <w:sz w:val="21"/>
          <w:szCs w:val="21"/>
        </w:rPr>
        <w:t>（4） 在索赔事件影响结束后28天内，索赔方应向对方递交最终索赔报告，说明最终要求索赔的追加付款金额、延长缺陷责任期和（或）延长的工期，并附必要的记录和证明材料。</w:t>
      </w:r>
      <w:bookmarkEnd w:id="779"/>
    </w:p>
    <w:p w14:paraId="476DF23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318E3B26">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80" w:name="_Ref4796262"/>
      <w:bookmarkStart w:id="781" w:name="_Toc54862322"/>
      <w:bookmarkStart w:id="782" w:name="_Ref4796254"/>
      <w:r>
        <w:rPr>
          <w:rFonts w:hint="eastAsia" w:ascii="宋体" w:hAnsi="宋体" w:eastAsia="宋体" w:cs="宋体"/>
          <w:b w:val="0"/>
          <w:bCs/>
          <w:color w:val="auto"/>
          <w:sz w:val="21"/>
          <w:szCs w:val="21"/>
        </w:rPr>
        <w:t>19.2 承包人索赔的处理程序</w:t>
      </w:r>
      <w:bookmarkEnd w:id="780"/>
      <w:bookmarkEnd w:id="781"/>
      <w:bookmarkEnd w:id="782"/>
    </w:p>
    <w:p w14:paraId="4D7379D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工程师收到承包人提交的索赔报告后，应及时审查索赔报告的内容、查验承包人的记录和证明材料，必要时工程师可要求承包人提交全部原始记录副本。</w:t>
      </w:r>
    </w:p>
    <w:p w14:paraId="2CA9D29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6B034D3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承包人接受索赔处理结果的，发包人应在作出索赔处理结果答复后28天内完成支付。承包人不接受索赔处理结果的，按照第20条[争议解决]约定处理。</w:t>
      </w:r>
    </w:p>
    <w:p w14:paraId="7281C87D">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83" w:name="_Toc54862323"/>
      <w:r>
        <w:rPr>
          <w:rFonts w:hint="eastAsia" w:ascii="宋体" w:hAnsi="宋体" w:eastAsia="宋体" w:cs="宋体"/>
          <w:b w:val="0"/>
          <w:bCs/>
          <w:color w:val="auto"/>
          <w:sz w:val="21"/>
          <w:szCs w:val="21"/>
        </w:rPr>
        <w:t>19.3 发包人索赔的处理程序</w:t>
      </w:r>
      <w:bookmarkEnd w:id="783"/>
    </w:p>
    <w:p w14:paraId="43DC8AB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承包人收到发包人提交的索赔报告后，应及时审查索赔报告的内容、查验发包人证明材料；</w:t>
      </w:r>
    </w:p>
    <w:p w14:paraId="32B98A4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承包人应在收到上述索赔报告或有关索赔的进一步证明材料后42天内，将索赔处理结果答复发包人。承包人在收到索赔通知书或有关索赔的进一步证明材料后的42天内不予答复的，视为认可索赔。</w:t>
      </w:r>
    </w:p>
    <w:p w14:paraId="6069038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发包人接受索赔处理结果的，发包人可从应支付给承包人的合同价款中扣除赔付的金额或延长缺陷责任期；发包人不接受索赔处理结果的，按第20条[争议解决]约定处理。</w:t>
      </w:r>
    </w:p>
    <w:p w14:paraId="668BDFEF">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84" w:name="_Toc54862324"/>
      <w:r>
        <w:rPr>
          <w:rFonts w:hint="eastAsia" w:ascii="宋体" w:hAnsi="宋体" w:eastAsia="宋体" w:cs="宋体"/>
          <w:b w:val="0"/>
          <w:bCs/>
          <w:color w:val="auto"/>
          <w:sz w:val="21"/>
          <w:szCs w:val="21"/>
        </w:rPr>
        <w:t>19.4 提出索赔的期限</w:t>
      </w:r>
      <w:bookmarkEnd w:id="784"/>
    </w:p>
    <w:p w14:paraId="15E7694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承包人按第14.5款[竣工结算</w:t>
      </w:r>
      <w:bookmarkStart w:id="785" w:name="_Ref3826629"/>
      <w:bookmarkStart w:id="786" w:name="_Ref3826634"/>
      <w:r>
        <w:rPr>
          <w:rFonts w:hint="eastAsia" w:ascii="宋体" w:hAnsi="宋体" w:eastAsia="宋体" w:cs="宋体"/>
          <w:color w:val="auto"/>
          <w:sz w:val="21"/>
          <w:szCs w:val="21"/>
        </w:rPr>
        <w:t>]约定接收竣工付款证书后，应被认为已无权再提出在合同工程接收证书颁发前所发生的任何索赔。</w:t>
      </w:r>
    </w:p>
    <w:p w14:paraId="429F4D5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承包人按第14.7款[最终结清]提交的最终结清申请单中，只限于提出工程接收证书颁发后发生的索赔。提出索赔的期限均自接受最终结清证书时终止。</w:t>
      </w:r>
      <w:bookmarkEnd w:id="785"/>
      <w:bookmarkEnd w:id="786"/>
    </w:p>
    <w:p w14:paraId="4C0D8324">
      <w:pPr>
        <w:pStyle w:val="212"/>
        <w:keepNext w:val="0"/>
        <w:keepLines w:val="0"/>
        <w:pageBreakBefore w:val="0"/>
        <w:numPr>
          <w:ilvl w:val="0"/>
          <w:numId w:val="0"/>
        </w:numPr>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787" w:name="_Ref532142075"/>
      <w:bookmarkStart w:id="788" w:name="_Ref532197861"/>
      <w:bookmarkStart w:id="789" w:name="_Toc54862325"/>
      <w:r>
        <w:rPr>
          <w:rFonts w:hint="eastAsia" w:ascii="宋体" w:hAnsi="宋体" w:eastAsia="宋体" w:cs="宋体"/>
          <w:b w:val="0"/>
          <w:bCs/>
          <w:color w:val="auto"/>
          <w:sz w:val="21"/>
          <w:szCs w:val="21"/>
        </w:rPr>
        <w:t>第20条 争议解决</w:t>
      </w:r>
      <w:bookmarkEnd w:id="787"/>
      <w:bookmarkEnd w:id="788"/>
      <w:bookmarkEnd w:id="789"/>
      <w:r>
        <w:rPr>
          <w:rFonts w:hint="eastAsia" w:ascii="宋体" w:hAnsi="宋体" w:eastAsia="宋体" w:cs="宋体"/>
          <w:b w:val="0"/>
          <w:bCs/>
          <w:color w:val="auto"/>
          <w:sz w:val="21"/>
          <w:szCs w:val="21"/>
        </w:rPr>
        <w:t xml:space="preserve"> </w:t>
      </w:r>
    </w:p>
    <w:p w14:paraId="16A1F886">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90" w:name="_Toc54862326"/>
      <w:bookmarkStart w:id="791" w:name="_Ref415507198"/>
      <w:r>
        <w:rPr>
          <w:rFonts w:hint="eastAsia" w:ascii="宋体" w:hAnsi="宋体" w:eastAsia="宋体" w:cs="宋体"/>
          <w:b w:val="0"/>
          <w:bCs/>
          <w:color w:val="auto"/>
          <w:sz w:val="21"/>
          <w:szCs w:val="21"/>
        </w:rPr>
        <w:t>20.1 和解</w:t>
      </w:r>
      <w:bookmarkEnd w:id="790"/>
      <w:bookmarkEnd w:id="791"/>
    </w:p>
    <w:p w14:paraId="75F70EE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合同当事人可以就争议自行和解，自行和解达成协议的经双方签字并盖章后作为合同补充文件，双方均应遵照执行。</w:t>
      </w:r>
    </w:p>
    <w:p w14:paraId="41B22153">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92" w:name="_Toc54862327"/>
      <w:r>
        <w:rPr>
          <w:rFonts w:hint="eastAsia" w:ascii="宋体" w:hAnsi="宋体" w:eastAsia="宋体" w:cs="宋体"/>
          <w:b w:val="0"/>
          <w:bCs/>
          <w:color w:val="auto"/>
          <w:sz w:val="21"/>
          <w:szCs w:val="21"/>
        </w:rPr>
        <w:t>20.2 调解</w:t>
      </w:r>
      <w:bookmarkEnd w:id="792"/>
      <w:r>
        <w:rPr>
          <w:rFonts w:hint="eastAsia" w:ascii="宋体" w:hAnsi="宋体" w:eastAsia="宋体" w:cs="宋体"/>
          <w:b w:val="0"/>
          <w:bCs/>
          <w:color w:val="auto"/>
          <w:sz w:val="21"/>
          <w:szCs w:val="21"/>
        </w:rPr>
        <w:t xml:space="preserve"> </w:t>
      </w:r>
    </w:p>
    <w:p w14:paraId="6BFB2F7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合同当事人可以就争议请求建设行政主管部门、行业协会或其他第三方进行调解，调解达成协议的，经双方签字盖章后作为合同补充文件，双方均应遵照执行。</w:t>
      </w:r>
    </w:p>
    <w:p w14:paraId="631485E4">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93" w:name="_Ref532221532"/>
      <w:bookmarkStart w:id="794" w:name="_Toc54862328"/>
      <w:bookmarkStart w:id="795" w:name="_Ref532221527"/>
      <w:r>
        <w:rPr>
          <w:rFonts w:hint="eastAsia" w:ascii="宋体" w:hAnsi="宋体" w:eastAsia="宋体" w:cs="宋体"/>
          <w:b w:val="0"/>
          <w:bCs/>
          <w:color w:val="auto"/>
          <w:sz w:val="21"/>
          <w:szCs w:val="21"/>
        </w:rPr>
        <w:t>20.3 争议评审</w:t>
      </w:r>
      <w:bookmarkEnd w:id="793"/>
      <w:bookmarkEnd w:id="794"/>
      <w:bookmarkEnd w:id="795"/>
    </w:p>
    <w:p w14:paraId="4329A70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合同当事人在专用合同条件中约定采取争议评审方式及评审规则解决争议的，按下列约定执行：</w:t>
      </w:r>
    </w:p>
    <w:p w14:paraId="57DBFE9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20.3.1 争议评审小组的确定</w:t>
      </w:r>
    </w:p>
    <w:p w14:paraId="263F982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7F09141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58E8EFD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除专用合同条件另有约定外，争议评审员报酬由发包人和承包人各承担一半。</w:t>
      </w:r>
    </w:p>
    <w:p w14:paraId="47909E6E">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796" w:name="_Ref532287270"/>
      <w:r>
        <w:rPr>
          <w:rFonts w:hint="eastAsia" w:ascii="宋体" w:hAnsi="宋体" w:eastAsia="宋体" w:cs="宋体"/>
          <w:color w:val="auto"/>
          <w:sz w:val="21"/>
          <w:szCs w:val="21"/>
        </w:rPr>
        <w:t>20.3.2 争议的避免</w:t>
      </w:r>
      <w:bookmarkEnd w:id="796"/>
    </w:p>
    <w:p w14:paraId="61660EB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合同当事人协商一致，可以共同书面请求争议评审小组，就合同履行过程中可能出现争议的情况提供协助或进行非正式讨论，争议评审小组应给出公正的意见或建议。</w:t>
      </w:r>
    </w:p>
    <w:p w14:paraId="73744EF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此类协助或非正式讨论可在任何会议、施工现场视察或其他场合进行，并且除专用合同条件另有约定外，发包人和承包人均应出席。</w:t>
      </w:r>
    </w:p>
    <w:p w14:paraId="26F2E2A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争议评审小组在此类非正式讨论上给出的任何意见或建议，无论是口头还是书面的，对发包人和承包人不具有约束力，争议评审小组在之后的争议评审程序或决定中也不受此类意见或建议的约束。</w:t>
      </w:r>
    </w:p>
    <w:p w14:paraId="3CD17440">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bookmarkStart w:id="797" w:name="_Ref4695594"/>
      <w:r>
        <w:rPr>
          <w:rFonts w:hint="eastAsia" w:ascii="宋体" w:hAnsi="宋体" w:eastAsia="宋体" w:cs="宋体"/>
          <w:color w:val="auto"/>
          <w:sz w:val="21"/>
          <w:szCs w:val="21"/>
        </w:rPr>
        <w:t>20.3.3 争议评审小组的决定</w:t>
      </w:r>
      <w:bookmarkEnd w:id="797"/>
    </w:p>
    <w:p w14:paraId="5E1E436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20CA6694">
      <w:pPr>
        <w:pStyle w:val="214"/>
        <w:keepNext w:val="0"/>
        <w:keepLines w:val="0"/>
        <w:pageBreakBefore w:val="0"/>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20.3.4 争议评审小组决定的效力</w:t>
      </w:r>
    </w:p>
    <w:p w14:paraId="75E0E0E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争议评审小组作出的书面决定经合同当事人签字确认后，对双方具有约束力，双方应遵照执行。</w:t>
      </w:r>
    </w:p>
    <w:p w14:paraId="1C1C294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任何一方当事人不接受争议评审小组决定或不履行争议评审小组决定的，双方可选择采用其他争议解决方式。</w:t>
      </w:r>
    </w:p>
    <w:p w14:paraId="5055098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任何一方当事人不接受争议评审小组的决定，并不影响暂时执行争议评审小组的决定，直到在后续的采用其他争议解决方式中对争议评审小组的决定进行了改变。</w:t>
      </w:r>
    </w:p>
    <w:p w14:paraId="2DF6AE21">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798" w:name="_Toc54862329"/>
      <w:bookmarkStart w:id="799" w:name="_Ref532221748"/>
      <w:bookmarkStart w:id="800" w:name="_Ref532221752"/>
      <w:r>
        <w:rPr>
          <w:rFonts w:hint="eastAsia" w:ascii="宋体" w:hAnsi="宋体" w:eastAsia="宋体" w:cs="宋体"/>
          <w:b w:val="0"/>
          <w:bCs/>
          <w:color w:val="auto"/>
          <w:sz w:val="21"/>
          <w:szCs w:val="21"/>
        </w:rPr>
        <w:t>20.4 仲裁或诉讼</w:t>
      </w:r>
      <w:bookmarkEnd w:id="798"/>
      <w:bookmarkEnd w:id="799"/>
      <w:bookmarkEnd w:id="800"/>
    </w:p>
    <w:p w14:paraId="267BE66A">
      <w:pPr>
        <w:keepNext w:val="0"/>
        <w:keepLines w:val="0"/>
        <w:pageBreakBefore w:val="0"/>
        <w:kinsoku/>
        <w:wordWrap/>
        <w:overflowPunct/>
        <w:topLinePunct w:val="0"/>
        <w:bidi w:val="0"/>
        <w:spacing w:after="0" w:line="440" w:lineRule="exact"/>
        <w:ind w:left="0" w:leftChars="0" w:firstLine="396" w:firstLineChars="200"/>
        <w:textAlignment w:val="auto"/>
        <w:rPr>
          <w:rFonts w:hint="eastAsia" w:ascii="宋体" w:hAnsi="宋体" w:eastAsia="宋体" w:cs="宋体"/>
          <w:color w:val="auto"/>
          <w:sz w:val="21"/>
          <w:szCs w:val="21"/>
        </w:rPr>
      </w:pPr>
      <w:r>
        <w:rPr>
          <w:rFonts w:hint="eastAsia" w:ascii="宋体" w:hAnsi="宋体" w:eastAsia="宋体" w:cs="宋体"/>
          <w:color w:val="auto"/>
          <w:spacing w:val="-6"/>
          <w:sz w:val="21"/>
          <w:szCs w:val="21"/>
        </w:rPr>
        <w:t>因合同及合同有关事项产生的争议，合同当事人可以在专用合同条件中约定以下一种方式解决争议：</w:t>
      </w:r>
    </w:p>
    <w:p w14:paraId="4A59387D">
      <w:pPr>
        <w:pStyle w:val="216"/>
        <w:keepNext w:val="0"/>
        <w:keepLines w:val="0"/>
        <w:pageBreakBefore w:val="0"/>
        <w:numPr>
          <w:ilvl w:val="0"/>
          <w:numId w:val="0"/>
        </w:numPr>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向约定的仲裁委员会申请仲裁；</w:t>
      </w:r>
    </w:p>
    <w:p w14:paraId="126A7DC9">
      <w:pPr>
        <w:pStyle w:val="216"/>
        <w:keepNext w:val="0"/>
        <w:keepLines w:val="0"/>
        <w:pageBreakBefore w:val="0"/>
        <w:numPr>
          <w:ilvl w:val="0"/>
          <w:numId w:val="0"/>
        </w:numPr>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向有管辖权的人民法院起诉。</w:t>
      </w:r>
    </w:p>
    <w:p w14:paraId="07497021">
      <w:pPr>
        <w:pStyle w:val="213"/>
        <w:keepNext w:val="0"/>
        <w:keepLines w:val="0"/>
        <w:pageBreakBefore w:val="0"/>
        <w:widowControl/>
        <w:numPr>
          <w:ilvl w:val="0"/>
          <w:numId w:val="0"/>
        </w:numPr>
        <w:kinsoku/>
        <w:wordWrap/>
        <w:overflowPunct/>
        <w:topLinePunct w:val="0"/>
        <w:bidi w:val="0"/>
        <w:spacing w:after="0" w:afterLines="0" w:line="440" w:lineRule="exact"/>
        <w:ind w:left="0" w:leftChars="0" w:firstLine="420" w:firstLineChars="200"/>
        <w:textAlignment w:val="auto"/>
        <w:rPr>
          <w:rFonts w:hint="eastAsia" w:ascii="宋体" w:hAnsi="宋体" w:eastAsia="宋体" w:cs="宋体"/>
          <w:b w:val="0"/>
          <w:bCs/>
          <w:color w:val="auto"/>
          <w:sz w:val="21"/>
          <w:szCs w:val="21"/>
        </w:rPr>
      </w:pPr>
      <w:bookmarkStart w:id="801" w:name="_Toc54862330"/>
      <w:r>
        <w:rPr>
          <w:rFonts w:hint="eastAsia" w:ascii="宋体" w:hAnsi="宋体" w:eastAsia="宋体" w:cs="宋体"/>
          <w:b w:val="0"/>
          <w:bCs/>
          <w:color w:val="auto"/>
          <w:sz w:val="21"/>
          <w:szCs w:val="21"/>
        </w:rPr>
        <w:t>20.5 争议解决条款效力</w:t>
      </w:r>
      <w:bookmarkEnd w:id="801"/>
    </w:p>
    <w:p w14:paraId="7055305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合同有关争议解决的条款独立存在，合同的不生效、无效、被撤销或者终止的，不影响合同中有关争议解决条款的效力。</w:t>
      </w:r>
    </w:p>
    <w:p w14:paraId="1FD2445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60502DCF">
      <w:pPr>
        <w:pStyle w:val="209"/>
        <w:keepNext w:val="0"/>
        <w:keepLines w:val="0"/>
        <w:pageBreakBefore w:val="0"/>
        <w:widowControl/>
        <w:kinsoku/>
        <w:wordWrap/>
        <w:overflowPunct/>
        <w:topLinePunct w:val="0"/>
        <w:bidi w:val="0"/>
        <w:adjustRightInd w:val="0"/>
        <w:snapToGrid w:val="0"/>
        <w:spacing w:before="0" w:after="0" w:line="440" w:lineRule="exact"/>
        <w:ind w:left="0" w:leftChars="0" w:firstLine="422" w:firstLineChars="200"/>
        <w:jc w:val="center"/>
        <w:textAlignment w:val="auto"/>
        <w:rPr>
          <w:rFonts w:hint="eastAsia" w:ascii="宋体" w:hAnsi="宋体" w:eastAsia="宋体" w:cs="宋体"/>
          <w:color w:val="auto"/>
          <w:sz w:val="21"/>
          <w:szCs w:val="21"/>
        </w:rPr>
      </w:pPr>
      <w:bookmarkStart w:id="802" w:name="_Toc54862331"/>
      <w:r>
        <w:rPr>
          <w:rFonts w:hint="eastAsia" w:ascii="宋体" w:hAnsi="宋体" w:eastAsia="宋体" w:cs="宋体"/>
          <w:color w:val="auto"/>
          <w:sz w:val="21"/>
          <w:szCs w:val="21"/>
        </w:rPr>
        <w:t>第三部分 专用合同条件</w:t>
      </w:r>
      <w:bookmarkEnd w:id="802"/>
    </w:p>
    <w:p w14:paraId="10A86277">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03" w:name="_Toc54862332"/>
      <w:r>
        <w:rPr>
          <w:rFonts w:hint="eastAsia" w:ascii="宋体" w:hAnsi="宋体" w:eastAsia="宋体" w:cs="宋体"/>
          <w:b w:val="0"/>
          <w:bCs/>
          <w:color w:val="auto"/>
          <w:sz w:val="21"/>
          <w:szCs w:val="21"/>
        </w:rPr>
        <w:t>第1条 一般约定</w:t>
      </w:r>
      <w:bookmarkEnd w:id="803"/>
    </w:p>
    <w:p w14:paraId="336B164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 词语定义和解释</w:t>
      </w:r>
    </w:p>
    <w:p w14:paraId="0DB3499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1.1.1 合同</w:t>
      </w:r>
    </w:p>
    <w:p w14:paraId="5B1B1CC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1.1.1.10 其他合同文件：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1AD415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 工程和设备</w:t>
      </w:r>
    </w:p>
    <w:p w14:paraId="6557DE8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1.1.3.5 单位/区段工程的范围：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D12DA8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1.1.3.9 作为施工场所组成部分的其他场所包括：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0A8278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1.1.3.10 永久占地包括：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4A80DA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1.1.3.11 临时占地包括：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4EDE5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 语言文字</w:t>
      </w:r>
    </w:p>
    <w:p w14:paraId="03F1E67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本合同除使用汉语外，还使用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语言。</w:t>
      </w:r>
    </w:p>
    <w:p w14:paraId="1A8A641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 法律</w:t>
      </w:r>
    </w:p>
    <w:p w14:paraId="1BB1F49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D0594C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 标准和规范</w:t>
      </w:r>
    </w:p>
    <w:p w14:paraId="7493B6F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1.4.1 适用于本合同的标准、规范（名称）包括：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C7D61C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1.4.2 发包人提供的国外标准、规范的名称：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；发包人提供的国外标准、规范的份数：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；发包人提供的国外标准、规范的时间：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4B7235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1.4.3 没有成文规范、标准规定的约定：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C3B604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1.4.4 发包人对于工程的技术标准、功能要求：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D966B6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1.5 合同文件的优先顺序</w:t>
      </w:r>
    </w:p>
    <w:p w14:paraId="36E43E3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合同文件组成及优先顺序为：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7C6899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 文件的提供和照管</w:t>
      </w:r>
    </w:p>
    <w:p w14:paraId="21E8C32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1.6.1 发包人文件的提供</w:t>
      </w:r>
    </w:p>
    <w:p w14:paraId="193B134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发包人文件的提供期限、名称、数量和形式：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64BB36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1.6.2 承包人文件的提供</w:t>
      </w:r>
    </w:p>
    <w:p w14:paraId="5EC0F05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承包人文件的内容、提供期限、名称、数量和形式：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43B45D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1.6.4 文件的照管</w:t>
      </w:r>
    </w:p>
    <w:p w14:paraId="4D4A9CC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关于现场文件准备的约定：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BE1BB3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1.7 联络</w:t>
      </w:r>
    </w:p>
    <w:p w14:paraId="376C94A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1.7.2 发包人指定的送达方式（包括电子传输方式）：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F581F5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发包人的送达地址：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589CEE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承包人指定的送达方式（包括电子传输方式）：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22854C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承包人的送达地址：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6F6AD1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1.10 知识产权</w:t>
      </w:r>
    </w:p>
    <w:p w14:paraId="60905F4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1.10.1 由发包人（或以发包人名义）编制的《发包人要求》和其他文件的著作权归属：</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D0EF10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1.10.2 由承包人（或以承包人名义）为实施工程所编制的文件、承包人完成的设计工作成果和建造完成的建筑物的知识产权归属：</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C06C5B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1.10.4 承包人在</w:t>
      </w:r>
      <w:r>
        <w:rPr>
          <w:rFonts w:hint="eastAsia" w:ascii="宋体" w:hAnsi="宋体" w:cs="宋体"/>
          <w:color w:val="auto"/>
          <w:sz w:val="21"/>
          <w:szCs w:val="21"/>
          <w:lang w:eastAsia="zh-CN"/>
        </w:rPr>
        <w:t>磋商申请文件</w:t>
      </w:r>
      <w:r>
        <w:rPr>
          <w:rFonts w:hint="eastAsia" w:ascii="宋体" w:hAnsi="宋体" w:eastAsia="宋体" w:cs="宋体"/>
          <w:color w:val="auto"/>
          <w:sz w:val="21"/>
          <w:szCs w:val="21"/>
        </w:rPr>
        <w:t>中采用的专利、专有技术、技术秘密的使用费的承担方式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7C5791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1.11 保密</w:t>
      </w:r>
    </w:p>
    <w:p w14:paraId="07F4C2E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双方订立的商业保密协议（名称）：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，作为本合同附件。</w:t>
      </w:r>
    </w:p>
    <w:p w14:paraId="7021D7B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双方订立的技术保密协议（名称）：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，作为本合同附件。</w:t>
      </w:r>
    </w:p>
    <w:p w14:paraId="569D377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 责任限制</w:t>
      </w:r>
    </w:p>
    <w:p w14:paraId="418579E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承包人对发包人赔偿责任的最高限额为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3FC810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1.14 建筑信息模型技术的应用</w:t>
      </w:r>
    </w:p>
    <w:p w14:paraId="2E37D83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关于建筑信息模型技术的开发、使用、存储、传输、交付及费用约定如下：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1FAE0F4">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04" w:name="_Toc54862333"/>
      <w:r>
        <w:rPr>
          <w:rFonts w:hint="eastAsia" w:ascii="宋体" w:hAnsi="宋体" w:eastAsia="宋体" w:cs="宋体"/>
          <w:b w:val="0"/>
          <w:bCs/>
          <w:color w:val="auto"/>
          <w:sz w:val="21"/>
          <w:szCs w:val="21"/>
        </w:rPr>
        <w:t>第2条 发包人</w:t>
      </w:r>
      <w:bookmarkEnd w:id="804"/>
    </w:p>
    <w:p w14:paraId="79F4C2A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 提供施工现场和工作条件</w:t>
      </w:r>
    </w:p>
    <w:p w14:paraId="7DC2A72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2.2.1 提供施工现场</w:t>
      </w:r>
    </w:p>
    <w:p w14:paraId="3C65645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关于发包人提供施工现场的范围和期限：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E369E7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2.2.2 提供工作条件</w:t>
      </w:r>
    </w:p>
    <w:p w14:paraId="1186E99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关于发包人应负责提供的工作条件包括：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927AB6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2.3 提供基础资料</w:t>
      </w:r>
    </w:p>
    <w:p w14:paraId="0C822A5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关于发包人应提供的基础资料的范围和期限：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64183F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2.5 支付合同价款</w:t>
      </w:r>
    </w:p>
    <w:p w14:paraId="2C2767D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2.5.2 发包人提供资金来源证明及资金安排的期限要求：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15D65E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2.5.3 发包人提供支付担保的形式、期限、金额（或比例）：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CE7406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2.7 其他义务</w:t>
      </w:r>
    </w:p>
    <w:p w14:paraId="5377DBA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发包人应履行的其他义务：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8CF3764">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05" w:name="_Toc54862334"/>
      <w:r>
        <w:rPr>
          <w:rFonts w:hint="eastAsia" w:ascii="宋体" w:hAnsi="宋体" w:eastAsia="宋体" w:cs="宋体"/>
          <w:b w:val="0"/>
          <w:bCs/>
          <w:color w:val="auto"/>
          <w:sz w:val="21"/>
          <w:szCs w:val="21"/>
        </w:rPr>
        <w:t>第3条 发包人的管理</w:t>
      </w:r>
      <w:bookmarkEnd w:id="805"/>
    </w:p>
    <w:p w14:paraId="69B6F83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3.1 发包人代表</w:t>
      </w:r>
    </w:p>
    <w:p w14:paraId="15D35D4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发包人代表的姓名：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D5272E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发包人代表的身份证号：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3808B4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发包人代表的职务：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DB6BB5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发包人代表的联系电话：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C9D91C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发包人代表的电子邮箱：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4BFD1D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发包人代表的通信地址：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EF4684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发包人对发包人代表的授权范围如下：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C8DEFF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发包人代表的职责：</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8A78E6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3.2 发包人人员</w:t>
      </w:r>
    </w:p>
    <w:p w14:paraId="0FDF8FE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发包人人员姓名：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E848FC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发包人人员职务：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685B9A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发包人人员职责：</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44A37C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3.3 工程师</w:t>
      </w:r>
    </w:p>
    <w:p w14:paraId="7693F47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3.3.1 工程师名称：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；工程师监督管理范围、内容：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；工程师权限：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EE4EF7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3.6 商定或确定</w:t>
      </w:r>
    </w:p>
    <w:p w14:paraId="4216303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3.6.2 关于商定时间限制的具体约定：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335907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3.6.3 关于商定或确定效力的具体约定：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；关于对工程师的确定提出异议的具体约定：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D87D5B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3.7 会议</w:t>
      </w:r>
    </w:p>
    <w:p w14:paraId="56566F0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3.7.1 关于召开会议的具体约定：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86B700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3.7.2 关于保存和提供会议纪要的具体约定：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82019C5">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06" w:name="_Toc54862335"/>
      <w:r>
        <w:rPr>
          <w:rFonts w:hint="eastAsia" w:ascii="宋体" w:hAnsi="宋体" w:eastAsia="宋体" w:cs="宋体"/>
          <w:b w:val="0"/>
          <w:bCs/>
          <w:color w:val="auto"/>
          <w:sz w:val="21"/>
          <w:szCs w:val="21"/>
        </w:rPr>
        <w:t>第4条 承包人</w:t>
      </w:r>
      <w:bookmarkEnd w:id="806"/>
    </w:p>
    <w:p w14:paraId="5135BE8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4.1 承包人的一般义务</w:t>
      </w:r>
    </w:p>
    <w:p w14:paraId="3D4CE72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承包人应履行的其他义务：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F2B673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 履约担保</w:t>
      </w:r>
    </w:p>
    <w:p w14:paraId="4EE5186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承包人是否提供履约担保：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65150E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履约担保的方式、金额及期限: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408F00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 工程总承包项目经理</w:t>
      </w:r>
    </w:p>
    <w:p w14:paraId="771450C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4.3.1 工程总承包项目经理姓名：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C96B9B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执业资格或职称类型：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F12A5D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执业资格证或职称证号码：</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F7D909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A3882A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电子邮箱：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34EC6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489A2F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承包人未提交劳动合同，以及没有为工程总承包项目经理缴纳社会保险证明的违约责任：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797839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4.3.2 工程总承包项目经理每月在现场的时间要求：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633C6C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工程总承包项目经理未经批准擅自离开施工现场的违约责任：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7E1F03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4.3.3 承包人对工程总承包项目经理的授权范围: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A939EE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4.3.4 承包人擅自更换工程总承包项目经理的违约责任：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5C09B7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4.3.5 承包人无正当理由拒绝更换工程总承包项目经理的违约责任: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E61471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4.4 承包人人员</w:t>
      </w:r>
    </w:p>
    <w:p w14:paraId="246E672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4.4.1 人员安排</w:t>
      </w:r>
    </w:p>
    <w:p w14:paraId="44BFB44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承包人提交项目管理机构及施工现场人员安排的报告的期限：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07B517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承包人提交关键人员信息及注册执业资格等证明其具备担任关键人员能力的相关文件的期限：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F3607E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4.4.2 关键人员更换</w:t>
      </w:r>
    </w:p>
    <w:p w14:paraId="5A9D5D2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承包人擅自更换关键人员的违约责任：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AE064B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承包人无正当理由拒绝撤换关键人员的违约责任：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5E22F8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4.4.3 现场管理关键人员在岗要求</w:t>
      </w:r>
    </w:p>
    <w:p w14:paraId="164DFBD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承包人现场管理关键人员离开施工现场的批准要求：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CF227C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承包人现场管理关键人员擅自离开施工现场的违约责任：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FDB690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4.5 分包</w:t>
      </w:r>
    </w:p>
    <w:p w14:paraId="4574397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4.5.1 一般约定</w:t>
      </w:r>
    </w:p>
    <w:p w14:paraId="5BA46ED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禁止分包的工程包括：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7E1936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4.5.2 分包的确定</w:t>
      </w:r>
    </w:p>
    <w:p w14:paraId="3061B5D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允许分包的工程包括：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85CE0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其他关于分包的约定：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AD2E58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4.5.5 分包合同价款支付</w:t>
      </w:r>
    </w:p>
    <w:p w14:paraId="4491B60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关于分包合同价款支付的约定：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546E94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4.6 联合体</w:t>
      </w:r>
    </w:p>
    <w:p w14:paraId="0CDF266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4.6.2 联合体各成员的分工、费用收取、发票开具等事项：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AC5771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4.7 承包人现场查勘</w:t>
      </w:r>
    </w:p>
    <w:p w14:paraId="7CE39A0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4.7.1 双方当事人对现场查勘的责任承担的约定：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64AA73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4.8 不可预见的困难</w:t>
      </w:r>
    </w:p>
    <w:p w14:paraId="60FB361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不可预见的困难包括：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BBA5365">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07" w:name="_Toc54862336"/>
      <w:r>
        <w:rPr>
          <w:rFonts w:hint="eastAsia" w:ascii="宋体" w:hAnsi="宋体" w:eastAsia="宋体" w:cs="宋体"/>
          <w:b w:val="0"/>
          <w:bCs/>
          <w:color w:val="auto"/>
          <w:sz w:val="21"/>
          <w:szCs w:val="21"/>
        </w:rPr>
        <w:t>第5条 设计</w:t>
      </w:r>
      <w:bookmarkEnd w:id="807"/>
    </w:p>
    <w:p w14:paraId="54221E5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5.2 承包人文件审查</w:t>
      </w:r>
    </w:p>
    <w:p w14:paraId="0683E99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5.2.1 承包人文件审查的期限：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028BB7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5.2.2 审查会议的审查形式和时间安排为：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，审查会议的相关费用由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承担。</w:t>
      </w:r>
    </w:p>
    <w:p w14:paraId="0DD78CE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5.2.3 关于第三方审查单位的约定：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96F2A9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5.3 培训</w:t>
      </w:r>
    </w:p>
    <w:p w14:paraId="1FF8B55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培训的时长为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，承包人应为培训提供的人员、设施和其它必要条件为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3C87C6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5.4 竣工文件</w:t>
      </w:r>
    </w:p>
    <w:p w14:paraId="44A2F7A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5.4.1 竣工文件的形式、提供的份数、技术标准以及其它相关要求：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788F44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5.4.3 关于竣工文件的其他约定：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07A5DC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5.5 操作和维修手册</w:t>
      </w:r>
    </w:p>
    <w:p w14:paraId="2237A9C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5.5.3 对最终操作和维修手册的约定：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D1687A">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08" w:name="_Toc54862337"/>
      <w:r>
        <w:rPr>
          <w:rFonts w:hint="eastAsia" w:ascii="宋体" w:hAnsi="宋体" w:eastAsia="宋体" w:cs="宋体"/>
          <w:b w:val="0"/>
          <w:bCs/>
          <w:color w:val="auto"/>
          <w:sz w:val="21"/>
          <w:szCs w:val="21"/>
        </w:rPr>
        <w:t>第6条 材料、工程设备</w:t>
      </w:r>
      <w:bookmarkEnd w:id="808"/>
    </w:p>
    <w:p w14:paraId="37C2FAA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6.1 实施方法</w:t>
      </w:r>
    </w:p>
    <w:p w14:paraId="245875B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双方当事人约定的实施方法、设备、设施和材料：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74B3A9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6.2 材料和工程设备</w:t>
      </w:r>
    </w:p>
    <w:p w14:paraId="09E7EDC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6.2.1 发包人提供的材料和工程设备</w:t>
      </w:r>
    </w:p>
    <w:p w14:paraId="2C9D24E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发包人提供的材料和工程设备验收后，由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负责接收、运输和保管。</w:t>
      </w:r>
    </w:p>
    <w:p w14:paraId="494A4DE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6.2.2 承包人提供的材料和工程设备</w:t>
      </w:r>
    </w:p>
    <w:p w14:paraId="0FF5FB5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材料和工程设备的类别、估算数量：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FA206B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竣工后试验的生产性材料的类别或（和）清单：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15F847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6.2.3 材料和工程设备的保管</w:t>
      </w:r>
    </w:p>
    <w:p w14:paraId="65B401A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发包人供应的材料和工程设备的保管费用由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承担。</w:t>
      </w:r>
    </w:p>
    <w:p w14:paraId="24E2961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承包人提交保管、维护方案的时间：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53A447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发包人提供的库房、堆场、设施和设备：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F4B6D4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6.3 样品</w:t>
      </w:r>
    </w:p>
    <w:p w14:paraId="6A32E1A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6.3.1 样品的报送与封存</w:t>
      </w:r>
    </w:p>
    <w:p w14:paraId="60EEC10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需要承包人报送样品的材料或工程设备，样品种类、名称、规格、数量：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EFDDF9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6.4 质量检查</w:t>
      </w:r>
    </w:p>
    <w:p w14:paraId="7EF0F67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6.4.1 工程质量要求</w:t>
      </w:r>
    </w:p>
    <w:p w14:paraId="252B243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工程质量的特殊标准或要求：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D39962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6.4.2 质量检查</w:t>
      </w:r>
    </w:p>
    <w:p w14:paraId="4BD42F8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除通用合同条件已列明的质量检查的地点外，发包人有权进行质量检查的其他地点：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AFF958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6.4.3 隐蔽工程检查</w:t>
      </w:r>
    </w:p>
    <w:p w14:paraId="6821890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关于隐蔽工程和中间验收的特别约定：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660937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6.5 由承包人试验和检验</w:t>
      </w:r>
    </w:p>
    <w:p w14:paraId="34996C0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6.5.1 试验设备与试验人员</w:t>
      </w:r>
    </w:p>
    <w:p w14:paraId="113187E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试验的内容、时间和地点：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7C578F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试验所需要的试验设备、取样装置、试验场所和试验条件：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BC5615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试验和检验费用的计价原则：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96D0162">
      <w:pPr>
        <w:pStyle w:val="217"/>
        <w:keepNext w:val="0"/>
        <w:keepLines w:val="0"/>
        <w:pageBreakBefore w:val="0"/>
        <w:kinsoku/>
        <w:wordWrap/>
        <w:overflowPunct/>
        <w:topLinePunct w:val="0"/>
        <w:bidi w:val="0"/>
        <w:spacing w:before="0" w:after="0" w:line="440" w:lineRule="exact"/>
        <w:ind w:left="0" w:leftChars="0" w:firstLine="422" w:firstLineChars="200"/>
        <w:textAlignment w:val="auto"/>
        <w:rPr>
          <w:rFonts w:hint="eastAsia" w:ascii="宋体" w:hAnsi="宋体" w:eastAsia="宋体" w:cs="宋体"/>
          <w:color w:val="auto"/>
          <w:sz w:val="21"/>
          <w:szCs w:val="21"/>
        </w:rPr>
      </w:pPr>
      <w:bookmarkStart w:id="809" w:name="_Toc54862338"/>
      <w:r>
        <w:rPr>
          <w:rFonts w:hint="eastAsia" w:ascii="宋体" w:hAnsi="宋体" w:eastAsia="宋体" w:cs="宋体"/>
          <w:color w:val="auto"/>
          <w:sz w:val="21"/>
          <w:szCs w:val="21"/>
        </w:rPr>
        <w:t>第7条 施工</w:t>
      </w:r>
      <w:bookmarkEnd w:id="809"/>
    </w:p>
    <w:p w14:paraId="17D2713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7.1 交通运输</w:t>
      </w:r>
    </w:p>
    <w:p w14:paraId="10BC745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7.1.1 出入现场的权利</w:t>
      </w:r>
    </w:p>
    <w:p w14:paraId="7D5E808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关于出入现场的权利的约定：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BE8680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7.1.2 场外交通</w:t>
      </w:r>
    </w:p>
    <w:p w14:paraId="0852A71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关于场外交通的特别约定：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B9CFF4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7.1.3 场内交通</w:t>
      </w:r>
    </w:p>
    <w:p w14:paraId="31B5B70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关于场内交通的特别约定：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F72EE1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关于场内交通与场外交通边界的约定：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093AC3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7.1.4 超大件和超重件的运输</w:t>
      </w:r>
    </w:p>
    <w:p w14:paraId="475ED8D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运输超大件或超重件所需的道路和桥梁临时加固改造费用和其他有关费用由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承担。</w:t>
      </w:r>
    </w:p>
    <w:p w14:paraId="158B698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7.2 施工设备和临时设施</w:t>
      </w:r>
    </w:p>
    <w:p w14:paraId="0AE3DC0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7.2.1 承包人提供的施工设备和临时设施</w:t>
      </w:r>
    </w:p>
    <w:p w14:paraId="5E1647F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临时设施的费用和临时占地手续和费用承担的特别约定：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897D27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7.2.2 发包人提供的施工设备和临时设施</w:t>
      </w:r>
    </w:p>
    <w:p w14:paraId="20850D2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发包人提供的施工设备或临时设施范围：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B26577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7.3 现场合作</w:t>
      </w:r>
    </w:p>
    <w:p w14:paraId="1C8B25D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关于现场合作费用的特别约定：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756B7D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7.4 测量放线</w:t>
      </w:r>
    </w:p>
    <w:p w14:paraId="578F27D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7.4.1 关于测量放线的特别约定的技术规范：</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。施工控制网资料的告知期限：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F1AE8C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7.5 现场劳动用工</w:t>
      </w:r>
    </w:p>
    <w:p w14:paraId="6EFB949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7.5.2 合同当事人对建筑工人工资清偿事宜和违约责任的约定：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D16A56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7.6 安全文明施工</w:t>
      </w:r>
    </w:p>
    <w:p w14:paraId="674F8BA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7.6.1 安全生产要求</w:t>
      </w:r>
    </w:p>
    <w:p w14:paraId="240DF70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合同当事人对安全施工的要求：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53E5A9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7.6.3 文明施工</w:t>
      </w:r>
    </w:p>
    <w:p w14:paraId="3A58735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合同当事人对文明施工的要求：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067633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7.9 临时性公用设施</w:t>
      </w:r>
    </w:p>
    <w:p w14:paraId="6463C8C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关于临时性公用设施的特别约定：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26C56D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7.10 现场安保</w:t>
      </w:r>
    </w:p>
    <w:p w14:paraId="07D79F8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承包人现场安保义务的特别约定：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BC9229B">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10" w:name="_Toc54862339"/>
      <w:r>
        <w:rPr>
          <w:rFonts w:hint="eastAsia" w:ascii="宋体" w:hAnsi="宋体" w:eastAsia="宋体" w:cs="宋体"/>
          <w:b w:val="0"/>
          <w:bCs/>
          <w:color w:val="auto"/>
          <w:sz w:val="21"/>
          <w:szCs w:val="21"/>
        </w:rPr>
        <w:t>第8条 工期和进度</w:t>
      </w:r>
      <w:bookmarkEnd w:id="810"/>
    </w:p>
    <w:p w14:paraId="5822FA0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8.1 开始工作</w:t>
      </w:r>
    </w:p>
    <w:p w14:paraId="3E288EC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8.1.1 开始准备工作：</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084961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8.1.2 发包人可在计划开始工作之日起84日后发出开始工作通知的特殊情形：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337AC8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8.2 竣工日期</w:t>
      </w:r>
    </w:p>
    <w:p w14:paraId="63815AD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竣工日期的约定：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066D8A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8.3 项目实施计划</w:t>
      </w:r>
    </w:p>
    <w:p w14:paraId="0968000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8.3.1 项目实施计划的内容</w:t>
      </w:r>
    </w:p>
    <w:p w14:paraId="4D86901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项目实施计划的内容：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6EF222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8.3.2 项目实施计划的提交和修改</w:t>
      </w:r>
    </w:p>
    <w:p w14:paraId="49AE762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项目实施计划的提交及修改期限：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B342C8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8.4 项目进度计划</w:t>
      </w:r>
    </w:p>
    <w:p w14:paraId="5767307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8.4.1 工程师在收到进度计划后确认或提出修改意见的期限：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872849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8.4.2 进度计划的具体要求：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662DE0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关键路径及关键路径变化的确定原则：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1793F6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承包人提交项目进度计划的份数和时间：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053272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8.4.3 进度计划的修订</w:t>
      </w:r>
    </w:p>
    <w:p w14:paraId="352B001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承包人提交修订项目进度计划申请报告的期限：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C4B75D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发包人批复修订项目进度计划申请报告的期限：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27F56D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承包人答复发包人提出修订合同计划的期限：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30993E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8.5 进度报告</w:t>
      </w:r>
    </w:p>
    <w:p w14:paraId="7AA693F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进度报告的具体要求：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6D04A9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8.7 工期延误</w:t>
      </w:r>
    </w:p>
    <w:p w14:paraId="2147329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8.7.2 因承包人原因导致工期延误</w:t>
      </w:r>
    </w:p>
    <w:p w14:paraId="62B1B71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因承包人原因使竣工日期延误，每延误1日的误期赔偿金额为合同协议书的合同价格的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%或人民币金额为：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、累计最高赔偿金额为合同协议书的合同价格的：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%或人民币金额为：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8B0EA1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8.7.3 行政审批迟延</w:t>
      </w:r>
    </w:p>
    <w:p w14:paraId="4D1E827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行政审批报送的职责分工：</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E6C662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8.7.4 异常恶劣的气候条件</w:t>
      </w:r>
    </w:p>
    <w:p w14:paraId="434CBAF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双方约定视为异常恶劣的气候条件的情形：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590EEE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8.8 工期提前</w:t>
      </w:r>
    </w:p>
    <w:p w14:paraId="2178B76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8.8.2 承包人提前竣工的奖励：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CCB15DF">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11" w:name="_Toc54862340"/>
      <w:r>
        <w:rPr>
          <w:rFonts w:hint="eastAsia" w:ascii="宋体" w:hAnsi="宋体" w:eastAsia="宋体" w:cs="宋体"/>
          <w:b w:val="0"/>
          <w:bCs/>
          <w:color w:val="auto"/>
          <w:sz w:val="21"/>
          <w:szCs w:val="21"/>
        </w:rPr>
        <w:t>第9条 竣工试验</w:t>
      </w:r>
      <w:bookmarkEnd w:id="811"/>
    </w:p>
    <w:p w14:paraId="064A8E6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9.1 竣工试验的义务</w:t>
      </w:r>
    </w:p>
    <w:p w14:paraId="02C6D79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9.1.3 竣工试验的阶段、内容和顺序：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CA5703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竣工试验的操作要求：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F4BDCD9">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12" w:name="_Toc4784272"/>
      <w:bookmarkEnd w:id="812"/>
      <w:bookmarkStart w:id="813" w:name="_Toc4784273"/>
      <w:bookmarkEnd w:id="813"/>
      <w:bookmarkStart w:id="814" w:name="_Toc54862341"/>
      <w:r>
        <w:rPr>
          <w:rFonts w:hint="eastAsia" w:ascii="宋体" w:hAnsi="宋体" w:eastAsia="宋体" w:cs="宋体"/>
          <w:b w:val="0"/>
          <w:bCs/>
          <w:color w:val="auto"/>
          <w:sz w:val="21"/>
          <w:szCs w:val="21"/>
        </w:rPr>
        <w:t>第10条 验收和工程接收</w:t>
      </w:r>
      <w:bookmarkEnd w:id="814"/>
    </w:p>
    <w:p w14:paraId="6AE6E7C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10.1 竣工验收</w:t>
      </w:r>
    </w:p>
    <w:p w14:paraId="738CF8A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10.1.2 关于竣工验收程序的约定：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9DE216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bookmarkStart w:id="815" w:name="_Hlk46406260"/>
      <w:r>
        <w:rPr>
          <w:rFonts w:hint="eastAsia" w:ascii="宋体" w:hAnsi="宋体" w:eastAsia="宋体" w:cs="宋体"/>
          <w:color w:val="auto"/>
          <w:sz w:val="21"/>
          <w:szCs w:val="21"/>
        </w:rPr>
        <w:t>发包人不按照合同约定组织竣工验收、颁发工程接受证书的违约金的计算方式：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815"/>
    <w:p w14:paraId="01A627C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10.3</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工程的接收</w:t>
      </w:r>
    </w:p>
    <w:p w14:paraId="290D69A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10.3.1工程接收的先后顺序、时间安排和其他要求：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CB6961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10.3.2 接受工程时承包人需提交竣工验收资料的类别、内容、份数和提交时间：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4BA122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10.3.3 发包人逾期接收工程的违约责任：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BEC2B6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10.3.4 承包人无正当理由不移交工程的违约责任：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3D4698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10.4 接收证书</w:t>
      </w:r>
    </w:p>
    <w:p w14:paraId="6106FAE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10.4.1 工程接收证书颁发时间：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E1E280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10.5 竣工退场</w:t>
      </w:r>
    </w:p>
    <w:p w14:paraId="33DAE87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10.5.1 竣工退场的相关约定：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8489A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10.5.3人员撤离</w:t>
      </w:r>
    </w:p>
    <w:p w14:paraId="7613523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工程师同意需在缺陷责任期内继续工作和使用的人员、施工设备和临时工程的内容：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AA769F3">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16" w:name="_Toc54862342"/>
      <w:r>
        <w:rPr>
          <w:rFonts w:hint="eastAsia" w:ascii="宋体" w:hAnsi="宋体" w:eastAsia="宋体" w:cs="宋体"/>
          <w:b w:val="0"/>
          <w:bCs/>
          <w:color w:val="auto"/>
          <w:sz w:val="21"/>
          <w:szCs w:val="21"/>
        </w:rPr>
        <w:t>第11条 缺陷责任与保修</w:t>
      </w:r>
      <w:bookmarkEnd w:id="816"/>
    </w:p>
    <w:p w14:paraId="195AECC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11.2 缺陷责任期</w:t>
      </w:r>
    </w:p>
    <w:p w14:paraId="4FB0F49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缺陷责任期的期限：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A33E28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 缺陷调查</w:t>
      </w:r>
    </w:p>
    <w:p w14:paraId="4191A89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11.3.4 修复通知</w:t>
      </w:r>
    </w:p>
    <w:p w14:paraId="7B2B7BB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承包人收到保修通知并到达工程现场的合理时间：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78AF85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11.6 缺陷责任期终止证书</w:t>
      </w:r>
    </w:p>
    <w:p w14:paraId="17A7038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承包人应于缺陷责任期届满后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天内向发包人发出缺陷责任期届满通知，发包人应在收到缺陷责任期满通知后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天内，向承包人颁发缺陷责任期终止证书。</w:t>
      </w:r>
    </w:p>
    <w:p w14:paraId="1B3C344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11.7 保修责任</w:t>
      </w:r>
    </w:p>
    <w:p w14:paraId="2C58A7B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工程质量保修范围、期限和责任为：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6274FEF">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17" w:name="_Toc54862343"/>
      <w:r>
        <w:rPr>
          <w:rFonts w:hint="eastAsia" w:ascii="宋体" w:hAnsi="宋体" w:eastAsia="宋体" w:cs="宋体"/>
          <w:b w:val="0"/>
          <w:bCs/>
          <w:color w:val="auto"/>
          <w:sz w:val="21"/>
          <w:szCs w:val="21"/>
        </w:rPr>
        <w:t>第12条 竣工后试验</w:t>
      </w:r>
      <w:bookmarkEnd w:id="817"/>
    </w:p>
    <w:p w14:paraId="2AFF74C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本合同工程是否包含竣工后试验：</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03F723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12.1 竣工后试验的程序</w:t>
      </w:r>
    </w:p>
    <w:p w14:paraId="717A82F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28A0E83">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18" w:name="_Toc54862344"/>
      <w:r>
        <w:rPr>
          <w:rFonts w:hint="eastAsia" w:ascii="宋体" w:hAnsi="宋体" w:eastAsia="宋体" w:cs="宋体"/>
          <w:b w:val="0"/>
          <w:bCs/>
          <w:color w:val="auto"/>
          <w:sz w:val="21"/>
          <w:szCs w:val="21"/>
        </w:rPr>
        <w:t>第13条 变更与调整</w:t>
      </w:r>
      <w:bookmarkEnd w:id="818"/>
    </w:p>
    <w:p w14:paraId="40C6B71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13.2 承包人的合理化建议</w:t>
      </w:r>
    </w:p>
    <w:p w14:paraId="37790F8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13.2.2 工程师应在收到承包人提交的合理化建议后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日内审查完毕并报送发包人，发现其中存在技术上的缺陷，应通知承包人修改。发包人应在收到工程师报送的合理化建议后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日内审批完毕。合理化建议经发包人批准的，工程师应及时发出变更指示，由此引起的合同价格调整按照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执行。发包人不同意变更的，工程师应书面通知承包人</w:t>
      </w:r>
    </w:p>
    <w:p w14:paraId="06BA9A5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13.2.3 承包人提出的合理化变更建议的利益分享约定：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0276EF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13.3 变更程序</w:t>
      </w:r>
    </w:p>
    <w:p w14:paraId="552B88C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13.3.3 变更估价</w:t>
      </w:r>
    </w:p>
    <w:p w14:paraId="232F31F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13.3.3.1 变更估价原则</w:t>
      </w:r>
    </w:p>
    <w:p w14:paraId="636DAFB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关于变更估价原则的约定：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DE7B23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13.4 暂估价</w:t>
      </w:r>
    </w:p>
    <w:p w14:paraId="003807F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13.4.1 依法必须招标的暂估价项目</w:t>
      </w:r>
    </w:p>
    <w:p w14:paraId="25C6702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承包人可以参与投标的暂估价项目范围：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3DF7F2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承包人不得参与投标的暂估价项目范围：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761186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招投标程序及其他约定：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31C0AA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13.4.2 不属于依法必须招标的暂估价项目</w:t>
      </w:r>
    </w:p>
    <w:p w14:paraId="6882B7E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不属于依法必须招标的暂估价项目的协商及估价的约定：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7432C0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13.5 暂列金额</w:t>
      </w:r>
    </w:p>
    <w:p w14:paraId="6736E69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其他关于暂列金额使用的约定：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E67A76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13.8 市场价格波动引起的调整</w:t>
      </w:r>
    </w:p>
    <w:p w14:paraId="4797004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13.8.2 关于是否采用《价格指数权重表》的约定：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145D87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13.8.3 关于采用其他方式调整合同价款的约定：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DB3BF5">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19" w:name="_Toc54862345"/>
      <w:r>
        <w:rPr>
          <w:rFonts w:hint="eastAsia" w:ascii="宋体" w:hAnsi="宋体" w:eastAsia="宋体" w:cs="宋体"/>
          <w:b w:val="0"/>
          <w:bCs/>
          <w:color w:val="auto"/>
          <w:sz w:val="21"/>
          <w:szCs w:val="21"/>
        </w:rPr>
        <w:t>第14条 合同价格与支付</w:t>
      </w:r>
      <w:bookmarkEnd w:id="819"/>
    </w:p>
    <w:p w14:paraId="408954A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14.1 合同价格形式</w:t>
      </w:r>
    </w:p>
    <w:p w14:paraId="56B48A9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14.1.1 关于合同价格形式的约定：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7287D7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14.1.2 关于合同价格调整的约定：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3A0457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14.1.3 按实际完成的工程量支付工程价款的计量方法、估价方法：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B3D596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14.2 预付款</w:t>
      </w:r>
    </w:p>
    <w:p w14:paraId="57DADA3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14.2.1 预付款支付</w:t>
      </w:r>
    </w:p>
    <w:p w14:paraId="0B7E75F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预付款的金额或比例为：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2C461B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预付款支付期限：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2B5A60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预付款扣回的方式：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6A6038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14.2.2预付款担保</w:t>
      </w:r>
    </w:p>
    <w:p w14:paraId="5FF9490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提供预付款担保期限：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F02EE9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预付款担保形式：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7F2F27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14.3 工程进度款</w:t>
      </w:r>
    </w:p>
    <w:p w14:paraId="404065C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14.3.1 工程进度付款申请</w:t>
      </w:r>
    </w:p>
    <w:p w14:paraId="3BB3C51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工程进度付款申请方式：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931653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承包人提交进度付款申请单的格式、内容、份数和时间：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B61AA4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进度付款申请单应包括的内容：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B4A372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14.3.2 进度付款审核和支付</w:t>
      </w:r>
    </w:p>
    <w:p w14:paraId="69CEE49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进度付款的审核方式和支付的约定：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4137DD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发包人应在进度款支付证书或临时进度款支付证书签发后的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天内完成支付，发包人逾期支付进度款的，应按照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支付违约金。</w:t>
      </w:r>
    </w:p>
    <w:p w14:paraId="61B09B5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14.4 付款计划表</w:t>
      </w:r>
    </w:p>
    <w:p w14:paraId="4A600E2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14.4.1 付款计划表的编制要求：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E85B38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14.4.2 付款计划表的编制与审批</w:t>
      </w:r>
    </w:p>
    <w:p w14:paraId="5310996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付款计划表的编制：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D98000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14.5 竣工结算</w:t>
      </w:r>
    </w:p>
    <w:p w14:paraId="1FE7621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14.5.1 竣工结算申请</w:t>
      </w:r>
    </w:p>
    <w:p w14:paraId="0D49D72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承包人提交竣工结算申请的时间：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90CF4A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竣工结算申请的资料清单和份数：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7624FB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竣工结算申请单的内容应包括：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2988E5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14.5.2 竣工结算审核</w:t>
      </w:r>
    </w:p>
    <w:p w14:paraId="6D3EF7D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发包人审批竣工付款申请单的期限：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C930B1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发包人完成竣工付款的期限：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8AEEF5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关于竣工付款证书异议部分复核的方式和程序：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36CE53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14.6 质量保证金</w:t>
      </w:r>
    </w:p>
    <w:p w14:paraId="082C72D6">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14.6.1 承包人提供质量保证金的方式</w:t>
      </w:r>
    </w:p>
    <w:p w14:paraId="3AE16BF2">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质量保证金采用以下第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w:t>
      </w:r>
    </w:p>
    <w:p w14:paraId="54E0CFF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工程质量保证担保，保证金额为：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F6FA6E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%的工程款；</w:t>
      </w:r>
    </w:p>
    <w:p w14:paraId="0714B1B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其他方式：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696A35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14.6.2 质量保证金的预留</w:t>
      </w:r>
    </w:p>
    <w:p w14:paraId="3E0A787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质量保证金的预留采取以下第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w:t>
      </w:r>
    </w:p>
    <w:p w14:paraId="3425E66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在支付工程进度款时逐次预留的质量保证金的比例：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，在此情形下，质量保证金的计算基数不包括预付款的支付、扣回以及价格调整的金额；</w:t>
      </w:r>
    </w:p>
    <w:p w14:paraId="66991A3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工程竣工结算时一次性预留专用合同条件第14.6.1项第(2)目约定的工程款预留比例的质量保证金；</w:t>
      </w:r>
    </w:p>
    <w:p w14:paraId="4A7E6EE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 其他预留方式: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3BF655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关于质量保证金的补充约定：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C5EB6A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14.7 最终结清</w:t>
      </w:r>
    </w:p>
    <w:p w14:paraId="561A008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14.7.1 最终结清申请单</w:t>
      </w:r>
    </w:p>
    <w:p w14:paraId="09DDDE7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当事人双方关于最终结清申请的其他约定：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DFB64D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14.7.2 最终结清证书和支付</w:t>
      </w:r>
    </w:p>
    <w:p w14:paraId="649F8C4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当事人双方关于最终结清支付的其他约定：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62CA20B">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20" w:name="_Toc54862346"/>
      <w:r>
        <w:rPr>
          <w:rFonts w:hint="eastAsia" w:ascii="宋体" w:hAnsi="宋体" w:eastAsia="宋体" w:cs="宋体"/>
          <w:b w:val="0"/>
          <w:bCs/>
          <w:color w:val="auto"/>
          <w:sz w:val="21"/>
          <w:szCs w:val="21"/>
        </w:rPr>
        <w:t>第15条 违约</w:t>
      </w:r>
      <w:bookmarkEnd w:id="820"/>
    </w:p>
    <w:p w14:paraId="2B863F1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15.1 发包人违约</w:t>
      </w:r>
    </w:p>
    <w:p w14:paraId="09A1052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15.1.1 发包人违约的情形</w:t>
      </w:r>
    </w:p>
    <w:p w14:paraId="36CCC24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发包人违约的其他情形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E4E2A4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15.1.3 发包人违约的责任</w:t>
      </w:r>
    </w:p>
    <w:p w14:paraId="5E9627F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发包人违约责任的承担方式和计算方法：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404FBB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15.2 承包人违约</w:t>
      </w:r>
    </w:p>
    <w:p w14:paraId="4A496A1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15.2.1 承包人违约的情形</w:t>
      </w:r>
    </w:p>
    <w:p w14:paraId="66C9DE0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承包人违约的其他情形：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CCDA25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15.2.2 通知改正</w:t>
      </w:r>
    </w:p>
    <w:p w14:paraId="7B3CC05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工程师通知承包人改正的合理期限是：</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095301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15.2.3 承包人违约的责任</w:t>
      </w:r>
    </w:p>
    <w:p w14:paraId="4FF0486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承包人违约责任的承担方式和计算方法：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A726A2C">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21" w:name="_Toc54862347"/>
      <w:r>
        <w:rPr>
          <w:rFonts w:hint="eastAsia" w:ascii="宋体" w:hAnsi="宋体" w:eastAsia="宋体" w:cs="宋体"/>
          <w:b w:val="0"/>
          <w:bCs/>
          <w:color w:val="auto"/>
          <w:sz w:val="21"/>
          <w:szCs w:val="21"/>
        </w:rPr>
        <w:t>第16条 合同解除</w:t>
      </w:r>
      <w:bookmarkEnd w:id="821"/>
    </w:p>
    <w:p w14:paraId="7BC6C71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16.1 由发包人解除合同</w:t>
      </w:r>
    </w:p>
    <w:p w14:paraId="7BD9E5D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16.1.1 因承包人违约解除合同</w:t>
      </w:r>
    </w:p>
    <w:p w14:paraId="7C9E3E0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双方约定可由发包人解除合同的其他事由：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547C19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16.2 由承包人解除合同</w:t>
      </w:r>
    </w:p>
    <w:p w14:paraId="391E3C4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16.2.1 因发包人违约解除合同</w:t>
      </w:r>
    </w:p>
    <w:p w14:paraId="72F2029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双方约定可由承包人解除合同的其他事由：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88A0722">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22" w:name="_Toc54862348"/>
      <w:r>
        <w:rPr>
          <w:rFonts w:hint="eastAsia" w:ascii="宋体" w:hAnsi="宋体" w:eastAsia="宋体" w:cs="宋体"/>
          <w:b w:val="0"/>
          <w:bCs/>
          <w:color w:val="auto"/>
          <w:sz w:val="21"/>
          <w:szCs w:val="21"/>
        </w:rPr>
        <w:t>第17条 不可抗力</w:t>
      </w:r>
      <w:bookmarkEnd w:id="822"/>
    </w:p>
    <w:p w14:paraId="2004608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17.1 不可抗力的定义</w:t>
      </w:r>
    </w:p>
    <w:p w14:paraId="05D9590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除通用合同条件约定的不可抗力事件之外，视为不可抗力的其他情形：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753E5F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17.6 因不可抗力解除合同</w:t>
      </w:r>
    </w:p>
    <w:p w14:paraId="6E163FDE">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合同解除后，发包人应当在商定或确定发包人应支付款项后的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天内完成款项的支付。</w:t>
      </w:r>
    </w:p>
    <w:p w14:paraId="1619516F">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23" w:name="_Toc4784276"/>
      <w:bookmarkEnd w:id="823"/>
      <w:bookmarkStart w:id="824" w:name="_Toc4784277"/>
      <w:bookmarkEnd w:id="824"/>
      <w:bookmarkStart w:id="825" w:name="_Toc54862349"/>
      <w:r>
        <w:rPr>
          <w:rFonts w:hint="eastAsia" w:ascii="宋体" w:hAnsi="宋体" w:eastAsia="宋体" w:cs="宋体"/>
          <w:b w:val="0"/>
          <w:bCs/>
          <w:color w:val="auto"/>
          <w:sz w:val="21"/>
          <w:szCs w:val="21"/>
        </w:rPr>
        <w:t>第18条 保险</w:t>
      </w:r>
      <w:bookmarkEnd w:id="825"/>
    </w:p>
    <w:p w14:paraId="3DAC91F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18.1 设计和工程保险</w:t>
      </w:r>
    </w:p>
    <w:p w14:paraId="2F4E465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18.1.1 双方当事人关于设计和工程保险的特别约定：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F2D0F6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18.1.2 双方当事人关于第三方责任险的特别约定：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311DB6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18.2 工伤和意外伤害保险</w:t>
      </w:r>
    </w:p>
    <w:p w14:paraId="35A33C6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18.2.3 关于工伤保险和意外伤害保险的特别约定：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3E1D5D7">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18.3 货物保险</w:t>
      </w:r>
    </w:p>
    <w:p w14:paraId="3474E0F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关于承包人应为其施工设备、材料、工程设备和临时工程等办理财产保险的特别约定：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B44166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18.4 其他保险</w:t>
      </w:r>
    </w:p>
    <w:p w14:paraId="2105D09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关于其他保险的约定：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DC2A5A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18.5 对各项保险的一般要求</w:t>
      </w:r>
    </w:p>
    <w:p w14:paraId="40BDBE9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18.5.2 保险凭证</w:t>
      </w:r>
    </w:p>
    <w:p w14:paraId="429AD2B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保险单的条件：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268C35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18.5.4 通知义务</w:t>
      </w:r>
    </w:p>
    <w:p w14:paraId="64465BF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关于变更保险合同时的通知义务的约定：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59685BB">
      <w:pPr>
        <w:pStyle w:val="217"/>
        <w:keepNext w:val="0"/>
        <w:keepLines w:val="0"/>
        <w:pageBreakBefore w:val="0"/>
        <w:kinsoku/>
        <w:wordWrap/>
        <w:overflowPunct/>
        <w:topLinePunct w:val="0"/>
        <w:bidi w:val="0"/>
        <w:spacing w:before="0" w:after="0" w:line="440" w:lineRule="exact"/>
        <w:ind w:left="0" w:leftChars="0" w:firstLine="420" w:firstLineChars="200"/>
        <w:textAlignment w:val="auto"/>
        <w:rPr>
          <w:rFonts w:hint="eastAsia" w:ascii="宋体" w:hAnsi="宋体" w:eastAsia="宋体" w:cs="宋体"/>
          <w:b w:val="0"/>
          <w:bCs/>
          <w:color w:val="auto"/>
          <w:sz w:val="21"/>
          <w:szCs w:val="21"/>
        </w:rPr>
      </w:pPr>
      <w:bookmarkStart w:id="826" w:name="_Toc54862350"/>
      <w:r>
        <w:rPr>
          <w:rFonts w:hint="eastAsia" w:ascii="宋体" w:hAnsi="宋体" w:eastAsia="宋体" w:cs="宋体"/>
          <w:b w:val="0"/>
          <w:bCs/>
          <w:color w:val="auto"/>
          <w:sz w:val="21"/>
          <w:szCs w:val="21"/>
        </w:rPr>
        <w:t>第20条 争议解决</w:t>
      </w:r>
      <w:bookmarkEnd w:id="826"/>
    </w:p>
    <w:p w14:paraId="59B303FA">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20.3 争议评审</w:t>
      </w:r>
    </w:p>
    <w:p w14:paraId="2C99526D">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合同当事人是否同意将工程争议提交争议评审小组决定：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2F1088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20.3.1 争议评审小组的确定</w:t>
      </w:r>
    </w:p>
    <w:p w14:paraId="32A6C53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争议评审小组成员的人数：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6B55D3F">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争议评审小组成员的确定：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BD13F7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选定争议避免/评审组的期限：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7D590E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评审机构：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723599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其他事项的约定：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C72FBC0">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争议评审员报酬的承担人：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D49A599">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20.3.2 争议的避免</w:t>
      </w:r>
    </w:p>
    <w:p w14:paraId="4C8DAAC5">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发包人和承包人是否均出席争议避免的非正式讨论：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2060EB1">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20.3.3 争议评审小组的决定</w:t>
      </w:r>
    </w:p>
    <w:p w14:paraId="3669B083">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关于争议评审小组的决定的特别约定：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B726CE8">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20.4 仲裁或诉讼</w:t>
      </w:r>
    </w:p>
    <w:p w14:paraId="3D07A7BB">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因合同及合同有关事项发生的争议，按下列第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种方式解决：</w:t>
      </w:r>
    </w:p>
    <w:p w14:paraId="412617AC">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（1）向</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仲裁委员会申请仲裁；</w:t>
      </w:r>
    </w:p>
    <w:p w14:paraId="397CE0D4">
      <w:pPr>
        <w:keepNext w:val="0"/>
        <w:keepLines w:val="0"/>
        <w:pageBreakBefore w:val="0"/>
        <w:kinsoku/>
        <w:wordWrap/>
        <w:overflowPunct/>
        <w:topLinePunct w:val="0"/>
        <w:bidi w:val="0"/>
        <w:spacing w:after="0" w:line="440" w:lineRule="exact"/>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（2）向</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人民法院起诉。</w:t>
      </w:r>
    </w:p>
    <w:p w14:paraId="1295F69A">
      <w:pPr>
        <w:pageBreakBefore w:val="0"/>
        <w:wordWrap/>
        <w:overflowPunct/>
        <w:topLinePunct w:val="0"/>
        <w:bidi w:val="0"/>
        <w:spacing w:after="0" w:line="440" w:lineRule="exact"/>
        <w:ind w:firstLine="600"/>
        <w:textAlignment w:val="auto"/>
        <w:rPr>
          <w:rFonts w:hint="eastAsia" w:ascii="宋体" w:hAnsi="宋体" w:eastAsia="宋体" w:cs="宋体"/>
          <w:color w:val="auto"/>
          <w:sz w:val="21"/>
          <w:szCs w:val="21"/>
        </w:rPr>
        <w:sectPr>
          <w:headerReference r:id="rId11" w:type="default"/>
          <w:pgSz w:w="11906" w:h="16838"/>
          <w:pgMar w:top="1247" w:right="1247" w:bottom="1247" w:left="1247" w:header="907" w:footer="964" w:gutter="0"/>
          <w:pgNumType w:fmt="decimal"/>
          <w:cols w:space="720" w:num="1"/>
          <w:docGrid w:linePitch="326" w:charSpace="0"/>
        </w:sectPr>
      </w:pPr>
    </w:p>
    <w:p w14:paraId="74FA7268">
      <w:pPr>
        <w:pStyle w:val="209"/>
        <w:keepNext w:val="0"/>
        <w:keepLines w:val="0"/>
        <w:pageBreakBefore w:val="0"/>
        <w:widowControl/>
        <w:wordWrap/>
        <w:overflowPunct/>
        <w:topLinePunct w:val="0"/>
        <w:bidi w:val="0"/>
        <w:adjustRightInd w:val="0"/>
        <w:snapToGrid w:val="0"/>
        <w:spacing w:before="0" w:after="0" w:line="440" w:lineRule="exact"/>
        <w:jc w:val="center"/>
        <w:textAlignment w:val="auto"/>
        <w:rPr>
          <w:rFonts w:hint="eastAsia" w:ascii="宋体" w:hAnsi="宋体" w:eastAsia="宋体" w:cs="宋体"/>
          <w:color w:val="auto"/>
          <w:sz w:val="21"/>
          <w:szCs w:val="21"/>
        </w:rPr>
      </w:pPr>
      <w:bookmarkStart w:id="827" w:name="_Toc54862351"/>
      <w:r>
        <w:rPr>
          <w:rFonts w:hint="eastAsia" w:ascii="宋体" w:hAnsi="宋体" w:eastAsia="宋体" w:cs="宋体"/>
          <w:color w:val="auto"/>
          <w:sz w:val="21"/>
          <w:szCs w:val="21"/>
        </w:rPr>
        <w:t>专用合同条件附件</w:t>
      </w:r>
      <w:bookmarkEnd w:id="827"/>
    </w:p>
    <w:p w14:paraId="5C5F4D8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p w14:paraId="37BDA465">
      <w:pPr>
        <w:pageBreakBefore w:val="0"/>
        <w:wordWrap/>
        <w:overflowPunct/>
        <w:topLinePunct w:val="0"/>
        <w:bidi w:val="0"/>
        <w:spacing w:after="0" w:line="440" w:lineRule="exact"/>
        <w:ind w:firstLine="6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附件1：发包人要求</w:t>
      </w:r>
    </w:p>
    <w:p w14:paraId="308E30F3">
      <w:pPr>
        <w:pageBreakBefore w:val="0"/>
        <w:wordWrap/>
        <w:overflowPunct/>
        <w:topLinePunct w:val="0"/>
        <w:bidi w:val="0"/>
        <w:spacing w:after="0" w:line="440" w:lineRule="exact"/>
        <w:ind w:firstLine="6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附件2：发包人供应材料设备一览表</w:t>
      </w:r>
    </w:p>
    <w:p w14:paraId="22AB0466">
      <w:pPr>
        <w:pageBreakBefore w:val="0"/>
        <w:wordWrap/>
        <w:overflowPunct/>
        <w:topLinePunct w:val="0"/>
        <w:bidi w:val="0"/>
        <w:spacing w:after="0" w:line="440" w:lineRule="exact"/>
        <w:ind w:firstLine="6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附件3：工程质量保修书</w:t>
      </w:r>
    </w:p>
    <w:p w14:paraId="73921A2A">
      <w:pPr>
        <w:pageBreakBefore w:val="0"/>
        <w:wordWrap/>
        <w:overflowPunct/>
        <w:topLinePunct w:val="0"/>
        <w:bidi w:val="0"/>
        <w:spacing w:after="0" w:line="440" w:lineRule="exact"/>
        <w:ind w:firstLine="6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附件4：主要建设工程文件目录</w:t>
      </w:r>
    </w:p>
    <w:p w14:paraId="1D711464">
      <w:pPr>
        <w:pageBreakBefore w:val="0"/>
        <w:wordWrap/>
        <w:overflowPunct/>
        <w:topLinePunct w:val="0"/>
        <w:bidi w:val="0"/>
        <w:spacing w:after="0" w:line="440" w:lineRule="exact"/>
        <w:ind w:firstLine="6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附件5：承包人主要管理人员表</w:t>
      </w:r>
    </w:p>
    <w:p w14:paraId="4C32B39F">
      <w:pPr>
        <w:pageBreakBefore w:val="0"/>
        <w:wordWrap/>
        <w:overflowPunct/>
        <w:topLinePunct w:val="0"/>
        <w:bidi w:val="0"/>
        <w:spacing w:after="0" w:line="440" w:lineRule="exact"/>
        <w:ind w:firstLine="6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附件6：价格指数权重表</w:t>
      </w:r>
    </w:p>
    <w:p w14:paraId="7BE0CAC6">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p w14:paraId="170EFB98">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p w14:paraId="635967A2">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p w14:paraId="29DEB42A">
      <w:pPr>
        <w:pageBreakBefore w:val="0"/>
        <w:wordWrap/>
        <w:overflowPunct/>
        <w:topLinePunct w:val="0"/>
        <w:bidi w:val="0"/>
        <w:adjustRightInd/>
        <w:snapToGrid/>
        <w:spacing w:after="0" w:line="440" w:lineRule="exact"/>
        <w:ind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1518D7B5">
      <w:pPr>
        <w:pStyle w:val="218"/>
        <w:pageBreakBefore w:val="0"/>
        <w:numPr>
          <w:ilvl w:val="0"/>
          <w:numId w:val="0"/>
        </w:numPr>
        <w:wordWrap/>
        <w:overflowPunct/>
        <w:topLinePunct w:val="0"/>
        <w:bidi w:val="0"/>
        <w:spacing w:after="0" w:line="440" w:lineRule="exact"/>
        <w:textAlignment w:val="auto"/>
        <w:rPr>
          <w:rFonts w:hint="eastAsia" w:ascii="宋体" w:hAnsi="宋体" w:eastAsia="宋体" w:cs="宋体"/>
          <w:color w:val="auto"/>
          <w:sz w:val="21"/>
          <w:szCs w:val="21"/>
        </w:rPr>
      </w:pPr>
      <w:bookmarkStart w:id="828" w:name="_Toc54862352"/>
      <w:bookmarkStart w:id="829" w:name="_Hlk38571789"/>
      <w:r>
        <w:rPr>
          <w:rFonts w:hint="eastAsia" w:ascii="宋体" w:hAnsi="宋体" w:eastAsia="宋体" w:cs="宋体"/>
          <w:color w:val="auto"/>
          <w:sz w:val="21"/>
          <w:szCs w:val="21"/>
        </w:rPr>
        <w:t>附件1 《发包人要求》</w:t>
      </w:r>
      <w:bookmarkEnd w:id="828"/>
    </w:p>
    <w:bookmarkEnd w:id="829"/>
    <w:p w14:paraId="62FA559D">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63EE6CB5">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《发包人要求》通常包括但不限于以下内容：</w:t>
      </w:r>
    </w:p>
    <w:p w14:paraId="05F1008B">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一、功能要求</w:t>
      </w:r>
    </w:p>
    <w:p w14:paraId="06D8B72B">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（一）工程目的。</w:t>
      </w:r>
    </w:p>
    <w:p w14:paraId="1E6BD395">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（二）工程规模。</w:t>
      </w:r>
    </w:p>
    <w:p w14:paraId="554FD3B8">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（三）性能保证指标（性能保证表）。</w:t>
      </w:r>
    </w:p>
    <w:p w14:paraId="68D94778">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（四）产能保证指标。</w:t>
      </w:r>
    </w:p>
    <w:p w14:paraId="43BDD80E">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二、工程范围</w:t>
      </w:r>
    </w:p>
    <w:p w14:paraId="6AC4CCA6">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（一）概述</w:t>
      </w:r>
    </w:p>
    <w:p w14:paraId="44CE597C">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（二）包括的工作</w:t>
      </w:r>
    </w:p>
    <w:p w14:paraId="559F514C">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永久工程的设计、采购、施工范围。</w:t>
      </w:r>
    </w:p>
    <w:p w14:paraId="7F147F0F">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临时工程的设计与施工范围。</w:t>
      </w:r>
    </w:p>
    <w:p w14:paraId="2B14753D">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竣工验收工作范围。</w:t>
      </w:r>
    </w:p>
    <w:p w14:paraId="544600AD">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技术服务工作范围。</w:t>
      </w:r>
    </w:p>
    <w:p w14:paraId="5A4BE840">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培训工作范围。</w:t>
      </w:r>
    </w:p>
    <w:p w14:paraId="28EE38F2">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保修工作范围。</w:t>
      </w:r>
    </w:p>
    <w:p w14:paraId="591891A1">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（三）工作界区</w:t>
      </w:r>
    </w:p>
    <w:p w14:paraId="17AFE4AE">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（四）发包人提供的现场条件</w:t>
      </w:r>
    </w:p>
    <w:p w14:paraId="61C912D7">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施工用电。</w:t>
      </w:r>
    </w:p>
    <w:p w14:paraId="693B3C5D">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施工用水。</w:t>
      </w:r>
    </w:p>
    <w:p w14:paraId="0D71F2C7">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施工排水。</w:t>
      </w:r>
    </w:p>
    <w:p w14:paraId="21516371">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施工道路。</w:t>
      </w:r>
    </w:p>
    <w:p w14:paraId="4479F860">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（五）发包人提供的技术文件</w:t>
      </w:r>
    </w:p>
    <w:p w14:paraId="31A511F7">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除另有批准外，承包人的工作需要遵照发包人的下列技术文件:</w:t>
      </w:r>
    </w:p>
    <w:p w14:paraId="750A552E">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发包人需求任务书。</w:t>
      </w:r>
    </w:p>
    <w:p w14:paraId="5DFC641A">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发包人已完成的设计文件。</w:t>
      </w:r>
    </w:p>
    <w:p w14:paraId="3FC5248C">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三、工艺安排或要求（如有）</w:t>
      </w:r>
    </w:p>
    <w:p w14:paraId="4F26806E">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四、时间要求</w:t>
      </w:r>
    </w:p>
    <w:p w14:paraId="0A783356">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（一）开始工作时间。</w:t>
      </w:r>
    </w:p>
    <w:p w14:paraId="0A62C962">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（二）设计完成时间。</w:t>
      </w:r>
    </w:p>
    <w:p w14:paraId="155C4A37">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（三）进度计划。</w:t>
      </w:r>
    </w:p>
    <w:p w14:paraId="56F0C9FC">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（四）竣工时间。</w:t>
      </w:r>
    </w:p>
    <w:p w14:paraId="1E6FE3F3">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（五）缺陷责任期。</w:t>
      </w:r>
    </w:p>
    <w:p w14:paraId="1EBA7A90">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（六）其他时间要求。</w:t>
      </w:r>
    </w:p>
    <w:p w14:paraId="08F14FC7">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五、技术要求</w:t>
      </w:r>
    </w:p>
    <w:p w14:paraId="1FD1C4A4">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（一）设计阶段和设计任务。</w:t>
      </w:r>
    </w:p>
    <w:p w14:paraId="5FB0F03F">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（二）设计标准和规范。</w:t>
      </w:r>
    </w:p>
    <w:p w14:paraId="278AD424">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（三）技术标准和要求。</w:t>
      </w:r>
    </w:p>
    <w:p w14:paraId="33C67905">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（四）质量标准。</w:t>
      </w:r>
    </w:p>
    <w:p w14:paraId="1CFD82CF">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（五）设计、施工和设备监造、试验（如有）。</w:t>
      </w:r>
    </w:p>
    <w:p w14:paraId="2A3B6C76">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（六）样品。</w:t>
      </w:r>
    </w:p>
    <w:p w14:paraId="7FA19B27">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（七）发包人提供的其他条件，如发包人或其委托的第三人提供的设计、工艺包、用于试验检验的工器具等，以及据此对承包人提出的予以配套的要求。</w:t>
      </w:r>
    </w:p>
    <w:p w14:paraId="2F9C1823">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六、竣工试验</w:t>
      </w:r>
    </w:p>
    <w:p w14:paraId="056FA3FF">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（一）第一阶段，如对单车试验等的要求，包括试验前准备。</w:t>
      </w:r>
    </w:p>
    <w:p w14:paraId="755FE49A">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（二）第二阶段，如对联动试车、投料试车等的要求，包括人员、设备、材料、燃料、电力、消耗品、工具等必要条件。</w:t>
      </w:r>
    </w:p>
    <w:p w14:paraId="39AFCBD0">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（三）第三阶段，如对性能测试及其他竣工试验的要求，包括产能指标、产品质量标准、运营指标、环保指标等。</w:t>
      </w:r>
    </w:p>
    <w:p w14:paraId="6800621C">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七、竣工验收</w:t>
      </w:r>
    </w:p>
    <w:p w14:paraId="1444E320">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八、竣工后试验（如有）</w:t>
      </w:r>
    </w:p>
    <w:p w14:paraId="47203E42">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九、文件要求</w:t>
      </w:r>
    </w:p>
    <w:p w14:paraId="378B955A">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（一）设计文件，及其相关审批、核准、备案要求。</w:t>
      </w:r>
    </w:p>
    <w:p w14:paraId="505CB700">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（二）沟通计划。</w:t>
      </w:r>
    </w:p>
    <w:p w14:paraId="491DB96A">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（三）风险管理计划。</w:t>
      </w:r>
    </w:p>
    <w:p w14:paraId="5AA1BD04">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（四）竣工文件和工程的其他记录。</w:t>
      </w:r>
    </w:p>
    <w:p w14:paraId="05F5F460">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（五）操作和维修手册。</w:t>
      </w:r>
    </w:p>
    <w:p w14:paraId="059E3E5F">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（六）其他承包人文件。</w:t>
      </w:r>
    </w:p>
    <w:p w14:paraId="2F4B36C1">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十、工程项目管理规定</w:t>
      </w:r>
    </w:p>
    <w:p w14:paraId="1E7EACAD">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（一）质量。</w:t>
      </w:r>
    </w:p>
    <w:p w14:paraId="34FC202B">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（二）进度，包括里程碑进度计划（如果有）。</w:t>
      </w:r>
    </w:p>
    <w:p w14:paraId="7203DBFD">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（三）支付。</w:t>
      </w:r>
    </w:p>
    <w:p w14:paraId="18A9B613">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（四）HSE（健康、安全与环境管理体系）。</w:t>
      </w:r>
    </w:p>
    <w:p w14:paraId="2723184F">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（五）沟通。</w:t>
      </w:r>
    </w:p>
    <w:p w14:paraId="6EFE422E">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（六）变更。</w:t>
      </w:r>
    </w:p>
    <w:p w14:paraId="5CDCED11">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十一、其他要求</w:t>
      </w:r>
    </w:p>
    <w:p w14:paraId="62E7FD1D">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（一）对承包人的主要人员资格要求。</w:t>
      </w:r>
    </w:p>
    <w:p w14:paraId="1D3488C6">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（二）相关审批、核准和备案手续的办理。</w:t>
      </w:r>
    </w:p>
    <w:p w14:paraId="59093F53">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（三）对项目业主人员的操作培训。</w:t>
      </w:r>
    </w:p>
    <w:p w14:paraId="09BCD2AA">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（四）分包。</w:t>
      </w:r>
    </w:p>
    <w:p w14:paraId="4435EA23">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（五）设备供应商。</w:t>
      </w:r>
    </w:p>
    <w:p w14:paraId="286AE258">
      <w:pPr>
        <w:keepNext w:val="0"/>
        <w:keepLines w:val="0"/>
        <w:pageBreakBefore w:val="0"/>
        <w:widowControl w:val="0"/>
        <w:kinsoku/>
        <w:wordWrap/>
        <w:overflowPunct/>
        <w:topLinePunct w:val="0"/>
        <w:autoSpaceDE/>
        <w:autoSpaceDN/>
        <w:bidi w:val="0"/>
        <w:adjustRightInd/>
        <w:snapToGrid/>
        <w:spacing w:after="0" w:line="44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（六）缺陷责任期的服务要求。</w:t>
      </w:r>
    </w:p>
    <w:p w14:paraId="56495625">
      <w:pPr>
        <w:pageBreakBefore w:val="0"/>
        <w:wordWrap/>
        <w:overflowPunct/>
        <w:topLinePunct w:val="0"/>
        <w:bidi w:val="0"/>
        <w:adjustRightInd/>
        <w:snapToGrid/>
        <w:spacing w:after="0" w:line="440" w:lineRule="exact"/>
        <w:ind w:firstLine="0" w:firstLineChars="0"/>
        <w:jc w:val="left"/>
        <w:textAlignment w:val="auto"/>
        <w:rPr>
          <w:rFonts w:hint="eastAsia" w:ascii="宋体" w:hAnsi="宋体" w:eastAsia="宋体" w:cs="宋体"/>
          <w:color w:val="auto"/>
          <w:sz w:val="21"/>
          <w:szCs w:val="21"/>
        </w:rPr>
      </w:pPr>
    </w:p>
    <w:p w14:paraId="56C81E07">
      <w:pPr>
        <w:pageBreakBefore w:val="0"/>
        <w:wordWrap/>
        <w:overflowPunct/>
        <w:topLinePunct w:val="0"/>
        <w:bidi w:val="0"/>
        <w:adjustRightInd/>
        <w:snapToGrid/>
        <w:spacing w:after="0" w:line="440" w:lineRule="exact"/>
        <w:ind w:firstLine="0" w:firstLineChars="0"/>
        <w:jc w:val="left"/>
        <w:textAlignment w:val="auto"/>
        <w:rPr>
          <w:rFonts w:hint="eastAsia" w:ascii="宋体" w:hAnsi="宋体" w:eastAsia="宋体" w:cs="宋体"/>
          <w:color w:val="auto"/>
          <w:sz w:val="21"/>
          <w:szCs w:val="21"/>
        </w:rPr>
      </w:pPr>
    </w:p>
    <w:p w14:paraId="1B2C8407">
      <w:pPr>
        <w:rPr>
          <w:rFonts w:hint="eastAsia" w:ascii="宋体" w:hAnsi="宋体" w:eastAsia="宋体" w:cs="宋体"/>
          <w:color w:val="auto"/>
          <w:sz w:val="21"/>
          <w:szCs w:val="21"/>
        </w:rPr>
      </w:pPr>
      <w:bookmarkStart w:id="830" w:name="_Toc54862353"/>
      <w:bookmarkStart w:id="831" w:name="_Toc20171894"/>
      <w:r>
        <w:rPr>
          <w:rFonts w:hint="eastAsia" w:ascii="宋体" w:hAnsi="宋体" w:eastAsia="宋体" w:cs="宋体"/>
          <w:color w:val="auto"/>
          <w:sz w:val="21"/>
          <w:szCs w:val="21"/>
        </w:rPr>
        <w:br w:type="page"/>
      </w:r>
    </w:p>
    <w:p w14:paraId="5A3BFAED">
      <w:pPr>
        <w:pStyle w:val="218"/>
        <w:pageBreakBefore w:val="0"/>
        <w:numPr>
          <w:ilvl w:val="0"/>
          <w:numId w:val="0"/>
        </w:numPr>
        <w:wordWrap/>
        <w:overflowPunct/>
        <w:topLinePunct w:val="0"/>
        <w:bidi w:val="0"/>
        <w:spacing w:after="0"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附件2 发包人供应材料设备一览表</w:t>
      </w:r>
      <w:bookmarkEnd w:id="830"/>
      <w:bookmarkEnd w:id="831"/>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16F49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52" w:type="dxa"/>
            <w:noWrap w:val="0"/>
            <w:vAlign w:val="center"/>
          </w:tcPr>
          <w:p w14:paraId="36846DEF">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165" w:type="dxa"/>
            <w:noWrap w:val="0"/>
            <w:vAlign w:val="center"/>
          </w:tcPr>
          <w:p w14:paraId="2254D9DE">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材料、设备品种</w:t>
            </w:r>
          </w:p>
        </w:tc>
        <w:tc>
          <w:tcPr>
            <w:tcW w:w="1126" w:type="dxa"/>
            <w:noWrap w:val="0"/>
            <w:vAlign w:val="center"/>
          </w:tcPr>
          <w:p w14:paraId="57BE46F9">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规格型号</w:t>
            </w:r>
          </w:p>
        </w:tc>
        <w:tc>
          <w:tcPr>
            <w:tcW w:w="567" w:type="dxa"/>
            <w:noWrap w:val="0"/>
            <w:vAlign w:val="center"/>
          </w:tcPr>
          <w:p w14:paraId="25AECEEB">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单位</w:t>
            </w:r>
          </w:p>
        </w:tc>
        <w:tc>
          <w:tcPr>
            <w:tcW w:w="686" w:type="dxa"/>
            <w:noWrap w:val="0"/>
            <w:vAlign w:val="center"/>
          </w:tcPr>
          <w:p w14:paraId="60F6C994">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数量</w:t>
            </w:r>
          </w:p>
        </w:tc>
        <w:tc>
          <w:tcPr>
            <w:tcW w:w="992" w:type="dxa"/>
            <w:noWrap w:val="0"/>
            <w:vAlign w:val="center"/>
          </w:tcPr>
          <w:p w14:paraId="22CD1555">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单价（元）</w:t>
            </w:r>
          </w:p>
        </w:tc>
        <w:tc>
          <w:tcPr>
            <w:tcW w:w="1134" w:type="dxa"/>
            <w:noWrap w:val="0"/>
            <w:vAlign w:val="center"/>
          </w:tcPr>
          <w:p w14:paraId="6B01784D">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质量等级</w:t>
            </w:r>
          </w:p>
        </w:tc>
        <w:tc>
          <w:tcPr>
            <w:tcW w:w="1134" w:type="dxa"/>
            <w:noWrap w:val="0"/>
            <w:vAlign w:val="center"/>
          </w:tcPr>
          <w:p w14:paraId="5A68E1CB">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供应时间</w:t>
            </w:r>
          </w:p>
        </w:tc>
        <w:tc>
          <w:tcPr>
            <w:tcW w:w="1134" w:type="dxa"/>
            <w:noWrap w:val="0"/>
            <w:vAlign w:val="center"/>
          </w:tcPr>
          <w:p w14:paraId="0FD0C27E">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送达地点</w:t>
            </w:r>
          </w:p>
        </w:tc>
        <w:tc>
          <w:tcPr>
            <w:tcW w:w="709" w:type="dxa"/>
            <w:noWrap w:val="0"/>
            <w:vAlign w:val="center"/>
          </w:tcPr>
          <w:p w14:paraId="39C35EFA">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r>
      <w:tr w14:paraId="79F1E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43F0554A">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1EAE04D2">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2B81F1EA">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41E88F68">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41F5CEA1">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22B0AC89">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28CE726C">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5AF4CD91">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2A3C240A">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081C56B0">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1B9F4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27CCB887">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4CD0F287">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0C33B926">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17FD1B0C">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4C2411D7">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3CEA6458">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6AA6157D">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0BFF263E">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476BD3FC">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62939712">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28E91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7FAC91A1">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3DD595F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0E55B11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6D04897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5AF3710C">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5417CE28">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393372FC">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6A766ADD">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24E5CE3D">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6757159A">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6074C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79F62116">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4DF82CE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229EC3F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54652A4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2B6C721D">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79525C08">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66746F6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34EAB78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710291FC">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1BCE45E7">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0B89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40317682">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15F2682F">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2DED74A7">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2E300D07">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2016E200">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6DA46D9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2106FB88">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57037AFA">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7DD18569">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050942FD">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7DF1F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6E0567C9">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39A049D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2A50D46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10A49012">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1FC4BFED">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0D11DC52">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7C2826BD">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00860926">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2D3636C8">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07C1C7E8">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0D0FC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1DA0E1AF">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4C189638">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00B46082">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7E77269A">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56C36EC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06B8E318">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4B6A938F">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7D3F5E4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44BD184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6579E4A8">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2E633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7D34F9BD">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0ED564F0">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4306BC0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36419CFE">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4AAC2D92">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0BED54AA">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0738F7B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36F8D0BC">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0BD47DA1">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6A614625">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4094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05794B2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349507CC">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25F9527C">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6EBBC596">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76EBD8D6">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03A701F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72E6E2C7">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5678CE1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55E222CF">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12C73F56">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5684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77D1CB62">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77579BA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5AE9D8FF">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448EC7E6">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0C9BB0DC">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2758FC66">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481E9615">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73643869">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630EF9F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3687D54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0B09F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3C6997B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298A0C6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64B9DADF">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6DF3B9E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21E7B5AA">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12EFB2DA">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04CE6D91">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2CABF0FC">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6483844D">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29EC8D2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68151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3F320FAC">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2639C37D">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51411B1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29EF741D">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1B185B07">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6AB54AA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772910A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2B800366">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22667C2B">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6C84D43B">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0EDB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39BA6737">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5F606F7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60C353F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0D69399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69D05196">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1E3DF63D">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3E6DA8FF">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33749237">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11E7671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26C60C6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1AC6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5362E48C">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5773E7EE">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2EA3B3AE">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3568EE7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72FC5237">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591FD7B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009A621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5E5DFA8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52C3188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7E0B360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2AB5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5AAA1018">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156AECE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6158402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7ECD67B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1AC4BA8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381EA36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324D1F5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27E2610C">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18BA5D7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198447EF">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276B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0B7D7C7B">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0F2C9F6B">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6390AB7A">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54BAD69D">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652AC2B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127DE631">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34C032D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0FFD24D6">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2E6B991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38CE3DCE">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2178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208CD9E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3E365C06">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1E462C1A">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2384014A">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2FA25617">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5B757A1A">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3FB79D7C">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4B9DCFF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77823D8E">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3648521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28E8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noWrap w:val="0"/>
            <w:vAlign w:val="center"/>
          </w:tcPr>
          <w:p w14:paraId="1B2991AB">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65" w:type="dxa"/>
            <w:noWrap w:val="0"/>
            <w:vAlign w:val="center"/>
          </w:tcPr>
          <w:p w14:paraId="77C00696">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26" w:type="dxa"/>
            <w:noWrap w:val="0"/>
            <w:vAlign w:val="center"/>
          </w:tcPr>
          <w:p w14:paraId="2E4C338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567" w:type="dxa"/>
            <w:noWrap w:val="0"/>
            <w:vAlign w:val="center"/>
          </w:tcPr>
          <w:p w14:paraId="68D7F91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686" w:type="dxa"/>
            <w:noWrap w:val="0"/>
            <w:vAlign w:val="center"/>
          </w:tcPr>
          <w:p w14:paraId="6C9EEA18">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992" w:type="dxa"/>
            <w:noWrap w:val="0"/>
            <w:vAlign w:val="top"/>
          </w:tcPr>
          <w:p w14:paraId="532487B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030DCE3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7EE7E37C">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6F875426">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709" w:type="dxa"/>
            <w:noWrap w:val="0"/>
            <w:vAlign w:val="center"/>
          </w:tcPr>
          <w:p w14:paraId="0DEA773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bl>
    <w:p w14:paraId="1728CEE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p w14:paraId="4FDC074A">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21B51CAD">
      <w:pPr>
        <w:pStyle w:val="218"/>
        <w:pageBreakBefore w:val="0"/>
        <w:numPr>
          <w:ilvl w:val="0"/>
          <w:numId w:val="0"/>
        </w:numPr>
        <w:wordWrap/>
        <w:overflowPunct/>
        <w:topLinePunct w:val="0"/>
        <w:bidi w:val="0"/>
        <w:spacing w:after="0" w:line="440" w:lineRule="exact"/>
        <w:textAlignment w:val="auto"/>
        <w:rPr>
          <w:rFonts w:hint="eastAsia" w:ascii="宋体" w:hAnsi="宋体" w:eastAsia="宋体" w:cs="宋体"/>
          <w:color w:val="auto"/>
          <w:sz w:val="21"/>
          <w:szCs w:val="21"/>
        </w:rPr>
      </w:pPr>
      <w:bookmarkStart w:id="832" w:name="_Toc20171895"/>
      <w:bookmarkStart w:id="833" w:name="_Toc54862354"/>
      <w:r>
        <w:rPr>
          <w:rFonts w:hint="eastAsia" w:ascii="宋体" w:hAnsi="宋体" w:eastAsia="宋体" w:cs="宋体"/>
          <w:color w:val="auto"/>
          <w:sz w:val="21"/>
          <w:szCs w:val="21"/>
        </w:rPr>
        <w:t>附件3 工程质量保修书</w:t>
      </w:r>
      <w:bookmarkEnd w:id="832"/>
      <w:bookmarkEnd w:id="833"/>
    </w:p>
    <w:p w14:paraId="33B6D324">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发包人（全称）：</w:t>
      </w:r>
      <w:r>
        <w:rPr>
          <w:rFonts w:hint="eastAsia" w:ascii="宋体" w:hAnsi="宋体" w:eastAsia="宋体" w:cs="宋体"/>
          <w:color w:val="auto"/>
          <w:sz w:val="21"/>
          <w:szCs w:val="21"/>
          <w:u w:val="single"/>
        </w:rPr>
        <w:t xml:space="preserve">                                  </w:t>
      </w:r>
    </w:p>
    <w:p w14:paraId="28EA3D72">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68AE7506">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发包人和承包人根据《中华人民共和国建筑法》和《建设工程质量管理条例》，经协商一致就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（工程全称）订立工程质量保修书。</w:t>
      </w:r>
    </w:p>
    <w:p w14:paraId="0972BD64">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一、工程质量保修范围和内容</w:t>
      </w:r>
    </w:p>
    <w:p w14:paraId="33FF1815">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承包人在质量保修期内，按照有关法律规定和合同约定，承担工程质量保修责任。</w:t>
      </w:r>
    </w:p>
    <w:p w14:paraId="3E2EC4E8">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2B3B345">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二、质量保修期</w:t>
      </w:r>
    </w:p>
    <w:p w14:paraId="3DF08E79">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根据《建设工程质量管理条例》及有关规定，工程的质量保修期如下：</w:t>
      </w:r>
    </w:p>
    <w:p w14:paraId="7B18F781">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1．地基基础工程和主体结构工程为设计文件规定的工程合理使用年限；</w:t>
      </w:r>
    </w:p>
    <w:p w14:paraId="3C9C6789">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2．屋面防水工程、有防水要求的卫生间、房间和外墙面的防渗为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p>
    <w:p w14:paraId="3EC2612A">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3．装修工程为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p>
    <w:p w14:paraId="5D5152F9">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4．电气管线、给排水管道、设备安装工程为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p>
    <w:p w14:paraId="463186CC">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5．供热与供冷系统为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个采暖期、供冷期；</w:t>
      </w:r>
    </w:p>
    <w:p w14:paraId="36166E41">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6．住宅小区内的给排水设施、道路等配套工程为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p>
    <w:p w14:paraId="4B8DF5FA">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7．其他项目保修期限约定如下：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CD9F43A">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质量保修期自工程竣工验收合格之日起计算。</w:t>
      </w:r>
    </w:p>
    <w:p w14:paraId="081CEE18">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三、缺陷责任期</w:t>
      </w:r>
    </w:p>
    <w:p w14:paraId="75A69E37">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工程缺陷责任期为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个月，缺陷责任期自工程通过竣工验收之日起计算。单位/区段工程先于全部工程进行验收，单位/区段工程缺陷责任期自单位/区段工程验收合格之日起算。</w:t>
      </w:r>
    </w:p>
    <w:p w14:paraId="3D2422F5">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缺陷责任期终止后，发包人应返还剩余的质量保证金。</w:t>
      </w:r>
    </w:p>
    <w:p w14:paraId="6A74FD27">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四、质量保修责任</w:t>
      </w:r>
    </w:p>
    <w:p w14:paraId="55FBB2E6">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1．属于保修范围、内容的项目，承包人应当在接到保修通知之日起7天内派人保修。承包人不在约定期限内派人保修的，发包人可以委托他人修理。</w:t>
      </w:r>
    </w:p>
    <w:p w14:paraId="45C543B7">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2．发生紧急事故需抢修的，承包人在接到事故通知后，应当立即到达事故现场抢修。</w:t>
      </w:r>
    </w:p>
    <w:p w14:paraId="35C41CA7">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7334962C">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4．质量保修完成后，由发包人组织验收。</w:t>
      </w:r>
    </w:p>
    <w:p w14:paraId="617DAEC9">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五、保修费用</w:t>
      </w:r>
    </w:p>
    <w:p w14:paraId="05D0DA8D">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保修费用由造成质量缺陷的责任方承担。</w:t>
      </w:r>
    </w:p>
    <w:p w14:paraId="12187BB7">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六、双方约定的其他工程质量保修事项：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A1BAF2F">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工程质量保修书由发包人、承包人在工程竣工验收前共同签署，作为工程总承包合同附件，其有效期限至保修期满。</w:t>
      </w:r>
    </w:p>
    <w:p w14:paraId="21044B99">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p>
    <w:p w14:paraId="0119D594">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发包人(公章)：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承包人(公章)：          </w:t>
      </w:r>
    </w:p>
    <w:p w14:paraId="7AAE3DEC">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  址：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地  址：       </w:t>
      </w:r>
    </w:p>
    <w:p w14:paraId="7A16F412">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法定代表人(签字)：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法定代表人(签字)：       </w:t>
      </w:r>
    </w:p>
    <w:p w14:paraId="52E00D79">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委托代理人(签字)：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委托代理人(签字)：       </w:t>
      </w:r>
    </w:p>
    <w:p w14:paraId="1415D6E2">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  话：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电  话：</w:t>
      </w:r>
    </w:p>
    <w:p w14:paraId="49207E77">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传  真：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传  真：  </w:t>
      </w:r>
    </w:p>
    <w:p w14:paraId="35DCBD96">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开户银行：</w:t>
      </w:r>
    </w:p>
    <w:p w14:paraId="50B47C9F">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账  号：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账  号： </w:t>
      </w:r>
    </w:p>
    <w:p w14:paraId="36F786CC">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邮政编码：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邮政编码：   </w:t>
      </w:r>
    </w:p>
    <w:p w14:paraId="38A98125">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14BA2272">
      <w:pPr>
        <w:pStyle w:val="218"/>
        <w:pageBreakBefore w:val="0"/>
        <w:numPr>
          <w:ilvl w:val="0"/>
          <w:numId w:val="0"/>
        </w:numPr>
        <w:wordWrap/>
        <w:overflowPunct/>
        <w:topLinePunct w:val="0"/>
        <w:bidi w:val="0"/>
        <w:spacing w:after="0" w:line="440" w:lineRule="exact"/>
        <w:textAlignment w:val="auto"/>
        <w:rPr>
          <w:rFonts w:hint="eastAsia" w:ascii="宋体" w:hAnsi="宋体" w:eastAsia="宋体" w:cs="宋体"/>
          <w:color w:val="auto"/>
          <w:sz w:val="21"/>
          <w:szCs w:val="21"/>
        </w:rPr>
      </w:pPr>
      <w:bookmarkStart w:id="834" w:name="_Toc54862355"/>
      <w:bookmarkStart w:id="835" w:name="_Toc20171896"/>
      <w:r>
        <w:rPr>
          <w:rFonts w:hint="eastAsia" w:ascii="宋体" w:hAnsi="宋体" w:eastAsia="宋体" w:cs="宋体"/>
          <w:color w:val="auto"/>
          <w:sz w:val="21"/>
          <w:szCs w:val="21"/>
        </w:rPr>
        <w:t>附件4 主要建设工程文件目录</w:t>
      </w:r>
      <w:bookmarkEnd w:id="834"/>
      <w:bookmarkEnd w:id="835"/>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6A47C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125" w:type="dxa"/>
            <w:noWrap w:val="0"/>
            <w:vAlign w:val="center"/>
          </w:tcPr>
          <w:p w14:paraId="3BA0CC1D">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文件名称</w:t>
            </w:r>
          </w:p>
        </w:tc>
        <w:tc>
          <w:tcPr>
            <w:tcW w:w="1276" w:type="dxa"/>
            <w:noWrap w:val="0"/>
            <w:vAlign w:val="center"/>
          </w:tcPr>
          <w:p w14:paraId="66C4E517">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套数</w:t>
            </w:r>
          </w:p>
        </w:tc>
        <w:tc>
          <w:tcPr>
            <w:tcW w:w="1450" w:type="dxa"/>
            <w:noWrap w:val="0"/>
            <w:vAlign w:val="center"/>
          </w:tcPr>
          <w:p w14:paraId="7426973B">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费用（元）</w:t>
            </w:r>
          </w:p>
        </w:tc>
        <w:tc>
          <w:tcPr>
            <w:tcW w:w="1243" w:type="dxa"/>
            <w:noWrap w:val="0"/>
            <w:vAlign w:val="center"/>
          </w:tcPr>
          <w:p w14:paraId="50B15AF7">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质量</w:t>
            </w:r>
          </w:p>
        </w:tc>
        <w:tc>
          <w:tcPr>
            <w:tcW w:w="1450" w:type="dxa"/>
            <w:noWrap w:val="0"/>
            <w:vAlign w:val="top"/>
          </w:tcPr>
          <w:p w14:paraId="674B5CC3">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移交时间</w:t>
            </w:r>
          </w:p>
        </w:tc>
        <w:tc>
          <w:tcPr>
            <w:tcW w:w="1670" w:type="dxa"/>
            <w:noWrap w:val="0"/>
            <w:vAlign w:val="top"/>
          </w:tcPr>
          <w:p w14:paraId="2524D3A7">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责任人</w:t>
            </w:r>
          </w:p>
        </w:tc>
      </w:tr>
      <w:tr w14:paraId="6DB22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center"/>
          </w:tcPr>
          <w:p w14:paraId="73DFC095">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center"/>
          </w:tcPr>
          <w:p w14:paraId="72F1B1DD">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76FD8149">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center"/>
          </w:tcPr>
          <w:p w14:paraId="3AA48A9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764FBF0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center"/>
          </w:tcPr>
          <w:p w14:paraId="5A48CF8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4F554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center"/>
          </w:tcPr>
          <w:p w14:paraId="6B4D17CA">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center"/>
          </w:tcPr>
          <w:p w14:paraId="60CF180A">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54A48C0E">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center"/>
          </w:tcPr>
          <w:p w14:paraId="2CC2DEA9">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63893FCE">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center"/>
          </w:tcPr>
          <w:p w14:paraId="2EA92655">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6F2FF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center"/>
          </w:tcPr>
          <w:p w14:paraId="03B3F3B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center"/>
          </w:tcPr>
          <w:p w14:paraId="13F5C48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0B5CE011">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center"/>
          </w:tcPr>
          <w:p w14:paraId="79933F7E">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23E3AE3E">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center"/>
          </w:tcPr>
          <w:p w14:paraId="202879B1">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04511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center"/>
          </w:tcPr>
          <w:p w14:paraId="3C23C637">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center"/>
          </w:tcPr>
          <w:p w14:paraId="6F082E7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0E31FC09">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center"/>
          </w:tcPr>
          <w:p w14:paraId="4A0F9487">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5CCF5CD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center"/>
          </w:tcPr>
          <w:p w14:paraId="005681B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16216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center"/>
          </w:tcPr>
          <w:p w14:paraId="1C86807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center"/>
          </w:tcPr>
          <w:p w14:paraId="6D6FD74E">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0C2EDCD5">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center"/>
          </w:tcPr>
          <w:p w14:paraId="3F5A3EF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1E5D22CF">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center"/>
          </w:tcPr>
          <w:p w14:paraId="700BCDE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26B88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center"/>
          </w:tcPr>
          <w:p w14:paraId="2EF5305D">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center"/>
          </w:tcPr>
          <w:p w14:paraId="3C97A7EA">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735B1365">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center"/>
          </w:tcPr>
          <w:p w14:paraId="51D3A97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4BE83C40">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center"/>
          </w:tcPr>
          <w:p w14:paraId="59362B67">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79A64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center"/>
          </w:tcPr>
          <w:p w14:paraId="53B865E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center"/>
          </w:tcPr>
          <w:p w14:paraId="155ACAEC">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7DF3B0C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center"/>
          </w:tcPr>
          <w:p w14:paraId="4A699974">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7E27109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center"/>
          </w:tcPr>
          <w:p w14:paraId="25C6DCD0">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7834B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center"/>
          </w:tcPr>
          <w:p w14:paraId="75DCC181">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center"/>
          </w:tcPr>
          <w:p w14:paraId="6C17D40E">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44AB023C">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center"/>
          </w:tcPr>
          <w:p w14:paraId="786B408B">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7F71D87C">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center"/>
          </w:tcPr>
          <w:p w14:paraId="00275A35">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6988A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top"/>
          </w:tcPr>
          <w:p w14:paraId="51B76DB8">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top"/>
          </w:tcPr>
          <w:p w14:paraId="0081C41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4FEDBF1B">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top"/>
          </w:tcPr>
          <w:p w14:paraId="41FB1A22">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1867A9C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top"/>
          </w:tcPr>
          <w:p w14:paraId="72C3A0A8">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4B56A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center"/>
          </w:tcPr>
          <w:p w14:paraId="1438F99E">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center"/>
          </w:tcPr>
          <w:p w14:paraId="077729EE">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360BEFA1">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center"/>
          </w:tcPr>
          <w:p w14:paraId="0C36146A">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center"/>
          </w:tcPr>
          <w:p w14:paraId="4C7FB0BF">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center"/>
          </w:tcPr>
          <w:p w14:paraId="28650356">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30E8A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top"/>
          </w:tcPr>
          <w:p w14:paraId="36C6287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top"/>
          </w:tcPr>
          <w:p w14:paraId="540325D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151CD43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top"/>
          </w:tcPr>
          <w:p w14:paraId="0643A13F">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5D7D9CE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top"/>
          </w:tcPr>
          <w:p w14:paraId="763EE4B1">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711A7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top"/>
          </w:tcPr>
          <w:p w14:paraId="4EDDDA9D">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top"/>
          </w:tcPr>
          <w:p w14:paraId="3C529D9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48B4722E">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top"/>
          </w:tcPr>
          <w:p w14:paraId="5EE13FCA">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187CCCFB">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top"/>
          </w:tcPr>
          <w:p w14:paraId="5E24939B">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6740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top"/>
          </w:tcPr>
          <w:p w14:paraId="1AE8A57C">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top"/>
          </w:tcPr>
          <w:p w14:paraId="5721366D">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17E24D51">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top"/>
          </w:tcPr>
          <w:p w14:paraId="1AEB5C4B">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15AB37D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top"/>
          </w:tcPr>
          <w:p w14:paraId="4A48B19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2F49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top"/>
          </w:tcPr>
          <w:p w14:paraId="4BF0123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top"/>
          </w:tcPr>
          <w:p w14:paraId="4E3B65B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773EC9E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top"/>
          </w:tcPr>
          <w:p w14:paraId="74397B1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76DEB49C">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top"/>
          </w:tcPr>
          <w:p w14:paraId="5F47BD91">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7A81E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top"/>
          </w:tcPr>
          <w:p w14:paraId="638FC41A">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top"/>
          </w:tcPr>
          <w:p w14:paraId="610C286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65537D67">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top"/>
          </w:tcPr>
          <w:p w14:paraId="79D80FF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32DAC55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top"/>
          </w:tcPr>
          <w:p w14:paraId="449856DE">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734A3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top"/>
          </w:tcPr>
          <w:p w14:paraId="29FE132D">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top"/>
          </w:tcPr>
          <w:p w14:paraId="48112BD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34988B5A">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top"/>
          </w:tcPr>
          <w:p w14:paraId="7104B631">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1F14C51E">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top"/>
          </w:tcPr>
          <w:p w14:paraId="3D6E6E4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55827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top"/>
          </w:tcPr>
          <w:p w14:paraId="2D7707F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top"/>
          </w:tcPr>
          <w:p w14:paraId="2208EDB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290C27F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top"/>
          </w:tcPr>
          <w:p w14:paraId="0C256AAD">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658C85E4">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top"/>
          </w:tcPr>
          <w:p w14:paraId="5C8297E2">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550BE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top"/>
          </w:tcPr>
          <w:p w14:paraId="6D46B0A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top"/>
          </w:tcPr>
          <w:p w14:paraId="01B2796F">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761E43E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top"/>
          </w:tcPr>
          <w:p w14:paraId="0E19F07C">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6FC1AE73">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top"/>
          </w:tcPr>
          <w:p w14:paraId="3E34721D">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r w14:paraId="2597C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noWrap w:val="0"/>
            <w:vAlign w:val="top"/>
          </w:tcPr>
          <w:p w14:paraId="077C68C8">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76" w:type="dxa"/>
            <w:noWrap w:val="0"/>
            <w:vAlign w:val="top"/>
          </w:tcPr>
          <w:p w14:paraId="499CE02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425B9B05">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243" w:type="dxa"/>
            <w:noWrap w:val="0"/>
            <w:vAlign w:val="top"/>
          </w:tcPr>
          <w:p w14:paraId="4B2B0B26">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50" w:type="dxa"/>
            <w:noWrap w:val="0"/>
            <w:vAlign w:val="top"/>
          </w:tcPr>
          <w:p w14:paraId="45D0AE31">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670" w:type="dxa"/>
            <w:noWrap w:val="0"/>
            <w:vAlign w:val="top"/>
          </w:tcPr>
          <w:p w14:paraId="48C3753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bl>
    <w:p w14:paraId="4076CD19">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p w14:paraId="45715220">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p w14:paraId="00B33825">
      <w:pPr>
        <w:pageBreakBefore w:val="0"/>
        <w:wordWrap/>
        <w:overflowPunct/>
        <w:topLinePunct w:val="0"/>
        <w:bidi w:val="0"/>
        <w:spacing w:after="0" w:line="440" w:lineRule="exact"/>
        <w:textAlignment w:val="auto"/>
        <w:rPr>
          <w:rFonts w:hint="eastAsia" w:ascii="宋体" w:hAnsi="宋体" w:eastAsia="宋体" w:cs="宋体"/>
          <w:color w:val="auto"/>
          <w:sz w:val="21"/>
          <w:szCs w:val="21"/>
        </w:rPr>
        <w:sectPr>
          <w:pgSz w:w="11906" w:h="16838"/>
          <w:pgMar w:top="1247" w:right="1247" w:bottom="1247" w:left="1247" w:header="850" w:footer="998" w:gutter="0"/>
          <w:pgNumType w:fmt="decimal"/>
          <w:cols w:space="720" w:num="1"/>
          <w:docGrid w:linePitch="326" w:charSpace="0"/>
        </w:sectPr>
      </w:pPr>
    </w:p>
    <w:p w14:paraId="7AEBEEC0">
      <w:pPr>
        <w:pStyle w:val="218"/>
        <w:pageBreakBefore w:val="0"/>
        <w:numPr>
          <w:ilvl w:val="0"/>
          <w:numId w:val="0"/>
        </w:numPr>
        <w:wordWrap/>
        <w:overflowPunct/>
        <w:topLinePunct w:val="0"/>
        <w:bidi w:val="0"/>
        <w:spacing w:after="0" w:line="440" w:lineRule="exact"/>
        <w:textAlignment w:val="auto"/>
        <w:rPr>
          <w:rFonts w:hint="eastAsia" w:ascii="宋体" w:hAnsi="宋体" w:eastAsia="宋体" w:cs="宋体"/>
          <w:color w:val="auto"/>
          <w:sz w:val="21"/>
          <w:szCs w:val="21"/>
        </w:rPr>
      </w:pPr>
      <w:bookmarkStart w:id="836" w:name="_Toc54862356"/>
      <w:bookmarkStart w:id="837" w:name="_Toc20171897"/>
      <w:r>
        <w:rPr>
          <w:rFonts w:hint="eastAsia" w:ascii="宋体" w:hAnsi="宋体" w:eastAsia="宋体" w:cs="宋体"/>
          <w:color w:val="auto"/>
          <w:sz w:val="21"/>
          <w:szCs w:val="21"/>
        </w:rPr>
        <w:t>附件5 承包人主要管理人员表</w:t>
      </w:r>
      <w:bookmarkEnd w:id="836"/>
      <w:bookmarkEnd w:id="837"/>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505"/>
        <w:gridCol w:w="1418"/>
        <w:gridCol w:w="1134"/>
        <w:gridCol w:w="1134"/>
        <w:gridCol w:w="3896"/>
      </w:tblGrid>
      <w:tr w14:paraId="729C9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6FADA8CA">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名    称</w:t>
            </w:r>
          </w:p>
        </w:tc>
        <w:tc>
          <w:tcPr>
            <w:tcW w:w="1418" w:type="dxa"/>
            <w:noWrap w:val="0"/>
            <w:vAlign w:val="center"/>
          </w:tcPr>
          <w:p w14:paraId="7BC3934D">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134" w:type="dxa"/>
            <w:noWrap w:val="0"/>
            <w:vAlign w:val="center"/>
          </w:tcPr>
          <w:p w14:paraId="3AA49A38">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职务</w:t>
            </w:r>
          </w:p>
        </w:tc>
        <w:tc>
          <w:tcPr>
            <w:tcW w:w="1134" w:type="dxa"/>
            <w:noWrap w:val="0"/>
            <w:vAlign w:val="center"/>
          </w:tcPr>
          <w:p w14:paraId="22746D2E">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3896" w:type="dxa"/>
            <w:noWrap w:val="0"/>
            <w:vAlign w:val="center"/>
          </w:tcPr>
          <w:p w14:paraId="5A85C054">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主要资历、经验及承担过的项目</w:t>
            </w:r>
          </w:p>
        </w:tc>
      </w:tr>
      <w:tr w14:paraId="6C0AA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087" w:type="dxa"/>
            <w:gridSpan w:val="5"/>
            <w:noWrap w:val="0"/>
            <w:vAlign w:val="center"/>
          </w:tcPr>
          <w:p w14:paraId="436B28EF">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一、总部人员</w:t>
            </w:r>
          </w:p>
        </w:tc>
      </w:tr>
      <w:tr w14:paraId="708BC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7730730D">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项目主管</w:t>
            </w:r>
          </w:p>
        </w:tc>
        <w:tc>
          <w:tcPr>
            <w:tcW w:w="1418" w:type="dxa"/>
            <w:noWrap w:val="0"/>
            <w:vAlign w:val="center"/>
          </w:tcPr>
          <w:p w14:paraId="6527CC5C">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36A45F39">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1727B023">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79D17D4C">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53671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6F972386">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418" w:type="dxa"/>
            <w:noWrap w:val="0"/>
            <w:vAlign w:val="center"/>
          </w:tcPr>
          <w:p w14:paraId="05946C37">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3CD1137F">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73C2F39E">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1EF8BD4B">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0B943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678E5911">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其他人员</w:t>
            </w:r>
          </w:p>
        </w:tc>
        <w:tc>
          <w:tcPr>
            <w:tcW w:w="1418" w:type="dxa"/>
            <w:noWrap w:val="0"/>
            <w:vAlign w:val="center"/>
          </w:tcPr>
          <w:p w14:paraId="20C92C31">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05A1150C">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17FE1A2B">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6AC91995">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3F0E9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1B0E1372">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418" w:type="dxa"/>
            <w:noWrap w:val="0"/>
            <w:vAlign w:val="center"/>
          </w:tcPr>
          <w:p w14:paraId="13BA420D">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6B9BD03F">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6EBB07B1">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6E8AF905">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39BA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087" w:type="dxa"/>
            <w:gridSpan w:val="5"/>
            <w:noWrap w:val="0"/>
            <w:vAlign w:val="center"/>
          </w:tcPr>
          <w:p w14:paraId="6E8795E9">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二、现场人员</w:t>
            </w:r>
          </w:p>
        </w:tc>
      </w:tr>
      <w:tr w14:paraId="752F7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3C582BB1">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工程总承包</w:t>
            </w:r>
          </w:p>
          <w:p w14:paraId="7C50B092">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项目经理</w:t>
            </w:r>
          </w:p>
        </w:tc>
        <w:tc>
          <w:tcPr>
            <w:tcW w:w="1418" w:type="dxa"/>
            <w:noWrap w:val="0"/>
            <w:vAlign w:val="center"/>
          </w:tcPr>
          <w:p w14:paraId="3867BD00">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572142D5">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34FAC73B">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61E67078">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p w14:paraId="4F26804D">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1D34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1CE2F979">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项目副经理</w:t>
            </w:r>
          </w:p>
        </w:tc>
        <w:tc>
          <w:tcPr>
            <w:tcW w:w="1418" w:type="dxa"/>
            <w:noWrap w:val="0"/>
            <w:vAlign w:val="center"/>
          </w:tcPr>
          <w:p w14:paraId="1F2614CF">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6A34DDD5">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49B84C25">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552885DC">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49CA7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32A4358D">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设计负责人</w:t>
            </w:r>
          </w:p>
        </w:tc>
        <w:tc>
          <w:tcPr>
            <w:tcW w:w="1418" w:type="dxa"/>
            <w:noWrap w:val="0"/>
            <w:vAlign w:val="center"/>
          </w:tcPr>
          <w:p w14:paraId="54F8FFFF">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52EA0260">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32A6CA74">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3B36CCC3">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33AE7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6A9791B0">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采购负责人</w:t>
            </w:r>
          </w:p>
        </w:tc>
        <w:tc>
          <w:tcPr>
            <w:tcW w:w="1418" w:type="dxa"/>
            <w:noWrap w:val="0"/>
            <w:vAlign w:val="center"/>
          </w:tcPr>
          <w:p w14:paraId="1904F1D7">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127AA74D">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20C247D1">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4A690E02">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13201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5BEA9950">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施工负责人</w:t>
            </w:r>
          </w:p>
        </w:tc>
        <w:tc>
          <w:tcPr>
            <w:tcW w:w="1418" w:type="dxa"/>
            <w:noWrap w:val="0"/>
            <w:vAlign w:val="center"/>
          </w:tcPr>
          <w:p w14:paraId="23B6B4D4">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72E48D0E">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0BCF3F43">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348C161B">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5E604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4D14ECBC">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技术负责人</w:t>
            </w:r>
          </w:p>
        </w:tc>
        <w:tc>
          <w:tcPr>
            <w:tcW w:w="1418" w:type="dxa"/>
            <w:noWrap w:val="0"/>
            <w:vAlign w:val="center"/>
          </w:tcPr>
          <w:p w14:paraId="7ADE9959">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0AB79E10">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7DBD1BD9">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7FC3BEF4">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5DD6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4B22BDAE">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造价管理</w:t>
            </w:r>
          </w:p>
        </w:tc>
        <w:tc>
          <w:tcPr>
            <w:tcW w:w="1418" w:type="dxa"/>
            <w:noWrap w:val="0"/>
            <w:vAlign w:val="center"/>
          </w:tcPr>
          <w:p w14:paraId="0BD71D4A">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027F456E">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0E0CE16F">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7F68607F">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6CB2A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18521648">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质量管理</w:t>
            </w:r>
          </w:p>
        </w:tc>
        <w:tc>
          <w:tcPr>
            <w:tcW w:w="1418" w:type="dxa"/>
            <w:noWrap w:val="0"/>
            <w:vAlign w:val="center"/>
          </w:tcPr>
          <w:p w14:paraId="76F49F91">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15144171">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6E2F0562">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2958D08C">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2BD82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13CF01BA">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计划管理</w:t>
            </w:r>
          </w:p>
        </w:tc>
        <w:tc>
          <w:tcPr>
            <w:tcW w:w="1418" w:type="dxa"/>
            <w:noWrap w:val="0"/>
            <w:vAlign w:val="center"/>
          </w:tcPr>
          <w:p w14:paraId="703559B1">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4A35D015">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0EB65701">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369715CA">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2C8F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7E477358">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安全管理</w:t>
            </w:r>
          </w:p>
        </w:tc>
        <w:tc>
          <w:tcPr>
            <w:tcW w:w="1418" w:type="dxa"/>
            <w:noWrap w:val="0"/>
            <w:vAlign w:val="center"/>
          </w:tcPr>
          <w:p w14:paraId="2AF26C44">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156F7AD4">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68B5B99F">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1482C0D1">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2C60A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noWrap w:val="0"/>
            <w:vAlign w:val="center"/>
          </w:tcPr>
          <w:p w14:paraId="2A185C0E">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环境管理</w:t>
            </w:r>
          </w:p>
        </w:tc>
        <w:tc>
          <w:tcPr>
            <w:tcW w:w="1418" w:type="dxa"/>
            <w:noWrap w:val="0"/>
            <w:vAlign w:val="center"/>
          </w:tcPr>
          <w:p w14:paraId="7BC24562">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5B624B56">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7F5A9624">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3D411773">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18BE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vMerge w:val="restart"/>
            <w:noWrap w:val="0"/>
            <w:vAlign w:val="center"/>
          </w:tcPr>
          <w:p w14:paraId="4150559E">
            <w:pPr>
              <w:pStyle w:val="9"/>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其他人员</w:t>
            </w:r>
          </w:p>
        </w:tc>
        <w:tc>
          <w:tcPr>
            <w:tcW w:w="1418" w:type="dxa"/>
            <w:noWrap w:val="0"/>
            <w:vAlign w:val="center"/>
          </w:tcPr>
          <w:p w14:paraId="55473F5A">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4FA68C83">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3D9C2FB3">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3AA54B03">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72DC3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vMerge w:val="continue"/>
            <w:noWrap w:val="0"/>
            <w:vAlign w:val="center"/>
          </w:tcPr>
          <w:p w14:paraId="09F0CADC">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418" w:type="dxa"/>
            <w:noWrap w:val="0"/>
            <w:vAlign w:val="center"/>
          </w:tcPr>
          <w:p w14:paraId="3F3BC97C">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2D2DEF2B">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59155602">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71EF3F2A">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6AD38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vMerge w:val="continue"/>
            <w:noWrap w:val="0"/>
            <w:vAlign w:val="center"/>
          </w:tcPr>
          <w:p w14:paraId="40EC798F">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418" w:type="dxa"/>
            <w:noWrap w:val="0"/>
            <w:vAlign w:val="center"/>
          </w:tcPr>
          <w:p w14:paraId="26A071CB">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6787B034">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2DED3336">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055FC5FE">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265B2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vMerge w:val="continue"/>
            <w:noWrap w:val="0"/>
            <w:vAlign w:val="center"/>
          </w:tcPr>
          <w:p w14:paraId="12761B57">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418" w:type="dxa"/>
            <w:noWrap w:val="0"/>
            <w:vAlign w:val="center"/>
          </w:tcPr>
          <w:p w14:paraId="0F02310F">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2DCD1936">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193DA030">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473868EB">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793A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vMerge w:val="continue"/>
            <w:noWrap w:val="0"/>
            <w:vAlign w:val="center"/>
          </w:tcPr>
          <w:p w14:paraId="3B05FC3D">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418" w:type="dxa"/>
            <w:noWrap w:val="0"/>
            <w:vAlign w:val="center"/>
          </w:tcPr>
          <w:p w14:paraId="4BCA605F">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3BA098F8">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1134" w:type="dxa"/>
            <w:noWrap w:val="0"/>
            <w:vAlign w:val="center"/>
          </w:tcPr>
          <w:p w14:paraId="346EC238">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c>
          <w:tcPr>
            <w:tcW w:w="3896" w:type="dxa"/>
            <w:noWrap w:val="0"/>
            <w:vAlign w:val="center"/>
          </w:tcPr>
          <w:p w14:paraId="59281DE7">
            <w:pPr>
              <w:pStyle w:val="9"/>
              <w:pageBreakBefore w:val="0"/>
              <w:wordWrap/>
              <w:overflowPunct/>
              <w:topLinePunct w:val="0"/>
              <w:bidi w:val="0"/>
              <w:spacing w:after="0" w:line="440" w:lineRule="exact"/>
              <w:ind w:firstLine="420"/>
              <w:textAlignment w:val="auto"/>
              <w:rPr>
                <w:rFonts w:hint="eastAsia" w:ascii="宋体" w:hAnsi="宋体" w:eastAsia="宋体" w:cs="宋体"/>
                <w:color w:val="auto"/>
                <w:sz w:val="21"/>
                <w:szCs w:val="21"/>
              </w:rPr>
            </w:pPr>
          </w:p>
        </w:tc>
      </w:tr>
      <w:tr w14:paraId="31D8C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505" w:type="dxa"/>
            <w:vMerge w:val="continue"/>
            <w:noWrap w:val="0"/>
            <w:vAlign w:val="center"/>
          </w:tcPr>
          <w:p w14:paraId="2DBEF729">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418" w:type="dxa"/>
            <w:noWrap w:val="0"/>
            <w:vAlign w:val="center"/>
          </w:tcPr>
          <w:p w14:paraId="0B451EC7">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1833601E">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1134" w:type="dxa"/>
            <w:noWrap w:val="0"/>
            <w:vAlign w:val="center"/>
          </w:tcPr>
          <w:p w14:paraId="4765F523">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c>
          <w:tcPr>
            <w:tcW w:w="3896" w:type="dxa"/>
            <w:noWrap w:val="0"/>
            <w:vAlign w:val="center"/>
          </w:tcPr>
          <w:p w14:paraId="26DC2A77">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rPr>
            </w:pPr>
          </w:p>
        </w:tc>
      </w:tr>
    </w:tbl>
    <w:p w14:paraId="11EA10DB">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14:paraId="45CB6F84">
      <w:pPr>
        <w:pStyle w:val="218"/>
        <w:pageBreakBefore w:val="0"/>
        <w:numPr>
          <w:ilvl w:val="0"/>
          <w:numId w:val="0"/>
        </w:numPr>
        <w:wordWrap/>
        <w:overflowPunct/>
        <w:topLinePunct w:val="0"/>
        <w:bidi w:val="0"/>
        <w:spacing w:after="0" w:line="440" w:lineRule="exact"/>
        <w:textAlignment w:val="auto"/>
        <w:rPr>
          <w:rFonts w:hint="eastAsia" w:ascii="宋体" w:hAnsi="宋体" w:eastAsia="宋体" w:cs="宋体"/>
          <w:color w:val="auto"/>
          <w:sz w:val="21"/>
          <w:szCs w:val="21"/>
        </w:rPr>
      </w:pPr>
      <w:bookmarkStart w:id="838" w:name="_Toc54862357"/>
      <w:r>
        <w:rPr>
          <w:rFonts w:hint="eastAsia" w:ascii="宋体" w:hAnsi="宋体" w:eastAsia="宋体" w:cs="宋体"/>
          <w:color w:val="auto"/>
          <w:sz w:val="21"/>
          <w:szCs w:val="21"/>
        </w:rPr>
        <w:t>附件6 价格指数权重表</w:t>
      </w:r>
      <w:bookmarkEnd w:id="838"/>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14:paraId="5098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829" w:type="dxa"/>
            <w:vMerge w:val="restart"/>
            <w:noWrap w:val="0"/>
            <w:vAlign w:val="center"/>
          </w:tcPr>
          <w:p w14:paraId="03417C87">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460" w:type="dxa"/>
            <w:gridSpan w:val="2"/>
            <w:vMerge w:val="restart"/>
            <w:noWrap w:val="0"/>
            <w:vAlign w:val="center"/>
          </w:tcPr>
          <w:p w14:paraId="3845B669">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名称</w:t>
            </w:r>
          </w:p>
        </w:tc>
        <w:tc>
          <w:tcPr>
            <w:tcW w:w="2295" w:type="dxa"/>
            <w:gridSpan w:val="2"/>
            <w:noWrap w:val="0"/>
            <w:vAlign w:val="center"/>
          </w:tcPr>
          <w:p w14:paraId="098B8255">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变更权重B</w:t>
            </w:r>
          </w:p>
        </w:tc>
        <w:tc>
          <w:tcPr>
            <w:tcW w:w="2445" w:type="dxa"/>
            <w:gridSpan w:val="2"/>
            <w:noWrap w:val="0"/>
            <w:vAlign w:val="center"/>
          </w:tcPr>
          <w:p w14:paraId="1CF84679">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基本价格指数F0</w:t>
            </w:r>
          </w:p>
        </w:tc>
        <w:tc>
          <w:tcPr>
            <w:tcW w:w="1380" w:type="dxa"/>
            <w:noWrap w:val="0"/>
            <w:vAlign w:val="center"/>
          </w:tcPr>
          <w:p w14:paraId="57613735">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r>
      <w:tr w14:paraId="4D59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29" w:type="dxa"/>
            <w:vMerge w:val="continue"/>
            <w:noWrap w:val="0"/>
            <w:vAlign w:val="center"/>
          </w:tcPr>
          <w:p w14:paraId="0629CAF5">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460" w:type="dxa"/>
            <w:gridSpan w:val="2"/>
            <w:vMerge w:val="continue"/>
            <w:noWrap w:val="0"/>
            <w:vAlign w:val="center"/>
          </w:tcPr>
          <w:p w14:paraId="448FFDE6">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5179E9AC">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代号</w:t>
            </w:r>
          </w:p>
        </w:tc>
        <w:tc>
          <w:tcPr>
            <w:tcW w:w="1080" w:type="dxa"/>
            <w:noWrap w:val="0"/>
            <w:vAlign w:val="center"/>
          </w:tcPr>
          <w:p w14:paraId="25A72214">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权重</w:t>
            </w:r>
          </w:p>
        </w:tc>
        <w:tc>
          <w:tcPr>
            <w:tcW w:w="1215" w:type="dxa"/>
            <w:noWrap w:val="0"/>
            <w:vAlign w:val="center"/>
          </w:tcPr>
          <w:p w14:paraId="7A685C7B">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代号</w:t>
            </w:r>
          </w:p>
        </w:tc>
        <w:tc>
          <w:tcPr>
            <w:tcW w:w="1230" w:type="dxa"/>
            <w:noWrap w:val="0"/>
            <w:vAlign w:val="center"/>
          </w:tcPr>
          <w:p w14:paraId="69FBA8D1">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指数</w:t>
            </w:r>
          </w:p>
        </w:tc>
        <w:tc>
          <w:tcPr>
            <w:tcW w:w="1380" w:type="dxa"/>
            <w:noWrap w:val="0"/>
            <w:vAlign w:val="center"/>
          </w:tcPr>
          <w:p w14:paraId="47EA8F24">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r>
      <w:tr w14:paraId="57E64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4CF9C5BA">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584" w:type="dxa"/>
            <w:vMerge w:val="restart"/>
            <w:noWrap w:val="0"/>
            <w:vAlign w:val="center"/>
          </w:tcPr>
          <w:p w14:paraId="4236CF22">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变</w:t>
            </w:r>
          </w:p>
          <w:p w14:paraId="23435F11">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值</w:t>
            </w:r>
          </w:p>
          <w:p w14:paraId="6A6A62C5">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部</w:t>
            </w:r>
          </w:p>
          <w:p w14:paraId="681D4331">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分</w:t>
            </w:r>
          </w:p>
        </w:tc>
        <w:tc>
          <w:tcPr>
            <w:tcW w:w="876" w:type="dxa"/>
            <w:noWrap w:val="0"/>
            <w:vAlign w:val="center"/>
          </w:tcPr>
          <w:p w14:paraId="0080708C">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6F378F0E">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B1</w:t>
            </w:r>
          </w:p>
        </w:tc>
        <w:tc>
          <w:tcPr>
            <w:tcW w:w="1080" w:type="dxa"/>
            <w:noWrap w:val="0"/>
            <w:vAlign w:val="center"/>
          </w:tcPr>
          <w:p w14:paraId="77A13C60">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25A1C467">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F01</w:t>
            </w:r>
          </w:p>
        </w:tc>
        <w:tc>
          <w:tcPr>
            <w:tcW w:w="1230" w:type="dxa"/>
            <w:noWrap w:val="0"/>
            <w:vAlign w:val="center"/>
          </w:tcPr>
          <w:p w14:paraId="5C5D396C">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380" w:type="dxa"/>
            <w:noWrap w:val="0"/>
            <w:vAlign w:val="center"/>
          </w:tcPr>
          <w:p w14:paraId="24E2B9CA">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r>
      <w:tr w14:paraId="4C05E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6768EB73">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584" w:type="dxa"/>
            <w:vMerge w:val="continue"/>
            <w:noWrap w:val="0"/>
            <w:vAlign w:val="center"/>
          </w:tcPr>
          <w:p w14:paraId="42931845">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876" w:type="dxa"/>
            <w:noWrap w:val="0"/>
            <w:vAlign w:val="center"/>
          </w:tcPr>
          <w:p w14:paraId="3F7217AC">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6E0470CC">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B2</w:t>
            </w:r>
          </w:p>
        </w:tc>
        <w:tc>
          <w:tcPr>
            <w:tcW w:w="1080" w:type="dxa"/>
            <w:noWrap w:val="0"/>
            <w:vAlign w:val="center"/>
          </w:tcPr>
          <w:p w14:paraId="7A94C8F0">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1AB234EE">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F02</w:t>
            </w:r>
          </w:p>
        </w:tc>
        <w:tc>
          <w:tcPr>
            <w:tcW w:w="1230" w:type="dxa"/>
            <w:noWrap w:val="0"/>
            <w:vAlign w:val="center"/>
          </w:tcPr>
          <w:p w14:paraId="08386483">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380" w:type="dxa"/>
            <w:noWrap w:val="0"/>
            <w:vAlign w:val="center"/>
          </w:tcPr>
          <w:p w14:paraId="3F7C6211">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r>
      <w:tr w14:paraId="2962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39E1741C">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584" w:type="dxa"/>
            <w:vMerge w:val="continue"/>
            <w:noWrap w:val="0"/>
            <w:vAlign w:val="center"/>
          </w:tcPr>
          <w:p w14:paraId="26AF25E9">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876" w:type="dxa"/>
            <w:noWrap w:val="0"/>
            <w:vAlign w:val="center"/>
          </w:tcPr>
          <w:p w14:paraId="687C65C1">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07A31BC5">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B3</w:t>
            </w:r>
          </w:p>
        </w:tc>
        <w:tc>
          <w:tcPr>
            <w:tcW w:w="1080" w:type="dxa"/>
            <w:noWrap w:val="0"/>
            <w:vAlign w:val="center"/>
          </w:tcPr>
          <w:p w14:paraId="7D2B78DC">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7F0393FD">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F03</w:t>
            </w:r>
          </w:p>
        </w:tc>
        <w:tc>
          <w:tcPr>
            <w:tcW w:w="1230" w:type="dxa"/>
            <w:noWrap w:val="0"/>
            <w:vAlign w:val="center"/>
          </w:tcPr>
          <w:p w14:paraId="2B6633FB">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380" w:type="dxa"/>
            <w:noWrap w:val="0"/>
            <w:vAlign w:val="center"/>
          </w:tcPr>
          <w:p w14:paraId="24354D8E">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r>
      <w:tr w14:paraId="35417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139ECA05">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584" w:type="dxa"/>
            <w:vMerge w:val="continue"/>
            <w:noWrap w:val="0"/>
            <w:vAlign w:val="center"/>
          </w:tcPr>
          <w:p w14:paraId="3D129A1D">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876" w:type="dxa"/>
            <w:noWrap w:val="0"/>
            <w:vAlign w:val="center"/>
          </w:tcPr>
          <w:p w14:paraId="71D14658">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0B331ACA">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B4</w:t>
            </w:r>
          </w:p>
        </w:tc>
        <w:tc>
          <w:tcPr>
            <w:tcW w:w="1080" w:type="dxa"/>
            <w:noWrap w:val="0"/>
            <w:vAlign w:val="center"/>
          </w:tcPr>
          <w:p w14:paraId="7B71B583">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1962A106">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F04</w:t>
            </w:r>
          </w:p>
        </w:tc>
        <w:tc>
          <w:tcPr>
            <w:tcW w:w="1230" w:type="dxa"/>
            <w:noWrap w:val="0"/>
            <w:vAlign w:val="center"/>
          </w:tcPr>
          <w:p w14:paraId="31D7379C">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380" w:type="dxa"/>
            <w:noWrap w:val="0"/>
            <w:vAlign w:val="center"/>
          </w:tcPr>
          <w:p w14:paraId="386ED83B">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r>
      <w:tr w14:paraId="1B0B9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054C1C6D">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584" w:type="dxa"/>
            <w:vMerge w:val="continue"/>
            <w:noWrap w:val="0"/>
            <w:vAlign w:val="center"/>
          </w:tcPr>
          <w:p w14:paraId="25188DC6">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876" w:type="dxa"/>
            <w:noWrap w:val="0"/>
            <w:vAlign w:val="center"/>
          </w:tcPr>
          <w:p w14:paraId="5793A0C5">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0037A467">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080" w:type="dxa"/>
            <w:noWrap w:val="0"/>
            <w:vAlign w:val="center"/>
          </w:tcPr>
          <w:p w14:paraId="2085DD33">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210CA1A0">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30" w:type="dxa"/>
            <w:noWrap w:val="0"/>
            <w:vAlign w:val="center"/>
          </w:tcPr>
          <w:p w14:paraId="68968D31">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380" w:type="dxa"/>
            <w:noWrap w:val="0"/>
            <w:vAlign w:val="center"/>
          </w:tcPr>
          <w:p w14:paraId="5E5F75A9">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r>
      <w:tr w14:paraId="790A5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06BD3260">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584" w:type="dxa"/>
            <w:vMerge w:val="continue"/>
            <w:noWrap w:val="0"/>
            <w:vAlign w:val="center"/>
          </w:tcPr>
          <w:p w14:paraId="07AF1FA5">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876" w:type="dxa"/>
            <w:noWrap w:val="0"/>
            <w:vAlign w:val="center"/>
          </w:tcPr>
          <w:p w14:paraId="7BBD1C17">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453D2F11">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080" w:type="dxa"/>
            <w:noWrap w:val="0"/>
            <w:vAlign w:val="center"/>
          </w:tcPr>
          <w:p w14:paraId="29979347">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4223CF6F">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30" w:type="dxa"/>
            <w:noWrap w:val="0"/>
            <w:vAlign w:val="center"/>
          </w:tcPr>
          <w:p w14:paraId="5A07110E">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380" w:type="dxa"/>
            <w:noWrap w:val="0"/>
            <w:vAlign w:val="center"/>
          </w:tcPr>
          <w:p w14:paraId="1EC2708E">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r>
      <w:tr w14:paraId="5EC72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9" w:type="dxa"/>
            <w:gridSpan w:val="3"/>
            <w:noWrap w:val="0"/>
            <w:vAlign w:val="center"/>
          </w:tcPr>
          <w:p w14:paraId="0F02F001">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定值部分权重A</w:t>
            </w:r>
          </w:p>
        </w:tc>
        <w:tc>
          <w:tcPr>
            <w:tcW w:w="1215" w:type="dxa"/>
            <w:noWrap w:val="0"/>
            <w:vAlign w:val="center"/>
          </w:tcPr>
          <w:p w14:paraId="74B1B406">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080" w:type="dxa"/>
            <w:noWrap w:val="0"/>
            <w:vAlign w:val="center"/>
          </w:tcPr>
          <w:p w14:paraId="75BA7691">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15" w:type="dxa"/>
            <w:noWrap w:val="0"/>
            <w:vAlign w:val="center"/>
          </w:tcPr>
          <w:p w14:paraId="02027545">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230" w:type="dxa"/>
            <w:noWrap w:val="0"/>
            <w:vAlign w:val="center"/>
          </w:tcPr>
          <w:p w14:paraId="6E9B46D9">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380" w:type="dxa"/>
            <w:noWrap w:val="0"/>
            <w:vAlign w:val="center"/>
          </w:tcPr>
          <w:p w14:paraId="03F56659">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r>
      <w:tr w14:paraId="6CD48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9" w:type="dxa"/>
            <w:gridSpan w:val="3"/>
            <w:noWrap w:val="0"/>
            <w:vAlign w:val="center"/>
          </w:tcPr>
          <w:p w14:paraId="4D667485">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合计</w:t>
            </w:r>
          </w:p>
        </w:tc>
        <w:tc>
          <w:tcPr>
            <w:tcW w:w="2295" w:type="dxa"/>
            <w:gridSpan w:val="2"/>
            <w:noWrap w:val="0"/>
            <w:vAlign w:val="center"/>
          </w:tcPr>
          <w:p w14:paraId="11601798">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2445" w:type="dxa"/>
            <w:gridSpan w:val="2"/>
            <w:noWrap w:val="0"/>
            <w:vAlign w:val="center"/>
          </w:tcPr>
          <w:p w14:paraId="2A350B88">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c>
          <w:tcPr>
            <w:tcW w:w="1380" w:type="dxa"/>
            <w:noWrap w:val="0"/>
            <w:vAlign w:val="center"/>
          </w:tcPr>
          <w:p w14:paraId="70231190">
            <w:pPr>
              <w:pageBreakBefore w:val="0"/>
              <w:wordWrap/>
              <w:overflowPunct/>
              <w:topLinePunct w:val="0"/>
              <w:bidi w:val="0"/>
              <w:spacing w:after="0" w:line="440" w:lineRule="exact"/>
              <w:ind w:firstLine="0" w:firstLineChars="0"/>
              <w:jc w:val="center"/>
              <w:textAlignment w:val="auto"/>
              <w:rPr>
                <w:rFonts w:hint="eastAsia" w:ascii="宋体" w:hAnsi="宋体" w:eastAsia="宋体" w:cs="宋体"/>
                <w:color w:val="auto"/>
                <w:sz w:val="21"/>
                <w:szCs w:val="21"/>
              </w:rPr>
            </w:pPr>
          </w:p>
        </w:tc>
      </w:tr>
    </w:tbl>
    <w:p w14:paraId="6FA587A2">
      <w:pPr>
        <w:pageBreakBefore w:val="0"/>
        <w:wordWrap/>
        <w:overflowPunct/>
        <w:topLinePunct w:val="0"/>
        <w:bidi w:val="0"/>
        <w:spacing w:after="0" w:line="440" w:lineRule="exact"/>
        <w:textAlignment w:val="auto"/>
        <w:rPr>
          <w:rFonts w:hint="eastAsia" w:ascii="宋体" w:hAnsi="宋体" w:eastAsia="宋体" w:cs="宋体"/>
          <w:color w:val="auto"/>
          <w:sz w:val="21"/>
          <w:szCs w:val="21"/>
        </w:rPr>
      </w:pPr>
    </w:p>
    <w:p w14:paraId="25DA6C4B">
      <w:pPr>
        <w:pageBreakBefore w:val="0"/>
        <w:wordWrap/>
        <w:overflowPunct/>
        <w:topLinePunct w:val="0"/>
        <w:bidi w:val="0"/>
        <w:adjustRightInd/>
        <w:snapToGrid/>
        <w:spacing w:after="0" w:line="440" w:lineRule="exact"/>
        <w:ind w:firstLine="0" w:firstLineChars="0"/>
        <w:jc w:val="left"/>
        <w:textAlignment w:val="auto"/>
        <w:rPr>
          <w:rFonts w:hint="eastAsia" w:ascii="宋体" w:hAnsi="宋体" w:eastAsia="宋体" w:cs="宋体"/>
          <w:color w:val="auto"/>
          <w:sz w:val="21"/>
          <w:szCs w:val="21"/>
        </w:rPr>
      </w:pPr>
    </w:p>
    <w:p w14:paraId="76EA6148">
      <w:pPr>
        <w:keepNext w:val="0"/>
        <w:keepLines w:val="0"/>
        <w:pageBreakBefore w:val="0"/>
        <w:kinsoku/>
        <w:wordWrap/>
        <w:overflowPunct/>
        <w:topLinePunct w:val="0"/>
        <w:autoSpaceDE/>
        <w:autoSpaceDN/>
        <w:bidi w:val="0"/>
        <w:adjustRightInd/>
        <w:snapToGrid/>
        <w:spacing w:beforeAutospacing="0" w:after="0" w:afterAutospacing="0" w:line="440" w:lineRule="exact"/>
        <w:textAlignment w:val="auto"/>
        <w:rPr>
          <w:rFonts w:hint="eastAsia" w:ascii="宋体" w:hAnsi="宋体" w:eastAsia="宋体" w:cs="宋体"/>
          <w:color w:val="auto"/>
          <w:sz w:val="21"/>
          <w:szCs w:val="21"/>
          <w:highlight w:val="none"/>
        </w:rPr>
      </w:pPr>
    </w:p>
    <w:p w14:paraId="27D162BF">
      <w:pPr>
        <w:pStyle w:val="9"/>
        <w:pageBreakBefore w:val="0"/>
        <w:wordWrap/>
        <w:overflowPunct/>
        <w:topLinePunct w:val="0"/>
        <w:bidi w:val="0"/>
        <w:spacing w:after="0" w:line="440" w:lineRule="exact"/>
        <w:textAlignment w:val="auto"/>
        <w:rPr>
          <w:rFonts w:hint="eastAsia" w:ascii="宋体" w:hAnsi="宋体" w:eastAsia="宋体" w:cs="宋体"/>
          <w:color w:val="auto"/>
          <w:sz w:val="21"/>
          <w:szCs w:val="21"/>
          <w:highlight w:val="none"/>
        </w:rPr>
      </w:pPr>
    </w:p>
    <w:p w14:paraId="142CBCBF">
      <w:pPr>
        <w:pStyle w:val="3"/>
        <w:spacing w:before="0" w:after="0" w:line="240" w:lineRule="auto"/>
        <w:ind w:left="0" w:leftChars="0" w:firstLine="0" w:firstLineChars="0"/>
        <w:jc w:val="center"/>
        <w:outlineLvl w:val="0"/>
        <w:rPr>
          <w:rFonts w:ascii="宋体" w:hAnsi="宋体" w:eastAsia="宋体" w:cs="仿宋"/>
          <w:b w:val="0"/>
          <w:bCs/>
          <w:color w:val="auto"/>
          <w:kern w:val="0"/>
          <w:sz w:val="36"/>
          <w:szCs w:val="36"/>
        </w:rPr>
      </w:pPr>
      <w:r>
        <w:rPr>
          <w:rFonts w:hint="eastAsia" w:ascii="宋体" w:hAnsi="宋体" w:eastAsia="宋体" w:cs="仿宋"/>
          <w:b w:val="0"/>
          <w:bCs/>
          <w:color w:val="auto"/>
          <w:kern w:val="0"/>
          <w:sz w:val="32"/>
          <w:szCs w:val="32"/>
        </w:rPr>
        <w:br w:type="page"/>
      </w:r>
      <w:r>
        <w:rPr>
          <w:rFonts w:hint="eastAsia" w:ascii="宋体" w:hAnsi="宋体" w:eastAsia="宋体" w:cs="仿宋"/>
          <w:b w:val="0"/>
          <w:bCs/>
          <w:color w:val="auto"/>
          <w:kern w:val="0"/>
          <w:sz w:val="32"/>
          <w:szCs w:val="32"/>
        </w:rPr>
        <w:t>第五章  技术标准和要求</w:t>
      </w:r>
      <w:bookmarkEnd w:id="71"/>
      <w:bookmarkEnd w:id="72"/>
    </w:p>
    <w:p w14:paraId="28EEBEA0">
      <w:pPr>
        <w:spacing w:line="520" w:lineRule="exact"/>
        <w:rPr>
          <w:color w:val="auto"/>
        </w:rPr>
      </w:pPr>
      <w:bookmarkStart w:id="839" w:name="_Toc281317198"/>
      <w:bookmarkStart w:id="840" w:name="_Toc306956622"/>
    </w:p>
    <w:bookmarkEnd w:id="839"/>
    <w:bookmarkEnd w:id="840"/>
    <w:p w14:paraId="6F783851">
      <w:pPr>
        <w:spacing w:after="0" w:line="520" w:lineRule="exact"/>
        <w:ind w:firstLine="472" w:firstLineChars="225"/>
        <w:rPr>
          <w:rFonts w:hint="eastAsia" w:ascii="宋体" w:hAnsi="宋体" w:eastAsia="宋体" w:cs="宋体"/>
          <w:color w:val="auto"/>
          <w:sz w:val="21"/>
          <w:szCs w:val="21"/>
        </w:rPr>
      </w:pPr>
      <w:r>
        <w:rPr>
          <w:rFonts w:hint="eastAsia" w:ascii="宋体" w:hAnsi="宋体" w:eastAsia="宋体" w:cs="宋体"/>
          <w:color w:val="auto"/>
          <w:sz w:val="21"/>
          <w:szCs w:val="21"/>
        </w:rPr>
        <w:t>一、本</w:t>
      </w:r>
      <w:r>
        <w:rPr>
          <w:rFonts w:hint="eastAsia" w:ascii="宋体" w:hAnsi="宋体" w:cs="宋体"/>
          <w:color w:val="auto"/>
          <w:sz w:val="21"/>
          <w:szCs w:val="21"/>
          <w:lang w:val="en-US" w:eastAsia="zh-CN"/>
        </w:rPr>
        <w:t>采购</w:t>
      </w:r>
      <w:r>
        <w:rPr>
          <w:rFonts w:hint="eastAsia" w:ascii="宋体" w:hAnsi="宋体" w:eastAsia="宋体" w:cs="宋体"/>
          <w:color w:val="auto"/>
          <w:sz w:val="21"/>
          <w:szCs w:val="21"/>
        </w:rPr>
        <w:t>工程的材料、设备、施工必须达到现行中华人民共和国以及省、自治区、直辖市或行业的建筑工程建设标准规定的要求。</w:t>
      </w:r>
    </w:p>
    <w:p w14:paraId="643D52D4">
      <w:pPr>
        <w:spacing w:after="0" w:line="520" w:lineRule="exact"/>
        <w:ind w:firstLine="472" w:firstLineChars="225"/>
        <w:rPr>
          <w:rFonts w:hint="eastAsia" w:ascii="宋体" w:hAnsi="宋体" w:eastAsia="宋体" w:cs="宋体"/>
          <w:color w:val="auto"/>
          <w:sz w:val="21"/>
          <w:szCs w:val="21"/>
        </w:rPr>
      </w:pPr>
      <w:r>
        <w:rPr>
          <w:rFonts w:hint="eastAsia" w:ascii="宋体" w:hAnsi="宋体" w:eastAsia="宋体" w:cs="宋体"/>
          <w:color w:val="auto"/>
          <w:sz w:val="21"/>
          <w:szCs w:val="21"/>
        </w:rPr>
        <w:t>二、本</w:t>
      </w:r>
      <w:r>
        <w:rPr>
          <w:rFonts w:hint="eastAsia" w:ascii="宋体" w:hAnsi="宋体" w:cs="宋体"/>
          <w:color w:val="auto"/>
          <w:sz w:val="21"/>
          <w:szCs w:val="21"/>
          <w:lang w:val="en-US" w:eastAsia="zh-CN"/>
        </w:rPr>
        <w:t>采购</w:t>
      </w:r>
      <w:r>
        <w:rPr>
          <w:rFonts w:hint="eastAsia" w:ascii="宋体" w:hAnsi="宋体" w:eastAsia="宋体" w:cs="宋体"/>
          <w:color w:val="auto"/>
          <w:sz w:val="21"/>
          <w:szCs w:val="21"/>
        </w:rPr>
        <w:t>工程的安全生产、文明施工、环境保护措施应符合中华人民共和国以及省、市、自治区、直辖市或行业以及当地政府的有关法律、法规的要求。</w:t>
      </w:r>
    </w:p>
    <w:p w14:paraId="6206D5FF">
      <w:pPr>
        <w:spacing w:after="0" w:line="520" w:lineRule="exact"/>
        <w:ind w:firstLine="472" w:firstLineChars="225"/>
        <w:rPr>
          <w:rFonts w:hint="eastAsia" w:ascii="宋体" w:hAnsi="宋体" w:eastAsia="宋体" w:cs="宋体"/>
          <w:color w:val="auto"/>
          <w:sz w:val="21"/>
          <w:szCs w:val="21"/>
        </w:rPr>
      </w:pPr>
      <w:r>
        <w:rPr>
          <w:rFonts w:hint="eastAsia" w:ascii="宋体" w:hAnsi="宋体" w:eastAsia="宋体" w:cs="宋体"/>
          <w:color w:val="auto"/>
          <w:sz w:val="21"/>
          <w:szCs w:val="21"/>
        </w:rPr>
        <w:t>三、符合现行相关的强制性标准和技术规范、规程。</w:t>
      </w:r>
    </w:p>
    <w:p w14:paraId="3AC9311A">
      <w:pPr>
        <w:spacing w:line="360" w:lineRule="auto"/>
        <w:ind w:right="-10" w:rightChars="-5" w:firstLine="482" w:firstLineChars="200"/>
        <w:rPr>
          <w:rFonts w:hint="eastAsia" w:ascii="仿宋" w:hAnsi="仿宋" w:eastAsia="仿宋" w:cs="仿宋"/>
          <w:b/>
          <w:color w:val="auto"/>
          <w:sz w:val="24"/>
        </w:rPr>
      </w:pPr>
    </w:p>
    <w:p w14:paraId="493762D7">
      <w:pPr>
        <w:spacing w:line="360" w:lineRule="auto"/>
        <w:ind w:right="-10" w:rightChars="-5" w:firstLine="482" w:firstLineChars="200"/>
        <w:rPr>
          <w:rFonts w:hint="eastAsia" w:ascii="仿宋" w:hAnsi="仿宋" w:eastAsia="仿宋" w:cs="仿宋"/>
          <w:b/>
          <w:color w:val="auto"/>
          <w:sz w:val="24"/>
        </w:rPr>
      </w:pPr>
    </w:p>
    <w:p w14:paraId="15231C65">
      <w:pPr>
        <w:spacing w:line="500" w:lineRule="exact"/>
        <w:ind w:firstLine="600" w:firstLineChars="200"/>
        <w:rPr>
          <w:rFonts w:hint="eastAsia" w:ascii="仿宋" w:hAnsi="仿宋" w:eastAsia="仿宋" w:cs="仿宋"/>
          <w:color w:val="auto"/>
          <w:sz w:val="30"/>
          <w:szCs w:val="30"/>
        </w:rPr>
      </w:pPr>
    </w:p>
    <w:p w14:paraId="07996DD7">
      <w:pPr>
        <w:pStyle w:val="9"/>
        <w:rPr>
          <w:rFonts w:hint="eastAsia"/>
          <w:color w:val="auto"/>
        </w:rPr>
      </w:pPr>
    </w:p>
    <w:p w14:paraId="259733CB">
      <w:pPr>
        <w:pStyle w:val="2"/>
        <w:spacing w:before="0" w:after="0" w:line="500" w:lineRule="exact"/>
        <w:rPr>
          <w:rFonts w:hint="eastAsia" w:ascii="宋体" w:hAnsi="宋体" w:eastAsia="宋体" w:cs="仿宋"/>
          <w:b/>
          <w:bCs w:val="0"/>
          <w:color w:val="auto"/>
          <w:kern w:val="0"/>
          <w:sz w:val="28"/>
          <w:szCs w:val="28"/>
          <w:lang w:val="en-US" w:eastAsia="zh-CN" w:bidi="ar-SA"/>
        </w:rPr>
      </w:pPr>
      <w:bookmarkStart w:id="841" w:name="_Toc31224"/>
      <w:bookmarkStart w:id="842" w:name="_Toc7097"/>
      <w:bookmarkStart w:id="843" w:name="_Toc6087"/>
      <w:r>
        <w:rPr>
          <w:rFonts w:hint="eastAsia" w:ascii="宋体" w:hAnsi="宋体" w:eastAsia="宋体" w:cs="仿宋"/>
          <w:b w:val="0"/>
          <w:bCs/>
          <w:color w:val="auto"/>
          <w:kern w:val="0"/>
          <w:sz w:val="32"/>
          <w:szCs w:val="32"/>
          <w:lang w:val="en-US" w:eastAsia="zh-CN" w:bidi="ar-SA"/>
        </w:rPr>
        <w:t>第六章</w:t>
      </w:r>
      <w:bookmarkEnd w:id="69"/>
      <w:r>
        <w:rPr>
          <w:rFonts w:hint="eastAsia" w:ascii="宋体" w:hAnsi="宋体" w:eastAsia="宋体" w:cs="仿宋"/>
          <w:b w:val="0"/>
          <w:bCs/>
          <w:color w:val="auto"/>
          <w:kern w:val="0"/>
          <w:sz w:val="32"/>
          <w:szCs w:val="32"/>
          <w:lang w:val="en-US" w:eastAsia="zh-CN" w:bidi="ar-SA"/>
        </w:rPr>
        <w:t xml:space="preserve"> 磋商申请文件格式</w:t>
      </w:r>
      <w:bookmarkEnd w:id="70"/>
      <w:bookmarkEnd w:id="841"/>
      <w:bookmarkEnd w:id="842"/>
      <w:bookmarkEnd w:id="843"/>
    </w:p>
    <w:p w14:paraId="563E7EBA">
      <w:pPr>
        <w:spacing w:line="324" w:lineRule="auto"/>
        <w:jc w:val="center"/>
        <w:rPr>
          <w:rFonts w:ascii="仿宋" w:hAnsi="仿宋" w:eastAsia="仿宋"/>
          <w:color w:val="auto"/>
          <w:sz w:val="28"/>
        </w:rPr>
      </w:pPr>
    </w:p>
    <w:p w14:paraId="3BB5AAB4">
      <w:pPr>
        <w:spacing w:line="324" w:lineRule="auto"/>
        <w:jc w:val="center"/>
        <w:rPr>
          <w:rFonts w:hint="eastAsia" w:ascii="宋体" w:hAnsi="宋体" w:cs="宋体"/>
          <w:b w:val="0"/>
          <w:bCs w:val="0"/>
          <w:color w:val="auto"/>
          <w:spacing w:val="0"/>
          <w:w w:val="100"/>
          <w:kern w:val="0"/>
          <w:sz w:val="32"/>
          <w:szCs w:val="32"/>
          <w:lang w:eastAsia="zh-CN"/>
        </w:rPr>
      </w:pPr>
      <w:r>
        <w:rPr>
          <w:rFonts w:hint="eastAsia" w:ascii="宋体" w:hAnsi="宋体" w:cs="宋体"/>
          <w:b w:val="0"/>
          <w:bCs w:val="0"/>
          <w:color w:val="auto"/>
          <w:spacing w:val="0"/>
          <w:w w:val="100"/>
          <w:kern w:val="0"/>
          <w:sz w:val="32"/>
          <w:szCs w:val="32"/>
          <w:lang w:eastAsia="zh-CN"/>
        </w:rPr>
        <w:t>怒江州动物疫病预防控制中心陆生动物疫病病原学监测区域中心</w:t>
      </w:r>
    </w:p>
    <w:p w14:paraId="0568EB6C">
      <w:pPr>
        <w:spacing w:line="324" w:lineRule="auto"/>
        <w:jc w:val="center"/>
        <w:rPr>
          <w:rFonts w:ascii="仿宋" w:hAnsi="仿宋" w:eastAsia="仿宋"/>
          <w:color w:val="auto"/>
          <w:sz w:val="28"/>
        </w:rPr>
      </w:pPr>
      <w:r>
        <w:rPr>
          <w:rFonts w:hint="eastAsia" w:ascii="宋体" w:hAnsi="宋体" w:cs="宋体"/>
          <w:b w:val="0"/>
          <w:bCs w:val="0"/>
          <w:color w:val="auto"/>
          <w:spacing w:val="0"/>
          <w:w w:val="100"/>
          <w:kern w:val="0"/>
          <w:sz w:val="32"/>
          <w:szCs w:val="32"/>
          <w:lang w:eastAsia="zh-CN"/>
        </w:rPr>
        <w:t>建设项目实验室升级改造</w:t>
      </w:r>
    </w:p>
    <w:p w14:paraId="50C02868">
      <w:pPr>
        <w:tabs>
          <w:tab w:val="left" w:pos="5190"/>
        </w:tabs>
        <w:spacing w:line="324" w:lineRule="auto"/>
        <w:jc w:val="center"/>
        <w:rPr>
          <w:rFonts w:ascii="仿宋" w:hAnsi="仿宋" w:eastAsia="仿宋"/>
          <w:b/>
          <w:color w:val="auto"/>
          <w:sz w:val="36"/>
        </w:rPr>
      </w:pPr>
    </w:p>
    <w:p w14:paraId="265054D8">
      <w:pPr>
        <w:pStyle w:val="9"/>
        <w:rPr>
          <w:rFonts w:ascii="仿宋" w:hAnsi="仿宋" w:eastAsia="仿宋"/>
          <w:b/>
          <w:color w:val="auto"/>
          <w:sz w:val="36"/>
        </w:rPr>
      </w:pPr>
    </w:p>
    <w:p w14:paraId="03D73AAC">
      <w:pPr>
        <w:pStyle w:val="9"/>
        <w:rPr>
          <w:rFonts w:ascii="仿宋" w:hAnsi="仿宋" w:eastAsia="仿宋"/>
          <w:b/>
          <w:color w:val="auto"/>
          <w:sz w:val="36"/>
        </w:rPr>
      </w:pPr>
    </w:p>
    <w:p w14:paraId="72A81040">
      <w:pPr>
        <w:tabs>
          <w:tab w:val="left" w:pos="5190"/>
        </w:tabs>
        <w:spacing w:line="324" w:lineRule="auto"/>
        <w:jc w:val="center"/>
        <w:rPr>
          <w:rFonts w:ascii="仿宋" w:hAnsi="仿宋" w:eastAsia="仿宋"/>
          <w:b/>
          <w:color w:val="auto"/>
          <w:sz w:val="36"/>
        </w:rPr>
      </w:pPr>
    </w:p>
    <w:p w14:paraId="5E5EA7FD">
      <w:pPr>
        <w:pStyle w:val="9"/>
        <w:rPr>
          <w:color w:val="auto"/>
        </w:rPr>
      </w:pPr>
    </w:p>
    <w:p w14:paraId="3BE6BB9C">
      <w:pPr>
        <w:spacing w:line="240" w:lineRule="auto"/>
        <w:jc w:val="center"/>
        <w:rPr>
          <w:rFonts w:hint="eastAsia" w:ascii="仿宋" w:hAnsi="仿宋" w:eastAsia="仿宋"/>
          <w:b w:val="0"/>
          <w:bCs w:val="0"/>
          <w:color w:val="auto"/>
          <w:w w:val="100"/>
          <w:sz w:val="52"/>
          <w:szCs w:val="52"/>
          <w:lang w:eastAsia="zh-CN"/>
        </w:rPr>
      </w:pPr>
      <w:r>
        <w:rPr>
          <w:rFonts w:hint="eastAsia" w:ascii="宋体" w:hAnsi="宋体" w:eastAsia="宋体" w:cs="宋体"/>
          <w:b w:val="0"/>
          <w:bCs w:val="0"/>
          <w:color w:val="auto"/>
          <w:w w:val="100"/>
          <w:kern w:val="0"/>
          <w:sz w:val="52"/>
          <w:szCs w:val="52"/>
          <w:lang w:eastAsia="zh-CN"/>
        </w:rPr>
        <w:t>磋商申请文件</w:t>
      </w:r>
    </w:p>
    <w:p w14:paraId="3EC8761F">
      <w:pPr>
        <w:spacing w:line="360" w:lineRule="auto"/>
        <w:jc w:val="center"/>
        <w:rPr>
          <w:rFonts w:hint="eastAsia" w:ascii="宋体" w:hAnsi="宋体" w:eastAsia="宋体" w:cs="宋体"/>
          <w:color w:val="auto"/>
          <w:sz w:val="32"/>
          <w:szCs w:val="32"/>
        </w:rPr>
      </w:pPr>
    </w:p>
    <w:p w14:paraId="43B2B573">
      <w:pPr>
        <w:spacing w:line="360" w:lineRule="auto"/>
        <w:jc w:val="both"/>
        <w:rPr>
          <w:rFonts w:hint="eastAsia" w:ascii="宋体" w:hAnsi="宋体" w:eastAsia="宋体" w:cs="宋体"/>
          <w:color w:val="auto"/>
          <w:sz w:val="32"/>
          <w:szCs w:val="32"/>
        </w:rPr>
      </w:pPr>
    </w:p>
    <w:p w14:paraId="60746B1B">
      <w:pPr>
        <w:pStyle w:val="9"/>
        <w:rPr>
          <w:rFonts w:hint="eastAsia" w:ascii="宋体" w:hAnsi="宋体" w:eastAsia="宋体" w:cs="宋体"/>
          <w:color w:val="auto"/>
          <w:sz w:val="32"/>
          <w:szCs w:val="32"/>
        </w:rPr>
      </w:pPr>
    </w:p>
    <w:p w14:paraId="49D1F2CA">
      <w:pPr>
        <w:pStyle w:val="9"/>
        <w:rPr>
          <w:rFonts w:hint="eastAsia" w:ascii="宋体" w:hAnsi="宋体" w:eastAsia="宋体" w:cs="宋体"/>
          <w:color w:val="auto"/>
          <w:sz w:val="32"/>
          <w:szCs w:val="32"/>
        </w:rPr>
      </w:pPr>
    </w:p>
    <w:p w14:paraId="1F9C7AFE">
      <w:pPr>
        <w:pStyle w:val="9"/>
        <w:rPr>
          <w:rFonts w:hint="eastAsia" w:ascii="宋体" w:hAnsi="宋体" w:eastAsia="宋体" w:cs="宋体"/>
          <w:color w:val="auto"/>
          <w:sz w:val="32"/>
          <w:szCs w:val="32"/>
        </w:rPr>
      </w:pPr>
    </w:p>
    <w:p w14:paraId="0A41C4D0">
      <w:pPr>
        <w:pStyle w:val="9"/>
        <w:rPr>
          <w:rFonts w:hint="eastAsia" w:ascii="宋体" w:hAnsi="宋体" w:eastAsia="宋体" w:cs="宋体"/>
          <w:color w:val="auto"/>
          <w:sz w:val="32"/>
          <w:szCs w:val="32"/>
        </w:rPr>
      </w:pPr>
    </w:p>
    <w:p w14:paraId="2267C255">
      <w:pPr>
        <w:spacing w:line="360" w:lineRule="auto"/>
        <w:jc w:val="center"/>
        <w:rPr>
          <w:rFonts w:hint="eastAsia" w:ascii="宋体" w:hAnsi="宋体" w:eastAsia="宋体" w:cs="宋体"/>
          <w:color w:val="auto"/>
          <w:sz w:val="32"/>
          <w:szCs w:val="32"/>
        </w:rPr>
      </w:pPr>
    </w:p>
    <w:p w14:paraId="2306DF14">
      <w:pPr>
        <w:spacing w:line="360" w:lineRule="auto"/>
        <w:jc w:val="both"/>
        <w:rPr>
          <w:rFonts w:hint="eastAsia" w:ascii="宋体" w:hAnsi="宋体" w:eastAsia="宋体" w:cs="宋体"/>
          <w:color w:val="auto"/>
          <w:sz w:val="32"/>
          <w:szCs w:val="32"/>
        </w:rPr>
      </w:pPr>
    </w:p>
    <w:p w14:paraId="6507BF17">
      <w:pPr>
        <w:spacing w:line="360" w:lineRule="auto"/>
        <w:jc w:val="both"/>
        <w:rPr>
          <w:rFonts w:hint="eastAsia" w:ascii="宋体" w:hAnsi="宋体" w:eastAsia="宋体" w:cs="宋体"/>
          <w:color w:val="auto"/>
          <w:sz w:val="28"/>
          <w:szCs w:val="28"/>
        </w:rPr>
      </w:pPr>
    </w:p>
    <w:p w14:paraId="0212C669">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项目编号：</w:t>
      </w:r>
      <w:r>
        <w:rPr>
          <w:rFonts w:hint="eastAsia" w:ascii="宋体" w:hAnsi="宋体" w:cs="宋体"/>
          <w:color w:val="auto"/>
          <w:sz w:val="28"/>
          <w:szCs w:val="28"/>
          <w:lang w:eastAsia="zh-CN"/>
        </w:rPr>
        <w:t>HXGSGC2025002</w:t>
      </w:r>
    </w:p>
    <w:p w14:paraId="376236F7">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磋商申请</w:t>
      </w:r>
      <w:r>
        <w:rPr>
          <w:rFonts w:hint="eastAsia" w:ascii="宋体" w:hAnsi="宋体" w:eastAsia="宋体" w:cs="宋体"/>
          <w:color w:val="auto"/>
          <w:sz w:val="28"/>
          <w:szCs w:val="28"/>
        </w:rPr>
        <w:t>人全称（签章）：</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p>
    <w:p w14:paraId="31638FE9">
      <w:pPr>
        <w:keepNext w:val="0"/>
        <w:keepLines w:val="0"/>
        <w:pageBreakBefore w:val="0"/>
        <w:widowControl w:val="0"/>
        <w:tabs>
          <w:tab w:val="left" w:pos="5190"/>
        </w:tabs>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法定代表人或委托代理人（签名或签章）：</w:t>
      </w:r>
      <w:r>
        <w:rPr>
          <w:rFonts w:hint="eastAsia" w:ascii="宋体" w:hAnsi="宋体" w:eastAsia="宋体" w:cs="宋体"/>
          <w:color w:val="auto"/>
          <w:sz w:val="28"/>
          <w:szCs w:val="28"/>
          <w:u w:val="single"/>
        </w:rPr>
        <w:t xml:space="preserve">                 </w:t>
      </w:r>
    </w:p>
    <w:p w14:paraId="5B18B096">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bookmarkStart w:id="844" w:name="_Toc406162617"/>
      <w:bookmarkStart w:id="845" w:name="_Toc383636412"/>
      <w:bookmarkStart w:id="846" w:name="_Toc391301871"/>
    </w:p>
    <w:bookmarkEnd w:id="844"/>
    <w:bookmarkEnd w:id="845"/>
    <w:bookmarkEnd w:id="846"/>
    <w:p w14:paraId="102D15B6">
      <w:pPr>
        <w:spacing w:line="520" w:lineRule="exact"/>
        <w:ind w:left="1600" w:hanging="1600" w:hangingChars="500"/>
        <w:jc w:val="center"/>
        <w:rPr>
          <w:rFonts w:hint="eastAsia" w:ascii="黑体" w:hAnsi="黑体" w:eastAsia="黑体" w:cs="黑体"/>
          <w:color w:val="auto"/>
          <w:sz w:val="32"/>
          <w:szCs w:val="32"/>
        </w:rPr>
      </w:pPr>
      <w:bookmarkStart w:id="847" w:name="_Toc2546_WPSOffice_Level2"/>
      <w:bookmarkStart w:id="848" w:name="_Toc38173201"/>
      <w:bookmarkStart w:id="849" w:name="_Toc364392656"/>
      <w:bookmarkStart w:id="850" w:name="_Toc482189277"/>
      <w:bookmarkStart w:id="851" w:name="_Toc364392659"/>
      <w:bookmarkStart w:id="852" w:name="_Toc327881157"/>
      <w:bookmarkStart w:id="853" w:name="_Toc231871465"/>
    </w:p>
    <w:bookmarkEnd w:id="847"/>
    <w:p w14:paraId="1B08890F">
      <w:pPr>
        <w:widowControl/>
        <w:jc w:val="left"/>
        <w:rPr>
          <w:rFonts w:ascii="宋体" w:hAnsi="宋体" w:eastAsia="宋体"/>
          <w:b/>
          <w:bCs/>
          <w:color w:val="auto"/>
          <w:sz w:val="21"/>
          <w:szCs w:val="21"/>
        </w:rPr>
      </w:pPr>
      <w:bookmarkStart w:id="854" w:name="_Toc281317203"/>
      <w:bookmarkStart w:id="855" w:name="_Toc12806"/>
      <w:bookmarkStart w:id="856" w:name="_Toc23671"/>
      <w:r>
        <w:rPr>
          <w:rFonts w:hint="eastAsia" w:ascii="宋体" w:hAnsi="宋体" w:eastAsia="宋体"/>
          <w:b/>
          <w:bCs/>
          <w:color w:val="auto"/>
          <w:sz w:val="30"/>
        </w:rPr>
        <w:br w:type="page"/>
      </w:r>
      <w:r>
        <w:rPr>
          <w:rFonts w:hint="eastAsia" w:ascii="宋体" w:hAnsi="宋体" w:eastAsia="宋体"/>
          <w:b/>
          <w:bCs/>
          <w:color w:val="auto"/>
          <w:sz w:val="21"/>
          <w:szCs w:val="21"/>
        </w:rPr>
        <w:t>一、资格审查部分</w:t>
      </w:r>
    </w:p>
    <w:p w14:paraId="1C9AB586">
      <w:pPr>
        <w:pStyle w:val="4"/>
        <w:spacing w:after="0" w:line="480" w:lineRule="exact"/>
        <w:ind w:firstLine="138"/>
        <w:jc w:val="center"/>
        <w:rPr>
          <w:rFonts w:hint="eastAsia" w:ascii="宋体" w:hAnsi="宋体" w:eastAsia="宋体" w:cs="宋体"/>
          <w:color w:val="auto"/>
          <w:sz w:val="21"/>
          <w:szCs w:val="21"/>
        </w:rPr>
      </w:pPr>
      <w:r>
        <w:rPr>
          <w:rFonts w:hint="eastAsia" w:ascii="宋体" w:hAnsi="宋体" w:eastAsia="宋体" w:cs="宋体"/>
          <w:b/>
          <w:bCs/>
          <w:color w:val="auto"/>
          <w:sz w:val="28"/>
          <w:szCs w:val="28"/>
        </w:rPr>
        <w:t>（一）资格审查申请函</w:t>
      </w:r>
    </w:p>
    <w:p w14:paraId="40C2E486">
      <w:pPr>
        <w:keepNext w:val="0"/>
        <w:keepLines w:val="0"/>
        <w:pageBreakBefore w:val="0"/>
        <w:widowControl w:val="0"/>
        <w:kinsoku/>
        <w:wordWrap/>
        <w:overflowPunct/>
        <w:topLinePunct w:val="0"/>
        <w:autoSpaceDE/>
        <w:autoSpaceDN/>
        <w:bidi w:val="0"/>
        <w:adjustRightInd/>
        <w:snapToGrid/>
        <w:spacing w:line="560" w:lineRule="exact"/>
        <w:ind w:firstLine="210" w:firstLineChars="100"/>
        <w:textAlignment w:val="auto"/>
        <w:rPr>
          <w:rFonts w:hint="eastAsia" w:ascii="宋体" w:hAnsi="宋体" w:eastAsia="宋体" w:cs="宋体"/>
          <w:color w:val="auto"/>
          <w:sz w:val="21"/>
          <w:szCs w:val="21"/>
        </w:rPr>
      </w:pPr>
      <w:r>
        <w:rPr>
          <w:rFonts w:hint="eastAsia" w:ascii="宋体" w:hAnsi="宋体" w:eastAsia="宋体" w:cs="宋体"/>
          <w:color w:val="auto"/>
          <w:sz w:val="21"/>
          <w:szCs w:val="21"/>
          <w:u w:val="single"/>
          <w:lang w:val="en-US" w:eastAsia="zh-CN"/>
        </w:rPr>
        <w:t xml:space="preserve">    （采购人名称）  </w:t>
      </w:r>
      <w:r>
        <w:rPr>
          <w:rFonts w:hint="eastAsia" w:ascii="宋体" w:hAnsi="宋体" w:eastAsia="宋体" w:cs="宋体"/>
          <w:color w:val="auto"/>
          <w:sz w:val="21"/>
          <w:szCs w:val="21"/>
        </w:rPr>
        <w:t>：</w:t>
      </w:r>
    </w:p>
    <w:p w14:paraId="73EB2CC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1.按照</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的要求，我方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磋商申请</w:t>
      </w:r>
      <w:r>
        <w:rPr>
          <w:rFonts w:hint="eastAsia" w:ascii="宋体" w:hAnsi="宋体" w:eastAsia="宋体" w:cs="宋体"/>
          <w:color w:val="auto"/>
          <w:sz w:val="21"/>
          <w:szCs w:val="21"/>
        </w:rPr>
        <w:t>人）递交的资格审查申请文件，用于你方</w:t>
      </w:r>
      <w:r>
        <w:rPr>
          <w:rFonts w:hint="eastAsia" w:ascii="宋体" w:hAnsi="宋体" w:cs="宋体"/>
          <w:color w:val="auto"/>
          <w:sz w:val="21"/>
          <w:szCs w:val="21"/>
          <w:u w:val="single"/>
          <w:lang w:eastAsia="zh-CN"/>
        </w:rPr>
        <w:t>怒江傈僳族自治州动物疫病预防控制中心</w:t>
      </w:r>
      <w:r>
        <w:rPr>
          <w:rFonts w:hint="eastAsia" w:ascii="宋体" w:hAnsi="宋体" w:eastAsia="宋体" w:cs="宋体"/>
          <w:color w:val="auto"/>
          <w:sz w:val="21"/>
          <w:szCs w:val="21"/>
        </w:rPr>
        <w:t>审查我方参加</w:t>
      </w:r>
      <w:r>
        <w:rPr>
          <w:rFonts w:hint="eastAsia" w:ascii="宋体" w:hAnsi="宋体" w:eastAsia="宋体" w:cs="宋体"/>
          <w:color w:val="auto"/>
          <w:sz w:val="21"/>
          <w:szCs w:val="21"/>
          <w:u w:val="single"/>
        </w:rPr>
        <w:t xml:space="preserve"> （项目名称、项目编号）</w:t>
      </w:r>
      <w:r>
        <w:rPr>
          <w:rFonts w:hint="eastAsia" w:ascii="宋体" w:hAnsi="宋体" w:eastAsia="宋体" w:cs="宋体"/>
          <w:color w:val="auto"/>
          <w:sz w:val="21"/>
          <w:szCs w:val="21"/>
        </w:rPr>
        <w:t>采购的资格申请。</w:t>
      </w:r>
    </w:p>
    <w:p w14:paraId="1A4AB56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2.我方的资格审查申请文件包含</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第二章</w:t>
      </w:r>
      <w:r>
        <w:rPr>
          <w:rFonts w:hint="eastAsia" w:ascii="宋体" w:hAnsi="宋体" w:cs="宋体"/>
          <w:color w:val="auto"/>
          <w:sz w:val="21"/>
          <w:szCs w:val="21"/>
          <w:lang w:eastAsia="zh-CN"/>
        </w:rPr>
        <w:t>磋商申请人</w:t>
      </w:r>
      <w:r>
        <w:rPr>
          <w:rFonts w:hint="eastAsia" w:ascii="宋体" w:hAnsi="宋体" w:eastAsia="宋体" w:cs="宋体"/>
          <w:color w:val="auto"/>
          <w:sz w:val="21"/>
          <w:szCs w:val="21"/>
        </w:rPr>
        <w:t>须知及须知前附表规定的全部内容。</w:t>
      </w:r>
    </w:p>
    <w:p w14:paraId="4C0EB14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pacing w:val="-6"/>
          <w:sz w:val="21"/>
          <w:szCs w:val="21"/>
        </w:rPr>
        <w:t xml:space="preserve"> 3.我方接受你方授权代表进行调查，以审查我方提交的文件和资料，并通过我方的客户，澄清资格审查申请文件中有关财务和技术方面的情况。</w:t>
      </w:r>
    </w:p>
    <w:p w14:paraId="1D3A292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4.你方授权代表可通过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（联系人及联系方式）得到进一步的资料。</w:t>
      </w:r>
    </w:p>
    <w:p w14:paraId="43FC344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5.我方在此声明，所递交的资格审查部分的文件及有关资料内容完整、真实和准确、合法有效，且不存在任何弄虚作假的情形。</w:t>
      </w:r>
    </w:p>
    <w:p w14:paraId="5F053AD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1"/>
          <w:szCs w:val="21"/>
        </w:rPr>
      </w:pPr>
    </w:p>
    <w:p w14:paraId="053C755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1"/>
          <w:szCs w:val="21"/>
        </w:rPr>
      </w:pPr>
    </w:p>
    <w:p w14:paraId="100D39F8">
      <w:pPr>
        <w:pStyle w:val="30"/>
        <w:rPr>
          <w:rFonts w:hint="eastAsia" w:ascii="宋体" w:hAnsi="宋体" w:eastAsia="宋体" w:cs="宋体"/>
          <w:color w:val="auto"/>
          <w:sz w:val="21"/>
          <w:szCs w:val="21"/>
        </w:rPr>
      </w:pPr>
    </w:p>
    <w:p w14:paraId="67FD566F">
      <w:pPr>
        <w:pStyle w:val="30"/>
        <w:rPr>
          <w:rFonts w:hint="eastAsia" w:ascii="宋体" w:hAnsi="宋体" w:eastAsia="宋体" w:cs="宋体"/>
          <w:color w:val="auto"/>
          <w:sz w:val="21"/>
          <w:szCs w:val="21"/>
        </w:rPr>
      </w:pPr>
    </w:p>
    <w:p w14:paraId="30AD0318">
      <w:pPr>
        <w:pStyle w:val="30"/>
        <w:rPr>
          <w:rFonts w:hint="eastAsia" w:ascii="宋体" w:hAnsi="宋体" w:eastAsia="宋体" w:cs="宋体"/>
          <w:color w:val="auto"/>
          <w:sz w:val="21"/>
          <w:szCs w:val="21"/>
        </w:rPr>
      </w:pPr>
    </w:p>
    <w:p w14:paraId="5FFE894E">
      <w:pPr>
        <w:pStyle w:val="30"/>
        <w:rPr>
          <w:rFonts w:hint="eastAsia" w:ascii="宋体" w:hAnsi="宋体" w:eastAsia="宋体" w:cs="宋体"/>
          <w:color w:val="auto"/>
          <w:sz w:val="21"/>
          <w:szCs w:val="21"/>
        </w:rPr>
      </w:pPr>
    </w:p>
    <w:p w14:paraId="70043CDF">
      <w:pPr>
        <w:pStyle w:val="30"/>
        <w:rPr>
          <w:rFonts w:hint="eastAsia" w:ascii="宋体" w:hAnsi="宋体" w:eastAsia="宋体" w:cs="宋体"/>
          <w:color w:val="auto"/>
          <w:sz w:val="21"/>
          <w:szCs w:val="21"/>
        </w:rPr>
      </w:pPr>
    </w:p>
    <w:p w14:paraId="61217D1D">
      <w:pPr>
        <w:pStyle w:val="30"/>
        <w:rPr>
          <w:rFonts w:hint="eastAsia" w:ascii="宋体" w:hAnsi="宋体" w:eastAsia="宋体" w:cs="宋体"/>
          <w:color w:val="auto"/>
          <w:sz w:val="21"/>
          <w:szCs w:val="21"/>
        </w:rPr>
      </w:pPr>
    </w:p>
    <w:p w14:paraId="5FD79BEE">
      <w:pPr>
        <w:pStyle w:val="30"/>
        <w:rPr>
          <w:rFonts w:hint="eastAsia" w:ascii="宋体" w:hAnsi="宋体" w:eastAsia="宋体" w:cs="宋体"/>
          <w:color w:val="auto"/>
          <w:sz w:val="21"/>
          <w:szCs w:val="21"/>
        </w:rPr>
      </w:pPr>
    </w:p>
    <w:p w14:paraId="2D2DB9B9">
      <w:pPr>
        <w:keepNext w:val="0"/>
        <w:keepLines w:val="0"/>
        <w:pageBreakBefore w:val="0"/>
        <w:widowControl w:val="0"/>
        <w:kinsoku/>
        <w:wordWrap/>
        <w:overflowPunct/>
        <w:topLinePunct w:val="0"/>
        <w:autoSpaceDE/>
        <w:autoSpaceDN/>
        <w:bidi w:val="0"/>
        <w:adjustRightInd/>
        <w:snapToGrid/>
        <w:spacing w:line="560" w:lineRule="exact"/>
        <w:ind w:right="120" w:firstLine="1470" w:firstLineChars="7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w:t>
      </w:r>
      <w:r>
        <w:rPr>
          <w:rFonts w:hint="eastAsia" w:ascii="宋体" w:hAnsi="宋体" w:eastAsia="宋体" w:cs="宋体"/>
          <w:color w:val="auto"/>
          <w:sz w:val="21"/>
          <w:szCs w:val="21"/>
        </w:rPr>
        <w:t>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（签章）</w:t>
      </w:r>
    </w:p>
    <w:p w14:paraId="0925C3A6">
      <w:pPr>
        <w:keepNext w:val="0"/>
        <w:keepLines w:val="0"/>
        <w:pageBreakBefore w:val="0"/>
        <w:widowControl w:val="0"/>
        <w:kinsoku/>
        <w:wordWrap/>
        <w:overflowPunct/>
        <w:topLinePunct w:val="0"/>
        <w:autoSpaceDE/>
        <w:autoSpaceDN/>
        <w:bidi w:val="0"/>
        <w:adjustRightInd/>
        <w:snapToGrid/>
        <w:spacing w:line="560" w:lineRule="exact"/>
        <w:ind w:right="120" w:firstLine="1470" w:firstLineChars="7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cs="宋体"/>
          <w:color w:val="auto"/>
          <w:sz w:val="21"/>
          <w:szCs w:val="21"/>
          <w:lang w:eastAsia="zh-CN"/>
        </w:rPr>
        <w:t>或</w:t>
      </w:r>
      <w:r>
        <w:rPr>
          <w:rFonts w:hint="eastAsia" w:ascii="宋体" w:hAnsi="宋体" w:eastAsia="宋体" w:cs="宋体"/>
          <w:color w:val="auto"/>
          <w:sz w:val="21"/>
          <w:szCs w:val="21"/>
        </w:rPr>
        <w:t>其委托代理人：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（签名或签章）</w:t>
      </w:r>
    </w:p>
    <w:p w14:paraId="4D701B21">
      <w:pPr>
        <w:keepNext w:val="0"/>
        <w:keepLines w:val="0"/>
        <w:pageBreakBefore w:val="0"/>
        <w:widowControl w:val="0"/>
        <w:kinsoku/>
        <w:wordWrap/>
        <w:overflowPunct/>
        <w:topLinePunct w:val="0"/>
        <w:autoSpaceDE/>
        <w:autoSpaceDN/>
        <w:bidi w:val="0"/>
        <w:adjustRightInd/>
        <w:snapToGrid/>
        <w:spacing w:line="560" w:lineRule="exact"/>
        <w:ind w:firstLine="1470" w:firstLineChars="7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电话：</w:t>
      </w:r>
      <w:r>
        <w:rPr>
          <w:rFonts w:hint="eastAsia" w:ascii="宋体" w:hAnsi="宋体" w:eastAsia="宋体" w:cs="宋体"/>
          <w:color w:val="auto"/>
          <w:sz w:val="21"/>
          <w:szCs w:val="21"/>
          <w:u w:val="single"/>
        </w:rPr>
        <w:t xml:space="preserve">                                        </w:t>
      </w:r>
    </w:p>
    <w:p w14:paraId="5F52CB4D">
      <w:pPr>
        <w:keepNext w:val="0"/>
        <w:keepLines w:val="0"/>
        <w:pageBreakBefore w:val="0"/>
        <w:widowControl w:val="0"/>
        <w:kinsoku/>
        <w:wordWrap/>
        <w:overflowPunct/>
        <w:topLinePunct w:val="0"/>
        <w:autoSpaceDE/>
        <w:autoSpaceDN/>
        <w:bidi w:val="0"/>
        <w:adjustRightInd/>
        <w:snapToGrid/>
        <w:spacing w:line="560" w:lineRule="exact"/>
        <w:ind w:firstLine="1470" w:firstLineChars="7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传真：</w:t>
      </w:r>
      <w:r>
        <w:rPr>
          <w:rFonts w:hint="eastAsia" w:ascii="宋体" w:hAnsi="宋体" w:eastAsia="宋体" w:cs="宋体"/>
          <w:color w:val="auto"/>
          <w:sz w:val="21"/>
          <w:szCs w:val="21"/>
          <w:u w:val="single"/>
        </w:rPr>
        <w:t xml:space="preserve">                                        </w:t>
      </w:r>
    </w:p>
    <w:p w14:paraId="4BD1EBA3">
      <w:pPr>
        <w:keepNext w:val="0"/>
        <w:keepLines w:val="0"/>
        <w:pageBreakBefore w:val="0"/>
        <w:widowControl w:val="0"/>
        <w:kinsoku/>
        <w:wordWrap/>
        <w:overflowPunct/>
        <w:topLinePunct w:val="0"/>
        <w:autoSpaceDE/>
        <w:autoSpaceDN/>
        <w:bidi w:val="0"/>
        <w:adjustRightInd/>
        <w:snapToGrid/>
        <w:spacing w:line="560" w:lineRule="exact"/>
        <w:ind w:firstLine="1470" w:firstLineChars="7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申请人地址：</w:t>
      </w:r>
      <w:r>
        <w:rPr>
          <w:rFonts w:hint="eastAsia" w:ascii="宋体" w:hAnsi="宋体" w:eastAsia="宋体" w:cs="宋体"/>
          <w:color w:val="auto"/>
          <w:sz w:val="21"/>
          <w:szCs w:val="21"/>
          <w:u w:val="single"/>
        </w:rPr>
        <w:t xml:space="preserve">                                  </w:t>
      </w:r>
    </w:p>
    <w:p w14:paraId="4EB44333">
      <w:pPr>
        <w:keepNext w:val="0"/>
        <w:keepLines w:val="0"/>
        <w:pageBreakBefore w:val="0"/>
        <w:widowControl w:val="0"/>
        <w:kinsoku/>
        <w:wordWrap/>
        <w:overflowPunct/>
        <w:topLinePunct w:val="0"/>
        <w:autoSpaceDE/>
        <w:autoSpaceDN/>
        <w:bidi w:val="0"/>
        <w:adjustRightInd/>
        <w:snapToGrid/>
        <w:spacing w:line="560" w:lineRule="exact"/>
        <w:ind w:firstLine="1470" w:firstLineChars="700"/>
        <w:textAlignment w:val="auto"/>
        <w:rPr>
          <w:rFonts w:hAnsi="宋体"/>
          <w:color w:val="auto"/>
          <w:sz w:val="21"/>
          <w:szCs w:val="21"/>
          <w:u w:val="single"/>
        </w:rPr>
      </w:pPr>
      <w:r>
        <w:rPr>
          <w:rFonts w:hint="eastAsia" w:ascii="宋体" w:hAnsi="宋体" w:eastAsia="宋体" w:cs="宋体"/>
          <w:color w:val="auto"/>
          <w:sz w:val="21"/>
          <w:szCs w:val="21"/>
        </w:rPr>
        <w:t>邮 政 编 码：</w:t>
      </w:r>
      <w:r>
        <w:rPr>
          <w:rFonts w:hint="eastAsia" w:ascii="宋体" w:hAnsi="宋体" w:eastAsia="宋体" w:cs="宋体"/>
          <w:color w:val="auto"/>
          <w:sz w:val="21"/>
          <w:szCs w:val="21"/>
          <w:u w:val="single"/>
        </w:rPr>
        <w:t xml:space="preserve">                                 </w:t>
      </w:r>
    </w:p>
    <w:p w14:paraId="070CD236">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宋体" w:hAnsi="宋体"/>
          <w:color w:val="auto"/>
          <w:sz w:val="21"/>
          <w:szCs w:val="21"/>
        </w:rPr>
      </w:pPr>
    </w:p>
    <w:p w14:paraId="68DC7537">
      <w:pPr>
        <w:spacing w:line="360" w:lineRule="auto"/>
        <w:jc w:val="both"/>
        <w:rPr>
          <w:rFonts w:hint="eastAsia" w:ascii="宋体" w:hAnsi="宋体"/>
          <w:color w:val="auto"/>
          <w:sz w:val="21"/>
          <w:szCs w:val="21"/>
        </w:rPr>
      </w:pPr>
    </w:p>
    <w:p w14:paraId="0D8F3F54">
      <w:pPr>
        <w:pStyle w:val="4"/>
        <w:spacing w:after="0" w:line="480" w:lineRule="exact"/>
        <w:ind w:firstLine="138"/>
        <w:jc w:val="center"/>
        <w:rPr>
          <w:rFonts w:hint="eastAsia" w:ascii="宋体" w:hAnsi="宋体" w:eastAsia="宋体" w:cs="宋体"/>
          <w:b/>
          <w:bCs/>
          <w:color w:val="auto"/>
          <w:sz w:val="28"/>
          <w:szCs w:val="28"/>
        </w:rPr>
      </w:pPr>
      <w:bookmarkStart w:id="857" w:name="_Toc59034542"/>
      <w:r>
        <w:rPr>
          <w:rFonts w:hint="eastAsia" w:ascii="宋体" w:hAnsi="宋体" w:eastAsia="宋体" w:cs="宋体"/>
          <w:b/>
          <w:bCs/>
          <w:color w:val="auto"/>
          <w:sz w:val="28"/>
          <w:szCs w:val="28"/>
        </w:rPr>
        <w:br w:type="page"/>
      </w:r>
      <w:r>
        <w:rPr>
          <w:rFonts w:hint="eastAsia" w:ascii="宋体" w:hAnsi="宋体" w:eastAsia="宋体" w:cs="宋体"/>
          <w:b/>
          <w:bCs/>
          <w:color w:val="auto"/>
          <w:sz w:val="28"/>
          <w:szCs w:val="28"/>
        </w:rPr>
        <w:t>（二）</w:t>
      </w:r>
      <w:r>
        <w:rPr>
          <w:rFonts w:hint="eastAsia" w:ascii="宋体" w:hAnsi="宋体" w:eastAsia="宋体" w:cs="宋体"/>
          <w:b/>
          <w:bCs/>
          <w:color w:val="auto"/>
          <w:sz w:val="28"/>
          <w:szCs w:val="28"/>
          <w:lang w:eastAsia="zh-CN"/>
        </w:rPr>
        <w:t>磋商</w:t>
      </w:r>
      <w:r>
        <w:rPr>
          <w:rFonts w:hint="eastAsia" w:ascii="宋体" w:hAnsi="宋体" w:eastAsia="宋体" w:cs="宋体"/>
          <w:b/>
          <w:bCs/>
          <w:color w:val="auto"/>
          <w:sz w:val="28"/>
          <w:szCs w:val="28"/>
        </w:rPr>
        <w:t>报价表</w:t>
      </w:r>
      <w:bookmarkEnd w:id="857"/>
    </w:p>
    <w:p w14:paraId="731A7705">
      <w:pPr>
        <w:spacing w:line="480" w:lineRule="exact"/>
        <w:ind w:left="-29" w:leftChars="-14"/>
        <w:rPr>
          <w:rFonts w:hint="eastAsia" w:ascii="仿宋" w:hAnsi="仿宋" w:eastAsia="仿宋" w:cs="仿宋"/>
          <w:color w:val="auto"/>
          <w:sz w:val="21"/>
          <w:szCs w:val="21"/>
        </w:rPr>
      </w:pPr>
    </w:p>
    <w:tbl>
      <w:tblPr>
        <w:tblStyle w:val="31"/>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345"/>
        <w:gridCol w:w="6507"/>
        <w:gridCol w:w="617"/>
      </w:tblGrid>
      <w:tr w14:paraId="0CC5B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69" w:type="dxa"/>
            <w:tcBorders>
              <w:top w:val="single" w:color="auto" w:sz="4" w:space="0"/>
              <w:left w:val="single" w:color="auto" w:sz="4" w:space="0"/>
              <w:bottom w:val="single" w:color="auto" w:sz="4" w:space="0"/>
              <w:right w:val="single" w:color="auto" w:sz="4" w:space="0"/>
            </w:tcBorders>
            <w:vAlign w:val="center"/>
          </w:tcPr>
          <w:p w14:paraId="0405BFE7">
            <w:pPr>
              <w:spacing w:line="480" w:lineRule="exact"/>
              <w:jc w:val="center"/>
              <w:rPr>
                <w:rFonts w:cs="仿宋" w:asciiTheme="minorEastAsia" w:hAnsiTheme="minorEastAsia"/>
                <w:b/>
                <w:color w:val="auto"/>
                <w:szCs w:val="21"/>
              </w:rPr>
            </w:pPr>
            <w:r>
              <w:rPr>
                <w:rFonts w:hint="eastAsia" w:cs="仿宋" w:asciiTheme="minorEastAsia" w:hAnsiTheme="minorEastAsia"/>
                <w:b/>
                <w:color w:val="auto"/>
                <w:szCs w:val="21"/>
              </w:rPr>
              <w:t>序号</w:t>
            </w:r>
          </w:p>
        </w:tc>
        <w:tc>
          <w:tcPr>
            <w:tcW w:w="1345" w:type="dxa"/>
            <w:tcBorders>
              <w:top w:val="single" w:color="auto" w:sz="4" w:space="0"/>
              <w:left w:val="single" w:color="auto" w:sz="4" w:space="0"/>
              <w:bottom w:val="single" w:color="auto" w:sz="4" w:space="0"/>
              <w:right w:val="single" w:color="auto" w:sz="4" w:space="0"/>
            </w:tcBorders>
            <w:vAlign w:val="center"/>
          </w:tcPr>
          <w:p w14:paraId="2C02F7AF">
            <w:pPr>
              <w:spacing w:line="480" w:lineRule="exact"/>
              <w:jc w:val="center"/>
              <w:rPr>
                <w:rFonts w:cs="仿宋" w:asciiTheme="minorEastAsia" w:hAnsiTheme="minorEastAsia"/>
                <w:b/>
                <w:color w:val="auto"/>
                <w:szCs w:val="21"/>
              </w:rPr>
            </w:pPr>
            <w:r>
              <w:rPr>
                <w:rFonts w:hint="eastAsia" w:cs="仿宋" w:asciiTheme="minorEastAsia" w:hAnsiTheme="minorEastAsia"/>
                <w:b/>
                <w:color w:val="auto"/>
                <w:szCs w:val="21"/>
              </w:rPr>
              <w:t>项目</w:t>
            </w:r>
          </w:p>
        </w:tc>
        <w:tc>
          <w:tcPr>
            <w:tcW w:w="6507" w:type="dxa"/>
            <w:tcBorders>
              <w:top w:val="single" w:color="auto" w:sz="4" w:space="0"/>
              <w:left w:val="single" w:color="auto" w:sz="4" w:space="0"/>
              <w:bottom w:val="single" w:color="auto" w:sz="4" w:space="0"/>
              <w:right w:val="single" w:color="auto" w:sz="4" w:space="0"/>
            </w:tcBorders>
            <w:vAlign w:val="center"/>
          </w:tcPr>
          <w:p w14:paraId="7C257742">
            <w:pPr>
              <w:spacing w:line="480" w:lineRule="exact"/>
              <w:jc w:val="center"/>
              <w:rPr>
                <w:rFonts w:cs="仿宋" w:asciiTheme="minorEastAsia" w:hAnsiTheme="minorEastAsia"/>
                <w:b/>
                <w:color w:val="auto"/>
                <w:szCs w:val="21"/>
              </w:rPr>
            </w:pPr>
            <w:r>
              <w:rPr>
                <w:rFonts w:hint="eastAsia" w:cs="仿宋" w:asciiTheme="minorEastAsia" w:hAnsiTheme="minorEastAsia"/>
                <w:b/>
                <w:color w:val="auto"/>
                <w:szCs w:val="21"/>
              </w:rPr>
              <w:t>内容</w:t>
            </w:r>
          </w:p>
        </w:tc>
        <w:tc>
          <w:tcPr>
            <w:tcW w:w="617" w:type="dxa"/>
            <w:tcBorders>
              <w:top w:val="single" w:color="auto" w:sz="4" w:space="0"/>
              <w:left w:val="single" w:color="auto" w:sz="4" w:space="0"/>
              <w:bottom w:val="single" w:color="auto" w:sz="4" w:space="0"/>
              <w:right w:val="single" w:color="auto" w:sz="4" w:space="0"/>
            </w:tcBorders>
            <w:vAlign w:val="center"/>
          </w:tcPr>
          <w:p w14:paraId="3AE7AB1A">
            <w:pPr>
              <w:spacing w:line="480" w:lineRule="exact"/>
              <w:jc w:val="center"/>
              <w:rPr>
                <w:rFonts w:cs="仿宋" w:asciiTheme="minorEastAsia" w:hAnsiTheme="minorEastAsia"/>
                <w:b/>
                <w:color w:val="auto"/>
                <w:szCs w:val="21"/>
              </w:rPr>
            </w:pPr>
            <w:r>
              <w:rPr>
                <w:rFonts w:hint="eastAsia" w:cs="仿宋" w:asciiTheme="minorEastAsia" w:hAnsiTheme="minorEastAsia"/>
                <w:b/>
                <w:color w:val="auto"/>
                <w:szCs w:val="21"/>
              </w:rPr>
              <w:t>备注</w:t>
            </w:r>
          </w:p>
        </w:tc>
      </w:tr>
      <w:tr w14:paraId="0B841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969" w:type="dxa"/>
            <w:tcBorders>
              <w:top w:val="single" w:color="auto" w:sz="4" w:space="0"/>
              <w:left w:val="single" w:color="auto" w:sz="4" w:space="0"/>
              <w:bottom w:val="single" w:color="auto" w:sz="4" w:space="0"/>
              <w:right w:val="single" w:color="auto" w:sz="4" w:space="0"/>
            </w:tcBorders>
            <w:vAlign w:val="center"/>
          </w:tcPr>
          <w:p w14:paraId="59FE1160">
            <w:pPr>
              <w:spacing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345" w:type="dxa"/>
            <w:tcBorders>
              <w:top w:val="single" w:color="auto" w:sz="4" w:space="0"/>
              <w:left w:val="single" w:color="auto" w:sz="4" w:space="0"/>
              <w:bottom w:val="single" w:color="auto" w:sz="4" w:space="0"/>
              <w:right w:val="single" w:color="auto" w:sz="4" w:space="0"/>
            </w:tcBorders>
            <w:vAlign w:val="center"/>
          </w:tcPr>
          <w:p w14:paraId="6C6479FC">
            <w:pPr>
              <w:spacing w:line="480" w:lineRule="exac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lang w:val="en-US" w:eastAsia="zh-CN"/>
              </w:rPr>
              <w:t>总</w:t>
            </w:r>
            <w:r>
              <w:rPr>
                <w:rFonts w:hint="eastAsia" w:ascii="宋体" w:hAnsi="宋体" w:eastAsia="宋体" w:cs="宋体"/>
                <w:color w:val="auto"/>
                <w:sz w:val="21"/>
                <w:szCs w:val="21"/>
              </w:rPr>
              <w:t>报价</w:t>
            </w:r>
          </w:p>
        </w:tc>
        <w:tc>
          <w:tcPr>
            <w:tcW w:w="6507" w:type="dxa"/>
            <w:tcBorders>
              <w:top w:val="single" w:color="auto" w:sz="4" w:space="0"/>
              <w:left w:val="single" w:color="auto" w:sz="4" w:space="0"/>
              <w:bottom w:val="single" w:color="auto" w:sz="4" w:space="0"/>
              <w:right w:val="single" w:color="auto" w:sz="4" w:space="0"/>
            </w:tcBorders>
            <w:vAlign w:val="center"/>
          </w:tcPr>
          <w:p w14:paraId="42414C9C">
            <w:pPr>
              <w:keepNext w:val="0"/>
              <w:keepLines w:val="0"/>
              <w:pageBreakBefore w:val="0"/>
              <w:widowControl w:val="0"/>
              <w:kinsoku/>
              <w:wordWrap/>
              <w:overflowPunct/>
              <w:topLinePunct w:val="0"/>
              <w:autoSpaceDE/>
              <w:autoSpaceDN/>
              <w:bidi w:val="0"/>
              <w:adjustRightInd/>
              <w:snapToGrid/>
              <w:spacing w:after="0" w:line="480" w:lineRule="exact"/>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元，（大写：</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w:t>
            </w:r>
          </w:p>
        </w:tc>
        <w:tc>
          <w:tcPr>
            <w:tcW w:w="617" w:type="dxa"/>
            <w:tcBorders>
              <w:top w:val="single" w:color="auto" w:sz="4" w:space="0"/>
              <w:left w:val="single" w:color="auto" w:sz="4" w:space="0"/>
              <w:bottom w:val="single" w:color="auto" w:sz="4" w:space="0"/>
              <w:right w:val="single" w:color="auto" w:sz="4" w:space="0"/>
            </w:tcBorders>
            <w:vAlign w:val="center"/>
          </w:tcPr>
          <w:p w14:paraId="4D43989A">
            <w:pPr>
              <w:spacing w:line="480" w:lineRule="exact"/>
              <w:rPr>
                <w:rFonts w:hint="eastAsia" w:ascii="宋体" w:hAnsi="宋体" w:eastAsia="宋体" w:cs="宋体"/>
                <w:color w:val="auto"/>
                <w:sz w:val="21"/>
                <w:szCs w:val="21"/>
              </w:rPr>
            </w:pPr>
          </w:p>
        </w:tc>
      </w:tr>
      <w:tr w14:paraId="2E162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69" w:type="dxa"/>
            <w:tcBorders>
              <w:top w:val="single" w:color="auto" w:sz="4" w:space="0"/>
              <w:left w:val="single" w:color="auto" w:sz="4" w:space="0"/>
              <w:bottom w:val="single" w:color="auto" w:sz="4" w:space="0"/>
              <w:right w:val="single" w:color="auto" w:sz="4" w:space="0"/>
            </w:tcBorders>
            <w:vAlign w:val="center"/>
          </w:tcPr>
          <w:p w14:paraId="712DC462">
            <w:pPr>
              <w:spacing w:line="480" w:lineRule="exact"/>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w:t>
            </w:r>
          </w:p>
        </w:tc>
        <w:tc>
          <w:tcPr>
            <w:tcW w:w="1345" w:type="dxa"/>
            <w:tcBorders>
              <w:top w:val="single" w:color="auto" w:sz="4" w:space="0"/>
              <w:left w:val="single" w:color="auto" w:sz="4" w:space="0"/>
              <w:bottom w:val="single" w:color="auto" w:sz="4" w:space="0"/>
              <w:right w:val="single" w:color="auto" w:sz="4" w:space="0"/>
            </w:tcBorders>
            <w:vAlign w:val="center"/>
          </w:tcPr>
          <w:p w14:paraId="5399267F">
            <w:pPr>
              <w:spacing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设计费用</w:t>
            </w:r>
          </w:p>
        </w:tc>
        <w:tc>
          <w:tcPr>
            <w:tcW w:w="6507" w:type="dxa"/>
            <w:tcBorders>
              <w:top w:val="single" w:color="auto" w:sz="4" w:space="0"/>
              <w:left w:val="single" w:color="auto" w:sz="4" w:space="0"/>
              <w:bottom w:val="single" w:color="auto" w:sz="4" w:space="0"/>
              <w:right w:val="single" w:color="auto" w:sz="4" w:space="0"/>
            </w:tcBorders>
            <w:vAlign w:val="center"/>
          </w:tcPr>
          <w:p w14:paraId="3F97E591">
            <w:pPr>
              <w:spacing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设计费用：</w:t>
            </w:r>
            <w:r>
              <w:rPr>
                <w:rFonts w:hint="eastAsia" w:ascii="宋体" w:hAnsi="宋体" w:eastAsia="宋体" w:cs="宋体"/>
                <w:color w:val="auto"/>
                <w:sz w:val="21"/>
                <w:szCs w:val="21"/>
                <w:lang w:val="en-US" w:eastAsia="zh-CN"/>
              </w:rPr>
              <w:t>总价：￥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元，（大写：</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w:t>
            </w:r>
          </w:p>
        </w:tc>
        <w:tc>
          <w:tcPr>
            <w:tcW w:w="617" w:type="dxa"/>
            <w:tcBorders>
              <w:top w:val="single" w:color="auto" w:sz="4" w:space="0"/>
              <w:left w:val="single" w:color="auto" w:sz="4" w:space="0"/>
              <w:bottom w:val="single" w:color="auto" w:sz="4" w:space="0"/>
              <w:right w:val="single" w:color="auto" w:sz="4" w:space="0"/>
            </w:tcBorders>
            <w:vAlign w:val="center"/>
          </w:tcPr>
          <w:p w14:paraId="423A0364">
            <w:pPr>
              <w:spacing w:line="480" w:lineRule="exact"/>
              <w:jc w:val="center"/>
              <w:rPr>
                <w:rFonts w:hint="eastAsia" w:ascii="宋体" w:hAnsi="宋体" w:eastAsia="宋体" w:cs="宋体"/>
                <w:color w:val="auto"/>
                <w:sz w:val="21"/>
                <w:szCs w:val="21"/>
              </w:rPr>
            </w:pPr>
          </w:p>
        </w:tc>
      </w:tr>
      <w:tr w14:paraId="4FCEE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969" w:type="dxa"/>
            <w:tcBorders>
              <w:top w:val="single" w:color="auto" w:sz="4" w:space="0"/>
              <w:left w:val="single" w:color="auto" w:sz="4" w:space="0"/>
              <w:bottom w:val="single" w:color="auto" w:sz="4" w:space="0"/>
              <w:right w:val="single" w:color="auto" w:sz="4" w:space="0"/>
            </w:tcBorders>
            <w:vAlign w:val="center"/>
          </w:tcPr>
          <w:p w14:paraId="670B3C24">
            <w:pPr>
              <w:spacing w:line="480" w:lineRule="exact"/>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w:t>
            </w:r>
          </w:p>
        </w:tc>
        <w:tc>
          <w:tcPr>
            <w:tcW w:w="1345" w:type="dxa"/>
            <w:tcBorders>
              <w:top w:val="single" w:color="auto" w:sz="4" w:space="0"/>
              <w:left w:val="single" w:color="auto" w:sz="4" w:space="0"/>
              <w:bottom w:val="single" w:color="auto" w:sz="4" w:space="0"/>
              <w:right w:val="single" w:color="auto" w:sz="4" w:space="0"/>
            </w:tcBorders>
            <w:vAlign w:val="center"/>
          </w:tcPr>
          <w:p w14:paraId="7961E842">
            <w:pPr>
              <w:spacing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建安费用</w:t>
            </w:r>
          </w:p>
        </w:tc>
        <w:tc>
          <w:tcPr>
            <w:tcW w:w="6507" w:type="dxa"/>
            <w:tcBorders>
              <w:top w:val="single" w:color="auto" w:sz="4" w:space="0"/>
              <w:left w:val="single" w:color="auto" w:sz="4" w:space="0"/>
              <w:bottom w:val="single" w:color="auto" w:sz="4" w:space="0"/>
              <w:right w:val="single" w:color="auto" w:sz="4" w:space="0"/>
            </w:tcBorders>
            <w:vAlign w:val="center"/>
          </w:tcPr>
          <w:p w14:paraId="35654854">
            <w:pPr>
              <w:spacing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建安费用：</w:t>
            </w:r>
            <w:r>
              <w:rPr>
                <w:rFonts w:hint="eastAsia" w:ascii="宋体" w:hAnsi="宋体" w:eastAsia="宋体" w:cs="宋体"/>
                <w:color w:val="auto"/>
                <w:sz w:val="21"/>
                <w:szCs w:val="21"/>
                <w:lang w:val="en-US" w:eastAsia="zh-CN"/>
              </w:rPr>
              <w:t>总价：￥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元，（大写：</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w:t>
            </w:r>
          </w:p>
        </w:tc>
        <w:tc>
          <w:tcPr>
            <w:tcW w:w="617" w:type="dxa"/>
            <w:tcBorders>
              <w:top w:val="single" w:color="auto" w:sz="4" w:space="0"/>
              <w:left w:val="single" w:color="auto" w:sz="4" w:space="0"/>
              <w:bottom w:val="single" w:color="auto" w:sz="4" w:space="0"/>
              <w:right w:val="single" w:color="auto" w:sz="4" w:space="0"/>
            </w:tcBorders>
            <w:vAlign w:val="center"/>
          </w:tcPr>
          <w:p w14:paraId="098562A9">
            <w:pPr>
              <w:spacing w:line="480" w:lineRule="exact"/>
              <w:jc w:val="center"/>
              <w:rPr>
                <w:rFonts w:hint="eastAsia" w:ascii="宋体" w:hAnsi="宋体" w:eastAsia="宋体" w:cs="宋体"/>
                <w:color w:val="auto"/>
                <w:sz w:val="21"/>
                <w:szCs w:val="21"/>
              </w:rPr>
            </w:pPr>
          </w:p>
        </w:tc>
      </w:tr>
      <w:tr w14:paraId="3E6E5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969" w:type="dxa"/>
            <w:tcBorders>
              <w:top w:val="single" w:color="auto" w:sz="4" w:space="0"/>
              <w:left w:val="single" w:color="auto" w:sz="4" w:space="0"/>
              <w:bottom w:val="single" w:color="auto" w:sz="4" w:space="0"/>
              <w:right w:val="single" w:color="auto" w:sz="4" w:space="0"/>
            </w:tcBorders>
            <w:vAlign w:val="center"/>
          </w:tcPr>
          <w:p w14:paraId="45654597">
            <w:pPr>
              <w:spacing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345" w:type="dxa"/>
            <w:tcBorders>
              <w:top w:val="single" w:color="auto" w:sz="4" w:space="0"/>
              <w:left w:val="single" w:color="auto" w:sz="4" w:space="0"/>
              <w:bottom w:val="single" w:color="auto" w:sz="4" w:space="0"/>
              <w:right w:val="single" w:color="auto" w:sz="4" w:space="0"/>
            </w:tcBorders>
            <w:vAlign w:val="center"/>
          </w:tcPr>
          <w:p w14:paraId="3866521A">
            <w:pPr>
              <w:spacing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总工期承诺</w:t>
            </w:r>
          </w:p>
        </w:tc>
        <w:tc>
          <w:tcPr>
            <w:tcW w:w="6507" w:type="dxa"/>
            <w:tcBorders>
              <w:top w:val="single" w:color="auto" w:sz="4" w:space="0"/>
              <w:left w:val="single" w:color="auto" w:sz="4" w:space="0"/>
              <w:bottom w:val="single" w:color="auto" w:sz="4" w:space="0"/>
              <w:right w:val="single" w:color="auto" w:sz="4" w:space="0"/>
            </w:tcBorders>
            <w:vAlign w:val="center"/>
          </w:tcPr>
          <w:p w14:paraId="41595DD1">
            <w:pPr>
              <w:spacing w:line="480" w:lineRule="exact"/>
              <w:rPr>
                <w:rFonts w:hint="eastAsia" w:ascii="宋体" w:hAnsi="宋体" w:eastAsia="宋体" w:cs="宋体"/>
                <w:color w:val="auto"/>
                <w:sz w:val="21"/>
                <w:szCs w:val="21"/>
              </w:rPr>
            </w:pPr>
          </w:p>
        </w:tc>
        <w:tc>
          <w:tcPr>
            <w:tcW w:w="617" w:type="dxa"/>
            <w:tcBorders>
              <w:top w:val="single" w:color="auto" w:sz="4" w:space="0"/>
              <w:left w:val="single" w:color="auto" w:sz="4" w:space="0"/>
              <w:bottom w:val="single" w:color="auto" w:sz="4" w:space="0"/>
              <w:right w:val="single" w:color="auto" w:sz="4" w:space="0"/>
            </w:tcBorders>
            <w:vAlign w:val="center"/>
          </w:tcPr>
          <w:p w14:paraId="13E326A3">
            <w:pPr>
              <w:spacing w:line="480" w:lineRule="exact"/>
              <w:jc w:val="center"/>
              <w:rPr>
                <w:rFonts w:hint="eastAsia" w:ascii="宋体" w:hAnsi="宋体" w:eastAsia="宋体" w:cs="宋体"/>
                <w:color w:val="auto"/>
                <w:sz w:val="21"/>
                <w:szCs w:val="21"/>
              </w:rPr>
            </w:pPr>
          </w:p>
        </w:tc>
      </w:tr>
      <w:tr w14:paraId="6EDF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jc w:val="center"/>
        </w:trPr>
        <w:tc>
          <w:tcPr>
            <w:tcW w:w="969" w:type="dxa"/>
            <w:tcBorders>
              <w:top w:val="single" w:color="auto" w:sz="4" w:space="0"/>
              <w:left w:val="single" w:color="auto" w:sz="4" w:space="0"/>
              <w:bottom w:val="single" w:color="auto" w:sz="4" w:space="0"/>
              <w:right w:val="single" w:color="auto" w:sz="4" w:space="0"/>
            </w:tcBorders>
            <w:vAlign w:val="center"/>
          </w:tcPr>
          <w:p w14:paraId="318E47CB">
            <w:pPr>
              <w:spacing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345" w:type="dxa"/>
            <w:tcBorders>
              <w:top w:val="single" w:color="auto" w:sz="4" w:space="0"/>
              <w:left w:val="single" w:color="auto" w:sz="4" w:space="0"/>
              <w:bottom w:val="single" w:color="auto" w:sz="4" w:space="0"/>
              <w:right w:val="single" w:color="auto" w:sz="4" w:space="0"/>
            </w:tcBorders>
            <w:vAlign w:val="center"/>
          </w:tcPr>
          <w:p w14:paraId="1D0BC8DE">
            <w:pPr>
              <w:spacing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质量承诺</w:t>
            </w:r>
          </w:p>
        </w:tc>
        <w:tc>
          <w:tcPr>
            <w:tcW w:w="6507" w:type="dxa"/>
            <w:tcBorders>
              <w:top w:val="single" w:color="auto" w:sz="4" w:space="0"/>
              <w:left w:val="single" w:color="auto" w:sz="4" w:space="0"/>
              <w:bottom w:val="single" w:color="auto" w:sz="4" w:space="0"/>
              <w:right w:val="single" w:color="auto" w:sz="4" w:space="0"/>
            </w:tcBorders>
            <w:vAlign w:val="center"/>
          </w:tcPr>
          <w:p w14:paraId="65F6765F">
            <w:pPr>
              <w:spacing w:line="480" w:lineRule="exact"/>
              <w:rPr>
                <w:rFonts w:hint="eastAsia" w:ascii="宋体" w:hAnsi="宋体" w:eastAsia="宋体" w:cs="宋体"/>
                <w:color w:val="auto"/>
                <w:sz w:val="21"/>
                <w:szCs w:val="21"/>
                <w:u w:val="single"/>
              </w:rPr>
            </w:pPr>
            <w:r>
              <w:rPr>
                <w:rFonts w:hint="eastAsia" w:ascii="宋体" w:hAnsi="宋体" w:eastAsia="宋体" w:cs="宋体"/>
                <w:color w:val="auto"/>
                <w:sz w:val="21"/>
                <w:szCs w:val="21"/>
              </w:rPr>
              <w:t>设计质量达到：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176DB5E">
            <w:pPr>
              <w:spacing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施工质量达到：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tc>
        <w:tc>
          <w:tcPr>
            <w:tcW w:w="617" w:type="dxa"/>
            <w:tcBorders>
              <w:top w:val="single" w:color="auto" w:sz="4" w:space="0"/>
              <w:left w:val="single" w:color="auto" w:sz="4" w:space="0"/>
              <w:bottom w:val="single" w:color="auto" w:sz="4" w:space="0"/>
              <w:right w:val="single" w:color="auto" w:sz="4" w:space="0"/>
            </w:tcBorders>
            <w:vAlign w:val="center"/>
          </w:tcPr>
          <w:p w14:paraId="633AB3D1">
            <w:pPr>
              <w:spacing w:line="480" w:lineRule="exact"/>
              <w:jc w:val="center"/>
              <w:rPr>
                <w:rFonts w:hint="eastAsia" w:ascii="宋体" w:hAnsi="宋体" w:eastAsia="宋体" w:cs="宋体"/>
                <w:color w:val="auto"/>
                <w:sz w:val="21"/>
                <w:szCs w:val="21"/>
              </w:rPr>
            </w:pPr>
          </w:p>
        </w:tc>
      </w:tr>
      <w:tr w14:paraId="1CF6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969" w:type="dxa"/>
            <w:tcBorders>
              <w:top w:val="single" w:color="auto" w:sz="4" w:space="0"/>
              <w:left w:val="single" w:color="auto" w:sz="4" w:space="0"/>
              <w:bottom w:val="single" w:color="auto" w:sz="4" w:space="0"/>
              <w:right w:val="single" w:color="auto" w:sz="4" w:space="0"/>
            </w:tcBorders>
            <w:vAlign w:val="center"/>
          </w:tcPr>
          <w:p w14:paraId="527C9026">
            <w:pPr>
              <w:spacing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345" w:type="dxa"/>
            <w:tcBorders>
              <w:top w:val="single" w:color="auto" w:sz="4" w:space="0"/>
              <w:left w:val="single" w:color="auto" w:sz="4" w:space="0"/>
              <w:bottom w:val="single" w:color="auto" w:sz="4" w:space="0"/>
              <w:right w:val="single" w:color="auto" w:sz="4" w:space="0"/>
            </w:tcBorders>
            <w:vAlign w:val="center"/>
          </w:tcPr>
          <w:p w14:paraId="3E708C90">
            <w:pPr>
              <w:spacing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保证金</w:t>
            </w:r>
          </w:p>
        </w:tc>
        <w:tc>
          <w:tcPr>
            <w:tcW w:w="6507" w:type="dxa"/>
            <w:tcBorders>
              <w:top w:val="single" w:color="auto" w:sz="4" w:space="0"/>
              <w:left w:val="single" w:color="auto" w:sz="4" w:space="0"/>
              <w:bottom w:val="single" w:color="auto" w:sz="4" w:space="0"/>
              <w:right w:val="single" w:color="auto" w:sz="4" w:space="0"/>
            </w:tcBorders>
            <w:vAlign w:val="center"/>
          </w:tcPr>
          <w:p w14:paraId="7384C196">
            <w:pPr>
              <w:spacing w:line="480" w:lineRule="exact"/>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tc>
        <w:tc>
          <w:tcPr>
            <w:tcW w:w="617" w:type="dxa"/>
            <w:tcBorders>
              <w:top w:val="single" w:color="auto" w:sz="4" w:space="0"/>
              <w:left w:val="single" w:color="auto" w:sz="4" w:space="0"/>
              <w:bottom w:val="single" w:color="auto" w:sz="4" w:space="0"/>
              <w:right w:val="single" w:color="auto" w:sz="4" w:space="0"/>
            </w:tcBorders>
            <w:vAlign w:val="center"/>
          </w:tcPr>
          <w:p w14:paraId="45525C2F">
            <w:pPr>
              <w:spacing w:line="480" w:lineRule="exact"/>
              <w:jc w:val="center"/>
              <w:rPr>
                <w:rFonts w:hint="eastAsia" w:ascii="宋体" w:hAnsi="宋体" w:eastAsia="宋体" w:cs="宋体"/>
                <w:color w:val="auto"/>
                <w:sz w:val="21"/>
                <w:szCs w:val="21"/>
              </w:rPr>
            </w:pPr>
          </w:p>
        </w:tc>
      </w:tr>
      <w:tr w14:paraId="3841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438" w:type="dxa"/>
            <w:gridSpan w:val="4"/>
            <w:tcBorders>
              <w:top w:val="single" w:color="auto" w:sz="4" w:space="0"/>
              <w:left w:val="single" w:color="auto" w:sz="4" w:space="0"/>
              <w:bottom w:val="single" w:color="auto" w:sz="4" w:space="0"/>
              <w:right w:val="single" w:color="auto" w:sz="4" w:space="0"/>
            </w:tcBorders>
            <w:vAlign w:val="center"/>
          </w:tcPr>
          <w:p w14:paraId="503AEA18">
            <w:pPr>
              <w:pStyle w:val="9"/>
              <w:rPr>
                <w:rFonts w:hint="eastAsia" w:ascii="宋体" w:hAnsi="宋体" w:eastAsia="宋体" w:cs="宋体"/>
                <w:color w:val="auto"/>
                <w:sz w:val="21"/>
                <w:szCs w:val="21"/>
              </w:rPr>
            </w:pPr>
            <w:r>
              <w:rPr>
                <w:rFonts w:hint="eastAsia" w:ascii="宋体" w:eastAsia="宋体" w:cs="宋体"/>
                <w:color w:val="auto"/>
                <w:spacing w:val="0"/>
                <w:w w:val="100"/>
                <w:kern w:val="2"/>
                <w:sz w:val="21"/>
                <w:szCs w:val="21"/>
                <w:lang w:val="en-US" w:eastAsia="zh-CN" w:bidi="ar-SA"/>
              </w:rPr>
              <w:t>磋商报价</w:t>
            </w:r>
            <w:r>
              <w:rPr>
                <w:rFonts w:hint="eastAsia" w:ascii="宋体" w:hAnsi="宋体" w:eastAsia="宋体" w:cs="宋体"/>
                <w:color w:val="auto"/>
                <w:spacing w:val="0"/>
                <w:w w:val="100"/>
                <w:kern w:val="2"/>
                <w:sz w:val="21"/>
                <w:szCs w:val="21"/>
                <w:lang w:val="en-US" w:eastAsia="zh-CN" w:bidi="ar-SA"/>
              </w:rPr>
              <w:t>应包含相关</w:t>
            </w:r>
            <w:r>
              <w:rPr>
                <w:rFonts w:hint="eastAsia" w:ascii="宋体" w:eastAsia="宋体" w:cs="宋体"/>
                <w:color w:val="auto"/>
                <w:spacing w:val="0"/>
                <w:w w:val="100"/>
                <w:kern w:val="2"/>
                <w:sz w:val="21"/>
                <w:szCs w:val="21"/>
                <w:lang w:val="en-US" w:eastAsia="zh-CN" w:bidi="ar-SA"/>
              </w:rPr>
              <w:t>的货物价款、施工、</w:t>
            </w:r>
            <w:r>
              <w:rPr>
                <w:rFonts w:hint="eastAsia" w:ascii="宋体" w:hAnsi="宋体" w:eastAsia="宋体" w:cs="宋体"/>
                <w:color w:val="auto"/>
                <w:spacing w:val="0"/>
                <w:w w:val="100"/>
                <w:kern w:val="2"/>
                <w:sz w:val="21"/>
                <w:szCs w:val="21"/>
                <w:lang w:val="en-US" w:eastAsia="zh-CN" w:bidi="ar-SA"/>
              </w:rPr>
              <w:t>技术</w:t>
            </w:r>
            <w:r>
              <w:rPr>
                <w:rFonts w:hint="eastAsia" w:ascii="宋体" w:eastAsia="宋体" w:cs="宋体"/>
                <w:color w:val="auto"/>
                <w:spacing w:val="0"/>
                <w:w w:val="100"/>
                <w:kern w:val="2"/>
                <w:sz w:val="21"/>
                <w:szCs w:val="21"/>
                <w:lang w:val="en-US" w:eastAsia="zh-CN" w:bidi="ar-SA"/>
              </w:rPr>
              <w:t>服务</w:t>
            </w:r>
            <w:r>
              <w:rPr>
                <w:rFonts w:hint="eastAsia" w:ascii="宋体" w:hAnsi="宋体" w:eastAsia="宋体" w:cs="宋体"/>
                <w:color w:val="auto"/>
                <w:spacing w:val="0"/>
                <w:w w:val="100"/>
                <w:kern w:val="2"/>
                <w:sz w:val="21"/>
                <w:szCs w:val="21"/>
                <w:lang w:val="en-US" w:eastAsia="zh-CN" w:bidi="ar-SA"/>
              </w:rPr>
              <w:t>、售后服务、税收</w:t>
            </w:r>
            <w:r>
              <w:rPr>
                <w:rFonts w:hint="eastAsia" w:ascii="宋体" w:eastAsia="宋体" w:cs="宋体"/>
                <w:color w:val="auto"/>
                <w:spacing w:val="0"/>
                <w:w w:val="100"/>
                <w:kern w:val="2"/>
                <w:sz w:val="21"/>
                <w:szCs w:val="21"/>
                <w:lang w:val="en-US" w:eastAsia="zh-CN" w:bidi="ar-SA"/>
              </w:rPr>
              <w:t>、采购代理服务费</w:t>
            </w:r>
            <w:r>
              <w:rPr>
                <w:rFonts w:hint="eastAsia" w:ascii="宋体" w:hAnsi="宋体" w:eastAsia="宋体" w:cs="宋体"/>
                <w:color w:val="auto"/>
                <w:spacing w:val="0"/>
                <w:w w:val="100"/>
                <w:kern w:val="2"/>
                <w:sz w:val="21"/>
                <w:szCs w:val="21"/>
                <w:lang w:val="en-US" w:eastAsia="zh-CN" w:bidi="ar-SA"/>
              </w:rPr>
              <w:t>等所有费用。</w:t>
            </w:r>
          </w:p>
        </w:tc>
      </w:tr>
    </w:tbl>
    <w:p w14:paraId="2C319CA9">
      <w:pPr>
        <w:spacing w:line="480" w:lineRule="exact"/>
        <w:jc w:val="center"/>
        <w:rPr>
          <w:rFonts w:hint="eastAsia" w:ascii="仿宋" w:hAnsi="仿宋" w:eastAsia="仿宋" w:cs="仿宋"/>
          <w:color w:val="auto"/>
          <w:sz w:val="21"/>
          <w:szCs w:val="21"/>
        </w:rPr>
      </w:pPr>
    </w:p>
    <w:p w14:paraId="39C1980D">
      <w:pPr>
        <w:spacing w:line="480" w:lineRule="exact"/>
        <w:jc w:val="center"/>
        <w:rPr>
          <w:rFonts w:hint="eastAsia" w:ascii="仿宋" w:hAnsi="仿宋" w:eastAsia="仿宋" w:cs="仿宋"/>
          <w:color w:val="auto"/>
          <w:sz w:val="21"/>
          <w:szCs w:val="21"/>
        </w:rPr>
      </w:pPr>
    </w:p>
    <w:p w14:paraId="5360D80D">
      <w:pPr>
        <w:spacing w:line="520" w:lineRule="exact"/>
        <w:jc w:val="center"/>
        <w:rPr>
          <w:rFonts w:hint="eastAsia" w:ascii="宋体" w:hAnsi="宋体" w:eastAsia="宋体" w:cs="宋体"/>
          <w:color w:val="auto"/>
          <w:sz w:val="21"/>
          <w:szCs w:val="21"/>
        </w:rPr>
      </w:pPr>
      <w:bookmarkStart w:id="858" w:name="_Toc247527831"/>
      <w:bookmarkStart w:id="859" w:name="_Toc152042580"/>
      <w:bookmarkStart w:id="860" w:name="_Toc441668592"/>
      <w:bookmarkStart w:id="861" w:name="_Toc247514283"/>
      <w:bookmarkStart w:id="862" w:name="_Toc59034544"/>
      <w:bookmarkStart w:id="863" w:name="_Toc144974860"/>
      <w:bookmarkStart w:id="864" w:name="_Toc531074122"/>
      <w:bookmarkStart w:id="865" w:name="_Toc152045791"/>
      <w:bookmarkStart w:id="866" w:name="_Toc281317202"/>
      <w:bookmarkStart w:id="867" w:name="_Toc59034540"/>
      <w:bookmarkStart w:id="868" w:name="_Toc59034543"/>
      <w:r>
        <w:rPr>
          <w:rFonts w:hint="eastAsia" w:ascii="宋体" w:hAnsi="宋体" w:eastAsia="宋体" w:cs="宋体"/>
          <w:b/>
          <w:bCs/>
          <w:color w:val="auto"/>
          <w:sz w:val="28"/>
          <w:szCs w:val="28"/>
          <w:lang w:eastAsia="zh-CN"/>
        </w:rPr>
        <w:br w:type="page"/>
      </w:r>
      <w:r>
        <w:rPr>
          <w:rFonts w:hint="eastAsia" w:ascii="宋体" w:hAnsi="宋体" w:eastAsia="宋体" w:cs="宋体"/>
          <w:b/>
          <w:bCs/>
          <w:color w:val="auto"/>
          <w:kern w:val="2"/>
          <w:sz w:val="28"/>
          <w:szCs w:val="28"/>
          <w:lang w:val="en-US" w:eastAsia="zh-CN" w:bidi="ar-SA"/>
        </w:rPr>
        <w:t>（</w:t>
      </w:r>
      <w:r>
        <w:rPr>
          <w:rFonts w:hint="eastAsia" w:ascii="宋体" w:hAnsi="宋体" w:cs="宋体"/>
          <w:b/>
          <w:bCs/>
          <w:color w:val="auto"/>
          <w:kern w:val="2"/>
          <w:sz w:val="28"/>
          <w:szCs w:val="28"/>
          <w:lang w:val="en-US" w:eastAsia="zh-CN" w:bidi="ar-SA"/>
        </w:rPr>
        <w:t>三</w:t>
      </w:r>
      <w:r>
        <w:rPr>
          <w:rFonts w:hint="eastAsia" w:ascii="宋体" w:hAnsi="宋体" w:eastAsia="宋体" w:cs="宋体"/>
          <w:b/>
          <w:bCs/>
          <w:color w:val="auto"/>
          <w:kern w:val="2"/>
          <w:sz w:val="28"/>
          <w:szCs w:val="28"/>
          <w:lang w:val="en-US" w:eastAsia="zh-CN" w:bidi="ar-SA"/>
        </w:rPr>
        <w:t>）法定代表人身份证明</w:t>
      </w:r>
      <w:bookmarkEnd w:id="858"/>
      <w:bookmarkEnd w:id="859"/>
      <w:bookmarkEnd w:id="860"/>
      <w:bookmarkEnd w:id="861"/>
      <w:bookmarkEnd w:id="862"/>
      <w:bookmarkEnd w:id="863"/>
      <w:bookmarkEnd w:id="864"/>
      <w:bookmarkEnd w:id="865"/>
    </w:p>
    <w:p w14:paraId="781F9B1B">
      <w:pPr>
        <w:spacing w:after="0" w:line="480" w:lineRule="exact"/>
        <w:rPr>
          <w:rFonts w:hint="eastAsia" w:ascii="仿宋" w:hAnsi="仿宋" w:eastAsia="仿宋" w:cs="仿宋"/>
          <w:color w:val="auto"/>
          <w:sz w:val="21"/>
          <w:szCs w:val="21"/>
        </w:rPr>
      </w:pPr>
    </w:p>
    <w:p w14:paraId="1763F2FD">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w:t>
      </w:r>
      <w:r>
        <w:rPr>
          <w:rFonts w:hint="eastAsia" w:ascii="宋体" w:hAnsi="宋体" w:eastAsia="宋体" w:cs="宋体"/>
          <w:color w:val="auto"/>
          <w:sz w:val="21"/>
          <w:szCs w:val="21"/>
        </w:rPr>
        <w:t>人名称：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14:paraId="2D75CFE3">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单位性质：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14:paraId="2AB317F4">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地    址：</w:t>
      </w:r>
      <w:r>
        <w:rPr>
          <w:rFonts w:hint="eastAsia" w:ascii="宋体" w:hAnsi="宋体" w:eastAsia="宋体" w:cs="宋体"/>
          <w:color w:val="auto"/>
          <w:sz w:val="21"/>
          <w:szCs w:val="21"/>
          <w:u w:val="single"/>
        </w:rPr>
        <w:t xml:space="preserve">                                   </w:t>
      </w:r>
    </w:p>
    <w:p w14:paraId="046ABE90">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成立时间：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762139E7">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经营期限：</w:t>
      </w:r>
      <w:r>
        <w:rPr>
          <w:rFonts w:hint="eastAsia" w:ascii="宋体" w:hAnsi="宋体" w:eastAsia="宋体" w:cs="宋体"/>
          <w:color w:val="auto"/>
          <w:sz w:val="21"/>
          <w:szCs w:val="21"/>
          <w:u w:val="single"/>
        </w:rPr>
        <w:t xml:space="preserve">                               </w:t>
      </w:r>
    </w:p>
    <w:p w14:paraId="226778D3">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姓名：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性别：</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年龄：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职务：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人名称）的法定代表人。</w:t>
      </w:r>
    </w:p>
    <w:p w14:paraId="778164C6">
      <w:pPr>
        <w:spacing w:after="0" w:line="48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特此证明。</w:t>
      </w:r>
    </w:p>
    <w:p w14:paraId="5B61C5BD">
      <w:pPr>
        <w:spacing w:line="360" w:lineRule="auto"/>
        <w:ind w:firstLine="2" w:firstLineChars="1"/>
        <w:rPr>
          <w:rFonts w:hint="eastAsia" w:ascii="宋体" w:hAnsi="宋体"/>
          <w:color w:val="auto"/>
          <w:szCs w:val="21"/>
        </w:rPr>
      </w:pPr>
      <w:r>
        <w:rPr>
          <w:rFonts w:hint="eastAsia"/>
          <w:b/>
          <w:color w:val="auto"/>
          <w:szCs w:val="21"/>
        </w:rPr>
        <w:t>注：以联合体形式参加磋商的，联合体各成员单位均需提供。</w:t>
      </w:r>
    </w:p>
    <w:p w14:paraId="573FF11A">
      <w:pPr>
        <w:spacing w:after="0" w:line="480" w:lineRule="exact"/>
        <w:rPr>
          <w:rFonts w:hint="eastAsia" w:ascii="宋体" w:hAnsi="宋体" w:eastAsia="宋体" w:cs="宋体"/>
          <w:color w:val="auto"/>
          <w:sz w:val="21"/>
          <w:szCs w:val="21"/>
        </w:rPr>
      </w:pPr>
    </w:p>
    <w:p w14:paraId="1DFE1E45">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附：法定代表人身份证复印件。</w:t>
      </w:r>
    </w:p>
    <w:p w14:paraId="5CFF071B">
      <w:pPr>
        <w:spacing w:after="0" w:line="480" w:lineRule="exact"/>
        <w:rPr>
          <w:rFonts w:hint="eastAsia" w:ascii="宋体" w:hAnsi="宋体" w:eastAsia="宋体" w:cs="宋体"/>
          <w:color w:val="auto"/>
          <w:sz w:val="21"/>
          <w:szCs w:val="21"/>
        </w:rPr>
      </w:pPr>
    </w:p>
    <w:p w14:paraId="1E8CD143">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p>
    <w:p w14:paraId="6E64A69A">
      <w:pPr>
        <w:spacing w:after="0" w:line="480" w:lineRule="exact"/>
        <w:rPr>
          <w:rFonts w:hint="eastAsia" w:ascii="宋体" w:hAnsi="宋体" w:eastAsia="宋体" w:cs="宋体"/>
          <w:color w:val="auto"/>
          <w:sz w:val="21"/>
          <w:szCs w:val="21"/>
        </w:rPr>
      </w:pPr>
    </w:p>
    <w:p w14:paraId="540D88FA">
      <w:pPr>
        <w:spacing w:after="0" w:line="480" w:lineRule="exact"/>
        <w:ind w:firstLine="2520" w:firstLineChars="1200"/>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eastAsia="zh-CN"/>
        </w:rPr>
        <w:t>磋商申请</w:t>
      </w:r>
      <w:r>
        <w:rPr>
          <w:rFonts w:hint="eastAsia" w:ascii="宋体" w:hAnsi="宋体" w:eastAsia="宋体" w:cs="宋体"/>
          <w:color w:val="auto"/>
          <w:sz w:val="21"/>
          <w:szCs w:val="21"/>
        </w:rPr>
        <w:t>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签</w:t>
      </w:r>
      <w:r>
        <w:rPr>
          <w:rFonts w:hint="eastAsia" w:ascii="宋体" w:hAnsi="宋体" w:eastAsia="宋体" w:cs="宋体"/>
          <w:color w:val="auto"/>
          <w:sz w:val="21"/>
          <w:szCs w:val="21"/>
        </w:rPr>
        <w:t>单位章）</w:t>
      </w:r>
    </w:p>
    <w:p w14:paraId="367B2C32">
      <w:pPr>
        <w:spacing w:after="0" w:line="480" w:lineRule="exact"/>
        <w:rPr>
          <w:rFonts w:hint="eastAsia" w:ascii="仿宋" w:hAnsi="仿宋" w:eastAsia="仿宋" w:cs="仿宋"/>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日 </w:t>
      </w:r>
      <w:r>
        <w:rPr>
          <w:rFonts w:hint="eastAsia" w:ascii="仿宋" w:hAnsi="仿宋" w:eastAsia="仿宋" w:cs="仿宋"/>
          <w:color w:val="auto"/>
          <w:sz w:val="21"/>
          <w:szCs w:val="21"/>
        </w:rPr>
        <w:t xml:space="preserve">          </w:t>
      </w:r>
    </w:p>
    <w:p w14:paraId="6C106483">
      <w:pPr>
        <w:spacing w:after="0" w:line="480" w:lineRule="exact"/>
        <w:ind w:firstLine="610"/>
        <w:rPr>
          <w:rFonts w:hint="eastAsia" w:ascii="仿宋" w:hAnsi="仿宋" w:eastAsia="仿宋" w:cs="仿宋"/>
          <w:color w:val="auto"/>
          <w:sz w:val="21"/>
          <w:szCs w:val="21"/>
        </w:rPr>
      </w:pPr>
    </w:p>
    <w:p w14:paraId="4953170F">
      <w:pPr>
        <w:pStyle w:val="4"/>
        <w:numPr>
          <w:ilvl w:val="0"/>
          <w:numId w:val="0"/>
        </w:numPr>
        <w:spacing w:after="0" w:line="240" w:lineRule="auto"/>
        <w:jc w:val="center"/>
        <w:rPr>
          <w:rFonts w:hint="eastAsia" w:ascii="宋体" w:hAnsi="宋体" w:eastAsia="宋体" w:cs="宋体"/>
          <w:b/>
          <w:bCs/>
          <w:color w:val="auto"/>
          <w:kern w:val="2"/>
          <w:sz w:val="28"/>
          <w:szCs w:val="28"/>
          <w:lang w:val="en-US" w:eastAsia="zh-CN" w:bidi="ar-SA"/>
        </w:rPr>
      </w:pPr>
      <w:r>
        <w:rPr>
          <w:rFonts w:hint="eastAsia" w:ascii="仿宋" w:hAnsi="仿宋" w:eastAsia="仿宋" w:cs="仿宋"/>
          <w:color w:val="auto"/>
          <w:sz w:val="21"/>
          <w:szCs w:val="21"/>
        </w:rPr>
        <w:br w:type="page"/>
      </w:r>
      <w:bookmarkStart w:id="869" w:name="_Toc441668593"/>
      <w:bookmarkStart w:id="870" w:name="_Toc152042581"/>
      <w:bookmarkStart w:id="871" w:name="_Toc247514284"/>
      <w:bookmarkStart w:id="872" w:name="_Toc59034545"/>
      <w:bookmarkStart w:id="873" w:name="_Toc152045792"/>
      <w:bookmarkStart w:id="874" w:name="_Toc144974861"/>
      <w:bookmarkStart w:id="875" w:name="_Toc531074123"/>
      <w:bookmarkStart w:id="876" w:name="_Toc247527832"/>
      <w:r>
        <w:rPr>
          <w:rFonts w:hint="eastAsia" w:ascii="宋体" w:hAnsi="宋体" w:eastAsia="宋体" w:cs="宋体"/>
          <w:b/>
          <w:bCs/>
          <w:color w:val="auto"/>
          <w:kern w:val="2"/>
          <w:sz w:val="28"/>
          <w:szCs w:val="28"/>
          <w:lang w:val="en-US" w:eastAsia="zh-CN" w:bidi="ar-SA"/>
        </w:rPr>
        <w:t>（五）授权委托书</w:t>
      </w:r>
      <w:bookmarkEnd w:id="869"/>
      <w:bookmarkEnd w:id="870"/>
      <w:bookmarkEnd w:id="871"/>
      <w:bookmarkEnd w:id="872"/>
      <w:bookmarkEnd w:id="873"/>
      <w:bookmarkEnd w:id="874"/>
      <w:bookmarkEnd w:id="875"/>
      <w:bookmarkEnd w:id="876"/>
    </w:p>
    <w:p w14:paraId="39AC4488">
      <w:pPr>
        <w:numPr>
          <w:ilvl w:val="0"/>
          <w:numId w:val="0"/>
        </w:numPr>
        <w:rPr>
          <w:rFonts w:hint="eastAsia"/>
          <w:color w:val="auto"/>
          <w:sz w:val="21"/>
          <w:szCs w:val="21"/>
        </w:rPr>
      </w:pPr>
    </w:p>
    <w:p w14:paraId="334FBCB5">
      <w:pPr>
        <w:keepNext w:val="0"/>
        <w:keepLines w:val="0"/>
        <w:pageBreakBefore w:val="0"/>
        <w:widowControl w:val="0"/>
        <w:kinsoku/>
        <w:wordWrap/>
        <w:overflowPunct/>
        <w:topLinePunct/>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（姓名）系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磋商申请</w:t>
      </w:r>
      <w:r>
        <w:rPr>
          <w:rFonts w:hint="eastAsia" w:ascii="宋体" w:hAnsi="宋体" w:eastAsia="宋体" w:cs="宋体"/>
          <w:color w:val="auto"/>
          <w:sz w:val="21"/>
          <w:szCs w:val="21"/>
        </w:rPr>
        <w:t>人）的法定代表人，现委托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（姓名）为我方代理人。代理人根据授权，以我方名义签署、澄清、说明、补正、递交、撤回、修改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（项目名称）</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文件、签订合同和处理有关事宜，其法律后果由我方承担。</w:t>
      </w:r>
    </w:p>
    <w:p w14:paraId="6704620D">
      <w:pPr>
        <w:keepNext w:val="0"/>
        <w:keepLines w:val="0"/>
        <w:pageBreakBefore w:val="0"/>
        <w:widowControl w:val="0"/>
        <w:kinsoku/>
        <w:wordWrap/>
        <w:overflowPunct/>
        <w:autoSpaceDE/>
        <w:autoSpaceDN/>
        <w:bidi w:val="0"/>
        <w:adjustRightInd/>
        <w:snapToGrid/>
        <w:spacing w:after="0" w:line="560" w:lineRule="exact"/>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委托期限：</w:t>
      </w:r>
      <w:r>
        <w:rPr>
          <w:rFonts w:hint="eastAsia" w:ascii="宋体" w:hAnsi="宋体" w:eastAsia="宋体" w:cs="宋体"/>
          <w:color w:val="auto"/>
          <w:sz w:val="21"/>
          <w:szCs w:val="21"/>
          <w:u w:val="single"/>
        </w:rPr>
        <w:t>自本委托书签署之日起至投标有效期期满。</w:t>
      </w:r>
    </w:p>
    <w:p w14:paraId="589C3D3D">
      <w:pPr>
        <w:keepNext w:val="0"/>
        <w:keepLines w:val="0"/>
        <w:pageBreakBefore w:val="0"/>
        <w:widowControl w:val="0"/>
        <w:kinsoku/>
        <w:wordWrap/>
        <w:overflowPunct/>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代理人无转委托权。</w:t>
      </w:r>
    </w:p>
    <w:p w14:paraId="357C3D0F">
      <w:pPr>
        <w:pStyle w:val="24"/>
        <w:spacing w:before="0" w:line="480" w:lineRule="exact"/>
        <w:rPr>
          <w:rFonts w:hint="eastAsia" w:ascii="宋体" w:hAnsi="宋体" w:eastAsia="宋体" w:cs="宋体"/>
          <w:color w:val="auto"/>
          <w:sz w:val="21"/>
          <w:szCs w:val="21"/>
        </w:rPr>
      </w:pPr>
    </w:p>
    <w:p w14:paraId="010672D1">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签</w:t>
      </w:r>
      <w:r>
        <w:rPr>
          <w:rFonts w:hint="eastAsia" w:ascii="宋体" w:hAnsi="宋体" w:eastAsia="宋体" w:cs="宋体"/>
          <w:color w:val="auto"/>
          <w:sz w:val="21"/>
          <w:szCs w:val="21"/>
        </w:rPr>
        <w:t>单位章）</w:t>
      </w:r>
    </w:p>
    <w:p w14:paraId="6770376B">
      <w:pPr>
        <w:spacing w:after="0" w:line="480" w:lineRule="exact"/>
        <w:rPr>
          <w:rFonts w:hint="eastAsia" w:ascii="宋体" w:hAnsi="宋体" w:eastAsia="宋体" w:cs="宋体"/>
          <w:color w:val="auto"/>
          <w:sz w:val="21"/>
          <w:szCs w:val="21"/>
        </w:rPr>
      </w:pPr>
    </w:p>
    <w:p w14:paraId="01738A0B">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（签</w:t>
      </w:r>
      <w:r>
        <w:rPr>
          <w:rFonts w:hint="eastAsia" w:ascii="宋体" w:hAnsi="宋体" w:cs="宋体"/>
          <w:color w:val="auto"/>
          <w:sz w:val="21"/>
          <w:szCs w:val="21"/>
          <w:lang w:eastAsia="zh-CN"/>
        </w:rPr>
        <w:t>名</w:t>
      </w:r>
      <w:r>
        <w:rPr>
          <w:rFonts w:hint="eastAsia" w:ascii="宋体" w:hAnsi="宋体" w:eastAsia="宋体" w:cs="宋体"/>
          <w:color w:val="auto"/>
          <w:sz w:val="21"/>
          <w:szCs w:val="21"/>
          <w:lang w:eastAsia="zh-CN"/>
        </w:rPr>
        <w:t>或签章</w:t>
      </w:r>
      <w:r>
        <w:rPr>
          <w:rFonts w:hint="eastAsia" w:ascii="宋体" w:hAnsi="宋体" w:eastAsia="宋体" w:cs="宋体"/>
          <w:color w:val="auto"/>
          <w:sz w:val="21"/>
          <w:szCs w:val="21"/>
        </w:rPr>
        <w:t>）</w:t>
      </w:r>
    </w:p>
    <w:p w14:paraId="06E9E388">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身份证号码：</w:t>
      </w:r>
      <w:r>
        <w:rPr>
          <w:rFonts w:hint="eastAsia" w:ascii="宋体" w:hAnsi="宋体" w:eastAsia="宋体" w:cs="宋体"/>
          <w:color w:val="auto"/>
          <w:sz w:val="21"/>
          <w:szCs w:val="21"/>
          <w:u w:val="single"/>
        </w:rPr>
        <w:t xml:space="preserve">                                     </w:t>
      </w:r>
    </w:p>
    <w:p w14:paraId="020E269F">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委托代理人：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14:paraId="1C0EB52B">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身份证号码：</w:t>
      </w:r>
      <w:r>
        <w:rPr>
          <w:rFonts w:hint="eastAsia" w:ascii="宋体" w:hAnsi="宋体" w:eastAsia="宋体" w:cs="宋体"/>
          <w:color w:val="auto"/>
          <w:sz w:val="21"/>
          <w:szCs w:val="21"/>
          <w:u w:val="single"/>
        </w:rPr>
        <w:t xml:space="preserve">                            </w:t>
      </w:r>
    </w:p>
    <w:p w14:paraId="5DFE6FCC">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附：委托代理人身份证复印件</w:t>
      </w:r>
    </w:p>
    <w:p w14:paraId="60B9FF65">
      <w:pPr>
        <w:spacing w:after="0" w:line="480" w:lineRule="exact"/>
        <w:rPr>
          <w:rFonts w:hint="eastAsia" w:ascii="宋体" w:hAnsi="宋体" w:eastAsia="宋体" w:cs="宋体"/>
          <w:color w:val="auto"/>
          <w:sz w:val="21"/>
          <w:szCs w:val="21"/>
        </w:rPr>
      </w:pPr>
    </w:p>
    <w:p w14:paraId="6B1F3A67">
      <w:pPr>
        <w:spacing w:after="0" w:line="480" w:lineRule="exact"/>
        <w:rPr>
          <w:rFonts w:hint="eastAsia" w:ascii="宋体" w:hAnsi="宋体" w:eastAsia="宋体" w:cs="宋体"/>
          <w:color w:val="auto"/>
          <w:sz w:val="21"/>
          <w:szCs w:val="21"/>
        </w:rPr>
      </w:pPr>
    </w:p>
    <w:p w14:paraId="662C80E0">
      <w:pPr>
        <w:spacing w:after="0" w:line="480" w:lineRule="exact"/>
        <w:ind w:firstLine="1575" w:firstLineChars="750"/>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4A9C3D14">
      <w:pPr>
        <w:spacing w:after="0" w:line="480" w:lineRule="exact"/>
        <w:rPr>
          <w:rFonts w:hint="eastAsia" w:ascii="宋体" w:hAnsi="宋体" w:eastAsia="宋体" w:cs="宋体"/>
          <w:color w:val="auto"/>
          <w:sz w:val="21"/>
          <w:szCs w:val="21"/>
        </w:rPr>
      </w:pPr>
    </w:p>
    <w:p w14:paraId="658419BC">
      <w:pPr>
        <w:spacing w:after="0" w:line="48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注：附委托代理人身份证原件扫描件，如</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由法定代表人亲自签署</w:t>
      </w:r>
      <w:r>
        <w:rPr>
          <w:rFonts w:hint="eastAsia" w:ascii="宋体" w:hAnsi="宋体" w:eastAsia="宋体" w:cs="宋体"/>
          <w:color w:val="auto"/>
          <w:sz w:val="21"/>
          <w:szCs w:val="21"/>
          <w:lang w:eastAsia="zh-CN"/>
        </w:rPr>
        <w:t>磋商申请</w:t>
      </w:r>
      <w:r>
        <w:rPr>
          <w:rFonts w:hint="eastAsia" w:ascii="宋体" w:hAnsi="宋体" w:eastAsia="宋体" w:cs="宋体"/>
          <w:color w:val="auto"/>
          <w:sz w:val="21"/>
          <w:szCs w:val="21"/>
        </w:rPr>
        <w:t>文件并参与相关活动，则不需要办理授权委托。如有被授权的代理人签署上述文件，则必须按本格式规定填报并提交授权委托书，否则被授权的代理人将不被认可。</w:t>
      </w:r>
    </w:p>
    <w:p w14:paraId="5F100B9D">
      <w:pPr>
        <w:keepNext/>
        <w:keepLines/>
        <w:spacing w:after="120" w:line="360" w:lineRule="auto"/>
        <w:jc w:val="center"/>
        <w:outlineLvl w:val="1"/>
        <w:rPr>
          <w:rFonts w:hAnsi="宋体" w:cs="宋体"/>
          <w:bCs/>
          <w:color w:val="auto"/>
        </w:rPr>
      </w:pPr>
      <w:r>
        <w:rPr>
          <w:rFonts w:hint="eastAsia" w:ascii="仿宋" w:hAnsi="仿宋" w:eastAsia="仿宋" w:cs="仿宋"/>
          <w:color w:val="auto"/>
          <w:sz w:val="21"/>
          <w:szCs w:val="21"/>
        </w:rPr>
        <w:br w:type="page"/>
      </w:r>
      <w:r>
        <w:rPr>
          <w:rFonts w:hint="eastAsia" w:ascii="宋体" w:hAnsi="宋体" w:eastAsia="宋体" w:cs="宋体"/>
          <w:b/>
          <w:bCs/>
          <w:color w:val="auto"/>
          <w:kern w:val="2"/>
          <w:sz w:val="28"/>
          <w:szCs w:val="28"/>
          <w:lang w:val="en-US" w:eastAsia="zh-CN" w:bidi="ar-SA"/>
        </w:rPr>
        <w:t>（六）联合体协议书（若为联合体参与磋商时提供）</w:t>
      </w:r>
    </w:p>
    <w:p w14:paraId="4704DB20">
      <w:pPr>
        <w:topLinePunct/>
        <w:spacing w:line="440" w:lineRule="exact"/>
        <w:ind w:firstLine="420" w:firstLineChars="200"/>
        <w:rPr>
          <w:rFonts w:ascii="宋体" w:hAnsi="宋体"/>
          <w:color w:val="auto"/>
          <w:szCs w:val="21"/>
        </w:rPr>
      </w:pPr>
      <w:r>
        <w:rPr>
          <w:rFonts w:ascii="宋体" w:hAnsi="宋体"/>
          <w:color w:val="auto"/>
          <w:szCs w:val="21"/>
          <w:u w:val="single"/>
        </w:rPr>
        <w:t xml:space="preserve">          </w:t>
      </w:r>
      <w:r>
        <w:rPr>
          <w:rFonts w:ascii="宋体" w:hAnsi="宋体"/>
          <w:color w:val="auto"/>
          <w:szCs w:val="21"/>
        </w:rPr>
        <w:t>（所有成员单位名称）自愿组成</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（联合体名称）</w:t>
      </w:r>
      <w:r>
        <w:rPr>
          <w:rFonts w:hint="eastAsia" w:ascii="宋体" w:hAnsi="宋体"/>
          <w:color w:val="auto"/>
          <w:szCs w:val="21"/>
        </w:rPr>
        <w:t>联合体</w:t>
      </w:r>
      <w:r>
        <w:rPr>
          <w:rFonts w:ascii="宋体" w:hAnsi="宋体"/>
          <w:color w:val="auto"/>
          <w:szCs w:val="21"/>
        </w:rPr>
        <w:t>，共同参加</w:t>
      </w:r>
      <w:r>
        <w:rPr>
          <w:rFonts w:ascii="宋体" w:hAnsi="宋体"/>
          <w:color w:val="auto"/>
          <w:szCs w:val="21"/>
          <w:u w:val="single"/>
        </w:rPr>
        <w:t>（项目名称）</w:t>
      </w:r>
      <w:r>
        <w:rPr>
          <w:rFonts w:hint="eastAsia" w:ascii="宋体" w:hAnsi="宋体"/>
          <w:color w:val="auto"/>
          <w:szCs w:val="21"/>
        </w:rPr>
        <w:t>磋商</w:t>
      </w:r>
      <w:r>
        <w:rPr>
          <w:rFonts w:ascii="宋体" w:hAnsi="宋体"/>
          <w:color w:val="auto"/>
          <w:szCs w:val="21"/>
        </w:rPr>
        <w:t>。现就联合体投标事宜订立如下协议。</w:t>
      </w:r>
    </w:p>
    <w:p w14:paraId="04037813">
      <w:pPr>
        <w:topLinePunct/>
        <w:spacing w:line="440" w:lineRule="exact"/>
        <w:ind w:firstLine="420" w:firstLineChars="200"/>
        <w:rPr>
          <w:rFonts w:ascii="宋体" w:hAnsi="宋体"/>
          <w:color w:val="auto"/>
          <w:szCs w:val="21"/>
        </w:rPr>
      </w:pPr>
      <w:r>
        <w:rPr>
          <w:rFonts w:ascii="宋体" w:hAnsi="宋体"/>
          <w:color w:val="auto"/>
          <w:szCs w:val="21"/>
        </w:rPr>
        <w:t>1</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u w:val="single"/>
          <w:lang w:val="en-US" w:eastAsia="zh-CN"/>
        </w:rPr>
        <w:t xml:space="preserve">   </w:t>
      </w:r>
      <w:r>
        <w:rPr>
          <w:rFonts w:ascii="宋体" w:hAnsi="宋体"/>
          <w:color w:val="auto"/>
          <w:szCs w:val="21"/>
        </w:rPr>
        <w:t>（某成员单位名称）为</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（联合体名称）牵头人。</w:t>
      </w:r>
    </w:p>
    <w:p w14:paraId="689D5F0C">
      <w:pPr>
        <w:topLinePunct/>
        <w:spacing w:line="440" w:lineRule="exact"/>
        <w:ind w:firstLine="420" w:firstLineChars="200"/>
        <w:rPr>
          <w:rFonts w:ascii="宋体" w:hAnsi="宋体"/>
          <w:color w:val="auto"/>
          <w:szCs w:val="21"/>
        </w:rPr>
      </w:pPr>
      <w:r>
        <w:rPr>
          <w:rFonts w:ascii="宋体" w:hAnsi="宋体"/>
          <w:color w:val="auto"/>
          <w:szCs w:val="21"/>
        </w:rPr>
        <w:t>2、联合体牵头人</w:t>
      </w:r>
      <w:r>
        <w:rPr>
          <w:rFonts w:hint="eastAsia" w:ascii="宋体" w:hAnsi="宋体"/>
          <w:color w:val="auto"/>
          <w:szCs w:val="21"/>
        </w:rPr>
        <w:t>合法代表联合体各成员负责本招标项目响应文件编制和合同谈判活动，并代表联合体提交和接收相关的资料、信息及指示，并处理与之有关的一切事务，</w:t>
      </w:r>
      <w:r>
        <w:rPr>
          <w:rFonts w:ascii="宋体" w:hAnsi="宋体"/>
          <w:color w:val="auto"/>
          <w:szCs w:val="21"/>
        </w:rPr>
        <w:t>负责合同实施阶段的主办、组织和协调工作。</w:t>
      </w:r>
    </w:p>
    <w:p w14:paraId="32BC2FE0">
      <w:pPr>
        <w:topLinePunct/>
        <w:spacing w:line="440" w:lineRule="exact"/>
        <w:ind w:firstLine="420" w:firstLineChars="200"/>
        <w:rPr>
          <w:rFonts w:ascii="宋体" w:hAnsi="宋体"/>
          <w:color w:val="auto"/>
          <w:szCs w:val="21"/>
        </w:rPr>
      </w:pPr>
      <w:r>
        <w:rPr>
          <w:rFonts w:ascii="宋体" w:hAnsi="宋体"/>
          <w:color w:val="auto"/>
          <w:szCs w:val="21"/>
        </w:rPr>
        <w:t>3、联合体将严格按照</w:t>
      </w:r>
      <w:r>
        <w:rPr>
          <w:rFonts w:hint="eastAsia" w:ascii="宋体" w:hAnsi="宋体"/>
          <w:color w:val="auto"/>
          <w:szCs w:val="21"/>
        </w:rPr>
        <w:t>磋商</w:t>
      </w:r>
      <w:r>
        <w:rPr>
          <w:rFonts w:ascii="宋体" w:hAnsi="宋体"/>
          <w:color w:val="auto"/>
          <w:szCs w:val="21"/>
        </w:rPr>
        <w:t>文件的各项要求，递交</w:t>
      </w:r>
      <w:r>
        <w:rPr>
          <w:rFonts w:hint="eastAsia" w:ascii="宋体" w:hAnsi="宋体"/>
          <w:color w:val="auto"/>
          <w:szCs w:val="21"/>
        </w:rPr>
        <w:t>响应</w:t>
      </w:r>
      <w:r>
        <w:rPr>
          <w:rFonts w:ascii="宋体" w:hAnsi="宋体"/>
          <w:color w:val="auto"/>
          <w:szCs w:val="21"/>
        </w:rPr>
        <w:t>文件，履行合同。</w:t>
      </w:r>
    </w:p>
    <w:p w14:paraId="2092258B">
      <w:pPr>
        <w:topLinePunct/>
        <w:spacing w:line="440" w:lineRule="exact"/>
        <w:ind w:firstLine="420" w:firstLineChars="200"/>
        <w:rPr>
          <w:rFonts w:ascii="宋体" w:hAnsi="宋体"/>
          <w:color w:val="auto"/>
          <w:szCs w:val="21"/>
        </w:rPr>
      </w:pPr>
      <w:r>
        <w:rPr>
          <w:rFonts w:ascii="宋体" w:hAnsi="宋体"/>
          <w:color w:val="auto"/>
          <w:szCs w:val="21"/>
        </w:rPr>
        <w:t>4、联合体各成员单位内部的职责分工如下：</w:t>
      </w:r>
      <w:r>
        <w:rPr>
          <w:rFonts w:ascii="宋体" w:hAnsi="宋体"/>
          <w:color w:val="auto"/>
          <w:szCs w:val="21"/>
          <w:u w:val="single"/>
        </w:rPr>
        <w:t xml:space="preserve">                 </w:t>
      </w:r>
      <w:r>
        <w:rPr>
          <w:rFonts w:ascii="宋体" w:hAnsi="宋体"/>
          <w:color w:val="auto"/>
          <w:szCs w:val="21"/>
        </w:rPr>
        <w:t xml:space="preserve"> 。</w:t>
      </w:r>
    </w:p>
    <w:p w14:paraId="41BBD51F">
      <w:pPr>
        <w:topLinePunct/>
        <w:spacing w:line="440" w:lineRule="exact"/>
        <w:ind w:firstLine="420" w:firstLineChars="200"/>
        <w:rPr>
          <w:rFonts w:ascii="宋体" w:hAnsi="宋体"/>
          <w:color w:val="auto"/>
          <w:szCs w:val="21"/>
        </w:rPr>
      </w:pPr>
      <w:r>
        <w:rPr>
          <w:rFonts w:hint="eastAsia" w:ascii="宋体" w:hAnsi="宋体"/>
          <w:color w:val="auto"/>
          <w:szCs w:val="21"/>
        </w:rPr>
        <w:t>5、联合体</w:t>
      </w:r>
      <w:r>
        <w:rPr>
          <w:rFonts w:ascii="宋体" w:hAnsi="宋体"/>
          <w:color w:val="auto"/>
          <w:szCs w:val="21"/>
        </w:rPr>
        <w:t>各成员单位内部</w:t>
      </w:r>
      <w:r>
        <w:rPr>
          <w:rFonts w:hint="eastAsia" w:ascii="宋体" w:hAnsi="宋体"/>
          <w:color w:val="auto"/>
          <w:szCs w:val="21"/>
        </w:rPr>
        <w:t>的合同份额占比如下（百分比）：</w:t>
      </w:r>
      <w:r>
        <w:rPr>
          <w:rFonts w:ascii="宋体" w:hAnsi="宋体"/>
          <w:color w:val="auto"/>
          <w:szCs w:val="21"/>
          <w:u w:val="single"/>
        </w:rPr>
        <w:t xml:space="preserve">                 </w:t>
      </w:r>
      <w:r>
        <w:rPr>
          <w:rFonts w:ascii="宋体" w:hAnsi="宋体"/>
          <w:color w:val="auto"/>
          <w:szCs w:val="21"/>
        </w:rPr>
        <w:t xml:space="preserve"> 。</w:t>
      </w:r>
    </w:p>
    <w:p w14:paraId="5B1F358B">
      <w:pPr>
        <w:topLinePunct/>
        <w:spacing w:line="440" w:lineRule="exact"/>
        <w:ind w:firstLine="420" w:firstLineChars="200"/>
        <w:rPr>
          <w:rFonts w:ascii="宋体" w:hAnsi="宋体"/>
          <w:color w:val="auto"/>
          <w:szCs w:val="21"/>
        </w:rPr>
      </w:pPr>
      <w:r>
        <w:rPr>
          <w:rFonts w:ascii="宋体" w:hAnsi="宋体"/>
          <w:color w:val="auto"/>
          <w:szCs w:val="21"/>
        </w:rPr>
        <w:t xml:space="preserve">6、本协议书自签署之日起生效，合同履行完毕后自动失效。 </w:t>
      </w:r>
    </w:p>
    <w:p w14:paraId="63542B48">
      <w:pPr>
        <w:topLinePunct/>
        <w:spacing w:line="440" w:lineRule="exact"/>
        <w:ind w:firstLine="420" w:firstLineChars="200"/>
        <w:rPr>
          <w:rFonts w:ascii="宋体" w:hAnsi="宋体"/>
          <w:color w:val="auto"/>
          <w:szCs w:val="21"/>
        </w:rPr>
      </w:pPr>
      <w:r>
        <w:rPr>
          <w:rFonts w:ascii="宋体" w:hAnsi="宋体"/>
          <w:color w:val="auto"/>
          <w:szCs w:val="21"/>
        </w:rPr>
        <w:t>7、本协议书一式</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份，联合体成员和</w:t>
      </w:r>
      <w:r>
        <w:rPr>
          <w:rFonts w:hint="eastAsia" w:ascii="宋体" w:hAnsi="宋体"/>
          <w:color w:val="auto"/>
          <w:szCs w:val="21"/>
        </w:rPr>
        <w:t>采购</w:t>
      </w:r>
      <w:r>
        <w:rPr>
          <w:rFonts w:ascii="宋体" w:hAnsi="宋体"/>
          <w:color w:val="auto"/>
          <w:szCs w:val="21"/>
        </w:rPr>
        <w:t>人各执一份。</w:t>
      </w:r>
    </w:p>
    <w:p w14:paraId="18DE5204">
      <w:pPr>
        <w:topLinePunct/>
        <w:spacing w:line="440" w:lineRule="exact"/>
        <w:rPr>
          <w:rFonts w:ascii="宋体" w:hAnsi="宋体"/>
          <w:color w:val="auto"/>
          <w:szCs w:val="21"/>
        </w:rPr>
      </w:pPr>
    </w:p>
    <w:p w14:paraId="2E7F6DBF">
      <w:pPr>
        <w:topLinePunct/>
        <w:spacing w:line="440" w:lineRule="exact"/>
        <w:ind w:firstLine="420" w:firstLineChars="200"/>
        <w:rPr>
          <w:rFonts w:ascii="宋体" w:hAnsi="宋体"/>
          <w:color w:val="auto"/>
          <w:szCs w:val="21"/>
        </w:rPr>
      </w:pPr>
      <w:r>
        <w:rPr>
          <w:rFonts w:hint="eastAsia" w:ascii="宋体" w:hAnsi="宋体"/>
          <w:color w:val="auto"/>
          <w:szCs w:val="21"/>
        </w:rPr>
        <w:t>注：本协议书由委托代理人签字的，应附法定代表人签字的授权委托书。</w:t>
      </w:r>
    </w:p>
    <w:p w14:paraId="35AC3465">
      <w:pPr>
        <w:topLinePunct/>
        <w:spacing w:line="440" w:lineRule="exact"/>
        <w:rPr>
          <w:rFonts w:ascii="宋体" w:hAnsi="宋体"/>
          <w:color w:val="auto"/>
          <w:szCs w:val="21"/>
        </w:rPr>
      </w:pPr>
    </w:p>
    <w:p w14:paraId="3E83D581">
      <w:pPr>
        <w:topLinePunct/>
        <w:spacing w:line="440" w:lineRule="exact"/>
        <w:rPr>
          <w:rFonts w:ascii="宋体" w:hAnsi="宋体"/>
          <w:color w:val="auto"/>
          <w:szCs w:val="21"/>
        </w:rPr>
      </w:pPr>
      <w:r>
        <w:rPr>
          <w:rFonts w:ascii="宋体" w:hAnsi="宋体"/>
          <w:color w:val="auto"/>
          <w:szCs w:val="21"/>
        </w:rPr>
        <w:t>牵头人名称：</w:t>
      </w:r>
      <w:r>
        <w:rPr>
          <w:rFonts w:ascii="宋体" w:hAnsi="宋体"/>
          <w:color w:val="auto"/>
          <w:szCs w:val="21"/>
          <w:u w:val="single"/>
        </w:rPr>
        <w:t xml:space="preserve">                                 </w:t>
      </w:r>
      <w:r>
        <w:rPr>
          <w:rFonts w:hint="eastAsia" w:ascii="宋体" w:hAnsi="宋体"/>
          <w:color w:val="auto"/>
          <w:szCs w:val="21"/>
        </w:rPr>
        <w:t>（加盖公章）</w:t>
      </w:r>
    </w:p>
    <w:p w14:paraId="59572233">
      <w:pPr>
        <w:topLinePunct/>
        <w:spacing w:line="440" w:lineRule="exact"/>
        <w:rPr>
          <w:rFonts w:ascii="宋体" w:hAnsi="宋体"/>
          <w:color w:val="auto"/>
          <w:szCs w:val="21"/>
        </w:rPr>
      </w:pPr>
      <w:r>
        <w:rPr>
          <w:rFonts w:ascii="宋体" w:hAnsi="宋体"/>
          <w:color w:val="auto"/>
          <w:szCs w:val="21"/>
        </w:rPr>
        <w:t>法定代表人或其委托代理人：</w:t>
      </w:r>
      <w:r>
        <w:rPr>
          <w:rFonts w:ascii="宋体" w:hAnsi="宋体"/>
          <w:color w:val="auto"/>
          <w:szCs w:val="21"/>
          <w:u w:val="single"/>
        </w:rPr>
        <w:t xml:space="preserve">                       </w:t>
      </w:r>
      <w:r>
        <w:rPr>
          <w:rFonts w:hint="eastAsia" w:ascii="宋体" w:hAnsi="宋体"/>
          <w:color w:val="auto"/>
          <w:szCs w:val="21"/>
        </w:rPr>
        <w:t>（签章或签名）</w:t>
      </w:r>
    </w:p>
    <w:p w14:paraId="123584CA">
      <w:pPr>
        <w:topLinePunct/>
        <w:spacing w:line="440" w:lineRule="exact"/>
        <w:rPr>
          <w:rFonts w:ascii="宋体" w:hAnsi="宋体"/>
          <w:color w:val="auto"/>
          <w:szCs w:val="21"/>
        </w:rPr>
      </w:pPr>
    </w:p>
    <w:p w14:paraId="11F4455C">
      <w:pPr>
        <w:topLinePunct/>
        <w:spacing w:line="440" w:lineRule="exact"/>
        <w:rPr>
          <w:rFonts w:ascii="宋体" w:hAnsi="宋体"/>
          <w:color w:val="auto"/>
          <w:szCs w:val="21"/>
        </w:rPr>
      </w:pPr>
      <w:r>
        <w:rPr>
          <w:rFonts w:ascii="宋体" w:hAnsi="宋体"/>
          <w:color w:val="auto"/>
          <w:szCs w:val="21"/>
        </w:rPr>
        <w:t>成员</w:t>
      </w:r>
      <w:r>
        <w:rPr>
          <w:rFonts w:hint="eastAsia" w:ascii="宋体" w:hAnsi="宋体"/>
          <w:color w:val="auto"/>
          <w:szCs w:val="21"/>
        </w:rPr>
        <w:t>一</w:t>
      </w:r>
      <w:r>
        <w:rPr>
          <w:rFonts w:ascii="宋体" w:hAnsi="宋体"/>
          <w:color w:val="auto"/>
          <w:szCs w:val="21"/>
        </w:rPr>
        <w:t>名称：</w:t>
      </w:r>
      <w:r>
        <w:rPr>
          <w:rFonts w:ascii="宋体" w:hAnsi="宋体"/>
          <w:color w:val="auto"/>
          <w:szCs w:val="21"/>
          <w:u w:val="single"/>
        </w:rPr>
        <w:t xml:space="preserve">                                 </w:t>
      </w:r>
      <w:r>
        <w:rPr>
          <w:rFonts w:hint="eastAsia" w:ascii="宋体" w:hAnsi="宋体"/>
          <w:color w:val="auto"/>
          <w:szCs w:val="21"/>
        </w:rPr>
        <w:t>（加盖公章）</w:t>
      </w:r>
    </w:p>
    <w:p w14:paraId="11746A52">
      <w:pPr>
        <w:topLinePunct/>
        <w:spacing w:line="440" w:lineRule="exact"/>
        <w:rPr>
          <w:rFonts w:ascii="宋体" w:hAnsi="宋体"/>
          <w:color w:val="auto"/>
          <w:szCs w:val="21"/>
        </w:rPr>
      </w:pPr>
      <w:r>
        <w:rPr>
          <w:rFonts w:ascii="宋体" w:hAnsi="宋体"/>
          <w:color w:val="auto"/>
          <w:szCs w:val="21"/>
        </w:rPr>
        <w:t>法定代表人或其委托代理人：</w:t>
      </w:r>
      <w:r>
        <w:rPr>
          <w:rFonts w:ascii="宋体" w:hAnsi="宋体"/>
          <w:color w:val="auto"/>
          <w:szCs w:val="21"/>
          <w:u w:val="single"/>
        </w:rPr>
        <w:t xml:space="preserve">                       </w:t>
      </w:r>
      <w:r>
        <w:rPr>
          <w:rFonts w:hint="eastAsia" w:ascii="宋体" w:hAnsi="宋体"/>
          <w:color w:val="auto"/>
          <w:szCs w:val="21"/>
        </w:rPr>
        <w:t>（签章或签名）</w:t>
      </w:r>
    </w:p>
    <w:p w14:paraId="394BF2F3">
      <w:pPr>
        <w:topLinePunct/>
        <w:spacing w:line="440" w:lineRule="exact"/>
        <w:rPr>
          <w:rFonts w:ascii="宋体" w:hAnsi="宋体"/>
          <w:color w:val="auto"/>
          <w:szCs w:val="21"/>
        </w:rPr>
      </w:pPr>
    </w:p>
    <w:p w14:paraId="6685878D">
      <w:pPr>
        <w:rPr>
          <w:rFonts w:ascii="宋体" w:hAnsi="宋体"/>
          <w:color w:val="auto"/>
          <w:szCs w:val="21"/>
        </w:rPr>
      </w:pPr>
      <w:r>
        <w:rPr>
          <w:rFonts w:hint="eastAsia" w:ascii="宋体" w:hAnsi="宋体"/>
          <w:color w:val="auto"/>
          <w:szCs w:val="21"/>
        </w:rPr>
        <w:t>时间：</w:t>
      </w:r>
      <w:r>
        <w:rPr>
          <w:rFonts w:ascii="宋体" w:hAnsi="宋体"/>
          <w:color w:val="auto"/>
          <w:szCs w:val="21"/>
          <w:u w:val="single"/>
        </w:rPr>
        <w:t xml:space="preserve">        </w:t>
      </w:r>
      <w:r>
        <w:rPr>
          <w:rFonts w:ascii="宋体" w:hAnsi="宋体"/>
          <w:color w:val="auto"/>
          <w:szCs w:val="21"/>
        </w:rPr>
        <w:t>年</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月</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日</w:t>
      </w:r>
    </w:p>
    <w:p w14:paraId="5BE3B266">
      <w:pPr>
        <w:ind w:firstLine="2879" w:firstLineChars="1371"/>
        <w:rPr>
          <w:rFonts w:ascii="宋体" w:hAnsi="宋体"/>
          <w:color w:val="auto"/>
          <w:szCs w:val="21"/>
        </w:rPr>
      </w:pPr>
    </w:p>
    <w:p w14:paraId="12884E3B">
      <w:pPr>
        <w:topLinePunct/>
        <w:spacing w:line="440" w:lineRule="exact"/>
        <w:ind w:firstLine="422" w:firstLineChars="200"/>
        <w:rPr>
          <w:rFonts w:ascii="宋体" w:hAnsi="宋体"/>
          <w:b/>
          <w:color w:val="auto"/>
          <w:szCs w:val="21"/>
        </w:rPr>
      </w:pPr>
      <w:r>
        <w:rPr>
          <w:rFonts w:hint="eastAsia" w:ascii="宋体" w:hAnsi="宋体"/>
          <w:b/>
          <w:color w:val="auto"/>
          <w:szCs w:val="21"/>
        </w:rPr>
        <w:t>注：如为联合体参与磋商，需提供联合体协议书。</w:t>
      </w:r>
    </w:p>
    <w:p w14:paraId="568EFB7B">
      <w:pPr>
        <w:pStyle w:val="4"/>
        <w:spacing w:after="0" w:line="480" w:lineRule="exact"/>
        <w:ind w:firstLine="138"/>
        <w:jc w:val="center"/>
        <w:rPr>
          <w:rStyle w:val="107"/>
          <w:rFonts w:hint="eastAsia"/>
          <w:color w:val="auto"/>
          <w:sz w:val="21"/>
          <w:szCs w:val="21"/>
        </w:rPr>
      </w:pPr>
      <w:r>
        <w:rPr>
          <w:rFonts w:ascii="宋体" w:hAnsi="宋体"/>
          <w:b/>
          <w:color w:val="auto"/>
          <w:szCs w:val="21"/>
        </w:rPr>
        <w:br w:type="page"/>
      </w:r>
      <w:r>
        <w:rPr>
          <w:rFonts w:hint="eastAsia" w:ascii="宋体" w:hAnsi="宋体" w:eastAsia="宋体" w:cs="宋体"/>
          <w:b/>
          <w:bCs/>
          <w:color w:val="auto"/>
          <w:kern w:val="2"/>
          <w:sz w:val="28"/>
          <w:szCs w:val="28"/>
          <w:lang w:val="en-US" w:eastAsia="zh-CN" w:bidi="ar-SA"/>
        </w:rPr>
        <w:t>（七）磋商申请人基本情况表</w:t>
      </w:r>
    </w:p>
    <w:tbl>
      <w:tblPr>
        <w:tblStyle w:val="31"/>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959"/>
        <w:gridCol w:w="721"/>
        <w:gridCol w:w="407"/>
        <w:gridCol w:w="432"/>
        <w:gridCol w:w="506"/>
        <w:gridCol w:w="904"/>
        <w:gridCol w:w="195"/>
        <w:gridCol w:w="1155"/>
        <w:gridCol w:w="314"/>
        <w:gridCol w:w="83"/>
        <w:gridCol w:w="961"/>
        <w:gridCol w:w="1025"/>
      </w:tblGrid>
      <w:tr w14:paraId="23A47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908" w:type="dxa"/>
            <w:vAlign w:val="center"/>
          </w:tcPr>
          <w:p w14:paraId="53DA6537">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名称</w:t>
            </w:r>
          </w:p>
        </w:tc>
        <w:tc>
          <w:tcPr>
            <w:tcW w:w="7662" w:type="dxa"/>
            <w:gridSpan w:val="12"/>
            <w:vAlign w:val="center"/>
          </w:tcPr>
          <w:p w14:paraId="747E9623">
            <w:pPr>
              <w:topLinePunct/>
              <w:spacing w:after="0" w:line="480" w:lineRule="exact"/>
              <w:jc w:val="center"/>
              <w:rPr>
                <w:rFonts w:hint="eastAsia" w:ascii="宋体" w:hAnsi="宋体" w:eastAsia="宋体" w:cs="宋体"/>
                <w:color w:val="auto"/>
                <w:sz w:val="21"/>
                <w:szCs w:val="21"/>
              </w:rPr>
            </w:pPr>
          </w:p>
        </w:tc>
      </w:tr>
      <w:tr w14:paraId="6B1EA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908" w:type="dxa"/>
            <w:vAlign w:val="center"/>
          </w:tcPr>
          <w:p w14:paraId="52E44158">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注册地址</w:t>
            </w:r>
          </w:p>
        </w:tc>
        <w:tc>
          <w:tcPr>
            <w:tcW w:w="3929" w:type="dxa"/>
            <w:gridSpan w:val="6"/>
            <w:vAlign w:val="center"/>
          </w:tcPr>
          <w:p w14:paraId="2BF2707D">
            <w:pPr>
              <w:topLinePunct/>
              <w:spacing w:after="0" w:line="480" w:lineRule="exact"/>
              <w:jc w:val="center"/>
              <w:rPr>
                <w:rFonts w:hint="eastAsia" w:ascii="宋体" w:hAnsi="宋体" w:eastAsia="宋体" w:cs="宋体"/>
                <w:color w:val="auto"/>
                <w:sz w:val="21"/>
                <w:szCs w:val="21"/>
              </w:rPr>
            </w:pPr>
          </w:p>
        </w:tc>
        <w:tc>
          <w:tcPr>
            <w:tcW w:w="1350" w:type="dxa"/>
            <w:gridSpan w:val="2"/>
            <w:vAlign w:val="center"/>
          </w:tcPr>
          <w:p w14:paraId="19A9F209">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邮政编码</w:t>
            </w:r>
          </w:p>
        </w:tc>
        <w:tc>
          <w:tcPr>
            <w:tcW w:w="2383" w:type="dxa"/>
            <w:gridSpan w:val="4"/>
            <w:vAlign w:val="center"/>
          </w:tcPr>
          <w:p w14:paraId="7959FD03">
            <w:pPr>
              <w:topLinePunct/>
              <w:spacing w:after="0" w:line="480" w:lineRule="exact"/>
              <w:jc w:val="center"/>
              <w:rPr>
                <w:rFonts w:hint="eastAsia" w:ascii="宋体" w:hAnsi="宋体" w:eastAsia="宋体" w:cs="宋体"/>
                <w:color w:val="auto"/>
                <w:sz w:val="21"/>
                <w:szCs w:val="21"/>
              </w:rPr>
            </w:pPr>
          </w:p>
        </w:tc>
      </w:tr>
      <w:tr w14:paraId="451A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1908" w:type="dxa"/>
            <w:vMerge w:val="restart"/>
            <w:vAlign w:val="center"/>
          </w:tcPr>
          <w:p w14:paraId="6275EE8A">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联系方式</w:t>
            </w:r>
          </w:p>
        </w:tc>
        <w:tc>
          <w:tcPr>
            <w:tcW w:w="1680" w:type="dxa"/>
            <w:gridSpan w:val="2"/>
            <w:vAlign w:val="center"/>
          </w:tcPr>
          <w:p w14:paraId="481ACDB7">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联系人</w:t>
            </w:r>
          </w:p>
        </w:tc>
        <w:tc>
          <w:tcPr>
            <w:tcW w:w="2249" w:type="dxa"/>
            <w:gridSpan w:val="4"/>
            <w:vAlign w:val="center"/>
          </w:tcPr>
          <w:p w14:paraId="521042AC">
            <w:pPr>
              <w:topLinePunct/>
              <w:spacing w:after="0" w:line="480" w:lineRule="exact"/>
              <w:jc w:val="center"/>
              <w:rPr>
                <w:rFonts w:hint="eastAsia" w:ascii="宋体" w:hAnsi="宋体" w:eastAsia="宋体" w:cs="宋体"/>
                <w:color w:val="auto"/>
                <w:sz w:val="21"/>
                <w:szCs w:val="21"/>
              </w:rPr>
            </w:pPr>
          </w:p>
        </w:tc>
        <w:tc>
          <w:tcPr>
            <w:tcW w:w="1350" w:type="dxa"/>
            <w:gridSpan w:val="2"/>
            <w:vAlign w:val="center"/>
          </w:tcPr>
          <w:p w14:paraId="6E1B724C">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电 话</w:t>
            </w:r>
          </w:p>
        </w:tc>
        <w:tc>
          <w:tcPr>
            <w:tcW w:w="2383" w:type="dxa"/>
            <w:gridSpan w:val="4"/>
            <w:vAlign w:val="center"/>
          </w:tcPr>
          <w:p w14:paraId="1AB48AB0">
            <w:pPr>
              <w:topLinePunct/>
              <w:spacing w:after="0" w:line="480" w:lineRule="exact"/>
              <w:jc w:val="center"/>
              <w:rPr>
                <w:rFonts w:hint="eastAsia" w:ascii="宋体" w:hAnsi="宋体" w:eastAsia="宋体" w:cs="宋体"/>
                <w:color w:val="auto"/>
                <w:sz w:val="21"/>
                <w:szCs w:val="21"/>
              </w:rPr>
            </w:pPr>
          </w:p>
        </w:tc>
      </w:tr>
      <w:tr w14:paraId="2BCAF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908" w:type="dxa"/>
            <w:vMerge w:val="continue"/>
            <w:vAlign w:val="center"/>
          </w:tcPr>
          <w:p w14:paraId="239D1398">
            <w:pPr>
              <w:topLinePunct/>
              <w:spacing w:after="0" w:line="480" w:lineRule="exact"/>
              <w:jc w:val="center"/>
              <w:rPr>
                <w:rFonts w:hint="eastAsia" w:ascii="宋体" w:hAnsi="宋体" w:eastAsia="宋体" w:cs="宋体"/>
                <w:color w:val="auto"/>
                <w:sz w:val="21"/>
                <w:szCs w:val="21"/>
              </w:rPr>
            </w:pPr>
          </w:p>
        </w:tc>
        <w:tc>
          <w:tcPr>
            <w:tcW w:w="1680" w:type="dxa"/>
            <w:gridSpan w:val="2"/>
            <w:vAlign w:val="center"/>
          </w:tcPr>
          <w:p w14:paraId="364BFBB9">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传  真</w:t>
            </w:r>
          </w:p>
        </w:tc>
        <w:tc>
          <w:tcPr>
            <w:tcW w:w="2249" w:type="dxa"/>
            <w:gridSpan w:val="4"/>
            <w:vAlign w:val="center"/>
          </w:tcPr>
          <w:p w14:paraId="25288298">
            <w:pPr>
              <w:topLinePunct/>
              <w:spacing w:after="0" w:line="480" w:lineRule="exact"/>
              <w:jc w:val="center"/>
              <w:rPr>
                <w:rFonts w:hint="eastAsia" w:ascii="宋体" w:hAnsi="宋体" w:eastAsia="宋体" w:cs="宋体"/>
                <w:color w:val="auto"/>
                <w:sz w:val="21"/>
                <w:szCs w:val="21"/>
              </w:rPr>
            </w:pPr>
          </w:p>
        </w:tc>
        <w:tc>
          <w:tcPr>
            <w:tcW w:w="1350" w:type="dxa"/>
            <w:gridSpan w:val="2"/>
            <w:vAlign w:val="center"/>
          </w:tcPr>
          <w:p w14:paraId="5E32DFCF">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网 址</w:t>
            </w:r>
          </w:p>
        </w:tc>
        <w:tc>
          <w:tcPr>
            <w:tcW w:w="2383" w:type="dxa"/>
            <w:gridSpan w:val="4"/>
            <w:vAlign w:val="center"/>
          </w:tcPr>
          <w:p w14:paraId="013565BF">
            <w:pPr>
              <w:topLinePunct/>
              <w:spacing w:after="0" w:line="480" w:lineRule="exact"/>
              <w:jc w:val="center"/>
              <w:rPr>
                <w:rFonts w:hint="eastAsia" w:ascii="宋体" w:hAnsi="宋体" w:eastAsia="宋体" w:cs="宋体"/>
                <w:color w:val="auto"/>
                <w:sz w:val="21"/>
                <w:szCs w:val="21"/>
              </w:rPr>
            </w:pPr>
          </w:p>
        </w:tc>
      </w:tr>
      <w:tr w14:paraId="08370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908" w:type="dxa"/>
            <w:vAlign w:val="center"/>
          </w:tcPr>
          <w:p w14:paraId="5931E799">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组织结构</w:t>
            </w:r>
          </w:p>
        </w:tc>
        <w:tc>
          <w:tcPr>
            <w:tcW w:w="7662" w:type="dxa"/>
            <w:gridSpan w:val="12"/>
            <w:vAlign w:val="center"/>
          </w:tcPr>
          <w:p w14:paraId="29A37E0A">
            <w:pPr>
              <w:topLinePunct/>
              <w:spacing w:after="0" w:line="480" w:lineRule="exact"/>
              <w:jc w:val="center"/>
              <w:rPr>
                <w:rFonts w:hint="eastAsia" w:ascii="宋体" w:hAnsi="宋体" w:eastAsia="宋体" w:cs="宋体"/>
                <w:color w:val="auto"/>
                <w:sz w:val="21"/>
                <w:szCs w:val="21"/>
              </w:rPr>
            </w:pPr>
          </w:p>
        </w:tc>
      </w:tr>
      <w:tr w14:paraId="46AA7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908" w:type="dxa"/>
            <w:vAlign w:val="center"/>
          </w:tcPr>
          <w:p w14:paraId="361B6FDD">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p>
        </w:tc>
        <w:tc>
          <w:tcPr>
            <w:tcW w:w="959" w:type="dxa"/>
            <w:vAlign w:val="center"/>
          </w:tcPr>
          <w:p w14:paraId="56FF10C9">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560" w:type="dxa"/>
            <w:gridSpan w:val="3"/>
            <w:vAlign w:val="center"/>
          </w:tcPr>
          <w:p w14:paraId="5E7BC480">
            <w:pPr>
              <w:topLinePunct/>
              <w:spacing w:after="0" w:line="480" w:lineRule="exact"/>
              <w:jc w:val="center"/>
              <w:rPr>
                <w:rFonts w:hint="eastAsia" w:ascii="宋体" w:hAnsi="宋体" w:eastAsia="宋体" w:cs="宋体"/>
                <w:color w:val="auto"/>
                <w:sz w:val="21"/>
                <w:szCs w:val="21"/>
              </w:rPr>
            </w:pPr>
          </w:p>
        </w:tc>
        <w:tc>
          <w:tcPr>
            <w:tcW w:w="1605" w:type="dxa"/>
            <w:gridSpan w:val="3"/>
            <w:vAlign w:val="center"/>
          </w:tcPr>
          <w:p w14:paraId="29E14788">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技术职称</w:t>
            </w:r>
          </w:p>
        </w:tc>
        <w:tc>
          <w:tcPr>
            <w:tcW w:w="1552" w:type="dxa"/>
            <w:gridSpan w:val="3"/>
            <w:vAlign w:val="center"/>
          </w:tcPr>
          <w:p w14:paraId="472296AC">
            <w:pPr>
              <w:topLinePunct/>
              <w:spacing w:after="0" w:line="480" w:lineRule="exact"/>
              <w:jc w:val="center"/>
              <w:rPr>
                <w:rFonts w:hint="eastAsia" w:ascii="宋体" w:hAnsi="宋体" w:eastAsia="宋体" w:cs="宋体"/>
                <w:color w:val="auto"/>
                <w:sz w:val="21"/>
                <w:szCs w:val="21"/>
              </w:rPr>
            </w:pPr>
          </w:p>
        </w:tc>
        <w:tc>
          <w:tcPr>
            <w:tcW w:w="961" w:type="dxa"/>
            <w:vAlign w:val="center"/>
          </w:tcPr>
          <w:p w14:paraId="78F7E6A6">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电话</w:t>
            </w:r>
          </w:p>
        </w:tc>
        <w:tc>
          <w:tcPr>
            <w:tcW w:w="1025" w:type="dxa"/>
            <w:vAlign w:val="center"/>
          </w:tcPr>
          <w:p w14:paraId="7B16F1C5">
            <w:pPr>
              <w:topLinePunct/>
              <w:spacing w:after="0" w:line="480" w:lineRule="exact"/>
              <w:jc w:val="center"/>
              <w:rPr>
                <w:rFonts w:hint="eastAsia" w:ascii="宋体" w:hAnsi="宋体" w:eastAsia="宋体" w:cs="宋体"/>
                <w:color w:val="auto"/>
                <w:sz w:val="21"/>
                <w:szCs w:val="21"/>
              </w:rPr>
            </w:pPr>
          </w:p>
        </w:tc>
      </w:tr>
      <w:tr w14:paraId="6492F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908" w:type="dxa"/>
            <w:vAlign w:val="center"/>
          </w:tcPr>
          <w:p w14:paraId="1E02DAA1">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技术负责人</w:t>
            </w:r>
          </w:p>
        </w:tc>
        <w:tc>
          <w:tcPr>
            <w:tcW w:w="959" w:type="dxa"/>
            <w:vAlign w:val="center"/>
          </w:tcPr>
          <w:p w14:paraId="018FA0DF">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560" w:type="dxa"/>
            <w:gridSpan w:val="3"/>
            <w:vAlign w:val="center"/>
          </w:tcPr>
          <w:p w14:paraId="04F7B918">
            <w:pPr>
              <w:topLinePunct/>
              <w:spacing w:after="0" w:line="480" w:lineRule="exact"/>
              <w:jc w:val="center"/>
              <w:rPr>
                <w:rFonts w:hint="eastAsia" w:ascii="宋体" w:hAnsi="宋体" w:eastAsia="宋体" w:cs="宋体"/>
                <w:color w:val="auto"/>
                <w:sz w:val="21"/>
                <w:szCs w:val="21"/>
              </w:rPr>
            </w:pPr>
          </w:p>
        </w:tc>
        <w:tc>
          <w:tcPr>
            <w:tcW w:w="1605" w:type="dxa"/>
            <w:gridSpan w:val="3"/>
            <w:vAlign w:val="center"/>
          </w:tcPr>
          <w:p w14:paraId="0702A1E4">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技术职称</w:t>
            </w:r>
          </w:p>
        </w:tc>
        <w:tc>
          <w:tcPr>
            <w:tcW w:w="1552" w:type="dxa"/>
            <w:gridSpan w:val="3"/>
            <w:vAlign w:val="center"/>
          </w:tcPr>
          <w:p w14:paraId="4379125F">
            <w:pPr>
              <w:topLinePunct/>
              <w:spacing w:after="0" w:line="480" w:lineRule="exact"/>
              <w:jc w:val="center"/>
              <w:rPr>
                <w:rFonts w:hint="eastAsia" w:ascii="宋体" w:hAnsi="宋体" w:eastAsia="宋体" w:cs="宋体"/>
                <w:color w:val="auto"/>
                <w:sz w:val="21"/>
                <w:szCs w:val="21"/>
              </w:rPr>
            </w:pPr>
          </w:p>
        </w:tc>
        <w:tc>
          <w:tcPr>
            <w:tcW w:w="961" w:type="dxa"/>
            <w:vAlign w:val="center"/>
          </w:tcPr>
          <w:p w14:paraId="692106B2">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电话</w:t>
            </w:r>
          </w:p>
        </w:tc>
        <w:tc>
          <w:tcPr>
            <w:tcW w:w="1025" w:type="dxa"/>
            <w:vAlign w:val="center"/>
          </w:tcPr>
          <w:p w14:paraId="31C0E78F">
            <w:pPr>
              <w:topLinePunct/>
              <w:spacing w:after="0" w:line="480" w:lineRule="exact"/>
              <w:jc w:val="center"/>
              <w:rPr>
                <w:rFonts w:hint="eastAsia" w:ascii="宋体" w:hAnsi="宋体" w:eastAsia="宋体" w:cs="宋体"/>
                <w:color w:val="auto"/>
                <w:sz w:val="21"/>
                <w:szCs w:val="21"/>
              </w:rPr>
            </w:pPr>
          </w:p>
        </w:tc>
      </w:tr>
      <w:tr w14:paraId="2F709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908" w:type="dxa"/>
            <w:vAlign w:val="center"/>
          </w:tcPr>
          <w:p w14:paraId="45A2B48B">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成立时间</w:t>
            </w:r>
          </w:p>
        </w:tc>
        <w:tc>
          <w:tcPr>
            <w:tcW w:w="2087" w:type="dxa"/>
            <w:gridSpan w:val="3"/>
            <w:vAlign w:val="center"/>
          </w:tcPr>
          <w:p w14:paraId="77F877EF">
            <w:pPr>
              <w:topLinePunct/>
              <w:spacing w:after="0" w:line="480" w:lineRule="exact"/>
              <w:jc w:val="center"/>
              <w:rPr>
                <w:rFonts w:hint="eastAsia" w:ascii="宋体" w:hAnsi="宋体" w:eastAsia="宋体" w:cs="宋体"/>
                <w:color w:val="auto"/>
                <w:sz w:val="21"/>
                <w:szCs w:val="21"/>
              </w:rPr>
            </w:pPr>
          </w:p>
        </w:tc>
        <w:tc>
          <w:tcPr>
            <w:tcW w:w="5575" w:type="dxa"/>
            <w:gridSpan w:val="9"/>
            <w:vAlign w:val="center"/>
          </w:tcPr>
          <w:p w14:paraId="7D2AC9AE">
            <w:pPr>
              <w:topLinePunct/>
              <w:spacing w:after="0" w:line="480" w:lineRule="exact"/>
              <w:ind w:firstLine="105" w:firstLineChars="50"/>
              <w:jc w:val="both"/>
              <w:rPr>
                <w:rFonts w:hint="eastAsia" w:ascii="宋体" w:hAnsi="宋体" w:eastAsia="宋体" w:cs="宋体"/>
                <w:color w:val="auto"/>
                <w:sz w:val="21"/>
                <w:szCs w:val="21"/>
              </w:rPr>
            </w:pPr>
            <w:r>
              <w:rPr>
                <w:rFonts w:hint="eastAsia" w:ascii="宋体" w:hAnsi="宋体" w:eastAsia="宋体" w:cs="宋体"/>
                <w:color w:val="auto"/>
                <w:sz w:val="21"/>
                <w:szCs w:val="21"/>
              </w:rPr>
              <w:t>员工总人数：</w:t>
            </w:r>
          </w:p>
        </w:tc>
      </w:tr>
      <w:tr w14:paraId="54635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1908" w:type="dxa"/>
            <w:vAlign w:val="center"/>
          </w:tcPr>
          <w:p w14:paraId="2AD5D167">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企业资质等级</w:t>
            </w:r>
          </w:p>
        </w:tc>
        <w:tc>
          <w:tcPr>
            <w:tcW w:w="2087" w:type="dxa"/>
            <w:gridSpan w:val="3"/>
            <w:vAlign w:val="center"/>
          </w:tcPr>
          <w:p w14:paraId="42F52F84">
            <w:pPr>
              <w:topLinePunct/>
              <w:spacing w:after="0" w:line="480" w:lineRule="exact"/>
              <w:jc w:val="center"/>
              <w:rPr>
                <w:rFonts w:hint="eastAsia" w:ascii="宋体" w:hAnsi="宋体" w:eastAsia="宋体" w:cs="宋体"/>
                <w:color w:val="auto"/>
                <w:sz w:val="21"/>
                <w:szCs w:val="21"/>
              </w:rPr>
            </w:pPr>
          </w:p>
        </w:tc>
        <w:tc>
          <w:tcPr>
            <w:tcW w:w="938" w:type="dxa"/>
            <w:gridSpan w:val="2"/>
            <w:vMerge w:val="restart"/>
            <w:vAlign w:val="center"/>
          </w:tcPr>
          <w:p w14:paraId="4847DF6F">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其中</w:t>
            </w:r>
          </w:p>
        </w:tc>
        <w:tc>
          <w:tcPr>
            <w:tcW w:w="2568" w:type="dxa"/>
            <w:gridSpan w:val="4"/>
            <w:vAlign w:val="center"/>
          </w:tcPr>
          <w:p w14:paraId="03E34CB7">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项目经理</w:t>
            </w:r>
          </w:p>
        </w:tc>
        <w:tc>
          <w:tcPr>
            <w:tcW w:w="2069" w:type="dxa"/>
            <w:gridSpan w:val="3"/>
            <w:vAlign w:val="center"/>
          </w:tcPr>
          <w:p w14:paraId="7C1F7F36">
            <w:pPr>
              <w:topLinePunct/>
              <w:spacing w:after="0" w:line="480" w:lineRule="exact"/>
              <w:jc w:val="center"/>
              <w:rPr>
                <w:rFonts w:hint="eastAsia" w:ascii="宋体" w:hAnsi="宋体" w:eastAsia="宋体" w:cs="宋体"/>
                <w:color w:val="auto"/>
                <w:sz w:val="21"/>
                <w:szCs w:val="21"/>
              </w:rPr>
            </w:pPr>
          </w:p>
        </w:tc>
      </w:tr>
      <w:tr w14:paraId="1FA79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908" w:type="dxa"/>
            <w:vAlign w:val="center"/>
          </w:tcPr>
          <w:p w14:paraId="3DEA5C06">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营业执照号</w:t>
            </w:r>
          </w:p>
        </w:tc>
        <w:tc>
          <w:tcPr>
            <w:tcW w:w="2087" w:type="dxa"/>
            <w:gridSpan w:val="3"/>
            <w:vAlign w:val="center"/>
          </w:tcPr>
          <w:p w14:paraId="230A318C">
            <w:pPr>
              <w:topLinePunct/>
              <w:spacing w:after="0" w:line="480" w:lineRule="exact"/>
              <w:jc w:val="center"/>
              <w:rPr>
                <w:rFonts w:hint="eastAsia" w:ascii="宋体" w:hAnsi="宋体" w:eastAsia="宋体" w:cs="宋体"/>
                <w:color w:val="auto"/>
                <w:sz w:val="21"/>
                <w:szCs w:val="21"/>
              </w:rPr>
            </w:pPr>
          </w:p>
        </w:tc>
        <w:tc>
          <w:tcPr>
            <w:tcW w:w="938" w:type="dxa"/>
            <w:gridSpan w:val="2"/>
            <w:vMerge w:val="continue"/>
            <w:vAlign w:val="center"/>
          </w:tcPr>
          <w:p w14:paraId="14BF04CC">
            <w:pPr>
              <w:topLinePunct/>
              <w:spacing w:after="0" w:line="480" w:lineRule="exact"/>
              <w:jc w:val="center"/>
              <w:rPr>
                <w:rFonts w:hint="eastAsia" w:ascii="宋体" w:hAnsi="宋体" w:eastAsia="宋体" w:cs="宋体"/>
                <w:color w:val="auto"/>
                <w:sz w:val="21"/>
                <w:szCs w:val="21"/>
              </w:rPr>
            </w:pPr>
          </w:p>
        </w:tc>
        <w:tc>
          <w:tcPr>
            <w:tcW w:w="2568" w:type="dxa"/>
            <w:gridSpan w:val="4"/>
            <w:vAlign w:val="center"/>
          </w:tcPr>
          <w:p w14:paraId="15453DB2">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高级职称人员</w:t>
            </w:r>
          </w:p>
        </w:tc>
        <w:tc>
          <w:tcPr>
            <w:tcW w:w="2069" w:type="dxa"/>
            <w:gridSpan w:val="3"/>
            <w:vAlign w:val="center"/>
          </w:tcPr>
          <w:p w14:paraId="6B640431">
            <w:pPr>
              <w:topLinePunct/>
              <w:spacing w:after="0" w:line="480" w:lineRule="exact"/>
              <w:jc w:val="center"/>
              <w:rPr>
                <w:rFonts w:hint="eastAsia" w:ascii="宋体" w:hAnsi="宋体" w:eastAsia="宋体" w:cs="宋体"/>
                <w:color w:val="auto"/>
                <w:sz w:val="21"/>
                <w:szCs w:val="21"/>
              </w:rPr>
            </w:pPr>
          </w:p>
        </w:tc>
      </w:tr>
      <w:tr w14:paraId="4617A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908" w:type="dxa"/>
            <w:vAlign w:val="center"/>
          </w:tcPr>
          <w:p w14:paraId="62128125">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注册资金</w:t>
            </w:r>
          </w:p>
        </w:tc>
        <w:tc>
          <w:tcPr>
            <w:tcW w:w="2087" w:type="dxa"/>
            <w:gridSpan w:val="3"/>
            <w:vAlign w:val="center"/>
          </w:tcPr>
          <w:p w14:paraId="179CC354">
            <w:pPr>
              <w:topLinePunct/>
              <w:spacing w:after="0" w:line="480" w:lineRule="exact"/>
              <w:jc w:val="center"/>
              <w:rPr>
                <w:rFonts w:hint="eastAsia" w:ascii="宋体" w:hAnsi="宋体" w:eastAsia="宋体" w:cs="宋体"/>
                <w:color w:val="auto"/>
                <w:sz w:val="21"/>
                <w:szCs w:val="21"/>
              </w:rPr>
            </w:pPr>
          </w:p>
        </w:tc>
        <w:tc>
          <w:tcPr>
            <w:tcW w:w="938" w:type="dxa"/>
            <w:gridSpan w:val="2"/>
            <w:vMerge w:val="continue"/>
            <w:vAlign w:val="center"/>
          </w:tcPr>
          <w:p w14:paraId="2C5009F3">
            <w:pPr>
              <w:topLinePunct/>
              <w:spacing w:after="0" w:line="480" w:lineRule="exact"/>
              <w:jc w:val="center"/>
              <w:rPr>
                <w:rFonts w:hint="eastAsia" w:ascii="宋体" w:hAnsi="宋体" w:eastAsia="宋体" w:cs="宋体"/>
                <w:color w:val="auto"/>
                <w:sz w:val="21"/>
                <w:szCs w:val="21"/>
              </w:rPr>
            </w:pPr>
          </w:p>
        </w:tc>
        <w:tc>
          <w:tcPr>
            <w:tcW w:w="2568" w:type="dxa"/>
            <w:gridSpan w:val="4"/>
            <w:vAlign w:val="center"/>
          </w:tcPr>
          <w:p w14:paraId="121D37BC">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中级职称人员</w:t>
            </w:r>
          </w:p>
        </w:tc>
        <w:tc>
          <w:tcPr>
            <w:tcW w:w="2069" w:type="dxa"/>
            <w:gridSpan w:val="3"/>
            <w:vAlign w:val="center"/>
          </w:tcPr>
          <w:p w14:paraId="1996FCB2">
            <w:pPr>
              <w:topLinePunct/>
              <w:spacing w:after="0" w:line="480" w:lineRule="exact"/>
              <w:jc w:val="center"/>
              <w:rPr>
                <w:rFonts w:hint="eastAsia" w:ascii="宋体" w:hAnsi="宋体" w:eastAsia="宋体" w:cs="宋体"/>
                <w:color w:val="auto"/>
                <w:sz w:val="21"/>
                <w:szCs w:val="21"/>
              </w:rPr>
            </w:pPr>
          </w:p>
        </w:tc>
      </w:tr>
      <w:tr w14:paraId="3DA55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6" w:hRule="atLeast"/>
          <w:jc w:val="center"/>
        </w:trPr>
        <w:tc>
          <w:tcPr>
            <w:tcW w:w="1908" w:type="dxa"/>
            <w:vAlign w:val="center"/>
          </w:tcPr>
          <w:p w14:paraId="13BF781C">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开户银行</w:t>
            </w:r>
          </w:p>
        </w:tc>
        <w:tc>
          <w:tcPr>
            <w:tcW w:w="2087" w:type="dxa"/>
            <w:gridSpan w:val="3"/>
            <w:vAlign w:val="center"/>
          </w:tcPr>
          <w:p w14:paraId="4AB2104F">
            <w:pPr>
              <w:topLinePunct/>
              <w:spacing w:after="0" w:line="480" w:lineRule="exact"/>
              <w:jc w:val="center"/>
              <w:rPr>
                <w:rFonts w:hint="eastAsia" w:ascii="宋体" w:hAnsi="宋体" w:eastAsia="宋体" w:cs="宋体"/>
                <w:color w:val="auto"/>
                <w:sz w:val="21"/>
                <w:szCs w:val="21"/>
              </w:rPr>
            </w:pPr>
          </w:p>
        </w:tc>
        <w:tc>
          <w:tcPr>
            <w:tcW w:w="938" w:type="dxa"/>
            <w:gridSpan w:val="2"/>
            <w:vMerge w:val="continue"/>
            <w:vAlign w:val="center"/>
          </w:tcPr>
          <w:p w14:paraId="7EE8985F">
            <w:pPr>
              <w:topLinePunct/>
              <w:spacing w:after="0" w:line="480" w:lineRule="exact"/>
              <w:jc w:val="center"/>
              <w:rPr>
                <w:rFonts w:hint="eastAsia" w:ascii="宋体" w:hAnsi="宋体" w:eastAsia="宋体" w:cs="宋体"/>
                <w:color w:val="auto"/>
                <w:sz w:val="21"/>
                <w:szCs w:val="21"/>
              </w:rPr>
            </w:pPr>
          </w:p>
        </w:tc>
        <w:tc>
          <w:tcPr>
            <w:tcW w:w="2568" w:type="dxa"/>
            <w:gridSpan w:val="4"/>
            <w:vAlign w:val="center"/>
          </w:tcPr>
          <w:p w14:paraId="6A9DFBE7">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初级职称人员</w:t>
            </w:r>
          </w:p>
        </w:tc>
        <w:tc>
          <w:tcPr>
            <w:tcW w:w="2069" w:type="dxa"/>
            <w:gridSpan w:val="3"/>
            <w:vAlign w:val="center"/>
          </w:tcPr>
          <w:p w14:paraId="4130308B">
            <w:pPr>
              <w:topLinePunct/>
              <w:spacing w:after="0" w:line="480" w:lineRule="exact"/>
              <w:jc w:val="center"/>
              <w:rPr>
                <w:rFonts w:hint="eastAsia" w:ascii="宋体" w:hAnsi="宋体" w:eastAsia="宋体" w:cs="宋体"/>
                <w:color w:val="auto"/>
                <w:sz w:val="21"/>
                <w:szCs w:val="21"/>
              </w:rPr>
            </w:pPr>
          </w:p>
        </w:tc>
      </w:tr>
      <w:tr w14:paraId="4905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1908" w:type="dxa"/>
            <w:vAlign w:val="center"/>
          </w:tcPr>
          <w:p w14:paraId="187ED3CF">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账号</w:t>
            </w:r>
          </w:p>
        </w:tc>
        <w:tc>
          <w:tcPr>
            <w:tcW w:w="2087" w:type="dxa"/>
            <w:gridSpan w:val="3"/>
            <w:vAlign w:val="center"/>
          </w:tcPr>
          <w:p w14:paraId="2639924E">
            <w:pPr>
              <w:topLinePunct/>
              <w:spacing w:after="0" w:line="480" w:lineRule="exact"/>
              <w:jc w:val="center"/>
              <w:rPr>
                <w:rFonts w:hint="eastAsia" w:ascii="宋体" w:hAnsi="宋体" w:eastAsia="宋体" w:cs="宋体"/>
                <w:color w:val="auto"/>
                <w:sz w:val="21"/>
                <w:szCs w:val="21"/>
              </w:rPr>
            </w:pPr>
          </w:p>
        </w:tc>
        <w:tc>
          <w:tcPr>
            <w:tcW w:w="938" w:type="dxa"/>
            <w:gridSpan w:val="2"/>
            <w:vMerge w:val="continue"/>
            <w:vAlign w:val="center"/>
          </w:tcPr>
          <w:p w14:paraId="4C0E07B5">
            <w:pPr>
              <w:topLinePunct/>
              <w:spacing w:after="0" w:line="480" w:lineRule="exact"/>
              <w:jc w:val="center"/>
              <w:rPr>
                <w:rFonts w:hint="eastAsia" w:ascii="宋体" w:hAnsi="宋体" w:eastAsia="宋体" w:cs="宋体"/>
                <w:color w:val="auto"/>
                <w:sz w:val="21"/>
                <w:szCs w:val="21"/>
              </w:rPr>
            </w:pPr>
          </w:p>
        </w:tc>
        <w:tc>
          <w:tcPr>
            <w:tcW w:w="2568" w:type="dxa"/>
            <w:gridSpan w:val="4"/>
            <w:vAlign w:val="center"/>
          </w:tcPr>
          <w:p w14:paraId="33BED79B">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技工</w:t>
            </w:r>
          </w:p>
        </w:tc>
        <w:tc>
          <w:tcPr>
            <w:tcW w:w="2069" w:type="dxa"/>
            <w:gridSpan w:val="3"/>
            <w:vAlign w:val="center"/>
          </w:tcPr>
          <w:p w14:paraId="115CA3BD">
            <w:pPr>
              <w:topLinePunct/>
              <w:spacing w:after="0" w:line="480" w:lineRule="exact"/>
              <w:jc w:val="center"/>
              <w:rPr>
                <w:rFonts w:hint="eastAsia" w:ascii="宋体" w:hAnsi="宋体" w:eastAsia="宋体" w:cs="宋体"/>
                <w:color w:val="auto"/>
                <w:sz w:val="21"/>
                <w:szCs w:val="21"/>
              </w:rPr>
            </w:pPr>
          </w:p>
        </w:tc>
      </w:tr>
      <w:tr w14:paraId="236F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1908" w:type="dxa"/>
            <w:vAlign w:val="center"/>
          </w:tcPr>
          <w:p w14:paraId="4897B6F1">
            <w:pPr>
              <w:topLinePunct/>
              <w:spacing w:after="0" w:line="480" w:lineRule="exact"/>
              <w:ind w:firstLine="210" w:firstLineChars="100"/>
              <w:jc w:val="center"/>
              <w:rPr>
                <w:rFonts w:hint="eastAsia" w:ascii="宋体" w:hAnsi="宋体" w:eastAsia="宋体" w:cs="宋体"/>
                <w:color w:val="auto"/>
                <w:sz w:val="21"/>
                <w:szCs w:val="21"/>
              </w:rPr>
            </w:pPr>
            <w:r>
              <w:rPr>
                <w:rFonts w:hint="eastAsia" w:ascii="宋体" w:hAnsi="宋体" w:eastAsia="宋体" w:cs="宋体"/>
                <w:color w:val="auto"/>
                <w:sz w:val="21"/>
                <w:szCs w:val="21"/>
              </w:rPr>
              <w:t>经营范围</w:t>
            </w:r>
          </w:p>
        </w:tc>
        <w:tc>
          <w:tcPr>
            <w:tcW w:w="7662" w:type="dxa"/>
            <w:gridSpan w:val="12"/>
            <w:vAlign w:val="center"/>
          </w:tcPr>
          <w:p w14:paraId="5EB80EB2">
            <w:pPr>
              <w:topLinePunct/>
              <w:spacing w:after="0" w:line="480" w:lineRule="exact"/>
              <w:rPr>
                <w:rFonts w:hint="eastAsia" w:ascii="宋体" w:hAnsi="宋体" w:eastAsia="宋体" w:cs="宋体"/>
                <w:color w:val="auto"/>
                <w:sz w:val="21"/>
                <w:szCs w:val="21"/>
              </w:rPr>
            </w:pPr>
          </w:p>
        </w:tc>
      </w:tr>
      <w:tr w14:paraId="269D3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908" w:type="dxa"/>
            <w:vAlign w:val="center"/>
          </w:tcPr>
          <w:p w14:paraId="292E34BC">
            <w:pPr>
              <w:topLinePunct/>
              <w:spacing w:after="0" w:line="48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c>
          <w:tcPr>
            <w:tcW w:w="7662" w:type="dxa"/>
            <w:gridSpan w:val="12"/>
            <w:vAlign w:val="center"/>
          </w:tcPr>
          <w:p w14:paraId="7F06B15B">
            <w:pPr>
              <w:topLinePunct/>
              <w:spacing w:after="0" w:line="480" w:lineRule="exact"/>
              <w:jc w:val="center"/>
              <w:rPr>
                <w:rFonts w:hint="eastAsia" w:ascii="宋体" w:hAnsi="宋体" w:eastAsia="宋体" w:cs="宋体"/>
                <w:color w:val="auto"/>
                <w:sz w:val="21"/>
                <w:szCs w:val="21"/>
              </w:rPr>
            </w:pPr>
          </w:p>
        </w:tc>
      </w:tr>
    </w:tbl>
    <w:p w14:paraId="4B5A5571">
      <w:pPr>
        <w:keepNext w:val="0"/>
        <w:keepLines w:val="0"/>
        <w:pageBreakBefore w:val="0"/>
        <w:widowControl w:val="0"/>
        <w:numPr>
          <w:ilvl w:val="0"/>
          <w:numId w:val="0"/>
        </w:numPr>
        <w:kinsoku/>
        <w:wordWrap/>
        <w:overflowPunct/>
        <w:topLinePunct w:val="0"/>
        <w:autoSpaceDE/>
        <w:autoSpaceDN/>
        <w:bidi w:val="0"/>
        <w:spacing w:line="480" w:lineRule="exact"/>
        <w:jc w:val="both"/>
        <w:textAlignment w:val="auto"/>
        <w:rPr>
          <w:rFonts w:hint="eastAsia"/>
          <w:b/>
          <w:color w:val="auto"/>
          <w:szCs w:val="21"/>
          <w:lang w:eastAsia="zh-CN"/>
        </w:rPr>
      </w:pPr>
      <w:r>
        <w:rPr>
          <w:rFonts w:hint="eastAsia"/>
          <w:b/>
          <w:color w:val="auto"/>
          <w:szCs w:val="21"/>
        </w:rPr>
        <w:t>注：以联合体形式参加磋商的，联合体各成员单位均需提供</w:t>
      </w:r>
      <w:r>
        <w:rPr>
          <w:rFonts w:hint="eastAsia"/>
          <w:b/>
          <w:color w:val="auto"/>
          <w:szCs w:val="21"/>
          <w:lang w:eastAsia="zh-CN"/>
        </w:rPr>
        <w:t>。</w:t>
      </w:r>
    </w:p>
    <w:p w14:paraId="0B529FF2">
      <w:pPr>
        <w:keepNext w:val="0"/>
        <w:keepLines w:val="0"/>
        <w:pageBreakBefore w:val="0"/>
        <w:widowControl w:val="0"/>
        <w:numPr>
          <w:ilvl w:val="0"/>
          <w:numId w:val="0"/>
        </w:numPr>
        <w:kinsoku/>
        <w:wordWrap/>
        <w:overflowPunct/>
        <w:topLinePunct w:val="0"/>
        <w:autoSpaceDE/>
        <w:autoSpaceDN/>
        <w:bidi w:val="0"/>
        <w:spacing w:line="480" w:lineRule="exact"/>
        <w:jc w:val="center"/>
        <w:textAlignment w:val="auto"/>
        <w:rPr>
          <w:rFonts w:hint="eastAsia" w:ascii="宋体" w:hAnsi="宋体" w:eastAsia="宋体" w:cs="宋体"/>
          <w:b/>
          <w:bCs/>
          <w:color w:val="auto"/>
          <w:kern w:val="2"/>
          <w:sz w:val="28"/>
          <w:szCs w:val="28"/>
          <w:lang w:val="en-US" w:eastAsia="zh-CN" w:bidi="ar-SA"/>
        </w:rPr>
      </w:pPr>
      <w:r>
        <w:rPr>
          <w:rFonts w:hint="eastAsia" w:ascii="仿宋" w:hAnsi="仿宋" w:eastAsia="仿宋" w:cs="仿宋"/>
          <w:color w:val="auto"/>
          <w:sz w:val="21"/>
          <w:szCs w:val="21"/>
        </w:rPr>
        <w:br w:type="page"/>
      </w:r>
      <w:r>
        <w:rPr>
          <w:rFonts w:hint="eastAsia" w:ascii="宋体" w:hAnsi="宋体" w:eastAsia="宋体" w:cs="宋体"/>
          <w:b/>
          <w:bCs/>
          <w:color w:val="auto"/>
          <w:kern w:val="2"/>
          <w:sz w:val="28"/>
          <w:szCs w:val="28"/>
          <w:lang w:val="en-US" w:eastAsia="zh-CN" w:bidi="ar-SA"/>
        </w:rPr>
        <w:t>（</w:t>
      </w:r>
      <w:r>
        <w:rPr>
          <w:rFonts w:hint="eastAsia" w:ascii="宋体" w:hAnsi="宋体" w:cs="宋体"/>
          <w:b/>
          <w:bCs/>
          <w:color w:val="auto"/>
          <w:kern w:val="2"/>
          <w:sz w:val="28"/>
          <w:szCs w:val="28"/>
          <w:lang w:val="en-US" w:eastAsia="zh-CN" w:bidi="ar-SA"/>
        </w:rPr>
        <w:t>八</w:t>
      </w:r>
      <w:r>
        <w:rPr>
          <w:rFonts w:hint="eastAsia" w:ascii="宋体" w:hAnsi="宋体" w:eastAsia="宋体" w:cs="宋体"/>
          <w:b/>
          <w:bCs/>
          <w:color w:val="auto"/>
          <w:kern w:val="2"/>
          <w:sz w:val="28"/>
          <w:szCs w:val="28"/>
          <w:lang w:val="en-US" w:eastAsia="zh-CN" w:bidi="ar-SA"/>
        </w:rPr>
        <w:t>）资格评审内容</w:t>
      </w:r>
    </w:p>
    <w:p w14:paraId="182AC05D">
      <w:pPr>
        <w:spacing w:after="0" w:line="48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结合磋商公告“资格要求”及磋商申请人须知“</w:t>
      </w:r>
      <w:r>
        <w:rPr>
          <w:rFonts w:hint="eastAsia" w:ascii="宋体" w:hAnsi="宋体" w:eastAsia="宋体" w:cs="宋体"/>
          <w:color w:val="auto"/>
          <w:sz w:val="21"/>
          <w:szCs w:val="21"/>
          <w:lang w:eastAsia="zh-CN"/>
        </w:rPr>
        <w:t>供应商资格</w:t>
      </w:r>
      <w:r>
        <w:rPr>
          <w:rFonts w:hint="eastAsia" w:ascii="宋体" w:hAnsi="宋体" w:eastAsia="宋体" w:cs="宋体"/>
          <w:color w:val="auto"/>
          <w:sz w:val="21"/>
          <w:szCs w:val="21"/>
          <w:lang w:val="en-US" w:eastAsia="zh-CN"/>
        </w:rPr>
        <w:t>要求”相关内容编制。</w:t>
      </w:r>
    </w:p>
    <w:p w14:paraId="364772E1">
      <w:pPr>
        <w:spacing w:line="360" w:lineRule="auto"/>
        <w:jc w:val="center"/>
        <w:rPr>
          <w:rFonts w:hint="eastAsia" w:ascii="宋体" w:hAnsi="宋体"/>
          <w:color w:val="auto"/>
          <w:szCs w:val="21"/>
        </w:rPr>
      </w:pPr>
      <w:r>
        <w:rPr>
          <w:rFonts w:hint="eastAsia"/>
          <w:b/>
          <w:color w:val="auto"/>
          <w:szCs w:val="21"/>
        </w:rPr>
        <w:t>注：以联合体形式参加磋商的，联合体各成员单位均需提供。</w:t>
      </w:r>
    </w:p>
    <w:p w14:paraId="16FE2D8D">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eastAsia" w:ascii="宋体" w:hAnsi="宋体" w:eastAsia="宋体" w:cs="Courier New"/>
          <w:b/>
          <w:bCs/>
          <w:color w:val="auto"/>
          <w:sz w:val="21"/>
          <w:szCs w:val="21"/>
        </w:rPr>
      </w:pPr>
    </w:p>
    <w:p w14:paraId="4B03D536">
      <w:pPr>
        <w:pStyle w:val="3"/>
        <w:spacing w:line="240" w:lineRule="auto"/>
        <w:ind w:left="0" w:leftChars="0" w:firstLine="0" w:firstLineChars="0"/>
        <w:jc w:val="both"/>
        <w:rPr>
          <w:rFonts w:hint="eastAsia" w:ascii="仿宋" w:hAnsi="仿宋" w:eastAsia="仿宋" w:cs="仿宋"/>
          <w:b w:val="0"/>
          <w:color w:val="auto"/>
          <w:kern w:val="2"/>
          <w:sz w:val="21"/>
          <w:szCs w:val="21"/>
          <w:lang w:val="en-US" w:eastAsia="zh-CN" w:bidi="ar-SA"/>
        </w:rPr>
      </w:pPr>
    </w:p>
    <w:p w14:paraId="417E209D">
      <w:pPr>
        <w:pStyle w:val="3"/>
        <w:spacing w:line="240" w:lineRule="auto"/>
        <w:ind w:left="0" w:leftChars="0" w:firstLine="0" w:firstLineChars="0"/>
        <w:jc w:val="center"/>
        <w:rPr>
          <w:rFonts w:hint="eastAsia" w:ascii="宋体" w:hAnsi="宋体" w:eastAsia="宋体" w:cs="宋体"/>
          <w:b w:val="0"/>
          <w:color w:val="auto"/>
          <w:kern w:val="2"/>
          <w:sz w:val="21"/>
          <w:szCs w:val="21"/>
          <w:lang w:val="en-US" w:eastAsia="zh-CN" w:bidi="ar-SA"/>
        </w:rPr>
      </w:pPr>
      <w:r>
        <w:rPr>
          <w:rFonts w:hint="eastAsia" w:ascii="仿宋" w:hAnsi="仿宋" w:eastAsia="仿宋" w:cs="仿宋"/>
          <w:b w:val="0"/>
          <w:color w:val="auto"/>
          <w:kern w:val="2"/>
          <w:sz w:val="21"/>
          <w:szCs w:val="21"/>
          <w:lang w:val="en-US" w:eastAsia="zh-CN" w:bidi="ar-SA"/>
        </w:rPr>
        <w:t xml:space="preserve">  </w:t>
      </w:r>
    </w:p>
    <w:p w14:paraId="7851B4BF">
      <w:pPr>
        <w:keepNext w:val="0"/>
        <w:keepLines w:val="0"/>
        <w:pageBreakBefore w:val="0"/>
        <w:widowControl w:val="0"/>
        <w:kinsoku/>
        <w:wordWrap/>
        <w:overflowPunct/>
        <w:topLinePunct w:val="0"/>
        <w:bidi w:val="0"/>
        <w:spacing w:line="500" w:lineRule="exact"/>
        <w:jc w:val="center"/>
        <w:textAlignment w:val="auto"/>
        <w:rPr>
          <w:rFonts w:hint="eastAsia" w:ascii="宋体" w:hAnsi="宋体" w:eastAsia="宋体" w:cs="宋体"/>
          <w:b/>
          <w:bCs/>
          <w:color w:val="auto"/>
          <w:kern w:val="2"/>
          <w:sz w:val="28"/>
          <w:szCs w:val="28"/>
          <w:lang w:val="en-US" w:eastAsia="zh-CN" w:bidi="ar-SA"/>
        </w:rPr>
      </w:pPr>
      <w:r>
        <w:rPr>
          <w:rFonts w:hint="eastAsia" w:ascii="仿宋" w:hAnsi="仿宋" w:eastAsia="仿宋" w:cs="仿宋"/>
          <w:b w:val="0"/>
          <w:color w:val="auto"/>
          <w:kern w:val="2"/>
          <w:sz w:val="21"/>
          <w:szCs w:val="21"/>
          <w:lang w:val="en-US" w:eastAsia="zh-CN" w:bidi="ar-SA"/>
        </w:rPr>
        <w:br w:type="page"/>
      </w:r>
      <w:bookmarkStart w:id="877" w:name="_Toc17704_WPSOffice_Level1"/>
      <w:bookmarkStart w:id="878" w:name="_Toc3072"/>
      <w:bookmarkStart w:id="879" w:name="_Toc24899"/>
      <w:r>
        <w:rPr>
          <w:rFonts w:hint="eastAsia" w:ascii="宋体" w:hAnsi="宋体" w:eastAsia="宋体" w:cs="宋体"/>
          <w:b/>
          <w:bCs/>
          <w:color w:val="auto"/>
          <w:kern w:val="2"/>
          <w:sz w:val="28"/>
          <w:szCs w:val="28"/>
          <w:lang w:val="en-US" w:eastAsia="zh-CN" w:bidi="ar-SA"/>
        </w:rPr>
        <w:t>（八）中小企业声明函(工程)</w:t>
      </w:r>
    </w:p>
    <w:p w14:paraId="3A144498">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rPr>
      </w:pPr>
    </w:p>
    <w:p w14:paraId="0318F08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本公司(联合体)郑重声明，根据《政府采购促进中小企业发展管理办法》(财库(2020)46号)的规定，本公司(联合体)参加</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(单位名称)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(项目名称)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采购活动，工程的施工单位全部为符合政策要求的中小企业。相关企业 (含联合体中的中小企业、签订分包意向协议的中小企业)的具体情况如下:</w:t>
      </w:r>
    </w:p>
    <w:p w14:paraId="6473CCF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(标的名称)</w:t>
      </w:r>
      <w:r>
        <w:rPr>
          <w:rFonts w:hint="eastAsia" w:ascii="宋体" w:hAnsi="宋体" w:eastAsia="宋体" w:cs="宋体"/>
          <w:color w:val="auto"/>
          <w:sz w:val="21"/>
          <w:szCs w:val="21"/>
        </w:rPr>
        <w:t>，属于</w:t>
      </w:r>
      <w:r>
        <w:rPr>
          <w:rFonts w:hint="eastAsia" w:ascii="宋体" w:hAnsi="宋体" w:eastAsia="宋体" w:cs="宋体"/>
          <w:color w:val="auto"/>
          <w:sz w:val="21"/>
          <w:szCs w:val="21"/>
          <w:u w:val="single"/>
        </w:rPr>
        <w:t>(采购文件中明确的所属行业</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rPr>
        <w:t>承建(承接)企业为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(企业名称)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，从业人员</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人，营业收入为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万元，资产总额为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万元，属于</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(中型企业、小型企业、微型企业</w:t>
      </w:r>
      <w:r>
        <w:rPr>
          <w:rFonts w:hint="eastAsia" w:ascii="宋体" w:hAnsi="宋体" w:eastAsia="宋体" w:cs="宋体"/>
          <w:color w:val="auto"/>
          <w:sz w:val="21"/>
          <w:szCs w:val="21"/>
          <w:lang w:val="en-US" w:eastAsia="zh-CN"/>
        </w:rPr>
        <w:t>);</w:t>
      </w:r>
    </w:p>
    <w:p w14:paraId="4155E4B6">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(标的名称)</w:t>
      </w:r>
      <w:r>
        <w:rPr>
          <w:rFonts w:hint="eastAsia" w:ascii="宋体" w:hAnsi="宋体" w:eastAsia="宋体" w:cs="宋体"/>
          <w:color w:val="auto"/>
          <w:sz w:val="21"/>
          <w:szCs w:val="21"/>
        </w:rPr>
        <w:t>，属于</w:t>
      </w:r>
      <w:r>
        <w:rPr>
          <w:rFonts w:hint="eastAsia" w:ascii="宋体" w:hAnsi="宋体" w:eastAsia="宋体" w:cs="宋体"/>
          <w:color w:val="auto"/>
          <w:sz w:val="21"/>
          <w:szCs w:val="21"/>
          <w:u w:val="single"/>
        </w:rPr>
        <w:t>(采购文件中明确的所属行业)</w:t>
      </w:r>
      <w:r>
        <w:rPr>
          <w:rFonts w:hint="eastAsia" w:ascii="宋体" w:hAnsi="宋体" w:eastAsia="宋体" w:cs="宋体"/>
          <w:color w:val="auto"/>
          <w:sz w:val="21"/>
          <w:szCs w:val="21"/>
        </w:rPr>
        <w:t>承建(承接) 企业为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(企业名称)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，从业人员</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人，营业收入为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万元，资产总额为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万元，属于</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(中型企业、小型企业、微型企业</w:t>
      </w:r>
      <w:r>
        <w:rPr>
          <w:rFonts w:hint="eastAsia" w:ascii="宋体" w:hAnsi="宋体" w:eastAsia="宋体" w:cs="宋体"/>
          <w:color w:val="auto"/>
          <w:sz w:val="21"/>
          <w:szCs w:val="21"/>
          <w:lang w:val="en-US" w:eastAsia="zh-CN"/>
        </w:rPr>
        <w:t>);</w:t>
      </w:r>
    </w:p>
    <w:p w14:paraId="2FE00601">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w:t>
      </w:r>
    </w:p>
    <w:p w14:paraId="640CEFAC">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以上企业，不属于大企业的分支机构，不存在控股股东为大企业的情形，也不存在与大企业的负责人为同一人的情形。</w:t>
      </w:r>
    </w:p>
    <w:p w14:paraId="3D83D41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本企业对上述声明内容的真实性负责。如有虚假，将依法承担相应责任。</w:t>
      </w:r>
    </w:p>
    <w:p w14:paraId="42F8F391">
      <w:pPr>
        <w:spacing w:line="360" w:lineRule="auto"/>
        <w:ind w:firstLine="422" w:firstLineChars="200"/>
        <w:rPr>
          <w:rFonts w:hint="eastAsia" w:ascii="宋体" w:hAnsi="宋体"/>
          <w:color w:val="auto"/>
          <w:szCs w:val="21"/>
        </w:rPr>
      </w:pPr>
      <w:r>
        <w:rPr>
          <w:rFonts w:hint="eastAsia"/>
          <w:b/>
          <w:color w:val="auto"/>
          <w:szCs w:val="21"/>
        </w:rPr>
        <w:t>以联合体形式参加磋商的，联合体各成员单位均需提供。</w:t>
      </w:r>
    </w:p>
    <w:p w14:paraId="44E38FB0">
      <w:pPr>
        <w:keepNext w:val="0"/>
        <w:keepLines w:val="0"/>
        <w:pageBreakBefore w:val="0"/>
        <w:widowControl w:val="0"/>
        <w:kinsoku/>
        <w:wordWrap/>
        <w:overflowPunct/>
        <w:topLinePunct w:val="0"/>
        <w:autoSpaceDE/>
        <w:autoSpaceDN/>
        <w:bidi w:val="0"/>
        <w:adjustRightInd/>
        <w:snapToGrid/>
        <w:spacing w:line="520" w:lineRule="exact"/>
        <w:ind w:firstLine="420" w:firstLineChars="200"/>
        <w:jc w:val="center"/>
        <w:textAlignment w:val="auto"/>
        <w:rPr>
          <w:rFonts w:hint="eastAsia" w:ascii="宋体" w:hAnsi="宋体" w:eastAsia="宋体" w:cs="宋体"/>
          <w:color w:val="auto"/>
          <w:sz w:val="21"/>
          <w:szCs w:val="21"/>
        </w:rPr>
      </w:pPr>
    </w:p>
    <w:p w14:paraId="307415F4">
      <w:pPr>
        <w:keepNext w:val="0"/>
        <w:keepLines w:val="0"/>
        <w:pageBreakBefore w:val="0"/>
        <w:widowControl w:val="0"/>
        <w:kinsoku/>
        <w:wordWrap/>
        <w:overflowPunct/>
        <w:topLinePunct w:val="0"/>
        <w:autoSpaceDE/>
        <w:autoSpaceDN/>
        <w:bidi w:val="0"/>
        <w:adjustRightInd/>
        <w:snapToGrid/>
        <w:spacing w:line="520" w:lineRule="exact"/>
        <w:ind w:firstLine="420" w:firstLineChars="200"/>
        <w:jc w:val="center"/>
        <w:textAlignment w:val="auto"/>
        <w:rPr>
          <w:rFonts w:hint="eastAsia" w:ascii="宋体" w:hAnsi="宋体" w:eastAsia="宋体" w:cs="宋体"/>
          <w:color w:val="auto"/>
          <w:sz w:val="21"/>
          <w:szCs w:val="21"/>
        </w:rPr>
      </w:pPr>
    </w:p>
    <w:p w14:paraId="4C0120D7">
      <w:pPr>
        <w:keepNext w:val="0"/>
        <w:keepLines w:val="0"/>
        <w:pageBreakBefore w:val="0"/>
        <w:widowControl w:val="0"/>
        <w:kinsoku/>
        <w:wordWrap/>
        <w:overflowPunct/>
        <w:topLinePunct w:val="0"/>
        <w:autoSpaceDE/>
        <w:autoSpaceDN/>
        <w:bidi w:val="0"/>
        <w:adjustRightInd/>
        <w:snapToGrid/>
        <w:spacing w:line="520" w:lineRule="exact"/>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企业名称 (盖章 ):</w:t>
      </w:r>
    </w:p>
    <w:p w14:paraId="1DD1D954">
      <w:pPr>
        <w:keepNext w:val="0"/>
        <w:keepLines w:val="0"/>
        <w:pageBreakBefore w:val="0"/>
        <w:widowControl w:val="0"/>
        <w:kinsoku/>
        <w:wordWrap/>
        <w:overflowPunct/>
        <w:topLinePunct w:val="0"/>
        <w:autoSpaceDE/>
        <w:autoSpaceDN/>
        <w:bidi w:val="0"/>
        <w:adjustRightInd/>
        <w:snapToGrid/>
        <w:spacing w:line="520" w:lineRule="exact"/>
        <w:ind w:firstLine="4200" w:firstLineChars="200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日</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期:</w:t>
      </w:r>
    </w:p>
    <w:p w14:paraId="2F8550A9">
      <w:pPr>
        <w:keepNext w:val="0"/>
        <w:keepLines w:val="0"/>
        <w:pageBreakBefore w:val="0"/>
        <w:widowControl w:val="0"/>
        <w:kinsoku/>
        <w:wordWrap/>
        <w:overflowPunct/>
        <w:topLinePunct w:val="0"/>
        <w:autoSpaceDE w:val="0"/>
        <w:autoSpaceDN w:val="0"/>
        <w:bidi w:val="0"/>
        <w:adjustRightInd w:val="0"/>
        <w:spacing w:line="500" w:lineRule="exact"/>
        <w:ind w:right="0" w:firstLine="4200" w:firstLineChars="2000"/>
        <w:textAlignment w:val="auto"/>
        <w:rPr>
          <w:rFonts w:hint="eastAsia" w:ascii="宋体" w:hAnsi="宋体" w:eastAsia="宋体" w:cs="宋体"/>
          <w:color w:val="auto"/>
          <w:kern w:val="0"/>
          <w:sz w:val="21"/>
          <w:szCs w:val="21"/>
        </w:rPr>
      </w:pPr>
    </w:p>
    <w:p w14:paraId="45130612">
      <w:pPr>
        <w:keepNext w:val="0"/>
        <w:keepLines w:val="0"/>
        <w:pageBreakBefore w:val="0"/>
        <w:widowControl w:val="0"/>
        <w:kinsoku/>
        <w:wordWrap/>
        <w:overflowPunct/>
        <w:topLinePunct w:val="0"/>
        <w:autoSpaceDE w:val="0"/>
        <w:autoSpaceDN w:val="0"/>
        <w:bidi w:val="0"/>
        <w:adjustRightInd w:val="0"/>
        <w:spacing w:line="500" w:lineRule="exact"/>
        <w:ind w:right="0"/>
        <w:jc w:val="left"/>
        <w:textAlignment w:val="auto"/>
        <w:rPr>
          <w:rFonts w:hint="eastAsia" w:ascii="宋体" w:hAnsi="宋体" w:eastAsia="宋体" w:cs="宋体"/>
          <w:b/>
          <w:bCs/>
          <w:color w:val="auto"/>
          <w:kern w:val="0"/>
          <w:sz w:val="21"/>
          <w:szCs w:val="21"/>
        </w:rPr>
      </w:pPr>
    </w:p>
    <w:p w14:paraId="624BC885">
      <w:pPr>
        <w:keepNext w:val="0"/>
        <w:keepLines w:val="0"/>
        <w:pageBreakBefore w:val="0"/>
        <w:widowControl w:val="0"/>
        <w:kinsoku/>
        <w:wordWrap/>
        <w:overflowPunct/>
        <w:topLinePunct w:val="0"/>
        <w:autoSpaceDE w:val="0"/>
        <w:autoSpaceDN w:val="0"/>
        <w:bidi w:val="0"/>
        <w:adjustRightInd w:val="0"/>
        <w:snapToGrid w:val="0"/>
        <w:spacing w:line="500" w:lineRule="exact"/>
        <w:ind w:right="0"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注：1</w:t>
      </w:r>
      <w:r>
        <w:rPr>
          <w:rFonts w:hint="eastAsia" w:ascii="宋体" w:hAnsi="宋体" w:cs="宋体"/>
          <w:color w:val="auto"/>
          <w:kern w:val="0"/>
          <w:sz w:val="21"/>
          <w:szCs w:val="21"/>
          <w:lang w:val="en-US" w:eastAsia="zh-CN"/>
        </w:rPr>
        <w:t>.</w:t>
      </w:r>
      <w:r>
        <w:rPr>
          <w:rFonts w:hint="eastAsia" w:ascii="宋体" w:hAnsi="宋体" w:eastAsia="宋体" w:cs="宋体"/>
          <w:color w:val="auto"/>
          <w:kern w:val="0"/>
          <w:sz w:val="21"/>
          <w:szCs w:val="21"/>
        </w:rPr>
        <w:t>符合《政府采购促进中小企业发展管理办法》（财库[2020]46号）价格扣减条件的</w:t>
      </w:r>
      <w:r>
        <w:rPr>
          <w:rFonts w:hint="eastAsia" w:ascii="宋体" w:hAnsi="宋体" w:cs="宋体"/>
          <w:color w:val="auto"/>
          <w:kern w:val="0"/>
          <w:sz w:val="21"/>
          <w:szCs w:val="21"/>
          <w:lang w:eastAsia="zh-CN"/>
        </w:rPr>
        <w:t>磋商申请人</w:t>
      </w:r>
      <w:r>
        <w:rPr>
          <w:rFonts w:hint="eastAsia" w:ascii="宋体" w:hAnsi="宋体" w:eastAsia="宋体" w:cs="宋体"/>
          <w:color w:val="auto"/>
          <w:kern w:val="0"/>
          <w:sz w:val="21"/>
          <w:szCs w:val="21"/>
        </w:rPr>
        <w:t>需填写《中小企业声明函》。</w:t>
      </w:r>
    </w:p>
    <w:p w14:paraId="123EE34E">
      <w:pPr>
        <w:keepNext w:val="0"/>
        <w:keepLines w:val="0"/>
        <w:pageBreakBefore w:val="0"/>
        <w:widowControl w:val="0"/>
        <w:kinsoku/>
        <w:wordWrap/>
        <w:overflowPunct/>
        <w:topLinePunct w:val="0"/>
        <w:autoSpaceDE w:val="0"/>
        <w:autoSpaceDN w:val="0"/>
        <w:bidi w:val="0"/>
        <w:adjustRightInd w:val="0"/>
        <w:snapToGrid w:val="0"/>
        <w:spacing w:line="500" w:lineRule="exact"/>
        <w:ind w:right="0"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2.不享受中小企业优先采购政策的</w:t>
      </w:r>
      <w:r>
        <w:rPr>
          <w:rFonts w:hint="eastAsia" w:ascii="宋体" w:hAnsi="宋体" w:cs="宋体"/>
          <w:color w:val="auto"/>
          <w:kern w:val="0"/>
          <w:sz w:val="21"/>
          <w:szCs w:val="21"/>
          <w:lang w:eastAsia="zh-CN"/>
        </w:rPr>
        <w:t>磋商申请人</w:t>
      </w:r>
      <w:r>
        <w:rPr>
          <w:rFonts w:hint="eastAsia" w:ascii="宋体" w:hAnsi="宋体" w:eastAsia="宋体" w:cs="宋体"/>
          <w:color w:val="auto"/>
          <w:kern w:val="0"/>
          <w:sz w:val="21"/>
          <w:szCs w:val="21"/>
        </w:rPr>
        <w:t>不需填写《中小企业声明函》。</w:t>
      </w:r>
    </w:p>
    <w:p w14:paraId="6DC72590">
      <w:pPr>
        <w:pStyle w:val="15"/>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hAnsi="宋体"/>
          <w:b/>
          <w:color w:val="auto"/>
          <w:sz w:val="28"/>
          <w:szCs w:val="28"/>
        </w:rPr>
      </w:pPr>
    </w:p>
    <w:p w14:paraId="618991F4">
      <w:pPr>
        <w:pStyle w:val="9"/>
        <w:keepNext w:val="0"/>
        <w:keepLines w:val="0"/>
        <w:pageBreakBefore w:val="0"/>
        <w:widowControl w:val="0"/>
        <w:kinsoku/>
        <w:wordWrap/>
        <w:overflowPunct/>
        <w:topLinePunct w:val="0"/>
        <w:autoSpaceDE/>
        <w:autoSpaceDN/>
        <w:bidi w:val="0"/>
        <w:snapToGrid/>
        <w:spacing w:line="480" w:lineRule="exact"/>
        <w:textAlignment w:val="auto"/>
        <w:rPr>
          <w:rFonts w:hint="eastAsia" w:ascii="宋体" w:hAnsi="宋体" w:eastAsia="宋体" w:cs="宋体"/>
          <w:color w:val="auto"/>
          <w:sz w:val="21"/>
          <w:szCs w:val="21"/>
        </w:rPr>
      </w:pPr>
      <w:r>
        <w:rPr>
          <w:rFonts w:hint="eastAsia" w:hAnsi="宋体"/>
          <w:b/>
          <w:color w:val="auto"/>
          <w:sz w:val="28"/>
          <w:szCs w:val="28"/>
        </w:rPr>
        <w:br w:type="page"/>
      </w:r>
      <w:bookmarkStart w:id="880" w:name="_Toc18851"/>
      <w:r>
        <w:rPr>
          <w:rFonts w:hint="eastAsia" w:ascii="宋体" w:hAnsi="宋体" w:eastAsia="宋体" w:cs="宋体"/>
          <w:color w:val="auto"/>
          <w:sz w:val="21"/>
          <w:szCs w:val="21"/>
        </w:rPr>
        <w:t>附件：</w:t>
      </w:r>
    </w:p>
    <w:p w14:paraId="04954929">
      <w:pPr>
        <w:pStyle w:val="9"/>
        <w:keepNext w:val="0"/>
        <w:keepLines w:val="0"/>
        <w:pageBreakBefore w:val="0"/>
        <w:widowControl w:val="0"/>
        <w:kinsoku/>
        <w:wordWrap/>
        <w:overflowPunct/>
        <w:topLinePunct w:val="0"/>
        <w:autoSpaceDE/>
        <w:autoSpaceDN/>
        <w:bidi w:val="0"/>
        <w:snapToGrid/>
        <w:spacing w:line="480" w:lineRule="exact"/>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根据</w:t>
      </w:r>
      <w:r>
        <w:rPr>
          <w:rFonts w:hint="eastAsia" w:ascii="宋体" w:hAnsi="宋体" w:eastAsia="宋体" w:cs="宋体"/>
          <w:bCs/>
          <w:color w:val="auto"/>
          <w:sz w:val="21"/>
          <w:szCs w:val="21"/>
        </w:rPr>
        <w:t>《关于印发中小企业划型标准规定的通知》（</w:t>
      </w:r>
      <w:r>
        <w:rPr>
          <w:rFonts w:hint="eastAsia" w:ascii="宋体" w:hAnsi="宋体" w:eastAsia="宋体" w:cs="宋体"/>
          <w:color w:val="auto"/>
          <w:sz w:val="21"/>
          <w:szCs w:val="21"/>
        </w:rPr>
        <w:t>工信部联企业〔2011〕300号</w:t>
      </w:r>
      <w:r>
        <w:rPr>
          <w:rFonts w:hint="eastAsia" w:ascii="宋体" w:hAnsi="宋体" w:eastAsia="宋体" w:cs="宋体"/>
          <w:bCs/>
          <w:color w:val="auto"/>
          <w:sz w:val="21"/>
          <w:szCs w:val="21"/>
        </w:rPr>
        <w:t>）中小企业划型标准规定节选：</w:t>
      </w:r>
    </w:p>
    <w:p w14:paraId="7CF6E92B">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各行业划型标准为：</w:t>
      </w:r>
    </w:p>
    <w:p w14:paraId="595178D2">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（一）农、林、牧、渔业。营业收入20000万元以下的为中小微型企业。其中，营业收入500万元及以上的为中型企业，营业收入50万元及以上的为小型企业，营业收入50万元以下的为微型企业。</w:t>
      </w:r>
    </w:p>
    <w:p w14:paraId="42A3E440">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1361BEF">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EE8897B">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22B315">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E65150D">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EB42E7B">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5F61A06">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922DC98">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07F6D4">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AF09A12">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36CD4F7">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C1B05D6">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pacing w:val="-6"/>
          <w:sz w:val="21"/>
          <w:szCs w:val="21"/>
          <w:lang w:eastAsia="zh-CN"/>
        </w:rPr>
      </w:pPr>
      <w:r>
        <w:rPr>
          <w:rFonts w:hint="eastAsia" w:ascii="宋体" w:hAnsi="宋体" w:eastAsia="宋体" w:cs="宋体"/>
          <w:color w:val="auto"/>
          <w:sz w:val="21"/>
          <w:szCs w:val="21"/>
        </w:rPr>
        <w:t>（十三）房地产开发经营。营业收入200000万元以下或资产总额10000万元以下的为中小微型企业。其中，</w:t>
      </w:r>
      <w:r>
        <w:rPr>
          <w:rFonts w:hint="eastAsia" w:ascii="宋体" w:hAnsi="宋体" w:eastAsia="宋体" w:cs="宋体"/>
          <w:color w:val="auto"/>
          <w:spacing w:val="-6"/>
          <w:sz w:val="21"/>
          <w:szCs w:val="21"/>
        </w:rPr>
        <w:t>营业收入1000万元及以上，且资产总额5000万元及以上的为中型企业；营业收入100万元及以上，且资产总额2000万元及以上的为小型企业；营业收入100万元以下或资产总额2000万元以下的为微型企业。</w:t>
      </w:r>
    </w:p>
    <w:p w14:paraId="3C7EAD76">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7E0D189">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832809D">
      <w:pPr>
        <w:keepNext w:val="0"/>
        <w:keepLines w:val="0"/>
        <w:pageBreakBefore w:val="0"/>
        <w:widowControl w:val="0"/>
        <w:kinsoku/>
        <w:wordWrap/>
        <w:overflowPunct/>
        <w:topLinePunct w:val="0"/>
        <w:autoSpaceDE/>
        <w:autoSpaceDN/>
        <w:bidi w:val="0"/>
        <w:snapToGrid/>
        <w:spacing w:line="480" w:lineRule="exact"/>
        <w:ind w:firstLine="420" w:firstLineChars="200"/>
        <w:jc w:val="left"/>
        <w:textAlignment w:val="auto"/>
        <w:rPr>
          <w:rFonts w:hint="eastAsia" w:hAnsi="宋体"/>
          <w:b/>
          <w:color w:val="auto"/>
          <w:sz w:val="28"/>
          <w:szCs w:val="28"/>
        </w:rPr>
      </w:pPr>
      <w:r>
        <w:rPr>
          <w:rFonts w:hint="eastAsia" w:ascii="宋体" w:hAnsi="宋体" w:eastAsia="宋体" w:cs="宋体"/>
          <w:color w:val="auto"/>
          <w:sz w:val="21"/>
          <w:szCs w:val="21"/>
        </w:rPr>
        <w:t>（十六）其他未列明行业。从业人员300人以下的为中小微型企业。其中，从业人员100人及以上的为中型企业；从业人员10人及以上的为小型企业；从业人员10人以下的为微型企业。</w:t>
      </w:r>
    </w:p>
    <w:p w14:paraId="2B9D74BE">
      <w:pPr>
        <w:keepNext w:val="0"/>
        <w:keepLines w:val="0"/>
        <w:pageBreakBefore w:val="0"/>
        <w:widowControl w:val="0"/>
        <w:kinsoku/>
        <w:wordWrap/>
        <w:overflowPunct/>
        <w:topLinePunct w:val="0"/>
        <w:autoSpaceDE/>
        <w:autoSpaceDN/>
        <w:bidi w:val="0"/>
        <w:snapToGrid/>
        <w:spacing w:line="480" w:lineRule="exact"/>
        <w:ind w:firstLine="562" w:firstLineChars="200"/>
        <w:jc w:val="center"/>
        <w:textAlignment w:val="auto"/>
        <w:rPr>
          <w:rFonts w:hint="eastAsia" w:ascii="宋体" w:hAnsi="宋体" w:cs="宋体"/>
          <w:b/>
          <w:bCs/>
          <w:color w:val="auto"/>
          <w:kern w:val="2"/>
          <w:sz w:val="28"/>
          <w:szCs w:val="28"/>
          <w:lang w:val="en-US" w:eastAsia="zh-CN" w:bidi="ar-SA"/>
        </w:rPr>
      </w:pPr>
    </w:p>
    <w:p w14:paraId="349FD397">
      <w:pPr>
        <w:keepNext w:val="0"/>
        <w:keepLines w:val="0"/>
        <w:pageBreakBefore w:val="0"/>
        <w:widowControl w:val="0"/>
        <w:kinsoku/>
        <w:wordWrap/>
        <w:overflowPunct/>
        <w:topLinePunct w:val="0"/>
        <w:autoSpaceDE/>
        <w:autoSpaceDN/>
        <w:bidi w:val="0"/>
        <w:snapToGrid/>
        <w:spacing w:line="480" w:lineRule="exact"/>
        <w:ind w:firstLine="562" w:firstLineChars="200"/>
        <w:jc w:val="center"/>
        <w:textAlignment w:val="auto"/>
        <w:rPr>
          <w:rFonts w:hint="eastAsia" w:ascii="宋体" w:hAnsi="宋体" w:cs="宋体"/>
          <w:b/>
          <w:bCs/>
          <w:color w:val="auto"/>
          <w:kern w:val="2"/>
          <w:sz w:val="28"/>
          <w:szCs w:val="28"/>
          <w:lang w:val="en-US" w:eastAsia="zh-CN" w:bidi="ar-SA"/>
        </w:rPr>
      </w:pPr>
      <w:r>
        <w:rPr>
          <w:rFonts w:hint="eastAsia" w:ascii="宋体" w:hAnsi="宋体" w:cs="宋体"/>
          <w:b/>
          <w:bCs/>
          <w:color w:val="auto"/>
          <w:kern w:val="2"/>
          <w:sz w:val="28"/>
          <w:szCs w:val="28"/>
          <w:lang w:val="en-US" w:eastAsia="zh-CN" w:bidi="ar-SA"/>
        </w:rPr>
        <w:br w:type="page"/>
      </w:r>
      <w:r>
        <w:rPr>
          <w:rFonts w:hint="eastAsia" w:ascii="宋体" w:hAnsi="宋体" w:cs="宋体"/>
          <w:b/>
          <w:bCs/>
          <w:color w:val="auto"/>
          <w:kern w:val="2"/>
          <w:sz w:val="28"/>
          <w:szCs w:val="28"/>
          <w:lang w:val="en-US" w:eastAsia="zh-CN" w:bidi="ar-SA"/>
        </w:rPr>
        <w:t>（九）残疾人福利性单位声明函</w:t>
      </w:r>
      <w:bookmarkEnd w:id="880"/>
    </w:p>
    <w:p w14:paraId="0497EEC7">
      <w:pPr>
        <w:pageBreakBefore w:val="0"/>
        <w:kinsoku/>
        <w:wordWrap/>
        <w:overflowPunct/>
        <w:topLinePunct w:val="0"/>
        <w:autoSpaceDE/>
        <w:autoSpaceDN/>
        <w:bidi w:val="0"/>
        <w:adjustRightInd/>
        <w:snapToGrid/>
        <w:spacing w:line="520" w:lineRule="exact"/>
        <w:ind w:firstLine="624" w:firstLineChars="200"/>
        <w:textAlignment w:val="auto"/>
        <w:rPr>
          <w:rFonts w:hint="eastAsia" w:ascii="仿宋" w:hAnsi="仿宋" w:eastAsia="仿宋" w:cs="仿宋"/>
          <w:color w:val="auto"/>
          <w:spacing w:val="6"/>
          <w:sz w:val="30"/>
          <w:szCs w:val="30"/>
        </w:rPr>
      </w:pPr>
    </w:p>
    <w:p w14:paraId="22D2B6A9">
      <w:pPr>
        <w:pageBreakBefore w:val="0"/>
        <w:kinsoku/>
        <w:wordWrap/>
        <w:overflowPunct/>
        <w:topLinePunct w:val="0"/>
        <w:autoSpaceDE/>
        <w:autoSpaceDN/>
        <w:bidi w:val="0"/>
        <w:adjustRightInd/>
        <w:snapToGrid/>
        <w:spacing w:line="520" w:lineRule="exact"/>
        <w:ind w:firstLine="444" w:firstLineChars="200"/>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本单位郑重声明，根据《财政部民政部中国残疾人联合会关于促进残疾人就业政府采购政策的通知》（财库</w:t>
      </w:r>
      <w:r>
        <w:rPr>
          <w:rFonts w:hint="eastAsia" w:ascii="宋体" w:hAnsi="宋体" w:eastAsia="宋体" w:cs="宋体"/>
          <w:color w:val="auto"/>
          <w:sz w:val="21"/>
          <w:szCs w:val="21"/>
        </w:rPr>
        <w:t>〔2017〕 141</w:t>
      </w:r>
      <w:r>
        <w:rPr>
          <w:rFonts w:hint="eastAsia" w:ascii="宋体" w:hAnsi="宋体" w:eastAsia="宋体" w:cs="宋体"/>
          <w:color w:val="auto"/>
          <w:spacing w:val="6"/>
          <w:sz w:val="21"/>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74DC062">
      <w:pPr>
        <w:pageBreakBefore w:val="0"/>
        <w:kinsoku/>
        <w:wordWrap/>
        <w:overflowPunct/>
        <w:topLinePunct w:val="0"/>
        <w:autoSpaceDE/>
        <w:autoSpaceDN/>
        <w:bidi w:val="0"/>
        <w:adjustRightInd/>
        <w:snapToGrid/>
        <w:spacing w:line="520" w:lineRule="exact"/>
        <w:ind w:firstLine="444" w:firstLineChars="200"/>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本单位对上述声明的真实性负责。如有虚假，将依法承担相应责任。</w:t>
      </w:r>
    </w:p>
    <w:p w14:paraId="104DCBE8">
      <w:pPr>
        <w:spacing w:line="360" w:lineRule="auto"/>
        <w:ind w:firstLine="422" w:firstLineChars="200"/>
        <w:rPr>
          <w:rFonts w:hint="eastAsia" w:ascii="宋体" w:hAnsi="宋体"/>
          <w:color w:val="auto"/>
          <w:szCs w:val="21"/>
        </w:rPr>
      </w:pPr>
      <w:r>
        <w:rPr>
          <w:rFonts w:hint="eastAsia"/>
          <w:b/>
          <w:color w:val="auto"/>
          <w:szCs w:val="21"/>
        </w:rPr>
        <w:t>注：以联合体形式参加磋商的，联合体各成员单位均需提供。</w:t>
      </w:r>
    </w:p>
    <w:p w14:paraId="3F4EC196">
      <w:pPr>
        <w:pageBreakBefore w:val="0"/>
        <w:kinsoku/>
        <w:wordWrap/>
        <w:overflowPunct/>
        <w:topLinePunct w:val="0"/>
        <w:autoSpaceDE/>
        <w:autoSpaceDN/>
        <w:bidi w:val="0"/>
        <w:adjustRightInd/>
        <w:snapToGrid/>
        <w:spacing w:line="520" w:lineRule="exact"/>
        <w:ind w:firstLine="444" w:firstLineChars="200"/>
        <w:textAlignment w:val="auto"/>
        <w:rPr>
          <w:rFonts w:hint="eastAsia" w:ascii="宋体" w:hAnsi="宋体" w:eastAsia="宋体" w:cs="宋体"/>
          <w:color w:val="auto"/>
          <w:spacing w:val="6"/>
          <w:sz w:val="21"/>
          <w:szCs w:val="21"/>
        </w:rPr>
      </w:pPr>
    </w:p>
    <w:p w14:paraId="0ACDDCE6">
      <w:pPr>
        <w:pageBreakBefore w:val="0"/>
        <w:kinsoku/>
        <w:wordWrap/>
        <w:overflowPunct/>
        <w:topLinePunct w:val="0"/>
        <w:autoSpaceDE/>
        <w:autoSpaceDN/>
        <w:bidi w:val="0"/>
        <w:adjustRightInd/>
        <w:snapToGrid/>
        <w:spacing w:line="520" w:lineRule="exact"/>
        <w:ind w:firstLine="444" w:firstLineChars="200"/>
        <w:textAlignment w:val="auto"/>
        <w:rPr>
          <w:rFonts w:hint="eastAsia" w:ascii="宋体" w:hAnsi="宋体" w:eastAsia="宋体" w:cs="宋体"/>
          <w:color w:val="auto"/>
          <w:spacing w:val="6"/>
          <w:sz w:val="21"/>
          <w:szCs w:val="21"/>
        </w:rPr>
      </w:pPr>
    </w:p>
    <w:p w14:paraId="0385415C">
      <w:pPr>
        <w:pageBreakBefore w:val="0"/>
        <w:tabs>
          <w:tab w:val="left" w:pos="4860"/>
        </w:tabs>
        <w:kinsoku/>
        <w:wordWrap/>
        <w:overflowPunct/>
        <w:topLinePunct w:val="0"/>
        <w:autoSpaceDE/>
        <w:autoSpaceDN/>
        <w:bidi w:val="0"/>
        <w:adjustRightInd/>
        <w:snapToGrid/>
        <w:spacing w:line="520" w:lineRule="exact"/>
        <w:ind w:right="1560" w:firstLine="444" w:firstLineChars="20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单位名称（</w:t>
      </w:r>
      <w:r>
        <w:rPr>
          <w:rFonts w:hint="eastAsia" w:ascii="宋体" w:hAnsi="宋体" w:eastAsia="宋体" w:cs="宋体"/>
          <w:color w:val="auto"/>
          <w:spacing w:val="6"/>
          <w:sz w:val="21"/>
          <w:szCs w:val="21"/>
          <w:lang w:eastAsia="zh-CN"/>
        </w:rPr>
        <w:t>签</w:t>
      </w:r>
      <w:r>
        <w:rPr>
          <w:rFonts w:hint="eastAsia" w:ascii="宋体" w:hAnsi="宋体" w:eastAsia="宋体" w:cs="宋体"/>
          <w:color w:val="auto"/>
          <w:spacing w:val="6"/>
          <w:sz w:val="21"/>
          <w:szCs w:val="21"/>
        </w:rPr>
        <w:t>章）：</w:t>
      </w:r>
    </w:p>
    <w:p w14:paraId="5A920EB8">
      <w:pPr>
        <w:pageBreakBefore w:val="0"/>
        <w:tabs>
          <w:tab w:val="left" w:pos="4860"/>
        </w:tabs>
        <w:kinsoku/>
        <w:wordWrap/>
        <w:overflowPunct/>
        <w:topLinePunct w:val="0"/>
        <w:autoSpaceDE/>
        <w:autoSpaceDN/>
        <w:bidi w:val="0"/>
        <w:adjustRightInd/>
        <w:snapToGrid/>
        <w:spacing w:line="520" w:lineRule="exact"/>
        <w:ind w:right="1560" w:firstLine="444" w:firstLineChars="200"/>
        <w:jc w:val="center"/>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日期：</w:t>
      </w:r>
    </w:p>
    <w:p w14:paraId="59230307">
      <w:pPr>
        <w:pageBreakBefore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pacing w:val="6"/>
          <w:sz w:val="21"/>
          <w:szCs w:val="21"/>
        </w:rPr>
      </w:pPr>
    </w:p>
    <w:p w14:paraId="22E88B78">
      <w:pPr>
        <w:pageBreakBefore w:val="0"/>
        <w:kinsoku/>
        <w:wordWrap/>
        <w:overflowPunct/>
        <w:topLinePunct w:val="0"/>
        <w:autoSpaceDE/>
        <w:autoSpaceDN/>
        <w:bidi w:val="0"/>
        <w:adjustRightInd/>
        <w:snapToGrid/>
        <w:spacing w:line="520" w:lineRule="exact"/>
        <w:ind w:firstLine="444" w:firstLineChars="200"/>
        <w:textAlignment w:val="auto"/>
        <w:rPr>
          <w:rFonts w:hint="eastAsia" w:ascii="宋体" w:hAnsi="宋体" w:eastAsia="宋体" w:cs="宋体"/>
          <w:color w:val="auto"/>
          <w:spacing w:val="6"/>
          <w:sz w:val="21"/>
          <w:szCs w:val="21"/>
        </w:rPr>
      </w:pPr>
    </w:p>
    <w:p w14:paraId="3C83DE3C">
      <w:pPr>
        <w:pageBreakBefore w:val="0"/>
        <w:widowControl/>
        <w:kinsoku/>
        <w:wordWrap/>
        <w:overflowPunct/>
        <w:topLinePunct w:val="0"/>
        <w:autoSpaceDE/>
        <w:autoSpaceDN/>
        <w:bidi w:val="0"/>
        <w:adjustRightInd/>
        <w:snapToGrid/>
        <w:spacing w:line="520" w:lineRule="exact"/>
        <w:textAlignment w:val="auto"/>
        <w:rPr>
          <w:rFonts w:ascii="宋体"/>
          <w:b/>
          <w:color w:val="auto"/>
          <w:sz w:val="28"/>
          <w:szCs w:val="28"/>
        </w:rPr>
      </w:pPr>
    </w:p>
    <w:p w14:paraId="30C26796">
      <w:pPr>
        <w:pStyle w:val="30"/>
        <w:rPr>
          <w:rFonts w:ascii="宋体"/>
          <w:b/>
          <w:color w:val="auto"/>
          <w:sz w:val="28"/>
          <w:szCs w:val="28"/>
        </w:rPr>
      </w:pPr>
    </w:p>
    <w:p w14:paraId="449CE7AD">
      <w:pPr>
        <w:pStyle w:val="30"/>
        <w:rPr>
          <w:rFonts w:ascii="宋体"/>
          <w:b/>
          <w:color w:val="auto"/>
          <w:sz w:val="28"/>
          <w:szCs w:val="28"/>
        </w:rPr>
      </w:pPr>
    </w:p>
    <w:p w14:paraId="5C36CF9E">
      <w:pPr>
        <w:pStyle w:val="30"/>
        <w:rPr>
          <w:rFonts w:ascii="宋体"/>
          <w:b/>
          <w:color w:val="auto"/>
          <w:sz w:val="28"/>
          <w:szCs w:val="28"/>
        </w:rPr>
      </w:pPr>
    </w:p>
    <w:p w14:paraId="18309881">
      <w:pPr>
        <w:pStyle w:val="30"/>
        <w:rPr>
          <w:rFonts w:ascii="宋体"/>
          <w:b/>
          <w:color w:val="auto"/>
          <w:sz w:val="28"/>
          <w:szCs w:val="28"/>
        </w:rPr>
      </w:pPr>
    </w:p>
    <w:p w14:paraId="698D0450">
      <w:pPr>
        <w:pStyle w:val="30"/>
        <w:rPr>
          <w:rFonts w:ascii="宋体"/>
          <w:b/>
          <w:color w:val="auto"/>
          <w:sz w:val="28"/>
          <w:szCs w:val="28"/>
        </w:rPr>
      </w:pPr>
    </w:p>
    <w:p w14:paraId="6051E187">
      <w:pPr>
        <w:pStyle w:val="30"/>
        <w:rPr>
          <w:rFonts w:ascii="宋体"/>
          <w:b/>
          <w:color w:val="auto"/>
          <w:sz w:val="28"/>
          <w:szCs w:val="28"/>
        </w:rPr>
      </w:pPr>
    </w:p>
    <w:p w14:paraId="07E81A89">
      <w:pPr>
        <w:pStyle w:val="3"/>
        <w:spacing w:line="240" w:lineRule="auto"/>
        <w:ind w:left="0" w:leftChars="0" w:firstLine="0" w:firstLineChars="0"/>
        <w:jc w:val="center"/>
        <w:rPr>
          <w:rFonts w:ascii="宋体"/>
          <w:b/>
          <w:color w:val="auto"/>
          <w:sz w:val="28"/>
          <w:szCs w:val="28"/>
        </w:rPr>
      </w:pPr>
    </w:p>
    <w:p w14:paraId="18B045D9">
      <w:pPr>
        <w:pStyle w:val="30"/>
        <w:rPr>
          <w:rFonts w:ascii="宋体"/>
          <w:b/>
          <w:color w:val="auto"/>
          <w:sz w:val="28"/>
          <w:szCs w:val="28"/>
        </w:rPr>
      </w:pPr>
    </w:p>
    <w:p w14:paraId="03E03DFA">
      <w:pPr>
        <w:pStyle w:val="3"/>
        <w:spacing w:line="240" w:lineRule="auto"/>
        <w:ind w:left="0" w:leftChars="0" w:firstLine="0" w:firstLineChars="0"/>
        <w:jc w:val="center"/>
        <w:rPr>
          <w:rFonts w:hint="eastAsia" w:ascii="宋体" w:hAnsi="宋体" w:eastAsia="宋体" w:cs="宋体"/>
          <w:b/>
          <w:bCs/>
          <w:color w:val="auto"/>
          <w:kern w:val="2"/>
          <w:sz w:val="28"/>
          <w:szCs w:val="28"/>
          <w:lang w:val="en-US" w:eastAsia="zh-CN" w:bidi="ar-SA"/>
        </w:rPr>
      </w:pPr>
      <w:bookmarkStart w:id="881" w:name="_Toc3824"/>
      <w:r>
        <w:rPr>
          <w:rFonts w:hint="eastAsia" w:ascii="宋体" w:hAnsi="宋体" w:eastAsia="宋体" w:cs="宋体"/>
          <w:b/>
          <w:bCs/>
          <w:color w:val="auto"/>
          <w:kern w:val="2"/>
          <w:sz w:val="28"/>
          <w:szCs w:val="28"/>
          <w:lang w:val="en-US" w:eastAsia="zh-CN" w:bidi="ar-SA"/>
        </w:rPr>
        <w:br w:type="page"/>
      </w:r>
      <w:r>
        <w:rPr>
          <w:rFonts w:hint="eastAsia" w:ascii="宋体" w:hAnsi="宋体" w:eastAsia="宋体" w:cs="宋体"/>
          <w:b/>
          <w:bCs/>
          <w:color w:val="auto"/>
          <w:kern w:val="2"/>
          <w:sz w:val="28"/>
          <w:szCs w:val="28"/>
          <w:lang w:val="en-US" w:eastAsia="zh-CN" w:bidi="ar-SA"/>
        </w:rPr>
        <w:t>（十）监狱企业证明文件</w:t>
      </w:r>
      <w:bookmarkEnd w:id="881"/>
    </w:p>
    <w:p w14:paraId="0E02E743">
      <w:pPr>
        <w:pageBreakBefore w:val="0"/>
        <w:kinsoku/>
        <w:wordWrap/>
        <w:overflowPunct/>
        <w:topLinePunct w:val="0"/>
        <w:bidi w:val="0"/>
        <w:snapToGrid/>
        <w:spacing w:line="520" w:lineRule="exact"/>
        <w:ind w:firstLine="420" w:firstLineChars="200"/>
        <w:jc w:val="left"/>
        <w:textAlignment w:val="auto"/>
        <w:rPr>
          <w:rFonts w:hint="eastAsia" w:ascii="宋体" w:hAnsi="宋体"/>
          <w:color w:val="auto"/>
          <w:szCs w:val="21"/>
        </w:rPr>
      </w:pPr>
    </w:p>
    <w:p w14:paraId="625D9BCD">
      <w:pPr>
        <w:pageBreakBefore w:val="0"/>
        <w:kinsoku/>
        <w:wordWrap/>
        <w:overflowPunct/>
        <w:topLinePunct w:val="0"/>
        <w:bidi w:val="0"/>
        <w:snapToGrid/>
        <w:spacing w:line="520" w:lineRule="exac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9A1AB05">
      <w:pPr>
        <w:pageBreakBefore w:val="0"/>
        <w:kinsoku/>
        <w:wordWrap/>
        <w:overflowPunct/>
        <w:topLinePunct w:val="0"/>
        <w:bidi w:val="0"/>
        <w:snapToGrid/>
        <w:spacing w:line="520" w:lineRule="exact"/>
        <w:ind w:firstLine="315" w:firstLineChars="15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监狱企业参加政府采购活动时，应当提供由省级以上监狱管理局、戒毒管理局（含新疆生产建设兵团）出具的属于监狱企业的证明文件。</w:t>
      </w:r>
    </w:p>
    <w:p w14:paraId="468BBE04">
      <w:pPr>
        <w:pageBreakBefore w:val="0"/>
        <w:kinsoku/>
        <w:wordWrap/>
        <w:overflowPunct/>
        <w:topLinePunct w:val="0"/>
        <w:bidi w:val="0"/>
        <w:snapToGrid/>
        <w:spacing w:line="520" w:lineRule="exact"/>
        <w:ind w:firstLine="315" w:firstLineChars="150"/>
        <w:jc w:val="left"/>
        <w:textAlignment w:val="auto"/>
        <w:rPr>
          <w:rFonts w:hint="eastAsia" w:ascii="宋体" w:hAnsi="宋体" w:eastAsia="宋体" w:cs="宋体"/>
          <w:color w:val="auto"/>
          <w:sz w:val="21"/>
          <w:szCs w:val="21"/>
        </w:rPr>
      </w:pPr>
    </w:p>
    <w:p w14:paraId="0F62446F">
      <w:pPr>
        <w:spacing w:line="360" w:lineRule="auto"/>
        <w:ind w:firstLine="2" w:firstLineChars="1"/>
        <w:rPr>
          <w:rFonts w:hint="eastAsia" w:ascii="宋体" w:hAnsi="宋体"/>
          <w:color w:val="auto"/>
          <w:szCs w:val="21"/>
        </w:rPr>
      </w:pPr>
      <w:r>
        <w:rPr>
          <w:rFonts w:hint="eastAsia"/>
          <w:b/>
          <w:color w:val="auto"/>
          <w:szCs w:val="21"/>
        </w:rPr>
        <w:t>注：以联合体形式参加磋商的，联合体各成员单位均需提供。</w:t>
      </w:r>
    </w:p>
    <w:p w14:paraId="01E642E6">
      <w:pPr>
        <w:pageBreakBefore w:val="0"/>
        <w:kinsoku/>
        <w:wordWrap/>
        <w:overflowPunct/>
        <w:topLinePunct w:val="0"/>
        <w:bidi w:val="0"/>
        <w:snapToGrid/>
        <w:spacing w:line="520" w:lineRule="exact"/>
        <w:ind w:firstLine="315" w:firstLineChars="150"/>
        <w:jc w:val="left"/>
        <w:textAlignment w:val="auto"/>
        <w:rPr>
          <w:rFonts w:hint="eastAsia" w:ascii="宋体" w:hAnsi="宋体" w:eastAsia="宋体" w:cs="宋体"/>
          <w:color w:val="auto"/>
          <w:sz w:val="21"/>
          <w:szCs w:val="21"/>
          <w:lang w:eastAsia="zh-CN"/>
        </w:rPr>
        <w:sectPr>
          <w:headerReference r:id="rId12" w:type="default"/>
          <w:footerReference r:id="rId13" w:type="default"/>
          <w:pgSz w:w="11906" w:h="16838"/>
          <w:pgMar w:top="1440" w:right="1083" w:bottom="1440" w:left="1083" w:header="1134" w:footer="1134" w:gutter="0"/>
          <w:pgNumType w:fmt="decimal"/>
          <w:cols w:space="0" w:num="1"/>
          <w:rtlGutter w:val="0"/>
          <w:docGrid w:linePitch="317" w:charSpace="0"/>
        </w:sectPr>
      </w:pPr>
    </w:p>
    <w:bookmarkEnd w:id="877"/>
    <w:bookmarkEnd w:id="878"/>
    <w:bookmarkEnd w:id="879"/>
    <w:p w14:paraId="3B35CA15">
      <w:pPr>
        <w:pStyle w:val="3"/>
        <w:spacing w:line="240" w:lineRule="auto"/>
        <w:ind w:left="0" w:leftChars="0" w:firstLine="0" w:firstLineChars="0"/>
        <w:jc w:val="center"/>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w:t>
      </w:r>
      <w:r>
        <w:rPr>
          <w:rFonts w:hint="eastAsia" w:ascii="宋体" w:eastAsia="宋体" w:cs="宋体"/>
          <w:b/>
          <w:bCs/>
          <w:color w:val="auto"/>
          <w:kern w:val="2"/>
          <w:sz w:val="28"/>
          <w:szCs w:val="28"/>
          <w:lang w:val="en-US" w:eastAsia="zh-CN" w:bidi="ar-SA"/>
        </w:rPr>
        <w:t>十一</w:t>
      </w:r>
      <w:r>
        <w:rPr>
          <w:rFonts w:hint="eastAsia" w:ascii="宋体" w:hAnsi="宋体" w:eastAsia="宋体" w:cs="宋体"/>
          <w:b/>
          <w:bCs/>
          <w:color w:val="auto"/>
          <w:kern w:val="2"/>
          <w:sz w:val="28"/>
          <w:szCs w:val="28"/>
          <w:lang w:val="en-US" w:eastAsia="zh-CN" w:bidi="ar-SA"/>
        </w:rPr>
        <w:t>）磋商申请人认为需求提供的其它资格证材料</w:t>
      </w:r>
    </w:p>
    <w:p w14:paraId="74C2BCF1">
      <w:pPr>
        <w:pStyle w:val="3"/>
        <w:spacing w:line="240" w:lineRule="auto"/>
        <w:ind w:left="0" w:leftChars="0" w:firstLine="0" w:firstLineChars="0"/>
        <w:jc w:val="both"/>
        <w:rPr>
          <w:rFonts w:ascii="宋体" w:hAnsi="宋体" w:eastAsia="宋体"/>
          <w:color w:val="auto"/>
          <w:sz w:val="21"/>
          <w:szCs w:val="21"/>
        </w:rPr>
      </w:pPr>
      <w:r>
        <w:rPr>
          <w:rFonts w:hint="eastAsia" w:ascii="宋体" w:hAnsi="宋体" w:eastAsia="宋体" w:cs="宋体"/>
          <w:b w:val="0"/>
          <w:color w:val="auto"/>
          <w:kern w:val="2"/>
          <w:sz w:val="21"/>
          <w:szCs w:val="21"/>
          <w:lang w:val="en-US" w:eastAsia="zh-CN" w:bidi="ar-SA"/>
        </w:rPr>
        <w:br w:type="page"/>
      </w:r>
      <w:r>
        <w:rPr>
          <w:rFonts w:hint="eastAsia" w:ascii="宋体" w:hAnsi="宋体" w:eastAsia="宋体"/>
          <w:b/>
          <w:bCs/>
          <w:color w:val="auto"/>
          <w:kern w:val="2"/>
          <w:sz w:val="21"/>
          <w:szCs w:val="21"/>
          <w:lang w:val="en-US" w:eastAsia="zh-CN" w:bidi="ar-SA"/>
        </w:rPr>
        <w:t>二、磋商函</w:t>
      </w:r>
      <w:bookmarkEnd w:id="866"/>
      <w:r>
        <w:rPr>
          <w:rFonts w:hint="eastAsia" w:ascii="宋体" w:hAnsi="宋体" w:eastAsia="宋体"/>
          <w:b/>
          <w:bCs/>
          <w:color w:val="auto"/>
          <w:kern w:val="2"/>
          <w:sz w:val="21"/>
          <w:szCs w:val="21"/>
          <w:lang w:val="en-US" w:eastAsia="zh-CN" w:bidi="ar-SA"/>
        </w:rPr>
        <w:t>部分</w:t>
      </w:r>
      <w:bookmarkEnd w:id="867"/>
    </w:p>
    <w:p w14:paraId="2D0E6C05">
      <w:pPr>
        <w:pStyle w:val="3"/>
        <w:spacing w:line="240" w:lineRule="auto"/>
        <w:ind w:left="0" w:leftChars="0" w:firstLine="0" w:firstLineChars="0"/>
        <w:jc w:val="center"/>
        <w:rPr>
          <w:rFonts w:hint="eastAsia" w:ascii="宋体" w:hAnsi="宋体" w:eastAsia="宋体" w:cs="宋体"/>
          <w:b/>
          <w:bCs/>
          <w:color w:val="auto"/>
          <w:kern w:val="2"/>
          <w:sz w:val="28"/>
          <w:szCs w:val="28"/>
          <w:lang w:val="en-US" w:eastAsia="zh-CN" w:bidi="ar-SA"/>
        </w:rPr>
      </w:pPr>
      <w:bookmarkStart w:id="882" w:name="_Toc59034541"/>
      <w:r>
        <w:rPr>
          <w:rFonts w:hint="eastAsia" w:ascii="宋体" w:hAnsi="宋体" w:eastAsia="宋体" w:cs="宋体"/>
          <w:b/>
          <w:bCs/>
          <w:color w:val="auto"/>
          <w:kern w:val="2"/>
          <w:sz w:val="28"/>
          <w:szCs w:val="28"/>
          <w:lang w:val="en-US" w:eastAsia="zh-CN" w:bidi="ar-SA"/>
        </w:rPr>
        <w:t>（一）</w:t>
      </w:r>
      <w:bookmarkEnd w:id="882"/>
      <w:r>
        <w:rPr>
          <w:rFonts w:hint="eastAsia" w:ascii="宋体" w:hAnsi="宋体" w:eastAsia="宋体" w:cs="宋体"/>
          <w:b/>
          <w:bCs/>
          <w:color w:val="auto"/>
          <w:kern w:val="2"/>
          <w:sz w:val="28"/>
          <w:szCs w:val="28"/>
          <w:lang w:val="en-US" w:eastAsia="zh-CN" w:bidi="ar-SA"/>
        </w:rPr>
        <w:t>磋商函</w:t>
      </w:r>
    </w:p>
    <w:p w14:paraId="52E70811">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（采购人</w:t>
      </w:r>
      <w:r>
        <w:rPr>
          <w:rFonts w:hint="eastAsia" w:ascii="宋体" w:hAnsi="宋体" w:eastAsia="宋体" w:cs="宋体"/>
          <w:color w:val="auto"/>
          <w:sz w:val="21"/>
          <w:szCs w:val="21"/>
          <w:u w:val="single"/>
        </w:rPr>
        <w:t>名称</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 xml:space="preserve">   </w:t>
      </w:r>
    </w:p>
    <w:p w14:paraId="1AF7D582">
      <w:pPr>
        <w:pStyle w:val="15"/>
        <w:keepNext w:val="0"/>
        <w:keepLines w:val="0"/>
        <w:pageBreakBefore w:val="0"/>
        <w:widowControl w:val="0"/>
        <w:kinsoku/>
        <w:wordWrap/>
        <w:overflowPunct/>
        <w:topLinePunct w:val="0"/>
        <w:autoSpaceDE/>
        <w:autoSpaceDN/>
        <w:bidi w:val="0"/>
        <w:adjustRightInd/>
        <w:snapToGrid/>
        <w:spacing w:line="520" w:lineRule="exact"/>
        <w:ind w:left="-2" w:leftChars="-1" w:firstLine="1"/>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1、根据你方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（项目</w:t>
      </w:r>
      <w:r>
        <w:rPr>
          <w:rFonts w:hint="eastAsia" w:ascii="宋体" w:hAnsi="宋体" w:eastAsia="宋体" w:cs="宋体"/>
          <w:color w:val="auto"/>
          <w:sz w:val="21"/>
          <w:szCs w:val="21"/>
          <w:u w:val="single"/>
        </w:rPr>
        <w:t>名称</w:t>
      </w:r>
      <w:r>
        <w:rPr>
          <w:rFonts w:hint="eastAsia" w:ascii="宋体" w:hAnsi="宋体" w:eastAsia="宋体" w:cs="宋体"/>
          <w:color w:val="auto"/>
          <w:sz w:val="21"/>
          <w:szCs w:val="21"/>
          <w:u w:val="single"/>
          <w:lang w:eastAsia="zh-CN"/>
        </w:rPr>
        <w:t>）</w:t>
      </w:r>
      <w:r>
        <w:rPr>
          <w:rFonts w:hint="eastAsia" w:ascii="宋体" w:hAnsi="宋体" w:eastAsia="宋体" w:cs="宋体"/>
          <w:b/>
          <w:color w:val="auto"/>
          <w:sz w:val="21"/>
          <w:szCs w:val="21"/>
          <w:u w:val="single"/>
        </w:rPr>
        <w:t xml:space="preserve">   </w:t>
      </w:r>
      <w:r>
        <w:rPr>
          <w:rFonts w:hint="eastAsia" w:ascii="宋体" w:hAnsi="宋体" w:eastAsia="宋体" w:cs="宋体"/>
          <w:color w:val="auto"/>
          <w:sz w:val="21"/>
          <w:szCs w:val="21"/>
        </w:rPr>
        <w:t>项目</w:t>
      </w:r>
      <w:r>
        <w:rPr>
          <w:rFonts w:hint="eastAsia" w:cs="宋体"/>
          <w:color w:val="auto"/>
          <w:sz w:val="21"/>
          <w:szCs w:val="21"/>
          <w:lang w:eastAsia="zh-CN"/>
        </w:rPr>
        <w:t>磋商文件</w:t>
      </w:r>
      <w:r>
        <w:rPr>
          <w:rFonts w:hint="eastAsia" w:ascii="宋体" w:hAnsi="宋体" w:eastAsia="宋体" w:cs="宋体"/>
          <w:color w:val="auto"/>
          <w:sz w:val="21"/>
          <w:szCs w:val="21"/>
        </w:rPr>
        <w:t>，遵照《中华人民共和国</w:t>
      </w:r>
      <w:r>
        <w:rPr>
          <w:rFonts w:hint="eastAsia" w:ascii="宋体" w:hAnsi="宋体" w:eastAsia="宋体" w:cs="宋体"/>
          <w:color w:val="auto"/>
          <w:sz w:val="21"/>
          <w:szCs w:val="21"/>
          <w:lang w:eastAsia="zh-CN"/>
        </w:rPr>
        <w:t>政府采购法</w:t>
      </w:r>
      <w:r>
        <w:rPr>
          <w:rFonts w:hint="eastAsia" w:ascii="宋体" w:hAnsi="宋体" w:eastAsia="宋体" w:cs="宋体"/>
          <w:color w:val="auto"/>
          <w:sz w:val="21"/>
          <w:szCs w:val="21"/>
        </w:rPr>
        <w:t>》等有关规定，经踏勘项目现场和研究上述</w:t>
      </w:r>
      <w:r>
        <w:rPr>
          <w:rFonts w:hint="eastAsia" w:cs="宋体"/>
          <w:color w:val="auto"/>
          <w:sz w:val="21"/>
          <w:szCs w:val="21"/>
          <w:lang w:eastAsia="zh-CN"/>
        </w:rPr>
        <w:t>磋商文件</w:t>
      </w:r>
      <w:r>
        <w:rPr>
          <w:rFonts w:hint="eastAsia" w:ascii="宋体" w:hAnsi="宋体" w:eastAsia="宋体" w:cs="宋体"/>
          <w:color w:val="auto"/>
          <w:sz w:val="21"/>
          <w:szCs w:val="21"/>
        </w:rPr>
        <w:t>的</w:t>
      </w:r>
      <w:r>
        <w:rPr>
          <w:rFonts w:hint="eastAsia" w:ascii="宋体" w:hAnsi="宋体" w:eastAsia="宋体" w:cs="宋体"/>
          <w:color w:val="auto"/>
          <w:sz w:val="21"/>
          <w:szCs w:val="21"/>
          <w:lang w:val="en-US" w:eastAsia="zh-CN"/>
        </w:rPr>
        <w:t>磋商</w:t>
      </w:r>
      <w:r>
        <w:rPr>
          <w:rFonts w:hint="eastAsia" w:ascii="宋体" w:hAnsi="宋体" w:eastAsia="宋体" w:cs="宋体"/>
          <w:color w:val="auto"/>
          <w:sz w:val="21"/>
          <w:szCs w:val="21"/>
          <w:lang w:eastAsia="zh-CN"/>
        </w:rPr>
        <w:t>申请人</w:t>
      </w:r>
      <w:r>
        <w:rPr>
          <w:rFonts w:hint="eastAsia" w:ascii="宋体" w:hAnsi="宋体" w:eastAsia="宋体" w:cs="宋体"/>
          <w:color w:val="auto"/>
          <w:sz w:val="21"/>
          <w:szCs w:val="21"/>
        </w:rPr>
        <w:t>须知、合同条款、工程量</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质量要求及其他有关文件资料后，我方愿以人民币</w:t>
      </w:r>
      <w:r>
        <w:rPr>
          <w:rFonts w:hint="eastAsia" w:ascii="宋体" w:hAnsi="宋体" w:eastAsia="宋体" w:cs="宋体"/>
          <w:color w:val="auto"/>
          <w:sz w:val="21"/>
          <w:szCs w:val="21"/>
          <w:lang w:eastAsia="zh-CN"/>
        </w:rPr>
        <w:t>磋商总价</w:t>
      </w:r>
      <w:r>
        <w:rPr>
          <w:rFonts w:hint="eastAsia" w:ascii="宋体" w:hAnsi="宋体" w:eastAsia="宋体" w:cs="宋体"/>
          <w:color w:val="auto"/>
          <w:sz w:val="21"/>
          <w:szCs w:val="21"/>
        </w:rPr>
        <w:t>(大写</w:t>
      </w:r>
      <w:r>
        <w:rPr>
          <w:rFonts w:hint="eastAsia" w:cs="宋体"/>
          <w:color w:val="auto"/>
          <w:sz w:val="21"/>
          <w:szCs w:val="21"/>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小写：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cs="宋体"/>
          <w:color w:val="auto"/>
          <w:sz w:val="21"/>
          <w:szCs w:val="21"/>
          <w:lang w:eastAsia="zh-CN"/>
        </w:rPr>
        <w:t>进行报</w:t>
      </w:r>
      <w:r>
        <w:rPr>
          <w:rFonts w:hint="eastAsia" w:ascii="宋体" w:hAnsi="宋体" w:eastAsia="宋体" w:cs="宋体"/>
          <w:color w:val="auto"/>
          <w:sz w:val="21"/>
          <w:szCs w:val="21"/>
        </w:rPr>
        <w:t>价，按上述合同条件、技术规范、工程量、质量要求承包上述工程的</w:t>
      </w:r>
      <w:r>
        <w:rPr>
          <w:rFonts w:hint="eastAsia" w:cs="宋体"/>
          <w:color w:val="auto"/>
          <w:sz w:val="21"/>
          <w:szCs w:val="21"/>
          <w:lang w:val="en-US" w:eastAsia="zh-CN"/>
        </w:rPr>
        <w:t>设计、</w:t>
      </w:r>
      <w:r>
        <w:rPr>
          <w:rFonts w:hint="eastAsia" w:ascii="宋体" w:hAnsi="宋体" w:eastAsia="宋体" w:cs="宋体"/>
          <w:color w:val="auto"/>
          <w:sz w:val="21"/>
          <w:szCs w:val="21"/>
        </w:rPr>
        <w:t>施工、竣工，并承担任何质量缺陷保修责任。</w:t>
      </w:r>
    </w:p>
    <w:p w14:paraId="078A8A64">
      <w:pPr>
        <w:keepNext w:val="0"/>
        <w:keepLines w:val="0"/>
        <w:pageBreakBefore w:val="0"/>
        <w:widowControl w:val="0"/>
        <w:kinsoku/>
        <w:wordWrap/>
        <w:overflowPunct/>
        <w:topLinePunct w:val="0"/>
        <w:autoSpaceDE/>
        <w:autoSpaceDN/>
        <w:bidi w:val="0"/>
        <w:adjustRightInd/>
        <w:snapToGrid/>
        <w:spacing w:line="520" w:lineRule="exact"/>
        <w:ind w:firstLine="472" w:firstLineChars="225"/>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2、我方承诺我们的</w:t>
      </w:r>
      <w:r>
        <w:rPr>
          <w:rFonts w:hint="eastAsia" w:ascii="宋体" w:hAnsi="宋体" w:eastAsia="宋体" w:cs="宋体"/>
          <w:color w:val="auto"/>
          <w:sz w:val="21"/>
          <w:szCs w:val="21"/>
          <w:lang w:val="en-US" w:eastAsia="zh-CN"/>
        </w:rPr>
        <w:t>磋商</w:t>
      </w:r>
      <w:r>
        <w:rPr>
          <w:rFonts w:hint="eastAsia" w:ascii="宋体" w:hAnsi="宋体" w:eastAsia="宋体" w:cs="宋体"/>
          <w:color w:val="auto"/>
          <w:sz w:val="21"/>
          <w:szCs w:val="21"/>
        </w:rPr>
        <w:t>报价不低于我们自身的企业成本。</w:t>
      </w:r>
    </w:p>
    <w:p w14:paraId="5657685F">
      <w:pPr>
        <w:keepNext w:val="0"/>
        <w:keepLines w:val="0"/>
        <w:pageBreakBefore w:val="0"/>
        <w:widowControl w:val="0"/>
        <w:kinsoku/>
        <w:wordWrap/>
        <w:overflowPunct/>
        <w:topLinePunct w:val="0"/>
        <w:autoSpaceDE/>
        <w:autoSpaceDN/>
        <w:bidi w:val="0"/>
        <w:adjustRightInd/>
        <w:snapToGrid/>
        <w:spacing w:line="520" w:lineRule="exact"/>
        <w:ind w:firstLine="472" w:firstLineChars="225"/>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pacing w:val="-6"/>
          <w:sz w:val="21"/>
          <w:szCs w:val="21"/>
        </w:rPr>
        <w:t>我方已详细审核全部</w:t>
      </w:r>
      <w:r>
        <w:rPr>
          <w:rFonts w:hint="eastAsia" w:ascii="宋体" w:hAnsi="宋体" w:cs="宋体"/>
          <w:color w:val="auto"/>
          <w:spacing w:val="-6"/>
          <w:sz w:val="21"/>
          <w:szCs w:val="21"/>
          <w:lang w:eastAsia="zh-CN"/>
        </w:rPr>
        <w:t>磋商文件</w:t>
      </w:r>
      <w:r>
        <w:rPr>
          <w:rFonts w:hint="eastAsia" w:ascii="宋体" w:hAnsi="宋体" w:eastAsia="宋体" w:cs="宋体"/>
          <w:color w:val="auto"/>
          <w:spacing w:val="-6"/>
          <w:sz w:val="21"/>
          <w:szCs w:val="21"/>
        </w:rPr>
        <w:t>，包括修改文件（如有时）及有关附件。</w:t>
      </w:r>
    </w:p>
    <w:p w14:paraId="4C5F30ED">
      <w:pPr>
        <w:keepNext w:val="0"/>
        <w:keepLines w:val="0"/>
        <w:pageBreakBefore w:val="0"/>
        <w:widowControl w:val="0"/>
        <w:kinsoku/>
        <w:wordWrap/>
        <w:overflowPunct/>
        <w:topLinePunct w:val="0"/>
        <w:autoSpaceDE/>
        <w:autoSpaceDN/>
        <w:bidi w:val="0"/>
        <w:adjustRightInd/>
        <w:snapToGrid/>
        <w:spacing w:line="520" w:lineRule="exact"/>
        <w:ind w:firstLine="472" w:firstLineChars="225"/>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4、一旦我方中标，我方保证按合同协议书中规定的工期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日历天内竣工完成并移交全部工程。</w:t>
      </w:r>
    </w:p>
    <w:p w14:paraId="1A41D26F">
      <w:pPr>
        <w:keepNext w:val="0"/>
        <w:keepLines w:val="0"/>
        <w:pageBreakBefore w:val="0"/>
        <w:widowControl w:val="0"/>
        <w:kinsoku/>
        <w:wordWrap/>
        <w:overflowPunct/>
        <w:topLinePunct w:val="0"/>
        <w:autoSpaceDE/>
        <w:autoSpaceDN/>
        <w:bidi w:val="0"/>
        <w:adjustRightInd/>
        <w:snapToGrid/>
        <w:spacing w:line="520" w:lineRule="exact"/>
        <w:ind w:firstLine="472" w:firstLineChars="225"/>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5、如果我方</w:t>
      </w:r>
      <w:r>
        <w:rPr>
          <w:rFonts w:hint="eastAsia" w:ascii="宋体" w:hAnsi="宋体" w:cs="宋体"/>
          <w:color w:val="auto"/>
          <w:sz w:val="21"/>
          <w:szCs w:val="21"/>
          <w:lang w:eastAsia="zh-CN"/>
        </w:rPr>
        <w:t>为成交人</w:t>
      </w:r>
      <w:r>
        <w:rPr>
          <w:rFonts w:hint="eastAsia" w:ascii="宋体" w:hAnsi="宋体" w:eastAsia="宋体" w:cs="宋体"/>
          <w:color w:val="auto"/>
          <w:sz w:val="21"/>
          <w:szCs w:val="21"/>
        </w:rPr>
        <w:t>，我方将按</w:t>
      </w:r>
      <w:r>
        <w:rPr>
          <w:rFonts w:hint="eastAsia" w:ascii="宋体" w:hAnsi="宋体" w:cs="宋体"/>
          <w:color w:val="auto"/>
          <w:sz w:val="21"/>
          <w:szCs w:val="21"/>
          <w:lang w:eastAsia="zh-CN"/>
        </w:rPr>
        <w:t>磋商文件</w:t>
      </w:r>
      <w:r>
        <w:rPr>
          <w:rFonts w:hint="eastAsia" w:ascii="宋体" w:hAnsi="宋体" w:eastAsia="宋体" w:cs="宋体"/>
          <w:color w:val="auto"/>
          <w:sz w:val="21"/>
          <w:szCs w:val="21"/>
        </w:rPr>
        <w:t>规定提交履约担保。</w:t>
      </w:r>
    </w:p>
    <w:p w14:paraId="006983C3">
      <w:pPr>
        <w:keepNext w:val="0"/>
        <w:keepLines w:val="0"/>
        <w:pageBreakBefore w:val="0"/>
        <w:widowControl w:val="0"/>
        <w:kinsoku/>
        <w:wordWrap/>
        <w:overflowPunct/>
        <w:topLinePunct w:val="0"/>
        <w:autoSpaceDE/>
        <w:autoSpaceDN/>
        <w:bidi w:val="0"/>
        <w:adjustRightInd/>
        <w:snapToGrid/>
        <w:spacing w:line="520" w:lineRule="exact"/>
        <w:ind w:firstLine="472" w:firstLineChars="225"/>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6.我方保证我方拟定的项目经理在资格审查、</w:t>
      </w:r>
      <w:r>
        <w:rPr>
          <w:rFonts w:hint="eastAsia" w:ascii="宋体" w:hAnsi="宋体" w:cs="宋体"/>
          <w:color w:val="auto"/>
          <w:sz w:val="21"/>
          <w:szCs w:val="21"/>
          <w:lang w:eastAsia="zh-CN"/>
        </w:rPr>
        <w:t>磋商</w:t>
      </w:r>
      <w:r>
        <w:rPr>
          <w:rFonts w:hint="eastAsia" w:ascii="宋体" w:hAnsi="宋体" w:eastAsia="宋体" w:cs="宋体"/>
          <w:color w:val="auto"/>
          <w:sz w:val="21"/>
          <w:szCs w:val="21"/>
        </w:rPr>
        <w:t>及如果</w:t>
      </w:r>
      <w:r>
        <w:rPr>
          <w:rFonts w:hint="eastAsia" w:ascii="宋体" w:hAnsi="宋体" w:cs="宋体"/>
          <w:color w:val="auto"/>
          <w:sz w:val="21"/>
          <w:szCs w:val="21"/>
          <w:lang w:eastAsia="zh-CN"/>
        </w:rPr>
        <w:t>成交</w:t>
      </w:r>
      <w:r>
        <w:rPr>
          <w:rFonts w:hint="eastAsia" w:ascii="宋体" w:hAnsi="宋体" w:eastAsia="宋体" w:cs="宋体"/>
          <w:color w:val="auto"/>
          <w:sz w:val="21"/>
          <w:szCs w:val="21"/>
        </w:rPr>
        <w:t>后的施工过程中不产生变更；如果因特殊情况需要变更的，将提请你方审批，对由此造成的影响，我方负完全责任，并接受你方的处理。</w:t>
      </w:r>
    </w:p>
    <w:p w14:paraId="3E92B51B">
      <w:pPr>
        <w:keepNext w:val="0"/>
        <w:keepLines w:val="0"/>
        <w:pageBreakBefore w:val="0"/>
        <w:widowControl w:val="0"/>
        <w:kinsoku/>
        <w:wordWrap/>
        <w:overflowPunct/>
        <w:topLinePunct w:val="0"/>
        <w:autoSpaceDE/>
        <w:autoSpaceDN/>
        <w:bidi w:val="0"/>
        <w:adjustRightInd/>
        <w:snapToGrid/>
        <w:spacing w:line="520" w:lineRule="exact"/>
        <w:ind w:firstLine="472" w:firstLineChars="225"/>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7.我方同意所递交的</w:t>
      </w:r>
      <w:r>
        <w:rPr>
          <w:rFonts w:hint="eastAsia" w:ascii="宋体" w:hAnsi="宋体" w:eastAsia="宋体" w:cs="宋体"/>
          <w:color w:val="auto"/>
          <w:sz w:val="21"/>
          <w:szCs w:val="21"/>
          <w:lang w:eastAsia="zh-CN"/>
        </w:rPr>
        <w:t>响应文件</w:t>
      </w:r>
      <w:r>
        <w:rPr>
          <w:rFonts w:hint="eastAsia" w:ascii="宋体" w:hAnsi="宋体" w:eastAsia="宋体" w:cs="宋体"/>
          <w:color w:val="auto"/>
          <w:sz w:val="21"/>
          <w:szCs w:val="21"/>
        </w:rPr>
        <w:t>在“</w:t>
      </w:r>
      <w:r>
        <w:rPr>
          <w:rFonts w:hint="eastAsia" w:ascii="宋体" w:hAnsi="宋体" w:eastAsia="宋体" w:cs="宋体"/>
          <w:color w:val="auto"/>
          <w:sz w:val="21"/>
          <w:szCs w:val="21"/>
          <w:lang w:val="en-US" w:eastAsia="zh-CN"/>
        </w:rPr>
        <w:t>磋商</w:t>
      </w:r>
      <w:r>
        <w:rPr>
          <w:rFonts w:hint="eastAsia" w:ascii="宋体" w:hAnsi="宋体" w:eastAsia="宋体" w:cs="宋体"/>
          <w:color w:val="auto"/>
          <w:sz w:val="21"/>
          <w:szCs w:val="21"/>
          <w:lang w:eastAsia="zh-CN"/>
        </w:rPr>
        <w:t>申请人</w:t>
      </w:r>
      <w:r>
        <w:rPr>
          <w:rFonts w:hint="eastAsia" w:ascii="宋体" w:hAnsi="宋体" w:eastAsia="宋体" w:cs="宋体"/>
          <w:color w:val="auto"/>
          <w:sz w:val="21"/>
          <w:szCs w:val="21"/>
        </w:rPr>
        <w:t>须知前附表”规定的</w:t>
      </w:r>
      <w:r>
        <w:rPr>
          <w:rFonts w:hint="eastAsia" w:ascii="宋体" w:hAnsi="宋体" w:eastAsia="宋体" w:cs="宋体"/>
          <w:color w:val="auto"/>
          <w:sz w:val="21"/>
          <w:szCs w:val="21"/>
          <w:lang w:val="en-US" w:eastAsia="zh-CN"/>
        </w:rPr>
        <w:t>磋商</w:t>
      </w:r>
      <w:r>
        <w:rPr>
          <w:rFonts w:hint="eastAsia" w:ascii="宋体" w:hAnsi="宋体" w:eastAsia="宋体" w:cs="宋体"/>
          <w:color w:val="auto"/>
          <w:sz w:val="21"/>
          <w:szCs w:val="21"/>
        </w:rPr>
        <w:t>有效期内有效，在此期间内如果中标，我方将受此约束。</w:t>
      </w:r>
    </w:p>
    <w:p w14:paraId="09A8B7A8">
      <w:pPr>
        <w:keepNext w:val="0"/>
        <w:keepLines w:val="0"/>
        <w:pageBreakBefore w:val="0"/>
        <w:widowControl w:val="0"/>
        <w:kinsoku/>
        <w:wordWrap/>
        <w:overflowPunct/>
        <w:topLinePunct w:val="0"/>
        <w:autoSpaceDE/>
        <w:autoSpaceDN/>
        <w:bidi w:val="0"/>
        <w:adjustRightInd/>
        <w:snapToGrid/>
        <w:spacing w:line="520" w:lineRule="exact"/>
        <w:ind w:firstLine="472" w:firstLineChars="225"/>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8.除非另外达成协议并生效，你方的中标通知书和本</w:t>
      </w:r>
      <w:r>
        <w:rPr>
          <w:rFonts w:hint="eastAsia" w:ascii="宋体" w:hAnsi="宋体" w:eastAsia="宋体" w:cs="宋体"/>
          <w:color w:val="auto"/>
          <w:sz w:val="21"/>
          <w:szCs w:val="21"/>
          <w:lang w:eastAsia="zh-CN"/>
        </w:rPr>
        <w:t>响应文件</w:t>
      </w:r>
      <w:r>
        <w:rPr>
          <w:rFonts w:hint="eastAsia" w:ascii="宋体" w:hAnsi="宋体" w:eastAsia="宋体" w:cs="宋体"/>
          <w:color w:val="auto"/>
          <w:sz w:val="21"/>
          <w:szCs w:val="21"/>
        </w:rPr>
        <w:t>将构成约束双方的合同文件组成部分。</w:t>
      </w:r>
    </w:p>
    <w:p w14:paraId="35F3D090">
      <w:pPr>
        <w:keepNext w:val="0"/>
        <w:keepLines w:val="0"/>
        <w:pageBreakBefore w:val="0"/>
        <w:widowControl w:val="0"/>
        <w:kinsoku/>
        <w:wordWrap/>
        <w:overflowPunct/>
        <w:topLinePunct w:val="0"/>
        <w:autoSpaceDE/>
        <w:autoSpaceDN/>
        <w:bidi w:val="0"/>
        <w:adjustRightInd/>
        <w:snapToGrid/>
        <w:spacing w:line="520" w:lineRule="exact"/>
        <w:ind w:firstLine="1365" w:firstLineChars="650"/>
        <w:textAlignment w:val="auto"/>
        <w:rPr>
          <w:rFonts w:hint="eastAsia" w:ascii="宋体" w:hAnsi="宋体" w:eastAsia="宋体" w:cs="宋体"/>
          <w:color w:val="auto"/>
          <w:sz w:val="21"/>
          <w:szCs w:val="21"/>
          <w:lang w:eastAsia="zh-CN"/>
        </w:rPr>
      </w:pPr>
    </w:p>
    <w:p w14:paraId="07165DBB">
      <w:pPr>
        <w:keepNext w:val="0"/>
        <w:keepLines w:val="0"/>
        <w:pageBreakBefore w:val="0"/>
        <w:widowControl w:val="0"/>
        <w:kinsoku/>
        <w:wordWrap/>
        <w:overflowPunct/>
        <w:topLinePunct w:val="0"/>
        <w:autoSpaceDE/>
        <w:autoSpaceDN/>
        <w:bidi w:val="0"/>
        <w:adjustRightInd/>
        <w:snapToGrid/>
        <w:spacing w:line="520" w:lineRule="exact"/>
        <w:ind w:firstLine="1365" w:firstLineChars="650"/>
        <w:textAlignment w:val="auto"/>
        <w:rPr>
          <w:rFonts w:hint="eastAsia" w:ascii="宋体" w:hAnsi="宋体" w:eastAsia="宋体" w:cs="宋体"/>
          <w:color w:val="auto"/>
          <w:sz w:val="21"/>
          <w:szCs w:val="21"/>
          <w:u w:val="none"/>
        </w:rPr>
      </w:pPr>
      <w:r>
        <w:rPr>
          <w:rFonts w:hint="eastAsia" w:ascii="宋体" w:hAnsi="宋体" w:eastAsia="宋体" w:cs="宋体"/>
          <w:color w:val="auto"/>
          <w:sz w:val="21"/>
          <w:szCs w:val="21"/>
          <w:lang w:val="en-US" w:eastAsia="zh-CN"/>
        </w:rPr>
        <w:t>磋商</w:t>
      </w:r>
      <w:r>
        <w:rPr>
          <w:rFonts w:hint="eastAsia" w:ascii="宋体" w:hAnsi="宋体" w:eastAsia="宋体" w:cs="宋体"/>
          <w:color w:val="auto"/>
          <w:sz w:val="21"/>
          <w:szCs w:val="21"/>
          <w:lang w:eastAsia="zh-CN"/>
        </w:rPr>
        <w:t>申请人</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w:t>
      </w:r>
      <w:r>
        <w:rPr>
          <w:rFonts w:hint="eastAsia" w:ascii="宋体" w:hAnsi="宋体" w:eastAsia="宋体" w:cs="宋体"/>
          <w:color w:val="auto"/>
          <w:sz w:val="21"/>
          <w:szCs w:val="21"/>
          <w:lang w:eastAsia="zh-CN"/>
        </w:rPr>
        <w:t>签</w:t>
      </w:r>
      <w:r>
        <w:rPr>
          <w:rFonts w:hint="eastAsia" w:ascii="宋体" w:hAnsi="宋体" w:eastAsia="宋体" w:cs="宋体"/>
          <w:color w:val="auto"/>
          <w:sz w:val="21"/>
          <w:szCs w:val="21"/>
          <w:u w:val="none"/>
        </w:rPr>
        <w:t xml:space="preserve">章）   </w:t>
      </w:r>
    </w:p>
    <w:p w14:paraId="7483080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法定代表人或授权代理人：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w:t>
      </w:r>
      <w:r>
        <w:rPr>
          <w:rFonts w:hint="eastAsia" w:ascii="宋体" w:hAnsi="宋体" w:cs="宋体"/>
          <w:color w:val="auto"/>
          <w:sz w:val="21"/>
          <w:szCs w:val="21"/>
          <w:u w:val="none"/>
          <w:lang w:eastAsia="zh-CN"/>
        </w:rPr>
        <w:t>签名或</w:t>
      </w:r>
      <w:r>
        <w:rPr>
          <w:rFonts w:hint="eastAsia" w:ascii="宋体" w:hAnsi="宋体" w:eastAsia="宋体" w:cs="宋体"/>
          <w:color w:val="auto"/>
          <w:sz w:val="21"/>
          <w:szCs w:val="21"/>
          <w:lang w:eastAsia="zh-CN"/>
        </w:rPr>
        <w:t>签</w:t>
      </w:r>
      <w:r>
        <w:rPr>
          <w:rFonts w:hint="eastAsia" w:ascii="宋体" w:hAnsi="宋体" w:eastAsia="宋体" w:cs="宋体"/>
          <w:color w:val="auto"/>
          <w:sz w:val="21"/>
          <w:szCs w:val="21"/>
          <w:u w:val="none"/>
        </w:rPr>
        <w:t>章）</w:t>
      </w:r>
    </w:p>
    <w:p w14:paraId="11665F8C">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14:paraId="33A1D5BC">
      <w:pPr>
        <w:pStyle w:val="4"/>
        <w:spacing w:after="0" w:line="240" w:lineRule="auto"/>
        <w:ind w:firstLine="138"/>
        <w:jc w:val="center"/>
        <w:rPr>
          <w:rFonts w:hint="eastAsia" w:ascii="宋体" w:hAnsi="宋体" w:eastAsia="宋体" w:cs="宋体"/>
          <w:b/>
          <w:bCs/>
          <w:color w:val="auto"/>
          <w:kern w:val="2"/>
          <w:sz w:val="28"/>
          <w:szCs w:val="28"/>
          <w:lang w:val="en-US" w:eastAsia="zh-CN" w:bidi="ar-SA"/>
        </w:rPr>
      </w:pPr>
      <w:r>
        <w:rPr>
          <w:rFonts w:hint="eastAsia" w:ascii="仿宋" w:hAnsi="仿宋" w:eastAsia="仿宋" w:cs="仿宋"/>
          <w:color w:val="auto"/>
          <w:sz w:val="21"/>
          <w:szCs w:val="21"/>
        </w:rPr>
        <w:br w:type="page"/>
      </w:r>
      <w:r>
        <w:rPr>
          <w:rFonts w:hint="eastAsia" w:ascii="宋体" w:hAnsi="宋体" w:eastAsia="宋体" w:cs="宋体"/>
          <w:b/>
          <w:bCs/>
          <w:color w:val="auto"/>
          <w:kern w:val="2"/>
          <w:sz w:val="28"/>
          <w:szCs w:val="28"/>
          <w:lang w:val="en-US" w:eastAsia="zh-CN" w:bidi="ar-SA"/>
        </w:rPr>
        <w:t>（二）磋商函附录</w:t>
      </w:r>
      <w:bookmarkEnd w:id="854"/>
      <w:bookmarkEnd w:id="868"/>
    </w:p>
    <w:p w14:paraId="082F047D">
      <w:pPr>
        <w:pStyle w:val="9"/>
        <w:rPr>
          <w:rFonts w:hint="eastAsia" w:ascii="仿宋" w:hAnsi="仿宋" w:eastAsia="仿宋" w:cs="仿宋"/>
          <w:color w:val="auto"/>
          <w:sz w:val="21"/>
          <w:szCs w:val="21"/>
        </w:rPr>
      </w:pPr>
    </w:p>
    <w:tbl>
      <w:tblPr>
        <w:tblStyle w:val="31"/>
        <w:tblW w:w="9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809"/>
        <w:gridCol w:w="4195"/>
        <w:gridCol w:w="1921"/>
      </w:tblGrid>
      <w:tr w14:paraId="5E91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6E2C5D82">
            <w:pPr>
              <w:spacing w:line="52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809" w:type="dxa"/>
            <w:tcBorders>
              <w:top w:val="single" w:color="auto" w:sz="4" w:space="0"/>
              <w:left w:val="single" w:color="auto" w:sz="4" w:space="0"/>
              <w:bottom w:val="single" w:color="auto" w:sz="4" w:space="0"/>
              <w:right w:val="single" w:color="auto" w:sz="4" w:space="0"/>
            </w:tcBorders>
            <w:vAlign w:val="center"/>
          </w:tcPr>
          <w:p w14:paraId="4106E06D">
            <w:pPr>
              <w:spacing w:line="52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项目内容</w:t>
            </w:r>
          </w:p>
        </w:tc>
        <w:tc>
          <w:tcPr>
            <w:tcW w:w="4195" w:type="dxa"/>
            <w:tcBorders>
              <w:top w:val="single" w:color="auto" w:sz="4" w:space="0"/>
              <w:left w:val="single" w:color="auto" w:sz="4" w:space="0"/>
              <w:bottom w:val="single" w:color="auto" w:sz="4" w:space="0"/>
              <w:right w:val="single" w:color="auto" w:sz="4" w:space="0"/>
            </w:tcBorders>
            <w:vAlign w:val="center"/>
          </w:tcPr>
          <w:p w14:paraId="1792D7AC">
            <w:pPr>
              <w:spacing w:line="52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约定内容</w:t>
            </w:r>
          </w:p>
        </w:tc>
        <w:tc>
          <w:tcPr>
            <w:tcW w:w="1921" w:type="dxa"/>
            <w:tcBorders>
              <w:top w:val="single" w:color="auto" w:sz="4" w:space="0"/>
              <w:left w:val="single" w:color="auto" w:sz="4" w:space="0"/>
              <w:bottom w:val="single" w:color="auto" w:sz="4" w:space="0"/>
              <w:right w:val="single" w:color="auto" w:sz="4" w:space="0"/>
            </w:tcBorders>
            <w:vAlign w:val="center"/>
          </w:tcPr>
          <w:p w14:paraId="19D91EBA">
            <w:pPr>
              <w:spacing w:line="52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备注</w:t>
            </w:r>
          </w:p>
        </w:tc>
      </w:tr>
      <w:tr w14:paraId="7C31C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1AC2B7DF">
            <w:pPr>
              <w:spacing w:line="520" w:lineRule="exact"/>
              <w:jc w:val="center"/>
              <w:rPr>
                <w:rFonts w:hint="eastAsia" w:ascii="宋体" w:hAnsi="宋体" w:eastAsia="宋体" w:cs="宋体"/>
                <w:b/>
                <w:color w:val="auto"/>
                <w:sz w:val="21"/>
                <w:szCs w:val="21"/>
              </w:rPr>
            </w:pPr>
            <w:r>
              <w:rPr>
                <w:rFonts w:hint="eastAsia" w:ascii="宋体" w:hAnsi="宋体" w:eastAsia="宋体" w:cs="宋体"/>
                <w:color w:val="auto"/>
                <w:sz w:val="21"/>
                <w:szCs w:val="21"/>
              </w:rPr>
              <w:t>1</w:t>
            </w:r>
          </w:p>
        </w:tc>
        <w:tc>
          <w:tcPr>
            <w:tcW w:w="2809" w:type="dxa"/>
            <w:tcBorders>
              <w:top w:val="single" w:color="auto" w:sz="4" w:space="0"/>
              <w:left w:val="single" w:color="auto" w:sz="4" w:space="0"/>
              <w:bottom w:val="single" w:color="auto" w:sz="4" w:space="0"/>
              <w:right w:val="single" w:color="auto" w:sz="4" w:space="0"/>
            </w:tcBorders>
            <w:vAlign w:val="center"/>
          </w:tcPr>
          <w:p w14:paraId="6FD227DB">
            <w:pPr>
              <w:spacing w:line="520" w:lineRule="exact"/>
              <w:jc w:val="center"/>
              <w:rPr>
                <w:rFonts w:hint="eastAsia" w:ascii="宋体" w:hAnsi="宋体" w:eastAsia="宋体" w:cs="宋体"/>
                <w:b/>
                <w:color w:val="auto"/>
                <w:sz w:val="21"/>
                <w:szCs w:val="21"/>
              </w:rPr>
            </w:pPr>
            <w:r>
              <w:rPr>
                <w:rFonts w:hint="eastAsia" w:ascii="宋体" w:hAnsi="宋体" w:eastAsia="宋体" w:cs="宋体"/>
                <w:color w:val="auto"/>
                <w:sz w:val="21"/>
                <w:szCs w:val="21"/>
              </w:rPr>
              <w:t>工</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期</w:t>
            </w:r>
          </w:p>
        </w:tc>
        <w:tc>
          <w:tcPr>
            <w:tcW w:w="4195" w:type="dxa"/>
            <w:tcBorders>
              <w:top w:val="single" w:color="auto" w:sz="4" w:space="0"/>
              <w:left w:val="single" w:color="auto" w:sz="4" w:space="0"/>
              <w:bottom w:val="single" w:color="auto" w:sz="4" w:space="0"/>
              <w:right w:val="single" w:color="auto" w:sz="4" w:space="0"/>
            </w:tcBorders>
            <w:vAlign w:val="center"/>
          </w:tcPr>
          <w:p w14:paraId="6DBE9183">
            <w:pPr>
              <w:spacing w:line="520" w:lineRule="exact"/>
              <w:jc w:val="center"/>
              <w:rPr>
                <w:rFonts w:hint="eastAsia" w:ascii="宋体" w:hAnsi="宋体" w:eastAsia="宋体" w:cs="宋体"/>
                <w:b/>
                <w:color w:val="auto"/>
                <w:sz w:val="21"/>
                <w:szCs w:val="21"/>
              </w:rPr>
            </w:pPr>
          </w:p>
        </w:tc>
        <w:tc>
          <w:tcPr>
            <w:tcW w:w="1921" w:type="dxa"/>
            <w:tcBorders>
              <w:top w:val="single" w:color="auto" w:sz="4" w:space="0"/>
              <w:left w:val="single" w:color="auto" w:sz="4" w:space="0"/>
              <w:bottom w:val="single" w:color="auto" w:sz="4" w:space="0"/>
              <w:right w:val="single" w:color="auto" w:sz="4" w:space="0"/>
            </w:tcBorders>
            <w:vAlign w:val="center"/>
          </w:tcPr>
          <w:p w14:paraId="096726FE">
            <w:pPr>
              <w:spacing w:line="520" w:lineRule="exact"/>
              <w:jc w:val="center"/>
              <w:rPr>
                <w:rFonts w:hint="eastAsia" w:ascii="宋体" w:hAnsi="宋体" w:eastAsia="宋体" w:cs="宋体"/>
                <w:b/>
                <w:color w:val="auto"/>
                <w:sz w:val="21"/>
                <w:szCs w:val="21"/>
              </w:rPr>
            </w:pPr>
          </w:p>
        </w:tc>
      </w:tr>
      <w:tr w14:paraId="21E4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35F9436D">
            <w:pPr>
              <w:spacing w:line="5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809" w:type="dxa"/>
            <w:tcBorders>
              <w:top w:val="single" w:color="auto" w:sz="4" w:space="0"/>
              <w:left w:val="single" w:color="auto" w:sz="4" w:space="0"/>
              <w:bottom w:val="single" w:color="auto" w:sz="4" w:space="0"/>
              <w:right w:val="single" w:color="auto" w:sz="4" w:space="0"/>
            </w:tcBorders>
            <w:vAlign w:val="center"/>
          </w:tcPr>
          <w:p w14:paraId="30D39861">
            <w:pPr>
              <w:spacing w:line="5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项目经理</w:t>
            </w:r>
          </w:p>
        </w:tc>
        <w:tc>
          <w:tcPr>
            <w:tcW w:w="4195" w:type="dxa"/>
            <w:tcBorders>
              <w:top w:val="single" w:color="auto" w:sz="4" w:space="0"/>
              <w:left w:val="single" w:color="auto" w:sz="4" w:space="0"/>
              <w:bottom w:val="single" w:color="auto" w:sz="4" w:space="0"/>
              <w:right w:val="single" w:color="auto" w:sz="4" w:space="0"/>
            </w:tcBorders>
            <w:vAlign w:val="center"/>
          </w:tcPr>
          <w:p w14:paraId="0BD87944">
            <w:pPr>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921" w:type="dxa"/>
            <w:tcBorders>
              <w:top w:val="single" w:color="auto" w:sz="4" w:space="0"/>
              <w:left w:val="single" w:color="auto" w:sz="4" w:space="0"/>
              <w:bottom w:val="single" w:color="auto" w:sz="4" w:space="0"/>
              <w:right w:val="single" w:color="auto" w:sz="4" w:space="0"/>
            </w:tcBorders>
            <w:vAlign w:val="center"/>
          </w:tcPr>
          <w:p w14:paraId="7DD851D9">
            <w:pPr>
              <w:spacing w:line="520" w:lineRule="exact"/>
              <w:jc w:val="center"/>
              <w:rPr>
                <w:rFonts w:hint="eastAsia" w:ascii="宋体" w:hAnsi="宋体" w:eastAsia="宋体" w:cs="宋体"/>
                <w:b/>
                <w:color w:val="auto"/>
                <w:sz w:val="21"/>
                <w:szCs w:val="21"/>
              </w:rPr>
            </w:pPr>
          </w:p>
        </w:tc>
      </w:tr>
      <w:tr w14:paraId="77A53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3925CA24">
            <w:pPr>
              <w:spacing w:line="52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c>
          <w:tcPr>
            <w:tcW w:w="2809" w:type="dxa"/>
            <w:tcBorders>
              <w:top w:val="single" w:color="auto" w:sz="4" w:space="0"/>
              <w:left w:val="single" w:color="auto" w:sz="4" w:space="0"/>
              <w:right w:val="single" w:color="auto" w:sz="4" w:space="0"/>
            </w:tcBorders>
            <w:vAlign w:val="center"/>
          </w:tcPr>
          <w:p w14:paraId="3DEB28E4">
            <w:pPr>
              <w:spacing w:line="520" w:lineRule="exact"/>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设计负责人</w:t>
            </w:r>
          </w:p>
        </w:tc>
        <w:tc>
          <w:tcPr>
            <w:tcW w:w="4195" w:type="dxa"/>
            <w:tcBorders>
              <w:top w:val="single" w:color="auto" w:sz="4" w:space="0"/>
              <w:left w:val="single" w:color="auto" w:sz="4" w:space="0"/>
              <w:right w:val="single" w:color="auto" w:sz="4" w:space="0"/>
            </w:tcBorders>
            <w:vAlign w:val="center"/>
          </w:tcPr>
          <w:p w14:paraId="157DD49F">
            <w:pPr>
              <w:spacing w:line="52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921" w:type="dxa"/>
            <w:tcBorders>
              <w:top w:val="single" w:color="auto" w:sz="4" w:space="0"/>
              <w:left w:val="single" w:color="auto" w:sz="4" w:space="0"/>
              <w:right w:val="single" w:color="auto" w:sz="4" w:space="0"/>
            </w:tcBorders>
            <w:vAlign w:val="center"/>
          </w:tcPr>
          <w:p w14:paraId="29A29B70">
            <w:pPr>
              <w:spacing w:line="520" w:lineRule="exact"/>
              <w:jc w:val="center"/>
              <w:rPr>
                <w:rFonts w:hint="eastAsia" w:ascii="宋体" w:hAnsi="宋体" w:eastAsia="宋体" w:cs="宋体"/>
                <w:color w:val="auto"/>
                <w:sz w:val="21"/>
                <w:szCs w:val="21"/>
              </w:rPr>
            </w:pPr>
          </w:p>
        </w:tc>
      </w:tr>
      <w:tr w14:paraId="1A83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1B73C4CB">
            <w:pPr>
              <w:spacing w:line="520" w:lineRule="exact"/>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4</w:t>
            </w:r>
          </w:p>
        </w:tc>
        <w:tc>
          <w:tcPr>
            <w:tcW w:w="2809" w:type="dxa"/>
            <w:tcBorders>
              <w:top w:val="single" w:color="auto" w:sz="4" w:space="0"/>
              <w:left w:val="single" w:color="auto" w:sz="4" w:space="0"/>
              <w:right w:val="single" w:color="auto" w:sz="4" w:space="0"/>
            </w:tcBorders>
            <w:vAlign w:val="center"/>
          </w:tcPr>
          <w:p w14:paraId="69B30B4B">
            <w:pPr>
              <w:spacing w:line="5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技术负责人</w:t>
            </w:r>
          </w:p>
        </w:tc>
        <w:tc>
          <w:tcPr>
            <w:tcW w:w="4195" w:type="dxa"/>
            <w:tcBorders>
              <w:top w:val="single" w:color="auto" w:sz="4" w:space="0"/>
              <w:left w:val="single" w:color="auto" w:sz="4" w:space="0"/>
              <w:right w:val="single" w:color="auto" w:sz="4" w:space="0"/>
            </w:tcBorders>
            <w:vAlign w:val="center"/>
          </w:tcPr>
          <w:p w14:paraId="040C48F0">
            <w:pPr>
              <w:spacing w:line="52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1921" w:type="dxa"/>
            <w:tcBorders>
              <w:top w:val="single" w:color="auto" w:sz="4" w:space="0"/>
              <w:left w:val="single" w:color="auto" w:sz="4" w:space="0"/>
              <w:right w:val="single" w:color="auto" w:sz="4" w:space="0"/>
            </w:tcBorders>
            <w:vAlign w:val="center"/>
          </w:tcPr>
          <w:p w14:paraId="0CA2CDE0">
            <w:pPr>
              <w:spacing w:line="520" w:lineRule="exact"/>
              <w:jc w:val="center"/>
              <w:rPr>
                <w:rFonts w:hint="eastAsia" w:ascii="宋体" w:hAnsi="宋体" w:eastAsia="宋体" w:cs="宋体"/>
                <w:color w:val="auto"/>
                <w:sz w:val="21"/>
                <w:szCs w:val="21"/>
              </w:rPr>
            </w:pPr>
          </w:p>
        </w:tc>
      </w:tr>
      <w:tr w14:paraId="46FAD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1DB7E48B">
            <w:pPr>
              <w:spacing w:line="520" w:lineRule="exact"/>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p>
        </w:tc>
        <w:tc>
          <w:tcPr>
            <w:tcW w:w="2809" w:type="dxa"/>
            <w:tcBorders>
              <w:top w:val="single" w:color="auto" w:sz="4" w:space="0"/>
              <w:left w:val="single" w:color="auto" w:sz="4" w:space="0"/>
              <w:bottom w:val="single" w:color="auto" w:sz="4" w:space="0"/>
              <w:right w:val="single" w:color="auto" w:sz="4" w:space="0"/>
            </w:tcBorders>
            <w:vAlign w:val="center"/>
          </w:tcPr>
          <w:p w14:paraId="42AD7529">
            <w:pPr>
              <w:spacing w:line="5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缺陷责任期</w:t>
            </w:r>
          </w:p>
        </w:tc>
        <w:tc>
          <w:tcPr>
            <w:tcW w:w="4195" w:type="dxa"/>
            <w:tcBorders>
              <w:top w:val="single" w:color="auto" w:sz="4" w:space="0"/>
              <w:left w:val="single" w:color="auto" w:sz="4" w:space="0"/>
              <w:bottom w:val="single" w:color="auto" w:sz="4" w:space="0"/>
              <w:right w:val="single" w:color="auto" w:sz="4" w:space="0"/>
            </w:tcBorders>
            <w:vAlign w:val="center"/>
          </w:tcPr>
          <w:p w14:paraId="1FF22026">
            <w:pPr>
              <w:jc w:val="left"/>
              <w:rPr>
                <w:rFonts w:hint="eastAsia" w:ascii="宋体" w:hAnsi="宋体" w:eastAsia="宋体" w:cs="宋体"/>
                <w:color w:val="auto"/>
                <w:sz w:val="21"/>
                <w:szCs w:val="21"/>
              </w:rPr>
            </w:pPr>
            <w:r>
              <w:rPr>
                <w:rFonts w:hint="eastAsia" w:ascii="宋体" w:hAnsi="宋体" w:eastAsia="宋体" w:cs="宋体"/>
                <w:color w:val="auto"/>
                <w:sz w:val="21"/>
                <w:szCs w:val="21"/>
              </w:rPr>
              <w:t>自实际交工日期起计算</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年</w:t>
            </w:r>
          </w:p>
        </w:tc>
        <w:tc>
          <w:tcPr>
            <w:tcW w:w="1921" w:type="dxa"/>
            <w:tcBorders>
              <w:top w:val="single" w:color="auto" w:sz="4" w:space="0"/>
              <w:left w:val="single" w:color="auto" w:sz="4" w:space="0"/>
              <w:bottom w:val="single" w:color="auto" w:sz="4" w:space="0"/>
              <w:right w:val="single" w:color="auto" w:sz="4" w:space="0"/>
            </w:tcBorders>
            <w:vAlign w:val="center"/>
          </w:tcPr>
          <w:p w14:paraId="499B0156">
            <w:pPr>
              <w:spacing w:line="520" w:lineRule="exact"/>
              <w:jc w:val="center"/>
              <w:rPr>
                <w:rFonts w:hint="eastAsia" w:ascii="宋体" w:hAnsi="宋体" w:eastAsia="宋体" w:cs="宋体"/>
                <w:color w:val="auto"/>
                <w:sz w:val="21"/>
                <w:szCs w:val="21"/>
              </w:rPr>
            </w:pPr>
          </w:p>
        </w:tc>
      </w:tr>
      <w:tr w14:paraId="7223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354A187A">
            <w:pPr>
              <w:spacing w:line="520" w:lineRule="exact"/>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p>
        </w:tc>
        <w:tc>
          <w:tcPr>
            <w:tcW w:w="2809" w:type="dxa"/>
            <w:tcBorders>
              <w:top w:val="single" w:color="auto" w:sz="4" w:space="0"/>
              <w:left w:val="single" w:color="auto" w:sz="4" w:space="0"/>
              <w:bottom w:val="single" w:color="auto" w:sz="4" w:space="0"/>
              <w:right w:val="single" w:color="auto" w:sz="4" w:space="0"/>
            </w:tcBorders>
            <w:vAlign w:val="center"/>
          </w:tcPr>
          <w:p w14:paraId="6D4833A2">
            <w:pPr>
              <w:spacing w:line="5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物价波动引起的调价</w:t>
            </w:r>
          </w:p>
        </w:tc>
        <w:tc>
          <w:tcPr>
            <w:tcW w:w="4195" w:type="dxa"/>
            <w:tcBorders>
              <w:top w:val="single" w:color="auto" w:sz="4" w:space="0"/>
              <w:left w:val="single" w:color="auto" w:sz="4" w:space="0"/>
              <w:bottom w:val="single" w:color="auto" w:sz="4" w:space="0"/>
              <w:right w:val="single" w:color="auto" w:sz="4" w:space="0"/>
            </w:tcBorders>
            <w:vAlign w:val="center"/>
          </w:tcPr>
          <w:p w14:paraId="7416E4EE">
            <w:pPr>
              <w:jc w:val="left"/>
              <w:rPr>
                <w:rFonts w:hint="eastAsia" w:ascii="宋体" w:hAnsi="宋体" w:eastAsia="宋体" w:cs="宋体"/>
                <w:color w:val="auto"/>
                <w:sz w:val="21"/>
                <w:szCs w:val="21"/>
              </w:rPr>
            </w:pPr>
            <w:r>
              <w:rPr>
                <w:rFonts w:hint="eastAsia" w:ascii="宋体" w:hAnsi="宋体" w:eastAsia="宋体" w:cs="宋体"/>
                <w:color w:val="auto"/>
                <w:sz w:val="21"/>
                <w:szCs w:val="21"/>
              </w:rPr>
              <w:t>合同价格不因物价波动调整</w:t>
            </w:r>
          </w:p>
        </w:tc>
        <w:tc>
          <w:tcPr>
            <w:tcW w:w="1921" w:type="dxa"/>
            <w:tcBorders>
              <w:top w:val="single" w:color="auto" w:sz="4" w:space="0"/>
              <w:left w:val="single" w:color="auto" w:sz="4" w:space="0"/>
              <w:bottom w:val="single" w:color="auto" w:sz="4" w:space="0"/>
              <w:right w:val="single" w:color="auto" w:sz="4" w:space="0"/>
            </w:tcBorders>
            <w:vAlign w:val="center"/>
          </w:tcPr>
          <w:p w14:paraId="10BFB15E">
            <w:pPr>
              <w:spacing w:line="520" w:lineRule="exact"/>
              <w:jc w:val="center"/>
              <w:rPr>
                <w:rFonts w:hint="eastAsia" w:ascii="宋体" w:hAnsi="宋体" w:eastAsia="宋体" w:cs="宋体"/>
                <w:color w:val="auto"/>
                <w:sz w:val="21"/>
                <w:szCs w:val="21"/>
              </w:rPr>
            </w:pPr>
          </w:p>
        </w:tc>
      </w:tr>
      <w:tr w14:paraId="58BB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234753AD">
            <w:pPr>
              <w:spacing w:line="5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2809" w:type="dxa"/>
            <w:tcBorders>
              <w:top w:val="single" w:color="auto" w:sz="4" w:space="0"/>
              <w:left w:val="single" w:color="auto" w:sz="4" w:space="0"/>
              <w:bottom w:val="single" w:color="auto" w:sz="4" w:space="0"/>
              <w:right w:val="single" w:color="auto" w:sz="4" w:space="0"/>
            </w:tcBorders>
            <w:vAlign w:val="center"/>
          </w:tcPr>
          <w:p w14:paraId="0526A1BE">
            <w:pPr>
              <w:spacing w:line="5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逾期交工违约金</w:t>
            </w:r>
          </w:p>
        </w:tc>
        <w:tc>
          <w:tcPr>
            <w:tcW w:w="4195" w:type="dxa"/>
            <w:tcBorders>
              <w:top w:val="single" w:color="auto" w:sz="4" w:space="0"/>
              <w:left w:val="single" w:color="auto" w:sz="4" w:space="0"/>
              <w:bottom w:val="single" w:color="auto" w:sz="4" w:space="0"/>
              <w:right w:val="single" w:color="auto" w:sz="4" w:space="0"/>
            </w:tcBorders>
            <w:vAlign w:val="center"/>
          </w:tcPr>
          <w:p w14:paraId="3DE15490">
            <w:pPr>
              <w:jc w:val="left"/>
              <w:rPr>
                <w:rFonts w:hint="eastAsia" w:ascii="宋体" w:hAnsi="宋体" w:eastAsia="宋体" w:cs="宋体"/>
                <w:color w:val="auto"/>
                <w:sz w:val="21"/>
                <w:szCs w:val="21"/>
              </w:rPr>
            </w:pPr>
            <w:r>
              <w:rPr>
                <w:rFonts w:hint="eastAsia" w:ascii="宋体" w:hAnsi="宋体" w:eastAsia="宋体" w:cs="宋体"/>
                <w:color w:val="auto"/>
                <w:sz w:val="21"/>
                <w:szCs w:val="21"/>
                <w:u w:val="single"/>
              </w:rPr>
              <w:t>10000</w:t>
            </w:r>
            <w:r>
              <w:rPr>
                <w:rFonts w:hint="eastAsia" w:ascii="宋体" w:hAnsi="宋体" w:eastAsia="宋体" w:cs="宋体"/>
                <w:color w:val="auto"/>
                <w:sz w:val="21"/>
                <w:szCs w:val="21"/>
              </w:rPr>
              <w:t>元/天</w:t>
            </w:r>
          </w:p>
        </w:tc>
        <w:tc>
          <w:tcPr>
            <w:tcW w:w="1921" w:type="dxa"/>
            <w:tcBorders>
              <w:top w:val="single" w:color="auto" w:sz="4" w:space="0"/>
              <w:left w:val="single" w:color="auto" w:sz="4" w:space="0"/>
              <w:bottom w:val="single" w:color="auto" w:sz="4" w:space="0"/>
              <w:right w:val="single" w:color="auto" w:sz="4" w:space="0"/>
            </w:tcBorders>
            <w:vAlign w:val="center"/>
          </w:tcPr>
          <w:p w14:paraId="16CE618B">
            <w:pPr>
              <w:spacing w:line="520" w:lineRule="exact"/>
              <w:jc w:val="center"/>
              <w:rPr>
                <w:rFonts w:hint="eastAsia" w:ascii="宋体" w:hAnsi="宋体" w:eastAsia="宋体" w:cs="宋体"/>
                <w:color w:val="auto"/>
                <w:sz w:val="21"/>
                <w:szCs w:val="21"/>
              </w:rPr>
            </w:pPr>
          </w:p>
        </w:tc>
      </w:tr>
      <w:tr w14:paraId="72B9A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97B6E40">
            <w:pPr>
              <w:spacing w:line="5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2809" w:type="dxa"/>
            <w:tcBorders>
              <w:top w:val="single" w:color="auto" w:sz="4" w:space="0"/>
              <w:left w:val="single" w:color="auto" w:sz="4" w:space="0"/>
              <w:bottom w:val="single" w:color="auto" w:sz="4" w:space="0"/>
              <w:right w:val="single" w:color="auto" w:sz="4" w:space="0"/>
            </w:tcBorders>
            <w:vAlign w:val="center"/>
          </w:tcPr>
          <w:p w14:paraId="08A5B09F">
            <w:pPr>
              <w:spacing w:line="5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保修期</w:t>
            </w:r>
          </w:p>
        </w:tc>
        <w:tc>
          <w:tcPr>
            <w:tcW w:w="4195" w:type="dxa"/>
            <w:tcBorders>
              <w:top w:val="single" w:color="auto" w:sz="4" w:space="0"/>
              <w:left w:val="single" w:color="auto" w:sz="4" w:space="0"/>
              <w:bottom w:val="single" w:color="auto" w:sz="4" w:space="0"/>
              <w:right w:val="single" w:color="auto" w:sz="4" w:space="0"/>
            </w:tcBorders>
            <w:vAlign w:val="center"/>
          </w:tcPr>
          <w:p w14:paraId="52AF0EA7">
            <w:pPr>
              <w:jc w:val="left"/>
              <w:rPr>
                <w:rFonts w:hint="eastAsia" w:ascii="宋体" w:hAnsi="宋体" w:eastAsia="宋体" w:cs="宋体"/>
                <w:color w:val="auto"/>
                <w:sz w:val="21"/>
                <w:szCs w:val="21"/>
              </w:rPr>
            </w:pPr>
            <w:r>
              <w:rPr>
                <w:rFonts w:hint="eastAsia" w:ascii="宋体" w:hAnsi="宋体" w:eastAsia="宋体" w:cs="宋体"/>
                <w:color w:val="auto"/>
                <w:sz w:val="21"/>
                <w:szCs w:val="21"/>
              </w:rPr>
              <w:t>自实际交工日期起计算</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tc>
        <w:tc>
          <w:tcPr>
            <w:tcW w:w="1921" w:type="dxa"/>
            <w:tcBorders>
              <w:top w:val="single" w:color="auto" w:sz="4" w:space="0"/>
              <w:left w:val="single" w:color="auto" w:sz="4" w:space="0"/>
              <w:bottom w:val="single" w:color="auto" w:sz="4" w:space="0"/>
              <w:right w:val="single" w:color="auto" w:sz="4" w:space="0"/>
            </w:tcBorders>
            <w:vAlign w:val="center"/>
          </w:tcPr>
          <w:p w14:paraId="3DDAAE14">
            <w:pPr>
              <w:spacing w:line="520" w:lineRule="exact"/>
              <w:jc w:val="center"/>
              <w:rPr>
                <w:rFonts w:hint="eastAsia" w:ascii="宋体" w:hAnsi="宋体" w:eastAsia="宋体" w:cs="宋体"/>
                <w:color w:val="auto"/>
                <w:sz w:val="21"/>
                <w:szCs w:val="21"/>
              </w:rPr>
            </w:pPr>
          </w:p>
        </w:tc>
      </w:tr>
      <w:tr w14:paraId="4D644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631" w:type="dxa"/>
            <w:gridSpan w:val="4"/>
            <w:tcBorders>
              <w:top w:val="single" w:color="auto" w:sz="4" w:space="0"/>
              <w:left w:val="single" w:color="auto" w:sz="4" w:space="0"/>
              <w:bottom w:val="single" w:color="auto" w:sz="4" w:space="0"/>
              <w:right w:val="single" w:color="auto" w:sz="4" w:space="0"/>
            </w:tcBorders>
            <w:vAlign w:val="center"/>
          </w:tcPr>
          <w:p w14:paraId="29E62433">
            <w:pPr>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备注：</w:t>
            </w:r>
            <w:r>
              <w:rPr>
                <w:rFonts w:hint="eastAsia" w:ascii="宋体" w:hAnsi="宋体" w:eastAsia="宋体" w:cs="宋体"/>
                <w:color w:val="auto"/>
                <w:sz w:val="21"/>
                <w:szCs w:val="21"/>
                <w:lang w:eastAsia="zh-CN"/>
              </w:rPr>
              <w:t>磋商申请</w:t>
            </w:r>
            <w:r>
              <w:rPr>
                <w:rFonts w:hint="eastAsia" w:ascii="宋体" w:hAnsi="宋体" w:eastAsia="宋体" w:cs="宋体"/>
                <w:color w:val="auto"/>
                <w:sz w:val="21"/>
                <w:szCs w:val="21"/>
              </w:rPr>
              <w:t>人在响应</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文件中规定的实质性要求和条件的基础上，可做出其他有利于</w:t>
            </w:r>
            <w:r>
              <w:rPr>
                <w:rFonts w:hint="eastAsia" w:ascii="宋体" w:hAnsi="宋体" w:eastAsia="宋体" w:cs="宋体"/>
                <w:color w:val="auto"/>
                <w:sz w:val="21"/>
                <w:szCs w:val="21"/>
                <w:lang w:eastAsia="zh-CN"/>
              </w:rPr>
              <w:t>采购</w:t>
            </w:r>
            <w:r>
              <w:rPr>
                <w:rFonts w:hint="eastAsia" w:ascii="宋体" w:hAnsi="宋体" w:eastAsia="宋体" w:cs="宋体"/>
                <w:color w:val="auto"/>
                <w:sz w:val="21"/>
                <w:szCs w:val="21"/>
              </w:rPr>
              <w:t>人的承诺。此类承诺可在本表中予以补充填写。</w:t>
            </w:r>
          </w:p>
        </w:tc>
      </w:tr>
    </w:tbl>
    <w:p w14:paraId="745B8119">
      <w:pPr>
        <w:spacing w:line="520" w:lineRule="exact"/>
        <w:rPr>
          <w:rFonts w:hint="eastAsia" w:ascii="宋体" w:hAnsi="宋体" w:eastAsia="宋体" w:cs="宋体"/>
          <w:color w:val="auto"/>
          <w:sz w:val="21"/>
          <w:szCs w:val="21"/>
        </w:rPr>
      </w:pPr>
    </w:p>
    <w:p w14:paraId="653DA6C2">
      <w:pPr>
        <w:spacing w:after="0" w:line="480" w:lineRule="exact"/>
        <w:rPr>
          <w:rFonts w:hint="eastAsia" w:ascii="仿宋" w:hAnsi="仿宋" w:eastAsia="仿宋" w:cs="仿宋"/>
          <w:color w:val="auto"/>
          <w:sz w:val="21"/>
          <w:szCs w:val="21"/>
        </w:rPr>
      </w:pPr>
    </w:p>
    <w:p w14:paraId="0E521E5F">
      <w:pPr>
        <w:spacing w:after="0" w:line="480" w:lineRule="exact"/>
        <w:rPr>
          <w:rFonts w:hint="eastAsia" w:ascii="仿宋" w:hAnsi="仿宋" w:eastAsia="仿宋" w:cs="仿宋"/>
          <w:color w:val="auto"/>
          <w:sz w:val="21"/>
          <w:szCs w:val="21"/>
        </w:rPr>
      </w:pPr>
    </w:p>
    <w:p w14:paraId="66CA29F9">
      <w:pPr>
        <w:spacing w:after="0" w:line="480" w:lineRule="exact"/>
        <w:rPr>
          <w:rFonts w:hint="eastAsia" w:ascii="仿宋" w:hAnsi="仿宋" w:eastAsia="仿宋" w:cs="仿宋"/>
          <w:color w:val="auto"/>
          <w:sz w:val="21"/>
          <w:szCs w:val="21"/>
        </w:rPr>
      </w:pPr>
    </w:p>
    <w:p w14:paraId="3993CEB6">
      <w:pPr>
        <w:spacing w:after="0" w:line="480" w:lineRule="exact"/>
        <w:rPr>
          <w:rFonts w:hint="eastAsia" w:ascii="仿宋" w:hAnsi="仿宋" w:eastAsia="仿宋" w:cs="仿宋"/>
          <w:color w:val="auto"/>
          <w:sz w:val="21"/>
          <w:szCs w:val="21"/>
        </w:rPr>
      </w:pPr>
    </w:p>
    <w:p w14:paraId="05896117">
      <w:pPr>
        <w:spacing w:after="0" w:line="480" w:lineRule="exact"/>
        <w:rPr>
          <w:rFonts w:hint="eastAsia" w:ascii="仿宋" w:hAnsi="仿宋" w:eastAsia="仿宋" w:cs="仿宋"/>
          <w:color w:val="auto"/>
          <w:sz w:val="21"/>
          <w:szCs w:val="21"/>
        </w:rPr>
      </w:pPr>
    </w:p>
    <w:p w14:paraId="7C6BAB8E">
      <w:pPr>
        <w:spacing w:after="0" w:line="480" w:lineRule="exact"/>
        <w:rPr>
          <w:rFonts w:hint="eastAsia" w:ascii="仿宋" w:hAnsi="仿宋" w:eastAsia="仿宋" w:cs="仿宋"/>
          <w:color w:val="auto"/>
          <w:sz w:val="21"/>
          <w:szCs w:val="21"/>
        </w:rPr>
      </w:pPr>
    </w:p>
    <w:p w14:paraId="140C1736">
      <w:pPr>
        <w:spacing w:after="0" w:line="480" w:lineRule="exact"/>
        <w:rPr>
          <w:rFonts w:hint="eastAsia" w:ascii="仿宋" w:hAnsi="仿宋" w:eastAsia="仿宋" w:cs="仿宋"/>
          <w:color w:val="auto"/>
          <w:sz w:val="21"/>
          <w:szCs w:val="21"/>
        </w:rPr>
      </w:pPr>
    </w:p>
    <w:p w14:paraId="60E0F77D">
      <w:pPr>
        <w:spacing w:after="0" w:line="480" w:lineRule="exact"/>
        <w:rPr>
          <w:rFonts w:hint="eastAsia" w:ascii="仿宋" w:hAnsi="仿宋" w:eastAsia="仿宋" w:cs="仿宋"/>
          <w:color w:val="auto"/>
          <w:sz w:val="21"/>
          <w:szCs w:val="21"/>
        </w:rPr>
      </w:pPr>
    </w:p>
    <w:p w14:paraId="4385A7A1">
      <w:pPr>
        <w:spacing w:after="0" w:line="480" w:lineRule="exact"/>
        <w:rPr>
          <w:rFonts w:hint="eastAsia" w:ascii="仿宋" w:hAnsi="仿宋" w:eastAsia="仿宋" w:cs="仿宋"/>
          <w:color w:val="auto"/>
          <w:sz w:val="21"/>
          <w:szCs w:val="21"/>
        </w:rPr>
      </w:pPr>
    </w:p>
    <w:p w14:paraId="60BE90AB">
      <w:pPr>
        <w:spacing w:after="0" w:line="480" w:lineRule="exact"/>
        <w:rPr>
          <w:rFonts w:hint="eastAsia" w:ascii="仿宋" w:hAnsi="仿宋" w:eastAsia="仿宋" w:cs="仿宋"/>
          <w:color w:val="auto"/>
          <w:sz w:val="21"/>
          <w:szCs w:val="21"/>
        </w:rPr>
      </w:pPr>
    </w:p>
    <w:p w14:paraId="2164BBD4">
      <w:pPr>
        <w:autoSpaceDE w:val="0"/>
        <w:autoSpaceDN w:val="0"/>
        <w:adjustRightInd w:val="0"/>
        <w:spacing w:after="0" w:line="420" w:lineRule="exact"/>
        <w:jc w:val="center"/>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br w:type="page"/>
      </w:r>
      <w:r>
        <w:rPr>
          <w:rFonts w:hint="eastAsia" w:ascii="宋体" w:hAnsi="宋体" w:eastAsia="宋体" w:cs="宋体"/>
          <w:b/>
          <w:bCs/>
          <w:color w:val="auto"/>
          <w:kern w:val="2"/>
          <w:sz w:val="28"/>
          <w:szCs w:val="28"/>
          <w:lang w:val="en-US" w:eastAsia="zh-CN" w:bidi="ar-SA"/>
        </w:rPr>
        <w:t>（</w:t>
      </w:r>
      <w:r>
        <w:rPr>
          <w:rFonts w:hint="eastAsia" w:ascii="宋体" w:hAnsi="宋体" w:cs="宋体"/>
          <w:b/>
          <w:bCs/>
          <w:color w:val="auto"/>
          <w:kern w:val="2"/>
          <w:sz w:val="28"/>
          <w:szCs w:val="28"/>
          <w:lang w:val="en-US" w:eastAsia="zh-CN" w:bidi="ar-SA"/>
        </w:rPr>
        <w:t>三</w:t>
      </w:r>
      <w:r>
        <w:rPr>
          <w:rFonts w:hint="eastAsia" w:ascii="宋体" w:hAnsi="宋体" w:eastAsia="宋体" w:cs="宋体"/>
          <w:b/>
          <w:bCs/>
          <w:color w:val="auto"/>
          <w:kern w:val="2"/>
          <w:sz w:val="28"/>
          <w:szCs w:val="28"/>
          <w:lang w:val="en-US" w:eastAsia="zh-CN" w:bidi="ar-SA"/>
        </w:rPr>
        <w:t>）主要人员简历表</w:t>
      </w:r>
    </w:p>
    <w:p w14:paraId="46C0FE3C">
      <w:pPr>
        <w:pStyle w:val="4"/>
        <w:adjustRightInd w:val="0"/>
        <w:snapToGrid w:val="0"/>
        <w:spacing w:before="0" w:after="0"/>
        <w:ind w:firstLine="0" w:firstLineChars="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拟派设计负责人简历表</w:t>
      </w:r>
    </w:p>
    <w:tbl>
      <w:tblPr>
        <w:tblStyle w:val="31"/>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19"/>
        <w:gridCol w:w="745"/>
        <w:gridCol w:w="1355"/>
        <w:gridCol w:w="284"/>
        <w:gridCol w:w="41"/>
        <w:gridCol w:w="810"/>
        <w:gridCol w:w="755"/>
        <w:gridCol w:w="15"/>
        <w:gridCol w:w="1125"/>
        <w:gridCol w:w="435"/>
        <w:gridCol w:w="645"/>
        <w:gridCol w:w="405"/>
        <w:gridCol w:w="1737"/>
      </w:tblGrid>
      <w:tr w14:paraId="592D8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1319" w:type="dxa"/>
            <w:noWrap w:val="0"/>
            <w:vAlign w:val="center"/>
          </w:tcPr>
          <w:p w14:paraId="241697D1">
            <w:pPr>
              <w:spacing w:line="360" w:lineRule="auto"/>
              <w:jc w:val="center"/>
              <w:rPr>
                <w:rFonts w:ascii="宋体" w:hAnsi="宋体"/>
                <w:color w:val="auto"/>
                <w:szCs w:val="21"/>
              </w:rPr>
            </w:pPr>
            <w:r>
              <w:rPr>
                <w:rFonts w:hint="eastAsia" w:ascii="宋体" w:hAnsi="宋体"/>
                <w:color w:val="auto"/>
                <w:szCs w:val="21"/>
              </w:rPr>
              <w:t>姓名</w:t>
            </w:r>
          </w:p>
        </w:tc>
        <w:tc>
          <w:tcPr>
            <w:tcW w:w="2384" w:type="dxa"/>
            <w:gridSpan w:val="3"/>
            <w:noWrap w:val="0"/>
            <w:vAlign w:val="center"/>
          </w:tcPr>
          <w:p w14:paraId="7E138A0E">
            <w:pPr>
              <w:spacing w:line="360" w:lineRule="auto"/>
              <w:jc w:val="center"/>
              <w:rPr>
                <w:rFonts w:ascii="宋体" w:hAnsi="宋体"/>
                <w:color w:val="auto"/>
                <w:szCs w:val="21"/>
              </w:rPr>
            </w:pPr>
          </w:p>
        </w:tc>
        <w:tc>
          <w:tcPr>
            <w:tcW w:w="851" w:type="dxa"/>
            <w:gridSpan w:val="2"/>
            <w:noWrap w:val="0"/>
            <w:vAlign w:val="center"/>
          </w:tcPr>
          <w:p w14:paraId="321B1625">
            <w:pPr>
              <w:spacing w:line="360" w:lineRule="auto"/>
              <w:jc w:val="center"/>
              <w:rPr>
                <w:rFonts w:ascii="宋体" w:hAnsi="宋体"/>
                <w:color w:val="auto"/>
                <w:szCs w:val="21"/>
              </w:rPr>
            </w:pPr>
            <w:r>
              <w:rPr>
                <w:rFonts w:hint="eastAsia" w:ascii="宋体" w:hAnsi="宋体"/>
                <w:color w:val="auto"/>
                <w:szCs w:val="21"/>
              </w:rPr>
              <w:t>性别</w:t>
            </w:r>
          </w:p>
        </w:tc>
        <w:tc>
          <w:tcPr>
            <w:tcW w:w="1895" w:type="dxa"/>
            <w:gridSpan w:val="3"/>
            <w:noWrap w:val="0"/>
            <w:vAlign w:val="center"/>
          </w:tcPr>
          <w:p w14:paraId="6D278FCB">
            <w:pPr>
              <w:spacing w:line="360" w:lineRule="auto"/>
              <w:jc w:val="center"/>
              <w:rPr>
                <w:rFonts w:ascii="宋体" w:hAnsi="宋体"/>
                <w:color w:val="auto"/>
                <w:szCs w:val="21"/>
              </w:rPr>
            </w:pPr>
          </w:p>
        </w:tc>
        <w:tc>
          <w:tcPr>
            <w:tcW w:w="1080" w:type="dxa"/>
            <w:gridSpan w:val="2"/>
            <w:noWrap w:val="0"/>
            <w:vAlign w:val="center"/>
          </w:tcPr>
          <w:p w14:paraId="2EF131EF">
            <w:pPr>
              <w:spacing w:line="360" w:lineRule="auto"/>
              <w:jc w:val="center"/>
              <w:rPr>
                <w:rFonts w:ascii="宋体" w:hAnsi="宋体"/>
                <w:color w:val="auto"/>
                <w:szCs w:val="21"/>
              </w:rPr>
            </w:pPr>
            <w:r>
              <w:rPr>
                <w:rFonts w:hint="eastAsia" w:ascii="宋体" w:hAnsi="宋体"/>
                <w:color w:val="auto"/>
                <w:szCs w:val="21"/>
              </w:rPr>
              <w:t>年龄</w:t>
            </w:r>
          </w:p>
        </w:tc>
        <w:tc>
          <w:tcPr>
            <w:tcW w:w="2142" w:type="dxa"/>
            <w:gridSpan w:val="2"/>
            <w:noWrap w:val="0"/>
            <w:vAlign w:val="center"/>
          </w:tcPr>
          <w:p w14:paraId="4BCF8CA8">
            <w:pPr>
              <w:spacing w:line="360" w:lineRule="auto"/>
              <w:jc w:val="center"/>
              <w:rPr>
                <w:rFonts w:ascii="宋体" w:hAnsi="宋体"/>
                <w:color w:val="auto"/>
                <w:szCs w:val="21"/>
              </w:rPr>
            </w:pPr>
          </w:p>
        </w:tc>
      </w:tr>
      <w:tr w14:paraId="10C44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319" w:type="dxa"/>
            <w:noWrap w:val="0"/>
            <w:vAlign w:val="center"/>
          </w:tcPr>
          <w:p w14:paraId="02CC3B9D">
            <w:pPr>
              <w:spacing w:line="360" w:lineRule="auto"/>
              <w:jc w:val="center"/>
              <w:rPr>
                <w:rFonts w:ascii="宋体" w:hAnsi="宋体"/>
                <w:color w:val="auto"/>
                <w:szCs w:val="21"/>
              </w:rPr>
            </w:pPr>
            <w:r>
              <w:rPr>
                <w:rFonts w:hint="eastAsia" w:ascii="宋体" w:hAnsi="宋体"/>
                <w:color w:val="auto"/>
                <w:szCs w:val="21"/>
              </w:rPr>
              <w:t>职务</w:t>
            </w:r>
          </w:p>
        </w:tc>
        <w:tc>
          <w:tcPr>
            <w:tcW w:w="2384" w:type="dxa"/>
            <w:gridSpan w:val="3"/>
            <w:noWrap w:val="0"/>
            <w:vAlign w:val="center"/>
          </w:tcPr>
          <w:p w14:paraId="5BF06026">
            <w:pPr>
              <w:spacing w:line="360" w:lineRule="auto"/>
              <w:jc w:val="center"/>
              <w:rPr>
                <w:rFonts w:ascii="宋体" w:hAnsi="宋体"/>
                <w:color w:val="auto"/>
                <w:szCs w:val="21"/>
              </w:rPr>
            </w:pPr>
          </w:p>
        </w:tc>
        <w:tc>
          <w:tcPr>
            <w:tcW w:w="851" w:type="dxa"/>
            <w:gridSpan w:val="2"/>
            <w:noWrap w:val="0"/>
            <w:vAlign w:val="center"/>
          </w:tcPr>
          <w:p w14:paraId="3C741C11">
            <w:pPr>
              <w:spacing w:line="360" w:lineRule="auto"/>
              <w:jc w:val="center"/>
              <w:rPr>
                <w:rFonts w:ascii="宋体" w:hAnsi="宋体"/>
                <w:color w:val="auto"/>
                <w:szCs w:val="21"/>
              </w:rPr>
            </w:pPr>
            <w:r>
              <w:rPr>
                <w:rFonts w:hint="eastAsia" w:ascii="宋体" w:hAnsi="宋体"/>
                <w:color w:val="auto"/>
                <w:szCs w:val="21"/>
              </w:rPr>
              <w:t>职称</w:t>
            </w:r>
          </w:p>
        </w:tc>
        <w:tc>
          <w:tcPr>
            <w:tcW w:w="1895" w:type="dxa"/>
            <w:gridSpan w:val="3"/>
            <w:noWrap w:val="0"/>
            <w:vAlign w:val="center"/>
          </w:tcPr>
          <w:p w14:paraId="79375036">
            <w:pPr>
              <w:spacing w:line="360" w:lineRule="auto"/>
              <w:jc w:val="center"/>
              <w:rPr>
                <w:rFonts w:ascii="宋体" w:hAnsi="宋体"/>
                <w:color w:val="auto"/>
                <w:szCs w:val="21"/>
              </w:rPr>
            </w:pPr>
          </w:p>
        </w:tc>
        <w:tc>
          <w:tcPr>
            <w:tcW w:w="1080" w:type="dxa"/>
            <w:gridSpan w:val="2"/>
            <w:noWrap w:val="0"/>
            <w:vAlign w:val="center"/>
          </w:tcPr>
          <w:p w14:paraId="6DAFE5E7">
            <w:pPr>
              <w:spacing w:line="360" w:lineRule="auto"/>
              <w:jc w:val="center"/>
              <w:rPr>
                <w:rFonts w:ascii="宋体" w:hAnsi="宋体"/>
                <w:color w:val="auto"/>
                <w:szCs w:val="21"/>
              </w:rPr>
            </w:pPr>
            <w:r>
              <w:rPr>
                <w:rFonts w:hint="eastAsia" w:ascii="宋体" w:hAnsi="宋体"/>
                <w:color w:val="auto"/>
                <w:szCs w:val="21"/>
              </w:rPr>
              <w:t>学历</w:t>
            </w:r>
          </w:p>
        </w:tc>
        <w:tc>
          <w:tcPr>
            <w:tcW w:w="2142" w:type="dxa"/>
            <w:gridSpan w:val="2"/>
            <w:noWrap w:val="0"/>
            <w:vAlign w:val="center"/>
          </w:tcPr>
          <w:p w14:paraId="7A3D8A9C">
            <w:pPr>
              <w:spacing w:line="360" w:lineRule="auto"/>
              <w:jc w:val="center"/>
              <w:rPr>
                <w:rFonts w:ascii="宋体" w:hAnsi="宋体"/>
                <w:color w:val="auto"/>
                <w:szCs w:val="21"/>
              </w:rPr>
            </w:pPr>
          </w:p>
        </w:tc>
      </w:tr>
      <w:tr w14:paraId="118E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3419" w:type="dxa"/>
            <w:gridSpan w:val="3"/>
            <w:noWrap w:val="0"/>
            <w:vAlign w:val="center"/>
          </w:tcPr>
          <w:p w14:paraId="403DB5CC">
            <w:pPr>
              <w:spacing w:line="360" w:lineRule="auto"/>
              <w:jc w:val="center"/>
              <w:rPr>
                <w:rFonts w:ascii="宋体" w:hAnsi="宋体"/>
                <w:color w:val="auto"/>
                <w:szCs w:val="21"/>
              </w:rPr>
            </w:pPr>
            <w:r>
              <w:rPr>
                <w:rFonts w:hint="eastAsia" w:ascii="宋体" w:hAnsi="宋体"/>
                <w:color w:val="auto"/>
                <w:szCs w:val="21"/>
              </w:rPr>
              <w:t>参加工作时间</w:t>
            </w:r>
          </w:p>
        </w:tc>
        <w:tc>
          <w:tcPr>
            <w:tcW w:w="1890" w:type="dxa"/>
            <w:gridSpan w:val="4"/>
            <w:noWrap w:val="0"/>
            <w:vAlign w:val="center"/>
          </w:tcPr>
          <w:p w14:paraId="1A1E5B92">
            <w:pPr>
              <w:spacing w:line="360" w:lineRule="auto"/>
              <w:jc w:val="center"/>
              <w:rPr>
                <w:rFonts w:ascii="宋体" w:hAnsi="宋体"/>
                <w:color w:val="auto"/>
                <w:szCs w:val="21"/>
              </w:rPr>
            </w:pPr>
          </w:p>
        </w:tc>
        <w:tc>
          <w:tcPr>
            <w:tcW w:w="2625" w:type="dxa"/>
            <w:gridSpan w:val="5"/>
            <w:noWrap w:val="0"/>
            <w:vAlign w:val="center"/>
          </w:tcPr>
          <w:p w14:paraId="61A5F2AF">
            <w:pPr>
              <w:spacing w:line="360" w:lineRule="auto"/>
              <w:jc w:val="center"/>
              <w:rPr>
                <w:rFonts w:ascii="宋体" w:hAnsi="宋体"/>
                <w:color w:val="auto"/>
                <w:szCs w:val="21"/>
              </w:rPr>
            </w:pPr>
            <w:r>
              <w:rPr>
                <w:rFonts w:hint="eastAsia" w:ascii="宋体" w:hAnsi="宋体"/>
                <w:color w:val="auto"/>
                <w:szCs w:val="21"/>
              </w:rPr>
              <w:t>担任负责人年限</w:t>
            </w:r>
          </w:p>
        </w:tc>
        <w:tc>
          <w:tcPr>
            <w:tcW w:w="1737" w:type="dxa"/>
            <w:noWrap w:val="0"/>
            <w:vAlign w:val="center"/>
          </w:tcPr>
          <w:p w14:paraId="4C1EE8F7">
            <w:pPr>
              <w:spacing w:line="360" w:lineRule="auto"/>
              <w:jc w:val="center"/>
              <w:rPr>
                <w:rFonts w:ascii="宋体" w:hAnsi="宋体"/>
                <w:color w:val="auto"/>
                <w:szCs w:val="21"/>
              </w:rPr>
            </w:pPr>
          </w:p>
        </w:tc>
      </w:tr>
      <w:tr w14:paraId="1CED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3419" w:type="dxa"/>
            <w:gridSpan w:val="3"/>
            <w:noWrap w:val="0"/>
            <w:vAlign w:val="center"/>
          </w:tcPr>
          <w:p w14:paraId="04A64B30">
            <w:pPr>
              <w:spacing w:line="360" w:lineRule="auto"/>
              <w:jc w:val="center"/>
              <w:rPr>
                <w:rFonts w:ascii="宋体" w:hAnsi="宋体"/>
                <w:color w:val="auto"/>
                <w:szCs w:val="21"/>
              </w:rPr>
            </w:pPr>
            <w:r>
              <w:rPr>
                <w:rFonts w:hint="eastAsia" w:ascii="宋体" w:hAnsi="宋体"/>
                <w:color w:val="auto"/>
                <w:szCs w:val="21"/>
              </w:rPr>
              <w:t>证书及证书编号</w:t>
            </w:r>
          </w:p>
        </w:tc>
        <w:tc>
          <w:tcPr>
            <w:tcW w:w="6252" w:type="dxa"/>
            <w:gridSpan w:val="10"/>
            <w:noWrap w:val="0"/>
            <w:vAlign w:val="center"/>
          </w:tcPr>
          <w:p w14:paraId="0F80CC4D">
            <w:pPr>
              <w:spacing w:line="360" w:lineRule="auto"/>
              <w:jc w:val="center"/>
              <w:rPr>
                <w:rFonts w:ascii="宋体" w:hAnsi="宋体"/>
                <w:color w:val="auto"/>
                <w:szCs w:val="21"/>
              </w:rPr>
            </w:pPr>
          </w:p>
        </w:tc>
      </w:tr>
      <w:tr w14:paraId="7739D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jc w:val="center"/>
        </w:trPr>
        <w:tc>
          <w:tcPr>
            <w:tcW w:w="9671" w:type="dxa"/>
            <w:gridSpan w:val="13"/>
            <w:noWrap w:val="0"/>
            <w:vAlign w:val="center"/>
          </w:tcPr>
          <w:p w14:paraId="0BCAC72E">
            <w:pPr>
              <w:spacing w:line="360" w:lineRule="auto"/>
              <w:jc w:val="center"/>
              <w:rPr>
                <w:rFonts w:ascii="宋体" w:hAnsi="宋体"/>
                <w:color w:val="auto"/>
                <w:szCs w:val="21"/>
              </w:rPr>
            </w:pPr>
            <w:r>
              <w:rPr>
                <w:rFonts w:hint="eastAsia" w:ascii="宋体" w:hAnsi="宋体"/>
                <w:color w:val="auto"/>
                <w:szCs w:val="21"/>
              </w:rPr>
              <w:t>在进行和已完项目情况</w:t>
            </w:r>
          </w:p>
        </w:tc>
      </w:tr>
      <w:tr w14:paraId="12A3F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2064" w:type="dxa"/>
            <w:gridSpan w:val="2"/>
            <w:noWrap w:val="0"/>
            <w:vAlign w:val="center"/>
          </w:tcPr>
          <w:p w14:paraId="7DF3BCAD">
            <w:pPr>
              <w:spacing w:line="360" w:lineRule="auto"/>
              <w:jc w:val="center"/>
              <w:rPr>
                <w:rFonts w:ascii="宋体" w:hAnsi="宋体"/>
                <w:color w:val="auto"/>
                <w:szCs w:val="21"/>
              </w:rPr>
            </w:pPr>
            <w:r>
              <w:rPr>
                <w:rFonts w:hint="eastAsia" w:ascii="宋体" w:hAnsi="宋体"/>
                <w:color w:val="auto"/>
                <w:szCs w:val="21"/>
              </w:rPr>
              <w:t>建设单位</w:t>
            </w:r>
          </w:p>
        </w:tc>
        <w:tc>
          <w:tcPr>
            <w:tcW w:w="1680" w:type="dxa"/>
            <w:gridSpan w:val="3"/>
            <w:noWrap w:val="0"/>
            <w:vAlign w:val="center"/>
          </w:tcPr>
          <w:p w14:paraId="7904E591">
            <w:pPr>
              <w:spacing w:line="276" w:lineRule="auto"/>
              <w:jc w:val="center"/>
              <w:rPr>
                <w:rFonts w:ascii="宋体" w:hAnsi="宋体"/>
                <w:color w:val="auto"/>
                <w:szCs w:val="21"/>
              </w:rPr>
            </w:pPr>
            <w:r>
              <w:rPr>
                <w:rFonts w:hint="eastAsia" w:ascii="宋体" w:hAnsi="宋体"/>
                <w:color w:val="auto"/>
                <w:szCs w:val="21"/>
              </w:rPr>
              <w:t>项目名称</w:t>
            </w:r>
          </w:p>
        </w:tc>
        <w:tc>
          <w:tcPr>
            <w:tcW w:w="1580" w:type="dxa"/>
            <w:gridSpan w:val="3"/>
            <w:noWrap w:val="0"/>
            <w:vAlign w:val="center"/>
          </w:tcPr>
          <w:p w14:paraId="3E269705">
            <w:pPr>
              <w:spacing w:line="276" w:lineRule="auto"/>
              <w:jc w:val="center"/>
              <w:rPr>
                <w:rFonts w:ascii="宋体" w:hAnsi="宋体"/>
                <w:color w:val="auto"/>
                <w:szCs w:val="21"/>
              </w:rPr>
            </w:pPr>
            <w:r>
              <w:rPr>
                <w:rFonts w:hint="eastAsia" w:ascii="宋体" w:hAnsi="宋体"/>
                <w:color w:val="auto"/>
                <w:szCs w:val="21"/>
              </w:rPr>
              <w:t>内容及规模</w:t>
            </w:r>
          </w:p>
        </w:tc>
        <w:tc>
          <w:tcPr>
            <w:tcW w:w="1560" w:type="dxa"/>
            <w:gridSpan w:val="2"/>
            <w:noWrap w:val="0"/>
            <w:vAlign w:val="center"/>
          </w:tcPr>
          <w:p w14:paraId="76229F0E">
            <w:pPr>
              <w:spacing w:line="276" w:lineRule="auto"/>
              <w:jc w:val="center"/>
              <w:rPr>
                <w:rFonts w:ascii="宋体" w:hAnsi="宋体"/>
                <w:color w:val="auto"/>
                <w:szCs w:val="21"/>
              </w:rPr>
            </w:pPr>
            <w:r>
              <w:rPr>
                <w:rFonts w:hint="eastAsia" w:ascii="宋体" w:hAnsi="宋体"/>
                <w:color w:val="auto"/>
                <w:szCs w:val="21"/>
              </w:rPr>
              <w:t>服务期限</w:t>
            </w:r>
          </w:p>
        </w:tc>
        <w:tc>
          <w:tcPr>
            <w:tcW w:w="2787" w:type="dxa"/>
            <w:gridSpan w:val="3"/>
            <w:noWrap w:val="0"/>
            <w:vAlign w:val="center"/>
          </w:tcPr>
          <w:p w14:paraId="3699D43F">
            <w:pPr>
              <w:spacing w:line="360" w:lineRule="auto"/>
              <w:jc w:val="center"/>
              <w:rPr>
                <w:rFonts w:ascii="宋体" w:hAnsi="宋体"/>
                <w:color w:val="auto"/>
                <w:szCs w:val="21"/>
              </w:rPr>
            </w:pPr>
            <w:r>
              <w:rPr>
                <w:rFonts w:hint="eastAsia" w:ascii="宋体" w:hAnsi="宋体"/>
                <w:color w:val="auto"/>
                <w:szCs w:val="21"/>
              </w:rPr>
              <w:t>合同金额</w:t>
            </w:r>
          </w:p>
        </w:tc>
      </w:tr>
      <w:tr w14:paraId="4B6F3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378694D2">
            <w:pPr>
              <w:spacing w:line="360" w:lineRule="auto"/>
              <w:jc w:val="center"/>
              <w:rPr>
                <w:rFonts w:ascii="宋体" w:hAnsi="宋体"/>
                <w:color w:val="auto"/>
                <w:szCs w:val="21"/>
              </w:rPr>
            </w:pPr>
          </w:p>
        </w:tc>
        <w:tc>
          <w:tcPr>
            <w:tcW w:w="1680" w:type="dxa"/>
            <w:gridSpan w:val="3"/>
            <w:noWrap w:val="0"/>
            <w:vAlign w:val="center"/>
          </w:tcPr>
          <w:p w14:paraId="6E091A87">
            <w:pPr>
              <w:spacing w:line="360" w:lineRule="auto"/>
              <w:jc w:val="center"/>
              <w:rPr>
                <w:rFonts w:ascii="宋体" w:hAnsi="宋体"/>
                <w:color w:val="auto"/>
                <w:szCs w:val="21"/>
              </w:rPr>
            </w:pPr>
          </w:p>
        </w:tc>
        <w:tc>
          <w:tcPr>
            <w:tcW w:w="1580" w:type="dxa"/>
            <w:gridSpan w:val="3"/>
            <w:noWrap w:val="0"/>
            <w:vAlign w:val="center"/>
          </w:tcPr>
          <w:p w14:paraId="081C42BC">
            <w:pPr>
              <w:spacing w:line="360" w:lineRule="auto"/>
              <w:jc w:val="center"/>
              <w:rPr>
                <w:rFonts w:ascii="宋体" w:hAnsi="宋体"/>
                <w:color w:val="auto"/>
                <w:szCs w:val="21"/>
              </w:rPr>
            </w:pPr>
          </w:p>
        </w:tc>
        <w:tc>
          <w:tcPr>
            <w:tcW w:w="1560" w:type="dxa"/>
            <w:gridSpan w:val="2"/>
            <w:noWrap w:val="0"/>
            <w:vAlign w:val="center"/>
          </w:tcPr>
          <w:p w14:paraId="3942AD09">
            <w:pPr>
              <w:spacing w:line="360" w:lineRule="auto"/>
              <w:jc w:val="center"/>
              <w:rPr>
                <w:rFonts w:ascii="宋体" w:hAnsi="宋体"/>
                <w:color w:val="auto"/>
                <w:szCs w:val="21"/>
              </w:rPr>
            </w:pPr>
          </w:p>
        </w:tc>
        <w:tc>
          <w:tcPr>
            <w:tcW w:w="2787" w:type="dxa"/>
            <w:gridSpan w:val="3"/>
            <w:noWrap w:val="0"/>
            <w:vAlign w:val="center"/>
          </w:tcPr>
          <w:p w14:paraId="4C700413">
            <w:pPr>
              <w:spacing w:line="360" w:lineRule="auto"/>
              <w:jc w:val="center"/>
              <w:rPr>
                <w:rFonts w:ascii="宋体" w:hAnsi="宋体"/>
                <w:color w:val="auto"/>
                <w:szCs w:val="21"/>
              </w:rPr>
            </w:pPr>
          </w:p>
        </w:tc>
      </w:tr>
      <w:tr w14:paraId="7A878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0CD33853">
            <w:pPr>
              <w:spacing w:line="360" w:lineRule="auto"/>
              <w:jc w:val="center"/>
              <w:rPr>
                <w:rFonts w:ascii="宋体" w:hAnsi="宋体"/>
                <w:color w:val="auto"/>
                <w:szCs w:val="21"/>
              </w:rPr>
            </w:pPr>
          </w:p>
        </w:tc>
        <w:tc>
          <w:tcPr>
            <w:tcW w:w="1680" w:type="dxa"/>
            <w:gridSpan w:val="3"/>
            <w:noWrap w:val="0"/>
            <w:vAlign w:val="center"/>
          </w:tcPr>
          <w:p w14:paraId="01117117">
            <w:pPr>
              <w:spacing w:line="360" w:lineRule="auto"/>
              <w:jc w:val="center"/>
              <w:rPr>
                <w:rFonts w:ascii="宋体" w:hAnsi="宋体"/>
                <w:color w:val="auto"/>
                <w:szCs w:val="21"/>
              </w:rPr>
            </w:pPr>
          </w:p>
        </w:tc>
        <w:tc>
          <w:tcPr>
            <w:tcW w:w="1580" w:type="dxa"/>
            <w:gridSpan w:val="3"/>
            <w:noWrap w:val="0"/>
            <w:vAlign w:val="center"/>
          </w:tcPr>
          <w:p w14:paraId="39424F26">
            <w:pPr>
              <w:spacing w:line="360" w:lineRule="auto"/>
              <w:jc w:val="center"/>
              <w:rPr>
                <w:rFonts w:ascii="宋体" w:hAnsi="宋体"/>
                <w:color w:val="auto"/>
                <w:szCs w:val="21"/>
              </w:rPr>
            </w:pPr>
          </w:p>
        </w:tc>
        <w:tc>
          <w:tcPr>
            <w:tcW w:w="1560" w:type="dxa"/>
            <w:gridSpan w:val="2"/>
            <w:noWrap w:val="0"/>
            <w:vAlign w:val="center"/>
          </w:tcPr>
          <w:p w14:paraId="0D743804">
            <w:pPr>
              <w:spacing w:line="360" w:lineRule="auto"/>
              <w:jc w:val="center"/>
              <w:rPr>
                <w:rFonts w:ascii="宋体" w:hAnsi="宋体"/>
                <w:color w:val="auto"/>
                <w:szCs w:val="21"/>
              </w:rPr>
            </w:pPr>
          </w:p>
        </w:tc>
        <w:tc>
          <w:tcPr>
            <w:tcW w:w="2787" w:type="dxa"/>
            <w:gridSpan w:val="3"/>
            <w:noWrap w:val="0"/>
            <w:vAlign w:val="center"/>
          </w:tcPr>
          <w:p w14:paraId="7F52FB79">
            <w:pPr>
              <w:spacing w:line="360" w:lineRule="auto"/>
              <w:jc w:val="center"/>
              <w:rPr>
                <w:rFonts w:ascii="宋体" w:hAnsi="宋体"/>
                <w:color w:val="auto"/>
                <w:szCs w:val="21"/>
              </w:rPr>
            </w:pPr>
          </w:p>
        </w:tc>
      </w:tr>
      <w:tr w14:paraId="31F76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65C5F9FE">
            <w:pPr>
              <w:spacing w:line="360" w:lineRule="auto"/>
              <w:jc w:val="center"/>
              <w:rPr>
                <w:rFonts w:ascii="宋体" w:hAnsi="宋体"/>
                <w:color w:val="auto"/>
                <w:szCs w:val="21"/>
              </w:rPr>
            </w:pPr>
          </w:p>
        </w:tc>
        <w:tc>
          <w:tcPr>
            <w:tcW w:w="1680" w:type="dxa"/>
            <w:gridSpan w:val="3"/>
            <w:noWrap w:val="0"/>
            <w:vAlign w:val="center"/>
          </w:tcPr>
          <w:p w14:paraId="2C6E8B0E">
            <w:pPr>
              <w:spacing w:line="360" w:lineRule="auto"/>
              <w:jc w:val="center"/>
              <w:rPr>
                <w:rFonts w:ascii="宋体" w:hAnsi="宋体"/>
                <w:color w:val="auto"/>
                <w:szCs w:val="21"/>
              </w:rPr>
            </w:pPr>
          </w:p>
        </w:tc>
        <w:tc>
          <w:tcPr>
            <w:tcW w:w="1580" w:type="dxa"/>
            <w:gridSpan w:val="3"/>
            <w:noWrap w:val="0"/>
            <w:vAlign w:val="center"/>
          </w:tcPr>
          <w:p w14:paraId="5FAFC8CF">
            <w:pPr>
              <w:spacing w:line="360" w:lineRule="auto"/>
              <w:jc w:val="center"/>
              <w:rPr>
                <w:rFonts w:ascii="宋体" w:hAnsi="宋体"/>
                <w:color w:val="auto"/>
                <w:szCs w:val="21"/>
              </w:rPr>
            </w:pPr>
          </w:p>
        </w:tc>
        <w:tc>
          <w:tcPr>
            <w:tcW w:w="1560" w:type="dxa"/>
            <w:gridSpan w:val="2"/>
            <w:noWrap w:val="0"/>
            <w:vAlign w:val="center"/>
          </w:tcPr>
          <w:p w14:paraId="22E87E86">
            <w:pPr>
              <w:spacing w:line="360" w:lineRule="auto"/>
              <w:jc w:val="center"/>
              <w:rPr>
                <w:rFonts w:ascii="宋体" w:hAnsi="宋体"/>
                <w:color w:val="auto"/>
                <w:szCs w:val="21"/>
              </w:rPr>
            </w:pPr>
          </w:p>
        </w:tc>
        <w:tc>
          <w:tcPr>
            <w:tcW w:w="2787" w:type="dxa"/>
            <w:gridSpan w:val="3"/>
            <w:noWrap w:val="0"/>
            <w:vAlign w:val="center"/>
          </w:tcPr>
          <w:p w14:paraId="7AF57BAD">
            <w:pPr>
              <w:spacing w:line="360" w:lineRule="auto"/>
              <w:jc w:val="center"/>
              <w:rPr>
                <w:rFonts w:ascii="宋体" w:hAnsi="宋体"/>
                <w:color w:val="auto"/>
                <w:szCs w:val="21"/>
              </w:rPr>
            </w:pPr>
          </w:p>
        </w:tc>
      </w:tr>
      <w:tr w14:paraId="077D1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40B1FC52">
            <w:pPr>
              <w:spacing w:line="360" w:lineRule="auto"/>
              <w:jc w:val="center"/>
              <w:rPr>
                <w:rFonts w:ascii="宋体" w:hAnsi="宋体"/>
                <w:color w:val="auto"/>
                <w:szCs w:val="21"/>
              </w:rPr>
            </w:pPr>
          </w:p>
        </w:tc>
        <w:tc>
          <w:tcPr>
            <w:tcW w:w="1680" w:type="dxa"/>
            <w:gridSpan w:val="3"/>
            <w:noWrap w:val="0"/>
            <w:vAlign w:val="center"/>
          </w:tcPr>
          <w:p w14:paraId="741E487E">
            <w:pPr>
              <w:spacing w:line="360" w:lineRule="auto"/>
              <w:jc w:val="center"/>
              <w:rPr>
                <w:rFonts w:ascii="宋体" w:hAnsi="宋体"/>
                <w:color w:val="auto"/>
                <w:szCs w:val="21"/>
              </w:rPr>
            </w:pPr>
          </w:p>
        </w:tc>
        <w:tc>
          <w:tcPr>
            <w:tcW w:w="1580" w:type="dxa"/>
            <w:gridSpan w:val="3"/>
            <w:noWrap w:val="0"/>
            <w:vAlign w:val="center"/>
          </w:tcPr>
          <w:p w14:paraId="6D460396">
            <w:pPr>
              <w:spacing w:line="360" w:lineRule="auto"/>
              <w:jc w:val="center"/>
              <w:rPr>
                <w:rFonts w:ascii="宋体" w:hAnsi="宋体"/>
                <w:color w:val="auto"/>
                <w:szCs w:val="21"/>
              </w:rPr>
            </w:pPr>
          </w:p>
        </w:tc>
        <w:tc>
          <w:tcPr>
            <w:tcW w:w="1560" w:type="dxa"/>
            <w:gridSpan w:val="2"/>
            <w:noWrap w:val="0"/>
            <w:vAlign w:val="center"/>
          </w:tcPr>
          <w:p w14:paraId="662EB22E">
            <w:pPr>
              <w:spacing w:line="360" w:lineRule="auto"/>
              <w:jc w:val="center"/>
              <w:rPr>
                <w:rFonts w:ascii="宋体" w:hAnsi="宋体"/>
                <w:color w:val="auto"/>
                <w:szCs w:val="21"/>
              </w:rPr>
            </w:pPr>
          </w:p>
        </w:tc>
        <w:tc>
          <w:tcPr>
            <w:tcW w:w="2787" w:type="dxa"/>
            <w:gridSpan w:val="3"/>
            <w:noWrap w:val="0"/>
            <w:vAlign w:val="center"/>
          </w:tcPr>
          <w:p w14:paraId="22D58ADD">
            <w:pPr>
              <w:spacing w:line="360" w:lineRule="auto"/>
              <w:jc w:val="center"/>
              <w:rPr>
                <w:rFonts w:ascii="宋体" w:hAnsi="宋体"/>
                <w:color w:val="auto"/>
                <w:szCs w:val="21"/>
              </w:rPr>
            </w:pPr>
          </w:p>
        </w:tc>
      </w:tr>
      <w:tr w14:paraId="118B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583F5C64">
            <w:pPr>
              <w:spacing w:line="360" w:lineRule="auto"/>
              <w:jc w:val="center"/>
              <w:rPr>
                <w:rFonts w:ascii="宋体" w:hAnsi="宋体"/>
                <w:color w:val="auto"/>
                <w:szCs w:val="21"/>
              </w:rPr>
            </w:pPr>
          </w:p>
        </w:tc>
        <w:tc>
          <w:tcPr>
            <w:tcW w:w="1680" w:type="dxa"/>
            <w:gridSpan w:val="3"/>
            <w:noWrap w:val="0"/>
            <w:vAlign w:val="center"/>
          </w:tcPr>
          <w:p w14:paraId="422D547E">
            <w:pPr>
              <w:spacing w:line="360" w:lineRule="auto"/>
              <w:jc w:val="center"/>
              <w:rPr>
                <w:rFonts w:ascii="宋体" w:hAnsi="宋体"/>
                <w:color w:val="auto"/>
                <w:szCs w:val="21"/>
              </w:rPr>
            </w:pPr>
          </w:p>
        </w:tc>
        <w:tc>
          <w:tcPr>
            <w:tcW w:w="1580" w:type="dxa"/>
            <w:gridSpan w:val="3"/>
            <w:noWrap w:val="0"/>
            <w:vAlign w:val="center"/>
          </w:tcPr>
          <w:p w14:paraId="57581324">
            <w:pPr>
              <w:spacing w:line="360" w:lineRule="auto"/>
              <w:jc w:val="center"/>
              <w:rPr>
                <w:rFonts w:ascii="宋体" w:hAnsi="宋体"/>
                <w:color w:val="auto"/>
                <w:szCs w:val="21"/>
              </w:rPr>
            </w:pPr>
          </w:p>
        </w:tc>
        <w:tc>
          <w:tcPr>
            <w:tcW w:w="1560" w:type="dxa"/>
            <w:gridSpan w:val="2"/>
            <w:noWrap w:val="0"/>
            <w:vAlign w:val="center"/>
          </w:tcPr>
          <w:p w14:paraId="3105B014">
            <w:pPr>
              <w:spacing w:line="360" w:lineRule="auto"/>
              <w:jc w:val="center"/>
              <w:rPr>
                <w:rFonts w:ascii="宋体" w:hAnsi="宋体"/>
                <w:color w:val="auto"/>
                <w:szCs w:val="21"/>
              </w:rPr>
            </w:pPr>
          </w:p>
        </w:tc>
        <w:tc>
          <w:tcPr>
            <w:tcW w:w="2787" w:type="dxa"/>
            <w:gridSpan w:val="3"/>
            <w:noWrap w:val="0"/>
            <w:vAlign w:val="center"/>
          </w:tcPr>
          <w:p w14:paraId="42574D2F">
            <w:pPr>
              <w:spacing w:line="360" w:lineRule="auto"/>
              <w:jc w:val="center"/>
              <w:rPr>
                <w:rFonts w:ascii="宋体" w:hAnsi="宋体"/>
                <w:color w:val="auto"/>
                <w:szCs w:val="21"/>
              </w:rPr>
            </w:pPr>
          </w:p>
        </w:tc>
      </w:tr>
      <w:tr w14:paraId="09585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13D3CEB3">
            <w:pPr>
              <w:spacing w:line="360" w:lineRule="auto"/>
              <w:jc w:val="center"/>
              <w:rPr>
                <w:rFonts w:ascii="宋体" w:hAnsi="宋体"/>
                <w:color w:val="auto"/>
                <w:szCs w:val="21"/>
              </w:rPr>
            </w:pPr>
          </w:p>
        </w:tc>
        <w:tc>
          <w:tcPr>
            <w:tcW w:w="1680" w:type="dxa"/>
            <w:gridSpan w:val="3"/>
            <w:noWrap w:val="0"/>
            <w:vAlign w:val="center"/>
          </w:tcPr>
          <w:p w14:paraId="6DFAD1DE">
            <w:pPr>
              <w:spacing w:line="360" w:lineRule="auto"/>
              <w:jc w:val="center"/>
              <w:rPr>
                <w:rFonts w:ascii="宋体" w:hAnsi="宋体"/>
                <w:color w:val="auto"/>
                <w:szCs w:val="21"/>
              </w:rPr>
            </w:pPr>
          </w:p>
        </w:tc>
        <w:tc>
          <w:tcPr>
            <w:tcW w:w="1580" w:type="dxa"/>
            <w:gridSpan w:val="3"/>
            <w:noWrap w:val="0"/>
            <w:vAlign w:val="center"/>
          </w:tcPr>
          <w:p w14:paraId="613DF8BE">
            <w:pPr>
              <w:spacing w:line="360" w:lineRule="auto"/>
              <w:jc w:val="center"/>
              <w:rPr>
                <w:rFonts w:ascii="宋体" w:hAnsi="宋体"/>
                <w:color w:val="auto"/>
                <w:szCs w:val="21"/>
              </w:rPr>
            </w:pPr>
          </w:p>
        </w:tc>
        <w:tc>
          <w:tcPr>
            <w:tcW w:w="1560" w:type="dxa"/>
            <w:gridSpan w:val="2"/>
            <w:noWrap w:val="0"/>
            <w:vAlign w:val="center"/>
          </w:tcPr>
          <w:p w14:paraId="17008127">
            <w:pPr>
              <w:spacing w:line="360" w:lineRule="auto"/>
              <w:jc w:val="center"/>
              <w:rPr>
                <w:rFonts w:ascii="宋体" w:hAnsi="宋体"/>
                <w:color w:val="auto"/>
                <w:szCs w:val="21"/>
              </w:rPr>
            </w:pPr>
          </w:p>
        </w:tc>
        <w:tc>
          <w:tcPr>
            <w:tcW w:w="2787" w:type="dxa"/>
            <w:gridSpan w:val="3"/>
            <w:noWrap w:val="0"/>
            <w:vAlign w:val="center"/>
          </w:tcPr>
          <w:p w14:paraId="422E32CE">
            <w:pPr>
              <w:spacing w:line="360" w:lineRule="auto"/>
              <w:jc w:val="center"/>
              <w:rPr>
                <w:rFonts w:ascii="宋体" w:hAnsi="宋体"/>
                <w:color w:val="auto"/>
                <w:szCs w:val="21"/>
              </w:rPr>
            </w:pPr>
          </w:p>
        </w:tc>
      </w:tr>
      <w:tr w14:paraId="134D9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5383A3D9">
            <w:pPr>
              <w:spacing w:line="360" w:lineRule="auto"/>
              <w:jc w:val="center"/>
              <w:rPr>
                <w:rFonts w:ascii="宋体" w:hAnsi="宋体"/>
                <w:color w:val="auto"/>
                <w:szCs w:val="21"/>
              </w:rPr>
            </w:pPr>
          </w:p>
        </w:tc>
        <w:tc>
          <w:tcPr>
            <w:tcW w:w="1680" w:type="dxa"/>
            <w:gridSpan w:val="3"/>
            <w:noWrap w:val="0"/>
            <w:vAlign w:val="center"/>
          </w:tcPr>
          <w:p w14:paraId="287AC498">
            <w:pPr>
              <w:spacing w:line="360" w:lineRule="auto"/>
              <w:jc w:val="center"/>
              <w:rPr>
                <w:rFonts w:ascii="宋体" w:hAnsi="宋体"/>
                <w:color w:val="auto"/>
                <w:szCs w:val="21"/>
              </w:rPr>
            </w:pPr>
          </w:p>
        </w:tc>
        <w:tc>
          <w:tcPr>
            <w:tcW w:w="1580" w:type="dxa"/>
            <w:gridSpan w:val="3"/>
            <w:noWrap w:val="0"/>
            <w:vAlign w:val="center"/>
          </w:tcPr>
          <w:p w14:paraId="5F8C7CF7">
            <w:pPr>
              <w:spacing w:line="360" w:lineRule="auto"/>
              <w:jc w:val="center"/>
              <w:rPr>
                <w:rFonts w:ascii="宋体" w:hAnsi="宋体"/>
                <w:color w:val="auto"/>
                <w:szCs w:val="21"/>
              </w:rPr>
            </w:pPr>
          </w:p>
        </w:tc>
        <w:tc>
          <w:tcPr>
            <w:tcW w:w="1560" w:type="dxa"/>
            <w:gridSpan w:val="2"/>
            <w:noWrap w:val="0"/>
            <w:vAlign w:val="center"/>
          </w:tcPr>
          <w:p w14:paraId="50E853BC">
            <w:pPr>
              <w:spacing w:line="360" w:lineRule="auto"/>
              <w:jc w:val="center"/>
              <w:rPr>
                <w:rFonts w:ascii="宋体" w:hAnsi="宋体"/>
                <w:color w:val="auto"/>
                <w:szCs w:val="21"/>
              </w:rPr>
            </w:pPr>
          </w:p>
        </w:tc>
        <w:tc>
          <w:tcPr>
            <w:tcW w:w="2787" w:type="dxa"/>
            <w:gridSpan w:val="3"/>
            <w:noWrap w:val="0"/>
            <w:vAlign w:val="center"/>
          </w:tcPr>
          <w:p w14:paraId="7AF577A5">
            <w:pPr>
              <w:spacing w:line="360" w:lineRule="auto"/>
              <w:jc w:val="center"/>
              <w:rPr>
                <w:rFonts w:ascii="宋体" w:hAnsi="宋体"/>
                <w:color w:val="auto"/>
                <w:szCs w:val="21"/>
              </w:rPr>
            </w:pPr>
          </w:p>
        </w:tc>
      </w:tr>
      <w:tr w14:paraId="235B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2A3E6736">
            <w:pPr>
              <w:spacing w:line="360" w:lineRule="auto"/>
              <w:jc w:val="center"/>
              <w:rPr>
                <w:rFonts w:ascii="宋体" w:hAnsi="宋体"/>
                <w:color w:val="auto"/>
                <w:szCs w:val="21"/>
              </w:rPr>
            </w:pPr>
          </w:p>
        </w:tc>
        <w:tc>
          <w:tcPr>
            <w:tcW w:w="1680" w:type="dxa"/>
            <w:gridSpan w:val="3"/>
            <w:noWrap w:val="0"/>
            <w:vAlign w:val="center"/>
          </w:tcPr>
          <w:p w14:paraId="0A553417">
            <w:pPr>
              <w:spacing w:line="360" w:lineRule="auto"/>
              <w:jc w:val="center"/>
              <w:rPr>
                <w:rFonts w:ascii="宋体" w:hAnsi="宋体"/>
                <w:color w:val="auto"/>
                <w:szCs w:val="21"/>
              </w:rPr>
            </w:pPr>
          </w:p>
        </w:tc>
        <w:tc>
          <w:tcPr>
            <w:tcW w:w="1580" w:type="dxa"/>
            <w:gridSpan w:val="3"/>
            <w:noWrap w:val="0"/>
            <w:vAlign w:val="center"/>
          </w:tcPr>
          <w:p w14:paraId="38621B4B">
            <w:pPr>
              <w:spacing w:line="360" w:lineRule="auto"/>
              <w:jc w:val="center"/>
              <w:rPr>
                <w:rFonts w:ascii="宋体" w:hAnsi="宋体"/>
                <w:color w:val="auto"/>
                <w:szCs w:val="21"/>
              </w:rPr>
            </w:pPr>
          </w:p>
        </w:tc>
        <w:tc>
          <w:tcPr>
            <w:tcW w:w="1560" w:type="dxa"/>
            <w:gridSpan w:val="2"/>
            <w:noWrap w:val="0"/>
            <w:vAlign w:val="center"/>
          </w:tcPr>
          <w:p w14:paraId="783485BB">
            <w:pPr>
              <w:spacing w:line="360" w:lineRule="auto"/>
              <w:jc w:val="center"/>
              <w:rPr>
                <w:rFonts w:ascii="宋体" w:hAnsi="宋体"/>
                <w:color w:val="auto"/>
                <w:szCs w:val="21"/>
              </w:rPr>
            </w:pPr>
          </w:p>
        </w:tc>
        <w:tc>
          <w:tcPr>
            <w:tcW w:w="2787" w:type="dxa"/>
            <w:gridSpan w:val="3"/>
            <w:noWrap w:val="0"/>
            <w:vAlign w:val="center"/>
          </w:tcPr>
          <w:p w14:paraId="6895417B">
            <w:pPr>
              <w:spacing w:line="360" w:lineRule="auto"/>
              <w:jc w:val="center"/>
              <w:rPr>
                <w:rFonts w:ascii="宋体" w:hAnsi="宋体"/>
                <w:color w:val="auto"/>
                <w:szCs w:val="21"/>
              </w:rPr>
            </w:pPr>
          </w:p>
        </w:tc>
      </w:tr>
      <w:tr w14:paraId="3CF7A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1772DE08">
            <w:pPr>
              <w:spacing w:line="360" w:lineRule="auto"/>
              <w:jc w:val="center"/>
              <w:rPr>
                <w:rFonts w:ascii="宋体" w:hAnsi="宋体"/>
                <w:color w:val="auto"/>
                <w:szCs w:val="21"/>
              </w:rPr>
            </w:pPr>
          </w:p>
        </w:tc>
        <w:tc>
          <w:tcPr>
            <w:tcW w:w="1680" w:type="dxa"/>
            <w:gridSpan w:val="3"/>
            <w:noWrap w:val="0"/>
            <w:vAlign w:val="center"/>
          </w:tcPr>
          <w:p w14:paraId="2622AB17">
            <w:pPr>
              <w:spacing w:line="360" w:lineRule="auto"/>
              <w:jc w:val="center"/>
              <w:rPr>
                <w:rFonts w:ascii="宋体" w:hAnsi="宋体"/>
                <w:color w:val="auto"/>
                <w:szCs w:val="21"/>
              </w:rPr>
            </w:pPr>
          </w:p>
        </w:tc>
        <w:tc>
          <w:tcPr>
            <w:tcW w:w="1580" w:type="dxa"/>
            <w:gridSpan w:val="3"/>
            <w:noWrap w:val="0"/>
            <w:vAlign w:val="center"/>
          </w:tcPr>
          <w:p w14:paraId="6EBEE732">
            <w:pPr>
              <w:spacing w:line="360" w:lineRule="auto"/>
              <w:jc w:val="center"/>
              <w:rPr>
                <w:rFonts w:ascii="宋体" w:hAnsi="宋体"/>
                <w:color w:val="auto"/>
                <w:szCs w:val="21"/>
              </w:rPr>
            </w:pPr>
          </w:p>
        </w:tc>
        <w:tc>
          <w:tcPr>
            <w:tcW w:w="1560" w:type="dxa"/>
            <w:gridSpan w:val="2"/>
            <w:noWrap w:val="0"/>
            <w:vAlign w:val="center"/>
          </w:tcPr>
          <w:p w14:paraId="02D83D8E">
            <w:pPr>
              <w:spacing w:line="360" w:lineRule="auto"/>
              <w:jc w:val="center"/>
              <w:rPr>
                <w:rFonts w:ascii="宋体" w:hAnsi="宋体"/>
                <w:color w:val="auto"/>
                <w:szCs w:val="21"/>
              </w:rPr>
            </w:pPr>
          </w:p>
        </w:tc>
        <w:tc>
          <w:tcPr>
            <w:tcW w:w="2787" w:type="dxa"/>
            <w:gridSpan w:val="3"/>
            <w:noWrap w:val="0"/>
            <w:vAlign w:val="center"/>
          </w:tcPr>
          <w:p w14:paraId="17BA6B20">
            <w:pPr>
              <w:spacing w:line="360" w:lineRule="auto"/>
              <w:jc w:val="center"/>
              <w:rPr>
                <w:rFonts w:ascii="宋体" w:hAnsi="宋体"/>
                <w:color w:val="auto"/>
                <w:szCs w:val="21"/>
              </w:rPr>
            </w:pPr>
          </w:p>
        </w:tc>
      </w:tr>
      <w:tr w14:paraId="2ABD2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251FC2A5">
            <w:pPr>
              <w:spacing w:line="360" w:lineRule="auto"/>
              <w:jc w:val="center"/>
              <w:rPr>
                <w:rFonts w:ascii="宋体" w:hAnsi="宋体"/>
                <w:color w:val="auto"/>
                <w:szCs w:val="21"/>
              </w:rPr>
            </w:pPr>
          </w:p>
        </w:tc>
        <w:tc>
          <w:tcPr>
            <w:tcW w:w="1680" w:type="dxa"/>
            <w:gridSpan w:val="3"/>
            <w:noWrap w:val="0"/>
            <w:vAlign w:val="center"/>
          </w:tcPr>
          <w:p w14:paraId="3568AD26">
            <w:pPr>
              <w:spacing w:line="360" w:lineRule="auto"/>
              <w:jc w:val="center"/>
              <w:rPr>
                <w:rFonts w:ascii="宋体" w:hAnsi="宋体"/>
                <w:color w:val="auto"/>
                <w:szCs w:val="21"/>
              </w:rPr>
            </w:pPr>
          </w:p>
        </w:tc>
        <w:tc>
          <w:tcPr>
            <w:tcW w:w="1580" w:type="dxa"/>
            <w:gridSpan w:val="3"/>
            <w:noWrap w:val="0"/>
            <w:vAlign w:val="center"/>
          </w:tcPr>
          <w:p w14:paraId="47F85C4F">
            <w:pPr>
              <w:spacing w:line="360" w:lineRule="auto"/>
              <w:jc w:val="center"/>
              <w:rPr>
                <w:rFonts w:ascii="宋体" w:hAnsi="宋体"/>
                <w:color w:val="auto"/>
                <w:szCs w:val="21"/>
              </w:rPr>
            </w:pPr>
          </w:p>
        </w:tc>
        <w:tc>
          <w:tcPr>
            <w:tcW w:w="1560" w:type="dxa"/>
            <w:gridSpan w:val="2"/>
            <w:noWrap w:val="0"/>
            <w:vAlign w:val="center"/>
          </w:tcPr>
          <w:p w14:paraId="6A0C9D30">
            <w:pPr>
              <w:spacing w:line="360" w:lineRule="auto"/>
              <w:jc w:val="center"/>
              <w:rPr>
                <w:rFonts w:ascii="宋体" w:hAnsi="宋体"/>
                <w:color w:val="auto"/>
                <w:szCs w:val="21"/>
              </w:rPr>
            </w:pPr>
          </w:p>
        </w:tc>
        <w:tc>
          <w:tcPr>
            <w:tcW w:w="2787" w:type="dxa"/>
            <w:gridSpan w:val="3"/>
            <w:noWrap w:val="0"/>
            <w:vAlign w:val="center"/>
          </w:tcPr>
          <w:p w14:paraId="1E3D50E9">
            <w:pPr>
              <w:spacing w:line="360" w:lineRule="auto"/>
              <w:jc w:val="center"/>
              <w:rPr>
                <w:rFonts w:ascii="宋体" w:hAnsi="宋体"/>
                <w:color w:val="auto"/>
                <w:szCs w:val="21"/>
              </w:rPr>
            </w:pPr>
          </w:p>
        </w:tc>
      </w:tr>
    </w:tbl>
    <w:p w14:paraId="4A098FD9">
      <w:pPr>
        <w:spacing w:line="360" w:lineRule="auto"/>
        <w:rPr>
          <w:rFonts w:hint="eastAsia" w:ascii="宋体" w:hAnsi="宋体"/>
          <w:b/>
          <w:color w:val="auto"/>
          <w:szCs w:val="21"/>
        </w:rPr>
      </w:pPr>
      <w:r>
        <w:rPr>
          <w:rFonts w:hint="eastAsia" w:ascii="宋体" w:hAnsi="宋体"/>
          <w:b/>
          <w:color w:val="auto"/>
          <w:szCs w:val="21"/>
        </w:rPr>
        <w:t>注：附身份证、职称证（若有）、注册证、社保缴纳证明的扫描件。</w:t>
      </w:r>
    </w:p>
    <w:p w14:paraId="702EDC24">
      <w:pPr>
        <w:pStyle w:val="4"/>
        <w:adjustRightInd w:val="0"/>
        <w:snapToGrid w:val="0"/>
        <w:spacing w:before="0" w:after="0"/>
        <w:ind w:firstLine="0" w:firstLineChars="0"/>
        <w:jc w:val="center"/>
        <w:rPr>
          <w:rFonts w:hint="eastAsia" w:hAnsi="宋体"/>
          <w:color w:val="auto"/>
          <w:sz w:val="21"/>
          <w:szCs w:val="21"/>
        </w:rPr>
      </w:pPr>
      <w:r>
        <w:rPr>
          <w:rFonts w:hAnsi="宋体"/>
          <w:color w:val="auto"/>
          <w:sz w:val="21"/>
          <w:szCs w:val="21"/>
        </w:rPr>
        <w:br w:type="page"/>
      </w:r>
      <w:r>
        <w:rPr>
          <w:rFonts w:hint="eastAsia" w:ascii="宋体" w:hAnsi="宋体" w:eastAsia="宋体" w:cs="宋体"/>
          <w:b/>
          <w:bCs/>
          <w:color w:val="auto"/>
          <w:sz w:val="21"/>
          <w:szCs w:val="21"/>
        </w:rPr>
        <w:t>设计项目组人员表</w:t>
      </w:r>
    </w:p>
    <w:tbl>
      <w:tblPr>
        <w:tblStyle w:val="31"/>
        <w:tblW w:w="92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830"/>
        <w:gridCol w:w="734"/>
        <w:gridCol w:w="1837"/>
        <w:gridCol w:w="1452"/>
        <w:gridCol w:w="1462"/>
        <w:gridCol w:w="1417"/>
        <w:gridCol w:w="815"/>
      </w:tblGrid>
      <w:tr w14:paraId="2655A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Merge w:val="restart"/>
            <w:noWrap w:val="0"/>
            <w:vAlign w:val="center"/>
          </w:tcPr>
          <w:p w14:paraId="47BDA936">
            <w:pPr>
              <w:autoSpaceDE w:val="0"/>
              <w:autoSpaceDN w:val="0"/>
              <w:adjustRightInd w:val="0"/>
              <w:spacing w:line="520" w:lineRule="exact"/>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职务</w:t>
            </w:r>
          </w:p>
        </w:tc>
        <w:tc>
          <w:tcPr>
            <w:tcW w:w="830" w:type="dxa"/>
            <w:vMerge w:val="restart"/>
            <w:noWrap w:val="0"/>
            <w:vAlign w:val="center"/>
          </w:tcPr>
          <w:p w14:paraId="4AF1BEFE">
            <w:pPr>
              <w:autoSpaceDE w:val="0"/>
              <w:autoSpaceDN w:val="0"/>
              <w:adjustRightInd w:val="0"/>
              <w:spacing w:line="520" w:lineRule="exact"/>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姓名</w:t>
            </w:r>
          </w:p>
        </w:tc>
        <w:tc>
          <w:tcPr>
            <w:tcW w:w="734" w:type="dxa"/>
            <w:vMerge w:val="restart"/>
            <w:noWrap w:val="0"/>
            <w:vAlign w:val="center"/>
          </w:tcPr>
          <w:p w14:paraId="44CF4422">
            <w:pPr>
              <w:autoSpaceDE w:val="0"/>
              <w:autoSpaceDN w:val="0"/>
              <w:adjustRightInd w:val="0"/>
              <w:spacing w:line="520" w:lineRule="exact"/>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职称</w:t>
            </w:r>
          </w:p>
        </w:tc>
        <w:tc>
          <w:tcPr>
            <w:tcW w:w="6168" w:type="dxa"/>
            <w:gridSpan w:val="4"/>
            <w:noWrap w:val="0"/>
            <w:vAlign w:val="center"/>
          </w:tcPr>
          <w:p w14:paraId="010B81A6">
            <w:pPr>
              <w:autoSpaceDE w:val="0"/>
              <w:autoSpaceDN w:val="0"/>
              <w:adjustRightInd w:val="0"/>
              <w:spacing w:line="520" w:lineRule="exact"/>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执业或职业资格证明</w:t>
            </w:r>
          </w:p>
        </w:tc>
        <w:tc>
          <w:tcPr>
            <w:tcW w:w="815" w:type="dxa"/>
            <w:vMerge w:val="restart"/>
            <w:noWrap w:val="0"/>
            <w:vAlign w:val="center"/>
          </w:tcPr>
          <w:p w14:paraId="312C85B2">
            <w:pPr>
              <w:autoSpaceDE w:val="0"/>
              <w:autoSpaceDN w:val="0"/>
              <w:adjustRightInd w:val="0"/>
              <w:spacing w:line="520" w:lineRule="exact"/>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备注</w:t>
            </w:r>
          </w:p>
        </w:tc>
      </w:tr>
      <w:tr w14:paraId="07934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Merge w:val="continue"/>
            <w:noWrap w:val="0"/>
            <w:vAlign w:val="center"/>
          </w:tcPr>
          <w:p w14:paraId="15E94F6D">
            <w:pPr>
              <w:autoSpaceDE w:val="0"/>
              <w:autoSpaceDN w:val="0"/>
              <w:adjustRightInd w:val="0"/>
              <w:spacing w:line="520" w:lineRule="exact"/>
              <w:jc w:val="center"/>
              <w:rPr>
                <w:rFonts w:hint="eastAsia" w:ascii="宋体" w:hAnsi="宋体" w:eastAsia="宋体" w:cs="宋体"/>
                <w:b/>
                <w:color w:val="auto"/>
                <w:kern w:val="0"/>
                <w:sz w:val="21"/>
                <w:szCs w:val="21"/>
              </w:rPr>
            </w:pPr>
          </w:p>
        </w:tc>
        <w:tc>
          <w:tcPr>
            <w:tcW w:w="830" w:type="dxa"/>
            <w:vMerge w:val="continue"/>
            <w:noWrap w:val="0"/>
            <w:vAlign w:val="center"/>
          </w:tcPr>
          <w:p w14:paraId="2A65F504">
            <w:pPr>
              <w:autoSpaceDE w:val="0"/>
              <w:autoSpaceDN w:val="0"/>
              <w:adjustRightInd w:val="0"/>
              <w:spacing w:line="520" w:lineRule="exact"/>
              <w:jc w:val="center"/>
              <w:rPr>
                <w:rFonts w:hint="eastAsia" w:ascii="宋体" w:hAnsi="宋体" w:eastAsia="宋体" w:cs="宋体"/>
                <w:b/>
                <w:color w:val="auto"/>
                <w:kern w:val="0"/>
                <w:sz w:val="21"/>
                <w:szCs w:val="21"/>
              </w:rPr>
            </w:pPr>
          </w:p>
        </w:tc>
        <w:tc>
          <w:tcPr>
            <w:tcW w:w="734" w:type="dxa"/>
            <w:vMerge w:val="continue"/>
            <w:noWrap w:val="0"/>
            <w:vAlign w:val="center"/>
          </w:tcPr>
          <w:p w14:paraId="527C1829">
            <w:pPr>
              <w:autoSpaceDE w:val="0"/>
              <w:autoSpaceDN w:val="0"/>
              <w:adjustRightInd w:val="0"/>
              <w:spacing w:line="520" w:lineRule="exact"/>
              <w:jc w:val="center"/>
              <w:rPr>
                <w:rFonts w:hint="eastAsia" w:ascii="宋体" w:hAnsi="宋体" w:eastAsia="宋体" w:cs="宋体"/>
                <w:b/>
                <w:color w:val="auto"/>
                <w:kern w:val="0"/>
                <w:sz w:val="21"/>
                <w:szCs w:val="21"/>
              </w:rPr>
            </w:pPr>
          </w:p>
        </w:tc>
        <w:tc>
          <w:tcPr>
            <w:tcW w:w="1837" w:type="dxa"/>
            <w:noWrap w:val="0"/>
            <w:vAlign w:val="center"/>
          </w:tcPr>
          <w:p w14:paraId="4BBF400C">
            <w:pPr>
              <w:autoSpaceDE w:val="0"/>
              <w:autoSpaceDN w:val="0"/>
              <w:adjustRightInd w:val="0"/>
              <w:spacing w:line="520" w:lineRule="exact"/>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证书名称</w:t>
            </w:r>
          </w:p>
        </w:tc>
        <w:tc>
          <w:tcPr>
            <w:tcW w:w="1452" w:type="dxa"/>
            <w:noWrap w:val="0"/>
            <w:vAlign w:val="center"/>
          </w:tcPr>
          <w:p w14:paraId="09816D56">
            <w:pPr>
              <w:autoSpaceDE w:val="0"/>
              <w:autoSpaceDN w:val="0"/>
              <w:adjustRightInd w:val="0"/>
              <w:spacing w:line="520" w:lineRule="exact"/>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级别</w:t>
            </w:r>
          </w:p>
        </w:tc>
        <w:tc>
          <w:tcPr>
            <w:tcW w:w="1462" w:type="dxa"/>
            <w:noWrap w:val="0"/>
            <w:vAlign w:val="center"/>
          </w:tcPr>
          <w:p w14:paraId="1CFE2233">
            <w:pPr>
              <w:autoSpaceDE w:val="0"/>
              <w:autoSpaceDN w:val="0"/>
              <w:adjustRightInd w:val="0"/>
              <w:spacing w:line="520" w:lineRule="exact"/>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证号</w:t>
            </w:r>
          </w:p>
        </w:tc>
        <w:tc>
          <w:tcPr>
            <w:tcW w:w="1417" w:type="dxa"/>
            <w:noWrap w:val="0"/>
            <w:vAlign w:val="center"/>
          </w:tcPr>
          <w:p w14:paraId="710EE5EC">
            <w:pPr>
              <w:autoSpaceDE w:val="0"/>
              <w:autoSpaceDN w:val="0"/>
              <w:adjustRightInd w:val="0"/>
              <w:spacing w:line="520" w:lineRule="exact"/>
              <w:jc w:val="center"/>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专业</w:t>
            </w:r>
          </w:p>
        </w:tc>
        <w:tc>
          <w:tcPr>
            <w:tcW w:w="815" w:type="dxa"/>
            <w:vMerge w:val="continue"/>
            <w:noWrap w:val="0"/>
            <w:vAlign w:val="center"/>
          </w:tcPr>
          <w:p w14:paraId="07BFBF14">
            <w:pPr>
              <w:autoSpaceDE w:val="0"/>
              <w:autoSpaceDN w:val="0"/>
              <w:adjustRightInd w:val="0"/>
              <w:spacing w:line="520" w:lineRule="exact"/>
              <w:jc w:val="center"/>
              <w:rPr>
                <w:rFonts w:hint="eastAsia" w:ascii="宋体" w:hAnsi="宋体" w:eastAsia="宋体" w:cs="宋体"/>
                <w:color w:val="auto"/>
                <w:kern w:val="0"/>
                <w:sz w:val="21"/>
                <w:szCs w:val="21"/>
              </w:rPr>
            </w:pPr>
          </w:p>
        </w:tc>
      </w:tr>
      <w:tr w14:paraId="7FA11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73AF254B">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41076275">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4741AC67">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5EF60F45">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5CF6B17C">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5920070C">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2DC919A4">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24749715">
            <w:pPr>
              <w:autoSpaceDE w:val="0"/>
              <w:autoSpaceDN w:val="0"/>
              <w:adjustRightInd w:val="0"/>
              <w:spacing w:line="520" w:lineRule="exact"/>
              <w:jc w:val="center"/>
              <w:rPr>
                <w:rFonts w:hint="eastAsia" w:ascii="宋体" w:hAnsi="宋体" w:eastAsia="宋体" w:cs="宋体"/>
                <w:color w:val="auto"/>
                <w:kern w:val="0"/>
                <w:sz w:val="21"/>
                <w:szCs w:val="21"/>
              </w:rPr>
            </w:pPr>
          </w:p>
        </w:tc>
      </w:tr>
      <w:tr w14:paraId="6B60E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787C5CD3">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2D85A4A8">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44C4FF1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41D94C9E">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23A45F4A">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6A3CBF2E">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1D54EE0A">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6003CC12">
            <w:pPr>
              <w:autoSpaceDE w:val="0"/>
              <w:autoSpaceDN w:val="0"/>
              <w:adjustRightInd w:val="0"/>
              <w:spacing w:line="520" w:lineRule="exact"/>
              <w:jc w:val="center"/>
              <w:rPr>
                <w:rFonts w:hint="eastAsia" w:ascii="宋体" w:hAnsi="宋体" w:eastAsia="宋体" w:cs="宋体"/>
                <w:color w:val="auto"/>
                <w:kern w:val="0"/>
                <w:sz w:val="21"/>
                <w:szCs w:val="21"/>
              </w:rPr>
            </w:pPr>
          </w:p>
        </w:tc>
      </w:tr>
      <w:tr w14:paraId="1784D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26F95D64">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70C44C1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72FE0169">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654DCF51">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4EABDF1A">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5BEAFB6E">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4BCE95AB">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17D05C0B">
            <w:pPr>
              <w:autoSpaceDE w:val="0"/>
              <w:autoSpaceDN w:val="0"/>
              <w:adjustRightInd w:val="0"/>
              <w:spacing w:line="520" w:lineRule="exact"/>
              <w:jc w:val="center"/>
              <w:rPr>
                <w:rFonts w:hint="eastAsia" w:ascii="宋体" w:hAnsi="宋体" w:eastAsia="宋体" w:cs="宋体"/>
                <w:color w:val="auto"/>
                <w:kern w:val="0"/>
                <w:sz w:val="21"/>
                <w:szCs w:val="21"/>
              </w:rPr>
            </w:pPr>
          </w:p>
        </w:tc>
      </w:tr>
      <w:tr w14:paraId="79DDF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350098CE">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47E2CAB4">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2786C73A">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55D9602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237D0714">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30425725">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579E86FE">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03020191">
            <w:pPr>
              <w:autoSpaceDE w:val="0"/>
              <w:autoSpaceDN w:val="0"/>
              <w:adjustRightInd w:val="0"/>
              <w:spacing w:line="520" w:lineRule="exact"/>
              <w:jc w:val="center"/>
              <w:rPr>
                <w:rFonts w:hint="eastAsia" w:ascii="宋体" w:hAnsi="宋体" w:eastAsia="宋体" w:cs="宋体"/>
                <w:color w:val="auto"/>
                <w:kern w:val="0"/>
                <w:sz w:val="21"/>
                <w:szCs w:val="21"/>
              </w:rPr>
            </w:pPr>
          </w:p>
        </w:tc>
      </w:tr>
      <w:tr w14:paraId="642A7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2457BC6A">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6F9B1845">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26A1C086">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7E3951DE">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1C2A76B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26D1F716">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38737F60">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32806968">
            <w:pPr>
              <w:autoSpaceDE w:val="0"/>
              <w:autoSpaceDN w:val="0"/>
              <w:adjustRightInd w:val="0"/>
              <w:spacing w:line="520" w:lineRule="exact"/>
              <w:jc w:val="center"/>
              <w:rPr>
                <w:rFonts w:hint="eastAsia" w:ascii="宋体" w:hAnsi="宋体" w:eastAsia="宋体" w:cs="宋体"/>
                <w:color w:val="auto"/>
                <w:kern w:val="0"/>
                <w:sz w:val="21"/>
                <w:szCs w:val="21"/>
              </w:rPr>
            </w:pPr>
          </w:p>
        </w:tc>
      </w:tr>
      <w:tr w14:paraId="17B0C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1E1EA433">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79268886">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7CEB3264">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0A73595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22B754AD">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3309E7BC">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48A9B80B">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77A62239">
            <w:pPr>
              <w:autoSpaceDE w:val="0"/>
              <w:autoSpaceDN w:val="0"/>
              <w:adjustRightInd w:val="0"/>
              <w:spacing w:line="520" w:lineRule="exact"/>
              <w:jc w:val="center"/>
              <w:rPr>
                <w:rFonts w:hint="eastAsia" w:ascii="宋体" w:hAnsi="宋体" w:eastAsia="宋体" w:cs="宋体"/>
                <w:color w:val="auto"/>
                <w:kern w:val="0"/>
                <w:sz w:val="21"/>
                <w:szCs w:val="21"/>
              </w:rPr>
            </w:pPr>
          </w:p>
        </w:tc>
      </w:tr>
      <w:tr w14:paraId="7B975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08A66A7A">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19F8BF94">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5C69F85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0EE5BFC9">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72E113FF">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49F0F318">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70C11483">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27C43B55">
            <w:pPr>
              <w:autoSpaceDE w:val="0"/>
              <w:autoSpaceDN w:val="0"/>
              <w:adjustRightInd w:val="0"/>
              <w:spacing w:line="520" w:lineRule="exact"/>
              <w:jc w:val="center"/>
              <w:rPr>
                <w:rFonts w:hint="eastAsia" w:ascii="宋体" w:hAnsi="宋体" w:eastAsia="宋体" w:cs="宋体"/>
                <w:color w:val="auto"/>
                <w:kern w:val="0"/>
                <w:sz w:val="21"/>
                <w:szCs w:val="21"/>
              </w:rPr>
            </w:pPr>
          </w:p>
        </w:tc>
      </w:tr>
      <w:tr w14:paraId="7394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6D98FC31">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647368D0">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2B03FAF8">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6B5A9F6A">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63FA5B66">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4A1F42C0">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1F19739F">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717E5581">
            <w:pPr>
              <w:autoSpaceDE w:val="0"/>
              <w:autoSpaceDN w:val="0"/>
              <w:adjustRightInd w:val="0"/>
              <w:spacing w:line="520" w:lineRule="exact"/>
              <w:jc w:val="center"/>
              <w:rPr>
                <w:rFonts w:hint="eastAsia" w:ascii="宋体" w:hAnsi="宋体" w:eastAsia="宋体" w:cs="宋体"/>
                <w:color w:val="auto"/>
                <w:kern w:val="0"/>
                <w:sz w:val="21"/>
                <w:szCs w:val="21"/>
              </w:rPr>
            </w:pPr>
          </w:p>
        </w:tc>
      </w:tr>
      <w:tr w14:paraId="23D6E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17F427F1">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3CFE56C7">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746E17FF">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31BE1F8B">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1C9DE008">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60C65891">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44F45435">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34870F09">
            <w:pPr>
              <w:autoSpaceDE w:val="0"/>
              <w:autoSpaceDN w:val="0"/>
              <w:adjustRightInd w:val="0"/>
              <w:spacing w:line="520" w:lineRule="exact"/>
              <w:jc w:val="center"/>
              <w:rPr>
                <w:rFonts w:hint="eastAsia" w:ascii="宋体" w:hAnsi="宋体" w:eastAsia="宋体" w:cs="宋体"/>
                <w:color w:val="auto"/>
                <w:kern w:val="0"/>
                <w:sz w:val="21"/>
                <w:szCs w:val="21"/>
              </w:rPr>
            </w:pPr>
          </w:p>
        </w:tc>
      </w:tr>
      <w:tr w14:paraId="1D57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02EE439D">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052EFECC">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0F59D575">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75FA39E4">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45739400">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3ACE348D">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2A6B8E8B">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55BE6AC3">
            <w:pPr>
              <w:autoSpaceDE w:val="0"/>
              <w:autoSpaceDN w:val="0"/>
              <w:adjustRightInd w:val="0"/>
              <w:spacing w:line="520" w:lineRule="exact"/>
              <w:jc w:val="center"/>
              <w:rPr>
                <w:rFonts w:hint="eastAsia" w:ascii="宋体" w:hAnsi="宋体" w:eastAsia="宋体" w:cs="宋体"/>
                <w:color w:val="auto"/>
                <w:kern w:val="0"/>
                <w:sz w:val="21"/>
                <w:szCs w:val="21"/>
              </w:rPr>
            </w:pPr>
          </w:p>
        </w:tc>
      </w:tr>
      <w:tr w14:paraId="6F44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3DC73E8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4F35290B">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049C2254">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71F2096B">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48F338D1">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08C898CE">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0924FA33">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721A41B3">
            <w:pPr>
              <w:autoSpaceDE w:val="0"/>
              <w:autoSpaceDN w:val="0"/>
              <w:adjustRightInd w:val="0"/>
              <w:spacing w:line="520" w:lineRule="exact"/>
              <w:jc w:val="center"/>
              <w:rPr>
                <w:rFonts w:hint="eastAsia" w:ascii="宋体" w:hAnsi="宋体" w:eastAsia="宋体" w:cs="宋体"/>
                <w:color w:val="auto"/>
                <w:kern w:val="0"/>
                <w:sz w:val="21"/>
                <w:szCs w:val="21"/>
              </w:rPr>
            </w:pPr>
          </w:p>
        </w:tc>
      </w:tr>
      <w:tr w14:paraId="40D7D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6CB8521B">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7D6BEF55">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5FD164BF">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5596DE2A">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08836D6C">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7A07CC07">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03AC39C7">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63867E05">
            <w:pPr>
              <w:autoSpaceDE w:val="0"/>
              <w:autoSpaceDN w:val="0"/>
              <w:adjustRightInd w:val="0"/>
              <w:spacing w:line="520" w:lineRule="exact"/>
              <w:jc w:val="center"/>
              <w:rPr>
                <w:rFonts w:hint="eastAsia" w:ascii="宋体" w:hAnsi="宋体" w:eastAsia="宋体" w:cs="宋体"/>
                <w:color w:val="auto"/>
                <w:kern w:val="0"/>
                <w:sz w:val="21"/>
                <w:szCs w:val="21"/>
              </w:rPr>
            </w:pPr>
          </w:p>
        </w:tc>
      </w:tr>
      <w:tr w14:paraId="11F5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56A66B1B">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24FAB2D3">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4E90493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4A9028DE">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3594C5AF">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1DB69B54">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5CB8B499">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689A5AF1">
            <w:pPr>
              <w:autoSpaceDE w:val="0"/>
              <w:autoSpaceDN w:val="0"/>
              <w:adjustRightInd w:val="0"/>
              <w:spacing w:line="520" w:lineRule="exact"/>
              <w:jc w:val="center"/>
              <w:rPr>
                <w:rFonts w:hint="eastAsia" w:ascii="宋体" w:hAnsi="宋体" w:eastAsia="宋体" w:cs="宋体"/>
                <w:color w:val="auto"/>
                <w:kern w:val="0"/>
                <w:sz w:val="21"/>
                <w:szCs w:val="21"/>
              </w:rPr>
            </w:pPr>
          </w:p>
        </w:tc>
      </w:tr>
      <w:tr w14:paraId="43C6D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0A971437">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1E287E18">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256E85DB">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47955BB0">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21268F8D">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56743D4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49574700">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79A42ACA">
            <w:pPr>
              <w:autoSpaceDE w:val="0"/>
              <w:autoSpaceDN w:val="0"/>
              <w:adjustRightInd w:val="0"/>
              <w:spacing w:line="520" w:lineRule="exact"/>
              <w:jc w:val="center"/>
              <w:rPr>
                <w:rFonts w:hint="eastAsia" w:ascii="宋体" w:hAnsi="宋体" w:eastAsia="宋体" w:cs="宋体"/>
                <w:color w:val="auto"/>
                <w:kern w:val="0"/>
                <w:sz w:val="21"/>
                <w:szCs w:val="21"/>
              </w:rPr>
            </w:pPr>
          </w:p>
        </w:tc>
      </w:tr>
      <w:tr w14:paraId="527D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787FF5D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03E2B470">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47453908">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437A9D4F">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227E686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0946ACDC">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077A308D">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36F8759A">
            <w:pPr>
              <w:autoSpaceDE w:val="0"/>
              <w:autoSpaceDN w:val="0"/>
              <w:adjustRightInd w:val="0"/>
              <w:spacing w:line="520" w:lineRule="exact"/>
              <w:jc w:val="center"/>
              <w:rPr>
                <w:rFonts w:hint="eastAsia" w:ascii="宋体" w:hAnsi="宋体" w:eastAsia="宋体" w:cs="宋体"/>
                <w:color w:val="auto"/>
                <w:kern w:val="0"/>
                <w:sz w:val="21"/>
                <w:szCs w:val="21"/>
              </w:rPr>
            </w:pPr>
          </w:p>
        </w:tc>
      </w:tr>
      <w:tr w14:paraId="33F7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05BC7F52">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30" w:type="dxa"/>
            <w:noWrap w:val="0"/>
            <w:vAlign w:val="center"/>
          </w:tcPr>
          <w:p w14:paraId="185F9CEC">
            <w:pPr>
              <w:autoSpaceDE w:val="0"/>
              <w:autoSpaceDN w:val="0"/>
              <w:adjustRightInd w:val="0"/>
              <w:spacing w:line="520" w:lineRule="exact"/>
              <w:jc w:val="center"/>
              <w:rPr>
                <w:rFonts w:hint="eastAsia" w:ascii="宋体" w:hAnsi="宋体" w:eastAsia="宋体" w:cs="宋体"/>
                <w:color w:val="auto"/>
                <w:kern w:val="0"/>
                <w:sz w:val="21"/>
                <w:szCs w:val="21"/>
              </w:rPr>
            </w:pPr>
          </w:p>
        </w:tc>
        <w:tc>
          <w:tcPr>
            <w:tcW w:w="734" w:type="dxa"/>
            <w:noWrap w:val="0"/>
            <w:vAlign w:val="center"/>
          </w:tcPr>
          <w:p w14:paraId="46C5E173">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837" w:type="dxa"/>
            <w:noWrap w:val="0"/>
            <w:vAlign w:val="center"/>
          </w:tcPr>
          <w:p w14:paraId="2648ECA4">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52" w:type="dxa"/>
            <w:noWrap w:val="0"/>
            <w:vAlign w:val="center"/>
          </w:tcPr>
          <w:p w14:paraId="4900FED9">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62" w:type="dxa"/>
            <w:noWrap w:val="0"/>
            <w:vAlign w:val="center"/>
          </w:tcPr>
          <w:p w14:paraId="6D30816C">
            <w:pPr>
              <w:autoSpaceDE w:val="0"/>
              <w:autoSpaceDN w:val="0"/>
              <w:adjustRightInd w:val="0"/>
              <w:spacing w:line="520" w:lineRule="exact"/>
              <w:jc w:val="center"/>
              <w:rPr>
                <w:rFonts w:hint="eastAsia" w:ascii="宋体" w:hAnsi="宋体" w:eastAsia="宋体" w:cs="宋体"/>
                <w:color w:val="auto"/>
                <w:kern w:val="0"/>
                <w:sz w:val="21"/>
                <w:szCs w:val="21"/>
              </w:rPr>
            </w:pPr>
          </w:p>
        </w:tc>
        <w:tc>
          <w:tcPr>
            <w:tcW w:w="1417" w:type="dxa"/>
            <w:noWrap w:val="0"/>
            <w:vAlign w:val="center"/>
          </w:tcPr>
          <w:p w14:paraId="40F3FA2B">
            <w:pPr>
              <w:autoSpaceDE w:val="0"/>
              <w:autoSpaceDN w:val="0"/>
              <w:adjustRightInd w:val="0"/>
              <w:spacing w:line="520" w:lineRule="exact"/>
              <w:jc w:val="center"/>
              <w:rPr>
                <w:rFonts w:hint="eastAsia" w:ascii="宋体" w:hAnsi="宋体" w:eastAsia="宋体" w:cs="宋体"/>
                <w:color w:val="auto"/>
                <w:kern w:val="0"/>
                <w:sz w:val="21"/>
                <w:szCs w:val="21"/>
              </w:rPr>
            </w:pPr>
          </w:p>
        </w:tc>
        <w:tc>
          <w:tcPr>
            <w:tcW w:w="815" w:type="dxa"/>
            <w:noWrap w:val="0"/>
            <w:vAlign w:val="center"/>
          </w:tcPr>
          <w:p w14:paraId="67C10A0E">
            <w:pPr>
              <w:autoSpaceDE w:val="0"/>
              <w:autoSpaceDN w:val="0"/>
              <w:adjustRightInd w:val="0"/>
              <w:spacing w:line="520" w:lineRule="exact"/>
              <w:jc w:val="center"/>
              <w:rPr>
                <w:rFonts w:hint="eastAsia" w:ascii="宋体" w:hAnsi="宋体" w:eastAsia="宋体" w:cs="宋体"/>
                <w:color w:val="auto"/>
                <w:kern w:val="0"/>
                <w:sz w:val="21"/>
                <w:szCs w:val="21"/>
              </w:rPr>
            </w:pPr>
          </w:p>
        </w:tc>
      </w:tr>
    </w:tbl>
    <w:p w14:paraId="46611041">
      <w:pPr>
        <w:pStyle w:val="30"/>
        <w:ind w:left="0" w:leftChars="0" w:firstLine="211" w:firstLineChars="100"/>
        <w:rPr>
          <w:rFonts w:hint="eastAsia" w:ascii="宋体" w:hAnsi="宋体" w:eastAsia="宋体" w:cs="宋体"/>
          <w:color w:val="auto"/>
          <w:sz w:val="21"/>
          <w:szCs w:val="21"/>
        </w:rPr>
      </w:pPr>
      <w:r>
        <w:rPr>
          <w:rFonts w:hint="eastAsia" w:ascii="宋体" w:hAnsi="宋体" w:eastAsia="宋体" w:cs="宋体"/>
          <w:b/>
          <w:color w:val="auto"/>
          <w:sz w:val="21"/>
          <w:szCs w:val="21"/>
        </w:rPr>
        <w:t>说明：后附拟派人员相关证明材料。</w:t>
      </w:r>
    </w:p>
    <w:p w14:paraId="78B68FAD">
      <w:pPr>
        <w:pStyle w:val="4"/>
        <w:adjustRightInd w:val="0"/>
        <w:snapToGrid w:val="0"/>
        <w:spacing w:before="0" w:after="0"/>
        <w:ind w:firstLine="0" w:firstLineChars="0"/>
        <w:jc w:val="center"/>
        <w:rPr>
          <w:rFonts w:hint="eastAsia" w:ascii="宋体" w:hAnsi="宋体" w:eastAsia="宋体" w:cs="宋体"/>
          <w:b/>
          <w:bCs/>
          <w:color w:val="auto"/>
          <w:sz w:val="21"/>
          <w:szCs w:val="21"/>
        </w:rPr>
      </w:pPr>
      <w:r>
        <w:rPr>
          <w:rFonts w:hint="eastAsia" w:ascii="宋体" w:hAnsi="宋体" w:eastAsia="宋体" w:cs="宋体"/>
          <w:color w:val="auto"/>
          <w:sz w:val="21"/>
          <w:szCs w:val="21"/>
        </w:rPr>
        <w:br w:type="page"/>
      </w:r>
      <w:r>
        <w:rPr>
          <w:rFonts w:hint="eastAsia" w:ascii="宋体" w:hAnsi="宋体" w:eastAsia="宋体" w:cs="宋体"/>
          <w:b/>
          <w:bCs/>
          <w:color w:val="auto"/>
          <w:sz w:val="21"/>
          <w:szCs w:val="21"/>
        </w:rPr>
        <w:t>拟派往本工程的施工项目负责人简历表</w:t>
      </w:r>
    </w:p>
    <w:tbl>
      <w:tblPr>
        <w:tblStyle w:val="31"/>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19"/>
        <w:gridCol w:w="745"/>
        <w:gridCol w:w="1355"/>
        <w:gridCol w:w="284"/>
        <w:gridCol w:w="41"/>
        <w:gridCol w:w="810"/>
        <w:gridCol w:w="755"/>
        <w:gridCol w:w="15"/>
        <w:gridCol w:w="1125"/>
        <w:gridCol w:w="435"/>
        <w:gridCol w:w="645"/>
        <w:gridCol w:w="405"/>
        <w:gridCol w:w="1737"/>
      </w:tblGrid>
      <w:tr w14:paraId="0065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1319" w:type="dxa"/>
            <w:noWrap w:val="0"/>
            <w:vAlign w:val="center"/>
          </w:tcPr>
          <w:p w14:paraId="5AB32CD7">
            <w:pPr>
              <w:spacing w:line="360" w:lineRule="auto"/>
              <w:jc w:val="center"/>
              <w:rPr>
                <w:rFonts w:ascii="宋体" w:hAnsi="宋体"/>
                <w:color w:val="auto"/>
                <w:szCs w:val="21"/>
              </w:rPr>
            </w:pPr>
            <w:r>
              <w:rPr>
                <w:rFonts w:hint="eastAsia" w:ascii="宋体" w:hAnsi="宋体"/>
                <w:color w:val="auto"/>
                <w:szCs w:val="21"/>
              </w:rPr>
              <w:t>姓名</w:t>
            </w:r>
          </w:p>
        </w:tc>
        <w:tc>
          <w:tcPr>
            <w:tcW w:w="2384" w:type="dxa"/>
            <w:gridSpan w:val="3"/>
            <w:noWrap w:val="0"/>
            <w:vAlign w:val="center"/>
          </w:tcPr>
          <w:p w14:paraId="015B9BC0">
            <w:pPr>
              <w:spacing w:line="360" w:lineRule="auto"/>
              <w:jc w:val="center"/>
              <w:rPr>
                <w:rFonts w:ascii="宋体" w:hAnsi="宋体"/>
                <w:color w:val="auto"/>
                <w:szCs w:val="21"/>
              </w:rPr>
            </w:pPr>
          </w:p>
        </w:tc>
        <w:tc>
          <w:tcPr>
            <w:tcW w:w="851" w:type="dxa"/>
            <w:gridSpan w:val="2"/>
            <w:noWrap w:val="0"/>
            <w:vAlign w:val="center"/>
          </w:tcPr>
          <w:p w14:paraId="1B58CA4B">
            <w:pPr>
              <w:spacing w:line="360" w:lineRule="auto"/>
              <w:jc w:val="center"/>
              <w:rPr>
                <w:rFonts w:ascii="宋体" w:hAnsi="宋体"/>
                <w:color w:val="auto"/>
                <w:szCs w:val="21"/>
              </w:rPr>
            </w:pPr>
            <w:r>
              <w:rPr>
                <w:rFonts w:hint="eastAsia" w:ascii="宋体" w:hAnsi="宋体"/>
                <w:color w:val="auto"/>
                <w:szCs w:val="21"/>
              </w:rPr>
              <w:t>性别</w:t>
            </w:r>
          </w:p>
        </w:tc>
        <w:tc>
          <w:tcPr>
            <w:tcW w:w="1895" w:type="dxa"/>
            <w:gridSpan w:val="3"/>
            <w:noWrap w:val="0"/>
            <w:vAlign w:val="center"/>
          </w:tcPr>
          <w:p w14:paraId="0921B366">
            <w:pPr>
              <w:spacing w:line="360" w:lineRule="auto"/>
              <w:jc w:val="center"/>
              <w:rPr>
                <w:rFonts w:ascii="宋体" w:hAnsi="宋体"/>
                <w:color w:val="auto"/>
                <w:szCs w:val="21"/>
              </w:rPr>
            </w:pPr>
          </w:p>
        </w:tc>
        <w:tc>
          <w:tcPr>
            <w:tcW w:w="1080" w:type="dxa"/>
            <w:gridSpan w:val="2"/>
            <w:noWrap w:val="0"/>
            <w:vAlign w:val="center"/>
          </w:tcPr>
          <w:p w14:paraId="5FE813A9">
            <w:pPr>
              <w:spacing w:line="360" w:lineRule="auto"/>
              <w:jc w:val="center"/>
              <w:rPr>
                <w:rFonts w:ascii="宋体" w:hAnsi="宋体"/>
                <w:color w:val="auto"/>
                <w:szCs w:val="21"/>
              </w:rPr>
            </w:pPr>
            <w:r>
              <w:rPr>
                <w:rFonts w:hint="eastAsia" w:ascii="宋体" w:hAnsi="宋体"/>
                <w:color w:val="auto"/>
                <w:szCs w:val="21"/>
              </w:rPr>
              <w:t>年龄</w:t>
            </w:r>
          </w:p>
        </w:tc>
        <w:tc>
          <w:tcPr>
            <w:tcW w:w="2142" w:type="dxa"/>
            <w:gridSpan w:val="2"/>
            <w:noWrap w:val="0"/>
            <w:vAlign w:val="center"/>
          </w:tcPr>
          <w:p w14:paraId="689F5F2A">
            <w:pPr>
              <w:spacing w:line="360" w:lineRule="auto"/>
              <w:jc w:val="center"/>
              <w:rPr>
                <w:rFonts w:ascii="宋体" w:hAnsi="宋体"/>
                <w:color w:val="auto"/>
                <w:szCs w:val="21"/>
              </w:rPr>
            </w:pPr>
          </w:p>
        </w:tc>
      </w:tr>
      <w:tr w14:paraId="2011A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319" w:type="dxa"/>
            <w:noWrap w:val="0"/>
            <w:vAlign w:val="center"/>
          </w:tcPr>
          <w:p w14:paraId="2C68E252">
            <w:pPr>
              <w:spacing w:line="360" w:lineRule="auto"/>
              <w:jc w:val="center"/>
              <w:rPr>
                <w:rFonts w:ascii="宋体" w:hAnsi="宋体"/>
                <w:color w:val="auto"/>
                <w:szCs w:val="21"/>
              </w:rPr>
            </w:pPr>
            <w:r>
              <w:rPr>
                <w:rFonts w:hint="eastAsia" w:ascii="宋体" w:hAnsi="宋体"/>
                <w:color w:val="auto"/>
                <w:szCs w:val="21"/>
              </w:rPr>
              <w:t>职务</w:t>
            </w:r>
          </w:p>
        </w:tc>
        <w:tc>
          <w:tcPr>
            <w:tcW w:w="2384" w:type="dxa"/>
            <w:gridSpan w:val="3"/>
            <w:noWrap w:val="0"/>
            <w:vAlign w:val="center"/>
          </w:tcPr>
          <w:p w14:paraId="488922D6">
            <w:pPr>
              <w:spacing w:line="360" w:lineRule="auto"/>
              <w:jc w:val="center"/>
              <w:rPr>
                <w:rFonts w:ascii="宋体" w:hAnsi="宋体"/>
                <w:color w:val="auto"/>
                <w:szCs w:val="21"/>
              </w:rPr>
            </w:pPr>
          </w:p>
        </w:tc>
        <w:tc>
          <w:tcPr>
            <w:tcW w:w="851" w:type="dxa"/>
            <w:gridSpan w:val="2"/>
            <w:noWrap w:val="0"/>
            <w:vAlign w:val="center"/>
          </w:tcPr>
          <w:p w14:paraId="6BA1CDD2">
            <w:pPr>
              <w:spacing w:line="360" w:lineRule="auto"/>
              <w:jc w:val="center"/>
              <w:rPr>
                <w:rFonts w:ascii="宋体" w:hAnsi="宋体"/>
                <w:color w:val="auto"/>
                <w:szCs w:val="21"/>
              </w:rPr>
            </w:pPr>
            <w:r>
              <w:rPr>
                <w:rFonts w:hint="eastAsia" w:ascii="宋体" w:hAnsi="宋体"/>
                <w:color w:val="auto"/>
                <w:szCs w:val="21"/>
              </w:rPr>
              <w:t>职称</w:t>
            </w:r>
          </w:p>
        </w:tc>
        <w:tc>
          <w:tcPr>
            <w:tcW w:w="1895" w:type="dxa"/>
            <w:gridSpan w:val="3"/>
            <w:noWrap w:val="0"/>
            <w:vAlign w:val="center"/>
          </w:tcPr>
          <w:p w14:paraId="663E26F5">
            <w:pPr>
              <w:spacing w:line="360" w:lineRule="auto"/>
              <w:jc w:val="center"/>
              <w:rPr>
                <w:rFonts w:ascii="宋体" w:hAnsi="宋体"/>
                <w:color w:val="auto"/>
                <w:szCs w:val="21"/>
              </w:rPr>
            </w:pPr>
          </w:p>
        </w:tc>
        <w:tc>
          <w:tcPr>
            <w:tcW w:w="1080" w:type="dxa"/>
            <w:gridSpan w:val="2"/>
            <w:noWrap w:val="0"/>
            <w:vAlign w:val="center"/>
          </w:tcPr>
          <w:p w14:paraId="1D6FF342">
            <w:pPr>
              <w:spacing w:line="360" w:lineRule="auto"/>
              <w:jc w:val="center"/>
              <w:rPr>
                <w:rFonts w:ascii="宋体" w:hAnsi="宋体"/>
                <w:color w:val="auto"/>
                <w:szCs w:val="21"/>
              </w:rPr>
            </w:pPr>
            <w:r>
              <w:rPr>
                <w:rFonts w:hint="eastAsia" w:ascii="宋体" w:hAnsi="宋体"/>
                <w:color w:val="auto"/>
                <w:szCs w:val="21"/>
              </w:rPr>
              <w:t>学历</w:t>
            </w:r>
          </w:p>
        </w:tc>
        <w:tc>
          <w:tcPr>
            <w:tcW w:w="2142" w:type="dxa"/>
            <w:gridSpan w:val="2"/>
            <w:noWrap w:val="0"/>
            <w:vAlign w:val="center"/>
          </w:tcPr>
          <w:p w14:paraId="014EC104">
            <w:pPr>
              <w:spacing w:line="360" w:lineRule="auto"/>
              <w:jc w:val="center"/>
              <w:rPr>
                <w:rFonts w:ascii="宋体" w:hAnsi="宋体"/>
                <w:color w:val="auto"/>
                <w:szCs w:val="21"/>
              </w:rPr>
            </w:pPr>
          </w:p>
        </w:tc>
      </w:tr>
      <w:tr w14:paraId="11A1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3419" w:type="dxa"/>
            <w:gridSpan w:val="3"/>
            <w:noWrap w:val="0"/>
            <w:vAlign w:val="center"/>
          </w:tcPr>
          <w:p w14:paraId="333FB258">
            <w:pPr>
              <w:spacing w:line="360" w:lineRule="auto"/>
              <w:jc w:val="center"/>
              <w:rPr>
                <w:rFonts w:ascii="宋体" w:hAnsi="宋体"/>
                <w:color w:val="auto"/>
                <w:szCs w:val="21"/>
              </w:rPr>
            </w:pPr>
            <w:r>
              <w:rPr>
                <w:rFonts w:hint="eastAsia" w:ascii="宋体" w:hAnsi="宋体"/>
                <w:color w:val="auto"/>
                <w:szCs w:val="21"/>
              </w:rPr>
              <w:t>参加工作时间</w:t>
            </w:r>
          </w:p>
        </w:tc>
        <w:tc>
          <w:tcPr>
            <w:tcW w:w="1890" w:type="dxa"/>
            <w:gridSpan w:val="4"/>
            <w:noWrap w:val="0"/>
            <w:vAlign w:val="center"/>
          </w:tcPr>
          <w:p w14:paraId="7C0D414F">
            <w:pPr>
              <w:spacing w:line="360" w:lineRule="auto"/>
              <w:jc w:val="center"/>
              <w:rPr>
                <w:rFonts w:ascii="宋体" w:hAnsi="宋体"/>
                <w:color w:val="auto"/>
                <w:szCs w:val="21"/>
              </w:rPr>
            </w:pPr>
          </w:p>
        </w:tc>
        <w:tc>
          <w:tcPr>
            <w:tcW w:w="2625" w:type="dxa"/>
            <w:gridSpan w:val="5"/>
            <w:noWrap w:val="0"/>
            <w:vAlign w:val="center"/>
          </w:tcPr>
          <w:p w14:paraId="7D895114">
            <w:pPr>
              <w:spacing w:line="360" w:lineRule="auto"/>
              <w:jc w:val="center"/>
              <w:rPr>
                <w:rFonts w:ascii="宋体" w:hAnsi="宋体"/>
                <w:color w:val="auto"/>
                <w:szCs w:val="21"/>
              </w:rPr>
            </w:pPr>
            <w:r>
              <w:rPr>
                <w:rFonts w:hint="eastAsia" w:ascii="宋体" w:hAnsi="宋体"/>
                <w:color w:val="auto"/>
                <w:szCs w:val="21"/>
              </w:rPr>
              <w:t>担任负责人年限</w:t>
            </w:r>
          </w:p>
        </w:tc>
        <w:tc>
          <w:tcPr>
            <w:tcW w:w="1737" w:type="dxa"/>
            <w:noWrap w:val="0"/>
            <w:vAlign w:val="center"/>
          </w:tcPr>
          <w:p w14:paraId="1ACE4A6E">
            <w:pPr>
              <w:spacing w:line="360" w:lineRule="auto"/>
              <w:jc w:val="center"/>
              <w:rPr>
                <w:rFonts w:ascii="宋体" w:hAnsi="宋体"/>
                <w:color w:val="auto"/>
                <w:szCs w:val="21"/>
              </w:rPr>
            </w:pPr>
          </w:p>
        </w:tc>
      </w:tr>
      <w:tr w14:paraId="10E7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3419" w:type="dxa"/>
            <w:gridSpan w:val="3"/>
            <w:noWrap w:val="0"/>
            <w:vAlign w:val="center"/>
          </w:tcPr>
          <w:p w14:paraId="7E6540EA">
            <w:pPr>
              <w:spacing w:line="360" w:lineRule="auto"/>
              <w:jc w:val="center"/>
              <w:rPr>
                <w:rFonts w:ascii="宋体" w:hAnsi="宋体"/>
                <w:color w:val="auto"/>
                <w:szCs w:val="21"/>
              </w:rPr>
            </w:pPr>
            <w:r>
              <w:rPr>
                <w:rFonts w:hint="eastAsia" w:ascii="宋体" w:hAnsi="宋体"/>
                <w:color w:val="auto"/>
                <w:szCs w:val="21"/>
              </w:rPr>
              <w:t>证书及证书编号</w:t>
            </w:r>
          </w:p>
        </w:tc>
        <w:tc>
          <w:tcPr>
            <w:tcW w:w="6252" w:type="dxa"/>
            <w:gridSpan w:val="10"/>
            <w:noWrap w:val="0"/>
            <w:vAlign w:val="center"/>
          </w:tcPr>
          <w:p w14:paraId="4FEC332C">
            <w:pPr>
              <w:spacing w:line="360" w:lineRule="auto"/>
              <w:jc w:val="center"/>
              <w:rPr>
                <w:rFonts w:ascii="宋体" w:hAnsi="宋体"/>
                <w:color w:val="auto"/>
                <w:szCs w:val="21"/>
              </w:rPr>
            </w:pPr>
          </w:p>
        </w:tc>
      </w:tr>
      <w:tr w14:paraId="35322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jc w:val="center"/>
        </w:trPr>
        <w:tc>
          <w:tcPr>
            <w:tcW w:w="9671" w:type="dxa"/>
            <w:gridSpan w:val="13"/>
            <w:noWrap w:val="0"/>
            <w:vAlign w:val="center"/>
          </w:tcPr>
          <w:p w14:paraId="7E05B538">
            <w:pPr>
              <w:spacing w:line="360" w:lineRule="auto"/>
              <w:jc w:val="center"/>
              <w:rPr>
                <w:rFonts w:ascii="宋体" w:hAnsi="宋体"/>
                <w:color w:val="auto"/>
                <w:szCs w:val="21"/>
              </w:rPr>
            </w:pPr>
            <w:r>
              <w:rPr>
                <w:rFonts w:hint="eastAsia" w:ascii="宋体" w:hAnsi="宋体"/>
                <w:color w:val="auto"/>
                <w:szCs w:val="21"/>
              </w:rPr>
              <w:t>在进行和已完项目情况</w:t>
            </w:r>
          </w:p>
        </w:tc>
      </w:tr>
      <w:tr w14:paraId="176CC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2064" w:type="dxa"/>
            <w:gridSpan w:val="2"/>
            <w:noWrap w:val="0"/>
            <w:vAlign w:val="center"/>
          </w:tcPr>
          <w:p w14:paraId="71F0823F">
            <w:pPr>
              <w:spacing w:line="360" w:lineRule="auto"/>
              <w:jc w:val="center"/>
              <w:rPr>
                <w:rFonts w:ascii="宋体" w:hAnsi="宋体"/>
                <w:color w:val="auto"/>
                <w:szCs w:val="21"/>
              </w:rPr>
            </w:pPr>
            <w:r>
              <w:rPr>
                <w:rFonts w:hint="eastAsia" w:ascii="宋体" w:hAnsi="宋体"/>
                <w:color w:val="auto"/>
                <w:szCs w:val="21"/>
              </w:rPr>
              <w:t>建设单位</w:t>
            </w:r>
          </w:p>
        </w:tc>
        <w:tc>
          <w:tcPr>
            <w:tcW w:w="1680" w:type="dxa"/>
            <w:gridSpan w:val="3"/>
            <w:noWrap w:val="0"/>
            <w:vAlign w:val="center"/>
          </w:tcPr>
          <w:p w14:paraId="1EBDA3A8">
            <w:pPr>
              <w:spacing w:line="276" w:lineRule="auto"/>
              <w:jc w:val="center"/>
              <w:rPr>
                <w:rFonts w:ascii="宋体" w:hAnsi="宋体"/>
                <w:color w:val="auto"/>
                <w:szCs w:val="21"/>
              </w:rPr>
            </w:pPr>
            <w:r>
              <w:rPr>
                <w:rFonts w:hint="eastAsia" w:ascii="宋体" w:hAnsi="宋体"/>
                <w:color w:val="auto"/>
                <w:szCs w:val="21"/>
              </w:rPr>
              <w:t>项目名称</w:t>
            </w:r>
          </w:p>
        </w:tc>
        <w:tc>
          <w:tcPr>
            <w:tcW w:w="1580" w:type="dxa"/>
            <w:gridSpan w:val="3"/>
            <w:noWrap w:val="0"/>
            <w:vAlign w:val="center"/>
          </w:tcPr>
          <w:p w14:paraId="2084BEE5">
            <w:pPr>
              <w:spacing w:line="276" w:lineRule="auto"/>
              <w:jc w:val="center"/>
              <w:rPr>
                <w:rFonts w:ascii="宋体" w:hAnsi="宋体"/>
                <w:color w:val="auto"/>
                <w:szCs w:val="21"/>
              </w:rPr>
            </w:pPr>
            <w:r>
              <w:rPr>
                <w:rFonts w:hint="eastAsia" w:ascii="宋体" w:hAnsi="宋体"/>
                <w:color w:val="auto"/>
                <w:szCs w:val="21"/>
              </w:rPr>
              <w:t>内容及规模</w:t>
            </w:r>
          </w:p>
        </w:tc>
        <w:tc>
          <w:tcPr>
            <w:tcW w:w="1560" w:type="dxa"/>
            <w:gridSpan w:val="2"/>
            <w:noWrap w:val="0"/>
            <w:vAlign w:val="center"/>
          </w:tcPr>
          <w:p w14:paraId="4AB16ED4">
            <w:pPr>
              <w:spacing w:line="276" w:lineRule="auto"/>
              <w:jc w:val="center"/>
              <w:rPr>
                <w:rFonts w:ascii="宋体" w:hAnsi="宋体"/>
                <w:color w:val="auto"/>
                <w:szCs w:val="21"/>
              </w:rPr>
            </w:pPr>
            <w:r>
              <w:rPr>
                <w:rFonts w:hint="eastAsia" w:ascii="宋体" w:hAnsi="宋体"/>
                <w:color w:val="auto"/>
                <w:szCs w:val="21"/>
              </w:rPr>
              <w:t>服务期限</w:t>
            </w:r>
          </w:p>
        </w:tc>
        <w:tc>
          <w:tcPr>
            <w:tcW w:w="2787" w:type="dxa"/>
            <w:gridSpan w:val="3"/>
            <w:noWrap w:val="0"/>
            <w:vAlign w:val="center"/>
          </w:tcPr>
          <w:p w14:paraId="577913EF">
            <w:pPr>
              <w:spacing w:line="360" w:lineRule="auto"/>
              <w:jc w:val="center"/>
              <w:rPr>
                <w:rFonts w:ascii="宋体" w:hAnsi="宋体"/>
                <w:color w:val="auto"/>
                <w:szCs w:val="21"/>
              </w:rPr>
            </w:pPr>
            <w:r>
              <w:rPr>
                <w:rFonts w:hint="eastAsia" w:ascii="宋体" w:hAnsi="宋体"/>
                <w:color w:val="auto"/>
                <w:szCs w:val="21"/>
              </w:rPr>
              <w:t>合同金额</w:t>
            </w:r>
          </w:p>
        </w:tc>
      </w:tr>
      <w:tr w14:paraId="55E84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4015F9DA">
            <w:pPr>
              <w:spacing w:line="360" w:lineRule="auto"/>
              <w:jc w:val="center"/>
              <w:rPr>
                <w:rFonts w:ascii="宋体" w:hAnsi="宋体"/>
                <w:color w:val="auto"/>
                <w:szCs w:val="21"/>
              </w:rPr>
            </w:pPr>
          </w:p>
        </w:tc>
        <w:tc>
          <w:tcPr>
            <w:tcW w:w="1680" w:type="dxa"/>
            <w:gridSpan w:val="3"/>
            <w:noWrap w:val="0"/>
            <w:vAlign w:val="center"/>
          </w:tcPr>
          <w:p w14:paraId="60ECB2DC">
            <w:pPr>
              <w:spacing w:line="360" w:lineRule="auto"/>
              <w:jc w:val="center"/>
              <w:rPr>
                <w:rFonts w:ascii="宋体" w:hAnsi="宋体"/>
                <w:color w:val="auto"/>
                <w:szCs w:val="21"/>
              </w:rPr>
            </w:pPr>
          </w:p>
        </w:tc>
        <w:tc>
          <w:tcPr>
            <w:tcW w:w="1580" w:type="dxa"/>
            <w:gridSpan w:val="3"/>
            <w:noWrap w:val="0"/>
            <w:vAlign w:val="center"/>
          </w:tcPr>
          <w:p w14:paraId="5C2F6573">
            <w:pPr>
              <w:spacing w:line="360" w:lineRule="auto"/>
              <w:jc w:val="center"/>
              <w:rPr>
                <w:rFonts w:ascii="宋体" w:hAnsi="宋体"/>
                <w:color w:val="auto"/>
                <w:szCs w:val="21"/>
              </w:rPr>
            </w:pPr>
          </w:p>
        </w:tc>
        <w:tc>
          <w:tcPr>
            <w:tcW w:w="1560" w:type="dxa"/>
            <w:gridSpan w:val="2"/>
            <w:noWrap w:val="0"/>
            <w:vAlign w:val="center"/>
          </w:tcPr>
          <w:p w14:paraId="4F0D185D">
            <w:pPr>
              <w:spacing w:line="360" w:lineRule="auto"/>
              <w:jc w:val="center"/>
              <w:rPr>
                <w:rFonts w:ascii="宋体" w:hAnsi="宋体"/>
                <w:color w:val="auto"/>
                <w:szCs w:val="21"/>
              </w:rPr>
            </w:pPr>
          </w:p>
        </w:tc>
        <w:tc>
          <w:tcPr>
            <w:tcW w:w="2787" w:type="dxa"/>
            <w:gridSpan w:val="3"/>
            <w:noWrap w:val="0"/>
            <w:vAlign w:val="center"/>
          </w:tcPr>
          <w:p w14:paraId="00A9EEB6">
            <w:pPr>
              <w:spacing w:line="360" w:lineRule="auto"/>
              <w:jc w:val="center"/>
              <w:rPr>
                <w:rFonts w:ascii="宋体" w:hAnsi="宋体"/>
                <w:color w:val="auto"/>
                <w:szCs w:val="21"/>
              </w:rPr>
            </w:pPr>
          </w:p>
        </w:tc>
      </w:tr>
      <w:tr w14:paraId="3DE3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720DC038">
            <w:pPr>
              <w:spacing w:line="360" w:lineRule="auto"/>
              <w:jc w:val="center"/>
              <w:rPr>
                <w:rFonts w:ascii="宋体" w:hAnsi="宋体"/>
                <w:color w:val="auto"/>
                <w:szCs w:val="21"/>
              </w:rPr>
            </w:pPr>
          </w:p>
        </w:tc>
        <w:tc>
          <w:tcPr>
            <w:tcW w:w="1680" w:type="dxa"/>
            <w:gridSpan w:val="3"/>
            <w:noWrap w:val="0"/>
            <w:vAlign w:val="center"/>
          </w:tcPr>
          <w:p w14:paraId="3D08BAB5">
            <w:pPr>
              <w:spacing w:line="360" w:lineRule="auto"/>
              <w:jc w:val="center"/>
              <w:rPr>
                <w:rFonts w:ascii="宋体" w:hAnsi="宋体"/>
                <w:color w:val="auto"/>
                <w:szCs w:val="21"/>
              </w:rPr>
            </w:pPr>
          </w:p>
        </w:tc>
        <w:tc>
          <w:tcPr>
            <w:tcW w:w="1580" w:type="dxa"/>
            <w:gridSpan w:val="3"/>
            <w:noWrap w:val="0"/>
            <w:vAlign w:val="center"/>
          </w:tcPr>
          <w:p w14:paraId="60142822">
            <w:pPr>
              <w:spacing w:line="360" w:lineRule="auto"/>
              <w:jc w:val="center"/>
              <w:rPr>
                <w:rFonts w:ascii="宋体" w:hAnsi="宋体"/>
                <w:color w:val="auto"/>
                <w:szCs w:val="21"/>
              </w:rPr>
            </w:pPr>
          </w:p>
        </w:tc>
        <w:tc>
          <w:tcPr>
            <w:tcW w:w="1560" w:type="dxa"/>
            <w:gridSpan w:val="2"/>
            <w:noWrap w:val="0"/>
            <w:vAlign w:val="center"/>
          </w:tcPr>
          <w:p w14:paraId="428D7FF6">
            <w:pPr>
              <w:spacing w:line="360" w:lineRule="auto"/>
              <w:jc w:val="center"/>
              <w:rPr>
                <w:rFonts w:ascii="宋体" w:hAnsi="宋体"/>
                <w:color w:val="auto"/>
                <w:szCs w:val="21"/>
              </w:rPr>
            </w:pPr>
          </w:p>
        </w:tc>
        <w:tc>
          <w:tcPr>
            <w:tcW w:w="2787" w:type="dxa"/>
            <w:gridSpan w:val="3"/>
            <w:noWrap w:val="0"/>
            <w:vAlign w:val="center"/>
          </w:tcPr>
          <w:p w14:paraId="7C484EC3">
            <w:pPr>
              <w:spacing w:line="360" w:lineRule="auto"/>
              <w:jc w:val="center"/>
              <w:rPr>
                <w:rFonts w:ascii="宋体" w:hAnsi="宋体"/>
                <w:color w:val="auto"/>
                <w:szCs w:val="21"/>
              </w:rPr>
            </w:pPr>
          </w:p>
        </w:tc>
      </w:tr>
      <w:tr w14:paraId="45E86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050BACFF">
            <w:pPr>
              <w:spacing w:line="360" w:lineRule="auto"/>
              <w:jc w:val="center"/>
              <w:rPr>
                <w:rFonts w:ascii="宋体" w:hAnsi="宋体"/>
                <w:color w:val="auto"/>
                <w:szCs w:val="21"/>
              </w:rPr>
            </w:pPr>
          </w:p>
        </w:tc>
        <w:tc>
          <w:tcPr>
            <w:tcW w:w="1680" w:type="dxa"/>
            <w:gridSpan w:val="3"/>
            <w:noWrap w:val="0"/>
            <w:vAlign w:val="center"/>
          </w:tcPr>
          <w:p w14:paraId="6AD65E85">
            <w:pPr>
              <w:spacing w:line="360" w:lineRule="auto"/>
              <w:jc w:val="center"/>
              <w:rPr>
                <w:rFonts w:ascii="宋体" w:hAnsi="宋体"/>
                <w:color w:val="auto"/>
                <w:szCs w:val="21"/>
              </w:rPr>
            </w:pPr>
          </w:p>
        </w:tc>
        <w:tc>
          <w:tcPr>
            <w:tcW w:w="1580" w:type="dxa"/>
            <w:gridSpan w:val="3"/>
            <w:noWrap w:val="0"/>
            <w:vAlign w:val="center"/>
          </w:tcPr>
          <w:p w14:paraId="0F21F455">
            <w:pPr>
              <w:spacing w:line="360" w:lineRule="auto"/>
              <w:jc w:val="center"/>
              <w:rPr>
                <w:rFonts w:ascii="宋体" w:hAnsi="宋体"/>
                <w:color w:val="auto"/>
                <w:szCs w:val="21"/>
              </w:rPr>
            </w:pPr>
          </w:p>
        </w:tc>
        <w:tc>
          <w:tcPr>
            <w:tcW w:w="1560" w:type="dxa"/>
            <w:gridSpan w:val="2"/>
            <w:noWrap w:val="0"/>
            <w:vAlign w:val="center"/>
          </w:tcPr>
          <w:p w14:paraId="48F68EFE">
            <w:pPr>
              <w:spacing w:line="360" w:lineRule="auto"/>
              <w:jc w:val="center"/>
              <w:rPr>
                <w:rFonts w:ascii="宋体" w:hAnsi="宋体"/>
                <w:color w:val="auto"/>
                <w:szCs w:val="21"/>
              </w:rPr>
            </w:pPr>
          </w:p>
        </w:tc>
        <w:tc>
          <w:tcPr>
            <w:tcW w:w="2787" w:type="dxa"/>
            <w:gridSpan w:val="3"/>
            <w:noWrap w:val="0"/>
            <w:vAlign w:val="center"/>
          </w:tcPr>
          <w:p w14:paraId="6B231E93">
            <w:pPr>
              <w:spacing w:line="360" w:lineRule="auto"/>
              <w:jc w:val="center"/>
              <w:rPr>
                <w:rFonts w:ascii="宋体" w:hAnsi="宋体"/>
                <w:color w:val="auto"/>
                <w:szCs w:val="21"/>
              </w:rPr>
            </w:pPr>
          </w:p>
        </w:tc>
      </w:tr>
      <w:tr w14:paraId="578E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215AE966">
            <w:pPr>
              <w:spacing w:line="360" w:lineRule="auto"/>
              <w:jc w:val="center"/>
              <w:rPr>
                <w:rFonts w:ascii="宋体" w:hAnsi="宋体"/>
                <w:color w:val="auto"/>
                <w:szCs w:val="21"/>
              </w:rPr>
            </w:pPr>
          </w:p>
        </w:tc>
        <w:tc>
          <w:tcPr>
            <w:tcW w:w="1680" w:type="dxa"/>
            <w:gridSpan w:val="3"/>
            <w:noWrap w:val="0"/>
            <w:vAlign w:val="center"/>
          </w:tcPr>
          <w:p w14:paraId="4AD5AB22">
            <w:pPr>
              <w:spacing w:line="360" w:lineRule="auto"/>
              <w:jc w:val="center"/>
              <w:rPr>
                <w:rFonts w:ascii="宋体" w:hAnsi="宋体"/>
                <w:color w:val="auto"/>
                <w:szCs w:val="21"/>
              </w:rPr>
            </w:pPr>
          </w:p>
        </w:tc>
        <w:tc>
          <w:tcPr>
            <w:tcW w:w="1580" w:type="dxa"/>
            <w:gridSpan w:val="3"/>
            <w:noWrap w:val="0"/>
            <w:vAlign w:val="center"/>
          </w:tcPr>
          <w:p w14:paraId="7DA03BAC">
            <w:pPr>
              <w:spacing w:line="360" w:lineRule="auto"/>
              <w:jc w:val="center"/>
              <w:rPr>
                <w:rFonts w:ascii="宋体" w:hAnsi="宋体"/>
                <w:color w:val="auto"/>
                <w:szCs w:val="21"/>
              </w:rPr>
            </w:pPr>
          </w:p>
        </w:tc>
        <w:tc>
          <w:tcPr>
            <w:tcW w:w="1560" w:type="dxa"/>
            <w:gridSpan w:val="2"/>
            <w:noWrap w:val="0"/>
            <w:vAlign w:val="center"/>
          </w:tcPr>
          <w:p w14:paraId="42191184">
            <w:pPr>
              <w:spacing w:line="360" w:lineRule="auto"/>
              <w:jc w:val="center"/>
              <w:rPr>
                <w:rFonts w:ascii="宋体" w:hAnsi="宋体"/>
                <w:color w:val="auto"/>
                <w:szCs w:val="21"/>
              </w:rPr>
            </w:pPr>
          </w:p>
        </w:tc>
        <w:tc>
          <w:tcPr>
            <w:tcW w:w="2787" w:type="dxa"/>
            <w:gridSpan w:val="3"/>
            <w:noWrap w:val="0"/>
            <w:vAlign w:val="center"/>
          </w:tcPr>
          <w:p w14:paraId="0F7641A0">
            <w:pPr>
              <w:spacing w:line="360" w:lineRule="auto"/>
              <w:jc w:val="center"/>
              <w:rPr>
                <w:rFonts w:ascii="宋体" w:hAnsi="宋体"/>
                <w:color w:val="auto"/>
                <w:szCs w:val="21"/>
              </w:rPr>
            </w:pPr>
          </w:p>
        </w:tc>
      </w:tr>
      <w:tr w14:paraId="3201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473E08C0">
            <w:pPr>
              <w:spacing w:line="360" w:lineRule="auto"/>
              <w:jc w:val="center"/>
              <w:rPr>
                <w:rFonts w:ascii="宋体" w:hAnsi="宋体"/>
                <w:color w:val="auto"/>
                <w:szCs w:val="21"/>
              </w:rPr>
            </w:pPr>
          </w:p>
        </w:tc>
        <w:tc>
          <w:tcPr>
            <w:tcW w:w="1680" w:type="dxa"/>
            <w:gridSpan w:val="3"/>
            <w:noWrap w:val="0"/>
            <w:vAlign w:val="center"/>
          </w:tcPr>
          <w:p w14:paraId="08BCE348">
            <w:pPr>
              <w:spacing w:line="360" w:lineRule="auto"/>
              <w:jc w:val="center"/>
              <w:rPr>
                <w:rFonts w:ascii="宋体" w:hAnsi="宋体"/>
                <w:color w:val="auto"/>
                <w:szCs w:val="21"/>
              </w:rPr>
            </w:pPr>
          </w:p>
        </w:tc>
        <w:tc>
          <w:tcPr>
            <w:tcW w:w="1580" w:type="dxa"/>
            <w:gridSpan w:val="3"/>
            <w:noWrap w:val="0"/>
            <w:vAlign w:val="center"/>
          </w:tcPr>
          <w:p w14:paraId="25DCEC1C">
            <w:pPr>
              <w:spacing w:line="360" w:lineRule="auto"/>
              <w:jc w:val="center"/>
              <w:rPr>
                <w:rFonts w:ascii="宋体" w:hAnsi="宋体"/>
                <w:color w:val="auto"/>
                <w:szCs w:val="21"/>
              </w:rPr>
            </w:pPr>
          </w:p>
        </w:tc>
        <w:tc>
          <w:tcPr>
            <w:tcW w:w="1560" w:type="dxa"/>
            <w:gridSpan w:val="2"/>
            <w:noWrap w:val="0"/>
            <w:vAlign w:val="center"/>
          </w:tcPr>
          <w:p w14:paraId="14963305">
            <w:pPr>
              <w:spacing w:line="360" w:lineRule="auto"/>
              <w:jc w:val="center"/>
              <w:rPr>
                <w:rFonts w:ascii="宋体" w:hAnsi="宋体"/>
                <w:color w:val="auto"/>
                <w:szCs w:val="21"/>
              </w:rPr>
            </w:pPr>
          </w:p>
        </w:tc>
        <w:tc>
          <w:tcPr>
            <w:tcW w:w="2787" w:type="dxa"/>
            <w:gridSpan w:val="3"/>
            <w:noWrap w:val="0"/>
            <w:vAlign w:val="center"/>
          </w:tcPr>
          <w:p w14:paraId="049D6C6F">
            <w:pPr>
              <w:spacing w:line="360" w:lineRule="auto"/>
              <w:jc w:val="center"/>
              <w:rPr>
                <w:rFonts w:ascii="宋体" w:hAnsi="宋体"/>
                <w:color w:val="auto"/>
                <w:szCs w:val="21"/>
              </w:rPr>
            </w:pPr>
          </w:p>
        </w:tc>
      </w:tr>
      <w:tr w14:paraId="2A3E3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60B0E0D2">
            <w:pPr>
              <w:spacing w:line="360" w:lineRule="auto"/>
              <w:jc w:val="center"/>
              <w:rPr>
                <w:rFonts w:ascii="宋体" w:hAnsi="宋体"/>
                <w:color w:val="auto"/>
                <w:szCs w:val="21"/>
              </w:rPr>
            </w:pPr>
          </w:p>
        </w:tc>
        <w:tc>
          <w:tcPr>
            <w:tcW w:w="1680" w:type="dxa"/>
            <w:gridSpan w:val="3"/>
            <w:noWrap w:val="0"/>
            <w:vAlign w:val="center"/>
          </w:tcPr>
          <w:p w14:paraId="3E197B8D">
            <w:pPr>
              <w:spacing w:line="360" w:lineRule="auto"/>
              <w:jc w:val="center"/>
              <w:rPr>
                <w:rFonts w:ascii="宋体" w:hAnsi="宋体"/>
                <w:color w:val="auto"/>
                <w:szCs w:val="21"/>
              </w:rPr>
            </w:pPr>
          </w:p>
        </w:tc>
        <w:tc>
          <w:tcPr>
            <w:tcW w:w="1580" w:type="dxa"/>
            <w:gridSpan w:val="3"/>
            <w:noWrap w:val="0"/>
            <w:vAlign w:val="center"/>
          </w:tcPr>
          <w:p w14:paraId="7B83C848">
            <w:pPr>
              <w:spacing w:line="360" w:lineRule="auto"/>
              <w:jc w:val="center"/>
              <w:rPr>
                <w:rFonts w:ascii="宋体" w:hAnsi="宋体"/>
                <w:color w:val="auto"/>
                <w:szCs w:val="21"/>
              </w:rPr>
            </w:pPr>
          </w:p>
        </w:tc>
        <w:tc>
          <w:tcPr>
            <w:tcW w:w="1560" w:type="dxa"/>
            <w:gridSpan w:val="2"/>
            <w:noWrap w:val="0"/>
            <w:vAlign w:val="center"/>
          </w:tcPr>
          <w:p w14:paraId="3BFCFB29">
            <w:pPr>
              <w:spacing w:line="360" w:lineRule="auto"/>
              <w:jc w:val="center"/>
              <w:rPr>
                <w:rFonts w:ascii="宋体" w:hAnsi="宋体"/>
                <w:color w:val="auto"/>
                <w:szCs w:val="21"/>
              </w:rPr>
            </w:pPr>
          </w:p>
        </w:tc>
        <w:tc>
          <w:tcPr>
            <w:tcW w:w="2787" w:type="dxa"/>
            <w:gridSpan w:val="3"/>
            <w:noWrap w:val="0"/>
            <w:vAlign w:val="center"/>
          </w:tcPr>
          <w:p w14:paraId="09050165">
            <w:pPr>
              <w:spacing w:line="360" w:lineRule="auto"/>
              <w:jc w:val="center"/>
              <w:rPr>
                <w:rFonts w:ascii="宋体" w:hAnsi="宋体"/>
                <w:color w:val="auto"/>
                <w:szCs w:val="21"/>
              </w:rPr>
            </w:pPr>
          </w:p>
        </w:tc>
      </w:tr>
      <w:tr w14:paraId="4161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6E0108D8">
            <w:pPr>
              <w:spacing w:line="360" w:lineRule="auto"/>
              <w:jc w:val="center"/>
              <w:rPr>
                <w:rFonts w:ascii="宋体" w:hAnsi="宋体"/>
                <w:color w:val="auto"/>
                <w:szCs w:val="21"/>
              </w:rPr>
            </w:pPr>
          </w:p>
        </w:tc>
        <w:tc>
          <w:tcPr>
            <w:tcW w:w="1680" w:type="dxa"/>
            <w:gridSpan w:val="3"/>
            <w:noWrap w:val="0"/>
            <w:vAlign w:val="center"/>
          </w:tcPr>
          <w:p w14:paraId="7629480B">
            <w:pPr>
              <w:spacing w:line="360" w:lineRule="auto"/>
              <w:jc w:val="center"/>
              <w:rPr>
                <w:rFonts w:ascii="宋体" w:hAnsi="宋体"/>
                <w:color w:val="auto"/>
                <w:szCs w:val="21"/>
              </w:rPr>
            </w:pPr>
          </w:p>
        </w:tc>
        <w:tc>
          <w:tcPr>
            <w:tcW w:w="1580" w:type="dxa"/>
            <w:gridSpan w:val="3"/>
            <w:noWrap w:val="0"/>
            <w:vAlign w:val="center"/>
          </w:tcPr>
          <w:p w14:paraId="39743437">
            <w:pPr>
              <w:spacing w:line="360" w:lineRule="auto"/>
              <w:jc w:val="center"/>
              <w:rPr>
                <w:rFonts w:ascii="宋体" w:hAnsi="宋体"/>
                <w:color w:val="auto"/>
                <w:szCs w:val="21"/>
              </w:rPr>
            </w:pPr>
          </w:p>
        </w:tc>
        <w:tc>
          <w:tcPr>
            <w:tcW w:w="1560" w:type="dxa"/>
            <w:gridSpan w:val="2"/>
            <w:noWrap w:val="0"/>
            <w:vAlign w:val="center"/>
          </w:tcPr>
          <w:p w14:paraId="24679976">
            <w:pPr>
              <w:spacing w:line="360" w:lineRule="auto"/>
              <w:jc w:val="center"/>
              <w:rPr>
                <w:rFonts w:ascii="宋体" w:hAnsi="宋体"/>
                <w:color w:val="auto"/>
                <w:szCs w:val="21"/>
              </w:rPr>
            </w:pPr>
          </w:p>
        </w:tc>
        <w:tc>
          <w:tcPr>
            <w:tcW w:w="2787" w:type="dxa"/>
            <w:gridSpan w:val="3"/>
            <w:noWrap w:val="0"/>
            <w:vAlign w:val="center"/>
          </w:tcPr>
          <w:p w14:paraId="3E6C1A3D">
            <w:pPr>
              <w:spacing w:line="360" w:lineRule="auto"/>
              <w:jc w:val="center"/>
              <w:rPr>
                <w:rFonts w:ascii="宋体" w:hAnsi="宋体"/>
                <w:color w:val="auto"/>
                <w:szCs w:val="21"/>
              </w:rPr>
            </w:pPr>
          </w:p>
        </w:tc>
      </w:tr>
      <w:tr w14:paraId="0F26E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01CB081B">
            <w:pPr>
              <w:spacing w:line="360" w:lineRule="auto"/>
              <w:jc w:val="center"/>
              <w:rPr>
                <w:rFonts w:ascii="宋体" w:hAnsi="宋体"/>
                <w:color w:val="auto"/>
                <w:szCs w:val="21"/>
              </w:rPr>
            </w:pPr>
          </w:p>
        </w:tc>
        <w:tc>
          <w:tcPr>
            <w:tcW w:w="1680" w:type="dxa"/>
            <w:gridSpan w:val="3"/>
            <w:noWrap w:val="0"/>
            <w:vAlign w:val="center"/>
          </w:tcPr>
          <w:p w14:paraId="1EFA22FD">
            <w:pPr>
              <w:spacing w:line="360" w:lineRule="auto"/>
              <w:jc w:val="center"/>
              <w:rPr>
                <w:rFonts w:ascii="宋体" w:hAnsi="宋体"/>
                <w:color w:val="auto"/>
                <w:szCs w:val="21"/>
              </w:rPr>
            </w:pPr>
          </w:p>
        </w:tc>
        <w:tc>
          <w:tcPr>
            <w:tcW w:w="1580" w:type="dxa"/>
            <w:gridSpan w:val="3"/>
            <w:noWrap w:val="0"/>
            <w:vAlign w:val="center"/>
          </w:tcPr>
          <w:p w14:paraId="50DBFDE0">
            <w:pPr>
              <w:spacing w:line="360" w:lineRule="auto"/>
              <w:jc w:val="center"/>
              <w:rPr>
                <w:rFonts w:ascii="宋体" w:hAnsi="宋体"/>
                <w:color w:val="auto"/>
                <w:szCs w:val="21"/>
              </w:rPr>
            </w:pPr>
          </w:p>
        </w:tc>
        <w:tc>
          <w:tcPr>
            <w:tcW w:w="1560" w:type="dxa"/>
            <w:gridSpan w:val="2"/>
            <w:noWrap w:val="0"/>
            <w:vAlign w:val="center"/>
          </w:tcPr>
          <w:p w14:paraId="246CF9FA">
            <w:pPr>
              <w:spacing w:line="360" w:lineRule="auto"/>
              <w:jc w:val="center"/>
              <w:rPr>
                <w:rFonts w:ascii="宋体" w:hAnsi="宋体"/>
                <w:color w:val="auto"/>
                <w:szCs w:val="21"/>
              </w:rPr>
            </w:pPr>
          </w:p>
        </w:tc>
        <w:tc>
          <w:tcPr>
            <w:tcW w:w="2787" w:type="dxa"/>
            <w:gridSpan w:val="3"/>
            <w:noWrap w:val="0"/>
            <w:vAlign w:val="center"/>
          </w:tcPr>
          <w:p w14:paraId="3F60DF4A">
            <w:pPr>
              <w:spacing w:line="360" w:lineRule="auto"/>
              <w:jc w:val="center"/>
              <w:rPr>
                <w:rFonts w:ascii="宋体" w:hAnsi="宋体"/>
                <w:color w:val="auto"/>
                <w:szCs w:val="21"/>
              </w:rPr>
            </w:pPr>
          </w:p>
        </w:tc>
      </w:tr>
      <w:tr w14:paraId="3C6C3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5988D17D">
            <w:pPr>
              <w:spacing w:line="360" w:lineRule="auto"/>
              <w:jc w:val="center"/>
              <w:rPr>
                <w:rFonts w:ascii="宋体" w:hAnsi="宋体"/>
                <w:color w:val="auto"/>
                <w:szCs w:val="21"/>
              </w:rPr>
            </w:pPr>
          </w:p>
        </w:tc>
        <w:tc>
          <w:tcPr>
            <w:tcW w:w="1680" w:type="dxa"/>
            <w:gridSpan w:val="3"/>
            <w:noWrap w:val="0"/>
            <w:vAlign w:val="center"/>
          </w:tcPr>
          <w:p w14:paraId="159E989D">
            <w:pPr>
              <w:spacing w:line="360" w:lineRule="auto"/>
              <w:jc w:val="center"/>
              <w:rPr>
                <w:rFonts w:ascii="宋体" w:hAnsi="宋体"/>
                <w:color w:val="auto"/>
                <w:szCs w:val="21"/>
              </w:rPr>
            </w:pPr>
          </w:p>
        </w:tc>
        <w:tc>
          <w:tcPr>
            <w:tcW w:w="1580" w:type="dxa"/>
            <w:gridSpan w:val="3"/>
            <w:noWrap w:val="0"/>
            <w:vAlign w:val="center"/>
          </w:tcPr>
          <w:p w14:paraId="766D65AD">
            <w:pPr>
              <w:spacing w:line="360" w:lineRule="auto"/>
              <w:jc w:val="center"/>
              <w:rPr>
                <w:rFonts w:ascii="宋体" w:hAnsi="宋体"/>
                <w:color w:val="auto"/>
                <w:szCs w:val="21"/>
              </w:rPr>
            </w:pPr>
          </w:p>
        </w:tc>
        <w:tc>
          <w:tcPr>
            <w:tcW w:w="1560" w:type="dxa"/>
            <w:gridSpan w:val="2"/>
            <w:noWrap w:val="0"/>
            <w:vAlign w:val="center"/>
          </w:tcPr>
          <w:p w14:paraId="2DA63A97">
            <w:pPr>
              <w:spacing w:line="360" w:lineRule="auto"/>
              <w:jc w:val="center"/>
              <w:rPr>
                <w:rFonts w:ascii="宋体" w:hAnsi="宋体"/>
                <w:color w:val="auto"/>
                <w:szCs w:val="21"/>
              </w:rPr>
            </w:pPr>
          </w:p>
        </w:tc>
        <w:tc>
          <w:tcPr>
            <w:tcW w:w="2787" w:type="dxa"/>
            <w:gridSpan w:val="3"/>
            <w:noWrap w:val="0"/>
            <w:vAlign w:val="center"/>
          </w:tcPr>
          <w:p w14:paraId="689C37AF">
            <w:pPr>
              <w:spacing w:line="360" w:lineRule="auto"/>
              <w:jc w:val="center"/>
              <w:rPr>
                <w:rFonts w:ascii="宋体" w:hAnsi="宋体"/>
                <w:color w:val="auto"/>
                <w:szCs w:val="21"/>
              </w:rPr>
            </w:pPr>
          </w:p>
        </w:tc>
      </w:tr>
      <w:tr w14:paraId="5E29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4F6FAE73">
            <w:pPr>
              <w:spacing w:line="360" w:lineRule="auto"/>
              <w:jc w:val="center"/>
              <w:rPr>
                <w:rFonts w:ascii="宋体" w:hAnsi="宋体"/>
                <w:color w:val="auto"/>
                <w:szCs w:val="21"/>
              </w:rPr>
            </w:pPr>
          </w:p>
        </w:tc>
        <w:tc>
          <w:tcPr>
            <w:tcW w:w="1680" w:type="dxa"/>
            <w:gridSpan w:val="3"/>
            <w:noWrap w:val="0"/>
            <w:vAlign w:val="center"/>
          </w:tcPr>
          <w:p w14:paraId="15F2AFB9">
            <w:pPr>
              <w:spacing w:line="360" w:lineRule="auto"/>
              <w:jc w:val="center"/>
              <w:rPr>
                <w:rFonts w:ascii="宋体" w:hAnsi="宋体"/>
                <w:color w:val="auto"/>
                <w:szCs w:val="21"/>
              </w:rPr>
            </w:pPr>
          </w:p>
        </w:tc>
        <w:tc>
          <w:tcPr>
            <w:tcW w:w="1580" w:type="dxa"/>
            <w:gridSpan w:val="3"/>
            <w:noWrap w:val="0"/>
            <w:vAlign w:val="center"/>
          </w:tcPr>
          <w:p w14:paraId="5B8C56FC">
            <w:pPr>
              <w:spacing w:line="360" w:lineRule="auto"/>
              <w:jc w:val="center"/>
              <w:rPr>
                <w:rFonts w:ascii="宋体" w:hAnsi="宋体"/>
                <w:color w:val="auto"/>
                <w:szCs w:val="21"/>
              </w:rPr>
            </w:pPr>
          </w:p>
        </w:tc>
        <w:tc>
          <w:tcPr>
            <w:tcW w:w="1560" w:type="dxa"/>
            <w:gridSpan w:val="2"/>
            <w:noWrap w:val="0"/>
            <w:vAlign w:val="center"/>
          </w:tcPr>
          <w:p w14:paraId="7B226691">
            <w:pPr>
              <w:spacing w:line="360" w:lineRule="auto"/>
              <w:jc w:val="center"/>
              <w:rPr>
                <w:rFonts w:ascii="宋体" w:hAnsi="宋体"/>
                <w:color w:val="auto"/>
                <w:szCs w:val="21"/>
              </w:rPr>
            </w:pPr>
          </w:p>
        </w:tc>
        <w:tc>
          <w:tcPr>
            <w:tcW w:w="2787" w:type="dxa"/>
            <w:gridSpan w:val="3"/>
            <w:noWrap w:val="0"/>
            <w:vAlign w:val="center"/>
          </w:tcPr>
          <w:p w14:paraId="627AFC9C">
            <w:pPr>
              <w:spacing w:line="360" w:lineRule="auto"/>
              <w:jc w:val="center"/>
              <w:rPr>
                <w:rFonts w:ascii="宋体" w:hAnsi="宋体"/>
                <w:color w:val="auto"/>
                <w:szCs w:val="21"/>
              </w:rPr>
            </w:pPr>
          </w:p>
        </w:tc>
      </w:tr>
    </w:tbl>
    <w:p w14:paraId="69B7FA0D">
      <w:pPr>
        <w:spacing w:line="360" w:lineRule="auto"/>
        <w:rPr>
          <w:rFonts w:ascii="宋体" w:hAnsi="宋体"/>
          <w:b/>
          <w:color w:val="auto"/>
          <w:szCs w:val="21"/>
        </w:rPr>
      </w:pPr>
      <w:r>
        <w:rPr>
          <w:rFonts w:hint="eastAsia" w:ascii="宋体" w:hAnsi="宋体"/>
          <w:b/>
          <w:color w:val="auto"/>
          <w:szCs w:val="21"/>
        </w:rPr>
        <w:t>注：1</w:t>
      </w:r>
      <w:r>
        <w:rPr>
          <w:rFonts w:ascii="宋体" w:hAnsi="宋体"/>
          <w:b/>
          <w:color w:val="auto"/>
          <w:szCs w:val="21"/>
        </w:rPr>
        <w:t>.</w:t>
      </w:r>
      <w:r>
        <w:rPr>
          <w:rFonts w:hint="eastAsia" w:ascii="宋体" w:hAnsi="宋体"/>
          <w:b/>
          <w:color w:val="auto"/>
          <w:szCs w:val="21"/>
        </w:rPr>
        <w:t>附身份证、职称证（若有）、注册证、安全生产考核合格证书、社保缴纳证明的扫描件；</w:t>
      </w:r>
    </w:p>
    <w:p w14:paraId="4F56C3D6">
      <w:pPr>
        <w:spacing w:line="360" w:lineRule="auto"/>
        <w:rPr>
          <w:rFonts w:hint="eastAsia" w:ascii="宋体" w:hAnsi="宋体"/>
          <w:b/>
          <w:color w:val="auto"/>
          <w:szCs w:val="21"/>
        </w:rPr>
      </w:pPr>
      <w:r>
        <w:rPr>
          <w:rFonts w:hint="eastAsia" w:ascii="宋体" w:hAnsi="宋体"/>
          <w:b/>
          <w:color w:val="auto"/>
          <w:szCs w:val="21"/>
        </w:rPr>
        <w:t xml:space="preserve">    </w:t>
      </w:r>
      <w:r>
        <w:rPr>
          <w:rFonts w:ascii="宋体" w:hAnsi="宋体"/>
          <w:b/>
          <w:color w:val="auto"/>
          <w:szCs w:val="21"/>
        </w:rPr>
        <w:t>2.</w:t>
      </w:r>
      <w:r>
        <w:rPr>
          <w:rFonts w:hint="eastAsia" w:ascii="宋体" w:hAnsi="宋体"/>
          <w:b/>
          <w:color w:val="auto"/>
          <w:szCs w:val="21"/>
        </w:rPr>
        <w:t>不得担任其他在建工程的施工项目负责人承诺书（提供书面承诺）；</w:t>
      </w:r>
    </w:p>
    <w:p w14:paraId="2861A7B6">
      <w:pPr>
        <w:spacing w:line="360" w:lineRule="auto"/>
        <w:ind w:firstLine="422" w:firstLineChars="200"/>
        <w:rPr>
          <w:rFonts w:hint="eastAsia" w:ascii="宋体" w:hAnsi="宋体"/>
          <w:b/>
          <w:color w:val="auto"/>
          <w:szCs w:val="21"/>
        </w:rPr>
      </w:pPr>
      <w:r>
        <w:rPr>
          <w:rFonts w:hint="eastAsia" w:ascii="宋体" w:hAnsi="宋体"/>
          <w:b/>
          <w:color w:val="auto"/>
          <w:szCs w:val="21"/>
        </w:rPr>
        <w:t>3.其他相关材料（如有提供）。</w:t>
      </w:r>
    </w:p>
    <w:p w14:paraId="7FED166D">
      <w:pPr>
        <w:pStyle w:val="4"/>
        <w:adjustRightInd w:val="0"/>
        <w:snapToGrid w:val="0"/>
        <w:spacing w:before="0" w:after="0"/>
        <w:ind w:firstLine="0" w:firstLineChars="0"/>
        <w:jc w:val="center"/>
        <w:rPr>
          <w:rFonts w:hint="eastAsia" w:hAnsi="宋体"/>
          <w:color w:val="auto"/>
          <w:sz w:val="21"/>
          <w:szCs w:val="21"/>
        </w:rPr>
      </w:pPr>
      <w:r>
        <w:rPr>
          <w:rFonts w:hint="eastAsia"/>
          <w:color w:val="auto"/>
          <w:sz w:val="21"/>
          <w:szCs w:val="21"/>
        </w:rPr>
        <w:br w:type="page"/>
      </w:r>
      <w:r>
        <w:rPr>
          <w:rFonts w:hint="eastAsia" w:ascii="宋体" w:hAnsi="宋体" w:eastAsia="宋体" w:cs="宋体"/>
          <w:b/>
          <w:bCs/>
          <w:color w:val="auto"/>
          <w:sz w:val="21"/>
          <w:szCs w:val="21"/>
        </w:rPr>
        <w:t>拟派往本工程的施工技术负责人简历表</w:t>
      </w:r>
    </w:p>
    <w:tbl>
      <w:tblPr>
        <w:tblStyle w:val="31"/>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19"/>
        <w:gridCol w:w="745"/>
        <w:gridCol w:w="1355"/>
        <w:gridCol w:w="284"/>
        <w:gridCol w:w="41"/>
        <w:gridCol w:w="810"/>
        <w:gridCol w:w="755"/>
        <w:gridCol w:w="15"/>
        <w:gridCol w:w="1125"/>
        <w:gridCol w:w="435"/>
        <w:gridCol w:w="645"/>
        <w:gridCol w:w="405"/>
        <w:gridCol w:w="1737"/>
      </w:tblGrid>
      <w:tr w14:paraId="59379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1319" w:type="dxa"/>
            <w:noWrap w:val="0"/>
            <w:vAlign w:val="center"/>
          </w:tcPr>
          <w:p w14:paraId="76675888">
            <w:pPr>
              <w:spacing w:line="360" w:lineRule="auto"/>
              <w:jc w:val="center"/>
              <w:rPr>
                <w:rFonts w:ascii="宋体" w:hAnsi="宋体"/>
                <w:color w:val="auto"/>
                <w:szCs w:val="21"/>
              </w:rPr>
            </w:pPr>
            <w:r>
              <w:rPr>
                <w:rFonts w:hint="eastAsia" w:ascii="宋体" w:hAnsi="宋体"/>
                <w:color w:val="auto"/>
                <w:szCs w:val="21"/>
              </w:rPr>
              <w:t>姓名</w:t>
            </w:r>
          </w:p>
        </w:tc>
        <w:tc>
          <w:tcPr>
            <w:tcW w:w="2384" w:type="dxa"/>
            <w:gridSpan w:val="3"/>
            <w:noWrap w:val="0"/>
            <w:vAlign w:val="center"/>
          </w:tcPr>
          <w:p w14:paraId="57792CDD">
            <w:pPr>
              <w:spacing w:line="360" w:lineRule="auto"/>
              <w:jc w:val="center"/>
              <w:rPr>
                <w:rFonts w:ascii="宋体" w:hAnsi="宋体"/>
                <w:color w:val="auto"/>
                <w:szCs w:val="21"/>
              </w:rPr>
            </w:pPr>
          </w:p>
        </w:tc>
        <w:tc>
          <w:tcPr>
            <w:tcW w:w="851" w:type="dxa"/>
            <w:gridSpan w:val="2"/>
            <w:noWrap w:val="0"/>
            <w:vAlign w:val="center"/>
          </w:tcPr>
          <w:p w14:paraId="65DADF20">
            <w:pPr>
              <w:spacing w:line="360" w:lineRule="auto"/>
              <w:jc w:val="center"/>
              <w:rPr>
                <w:rFonts w:ascii="宋体" w:hAnsi="宋体"/>
                <w:color w:val="auto"/>
                <w:szCs w:val="21"/>
              </w:rPr>
            </w:pPr>
            <w:r>
              <w:rPr>
                <w:rFonts w:hint="eastAsia" w:ascii="宋体" w:hAnsi="宋体"/>
                <w:color w:val="auto"/>
                <w:szCs w:val="21"/>
              </w:rPr>
              <w:t>性别</w:t>
            </w:r>
          </w:p>
        </w:tc>
        <w:tc>
          <w:tcPr>
            <w:tcW w:w="1895" w:type="dxa"/>
            <w:gridSpan w:val="3"/>
            <w:noWrap w:val="0"/>
            <w:vAlign w:val="center"/>
          </w:tcPr>
          <w:p w14:paraId="72B6A000">
            <w:pPr>
              <w:spacing w:line="360" w:lineRule="auto"/>
              <w:jc w:val="center"/>
              <w:rPr>
                <w:rFonts w:ascii="宋体" w:hAnsi="宋体"/>
                <w:color w:val="auto"/>
                <w:szCs w:val="21"/>
              </w:rPr>
            </w:pPr>
          </w:p>
        </w:tc>
        <w:tc>
          <w:tcPr>
            <w:tcW w:w="1080" w:type="dxa"/>
            <w:gridSpan w:val="2"/>
            <w:noWrap w:val="0"/>
            <w:vAlign w:val="center"/>
          </w:tcPr>
          <w:p w14:paraId="628300E6">
            <w:pPr>
              <w:spacing w:line="360" w:lineRule="auto"/>
              <w:jc w:val="center"/>
              <w:rPr>
                <w:rFonts w:ascii="宋体" w:hAnsi="宋体"/>
                <w:color w:val="auto"/>
                <w:szCs w:val="21"/>
              </w:rPr>
            </w:pPr>
            <w:r>
              <w:rPr>
                <w:rFonts w:hint="eastAsia" w:ascii="宋体" w:hAnsi="宋体"/>
                <w:color w:val="auto"/>
                <w:szCs w:val="21"/>
              </w:rPr>
              <w:t>年龄</w:t>
            </w:r>
          </w:p>
        </w:tc>
        <w:tc>
          <w:tcPr>
            <w:tcW w:w="2142" w:type="dxa"/>
            <w:gridSpan w:val="2"/>
            <w:noWrap w:val="0"/>
            <w:vAlign w:val="center"/>
          </w:tcPr>
          <w:p w14:paraId="167099FD">
            <w:pPr>
              <w:spacing w:line="360" w:lineRule="auto"/>
              <w:jc w:val="center"/>
              <w:rPr>
                <w:rFonts w:ascii="宋体" w:hAnsi="宋体"/>
                <w:color w:val="auto"/>
                <w:szCs w:val="21"/>
              </w:rPr>
            </w:pPr>
          </w:p>
        </w:tc>
      </w:tr>
      <w:tr w14:paraId="576A0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1319" w:type="dxa"/>
            <w:noWrap w:val="0"/>
            <w:vAlign w:val="center"/>
          </w:tcPr>
          <w:p w14:paraId="13B40975">
            <w:pPr>
              <w:spacing w:line="360" w:lineRule="auto"/>
              <w:jc w:val="center"/>
              <w:rPr>
                <w:rFonts w:ascii="宋体" w:hAnsi="宋体"/>
                <w:color w:val="auto"/>
                <w:szCs w:val="21"/>
              </w:rPr>
            </w:pPr>
            <w:r>
              <w:rPr>
                <w:rFonts w:hint="eastAsia" w:ascii="宋体" w:hAnsi="宋体"/>
                <w:color w:val="auto"/>
                <w:szCs w:val="21"/>
              </w:rPr>
              <w:t>职务</w:t>
            </w:r>
          </w:p>
        </w:tc>
        <w:tc>
          <w:tcPr>
            <w:tcW w:w="2384" w:type="dxa"/>
            <w:gridSpan w:val="3"/>
            <w:noWrap w:val="0"/>
            <w:vAlign w:val="center"/>
          </w:tcPr>
          <w:p w14:paraId="7561A6A6">
            <w:pPr>
              <w:spacing w:line="360" w:lineRule="auto"/>
              <w:jc w:val="center"/>
              <w:rPr>
                <w:rFonts w:ascii="宋体" w:hAnsi="宋体"/>
                <w:color w:val="auto"/>
                <w:szCs w:val="21"/>
              </w:rPr>
            </w:pPr>
          </w:p>
        </w:tc>
        <w:tc>
          <w:tcPr>
            <w:tcW w:w="851" w:type="dxa"/>
            <w:gridSpan w:val="2"/>
            <w:noWrap w:val="0"/>
            <w:vAlign w:val="center"/>
          </w:tcPr>
          <w:p w14:paraId="2A04FD42">
            <w:pPr>
              <w:spacing w:line="360" w:lineRule="auto"/>
              <w:jc w:val="center"/>
              <w:rPr>
                <w:rFonts w:ascii="宋体" w:hAnsi="宋体"/>
                <w:color w:val="auto"/>
                <w:szCs w:val="21"/>
              </w:rPr>
            </w:pPr>
            <w:r>
              <w:rPr>
                <w:rFonts w:hint="eastAsia" w:ascii="宋体" w:hAnsi="宋体"/>
                <w:color w:val="auto"/>
                <w:szCs w:val="21"/>
              </w:rPr>
              <w:t>职称</w:t>
            </w:r>
          </w:p>
        </w:tc>
        <w:tc>
          <w:tcPr>
            <w:tcW w:w="1895" w:type="dxa"/>
            <w:gridSpan w:val="3"/>
            <w:noWrap w:val="0"/>
            <w:vAlign w:val="center"/>
          </w:tcPr>
          <w:p w14:paraId="5C9685F3">
            <w:pPr>
              <w:spacing w:line="360" w:lineRule="auto"/>
              <w:jc w:val="center"/>
              <w:rPr>
                <w:rFonts w:ascii="宋体" w:hAnsi="宋体"/>
                <w:color w:val="auto"/>
                <w:szCs w:val="21"/>
              </w:rPr>
            </w:pPr>
          </w:p>
        </w:tc>
        <w:tc>
          <w:tcPr>
            <w:tcW w:w="1080" w:type="dxa"/>
            <w:gridSpan w:val="2"/>
            <w:noWrap w:val="0"/>
            <w:vAlign w:val="center"/>
          </w:tcPr>
          <w:p w14:paraId="719E404B">
            <w:pPr>
              <w:spacing w:line="360" w:lineRule="auto"/>
              <w:jc w:val="center"/>
              <w:rPr>
                <w:rFonts w:ascii="宋体" w:hAnsi="宋体"/>
                <w:color w:val="auto"/>
                <w:szCs w:val="21"/>
              </w:rPr>
            </w:pPr>
            <w:r>
              <w:rPr>
                <w:rFonts w:hint="eastAsia" w:ascii="宋体" w:hAnsi="宋体"/>
                <w:color w:val="auto"/>
                <w:szCs w:val="21"/>
              </w:rPr>
              <w:t>学历</w:t>
            </w:r>
          </w:p>
        </w:tc>
        <w:tc>
          <w:tcPr>
            <w:tcW w:w="2142" w:type="dxa"/>
            <w:gridSpan w:val="2"/>
            <w:noWrap w:val="0"/>
            <w:vAlign w:val="center"/>
          </w:tcPr>
          <w:p w14:paraId="3686816F">
            <w:pPr>
              <w:spacing w:line="360" w:lineRule="auto"/>
              <w:jc w:val="center"/>
              <w:rPr>
                <w:rFonts w:ascii="宋体" w:hAnsi="宋体"/>
                <w:color w:val="auto"/>
                <w:szCs w:val="21"/>
              </w:rPr>
            </w:pPr>
          </w:p>
        </w:tc>
      </w:tr>
      <w:tr w14:paraId="3AD3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3419" w:type="dxa"/>
            <w:gridSpan w:val="3"/>
            <w:noWrap w:val="0"/>
            <w:vAlign w:val="center"/>
          </w:tcPr>
          <w:p w14:paraId="60529918">
            <w:pPr>
              <w:spacing w:line="360" w:lineRule="auto"/>
              <w:jc w:val="center"/>
              <w:rPr>
                <w:rFonts w:ascii="宋体" w:hAnsi="宋体"/>
                <w:color w:val="auto"/>
                <w:szCs w:val="21"/>
              </w:rPr>
            </w:pPr>
            <w:r>
              <w:rPr>
                <w:rFonts w:hint="eastAsia" w:ascii="宋体" w:hAnsi="宋体"/>
                <w:color w:val="auto"/>
                <w:szCs w:val="21"/>
              </w:rPr>
              <w:t>参加工作时间</w:t>
            </w:r>
          </w:p>
        </w:tc>
        <w:tc>
          <w:tcPr>
            <w:tcW w:w="1890" w:type="dxa"/>
            <w:gridSpan w:val="4"/>
            <w:noWrap w:val="0"/>
            <w:vAlign w:val="center"/>
          </w:tcPr>
          <w:p w14:paraId="0FECD867">
            <w:pPr>
              <w:spacing w:line="360" w:lineRule="auto"/>
              <w:jc w:val="center"/>
              <w:rPr>
                <w:rFonts w:ascii="宋体" w:hAnsi="宋体"/>
                <w:color w:val="auto"/>
                <w:szCs w:val="21"/>
              </w:rPr>
            </w:pPr>
          </w:p>
        </w:tc>
        <w:tc>
          <w:tcPr>
            <w:tcW w:w="2625" w:type="dxa"/>
            <w:gridSpan w:val="5"/>
            <w:noWrap w:val="0"/>
            <w:vAlign w:val="center"/>
          </w:tcPr>
          <w:p w14:paraId="7E9379D5">
            <w:pPr>
              <w:spacing w:line="360" w:lineRule="auto"/>
              <w:jc w:val="center"/>
              <w:rPr>
                <w:rFonts w:ascii="宋体" w:hAnsi="宋体"/>
                <w:color w:val="auto"/>
                <w:szCs w:val="21"/>
              </w:rPr>
            </w:pPr>
            <w:r>
              <w:rPr>
                <w:rFonts w:hint="eastAsia" w:ascii="宋体" w:hAnsi="宋体"/>
                <w:color w:val="auto"/>
                <w:szCs w:val="21"/>
              </w:rPr>
              <w:t>担任技术负责人年限</w:t>
            </w:r>
          </w:p>
        </w:tc>
        <w:tc>
          <w:tcPr>
            <w:tcW w:w="1737" w:type="dxa"/>
            <w:noWrap w:val="0"/>
            <w:vAlign w:val="center"/>
          </w:tcPr>
          <w:p w14:paraId="74F7FD76">
            <w:pPr>
              <w:spacing w:line="360" w:lineRule="auto"/>
              <w:jc w:val="center"/>
              <w:rPr>
                <w:rFonts w:ascii="宋体" w:hAnsi="宋体"/>
                <w:color w:val="auto"/>
                <w:szCs w:val="21"/>
              </w:rPr>
            </w:pPr>
          </w:p>
        </w:tc>
      </w:tr>
      <w:tr w14:paraId="79602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3419" w:type="dxa"/>
            <w:gridSpan w:val="3"/>
            <w:noWrap w:val="0"/>
            <w:vAlign w:val="center"/>
          </w:tcPr>
          <w:p w14:paraId="350A0229">
            <w:pPr>
              <w:spacing w:line="360" w:lineRule="auto"/>
              <w:jc w:val="center"/>
              <w:rPr>
                <w:rFonts w:ascii="宋体" w:hAnsi="宋体"/>
                <w:color w:val="auto"/>
                <w:szCs w:val="21"/>
              </w:rPr>
            </w:pPr>
            <w:r>
              <w:rPr>
                <w:rFonts w:hint="eastAsia" w:ascii="宋体" w:hAnsi="宋体"/>
                <w:color w:val="auto"/>
                <w:szCs w:val="21"/>
              </w:rPr>
              <w:t>证书及证书编号（如有）</w:t>
            </w:r>
          </w:p>
        </w:tc>
        <w:tc>
          <w:tcPr>
            <w:tcW w:w="6252" w:type="dxa"/>
            <w:gridSpan w:val="10"/>
            <w:noWrap w:val="0"/>
            <w:vAlign w:val="center"/>
          </w:tcPr>
          <w:p w14:paraId="302E7770">
            <w:pPr>
              <w:spacing w:line="360" w:lineRule="auto"/>
              <w:jc w:val="center"/>
              <w:rPr>
                <w:rFonts w:ascii="宋体" w:hAnsi="宋体"/>
                <w:color w:val="auto"/>
                <w:szCs w:val="21"/>
              </w:rPr>
            </w:pPr>
          </w:p>
        </w:tc>
      </w:tr>
      <w:tr w14:paraId="380AC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jc w:val="center"/>
        </w:trPr>
        <w:tc>
          <w:tcPr>
            <w:tcW w:w="9671" w:type="dxa"/>
            <w:gridSpan w:val="13"/>
            <w:noWrap w:val="0"/>
            <w:vAlign w:val="center"/>
          </w:tcPr>
          <w:p w14:paraId="48F90A69">
            <w:pPr>
              <w:spacing w:line="360" w:lineRule="auto"/>
              <w:jc w:val="center"/>
              <w:rPr>
                <w:rFonts w:ascii="宋体" w:hAnsi="宋体"/>
                <w:color w:val="auto"/>
                <w:szCs w:val="21"/>
              </w:rPr>
            </w:pPr>
            <w:r>
              <w:rPr>
                <w:rFonts w:hint="eastAsia" w:ascii="宋体" w:hAnsi="宋体"/>
                <w:color w:val="auto"/>
                <w:szCs w:val="21"/>
              </w:rPr>
              <w:t>在进行和已完项目情况</w:t>
            </w:r>
          </w:p>
        </w:tc>
      </w:tr>
      <w:tr w14:paraId="37B0B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2064" w:type="dxa"/>
            <w:gridSpan w:val="2"/>
            <w:noWrap w:val="0"/>
            <w:vAlign w:val="center"/>
          </w:tcPr>
          <w:p w14:paraId="65656BE7">
            <w:pPr>
              <w:spacing w:line="360" w:lineRule="auto"/>
              <w:jc w:val="center"/>
              <w:rPr>
                <w:rFonts w:ascii="宋体" w:hAnsi="宋体"/>
                <w:color w:val="auto"/>
                <w:szCs w:val="21"/>
              </w:rPr>
            </w:pPr>
            <w:r>
              <w:rPr>
                <w:rFonts w:hint="eastAsia" w:ascii="宋体" w:hAnsi="宋体"/>
                <w:color w:val="auto"/>
                <w:szCs w:val="21"/>
              </w:rPr>
              <w:t>建设单位</w:t>
            </w:r>
          </w:p>
        </w:tc>
        <w:tc>
          <w:tcPr>
            <w:tcW w:w="1680" w:type="dxa"/>
            <w:gridSpan w:val="3"/>
            <w:noWrap w:val="0"/>
            <w:vAlign w:val="center"/>
          </w:tcPr>
          <w:p w14:paraId="5EFA546A">
            <w:pPr>
              <w:spacing w:line="276" w:lineRule="auto"/>
              <w:jc w:val="center"/>
              <w:rPr>
                <w:rFonts w:ascii="宋体" w:hAnsi="宋体"/>
                <w:color w:val="auto"/>
                <w:szCs w:val="21"/>
              </w:rPr>
            </w:pPr>
            <w:r>
              <w:rPr>
                <w:rFonts w:hint="eastAsia" w:ascii="宋体" w:hAnsi="宋体"/>
                <w:color w:val="auto"/>
                <w:szCs w:val="21"/>
              </w:rPr>
              <w:t>项目名称</w:t>
            </w:r>
          </w:p>
        </w:tc>
        <w:tc>
          <w:tcPr>
            <w:tcW w:w="1580" w:type="dxa"/>
            <w:gridSpan w:val="3"/>
            <w:noWrap w:val="0"/>
            <w:vAlign w:val="center"/>
          </w:tcPr>
          <w:p w14:paraId="7FAF35C0">
            <w:pPr>
              <w:spacing w:line="276" w:lineRule="auto"/>
              <w:jc w:val="center"/>
              <w:rPr>
                <w:rFonts w:ascii="宋体" w:hAnsi="宋体"/>
                <w:color w:val="auto"/>
                <w:szCs w:val="21"/>
              </w:rPr>
            </w:pPr>
            <w:r>
              <w:rPr>
                <w:rFonts w:hint="eastAsia" w:ascii="宋体" w:hAnsi="宋体"/>
                <w:color w:val="auto"/>
                <w:szCs w:val="21"/>
              </w:rPr>
              <w:t>内容及规模</w:t>
            </w:r>
          </w:p>
        </w:tc>
        <w:tc>
          <w:tcPr>
            <w:tcW w:w="1560" w:type="dxa"/>
            <w:gridSpan w:val="2"/>
            <w:noWrap w:val="0"/>
            <w:vAlign w:val="center"/>
          </w:tcPr>
          <w:p w14:paraId="59668038">
            <w:pPr>
              <w:spacing w:line="276" w:lineRule="auto"/>
              <w:jc w:val="center"/>
              <w:rPr>
                <w:rFonts w:ascii="宋体" w:hAnsi="宋体"/>
                <w:color w:val="auto"/>
                <w:szCs w:val="21"/>
              </w:rPr>
            </w:pPr>
            <w:r>
              <w:rPr>
                <w:rFonts w:hint="eastAsia" w:ascii="宋体" w:hAnsi="宋体"/>
                <w:color w:val="auto"/>
                <w:szCs w:val="21"/>
              </w:rPr>
              <w:t>服务期限</w:t>
            </w:r>
          </w:p>
        </w:tc>
        <w:tc>
          <w:tcPr>
            <w:tcW w:w="2787" w:type="dxa"/>
            <w:gridSpan w:val="3"/>
            <w:noWrap w:val="0"/>
            <w:vAlign w:val="center"/>
          </w:tcPr>
          <w:p w14:paraId="2A529476">
            <w:pPr>
              <w:spacing w:line="360" w:lineRule="auto"/>
              <w:jc w:val="center"/>
              <w:rPr>
                <w:rFonts w:ascii="宋体" w:hAnsi="宋体"/>
                <w:color w:val="auto"/>
                <w:szCs w:val="21"/>
              </w:rPr>
            </w:pPr>
            <w:r>
              <w:rPr>
                <w:rFonts w:hint="eastAsia" w:ascii="宋体" w:hAnsi="宋体"/>
                <w:color w:val="auto"/>
                <w:szCs w:val="21"/>
              </w:rPr>
              <w:t>合同金额</w:t>
            </w:r>
          </w:p>
        </w:tc>
      </w:tr>
      <w:tr w14:paraId="3587A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393FCCBA">
            <w:pPr>
              <w:spacing w:line="360" w:lineRule="auto"/>
              <w:jc w:val="center"/>
              <w:rPr>
                <w:rFonts w:ascii="宋体" w:hAnsi="宋体"/>
                <w:color w:val="auto"/>
                <w:szCs w:val="21"/>
              </w:rPr>
            </w:pPr>
          </w:p>
        </w:tc>
        <w:tc>
          <w:tcPr>
            <w:tcW w:w="1680" w:type="dxa"/>
            <w:gridSpan w:val="3"/>
            <w:noWrap w:val="0"/>
            <w:vAlign w:val="center"/>
          </w:tcPr>
          <w:p w14:paraId="72ABCAF0">
            <w:pPr>
              <w:spacing w:line="360" w:lineRule="auto"/>
              <w:jc w:val="center"/>
              <w:rPr>
                <w:rFonts w:ascii="宋体" w:hAnsi="宋体"/>
                <w:color w:val="auto"/>
                <w:szCs w:val="21"/>
              </w:rPr>
            </w:pPr>
          </w:p>
        </w:tc>
        <w:tc>
          <w:tcPr>
            <w:tcW w:w="1580" w:type="dxa"/>
            <w:gridSpan w:val="3"/>
            <w:noWrap w:val="0"/>
            <w:vAlign w:val="center"/>
          </w:tcPr>
          <w:p w14:paraId="6C156F50">
            <w:pPr>
              <w:spacing w:line="360" w:lineRule="auto"/>
              <w:jc w:val="center"/>
              <w:rPr>
                <w:rFonts w:ascii="宋体" w:hAnsi="宋体"/>
                <w:color w:val="auto"/>
                <w:szCs w:val="21"/>
              </w:rPr>
            </w:pPr>
          </w:p>
        </w:tc>
        <w:tc>
          <w:tcPr>
            <w:tcW w:w="1560" w:type="dxa"/>
            <w:gridSpan w:val="2"/>
            <w:noWrap w:val="0"/>
            <w:vAlign w:val="center"/>
          </w:tcPr>
          <w:p w14:paraId="70C590B2">
            <w:pPr>
              <w:spacing w:line="360" w:lineRule="auto"/>
              <w:jc w:val="center"/>
              <w:rPr>
                <w:rFonts w:ascii="宋体" w:hAnsi="宋体"/>
                <w:color w:val="auto"/>
                <w:szCs w:val="21"/>
              </w:rPr>
            </w:pPr>
          </w:p>
        </w:tc>
        <w:tc>
          <w:tcPr>
            <w:tcW w:w="2787" w:type="dxa"/>
            <w:gridSpan w:val="3"/>
            <w:noWrap w:val="0"/>
            <w:vAlign w:val="center"/>
          </w:tcPr>
          <w:p w14:paraId="0C02FBEE">
            <w:pPr>
              <w:spacing w:line="360" w:lineRule="auto"/>
              <w:jc w:val="center"/>
              <w:rPr>
                <w:rFonts w:ascii="宋体" w:hAnsi="宋体"/>
                <w:color w:val="auto"/>
                <w:szCs w:val="21"/>
              </w:rPr>
            </w:pPr>
          </w:p>
        </w:tc>
      </w:tr>
      <w:tr w14:paraId="494A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184C94A8">
            <w:pPr>
              <w:spacing w:line="360" w:lineRule="auto"/>
              <w:jc w:val="center"/>
              <w:rPr>
                <w:rFonts w:ascii="宋体" w:hAnsi="宋体"/>
                <w:color w:val="auto"/>
                <w:szCs w:val="21"/>
              </w:rPr>
            </w:pPr>
          </w:p>
        </w:tc>
        <w:tc>
          <w:tcPr>
            <w:tcW w:w="1680" w:type="dxa"/>
            <w:gridSpan w:val="3"/>
            <w:noWrap w:val="0"/>
            <w:vAlign w:val="center"/>
          </w:tcPr>
          <w:p w14:paraId="65D4639E">
            <w:pPr>
              <w:spacing w:line="360" w:lineRule="auto"/>
              <w:jc w:val="center"/>
              <w:rPr>
                <w:rFonts w:ascii="宋体" w:hAnsi="宋体"/>
                <w:color w:val="auto"/>
                <w:szCs w:val="21"/>
              </w:rPr>
            </w:pPr>
          </w:p>
        </w:tc>
        <w:tc>
          <w:tcPr>
            <w:tcW w:w="1580" w:type="dxa"/>
            <w:gridSpan w:val="3"/>
            <w:noWrap w:val="0"/>
            <w:vAlign w:val="center"/>
          </w:tcPr>
          <w:p w14:paraId="0866E705">
            <w:pPr>
              <w:spacing w:line="360" w:lineRule="auto"/>
              <w:jc w:val="center"/>
              <w:rPr>
                <w:rFonts w:ascii="宋体" w:hAnsi="宋体"/>
                <w:color w:val="auto"/>
                <w:szCs w:val="21"/>
              </w:rPr>
            </w:pPr>
          </w:p>
        </w:tc>
        <w:tc>
          <w:tcPr>
            <w:tcW w:w="1560" w:type="dxa"/>
            <w:gridSpan w:val="2"/>
            <w:noWrap w:val="0"/>
            <w:vAlign w:val="center"/>
          </w:tcPr>
          <w:p w14:paraId="19EDA125">
            <w:pPr>
              <w:spacing w:line="360" w:lineRule="auto"/>
              <w:jc w:val="center"/>
              <w:rPr>
                <w:rFonts w:ascii="宋体" w:hAnsi="宋体"/>
                <w:color w:val="auto"/>
                <w:szCs w:val="21"/>
              </w:rPr>
            </w:pPr>
          </w:p>
        </w:tc>
        <w:tc>
          <w:tcPr>
            <w:tcW w:w="2787" w:type="dxa"/>
            <w:gridSpan w:val="3"/>
            <w:noWrap w:val="0"/>
            <w:vAlign w:val="center"/>
          </w:tcPr>
          <w:p w14:paraId="597116B2">
            <w:pPr>
              <w:spacing w:line="360" w:lineRule="auto"/>
              <w:jc w:val="center"/>
              <w:rPr>
                <w:rFonts w:ascii="宋体" w:hAnsi="宋体"/>
                <w:color w:val="auto"/>
                <w:szCs w:val="21"/>
              </w:rPr>
            </w:pPr>
          </w:p>
        </w:tc>
      </w:tr>
      <w:tr w14:paraId="161DD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32802EA8">
            <w:pPr>
              <w:spacing w:line="360" w:lineRule="auto"/>
              <w:jc w:val="center"/>
              <w:rPr>
                <w:rFonts w:ascii="宋体" w:hAnsi="宋体"/>
                <w:color w:val="auto"/>
                <w:szCs w:val="21"/>
              </w:rPr>
            </w:pPr>
          </w:p>
        </w:tc>
        <w:tc>
          <w:tcPr>
            <w:tcW w:w="1680" w:type="dxa"/>
            <w:gridSpan w:val="3"/>
            <w:noWrap w:val="0"/>
            <w:vAlign w:val="center"/>
          </w:tcPr>
          <w:p w14:paraId="280E4C71">
            <w:pPr>
              <w:spacing w:line="360" w:lineRule="auto"/>
              <w:jc w:val="center"/>
              <w:rPr>
                <w:rFonts w:ascii="宋体" w:hAnsi="宋体"/>
                <w:color w:val="auto"/>
                <w:szCs w:val="21"/>
              </w:rPr>
            </w:pPr>
          </w:p>
        </w:tc>
        <w:tc>
          <w:tcPr>
            <w:tcW w:w="1580" w:type="dxa"/>
            <w:gridSpan w:val="3"/>
            <w:noWrap w:val="0"/>
            <w:vAlign w:val="center"/>
          </w:tcPr>
          <w:p w14:paraId="1485C727">
            <w:pPr>
              <w:spacing w:line="360" w:lineRule="auto"/>
              <w:jc w:val="center"/>
              <w:rPr>
                <w:rFonts w:ascii="宋体" w:hAnsi="宋体"/>
                <w:color w:val="auto"/>
                <w:szCs w:val="21"/>
              </w:rPr>
            </w:pPr>
          </w:p>
        </w:tc>
        <w:tc>
          <w:tcPr>
            <w:tcW w:w="1560" w:type="dxa"/>
            <w:gridSpan w:val="2"/>
            <w:noWrap w:val="0"/>
            <w:vAlign w:val="center"/>
          </w:tcPr>
          <w:p w14:paraId="512437D9">
            <w:pPr>
              <w:spacing w:line="360" w:lineRule="auto"/>
              <w:jc w:val="center"/>
              <w:rPr>
                <w:rFonts w:ascii="宋体" w:hAnsi="宋体"/>
                <w:color w:val="auto"/>
                <w:szCs w:val="21"/>
              </w:rPr>
            </w:pPr>
          </w:p>
        </w:tc>
        <w:tc>
          <w:tcPr>
            <w:tcW w:w="2787" w:type="dxa"/>
            <w:gridSpan w:val="3"/>
            <w:noWrap w:val="0"/>
            <w:vAlign w:val="center"/>
          </w:tcPr>
          <w:p w14:paraId="0EA3322C">
            <w:pPr>
              <w:spacing w:line="360" w:lineRule="auto"/>
              <w:jc w:val="center"/>
              <w:rPr>
                <w:rFonts w:ascii="宋体" w:hAnsi="宋体"/>
                <w:color w:val="auto"/>
                <w:szCs w:val="21"/>
              </w:rPr>
            </w:pPr>
          </w:p>
        </w:tc>
      </w:tr>
      <w:tr w14:paraId="51BEA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3F5C5E17">
            <w:pPr>
              <w:spacing w:line="360" w:lineRule="auto"/>
              <w:jc w:val="center"/>
              <w:rPr>
                <w:rFonts w:ascii="宋体" w:hAnsi="宋体"/>
                <w:color w:val="auto"/>
                <w:szCs w:val="21"/>
              </w:rPr>
            </w:pPr>
          </w:p>
        </w:tc>
        <w:tc>
          <w:tcPr>
            <w:tcW w:w="1680" w:type="dxa"/>
            <w:gridSpan w:val="3"/>
            <w:noWrap w:val="0"/>
            <w:vAlign w:val="center"/>
          </w:tcPr>
          <w:p w14:paraId="58F60AA1">
            <w:pPr>
              <w:spacing w:line="360" w:lineRule="auto"/>
              <w:jc w:val="center"/>
              <w:rPr>
                <w:rFonts w:ascii="宋体" w:hAnsi="宋体"/>
                <w:color w:val="auto"/>
                <w:szCs w:val="21"/>
              </w:rPr>
            </w:pPr>
          </w:p>
        </w:tc>
        <w:tc>
          <w:tcPr>
            <w:tcW w:w="1580" w:type="dxa"/>
            <w:gridSpan w:val="3"/>
            <w:noWrap w:val="0"/>
            <w:vAlign w:val="center"/>
          </w:tcPr>
          <w:p w14:paraId="0CAC5426">
            <w:pPr>
              <w:spacing w:line="360" w:lineRule="auto"/>
              <w:jc w:val="center"/>
              <w:rPr>
                <w:rFonts w:ascii="宋体" w:hAnsi="宋体"/>
                <w:color w:val="auto"/>
                <w:szCs w:val="21"/>
              </w:rPr>
            </w:pPr>
          </w:p>
        </w:tc>
        <w:tc>
          <w:tcPr>
            <w:tcW w:w="1560" w:type="dxa"/>
            <w:gridSpan w:val="2"/>
            <w:noWrap w:val="0"/>
            <w:vAlign w:val="center"/>
          </w:tcPr>
          <w:p w14:paraId="4FF191AF">
            <w:pPr>
              <w:spacing w:line="360" w:lineRule="auto"/>
              <w:jc w:val="center"/>
              <w:rPr>
                <w:rFonts w:ascii="宋体" w:hAnsi="宋体"/>
                <w:color w:val="auto"/>
                <w:szCs w:val="21"/>
              </w:rPr>
            </w:pPr>
          </w:p>
        </w:tc>
        <w:tc>
          <w:tcPr>
            <w:tcW w:w="2787" w:type="dxa"/>
            <w:gridSpan w:val="3"/>
            <w:noWrap w:val="0"/>
            <w:vAlign w:val="center"/>
          </w:tcPr>
          <w:p w14:paraId="1BB3A223">
            <w:pPr>
              <w:spacing w:line="360" w:lineRule="auto"/>
              <w:jc w:val="center"/>
              <w:rPr>
                <w:rFonts w:ascii="宋体" w:hAnsi="宋体"/>
                <w:color w:val="auto"/>
                <w:szCs w:val="21"/>
              </w:rPr>
            </w:pPr>
          </w:p>
        </w:tc>
      </w:tr>
      <w:tr w14:paraId="73CE9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2F853B8D">
            <w:pPr>
              <w:spacing w:line="360" w:lineRule="auto"/>
              <w:jc w:val="center"/>
              <w:rPr>
                <w:rFonts w:ascii="宋体" w:hAnsi="宋体"/>
                <w:color w:val="auto"/>
                <w:szCs w:val="21"/>
              </w:rPr>
            </w:pPr>
          </w:p>
        </w:tc>
        <w:tc>
          <w:tcPr>
            <w:tcW w:w="1680" w:type="dxa"/>
            <w:gridSpan w:val="3"/>
            <w:noWrap w:val="0"/>
            <w:vAlign w:val="center"/>
          </w:tcPr>
          <w:p w14:paraId="6AC71698">
            <w:pPr>
              <w:spacing w:line="360" w:lineRule="auto"/>
              <w:jc w:val="center"/>
              <w:rPr>
                <w:rFonts w:ascii="宋体" w:hAnsi="宋体"/>
                <w:color w:val="auto"/>
                <w:szCs w:val="21"/>
              </w:rPr>
            </w:pPr>
          </w:p>
        </w:tc>
        <w:tc>
          <w:tcPr>
            <w:tcW w:w="1580" w:type="dxa"/>
            <w:gridSpan w:val="3"/>
            <w:noWrap w:val="0"/>
            <w:vAlign w:val="center"/>
          </w:tcPr>
          <w:p w14:paraId="0EC9B73E">
            <w:pPr>
              <w:spacing w:line="360" w:lineRule="auto"/>
              <w:jc w:val="center"/>
              <w:rPr>
                <w:rFonts w:ascii="宋体" w:hAnsi="宋体"/>
                <w:color w:val="auto"/>
                <w:szCs w:val="21"/>
              </w:rPr>
            </w:pPr>
          </w:p>
        </w:tc>
        <w:tc>
          <w:tcPr>
            <w:tcW w:w="1560" w:type="dxa"/>
            <w:gridSpan w:val="2"/>
            <w:noWrap w:val="0"/>
            <w:vAlign w:val="center"/>
          </w:tcPr>
          <w:p w14:paraId="7F54D9A3">
            <w:pPr>
              <w:spacing w:line="360" w:lineRule="auto"/>
              <w:jc w:val="center"/>
              <w:rPr>
                <w:rFonts w:ascii="宋体" w:hAnsi="宋体"/>
                <w:color w:val="auto"/>
                <w:szCs w:val="21"/>
              </w:rPr>
            </w:pPr>
          </w:p>
        </w:tc>
        <w:tc>
          <w:tcPr>
            <w:tcW w:w="2787" w:type="dxa"/>
            <w:gridSpan w:val="3"/>
            <w:noWrap w:val="0"/>
            <w:vAlign w:val="center"/>
          </w:tcPr>
          <w:p w14:paraId="05DD9B60">
            <w:pPr>
              <w:spacing w:line="360" w:lineRule="auto"/>
              <w:jc w:val="center"/>
              <w:rPr>
                <w:rFonts w:ascii="宋体" w:hAnsi="宋体"/>
                <w:color w:val="auto"/>
                <w:szCs w:val="21"/>
              </w:rPr>
            </w:pPr>
          </w:p>
        </w:tc>
      </w:tr>
      <w:tr w14:paraId="2920F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6109B641">
            <w:pPr>
              <w:spacing w:line="360" w:lineRule="auto"/>
              <w:jc w:val="center"/>
              <w:rPr>
                <w:rFonts w:ascii="宋体" w:hAnsi="宋体"/>
                <w:color w:val="auto"/>
                <w:szCs w:val="21"/>
              </w:rPr>
            </w:pPr>
          </w:p>
        </w:tc>
        <w:tc>
          <w:tcPr>
            <w:tcW w:w="1680" w:type="dxa"/>
            <w:gridSpan w:val="3"/>
            <w:noWrap w:val="0"/>
            <w:vAlign w:val="center"/>
          </w:tcPr>
          <w:p w14:paraId="36A299C4">
            <w:pPr>
              <w:spacing w:line="360" w:lineRule="auto"/>
              <w:jc w:val="center"/>
              <w:rPr>
                <w:rFonts w:ascii="宋体" w:hAnsi="宋体"/>
                <w:color w:val="auto"/>
                <w:szCs w:val="21"/>
              </w:rPr>
            </w:pPr>
          </w:p>
        </w:tc>
        <w:tc>
          <w:tcPr>
            <w:tcW w:w="1580" w:type="dxa"/>
            <w:gridSpan w:val="3"/>
            <w:noWrap w:val="0"/>
            <w:vAlign w:val="center"/>
          </w:tcPr>
          <w:p w14:paraId="664124B3">
            <w:pPr>
              <w:spacing w:line="360" w:lineRule="auto"/>
              <w:jc w:val="center"/>
              <w:rPr>
                <w:rFonts w:ascii="宋体" w:hAnsi="宋体"/>
                <w:color w:val="auto"/>
                <w:szCs w:val="21"/>
              </w:rPr>
            </w:pPr>
          </w:p>
        </w:tc>
        <w:tc>
          <w:tcPr>
            <w:tcW w:w="1560" w:type="dxa"/>
            <w:gridSpan w:val="2"/>
            <w:noWrap w:val="0"/>
            <w:vAlign w:val="center"/>
          </w:tcPr>
          <w:p w14:paraId="7FAD2BBA">
            <w:pPr>
              <w:spacing w:line="360" w:lineRule="auto"/>
              <w:jc w:val="center"/>
              <w:rPr>
                <w:rFonts w:ascii="宋体" w:hAnsi="宋体"/>
                <w:color w:val="auto"/>
                <w:szCs w:val="21"/>
              </w:rPr>
            </w:pPr>
          </w:p>
        </w:tc>
        <w:tc>
          <w:tcPr>
            <w:tcW w:w="2787" w:type="dxa"/>
            <w:gridSpan w:val="3"/>
            <w:noWrap w:val="0"/>
            <w:vAlign w:val="center"/>
          </w:tcPr>
          <w:p w14:paraId="4C978354">
            <w:pPr>
              <w:spacing w:line="360" w:lineRule="auto"/>
              <w:jc w:val="center"/>
              <w:rPr>
                <w:rFonts w:ascii="宋体" w:hAnsi="宋体"/>
                <w:color w:val="auto"/>
                <w:szCs w:val="21"/>
              </w:rPr>
            </w:pPr>
          </w:p>
        </w:tc>
      </w:tr>
      <w:tr w14:paraId="081D4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220B310F">
            <w:pPr>
              <w:spacing w:line="360" w:lineRule="auto"/>
              <w:jc w:val="center"/>
              <w:rPr>
                <w:rFonts w:ascii="宋体" w:hAnsi="宋体"/>
                <w:color w:val="auto"/>
                <w:szCs w:val="21"/>
              </w:rPr>
            </w:pPr>
          </w:p>
        </w:tc>
        <w:tc>
          <w:tcPr>
            <w:tcW w:w="1680" w:type="dxa"/>
            <w:gridSpan w:val="3"/>
            <w:noWrap w:val="0"/>
            <w:vAlign w:val="center"/>
          </w:tcPr>
          <w:p w14:paraId="212232D4">
            <w:pPr>
              <w:spacing w:line="360" w:lineRule="auto"/>
              <w:jc w:val="center"/>
              <w:rPr>
                <w:rFonts w:ascii="宋体" w:hAnsi="宋体"/>
                <w:color w:val="auto"/>
                <w:szCs w:val="21"/>
              </w:rPr>
            </w:pPr>
          </w:p>
        </w:tc>
        <w:tc>
          <w:tcPr>
            <w:tcW w:w="1580" w:type="dxa"/>
            <w:gridSpan w:val="3"/>
            <w:noWrap w:val="0"/>
            <w:vAlign w:val="center"/>
          </w:tcPr>
          <w:p w14:paraId="48163375">
            <w:pPr>
              <w:spacing w:line="360" w:lineRule="auto"/>
              <w:jc w:val="center"/>
              <w:rPr>
                <w:rFonts w:ascii="宋体" w:hAnsi="宋体"/>
                <w:color w:val="auto"/>
                <w:szCs w:val="21"/>
              </w:rPr>
            </w:pPr>
          </w:p>
        </w:tc>
        <w:tc>
          <w:tcPr>
            <w:tcW w:w="1560" w:type="dxa"/>
            <w:gridSpan w:val="2"/>
            <w:noWrap w:val="0"/>
            <w:vAlign w:val="center"/>
          </w:tcPr>
          <w:p w14:paraId="7B60986A">
            <w:pPr>
              <w:spacing w:line="360" w:lineRule="auto"/>
              <w:jc w:val="center"/>
              <w:rPr>
                <w:rFonts w:ascii="宋体" w:hAnsi="宋体"/>
                <w:color w:val="auto"/>
                <w:szCs w:val="21"/>
              </w:rPr>
            </w:pPr>
          </w:p>
        </w:tc>
        <w:tc>
          <w:tcPr>
            <w:tcW w:w="2787" w:type="dxa"/>
            <w:gridSpan w:val="3"/>
            <w:noWrap w:val="0"/>
            <w:vAlign w:val="center"/>
          </w:tcPr>
          <w:p w14:paraId="0FDA73A4">
            <w:pPr>
              <w:spacing w:line="360" w:lineRule="auto"/>
              <w:jc w:val="center"/>
              <w:rPr>
                <w:rFonts w:ascii="宋体" w:hAnsi="宋体"/>
                <w:color w:val="auto"/>
                <w:szCs w:val="21"/>
              </w:rPr>
            </w:pPr>
          </w:p>
        </w:tc>
      </w:tr>
      <w:tr w14:paraId="38AAD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3869A158">
            <w:pPr>
              <w:spacing w:line="360" w:lineRule="auto"/>
              <w:jc w:val="center"/>
              <w:rPr>
                <w:rFonts w:ascii="宋体" w:hAnsi="宋体"/>
                <w:color w:val="auto"/>
                <w:szCs w:val="21"/>
              </w:rPr>
            </w:pPr>
          </w:p>
        </w:tc>
        <w:tc>
          <w:tcPr>
            <w:tcW w:w="1680" w:type="dxa"/>
            <w:gridSpan w:val="3"/>
            <w:noWrap w:val="0"/>
            <w:vAlign w:val="center"/>
          </w:tcPr>
          <w:p w14:paraId="52CCA07F">
            <w:pPr>
              <w:spacing w:line="360" w:lineRule="auto"/>
              <w:jc w:val="center"/>
              <w:rPr>
                <w:rFonts w:ascii="宋体" w:hAnsi="宋体"/>
                <w:color w:val="auto"/>
                <w:szCs w:val="21"/>
              </w:rPr>
            </w:pPr>
          </w:p>
        </w:tc>
        <w:tc>
          <w:tcPr>
            <w:tcW w:w="1580" w:type="dxa"/>
            <w:gridSpan w:val="3"/>
            <w:noWrap w:val="0"/>
            <w:vAlign w:val="center"/>
          </w:tcPr>
          <w:p w14:paraId="799C9DAD">
            <w:pPr>
              <w:spacing w:line="360" w:lineRule="auto"/>
              <w:jc w:val="center"/>
              <w:rPr>
                <w:rFonts w:ascii="宋体" w:hAnsi="宋体"/>
                <w:color w:val="auto"/>
                <w:szCs w:val="21"/>
              </w:rPr>
            </w:pPr>
          </w:p>
        </w:tc>
        <w:tc>
          <w:tcPr>
            <w:tcW w:w="1560" w:type="dxa"/>
            <w:gridSpan w:val="2"/>
            <w:noWrap w:val="0"/>
            <w:vAlign w:val="center"/>
          </w:tcPr>
          <w:p w14:paraId="225AC2BD">
            <w:pPr>
              <w:spacing w:line="360" w:lineRule="auto"/>
              <w:jc w:val="center"/>
              <w:rPr>
                <w:rFonts w:ascii="宋体" w:hAnsi="宋体"/>
                <w:color w:val="auto"/>
                <w:szCs w:val="21"/>
              </w:rPr>
            </w:pPr>
          </w:p>
        </w:tc>
        <w:tc>
          <w:tcPr>
            <w:tcW w:w="2787" w:type="dxa"/>
            <w:gridSpan w:val="3"/>
            <w:noWrap w:val="0"/>
            <w:vAlign w:val="center"/>
          </w:tcPr>
          <w:p w14:paraId="20C656D2">
            <w:pPr>
              <w:spacing w:line="360" w:lineRule="auto"/>
              <w:jc w:val="center"/>
              <w:rPr>
                <w:rFonts w:ascii="宋体" w:hAnsi="宋体"/>
                <w:color w:val="auto"/>
                <w:szCs w:val="21"/>
              </w:rPr>
            </w:pPr>
          </w:p>
        </w:tc>
      </w:tr>
      <w:tr w14:paraId="3739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72ED3918">
            <w:pPr>
              <w:spacing w:line="360" w:lineRule="auto"/>
              <w:jc w:val="center"/>
              <w:rPr>
                <w:rFonts w:ascii="宋体" w:hAnsi="宋体"/>
                <w:color w:val="auto"/>
                <w:szCs w:val="21"/>
              </w:rPr>
            </w:pPr>
          </w:p>
        </w:tc>
        <w:tc>
          <w:tcPr>
            <w:tcW w:w="1680" w:type="dxa"/>
            <w:gridSpan w:val="3"/>
            <w:noWrap w:val="0"/>
            <w:vAlign w:val="center"/>
          </w:tcPr>
          <w:p w14:paraId="18C9A113">
            <w:pPr>
              <w:spacing w:line="360" w:lineRule="auto"/>
              <w:jc w:val="center"/>
              <w:rPr>
                <w:rFonts w:ascii="宋体" w:hAnsi="宋体"/>
                <w:color w:val="auto"/>
                <w:szCs w:val="21"/>
              </w:rPr>
            </w:pPr>
          </w:p>
        </w:tc>
        <w:tc>
          <w:tcPr>
            <w:tcW w:w="1580" w:type="dxa"/>
            <w:gridSpan w:val="3"/>
            <w:noWrap w:val="0"/>
            <w:vAlign w:val="center"/>
          </w:tcPr>
          <w:p w14:paraId="0F87AC1E">
            <w:pPr>
              <w:spacing w:line="360" w:lineRule="auto"/>
              <w:jc w:val="center"/>
              <w:rPr>
                <w:rFonts w:ascii="宋体" w:hAnsi="宋体"/>
                <w:color w:val="auto"/>
                <w:szCs w:val="21"/>
              </w:rPr>
            </w:pPr>
          </w:p>
        </w:tc>
        <w:tc>
          <w:tcPr>
            <w:tcW w:w="1560" w:type="dxa"/>
            <w:gridSpan w:val="2"/>
            <w:noWrap w:val="0"/>
            <w:vAlign w:val="center"/>
          </w:tcPr>
          <w:p w14:paraId="34913841">
            <w:pPr>
              <w:spacing w:line="360" w:lineRule="auto"/>
              <w:jc w:val="center"/>
              <w:rPr>
                <w:rFonts w:ascii="宋体" w:hAnsi="宋体"/>
                <w:color w:val="auto"/>
                <w:szCs w:val="21"/>
              </w:rPr>
            </w:pPr>
          </w:p>
        </w:tc>
        <w:tc>
          <w:tcPr>
            <w:tcW w:w="2787" w:type="dxa"/>
            <w:gridSpan w:val="3"/>
            <w:noWrap w:val="0"/>
            <w:vAlign w:val="center"/>
          </w:tcPr>
          <w:p w14:paraId="018B3708">
            <w:pPr>
              <w:spacing w:line="360" w:lineRule="auto"/>
              <w:jc w:val="center"/>
              <w:rPr>
                <w:rFonts w:ascii="宋体" w:hAnsi="宋体"/>
                <w:color w:val="auto"/>
                <w:szCs w:val="21"/>
              </w:rPr>
            </w:pPr>
          </w:p>
        </w:tc>
      </w:tr>
      <w:tr w14:paraId="3160F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2064" w:type="dxa"/>
            <w:gridSpan w:val="2"/>
            <w:noWrap w:val="0"/>
            <w:vAlign w:val="center"/>
          </w:tcPr>
          <w:p w14:paraId="5DBF3506">
            <w:pPr>
              <w:spacing w:line="360" w:lineRule="auto"/>
              <w:jc w:val="center"/>
              <w:rPr>
                <w:rFonts w:ascii="宋体" w:hAnsi="宋体"/>
                <w:color w:val="auto"/>
                <w:szCs w:val="21"/>
              </w:rPr>
            </w:pPr>
          </w:p>
        </w:tc>
        <w:tc>
          <w:tcPr>
            <w:tcW w:w="1680" w:type="dxa"/>
            <w:gridSpan w:val="3"/>
            <w:noWrap w:val="0"/>
            <w:vAlign w:val="center"/>
          </w:tcPr>
          <w:p w14:paraId="08BA0951">
            <w:pPr>
              <w:spacing w:line="360" w:lineRule="auto"/>
              <w:jc w:val="center"/>
              <w:rPr>
                <w:rFonts w:ascii="宋体" w:hAnsi="宋体"/>
                <w:color w:val="auto"/>
                <w:szCs w:val="21"/>
              </w:rPr>
            </w:pPr>
          </w:p>
        </w:tc>
        <w:tc>
          <w:tcPr>
            <w:tcW w:w="1580" w:type="dxa"/>
            <w:gridSpan w:val="3"/>
            <w:noWrap w:val="0"/>
            <w:vAlign w:val="center"/>
          </w:tcPr>
          <w:p w14:paraId="1A50EF7A">
            <w:pPr>
              <w:spacing w:line="360" w:lineRule="auto"/>
              <w:jc w:val="center"/>
              <w:rPr>
                <w:rFonts w:ascii="宋体" w:hAnsi="宋体"/>
                <w:color w:val="auto"/>
                <w:szCs w:val="21"/>
              </w:rPr>
            </w:pPr>
          </w:p>
        </w:tc>
        <w:tc>
          <w:tcPr>
            <w:tcW w:w="1560" w:type="dxa"/>
            <w:gridSpan w:val="2"/>
            <w:noWrap w:val="0"/>
            <w:vAlign w:val="center"/>
          </w:tcPr>
          <w:p w14:paraId="08396998">
            <w:pPr>
              <w:spacing w:line="360" w:lineRule="auto"/>
              <w:jc w:val="center"/>
              <w:rPr>
                <w:rFonts w:ascii="宋体" w:hAnsi="宋体"/>
                <w:color w:val="auto"/>
                <w:szCs w:val="21"/>
              </w:rPr>
            </w:pPr>
          </w:p>
        </w:tc>
        <w:tc>
          <w:tcPr>
            <w:tcW w:w="2787" w:type="dxa"/>
            <w:gridSpan w:val="3"/>
            <w:noWrap w:val="0"/>
            <w:vAlign w:val="center"/>
          </w:tcPr>
          <w:p w14:paraId="5968B0BE">
            <w:pPr>
              <w:spacing w:line="360" w:lineRule="auto"/>
              <w:jc w:val="center"/>
              <w:rPr>
                <w:rFonts w:ascii="宋体" w:hAnsi="宋体"/>
                <w:color w:val="auto"/>
                <w:szCs w:val="21"/>
              </w:rPr>
            </w:pPr>
          </w:p>
        </w:tc>
      </w:tr>
    </w:tbl>
    <w:p w14:paraId="4CC840D7">
      <w:pPr>
        <w:spacing w:line="360" w:lineRule="auto"/>
        <w:rPr>
          <w:rFonts w:ascii="宋体" w:hAnsi="宋体"/>
          <w:b/>
          <w:color w:val="auto"/>
          <w:szCs w:val="21"/>
        </w:rPr>
      </w:pPr>
      <w:r>
        <w:rPr>
          <w:rFonts w:hint="eastAsia" w:ascii="宋体" w:hAnsi="宋体"/>
          <w:b/>
          <w:color w:val="auto"/>
          <w:szCs w:val="21"/>
        </w:rPr>
        <w:t>注：1</w:t>
      </w:r>
      <w:r>
        <w:rPr>
          <w:rFonts w:ascii="宋体" w:hAnsi="宋体"/>
          <w:b/>
          <w:color w:val="auto"/>
          <w:szCs w:val="21"/>
        </w:rPr>
        <w:t>.</w:t>
      </w:r>
      <w:r>
        <w:rPr>
          <w:rFonts w:hint="eastAsia" w:ascii="宋体" w:hAnsi="宋体"/>
          <w:b/>
          <w:color w:val="auto"/>
          <w:szCs w:val="21"/>
        </w:rPr>
        <w:t>附身份证、职称证、注册证（若有）、社保缴纳证明的扫描件；</w:t>
      </w:r>
    </w:p>
    <w:p w14:paraId="48F38CC5">
      <w:pPr>
        <w:spacing w:line="360" w:lineRule="auto"/>
        <w:rPr>
          <w:rFonts w:hint="eastAsia" w:ascii="宋体" w:hAnsi="宋体"/>
          <w:b/>
          <w:color w:val="auto"/>
          <w:szCs w:val="21"/>
        </w:rPr>
      </w:pPr>
      <w:r>
        <w:rPr>
          <w:rFonts w:hint="eastAsia" w:ascii="宋体" w:hAnsi="宋体"/>
          <w:b/>
          <w:color w:val="auto"/>
          <w:szCs w:val="21"/>
        </w:rPr>
        <w:t xml:space="preserve">    </w:t>
      </w:r>
      <w:r>
        <w:rPr>
          <w:rFonts w:ascii="宋体" w:hAnsi="宋体"/>
          <w:b/>
          <w:color w:val="auto"/>
          <w:szCs w:val="21"/>
        </w:rPr>
        <w:t>2.</w:t>
      </w:r>
      <w:r>
        <w:rPr>
          <w:rFonts w:hint="eastAsia" w:ascii="宋体" w:hAnsi="宋体"/>
          <w:b/>
          <w:color w:val="auto"/>
          <w:szCs w:val="21"/>
        </w:rPr>
        <w:t>其他相关材料（如有提供）。</w:t>
      </w:r>
    </w:p>
    <w:p w14:paraId="56884FB9">
      <w:pPr>
        <w:numPr>
          <w:ilvl w:val="0"/>
          <w:numId w:val="0"/>
        </w:numPr>
        <w:rPr>
          <w:rFonts w:hint="eastAsia"/>
          <w:color w:val="auto"/>
          <w:sz w:val="21"/>
          <w:szCs w:val="21"/>
        </w:rPr>
      </w:pPr>
    </w:p>
    <w:p w14:paraId="790ACEB7">
      <w:pPr>
        <w:pStyle w:val="4"/>
        <w:adjustRightInd w:val="0"/>
        <w:snapToGrid w:val="0"/>
        <w:spacing w:before="0" w:after="0"/>
        <w:ind w:firstLine="0" w:firstLineChars="0"/>
        <w:jc w:val="center"/>
        <w:rPr>
          <w:b w:val="0"/>
          <w:color w:val="auto"/>
          <w:sz w:val="28"/>
        </w:rPr>
      </w:pPr>
      <w:bookmarkStart w:id="883" w:name="_Toc531074148"/>
      <w:bookmarkStart w:id="884" w:name="_Toc271821942"/>
      <w:bookmarkStart w:id="885" w:name="_Toc441668611"/>
      <w:r>
        <w:rPr>
          <w:rFonts w:hint="eastAsia" w:ascii="仿宋" w:hAnsi="仿宋" w:eastAsia="仿宋" w:cs="仿宋"/>
          <w:color w:val="auto"/>
          <w:sz w:val="21"/>
          <w:szCs w:val="21"/>
        </w:rPr>
        <w:br w:type="page"/>
      </w:r>
      <w:bookmarkStart w:id="886" w:name="_Toc59034558"/>
      <w:r>
        <w:rPr>
          <w:rFonts w:hint="eastAsia" w:ascii="宋体" w:hAnsi="宋体" w:eastAsia="宋体" w:cs="宋体"/>
          <w:b/>
          <w:bCs/>
          <w:color w:val="auto"/>
          <w:sz w:val="21"/>
          <w:szCs w:val="21"/>
        </w:rPr>
        <w:t>施工项目组人员表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3"/>
        <w:gridCol w:w="974"/>
        <w:gridCol w:w="970"/>
        <w:gridCol w:w="1460"/>
        <w:gridCol w:w="970"/>
        <w:gridCol w:w="974"/>
        <w:gridCol w:w="980"/>
        <w:gridCol w:w="1671"/>
      </w:tblGrid>
      <w:tr w14:paraId="19D7A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Merge w:val="restart"/>
            <w:noWrap w:val="0"/>
            <w:vAlign w:val="center"/>
          </w:tcPr>
          <w:p w14:paraId="2C57BB59">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职务</w:t>
            </w:r>
          </w:p>
        </w:tc>
        <w:tc>
          <w:tcPr>
            <w:tcW w:w="974" w:type="dxa"/>
            <w:vMerge w:val="restart"/>
            <w:noWrap w:val="0"/>
            <w:vAlign w:val="center"/>
          </w:tcPr>
          <w:p w14:paraId="6753E4BF">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970" w:type="dxa"/>
            <w:vMerge w:val="restart"/>
            <w:noWrap w:val="0"/>
            <w:vAlign w:val="center"/>
          </w:tcPr>
          <w:p w14:paraId="795EFAAC">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4384" w:type="dxa"/>
            <w:gridSpan w:val="4"/>
            <w:noWrap w:val="0"/>
            <w:vAlign w:val="center"/>
          </w:tcPr>
          <w:p w14:paraId="638DE9C4">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执业或职业资格证明</w:t>
            </w:r>
          </w:p>
        </w:tc>
        <w:tc>
          <w:tcPr>
            <w:tcW w:w="1671" w:type="dxa"/>
            <w:noWrap w:val="0"/>
            <w:vAlign w:val="center"/>
          </w:tcPr>
          <w:p w14:paraId="15BE43FE">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r>
      <w:tr w14:paraId="3646F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vMerge w:val="continue"/>
            <w:noWrap w:val="0"/>
            <w:vAlign w:val="center"/>
          </w:tcPr>
          <w:p w14:paraId="238B87F1">
            <w:pPr>
              <w:spacing w:line="440" w:lineRule="exact"/>
              <w:jc w:val="center"/>
              <w:rPr>
                <w:rFonts w:hint="eastAsia" w:ascii="宋体" w:hAnsi="宋体" w:eastAsia="宋体" w:cs="宋体"/>
                <w:color w:val="auto"/>
                <w:sz w:val="21"/>
                <w:szCs w:val="21"/>
              </w:rPr>
            </w:pPr>
          </w:p>
        </w:tc>
        <w:tc>
          <w:tcPr>
            <w:tcW w:w="974" w:type="dxa"/>
            <w:vMerge w:val="continue"/>
            <w:noWrap w:val="0"/>
            <w:vAlign w:val="center"/>
          </w:tcPr>
          <w:p w14:paraId="1208F2FF">
            <w:pPr>
              <w:spacing w:line="440" w:lineRule="exact"/>
              <w:jc w:val="center"/>
              <w:rPr>
                <w:rFonts w:hint="eastAsia" w:ascii="宋体" w:hAnsi="宋体" w:eastAsia="宋体" w:cs="宋体"/>
                <w:color w:val="auto"/>
                <w:sz w:val="21"/>
                <w:szCs w:val="21"/>
              </w:rPr>
            </w:pPr>
          </w:p>
        </w:tc>
        <w:tc>
          <w:tcPr>
            <w:tcW w:w="970" w:type="dxa"/>
            <w:vMerge w:val="continue"/>
            <w:noWrap w:val="0"/>
            <w:vAlign w:val="center"/>
          </w:tcPr>
          <w:p w14:paraId="4D362FF1">
            <w:pPr>
              <w:spacing w:line="440" w:lineRule="exact"/>
              <w:jc w:val="center"/>
              <w:rPr>
                <w:rFonts w:hint="eastAsia" w:ascii="宋体" w:hAnsi="宋体" w:eastAsia="宋体" w:cs="宋体"/>
                <w:color w:val="auto"/>
                <w:sz w:val="21"/>
                <w:szCs w:val="21"/>
              </w:rPr>
            </w:pPr>
          </w:p>
        </w:tc>
        <w:tc>
          <w:tcPr>
            <w:tcW w:w="1460" w:type="dxa"/>
            <w:noWrap w:val="0"/>
            <w:vAlign w:val="center"/>
          </w:tcPr>
          <w:p w14:paraId="2CED6FA5">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证书名称</w:t>
            </w:r>
          </w:p>
        </w:tc>
        <w:tc>
          <w:tcPr>
            <w:tcW w:w="970" w:type="dxa"/>
            <w:noWrap w:val="0"/>
            <w:vAlign w:val="center"/>
          </w:tcPr>
          <w:p w14:paraId="0148710B">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级别</w:t>
            </w:r>
          </w:p>
        </w:tc>
        <w:tc>
          <w:tcPr>
            <w:tcW w:w="974" w:type="dxa"/>
            <w:noWrap w:val="0"/>
            <w:vAlign w:val="center"/>
          </w:tcPr>
          <w:p w14:paraId="348BD5C3">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证号</w:t>
            </w:r>
          </w:p>
        </w:tc>
        <w:tc>
          <w:tcPr>
            <w:tcW w:w="980" w:type="dxa"/>
            <w:noWrap w:val="0"/>
            <w:vAlign w:val="center"/>
          </w:tcPr>
          <w:p w14:paraId="4E1EF36A">
            <w:pPr>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c>
          <w:tcPr>
            <w:tcW w:w="1671" w:type="dxa"/>
            <w:noWrap w:val="0"/>
            <w:vAlign w:val="center"/>
          </w:tcPr>
          <w:p w14:paraId="608A2878">
            <w:pPr>
              <w:spacing w:line="440" w:lineRule="exact"/>
              <w:jc w:val="center"/>
              <w:rPr>
                <w:rFonts w:hint="eastAsia" w:ascii="宋体" w:hAnsi="宋体" w:eastAsia="宋体" w:cs="宋体"/>
                <w:color w:val="auto"/>
                <w:sz w:val="21"/>
                <w:szCs w:val="21"/>
              </w:rPr>
            </w:pPr>
          </w:p>
        </w:tc>
      </w:tr>
      <w:tr w14:paraId="0919F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center"/>
          </w:tcPr>
          <w:p w14:paraId="0DF25707">
            <w:pPr>
              <w:spacing w:line="440" w:lineRule="exact"/>
              <w:jc w:val="center"/>
              <w:rPr>
                <w:rFonts w:hint="eastAsia" w:ascii="宋体" w:hAnsi="宋体" w:eastAsia="宋体" w:cs="宋体"/>
                <w:color w:val="auto"/>
                <w:sz w:val="21"/>
                <w:szCs w:val="21"/>
              </w:rPr>
            </w:pPr>
          </w:p>
        </w:tc>
        <w:tc>
          <w:tcPr>
            <w:tcW w:w="974" w:type="dxa"/>
            <w:noWrap w:val="0"/>
            <w:vAlign w:val="center"/>
          </w:tcPr>
          <w:p w14:paraId="6D4FAAF5">
            <w:pPr>
              <w:spacing w:line="440" w:lineRule="exact"/>
              <w:jc w:val="center"/>
              <w:rPr>
                <w:rFonts w:hint="eastAsia" w:ascii="宋体" w:hAnsi="宋体" w:eastAsia="宋体" w:cs="宋体"/>
                <w:color w:val="auto"/>
                <w:sz w:val="21"/>
                <w:szCs w:val="21"/>
              </w:rPr>
            </w:pPr>
          </w:p>
        </w:tc>
        <w:tc>
          <w:tcPr>
            <w:tcW w:w="970" w:type="dxa"/>
            <w:noWrap w:val="0"/>
            <w:vAlign w:val="center"/>
          </w:tcPr>
          <w:p w14:paraId="6C526B1D">
            <w:pPr>
              <w:spacing w:line="440" w:lineRule="exact"/>
              <w:jc w:val="center"/>
              <w:rPr>
                <w:rFonts w:hint="eastAsia" w:ascii="宋体" w:hAnsi="宋体" w:eastAsia="宋体" w:cs="宋体"/>
                <w:color w:val="auto"/>
                <w:sz w:val="21"/>
                <w:szCs w:val="21"/>
              </w:rPr>
            </w:pPr>
          </w:p>
        </w:tc>
        <w:tc>
          <w:tcPr>
            <w:tcW w:w="1460" w:type="dxa"/>
            <w:noWrap w:val="0"/>
            <w:vAlign w:val="center"/>
          </w:tcPr>
          <w:p w14:paraId="4F310D82">
            <w:pPr>
              <w:spacing w:line="440" w:lineRule="exact"/>
              <w:jc w:val="center"/>
              <w:rPr>
                <w:rFonts w:hint="eastAsia" w:ascii="宋体" w:hAnsi="宋体" w:eastAsia="宋体" w:cs="宋体"/>
                <w:color w:val="auto"/>
                <w:sz w:val="21"/>
                <w:szCs w:val="21"/>
              </w:rPr>
            </w:pPr>
          </w:p>
        </w:tc>
        <w:tc>
          <w:tcPr>
            <w:tcW w:w="970" w:type="dxa"/>
            <w:noWrap w:val="0"/>
            <w:vAlign w:val="center"/>
          </w:tcPr>
          <w:p w14:paraId="1FE4EEF3">
            <w:pPr>
              <w:spacing w:line="440" w:lineRule="exact"/>
              <w:jc w:val="center"/>
              <w:rPr>
                <w:rFonts w:hint="eastAsia" w:ascii="宋体" w:hAnsi="宋体" w:eastAsia="宋体" w:cs="宋体"/>
                <w:color w:val="auto"/>
                <w:sz w:val="21"/>
                <w:szCs w:val="21"/>
              </w:rPr>
            </w:pPr>
          </w:p>
        </w:tc>
        <w:tc>
          <w:tcPr>
            <w:tcW w:w="974" w:type="dxa"/>
            <w:noWrap w:val="0"/>
            <w:vAlign w:val="center"/>
          </w:tcPr>
          <w:p w14:paraId="1A96E72D">
            <w:pPr>
              <w:spacing w:line="440" w:lineRule="exact"/>
              <w:jc w:val="center"/>
              <w:rPr>
                <w:rFonts w:hint="eastAsia" w:ascii="宋体" w:hAnsi="宋体" w:eastAsia="宋体" w:cs="宋体"/>
                <w:color w:val="auto"/>
                <w:sz w:val="21"/>
                <w:szCs w:val="21"/>
              </w:rPr>
            </w:pPr>
          </w:p>
        </w:tc>
        <w:tc>
          <w:tcPr>
            <w:tcW w:w="980" w:type="dxa"/>
            <w:noWrap w:val="0"/>
            <w:vAlign w:val="center"/>
          </w:tcPr>
          <w:p w14:paraId="2928FA30">
            <w:pPr>
              <w:spacing w:line="440" w:lineRule="exact"/>
              <w:jc w:val="center"/>
              <w:rPr>
                <w:rFonts w:hint="eastAsia" w:ascii="宋体" w:hAnsi="宋体" w:eastAsia="宋体" w:cs="宋体"/>
                <w:color w:val="auto"/>
                <w:sz w:val="21"/>
                <w:szCs w:val="21"/>
              </w:rPr>
            </w:pPr>
          </w:p>
        </w:tc>
        <w:tc>
          <w:tcPr>
            <w:tcW w:w="1671" w:type="dxa"/>
            <w:noWrap w:val="0"/>
            <w:vAlign w:val="center"/>
          </w:tcPr>
          <w:p w14:paraId="6E3D79D5">
            <w:pPr>
              <w:spacing w:line="440" w:lineRule="exact"/>
              <w:jc w:val="center"/>
              <w:rPr>
                <w:rFonts w:hint="eastAsia" w:ascii="宋体" w:hAnsi="宋体" w:eastAsia="宋体" w:cs="宋体"/>
                <w:color w:val="auto"/>
                <w:sz w:val="21"/>
                <w:szCs w:val="21"/>
              </w:rPr>
            </w:pPr>
          </w:p>
        </w:tc>
      </w:tr>
      <w:tr w14:paraId="43DEA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1D277716">
            <w:pPr>
              <w:spacing w:line="440" w:lineRule="exact"/>
              <w:jc w:val="center"/>
              <w:rPr>
                <w:rFonts w:hint="eastAsia" w:ascii="宋体" w:hAnsi="宋体" w:eastAsia="宋体" w:cs="宋体"/>
                <w:color w:val="auto"/>
                <w:sz w:val="21"/>
                <w:szCs w:val="21"/>
              </w:rPr>
            </w:pPr>
          </w:p>
        </w:tc>
        <w:tc>
          <w:tcPr>
            <w:tcW w:w="974" w:type="dxa"/>
            <w:noWrap w:val="0"/>
            <w:vAlign w:val="top"/>
          </w:tcPr>
          <w:p w14:paraId="2F16F351">
            <w:pPr>
              <w:spacing w:line="440" w:lineRule="exact"/>
              <w:jc w:val="center"/>
              <w:rPr>
                <w:rFonts w:hint="eastAsia" w:ascii="宋体" w:hAnsi="宋体" w:eastAsia="宋体" w:cs="宋体"/>
                <w:color w:val="auto"/>
                <w:sz w:val="21"/>
                <w:szCs w:val="21"/>
              </w:rPr>
            </w:pPr>
          </w:p>
        </w:tc>
        <w:tc>
          <w:tcPr>
            <w:tcW w:w="970" w:type="dxa"/>
            <w:noWrap w:val="0"/>
            <w:vAlign w:val="top"/>
          </w:tcPr>
          <w:p w14:paraId="0E94D629">
            <w:pPr>
              <w:spacing w:line="440" w:lineRule="exact"/>
              <w:jc w:val="center"/>
              <w:rPr>
                <w:rFonts w:hint="eastAsia" w:ascii="宋体" w:hAnsi="宋体" w:eastAsia="宋体" w:cs="宋体"/>
                <w:color w:val="auto"/>
                <w:sz w:val="21"/>
                <w:szCs w:val="21"/>
              </w:rPr>
            </w:pPr>
          </w:p>
        </w:tc>
        <w:tc>
          <w:tcPr>
            <w:tcW w:w="1460" w:type="dxa"/>
            <w:noWrap w:val="0"/>
            <w:vAlign w:val="top"/>
          </w:tcPr>
          <w:p w14:paraId="3EEB9786">
            <w:pPr>
              <w:spacing w:line="440" w:lineRule="exact"/>
              <w:jc w:val="center"/>
              <w:rPr>
                <w:rFonts w:hint="eastAsia" w:ascii="宋体" w:hAnsi="宋体" w:eastAsia="宋体" w:cs="宋体"/>
                <w:color w:val="auto"/>
                <w:sz w:val="21"/>
                <w:szCs w:val="21"/>
              </w:rPr>
            </w:pPr>
          </w:p>
        </w:tc>
        <w:tc>
          <w:tcPr>
            <w:tcW w:w="970" w:type="dxa"/>
            <w:noWrap w:val="0"/>
            <w:vAlign w:val="top"/>
          </w:tcPr>
          <w:p w14:paraId="26B3C6D8">
            <w:pPr>
              <w:spacing w:line="440" w:lineRule="exact"/>
              <w:jc w:val="center"/>
              <w:rPr>
                <w:rFonts w:hint="eastAsia" w:ascii="宋体" w:hAnsi="宋体" w:eastAsia="宋体" w:cs="宋体"/>
                <w:color w:val="auto"/>
                <w:sz w:val="21"/>
                <w:szCs w:val="21"/>
              </w:rPr>
            </w:pPr>
          </w:p>
        </w:tc>
        <w:tc>
          <w:tcPr>
            <w:tcW w:w="974" w:type="dxa"/>
            <w:noWrap w:val="0"/>
            <w:vAlign w:val="top"/>
          </w:tcPr>
          <w:p w14:paraId="49AE378A">
            <w:pPr>
              <w:spacing w:line="440" w:lineRule="exact"/>
              <w:jc w:val="center"/>
              <w:rPr>
                <w:rFonts w:hint="eastAsia" w:ascii="宋体" w:hAnsi="宋体" w:eastAsia="宋体" w:cs="宋体"/>
                <w:color w:val="auto"/>
                <w:sz w:val="21"/>
                <w:szCs w:val="21"/>
              </w:rPr>
            </w:pPr>
          </w:p>
        </w:tc>
        <w:tc>
          <w:tcPr>
            <w:tcW w:w="980" w:type="dxa"/>
            <w:noWrap w:val="0"/>
            <w:vAlign w:val="top"/>
          </w:tcPr>
          <w:p w14:paraId="41CD4743">
            <w:pPr>
              <w:spacing w:line="440" w:lineRule="exact"/>
              <w:jc w:val="center"/>
              <w:rPr>
                <w:rFonts w:hint="eastAsia" w:ascii="宋体" w:hAnsi="宋体" w:eastAsia="宋体" w:cs="宋体"/>
                <w:color w:val="auto"/>
                <w:sz w:val="21"/>
                <w:szCs w:val="21"/>
              </w:rPr>
            </w:pPr>
          </w:p>
        </w:tc>
        <w:tc>
          <w:tcPr>
            <w:tcW w:w="1671" w:type="dxa"/>
            <w:noWrap w:val="0"/>
            <w:vAlign w:val="top"/>
          </w:tcPr>
          <w:p w14:paraId="4DB6C11C">
            <w:pPr>
              <w:spacing w:line="440" w:lineRule="exact"/>
              <w:jc w:val="center"/>
              <w:rPr>
                <w:rFonts w:hint="eastAsia" w:ascii="宋体" w:hAnsi="宋体" w:eastAsia="宋体" w:cs="宋体"/>
                <w:color w:val="auto"/>
                <w:sz w:val="21"/>
                <w:szCs w:val="21"/>
              </w:rPr>
            </w:pPr>
          </w:p>
        </w:tc>
      </w:tr>
      <w:tr w14:paraId="5BB06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179000AA">
            <w:pPr>
              <w:spacing w:line="440" w:lineRule="exact"/>
              <w:jc w:val="center"/>
              <w:rPr>
                <w:rFonts w:hint="eastAsia" w:ascii="宋体" w:hAnsi="宋体" w:eastAsia="宋体" w:cs="宋体"/>
                <w:color w:val="auto"/>
                <w:sz w:val="21"/>
                <w:szCs w:val="21"/>
              </w:rPr>
            </w:pPr>
          </w:p>
        </w:tc>
        <w:tc>
          <w:tcPr>
            <w:tcW w:w="974" w:type="dxa"/>
            <w:noWrap w:val="0"/>
            <w:vAlign w:val="top"/>
          </w:tcPr>
          <w:p w14:paraId="54C996D0">
            <w:pPr>
              <w:spacing w:line="440" w:lineRule="exact"/>
              <w:jc w:val="center"/>
              <w:rPr>
                <w:rFonts w:hint="eastAsia" w:ascii="宋体" w:hAnsi="宋体" w:eastAsia="宋体" w:cs="宋体"/>
                <w:color w:val="auto"/>
                <w:sz w:val="21"/>
                <w:szCs w:val="21"/>
              </w:rPr>
            </w:pPr>
          </w:p>
        </w:tc>
        <w:tc>
          <w:tcPr>
            <w:tcW w:w="970" w:type="dxa"/>
            <w:noWrap w:val="0"/>
            <w:vAlign w:val="top"/>
          </w:tcPr>
          <w:p w14:paraId="119C20C3">
            <w:pPr>
              <w:spacing w:line="440" w:lineRule="exact"/>
              <w:jc w:val="center"/>
              <w:rPr>
                <w:rFonts w:hint="eastAsia" w:ascii="宋体" w:hAnsi="宋体" w:eastAsia="宋体" w:cs="宋体"/>
                <w:color w:val="auto"/>
                <w:sz w:val="21"/>
                <w:szCs w:val="21"/>
              </w:rPr>
            </w:pPr>
          </w:p>
        </w:tc>
        <w:tc>
          <w:tcPr>
            <w:tcW w:w="1460" w:type="dxa"/>
            <w:noWrap w:val="0"/>
            <w:vAlign w:val="top"/>
          </w:tcPr>
          <w:p w14:paraId="5F4554CA">
            <w:pPr>
              <w:spacing w:line="440" w:lineRule="exact"/>
              <w:jc w:val="center"/>
              <w:rPr>
                <w:rFonts w:hint="eastAsia" w:ascii="宋体" w:hAnsi="宋体" w:eastAsia="宋体" w:cs="宋体"/>
                <w:color w:val="auto"/>
                <w:sz w:val="21"/>
                <w:szCs w:val="21"/>
              </w:rPr>
            </w:pPr>
          </w:p>
        </w:tc>
        <w:tc>
          <w:tcPr>
            <w:tcW w:w="970" w:type="dxa"/>
            <w:noWrap w:val="0"/>
            <w:vAlign w:val="top"/>
          </w:tcPr>
          <w:p w14:paraId="648359F3">
            <w:pPr>
              <w:spacing w:line="440" w:lineRule="exact"/>
              <w:jc w:val="center"/>
              <w:rPr>
                <w:rFonts w:hint="eastAsia" w:ascii="宋体" w:hAnsi="宋体" w:eastAsia="宋体" w:cs="宋体"/>
                <w:color w:val="auto"/>
                <w:sz w:val="21"/>
                <w:szCs w:val="21"/>
              </w:rPr>
            </w:pPr>
          </w:p>
        </w:tc>
        <w:tc>
          <w:tcPr>
            <w:tcW w:w="974" w:type="dxa"/>
            <w:noWrap w:val="0"/>
            <w:vAlign w:val="top"/>
          </w:tcPr>
          <w:p w14:paraId="46EB0ABA">
            <w:pPr>
              <w:spacing w:line="440" w:lineRule="exact"/>
              <w:jc w:val="center"/>
              <w:rPr>
                <w:rFonts w:hint="eastAsia" w:ascii="宋体" w:hAnsi="宋体" w:eastAsia="宋体" w:cs="宋体"/>
                <w:color w:val="auto"/>
                <w:sz w:val="21"/>
                <w:szCs w:val="21"/>
              </w:rPr>
            </w:pPr>
          </w:p>
        </w:tc>
        <w:tc>
          <w:tcPr>
            <w:tcW w:w="980" w:type="dxa"/>
            <w:noWrap w:val="0"/>
            <w:vAlign w:val="top"/>
          </w:tcPr>
          <w:p w14:paraId="7FD2D9BD">
            <w:pPr>
              <w:spacing w:line="440" w:lineRule="exact"/>
              <w:jc w:val="center"/>
              <w:rPr>
                <w:rFonts w:hint="eastAsia" w:ascii="宋体" w:hAnsi="宋体" w:eastAsia="宋体" w:cs="宋体"/>
                <w:color w:val="auto"/>
                <w:sz w:val="21"/>
                <w:szCs w:val="21"/>
              </w:rPr>
            </w:pPr>
          </w:p>
        </w:tc>
        <w:tc>
          <w:tcPr>
            <w:tcW w:w="1671" w:type="dxa"/>
            <w:noWrap w:val="0"/>
            <w:vAlign w:val="top"/>
          </w:tcPr>
          <w:p w14:paraId="6F606292">
            <w:pPr>
              <w:spacing w:line="440" w:lineRule="exact"/>
              <w:jc w:val="center"/>
              <w:rPr>
                <w:rFonts w:hint="eastAsia" w:ascii="宋体" w:hAnsi="宋体" w:eastAsia="宋体" w:cs="宋体"/>
                <w:color w:val="auto"/>
                <w:sz w:val="21"/>
                <w:szCs w:val="21"/>
              </w:rPr>
            </w:pPr>
          </w:p>
        </w:tc>
      </w:tr>
      <w:tr w14:paraId="4394E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25E728B4">
            <w:pPr>
              <w:spacing w:line="440" w:lineRule="exact"/>
              <w:jc w:val="center"/>
              <w:rPr>
                <w:rFonts w:hint="eastAsia" w:ascii="宋体" w:hAnsi="宋体" w:eastAsia="宋体" w:cs="宋体"/>
                <w:color w:val="auto"/>
                <w:sz w:val="21"/>
                <w:szCs w:val="21"/>
              </w:rPr>
            </w:pPr>
          </w:p>
        </w:tc>
        <w:tc>
          <w:tcPr>
            <w:tcW w:w="974" w:type="dxa"/>
            <w:noWrap w:val="0"/>
            <w:vAlign w:val="top"/>
          </w:tcPr>
          <w:p w14:paraId="0D1F1A84">
            <w:pPr>
              <w:spacing w:line="440" w:lineRule="exact"/>
              <w:jc w:val="center"/>
              <w:rPr>
                <w:rFonts w:hint="eastAsia" w:ascii="宋体" w:hAnsi="宋体" w:eastAsia="宋体" w:cs="宋体"/>
                <w:color w:val="auto"/>
                <w:sz w:val="21"/>
                <w:szCs w:val="21"/>
              </w:rPr>
            </w:pPr>
          </w:p>
        </w:tc>
        <w:tc>
          <w:tcPr>
            <w:tcW w:w="970" w:type="dxa"/>
            <w:noWrap w:val="0"/>
            <w:vAlign w:val="top"/>
          </w:tcPr>
          <w:p w14:paraId="07852731">
            <w:pPr>
              <w:spacing w:line="440" w:lineRule="exact"/>
              <w:jc w:val="center"/>
              <w:rPr>
                <w:rFonts w:hint="eastAsia" w:ascii="宋体" w:hAnsi="宋体" w:eastAsia="宋体" w:cs="宋体"/>
                <w:color w:val="auto"/>
                <w:sz w:val="21"/>
                <w:szCs w:val="21"/>
              </w:rPr>
            </w:pPr>
          </w:p>
        </w:tc>
        <w:tc>
          <w:tcPr>
            <w:tcW w:w="1460" w:type="dxa"/>
            <w:noWrap w:val="0"/>
            <w:vAlign w:val="top"/>
          </w:tcPr>
          <w:p w14:paraId="271B1B62">
            <w:pPr>
              <w:spacing w:line="440" w:lineRule="exact"/>
              <w:jc w:val="center"/>
              <w:rPr>
                <w:rFonts w:hint="eastAsia" w:ascii="宋体" w:hAnsi="宋体" w:eastAsia="宋体" w:cs="宋体"/>
                <w:color w:val="auto"/>
                <w:sz w:val="21"/>
                <w:szCs w:val="21"/>
              </w:rPr>
            </w:pPr>
          </w:p>
        </w:tc>
        <w:tc>
          <w:tcPr>
            <w:tcW w:w="970" w:type="dxa"/>
            <w:noWrap w:val="0"/>
            <w:vAlign w:val="top"/>
          </w:tcPr>
          <w:p w14:paraId="25BF0704">
            <w:pPr>
              <w:spacing w:line="440" w:lineRule="exact"/>
              <w:jc w:val="center"/>
              <w:rPr>
                <w:rFonts w:hint="eastAsia" w:ascii="宋体" w:hAnsi="宋体" w:eastAsia="宋体" w:cs="宋体"/>
                <w:color w:val="auto"/>
                <w:sz w:val="21"/>
                <w:szCs w:val="21"/>
              </w:rPr>
            </w:pPr>
          </w:p>
        </w:tc>
        <w:tc>
          <w:tcPr>
            <w:tcW w:w="974" w:type="dxa"/>
            <w:noWrap w:val="0"/>
            <w:vAlign w:val="top"/>
          </w:tcPr>
          <w:p w14:paraId="06ACF3C7">
            <w:pPr>
              <w:spacing w:line="440" w:lineRule="exact"/>
              <w:jc w:val="center"/>
              <w:rPr>
                <w:rFonts w:hint="eastAsia" w:ascii="宋体" w:hAnsi="宋体" w:eastAsia="宋体" w:cs="宋体"/>
                <w:color w:val="auto"/>
                <w:sz w:val="21"/>
                <w:szCs w:val="21"/>
              </w:rPr>
            </w:pPr>
          </w:p>
        </w:tc>
        <w:tc>
          <w:tcPr>
            <w:tcW w:w="980" w:type="dxa"/>
            <w:noWrap w:val="0"/>
            <w:vAlign w:val="top"/>
          </w:tcPr>
          <w:p w14:paraId="09737700">
            <w:pPr>
              <w:spacing w:line="440" w:lineRule="exact"/>
              <w:jc w:val="center"/>
              <w:rPr>
                <w:rFonts w:hint="eastAsia" w:ascii="宋体" w:hAnsi="宋体" w:eastAsia="宋体" w:cs="宋体"/>
                <w:color w:val="auto"/>
                <w:sz w:val="21"/>
                <w:szCs w:val="21"/>
              </w:rPr>
            </w:pPr>
          </w:p>
        </w:tc>
        <w:tc>
          <w:tcPr>
            <w:tcW w:w="1671" w:type="dxa"/>
            <w:noWrap w:val="0"/>
            <w:vAlign w:val="top"/>
          </w:tcPr>
          <w:p w14:paraId="7D20F64E">
            <w:pPr>
              <w:spacing w:line="440" w:lineRule="exact"/>
              <w:jc w:val="center"/>
              <w:rPr>
                <w:rFonts w:hint="eastAsia" w:ascii="宋体" w:hAnsi="宋体" w:eastAsia="宋体" w:cs="宋体"/>
                <w:color w:val="auto"/>
                <w:sz w:val="21"/>
                <w:szCs w:val="21"/>
              </w:rPr>
            </w:pPr>
          </w:p>
        </w:tc>
      </w:tr>
      <w:tr w14:paraId="23679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78435950">
            <w:pPr>
              <w:spacing w:line="440" w:lineRule="exact"/>
              <w:jc w:val="center"/>
              <w:rPr>
                <w:rFonts w:hint="eastAsia" w:ascii="宋体" w:hAnsi="宋体" w:eastAsia="宋体" w:cs="宋体"/>
                <w:color w:val="auto"/>
                <w:sz w:val="21"/>
                <w:szCs w:val="21"/>
              </w:rPr>
            </w:pPr>
          </w:p>
        </w:tc>
        <w:tc>
          <w:tcPr>
            <w:tcW w:w="974" w:type="dxa"/>
            <w:noWrap w:val="0"/>
            <w:vAlign w:val="top"/>
          </w:tcPr>
          <w:p w14:paraId="4B4159DB">
            <w:pPr>
              <w:spacing w:line="440" w:lineRule="exact"/>
              <w:jc w:val="center"/>
              <w:rPr>
                <w:rFonts w:hint="eastAsia" w:ascii="宋体" w:hAnsi="宋体" w:eastAsia="宋体" w:cs="宋体"/>
                <w:color w:val="auto"/>
                <w:sz w:val="21"/>
                <w:szCs w:val="21"/>
              </w:rPr>
            </w:pPr>
          </w:p>
        </w:tc>
        <w:tc>
          <w:tcPr>
            <w:tcW w:w="970" w:type="dxa"/>
            <w:noWrap w:val="0"/>
            <w:vAlign w:val="top"/>
          </w:tcPr>
          <w:p w14:paraId="49C793A7">
            <w:pPr>
              <w:spacing w:line="440" w:lineRule="exact"/>
              <w:jc w:val="center"/>
              <w:rPr>
                <w:rFonts w:hint="eastAsia" w:ascii="宋体" w:hAnsi="宋体" w:eastAsia="宋体" w:cs="宋体"/>
                <w:color w:val="auto"/>
                <w:sz w:val="21"/>
                <w:szCs w:val="21"/>
              </w:rPr>
            </w:pPr>
          </w:p>
        </w:tc>
        <w:tc>
          <w:tcPr>
            <w:tcW w:w="1460" w:type="dxa"/>
            <w:noWrap w:val="0"/>
            <w:vAlign w:val="top"/>
          </w:tcPr>
          <w:p w14:paraId="18B104E2">
            <w:pPr>
              <w:spacing w:line="440" w:lineRule="exact"/>
              <w:jc w:val="center"/>
              <w:rPr>
                <w:rFonts w:hint="eastAsia" w:ascii="宋体" w:hAnsi="宋体" w:eastAsia="宋体" w:cs="宋体"/>
                <w:color w:val="auto"/>
                <w:sz w:val="21"/>
                <w:szCs w:val="21"/>
              </w:rPr>
            </w:pPr>
          </w:p>
        </w:tc>
        <w:tc>
          <w:tcPr>
            <w:tcW w:w="970" w:type="dxa"/>
            <w:noWrap w:val="0"/>
            <w:vAlign w:val="top"/>
          </w:tcPr>
          <w:p w14:paraId="170DAD63">
            <w:pPr>
              <w:spacing w:line="440" w:lineRule="exact"/>
              <w:jc w:val="center"/>
              <w:rPr>
                <w:rFonts w:hint="eastAsia" w:ascii="宋体" w:hAnsi="宋体" w:eastAsia="宋体" w:cs="宋体"/>
                <w:color w:val="auto"/>
                <w:sz w:val="21"/>
                <w:szCs w:val="21"/>
              </w:rPr>
            </w:pPr>
          </w:p>
        </w:tc>
        <w:tc>
          <w:tcPr>
            <w:tcW w:w="974" w:type="dxa"/>
            <w:noWrap w:val="0"/>
            <w:vAlign w:val="top"/>
          </w:tcPr>
          <w:p w14:paraId="0758FA93">
            <w:pPr>
              <w:spacing w:line="440" w:lineRule="exact"/>
              <w:jc w:val="center"/>
              <w:rPr>
                <w:rFonts w:hint="eastAsia" w:ascii="宋体" w:hAnsi="宋体" w:eastAsia="宋体" w:cs="宋体"/>
                <w:color w:val="auto"/>
                <w:sz w:val="21"/>
                <w:szCs w:val="21"/>
              </w:rPr>
            </w:pPr>
          </w:p>
        </w:tc>
        <w:tc>
          <w:tcPr>
            <w:tcW w:w="980" w:type="dxa"/>
            <w:noWrap w:val="0"/>
            <w:vAlign w:val="top"/>
          </w:tcPr>
          <w:p w14:paraId="56289250">
            <w:pPr>
              <w:spacing w:line="440" w:lineRule="exact"/>
              <w:jc w:val="center"/>
              <w:rPr>
                <w:rFonts w:hint="eastAsia" w:ascii="宋体" w:hAnsi="宋体" w:eastAsia="宋体" w:cs="宋体"/>
                <w:color w:val="auto"/>
                <w:sz w:val="21"/>
                <w:szCs w:val="21"/>
              </w:rPr>
            </w:pPr>
          </w:p>
        </w:tc>
        <w:tc>
          <w:tcPr>
            <w:tcW w:w="1671" w:type="dxa"/>
            <w:noWrap w:val="0"/>
            <w:vAlign w:val="top"/>
          </w:tcPr>
          <w:p w14:paraId="65DC7B9F">
            <w:pPr>
              <w:spacing w:line="440" w:lineRule="exact"/>
              <w:jc w:val="center"/>
              <w:rPr>
                <w:rFonts w:hint="eastAsia" w:ascii="宋体" w:hAnsi="宋体" w:eastAsia="宋体" w:cs="宋体"/>
                <w:color w:val="auto"/>
                <w:sz w:val="21"/>
                <w:szCs w:val="21"/>
              </w:rPr>
            </w:pPr>
          </w:p>
        </w:tc>
      </w:tr>
      <w:tr w14:paraId="51D5D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0B5FA3D4">
            <w:pPr>
              <w:spacing w:line="440" w:lineRule="exact"/>
              <w:jc w:val="center"/>
              <w:rPr>
                <w:rFonts w:hint="eastAsia" w:ascii="宋体" w:hAnsi="宋体" w:eastAsia="宋体" w:cs="宋体"/>
                <w:color w:val="auto"/>
                <w:sz w:val="21"/>
                <w:szCs w:val="21"/>
              </w:rPr>
            </w:pPr>
          </w:p>
        </w:tc>
        <w:tc>
          <w:tcPr>
            <w:tcW w:w="974" w:type="dxa"/>
            <w:noWrap w:val="0"/>
            <w:vAlign w:val="top"/>
          </w:tcPr>
          <w:p w14:paraId="182D7ADC">
            <w:pPr>
              <w:spacing w:line="440" w:lineRule="exact"/>
              <w:jc w:val="center"/>
              <w:rPr>
                <w:rFonts w:hint="eastAsia" w:ascii="宋体" w:hAnsi="宋体" w:eastAsia="宋体" w:cs="宋体"/>
                <w:color w:val="auto"/>
                <w:sz w:val="21"/>
                <w:szCs w:val="21"/>
              </w:rPr>
            </w:pPr>
          </w:p>
        </w:tc>
        <w:tc>
          <w:tcPr>
            <w:tcW w:w="970" w:type="dxa"/>
            <w:noWrap w:val="0"/>
            <w:vAlign w:val="top"/>
          </w:tcPr>
          <w:p w14:paraId="3729FBAF">
            <w:pPr>
              <w:spacing w:line="440" w:lineRule="exact"/>
              <w:jc w:val="center"/>
              <w:rPr>
                <w:rFonts w:hint="eastAsia" w:ascii="宋体" w:hAnsi="宋体" w:eastAsia="宋体" w:cs="宋体"/>
                <w:color w:val="auto"/>
                <w:sz w:val="21"/>
                <w:szCs w:val="21"/>
              </w:rPr>
            </w:pPr>
          </w:p>
        </w:tc>
        <w:tc>
          <w:tcPr>
            <w:tcW w:w="1460" w:type="dxa"/>
            <w:noWrap w:val="0"/>
            <w:vAlign w:val="top"/>
          </w:tcPr>
          <w:p w14:paraId="4847EC00">
            <w:pPr>
              <w:spacing w:line="440" w:lineRule="exact"/>
              <w:jc w:val="center"/>
              <w:rPr>
                <w:rFonts w:hint="eastAsia" w:ascii="宋体" w:hAnsi="宋体" w:eastAsia="宋体" w:cs="宋体"/>
                <w:color w:val="auto"/>
                <w:sz w:val="21"/>
                <w:szCs w:val="21"/>
              </w:rPr>
            </w:pPr>
          </w:p>
        </w:tc>
        <w:tc>
          <w:tcPr>
            <w:tcW w:w="970" w:type="dxa"/>
            <w:noWrap w:val="0"/>
            <w:vAlign w:val="top"/>
          </w:tcPr>
          <w:p w14:paraId="380BA380">
            <w:pPr>
              <w:spacing w:line="440" w:lineRule="exact"/>
              <w:jc w:val="center"/>
              <w:rPr>
                <w:rFonts w:hint="eastAsia" w:ascii="宋体" w:hAnsi="宋体" w:eastAsia="宋体" w:cs="宋体"/>
                <w:color w:val="auto"/>
                <w:sz w:val="21"/>
                <w:szCs w:val="21"/>
              </w:rPr>
            </w:pPr>
          </w:p>
        </w:tc>
        <w:tc>
          <w:tcPr>
            <w:tcW w:w="974" w:type="dxa"/>
            <w:noWrap w:val="0"/>
            <w:vAlign w:val="top"/>
          </w:tcPr>
          <w:p w14:paraId="0BC9A70F">
            <w:pPr>
              <w:spacing w:line="440" w:lineRule="exact"/>
              <w:jc w:val="center"/>
              <w:rPr>
                <w:rFonts w:hint="eastAsia" w:ascii="宋体" w:hAnsi="宋体" w:eastAsia="宋体" w:cs="宋体"/>
                <w:color w:val="auto"/>
                <w:sz w:val="21"/>
                <w:szCs w:val="21"/>
              </w:rPr>
            </w:pPr>
          </w:p>
        </w:tc>
        <w:tc>
          <w:tcPr>
            <w:tcW w:w="980" w:type="dxa"/>
            <w:noWrap w:val="0"/>
            <w:vAlign w:val="top"/>
          </w:tcPr>
          <w:p w14:paraId="050C0C12">
            <w:pPr>
              <w:spacing w:line="440" w:lineRule="exact"/>
              <w:jc w:val="center"/>
              <w:rPr>
                <w:rFonts w:hint="eastAsia" w:ascii="宋体" w:hAnsi="宋体" w:eastAsia="宋体" w:cs="宋体"/>
                <w:color w:val="auto"/>
                <w:sz w:val="21"/>
                <w:szCs w:val="21"/>
              </w:rPr>
            </w:pPr>
          </w:p>
        </w:tc>
        <w:tc>
          <w:tcPr>
            <w:tcW w:w="1671" w:type="dxa"/>
            <w:noWrap w:val="0"/>
            <w:vAlign w:val="top"/>
          </w:tcPr>
          <w:p w14:paraId="74B78AE0">
            <w:pPr>
              <w:spacing w:line="440" w:lineRule="exact"/>
              <w:jc w:val="center"/>
              <w:rPr>
                <w:rFonts w:hint="eastAsia" w:ascii="宋体" w:hAnsi="宋体" w:eastAsia="宋体" w:cs="宋体"/>
                <w:color w:val="auto"/>
                <w:sz w:val="21"/>
                <w:szCs w:val="21"/>
              </w:rPr>
            </w:pPr>
          </w:p>
        </w:tc>
      </w:tr>
      <w:tr w14:paraId="384C9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1B300492">
            <w:pPr>
              <w:spacing w:line="440" w:lineRule="exact"/>
              <w:jc w:val="center"/>
              <w:rPr>
                <w:rFonts w:hint="eastAsia" w:ascii="宋体" w:hAnsi="宋体" w:eastAsia="宋体" w:cs="宋体"/>
                <w:color w:val="auto"/>
                <w:sz w:val="21"/>
                <w:szCs w:val="21"/>
              </w:rPr>
            </w:pPr>
          </w:p>
        </w:tc>
        <w:tc>
          <w:tcPr>
            <w:tcW w:w="974" w:type="dxa"/>
            <w:noWrap w:val="0"/>
            <w:vAlign w:val="top"/>
          </w:tcPr>
          <w:p w14:paraId="4989A01B">
            <w:pPr>
              <w:spacing w:line="440" w:lineRule="exact"/>
              <w:jc w:val="center"/>
              <w:rPr>
                <w:rFonts w:hint="eastAsia" w:ascii="宋体" w:hAnsi="宋体" w:eastAsia="宋体" w:cs="宋体"/>
                <w:color w:val="auto"/>
                <w:sz w:val="21"/>
                <w:szCs w:val="21"/>
              </w:rPr>
            </w:pPr>
          </w:p>
        </w:tc>
        <w:tc>
          <w:tcPr>
            <w:tcW w:w="970" w:type="dxa"/>
            <w:noWrap w:val="0"/>
            <w:vAlign w:val="top"/>
          </w:tcPr>
          <w:p w14:paraId="6736D29D">
            <w:pPr>
              <w:spacing w:line="440" w:lineRule="exact"/>
              <w:jc w:val="center"/>
              <w:rPr>
                <w:rFonts w:hint="eastAsia" w:ascii="宋体" w:hAnsi="宋体" w:eastAsia="宋体" w:cs="宋体"/>
                <w:color w:val="auto"/>
                <w:sz w:val="21"/>
                <w:szCs w:val="21"/>
              </w:rPr>
            </w:pPr>
          </w:p>
        </w:tc>
        <w:tc>
          <w:tcPr>
            <w:tcW w:w="1460" w:type="dxa"/>
            <w:noWrap w:val="0"/>
            <w:vAlign w:val="top"/>
          </w:tcPr>
          <w:p w14:paraId="08C310C0">
            <w:pPr>
              <w:spacing w:line="440" w:lineRule="exact"/>
              <w:jc w:val="center"/>
              <w:rPr>
                <w:rFonts w:hint="eastAsia" w:ascii="宋体" w:hAnsi="宋体" w:eastAsia="宋体" w:cs="宋体"/>
                <w:color w:val="auto"/>
                <w:sz w:val="21"/>
                <w:szCs w:val="21"/>
              </w:rPr>
            </w:pPr>
          </w:p>
        </w:tc>
        <w:tc>
          <w:tcPr>
            <w:tcW w:w="970" w:type="dxa"/>
            <w:noWrap w:val="0"/>
            <w:vAlign w:val="top"/>
          </w:tcPr>
          <w:p w14:paraId="0031FBED">
            <w:pPr>
              <w:spacing w:line="440" w:lineRule="exact"/>
              <w:jc w:val="center"/>
              <w:rPr>
                <w:rFonts w:hint="eastAsia" w:ascii="宋体" w:hAnsi="宋体" w:eastAsia="宋体" w:cs="宋体"/>
                <w:color w:val="auto"/>
                <w:sz w:val="21"/>
                <w:szCs w:val="21"/>
              </w:rPr>
            </w:pPr>
          </w:p>
        </w:tc>
        <w:tc>
          <w:tcPr>
            <w:tcW w:w="974" w:type="dxa"/>
            <w:noWrap w:val="0"/>
            <w:vAlign w:val="top"/>
          </w:tcPr>
          <w:p w14:paraId="4D990B9C">
            <w:pPr>
              <w:spacing w:line="440" w:lineRule="exact"/>
              <w:jc w:val="center"/>
              <w:rPr>
                <w:rFonts w:hint="eastAsia" w:ascii="宋体" w:hAnsi="宋体" w:eastAsia="宋体" w:cs="宋体"/>
                <w:color w:val="auto"/>
                <w:sz w:val="21"/>
                <w:szCs w:val="21"/>
              </w:rPr>
            </w:pPr>
          </w:p>
        </w:tc>
        <w:tc>
          <w:tcPr>
            <w:tcW w:w="980" w:type="dxa"/>
            <w:noWrap w:val="0"/>
            <w:vAlign w:val="top"/>
          </w:tcPr>
          <w:p w14:paraId="132D7F45">
            <w:pPr>
              <w:spacing w:line="440" w:lineRule="exact"/>
              <w:jc w:val="center"/>
              <w:rPr>
                <w:rFonts w:hint="eastAsia" w:ascii="宋体" w:hAnsi="宋体" w:eastAsia="宋体" w:cs="宋体"/>
                <w:color w:val="auto"/>
                <w:sz w:val="21"/>
                <w:szCs w:val="21"/>
              </w:rPr>
            </w:pPr>
          </w:p>
        </w:tc>
        <w:tc>
          <w:tcPr>
            <w:tcW w:w="1671" w:type="dxa"/>
            <w:noWrap w:val="0"/>
            <w:vAlign w:val="top"/>
          </w:tcPr>
          <w:p w14:paraId="1BA9F255">
            <w:pPr>
              <w:spacing w:line="440" w:lineRule="exact"/>
              <w:jc w:val="center"/>
              <w:rPr>
                <w:rFonts w:hint="eastAsia" w:ascii="宋体" w:hAnsi="宋体" w:eastAsia="宋体" w:cs="宋体"/>
                <w:color w:val="auto"/>
                <w:sz w:val="21"/>
                <w:szCs w:val="21"/>
              </w:rPr>
            </w:pPr>
          </w:p>
        </w:tc>
      </w:tr>
      <w:tr w14:paraId="79848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68397D54">
            <w:pPr>
              <w:spacing w:line="440" w:lineRule="exact"/>
              <w:jc w:val="center"/>
              <w:rPr>
                <w:rFonts w:hint="eastAsia" w:ascii="宋体" w:hAnsi="宋体" w:eastAsia="宋体" w:cs="宋体"/>
                <w:color w:val="auto"/>
                <w:sz w:val="21"/>
                <w:szCs w:val="21"/>
              </w:rPr>
            </w:pPr>
          </w:p>
        </w:tc>
        <w:tc>
          <w:tcPr>
            <w:tcW w:w="974" w:type="dxa"/>
            <w:noWrap w:val="0"/>
            <w:vAlign w:val="top"/>
          </w:tcPr>
          <w:p w14:paraId="72B5E6A7">
            <w:pPr>
              <w:spacing w:line="440" w:lineRule="exact"/>
              <w:jc w:val="center"/>
              <w:rPr>
                <w:rFonts w:hint="eastAsia" w:ascii="宋体" w:hAnsi="宋体" w:eastAsia="宋体" w:cs="宋体"/>
                <w:color w:val="auto"/>
                <w:sz w:val="21"/>
                <w:szCs w:val="21"/>
              </w:rPr>
            </w:pPr>
          </w:p>
        </w:tc>
        <w:tc>
          <w:tcPr>
            <w:tcW w:w="970" w:type="dxa"/>
            <w:noWrap w:val="0"/>
            <w:vAlign w:val="top"/>
          </w:tcPr>
          <w:p w14:paraId="7A42D9F9">
            <w:pPr>
              <w:spacing w:line="440" w:lineRule="exact"/>
              <w:jc w:val="center"/>
              <w:rPr>
                <w:rFonts w:hint="eastAsia" w:ascii="宋体" w:hAnsi="宋体" w:eastAsia="宋体" w:cs="宋体"/>
                <w:color w:val="auto"/>
                <w:sz w:val="21"/>
                <w:szCs w:val="21"/>
              </w:rPr>
            </w:pPr>
          </w:p>
        </w:tc>
        <w:tc>
          <w:tcPr>
            <w:tcW w:w="1460" w:type="dxa"/>
            <w:noWrap w:val="0"/>
            <w:vAlign w:val="top"/>
          </w:tcPr>
          <w:p w14:paraId="383AFC60">
            <w:pPr>
              <w:spacing w:line="440" w:lineRule="exact"/>
              <w:jc w:val="center"/>
              <w:rPr>
                <w:rFonts w:hint="eastAsia" w:ascii="宋体" w:hAnsi="宋体" w:eastAsia="宋体" w:cs="宋体"/>
                <w:color w:val="auto"/>
                <w:sz w:val="21"/>
                <w:szCs w:val="21"/>
              </w:rPr>
            </w:pPr>
          </w:p>
        </w:tc>
        <w:tc>
          <w:tcPr>
            <w:tcW w:w="970" w:type="dxa"/>
            <w:noWrap w:val="0"/>
            <w:vAlign w:val="top"/>
          </w:tcPr>
          <w:p w14:paraId="2C524BC8">
            <w:pPr>
              <w:spacing w:line="440" w:lineRule="exact"/>
              <w:jc w:val="center"/>
              <w:rPr>
                <w:rFonts w:hint="eastAsia" w:ascii="宋体" w:hAnsi="宋体" w:eastAsia="宋体" w:cs="宋体"/>
                <w:color w:val="auto"/>
                <w:sz w:val="21"/>
                <w:szCs w:val="21"/>
              </w:rPr>
            </w:pPr>
          </w:p>
        </w:tc>
        <w:tc>
          <w:tcPr>
            <w:tcW w:w="974" w:type="dxa"/>
            <w:noWrap w:val="0"/>
            <w:vAlign w:val="top"/>
          </w:tcPr>
          <w:p w14:paraId="7EA94D53">
            <w:pPr>
              <w:spacing w:line="440" w:lineRule="exact"/>
              <w:jc w:val="center"/>
              <w:rPr>
                <w:rFonts w:hint="eastAsia" w:ascii="宋体" w:hAnsi="宋体" w:eastAsia="宋体" w:cs="宋体"/>
                <w:color w:val="auto"/>
                <w:sz w:val="21"/>
                <w:szCs w:val="21"/>
              </w:rPr>
            </w:pPr>
          </w:p>
        </w:tc>
        <w:tc>
          <w:tcPr>
            <w:tcW w:w="980" w:type="dxa"/>
            <w:noWrap w:val="0"/>
            <w:vAlign w:val="top"/>
          </w:tcPr>
          <w:p w14:paraId="6831E489">
            <w:pPr>
              <w:spacing w:line="440" w:lineRule="exact"/>
              <w:jc w:val="center"/>
              <w:rPr>
                <w:rFonts w:hint="eastAsia" w:ascii="宋体" w:hAnsi="宋体" w:eastAsia="宋体" w:cs="宋体"/>
                <w:color w:val="auto"/>
                <w:sz w:val="21"/>
                <w:szCs w:val="21"/>
              </w:rPr>
            </w:pPr>
          </w:p>
        </w:tc>
        <w:tc>
          <w:tcPr>
            <w:tcW w:w="1671" w:type="dxa"/>
            <w:noWrap w:val="0"/>
            <w:vAlign w:val="top"/>
          </w:tcPr>
          <w:p w14:paraId="60A28580">
            <w:pPr>
              <w:spacing w:line="440" w:lineRule="exact"/>
              <w:jc w:val="center"/>
              <w:rPr>
                <w:rFonts w:hint="eastAsia" w:ascii="宋体" w:hAnsi="宋体" w:eastAsia="宋体" w:cs="宋体"/>
                <w:color w:val="auto"/>
                <w:sz w:val="21"/>
                <w:szCs w:val="21"/>
              </w:rPr>
            </w:pPr>
          </w:p>
        </w:tc>
      </w:tr>
      <w:tr w14:paraId="75CE4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217F80D5">
            <w:pPr>
              <w:spacing w:line="440" w:lineRule="exact"/>
              <w:jc w:val="center"/>
              <w:rPr>
                <w:rFonts w:hint="eastAsia" w:ascii="宋体" w:hAnsi="宋体" w:eastAsia="宋体" w:cs="宋体"/>
                <w:color w:val="auto"/>
                <w:sz w:val="21"/>
                <w:szCs w:val="21"/>
              </w:rPr>
            </w:pPr>
          </w:p>
        </w:tc>
        <w:tc>
          <w:tcPr>
            <w:tcW w:w="974" w:type="dxa"/>
            <w:noWrap w:val="0"/>
            <w:vAlign w:val="top"/>
          </w:tcPr>
          <w:p w14:paraId="18CCB7BC">
            <w:pPr>
              <w:spacing w:line="440" w:lineRule="exact"/>
              <w:jc w:val="center"/>
              <w:rPr>
                <w:rFonts w:hint="eastAsia" w:ascii="宋体" w:hAnsi="宋体" w:eastAsia="宋体" w:cs="宋体"/>
                <w:color w:val="auto"/>
                <w:sz w:val="21"/>
                <w:szCs w:val="21"/>
              </w:rPr>
            </w:pPr>
          </w:p>
        </w:tc>
        <w:tc>
          <w:tcPr>
            <w:tcW w:w="970" w:type="dxa"/>
            <w:noWrap w:val="0"/>
            <w:vAlign w:val="top"/>
          </w:tcPr>
          <w:p w14:paraId="0EF76FD1">
            <w:pPr>
              <w:spacing w:line="440" w:lineRule="exact"/>
              <w:jc w:val="center"/>
              <w:rPr>
                <w:rFonts w:hint="eastAsia" w:ascii="宋体" w:hAnsi="宋体" w:eastAsia="宋体" w:cs="宋体"/>
                <w:color w:val="auto"/>
                <w:sz w:val="21"/>
                <w:szCs w:val="21"/>
              </w:rPr>
            </w:pPr>
          </w:p>
        </w:tc>
        <w:tc>
          <w:tcPr>
            <w:tcW w:w="1460" w:type="dxa"/>
            <w:noWrap w:val="0"/>
            <w:vAlign w:val="top"/>
          </w:tcPr>
          <w:p w14:paraId="74EEA35F">
            <w:pPr>
              <w:spacing w:line="440" w:lineRule="exact"/>
              <w:jc w:val="center"/>
              <w:rPr>
                <w:rFonts w:hint="eastAsia" w:ascii="宋体" w:hAnsi="宋体" w:eastAsia="宋体" w:cs="宋体"/>
                <w:color w:val="auto"/>
                <w:sz w:val="21"/>
                <w:szCs w:val="21"/>
              </w:rPr>
            </w:pPr>
          </w:p>
        </w:tc>
        <w:tc>
          <w:tcPr>
            <w:tcW w:w="970" w:type="dxa"/>
            <w:noWrap w:val="0"/>
            <w:vAlign w:val="top"/>
          </w:tcPr>
          <w:p w14:paraId="4538C7A5">
            <w:pPr>
              <w:spacing w:line="440" w:lineRule="exact"/>
              <w:jc w:val="center"/>
              <w:rPr>
                <w:rFonts w:hint="eastAsia" w:ascii="宋体" w:hAnsi="宋体" w:eastAsia="宋体" w:cs="宋体"/>
                <w:color w:val="auto"/>
                <w:sz w:val="21"/>
                <w:szCs w:val="21"/>
              </w:rPr>
            </w:pPr>
          </w:p>
        </w:tc>
        <w:tc>
          <w:tcPr>
            <w:tcW w:w="974" w:type="dxa"/>
            <w:noWrap w:val="0"/>
            <w:vAlign w:val="top"/>
          </w:tcPr>
          <w:p w14:paraId="450C4268">
            <w:pPr>
              <w:spacing w:line="440" w:lineRule="exact"/>
              <w:jc w:val="center"/>
              <w:rPr>
                <w:rFonts w:hint="eastAsia" w:ascii="宋体" w:hAnsi="宋体" w:eastAsia="宋体" w:cs="宋体"/>
                <w:color w:val="auto"/>
                <w:sz w:val="21"/>
                <w:szCs w:val="21"/>
              </w:rPr>
            </w:pPr>
          </w:p>
        </w:tc>
        <w:tc>
          <w:tcPr>
            <w:tcW w:w="980" w:type="dxa"/>
            <w:noWrap w:val="0"/>
            <w:vAlign w:val="top"/>
          </w:tcPr>
          <w:p w14:paraId="4242DBF3">
            <w:pPr>
              <w:spacing w:line="440" w:lineRule="exact"/>
              <w:jc w:val="center"/>
              <w:rPr>
                <w:rFonts w:hint="eastAsia" w:ascii="宋体" w:hAnsi="宋体" w:eastAsia="宋体" w:cs="宋体"/>
                <w:color w:val="auto"/>
                <w:sz w:val="21"/>
                <w:szCs w:val="21"/>
              </w:rPr>
            </w:pPr>
          </w:p>
        </w:tc>
        <w:tc>
          <w:tcPr>
            <w:tcW w:w="1671" w:type="dxa"/>
            <w:noWrap w:val="0"/>
            <w:vAlign w:val="top"/>
          </w:tcPr>
          <w:p w14:paraId="5FC36D7B">
            <w:pPr>
              <w:spacing w:line="440" w:lineRule="exact"/>
              <w:jc w:val="center"/>
              <w:rPr>
                <w:rFonts w:hint="eastAsia" w:ascii="宋体" w:hAnsi="宋体" w:eastAsia="宋体" w:cs="宋体"/>
                <w:color w:val="auto"/>
                <w:sz w:val="21"/>
                <w:szCs w:val="21"/>
              </w:rPr>
            </w:pPr>
          </w:p>
        </w:tc>
      </w:tr>
      <w:tr w14:paraId="46DAF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108075BA">
            <w:pPr>
              <w:spacing w:line="440" w:lineRule="exact"/>
              <w:jc w:val="center"/>
              <w:rPr>
                <w:rFonts w:hint="eastAsia" w:ascii="宋体" w:hAnsi="宋体" w:eastAsia="宋体" w:cs="宋体"/>
                <w:color w:val="auto"/>
                <w:sz w:val="21"/>
                <w:szCs w:val="21"/>
              </w:rPr>
            </w:pPr>
          </w:p>
        </w:tc>
        <w:tc>
          <w:tcPr>
            <w:tcW w:w="974" w:type="dxa"/>
            <w:noWrap w:val="0"/>
            <w:vAlign w:val="top"/>
          </w:tcPr>
          <w:p w14:paraId="1BC0E786">
            <w:pPr>
              <w:spacing w:line="440" w:lineRule="exact"/>
              <w:jc w:val="center"/>
              <w:rPr>
                <w:rFonts w:hint="eastAsia" w:ascii="宋体" w:hAnsi="宋体" w:eastAsia="宋体" w:cs="宋体"/>
                <w:color w:val="auto"/>
                <w:sz w:val="21"/>
                <w:szCs w:val="21"/>
              </w:rPr>
            </w:pPr>
          </w:p>
        </w:tc>
        <w:tc>
          <w:tcPr>
            <w:tcW w:w="970" w:type="dxa"/>
            <w:noWrap w:val="0"/>
            <w:vAlign w:val="top"/>
          </w:tcPr>
          <w:p w14:paraId="1CB907C8">
            <w:pPr>
              <w:spacing w:line="440" w:lineRule="exact"/>
              <w:jc w:val="center"/>
              <w:rPr>
                <w:rFonts w:hint="eastAsia" w:ascii="宋体" w:hAnsi="宋体" w:eastAsia="宋体" w:cs="宋体"/>
                <w:color w:val="auto"/>
                <w:sz w:val="21"/>
                <w:szCs w:val="21"/>
              </w:rPr>
            </w:pPr>
          </w:p>
        </w:tc>
        <w:tc>
          <w:tcPr>
            <w:tcW w:w="1460" w:type="dxa"/>
            <w:noWrap w:val="0"/>
            <w:vAlign w:val="top"/>
          </w:tcPr>
          <w:p w14:paraId="39EF5DC2">
            <w:pPr>
              <w:spacing w:line="440" w:lineRule="exact"/>
              <w:jc w:val="center"/>
              <w:rPr>
                <w:rFonts w:hint="eastAsia" w:ascii="宋体" w:hAnsi="宋体" w:eastAsia="宋体" w:cs="宋体"/>
                <w:color w:val="auto"/>
                <w:sz w:val="21"/>
                <w:szCs w:val="21"/>
              </w:rPr>
            </w:pPr>
          </w:p>
        </w:tc>
        <w:tc>
          <w:tcPr>
            <w:tcW w:w="970" w:type="dxa"/>
            <w:noWrap w:val="0"/>
            <w:vAlign w:val="top"/>
          </w:tcPr>
          <w:p w14:paraId="2B0BE39E">
            <w:pPr>
              <w:spacing w:line="440" w:lineRule="exact"/>
              <w:jc w:val="center"/>
              <w:rPr>
                <w:rFonts w:hint="eastAsia" w:ascii="宋体" w:hAnsi="宋体" w:eastAsia="宋体" w:cs="宋体"/>
                <w:color w:val="auto"/>
                <w:sz w:val="21"/>
                <w:szCs w:val="21"/>
              </w:rPr>
            </w:pPr>
          </w:p>
        </w:tc>
        <w:tc>
          <w:tcPr>
            <w:tcW w:w="974" w:type="dxa"/>
            <w:noWrap w:val="0"/>
            <w:vAlign w:val="top"/>
          </w:tcPr>
          <w:p w14:paraId="5E7453B6">
            <w:pPr>
              <w:spacing w:line="440" w:lineRule="exact"/>
              <w:jc w:val="center"/>
              <w:rPr>
                <w:rFonts w:hint="eastAsia" w:ascii="宋体" w:hAnsi="宋体" w:eastAsia="宋体" w:cs="宋体"/>
                <w:color w:val="auto"/>
                <w:sz w:val="21"/>
                <w:szCs w:val="21"/>
              </w:rPr>
            </w:pPr>
          </w:p>
        </w:tc>
        <w:tc>
          <w:tcPr>
            <w:tcW w:w="980" w:type="dxa"/>
            <w:noWrap w:val="0"/>
            <w:vAlign w:val="top"/>
          </w:tcPr>
          <w:p w14:paraId="576A2357">
            <w:pPr>
              <w:spacing w:line="440" w:lineRule="exact"/>
              <w:jc w:val="center"/>
              <w:rPr>
                <w:rFonts w:hint="eastAsia" w:ascii="宋体" w:hAnsi="宋体" w:eastAsia="宋体" w:cs="宋体"/>
                <w:color w:val="auto"/>
                <w:sz w:val="21"/>
                <w:szCs w:val="21"/>
              </w:rPr>
            </w:pPr>
          </w:p>
        </w:tc>
        <w:tc>
          <w:tcPr>
            <w:tcW w:w="1671" w:type="dxa"/>
            <w:noWrap w:val="0"/>
            <w:vAlign w:val="top"/>
          </w:tcPr>
          <w:p w14:paraId="74EC8045">
            <w:pPr>
              <w:spacing w:line="440" w:lineRule="exact"/>
              <w:jc w:val="center"/>
              <w:rPr>
                <w:rFonts w:hint="eastAsia" w:ascii="宋体" w:hAnsi="宋体" w:eastAsia="宋体" w:cs="宋体"/>
                <w:color w:val="auto"/>
                <w:sz w:val="21"/>
                <w:szCs w:val="21"/>
              </w:rPr>
            </w:pPr>
          </w:p>
        </w:tc>
      </w:tr>
      <w:tr w14:paraId="3A54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7E711AEA">
            <w:pPr>
              <w:spacing w:line="440" w:lineRule="exact"/>
              <w:jc w:val="center"/>
              <w:rPr>
                <w:rFonts w:hint="eastAsia" w:ascii="宋体" w:hAnsi="宋体" w:eastAsia="宋体" w:cs="宋体"/>
                <w:color w:val="auto"/>
                <w:sz w:val="21"/>
                <w:szCs w:val="21"/>
              </w:rPr>
            </w:pPr>
          </w:p>
        </w:tc>
        <w:tc>
          <w:tcPr>
            <w:tcW w:w="974" w:type="dxa"/>
            <w:noWrap w:val="0"/>
            <w:vAlign w:val="top"/>
          </w:tcPr>
          <w:p w14:paraId="2EBFFFB9">
            <w:pPr>
              <w:spacing w:line="440" w:lineRule="exact"/>
              <w:jc w:val="center"/>
              <w:rPr>
                <w:rFonts w:hint="eastAsia" w:ascii="宋体" w:hAnsi="宋体" w:eastAsia="宋体" w:cs="宋体"/>
                <w:color w:val="auto"/>
                <w:sz w:val="21"/>
                <w:szCs w:val="21"/>
              </w:rPr>
            </w:pPr>
          </w:p>
        </w:tc>
        <w:tc>
          <w:tcPr>
            <w:tcW w:w="970" w:type="dxa"/>
            <w:noWrap w:val="0"/>
            <w:vAlign w:val="top"/>
          </w:tcPr>
          <w:p w14:paraId="4FCC6779">
            <w:pPr>
              <w:spacing w:line="440" w:lineRule="exact"/>
              <w:jc w:val="center"/>
              <w:rPr>
                <w:rFonts w:hint="eastAsia" w:ascii="宋体" w:hAnsi="宋体" w:eastAsia="宋体" w:cs="宋体"/>
                <w:color w:val="auto"/>
                <w:sz w:val="21"/>
                <w:szCs w:val="21"/>
              </w:rPr>
            </w:pPr>
          </w:p>
        </w:tc>
        <w:tc>
          <w:tcPr>
            <w:tcW w:w="1460" w:type="dxa"/>
            <w:noWrap w:val="0"/>
            <w:vAlign w:val="top"/>
          </w:tcPr>
          <w:p w14:paraId="342EF689">
            <w:pPr>
              <w:spacing w:line="440" w:lineRule="exact"/>
              <w:jc w:val="center"/>
              <w:rPr>
                <w:rFonts w:hint="eastAsia" w:ascii="宋体" w:hAnsi="宋体" w:eastAsia="宋体" w:cs="宋体"/>
                <w:color w:val="auto"/>
                <w:sz w:val="21"/>
                <w:szCs w:val="21"/>
              </w:rPr>
            </w:pPr>
          </w:p>
        </w:tc>
        <w:tc>
          <w:tcPr>
            <w:tcW w:w="970" w:type="dxa"/>
            <w:noWrap w:val="0"/>
            <w:vAlign w:val="top"/>
          </w:tcPr>
          <w:p w14:paraId="33E64B9B">
            <w:pPr>
              <w:spacing w:line="440" w:lineRule="exact"/>
              <w:jc w:val="center"/>
              <w:rPr>
                <w:rFonts w:hint="eastAsia" w:ascii="宋体" w:hAnsi="宋体" w:eastAsia="宋体" w:cs="宋体"/>
                <w:color w:val="auto"/>
                <w:sz w:val="21"/>
                <w:szCs w:val="21"/>
              </w:rPr>
            </w:pPr>
          </w:p>
        </w:tc>
        <w:tc>
          <w:tcPr>
            <w:tcW w:w="974" w:type="dxa"/>
            <w:noWrap w:val="0"/>
            <w:vAlign w:val="top"/>
          </w:tcPr>
          <w:p w14:paraId="57662A6D">
            <w:pPr>
              <w:spacing w:line="440" w:lineRule="exact"/>
              <w:jc w:val="center"/>
              <w:rPr>
                <w:rFonts w:hint="eastAsia" w:ascii="宋体" w:hAnsi="宋体" w:eastAsia="宋体" w:cs="宋体"/>
                <w:color w:val="auto"/>
                <w:sz w:val="21"/>
                <w:szCs w:val="21"/>
              </w:rPr>
            </w:pPr>
          </w:p>
        </w:tc>
        <w:tc>
          <w:tcPr>
            <w:tcW w:w="980" w:type="dxa"/>
            <w:noWrap w:val="0"/>
            <w:vAlign w:val="top"/>
          </w:tcPr>
          <w:p w14:paraId="799F3FD5">
            <w:pPr>
              <w:spacing w:line="440" w:lineRule="exact"/>
              <w:jc w:val="center"/>
              <w:rPr>
                <w:rFonts w:hint="eastAsia" w:ascii="宋体" w:hAnsi="宋体" w:eastAsia="宋体" w:cs="宋体"/>
                <w:color w:val="auto"/>
                <w:sz w:val="21"/>
                <w:szCs w:val="21"/>
              </w:rPr>
            </w:pPr>
          </w:p>
        </w:tc>
        <w:tc>
          <w:tcPr>
            <w:tcW w:w="1671" w:type="dxa"/>
            <w:noWrap w:val="0"/>
            <w:vAlign w:val="top"/>
          </w:tcPr>
          <w:p w14:paraId="6D10FDD5">
            <w:pPr>
              <w:spacing w:line="440" w:lineRule="exact"/>
              <w:jc w:val="center"/>
              <w:rPr>
                <w:rFonts w:hint="eastAsia" w:ascii="宋体" w:hAnsi="宋体" w:eastAsia="宋体" w:cs="宋体"/>
                <w:color w:val="auto"/>
                <w:sz w:val="21"/>
                <w:szCs w:val="21"/>
              </w:rPr>
            </w:pPr>
          </w:p>
        </w:tc>
      </w:tr>
      <w:tr w14:paraId="11C67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2A335515">
            <w:pPr>
              <w:spacing w:line="440" w:lineRule="exact"/>
              <w:jc w:val="center"/>
              <w:rPr>
                <w:rFonts w:hint="eastAsia" w:ascii="宋体" w:hAnsi="宋体" w:eastAsia="宋体" w:cs="宋体"/>
                <w:color w:val="auto"/>
                <w:sz w:val="21"/>
                <w:szCs w:val="21"/>
              </w:rPr>
            </w:pPr>
          </w:p>
        </w:tc>
        <w:tc>
          <w:tcPr>
            <w:tcW w:w="974" w:type="dxa"/>
            <w:noWrap w:val="0"/>
            <w:vAlign w:val="top"/>
          </w:tcPr>
          <w:p w14:paraId="15EB1A3E">
            <w:pPr>
              <w:spacing w:line="440" w:lineRule="exact"/>
              <w:jc w:val="center"/>
              <w:rPr>
                <w:rFonts w:hint="eastAsia" w:ascii="宋体" w:hAnsi="宋体" w:eastAsia="宋体" w:cs="宋体"/>
                <w:color w:val="auto"/>
                <w:sz w:val="21"/>
                <w:szCs w:val="21"/>
              </w:rPr>
            </w:pPr>
          </w:p>
        </w:tc>
        <w:tc>
          <w:tcPr>
            <w:tcW w:w="970" w:type="dxa"/>
            <w:noWrap w:val="0"/>
            <w:vAlign w:val="top"/>
          </w:tcPr>
          <w:p w14:paraId="33359D73">
            <w:pPr>
              <w:spacing w:line="440" w:lineRule="exact"/>
              <w:jc w:val="center"/>
              <w:rPr>
                <w:rFonts w:hint="eastAsia" w:ascii="宋体" w:hAnsi="宋体" w:eastAsia="宋体" w:cs="宋体"/>
                <w:color w:val="auto"/>
                <w:sz w:val="21"/>
                <w:szCs w:val="21"/>
              </w:rPr>
            </w:pPr>
          </w:p>
        </w:tc>
        <w:tc>
          <w:tcPr>
            <w:tcW w:w="1460" w:type="dxa"/>
            <w:noWrap w:val="0"/>
            <w:vAlign w:val="top"/>
          </w:tcPr>
          <w:p w14:paraId="7F648A06">
            <w:pPr>
              <w:spacing w:line="440" w:lineRule="exact"/>
              <w:jc w:val="center"/>
              <w:rPr>
                <w:rFonts w:hint="eastAsia" w:ascii="宋体" w:hAnsi="宋体" w:eastAsia="宋体" w:cs="宋体"/>
                <w:color w:val="auto"/>
                <w:sz w:val="21"/>
                <w:szCs w:val="21"/>
              </w:rPr>
            </w:pPr>
          </w:p>
        </w:tc>
        <w:tc>
          <w:tcPr>
            <w:tcW w:w="970" w:type="dxa"/>
            <w:noWrap w:val="0"/>
            <w:vAlign w:val="top"/>
          </w:tcPr>
          <w:p w14:paraId="2A164171">
            <w:pPr>
              <w:spacing w:line="440" w:lineRule="exact"/>
              <w:jc w:val="center"/>
              <w:rPr>
                <w:rFonts w:hint="eastAsia" w:ascii="宋体" w:hAnsi="宋体" w:eastAsia="宋体" w:cs="宋体"/>
                <w:color w:val="auto"/>
                <w:sz w:val="21"/>
                <w:szCs w:val="21"/>
              </w:rPr>
            </w:pPr>
          </w:p>
        </w:tc>
        <w:tc>
          <w:tcPr>
            <w:tcW w:w="974" w:type="dxa"/>
            <w:noWrap w:val="0"/>
            <w:vAlign w:val="top"/>
          </w:tcPr>
          <w:p w14:paraId="148D49F0">
            <w:pPr>
              <w:spacing w:line="440" w:lineRule="exact"/>
              <w:jc w:val="center"/>
              <w:rPr>
                <w:rFonts w:hint="eastAsia" w:ascii="宋体" w:hAnsi="宋体" w:eastAsia="宋体" w:cs="宋体"/>
                <w:color w:val="auto"/>
                <w:sz w:val="21"/>
                <w:szCs w:val="21"/>
              </w:rPr>
            </w:pPr>
          </w:p>
        </w:tc>
        <w:tc>
          <w:tcPr>
            <w:tcW w:w="980" w:type="dxa"/>
            <w:noWrap w:val="0"/>
            <w:vAlign w:val="top"/>
          </w:tcPr>
          <w:p w14:paraId="746929F5">
            <w:pPr>
              <w:spacing w:line="440" w:lineRule="exact"/>
              <w:jc w:val="center"/>
              <w:rPr>
                <w:rFonts w:hint="eastAsia" w:ascii="宋体" w:hAnsi="宋体" w:eastAsia="宋体" w:cs="宋体"/>
                <w:color w:val="auto"/>
                <w:sz w:val="21"/>
                <w:szCs w:val="21"/>
              </w:rPr>
            </w:pPr>
          </w:p>
        </w:tc>
        <w:tc>
          <w:tcPr>
            <w:tcW w:w="1671" w:type="dxa"/>
            <w:noWrap w:val="0"/>
            <w:vAlign w:val="top"/>
          </w:tcPr>
          <w:p w14:paraId="298A100A">
            <w:pPr>
              <w:spacing w:line="440" w:lineRule="exact"/>
              <w:jc w:val="center"/>
              <w:rPr>
                <w:rFonts w:hint="eastAsia" w:ascii="宋体" w:hAnsi="宋体" w:eastAsia="宋体" w:cs="宋体"/>
                <w:color w:val="auto"/>
                <w:sz w:val="21"/>
                <w:szCs w:val="21"/>
              </w:rPr>
            </w:pPr>
          </w:p>
        </w:tc>
      </w:tr>
      <w:tr w14:paraId="625C3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0B07750F">
            <w:pPr>
              <w:spacing w:line="440" w:lineRule="exact"/>
              <w:jc w:val="center"/>
              <w:rPr>
                <w:rFonts w:hint="eastAsia" w:ascii="宋体" w:hAnsi="宋体" w:eastAsia="宋体" w:cs="宋体"/>
                <w:color w:val="auto"/>
                <w:sz w:val="21"/>
                <w:szCs w:val="21"/>
              </w:rPr>
            </w:pPr>
          </w:p>
        </w:tc>
        <w:tc>
          <w:tcPr>
            <w:tcW w:w="974" w:type="dxa"/>
            <w:noWrap w:val="0"/>
            <w:vAlign w:val="top"/>
          </w:tcPr>
          <w:p w14:paraId="159DBD74">
            <w:pPr>
              <w:spacing w:line="440" w:lineRule="exact"/>
              <w:jc w:val="center"/>
              <w:rPr>
                <w:rFonts w:hint="eastAsia" w:ascii="宋体" w:hAnsi="宋体" w:eastAsia="宋体" w:cs="宋体"/>
                <w:color w:val="auto"/>
                <w:sz w:val="21"/>
                <w:szCs w:val="21"/>
              </w:rPr>
            </w:pPr>
          </w:p>
        </w:tc>
        <w:tc>
          <w:tcPr>
            <w:tcW w:w="970" w:type="dxa"/>
            <w:noWrap w:val="0"/>
            <w:vAlign w:val="top"/>
          </w:tcPr>
          <w:p w14:paraId="2EDC6EA8">
            <w:pPr>
              <w:spacing w:line="440" w:lineRule="exact"/>
              <w:jc w:val="center"/>
              <w:rPr>
                <w:rFonts w:hint="eastAsia" w:ascii="宋体" w:hAnsi="宋体" w:eastAsia="宋体" w:cs="宋体"/>
                <w:color w:val="auto"/>
                <w:sz w:val="21"/>
                <w:szCs w:val="21"/>
              </w:rPr>
            </w:pPr>
          </w:p>
        </w:tc>
        <w:tc>
          <w:tcPr>
            <w:tcW w:w="1460" w:type="dxa"/>
            <w:noWrap w:val="0"/>
            <w:vAlign w:val="top"/>
          </w:tcPr>
          <w:p w14:paraId="4A5AEFFF">
            <w:pPr>
              <w:spacing w:line="440" w:lineRule="exact"/>
              <w:jc w:val="center"/>
              <w:rPr>
                <w:rFonts w:hint="eastAsia" w:ascii="宋体" w:hAnsi="宋体" w:eastAsia="宋体" w:cs="宋体"/>
                <w:color w:val="auto"/>
                <w:sz w:val="21"/>
                <w:szCs w:val="21"/>
              </w:rPr>
            </w:pPr>
          </w:p>
        </w:tc>
        <w:tc>
          <w:tcPr>
            <w:tcW w:w="970" w:type="dxa"/>
            <w:noWrap w:val="0"/>
            <w:vAlign w:val="top"/>
          </w:tcPr>
          <w:p w14:paraId="1BCA9811">
            <w:pPr>
              <w:spacing w:line="440" w:lineRule="exact"/>
              <w:jc w:val="center"/>
              <w:rPr>
                <w:rFonts w:hint="eastAsia" w:ascii="宋体" w:hAnsi="宋体" w:eastAsia="宋体" w:cs="宋体"/>
                <w:color w:val="auto"/>
                <w:sz w:val="21"/>
                <w:szCs w:val="21"/>
              </w:rPr>
            </w:pPr>
          </w:p>
        </w:tc>
        <w:tc>
          <w:tcPr>
            <w:tcW w:w="974" w:type="dxa"/>
            <w:noWrap w:val="0"/>
            <w:vAlign w:val="top"/>
          </w:tcPr>
          <w:p w14:paraId="7BD1D9FA">
            <w:pPr>
              <w:spacing w:line="440" w:lineRule="exact"/>
              <w:jc w:val="center"/>
              <w:rPr>
                <w:rFonts w:hint="eastAsia" w:ascii="宋体" w:hAnsi="宋体" w:eastAsia="宋体" w:cs="宋体"/>
                <w:color w:val="auto"/>
                <w:sz w:val="21"/>
                <w:szCs w:val="21"/>
              </w:rPr>
            </w:pPr>
          </w:p>
        </w:tc>
        <w:tc>
          <w:tcPr>
            <w:tcW w:w="980" w:type="dxa"/>
            <w:noWrap w:val="0"/>
            <w:vAlign w:val="top"/>
          </w:tcPr>
          <w:p w14:paraId="68783280">
            <w:pPr>
              <w:spacing w:line="440" w:lineRule="exact"/>
              <w:jc w:val="center"/>
              <w:rPr>
                <w:rFonts w:hint="eastAsia" w:ascii="宋体" w:hAnsi="宋体" w:eastAsia="宋体" w:cs="宋体"/>
                <w:color w:val="auto"/>
                <w:sz w:val="21"/>
                <w:szCs w:val="21"/>
              </w:rPr>
            </w:pPr>
          </w:p>
        </w:tc>
        <w:tc>
          <w:tcPr>
            <w:tcW w:w="1671" w:type="dxa"/>
            <w:noWrap w:val="0"/>
            <w:vAlign w:val="top"/>
          </w:tcPr>
          <w:p w14:paraId="1EA58078">
            <w:pPr>
              <w:spacing w:line="440" w:lineRule="exact"/>
              <w:jc w:val="center"/>
              <w:rPr>
                <w:rFonts w:hint="eastAsia" w:ascii="宋体" w:hAnsi="宋体" w:eastAsia="宋体" w:cs="宋体"/>
                <w:color w:val="auto"/>
                <w:sz w:val="21"/>
                <w:szCs w:val="21"/>
              </w:rPr>
            </w:pPr>
          </w:p>
        </w:tc>
      </w:tr>
      <w:tr w14:paraId="10795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0186C5B3">
            <w:pPr>
              <w:spacing w:line="440" w:lineRule="exact"/>
              <w:jc w:val="center"/>
              <w:rPr>
                <w:rFonts w:hint="eastAsia" w:ascii="宋体" w:hAnsi="宋体" w:eastAsia="宋体" w:cs="宋体"/>
                <w:color w:val="auto"/>
                <w:sz w:val="21"/>
                <w:szCs w:val="21"/>
              </w:rPr>
            </w:pPr>
          </w:p>
        </w:tc>
        <w:tc>
          <w:tcPr>
            <w:tcW w:w="974" w:type="dxa"/>
            <w:noWrap w:val="0"/>
            <w:vAlign w:val="top"/>
          </w:tcPr>
          <w:p w14:paraId="524B8BE0">
            <w:pPr>
              <w:spacing w:line="440" w:lineRule="exact"/>
              <w:jc w:val="center"/>
              <w:rPr>
                <w:rFonts w:hint="eastAsia" w:ascii="宋体" w:hAnsi="宋体" w:eastAsia="宋体" w:cs="宋体"/>
                <w:color w:val="auto"/>
                <w:sz w:val="21"/>
                <w:szCs w:val="21"/>
              </w:rPr>
            </w:pPr>
          </w:p>
        </w:tc>
        <w:tc>
          <w:tcPr>
            <w:tcW w:w="970" w:type="dxa"/>
            <w:noWrap w:val="0"/>
            <w:vAlign w:val="top"/>
          </w:tcPr>
          <w:p w14:paraId="2275137D">
            <w:pPr>
              <w:spacing w:line="440" w:lineRule="exact"/>
              <w:jc w:val="center"/>
              <w:rPr>
                <w:rFonts w:hint="eastAsia" w:ascii="宋体" w:hAnsi="宋体" w:eastAsia="宋体" w:cs="宋体"/>
                <w:color w:val="auto"/>
                <w:sz w:val="21"/>
                <w:szCs w:val="21"/>
              </w:rPr>
            </w:pPr>
          </w:p>
        </w:tc>
        <w:tc>
          <w:tcPr>
            <w:tcW w:w="1460" w:type="dxa"/>
            <w:noWrap w:val="0"/>
            <w:vAlign w:val="top"/>
          </w:tcPr>
          <w:p w14:paraId="404D54F8">
            <w:pPr>
              <w:spacing w:line="440" w:lineRule="exact"/>
              <w:jc w:val="center"/>
              <w:rPr>
                <w:rFonts w:hint="eastAsia" w:ascii="宋体" w:hAnsi="宋体" w:eastAsia="宋体" w:cs="宋体"/>
                <w:color w:val="auto"/>
                <w:sz w:val="21"/>
                <w:szCs w:val="21"/>
              </w:rPr>
            </w:pPr>
          </w:p>
        </w:tc>
        <w:tc>
          <w:tcPr>
            <w:tcW w:w="970" w:type="dxa"/>
            <w:noWrap w:val="0"/>
            <w:vAlign w:val="top"/>
          </w:tcPr>
          <w:p w14:paraId="28784131">
            <w:pPr>
              <w:spacing w:line="440" w:lineRule="exact"/>
              <w:jc w:val="center"/>
              <w:rPr>
                <w:rFonts w:hint="eastAsia" w:ascii="宋体" w:hAnsi="宋体" w:eastAsia="宋体" w:cs="宋体"/>
                <w:color w:val="auto"/>
                <w:sz w:val="21"/>
                <w:szCs w:val="21"/>
              </w:rPr>
            </w:pPr>
          </w:p>
        </w:tc>
        <w:tc>
          <w:tcPr>
            <w:tcW w:w="974" w:type="dxa"/>
            <w:noWrap w:val="0"/>
            <w:vAlign w:val="top"/>
          </w:tcPr>
          <w:p w14:paraId="5D37218F">
            <w:pPr>
              <w:spacing w:line="440" w:lineRule="exact"/>
              <w:jc w:val="center"/>
              <w:rPr>
                <w:rFonts w:hint="eastAsia" w:ascii="宋体" w:hAnsi="宋体" w:eastAsia="宋体" w:cs="宋体"/>
                <w:color w:val="auto"/>
                <w:sz w:val="21"/>
                <w:szCs w:val="21"/>
              </w:rPr>
            </w:pPr>
          </w:p>
        </w:tc>
        <w:tc>
          <w:tcPr>
            <w:tcW w:w="980" w:type="dxa"/>
            <w:noWrap w:val="0"/>
            <w:vAlign w:val="top"/>
          </w:tcPr>
          <w:p w14:paraId="5BFCAFAD">
            <w:pPr>
              <w:spacing w:line="440" w:lineRule="exact"/>
              <w:jc w:val="center"/>
              <w:rPr>
                <w:rFonts w:hint="eastAsia" w:ascii="宋体" w:hAnsi="宋体" w:eastAsia="宋体" w:cs="宋体"/>
                <w:color w:val="auto"/>
                <w:sz w:val="21"/>
                <w:szCs w:val="21"/>
              </w:rPr>
            </w:pPr>
          </w:p>
        </w:tc>
        <w:tc>
          <w:tcPr>
            <w:tcW w:w="1671" w:type="dxa"/>
            <w:noWrap w:val="0"/>
            <w:vAlign w:val="top"/>
          </w:tcPr>
          <w:p w14:paraId="42E9132F">
            <w:pPr>
              <w:spacing w:line="440" w:lineRule="exact"/>
              <w:jc w:val="center"/>
              <w:rPr>
                <w:rFonts w:hint="eastAsia" w:ascii="宋体" w:hAnsi="宋体" w:eastAsia="宋体" w:cs="宋体"/>
                <w:color w:val="auto"/>
                <w:sz w:val="21"/>
                <w:szCs w:val="21"/>
              </w:rPr>
            </w:pPr>
          </w:p>
        </w:tc>
      </w:tr>
      <w:tr w14:paraId="10F8B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7D3EEE06">
            <w:pPr>
              <w:spacing w:line="440" w:lineRule="exact"/>
              <w:jc w:val="center"/>
              <w:rPr>
                <w:rFonts w:hint="eastAsia" w:ascii="宋体" w:hAnsi="宋体" w:eastAsia="宋体" w:cs="宋体"/>
                <w:color w:val="auto"/>
                <w:sz w:val="21"/>
                <w:szCs w:val="21"/>
              </w:rPr>
            </w:pPr>
          </w:p>
        </w:tc>
        <w:tc>
          <w:tcPr>
            <w:tcW w:w="974" w:type="dxa"/>
            <w:noWrap w:val="0"/>
            <w:vAlign w:val="top"/>
          </w:tcPr>
          <w:p w14:paraId="0EF536A5">
            <w:pPr>
              <w:spacing w:line="440" w:lineRule="exact"/>
              <w:jc w:val="center"/>
              <w:rPr>
                <w:rFonts w:hint="eastAsia" w:ascii="宋体" w:hAnsi="宋体" w:eastAsia="宋体" w:cs="宋体"/>
                <w:color w:val="auto"/>
                <w:sz w:val="21"/>
                <w:szCs w:val="21"/>
              </w:rPr>
            </w:pPr>
          </w:p>
        </w:tc>
        <w:tc>
          <w:tcPr>
            <w:tcW w:w="970" w:type="dxa"/>
            <w:noWrap w:val="0"/>
            <w:vAlign w:val="top"/>
          </w:tcPr>
          <w:p w14:paraId="555AFF54">
            <w:pPr>
              <w:spacing w:line="440" w:lineRule="exact"/>
              <w:jc w:val="center"/>
              <w:rPr>
                <w:rFonts w:hint="eastAsia" w:ascii="宋体" w:hAnsi="宋体" w:eastAsia="宋体" w:cs="宋体"/>
                <w:color w:val="auto"/>
                <w:sz w:val="21"/>
                <w:szCs w:val="21"/>
              </w:rPr>
            </w:pPr>
          </w:p>
        </w:tc>
        <w:tc>
          <w:tcPr>
            <w:tcW w:w="1460" w:type="dxa"/>
            <w:noWrap w:val="0"/>
            <w:vAlign w:val="top"/>
          </w:tcPr>
          <w:p w14:paraId="042302E6">
            <w:pPr>
              <w:spacing w:line="440" w:lineRule="exact"/>
              <w:jc w:val="center"/>
              <w:rPr>
                <w:rFonts w:hint="eastAsia" w:ascii="宋体" w:hAnsi="宋体" w:eastAsia="宋体" w:cs="宋体"/>
                <w:color w:val="auto"/>
                <w:sz w:val="21"/>
                <w:szCs w:val="21"/>
              </w:rPr>
            </w:pPr>
          </w:p>
        </w:tc>
        <w:tc>
          <w:tcPr>
            <w:tcW w:w="970" w:type="dxa"/>
            <w:noWrap w:val="0"/>
            <w:vAlign w:val="top"/>
          </w:tcPr>
          <w:p w14:paraId="7C43EC84">
            <w:pPr>
              <w:spacing w:line="440" w:lineRule="exact"/>
              <w:jc w:val="center"/>
              <w:rPr>
                <w:rFonts w:hint="eastAsia" w:ascii="宋体" w:hAnsi="宋体" w:eastAsia="宋体" w:cs="宋体"/>
                <w:color w:val="auto"/>
                <w:sz w:val="21"/>
                <w:szCs w:val="21"/>
              </w:rPr>
            </w:pPr>
          </w:p>
        </w:tc>
        <w:tc>
          <w:tcPr>
            <w:tcW w:w="974" w:type="dxa"/>
            <w:noWrap w:val="0"/>
            <w:vAlign w:val="top"/>
          </w:tcPr>
          <w:p w14:paraId="09706D7C">
            <w:pPr>
              <w:spacing w:line="440" w:lineRule="exact"/>
              <w:jc w:val="center"/>
              <w:rPr>
                <w:rFonts w:hint="eastAsia" w:ascii="宋体" w:hAnsi="宋体" w:eastAsia="宋体" w:cs="宋体"/>
                <w:color w:val="auto"/>
                <w:sz w:val="21"/>
                <w:szCs w:val="21"/>
              </w:rPr>
            </w:pPr>
          </w:p>
        </w:tc>
        <w:tc>
          <w:tcPr>
            <w:tcW w:w="980" w:type="dxa"/>
            <w:noWrap w:val="0"/>
            <w:vAlign w:val="top"/>
          </w:tcPr>
          <w:p w14:paraId="4C17D317">
            <w:pPr>
              <w:spacing w:line="440" w:lineRule="exact"/>
              <w:jc w:val="center"/>
              <w:rPr>
                <w:rFonts w:hint="eastAsia" w:ascii="宋体" w:hAnsi="宋体" w:eastAsia="宋体" w:cs="宋体"/>
                <w:color w:val="auto"/>
                <w:sz w:val="21"/>
                <w:szCs w:val="21"/>
              </w:rPr>
            </w:pPr>
          </w:p>
        </w:tc>
        <w:tc>
          <w:tcPr>
            <w:tcW w:w="1671" w:type="dxa"/>
            <w:noWrap w:val="0"/>
            <w:vAlign w:val="top"/>
          </w:tcPr>
          <w:p w14:paraId="713E0C50">
            <w:pPr>
              <w:spacing w:line="440" w:lineRule="exact"/>
              <w:jc w:val="center"/>
              <w:rPr>
                <w:rFonts w:hint="eastAsia" w:ascii="宋体" w:hAnsi="宋体" w:eastAsia="宋体" w:cs="宋体"/>
                <w:color w:val="auto"/>
                <w:sz w:val="21"/>
                <w:szCs w:val="21"/>
              </w:rPr>
            </w:pPr>
          </w:p>
        </w:tc>
      </w:tr>
      <w:tr w14:paraId="79E65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747F43DD">
            <w:pPr>
              <w:spacing w:line="440" w:lineRule="exact"/>
              <w:jc w:val="center"/>
              <w:rPr>
                <w:rFonts w:hint="eastAsia" w:ascii="宋体" w:hAnsi="宋体" w:eastAsia="宋体" w:cs="宋体"/>
                <w:color w:val="auto"/>
                <w:sz w:val="21"/>
                <w:szCs w:val="21"/>
              </w:rPr>
            </w:pPr>
          </w:p>
        </w:tc>
        <w:tc>
          <w:tcPr>
            <w:tcW w:w="974" w:type="dxa"/>
            <w:noWrap w:val="0"/>
            <w:vAlign w:val="top"/>
          </w:tcPr>
          <w:p w14:paraId="1B886D9B">
            <w:pPr>
              <w:spacing w:line="440" w:lineRule="exact"/>
              <w:jc w:val="center"/>
              <w:rPr>
                <w:rFonts w:hint="eastAsia" w:ascii="宋体" w:hAnsi="宋体" w:eastAsia="宋体" w:cs="宋体"/>
                <w:color w:val="auto"/>
                <w:sz w:val="21"/>
                <w:szCs w:val="21"/>
              </w:rPr>
            </w:pPr>
          </w:p>
        </w:tc>
        <w:tc>
          <w:tcPr>
            <w:tcW w:w="970" w:type="dxa"/>
            <w:noWrap w:val="0"/>
            <w:vAlign w:val="top"/>
          </w:tcPr>
          <w:p w14:paraId="517EDAF6">
            <w:pPr>
              <w:spacing w:line="440" w:lineRule="exact"/>
              <w:jc w:val="center"/>
              <w:rPr>
                <w:rFonts w:hint="eastAsia" w:ascii="宋体" w:hAnsi="宋体" w:eastAsia="宋体" w:cs="宋体"/>
                <w:color w:val="auto"/>
                <w:sz w:val="21"/>
                <w:szCs w:val="21"/>
              </w:rPr>
            </w:pPr>
          </w:p>
        </w:tc>
        <w:tc>
          <w:tcPr>
            <w:tcW w:w="1460" w:type="dxa"/>
            <w:noWrap w:val="0"/>
            <w:vAlign w:val="top"/>
          </w:tcPr>
          <w:p w14:paraId="402D3E2B">
            <w:pPr>
              <w:spacing w:line="440" w:lineRule="exact"/>
              <w:jc w:val="center"/>
              <w:rPr>
                <w:rFonts w:hint="eastAsia" w:ascii="宋体" w:hAnsi="宋体" w:eastAsia="宋体" w:cs="宋体"/>
                <w:color w:val="auto"/>
                <w:sz w:val="21"/>
                <w:szCs w:val="21"/>
              </w:rPr>
            </w:pPr>
          </w:p>
        </w:tc>
        <w:tc>
          <w:tcPr>
            <w:tcW w:w="970" w:type="dxa"/>
            <w:noWrap w:val="0"/>
            <w:vAlign w:val="top"/>
          </w:tcPr>
          <w:p w14:paraId="58693CBD">
            <w:pPr>
              <w:spacing w:line="440" w:lineRule="exact"/>
              <w:jc w:val="center"/>
              <w:rPr>
                <w:rFonts w:hint="eastAsia" w:ascii="宋体" w:hAnsi="宋体" w:eastAsia="宋体" w:cs="宋体"/>
                <w:color w:val="auto"/>
                <w:sz w:val="21"/>
                <w:szCs w:val="21"/>
              </w:rPr>
            </w:pPr>
          </w:p>
        </w:tc>
        <w:tc>
          <w:tcPr>
            <w:tcW w:w="974" w:type="dxa"/>
            <w:noWrap w:val="0"/>
            <w:vAlign w:val="top"/>
          </w:tcPr>
          <w:p w14:paraId="3DC1BE91">
            <w:pPr>
              <w:spacing w:line="440" w:lineRule="exact"/>
              <w:jc w:val="center"/>
              <w:rPr>
                <w:rFonts w:hint="eastAsia" w:ascii="宋体" w:hAnsi="宋体" w:eastAsia="宋体" w:cs="宋体"/>
                <w:color w:val="auto"/>
                <w:sz w:val="21"/>
                <w:szCs w:val="21"/>
              </w:rPr>
            </w:pPr>
          </w:p>
        </w:tc>
        <w:tc>
          <w:tcPr>
            <w:tcW w:w="980" w:type="dxa"/>
            <w:noWrap w:val="0"/>
            <w:vAlign w:val="top"/>
          </w:tcPr>
          <w:p w14:paraId="36970769">
            <w:pPr>
              <w:spacing w:line="440" w:lineRule="exact"/>
              <w:jc w:val="center"/>
              <w:rPr>
                <w:rFonts w:hint="eastAsia" w:ascii="宋体" w:hAnsi="宋体" w:eastAsia="宋体" w:cs="宋体"/>
                <w:color w:val="auto"/>
                <w:sz w:val="21"/>
                <w:szCs w:val="21"/>
              </w:rPr>
            </w:pPr>
          </w:p>
        </w:tc>
        <w:tc>
          <w:tcPr>
            <w:tcW w:w="1671" w:type="dxa"/>
            <w:noWrap w:val="0"/>
            <w:vAlign w:val="top"/>
          </w:tcPr>
          <w:p w14:paraId="63073144">
            <w:pPr>
              <w:spacing w:line="440" w:lineRule="exact"/>
              <w:jc w:val="center"/>
              <w:rPr>
                <w:rFonts w:hint="eastAsia" w:ascii="宋体" w:hAnsi="宋体" w:eastAsia="宋体" w:cs="宋体"/>
                <w:color w:val="auto"/>
                <w:sz w:val="21"/>
                <w:szCs w:val="21"/>
              </w:rPr>
            </w:pPr>
          </w:p>
        </w:tc>
      </w:tr>
      <w:tr w14:paraId="18B9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3B94E222">
            <w:pPr>
              <w:spacing w:line="440" w:lineRule="exact"/>
              <w:jc w:val="center"/>
              <w:rPr>
                <w:rFonts w:hint="eastAsia" w:ascii="宋体" w:hAnsi="宋体" w:eastAsia="宋体" w:cs="宋体"/>
                <w:color w:val="auto"/>
                <w:sz w:val="21"/>
                <w:szCs w:val="21"/>
              </w:rPr>
            </w:pPr>
          </w:p>
        </w:tc>
        <w:tc>
          <w:tcPr>
            <w:tcW w:w="974" w:type="dxa"/>
            <w:noWrap w:val="0"/>
            <w:vAlign w:val="top"/>
          </w:tcPr>
          <w:p w14:paraId="6E69F69B">
            <w:pPr>
              <w:spacing w:line="440" w:lineRule="exact"/>
              <w:jc w:val="center"/>
              <w:rPr>
                <w:rFonts w:hint="eastAsia" w:ascii="宋体" w:hAnsi="宋体" w:eastAsia="宋体" w:cs="宋体"/>
                <w:color w:val="auto"/>
                <w:sz w:val="21"/>
                <w:szCs w:val="21"/>
              </w:rPr>
            </w:pPr>
          </w:p>
        </w:tc>
        <w:tc>
          <w:tcPr>
            <w:tcW w:w="970" w:type="dxa"/>
            <w:noWrap w:val="0"/>
            <w:vAlign w:val="top"/>
          </w:tcPr>
          <w:p w14:paraId="5B558DCB">
            <w:pPr>
              <w:spacing w:line="440" w:lineRule="exact"/>
              <w:jc w:val="center"/>
              <w:rPr>
                <w:rFonts w:hint="eastAsia" w:ascii="宋体" w:hAnsi="宋体" w:eastAsia="宋体" w:cs="宋体"/>
                <w:color w:val="auto"/>
                <w:sz w:val="21"/>
                <w:szCs w:val="21"/>
              </w:rPr>
            </w:pPr>
          </w:p>
        </w:tc>
        <w:tc>
          <w:tcPr>
            <w:tcW w:w="1460" w:type="dxa"/>
            <w:noWrap w:val="0"/>
            <w:vAlign w:val="top"/>
          </w:tcPr>
          <w:p w14:paraId="04CD09E8">
            <w:pPr>
              <w:spacing w:line="440" w:lineRule="exact"/>
              <w:jc w:val="center"/>
              <w:rPr>
                <w:rFonts w:hint="eastAsia" w:ascii="宋体" w:hAnsi="宋体" w:eastAsia="宋体" w:cs="宋体"/>
                <w:color w:val="auto"/>
                <w:sz w:val="21"/>
                <w:szCs w:val="21"/>
              </w:rPr>
            </w:pPr>
          </w:p>
        </w:tc>
        <w:tc>
          <w:tcPr>
            <w:tcW w:w="970" w:type="dxa"/>
            <w:noWrap w:val="0"/>
            <w:vAlign w:val="top"/>
          </w:tcPr>
          <w:p w14:paraId="74B0E4F1">
            <w:pPr>
              <w:spacing w:line="440" w:lineRule="exact"/>
              <w:jc w:val="center"/>
              <w:rPr>
                <w:rFonts w:hint="eastAsia" w:ascii="宋体" w:hAnsi="宋体" w:eastAsia="宋体" w:cs="宋体"/>
                <w:color w:val="auto"/>
                <w:sz w:val="21"/>
                <w:szCs w:val="21"/>
              </w:rPr>
            </w:pPr>
          </w:p>
        </w:tc>
        <w:tc>
          <w:tcPr>
            <w:tcW w:w="974" w:type="dxa"/>
            <w:noWrap w:val="0"/>
            <w:vAlign w:val="top"/>
          </w:tcPr>
          <w:p w14:paraId="45591BD4">
            <w:pPr>
              <w:spacing w:line="440" w:lineRule="exact"/>
              <w:jc w:val="center"/>
              <w:rPr>
                <w:rFonts w:hint="eastAsia" w:ascii="宋体" w:hAnsi="宋体" w:eastAsia="宋体" w:cs="宋体"/>
                <w:color w:val="auto"/>
                <w:sz w:val="21"/>
                <w:szCs w:val="21"/>
              </w:rPr>
            </w:pPr>
          </w:p>
        </w:tc>
        <w:tc>
          <w:tcPr>
            <w:tcW w:w="980" w:type="dxa"/>
            <w:noWrap w:val="0"/>
            <w:vAlign w:val="top"/>
          </w:tcPr>
          <w:p w14:paraId="71FE38B0">
            <w:pPr>
              <w:spacing w:line="440" w:lineRule="exact"/>
              <w:jc w:val="center"/>
              <w:rPr>
                <w:rFonts w:hint="eastAsia" w:ascii="宋体" w:hAnsi="宋体" w:eastAsia="宋体" w:cs="宋体"/>
                <w:color w:val="auto"/>
                <w:sz w:val="21"/>
                <w:szCs w:val="21"/>
              </w:rPr>
            </w:pPr>
          </w:p>
        </w:tc>
        <w:tc>
          <w:tcPr>
            <w:tcW w:w="1671" w:type="dxa"/>
            <w:noWrap w:val="0"/>
            <w:vAlign w:val="top"/>
          </w:tcPr>
          <w:p w14:paraId="0B52A263">
            <w:pPr>
              <w:spacing w:line="440" w:lineRule="exact"/>
              <w:jc w:val="center"/>
              <w:rPr>
                <w:rFonts w:hint="eastAsia" w:ascii="宋体" w:hAnsi="宋体" w:eastAsia="宋体" w:cs="宋体"/>
                <w:color w:val="auto"/>
                <w:sz w:val="21"/>
                <w:szCs w:val="21"/>
              </w:rPr>
            </w:pPr>
          </w:p>
        </w:tc>
      </w:tr>
      <w:tr w14:paraId="79169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404E0850">
            <w:pPr>
              <w:spacing w:line="440" w:lineRule="exact"/>
              <w:jc w:val="center"/>
              <w:rPr>
                <w:rFonts w:hint="eastAsia" w:ascii="宋体" w:hAnsi="宋体" w:eastAsia="宋体" w:cs="宋体"/>
                <w:color w:val="auto"/>
                <w:sz w:val="21"/>
                <w:szCs w:val="21"/>
              </w:rPr>
            </w:pPr>
          </w:p>
        </w:tc>
        <w:tc>
          <w:tcPr>
            <w:tcW w:w="974" w:type="dxa"/>
            <w:noWrap w:val="0"/>
            <w:vAlign w:val="top"/>
          </w:tcPr>
          <w:p w14:paraId="365AF28D">
            <w:pPr>
              <w:spacing w:line="440" w:lineRule="exact"/>
              <w:jc w:val="center"/>
              <w:rPr>
                <w:rFonts w:hint="eastAsia" w:ascii="宋体" w:hAnsi="宋体" w:eastAsia="宋体" w:cs="宋体"/>
                <w:color w:val="auto"/>
                <w:sz w:val="21"/>
                <w:szCs w:val="21"/>
              </w:rPr>
            </w:pPr>
          </w:p>
        </w:tc>
        <w:tc>
          <w:tcPr>
            <w:tcW w:w="970" w:type="dxa"/>
            <w:noWrap w:val="0"/>
            <w:vAlign w:val="top"/>
          </w:tcPr>
          <w:p w14:paraId="7254FC3D">
            <w:pPr>
              <w:spacing w:line="440" w:lineRule="exact"/>
              <w:jc w:val="center"/>
              <w:rPr>
                <w:rFonts w:hint="eastAsia" w:ascii="宋体" w:hAnsi="宋体" w:eastAsia="宋体" w:cs="宋体"/>
                <w:color w:val="auto"/>
                <w:sz w:val="21"/>
                <w:szCs w:val="21"/>
              </w:rPr>
            </w:pPr>
          </w:p>
        </w:tc>
        <w:tc>
          <w:tcPr>
            <w:tcW w:w="1460" w:type="dxa"/>
            <w:noWrap w:val="0"/>
            <w:vAlign w:val="top"/>
          </w:tcPr>
          <w:p w14:paraId="5F7A3643">
            <w:pPr>
              <w:spacing w:line="440" w:lineRule="exact"/>
              <w:jc w:val="center"/>
              <w:rPr>
                <w:rFonts w:hint="eastAsia" w:ascii="宋体" w:hAnsi="宋体" w:eastAsia="宋体" w:cs="宋体"/>
                <w:color w:val="auto"/>
                <w:sz w:val="21"/>
                <w:szCs w:val="21"/>
              </w:rPr>
            </w:pPr>
          </w:p>
        </w:tc>
        <w:tc>
          <w:tcPr>
            <w:tcW w:w="970" w:type="dxa"/>
            <w:noWrap w:val="0"/>
            <w:vAlign w:val="top"/>
          </w:tcPr>
          <w:p w14:paraId="2EA2F909">
            <w:pPr>
              <w:spacing w:line="440" w:lineRule="exact"/>
              <w:jc w:val="center"/>
              <w:rPr>
                <w:rFonts w:hint="eastAsia" w:ascii="宋体" w:hAnsi="宋体" w:eastAsia="宋体" w:cs="宋体"/>
                <w:color w:val="auto"/>
                <w:sz w:val="21"/>
                <w:szCs w:val="21"/>
              </w:rPr>
            </w:pPr>
          </w:p>
        </w:tc>
        <w:tc>
          <w:tcPr>
            <w:tcW w:w="974" w:type="dxa"/>
            <w:noWrap w:val="0"/>
            <w:vAlign w:val="top"/>
          </w:tcPr>
          <w:p w14:paraId="305F88B1">
            <w:pPr>
              <w:spacing w:line="440" w:lineRule="exact"/>
              <w:jc w:val="center"/>
              <w:rPr>
                <w:rFonts w:hint="eastAsia" w:ascii="宋体" w:hAnsi="宋体" w:eastAsia="宋体" w:cs="宋体"/>
                <w:color w:val="auto"/>
                <w:sz w:val="21"/>
                <w:szCs w:val="21"/>
              </w:rPr>
            </w:pPr>
          </w:p>
        </w:tc>
        <w:tc>
          <w:tcPr>
            <w:tcW w:w="980" w:type="dxa"/>
            <w:noWrap w:val="0"/>
            <w:vAlign w:val="top"/>
          </w:tcPr>
          <w:p w14:paraId="333E127B">
            <w:pPr>
              <w:spacing w:line="440" w:lineRule="exact"/>
              <w:jc w:val="center"/>
              <w:rPr>
                <w:rFonts w:hint="eastAsia" w:ascii="宋体" w:hAnsi="宋体" w:eastAsia="宋体" w:cs="宋体"/>
                <w:color w:val="auto"/>
                <w:sz w:val="21"/>
                <w:szCs w:val="21"/>
              </w:rPr>
            </w:pPr>
          </w:p>
        </w:tc>
        <w:tc>
          <w:tcPr>
            <w:tcW w:w="1671" w:type="dxa"/>
            <w:noWrap w:val="0"/>
            <w:vAlign w:val="top"/>
          </w:tcPr>
          <w:p w14:paraId="660921BA">
            <w:pPr>
              <w:spacing w:line="440" w:lineRule="exact"/>
              <w:jc w:val="center"/>
              <w:rPr>
                <w:rFonts w:hint="eastAsia" w:ascii="宋体" w:hAnsi="宋体" w:eastAsia="宋体" w:cs="宋体"/>
                <w:color w:val="auto"/>
                <w:sz w:val="21"/>
                <w:szCs w:val="21"/>
              </w:rPr>
            </w:pPr>
          </w:p>
        </w:tc>
      </w:tr>
      <w:tr w14:paraId="2A7A1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2FF145DD">
            <w:pPr>
              <w:spacing w:line="440" w:lineRule="exact"/>
              <w:jc w:val="center"/>
              <w:rPr>
                <w:rFonts w:hint="eastAsia" w:ascii="宋体" w:hAnsi="宋体" w:eastAsia="宋体" w:cs="宋体"/>
                <w:color w:val="auto"/>
                <w:sz w:val="21"/>
                <w:szCs w:val="21"/>
              </w:rPr>
            </w:pPr>
          </w:p>
        </w:tc>
        <w:tc>
          <w:tcPr>
            <w:tcW w:w="974" w:type="dxa"/>
            <w:noWrap w:val="0"/>
            <w:vAlign w:val="top"/>
          </w:tcPr>
          <w:p w14:paraId="39E9D914">
            <w:pPr>
              <w:spacing w:line="440" w:lineRule="exact"/>
              <w:jc w:val="center"/>
              <w:rPr>
                <w:rFonts w:hint="eastAsia" w:ascii="宋体" w:hAnsi="宋体" w:eastAsia="宋体" w:cs="宋体"/>
                <w:color w:val="auto"/>
                <w:sz w:val="21"/>
                <w:szCs w:val="21"/>
              </w:rPr>
            </w:pPr>
          </w:p>
        </w:tc>
        <w:tc>
          <w:tcPr>
            <w:tcW w:w="970" w:type="dxa"/>
            <w:noWrap w:val="0"/>
            <w:vAlign w:val="top"/>
          </w:tcPr>
          <w:p w14:paraId="12637F6F">
            <w:pPr>
              <w:spacing w:line="440" w:lineRule="exact"/>
              <w:jc w:val="center"/>
              <w:rPr>
                <w:rFonts w:hint="eastAsia" w:ascii="宋体" w:hAnsi="宋体" w:eastAsia="宋体" w:cs="宋体"/>
                <w:color w:val="auto"/>
                <w:sz w:val="21"/>
                <w:szCs w:val="21"/>
              </w:rPr>
            </w:pPr>
          </w:p>
        </w:tc>
        <w:tc>
          <w:tcPr>
            <w:tcW w:w="1460" w:type="dxa"/>
            <w:noWrap w:val="0"/>
            <w:vAlign w:val="top"/>
          </w:tcPr>
          <w:p w14:paraId="4E157D2D">
            <w:pPr>
              <w:spacing w:line="440" w:lineRule="exact"/>
              <w:jc w:val="center"/>
              <w:rPr>
                <w:rFonts w:hint="eastAsia" w:ascii="宋体" w:hAnsi="宋体" w:eastAsia="宋体" w:cs="宋体"/>
                <w:color w:val="auto"/>
                <w:sz w:val="21"/>
                <w:szCs w:val="21"/>
              </w:rPr>
            </w:pPr>
          </w:p>
        </w:tc>
        <w:tc>
          <w:tcPr>
            <w:tcW w:w="970" w:type="dxa"/>
            <w:noWrap w:val="0"/>
            <w:vAlign w:val="top"/>
          </w:tcPr>
          <w:p w14:paraId="3961637D">
            <w:pPr>
              <w:spacing w:line="440" w:lineRule="exact"/>
              <w:jc w:val="center"/>
              <w:rPr>
                <w:rFonts w:hint="eastAsia" w:ascii="宋体" w:hAnsi="宋体" w:eastAsia="宋体" w:cs="宋体"/>
                <w:color w:val="auto"/>
                <w:sz w:val="21"/>
                <w:szCs w:val="21"/>
              </w:rPr>
            </w:pPr>
          </w:p>
        </w:tc>
        <w:tc>
          <w:tcPr>
            <w:tcW w:w="974" w:type="dxa"/>
            <w:noWrap w:val="0"/>
            <w:vAlign w:val="top"/>
          </w:tcPr>
          <w:p w14:paraId="2685752B">
            <w:pPr>
              <w:spacing w:line="440" w:lineRule="exact"/>
              <w:jc w:val="center"/>
              <w:rPr>
                <w:rFonts w:hint="eastAsia" w:ascii="宋体" w:hAnsi="宋体" w:eastAsia="宋体" w:cs="宋体"/>
                <w:color w:val="auto"/>
                <w:sz w:val="21"/>
                <w:szCs w:val="21"/>
              </w:rPr>
            </w:pPr>
          </w:p>
        </w:tc>
        <w:tc>
          <w:tcPr>
            <w:tcW w:w="980" w:type="dxa"/>
            <w:noWrap w:val="0"/>
            <w:vAlign w:val="top"/>
          </w:tcPr>
          <w:p w14:paraId="2EFF70D0">
            <w:pPr>
              <w:spacing w:line="440" w:lineRule="exact"/>
              <w:jc w:val="center"/>
              <w:rPr>
                <w:rFonts w:hint="eastAsia" w:ascii="宋体" w:hAnsi="宋体" w:eastAsia="宋体" w:cs="宋体"/>
                <w:color w:val="auto"/>
                <w:sz w:val="21"/>
                <w:szCs w:val="21"/>
              </w:rPr>
            </w:pPr>
          </w:p>
        </w:tc>
        <w:tc>
          <w:tcPr>
            <w:tcW w:w="1671" w:type="dxa"/>
            <w:noWrap w:val="0"/>
            <w:vAlign w:val="top"/>
          </w:tcPr>
          <w:p w14:paraId="3B4BB90E">
            <w:pPr>
              <w:spacing w:line="440" w:lineRule="exact"/>
              <w:jc w:val="center"/>
              <w:rPr>
                <w:rFonts w:hint="eastAsia" w:ascii="宋体" w:hAnsi="宋体" w:eastAsia="宋体" w:cs="宋体"/>
                <w:color w:val="auto"/>
                <w:sz w:val="21"/>
                <w:szCs w:val="21"/>
              </w:rPr>
            </w:pPr>
          </w:p>
        </w:tc>
      </w:tr>
      <w:tr w14:paraId="14900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38A0EA11">
            <w:pPr>
              <w:spacing w:line="440" w:lineRule="exact"/>
              <w:jc w:val="center"/>
              <w:rPr>
                <w:rFonts w:hint="eastAsia" w:ascii="宋体" w:hAnsi="宋体" w:eastAsia="宋体" w:cs="宋体"/>
                <w:color w:val="auto"/>
                <w:sz w:val="21"/>
                <w:szCs w:val="21"/>
              </w:rPr>
            </w:pPr>
          </w:p>
        </w:tc>
        <w:tc>
          <w:tcPr>
            <w:tcW w:w="974" w:type="dxa"/>
            <w:noWrap w:val="0"/>
            <w:vAlign w:val="top"/>
          </w:tcPr>
          <w:p w14:paraId="1AFA444D">
            <w:pPr>
              <w:spacing w:line="440" w:lineRule="exact"/>
              <w:jc w:val="center"/>
              <w:rPr>
                <w:rFonts w:hint="eastAsia" w:ascii="宋体" w:hAnsi="宋体" w:eastAsia="宋体" w:cs="宋体"/>
                <w:color w:val="auto"/>
                <w:sz w:val="21"/>
                <w:szCs w:val="21"/>
              </w:rPr>
            </w:pPr>
          </w:p>
        </w:tc>
        <w:tc>
          <w:tcPr>
            <w:tcW w:w="970" w:type="dxa"/>
            <w:noWrap w:val="0"/>
            <w:vAlign w:val="top"/>
          </w:tcPr>
          <w:p w14:paraId="262B6385">
            <w:pPr>
              <w:spacing w:line="440" w:lineRule="exact"/>
              <w:jc w:val="center"/>
              <w:rPr>
                <w:rFonts w:hint="eastAsia" w:ascii="宋体" w:hAnsi="宋体" w:eastAsia="宋体" w:cs="宋体"/>
                <w:color w:val="auto"/>
                <w:sz w:val="21"/>
                <w:szCs w:val="21"/>
              </w:rPr>
            </w:pPr>
          </w:p>
        </w:tc>
        <w:tc>
          <w:tcPr>
            <w:tcW w:w="1460" w:type="dxa"/>
            <w:noWrap w:val="0"/>
            <w:vAlign w:val="top"/>
          </w:tcPr>
          <w:p w14:paraId="28586C2E">
            <w:pPr>
              <w:spacing w:line="440" w:lineRule="exact"/>
              <w:jc w:val="center"/>
              <w:rPr>
                <w:rFonts w:hint="eastAsia" w:ascii="宋体" w:hAnsi="宋体" w:eastAsia="宋体" w:cs="宋体"/>
                <w:color w:val="auto"/>
                <w:sz w:val="21"/>
                <w:szCs w:val="21"/>
              </w:rPr>
            </w:pPr>
          </w:p>
        </w:tc>
        <w:tc>
          <w:tcPr>
            <w:tcW w:w="970" w:type="dxa"/>
            <w:noWrap w:val="0"/>
            <w:vAlign w:val="top"/>
          </w:tcPr>
          <w:p w14:paraId="276689DE">
            <w:pPr>
              <w:spacing w:line="440" w:lineRule="exact"/>
              <w:jc w:val="center"/>
              <w:rPr>
                <w:rFonts w:hint="eastAsia" w:ascii="宋体" w:hAnsi="宋体" w:eastAsia="宋体" w:cs="宋体"/>
                <w:color w:val="auto"/>
                <w:sz w:val="21"/>
                <w:szCs w:val="21"/>
              </w:rPr>
            </w:pPr>
          </w:p>
        </w:tc>
        <w:tc>
          <w:tcPr>
            <w:tcW w:w="974" w:type="dxa"/>
            <w:noWrap w:val="0"/>
            <w:vAlign w:val="top"/>
          </w:tcPr>
          <w:p w14:paraId="390B4546">
            <w:pPr>
              <w:spacing w:line="440" w:lineRule="exact"/>
              <w:jc w:val="center"/>
              <w:rPr>
                <w:rFonts w:hint="eastAsia" w:ascii="宋体" w:hAnsi="宋体" w:eastAsia="宋体" w:cs="宋体"/>
                <w:color w:val="auto"/>
                <w:sz w:val="21"/>
                <w:szCs w:val="21"/>
              </w:rPr>
            </w:pPr>
          </w:p>
        </w:tc>
        <w:tc>
          <w:tcPr>
            <w:tcW w:w="980" w:type="dxa"/>
            <w:noWrap w:val="0"/>
            <w:vAlign w:val="top"/>
          </w:tcPr>
          <w:p w14:paraId="6AC07E87">
            <w:pPr>
              <w:spacing w:line="440" w:lineRule="exact"/>
              <w:jc w:val="center"/>
              <w:rPr>
                <w:rFonts w:hint="eastAsia" w:ascii="宋体" w:hAnsi="宋体" w:eastAsia="宋体" w:cs="宋体"/>
                <w:color w:val="auto"/>
                <w:sz w:val="21"/>
                <w:szCs w:val="21"/>
              </w:rPr>
            </w:pPr>
          </w:p>
        </w:tc>
        <w:tc>
          <w:tcPr>
            <w:tcW w:w="1671" w:type="dxa"/>
            <w:noWrap w:val="0"/>
            <w:vAlign w:val="top"/>
          </w:tcPr>
          <w:p w14:paraId="7F422276">
            <w:pPr>
              <w:spacing w:line="440" w:lineRule="exact"/>
              <w:jc w:val="center"/>
              <w:rPr>
                <w:rFonts w:hint="eastAsia" w:ascii="宋体" w:hAnsi="宋体" w:eastAsia="宋体" w:cs="宋体"/>
                <w:color w:val="auto"/>
                <w:sz w:val="21"/>
                <w:szCs w:val="21"/>
              </w:rPr>
            </w:pPr>
          </w:p>
        </w:tc>
      </w:tr>
      <w:tr w14:paraId="5C02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3" w:type="dxa"/>
            <w:noWrap w:val="0"/>
            <w:vAlign w:val="top"/>
          </w:tcPr>
          <w:p w14:paraId="1D00B992">
            <w:pPr>
              <w:spacing w:line="440" w:lineRule="exact"/>
              <w:jc w:val="center"/>
              <w:rPr>
                <w:rFonts w:hint="eastAsia" w:ascii="宋体" w:hAnsi="宋体" w:eastAsia="宋体" w:cs="宋体"/>
                <w:color w:val="auto"/>
                <w:sz w:val="21"/>
                <w:szCs w:val="21"/>
              </w:rPr>
            </w:pPr>
          </w:p>
        </w:tc>
        <w:tc>
          <w:tcPr>
            <w:tcW w:w="974" w:type="dxa"/>
            <w:noWrap w:val="0"/>
            <w:vAlign w:val="top"/>
          </w:tcPr>
          <w:p w14:paraId="72879EA8">
            <w:pPr>
              <w:spacing w:line="440" w:lineRule="exact"/>
              <w:jc w:val="center"/>
              <w:rPr>
                <w:rFonts w:hint="eastAsia" w:ascii="宋体" w:hAnsi="宋体" w:eastAsia="宋体" w:cs="宋体"/>
                <w:color w:val="auto"/>
                <w:sz w:val="21"/>
                <w:szCs w:val="21"/>
              </w:rPr>
            </w:pPr>
          </w:p>
        </w:tc>
        <w:tc>
          <w:tcPr>
            <w:tcW w:w="970" w:type="dxa"/>
            <w:noWrap w:val="0"/>
            <w:vAlign w:val="top"/>
          </w:tcPr>
          <w:p w14:paraId="5503DE9C">
            <w:pPr>
              <w:spacing w:line="440" w:lineRule="exact"/>
              <w:jc w:val="center"/>
              <w:rPr>
                <w:rFonts w:hint="eastAsia" w:ascii="宋体" w:hAnsi="宋体" w:eastAsia="宋体" w:cs="宋体"/>
                <w:color w:val="auto"/>
                <w:sz w:val="21"/>
                <w:szCs w:val="21"/>
              </w:rPr>
            </w:pPr>
          </w:p>
        </w:tc>
        <w:tc>
          <w:tcPr>
            <w:tcW w:w="1460" w:type="dxa"/>
            <w:noWrap w:val="0"/>
            <w:vAlign w:val="top"/>
          </w:tcPr>
          <w:p w14:paraId="3180F155">
            <w:pPr>
              <w:spacing w:line="440" w:lineRule="exact"/>
              <w:jc w:val="center"/>
              <w:rPr>
                <w:rFonts w:hint="eastAsia" w:ascii="宋体" w:hAnsi="宋体" w:eastAsia="宋体" w:cs="宋体"/>
                <w:color w:val="auto"/>
                <w:sz w:val="21"/>
                <w:szCs w:val="21"/>
              </w:rPr>
            </w:pPr>
          </w:p>
        </w:tc>
        <w:tc>
          <w:tcPr>
            <w:tcW w:w="970" w:type="dxa"/>
            <w:noWrap w:val="0"/>
            <w:vAlign w:val="top"/>
          </w:tcPr>
          <w:p w14:paraId="4F0EA735">
            <w:pPr>
              <w:spacing w:line="440" w:lineRule="exact"/>
              <w:jc w:val="center"/>
              <w:rPr>
                <w:rFonts w:hint="eastAsia" w:ascii="宋体" w:hAnsi="宋体" w:eastAsia="宋体" w:cs="宋体"/>
                <w:color w:val="auto"/>
                <w:sz w:val="21"/>
                <w:szCs w:val="21"/>
              </w:rPr>
            </w:pPr>
          </w:p>
        </w:tc>
        <w:tc>
          <w:tcPr>
            <w:tcW w:w="974" w:type="dxa"/>
            <w:noWrap w:val="0"/>
            <w:vAlign w:val="top"/>
          </w:tcPr>
          <w:p w14:paraId="4504CEDD">
            <w:pPr>
              <w:spacing w:line="440" w:lineRule="exact"/>
              <w:jc w:val="center"/>
              <w:rPr>
                <w:rFonts w:hint="eastAsia" w:ascii="宋体" w:hAnsi="宋体" w:eastAsia="宋体" w:cs="宋体"/>
                <w:color w:val="auto"/>
                <w:sz w:val="21"/>
                <w:szCs w:val="21"/>
              </w:rPr>
            </w:pPr>
          </w:p>
        </w:tc>
        <w:tc>
          <w:tcPr>
            <w:tcW w:w="980" w:type="dxa"/>
            <w:noWrap w:val="0"/>
            <w:vAlign w:val="top"/>
          </w:tcPr>
          <w:p w14:paraId="231AFC68">
            <w:pPr>
              <w:spacing w:line="440" w:lineRule="exact"/>
              <w:jc w:val="center"/>
              <w:rPr>
                <w:rFonts w:hint="eastAsia" w:ascii="宋体" w:hAnsi="宋体" w:eastAsia="宋体" w:cs="宋体"/>
                <w:color w:val="auto"/>
                <w:sz w:val="21"/>
                <w:szCs w:val="21"/>
              </w:rPr>
            </w:pPr>
          </w:p>
        </w:tc>
        <w:tc>
          <w:tcPr>
            <w:tcW w:w="1671" w:type="dxa"/>
            <w:noWrap w:val="0"/>
            <w:vAlign w:val="top"/>
          </w:tcPr>
          <w:p w14:paraId="6E783733">
            <w:pPr>
              <w:spacing w:line="440" w:lineRule="exact"/>
              <w:jc w:val="center"/>
              <w:rPr>
                <w:rFonts w:hint="eastAsia" w:ascii="宋体" w:hAnsi="宋体" w:eastAsia="宋体" w:cs="宋体"/>
                <w:color w:val="auto"/>
                <w:sz w:val="21"/>
                <w:szCs w:val="21"/>
              </w:rPr>
            </w:pPr>
          </w:p>
        </w:tc>
      </w:tr>
    </w:tbl>
    <w:p w14:paraId="15F834E3">
      <w:pPr>
        <w:spacing w:line="440" w:lineRule="exact"/>
        <w:ind w:left="210" w:leftChars="100"/>
        <w:rPr>
          <w:rFonts w:hint="eastAsia" w:ascii="宋体" w:hAnsi="宋体" w:eastAsia="宋体" w:cs="宋体"/>
          <w:b/>
          <w:color w:val="auto"/>
          <w:sz w:val="21"/>
          <w:szCs w:val="21"/>
        </w:rPr>
      </w:pPr>
      <w:r>
        <w:rPr>
          <w:rFonts w:hint="eastAsia" w:ascii="宋体" w:hAnsi="宋体" w:eastAsia="宋体" w:cs="宋体"/>
          <w:b/>
          <w:color w:val="auto"/>
          <w:sz w:val="21"/>
          <w:szCs w:val="21"/>
        </w:rPr>
        <w:t>注：后附拟派人员相关证明材料。</w:t>
      </w:r>
    </w:p>
    <w:p w14:paraId="1B52B45C">
      <w:pPr>
        <w:pStyle w:val="3"/>
        <w:spacing w:line="240" w:lineRule="auto"/>
        <w:ind w:left="0" w:leftChars="0" w:firstLine="0" w:firstLineChars="0"/>
        <w:jc w:val="center"/>
        <w:rPr>
          <w:rFonts w:hint="eastAsia" w:ascii="仿宋" w:hAnsi="仿宋" w:eastAsia="仿宋" w:cs="仿宋"/>
          <w:color w:val="auto"/>
          <w:sz w:val="21"/>
          <w:szCs w:val="21"/>
        </w:rPr>
      </w:pPr>
      <w:r>
        <w:rPr>
          <w:rFonts w:hint="eastAsia" w:ascii="宋体" w:hAnsi="宋体" w:eastAsia="宋体" w:cs="宋体"/>
          <w:color w:val="auto"/>
          <w:sz w:val="21"/>
          <w:szCs w:val="21"/>
        </w:rPr>
        <w:br w:type="page"/>
      </w:r>
      <w:r>
        <w:rPr>
          <w:rFonts w:hint="eastAsia" w:ascii="宋体" w:hAnsi="宋体" w:eastAsia="宋体" w:cs="宋体"/>
          <w:b/>
          <w:bCs/>
          <w:color w:val="auto"/>
          <w:kern w:val="2"/>
          <w:sz w:val="28"/>
          <w:szCs w:val="28"/>
          <w:lang w:val="en-US" w:eastAsia="zh-CN" w:bidi="ar-SA"/>
        </w:rPr>
        <w:t>（</w:t>
      </w:r>
      <w:r>
        <w:rPr>
          <w:rFonts w:hint="eastAsia" w:ascii="宋体" w:eastAsia="宋体" w:cs="宋体"/>
          <w:b/>
          <w:bCs/>
          <w:color w:val="auto"/>
          <w:kern w:val="2"/>
          <w:sz w:val="28"/>
          <w:szCs w:val="28"/>
          <w:lang w:val="en-US" w:eastAsia="zh-CN" w:bidi="ar-SA"/>
        </w:rPr>
        <w:t>四</w:t>
      </w:r>
      <w:r>
        <w:rPr>
          <w:rFonts w:hint="eastAsia" w:ascii="宋体" w:hAnsi="宋体" w:eastAsia="宋体" w:cs="宋体"/>
          <w:b/>
          <w:bCs/>
          <w:color w:val="auto"/>
          <w:kern w:val="2"/>
          <w:sz w:val="28"/>
          <w:szCs w:val="28"/>
          <w:lang w:val="en-US" w:eastAsia="zh-CN" w:bidi="ar-SA"/>
        </w:rPr>
        <w:t>）廉政承诺书</w:t>
      </w:r>
      <w:bookmarkEnd w:id="886"/>
    </w:p>
    <w:p w14:paraId="5A49B585">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本企业参与“</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（项目名称）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”项目的</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，现作如下承诺：</w:t>
      </w:r>
    </w:p>
    <w:p w14:paraId="07A7C9A2">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pacing w:val="-6"/>
          <w:sz w:val="21"/>
          <w:szCs w:val="21"/>
        </w:rPr>
        <w:t>我公司参与此次投标活动所提交的所有资料都是合法、真实、有效的。</w:t>
      </w:r>
    </w:p>
    <w:p w14:paraId="68557394">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2、不与其他</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串通投标、围标，依法、依规公平竞争，不损害</w:t>
      </w:r>
      <w:r>
        <w:rPr>
          <w:rFonts w:hint="eastAsia" w:ascii="宋体" w:hAnsi="宋体" w:cs="宋体"/>
          <w:color w:val="auto"/>
          <w:sz w:val="21"/>
          <w:szCs w:val="21"/>
          <w:lang w:eastAsia="zh-CN"/>
        </w:rPr>
        <w:t>采购人</w:t>
      </w:r>
      <w:r>
        <w:rPr>
          <w:rFonts w:hint="eastAsia" w:ascii="宋体" w:hAnsi="宋体" w:eastAsia="宋体" w:cs="宋体"/>
          <w:color w:val="auto"/>
          <w:sz w:val="21"/>
          <w:szCs w:val="21"/>
        </w:rPr>
        <w:t>或其他</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的合法权益。</w:t>
      </w:r>
    </w:p>
    <w:p w14:paraId="3F4B7C03">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3、不转让、出租、出借资质证书、人员岗位证书，不以法律、法规禁止的方式投标。</w:t>
      </w:r>
    </w:p>
    <w:p w14:paraId="60358AAA">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4、不与</w:t>
      </w:r>
      <w:r>
        <w:rPr>
          <w:rFonts w:hint="eastAsia" w:ascii="宋体" w:hAnsi="宋体" w:cs="宋体"/>
          <w:color w:val="auto"/>
          <w:sz w:val="21"/>
          <w:szCs w:val="21"/>
          <w:lang w:eastAsia="zh-CN"/>
        </w:rPr>
        <w:t>采购人</w:t>
      </w:r>
      <w:r>
        <w:rPr>
          <w:rFonts w:hint="eastAsia" w:ascii="宋体" w:hAnsi="宋体" w:eastAsia="宋体" w:cs="宋体"/>
          <w:color w:val="auto"/>
          <w:sz w:val="21"/>
          <w:szCs w:val="21"/>
        </w:rPr>
        <w:t>或招标代理机构串通投标，不损害国家利益、社会公共利益或其他当事人的合法权益。</w:t>
      </w:r>
    </w:p>
    <w:p w14:paraId="3F4F6D8A">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5、不向</w:t>
      </w:r>
      <w:r>
        <w:rPr>
          <w:rFonts w:hint="eastAsia" w:ascii="宋体" w:hAnsi="宋体" w:cs="宋体"/>
          <w:color w:val="auto"/>
          <w:sz w:val="21"/>
          <w:szCs w:val="21"/>
          <w:lang w:eastAsia="zh-CN"/>
        </w:rPr>
        <w:t>采购人</w:t>
      </w:r>
      <w:r>
        <w:rPr>
          <w:rFonts w:hint="eastAsia" w:ascii="宋体" w:hAnsi="宋体" w:eastAsia="宋体" w:cs="宋体"/>
          <w:color w:val="auto"/>
          <w:sz w:val="21"/>
          <w:szCs w:val="21"/>
        </w:rPr>
        <w:t>、</w:t>
      </w:r>
      <w:r>
        <w:rPr>
          <w:rFonts w:hint="eastAsia" w:ascii="宋体" w:hAnsi="宋体" w:cs="宋体"/>
          <w:color w:val="auto"/>
          <w:sz w:val="21"/>
          <w:szCs w:val="21"/>
          <w:lang w:eastAsia="zh-CN"/>
        </w:rPr>
        <w:t>磋商小组</w:t>
      </w:r>
      <w:r>
        <w:rPr>
          <w:rFonts w:hint="eastAsia" w:ascii="宋体" w:hAnsi="宋体" w:eastAsia="宋体" w:cs="宋体"/>
          <w:color w:val="auto"/>
          <w:sz w:val="21"/>
          <w:szCs w:val="21"/>
        </w:rPr>
        <w:t>成员、监督人员行贿。</w:t>
      </w:r>
    </w:p>
    <w:p w14:paraId="5E292C1D">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6、不扰乱</w:t>
      </w:r>
      <w:r>
        <w:rPr>
          <w:rFonts w:hint="eastAsia" w:ascii="宋体" w:hAnsi="宋体" w:eastAsia="宋体" w:cs="宋体"/>
          <w:color w:val="auto"/>
          <w:sz w:val="21"/>
          <w:szCs w:val="21"/>
          <w:lang w:eastAsia="zh-CN"/>
        </w:rPr>
        <w:t>怒江</w:t>
      </w:r>
      <w:r>
        <w:rPr>
          <w:rFonts w:hint="eastAsia" w:ascii="宋体" w:hAnsi="宋体" w:eastAsia="宋体" w:cs="宋体"/>
          <w:color w:val="auto"/>
          <w:sz w:val="21"/>
          <w:szCs w:val="21"/>
        </w:rPr>
        <w:t>公共资源交易活动正常秩序。</w:t>
      </w:r>
    </w:p>
    <w:p w14:paraId="341E3EBF">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7、不进行虚假恶意投诉。</w:t>
      </w:r>
    </w:p>
    <w:p w14:paraId="1BE5A9EA">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8、因违反法律、法规或相关规定被查处的，不干预案件查处。</w:t>
      </w:r>
    </w:p>
    <w:p w14:paraId="5F572ADD">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如违反以上承诺，甘愿接受公共资源交易监督管理部门、纪检监察机关或司法机关调查处理。违法、违规或不良行为事实成立的，本</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不再要求退还投标时所提交的</w:t>
      </w:r>
      <w:r>
        <w:rPr>
          <w:rFonts w:hint="eastAsia" w:ascii="宋体" w:hAnsi="宋体" w:cs="宋体"/>
          <w:color w:val="auto"/>
          <w:sz w:val="21"/>
          <w:szCs w:val="21"/>
          <w:lang w:eastAsia="zh-CN"/>
        </w:rPr>
        <w:t>磋商保证金</w:t>
      </w:r>
      <w:r>
        <w:rPr>
          <w:rFonts w:hint="eastAsia" w:ascii="宋体" w:hAnsi="宋体" w:eastAsia="宋体" w:cs="宋体"/>
          <w:color w:val="auto"/>
          <w:sz w:val="21"/>
          <w:szCs w:val="21"/>
        </w:rPr>
        <w:t>，并承担相关责任。给</w:t>
      </w:r>
      <w:r>
        <w:rPr>
          <w:rFonts w:hint="eastAsia" w:ascii="宋体" w:hAnsi="宋体" w:cs="宋体"/>
          <w:color w:val="auto"/>
          <w:sz w:val="21"/>
          <w:szCs w:val="21"/>
          <w:lang w:eastAsia="zh-CN"/>
        </w:rPr>
        <w:t>采购人</w:t>
      </w:r>
      <w:r>
        <w:rPr>
          <w:rFonts w:hint="eastAsia" w:ascii="宋体" w:hAnsi="宋体" w:eastAsia="宋体" w:cs="宋体"/>
          <w:color w:val="auto"/>
          <w:sz w:val="21"/>
          <w:szCs w:val="21"/>
        </w:rPr>
        <w:t>造成损失的，依法承担赔偿责任。</w:t>
      </w:r>
    </w:p>
    <w:p w14:paraId="5BB68B33">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p>
    <w:p w14:paraId="39057D02">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（签章）：______________</w:t>
      </w:r>
    </w:p>
    <w:p w14:paraId="68D6A1D5">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cs="宋体"/>
          <w:color w:val="auto"/>
          <w:sz w:val="21"/>
          <w:szCs w:val="21"/>
          <w:lang w:eastAsia="zh-CN"/>
        </w:rPr>
        <w:t>或</w:t>
      </w:r>
      <w:r>
        <w:rPr>
          <w:rFonts w:hint="eastAsia" w:ascii="宋体" w:hAnsi="宋体" w:eastAsia="宋体" w:cs="宋体"/>
          <w:color w:val="auto"/>
          <w:sz w:val="21"/>
          <w:szCs w:val="21"/>
        </w:rPr>
        <w:t>其委托代理人（</w:t>
      </w:r>
      <w:r>
        <w:rPr>
          <w:rFonts w:hint="eastAsia" w:ascii="宋体" w:hAnsi="宋体" w:eastAsia="宋体" w:cs="宋体"/>
          <w:color w:val="auto"/>
          <w:sz w:val="21"/>
          <w:szCs w:val="21"/>
          <w:lang w:eastAsia="zh-CN"/>
        </w:rPr>
        <w:t>签名</w:t>
      </w:r>
      <w:r>
        <w:rPr>
          <w:rFonts w:hint="eastAsia" w:ascii="宋体" w:hAnsi="宋体" w:cs="宋体"/>
          <w:color w:val="auto"/>
          <w:sz w:val="21"/>
          <w:szCs w:val="21"/>
          <w:lang w:eastAsia="zh-CN"/>
        </w:rPr>
        <w:t>或</w:t>
      </w:r>
      <w:r>
        <w:rPr>
          <w:rFonts w:hint="eastAsia" w:ascii="宋体" w:hAnsi="宋体" w:eastAsia="宋体" w:cs="宋体"/>
          <w:color w:val="auto"/>
          <w:sz w:val="21"/>
          <w:szCs w:val="21"/>
        </w:rPr>
        <w:t>签章）：__________</w:t>
      </w:r>
    </w:p>
    <w:p w14:paraId="24FF5780">
      <w:pPr>
        <w:keepNext w:val="0"/>
        <w:keepLines w:val="0"/>
        <w:pageBreakBefore w:val="0"/>
        <w:widowControl w:val="0"/>
        <w:kinsoku/>
        <w:wordWrap/>
        <w:overflowPunct/>
        <w:topLinePunct w:val="0"/>
        <w:autoSpaceDE/>
        <w:autoSpaceDN/>
        <w:bidi w:val="0"/>
        <w:adjustRightInd/>
        <w:snapToGrid/>
        <w:spacing w:after="0" w:line="5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年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月</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日</w:t>
      </w:r>
    </w:p>
    <w:p w14:paraId="5A75365C">
      <w:pPr>
        <w:spacing w:line="520" w:lineRule="exact"/>
        <w:ind w:firstLine="420" w:firstLineChars="200"/>
        <w:rPr>
          <w:rFonts w:hint="eastAsia" w:ascii="仿宋" w:hAnsi="仿宋" w:eastAsia="仿宋" w:cs="仿宋"/>
          <w:color w:val="auto"/>
          <w:sz w:val="21"/>
          <w:szCs w:val="21"/>
        </w:rPr>
      </w:pPr>
    </w:p>
    <w:p w14:paraId="03288037">
      <w:pPr>
        <w:spacing w:line="520" w:lineRule="exact"/>
        <w:ind w:firstLine="420" w:firstLineChars="200"/>
        <w:rPr>
          <w:rFonts w:hint="eastAsia" w:ascii="仿宋" w:hAnsi="仿宋" w:eastAsia="仿宋" w:cs="仿宋"/>
          <w:color w:val="auto"/>
          <w:sz w:val="21"/>
          <w:szCs w:val="21"/>
        </w:rPr>
      </w:pPr>
    </w:p>
    <w:p w14:paraId="4450ED64">
      <w:pPr>
        <w:pStyle w:val="4"/>
        <w:spacing w:after="0" w:line="240" w:lineRule="auto"/>
        <w:ind w:firstLine="138"/>
        <w:jc w:val="center"/>
        <w:rPr>
          <w:rFonts w:hint="eastAsia" w:ascii="宋体" w:hAnsi="宋体" w:eastAsia="宋体" w:cs="宋体"/>
          <w:b/>
          <w:bCs/>
          <w:color w:val="auto"/>
          <w:kern w:val="2"/>
          <w:sz w:val="28"/>
          <w:szCs w:val="28"/>
          <w:lang w:val="en-US" w:eastAsia="zh-CN" w:bidi="ar-SA"/>
        </w:rPr>
      </w:pPr>
      <w:r>
        <w:rPr>
          <w:rFonts w:hint="eastAsia" w:ascii="仿宋" w:hAnsi="仿宋" w:eastAsia="仿宋" w:cs="仿宋"/>
          <w:color w:val="auto"/>
          <w:sz w:val="21"/>
          <w:szCs w:val="21"/>
        </w:rPr>
        <w:br w:type="page"/>
      </w:r>
      <w:bookmarkStart w:id="887" w:name="_Toc441668595"/>
      <w:bookmarkStart w:id="888" w:name="_Toc531074125"/>
      <w:bookmarkStart w:id="889" w:name="_Toc59034547"/>
      <w:bookmarkStart w:id="890" w:name="_Toc296602998"/>
      <w:bookmarkStart w:id="891" w:name="_Toc59034559"/>
      <w:r>
        <w:rPr>
          <w:rFonts w:hint="eastAsia" w:ascii="宋体" w:hAnsi="宋体" w:eastAsia="宋体" w:cs="宋体"/>
          <w:b/>
          <w:bCs/>
          <w:color w:val="auto"/>
          <w:kern w:val="2"/>
          <w:sz w:val="28"/>
          <w:szCs w:val="28"/>
          <w:lang w:val="en-US" w:eastAsia="zh-CN" w:bidi="ar-SA"/>
        </w:rPr>
        <w:t>（五）磋商保证金</w:t>
      </w:r>
      <w:bookmarkEnd w:id="887"/>
      <w:bookmarkEnd w:id="888"/>
      <w:bookmarkEnd w:id="889"/>
      <w:bookmarkEnd w:id="890"/>
    </w:p>
    <w:p w14:paraId="26F27A48">
      <w:pPr>
        <w:spacing w:after="0" w:line="480" w:lineRule="exact"/>
        <w:rPr>
          <w:rFonts w:hint="eastAsia" w:ascii="仿宋" w:hAnsi="仿宋" w:eastAsia="仿宋" w:cs="仿宋"/>
          <w:color w:val="auto"/>
          <w:sz w:val="21"/>
          <w:szCs w:val="21"/>
          <w:u w:val="single"/>
        </w:rPr>
      </w:pPr>
    </w:p>
    <w:p w14:paraId="3A6A8AE6">
      <w:pPr>
        <w:spacing w:after="0" w:line="480" w:lineRule="exact"/>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采购</w:t>
      </w:r>
      <w:r>
        <w:rPr>
          <w:rFonts w:hint="eastAsia" w:ascii="宋体" w:hAnsi="宋体" w:eastAsia="宋体" w:cs="宋体"/>
          <w:color w:val="auto"/>
          <w:sz w:val="21"/>
          <w:szCs w:val="21"/>
        </w:rPr>
        <w:t>人名称）：</w:t>
      </w:r>
    </w:p>
    <w:p w14:paraId="3444A01E">
      <w:pPr>
        <w:spacing w:after="0" w:line="48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我方于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日参加</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（项目名称）的投标，现保证：我方在规定的</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有效期内撤销或修改</w:t>
      </w:r>
      <w:r>
        <w:rPr>
          <w:rFonts w:hint="eastAsia" w:ascii="宋体" w:hAnsi="宋体" w:eastAsia="宋体" w:cs="宋体"/>
          <w:color w:val="auto"/>
          <w:sz w:val="21"/>
          <w:szCs w:val="21"/>
          <w:lang w:eastAsia="zh-CN"/>
        </w:rPr>
        <w:t>磋商申请</w:t>
      </w:r>
      <w:r>
        <w:rPr>
          <w:rFonts w:hint="eastAsia" w:ascii="宋体" w:hAnsi="宋体" w:eastAsia="宋体" w:cs="宋体"/>
          <w:color w:val="auto"/>
          <w:sz w:val="21"/>
          <w:szCs w:val="21"/>
        </w:rPr>
        <w:t>文件的，或者在收到中标通知书后无正当理由拒签合同或拒交规定履约担保的，</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保证金不予退还。</w:t>
      </w:r>
    </w:p>
    <w:p w14:paraId="2454AD0E">
      <w:pPr>
        <w:spacing w:after="0" w:line="48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附：</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保证金缴纳凭证。</w:t>
      </w:r>
    </w:p>
    <w:p w14:paraId="7851091D">
      <w:pPr>
        <w:pStyle w:val="24"/>
        <w:spacing w:before="0" w:after="0" w:line="480" w:lineRule="exact"/>
        <w:ind w:firstLine="420" w:firstLineChars="200"/>
        <w:rPr>
          <w:rFonts w:hint="eastAsia" w:ascii="宋体" w:hAnsi="宋体" w:eastAsia="宋体" w:cs="宋体"/>
          <w:color w:val="auto"/>
          <w:sz w:val="21"/>
          <w:szCs w:val="21"/>
        </w:rPr>
      </w:pPr>
    </w:p>
    <w:p w14:paraId="0A3AFB64">
      <w:pPr>
        <w:spacing w:after="0" w:line="480" w:lineRule="exact"/>
        <w:ind w:firstLine="420" w:firstLineChars="200"/>
        <w:rPr>
          <w:rFonts w:hint="eastAsia" w:ascii="宋体" w:hAnsi="宋体" w:eastAsia="宋体" w:cs="宋体"/>
          <w:color w:val="auto"/>
          <w:sz w:val="21"/>
          <w:szCs w:val="21"/>
        </w:rPr>
      </w:pPr>
    </w:p>
    <w:p w14:paraId="3B6A9822">
      <w:pPr>
        <w:pStyle w:val="24"/>
        <w:spacing w:before="0" w:after="0" w:line="480" w:lineRule="exact"/>
        <w:ind w:firstLine="420" w:firstLineChars="200"/>
        <w:rPr>
          <w:rFonts w:hint="eastAsia" w:ascii="宋体" w:hAnsi="宋体" w:eastAsia="宋体" w:cs="宋体"/>
          <w:color w:val="auto"/>
          <w:sz w:val="21"/>
          <w:szCs w:val="21"/>
        </w:rPr>
      </w:pPr>
    </w:p>
    <w:p w14:paraId="7EDCCCA8">
      <w:pPr>
        <w:spacing w:after="0" w:line="480" w:lineRule="exact"/>
        <w:ind w:firstLine="420" w:firstLineChars="200"/>
        <w:rPr>
          <w:rFonts w:hint="eastAsia" w:ascii="宋体" w:hAnsi="宋体" w:eastAsia="宋体" w:cs="宋体"/>
          <w:color w:val="auto"/>
          <w:sz w:val="21"/>
          <w:szCs w:val="21"/>
        </w:rPr>
      </w:pPr>
    </w:p>
    <w:p w14:paraId="5CFF46AB">
      <w:pPr>
        <w:pStyle w:val="24"/>
        <w:spacing w:before="0" w:after="0" w:line="480" w:lineRule="exact"/>
        <w:ind w:firstLine="420" w:firstLineChars="200"/>
        <w:rPr>
          <w:rFonts w:hint="eastAsia" w:ascii="宋体" w:hAnsi="宋体" w:eastAsia="宋体" w:cs="宋体"/>
          <w:color w:val="auto"/>
          <w:sz w:val="21"/>
          <w:szCs w:val="21"/>
        </w:rPr>
      </w:pPr>
    </w:p>
    <w:p w14:paraId="121AB2FB">
      <w:pPr>
        <w:spacing w:after="0" w:line="480" w:lineRule="exact"/>
        <w:ind w:firstLine="420" w:firstLineChars="200"/>
        <w:rPr>
          <w:rFonts w:hint="eastAsia" w:ascii="宋体" w:hAnsi="宋体" w:eastAsia="宋体" w:cs="宋体"/>
          <w:color w:val="auto"/>
          <w:sz w:val="21"/>
          <w:szCs w:val="21"/>
        </w:rPr>
      </w:pPr>
    </w:p>
    <w:p w14:paraId="5EE3898E">
      <w:pPr>
        <w:pStyle w:val="24"/>
        <w:spacing w:before="0" w:after="0" w:line="480" w:lineRule="exact"/>
        <w:ind w:firstLine="420" w:firstLineChars="200"/>
        <w:rPr>
          <w:rFonts w:hint="eastAsia" w:ascii="宋体" w:hAnsi="宋体" w:eastAsia="宋体" w:cs="宋体"/>
          <w:color w:val="auto"/>
          <w:sz w:val="21"/>
          <w:szCs w:val="21"/>
        </w:rPr>
      </w:pPr>
    </w:p>
    <w:p w14:paraId="27C615E4">
      <w:pPr>
        <w:spacing w:after="0" w:line="480" w:lineRule="exact"/>
        <w:ind w:firstLine="420" w:firstLineChars="200"/>
        <w:rPr>
          <w:rFonts w:hint="eastAsia" w:ascii="宋体" w:hAnsi="宋体" w:eastAsia="宋体" w:cs="宋体"/>
          <w:color w:val="auto"/>
          <w:sz w:val="21"/>
          <w:szCs w:val="21"/>
        </w:rPr>
      </w:pPr>
    </w:p>
    <w:p w14:paraId="0E7BF92E">
      <w:pPr>
        <w:spacing w:after="0" w:line="480" w:lineRule="exact"/>
        <w:ind w:firstLine="420" w:firstLineChars="200"/>
        <w:rPr>
          <w:rFonts w:hint="eastAsia" w:ascii="宋体" w:hAnsi="宋体" w:eastAsia="宋体" w:cs="宋体"/>
          <w:color w:val="auto"/>
          <w:sz w:val="21"/>
          <w:szCs w:val="21"/>
        </w:rPr>
      </w:pPr>
    </w:p>
    <w:p w14:paraId="08E9FA1C">
      <w:pPr>
        <w:spacing w:after="0" w:line="480" w:lineRule="exact"/>
        <w:ind w:firstLine="420" w:firstLineChars="200"/>
        <w:rPr>
          <w:rFonts w:hint="eastAsia" w:ascii="宋体" w:hAnsi="宋体" w:eastAsia="宋体" w:cs="宋体"/>
          <w:color w:val="auto"/>
          <w:sz w:val="21"/>
          <w:szCs w:val="21"/>
        </w:rPr>
      </w:pPr>
    </w:p>
    <w:p w14:paraId="2162D575">
      <w:pPr>
        <w:spacing w:after="0" w:line="48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（签章）</w:t>
      </w:r>
    </w:p>
    <w:p w14:paraId="1DE89BD6">
      <w:pPr>
        <w:spacing w:after="0" w:line="48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cs="宋体"/>
          <w:color w:val="auto"/>
          <w:sz w:val="21"/>
          <w:szCs w:val="21"/>
          <w:lang w:eastAsia="zh-CN"/>
        </w:rPr>
        <w:t>签名或</w:t>
      </w:r>
      <w:r>
        <w:rPr>
          <w:rFonts w:hint="eastAsia" w:ascii="宋体" w:hAnsi="宋体" w:eastAsia="宋体" w:cs="宋体"/>
          <w:color w:val="auto"/>
          <w:sz w:val="21"/>
          <w:szCs w:val="21"/>
        </w:rPr>
        <w:t>签章）</w:t>
      </w:r>
    </w:p>
    <w:p w14:paraId="6A08447F">
      <w:pPr>
        <w:spacing w:after="0" w:line="48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地    址：</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p>
    <w:p w14:paraId="046E9D0D">
      <w:pPr>
        <w:spacing w:after="0" w:line="48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邮政编码：</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rPr>
        <w:tab/>
      </w:r>
    </w:p>
    <w:p w14:paraId="59476EB3">
      <w:pPr>
        <w:spacing w:after="0" w:line="480" w:lineRule="exact"/>
        <w:ind w:firstLine="420" w:firstLineChars="200"/>
        <w:rPr>
          <w:rFonts w:hint="eastAsia" w:ascii="仿宋" w:hAnsi="仿宋" w:eastAsia="仿宋" w:cs="仿宋"/>
          <w:color w:val="auto"/>
          <w:sz w:val="21"/>
          <w:szCs w:val="21"/>
        </w:rPr>
      </w:pPr>
      <w:r>
        <w:rPr>
          <w:rFonts w:hint="eastAsia" w:ascii="宋体" w:hAnsi="宋体" w:eastAsia="宋体" w:cs="宋体"/>
          <w:color w:val="auto"/>
          <w:sz w:val="21"/>
          <w:szCs w:val="21"/>
        </w:rPr>
        <w:t>电    话：</w:t>
      </w:r>
      <w:r>
        <w:rPr>
          <w:rFonts w:hint="eastAsia" w:ascii="宋体" w:hAnsi="宋体" w:eastAsia="宋体" w:cs="宋体"/>
          <w:color w:val="auto"/>
          <w:sz w:val="21"/>
          <w:szCs w:val="21"/>
          <w:u w:val="single"/>
        </w:rPr>
        <w:t xml:space="preserve">                              </w:t>
      </w:r>
      <w:r>
        <w:rPr>
          <w:rFonts w:hint="eastAsia" w:ascii="仿宋" w:hAnsi="仿宋" w:eastAsia="仿宋" w:cs="仿宋"/>
          <w:color w:val="auto"/>
          <w:sz w:val="21"/>
          <w:szCs w:val="21"/>
          <w:u w:val="single"/>
        </w:rPr>
        <w:t xml:space="preserve">            </w:t>
      </w:r>
    </w:p>
    <w:p w14:paraId="632DB4E8">
      <w:pPr>
        <w:spacing w:after="0" w:line="48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u w:val="single"/>
        </w:rPr>
        <w:t xml:space="preserve">        </w:t>
      </w:r>
      <w:r>
        <w:rPr>
          <w:rFonts w:hint="eastAsia" w:ascii="宋体" w:hAnsi="宋体" w:eastAsia="宋体" w:cs="宋体"/>
          <w:color w:val="auto"/>
          <w:sz w:val="21"/>
          <w:szCs w:val="21"/>
        </w:rPr>
        <w:t>年</w:t>
      </w:r>
      <w:r>
        <w:rPr>
          <w:rFonts w:hint="eastAsia" w:ascii="仿宋" w:hAnsi="仿宋" w:eastAsia="仿宋" w:cs="仿宋"/>
          <w:color w:val="auto"/>
          <w:sz w:val="21"/>
          <w:szCs w:val="21"/>
          <w:u w:val="single"/>
        </w:rPr>
        <w:t xml:space="preserve">       </w:t>
      </w:r>
      <w:r>
        <w:rPr>
          <w:rFonts w:hint="eastAsia" w:ascii="宋体" w:hAnsi="宋体" w:eastAsia="宋体" w:cs="宋体"/>
          <w:color w:val="auto"/>
          <w:sz w:val="21"/>
          <w:szCs w:val="21"/>
        </w:rPr>
        <w:t>月</w:t>
      </w:r>
      <w:r>
        <w:rPr>
          <w:rFonts w:hint="eastAsia" w:ascii="仿宋" w:hAnsi="仿宋" w:eastAsia="仿宋" w:cs="仿宋"/>
          <w:color w:val="auto"/>
          <w:sz w:val="21"/>
          <w:szCs w:val="21"/>
          <w:u w:val="single"/>
        </w:rPr>
        <w:t xml:space="preserve">       </w:t>
      </w:r>
      <w:r>
        <w:rPr>
          <w:rFonts w:hint="eastAsia" w:ascii="宋体" w:hAnsi="宋体" w:eastAsia="宋体" w:cs="宋体"/>
          <w:color w:val="auto"/>
          <w:sz w:val="21"/>
          <w:szCs w:val="21"/>
        </w:rPr>
        <w:t>日</w:t>
      </w:r>
    </w:p>
    <w:p w14:paraId="0DF3CD17">
      <w:pPr>
        <w:pStyle w:val="3"/>
        <w:spacing w:line="240" w:lineRule="auto"/>
        <w:ind w:left="0" w:leftChars="0" w:firstLine="0" w:firstLineChars="0"/>
        <w:jc w:val="left"/>
        <w:rPr>
          <w:rFonts w:hint="eastAsia" w:ascii="仿宋" w:hAnsi="仿宋" w:eastAsia="仿宋" w:cs="仿宋"/>
          <w:color w:val="auto"/>
          <w:sz w:val="21"/>
          <w:szCs w:val="21"/>
          <w:lang w:eastAsia="zh-CN"/>
        </w:rPr>
      </w:pPr>
    </w:p>
    <w:p w14:paraId="05EF87A3">
      <w:pPr>
        <w:spacing w:line="520" w:lineRule="exact"/>
        <w:jc w:val="center"/>
        <w:rPr>
          <w:rFonts w:hint="eastAsia" w:ascii="宋体" w:hAnsi="宋体" w:eastAsia="宋体" w:cs="宋体"/>
          <w:b/>
          <w:bCs/>
          <w:color w:val="auto"/>
          <w:kern w:val="2"/>
          <w:sz w:val="28"/>
          <w:szCs w:val="28"/>
          <w:lang w:val="en-US" w:eastAsia="zh-CN" w:bidi="ar-SA"/>
        </w:rPr>
      </w:pPr>
      <w:r>
        <w:rPr>
          <w:rFonts w:hint="eastAsia" w:ascii="仿宋" w:hAnsi="仿宋" w:eastAsia="仿宋" w:cs="仿宋"/>
          <w:color w:val="auto"/>
          <w:sz w:val="21"/>
          <w:szCs w:val="21"/>
        </w:rPr>
        <w:br w:type="page"/>
      </w:r>
      <w:r>
        <w:rPr>
          <w:rFonts w:hint="eastAsia" w:ascii="宋体" w:hAnsi="宋体" w:eastAsia="宋体" w:cs="宋体"/>
          <w:b/>
          <w:bCs/>
          <w:color w:val="auto"/>
          <w:kern w:val="2"/>
          <w:sz w:val="28"/>
          <w:szCs w:val="28"/>
          <w:lang w:val="en-US" w:eastAsia="zh-CN" w:bidi="ar-SA"/>
        </w:rPr>
        <w:t>（</w:t>
      </w:r>
      <w:r>
        <w:rPr>
          <w:rFonts w:hint="eastAsia" w:ascii="宋体" w:hAnsi="宋体" w:cs="宋体"/>
          <w:b/>
          <w:bCs/>
          <w:color w:val="auto"/>
          <w:kern w:val="2"/>
          <w:sz w:val="28"/>
          <w:szCs w:val="28"/>
          <w:lang w:val="en-US" w:eastAsia="zh-CN" w:bidi="ar-SA"/>
        </w:rPr>
        <w:t>六</w:t>
      </w:r>
      <w:r>
        <w:rPr>
          <w:rFonts w:hint="eastAsia" w:ascii="宋体" w:hAnsi="宋体" w:eastAsia="宋体" w:cs="宋体"/>
          <w:b/>
          <w:bCs/>
          <w:color w:val="auto"/>
          <w:kern w:val="2"/>
          <w:sz w:val="28"/>
          <w:szCs w:val="28"/>
          <w:lang w:val="en-US" w:eastAsia="zh-CN" w:bidi="ar-SA"/>
        </w:rPr>
        <w:t>）其他资料</w:t>
      </w:r>
      <w:bookmarkEnd w:id="883"/>
      <w:bookmarkEnd w:id="884"/>
      <w:bookmarkEnd w:id="885"/>
      <w:bookmarkEnd w:id="891"/>
    </w:p>
    <w:p w14:paraId="10A18790">
      <w:pPr>
        <w:numPr>
          <w:ilvl w:val="0"/>
          <w:numId w:val="0"/>
        </w:numPr>
        <w:rPr>
          <w:rFonts w:hint="eastAsia"/>
          <w:b w:val="0"/>
          <w:bCs w:val="0"/>
          <w:color w:val="auto"/>
          <w:sz w:val="21"/>
          <w:szCs w:val="21"/>
        </w:rPr>
      </w:pPr>
    </w:p>
    <w:p w14:paraId="49A4175E">
      <w:pPr>
        <w:spacing w:line="400" w:lineRule="exact"/>
        <w:jc w:val="center"/>
        <w:rPr>
          <w:rFonts w:hint="eastAsia" w:ascii="仿宋" w:hAnsi="仿宋" w:eastAsia="仿宋" w:cs="仿宋"/>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认为需要提供的材料）</w:t>
      </w:r>
    </w:p>
    <w:p w14:paraId="3300F433">
      <w:pPr>
        <w:pStyle w:val="8"/>
        <w:rPr>
          <w:rFonts w:hint="eastAsia" w:ascii="仿宋" w:hAnsi="仿宋" w:eastAsia="仿宋" w:cs="仿宋"/>
          <w:color w:val="auto"/>
          <w:sz w:val="21"/>
          <w:szCs w:val="21"/>
        </w:rPr>
      </w:pPr>
    </w:p>
    <w:p w14:paraId="3D0D9B40">
      <w:pPr>
        <w:spacing w:line="520" w:lineRule="exact"/>
        <w:ind w:firstLine="0"/>
        <w:jc w:val="both"/>
        <w:outlineLvl w:val="9"/>
        <w:rPr>
          <w:rFonts w:hint="eastAsia" w:ascii="仿宋" w:hAnsi="仿宋" w:eastAsia="仿宋" w:cs="仿宋"/>
          <w:color w:val="auto"/>
          <w:sz w:val="21"/>
          <w:szCs w:val="21"/>
        </w:rPr>
      </w:pPr>
    </w:p>
    <w:p w14:paraId="47A7F293">
      <w:pPr>
        <w:pStyle w:val="9"/>
        <w:rPr>
          <w:rFonts w:hint="eastAsia" w:ascii="仿宋" w:hAnsi="仿宋" w:eastAsia="仿宋" w:cs="仿宋"/>
          <w:color w:val="auto"/>
          <w:sz w:val="21"/>
          <w:szCs w:val="21"/>
        </w:rPr>
      </w:pPr>
    </w:p>
    <w:p w14:paraId="6FF577AE">
      <w:pPr>
        <w:pStyle w:val="9"/>
        <w:jc w:val="center"/>
        <w:rPr>
          <w:rFonts w:hint="eastAsia" w:ascii="仿宋" w:hAnsi="仿宋" w:eastAsia="仿宋" w:cs="仿宋"/>
          <w:color w:val="auto"/>
          <w:sz w:val="21"/>
          <w:szCs w:val="21"/>
          <w:lang w:val="en-US" w:eastAsia="zh-CN"/>
        </w:rPr>
      </w:pPr>
    </w:p>
    <w:p w14:paraId="723C3873">
      <w:pPr>
        <w:pStyle w:val="9"/>
        <w:jc w:val="center"/>
        <w:rPr>
          <w:rFonts w:hint="eastAsia" w:ascii="仿宋" w:hAnsi="仿宋" w:eastAsia="仿宋" w:cs="仿宋"/>
          <w:color w:val="auto"/>
          <w:sz w:val="21"/>
          <w:szCs w:val="21"/>
          <w:lang w:val="en-US" w:eastAsia="zh-CN"/>
        </w:rPr>
      </w:pPr>
    </w:p>
    <w:p w14:paraId="11DFABF3">
      <w:pPr>
        <w:pStyle w:val="9"/>
        <w:jc w:val="center"/>
        <w:rPr>
          <w:rFonts w:hint="eastAsia" w:ascii="仿宋" w:hAnsi="仿宋" w:eastAsia="仿宋" w:cs="仿宋"/>
          <w:color w:val="auto"/>
          <w:sz w:val="21"/>
          <w:szCs w:val="21"/>
          <w:lang w:val="en-US" w:eastAsia="zh-CN"/>
        </w:rPr>
      </w:pPr>
    </w:p>
    <w:p w14:paraId="68EA5AF9">
      <w:pPr>
        <w:pStyle w:val="9"/>
        <w:jc w:val="center"/>
        <w:rPr>
          <w:rFonts w:hint="eastAsia" w:ascii="仿宋" w:hAnsi="仿宋" w:eastAsia="仿宋" w:cs="仿宋"/>
          <w:color w:val="auto"/>
          <w:sz w:val="21"/>
          <w:szCs w:val="21"/>
          <w:lang w:val="en-US" w:eastAsia="zh-CN"/>
        </w:rPr>
      </w:pPr>
    </w:p>
    <w:p w14:paraId="6DEBBCF8">
      <w:pPr>
        <w:pStyle w:val="9"/>
        <w:jc w:val="center"/>
        <w:rPr>
          <w:rFonts w:hint="eastAsia" w:ascii="仿宋" w:hAnsi="仿宋" w:eastAsia="仿宋" w:cs="仿宋"/>
          <w:color w:val="auto"/>
          <w:sz w:val="21"/>
          <w:szCs w:val="21"/>
          <w:lang w:val="en-US" w:eastAsia="zh-CN"/>
        </w:rPr>
      </w:pPr>
    </w:p>
    <w:p w14:paraId="722FBF64">
      <w:pPr>
        <w:pStyle w:val="9"/>
        <w:jc w:val="center"/>
        <w:rPr>
          <w:rFonts w:hint="eastAsia" w:ascii="仿宋" w:hAnsi="仿宋" w:eastAsia="仿宋" w:cs="仿宋"/>
          <w:color w:val="auto"/>
          <w:sz w:val="21"/>
          <w:szCs w:val="21"/>
          <w:lang w:val="en-US" w:eastAsia="zh-CN"/>
        </w:rPr>
      </w:pPr>
    </w:p>
    <w:p w14:paraId="72E065F4">
      <w:pPr>
        <w:pStyle w:val="9"/>
        <w:jc w:val="center"/>
        <w:rPr>
          <w:rFonts w:hint="eastAsia" w:ascii="仿宋" w:hAnsi="仿宋" w:eastAsia="仿宋" w:cs="仿宋"/>
          <w:color w:val="auto"/>
          <w:sz w:val="21"/>
          <w:szCs w:val="21"/>
          <w:lang w:val="en-US" w:eastAsia="zh-CN"/>
        </w:rPr>
      </w:pPr>
    </w:p>
    <w:p w14:paraId="32354AFC">
      <w:pPr>
        <w:pStyle w:val="9"/>
        <w:jc w:val="center"/>
        <w:rPr>
          <w:rFonts w:hint="eastAsia" w:ascii="仿宋" w:hAnsi="仿宋" w:eastAsia="仿宋" w:cs="仿宋"/>
          <w:color w:val="auto"/>
          <w:sz w:val="21"/>
          <w:szCs w:val="21"/>
          <w:lang w:val="en-US" w:eastAsia="zh-CN"/>
        </w:rPr>
      </w:pPr>
    </w:p>
    <w:p w14:paraId="7CD52248">
      <w:pPr>
        <w:pStyle w:val="9"/>
        <w:jc w:val="center"/>
        <w:rPr>
          <w:rFonts w:hint="eastAsia" w:ascii="仿宋" w:hAnsi="仿宋" w:eastAsia="仿宋" w:cs="仿宋"/>
          <w:color w:val="auto"/>
          <w:sz w:val="21"/>
          <w:szCs w:val="21"/>
          <w:lang w:val="en-US" w:eastAsia="zh-CN"/>
        </w:rPr>
      </w:pPr>
    </w:p>
    <w:p w14:paraId="3B252059">
      <w:pPr>
        <w:spacing w:line="520" w:lineRule="exact"/>
        <w:ind w:firstLine="0"/>
        <w:jc w:val="both"/>
        <w:outlineLvl w:val="9"/>
        <w:rPr>
          <w:rFonts w:hint="eastAsia" w:ascii="仿宋" w:hAnsi="仿宋" w:eastAsia="仿宋" w:cs="仿宋"/>
          <w:color w:val="auto"/>
          <w:sz w:val="21"/>
          <w:szCs w:val="21"/>
        </w:rPr>
      </w:pPr>
    </w:p>
    <w:p w14:paraId="189D0A31">
      <w:pPr>
        <w:spacing w:after="0" w:line="480" w:lineRule="exact"/>
        <w:rPr>
          <w:rFonts w:hint="eastAsia" w:ascii="仿宋" w:hAnsi="仿宋" w:eastAsia="仿宋" w:cs="仿宋"/>
          <w:color w:val="auto"/>
          <w:sz w:val="21"/>
          <w:szCs w:val="21"/>
        </w:rPr>
      </w:pPr>
      <w:r>
        <w:rPr>
          <w:rFonts w:hint="eastAsia" w:ascii="仿宋" w:hAnsi="仿宋" w:eastAsia="仿宋" w:cs="仿宋"/>
          <w:color w:val="auto"/>
          <w:sz w:val="21"/>
          <w:szCs w:val="21"/>
        </w:rPr>
        <w:br w:type="page"/>
      </w:r>
      <w:bookmarkStart w:id="892" w:name="_Toc531074131"/>
      <w:bookmarkStart w:id="893" w:name="_Toc59034548"/>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技术</w:t>
      </w:r>
      <w:bookmarkEnd w:id="892"/>
      <w:r>
        <w:rPr>
          <w:rFonts w:hint="eastAsia" w:ascii="宋体" w:hAnsi="宋体" w:eastAsia="宋体" w:cs="宋体"/>
          <w:b/>
          <w:bCs/>
          <w:color w:val="auto"/>
          <w:sz w:val="21"/>
          <w:szCs w:val="21"/>
        </w:rPr>
        <w:t>部分</w:t>
      </w:r>
      <w:bookmarkEnd w:id="893"/>
      <w:bookmarkStart w:id="894" w:name="_Toc531074134"/>
      <w:bookmarkStart w:id="895" w:name="_Toc503739230"/>
    </w:p>
    <w:bookmarkEnd w:id="894"/>
    <w:bookmarkEnd w:id="895"/>
    <w:p w14:paraId="79727519">
      <w:pPr>
        <w:ind w:firstLine="422" w:firstLineChars="200"/>
        <w:rPr>
          <w:rFonts w:hint="eastAsia" w:ascii="仿宋" w:hAnsi="仿宋" w:eastAsia="仿宋" w:cs="仿宋"/>
          <w:b/>
          <w:color w:val="auto"/>
          <w:sz w:val="21"/>
          <w:szCs w:val="21"/>
        </w:rPr>
      </w:pPr>
      <w:bookmarkStart w:id="896" w:name="_Toc531074135"/>
      <w:bookmarkStart w:id="897" w:name="_Toc503739231"/>
    </w:p>
    <w:p w14:paraId="10F75C60">
      <w:pPr>
        <w:spacing w:line="520" w:lineRule="exact"/>
        <w:jc w:val="center"/>
        <w:rPr>
          <w:rFonts w:hint="eastAsia" w:ascii="宋体" w:hAnsi="宋体" w:eastAsia="宋体" w:cs="宋体"/>
          <w:b/>
          <w:bCs/>
          <w:color w:val="auto"/>
          <w:kern w:val="2"/>
          <w:sz w:val="28"/>
          <w:szCs w:val="28"/>
          <w:lang w:val="en-US" w:eastAsia="zh-CN" w:bidi="ar-SA"/>
        </w:rPr>
      </w:pPr>
      <w:bookmarkStart w:id="898" w:name="_Toc59034550"/>
      <w:r>
        <w:rPr>
          <w:rFonts w:hint="eastAsia" w:ascii="宋体" w:hAnsi="宋体" w:eastAsia="宋体" w:cs="宋体"/>
          <w:b/>
          <w:bCs/>
          <w:color w:val="auto"/>
          <w:kern w:val="2"/>
          <w:sz w:val="28"/>
          <w:szCs w:val="28"/>
          <w:lang w:val="en-US" w:eastAsia="zh-CN" w:bidi="ar-SA"/>
        </w:rPr>
        <w:t>技术方案部分</w:t>
      </w:r>
      <w:bookmarkEnd w:id="898"/>
    </w:p>
    <w:p w14:paraId="688880E6">
      <w:pPr>
        <w:rPr>
          <w:rFonts w:hint="eastAsia"/>
          <w:color w:val="auto"/>
          <w:sz w:val="21"/>
          <w:szCs w:val="21"/>
        </w:rPr>
      </w:pPr>
    </w:p>
    <w:p w14:paraId="067F05E5">
      <w:pPr>
        <w:spacing w:after="0" w:line="48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应编制</w:t>
      </w:r>
      <w:r>
        <w:rPr>
          <w:rFonts w:hint="eastAsia" w:ascii="宋体" w:hAnsi="宋体" w:cs="宋体"/>
          <w:color w:val="auto"/>
          <w:sz w:val="21"/>
          <w:szCs w:val="21"/>
          <w:lang w:val="en-US" w:eastAsia="zh-CN"/>
        </w:rPr>
        <w:t>技术方案，</w:t>
      </w:r>
      <w:r>
        <w:rPr>
          <w:rFonts w:hint="eastAsia" w:ascii="宋体" w:hAnsi="宋体" w:eastAsia="宋体" w:cs="宋体"/>
          <w:color w:val="auto"/>
          <w:sz w:val="21"/>
          <w:szCs w:val="21"/>
        </w:rPr>
        <w:t>具体要求包括但不限于：</w:t>
      </w:r>
      <w:r>
        <w:rPr>
          <w:rFonts w:hint="eastAsia" w:ascii="宋体" w:hAnsi="宋体" w:cs="宋体"/>
          <w:color w:val="auto"/>
          <w:sz w:val="21"/>
          <w:szCs w:val="21"/>
          <w:lang w:val="en-US" w:eastAsia="zh-CN"/>
        </w:rPr>
        <w:t>设计方案、</w:t>
      </w:r>
      <w:r>
        <w:rPr>
          <w:rFonts w:hint="eastAsia" w:ascii="宋体" w:hAnsi="宋体" w:eastAsia="宋体" w:cs="宋体"/>
          <w:color w:val="auto"/>
          <w:sz w:val="21"/>
          <w:szCs w:val="21"/>
        </w:rPr>
        <w:t>施工技术方案、质量承诺及保证措施、工期承诺及保证措施、项目管理人员配置等内容，格式</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自拟。</w:t>
      </w:r>
    </w:p>
    <w:p w14:paraId="67469AD4">
      <w:pPr>
        <w:ind w:firstLine="422" w:firstLineChars="200"/>
        <w:rPr>
          <w:rFonts w:hint="eastAsia" w:ascii="仿宋" w:hAnsi="仿宋" w:eastAsia="仿宋" w:cs="仿宋"/>
          <w:b/>
          <w:color w:val="auto"/>
          <w:sz w:val="21"/>
          <w:szCs w:val="21"/>
        </w:rPr>
      </w:pPr>
    </w:p>
    <w:p w14:paraId="6AE37A63">
      <w:pPr>
        <w:ind w:firstLine="422" w:firstLineChars="200"/>
        <w:rPr>
          <w:rFonts w:hint="eastAsia" w:ascii="仿宋" w:hAnsi="仿宋" w:eastAsia="仿宋" w:cs="仿宋"/>
          <w:b/>
          <w:color w:val="auto"/>
          <w:sz w:val="21"/>
          <w:szCs w:val="21"/>
        </w:rPr>
      </w:pPr>
    </w:p>
    <w:p w14:paraId="6B4B8BE5">
      <w:pPr>
        <w:ind w:firstLine="422" w:firstLineChars="200"/>
        <w:rPr>
          <w:rFonts w:hint="eastAsia" w:ascii="仿宋" w:hAnsi="仿宋" w:eastAsia="仿宋" w:cs="仿宋"/>
          <w:b/>
          <w:color w:val="auto"/>
          <w:sz w:val="21"/>
          <w:szCs w:val="21"/>
        </w:rPr>
      </w:pPr>
    </w:p>
    <w:p w14:paraId="6B48BA72">
      <w:pPr>
        <w:ind w:firstLine="602" w:firstLineChars="200"/>
        <w:rPr>
          <w:rFonts w:hint="eastAsia" w:ascii="仿宋" w:hAnsi="仿宋" w:eastAsia="仿宋" w:cs="仿宋"/>
          <w:b/>
          <w:color w:val="auto"/>
          <w:sz w:val="30"/>
          <w:szCs w:val="30"/>
        </w:rPr>
      </w:pPr>
    </w:p>
    <w:p w14:paraId="44AA85F0">
      <w:pPr>
        <w:ind w:firstLine="602" w:firstLineChars="200"/>
        <w:rPr>
          <w:rFonts w:hint="eastAsia" w:ascii="仿宋" w:hAnsi="仿宋" w:eastAsia="仿宋" w:cs="仿宋"/>
          <w:b/>
          <w:color w:val="auto"/>
          <w:sz w:val="30"/>
          <w:szCs w:val="30"/>
        </w:rPr>
      </w:pPr>
    </w:p>
    <w:p w14:paraId="1FAA8C23">
      <w:pPr>
        <w:ind w:firstLine="602" w:firstLineChars="200"/>
        <w:rPr>
          <w:rFonts w:hint="eastAsia" w:ascii="仿宋" w:hAnsi="仿宋" w:eastAsia="仿宋" w:cs="仿宋"/>
          <w:b/>
          <w:color w:val="auto"/>
          <w:sz w:val="30"/>
          <w:szCs w:val="30"/>
        </w:rPr>
      </w:pPr>
    </w:p>
    <w:p w14:paraId="53AE4671">
      <w:pPr>
        <w:ind w:firstLine="602" w:firstLineChars="200"/>
        <w:rPr>
          <w:rFonts w:hint="eastAsia" w:ascii="仿宋" w:hAnsi="仿宋" w:eastAsia="仿宋" w:cs="仿宋"/>
          <w:b/>
          <w:color w:val="auto"/>
          <w:sz w:val="30"/>
          <w:szCs w:val="30"/>
        </w:rPr>
      </w:pPr>
    </w:p>
    <w:p w14:paraId="79018805">
      <w:pPr>
        <w:ind w:firstLine="602" w:firstLineChars="200"/>
        <w:rPr>
          <w:rFonts w:hint="eastAsia" w:ascii="仿宋" w:hAnsi="仿宋" w:eastAsia="仿宋" w:cs="仿宋"/>
          <w:b/>
          <w:color w:val="auto"/>
          <w:sz w:val="30"/>
          <w:szCs w:val="30"/>
        </w:rPr>
      </w:pPr>
    </w:p>
    <w:p w14:paraId="6EF49C0D">
      <w:pPr>
        <w:ind w:firstLine="602" w:firstLineChars="200"/>
        <w:rPr>
          <w:rFonts w:hint="eastAsia" w:ascii="仿宋" w:hAnsi="仿宋" w:eastAsia="仿宋" w:cs="仿宋"/>
          <w:b/>
          <w:color w:val="auto"/>
          <w:sz w:val="30"/>
          <w:szCs w:val="30"/>
        </w:rPr>
      </w:pPr>
    </w:p>
    <w:p w14:paraId="6A43BE33">
      <w:pPr>
        <w:ind w:firstLine="602" w:firstLineChars="200"/>
        <w:rPr>
          <w:rFonts w:hint="eastAsia" w:ascii="仿宋" w:hAnsi="仿宋" w:eastAsia="仿宋" w:cs="仿宋"/>
          <w:b/>
          <w:color w:val="auto"/>
          <w:sz w:val="30"/>
          <w:szCs w:val="30"/>
        </w:rPr>
      </w:pPr>
    </w:p>
    <w:p w14:paraId="435A1664">
      <w:pPr>
        <w:ind w:firstLine="602" w:firstLineChars="200"/>
        <w:rPr>
          <w:rFonts w:hint="eastAsia" w:ascii="仿宋" w:hAnsi="仿宋" w:eastAsia="仿宋" w:cs="仿宋"/>
          <w:b/>
          <w:color w:val="auto"/>
          <w:sz w:val="30"/>
          <w:szCs w:val="30"/>
        </w:rPr>
      </w:pPr>
    </w:p>
    <w:p w14:paraId="084C9268">
      <w:pPr>
        <w:ind w:firstLine="602" w:firstLineChars="200"/>
        <w:rPr>
          <w:rFonts w:hint="eastAsia" w:ascii="仿宋" w:hAnsi="仿宋" w:eastAsia="仿宋" w:cs="仿宋"/>
          <w:b/>
          <w:color w:val="auto"/>
          <w:sz w:val="30"/>
          <w:szCs w:val="30"/>
        </w:rPr>
      </w:pPr>
    </w:p>
    <w:p w14:paraId="20240EC1">
      <w:pPr>
        <w:ind w:firstLine="602" w:firstLineChars="200"/>
        <w:rPr>
          <w:rFonts w:hint="eastAsia" w:ascii="仿宋" w:hAnsi="仿宋" w:eastAsia="仿宋" w:cs="仿宋"/>
          <w:b/>
          <w:color w:val="auto"/>
          <w:sz w:val="30"/>
          <w:szCs w:val="30"/>
        </w:rPr>
      </w:pPr>
    </w:p>
    <w:p w14:paraId="31658B83">
      <w:pPr>
        <w:ind w:firstLine="602" w:firstLineChars="200"/>
        <w:rPr>
          <w:rFonts w:hint="eastAsia" w:ascii="仿宋" w:hAnsi="仿宋" w:eastAsia="仿宋" w:cs="仿宋"/>
          <w:b/>
          <w:color w:val="auto"/>
          <w:sz w:val="30"/>
          <w:szCs w:val="30"/>
        </w:rPr>
      </w:pPr>
    </w:p>
    <w:p w14:paraId="0DB69445">
      <w:pPr>
        <w:ind w:firstLine="602" w:firstLineChars="200"/>
        <w:rPr>
          <w:rFonts w:hint="eastAsia" w:ascii="仿宋" w:hAnsi="仿宋" w:eastAsia="仿宋" w:cs="仿宋"/>
          <w:b/>
          <w:color w:val="auto"/>
          <w:sz w:val="30"/>
          <w:szCs w:val="30"/>
        </w:rPr>
      </w:pPr>
    </w:p>
    <w:p w14:paraId="1E8382C0">
      <w:pPr>
        <w:rPr>
          <w:rFonts w:hint="eastAsia" w:ascii="仿宋" w:hAnsi="仿宋" w:eastAsia="仿宋" w:cs="仿宋"/>
          <w:color w:val="auto"/>
          <w:sz w:val="30"/>
          <w:szCs w:val="30"/>
        </w:rPr>
      </w:pPr>
    </w:p>
    <w:bookmarkEnd w:id="896"/>
    <w:bookmarkEnd w:id="897"/>
    <w:p w14:paraId="1A9763C2">
      <w:pPr>
        <w:pStyle w:val="9"/>
        <w:numPr>
          <w:ilvl w:val="0"/>
          <w:numId w:val="0"/>
        </w:numPr>
        <w:spacing w:line="240" w:lineRule="auto"/>
        <w:jc w:val="center"/>
        <w:outlineLvl w:val="0"/>
        <w:rPr>
          <w:rFonts w:hint="eastAsia" w:ascii="宋体" w:hAnsi="宋体" w:eastAsia="宋体" w:cs="宋体"/>
          <w:b/>
          <w:bCs/>
          <w:color w:val="auto"/>
          <w:kern w:val="2"/>
          <w:sz w:val="28"/>
          <w:szCs w:val="28"/>
          <w:lang w:val="en-US" w:eastAsia="zh-CN" w:bidi="ar-SA"/>
        </w:rPr>
      </w:pPr>
      <w:bookmarkStart w:id="899" w:name="_Toc531074136"/>
      <w:bookmarkStart w:id="900" w:name="_Toc59034551"/>
      <w:bookmarkStart w:id="901" w:name="_Toc441668601"/>
      <w:r>
        <w:rPr>
          <w:rFonts w:hint="eastAsia" w:ascii="仿宋" w:hAnsi="仿宋" w:eastAsia="仿宋" w:cs="仿宋"/>
          <w:color w:val="auto"/>
          <w:sz w:val="30"/>
          <w:szCs w:val="30"/>
        </w:rPr>
        <w:br w:type="page"/>
      </w:r>
      <w:bookmarkEnd w:id="855"/>
      <w:bookmarkEnd w:id="856"/>
      <w:bookmarkEnd w:id="899"/>
      <w:bookmarkEnd w:id="900"/>
      <w:bookmarkEnd w:id="901"/>
      <w:bookmarkStart w:id="902" w:name="_Toc4958"/>
      <w:r>
        <w:rPr>
          <w:rFonts w:hint="eastAsia" w:ascii="宋体" w:hAnsi="宋体" w:eastAsia="宋体" w:cs="宋体"/>
          <w:b/>
          <w:bCs/>
          <w:color w:val="auto"/>
          <w:kern w:val="2"/>
          <w:sz w:val="28"/>
          <w:szCs w:val="28"/>
          <w:lang w:val="en-US" w:eastAsia="zh-CN" w:bidi="ar-SA"/>
        </w:rPr>
        <w:t xml:space="preserve">第七章 </w:t>
      </w:r>
      <w:bookmarkEnd w:id="902"/>
      <w:r>
        <w:rPr>
          <w:rFonts w:hint="eastAsia" w:ascii="宋体" w:hAnsi="宋体" w:eastAsia="宋体" w:cs="宋体"/>
          <w:b/>
          <w:bCs/>
          <w:color w:val="auto"/>
          <w:kern w:val="2"/>
          <w:sz w:val="28"/>
          <w:szCs w:val="28"/>
          <w:lang w:val="en-US" w:eastAsia="zh-CN" w:bidi="ar-SA"/>
        </w:rPr>
        <w:t>磋商办法(综合评分法)</w:t>
      </w:r>
    </w:p>
    <w:p w14:paraId="657C6E31">
      <w:pPr>
        <w:pStyle w:val="3"/>
        <w:pageBreakBefore w:val="0"/>
        <w:widowControl w:val="0"/>
        <w:numPr>
          <w:ilvl w:val="1"/>
          <w:numId w:val="0"/>
        </w:numPr>
        <w:tabs>
          <w:tab w:val="left" w:pos="360"/>
        </w:tabs>
        <w:wordWrap/>
        <w:topLinePunct w:val="0"/>
        <w:autoSpaceDE/>
        <w:autoSpaceDN/>
        <w:bidi w:val="0"/>
        <w:snapToGrid/>
        <w:spacing w:before="0" w:line="480" w:lineRule="exact"/>
        <w:ind w:firstLine="422"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评标办法前附表</w:t>
      </w:r>
    </w:p>
    <w:tbl>
      <w:tblPr>
        <w:tblStyle w:val="31"/>
        <w:tblW w:w="978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94"/>
        <w:gridCol w:w="1961"/>
        <w:gridCol w:w="1224"/>
        <w:gridCol w:w="5707"/>
      </w:tblGrid>
      <w:tr w14:paraId="621E015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841" w:hRule="atLeast"/>
          <w:jc w:val="center"/>
        </w:trPr>
        <w:tc>
          <w:tcPr>
            <w:tcW w:w="894" w:type="dxa"/>
            <w:noWrap w:val="0"/>
            <w:vAlign w:val="center"/>
          </w:tcPr>
          <w:p w14:paraId="7F9BAB2E">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评审程序</w:t>
            </w:r>
          </w:p>
        </w:tc>
        <w:tc>
          <w:tcPr>
            <w:tcW w:w="1961" w:type="dxa"/>
            <w:noWrap w:val="0"/>
            <w:vAlign w:val="center"/>
          </w:tcPr>
          <w:p w14:paraId="054227BA">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评审因素</w:t>
            </w:r>
          </w:p>
        </w:tc>
        <w:tc>
          <w:tcPr>
            <w:tcW w:w="6931" w:type="dxa"/>
            <w:gridSpan w:val="2"/>
            <w:noWrap w:val="0"/>
            <w:vAlign w:val="center"/>
          </w:tcPr>
          <w:p w14:paraId="11BBD384">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评审标准</w:t>
            </w:r>
          </w:p>
        </w:tc>
      </w:tr>
      <w:tr w14:paraId="6428B2A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461" w:hRule="atLeast"/>
          <w:jc w:val="center"/>
        </w:trPr>
        <w:tc>
          <w:tcPr>
            <w:tcW w:w="894" w:type="dxa"/>
            <w:vMerge w:val="restart"/>
            <w:noWrap w:val="0"/>
            <w:vAlign w:val="center"/>
          </w:tcPr>
          <w:p w14:paraId="30F9CC21">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资格评审标准</w:t>
            </w:r>
          </w:p>
        </w:tc>
        <w:tc>
          <w:tcPr>
            <w:tcW w:w="8892" w:type="dxa"/>
            <w:gridSpan w:val="3"/>
            <w:noWrap w:val="0"/>
            <w:vAlign w:val="center"/>
          </w:tcPr>
          <w:p w14:paraId="4DBC3A0E">
            <w:pPr>
              <w:pStyle w:val="15"/>
              <w:keepNext w:val="0"/>
              <w:keepLines w:val="0"/>
              <w:pageBreakBefore w:val="0"/>
              <w:widowControl w:val="0"/>
              <w:tabs>
                <w:tab w:val="left" w:pos="2472"/>
              </w:tabs>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依据法律法规和</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的规定，采购人或采购代理机构将在开标结束后对</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中的资格证明文件进行审查，具体详见评审内容及标准。若存在任意一条评审内容不符合标准，则资格审查不合格，不进入到下一步符合性评审。合格</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不足3家的，不得评标。</w:t>
            </w:r>
          </w:p>
        </w:tc>
      </w:tr>
      <w:tr w14:paraId="588B513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894" w:type="dxa"/>
            <w:vMerge w:val="continue"/>
            <w:noWrap w:val="0"/>
            <w:vAlign w:val="center"/>
          </w:tcPr>
          <w:p w14:paraId="6ADDB830">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p>
        </w:tc>
        <w:tc>
          <w:tcPr>
            <w:tcW w:w="1961" w:type="dxa"/>
            <w:noWrap w:val="0"/>
            <w:vAlign w:val="center"/>
          </w:tcPr>
          <w:p w14:paraId="2196F839">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《中华人民共和国政府采购法》第二十二条规定</w:t>
            </w:r>
          </w:p>
        </w:tc>
        <w:tc>
          <w:tcPr>
            <w:tcW w:w="6931" w:type="dxa"/>
            <w:gridSpan w:val="2"/>
            <w:noWrap w:val="0"/>
            <w:vAlign w:val="center"/>
          </w:tcPr>
          <w:p w14:paraId="1C168B86">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详见“磋商公告”和“磋商申请人须知前附表”相关条款的规定。</w:t>
            </w:r>
          </w:p>
        </w:tc>
      </w:tr>
      <w:tr w14:paraId="23734EA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21" w:hRule="atLeast"/>
          <w:jc w:val="center"/>
        </w:trPr>
        <w:tc>
          <w:tcPr>
            <w:tcW w:w="894" w:type="dxa"/>
            <w:vMerge w:val="continue"/>
            <w:noWrap w:val="0"/>
            <w:vAlign w:val="center"/>
          </w:tcPr>
          <w:p w14:paraId="27DDF9E2">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b/>
                <w:color w:val="auto"/>
                <w:sz w:val="21"/>
                <w:szCs w:val="21"/>
                <w:lang w:eastAsia="zh-CN"/>
              </w:rPr>
            </w:pPr>
          </w:p>
        </w:tc>
        <w:tc>
          <w:tcPr>
            <w:tcW w:w="1961" w:type="dxa"/>
            <w:noWrap w:val="0"/>
            <w:vAlign w:val="center"/>
          </w:tcPr>
          <w:p w14:paraId="3D915DF2">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本项目的特定资格要求</w:t>
            </w:r>
          </w:p>
        </w:tc>
        <w:tc>
          <w:tcPr>
            <w:tcW w:w="6931" w:type="dxa"/>
            <w:gridSpan w:val="2"/>
            <w:noWrap w:val="0"/>
            <w:vAlign w:val="center"/>
          </w:tcPr>
          <w:p w14:paraId="34374E18">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详见“磋商公告”和“磋商申请人须知前附表”相关条款的规定。</w:t>
            </w:r>
          </w:p>
        </w:tc>
      </w:tr>
      <w:tr w14:paraId="441FB82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20" w:hRule="atLeast"/>
          <w:jc w:val="center"/>
        </w:trPr>
        <w:tc>
          <w:tcPr>
            <w:tcW w:w="894" w:type="dxa"/>
            <w:vMerge w:val="restart"/>
            <w:noWrap w:val="0"/>
            <w:vAlign w:val="center"/>
          </w:tcPr>
          <w:p w14:paraId="67392A95">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符合性评审标准</w:t>
            </w:r>
          </w:p>
        </w:tc>
        <w:tc>
          <w:tcPr>
            <w:tcW w:w="8892" w:type="dxa"/>
            <w:gridSpan w:val="3"/>
            <w:noWrap w:val="0"/>
            <w:vAlign w:val="center"/>
          </w:tcPr>
          <w:p w14:paraId="2C671B1C">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磋商申请人存在下列情况之一的，投标无效：</w:t>
            </w:r>
          </w:p>
        </w:tc>
      </w:tr>
      <w:tr w14:paraId="411AAAD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80" w:hRule="atLeast"/>
          <w:jc w:val="center"/>
        </w:trPr>
        <w:tc>
          <w:tcPr>
            <w:tcW w:w="894" w:type="dxa"/>
            <w:vMerge w:val="continue"/>
            <w:noWrap w:val="0"/>
            <w:vAlign w:val="center"/>
          </w:tcPr>
          <w:p w14:paraId="34D939D3">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noWrap w:val="0"/>
            <w:vAlign w:val="center"/>
          </w:tcPr>
          <w:p w14:paraId="06F92E61">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磋商申请文件送达时间或递交时间</w:t>
            </w:r>
          </w:p>
        </w:tc>
        <w:tc>
          <w:tcPr>
            <w:tcW w:w="6931" w:type="dxa"/>
            <w:gridSpan w:val="2"/>
            <w:noWrap w:val="0"/>
            <w:vAlign w:val="center"/>
          </w:tcPr>
          <w:p w14:paraId="26339419">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逾期送达</w:t>
            </w:r>
            <w:r>
              <w:rPr>
                <w:rFonts w:hint="eastAsia" w:ascii="宋体" w:hAnsi="宋体" w:eastAsia="宋体" w:cs="宋体"/>
                <w:color w:val="auto"/>
                <w:sz w:val="21"/>
                <w:szCs w:val="21"/>
                <w:lang w:eastAsia="zh-CN"/>
              </w:rPr>
              <w:t>或递交</w:t>
            </w:r>
            <w:r>
              <w:rPr>
                <w:rFonts w:hint="eastAsia" w:ascii="宋体" w:hAnsi="宋体" w:eastAsia="宋体" w:cs="宋体"/>
                <w:color w:val="auto"/>
                <w:sz w:val="21"/>
                <w:szCs w:val="21"/>
              </w:rPr>
              <w:t>的</w:t>
            </w:r>
            <w:r>
              <w:rPr>
                <w:rFonts w:hint="eastAsia" w:ascii="宋体" w:hAnsi="宋体" w:eastAsia="宋体" w:cs="宋体"/>
                <w:color w:val="auto"/>
                <w:sz w:val="21"/>
                <w:szCs w:val="21"/>
                <w:lang w:eastAsia="zh-CN"/>
              </w:rPr>
              <w:t>；</w:t>
            </w:r>
          </w:p>
        </w:tc>
      </w:tr>
      <w:tr w14:paraId="1B60AB8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36" w:hRule="atLeast"/>
          <w:jc w:val="center"/>
        </w:trPr>
        <w:tc>
          <w:tcPr>
            <w:tcW w:w="894" w:type="dxa"/>
            <w:vMerge w:val="continue"/>
            <w:noWrap w:val="0"/>
            <w:vAlign w:val="center"/>
          </w:tcPr>
          <w:p w14:paraId="5481DBB3">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noWrap w:val="0"/>
            <w:vAlign w:val="center"/>
          </w:tcPr>
          <w:p w14:paraId="65E41E73">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磋商报价</w:t>
            </w:r>
          </w:p>
        </w:tc>
        <w:tc>
          <w:tcPr>
            <w:tcW w:w="6931" w:type="dxa"/>
            <w:gridSpan w:val="2"/>
            <w:noWrap w:val="0"/>
            <w:vAlign w:val="center"/>
          </w:tcPr>
          <w:p w14:paraId="2743E1CF">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没有磋商报价的；</w:t>
            </w:r>
            <w:r>
              <w:rPr>
                <w:rFonts w:hint="eastAsia" w:ascii="宋体" w:hAnsi="宋体" w:eastAsia="宋体" w:cs="宋体"/>
                <w:color w:val="auto"/>
                <w:sz w:val="21"/>
                <w:szCs w:val="21"/>
              </w:rPr>
              <w:t>报价超过</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中规定的预算金额或者最高限价的；在</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中</w:t>
            </w:r>
            <w:r>
              <w:rPr>
                <w:rFonts w:hint="eastAsia" w:ascii="宋体" w:hAnsi="宋体" w:eastAsia="宋体" w:cs="宋体"/>
                <w:color w:val="auto"/>
                <w:sz w:val="21"/>
                <w:szCs w:val="21"/>
                <w:lang w:eastAsia="zh-CN"/>
              </w:rPr>
              <w:t>有</w:t>
            </w:r>
            <w:r>
              <w:rPr>
                <w:rFonts w:hint="eastAsia" w:ascii="宋体" w:hAnsi="宋体" w:eastAsia="宋体" w:cs="宋体"/>
                <w:color w:val="auto"/>
                <w:sz w:val="21"/>
                <w:szCs w:val="21"/>
              </w:rPr>
              <w:t>两个或多个报价，且未声明其中哪一个有效的；</w:t>
            </w:r>
          </w:p>
        </w:tc>
      </w:tr>
      <w:tr w14:paraId="19CE4F0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56" w:hRule="atLeast"/>
          <w:jc w:val="center"/>
        </w:trPr>
        <w:tc>
          <w:tcPr>
            <w:tcW w:w="894" w:type="dxa"/>
            <w:vMerge w:val="continue"/>
            <w:noWrap w:val="0"/>
            <w:vAlign w:val="center"/>
          </w:tcPr>
          <w:p w14:paraId="02C65980">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noWrap w:val="0"/>
            <w:vAlign w:val="center"/>
          </w:tcPr>
          <w:p w14:paraId="4C4C6747">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磋商申请文件签署</w:t>
            </w:r>
          </w:p>
        </w:tc>
        <w:tc>
          <w:tcPr>
            <w:tcW w:w="6931" w:type="dxa"/>
            <w:gridSpan w:val="2"/>
            <w:noWrap w:val="0"/>
            <w:vAlign w:val="center"/>
          </w:tcPr>
          <w:p w14:paraId="1754DE02">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磋商申请文件未按磋商文件要求进行签署、签章的；</w:t>
            </w:r>
          </w:p>
        </w:tc>
      </w:tr>
      <w:tr w14:paraId="7621307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82" w:hRule="atLeast"/>
          <w:jc w:val="center"/>
        </w:trPr>
        <w:tc>
          <w:tcPr>
            <w:tcW w:w="894" w:type="dxa"/>
            <w:vMerge w:val="continue"/>
            <w:noWrap w:val="0"/>
            <w:vAlign w:val="center"/>
          </w:tcPr>
          <w:p w14:paraId="0EECBA69">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noWrap w:val="0"/>
            <w:vAlign w:val="center"/>
          </w:tcPr>
          <w:p w14:paraId="329CBB6D">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磋商申请文件格式</w:t>
            </w:r>
          </w:p>
        </w:tc>
        <w:tc>
          <w:tcPr>
            <w:tcW w:w="6931" w:type="dxa"/>
            <w:gridSpan w:val="2"/>
            <w:noWrap w:val="0"/>
            <w:vAlign w:val="center"/>
          </w:tcPr>
          <w:p w14:paraId="7947CE37">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磋商申请文件未按规定的格式、内容和要求填写的；</w:t>
            </w:r>
          </w:p>
        </w:tc>
      </w:tr>
      <w:tr w14:paraId="53ECFFC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00" w:hRule="atLeast"/>
          <w:jc w:val="center"/>
        </w:trPr>
        <w:tc>
          <w:tcPr>
            <w:tcW w:w="894" w:type="dxa"/>
            <w:vMerge w:val="continue"/>
            <w:noWrap w:val="0"/>
            <w:vAlign w:val="center"/>
          </w:tcPr>
          <w:p w14:paraId="560A7DD4">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noWrap w:val="0"/>
            <w:vAlign w:val="center"/>
          </w:tcPr>
          <w:p w14:paraId="3D496A9D">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磋商保证金</w:t>
            </w:r>
          </w:p>
        </w:tc>
        <w:tc>
          <w:tcPr>
            <w:tcW w:w="6931" w:type="dxa"/>
            <w:gridSpan w:val="2"/>
            <w:noWrap w:val="0"/>
            <w:vAlign w:val="center"/>
          </w:tcPr>
          <w:p w14:paraId="44CE6CFA">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磋商申请人未能按要求足额提交磋商保证金的；</w:t>
            </w:r>
          </w:p>
        </w:tc>
      </w:tr>
      <w:tr w14:paraId="7FD28A8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74" w:hRule="atLeast"/>
          <w:jc w:val="center"/>
        </w:trPr>
        <w:tc>
          <w:tcPr>
            <w:tcW w:w="894" w:type="dxa"/>
            <w:vMerge w:val="continue"/>
            <w:noWrap w:val="0"/>
            <w:vAlign w:val="center"/>
          </w:tcPr>
          <w:p w14:paraId="269C7FB9">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noWrap w:val="0"/>
            <w:vAlign w:val="center"/>
          </w:tcPr>
          <w:p w14:paraId="2B305C65">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实质性条件</w:t>
            </w:r>
          </w:p>
        </w:tc>
        <w:tc>
          <w:tcPr>
            <w:tcW w:w="6931" w:type="dxa"/>
            <w:gridSpan w:val="2"/>
            <w:noWrap w:val="0"/>
            <w:vAlign w:val="center"/>
          </w:tcPr>
          <w:p w14:paraId="3B13A5D6">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未实质性响应</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中</w:t>
            </w:r>
            <w:r>
              <w:rPr>
                <w:rFonts w:hint="eastAsia" w:ascii="宋体" w:hAnsi="宋体" w:eastAsia="宋体" w:cs="宋体"/>
                <w:color w:val="auto"/>
                <w:sz w:val="21"/>
                <w:szCs w:val="21"/>
                <w:lang w:eastAsia="zh-CN"/>
              </w:rPr>
              <w:t>要求作出实质性响应的条款或拒绝采购人要求</w:t>
            </w:r>
            <w:r>
              <w:rPr>
                <w:rFonts w:hint="eastAsia" w:ascii="宋体" w:hAnsi="宋体" w:eastAsia="宋体" w:cs="宋体"/>
                <w:color w:val="auto"/>
                <w:sz w:val="21"/>
                <w:szCs w:val="21"/>
              </w:rPr>
              <w:t>的；</w:t>
            </w:r>
          </w:p>
        </w:tc>
      </w:tr>
      <w:tr w14:paraId="247E94C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820" w:hRule="atLeast"/>
          <w:jc w:val="center"/>
        </w:trPr>
        <w:tc>
          <w:tcPr>
            <w:tcW w:w="894" w:type="dxa"/>
            <w:vMerge w:val="continue"/>
            <w:noWrap w:val="0"/>
            <w:vAlign w:val="center"/>
          </w:tcPr>
          <w:p w14:paraId="1801B882">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noWrap w:val="0"/>
            <w:vAlign w:val="center"/>
          </w:tcPr>
          <w:p w14:paraId="237A31B7">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其他要求</w:t>
            </w:r>
          </w:p>
        </w:tc>
        <w:tc>
          <w:tcPr>
            <w:tcW w:w="6931" w:type="dxa"/>
            <w:gridSpan w:val="2"/>
            <w:noWrap w:val="0"/>
            <w:vAlign w:val="center"/>
          </w:tcPr>
          <w:p w14:paraId="6FD46F49">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含有采购人不能接受的附加条件的，法律、法规和</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规定的其他无效情形。</w:t>
            </w:r>
          </w:p>
        </w:tc>
      </w:tr>
      <w:tr w14:paraId="25E25E2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418" w:hRule="atLeast"/>
          <w:jc w:val="center"/>
        </w:trPr>
        <w:tc>
          <w:tcPr>
            <w:tcW w:w="894" w:type="dxa"/>
            <w:vMerge w:val="restart"/>
            <w:noWrap w:val="0"/>
            <w:vAlign w:val="center"/>
          </w:tcPr>
          <w:p w14:paraId="5AFAEB7E">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详细评审</w:t>
            </w:r>
          </w:p>
        </w:tc>
        <w:tc>
          <w:tcPr>
            <w:tcW w:w="1961" w:type="dxa"/>
            <w:noWrap w:val="0"/>
            <w:vAlign w:val="center"/>
          </w:tcPr>
          <w:p w14:paraId="21AF2C8B">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分值构成</w:t>
            </w:r>
          </w:p>
          <w:p w14:paraId="4891AC65">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（满分100分）</w:t>
            </w:r>
          </w:p>
        </w:tc>
        <w:tc>
          <w:tcPr>
            <w:tcW w:w="6931" w:type="dxa"/>
            <w:gridSpan w:val="2"/>
            <w:noWrap w:val="0"/>
            <w:vAlign w:val="center"/>
          </w:tcPr>
          <w:p w14:paraId="3A49AB1F">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的评标总得分＝F1＋F2＋F3</w:t>
            </w:r>
          </w:p>
          <w:p w14:paraId="1D133CE9">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其中：F1、F2、F3分别为</w:t>
            </w: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、技术部分、商务部分3项评分因素的汇总得分；</w:t>
            </w:r>
          </w:p>
          <w:p w14:paraId="42EE843E">
            <w:pPr>
              <w:keepNext w:val="0"/>
              <w:keepLines w:val="0"/>
              <w:pageBreakBefore w:val="0"/>
              <w:widowControl w:val="0"/>
              <w:kinsoku w:val="0"/>
              <w:wordWrap/>
              <w:overflowPunct w:val="0"/>
              <w:topLinePunct w:val="0"/>
              <w:autoSpaceDE/>
              <w:autoSpaceDN/>
              <w:bidi w:val="0"/>
              <w:adjustRightInd/>
              <w:snapToGrid/>
              <w:spacing w:line="480" w:lineRule="exact"/>
              <w:ind w:left="1258" w:hanging="1258"/>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F1：</w:t>
            </w:r>
            <w:r>
              <w:rPr>
                <w:rFonts w:hint="eastAsia" w:ascii="宋体" w:hAnsi="宋体" w:cs="宋体"/>
                <w:color w:val="auto"/>
                <w:sz w:val="21"/>
                <w:szCs w:val="21"/>
                <w:lang w:val="en-US" w:eastAsia="zh-CN"/>
              </w:rPr>
              <w:t>15</w:t>
            </w:r>
            <w:r>
              <w:rPr>
                <w:rFonts w:hint="eastAsia" w:ascii="宋体" w:hAnsi="宋体" w:eastAsia="宋体" w:cs="宋体"/>
                <w:color w:val="auto"/>
                <w:sz w:val="21"/>
                <w:szCs w:val="21"/>
              </w:rPr>
              <w:t>分；</w:t>
            </w:r>
          </w:p>
          <w:p w14:paraId="3C6ECFCD">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（2）技术部分F2：</w:t>
            </w:r>
            <w:r>
              <w:rPr>
                <w:rFonts w:hint="eastAsia" w:ascii="宋体" w:hAnsi="宋体" w:cs="宋体"/>
                <w:color w:val="auto"/>
                <w:sz w:val="21"/>
                <w:szCs w:val="21"/>
                <w:lang w:val="en-US" w:eastAsia="zh-CN"/>
              </w:rPr>
              <w:t>75</w:t>
            </w:r>
            <w:r>
              <w:rPr>
                <w:rFonts w:hint="eastAsia" w:ascii="宋体" w:hAnsi="宋体" w:eastAsia="宋体" w:cs="宋体"/>
                <w:color w:val="auto"/>
                <w:sz w:val="21"/>
                <w:szCs w:val="21"/>
              </w:rPr>
              <w:t>分；</w:t>
            </w:r>
          </w:p>
          <w:p w14:paraId="0EE48791">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商务</w:t>
            </w:r>
            <w:r>
              <w:rPr>
                <w:rFonts w:hint="eastAsia" w:ascii="宋体" w:hAnsi="宋体" w:eastAsia="宋体" w:cs="宋体"/>
                <w:color w:val="auto"/>
                <w:sz w:val="21"/>
                <w:szCs w:val="21"/>
              </w:rPr>
              <w:t>部分F3：</w:t>
            </w:r>
            <w:r>
              <w:rPr>
                <w:rFonts w:hint="eastAsia" w:ascii="宋体" w:hAnsi="宋体" w:cs="宋体"/>
                <w:color w:val="auto"/>
                <w:sz w:val="21"/>
                <w:szCs w:val="21"/>
                <w:lang w:val="en-US" w:eastAsia="zh-CN"/>
              </w:rPr>
              <w:t>10</w:t>
            </w:r>
            <w:r>
              <w:rPr>
                <w:rFonts w:hint="eastAsia" w:ascii="宋体" w:hAnsi="宋体" w:eastAsia="宋体" w:cs="宋体"/>
                <w:color w:val="auto"/>
                <w:sz w:val="21"/>
                <w:szCs w:val="21"/>
              </w:rPr>
              <w:t>分。</w:t>
            </w:r>
          </w:p>
        </w:tc>
      </w:tr>
      <w:tr w14:paraId="61F3380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161" w:hRule="atLeast"/>
          <w:jc w:val="center"/>
        </w:trPr>
        <w:tc>
          <w:tcPr>
            <w:tcW w:w="894" w:type="dxa"/>
            <w:vMerge w:val="continue"/>
            <w:noWrap w:val="0"/>
            <w:vAlign w:val="center"/>
          </w:tcPr>
          <w:p w14:paraId="22EEF4B7">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noWrap w:val="0"/>
            <w:vAlign w:val="center"/>
          </w:tcPr>
          <w:p w14:paraId="23BB125F">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评分标准</w:t>
            </w:r>
          </w:p>
          <w:p w14:paraId="2BA0E26C">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F1</w:t>
            </w:r>
            <w:r>
              <w:rPr>
                <w:rFonts w:hint="eastAsia" w:ascii="宋体" w:hAnsi="宋体" w:eastAsia="宋体" w:cs="宋体"/>
                <w:color w:val="auto"/>
                <w:sz w:val="21"/>
                <w:szCs w:val="21"/>
                <w:lang w:eastAsia="zh-CN"/>
              </w:rPr>
              <w:t>）</w:t>
            </w:r>
          </w:p>
        </w:tc>
        <w:tc>
          <w:tcPr>
            <w:tcW w:w="1224" w:type="dxa"/>
            <w:noWrap w:val="0"/>
            <w:vAlign w:val="center"/>
          </w:tcPr>
          <w:p w14:paraId="1DA53F27">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评分计算公式</w:t>
            </w:r>
          </w:p>
        </w:tc>
        <w:tc>
          <w:tcPr>
            <w:tcW w:w="5707" w:type="dxa"/>
            <w:noWrap w:val="0"/>
            <w:vAlign w:val="center"/>
          </w:tcPr>
          <w:p w14:paraId="211598A7">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default" w:ascii="宋体" w:hAnsi="宋体" w:cs="宋体"/>
                <w:color w:val="auto"/>
                <w:sz w:val="21"/>
                <w:szCs w:val="21"/>
                <w:lang w:val="en-US" w:eastAsia="zh-CN"/>
              </w:rPr>
            </w:pP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得分=(</w:t>
            </w:r>
            <w:r>
              <w:rPr>
                <w:rFonts w:hint="eastAsia" w:ascii="宋体" w:hAnsi="宋体" w:cs="宋体"/>
                <w:color w:val="auto"/>
                <w:sz w:val="21"/>
                <w:szCs w:val="21"/>
                <w:lang w:eastAsia="zh-CN"/>
              </w:rPr>
              <w:t>磋商</w:t>
            </w:r>
            <w:r>
              <w:rPr>
                <w:rFonts w:hint="eastAsia" w:ascii="宋体" w:hAnsi="宋体" w:eastAsia="宋体" w:cs="宋体"/>
                <w:color w:val="auto"/>
                <w:sz w:val="21"/>
                <w:szCs w:val="21"/>
              </w:rPr>
              <w:t>基准价／</w:t>
            </w:r>
            <w:r>
              <w:rPr>
                <w:rFonts w:hint="eastAsia" w:ascii="宋体" w:hAnsi="宋体" w:eastAsia="宋体" w:cs="宋体"/>
                <w:color w:val="auto"/>
                <w:sz w:val="21"/>
                <w:szCs w:val="21"/>
                <w:lang w:eastAsia="zh-CN"/>
              </w:rPr>
              <w:t>磋商</w:t>
            </w:r>
            <w:r>
              <w:rPr>
                <w:rFonts w:hint="eastAsia" w:ascii="宋体" w:hAnsi="宋体" w:cs="宋体"/>
                <w:color w:val="auto"/>
                <w:sz w:val="21"/>
                <w:szCs w:val="21"/>
                <w:lang w:eastAsia="zh-CN"/>
              </w:rPr>
              <w:t>总</w:t>
            </w:r>
            <w:r>
              <w:rPr>
                <w:rFonts w:hint="eastAsia" w:ascii="宋体" w:hAnsi="宋体" w:eastAsia="宋体" w:cs="宋体"/>
                <w:color w:val="auto"/>
                <w:sz w:val="21"/>
                <w:szCs w:val="21"/>
                <w:lang w:eastAsia="zh-CN"/>
              </w:rPr>
              <w:t>报价</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15</w:t>
            </w:r>
          </w:p>
          <w:p w14:paraId="109220ED">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rPr>
              <w:t>即：F1=[C/（B1，B2，…，Bn）]×</w:t>
            </w:r>
            <w:r>
              <w:rPr>
                <w:rFonts w:hint="eastAsia" w:ascii="宋体" w:hAnsi="宋体" w:cs="宋体"/>
                <w:color w:val="auto"/>
                <w:sz w:val="21"/>
                <w:szCs w:val="21"/>
                <w:lang w:val="en-US" w:eastAsia="zh-CN"/>
              </w:rPr>
              <w:t>15</w:t>
            </w:r>
          </w:p>
          <w:p w14:paraId="0A2B6522">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注：</w:t>
            </w:r>
          </w:p>
          <w:p w14:paraId="159BA8EE">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C为评标基准价，即通过资格审查及符合性审查要求且最终报价最低的供应商的磋商总价为磋商基准价；</w:t>
            </w:r>
          </w:p>
          <w:p w14:paraId="6972F43A">
            <w:pPr>
              <w:snapToGrid w:val="0"/>
              <w:spacing w:line="400" w:lineRule="exact"/>
              <w:rPr>
                <w:rFonts w:hint="eastAsia" w:ascii="宋体" w:hAnsi="宋体" w:eastAsia="宋体" w:cs="Times New Roman"/>
                <w:color w:val="auto"/>
                <w:szCs w:val="21"/>
              </w:rPr>
            </w:pPr>
            <w:r>
              <w:rPr>
                <w:rFonts w:hint="eastAsia" w:ascii="宋体" w:hAnsi="宋体"/>
                <w:color w:val="auto"/>
                <w:szCs w:val="21"/>
                <w:lang w:val="en-US" w:eastAsia="zh-CN"/>
              </w:rPr>
              <w:t>2）</w:t>
            </w:r>
            <w:r>
              <w:rPr>
                <w:rFonts w:ascii="宋体" w:hAnsi="宋体"/>
                <w:color w:val="auto"/>
                <w:szCs w:val="21"/>
              </w:rPr>
              <w:t>B1，B2，…</w:t>
            </w:r>
            <w:r>
              <w:rPr>
                <w:rFonts w:hint="eastAsia" w:ascii="宋体" w:hAnsi="宋体"/>
                <w:color w:val="auto"/>
                <w:szCs w:val="21"/>
              </w:rPr>
              <w:t>，</w:t>
            </w:r>
            <w:r>
              <w:rPr>
                <w:rFonts w:ascii="宋体" w:hAnsi="宋体"/>
                <w:color w:val="auto"/>
                <w:szCs w:val="21"/>
              </w:rPr>
              <w:t>Bn为第n个经</w:t>
            </w:r>
            <w:r>
              <w:rPr>
                <w:rFonts w:hint="eastAsia" w:ascii="宋体" w:hAnsi="宋体"/>
                <w:color w:val="auto"/>
                <w:szCs w:val="21"/>
              </w:rPr>
              <w:t>实质性</w:t>
            </w:r>
            <w:r>
              <w:rPr>
                <w:rFonts w:ascii="宋体" w:hAnsi="宋体"/>
                <w:color w:val="auto"/>
                <w:szCs w:val="21"/>
              </w:rPr>
              <w:t>审查</w:t>
            </w:r>
            <w:r>
              <w:rPr>
                <w:rFonts w:ascii="宋体" w:hAnsi="宋体" w:eastAsia="宋体" w:cs="Times New Roman"/>
                <w:color w:val="auto"/>
                <w:szCs w:val="21"/>
              </w:rPr>
              <w:t>合格的</w:t>
            </w:r>
            <w:r>
              <w:rPr>
                <w:rFonts w:hint="eastAsia" w:ascii="宋体" w:hAnsi="宋体" w:eastAsia="宋体" w:cs="Times New Roman"/>
                <w:color w:val="auto"/>
                <w:szCs w:val="21"/>
              </w:rPr>
              <w:t>最终磋商总价</w:t>
            </w:r>
            <w:r>
              <w:rPr>
                <w:rFonts w:ascii="宋体" w:hAnsi="宋体" w:eastAsia="宋体" w:cs="Times New Roman"/>
                <w:color w:val="auto"/>
                <w:szCs w:val="21"/>
              </w:rPr>
              <w:t>。</w:t>
            </w:r>
          </w:p>
          <w:p w14:paraId="5C9C72F6">
            <w:pPr>
              <w:snapToGrid w:val="0"/>
              <w:spacing w:line="400" w:lineRule="exact"/>
              <w:rPr>
                <w:rFonts w:hint="eastAsia" w:ascii="宋体" w:hAnsi="宋体"/>
                <w:color w:val="auto"/>
                <w:szCs w:val="21"/>
              </w:rPr>
            </w:pPr>
            <w:r>
              <w:rPr>
                <w:rFonts w:hint="eastAsia" w:ascii="宋体" w:hAnsi="宋体"/>
                <w:color w:val="auto"/>
                <w:szCs w:val="21"/>
              </w:rPr>
              <w:t>3）在计算报价得分时，对小型或微型企业（包含：①非联合体参加采购活动，且供应商为小型或微型企业；②联合体各方均为小型或微型企业）</w:t>
            </w:r>
            <w:r>
              <w:rPr>
                <w:rFonts w:hint="eastAsia" w:ascii="宋体" w:hAnsi="宋体" w:eastAsia="宋体" w:cs="Times New Roman"/>
                <w:color w:val="auto"/>
                <w:szCs w:val="21"/>
              </w:rPr>
              <w:t>承接本项目的价格给予</w:t>
            </w:r>
            <w:r>
              <w:rPr>
                <w:rFonts w:hint="eastAsia" w:ascii="宋体" w:hAnsi="宋体" w:eastAsia="宋体" w:cs="Times New Roman"/>
                <w:color w:val="auto"/>
                <w:szCs w:val="21"/>
                <w:lang w:val="en-US" w:eastAsia="zh-CN"/>
              </w:rPr>
              <w:t>5</w:t>
            </w:r>
            <w:r>
              <w:rPr>
                <w:rFonts w:hint="eastAsia" w:ascii="宋体" w:hAnsi="宋体" w:eastAsia="宋体" w:cs="Times New Roman"/>
                <w:color w:val="auto"/>
                <w:szCs w:val="21"/>
              </w:rPr>
              <w:t>%的扣除。</w:t>
            </w:r>
          </w:p>
          <w:p w14:paraId="27CEB5B9">
            <w:pPr>
              <w:snapToGrid w:val="0"/>
              <w:spacing w:line="400" w:lineRule="exact"/>
              <w:rPr>
                <w:rFonts w:hint="eastAsia" w:ascii="宋体" w:hAnsi="宋体"/>
                <w:color w:val="auto"/>
                <w:szCs w:val="21"/>
              </w:rPr>
            </w:pPr>
            <w:r>
              <w:rPr>
                <w:rFonts w:hint="eastAsia" w:ascii="宋体" w:hAnsi="宋体"/>
                <w:color w:val="auto"/>
                <w:szCs w:val="21"/>
              </w:rPr>
              <w:t>4）残疾人福利性单位、监狱企业视同小型、微型企业。</w:t>
            </w:r>
          </w:p>
          <w:p w14:paraId="140C6B34">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rPr>
            </w:pPr>
            <w:r>
              <w:rPr>
                <w:rFonts w:hint="eastAsia" w:ascii="宋体" w:hAnsi="宋体"/>
                <w:color w:val="auto"/>
                <w:szCs w:val="21"/>
              </w:rPr>
              <w:t>5）监狱企业或残疾人福利性单位属于小型、微型企业的，不重复享受政策，只进行一次价格扣除。</w:t>
            </w:r>
          </w:p>
        </w:tc>
      </w:tr>
      <w:tr w14:paraId="150639B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439" w:hRule="atLeast"/>
          <w:jc w:val="center"/>
        </w:trPr>
        <w:tc>
          <w:tcPr>
            <w:tcW w:w="894" w:type="dxa"/>
            <w:vMerge w:val="continue"/>
            <w:noWrap w:val="0"/>
            <w:vAlign w:val="center"/>
          </w:tcPr>
          <w:p w14:paraId="5BDC1A51">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noWrap w:val="0"/>
            <w:vAlign w:val="center"/>
          </w:tcPr>
          <w:p w14:paraId="28AE8D22">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p>
        </w:tc>
        <w:tc>
          <w:tcPr>
            <w:tcW w:w="1224" w:type="dxa"/>
            <w:noWrap w:val="0"/>
            <w:vAlign w:val="center"/>
          </w:tcPr>
          <w:p w14:paraId="61D6A008">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对项目的理解、重难点分析及合理化建议</w:t>
            </w:r>
            <w:r>
              <w:rPr>
                <w:rFonts w:hint="eastAsia" w:ascii="宋体" w:hAnsi="宋体" w:cs="宋体"/>
                <w:color w:val="auto"/>
                <w:sz w:val="21"/>
                <w:szCs w:val="21"/>
                <w:lang w:val="en-US" w:eastAsia="zh-CN"/>
              </w:rPr>
              <w:t>（8分）</w:t>
            </w:r>
          </w:p>
        </w:tc>
        <w:tc>
          <w:tcPr>
            <w:tcW w:w="5707" w:type="dxa"/>
            <w:noWrap w:val="0"/>
            <w:vAlign w:val="center"/>
          </w:tcPr>
          <w:p w14:paraId="05EB7D6A">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1.对采购项目理解准确，对项目所在地的现场条件，现场资料掌握充分、分析透彻；</w:t>
            </w:r>
          </w:p>
          <w:p w14:paraId="12448891">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2.对设计重点、难点、分析全面</w:t>
            </w:r>
            <w:r>
              <w:rPr>
                <w:rFonts w:hint="eastAsia" w:ascii="宋体" w:hAnsi="宋体" w:cs="宋体"/>
                <w:color w:val="auto"/>
                <w:sz w:val="21"/>
                <w:szCs w:val="21"/>
                <w:lang w:val="en-US" w:eastAsia="zh-CN"/>
              </w:rPr>
              <w:t>、详细</w:t>
            </w:r>
            <w:r>
              <w:rPr>
                <w:rFonts w:hint="eastAsia" w:ascii="宋体" w:hAnsi="宋体" w:eastAsia="宋体" w:cs="宋体"/>
                <w:color w:val="auto"/>
                <w:sz w:val="21"/>
                <w:szCs w:val="21"/>
                <w:lang w:val="en-US" w:eastAsia="zh-CN"/>
              </w:rPr>
              <w:t>；</w:t>
            </w:r>
          </w:p>
          <w:p w14:paraId="4DBA52DF">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3.对应提供了设计重点、难点的解决方案；</w:t>
            </w:r>
          </w:p>
          <w:p w14:paraId="0ADD9A7E">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4.对应提供了本项目合理化建议。</w:t>
            </w:r>
          </w:p>
          <w:p w14:paraId="207F005F">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以上方面，每项2分；每出现一项</w:t>
            </w:r>
            <w:bookmarkStart w:id="903" w:name="_GoBack"/>
            <w:bookmarkEnd w:id="903"/>
            <w:r>
              <w:rPr>
                <w:rFonts w:hint="eastAsia" w:ascii="宋体" w:hAnsi="宋体" w:eastAsia="宋体" w:cs="宋体"/>
                <w:color w:val="auto"/>
                <w:sz w:val="21"/>
                <w:szCs w:val="21"/>
                <w:lang w:val="en-US" w:eastAsia="zh-CN"/>
              </w:rPr>
              <w:t>内容缺失的扣2分，每项内容不完整或达不到要求的扣1分。</w:t>
            </w:r>
          </w:p>
        </w:tc>
      </w:tr>
      <w:tr w14:paraId="6B0FC3D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439" w:hRule="atLeast"/>
          <w:jc w:val="center"/>
        </w:trPr>
        <w:tc>
          <w:tcPr>
            <w:tcW w:w="894" w:type="dxa"/>
            <w:vMerge w:val="continue"/>
            <w:noWrap w:val="0"/>
            <w:vAlign w:val="center"/>
          </w:tcPr>
          <w:p w14:paraId="65873AD5">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vMerge w:val="restart"/>
            <w:noWrap w:val="0"/>
            <w:vAlign w:val="center"/>
          </w:tcPr>
          <w:p w14:paraId="56B96A76">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技术部分评分标准</w:t>
            </w:r>
          </w:p>
          <w:p w14:paraId="5066702E">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F</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p>
        </w:tc>
        <w:tc>
          <w:tcPr>
            <w:tcW w:w="1224" w:type="dxa"/>
            <w:noWrap w:val="0"/>
            <w:vAlign w:val="center"/>
          </w:tcPr>
          <w:p w14:paraId="5C7E4858">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设计方案评审（满分</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c>
          <w:tcPr>
            <w:tcW w:w="5707" w:type="dxa"/>
            <w:noWrap w:val="0"/>
            <w:vAlign w:val="center"/>
          </w:tcPr>
          <w:p w14:paraId="61E8D620">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内容包含：①设计方案新颖独特和实用性、②设计风格及色彩搭配协调、③施工主要材料明细、④平面图、效果图4项内容。</w:t>
            </w:r>
          </w:p>
          <w:p w14:paraId="766B7070">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(1)每有一项内容阐述详细，理解准确、全面、充分到位，贴合采购需求，切实可行的，得2.5分；</w:t>
            </w:r>
          </w:p>
          <w:p w14:paraId="29D7761A">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(2)每有一项内容进行了阐述，理解基本准确、全面，基本满足采购需求,有一定可行性的，得1.5分；</w:t>
            </w:r>
          </w:p>
          <w:p w14:paraId="5C02A1C4">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(3)每有一项内容阐述简单，有基本的理解但不全面，难以实行的，得0.5分。</w:t>
            </w:r>
          </w:p>
          <w:p w14:paraId="1BF16B45">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(4)每有一项内容未进行阐述或阐述内容无法满足项目需求的，得0分。</w:t>
            </w:r>
          </w:p>
          <w:p w14:paraId="7DC19542">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注：4项内容累计计分，每项2.5分，满分10分。</w:t>
            </w:r>
          </w:p>
        </w:tc>
      </w:tr>
      <w:tr w14:paraId="22D56C7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50" w:hRule="atLeast"/>
          <w:jc w:val="center"/>
        </w:trPr>
        <w:tc>
          <w:tcPr>
            <w:tcW w:w="894" w:type="dxa"/>
            <w:vMerge w:val="continue"/>
            <w:noWrap w:val="0"/>
            <w:vAlign w:val="center"/>
          </w:tcPr>
          <w:p w14:paraId="08D6FEF0">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vMerge w:val="continue"/>
            <w:noWrap w:val="0"/>
            <w:vAlign w:val="center"/>
          </w:tcPr>
          <w:p w14:paraId="7319BCAD">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p>
        </w:tc>
        <w:tc>
          <w:tcPr>
            <w:tcW w:w="1224" w:type="dxa"/>
            <w:shd w:val="clear" w:color="auto" w:fill="auto"/>
            <w:noWrap w:val="0"/>
            <w:vAlign w:val="center"/>
          </w:tcPr>
          <w:p w14:paraId="6F167BE8">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设计组织措施</w:t>
            </w:r>
            <w:r>
              <w:rPr>
                <w:rFonts w:hint="eastAsia" w:ascii="宋体" w:hAnsi="宋体" w:cs="宋体"/>
                <w:color w:val="auto"/>
                <w:sz w:val="21"/>
                <w:szCs w:val="21"/>
                <w:lang w:val="en-US" w:eastAsia="zh-CN"/>
              </w:rPr>
              <w:t>评审（满分15分）</w:t>
            </w:r>
          </w:p>
        </w:tc>
        <w:tc>
          <w:tcPr>
            <w:tcW w:w="5707" w:type="dxa"/>
            <w:shd w:val="clear" w:color="auto" w:fill="auto"/>
            <w:noWrap w:val="0"/>
            <w:vAlign w:val="center"/>
          </w:tcPr>
          <w:p w14:paraId="584F9A48">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①设计质量符合磋商文件要求且目标明确，质量保证措施全面、有效且有具体的违约承诺；</w:t>
            </w:r>
          </w:p>
          <w:p w14:paraId="1FB267B8">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②设计工期时间节点明确，进度保证措施全面、有效且有具体的违约承诺；</w:t>
            </w:r>
          </w:p>
          <w:p w14:paraId="0A5FD6DA">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③设计后续服务内容明确，后续服务保证措施全面、有效且有具体的违约承诺。</w:t>
            </w:r>
          </w:p>
          <w:p w14:paraId="5D272D4C">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每项5分，以上方面，均有完整、具体详细的描述的，得满分15分；有一项描述缺乏完整性、合理性的扣3分；有一项缺项漏项的扣5分。磋商小组无法评审时，则视为不响应该项要求</w:t>
            </w:r>
          </w:p>
        </w:tc>
      </w:tr>
      <w:tr w14:paraId="2C93CCB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50" w:hRule="atLeast"/>
          <w:jc w:val="center"/>
        </w:trPr>
        <w:tc>
          <w:tcPr>
            <w:tcW w:w="894" w:type="dxa"/>
            <w:vMerge w:val="continue"/>
            <w:noWrap w:val="0"/>
            <w:vAlign w:val="center"/>
          </w:tcPr>
          <w:p w14:paraId="040C099A">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vMerge w:val="continue"/>
            <w:noWrap w:val="0"/>
            <w:vAlign w:val="center"/>
          </w:tcPr>
          <w:p w14:paraId="13C62856">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p>
        </w:tc>
        <w:tc>
          <w:tcPr>
            <w:tcW w:w="1224" w:type="dxa"/>
            <w:noWrap w:val="0"/>
            <w:vAlign w:val="center"/>
          </w:tcPr>
          <w:p w14:paraId="77E1686B">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实施方案</w:t>
            </w:r>
            <w:r>
              <w:rPr>
                <w:rFonts w:hint="eastAsia" w:ascii="宋体" w:hAnsi="宋体" w:eastAsia="宋体" w:cs="宋体"/>
                <w:color w:val="auto"/>
                <w:sz w:val="21"/>
                <w:szCs w:val="21"/>
                <w:lang w:eastAsia="zh-CN"/>
              </w:rPr>
              <w:t>评分</w:t>
            </w:r>
          </w:p>
          <w:p w14:paraId="4342FC13">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c>
          <w:tcPr>
            <w:tcW w:w="5707" w:type="dxa"/>
            <w:noWrap w:val="0"/>
            <w:vAlign w:val="center"/>
          </w:tcPr>
          <w:p w14:paraId="58A4C044">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①施工进度计划安排合理、全面有序； </w:t>
            </w:r>
          </w:p>
          <w:p w14:paraId="12237E82">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②安全施工措施完整、可行； </w:t>
            </w:r>
          </w:p>
          <w:p w14:paraId="691911E5">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③总体施工程序规范、完善具体、合理可行； </w:t>
            </w:r>
          </w:p>
          <w:p w14:paraId="3A7C71A0">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④</w:t>
            </w:r>
            <w:r>
              <w:rPr>
                <w:rFonts w:hint="eastAsia" w:ascii="宋体" w:hAnsi="宋体" w:eastAsia="宋体" w:cs="宋体"/>
                <w:color w:val="auto"/>
                <w:spacing w:val="-6"/>
                <w:sz w:val="21"/>
                <w:szCs w:val="21"/>
                <w:lang w:val="en-US" w:eastAsia="zh-CN"/>
              </w:rPr>
              <w:t>施工技术方案具有指导性，大纲阐述详细，且合理、可行；</w:t>
            </w:r>
            <w:r>
              <w:rPr>
                <w:rFonts w:hint="eastAsia" w:ascii="宋体" w:hAnsi="宋体" w:eastAsia="宋体" w:cs="宋体"/>
                <w:color w:val="auto"/>
                <w:sz w:val="21"/>
                <w:szCs w:val="21"/>
                <w:lang w:val="en-US" w:eastAsia="zh-CN"/>
              </w:rPr>
              <w:t xml:space="preserve"> </w:t>
            </w:r>
          </w:p>
          <w:p w14:paraId="56DCB4AB">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⑤项目施工重点及关键技术分析深入、透彻、条理清晰； </w:t>
            </w:r>
          </w:p>
          <w:p w14:paraId="722D689C">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每项</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分，以上方面，均有完整、具体详细的描述的，得满分2</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分；有一项描述缺乏完整性、合理性的扣</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分；有一项缺项漏项的扣</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w:t>
            </w:r>
          </w:p>
        </w:tc>
      </w:tr>
      <w:tr w14:paraId="374B23D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17" w:hRule="atLeast"/>
          <w:jc w:val="center"/>
        </w:trPr>
        <w:tc>
          <w:tcPr>
            <w:tcW w:w="894" w:type="dxa"/>
            <w:vMerge w:val="continue"/>
            <w:noWrap w:val="0"/>
            <w:vAlign w:val="center"/>
          </w:tcPr>
          <w:p w14:paraId="27BD0752">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vMerge w:val="continue"/>
            <w:noWrap w:val="0"/>
            <w:vAlign w:val="center"/>
          </w:tcPr>
          <w:p w14:paraId="185CC942">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p>
        </w:tc>
        <w:tc>
          <w:tcPr>
            <w:tcW w:w="1224" w:type="dxa"/>
            <w:noWrap w:val="0"/>
            <w:vAlign w:val="center"/>
          </w:tcPr>
          <w:p w14:paraId="0601C1DA">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质量</w:t>
            </w:r>
            <w:r>
              <w:rPr>
                <w:rFonts w:hint="eastAsia" w:ascii="宋体" w:hAnsi="宋体" w:eastAsia="宋体" w:cs="宋体"/>
                <w:color w:val="auto"/>
                <w:sz w:val="21"/>
                <w:szCs w:val="21"/>
                <w:lang w:eastAsia="zh-CN"/>
              </w:rPr>
              <w:t>保证</w:t>
            </w:r>
            <w:r>
              <w:rPr>
                <w:rFonts w:hint="eastAsia" w:ascii="宋体" w:hAnsi="宋体" w:eastAsia="宋体" w:cs="宋体"/>
                <w:color w:val="auto"/>
                <w:sz w:val="21"/>
                <w:szCs w:val="21"/>
              </w:rPr>
              <w:t>评分</w:t>
            </w:r>
          </w:p>
          <w:p w14:paraId="1E04DEC1">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5707" w:type="dxa"/>
            <w:noWrap w:val="0"/>
            <w:vAlign w:val="center"/>
          </w:tcPr>
          <w:p w14:paraId="138AF203">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w:t>
            </w:r>
            <w:r>
              <w:rPr>
                <w:rFonts w:hint="eastAsia" w:ascii="宋体" w:hAnsi="宋体" w:eastAsia="宋体" w:cs="宋体"/>
                <w:color w:val="auto"/>
                <w:sz w:val="21"/>
                <w:szCs w:val="21"/>
                <w:lang w:eastAsia="zh-CN"/>
              </w:rPr>
              <w:t>磋商申请文件中有</w:t>
            </w:r>
            <w:r>
              <w:rPr>
                <w:rFonts w:hint="eastAsia" w:ascii="宋体" w:hAnsi="宋体" w:eastAsia="宋体" w:cs="宋体"/>
                <w:color w:val="auto"/>
                <w:sz w:val="21"/>
                <w:szCs w:val="21"/>
              </w:rPr>
              <w:t>质量保证</w:t>
            </w:r>
            <w:r>
              <w:rPr>
                <w:rFonts w:hint="eastAsia" w:ascii="宋体" w:hAnsi="宋体" w:eastAsia="宋体" w:cs="宋体"/>
                <w:color w:val="auto"/>
                <w:sz w:val="21"/>
                <w:szCs w:val="21"/>
                <w:lang w:eastAsia="zh-CN"/>
              </w:rPr>
              <w:t>承诺、</w:t>
            </w:r>
            <w:r>
              <w:rPr>
                <w:rFonts w:hint="eastAsia" w:ascii="宋体" w:hAnsi="宋体" w:eastAsia="宋体" w:cs="宋体"/>
                <w:color w:val="auto"/>
                <w:sz w:val="21"/>
                <w:szCs w:val="21"/>
              </w:rPr>
              <w:t>措施完善且有违约责任承诺</w:t>
            </w:r>
            <w:r>
              <w:rPr>
                <w:rFonts w:hint="eastAsia" w:ascii="宋体" w:hAnsi="宋体" w:eastAsia="宋体" w:cs="宋体"/>
                <w:color w:val="auto"/>
                <w:sz w:val="21"/>
                <w:szCs w:val="21"/>
                <w:lang w:eastAsia="zh-CN"/>
              </w:rPr>
              <w:t>的得</w:t>
            </w: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val="en-US" w:eastAsia="zh-CN"/>
              </w:rPr>
              <w:t>分；</w:t>
            </w:r>
          </w:p>
          <w:p w14:paraId="269B264D">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②</w:t>
            </w:r>
            <w:r>
              <w:rPr>
                <w:rFonts w:hint="eastAsia" w:ascii="宋体" w:hAnsi="宋体" w:eastAsia="宋体" w:cs="宋体"/>
                <w:color w:val="auto"/>
                <w:sz w:val="21"/>
                <w:szCs w:val="21"/>
                <w:lang w:eastAsia="zh-CN"/>
              </w:rPr>
              <w:t>磋商申请文件中有</w:t>
            </w:r>
            <w:r>
              <w:rPr>
                <w:rFonts w:hint="eastAsia" w:ascii="宋体" w:hAnsi="宋体" w:eastAsia="宋体" w:cs="宋体"/>
                <w:color w:val="auto"/>
                <w:sz w:val="21"/>
                <w:szCs w:val="21"/>
              </w:rPr>
              <w:t>质量保证</w:t>
            </w:r>
            <w:r>
              <w:rPr>
                <w:rFonts w:hint="eastAsia" w:ascii="宋体" w:hAnsi="宋体" w:eastAsia="宋体" w:cs="宋体"/>
                <w:color w:val="auto"/>
                <w:sz w:val="21"/>
                <w:szCs w:val="21"/>
                <w:lang w:eastAsia="zh-CN"/>
              </w:rPr>
              <w:t>承诺、</w:t>
            </w:r>
            <w:r>
              <w:rPr>
                <w:rFonts w:hint="eastAsia" w:ascii="宋体" w:hAnsi="宋体" w:eastAsia="宋体" w:cs="宋体"/>
                <w:color w:val="auto"/>
                <w:sz w:val="21"/>
                <w:szCs w:val="21"/>
              </w:rPr>
              <w:t>措施完善</w:t>
            </w:r>
            <w:r>
              <w:rPr>
                <w:rFonts w:hint="eastAsia" w:ascii="宋体" w:hAnsi="宋体" w:eastAsia="宋体" w:cs="宋体"/>
                <w:color w:val="auto"/>
                <w:sz w:val="21"/>
                <w:szCs w:val="21"/>
                <w:lang w:eastAsia="zh-CN"/>
              </w:rPr>
              <w:t>但没</w:t>
            </w:r>
            <w:r>
              <w:rPr>
                <w:rFonts w:hint="eastAsia" w:ascii="宋体" w:hAnsi="宋体" w:eastAsia="宋体" w:cs="宋体"/>
                <w:color w:val="auto"/>
                <w:sz w:val="21"/>
                <w:szCs w:val="21"/>
              </w:rPr>
              <w:t>有违约责任承诺</w:t>
            </w:r>
            <w:r>
              <w:rPr>
                <w:rFonts w:hint="eastAsia" w:ascii="宋体" w:hAnsi="宋体" w:eastAsia="宋体" w:cs="宋体"/>
                <w:color w:val="auto"/>
                <w:sz w:val="21"/>
                <w:szCs w:val="21"/>
                <w:lang w:eastAsia="zh-CN"/>
              </w:rPr>
              <w:t>的得</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分；</w:t>
            </w:r>
          </w:p>
          <w:p w14:paraId="26EBFE14">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③</w:t>
            </w:r>
            <w:r>
              <w:rPr>
                <w:rFonts w:hint="eastAsia" w:ascii="宋体" w:hAnsi="宋体" w:eastAsia="宋体" w:cs="宋体"/>
                <w:color w:val="auto"/>
                <w:sz w:val="21"/>
                <w:szCs w:val="21"/>
                <w:lang w:eastAsia="zh-CN"/>
              </w:rPr>
              <w:t>磋商申请文件中没有</w:t>
            </w:r>
            <w:r>
              <w:rPr>
                <w:rFonts w:hint="eastAsia" w:ascii="宋体" w:hAnsi="宋体" w:eastAsia="宋体" w:cs="宋体"/>
                <w:color w:val="auto"/>
                <w:sz w:val="21"/>
                <w:szCs w:val="21"/>
              </w:rPr>
              <w:t>质量保证</w:t>
            </w:r>
            <w:r>
              <w:rPr>
                <w:rFonts w:hint="eastAsia" w:ascii="宋体" w:hAnsi="宋体" w:eastAsia="宋体" w:cs="宋体"/>
                <w:color w:val="auto"/>
                <w:sz w:val="21"/>
                <w:szCs w:val="21"/>
                <w:lang w:eastAsia="zh-CN"/>
              </w:rPr>
              <w:t>承诺、或没有</w:t>
            </w:r>
            <w:r>
              <w:rPr>
                <w:rFonts w:hint="eastAsia" w:ascii="宋体" w:hAnsi="宋体" w:eastAsia="宋体" w:cs="宋体"/>
                <w:color w:val="auto"/>
                <w:sz w:val="21"/>
                <w:szCs w:val="21"/>
              </w:rPr>
              <w:t>违约责任承诺</w:t>
            </w:r>
            <w:r>
              <w:rPr>
                <w:rFonts w:hint="eastAsia" w:ascii="宋体" w:hAnsi="宋体" w:eastAsia="宋体" w:cs="宋体"/>
                <w:color w:val="auto"/>
                <w:sz w:val="21"/>
                <w:szCs w:val="21"/>
                <w:lang w:eastAsia="zh-CN"/>
              </w:rPr>
              <w:t>的得</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14:paraId="47B31458">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④没有描述的不得分。</w:t>
            </w:r>
          </w:p>
        </w:tc>
      </w:tr>
      <w:tr w14:paraId="2E5CEB7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12" w:hRule="atLeast"/>
          <w:jc w:val="center"/>
        </w:trPr>
        <w:tc>
          <w:tcPr>
            <w:tcW w:w="894" w:type="dxa"/>
            <w:vMerge w:val="continue"/>
            <w:noWrap w:val="0"/>
            <w:vAlign w:val="center"/>
          </w:tcPr>
          <w:p w14:paraId="11681232">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vMerge w:val="continue"/>
            <w:noWrap w:val="0"/>
            <w:vAlign w:val="center"/>
          </w:tcPr>
          <w:p w14:paraId="1537783B">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p>
        </w:tc>
        <w:tc>
          <w:tcPr>
            <w:tcW w:w="1224" w:type="dxa"/>
            <w:noWrap w:val="0"/>
            <w:vAlign w:val="center"/>
          </w:tcPr>
          <w:p w14:paraId="44557541">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工期承诺和保证措施评分</w:t>
            </w:r>
          </w:p>
          <w:p w14:paraId="66E0ABA6">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8</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5707" w:type="dxa"/>
            <w:noWrap w:val="0"/>
            <w:vAlign w:val="center"/>
          </w:tcPr>
          <w:p w14:paraId="37042CD6">
            <w:pPr>
              <w:keepNext w:val="0"/>
              <w:keepLines w:val="0"/>
              <w:pageBreakBefore w:val="0"/>
              <w:widowControl w:val="0"/>
              <w:suppressLineNumbers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w:t>
            </w:r>
            <w:r>
              <w:rPr>
                <w:rFonts w:hint="eastAsia" w:ascii="宋体" w:hAnsi="宋体" w:eastAsia="宋体" w:cs="宋体"/>
                <w:color w:val="auto"/>
                <w:kern w:val="0"/>
                <w:sz w:val="21"/>
                <w:szCs w:val="21"/>
                <w:lang w:val="en-US" w:eastAsia="zh-CN" w:bidi="ar"/>
              </w:rPr>
              <w:t>工期满足项目要求，工期保证措施详细、时间明确，</w:t>
            </w:r>
            <w:r>
              <w:rPr>
                <w:rFonts w:hint="eastAsia" w:ascii="宋体" w:hAnsi="宋体" w:eastAsia="宋体" w:cs="宋体"/>
                <w:color w:val="auto"/>
                <w:sz w:val="21"/>
                <w:szCs w:val="21"/>
                <w:lang w:val="en-US" w:eastAsia="zh-CN"/>
              </w:rPr>
              <w:t>符合项目</w:t>
            </w:r>
            <w:r>
              <w:rPr>
                <w:rFonts w:hint="eastAsia" w:ascii="宋体" w:hAnsi="宋体" w:eastAsia="宋体" w:cs="宋体"/>
                <w:color w:val="auto"/>
                <w:sz w:val="21"/>
                <w:szCs w:val="21"/>
              </w:rPr>
              <w:t>地实际情况</w:t>
            </w:r>
            <w:r>
              <w:rPr>
                <w:rFonts w:hint="eastAsia" w:ascii="宋体" w:hAnsi="宋体" w:eastAsia="宋体" w:cs="宋体"/>
                <w:color w:val="auto"/>
                <w:sz w:val="21"/>
                <w:szCs w:val="21"/>
                <w:lang w:eastAsia="zh-CN"/>
              </w:rPr>
              <w:t>且</w:t>
            </w:r>
            <w:r>
              <w:rPr>
                <w:rFonts w:hint="eastAsia" w:ascii="宋体" w:hAnsi="宋体" w:eastAsia="宋体" w:cs="宋体"/>
                <w:color w:val="auto"/>
                <w:kern w:val="0"/>
                <w:sz w:val="21"/>
                <w:szCs w:val="21"/>
                <w:lang w:val="en-US" w:eastAsia="zh-CN" w:bidi="ar"/>
              </w:rPr>
              <w:t>有具体违约责任承诺的得</w:t>
            </w:r>
            <w:r>
              <w:rPr>
                <w:rFonts w:hint="eastAsia" w:ascii="宋体" w:hAnsi="宋体" w:cs="宋体"/>
                <w:color w:val="auto"/>
                <w:kern w:val="0"/>
                <w:sz w:val="21"/>
                <w:szCs w:val="21"/>
                <w:lang w:val="en-US" w:eastAsia="zh-CN" w:bidi="ar"/>
              </w:rPr>
              <w:t>8</w:t>
            </w:r>
            <w:r>
              <w:rPr>
                <w:rFonts w:hint="eastAsia" w:ascii="宋体" w:hAnsi="宋体" w:eastAsia="宋体" w:cs="宋体"/>
                <w:color w:val="auto"/>
                <w:kern w:val="0"/>
                <w:sz w:val="21"/>
                <w:szCs w:val="21"/>
                <w:lang w:val="en-US" w:eastAsia="zh-CN" w:bidi="ar"/>
              </w:rPr>
              <w:t>分；</w:t>
            </w:r>
          </w:p>
          <w:p w14:paraId="5D2966FB">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②</w:t>
            </w:r>
            <w:r>
              <w:rPr>
                <w:rFonts w:hint="eastAsia" w:ascii="宋体" w:hAnsi="宋体" w:eastAsia="宋体" w:cs="宋体"/>
                <w:color w:val="auto"/>
                <w:kern w:val="0"/>
                <w:sz w:val="21"/>
                <w:szCs w:val="21"/>
                <w:lang w:val="en-US" w:eastAsia="zh-CN" w:bidi="ar"/>
              </w:rPr>
              <w:t>工期满足项目要求，工期保证措施详细、时间明确，</w:t>
            </w:r>
            <w:r>
              <w:rPr>
                <w:rFonts w:hint="eastAsia" w:ascii="宋体" w:hAnsi="宋体" w:eastAsia="宋体" w:cs="宋体"/>
                <w:color w:val="auto"/>
                <w:sz w:val="21"/>
                <w:szCs w:val="21"/>
                <w:lang w:val="en-US" w:eastAsia="zh-CN"/>
              </w:rPr>
              <w:t>符合项目</w:t>
            </w:r>
            <w:r>
              <w:rPr>
                <w:rFonts w:hint="eastAsia" w:ascii="宋体" w:hAnsi="宋体" w:eastAsia="宋体" w:cs="宋体"/>
                <w:color w:val="auto"/>
                <w:sz w:val="21"/>
                <w:szCs w:val="21"/>
              </w:rPr>
              <w:t>地实际情况</w:t>
            </w:r>
            <w:r>
              <w:rPr>
                <w:rFonts w:hint="eastAsia" w:ascii="宋体" w:hAnsi="宋体" w:eastAsia="宋体" w:cs="宋体"/>
                <w:color w:val="auto"/>
                <w:sz w:val="21"/>
                <w:szCs w:val="21"/>
                <w:lang w:eastAsia="zh-CN"/>
              </w:rPr>
              <w:t>但没</w:t>
            </w:r>
            <w:r>
              <w:rPr>
                <w:rFonts w:hint="eastAsia" w:ascii="宋体" w:hAnsi="宋体" w:eastAsia="宋体" w:cs="宋体"/>
                <w:color w:val="auto"/>
                <w:kern w:val="0"/>
                <w:sz w:val="21"/>
                <w:szCs w:val="21"/>
                <w:lang w:val="en-US" w:eastAsia="zh-CN" w:bidi="ar"/>
              </w:rPr>
              <w:t>有违约责任承诺的得</w:t>
            </w:r>
            <w:r>
              <w:rPr>
                <w:rFonts w:hint="eastAsia" w:ascii="宋体" w:hAnsi="宋体" w:cs="宋体"/>
                <w:color w:val="auto"/>
                <w:kern w:val="0"/>
                <w:sz w:val="21"/>
                <w:szCs w:val="21"/>
                <w:lang w:val="en-US" w:eastAsia="zh-CN" w:bidi="ar"/>
              </w:rPr>
              <w:t>6</w:t>
            </w:r>
            <w:r>
              <w:rPr>
                <w:rFonts w:hint="eastAsia" w:ascii="宋体" w:hAnsi="宋体" w:eastAsia="宋体" w:cs="宋体"/>
                <w:color w:val="auto"/>
                <w:kern w:val="0"/>
                <w:sz w:val="21"/>
                <w:szCs w:val="21"/>
                <w:lang w:val="en-US" w:eastAsia="zh-CN" w:bidi="ar"/>
              </w:rPr>
              <w:t>分；</w:t>
            </w:r>
          </w:p>
          <w:p w14:paraId="687AC8C6">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③</w:t>
            </w:r>
            <w:r>
              <w:rPr>
                <w:rFonts w:hint="eastAsia" w:ascii="宋体" w:hAnsi="宋体" w:eastAsia="宋体" w:cs="宋体"/>
                <w:color w:val="auto"/>
                <w:kern w:val="0"/>
                <w:sz w:val="21"/>
                <w:szCs w:val="21"/>
                <w:lang w:val="en-US" w:eastAsia="zh-CN" w:bidi="ar"/>
              </w:rPr>
              <w:t>工期满足项目要求，工期保证措施详细、时间明确，与</w:t>
            </w:r>
            <w:r>
              <w:rPr>
                <w:rFonts w:hint="eastAsia" w:ascii="宋体" w:hAnsi="宋体" w:eastAsia="宋体" w:cs="宋体"/>
                <w:color w:val="auto"/>
                <w:sz w:val="21"/>
                <w:szCs w:val="21"/>
                <w:lang w:val="en-US" w:eastAsia="zh-CN"/>
              </w:rPr>
              <w:t>项目</w:t>
            </w:r>
            <w:r>
              <w:rPr>
                <w:rFonts w:hint="eastAsia" w:ascii="宋体" w:hAnsi="宋体" w:eastAsia="宋体" w:cs="宋体"/>
                <w:color w:val="auto"/>
                <w:sz w:val="21"/>
                <w:szCs w:val="21"/>
              </w:rPr>
              <w:t>地实际情况</w:t>
            </w:r>
            <w:r>
              <w:rPr>
                <w:rFonts w:hint="eastAsia" w:ascii="宋体" w:hAnsi="宋体" w:eastAsia="宋体" w:cs="宋体"/>
                <w:color w:val="auto"/>
                <w:sz w:val="21"/>
                <w:szCs w:val="21"/>
                <w:lang w:eastAsia="zh-CN"/>
              </w:rPr>
              <w:t>存在差异，同时没</w:t>
            </w:r>
            <w:r>
              <w:rPr>
                <w:rFonts w:hint="eastAsia" w:ascii="宋体" w:hAnsi="宋体" w:eastAsia="宋体" w:cs="宋体"/>
                <w:color w:val="auto"/>
                <w:kern w:val="0"/>
                <w:sz w:val="21"/>
                <w:szCs w:val="21"/>
                <w:lang w:val="en-US" w:eastAsia="zh-CN" w:bidi="ar"/>
              </w:rPr>
              <w:t>有违约责任承诺的得</w:t>
            </w:r>
            <w:r>
              <w:rPr>
                <w:rFonts w:hint="eastAsia" w:ascii="宋体" w:hAnsi="宋体" w:cs="宋体"/>
                <w:color w:val="auto"/>
                <w:kern w:val="0"/>
                <w:sz w:val="21"/>
                <w:szCs w:val="21"/>
                <w:lang w:val="en-US" w:eastAsia="zh-CN" w:bidi="ar"/>
              </w:rPr>
              <w:t>4</w:t>
            </w:r>
            <w:r>
              <w:rPr>
                <w:rFonts w:hint="eastAsia" w:ascii="宋体" w:hAnsi="宋体" w:eastAsia="宋体" w:cs="宋体"/>
                <w:color w:val="auto"/>
                <w:kern w:val="0"/>
                <w:sz w:val="21"/>
                <w:szCs w:val="21"/>
                <w:lang w:val="en-US" w:eastAsia="zh-CN" w:bidi="ar"/>
              </w:rPr>
              <w:t>分；</w:t>
            </w:r>
          </w:p>
          <w:p w14:paraId="7ADBE6AA">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④工期承诺和保证措施</w:t>
            </w:r>
            <w:r>
              <w:rPr>
                <w:rFonts w:hint="eastAsia" w:ascii="宋体" w:hAnsi="宋体" w:eastAsia="宋体" w:cs="宋体"/>
                <w:color w:val="auto"/>
                <w:kern w:val="0"/>
                <w:sz w:val="21"/>
                <w:szCs w:val="21"/>
                <w:lang w:val="en-US" w:eastAsia="zh-CN" w:bidi="ar"/>
              </w:rPr>
              <w:t>描述缺乏完整性、合理性的得</w:t>
            </w:r>
            <w:r>
              <w:rPr>
                <w:rFonts w:hint="eastAsia" w:ascii="宋体" w:hAnsi="宋体" w:cs="宋体"/>
                <w:color w:val="auto"/>
                <w:kern w:val="0"/>
                <w:sz w:val="21"/>
                <w:szCs w:val="21"/>
                <w:lang w:val="en-US" w:eastAsia="zh-CN" w:bidi="ar"/>
              </w:rPr>
              <w:t>2</w:t>
            </w:r>
            <w:r>
              <w:rPr>
                <w:rFonts w:hint="eastAsia" w:ascii="宋体" w:hAnsi="宋体" w:eastAsia="宋体" w:cs="宋体"/>
                <w:color w:val="auto"/>
                <w:kern w:val="0"/>
                <w:sz w:val="21"/>
                <w:szCs w:val="21"/>
                <w:lang w:val="en-US" w:eastAsia="zh-CN" w:bidi="ar"/>
              </w:rPr>
              <w:t>分；</w:t>
            </w:r>
          </w:p>
          <w:p w14:paraId="04DF1A9B">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⑤没有工期承诺和保证措施不得分。</w:t>
            </w:r>
          </w:p>
        </w:tc>
      </w:tr>
      <w:tr w14:paraId="163CF41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488" w:hRule="atLeast"/>
          <w:jc w:val="center"/>
        </w:trPr>
        <w:tc>
          <w:tcPr>
            <w:tcW w:w="894" w:type="dxa"/>
            <w:vMerge w:val="continue"/>
            <w:noWrap w:val="0"/>
            <w:vAlign w:val="center"/>
          </w:tcPr>
          <w:p w14:paraId="4D124595">
            <w:pPr>
              <w:keepNext w:val="0"/>
              <w:keepLines w:val="0"/>
              <w:pageBreakBefore w:val="0"/>
              <w:widowControl w:val="0"/>
              <w:kinsoku w:val="0"/>
              <w:wordWrap/>
              <w:overflowPunct w:val="0"/>
              <w:topLinePunct w:val="0"/>
              <w:autoSpaceDE/>
              <w:autoSpaceDN/>
              <w:bidi w:val="0"/>
              <w:adjustRightInd/>
              <w:snapToGrid/>
              <w:spacing w:line="480" w:lineRule="exact"/>
              <w:textAlignment w:val="auto"/>
              <w:rPr>
                <w:rFonts w:hint="eastAsia" w:ascii="宋体" w:hAnsi="宋体" w:eastAsia="宋体" w:cs="宋体"/>
                <w:color w:val="auto"/>
                <w:sz w:val="21"/>
                <w:szCs w:val="21"/>
              </w:rPr>
            </w:pPr>
          </w:p>
        </w:tc>
        <w:tc>
          <w:tcPr>
            <w:tcW w:w="1961" w:type="dxa"/>
            <w:noWrap w:val="0"/>
            <w:vAlign w:val="center"/>
          </w:tcPr>
          <w:p w14:paraId="1A1CC895">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商务</w:t>
            </w:r>
            <w:r>
              <w:rPr>
                <w:rFonts w:hint="eastAsia" w:ascii="宋体" w:hAnsi="宋体" w:eastAsia="宋体" w:cs="宋体"/>
                <w:color w:val="auto"/>
                <w:sz w:val="21"/>
                <w:szCs w:val="21"/>
              </w:rPr>
              <w:t>部分评分标准</w:t>
            </w:r>
          </w:p>
          <w:p w14:paraId="1912C65B">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F</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p>
        </w:tc>
        <w:tc>
          <w:tcPr>
            <w:tcW w:w="1224" w:type="dxa"/>
            <w:noWrap w:val="0"/>
            <w:vAlign w:val="center"/>
          </w:tcPr>
          <w:p w14:paraId="0CD28BBF">
            <w:pPr>
              <w:keepNext w:val="0"/>
              <w:keepLines w:val="0"/>
              <w:pageBreakBefore w:val="0"/>
              <w:widowControl w:val="0"/>
              <w:kinsoku w:val="0"/>
              <w:wordWrap/>
              <w:overflowPunct w:val="0"/>
              <w:topLinePunct w:val="0"/>
              <w:autoSpaceDE/>
              <w:autoSpaceDN/>
              <w:bidi w:val="0"/>
              <w:adjustRightInd/>
              <w:snapToGrid/>
              <w:spacing w:line="48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项目组成人员</w:t>
            </w:r>
            <w:r>
              <w:rPr>
                <w:rFonts w:hint="eastAsia" w:ascii="宋体" w:hAnsi="宋体" w:eastAsia="宋体" w:cs="宋体"/>
                <w:color w:val="auto"/>
                <w:sz w:val="21"/>
                <w:szCs w:val="21"/>
                <w:lang w:eastAsia="zh-CN"/>
              </w:rPr>
              <w:t>评分（</w:t>
            </w: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5707" w:type="dxa"/>
            <w:noWrap w:val="0"/>
            <w:vAlign w:val="center"/>
          </w:tcPr>
          <w:p w14:paraId="486CB1A7">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①项目组成人员专业配置完全满足项目需求，针对工程实际，配置合理、科学； </w:t>
            </w:r>
          </w:p>
          <w:p w14:paraId="298B32D0">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②项目组成人员管理体系完善，有科学严谨的管理程序； </w:t>
            </w:r>
          </w:p>
          <w:p w14:paraId="26A064BA">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每项</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分，以上方面，均有完整、具体详细的描述的，得满分1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分；有一项描述缺乏完整性</w:t>
            </w:r>
            <w:r>
              <w:rPr>
                <w:rFonts w:hint="eastAsia" w:ascii="宋体" w:hAnsi="宋体" w:eastAsia="宋体" w:cs="宋体"/>
                <w:color w:val="auto"/>
                <w:spacing w:val="-6"/>
                <w:sz w:val="21"/>
                <w:szCs w:val="21"/>
                <w:lang w:val="en-US" w:eastAsia="zh-CN"/>
              </w:rPr>
              <w:t>、合理性的扣3分；有一项缺项漏项的扣</w:t>
            </w:r>
            <w:r>
              <w:rPr>
                <w:rFonts w:hint="eastAsia" w:ascii="宋体" w:hAnsi="宋体" w:cs="宋体"/>
                <w:color w:val="auto"/>
                <w:spacing w:val="-6"/>
                <w:sz w:val="21"/>
                <w:szCs w:val="21"/>
                <w:lang w:val="en-US" w:eastAsia="zh-CN"/>
              </w:rPr>
              <w:t>5</w:t>
            </w:r>
            <w:r>
              <w:rPr>
                <w:rFonts w:hint="eastAsia" w:ascii="宋体" w:hAnsi="宋体" w:eastAsia="宋体" w:cs="宋体"/>
                <w:color w:val="auto"/>
                <w:spacing w:val="-6"/>
                <w:sz w:val="21"/>
                <w:szCs w:val="21"/>
                <w:lang w:val="en-US" w:eastAsia="zh-CN"/>
              </w:rPr>
              <w:t>分。</w:t>
            </w:r>
            <w:r>
              <w:rPr>
                <w:rFonts w:hint="eastAsia" w:ascii="宋体" w:hAnsi="宋体" w:eastAsia="宋体" w:cs="宋体"/>
                <w:color w:val="auto"/>
                <w:sz w:val="21"/>
                <w:szCs w:val="21"/>
                <w:lang w:val="en-US" w:eastAsia="zh-CN"/>
              </w:rPr>
              <w:t xml:space="preserve"> </w:t>
            </w:r>
          </w:p>
          <w:p w14:paraId="73F134ED">
            <w:pPr>
              <w:keepNext w:val="0"/>
              <w:keepLines w:val="0"/>
              <w:pageBreakBefore w:val="0"/>
              <w:widowControl w:val="0"/>
              <w:kinsoku w:val="0"/>
              <w:wordWrap/>
              <w:overflowPunct w:val="0"/>
              <w:topLinePunct w:val="0"/>
              <w:autoSpaceDE/>
              <w:autoSpaceDN/>
              <w:bidi w:val="0"/>
              <w:adjustRightInd/>
              <w:snapToGrid/>
              <w:spacing w:line="48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注：须提供人员证书，未提供证明材料的不予认可。</w:t>
            </w:r>
          </w:p>
        </w:tc>
      </w:tr>
    </w:tbl>
    <w:p w14:paraId="2F40F59D">
      <w:pPr>
        <w:pStyle w:val="3"/>
        <w:keepLines w:val="0"/>
        <w:pageBreakBefore w:val="0"/>
        <w:widowControl w:val="0"/>
        <w:numPr>
          <w:ilvl w:val="1"/>
          <w:numId w:val="0"/>
        </w:numPr>
        <w:tabs>
          <w:tab w:val="left" w:pos="360"/>
        </w:tabs>
        <w:kinsoku/>
        <w:wordWrap/>
        <w:overflowPunct/>
        <w:topLinePunct w:val="0"/>
        <w:autoSpaceDE/>
        <w:autoSpaceDN/>
        <w:bidi w:val="0"/>
        <w:snapToGrid/>
        <w:spacing w:before="0" w:line="480" w:lineRule="exact"/>
        <w:ind w:left="0" w:firstLine="422"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磋商方法</w:t>
      </w:r>
    </w:p>
    <w:p w14:paraId="7646DBB6">
      <w:pPr>
        <w:keepLines w:val="0"/>
        <w:pageBreakBefore w:val="0"/>
        <w:widowControl w:val="0"/>
        <w:kinsoku/>
        <w:wordWrap/>
        <w:overflowPunct/>
        <w:topLinePunct w:val="0"/>
        <w:autoSpaceDE/>
        <w:autoSpaceDN/>
        <w:bidi w:val="0"/>
        <w:adjustRightInd w:val="0"/>
        <w:snapToGrid/>
        <w:spacing w:line="480" w:lineRule="exact"/>
        <w:ind w:left="0"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本次</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采用综合评分法。</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对</w:t>
      </w:r>
      <w:r>
        <w:rPr>
          <w:rFonts w:hint="eastAsia" w:ascii="宋体" w:hAnsi="宋体" w:eastAsia="宋体" w:cs="宋体"/>
          <w:color w:val="auto"/>
          <w:kern w:val="0"/>
          <w:sz w:val="21"/>
          <w:szCs w:val="21"/>
        </w:rPr>
        <w:t>满足</w:t>
      </w:r>
      <w:r>
        <w:rPr>
          <w:rFonts w:hint="eastAsia" w:ascii="宋体" w:hAnsi="宋体" w:eastAsia="宋体" w:cs="宋体"/>
          <w:color w:val="auto"/>
          <w:kern w:val="0"/>
          <w:sz w:val="21"/>
          <w:szCs w:val="21"/>
          <w:lang w:eastAsia="zh-CN"/>
        </w:rPr>
        <w:t>磋商文件</w:t>
      </w:r>
      <w:r>
        <w:rPr>
          <w:rFonts w:hint="eastAsia" w:ascii="宋体" w:hAnsi="宋体" w:eastAsia="宋体" w:cs="宋体"/>
          <w:color w:val="auto"/>
          <w:kern w:val="0"/>
          <w:sz w:val="21"/>
          <w:szCs w:val="21"/>
        </w:rPr>
        <w:t>全部实质性要求（即通过资格性评审及符合性评审）的</w:t>
      </w:r>
      <w:r>
        <w:rPr>
          <w:rFonts w:hint="eastAsia" w:ascii="宋体" w:hAnsi="宋体" w:eastAsia="宋体" w:cs="宋体"/>
          <w:color w:val="auto"/>
          <w:kern w:val="0"/>
          <w:sz w:val="21"/>
          <w:szCs w:val="21"/>
          <w:lang w:eastAsia="zh-CN"/>
        </w:rPr>
        <w:t>磋商申请文件</w:t>
      </w:r>
      <w:r>
        <w:rPr>
          <w:rFonts w:hint="eastAsia" w:ascii="宋体" w:hAnsi="宋体" w:eastAsia="宋体" w:cs="宋体"/>
          <w:color w:val="auto"/>
          <w:sz w:val="21"/>
          <w:szCs w:val="21"/>
        </w:rPr>
        <w:t>，按照本章前附表规定的评分标准进行打分，并按评标总得分计算公式计算评标总得分，按总得分由高到低的顺序推荐3名</w:t>
      </w:r>
      <w:r>
        <w:rPr>
          <w:rFonts w:hint="eastAsia" w:ascii="宋体" w:hAnsi="宋体" w:eastAsia="宋体" w:cs="宋体"/>
          <w:color w:val="auto"/>
          <w:sz w:val="21"/>
          <w:szCs w:val="21"/>
          <w:lang w:eastAsia="zh-CN"/>
        </w:rPr>
        <w:t>成交候选人</w:t>
      </w:r>
      <w:r>
        <w:rPr>
          <w:rFonts w:hint="eastAsia" w:ascii="宋体" w:hAnsi="宋体" w:eastAsia="宋体" w:cs="宋体"/>
          <w:color w:val="auto"/>
          <w:sz w:val="21"/>
          <w:szCs w:val="21"/>
        </w:rPr>
        <w:t>；评标总得分相等时，按</w:t>
      </w: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由低到高顺序排列；评标总得分相等且</w:t>
      </w: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相同时，按技术部分得分高低顺序排列；所有得分均相等的，由</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采用记名投票方式，以少数服从多数原则推荐</w:t>
      </w:r>
      <w:r>
        <w:rPr>
          <w:rFonts w:hint="eastAsia" w:ascii="宋体" w:hAnsi="宋体" w:eastAsia="宋体" w:cs="宋体"/>
          <w:color w:val="auto"/>
          <w:sz w:val="21"/>
          <w:szCs w:val="21"/>
          <w:lang w:eastAsia="zh-CN"/>
        </w:rPr>
        <w:t>成交候选人</w:t>
      </w:r>
      <w:r>
        <w:rPr>
          <w:rFonts w:hint="eastAsia" w:ascii="宋体" w:hAnsi="宋体" w:eastAsia="宋体" w:cs="宋体"/>
          <w:color w:val="auto"/>
          <w:sz w:val="21"/>
          <w:szCs w:val="21"/>
        </w:rPr>
        <w:t>。</w:t>
      </w:r>
    </w:p>
    <w:p w14:paraId="300C0053">
      <w:pPr>
        <w:pStyle w:val="3"/>
        <w:keepLines w:val="0"/>
        <w:pageBreakBefore w:val="0"/>
        <w:widowControl w:val="0"/>
        <w:numPr>
          <w:ilvl w:val="1"/>
          <w:numId w:val="0"/>
        </w:numPr>
        <w:tabs>
          <w:tab w:val="left" w:pos="360"/>
        </w:tabs>
        <w:kinsoku/>
        <w:wordWrap/>
        <w:overflowPunct/>
        <w:topLinePunct w:val="0"/>
        <w:autoSpaceDE/>
        <w:autoSpaceDN/>
        <w:bidi w:val="0"/>
        <w:snapToGrid/>
        <w:spacing w:before="0" w:line="480" w:lineRule="exact"/>
        <w:ind w:left="0" w:firstLine="422"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2.政府采购政策</w:t>
      </w:r>
    </w:p>
    <w:p w14:paraId="6DFB158B">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 xml:space="preserve"> 关于中小企业：</w:t>
      </w:r>
    </w:p>
    <w:p w14:paraId="468FD690">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.1 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067DDCB5">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.2 符合中小企业划分标准的个体工商户，在政府采购活动中视同中小企业。</w:t>
      </w:r>
    </w:p>
    <w:p w14:paraId="180E0D49">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.3 在政府采购活动中，</w:t>
      </w:r>
      <w:r>
        <w:rPr>
          <w:rFonts w:hint="eastAsia" w:ascii="宋体" w:hAnsi="宋体" w:cs="宋体"/>
          <w:color w:val="auto"/>
          <w:sz w:val="21"/>
          <w:szCs w:val="21"/>
          <w:lang w:val="en-US" w:eastAsia="zh-CN"/>
        </w:rPr>
        <w:t>磋商申请人</w:t>
      </w:r>
      <w:r>
        <w:rPr>
          <w:rFonts w:hint="eastAsia" w:ascii="宋体" w:hAnsi="宋体" w:eastAsia="宋体" w:cs="宋体"/>
          <w:color w:val="auto"/>
          <w:sz w:val="21"/>
          <w:szCs w:val="21"/>
          <w:lang w:val="en-US" w:eastAsia="zh-CN"/>
        </w:rPr>
        <w:t>提供的货物、工程或者服务符合下列情形的，享受《关于印发&lt;政府采购促进中小企业发展管理办法&gt;的通知》（财库〔2020〕46号）规定的中小企业扶持政策：</w:t>
      </w:r>
    </w:p>
    <w:p w14:paraId="7D41E970">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（一）在货物采购项目中，货物由中小企业制造，即货物由中小企业生产且使用该中小企业商号或者注册商标；</w:t>
      </w:r>
    </w:p>
    <w:p w14:paraId="61D6469B">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（二）在工程采购项目中，工程由中小企业承建，即工程施工单位为中小企业；</w:t>
      </w:r>
    </w:p>
    <w:p w14:paraId="759AC374">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（三）在服务采购项目中，服务由中小企业承接，即提供服务的人员为中小企业依照《中华人民共和国劳动合同法》订立劳动合同的从业人员。</w:t>
      </w:r>
    </w:p>
    <w:p w14:paraId="33ACE52C">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.4 在货物采购项目中，</w:t>
      </w:r>
      <w:r>
        <w:rPr>
          <w:rFonts w:hint="eastAsia" w:ascii="宋体" w:hAnsi="宋体" w:cs="宋体"/>
          <w:color w:val="auto"/>
          <w:sz w:val="21"/>
          <w:szCs w:val="21"/>
          <w:lang w:val="en-US" w:eastAsia="zh-CN"/>
        </w:rPr>
        <w:t>磋商申请人</w:t>
      </w:r>
      <w:r>
        <w:rPr>
          <w:rFonts w:hint="eastAsia" w:ascii="宋体" w:hAnsi="宋体" w:eastAsia="宋体" w:cs="宋体"/>
          <w:color w:val="auto"/>
          <w:sz w:val="21"/>
          <w:szCs w:val="21"/>
          <w:lang w:val="en-US" w:eastAsia="zh-CN"/>
        </w:rPr>
        <w:t>提供的货物既有中小企业制造货物，也有大型企业制造货物的，不享受本办法规定的中小企业扶持政策。</w:t>
      </w:r>
    </w:p>
    <w:p w14:paraId="3279C1FF">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.5 以联合体形式参加政府采购活动，联合体各方均为中小企业的，联合体视同中小企业。其中，联合体各方均为小微企业的,联合体视同小微企业。</w:t>
      </w:r>
    </w:p>
    <w:p w14:paraId="3B9F6089">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.6 中小企业参加政府采购活动，应当出具《关于印发&lt;政府采购促进中小企业发展管理办法&gt;的通知》（财库〔2020〕46号）规定的《中小企业声明函》，否则不得享受相关中小企业扶持政策。</w:t>
      </w:r>
    </w:p>
    <w:p w14:paraId="09BE9D98">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.7 规定依据《关于印发&lt;政府采购促进中小企业发展管理办法&gt;的通知》（财库〔2020〕46号）规定享受扶持政策获得政府采购合同的，小微企业不得将合同分包给大中型企业，中型企业不得将合同分包给大型企业。</w:t>
      </w:r>
    </w:p>
    <w:p w14:paraId="66FC2A98">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.8 根据中小企业划分标准，本项目所属行业为建筑业。</w:t>
      </w:r>
    </w:p>
    <w:p w14:paraId="574003DA">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.9 本项目针对中小企业报价给予5%的扣除，用扣除后的价格参与评审。</w:t>
      </w:r>
    </w:p>
    <w:p w14:paraId="6D8219AC">
      <w:pPr>
        <w:keepLines w:val="0"/>
        <w:pageBreakBefore w:val="0"/>
        <w:widowControl w:val="0"/>
        <w:kinsoku/>
        <w:wordWrap/>
        <w:overflowPunct/>
        <w:topLinePunct w:val="0"/>
        <w:autoSpaceDE/>
        <w:autoSpaceDN/>
        <w:bidi w:val="0"/>
        <w:adjustRightInd w:val="0"/>
        <w:snapToGrid/>
        <w:spacing w:line="480" w:lineRule="exact"/>
        <w:ind w:left="0" w:firstLine="420" w:firstLineChars="200"/>
        <w:textAlignment w:val="auto"/>
        <w:rPr>
          <w:rFonts w:hint="eastAsia" w:ascii="宋体" w:hAnsi="宋体" w:eastAsia="宋体" w:cs="宋体"/>
          <w:b/>
          <w:color w:val="auto"/>
          <w:kern w:val="2"/>
          <w:sz w:val="21"/>
          <w:szCs w:val="21"/>
          <w:lang w:val="en-US" w:eastAsia="zh-CN" w:bidi="ar-SA"/>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.10 中标、成交</w:t>
      </w:r>
      <w:r>
        <w:rPr>
          <w:rFonts w:hint="eastAsia" w:ascii="宋体" w:hAnsi="宋体" w:cs="宋体"/>
          <w:color w:val="auto"/>
          <w:sz w:val="21"/>
          <w:szCs w:val="21"/>
          <w:lang w:val="en-US" w:eastAsia="zh-CN"/>
        </w:rPr>
        <w:t>磋商申请人</w:t>
      </w:r>
      <w:r>
        <w:rPr>
          <w:rFonts w:hint="eastAsia" w:ascii="宋体" w:hAnsi="宋体" w:eastAsia="宋体" w:cs="宋体"/>
          <w:color w:val="auto"/>
          <w:sz w:val="21"/>
          <w:szCs w:val="21"/>
          <w:lang w:val="en-US" w:eastAsia="zh-CN"/>
        </w:rPr>
        <w:t>享受本办法规定的中小企业扶持政策的，采购人、采购代理机构将随中标、成交结果公开中标、成交</w:t>
      </w:r>
      <w:r>
        <w:rPr>
          <w:rFonts w:hint="eastAsia" w:ascii="宋体" w:hAnsi="宋体" w:cs="宋体"/>
          <w:color w:val="auto"/>
          <w:sz w:val="21"/>
          <w:szCs w:val="21"/>
          <w:lang w:val="en-US" w:eastAsia="zh-CN"/>
        </w:rPr>
        <w:t>磋商申请人</w:t>
      </w:r>
      <w:r>
        <w:rPr>
          <w:rFonts w:hint="eastAsia" w:ascii="宋体" w:hAnsi="宋体" w:eastAsia="宋体" w:cs="宋体"/>
          <w:color w:val="auto"/>
          <w:sz w:val="21"/>
          <w:szCs w:val="21"/>
          <w:lang w:val="en-US" w:eastAsia="zh-CN"/>
        </w:rPr>
        <w:t>的《中小企业声明函》。</w:t>
      </w:r>
    </w:p>
    <w:p w14:paraId="5F55033B">
      <w:pPr>
        <w:pStyle w:val="15"/>
        <w:keepLines w:val="0"/>
        <w:pageBreakBefore w:val="0"/>
        <w:widowControl w:val="0"/>
        <w:tabs>
          <w:tab w:val="left" w:pos="2472"/>
        </w:tabs>
        <w:kinsoku/>
        <w:wordWrap/>
        <w:overflowPunct/>
        <w:topLinePunct w:val="0"/>
        <w:autoSpaceDE/>
        <w:autoSpaceDN/>
        <w:bidi w:val="0"/>
        <w:snapToGrid/>
        <w:spacing w:line="480" w:lineRule="exact"/>
        <w:ind w:left="0"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2.2监狱企业</w:t>
      </w:r>
    </w:p>
    <w:p w14:paraId="2D4F8454">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B731178">
      <w:pPr>
        <w:pStyle w:val="15"/>
        <w:keepLines w:val="0"/>
        <w:pageBreakBefore w:val="0"/>
        <w:widowControl w:val="0"/>
        <w:tabs>
          <w:tab w:val="left" w:pos="2472"/>
        </w:tabs>
        <w:kinsoku/>
        <w:wordWrap/>
        <w:overflowPunct/>
        <w:topLinePunct w:val="0"/>
        <w:autoSpaceDE/>
        <w:autoSpaceDN/>
        <w:bidi w:val="0"/>
        <w:snapToGrid/>
        <w:spacing w:line="480" w:lineRule="exact"/>
        <w:ind w:left="0"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2.3残疾人福利性单位</w:t>
      </w:r>
    </w:p>
    <w:p w14:paraId="367C706B">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2.3.1根据《财政部 民政部 中国残疾人联合会关于促进残疾人就业政府采购政策的通知》，享受政府采购支持政策的残疾人福利性单位应当同时满足以下条件：</w:t>
      </w:r>
    </w:p>
    <w:p w14:paraId="7EADB9D2">
      <w:pPr>
        <w:pStyle w:val="15"/>
        <w:keepLines w:val="0"/>
        <w:pageBreakBefore w:val="0"/>
        <w:widowControl w:val="0"/>
        <w:tabs>
          <w:tab w:val="left" w:pos="2472"/>
        </w:tabs>
        <w:kinsoku/>
        <w:wordWrap/>
        <w:overflowPunct/>
        <w:topLinePunct w:val="0"/>
        <w:autoSpaceDE/>
        <w:autoSpaceDN/>
        <w:bidi w:val="0"/>
        <w:snapToGrid/>
        <w:spacing w:line="48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（1）安置的残疾人占本单位在职职工人数的比例不低于25%（含25%），并且安置的残疾人人数不少于10人（含10人）；</w:t>
      </w:r>
    </w:p>
    <w:p w14:paraId="2914EBF8">
      <w:pPr>
        <w:pStyle w:val="15"/>
        <w:keepLines w:val="0"/>
        <w:pageBreakBefore w:val="0"/>
        <w:widowControl w:val="0"/>
        <w:tabs>
          <w:tab w:val="left" w:pos="2472"/>
        </w:tabs>
        <w:kinsoku/>
        <w:wordWrap/>
        <w:overflowPunct/>
        <w:topLinePunct w:val="0"/>
        <w:autoSpaceDE/>
        <w:autoSpaceDN/>
        <w:bidi w:val="0"/>
        <w:snapToGrid/>
        <w:spacing w:line="48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（2）依法与安置的每位残疾人签订了一年以上（含一年）的劳动合同或服务协议；</w:t>
      </w:r>
    </w:p>
    <w:p w14:paraId="64BE8BD1">
      <w:pPr>
        <w:pStyle w:val="15"/>
        <w:keepLines w:val="0"/>
        <w:pageBreakBefore w:val="0"/>
        <w:widowControl w:val="0"/>
        <w:tabs>
          <w:tab w:val="left" w:pos="2472"/>
        </w:tabs>
        <w:kinsoku/>
        <w:wordWrap/>
        <w:overflowPunct/>
        <w:topLinePunct w:val="0"/>
        <w:autoSpaceDE/>
        <w:autoSpaceDN/>
        <w:bidi w:val="0"/>
        <w:snapToGrid/>
        <w:spacing w:line="48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（3）为安置的每位残疾人按月足额缴纳了基本养老保险、基本医疗保险、失业保险、工伤保险和生育保险等社会保险费；</w:t>
      </w:r>
    </w:p>
    <w:p w14:paraId="11ABC00E">
      <w:pPr>
        <w:pStyle w:val="15"/>
        <w:keepLines w:val="0"/>
        <w:pageBreakBefore w:val="0"/>
        <w:widowControl w:val="0"/>
        <w:tabs>
          <w:tab w:val="left" w:pos="2472"/>
        </w:tabs>
        <w:kinsoku/>
        <w:wordWrap/>
        <w:overflowPunct/>
        <w:topLinePunct w:val="0"/>
        <w:autoSpaceDE/>
        <w:autoSpaceDN/>
        <w:bidi w:val="0"/>
        <w:snapToGrid/>
        <w:spacing w:line="48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（4）通过银行等金融机构向安置的每位残疾人，按月支付了不低于单位所在区县适用的经省级人民政府批准的月最低工资标准的工资；</w:t>
      </w:r>
    </w:p>
    <w:p w14:paraId="04C78FAA">
      <w:pPr>
        <w:pStyle w:val="15"/>
        <w:keepLines w:val="0"/>
        <w:pageBreakBefore w:val="0"/>
        <w:widowControl w:val="0"/>
        <w:tabs>
          <w:tab w:val="left" w:pos="2472"/>
        </w:tabs>
        <w:kinsoku/>
        <w:wordWrap/>
        <w:overflowPunct/>
        <w:topLinePunct w:val="0"/>
        <w:autoSpaceDE/>
        <w:autoSpaceDN/>
        <w:bidi w:val="0"/>
        <w:snapToGrid/>
        <w:spacing w:line="48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（5）提供本单位制造的货物、承担的工程或者服务（以下简称产品），或者提供其他残疾人福利性单位制造的货物（不包括使用非残疾人福利性单位注册商标的货物）。</w:t>
      </w:r>
    </w:p>
    <w:p w14:paraId="7D755935">
      <w:pPr>
        <w:pStyle w:val="15"/>
        <w:keepLines w:val="0"/>
        <w:pageBreakBefore w:val="0"/>
        <w:widowControl w:val="0"/>
        <w:tabs>
          <w:tab w:val="left" w:pos="2472"/>
        </w:tabs>
        <w:kinsoku/>
        <w:wordWrap/>
        <w:overflowPunct/>
        <w:topLinePunct w:val="0"/>
        <w:autoSpaceDE/>
        <w:autoSpaceDN/>
        <w:bidi w:val="0"/>
        <w:snapToGrid/>
        <w:spacing w:line="480" w:lineRule="exact"/>
        <w:ind w:left="0" w:firstLine="424" w:firstLineChars="202"/>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85FDAA9">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2.3.2符合条件的残疾人福利性单位在参加政府采购活动时，应当提供《残疾人福利性单位声明函》，并对声明的真实性负责。</w:t>
      </w:r>
    </w:p>
    <w:p w14:paraId="1258B8FF">
      <w:pPr>
        <w:pStyle w:val="3"/>
        <w:keepLines w:val="0"/>
        <w:pageBreakBefore w:val="0"/>
        <w:widowControl w:val="0"/>
        <w:numPr>
          <w:ilvl w:val="1"/>
          <w:numId w:val="0"/>
        </w:numPr>
        <w:tabs>
          <w:tab w:val="left" w:pos="360"/>
        </w:tabs>
        <w:kinsoku/>
        <w:wordWrap/>
        <w:overflowPunct/>
        <w:topLinePunct w:val="0"/>
        <w:autoSpaceDE/>
        <w:autoSpaceDN/>
        <w:bidi w:val="0"/>
        <w:snapToGrid/>
        <w:spacing w:before="0" w:line="480" w:lineRule="exact"/>
        <w:ind w:left="0" w:firstLine="422"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3.评审标准</w:t>
      </w:r>
    </w:p>
    <w:p w14:paraId="18C1E599">
      <w:pPr>
        <w:pStyle w:val="4"/>
        <w:keepLines w:val="0"/>
        <w:pageBreakBefore w:val="0"/>
        <w:widowControl w:val="0"/>
        <w:numPr>
          <w:ilvl w:val="2"/>
          <w:numId w:val="0"/>
        </w:numPr>
        <w:tabs>
          <w:tab w:val="left" w:pos="360"/>
          <w:tab w:val="left" w:pos="900"/>
        </w:tabs>
        <w:kinsoku/>
        <w:wordWrap/>
        <w:overflowPunct/>
        <w:topLinePunct w:val="0"/>
        <w:autoSpaceDE/>
        <w:autoSpaceDN/>
        <w:bidi w:val="0"/>
        <w:snapToGrid/>
        <w:spacing w:before="0"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3.1符合性评审</w:t>
      </w:r>
    </w:p>
    <w:p w14:paraId="027437BE">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依据</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的规定，从</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的有效性、完整性和对</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的响应程度进行审查，以确定是否对</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的实质性要求作出响应；见评标办法前附表。</w:t>
      </w:r>
    </w:p>
    <w:p w14:paraId="12D8A72F">
      <w:pPr>
        <w:pStyle w:val="4"/>
        <w:keepLines w:val="0"/>
        <w:pageBreakBefore w:val="0"/>
        <w:widowControl w:val="0"/>
        <w:numPr>
          <w:ilvl w:val="2"/>
          <w:numId w:val="0"/>
        </w:numPr>
        <w:tabs>
          <w:tab w:val="left" w:pos="360"/>
          <w:tab w:val="left" w:pos="900"/>
        </w:tabs>
        <w:kinsoku/>
        <w:wordWrap/>
        <w:overflowPunct/>
        <w:topLinePunct w:val="0"/>
        <w:autoSpaceDE/>
        <w:autoSpaceDN/>
        <w:bidi w:val="0"/>
        <w:snapToGrid/>
        <w:spacing w:before="0"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3.2分值构成与评分标准</w:t>
      </w:r>
    </w:p>
    <w:p w14:paraId="333CE685">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3.2.1 分值构成</w:t>
      </w:r>
    </w:p>
    <w:p w14:paraId="4539736F">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：见评标办法前附表；</w:t>
      </w:r>
    </w:p>
    <w:p w14:paraId="6F42CB5D">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（2）技术部分：见评标办法前附表；</w:t>
      </w:r>
    </w:p>
    <w:p w14:paraId="143C8099">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商务</w:t>
      </w:r>
      <w:r>
        <w:rPr>
          <w:rFonts w:hint="eastAsia" w:ascii="宋体" w:hAnsi="宋体" w:eastAsia="宋体" w:cs="宋体"/>
          <w:color w:val="auto"/>
          <w:sz w:val="21"/>
          <w:szCs w:val="21"/>
        </w:rPr>
        <w:t>部分：见评标办法前附表。</w:t>
      </w:r>
    </w:p>
    <w:p w14:paraId="770E22C9">
      <w:pPr>
        <w:pStyle w:val="15"/>
        <w:keepLines w:val="0"/>
        <w:pageBreakBefore w:val="0"/>
        <w:widowControl w:val="0"/>
        <w:tabs>
          <w:tab w:val="left" w:pos="2472"/>
        </w:tabs>
        <w:kinsoku/>
        <w:wordWrap/>
        <w:overflowPunct/>
        <w:topLinePunct w:val="0"/>
        <w:autoSpaceDE/>
        <w:autoSpaceDN/>
        <w:bidi w:val="0"/>
        <w:snapToGrid/>
        <w:spacing w:line="48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3.2.2评分标准</w:t>
      </w:r>
    </w:p>
    <w:p w14:paraId="5AC73E5F">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按</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中规定的</w:t>
      </w:r>
      <w:r>
        <w:rPr>
          <w:rFonts w:hint="eastAsia" w:ascii="宋体" w:hAnsi="宋体" w:eastAsia="宋体" w:cs="宋体"/>
          <w:color w:val="auto"/>
          <w:sz w:val="21"/>
          <w:szCs w:val="21"/>
          <w:lang w:eastAsia="zh-CN"/>
        </w:rPr>
        <w:t>磋商方法</w:t>
      </w:r>
      <w:r>
        <w:rPr>
          <w:rFonts w:hint="eastAsia" w:ascii="宋体" w:hAnsi="宋体" w:eastAsia="宋体" w:cs="宋体"/>
          <w:color w:val="auto"/>
          <w:sz w:val="21"/>
          <w:szCs w:val="21"/>
        </w:rPr>
        <w:t>和标准，对资格评审和符合性评审合格的</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进行商务和技术评估，综合比较与评价。</w:t>
      </w:r>
    </w:p>
    <w:p w14:paraId="57893CA3">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评分标准：见评标办法前附表；</w:t>
      </w:r>
    </w:p>
    <w:p w14:paraId="196E0C98">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（2）技术部分评分标准：见评标办法前附表；</w:t>
      </w:r>
    </w:p>
    <w:p w14:paraId="0689D204">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商务</w:t>
      </w:r>
      <w:r>
        <w:rPr>
          <w:rFonts w:hint="eastAsia" w:ascii="宋体" w:hAnsi="宋体" w:eastAsia="宋体" w:cs="宋体"/>
          <w:color w:val="auto"/>
          <w:sz w:val="21"/>
          <w:szCs w:val="21"/>
        </w:rPr>
        <w:t>部分评分标准：见评标办法前附表。</w:t>
      </w:r>
    </w:p>
    <w:p w14:paraId="6B429E46">
      <w:pPr>
        <w:pStyle w:val="3"/>
        <w:keepLines w:val="0"/>
        <w:pageBreakBefore w:val="0"/>
        <w:widowControl w:val="0"/>
        <w:numPr>
          <w:ilvl w:val="1"/>
          <w:numId w:val="0"/>
        </w:numPr>
        <w:tabs>
          <w:tab w:val="left" w:pos="360"/>
        </w:tabs>
        <w:kinsoku/>
        <w:wordWrap/>
        <w:overflowPunct/>
        <w:topLinePunct w:val="0"/>
        <w:autoSpaceDE/>
        <w:autoSpaceDN/>
        <w:bidi w:val="0"/>
        <w:snapToGrid/>
        <w:spacing w:before="0" w:line="480" w:lineRule="exact"/>
        <w:ind w:left="0" w:firstLine="422"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4.评标程序</w:t>
      </w:r>
    </w:p>
    <w:p w14:paraId="48B68079">
      <w:pPr>
        <w:pStyle w:val="4"/>
        <w:keepLines w:val="0"/>
        <w:pageBreakBefore w:val="0"/>
        <w:widowControl w:val="0"/>
        <w:numPr>
          <w:ilvl w:val="2"/>
          <w:numId w:val="0"/>
        </w:numPr>
        <w:tabs>
          <w:tab w:val="left" w:pos="360"/>
          <w:tab w:val="left" w:pos="900"/>
        </w:tabs>
        <w:kinsoku/>
        <w:wordWrap/>
        <w:overflowPunct/>
        <w:topLinePunct w:val="0"/>
        <w:autoSpaceDE/>
        <w:autoSpaceDN/>
        <w:bidi w:val="0"/>
        <w:snapToGrid/>
        <w:spacing w:before="0"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4.1符合性评审</w:t>
      </w:r>
    </w:p>
    <w:p w14:paraId="4125B214">
      <w:pPr>
        <w:pStyle w:val="15"/>
        <w:keepLines w:val="0"/>
        <w:pageBreakBefore w:val="0"/>
        <w:widowControl w:val="0"/>
        <w:tabs>
          <w:tab w:val="left" w:pos="2472"/>
        </w:tabs>
        <w:kinsoku/>
        <w:wordWrap/>
        <w:overflowPunct/>
        <w:topLinePunct w:val="0"/>
        <w:autoSpaceDE/>
        <w:autoSpaceDN/>
        <w:bidi w:val="0"/>
        <w:snapToGrid/>
        <w:spacing w:line="480" w:lineRule="exact"/>
        <w:ind w:left="0" w:firstLine="396" w:firstLineChars="200"/>
        <w:textAlignment w:val="auto"/>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依据本章第3.1项规定的标准对</w:t>
      </w:r>
      <w:r>
        <w:rPr>
          <w:rFonts w:hint="eastAsia" w:ascii="宋体" w:hAnsi="宋体" w:eastAsia="宋体" w:cs="宋体"/>
          <w:color w:val="auto"/>
          <w:spacing w:val="-6"/>
          <w:sz w:val="21"/>
          <w:szCs w:val="21"/>
          <w:lang w:eastAsia="zh-CN"/>
        </w:rPr>
        <w:t>磋商申请文件</w:t>
      </w:r>
      <w:r>
        <w:rPr>
          <w:rFonts w:hint="eastAsia" w:ascii="宋体" w:hAnsi="宋体" w:eastAsia="宋体" w:cs="宋体"/>
          <w:color w:val="auto"/>
          <w:spacing w:val="-6"/>
          <w:sz w:val="21"/>
          <w:szCs w:val="21"/>
        </w:rPr>
        <w:t>进行符合性评审。有一项不符合评审标准的，作废标处理。</w:t>
      </w:r>
    </w:p>
    <w:p w14:paraId="1B2F1F58">
      <w:pPr>
        <w:pStyle w:val="4"/>
        <w:keepLines w:val="0"/>
        <w:pageBreakBefore w:val="0"/>
        <w:widowControl w:val="0"/>
        <w:numPr>
          <w:ilvl w:val="2"/>
          <w:numId w:val="0"/>
        </w:numPr>
        <w:tabs>
          <w:tab w:val="left" w:pos="360"/>
          <w:tab w:val="left" w:pos="900"/>
        </w:tabs>
        <w:kinsoku/>
        <w:wordWrap/>
        <w:overflowPunct/>
        <w:topLinePunct w:val="0"/>
        <w:autoSpaceDE/>
        <w:autoSpaceDN/>
        <w:bidi w:val="0"/>
        <w:snapToGrid/>
        <w:spacing w:before="0"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4.2详细评审</w:t>
      </w:r>
    </w:p>
    <w:p w14:paraId="1C5AF2ED">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4.2.1 </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按本章第3.2款规定的量化因素和分值进行打分，并计算出</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的评标总得分。</w:t>
      </w:r>
    </w:p>
    <w:p w14:paraId="5567A069">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规定的评分因素和分值对</w:t>
      </w:r>
      <w:r>
        <w:rPr>
          <w:rFonts w:hint="eastAsia" w:ascii="宋体" w:hAnsi="宋体" w:eastAsia="宋体" w:cs="宋体"/>
          <w:color w:val="auto"/>
          <w:sz w:val="21"/>
          <w:szCs w:val="21"/>
          <w:lang w:eastAsia="zh-CN"/>
        </w:rPr>
        <w:t>磋商报价</w:t>
      </w:r>
      <w:r>
        <w:rPr>
          <w:rFonts w:hint="eastAsia" w:ascii="宋体" w:hAnsi="宋体" w:eastAsia="宋体" w:cs="宋体"/>
          <w:color w:val="auto"/>
          <w:sz w:val="21"/>
          <w:szCs w:val="21"/>
        </w:rPr>
        <w:t>计算出得分F1；</w:t>
      </w:r>
    </w:p>
    <w:p w14:paraId="0F98C405">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eastAsia="zh-CN"/>
        </w:rPr>
        <w:t>技术部分</w:t>
      </w:r>
      <w:r>
        <w:rPr>
          <w:rFonts w:hint="eastAsia" w:ascii="宋体" w:hAnsi="宋体" w:eastAsia="宋体" w:cs="宋体"/>
          <w:color w:val="auto"/>
          <w:sz w:val="21"/>
          <w:szCs w:val="21"/>
        </w:rPr>
        <w:t>规定的评分因素和分值对技术部分计算出得分F2；</w:t>
      </w:r>
    </w:p>
    <w:p w14:paraId="5C158BA0">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商务部分</w:t>
      </w:r>
      <w:r>
        <w:rPr>
          <w:rFonts w:hint="eastAsia" w:ascii="宋体" w:hAnsi="宋体" w:eastAsia="宋体" w:cs="宋体"/>
          <w:color w:val="auto"/>
          <w:sz w:val="21"/>
          <w:szCs w:val="21"/>
        </w:rPr>
        <w:t>规定的评分因素和分值对业绩部分计算出得分F3；</w:t>
      </w:r>
    </w:p>
    <w:p w14:paraId="7BA1BE3F">
      <w:pPr>
        <w:pStyle w:val="15"/>
        <w:keepLines w:val="0"/>
        <w:pageBreakBefore w:val="0"/>
        <w:widowControl w:val="0"/>
        <w:tabs>
          <w:tab w:val="left" w:pos="2472"/>
        </w:tabs>
        <w:kinsoku/>
        <w:wordWrap/>
        <w:overflowPunct/>
        <w:topLinePunct w:val="0"/>
        <w:autoSpaceDE/>
        <w:autoSpaceDN/>
        <w:bidi w:val="0"/>
        <w:snapToGrid/>
        <w:spacing w:line="48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（4）按本章所列公式计算评标总得分。</w:t>
      </w:r>
    </w:p>
    <w:p w14:paraId="760B81D7">
      <w:pPr>
        <w:pStyle w:val="15"/>
        <w:keepLines w:val="0"/>
        <w:pageBreakBefore w:val="0"/>
        <w:widowControl w:val="0"/>
        <w:tabs>
          <w:tab w:val="left" w:pos="2472"/>
        </w:tabs>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4.2.2</w:t>
      </w:r>
      <w:r>
        <w:rPr>
          <w:rFonts w:hint="eastAsia" w:ascii="宋体" w:hAnsi="宋体" w:eastAsia="宋体" w:cs="宋体"/>
          <w:color w:val="auto"/>
          <w:spacing w:val="-6"/>
          <w:sz w:val="21"/>
          <w:szCs w:val="21"/>
          <w:lang w:eastAsia="zh-CN"/>
        </w:rPr>
        <w:t>磋商申请文件</w:t>
      </w:r>
      <w:r>
        <w:rPr>
          <w:rFonts w:hint="eastAsia" w:ascii="宋体" w:hAnsi="宋体" w:eastAsia="宋体" w:cs="宋体"/>
          <w:color w:val="auto"/>
          <w:spacing w:val="-6"/>
          <w:sz w:val="21"/>
          <w:szCs w:val="21"/>
        </w:rPr>
        <w:t>如果出现计算或表达上的错误，修正错误的原则如下：</w:t>
      </w:r>
    </w:p>
    <w:p w14:paraId="2D40ABDF">
      <w:pPr>
        <w:pStyle w:val="15"/>
        <w:keepLines w:val="0"/>
        <w:pageBreakBefore w:val="0"/>
        <w:widowControl w:val="0"/>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中开标一览表（报价表）内容与</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中相应内容不一致的，以开标一览表（报价表）为准；</w:t>
      </w:r>
    </w:p>
    <w:p w14:paraId="5C2E8811">
      <w:pPr>
        <w:pStyle w:val="15"/>
        <w:keepLines w:val="0"/>
        <w:pageBreakBefore w:val="0"/>
        <w:widowControl w:val="0"/>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（二）大写金额和小写金额不一致的，以大写金额为准；</w:t>
      </w:r>
    </w:p>
    <w:p w14:paraId="29B87DC7">
      <w:pPr>
        <w:pStyle w:val="15"/>
        <w:keepLines w:val="0"/>
        <w:pageBreakBefore w:val="0"/>
        <w:widowControl w:val="0"/>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（三）单价金额小数点或者百分比有明显错位的，以开标一览表的总价为准，并修改单价；</w:t>
      </w:r>
    </w:p>
    <w:p w14:paraId="710E2A1A">
      <w:pPr>
        <w:pStyle w:val="15"/>
        <w:keepLines w:val="0"/>
        <w:pageBreakBefore w:val="0"/>
        <w:widowControl w:val="0"/>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w:t>
      </w:r>
      <w:r>
        <w:rPr>
          <w:rFonts w:hint="eastAsia" w:ascii="宋体" w:hAnsi="宋体" w:eastAsia="宋体" w:cs="宋体"/>
          <w:color w:val="auto"/>
          <w:spacing w:val="-6"/>
          <w:sz w:val="21"/>
          <w:szCs w:val="21"/>
        </w:rPr>
        <w:t>总价金额与按单价汇总金额不一致的，以单价金额计算结果为准。</w:t>
      </w:r>
    </w:p>
    <w:p w14:paraId="71216338">
      <w:pPr>
        <w:pStyle w:val="15"/>
        <w:keepLines w:val="0"/>
        <w:pageBreakBefore w:val="0"/>
        <w:widowControl w:val="0"/>
        <w:kinsoku/>
        <w:wordWrap/>
        <w:overflowPunct/>
        <w:topLinePunct w:val="0"/>
        <w:autoSpaceDE/>
        <w:autoSpaceDN/>
        <w:bidi w:val="0"/>
        <w:snapToGrid/>
        <w:spacing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同时出现两种以上不一致的，按照前款规定的顺序修正。修正后的报价按照本章3.2款的规定经</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确认后产生约束力，</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不确认的，其投标无效。</w:t>
      </w:r>
    </w:p>
    <w:p w14:paraId="713795E9">
      <w:pPr>
        <w:keepLines w:val="0"/>
        <w:pageBreakBefore w:val="0"/>
        <w:widowControl w:val="0"/>
        <w:kinsoku/>
        <w:wordWrap/>
        <w:overflowPunct/>
        <w:topLinePunct w:val="0"/>
        <w:autoSpaceDE/>
        <w:autoSpaceDN/>
        <w:bidi w:val="0"/>
        <w:snapToGrid/>
        <w:spacing w:line="480" w:lineRule="exact"/>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4.2.3技术部分（F2）和业绩部分（F3）得分由</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成员独立评分，计算各</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得分的算术平均值计入各</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总分。评分分值计算保留小数点后两位，小数点后第三位“四舍五入”。</w:t>
      </w:r>
    </w:p>
    <w:p w14:paraId="3860CB7A">
      <w:pPr>
        <w:keepLines w:val="0"/>
        <w:pageBreakBefore w:val="0"/>
        <w:widowControl w:val="0"/>
        <w:kinsoku/>
        <w:wordWrap/>
        <w:overflowPunct/>
        <w:topLinePunct w:val="0"/>
        <w:autoSpaceDE/>
        <w:autoSpaceDN/>
        <w:bidi w:val="0"/>
        <w:snapToGrid/>
        <w:spacing w:line="480" w:lineRule="exact"/>
        <w:ind w:left="0" w:firstLine="420" w:firstLineChars="200"/>
        <w:jc w:val="left"/>
        <w:textAlignment w:val="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4.2.4</w:t>
      </w:r>
      <w:r>
        <w:rPr>
          <w:rFonts w:hint="eastAsia" w:ascii="宋体" w:hAnsi="宋体" w:eastAsia="宋体" w:cs="宋体"/>
          <w:color w:val="auto"/>
          <w:spacing w:val="0"/>
          <w:sz w:val="21"/>
          <w:szCs w:val="21"/>
          <w:lang w:eastAsia="zh-CN"/>
        </w:rPr>
        <w:t>磋商小组</w:t>
      </w:r>
      <w:r>
        <w:rPr>
          <w:rFonts w:hint="eastAsia" w:ascii="宋体" w:hAnsi="宋体" w:eastAsia="宋体" w:cs="宋体"/>
          <w:color w:val="auto"/>
          <w:spacing w:val="0"/>
          <w:sz w:val="21"/>
          <w:szCs w:val="21"/>
        </w:rPr>
        <w:t>认为</w:t>
      </w:r>
      <w:r>
        <w:rPr>
          <w:rFonts w:hint="eastAsia" w:ascii="宋体" w:hAnsi="宋体" w:eastAsia="宋体" w:cs="宋体"/>
          <w:color w:val="auto"/>
          <w:spacing w:val="0"/>
          <w:sz w:val="21"/>
          <w:szCs w:val="21"/>
          <w:lang w:eastAsia="zh-CN"/>
        </w:rPr>
        <w:t>磋商申请人</w:t>
      </w:r>
      <w:r>
        <w:rPr>
          <w:rFonts w:hint="eastAsia" w:ascii="宋体" w:hAnsi="宋体" w:eastAsia="宋体" w:cs="宋体"/>
          <w:color w:val="auto"/>
          <w:spacing w:val="0"/>
          <w:sz w:val="21"/>
          <w:szCs w:val="21"/>
        </w:rPr>
        <w:t>的报价明显低于其他通过符合性审查</w:t>
      </w:r>
      <w:r>
        <w:rPr>
          <w:rFonts w:hint="eastAsia" w:ascii="宋体" w:hAnsi="宋体" w:eastAsia="宋体" w:cs="宋体"/>
          <w:color w:val="auto"/>
          <w:spacing w:val="0"/>
          <w:sz w:val="21"/>
          <w:szCs w:val="21"/>
          <w:lang w:eastAsia="zh-CN"/>
        </w:rPr>
        <w:t>磋商申请人</w:t>
      </w:r>
      <w:r>
        <w:rPr>
          <w:rFonts w:hint="eastAsia" w:ascii="宋体" w:hAnsi="宋体" w:eastAsia="宋体" w:cs="宋体"/>
          <w:color w:val="auto"/>
          <w:spacing w:val="0"/>
          <w:sz w:val="21"/>
          <w:szCs w:val="21"/>
        </w:rPr>
        <w:t>的报价，有可能影响服务质量或者不能诚信履约的，应当要求其在评标现场合理的时间内提供书面说明，必要时提交相关证明材料；</w:t>
      </w:r>
      <w:r>
        <w:rPr>
          <w:rFonts w:hint="eastAsia" w:ascii="宋体" w:hAnsi="宋体" w:eastAsia="宋体" w:cs="宋体"/>
          <w:color w:val="auto"/>
          <w:spacing w:val="0"/>
          <w:sz w:val="21"/>
          <w:szCs w:val="21"/>
          <w:lang w:eastAsia="zh-CN"/>
        </w:rPr>
        <w:t>磋商申请人</w:t>
      </w:r>
      <w:r>
        <w:rPr>
          <w:rFonts w:hint="eastAsia" w:ascii="宋体" w:hAnsi="宋体" w:eastAsia="宋体" w:cs="宋体"/>
          <w:color w:val="auto"/>
          <w:spacing w:val="0"/>
          <w:sz w:val="21"/>
          <w:szCs w:val="21"/>
        </w:rPr>
        <w:t>不能证明其报价合理性的，</w:t>
      </w:r>
      <w:r>
        <w:rPr>
          <w:rFonts w:hint="eastAsia" w:ascii="宋体" w:hAnsi="宋体" w:eastAsia="宋体" w:cs="宋体"/>
          <w:color w:val="auto"/>
          <w:spacing w:val="0"/>
          <w:sz w:val="21"/>
          <w:szCs w:val="21"/>
          <w:lang w:eastAsia="zh-CN"/>
        </w:rPr>
        <w:t>磋商小组</w:t>
      </w:r>
      <w:r>
        <w:rPr>
          <w:rFonts w:hint="eastAsia" w:ascii="宋体" w:hAnsi="宋体" w:eastAsia="宋体" w:cs="宋体"/>
          <w:color w:val="auto"/>
          <w:spacing w:val="0"/>
          <w:sz w:val="21"/>
          <w:szCs w:val="21"/>
        </w:rPr>
        <w:t>应当将其作为无效投标处理。</w:t>
      </w:r>
    </w:p>
    <w:p w14:paraId="6B091465">
      <w:pPr>
        <w:keepLines w:val="0"/>
        <w:pageBreakBefore w:val="0"/>
        <w:widowControl w:val="0"/>
        <w:kinsoku/>
        <w:wordWrap/>
        <w:overflowPunct/>
        <w:topLinePunct w:val="0"/>
        <w:autoSpaceDE/>
        <w:autoSpaceDN/>
        <w:bidi w:val="0"/>
        <w:snapToGrid/>
        <w:spacing w:line="480" w:lineRule="exact"/>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4.2.5</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成员要依法独立评审，并对评审意见承担个人责任。</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成员对需要共同认定的事项存在争议的，按照少数服从多数的原则做出结论。持不同意见的</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成员应当在评标报告上签署不同意见并说明理由，否则视为同意。</w:t>
      </w:r>
    </w:p>
    <w:p w14:paraId="52273FA4">
      <w:pPr>
        <w:keepLines w:val="0"/>
        <w:pageBreakBefore w:val="0"/>
        <w:widowControl w:val="0"/>
        <w:kinsoku/>
        <w:wordWrap/>
        <w:overflowPunct/>
        <w:topLinePunct w:val="0"/>
        <w:autoSpaceDE/>
        <w:autoSpaceDN/>
        <w:bidi w:val="0"/>
        <w:snapToGrid/>
        <w:spacing w:line="480" w:lineRule="exact"/>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4.2.6评标中若遇特殊问题，由</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根据有关法律、法规研究决定。</w:t>
      </w:r>
    </w:p>
    <w:p w14:paraId="6CBA2E04">
      <w:pPr>
        <w:pStyle w:val="4"/>
        <w:keepLines w:val="0"/>
        <w:pageBreakBefore w:val="0"/>
        <w:widowControl w:val="0"/>
        <w:numPr>
          <w:ilvl w:val="2"/>
          <w:numId w:val="0"/>
        </w:numPr>
        <w:tabs>
          <w:tab w:val="left" w:pos="360"/>
          <w:tab w:val="left" w:pos="900"/>
        </w:tabs>
        <w:kinsoku/>
        <w:wordWrap/>
        <w:overflowPunct/>
        <w:topLinePunct w:val="0"/>
        <w:autoSpaceDE/>
        <w:autoSpaceDN/>
        <w:bidi w:val="0"/>
        <w:snapToGrid/>
        <w:spacing w:before="0"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的澄清和补正统计分数原则</w:t>
      </w:r>
    </w:p>
    <w:p w14:paraId="3CD27D1E">
      <w:pPr>
        <w:keepLines w:val="0"/>
        <w:pageBreakBefore w:val="0"/>
        <w:widowControl w:val="0"/>
        <w:kinsoku/>
        <w:wordWrap/>
        <w:overflowPunct/>
        <w:topLinePunct w:val="0"/>
        <w:autoSpaceDE/>
        <w:autoSpaceDN/>
        <w:bidi w:val="0"/>
        <w:snapToGrid/>
        <w:spacing w:line="480" w:lineRule="exact"/>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4.3.1 在评标过程中，</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可以书面形式要求</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对所提交的</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中含义不明确、同类问题表述不一致或者有明显文字和计算错误的内容，进行书面澄清或说明。</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不接受</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主动提出的澄清、说明。</w:t>
      </w:r>
    </w:p>
    <w:p w14:paraId="0655150C">
      <w:pPr>
        <w:keepLines w:val="0"/>
        <w:pageBreakBefore w:val="0"/>
        <w:widowControl w:val="0"/>
        <w:kinsoku/>
        <w:wordWrap/>
        <w:overflowPunct/>
        <w:topLinePunct w:val="0"/>
        <w:autoSpaceDE/>
        <w:autoSpaceDN/>
        <w:bidi w:val="0"/>
        <w:snapToGrid/>
        <w:spacing w:line="480" w:lineRule="exact"/>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4.3.2 </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的澄清、说明应当采用书面形式，由法定代表人或其授权的代表签字，澄清事项不得超出</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的范围并不得改变</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的实质性内容（算术性错误修正的除外）。</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的书面澄清、说明属于</w:t>
      </w:r>
      <w:r>
        <w:rPr>
          <w:rFonts w:hint="eastAsia" w:ascii="宋体" w:hAnsi="宋体" w:eastAsia="宋体" w:cs="宋体"/>
          <w:color w:val="auto"/>
          <w:sz w:val="21"/>
          <w:szCs w:val="21"/>
          <w:lang w:eastAsia="zh-CN"/>
        </w:rPr>
        <w:t>磋商申请文件</w:t>
      </w:r>
      <w:r>
        <w:rPr>
          <w:rFonts w:hint="eastAsia" w:ascii="宋体" w:hAnsi="宋体" w:eastAsia="宋体" w:cs="宋体"/>
          <w:color w:val="auto"/>
          <w:sz w:val="21"/>
          <w:szCs w:val="21"/>
        </w:rPr>
        <w:t>的组成部分。</w:t>
      </w:r>
    </w:p>
    <w:p w14:paraId="44739A1C">
      <w:pPr>
        <w:keepLines w:val="0"/>
        <w:pageBreakBefore w:val="0"/>
        <w:widowControl w:val="0"/>
        <w:kinsoku/>
        <w:wordWrap/>
        <w:overflowPunct/>
        <w:topLinePunct w:val="0"/>
        <w:autoSpaceDE/>
        <w:autoSpaceDN/>
        <w:bidi w:val="0"/>
        <w:snapToGrid/>
        <w:spacing w:line="480" w:lineRule="exact"/>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4.3.3 </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对</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提交的澄清、说明有疑问的，可以要求</w:t>
      </w:r>
      <w:r>
        <w:rPr>
          <w:rFonts w:hint="eastAsia" w:ascii="宋体" w:hAnsi="宋体" w:eastAsia="宋体" w:cs="宋体"/>
          <w:color w:val="auto"/>
          <w:sz w:val="21"/>
          <w:szCs w:val="21"/>
          <w:lang w:eastAsia="zh-CN"/>
        </w:rPr>
        <w:t>磋商申请人</w:t>
      </w:r>
      <w:r>
        <w:rPr>
          <w:rFonts w:hint="eastAsia" w:ascii="宋体" w:hAnsi="宋体" w:eastAsia="宋体" w:cs="宋体"/>
          <w:color w:val="auto"/>
          <w:sz w:val="21"/>
          <w:szCs w:val="21"/>
        </w:rPr>
        <w:t>进一步澄清、说明。</w:t>
      </w:r>
    </w:p>
    <w:p w14:paraId="1E768A54">
      <w:pPr>
        <w:pStyle w:val="4"/>
        <w:keepLines w:val="0"/>
        <w:pageBreakBefore w:val="0"/>
        <w:widowControl w:val="0"/>
        <w:numPr>
          <w:ilvl w:val="2"/>
          <w:numId w:val="0"/>
        </w:numPr>
        <w:tabs>
          <w:tab w:val="left" w:pos="360"/>
          <w:tab w:val="left" w:pos="900"/>
        </w:tabs>
        <w:kinsoku/>
        <w:wordWrap/>
        <w:overflowPunct/>
        <w:topLinePunct w:val="0"/>
        <w:autoSpaceDE/>
        <w:autoSpaceDN/>
        <w:bidi w:val="0"/>
        <w:snapToGrid/>
        <w:spacing w:before="0" w:line="480" w:lineRule="exact"/>
        <w:ind w:left="0" w:firstLine="420" w:firstLineChars="200"/>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4.3.4 关于评标声明：在评标期间，磋商申请人不得与磋商小组成员和采购人及工作人员私下接触，不得在开评标现场大吵大闹扰乱秩序，更不得进行旨在影响评标结果的活动，否则一经核实，其磋商将被宣布为废标，并将承当相应的法律责任。磋商申请人须在文件中对此项条款做出实质性响应。</w:t>
      </w:r>
    </w:p>
    <w:p w14:paraId="7E544462">
      <w:pPr>
        <w:pStyle w:val="4"/>
        <w:keepLines w:val="0"/>
        <w:pageBreakBefore w:val="0"/>
        <w:widowControl w:val="0"/>
        <w:numPr>
          <w:ilvl w:val="2"/>
          <w:numId w:val="0"/>
        </w:numPr>
        <w:tabs>
          <w:tab w:val="left" w:pos="360"/>
          <w:tab w:val="left" w:pos="900"/>
        </w:tabs>
        <w:kinsoku/>
        <w:wordWrap/>
        <w:overflowPunct/>
        <w:topLinePunct w:val="0"/>
        <w:autoSpaceDE/>
        <w:autoSpaceDN/>
        <w:bidi w:val="0"/>
        <w:snapToGrid/>
        <w:spacing w:before="0" w:line="480" w:lineRule="exact"/>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4.4评标结果</w:t>
      </w:r>
    </w:p>
    <w:p w14:paraId="27CC37E0">
      <w:pPr>
        <w:keepLines w:val="0"/>
        <w:pageBreakBefore w:val="0"/>
        <w:widowControl w:val="0"/>
        <w:kinsoku/>
        <w:wordWrap/>
        <w:overflowPunct/>
        <w:topLinePunct w:val="0"/>
        <w:autoSpaceDE/>
        <w:autoSpaceDN/>
        <w:bidi w:val="0"/>
        <w:snapToGrid/>
        <w:spacing w:line="480" w:lineRule="exact"/>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4.4.1</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按得分由高到低顺序推荐3名</w:t>
      </w:r>
      <w:r>
        <w:rPr>
          <w:rFonts w:hint="eastAsia" w:ascii="宋体" w:hAnsi="宋体" w:eastAsia="宋体" w:cs="宋体"/>
          <w:color w:val="auto"/>
          <w:sz w:val="21"/>
          <w:szCs w:val="21"/>
          <w:lang w:eastAsia="zh-CN"/>
        </w:rPr>
        <w:t>成交候选人</w:t>
      </w:r>
      <w:r>
        <w:rPr>
          <w:rFonts w:hint="eastAsia" w:ascii="宋体" w:hAnsi="宋体" w:eastAsia="宋体" w:cs="宋体"/>
          <w:color w:val="auto"/>
          <w:sz w:val="21"/>
          <w:szCs w:val="21"/>
        </w:rPr>
        <w:t>，并提出书面评标报告。</w:t>
      </w:r>
    </w:p>
    <w:p w14:paraId="7D8A6332">
      <w:pPr>
        <w:keepLines w:val="0"/>
        <w:pageBreakBefore w:val="0"/>
        <w:widowControl w:val="0"/>
        <w:kinsoku/>
        <w:wordWrap/>
        <w:overflowPunct/>
        <w:topLinePunct w:val="0"/>
        <w:autoSpaceDE/>
        <w:autoSpaceDN/>
        <w:bidi w:val="0"/>
        <w:snapToGrid/>
        <w:spacing w:line="480" w:lineRule="exact"/>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4.4.2采购人根据</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提出的书面评标报告和推荐的</w:t>
      </w:r>
      <w:r>
        <w:rPr>
          <w:rFonts w:hint="eastAsia" w:ascii="宋体" w:hAnsi="宋体" w:eastAsia="宋体" w:cs="宋体"/>
          <w:color w:val="auto"/>
          <w:sz w:val="21"/>
          <w:szCs w:val="21"/>
          <w:lang w:eastAsia="zh-CN"/>
        </w:rPr>
        <w:t>成交候选人</w:t>
      </w:r>
      <w:r>
        <w:rPr>
          <w:rFonts w:hint="eastAsia" w:ascii="宋体" w:hAnsi="宋体" w:eastAsia="宋体" w:cs="宋体"/>
          <w:color w:val="auto"/>
          <w:sz w:val="21"/>
          <w:szCs w:val="21"/>
        </w:rPr>
        <w:t>名单，确定</w:t>
      </w:r>
      <w:r>
        <w:rPr>
          <w:rFonts w:hint="eastAsia" w:ascii="宋体" w:hAnsi="宋体" w:cs="宋体"/>
          <w:color w:val="auto"/>
          <w:sz w:val="21"/>
          <w:szCs w:val="21"/>
          <w:lang w:eastAsia="zh-CN"/>
        </w:rPr>
        <w:t>成交人</w:t>
      </w:r>
      <w:r>
        <w:rPr>
          <w:rFonts w:hint="eastAsia" w:ascii="宋体" w:hAnsi="宋体" w:eastAsia="宋体" w:cs="宋体"/>
          <w:color w:val="auto"/>
          <w:sz w:val="21"/>
          <w:szCs w:val="21"/>
        </w:rPr>
        <w:t>。</w:t>
      </w:r>
    </w:p>
    <w:p w14:paraId="0240D7C3">
      <w:pPr>
        <w:keepLines w:val="0"/>
        <w:pageBreakBefore w:val="0"/>
        <w:widowControl w:val="0"/>
        <w:kinsoku/>
        <w:wordWrap/>
        <w:overflowPunct/>
        <w:topLinePunct w:val="0"/>
        <w:autoSpaceDE/>
        <w:autoSpaceDN/>
        <w:bidi w:val="0"/>
        <w:snapToGrid/>
        <w:spacing w:line="480" w:lineRule="exact"/>
        <w:ind w:left="0" w:firstLine="420" w:firstLineChars="200"/>
        <w:jc w:val="left"/>
        <w:textAlignment w:val="auto"/>
        <w:rPr>
          <w:rFonts w:ascii="宋体" w:hAnsi="宋体" w:cs="宋体"/>
          <w:color w:val="auto"/>
          <w:sz w:val="30"/>
          <w:szCs w:val="30"/>
        </w:rPr>
      </w:pPr>
      <w:r>
        <w:rPr>
          <w:rFonts w:hint="eastAsia" w:ascii="宋体" w:hAnsi="宋体" w:eastAsia="宋体" w:cs="宋体"/>
          <w:color w:val="auto"/>
          <w:sz w:val="21"/>
          <w:szCs w:val="21"/>
        </w:rPr>
        <w:t>4.4.3</w:t>
      </w:r>
      <w:r>
        <w:rPr>
          <w:rFonts w:hint="eastAsia" w:ascii="宋体" w:hAnsi="宋体" w:eastAsia="宋体" w:cs="宋体"/>
          <w:color w:val="auto"/>
          <w:sz w:val="21"/>
          <w:szCs w:val="21"/>
          <w:lang w:eastAsia="zh-CN"/>
        </w:rPr>
        <w:t>磋商小组</w:t>
      </w:r>
      <w:r>
        <w:rPr>
          <w:rFonts w:hint="eastAsia" w:ascii="宋体" w:hAnsi="宋体" w:eastAsia="宋体" w:cs="宋体"/>
          <w:color w:val="auto"/>
          <w:sz w:val="21"/>
          <w:szCs w:val="21"/>
        </w:rPr>
        <w:t>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4FAF0217">
      <w:pPr>
        <w:rPr>
          <w:color w:val="auto"/>
        </w:rPr>
      </w:pPr>
    </w:p>
    <w:p w14:paraId="7C937A23">
      <w:pPr>
        <w:pStyle w:val="9"/>
        <w:numPr>
          <w:ilvl w:val="0"/>
          <w:numId w:val="0"/>
        </w:numPr>
        <w:jc w:val="both"/>
        <w:rPr>
          <w:rFonts w:hint="eastAsia" w:ascii="宋体" w:hAnsi="宋体" w:eastAsia="宋体" w:cs="宋体"/>
          <w:b/>
          <w:bCs w:val="0"/>
          <w:color w:val="auto"/>
          <w:kern w:val="2"/>
          <w:sz w:val="36"/>
          <w:szCs w:val="36"/>
        </w:rPr>
      </w:pPr>
    </w:p>
    <w:bookmarkEnd w:id="848"/>
    <w:bookmarkEnd w:id="849"/>
    <w:p w14:paraId="7AD5614C">
      <w:pPr>
        <w:rPr>
          <w:color w:val="auto"/>
        </w:rPr>
      </w:pPr>
    </w:p>
    <w:p w14:paraId="41CECEEE">
      <w:pPr>
        <w:outlineLvl w:val="0"/>
        <w:rPr>
          <w:rFonts w:hint="eastAsia" w:ascii="宋体" w:hAnsi="宋体" w:eastAsia="宋体" w:cs="宋体"/>
          <w:b/>
          <w:bCs/>
          <w:color w:val="auto"/>
          <w:lang w:val="en-US" w:eastAsia="zh-CN"/>
        </w:rPr>
      </w:pPr>
    </w:p>
    <w:bookmarkEnd w:id="850"/>
    <w:bookmarkEnd w:id="851"/>
    <w:bookmarkEnd w:id="852"/>
    <w:bookmarkEnd w:id="853"/>
    <w:p w14:paraId="275800C6">
      <w:pPr>
        <w:tabs>
          <w:tab w:val="left" w:pos="2895"/>
        </w:tabs>
        <w:rPr>
          <w:rFonts w:ascii="仿宋" w:hAnsi="仿宋" w:eastAsia="仿宋"/>
          <w:b/>
          <w:bCs/>
          <w:vanish/>
          <w:color w:val="auto"/>
          <w:sz w:val="32"/>
          <w:szCs w:val="32"/>
        </w:rPr>
      </w:pPr>
    </w:p>
    <w:sectPr>
      <w:footerReference r:id="rId14" w:type="default"/>
      <w:pgSz w:w="11906" w:h="16838"/>
      <w:pgMar w:top="1440" w:right="1083" w:bottom="1440" w:left="1083" w:header="1134" w:footer="1134"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9659DF6-07B2-4DDB-9B03-E3466E4DA411}"/>
  </w:font>
  <w:font w:name="Courier New">
    <w:panose1 w:val="02070309020205020404"/>
    <w:charset w:val="01"/>
    <w:family w:val="modern"/>
    <w:pitch w:val="default"/>
    <w:sig w:usb0="E0002EFF" w:usb1="C0007843" w:usb2="00000009" w:usb3="00000000" w:csb0="400001FF" w:csb1="FFFF0000"/>
    <w:embedRegular r:id="rId2" w:fontKey="{4231BDB5-1272-4478-A2FC-3C15D7994C3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3" w:fontKey="{95718C91-F0CA-4C64-8C08-DD5F6075AAE9}"/>
  </w:font>
  <w:font w:name="仿宋_GB2312">
    <w:panose1 w:val="02010609030101010101"/>
    <w:charset w:val="86"/>
    <w:family w:val="auto"/>
    <w:pitch w:val="default"/>
    <w:sig w:usb0="00000001" w:usb1="080E0000" w:usb2="00000000" w:usb3="00000000" w:csb0="00040000" w:csb1="00000000"/>
    <w:embedRegular r:id="rId4" w:fontKey="{4A2B72F9-29C7-483B-A7D3-165653CDBB51}"/>
  </w:font>
  <w:font w:name="楷体_GB2312">
    <w:panose1 w:val="02010609030101010101"/>
    <w:charset w:val="86"/>
    <w:family w:val="auto"/>
    <w:pitch w:val="default"/>
    <w:sig w:usb0="00000001" w:usb1="080E0000" w:usb2="00000000" w:usb3="00000000" w:csb0="00040000" w:csb1="00000000"/>
    <w:embedRegular r:id="rId5" w:fontKey="{6518FF33-D7FB-4BAA-AA34-9027D2DEA2E8}"/>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华文楷体">
    <w:altName w:val="宋体"/>
    <w:panose1 w:val="02010600040101010101"/>
    <w:charset w:val="86"/>
    <w:family w:val="auto"/>
    <w:pitch w:val="default"/>
    <w:sig w:usb0="00000000" w:usb1="00000000" w:usb2="00000000" w:usb3="00000000" w:csb0="0004009F" w:csb1="DFD70000"/>
  </w:font>
  <w:font w:name="华文细黑">
    <w:altName w:val="微软雅黑"/>
    <w:panose1 w:val="02010600040101010101"/>
    <w:charset w:val="86"/>
    <w:family w:val="auto"/>
    <w:pitch w:val="default"/>
    <w:sig w:usb0="00000000" w:usb1="00000000" w:usb2="00000000" w:usb3="00000000" w:csb0="0004009F" w:csb1="DFD70000"/>
  </w:font>
  <w:font w:name="ˎ̥">
    <w:altName w:val="Times New Roman"/>
    <w:panose1 w:val="00000000000000000000"/>
    <w:charset w:val="00"/>
    <w:family w:val="auto"/>
    <w:pitch w:val="default"/>
    <w:sig w:usb0="00000000" w:usb1="00000000" w:usb2="00000000" w:usb3="00000000" w:csb0="00040001" w:csb1="00000000"/>
  </w:font>
  <w:font w:name="Univers">
    <w:altName w:val="Arial"/>
    <w:panose1 w:val="00000000000000000000"/>
    <w:charset w:val="00"/>
    <w:family w:val="auto"/>
    <w:pitch w:val="default"/>
    <w:sig w:usb0="00000000" w:usb1="00000000" w:usb2="00000000" w:usb3="00000000" w:csb0="00000093" w:csb1="00000000"/>
  </w:font>
  <w:font w:name="Verdana">
    <w:panose1 w:val="020B0604030504040204"/>
    <w:charset w:val="00"/>
    <w:family w:val="swiss"/>
    <w:pitch w:val="default"/>
    <w:sig w:usb0="A0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Arial Unicode MS">
    <w:altName w:val="Arial"/>
    <w:panose1 w:val="020B0604020202020204"/>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embedRegular r:id="rId6" w:fontKey="{58D6BE31-D534-4B02-83E4-08ECC76B6750}"/>
  </w:font>
  <w:font w:name="楷体">
    <w:panose1 w:val="02010609060101010101"/>
    <w:charset w:val="86"/>
    <w:family w:val="auto"/>
    <w:pitch w:val="default"/>
    <w:sig w:usb0="800002BF" w:usb1="38CF7CFA" w:usb2="00000016" w:usb3="00000000" w:csb0="00040001" w:csb1="00000000"/>
    <w:embedRegular r:id="rId7" w:fontKey="{A720103A-0E93-490B-A495-C66193E9C13D}"/>
  </w:font>
  <w:font w:name="新宋体">
    <w:panose1 w:val="02010609030101010101"/>
    <w:charset w:val="86"/>
    <w:family w:val="auto"/>
    <w:pitch w:val="default"/>
    <w:sig w:usb0="00000283" w:usb1="288F0000" w:usb2="00000006" w:usb3="00000000" w:csb0="00040001" w:csb1="00000000"/>
    <w:embedRegular r:id="rId8" w:fontKey="{7A57A42E-5E04-4EC3-8F6D-D280A0952934}"/>
  </w:font>
  <w:font w:name="方正小标宋简体">
    <w:panose1 w:val="02000000000000000000"/>
    <w:charset w:val="86"/>
    <w:family w:val="script"/>
    <w:pitch w:val="default"/>
    <w:sig w:usb0="00000001" w:usb1="08000000" w:usb2="00000000" w:usb3="00000000" w:csb0="00040000" w:csb1="00000000"/>
    <w:embedRegular r:id="rId9" w:fontKey="{5FC35067-F404-4810-9881-751444BE1D3A}"/>
  </w:font>
  <w:font w:name="华文中宋">
    <w:altName w:val="宋体"/>
    <w:panose1 w:val="02010600040101010101"/>
    <w:charset w:val="86"/>
    <w:family w:val="auto"/>
    <w:pitch w:val="default"/>
    <w:sig w:usb0="00000000" w:usb1="00000000" w:usb2="00000000" w:usb3="00000000" w:csb0="0004009F" w:csb1="DFD70000"/>
    <w:embedRegular r:id="rId10" w:fontKey="{E30EBB07-B0A7-4CF4-B329-6B0988F759B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0FD79">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9C11A">
    <w:pPr>
      <w:pStyle w:val="18"/>
      <w:keepNext w:val="0"/>
      <w:keepLines w:val="0"/>
      <w:pageBreakBefore w:val="0"/>
      <w:widowControl w:val="0"/>
      <w:kinsoku/>
      <w:wordWrap/>
      <w:overflowPunct/>
      <w:topLinePunct w:val="0"/>
      <w:bidi w:val="0"/>
      <w:adjustRightInd/>
      <w:snapToGrid w:val="0"/>
      <w:spacing w:after="0" w:line="240" w:lineRule="auto"/>
      <w:jc w:val="right"/>
      <w:textAlignment w:val="auto"/>
    </w:pPr>
    <w:r>
      <w:rPr>
        <w:sz w:val="18"/>
      </w:rPr>
      <w:pict>
        <v:shape id="_x0000_s2078" o:spid="_x0000_s2078"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28676310">
                <w:pPr>
                  <w:pStyle w:val="18"/>
                </w:pPr>
                <w:r>
                  <w:fldChar w:fldCharType="begin"/>
                </w:r>
                <w:r>
                  <w:instrText xml:space="preserve"> PAGE  \* MERGEFORMAT </w:instrText>
                </w:r>
                <w:r>
                  <w:fldChar w:fldCharType="separate"/>
                </w:r>
                <w:r>
                  <w:t>3</w:t>
                </w:r>
                <w:r>
                  <w:fldChar w:fldCharType="end"/>
                </w:r>
              </w:p>
            </w:txbxContent>
          </v:textbox>
        </v:shape>
      </w:pict>
    </w:r>
    <w:r>
      <w:rPr>
        <w:rFonts w:hint="eastAsia"/>
      </w:rPr>
      <w:t xml:space="preserve">  </w:t>
    </w:r>
    <w:r>
      <w:rPr>
        <w:rFonts w:hint="eastAsia" w:ascii="楷体" w:hAnsi="楷体" w:eastAsia="楷体" w:cs="楷体"/>
        <w:lang w:eastAsia="zh-CN"/>
      </w:rPr>
      <w:t>云南行行工程项目管理有限公司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50AC3">
    <w:pPr>
      <w:pStyle w:val="18"/>
      <w:keepNext w:val="0"/>
      <w:keepLines w:val="0"/>
      <w:pageBreakBefore w:val="0"/>
      <w:widowControl w:val="0"/>
      <w:kinsoku/>
      <w:wordWrap/>
      <w:overflowPunct/>
      <w:topLinePunct w:val="0"/>
      <w:bidi w:val="0"/>
      <w:adjustRightInd/>
      <w:snapToGrid w:val="0"/>
      <w:spacing w:after="0" w:line="240" w:lineRule="auto"/>
      <w:jc w:val="right"/>
      <w:textAlignment w:val="auto"/>
    </w:pPr>
    <w:r>
      <w:rPr>
        <w:sz w:val="18"/>
      </w:rPr>
      <w:pict>
        <v:shape id="_x0000_s2079" o:spid="_x0000_s2079"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2DDF6385">
                <w:pPr>
                  <w:pStyle w:val="18"/>
                </w:pPr>
                <w:r>
                  <w:fldChar w:fldCharType="begin"/>
                </w:r>
                <w:r>
                  <w:instrText xml:space="preserve"> PAGE  \* MERGEFORMAT </w:instrText>
                </w:r>
                <w:r>
                  <w:fldChar w:fldCharType="separate"/>
                </w:r>
                <w:r>
                  <w:t>19</w:t>
                </w:r>
                <w:r>
                  <w:fldChar w:fldCharType="end"/>
                </w:r>
              </w:p>
            </w:txbxContent>
          </v:textbox>
        </v:shape>
      </w:pict>
    </w:r>
    <w:r>
      <w:rPr>
        <w:rFonts w:hint="eastAsia" w:ascii="楷体" w:hAnsi="楷体" w:eastAsia="楷体" w:cs="楷体"/>
        <w:lang w:eastAsia="zh-CN"/>
      </w:rPr>
      <w:t>云南行行工程项目管理有限公司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4B1A2">
    <w:pPr>
      <w:pStyle w:val="18"/>
      <w:keepNext w:val="0"/>
      <w:keepLines w:val="0"/>
      <w:pageBreakBefore w:val="0"/>
      <w:widowControl w:val="0"/>
      <w:kinsoku/>
      <w:wordWrap/>
      <w:overflowPunct/>
      <w:topLinePunct w:val="0"/>
      <w:bidi w:val="0"/>
      <w:adjustRightInd/>
      <w:snapToGrid w:val="0"/>
      <w:spacing w:after="0" w:line="240" w:lineRule="auto"/>
      <w:jc w:val="right"/>
      <w:textAlignment w:val="auto"/>
    </w:pPr>
    <w:r>
      <w:rPr>
        <w:sz w:val="18"/>
      </w:rPr>
      <w:pict>
        <v:shape id="_x0000_s2080" o:spid="_x0000_s2080"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14:paraId="71E0B8D6">
                <w:pPr>
                  <w:pStyle w:val="18"/>
                </w:pPr>
                <w:r>
                  <w:fldChar w:fldCharType="begin"/>
                </w:r>
                <w:r>
                  <w:instrText xml:space="preserve"> PAGE  \* MERGEFORMAT </w:instrText>
                </w:r>
                <w:r>
                  <w:fldChar w:fldCharType="separate"/>
                </w:r>
                <w:r>
                  <w:t>18</w:t>
                </w:r>
                <w:r>
                  <w:fldChar w:fldCharType="end"/>
                </w:r>
              </w:p>
            </w:txbxContent>
          </v:textbox>
        </v:shape>
      </w:pict>
    </w:r>
    <w:r>
      <w:rPr>
        <w:rFonts w:hint="eastAsia" w:ascii="楷体" w:hAnsi="楷体" w:eastAsia="楷体" w:cs="楷体"/>
        <w:lang w:eastAsia="zh-CN"/>
      </w:rPr>
      <w:t>云南行行工程项目管理有限公司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DCFB1">
    <w:pPr>
      <w:pStyle w:val="18"/>
      <w:keepNext w:val="0"/>
      <w:keepLines w:val="0"/>
      <w:pageBreakBefore w:val="0"/>
      <w:widowControl w:val="0"/>
      <w:kinsoku/>
      <w:wordWrap/>
      <w:overflowPunct/>
      <w:topLinePunct w:val="0"/>
      <w:bidi w:val="0"/>
      <w:adjustRightInd/>
      <w:snapToGrid w:val="0"/>
      <w:spacing w:after="0" w:line="240" w:lineRule="auto"/>
      <w:jc w:val="right"/>
      <w:textAlignment w:val="auto"/>
      <w:rPr>
        <w:rFonts w:hint="eastAsia" w:cs="宋体"/>
      </w:rPr>
    </w:pPr>
    <w:r>
      <w:rPr>
        <w:sz w:val="18"/>
      </w:rPr>
      <w:pict>
        <v:shape id="_x0000_s2081" o:spid="_x0000_s2081" o:spt="202" type="#_x0000_t202" style="position:absolute;left:0pt;margin-top:0pt;height:144pt;width:144pt;mso-position-horizontal:center;mso-position-horizontal-relative:margin;mso-wrap-style:none;z-index:251668480;mso-width-relative:page;mso-height-relative:page;" filled="f" stroked="f" coordsize="21600,21600">
          <v:path/>
          <v:fill on="f" focussize="0,0"/>
          <v:stroke on="f"/>
          <v:imagedata o:title=""/>
          <o:lock v:ext="edit" aspectratio="f"/>
          <v:textbox inset="0mm,0mm,0mm,0mm" style="mso-fit-shape-to-text:t;">
            <w:txbxContent>
              <w:p w14:paraId="6FC6D2AE">
                <w:pPr>
                  <w:pStyle w:val="18"/>
                </w:pPr>
                <w:r>
                  <w:fldChar w:fldCharType="begin"/>
                </w:r>
                <w:r>
                  <w:instrText xml:space="preserve"> PAGE  \* MERGEFORMAT </w:instrText>
                </w:r>
                <w:r>
                  <w:fldChar w:fldCharType="separate"/>
                </w:r>
                <w:r>
                  <w:t>20</w:t>
                </w:r>
                <w:r>
                  <w:fldChar w:fldCharType="end"/>
                </w:r>
              </w:p>
            </w:txbxContent>
          </v:textbox>
        </v:shape>
      </w:pict>
    </w:r>
    <w:r>
      <w:rPr>
        <w:rFonts w:hint="eastAsia" w:ascii="楷体" w:hAnsi="楷体" w:eastAsia="楷体" w:cs="楷体"/>
        <w:lang w:eastAsia="zh-CN"/>
      </w:rPr>
      <w:t>云南行行工程项目管理有限公司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F76AD">
    <w:pPr>
      <w:pStyle w:val="18"/>
    </w:pPr>
    <w:r>
      <w:rPr>
        <w:sz w:val="18"/>
      </w:rPr>
      <w:pict>
        <v:shape id="_x0000_s2082" o:spid="_x0000_s2082" o:spt="202" type="#_x0000_t202" style="position:absolute;left:0pt;margin-top:0pt;height:144pt;width:144pt;mso-position-horizontal:center;mso-position-horizontal-relative:margin;mso-wrap-style:none;z-index:251669504;mso-width-relative:page;mso-height-relative:page;" filled="f" stroked="f" coordsize="21600,21600">
          <v:path/>
          <v:fill on="f" focussize="0,0"/>
          <v:stroke on="f"/>
          <v:imagedata o:title=""/>
          <o:lock v:ext="edit" aspectratio="f"/>
          <v:textbox inset="0mm,0mm,0mm,0mm" style="mso-fit-shape-to-text:t;">
            <w:txbxContent>
              <w:p w14:paraId="1C0E4A88">
                <w:pPr>
                  <w:pStyle w:val="18"/>
                </w:pPr>
                <w:r>
                  <w:fldChar w:fldCharType="begin"/>
                </w:r>
                <w:r>
                  <w:instrText xml:space="preserve"> PAGE  \* MERGEFORMAT </w:instrText>
                </w:r>
                <w:r>
                  <w:fldChar w:fldCharType="separate"/>
                </w:r>
                <w:r>
                  <w:t>105</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F1C2C">
    <w:pPr>
      <w:pStyle w:val="18"/>
    </w:pPr>
    <w:r>
      <w:rPr>
        <w:sz w:val="18"/>
      </w:rPr>
      <w:pict>
        <v:shape id="_x0000_s2083" o:spid="_x0000_s2083" o:spt="202" type="#_x0000_t202" style="position:absolute;left:0pt;margin-top:0pt;height:144pt;width:144pt;mso-position-horizontal:center;mso-position-horizontal-relative:margin;mso-wrap-style:none;z-index:251670528;mso-width-relative:page;mso-height-relative:page;" filled="f" stroked="f" coordsize="21600,21600">
          <v:path/>
          <v:fill on="f" focussize="0,0"/>
          <v:stroke on="f"/>
          <v:imagedata o:title=""/>
          <o:lock v:ext="edit" aspectratio="f"/>
          <v:textbox inset="0mm,0mm,0mm,0mm" style="mso-fit-shape-to-text:t;">
            <w:txbxContent>
              <w:p w14:paraId="77845F86">
                <w:pPr>
                  <w:pStyle w:val="18"/>
                </w:pPr>
                <w:r>
                  <w:fldChar w:fldCharType="begin"/>
                </w:r>
                <w:r>
                  <w:instrText xml:space="preserve"> PAGE  \* MERGEFORMAT </w:instrText>
                </w:r>
                <w:r>
                  <w:fldChar w:fldCharType="separate"/>
                </w:r>
                <w:r>
                  <w:t>121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577D2">
    <w:pPr>
      <w:pStyle w:val="19"/>
      <w:pBdr>
        <w:bottom w:val="thickThinSmallGap" w:color="FF0000" w:sz="12" w:space="1"/>
      </w:pBdr>
      <w:tabs>
        <w:tab w:val="left" w:pos="1559"/>
      </w:tabs>
      <w:jc w:val="left"/>
      <w:rPr>
        <w:rFonts w:hint="eastAsia" w:ascii="微软雅黑" w:hAnsi="微软雅黑" w:eastAsia="微软雅黑" w:cs="微软雅黑"/>
        <w:lang w:eastAsia="zh-CN"/>
      </w:rPr>
    </w:pPr>
    <w:r>
      <w:rPr>
        <w:rFonts w:hint="eastAsia" w:ascii="楷体" w:hAnsi="楷体" w:eastAsia="楷体" w:cs="楷体"/>
        <w:b/>
        <w:bCs/>
        <w:color w:val="000000"/>
        <w:sz w:val="18"/>
        <w:szCs w:val="18"/>
      </w:rPr>
      <w:pict>
        <v:shape id="_x0000_s2056" o:spid="_x0000_s2056" o:spt="75" alt="C:\Users\ADMINI~1\AppData\Local\Temp\ksohtml976\wps1.png" type="#_x0000_t75" style="position:absolute;left:0pt;margin-left:-27.4pt;margin-top:45.1pt;height:26.75pt;width:26pt;mso-position-vertical-relative:page;z-index:-251657216;mso-width-relative:page;mso-height-relative:page;" filled="f" o:preferrelative="t" stroked="f" coordsize="21600,21600" o:allowoverlap="f">
          <v:path/>
          <v:fill on="f" focussize="0,0"/>
          <v:stroke on="f" joinstyle="miter"/>
          <v:imagedata r:id="rId1" o:title="C:\Users\ADMINI~1\AppData\Local\Temp\ksohtml976\wps1.png"/>
          <o:lock v:ext="edit" aspectratio="t"/>
        </v:shape>
      </w:pict>
    </w:r>
    <w:r>
      <w:rPr>
        <w:rFonts w:hint="eastAsia" w:ascii="楷体" w:hAnsi="楷体" w:eastAsia="楷体" w:cs="楷体"/>
        <w:b w:val="0"/>
        <w:bCs w:val="0"/>
        <w:color w:val="000000"/>
        <w:sz w:val="18"/>
        <w:szCs w:val="18"/>
        <w:lang w:eastAsia="zh-CN"/>
      </w:rPr>
      <w:t xml:space="preserve">怒江州动物疫病预防控制中心陆生动物疫病病原学监测区域中心建设项目实验室升级改造  </w:t>
    </w:r>
    <w:r>
      <w:rPr>
        <w:rFonts w:hint="eastAsia" w:ascii="楷体" w:hAnsi="楷体" w:eastAsia="楷体" w:cs="楷体"/>
        <w:sz w:val="18"/>
        <w:szCs w:val="18"/>
        <w:lang w:val="en-US" w:eastAsia="zh-CN"/>
      </w:rPr>
      <w:t xml:space="preserve">                </w:t>
    </w:r>
    <w:r>
      <w:rPr>
        <w:rFonts w:hint="eastAsia" w:ascii="楷体" w:hAnsi="楷体" w:eastAsia="楷体" w:cs="楷体"/>
        <w:sz w:val="18"/>
        <w:szCs w:val="18"/>
        <w:lang w:eastAsia="zh-CN"/>
      </w:rPr>
      <w:t>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738C3">
    <w:pPr>
      <w:pStyle w:val="19"/>
      <w:pBdr>
        <w:bottom w:val="double" w:color="FF0000" w:sz="8" w:space="1"/>
      </w:pBdr>
      <w:jc w:val="left"/>
      <w:rPr>
        <w:rFonts w:hint="eastAsia" w:eastAsia="仿宋"/>
      </w:rPr>
    </w:pPr>
    <w:r>
      <w:rPr>
        <w:rFonts w:hint="eastAsia" w:ascii="楷体_GB2312" w:hAnsi="楷体_GB2312" w:eastAsia="楷体_GB2312" w:cs="楷体_GB2312"/>
        <w:b/>
        <w:bCs/>
        <w:color w:val="000000"/>
        <w:sz w:val="18"/>
        <w:szCs w:val="18"/>
      </w:rPr>
      <w:pict>
        <v:shape id="_x0000_s2077" o:spid="_x0000_s2077" o:spt="75" alt="C:\Users\ADMINI~1\AppData\Local\Temp\ksohtml976\wps1.png" type="#_x0000_t75" style="position:absolute;left:0pt;margin-left:-26.6pt;margin-top:38.65pt;height:24.05pt;width:25.95pt;mso-position-vertical-relative:page;z-index:-251652096;mso-width-relative:page;mso-height-relative:page;" filled="f" o:preferrelative="t" stroked="f" coordsize="21600,21600" o:allowoverlap="f">
          <v:path/>
          <v:fill on="f" focussize="0,0"/>
          <v:stroke on="f"/>
          <v:imagedata r:id="rId1" o:title="C:\Users\ADMINI~1\AppData\Local\Temp\ksohtml976\wps1.png"/>
          <o:lock v:ext="edit" aspectratio="t"/>
        </v:shape>
      </w:pict>
    </w:r>
    <w:r>
      <w:rPr>
        <w:rFonts w:hint="eastAsia" w:ascii="楷体_GB2312" w:hAnsi="楷体_GB2312" w:eastAsia="楷体_GB2312" w:cs="楷体_GB2312"/>
        <w:b w:val="0"/>
        <w:bCs w:val="0"/>
        <w:color w:val="000000"/>
        <w:lang w:eastAsia="zh-CN"/>
      </w:rPr>
      <w:t xml:space="preserve">怒江州动物疫病预防控制中心陆生动物疫病病原学监测区域中心建设项目实验室升级改造    </w:t>
    </w:r>
    <w:r>
      <w:rPr>
        <w:rFonts w:hint="eastAsia" w:ascii="楷体_GB2312" w:hAnsi="楷体_GB2312" w:eastAsia="楷体_GB2312" w:cs="楷体_GB2312"/>
      </w:rPr>
      <w:t xml:space="preserve">  </w:t>
    </w: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lang w:eastAsia="zh-CN"/>
      </w:rPr>
      <w:t>磋商文件</w:t>
    </w:r>
    <w:r>
      <w:rPr>
        <w:rFonts w:hint="eastAsia" w:ascii="楷体_GB2312" w:hAnsi="楷体_GB2312" w:eastAsia="楷体_GB2312" w:cs="楷体_GB2312"/>
      </w:rPr>
      <w:t xml:space="preserve">  </w:t>
    </w:r>
    <w:r>
      <w:rPr>
        <w:rFonts w:hint="eastAsia" w:ascii="仿宋" w:hAnsi="仿宋" w:eastAsia="仿宋" w:cs="仿宋"/>
        <w:sz w:val="24"/>
        <w:szCs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C35F0">
    <w:pPr>
      <w:pStyle w:val="19"/>
      <w:pBdr>
        <w:bottom w:val="thickThinSmallGap" w:color="FF0000" w:sz="12" w:space="0"/>
      </w:pBdr>
      <w:jc w:val="left"/>
      <w:rPr>
        <w:rFonts w:hint="eastAsia" w:ascii="楷体" w:hAnsi="楷体" w:eastAsia="楷体" w:cs="楷体"/>
        <w:b w:val="0"/>
        <w:bCs w:val="0"/>
        <w:color w:val="000000"/>
        <w:sz w:val="18"/>
        <w:szCs w:val="18"/>
        <w:lang w:eastAsia="zh-CN"/>
      </w:rPr>
    </w:pPr>
    <w:r>
      <w:rPr>
        <w:rFonts w:hint="eastAsia" w:ascii="楷体" w:hAnsi="楷体" w:eastAsia="楷体" w:cs="楷体"/>
        <w:b/>
        <w:bCs/>
        <w:color w:val="000000"/>
        <w:sz w:val="18"/>
        <w:szCs w:val="18"/>
      </w:rPr>
      <w:pict>
        <v:shape id="_x0000_s2057" o:spid="_x0000_s2057" o:spt="75" alt="C:\Users\ADMINI~1\AppData\Local\Temp\ksohtml976\wps1.png" type="#_x0000_t75" style="position:absolute;left:0pt;margin-left:-27.3pt;margin-top:37.95pt;height:24.05pt;width:25.95pt;mso-position-vertical-relative:page;z-index:-251656192;mso-width-relative:page;mso-height-relative:page;" filled="f" o:preferrelative="t" stroked="f" coordsize="21600,21600" o:allowoverlap="f">
          <v:path/>
          <v:fill on="f" focussize="0,0"/>
          <v:stroke on="f"/>
          <v:imagedata r:id="rId1" o:title="C:\Users\ADMINI~1\AppData\Local\Temp\ksohtml976\wps1.png"/>
          <o:lock v:ext="edit" aspectratio="t"/>
        </v:shape>
      </w:pict>
    </w:r>
    <w:r>
      <w:rPr>
        <w:rFonts w:hint="eastAsia" w:ascii="楷体" w:hAnsi="楷体" w:eastAsia="楷体" w:cs="楷体"/>
        <w:b w:val="0"/>
        <w:bCs w:val="0"/>
        <w:color w:val="000000"/>
        <w:sz w:val="18"/>
        <w:szCs w:val="18"/>
        <w:lang w:eastAsia="zh-CN"/>
      </w:rPr>
      <w:t xml:space="preserve">怒江州动物疫病预防控制中心陆生动物疫病病原学监测区域中心建设项目实验室升级改造  </w:t>
    </w:r>
    <w:r>
      <w:rPr>
        <w:rFonts w:hint="eastAsia" w:ascii="楷体" w:hAnsi="楷体" w:eastAsia="楷体" w:cs="楷体"/>
        <w:b w:val="0"/>
        <w:bCs w:val="0"/>
        <w:color w:val="000000"/>
        <w:sz w:val="18"/>
        <w:szCs w:val="18"/>
        <w:lang w:val="en-US" w:eastAsia="zh-CN"/>
      </w:rPr>
      <w:t xml:space="preserve">  </w:t>
    </w:r>
    <w:r>
      <w:rPr>
        <w:rFonts w:hint="eastAsia" w:ascii="楷体" w:hAnsi="楷体" w:eastAsia="楷体" w:cs="楷体"/>
        <w:sz w:val="18"/>
        <w:szCs w:val="18"/>
        <w:lang w:val="en-US" w:eastAsia="zh-CN"/>
      </w:rPr>
      <w:t xml:space="preserve">              </w:t>
    </w:r>
    <w:r>
      <w:rPr>
        <w:rFonts w:hint="eastAsia" w:ascii="楷体" w:hAnsi="楷体" w:eastAsia="楷体" w:cs="楷体"/>
        <w:b w:val="0"/>
        <w:bCs w:val="0"/>
        <w:color w:val="000000"/>
        <w:sz w:val="18"/>
        <w:szCs w:val="18"/>
        <w:lang w:eastAsia="zh-CN"/>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05E13">
    <w:pPr>
      <w:pStyle w:val="18"/>
      <w:keepNext w:val="0"/>
      <w:keepLines w:val="0"/>
      <w:pageBreakBefore w:val="0"/>
      <w:widowControl w:val="0"/>
      <w:pBdr>
        <w:bottom w:val="thinThickSmallGap" w:color="FF0000" w:sz="12" w:space="0"/>
      </w:pBdr>
      <w:tabs>
        <w:tab w:val="left" w:pos="2724"/>
        <w:tab w:val="clear" w:pos="4153"/>
      </w:tabs>
      <w:kinsoku/>
      <w:wordWrap/>
      <w:overflowPunct/>
      <w:topLinePunct w:val="0"/>
      <w:bidi w:val="0"/>
      <w:adjustRightInd/>
      <w:snapToGrid w:val="0"/>
      <w:spacing w:after="0"/>
      <w:textAlignment w:val="auto"/>
      <w:rPr>
        <w:rFonts w:hint="eastAsia" w:eastAsiaTheme="minorEastAsia"/>
        <w:lang w:eastAsia="zh-CN"/>
      </w:rPr>
    </w:pPr>
    <w:r>
      <w:rPr>
        <w:rFonts w:hint="eastAsia" w:ascii="微软雅黑" w:hAnsi="微软雅黑" w:eastAsia="微软雅黑" w:cs="微软雅黑"/>
        <w:spacing w:val="0"/>
        <w:sz w:val="21"/>
        <w:szCs w:val="21"/>
        <w:lang w:val="en-US" w:eastAsia="zh-CN"/>
      </w:rPr>
      <w:pict>
        <v:shape id="图片 2" o:spid="_x0000_s2068" o:spt="75" alt="C:\Users\ADMINI~1\AppData\Local\Temp\ksohtml976\wps1.png" type="#_x0000_t75" style="position:absolute;left:0pt;margin-left:-26.45pt;margin-top:-8.35pt;height:22.6pt;width:22.6pt;mso-position-vertical-relative:line;mso-wrap-distance-bottom:0pt;mso-wrap-distance-left:9pt;mso-wrap-distance-right:9pt;mso-wrap-distance-top:0pt;z-index:251663360;mso-width-relative:page;mso-height-relative:page;" filled="f" o:preferrelative="t" stroked="f" coordsize="21600,21600" o:allowoverlap="f">
          <v:path/>
          <v:fill on="f" focussize="0,0"/>
          <v:stroke on="f"/>
          <v:imagedata r:id="rId1" o:title="C:\Users\ADMINI~1\AppData\Local\Temp\ksohtml976\wps1.png"/>
          <o:lock v:ext="edit" aspectratio="t"/>
          <w10:wrap type="square"/>
        </v:shape>
      </w:pict>
    </w:r>
    <w:r>
      <w:rPr>
        <w:rFonts w:hint="eastAsia" w:ascii="楷体" w:hAnsi="楷体" w:eastAsia="楷体" w:cs="楷体"/>
        <w:b w:val="0"/>
        <w:bCs w:val="0"/>
        <w:sz w:val="18"/>
        <w:szCs w:val="18"/>
        <w:lang w:val="en-US" w:eastAsia="zh-CN"/>
      </w:rPr>
      <w:t>怒江州动物疫病预防控制中心陆生动物疫病病原学监测区域中心建设项目实验室升级改造                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B16BA">
    <w:pPr>
      <w:pStyle w:val="19"/>
      <w:pBdr>
        <w:bottom w:val="thickThinSmallGap" w:color="FF0000" w:sz="12" w:space="1"/>
      </w:pBdr>
      <w:tabs>
        <w:tab w:val="left" w:pos="1559"/>
      </w:tabs>
      <w:jc w:val="left"/>
      <w:rPr>
        <w:rFonts w:hint="default" w:eastAsia="微软雅黑"/>
        <w:sz w:val="18"/>
        <w:szCs w:val="18"/>
        <w:lang w:val="en-US" w:eastAsia="zh-CN"/>
      </w:rPr>
    </w:pPr>
    <w:r>
      <w:rPr>
        <w:rFonts w:hint="eastAsia" w:ascii="楷体" w:hAnsi="楷体" w:eastAsia="楷体" w:cs="楷体"/>
        <w:b/>
        <w:bCs/>
        <w:color w:val="000000"/>
        <w:sz w:val="18"/>
        <w:szCs w:val="18"/>
      </w:rPr>
      <w:pict>
        <v:shape id="_x0000_s2058" o:spid="_x0000_s2058" o:spt="75" alt="C:\Users\ADMINI~1\AppData\Local\Temp\ksohtml976\wps1.png" type="#_x0000_t75" style="position:absolute;left:0pt;margin-left:-27.4pt;margin-top:47.8pt;height:24.05pt;width:26pt;mso-position-vertical-relative:page;z-index:-251655168;mso-width-relative:page;mso-height-relative:page;" filled="f" o:preferrelative="t" stroked="f" coordsize="21600,21600" o:allowoverlap="f">
          <v:path/>
          <v:fill on="f" focussize="0,0"/>
          <v:stroke on="f"/>
          <v:imagedata r:id="rId1" o:title="C:\Users\ADMINI~1\AppData\Local\Temp\ksohtml976\wps1.png"/>
          <o:lock v:ext="edit" aspectratio="t"/>
        </v:shape>
      </w:pict>
    </w:r>
    <w:r>
      <w:rPr>
        <w:rFonts w:hint="eastAsia" w:ascii="楷体" w:hAnsi="楷体" w:eastAsia="楷体" w:cs="楷体"/>
        <w:sz w:val="18"/>
        <w:szCs w:val="18"/>
        <w:lang w:eastAsia="zh-CN"/>
      </w:rPr>
      <w:t xml:space="preserve">怒江州动物疫病预防控制中心陆生动物疫病病原学监测区域中心建设项目实验室升级改造     </w:t>
    </w:r>
    <w:r>
      <w:rPr>
        <w:rFonts w:hint="eastAsia" w:ascii="楷体" w:hAnsi="楷体" w:eastAsia="楷体" w:cs="楷体"/>
        <w:sz w:val="18"/>
        <w:szCs w:val="18"/>
        <w:lang w:val="en-US" w:eastAsia="zh-CN"/>
      </w:rPr>
      <w:t xml:space="preserve">                磋商文件    </w:t>
    </w:r>
    <w:r>
      <w:rPr>
        <w:rFonts w:hint="eastAsia" w:eastAsia="微软雅黑"/>
        <w:sz w:val="18"/>
        <w:szCs w:val="18"/>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166"/>
      <w:suff w:val="nothing"/>
      <w:lvlText w:val="%1　"/>
      <w:lvlJc w:val="left"/>
      <w:pPr>
        <w:ind w:left="0" w:firstLine="0"/>
      </w:pPr>
      <w:rPr>
        <w:rFonts w:hint="eastAsia" w:ascii="黑体" w:hAnsi="Times New Roman" w:eastAsia="黑体"/>
        <w:b w:val="0"/>
        <w:i w:val="0"/>
        <w:sz w:val="32"/>
        <w:szCs w:val="32"/>
      </w:rPr>
    </w:lvl>
    <w:lvl w:ilvl="1" w:tentative="0">
      <w:start w:val="1"/>
      <w:numFmt w:val="decimal"/>
      <w:pStyle w:val="70"/>
      <w:suff w:val="nothing"/>
      <w:lvlText w:val="%1.%2　"/>
      <w:lvlJc w:val="left"/>
      <w:pPr>
        <w:ind w:left="2100"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32"/>
        <w:szCs w:val="32"/>
        <w:u w:val="none"/>
        <w:vertAlign w:val="baseline"/>
      </w:rPr>
    </w:lvl>
    <w:lvl w:ilvl="2" w:tentative="0">
      <w:start w:val="1"/>
      <w:numFmt w:val="decimal"/>
      <w:suff w:val="nothing"/>
      <w:lvlText w:val="%1.%2.%3　"/>
      <w:lvlJc w:val="left"/>
      <w:pPr>
        <w:ind w:left="900" w:firstLine="0"/>
      </w:pPr>
      <w:rPr>
        <w:rFonts w:hint="eastAsia" w:ascii="黑体" w:hAnsi="Times New Roman" w:eastAsia="黑体"/>
        <w:b w:val="0"/>
        <w:i w:val="0"/>
        <w:sz w:val="32"/>
        <w:szCs w:val="32"/>
      </w:rPr>
    </w:lvl>
    <w:lvl w:ilvl="3" w:tentative="0">
      <w:start w:val="1"/>
      <w:numFmt w:val="decimal"/>
      <w:suff w:val="nothing"/>
      <w:lvlText w:val="%1.%2.%3.%4　"/>
      <w:lvlJc w:val="left"/>
      <w:pPr>
        <w:ind w:left="0" w:firstLine="0"/>
      </w:pPr>
      <w:rPr>
        <w:rFonts w:hint="eastAsia" w:ascii="黑体" w:hAnsi="Times New Roman" w:eastAsia="黑体"/>
        <w:b w:val="0"/>
        <w:i w:val="0"/>
        <w:sz w:val="32"/>
        <w:szCs w:val="32"/>
      </w:rPr>
    </w:lvl>
    <w:lvl w:ilvl="4" w:tentative="0">
      <w:start w:val="1"/>
      <w:numFmt w:val="decimal"/>
      <w:suff w:val="nothing"/>
      <w:lvlText w:val="%1.%2.%3.%4.%5　"/>
      <w:lvlJc w:val="left"/>
      <w:pPr>
        <w:ind w:left="0" w:firstLine="0"/>
      </w:pPr>
      <w:rPr>
        <w:rFonts w:hint="eastAsia" w:ascii="黑体" w:hAnsi="Times New Roman" w:eastAsia="黑体"/>
        <w:b w:val="0"/>
        <w:i w:val="0"/>
        <w:sz w:val="32"/>
        <w:szCs w:val="32"/>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0000000A"/>
    <w:multiLevelType w:val="multilevel"/>
    <w:tmpl w:val="0000000A"/>
    <w:lvl w:ilvl="0" w:tentative="0">
      <w:start w:val="1"/>
      <w:numFmt w:val="lowerLetter"/>
      <w:pStyle w:val="195"/>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187"/>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164"/>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2">
    <w:nsid w:val="0000000C"/>
    <w:multiLevelType w:val="multilevel"/>
    <w:tmpl w:val="0000000C"/>
    <w:lvl w:ilvl="0" w:tentative="0">
      <w:start w:val="1"/>
      <w:numFmt w:val="decimal"/>
      <w:pStyle w:val="179"/>
      <w:suff w:val="nothing"/>
      <w:lvlText w:val="表%1　"/>
      <w:lvlJc w:val="left"/>
      <w:pPr>
        <w:ind w:left="420" w:firstLine="0"/>
      </w:pPr>
      <w:rPr>
        <w:rFonts w:hint="eastAsia" w:ascii="黑体" w:hAnsi="Times New Roman" w:eastAsia="黑体"/>
        <w:b w:val="0"/>
        <w:i w:val="0"/>
        <w:sz w:val="32"/>
        <w:szCs w:val="32"/>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01E967D5"/>
    <w:multiLevelType w:val="multilevel"/>
    <w:tmpl w:val="01E967D5"/>
    <w:lvl w:ilvl="0" w:tentative="0">
      <w:start w:val="1"/>
      <w:numFmt w:val="chineseCountingThousand"/>
      <w:pStyle w:val="208"/>
      <w:lvlText w:val="%1、"/>
      <w:lvlJc w:val="left"/>
      <w:pPr>
        <w:ind w:left="0" w:firstLine="4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5">
    <w:nsid w:val="3AA800C6"/>
    <w:multiLevelType w:val="multilevel"/>
    <w:tmpl w:val="3AA800C6"/>
    <w:lvl w:ilvl="0" w:tentative="0">
      <w:start w:val="1"/>
      <w:numFmt w:val="decimal"/>
      <w:pStyle w:val="212"/>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6">
    <w:nsid w:val="62687BB6"/>
    <w:multiLevelType w:val="multilevel"/>
    <w:tmpl w:val="62687BB6"/>
    <w:lvl w:ilvl="0" w:tentative="0">
      <w:start w:val="1"/>
      <w:numFmt w:val="decimal"/>
      <w:pStyle w:val="218"/>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7">
    <w:nsid w:val="6E87019F"/>
    <w:multiLevelType w:val="multilevel"/>
    <w:tmpl w:val="6E87019F"/>
    <w:lvl w:ilvl="0" w:tentative="0">
      <w:start w:val="1"/>
      <w:numFmt w:val="chineseCountingThousand"/>
      <w:pStyle w:val="210"/>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 w:numId="2">
    <w:abstractNumId w:val="1"/>
  </w:num>
  <w:num w:numId="3">
    <w:abstractNumId w:val="2"/>
  </w:num>
  <w:num w:numId="4">
    <w:abstractNumId w:val="3"/>
  </w:num>
  <w:num w:numId="5">
    <w:abstractNumId w:val="7"/>
  </w:num>
  <w:num w:numId="6">
    <w:abstractNumId w:val="5"/>
  </w:num>
  <w:num w:numId="7">
    <w:abstractNumId w:val="4"/>
    <w:lvlOverride w:ilvl="0">
      <w:lvl w:ilvl="0" w:tentative="1">
        <w:start w:val="1"/>
        <w:numFmt w:val="decimal"/>
        <w:lvlText w:val="第%1条"/>
        <w:lvlJc w:val="left"/>
        <w:pPr>
          <w:ind w:left="0" w:firstLine="0"/>
        </w:pPr>
      </w:lvl>
    </w:lvlOverride>
    <w:lvlOverride w:ilvl="1">
      <w:lvl w:ilvl="1" w:tentative="1">
        <w:start w:val="1"/>
        <w:numFmt w:val="decimal"/>
        <w:pStyle w:val="213"/>
        <w:lvlText w:val="%1.%2"/>
        <w:lvlJc w:val="left"/>
        <w:pPr>
          <w:ind w:left="1843" w:firstLine="0"/>
        </w:pPr>
      </w:lvl>
    </w:lvlOverride>
    <w:lvlOverride w:ilvl="2">
      <w:lvl w:ilvl="2" w:tentative="1">
        <w:start w:val="1"/>
        <w:numFmt w:val="decimal"/>
        <w:pStyle w:val="214"/>
        <w:lvlText w:val="%1.%2.%3"/>
        <w:lvlJc w:val="left"/>
        <w:pPr>
          <w:ind w:left="2126" w:firstLine="0"/>
        </w:pPr>
      </w:lvl>
    </w:lvlOverride>
    <w:lvlOverride w:ilvl="3">
      <w:lvl w:ilvl="3" w:tentative="1">
        <w:start w:val="1"/>
        <w:numFmt w:val="decimal"/>
        <w:pStyle w:val="215"/>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8">
    <w:abstractNumId w:val="4"/>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pStyle w:val="216"/>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ZiOTQxZDZhOWRlMzYxMjk3ZGM4ZmE2OTA3MWIwZDgifQ=="/>
    <w:docVar w:name="KSO_WPS_MARK_KEY" w:val="ab8c017d-8ea8-4918-8a3a-df5b42facc27"/>
  </w:docVars>
  <w:rsids>
    <w:rsidRoot w:val="00172A27"/>
    <w:rsid w:val="000942B7"/>
    <w:rsid w:val="000B44D3"/>
    <w:rsid w:val="00103898"/>
    <w:rsid w:val="00176E25"/>
    <w:rsid w:val="001D32F8"/>
    <w:rsid w:val="00204CB7"/>
    <w:rsid w:val="0020521D"/>
    <w:rsid w:val="0027219D"/>
    <w:rsid w:val="002E6413"/>
    <w:rsid w:val="002F16E1"/>
    <w:rsid w:val="0031380D"/>
    <w:rsid w:val="003303FB"/>
    <w:rsid w:val="00353BC8"/>
    <w:rsid w:val="00405784"/>
    <w:rsid w:val="0042792B"/>
    <w:rsid w:val="00437BAB"/>
    <w:rsid w:val="00455946"/>
    <w:rsid w:val="004578E6"/>
    <w:rsid w:val="00457DF2"/>
    <w:rsid w:val="004D6643"/>
    <w:rsid w:val="00537C28"/>
    <w:rsid w:val="005A0508"/>
    <w:rsid w:val="005F13AE"/>
    <w:rsid w:val="00653C6B"/>
    <w:rsid w:val="006B6D1F"/>
    <w:rsid w:val="006D6712"/>
    <w:rsid w:val="006F3101"/>
    <w:rsid w:val="00715C44"/>
    <w:rsid w:val="0072363E"/>
    <w:rsid w:val="00724552"/>
    <w:rsid w:val="00741A72"/>
    <w:rsid w:val="007D416A"/>
    <w:rsid w:val="007E1784"/>
    <w:rsid w:val="008140A7"/>
    <w:rsid w:val="008322BB"/>
    <w:rsid w:val="0094568A"/>
    <w:rsid w:val="00972B04"/>
    <w:rsid w:val="00977F95"/>
    <w:rsid w:val="00983E09"/>
    <w:rsid w:val="009D3842"/>
    <w:rsid w:val="009E70F5"/>
    <w:rsid w:val="00A303C0"/>
    <w:rsid w:val="00A3470B"/>
    <w:rsid w:val="00A7535F"/>
    <w:rsid w:val="00B27A5C"/>
    <w:rsid w:val="00B32299"/>
    <w:rsid w:val="00B658F4"/>
    <w:rsid w:val="00BF52BD"/>
    <w:rsid w:val="00C11035"/>
    <w:rsid w:val="00C74117"/>
    <w:rsid w:val="00C86D3C"/>
    <w:rsid w:val="00CD1237"/>
    <w:rsid w:val="00D9313E"/>
    <w:rsid w:val="00DB5BD2"/>
    <w:rsid w:val="00DC43FE"/>
    <w:rsid w:val="00E141B1"/>
    <w:rsid w:val="00E371FE"/>
    <w:rsid w:val="00E62DAE"/>
    <w:rsid w:val="00F46721"/>
    <w:rsid w:val="00F70C01"/>
    <w:rsid w:val="00F92D9F"/>
    <w:rsid w:val="00F95F74"/>
    <w:rsid w:val="010A478A"/>
    <w:rsid w:val="010A5041"/>
    <w:rsid w:val="011B0745"/>
    <w:rsid w:val="01215A6A"/>
    <w:rsid w:val="01310203"/>
    <w:rsid w:val="0134327A"/>
    <w:rsid w:val="013637D1"/>
    <w:rsid w:val="013A620F"/>
    <w:rsid w:val="013B0A29"/>
    <w:rsid w:val="01430BE1"/>
    <w:rsid w:val="01436B7C"/>
    <w:rsid w:val="0147153B"/>
    <w:rsid w:val="014A384F"/>
    <w:rsid w:val="015C2926"/>
    <w:rsid w:val="016668BE"/>
    <w:rsid w:val="016E2B68"/>
    <w:rsid w:val="017D36C1"/>
    <w:rsid w:val="01804A4C"/>
    <w:rsid w:val="01806DDF"/>
    <w:rsid w:val="018104CB"/>
    <w:rsid w:val="018C32E1"/>
    <w:rsid w:val="019127B6"/>
    <w:rsid w:val="019D47B9"/>
    <w:rsid w:val="01A65089"/>
    <w:rsid w:val="01A93FA3"/>
    <w:rsid w:val="01AB0E3B"/>
    <w:rsid w:val="01B45B4B"/>
    <w:rsid w:val="01B86E3D"/>
    <w:rsid w:val="01BD0368"/>
    <w:rsid w:val="01CD7566"/>
    <w:rsid w:val="01DB7ED5"/>
    <w:rsid w:val="01DC5340"/>
    <w:rsid w:val="01EB2BCE"/>
    <w:rsid w:val="02001BCB"/>
    <w:rsid w:val="02047AA5"/>
    <w:rsid w:val="02071A61"/>
    <w:rsid w:val="020E3E06"/>
    <w:rsid w:val="0213290D"/>
    <w:rsid w:val="02147875"/>
    <w:rsid w:val="02201D8C"/>
    <w:rsid w:val="02264B9C"/>
    <w:rsid w:val="022B096F"/>
    <w:rsid w:val="022D541E"/>
    <w:rsid w:val="02335DA9"/>
    <w:rsid w:val="02493D31"/>
    <w:rsid w:val="024E1D4F"/>
    <w:rsid w:val="0255273F"/>
    <w:rsid w:val="025A704C"/>
    <w:rsid w:val="026A3A2D"/>
    <w:rsid w:val="026C66D3"/>
    <w:rsid w:val="026C6D76"/>
    <w:rsid w:val="027619AC"/>
    <w:rsid w:val="02775E4F"/>
    <w:rsid w:val="02897931"/>
    <w:rsid w:val="028A5A24"/>
    <w:rsid w:val="0290762C"/>
    <w:rsid w:val="029B7628"/>
    <w:rsid w:val="029D45D5"/>
    <w:rsid w:val="02A1111E"/>
    <w:rsid w:val="02AD361F"/>
    <w:rsid w:val="02B455AA"/>
    <w:rsid w:val="02CB2AA4"/>
    <w:rsid w:val="02D866B7"/>
    <w:rsid w:val="02DA5C31"/>
    <w:rsid w:val="02DE7C7D"/>
    <w:rsid w:val="02E54040"/>
    <w:rsid w:val="02E80AFB"/>
    <w:rsid w:val="02EF3A13"/>
    <w:rsid w:val="02EF7192"/>
    <w:rsid w:val="02F23C8C"/>
    <w:rsid w:val="02F41C68"/>
    <w:rsid w:val="02F61B72"/>
    <w:rsid w:val="02FA082F"/>
    <w:rsid w:val="02FB35F3"/>
    <w:rsid w:val="0305373E"/>
    <w:rsid w:val="03060F81"/>
    <w:rsid w:val="030651E8"/>
    <w:rsid w:val="030D264C"/>
    <w:rsid w:val="030D350D"/>
    <w:rsid w:val="030E51A9"/>
    <w:rsid w:val="0312434E"/>
    <w:rsid w:val="03167B1A"/>
    <w:rsid w:val="031F32A2"/>
    <w:rsid w:val="032356B1"/>
    <w:rsid w:val="032679A8"/>
    <w:rsid w:val="032A1114"/>
    <w:rsid w:val="03314FB5"/>
    <w:rsid w:val="03420F1F"/>
    <w:rsid w:val="03435D32"/>
    <w:rsid w:val="03440784"/>
    <w:rsid w:val="03441FC9"/>
    <w:rsid w:val="0347016B"/>
    <w:rsid w:val="034A0DF4"/>
    <w:rsid w:val="035A307B"/>
    <w:rsid w:val="03686B90"/>
    <w:rsid w:val="036A11F0"/>
    <w:rsid w:val="037C6FEC"/>
    <w:rsid w:val="037E320E"/>
    <w:rsid w:val="03802FF9"/>
    <w:rsid w:val="038B5D7C"/>
    <w:rsid w:val="039B2CB3"/>
    <w:rsid w:val="039F7F04"/>
    <w:rsid w:val="03A74512"/>
    <w:rsid w:val="03B434EA"/>
    <w:rsid w:val="03B542AB"/>
    <w:rsid w:val="03B87AD4"/>
    <w:rsid w:val="03C86452"/>
    <w:rsid w:val="03C91A31"/>
    <w:rsid w:val="03D1691C"/>
    <w:rsid w:val="03D533E7"/>
    <w:rsid w:val="03DF4977"/>
    <w:rsid w:val="03E5503B"/>
    <w:rsid w:val="03EA2EFC"/>
    <w:rsid w:val="03ED063E"/>
    <w:rsid w:val="03F20308"/>
    <w:rsid w:val="03F33960"/>
    <w:rsid w:val="04031D39"/>
    <w:rsid w:val="040E4592"/>
    <w:rsid w:val="0410030A"/>
    <w:rsid w:val="04177A48"/>
    <w:rsid w:val="042C2C6A"/>
    <w:rsid w:val="0431079B"/>
    <w:rsid w:val="043505D1"/>
    <w:rsid w:val="0438160E"/>
    <w:rsid w:val="0441188B"/>
    <w:rsid w:val="04440B93"/>
    <w:rsid w:val="04510922"/>
    <w:rsid w:val="0451447E"/>
    <w:rsid w:val="04565BAD"/>
    <w:rsid w:val="04637478"/>
    <w:rsid w:val="0464474D"/>
    <w:rsid w:val="046777C7"/>
    <w:rsid w:val="046A081C"/>
    <w:rsid w:val="046E3282"/>
    <w:rsid w:val="04714B20"/>
    <w:rsid w:val="04724271"/>
    <w:rsid w:val="047D52E3"/>
    <w:rsid w:val="04864D50"/>
    <w:rsid w:val="04876D71"/>
    <w:rsid w:val="04885C36"/>
    <w:rsid w:val="04896E34"/>
    <w:rsid w:val="048B6881"/>
    <w:rsid w:val="048C3708"/>
    <w:rsid w:val="049006D3"/>
    <w:rsid w:val="049115E6"/>
    <w:rsid w:val="04994E07"/>
    <w:rsid w:val="04B54A0D"/>
    <w:rsid w:val="04BB3068"/>
    <w:rsid w:val="04C0433E"/>
    <w:rsid w:val="04C17856"/>
    <w:rsid w:val="04C81716"/>
    <w:rsid w:val="04D61A77"/>
    <w:rsid w:val="04D95FAF"/>
    <w:rsid w:val="04E41AED"/>
    <w:rsid w:val="04F15CAC"/>
    <w:rsid w:val="04F85B77"/>
    <w:rsid w:val="04FA52B7"/>
    <w:rsid w:val="050B0AD1"/>
    <w:rsid w:val="05170A1B"/>
    <w:rsid w:val="052120A3"/>
    <w:rsid w:val="052901CB"/>
    <w:rsid w:val="052B2F21"/>
    <w:rsid w:val="052D3B24"/>
    <w:rsid w:val="054144F3"/>
    <w:rsid w:val="054B35C3"/>
    <w:rsid w:val="054B77DE"/>
    <w:rsid w:val="054F6C10"/>
    <w:rsid w:val="05556743"/>
    <w:rsid w:val="05567F7C"/>
    <w:rsid w:val="05650056"/>
    <w:rsid w:val="0567487D"/>
    <w:rsid w:val="05706B86"/>
    <w:rsid w:val="05751339"/>
    <w:rsid w:val="057D7130"/>
    <w:rsid w:val="057E5747"/>
    <w:rsid w:val="05803E34"/>
    <w:rsid w:val="05825010"/>
    <w:rsid w:val="058F34B0"/>
    <w:rsid w:val="058F5265"/>
    <w:rsid w:val="05A50C8B"/>
    <w:rsid w:val="05AD3936"/>
    <w:rsid w:val="05AD3D10"/>
    <w:rsid w:val="05B52E8E"/>
    <w:rsid w:val="05B77765"/>
    <w:rsid w:val="05BC001D"/>
    <w:rsid w:val="05BE432A"/>
    <w:rsid w:val="05C07B0D"/>
    <w:rsid w:val="05C22B02"/>
    <w:rsid w:val="05D76C05"/>
    <w:rsid w:val="05DC0907"/>
    <w:rsid w:val="05E85A2C"/>
    <w:rsid w:val="05ED2A4B"/>
    <w:rsid w:val="05EE1F4D"/>
    <w:rsid w:val="05EE58B1"/>
    <w:rsid w:val="060519C4"/>
    <w:rsid w:val="06053772"/>
    <w:rsid w:val="060A7D69"/>
    <w:rsid w:val="060B7314"/>
    <w:rsid w:val="06112DFF"/>
    <w:rsid w:val="06113AEC"/>
    <w:rsid w:val="06132FDA"/>
    <w:rsid w:val="061336FC"/>
    <w:rsid w:val="061340E1"/>
    <w:rsid w:val="06141C07"/>
    <w:rsid w:val="061F330E"/>
    <w:rsid w:val="062C17C6"/>
    <w:rsid w:val="063E0174"/>
    <w:rsid w:val="06467987"/>
    <w:rsid w:val="06473D8B"/>
    <w:rsid w:val="06540256"/>
    <w:rsid w:val="065F420F"/>
    <w:rsid w:val="066C6522"/>
    <w:rsid w:val="06716DF7"/>
    <w:rsid w:val="067601CC"/>
    <w:rsid w:val="06765D2C"/>
    <w:rsid w:val="06837FE9"/>
    <w:rsid w:val="068560C3"/>
    <w:rsid w:val="068B1ABC"/>
    <w:rsid w:val="068F2CFA"/>
    <w:rsid w:val="06935222"/>
    <w:rsid w:val="06976AC0"/>
    <w:rsid w:val="069D6E76"/>
    <w:rsid w:val="06AB0AD0"/>
    <w:rsid w:val="06AB2A7F"/>
    <w:rsid w:val="06AF5D31"/>
    <w:rsid w:val="06B07B82"/>
    <w:rsid w:val="06B156A8"/>
    <w:rsid w:val="06B37672"/>
    <w:rsid w:val="06B445E4"/>
    <w:rsid w:val="06C453DB"/>
    <w:rsid w:val="06CE625A"/>
    <w:rsid w:val="06D45CB3"/>
    <w:rsid w:val="06D51397"/>
    <w:rsid w:val="06D7331A"/>
    <w:rsid w:val="06DA4BFF"/>
    <w:rsid w:val="06EA2FC9"/>
    <w:rsid w:val="06ED5B67"/>
    <w:rsid w:val="06F15FC6"/>
    <w:rsid w:val="06FB2AF1"/>
    <w:rsid w:val="06FD1421"/>
    <w:rsid w:val="070349FB"/>
    <w:rsid w:val="07043A2A"/>
    <w:rsid w:val="070B4DB8"/>
    <w:rsid w:val="070E6657"/>
    <w:rsid w:val="07123EA6"/>
    <w:rsid w:val="071E2D3E"/>
    <w:rsid w:val="071F6AB6"/>
    <w:rsid w:val="07204126"/>
    <w:rsid w:val="07243123"/>
    <w:rsid w:val="072B545A"/>
    <w:rsid w:val="0730481F"/>
    <w:rsid w:val="07414B7E"/>
    <w:rsid w:val="074F100F"/>
    <w:rsid w:val="07533FDE"/>
    <w:rsid w:val="075542ED"/>
    <w:rsid w:val="076271B1"/>
    <w:rsid w:val="076558D3"/>
    <w:rsid w:val="076619FA"/>
    <w:rsid w:val="076F21F4"/>
    <w:rsid w:val="07702F26"/>
    <w:rsid w:val="077741FC"/>
    <w:rsid w:val="077C64A4"/>
    <w:rsid w:val="078167C6"/>
    <w:rsid w:val="078B5059"/>
    <w:rsid w:val="078F1C01"/>
    <w:rsid w:val="07934811"/>
    <w:rsid w:val="079718D0"/>
    <w:rsid w:val="079B1F76"/>
    <w:rsid w:val="079B7493"/>
    <w:rsid w:val="079F2FB7"/>
    <w:rsid w:val="07AC4892"/>
    <w:rsid w:val="07BC033E"/>
    <w:rsid w:val="07C13C4E"/>
    <w:rsid w:val="07C37441"/>
    <w:rsid w:val="07C92824"/>
    <w:rsid w:val="07CF228A"/>
    <w:rsid w:val="07CF4038"/>
    <w:rsid w:val="07DE510E"/>
    <w:rsid w:val="07DF3D76"/>
    <w:rsid w:val="07E01DA1"/>
    <w:rsid w:val="07E06245"/>
    <w:rsid w:val="07EA0E72"/>
    <w:rsid w:val="07EB4052"/>
    <w:rsid w:val="07F55F19"/>
    <w:rsid w:val="07F733F3"/>
    <w:rsid w:val="07FF53C8"/>
    <w:rsid w:val="0808754A"/>
    <w:rsid w:val="080E1AA3"/>
    <w:rsid w:val="082B1DE4"/>
    <w:rsid w:val="083D5445"/>
    <w:rsid w:val="0842480A"/>
    <w:rsid w:val="08470072"/>
    <w:rsid w:val="084B050F"/>
    <w:rsid w:val="084D3443"/>
    <w:rsid w:val="084F33CB"/>
    <w:rsid w:val="084F6F27"/>
    <w:rsid w:val="08500BB1"/>
    <w:rsid w:val="08622199"/>
    <w:rsid w:val="086329D2"/>
    <w:rsid w:val="08634780"/>
    <w:rsid w:val="086A71DD"/>
    <w:rsid w:val="087306DB"/>
    <w:rsid w:val="08737874"/>
    <w:rsid w:val="08793FA4"/>
    <w:rsid w:val="08841000"/>
    <w:rsid w:val="0887011A"/>
    <w:rsid w:val="0889068B"/>
    <w:rsid w:val="089922AB"/>
    <w:rsid w:val="089B19CF"/>
    <w:rsid w:val="089D0CB1"/>
    <w:rsid w:val="08B65A85"/>
    <w:rsid w:val="08B73A59"/>
    <w:rsid w:val="08C17BEC"/>
    <w:rsid w:val="08CA4C78"/>
    <w:rsid w:val="08D11B99"/>
    <w:rsid w:val="08D31906"/>
    <w:rsid w:val="08DA2C94"/>
    <w:rsid w:val="08E47A34"/>
    <w:rsid w:val="08E60A7C"/>
    <w:rsid w:val="08E65ADD"/>
    <w:rsid w:val="08EB4EA1"/>
    <w:rsid w:val="08EC29C7"/>
    <w:rsid w:val="08FC322B"/>
    <w:rsid w:val="08FF1D96"/>
    <w:rsid w:val="08FF3DB3"/>
    <w:rsid w:val="090C351E"/>
    <w:rsid w:val="090E4468"/>
    <w:rsid w:val="092959CA"/>
    <w:rsid w:val="092B54F2"/>
    <w:rsid w:val="09325A82"/>
    <w:rsid w:val="093966C8"/>
    <w:rsid w:val="093C56FD"/>
    <w:rsid w:val="0942235A"/>
    <w:rsid w:val="09434CDD"/>
    <w:rsid w:val="094D16B8"/>
    <w:rsid w:val="095635DC"/>
    <w:rsid w:val="096A04F9"/>
    <w:rsid w:val="096D1D5A"/>
    <w:rsid w:val="09712472"/>
    <w:rsid w:val="09736C45"/>
    <w:rsid w:val="097F1A8E"/>
    <w:rsid w:val="09815806"/>
    <w:rsid w:val="09896468"/>
    <w:rsid w:val="09900F7A"/>
    <w:rsid w:val="09905302"/>
    <w:rsid w:val="099D1A4A"/>
    <w:rsid w:val="099E3CC2"/>
    <w:rsid w:val="09A60DC8"/>
    <w:rsid w:val="09A8160A"/>
    <w:rsid w:val="09A84B40"/>
    <w:rsid w:val="09AB4631"/>
    <w:rsid w:val="09AE4448"/>
    <w:rsid w:val="09B671FF"/>
    <w:rsid w:val="09BF78DC"/>
    <w:rsid w:val="09C83435"/>
    <w:rsid w:val="09CE07ED"/>
    <w:rsid w:val="09D83801"/>
    <w:rsid w:val="09D851B5"/>
    <w:rsid w:val="09E7339E"/>
    <w:rsid w:val="09E94EA7"/>
    <w:rsid w:val="09F00295"/>
    <w:rsid w:val="09F71624"/>
    <w:rsid w:val="0A0106F5"/>
    <w:rsid w:val="0A087F03"/>
    <w:rsid w:val="0A0C7081"/>
    <w:rsid w:val="0A193C90"/>
    <w:rsid w:val="0A1977EC"/>
    <w:rsid w:val="0A1D029B"/>
    <w:rsid w:val="0A1E485A"/>
    <w:rsid w:val="0A2543E3"/>
    <w:rsid w:val="0A262D36"/>
    <w:rsid w:val="0A272E28"/>
    <w:rsid w:val="0A2D50C6"/>
    <w:rsid w:val="0A2F6067"/>
    <w:rsid w:val="0A3E2329"/>
    <w:rsid w:val="0A3E54A5"/>
    <w:rsid w:val="0A4505E1"/>
    <w:rsid w:val="0A4742F1"/>
    <w:rsid w:val="0A4B2541"/>
    <w:rsid w:val="0A4B3D8E"/>
    <w:rsid w:val="0A4C2A22"/>
    <w:rsid w:val="0A570314"/>
    <w:rsid w:val="0A5B2C2C"/>
    <w:rsid w:val="0A8D5BDD"/>
    <w:rsid w:val="0A8E1F88"/>
    <w:rsid w:val="0A8E4D1E"/>
    <w:rsid w:val="0A982E07"/>
    <w:rsid w:val="0AA01CBB"/>
    <w:rsid w:val="0AA84D5C"/>
    <w:rsid w:val="0AB05409"/>
    <w:rsid w:val="0AB2266D"/>
    <w:rsid w:val="0AB244FF"/>
    <w:rsid w:val="0ABA1175"/>
    <w:rsid w:val="0ABF46FC"/>
    <w:rsid w:val="0ACA6D38"/>
    <w:rsid w:val="0ADB6D3C"/>
    <w:rsid w:val="0AE95411"/>
    <w:rsid w:val="0AEE6ECB"/>
    <w:rsid w:val="0AF50B5B"/>
    <w:rsid w:val="0AFD6D00"/>
    <w:rsid w:val="0B034804"/>
    <w:rsid w:val="0B063504"/>
    <w:rsid w:val="0B0638D8"/>
    <w:rsid w:val="0B0B182B"/>
    <w:rsid w:val="0B15330B"/>
    <w:rsid w:val="0B23630F"/>
    <w:rsid w:val="0B2B53DC"/>
    <w:rsid w:val="0B3732BD"/>
    <w:rsid w:val="0B380146"/>
    <w:rsid w:val="0B3F3282"/>
    <w:rsid w:val="0B481CD8"/>
    <w:rsid w:val="0B4A2642"/>
    <w:rsid w:val="0B4A3A11"/>
    <w:rsid w:val="0B4D01BB"/>
    <w:rsid w:val="0B4E5BBB"/>
    <w:rsid w:val="0B514BF4"/>
    <w:rsid w:val="0B567DB2"/>
    <w:rsid w:val="0B5C3E34"/>
    <w:rsid w:val="0B640F3B"/>
    <w:rsid w:val="0B6E003A"/>
    <w:rsid w:val="0B7573FB"/>
    <w:rsid w:val="0B757690"/>
    <w:rsid w:val="0B7A250D"/>
    <w:rsid w:val="0B7A4C95"/>
    <w:rsid w:val="0B7B2611"/>
    <w:rsid w:val="0B8870FA"/>
    <w:rsid w:val="0B937306"/>
    <w:rsid w:val="0B972534"/>
    <w:rsid w:val="0B9D335C"/>
    <w:rsid w:val="0BA246D9"/>
    <w:rsid w:val="0BA80E28"/>
    <w:rsid w:val="0BAA50B0"/>
    <w:rsid w:val="0BAB665D"/>
    <w:rsid w:val="0BB256F1"/>
    <w:rsid w:val="0BBA517F"/>
    <w:rsid w:val="0BC22757"/>
    <w:rsid w:val="0BC47C2C"/>
    <w:rsid w:val="0BC53C91"/>
    <w:rsid w:val="0BC55CA9"/>
    <w:rsid w:val="0BC61550"/>
    <w:rsid w:val="0BC639A4"/>
    <w:rsid w:val="0BCC2D66"/>
    <w:rsid w:val="0BCD4D32"/>
    <w:rsid w:val="0BD931C8"/>
    <w:rsid w:val="0BDC6DC6"/>
    <w:rsid w:val="0BDC702B"/>
    <w:rsid w:val="0BE31537"/>
    <w:rsid w:val="0BE45A28"/>
    <w:rsid w:val="0BE80418"/>
    <w:rsid w:val="0BED6CB7"/>
    <w:rsid w:val="0BF1376A"/>
    <w:rsid w:val="0BF224A5"/>
    <w:rsid w:val="0BF31B33"/>
    <w:rsid w:val="0BFD14CE"/>
    <w:rsid w:val="0C012BCD"/>
    <w:rsid w:val="0C0369A6"/>
    <w:rsid w:val="0C062E71"/>
    <w:rsid w:val="0C0D2325"/>
    <w:rsid w:val="0C0D4593"/>
    <w:rsid w:val="0C0D512F"/>
    <w:rsid w:val="0C115D59"/>
    <w:rsid w:val="0C147EEA"/>
    <w:rsid w:val="0C1741FF"/>
    <w:rsid w:val="0C200569"/>
    <w:rsid w:val="0C3517FC"/>
    <w:rsid w:val="0C360B29"/>
    <w:rsid w:val="0C3A2614"/>
    <w:rsid w:val="0C3B2BDF"/>
    <w:rsid w:val="0C450D6C"/>
    <w:rsid w:val="0C542847"/>
    <w:rsid w:val="0C5C7E64"/>
    <w:rsid w:val="0C601702"/>
    <w:rsid w:val="0C65201A"/>
    <w:rsid w:val="0C6868AB"/>
    <w:rsid w:val="0C695E8E"/>
    <w:rsid w:val="0C6B3D11"/>
    <w:rsid w:val="0C6F3914"/>
    <w:rsid w:val="0C746AE9"/>
    <w:rsid w:val="0C747FFC"/>
    <w:rsid w:val="0C760F26"/>
    <w:rsid w:val="0C7A1F06"/>
    <w:rsid w:val="0C7B0679"/>
    <w:rsid w:val="0C7B7987"/>
    <w:rsid w:val="0C822DA1"/>
    <w:rsid w:val="0C840297"/>
    <w:rsid w:val="0C853B22"/>
    <w:rsid w:val="0C8D5B63"/>
    <w:rsid w:val="0C986390"/>
    <w:rsid w:val="0CA75583"/>
    <w:rsid w:val="0CAB043E"/>
    <w:rsid w:val="0CAD727F"/>
    <w:rsid w:val="0CCF0636"/>
    <w:rsid w:val="0CD63EF4"/>
    <w:rsid w:val="0CEA12C0"/>
    <w:rsid w:val="0CEA18F8"/>
    <w:rsid w:val="0CF16DA9"/>
    <w:rsid w:val="0CF85AF5"/>
    <w:rsid w:val="0CFB142B"/>
    <w:rsid w:val="0D044068"/>
    <w:rsid w:val="0D0C188A"/>
    <w:rsid w:val="0D0C3A65"/>
    <w:rsid w:val="0D0F5C3A"/>
    <w:rsid w:val="0D12566E"/>
    <w:rsid w:val="0D15073F"/>
    <w:rsid w:val="0D2143C9"/>
    <w:rsid w:val="0D303C82"/>
    <w:rsid w:val="0D3B3490"/>
    <w:rsid w:val="0D447276"/>
    <w:rsid w:val="0D4728C2"/>
    <w:rsid w:val="0D4E1E1D"/>
    <w:rsid w:val="0D4F31E3"/>
    <w:rsid w:val="0D5000FD"/>
    <w:rsid w:val="0D5079C9"/>
    <w:rsid w:val="0D556D8D"/>
    <w:rsid w:val="0D6671EC"/>
    <w:rsid w:val="0D774F56"/>
    <w:rsid w:val="0D783FDF"/>
    <w:rsid w:val="0D817B82"/>
    <w:rsid w:val="0D847672"/>
    <w:rsid w:val="0D8B55C6"/>
    <w:rsid w:val="0D8D7705"/>
    <w:rsid w:val="0D930454"/>
    <w:rsid w:val="0D9C49BC"/>
    <w:rsid w:val="0DA552AC"/>
    <w:rsid w:val="0DA56E0B"/>
    <w:rsid w:val="0DAF0D32"/>
    <w:rsid w:val="0DB06ECC"/>
    <w:rsid w:val="0DBF7552"/>
    <w:rsid w:val="0DC10DA5"/>
    <w:rsid w:val="0DC52850"/>
    <w:rsid w:val="0DD56120"/>
    <w:rsid w:val="0DD84DFE"/>
    <w:rsid w:val="0DDC2142"/>
    <w:rsid w:val="0DE025A6"/>
    <w:rsid w:val="0DE85E53"/>
    <w:rsid w:val="0DF34339"/>
    <w:rsid w:val="0DFE49A3"/>
    <w:rsid w:val="0E054C80"/>
    <w:rsid w:val="0E097B78"/>
    <w:rsid w:val="0E227727"/>
    <w:rsid w:val="0E233C52"/>
    <w:rsid w:val="0E317059"/>
    <w:rsid w:val="0E3C7F4D"/>
    <w:rsid w:val="0E401BB6"/>
    <w:rsid w:val="0E4A68FE"/>
    <w:rsid w:val="0E4B1F3E"/>
    <w:rsid w:val="0E53500F"/>
    <w:rsid w:val="0E56100F"/>
    <w:rsid w:val="0E5A1222"/>
    <w:rsid w:val="0E5F7D96"/>
    <w:rsid w:val="0E614144"/>
    <w:rsid w:val="0E62167B"/>
    <w:rsid w:val="0E68004D"/>
    <w:rsid w:val="0E7B6CC7"/>
    <w:rsid w:val="0E7D7849"/>
    <w:rsid w:val="0E820056"/>
    <w:rsid w:val="0E88682E"/>
    <w:rsid w:val="0E8C2C83"/>
    <w:rsid w:val="0E923BE2"/>
    <w:rsid w:val="0E963B01"/>
    <w:rsid w:val="0E9E29B6"/>
    <w:rsid w:val="0EA05C20"/>
    <w:rsid w:val="0EAA1C33"/>
    <w:rsid w:val="0EB21BB6"/>
    <w:rsid w:val="0EB52EC7"/>
    <w:rsid w:val="0EC50360"/>
    <w:rsid w:val="0ED1662B"/>
    <w:rsid w:val="0ED402ED"/>
    <w:rsid w:val="0ED77E45"/>
    <w:rsid w:val="0ED87017"/>
    <w:rsid w:val="0EDE5E0A"/>
    <w:rsid w:val="0EE24AC8"/>
    <w:rsid w:val="0EE37CA1"/>
    <w:rsid w:val="0EE46EA1"/>
    <w:rsid w:val="0EEC3721"/>
    <w:rsid w:val="0EF274C0"/>
    <w:rsid w:val="0EFE4052"/>
    <w:rsid w:val="0F002647"/>
    <w:rsid w:val="0F0071CD"/>
    <w:rsid w:val="0F012DF0"/>
    <w:rsid w:val="0F0264B6"/>
    <w:rsid w:val="0F031D3F"/>
    <w:rsid w:val="0F0A1DF9"/>
    <w:rsid w:val="0F0C11FF"/>
    <w:rsid w:val="0F184516"/>
    <w:rsid w:val="0F1B4006"/>
    <w:rsid w:val="0F1C1726"/>
    <w:rsid w:val="0F1E59DC"/>
    <w:rsid w:val="0F1F4EFA"/>
    <w:rsid w:val="0F2173E9"/>
    <w:rsid w:val="0F2467B2"/>
    <w:rsid w:val="0F256C33"/>
    <w:rsid w:val="0F262586"/>
    <w:rsid w:val="0F2B1CDF"/>
    <w:rsid w:val="0F2E697E"/>
    <w:rsid w:val="0F2E6C95"/>
    <w:rsid w:val="0F36499C"/>
    <w:rsid w:val="0F37175A"/>
    <w:rsid w:val="0F4C41BE"/>
    <w:rsid w:val="0F4F5A5E"/>
    <w:rsid w:val="0F5D2719"/>
    <w:rsid w:val="0F651891"/>
    <w:rsid w:val="0F673852"/>
    <w:rsid w:val="0F6A0FB2"/>
    <w:rsid w:val="0F775C4F"/>
    <w:rsid w:val="0F860884"/>
    <w:rsid w:val="0F9B7D3D"/>
    <w:rsid w:val="0FA02AC7"/>
    <w:rsid w:val="0FB737A9"/>
    <w:rsid w:val="0FBB742A"/>
    <w:rsid w:val="0FBF0E36"/>
    <w:rsid w:val="0FBF1CE2"/>
    <w:rsid w:val="0FC10EBE"/>
    <w:rsid w:val="0FC365F8"/>
    <w:rsid w:val="0FCB4862"/>
    <w:rsid w:val="0FDB5EDF"/>
    <w:rsid w:val="0FDF1C43"/>
    <w:rsid w:val="0FE75425"/>
    <w:rsid w:val="0FEB1C2B"/>
    <w:rsid w:val="0FEE34C9"/>
    <w:rsid w:val="0FF15885"/>
    <w:rsid w:val="0FF60D53"/>
    <w:rsid w:val="0FF7237E"/>
    <w:rsid w:val="0FFA00C0"/>
    <w:rsid w:val="10072A54"/>
    <w:rsid w:val="100833DB"/>
    <w:rsid w:val="101232BB"/>
    <w:rsid w:val="10125A3C"/>
    <w:rsid w:val="10156CA8"/>
    <w:rsid w:val="101B4CD5"/>
    <w:rsid w:val="10227BDD"/>
    <w:rsid w:val="10285254"/>
    <w:rsid w:val="102B7BC1"/>
    <w:rsid w:val="102F3975"/>
    <w:rsid w:val="10367314"/>
    <w:rsid w:val="10372364"/>
    <w:rsid w:val="104A6951"/>
    <w:rsid w:val="104F2BAA"/>
    <w:rsid w:val="105629E9"/>
    <w:rsid w:val="105A46BB"/>
    <w:rsid w:val="105D08E7"/>
    <w:rsid w:val="10623018"/>
    <w:rsid w:val="106519DD"/>
    <w:rsid w:val="10685029"/>
    <w:rsid w:val="106F0166"/>
    <w:rsid w:val="107666C7"/>
    <w:rsid w:val="107D35BD"/>
    <w:rsid w:val="10802CCF"/>
    <w:rsid w:val="108856CC"/>
    <w:rsid w:val="10923E54"/>
    <w:rsid w:val="10961B97"/>
    <w:rsid w:val="109B7F6E"/>
    <w:rsid w:val="10B5066D"/>
    <w:rsid w:val="10BB10E8"/>
    <w:rsid w:val="10BE5405"/>
    <w:rsid w:val="10C14D88"/>
    <w:rsid w:val="10D75D0B"/>
    <w:rsid w:val="10E07B85"/>
    <w:rsid w:val="10E16BC5"/>
    <w:rsid w:val="10E7084B"/>
    <w:rsid w:val="10E87F18"/>
    <w:rsid w:val="10EA5A3E"/>
    <w:rsid w:val="10EE19D3"/>
    <w:rsid w:val="10F16DCD"/>
    <w:rsid w:val="10FB40F0"/>
    <w:rsid w:val="110051E9"/>
    <w:rsid w:val="11010579"/>
    <w:rsid w:val="110207E9"/>
    <w:rsid w:val="11091841"/>
    <w:rsid w:val="110C1984"/>
    <w:rsid w:val="111B02EE"/>
    <w:rsid w:val="11223B28"/>
    <w:rsid w:val="112D6574"/>
    <w:rsid w:val="113B2E07"/>
    <w:rsid w:val="11411831"/>
    <w:rsid w:val="11412368"/>
    <w:rsid w:val="114E03FD"/>
    <w:rsid w:val="11515ABE"/>
    <w:rsid w:val="11535CDA"/>
    <w:rsid w:val="11560A14"/>
    <w:rsid w:val="115D320C"/>
    <w:rsid w:val="116A091A"/>
    <w:rsid w:val="116B5221"/>
    <w:rsid w:val="117053A8"/>
    <w:rsid w:val="11755C50"/>
    <w:rsid w:val="118E1A28"/>
    <w:rsid w:val="11987547"/>
    <w:rsid w:val="119E143B"/>
    <w:rsid w:val="11A622AD"/>
    <w:rsid w:val="11A63B32"/>
    <w:rsid w:val="11AE4CBE"/>
    <w:rsid w:val="11B02492"/>
    <w:rsid w:val="11B23FE2"/>
    <w:rsid w:val="11B37BD6"/>
    <w:rsid w:val="11B76D1F"/>
    <w:rsid w:val="11BA4F74"/>
    <w:rsid w:val="11BA7B07"/>
    <w:rsid w:val="11BC0609"/>
    <w:rsid w:val="11BD58B2"/>
    <w:rsid w:val="11CB2BD3"/>
    <w:rsid w:val="11CF006D"/>
    <w:rsid w:val="11D434DA"/>
    <w:rsid w:val="11D4793D"/>
    <w:rsid w:val="11D90B7A"/>
    <w:rsid w:val="11DA004F"/>
    <w:rsid w:val="11DA1A88"/>
    <w:rsid w:val="11E11F3A"/>
    <w:rsid w:val="11E51668"/>
    <w:rsid w:val="11EA319D"/>
    <w:rsid w:val="11FE35E5"/>
    <w:rsid w:val="12000ABE"/>
    <w:rsid w:val="1209283C"/>
    <w:rsid w:val="120C7C36"/>
    <w:rsid w:val="121B0228"/>
    <w:rsid w:val="121D1E47"/>
    <w:rsid w:val="122557F5"/>
    <w:rsid w:val="122574D2"/>
    <w:rsid w:val="12257B4C"/>
    <w:rsid w:val="1231581B"/>
    <w:rsid w:val="123478B9"/>
    <w:rsid w:val="12423320"/>
    <w:rsid w:val="12485112"/>
    <w:rsid w:val="124D44D7"/>
    <w:rsid w:val="12524366"/>
    <w:rsid w:val="12551077"/>
    <w:rsid w:val="125515DD"/>
    <w:rsid w:val="12600DE0"/>
    <w:rsid w:val="126945EA"/>
    <w:rsid w:val="126B2DED"/>
    <w:rsid w:val="12747CB6"/>
    <w:rsid w:val="12762266"/>
    <w:rsid w:val="12786774"/>
    <w:rsid w:val="127E7F4F"/>
    <w:rsid w:val="12863E8D"/>
    <w:rsid w:val="12963889"/>
    <w:rsid w:val="129A3494"/>
    <w:rsid w:val="129A5BC5"/>
    <w:rsid w:val="129E33A1"/>
    <w:rsid w:val="129E4D32"/>
    <w:rsid w:val="12A04F4F"/>
    <w:rsid w:val="12A12A75"/>
    <w:rsid w:val="12BF449C"/>
    <w:rsid w:val="12C11AFF"/>
    <w:rsid w:val="12C545DB"/>
    <w:rsid w:val="12CA142B"/>
    <w:rsid w:val="12CE3011"/>
    <w:rsid w:val="12D253F5"/>
    <w:rsid w:val="12DD627E"/>
    <w:rsid w:val="12E754E7"/>
    <w:rsid w:val="12EC4493"/>
    <w:rsid w:val="12F358E6"/>
    <w:rsid w:val="12F605AB"/>
    <w:rsid w:val="130F3E82"/>
    <w:rsid w:val="13141499"/>
    <w:rsid w:val="131618E5"/>
    <w:rsid w:val="131A3C63"/>
    <w:rsid w:val="131B1110"/>
    <w:rsid w:val="13214000"/>
    <w:rsid w:val="132D0D9B"/>
    <w:rsid w:val="132E6355"/>
    <w:rsid w:val="132F0080"/>
    <w:rsid w:val="1331485F"/>
    <w:rsid w:val="133F0456"/>
    <w:rsid w:val="134C20A2"/>
    <w:rsid w:val="13511DA5"/>
    <w:rsid w:val="135530FF"/>
    <w:rsid w:val="135A48C0"/>
    <w:rsid w:val="136315DC"/>
    <w:rsid w:val="136C6BDF"/>
    <w:rsid w:val="137006ED"/>
    <w:rsid w:val="13741F37"/>
    <w:rsid w:val="13853D60"/>
    <w:rsid w:val="138D0054"/>
    <w:rsid w:val="138E4DA7"/>
    <w:rsid w:val="139652EB"/>
    <w:rsid w:val="1399464B"/>
    <w:rsid w:val="13AB03AE"/>
    <w:rsid w:val="13AE51C2"/>
    <w:rsid w:val="13B95117"/>
    <w:rsid w:val="13CA43C8"/>
    <w:rsid w:val="13CB1888"/>
    <w:rsid w:val="13CE6D1A"/>
    <w:rsid w:val="13D54396"/>
    <w:rsid w:val="13DA2695"/>
    <w:rsid w:val="13E26EA1"/>
    <w:rsid w:val="13E56B6E"/>
    <w:rsid w:val="13EF760C"/>
    <w:rsid w:val="13F4563F"/>
    <w:rsid w:val="14025795"/>
    <w:rsid w:val="14097D87"/>
    <w:rsid w:val="140A56A8"/>
    <w:rsid w:val="140A6DEE"/>
    <w:rsid w:val="14100781"/>
    <w:rsid w:val="14113E51"/>
    <w:rsid w:val="14163C28"/>
    <w:rsid w:val="14215C1B"/>
    <w:rsid w:val="142F32CD"/>
    <w:rsid w:val="143C0CA7"/>
    <w:rsid w:val="14416916"/>
    <w:rsid w:val="14423BC5"/>
    <w:rsid w:val="14425B91"/>
    <w:rsid w:val="144D0B5D"/>
    <w:rsid w:val="14506500"/>
    <w:rsid w:val="145510E2"/>
    <w:rsid w:val="14586A70"/>
    <w:rsid w:val="146546B0"/>
    <w:rsid w:val="146A5814"/>
    <w:rsid w:val="146B293B"/>
    <w:rsid w:val="14770B2E"/>
    <w:rsid w:val="14895008"/>
    <w:rsid w:val="148E5383"/>
    <w:rsid w:val="149830FC"/>
    <w:rsid w:val="149867CB"/>
    <w:rsid w:val="149B5214"/>
    <w:rsid w:val="14A16D5C"/>
    <w:rsid w:val="14B07666"/>
    <w:rsid w:val="14B27791"/>
    <w:rsid w:val="14B45B6A"/>
    <w:rsid w:val="14BE790E"/>
    <w:rsid w:val="14C431F8"/>
    <w:rsid w:val="14C51A3C"/>
    <w:rsid w:val="14C64A14"/>
    <w:rsid w:val="14C71D43"/>
    <w:rsid w:val="14C7305C"/>
    <w:rsid w:val="14CC3F9B"/>
    <w:rsid w:val="14CF52CB"/>
    <w:rsid w:val="14D85FD9"/>
    <w:rsid w:val="14DF139D"/>
    <w:rsid w:val="14E05C8A"/>
    <w:rsid w:val="14E26E6E"/>
    <w:rsid w:val="14E76E65"/>
    <w:rsid w:val="14EB6229"/>
    <w:rsid w:val="14FC3F92"/>
    <w:rsid w:val="15035321"/>
    <w:rsid w:val="15170225"/>
    <w:rsid w:val="151F0EB5"/>
    <w:rsid w:val="15256D39"/>
    <w:rsid w:val="152A5395"/>
    <w:rsid w:val="153763C8"/>
    <w:rsid w:val="153D0BB8"/>
    <w:rsid w:val="154020D1"/>
    <w:rsid w:val="15520056"/>
    <w:rsid w:val="15614D7F"/>
    <w:rsid w:val="156F0C08"/>
    <w:rsid w:val="15712BD2"/>
    <w:rsid w:val="157640CC"/>
    <w:rsid w:val="158226E9"/>
    <w:rsid w:val="15826B8D"/>
    <w:rsid w:val="15925400"/>
    <w:rsid w:val="15992D7D"/>
    <w:rsid w:val="15997A33"/>
    <w:rsid w:val="15A4110E"/>
    <w:rsid w:val="15A83EDD"/>
    <w:rsid w:val="15A975EE"/>
    <w:rsid w:val="15AB60E4"/>
    <w:rsid w:val="15AF54A9"/>
    <w:rsid w:val="15B13D9A"/>
    <w:rsid w:val="15C15711"/>
    <w:rsid w:val="15D00CD9"/>
    <w:rsid w:val="15D75342"/>
    <w:rsid w:val="15DC358C"/>
    <w:rsid w:val="15E056F0"/>
    <w:rsid w:val="15E43B7D"/>
    <w:rsid w:val="15F630D7"/>
    <w:rsid w:val="15FF1F8C"/>
    <w:rsid w:val="16085A88"/>
    <w:rsid w:val="16092E0B"/>
    <w:rsid w:val="16101CCD"/>
    <w:rsid w:val="161278A5"/>
    <w:rsid w:val="161A19F5"/>
    <w:rsid w:val="161B3DF6"/>
    <w:rsid w:val="161C287D"/>
    <w:rsid w:val="16205A53"/>
    <w:rsid w:val="162D0DBC"/>
    <w:rsid w:val="163F3A10"/>
    <w:rsid w:val="165B2F3A"/>
    <w:rsid w:val="166054F3"/>
    <w:rsid w:val="167427AE"/>
    <w:rsid w:val="167B3626"/>
    <w:rsid w:val="167B48FE"/>
    <w:rsid w:val="167D2DE2"/>
    <w:rsid w:val="167E073D"/>
    <w:rsid w:val="168D5205"/>
    <w:rsid w:val="16995343"/>
    <w:rsid w:val="16A75FEE"/>
    <w:rsid w:val="16AA548F"/>
    <w:rsid w:val="16B46CC6"/>
    <w:rsid w:val="16C54A69"/>
    <w:rsid w:val="16CE195E"/>
    <w:rsid w:val="16E86EC4"/>
    <w:rsid w:val="16F13D7E"/>
    <w:rsid w:val="16F22E8F"/>
    <w:rsid w:val="16F577B6"/>
    <w:rsid w:val="16F90911"/>
    <w:rsid w:val="16FF7D6A"/>
    <w:rsid w:val="17024F10"/>
    <w:rsid w:val="170B2DB2"/>
    <w:rsid w:val="170E28DF"/>
    <w:rsid w:val="170F152E"/>
    <w:rsid w:val="17143815"/>
    <w:rsid w:val="1716356E"/>
    <w:rsid w:val="171E721C"/>
    <w:rsid w:val="17264F15"/>
    <w:rsid w:val="172B1BEB"/>
    <w:rsid w:val="172B5216"/>
    <w:rsid w:val="17356021"/>
    <w:rsid w:val="173800A8"/>
    <w:rsid w:val="17427DD8"/>
    <w:rsid w:val="17461B3F"/>
    <w:rsid w:val="174D7F33"/>
    <w:rsid w:val="17571954"/>
    <w:rsid w:val="175774A0"/>
    <w:rsid w:val="175C3C16"/>
    <w:rsid w:val="175C6F6A"/>
    <w:rsid w:val="17613DFB"/>
    <w:rsid w:val="17626C76"/>
    <w:rsid w:val="177417DC"/>
    <w:rsid w:val="17795D6E"/>
    <w:rsid w:val="177A4950"/>
    <w:rsid w:val="177B1AE6"/>
    <w:rsid w:val="177C0994"/>
    <w:rsid w:val="1780424A"/>
    <w:rsid w:val="178F10EE"/>
    <w:rsid w:val="178F5592"/>
    <w:rsid w:val="17966920"/>
    <w:rsid w:val="179B3F36"/>
    <w:rsid w:val="179C256C"/>
    <w:rsid w:val="179C380B"/>
    <w:rsid w:val="179C49AE"/>
    <w:rsid w:val="179F272D"/>
    <w:rsid w:val="17A37274"/>
    <w:rsid w:val="17A47C1C"/>
    <w:rsid w:val="17A74689"/>
    <w:rsid w:val="17A96653"/>
    <w:rsid w:val="17AF4104"/>
    <w:rsid w:val="17B26C70"/>
    <w:rsid w:val="17B6697B"/>
    <w:rsid w:val="17B943BD"/>
    <w:rsid w:val="17BE19D3"/>
    <w:rsid w:val="17C52D61"/>
    <w:rsid w:val="17C96895"/>
    <w:rsid w:val="17CF7D0E"/>
    <w:rsid w:val="17D11706"/>
    <w:rsid w:val="17D2337A"/>
    <w:rsid w:val="17E45DE8"/>
    <w:rsid w:val="17F46EB0"/>
    <w:rsid w:val="17F760DF"/>
    <w:rsid w:val="17FE27D5"/>
    <w:rsid w:val="17FF5C8C"/>
    <w:rsid w:val="18023FB5"/>
    <w:rsid w:val="180513B0"/>
    <w:rsid w:val="18071057"/>
    <w:rsid w:val="18143486"/>
    <w:rsid w:val="181D0DEF"/>
    <w:rsid w:val="181F06C4"/>
    <w:rsid w:val="182A57BB"/>
    <w:rsid w:val="182B30B6"/>
    <w:rsid w:val="182C0CAF"/>
    <w:rsid w:val="1840688C"/>
    <w:rsid w:val="185A08D5"/>
    <w:rsid w:val="185A244B"/>
    <w:rsid w:val="185A5BA0"/>
    <w:rsid w:val="185F3E34"/>
    <w:rsid w:val="185F6D12"/>
    <w:rsid w:val="18605302"/>
    <w:rsid w:val="18623D2C"/>
    <w:rsid w:val="18663093"/>
    <w:rsid w:val="18754A8A"/>
    <w:rsid w:val="1876405C"/>
    <w:rsid w:val="18860AD2"/>
    <w:rsid w:val="188F6EFF"/>
    <w:rsid w:val="189337EC"/>
    <w:rsid w:val="189746FE"/>
    <w:rsid w:val="189E3CDE"/>
    <w:rsid w:val="18B14229"/>
    <w:rsid w:val="18C2427E"/>
    <w:rsid w:val="18C40657"/>
    <w:rsid w:val="18CA5B7E"/>
    <w:rsid w:val="18CE1598"/>
    <w:rsid w:val="18D53592"/>
    <w:rsid w:val="18E37943"/>
    <w:rsid w:val="18EC1C07"/>
    <w:rsid w:val="18ED32B1"/>
    <w:rsid w:val="18ED6A14"/>
    <w:rsid w:val="18EE62E8"/>
    <w:rsid w:val="18F21F5A"/>
    <w:rsid w:val="19081B9A"/>
    <w:rsid w:val="190A4243"/>
    <w:rsid w:val="190E3579"/>
    <w:rsid w:val="191044B0"/>
    <w:rsid w:val="1912647A"/>
    <w:rsid w:val="191775ED"/>
    <w:rsid w:val="19257F5C"/>
    <w:rsid w:val="192B12EA"/>
    <w:rsid w:val="193463F1"/>
    <w:rsid w:val="193807CF"/>
    <w:rsid w:val="193B5472"/>
    <w:rsid w:val="194A350E"/>
    <w:rsid w:val="194F4FD8"/>
    <w:rsid w:val="195720DF"/>
    <w:rsid w:val="195C6CAB"/>
    <w:rsid w:val="196675BB"/>
    <w:rsid w:val="196B1466"/>
    <w:rsid w:val="19823668"/>
    <w:rsid w:val="1983567A"/>
    <w:rsid w:val="198556BB"/>
    <w:rsid w:val="198729C4"/>
    <w:rsid w:val="198A4B5D"/>
    <w:rsid w:val="198E214B"/>
    <w:rsid w:val="19977CB0"/>
    <w:rsid w:val="19A11F21"/>
    <w:rsid w:val="19AC7D2F"/>
    <w:rsid w:val="19B152E4"/>
    <w:rsid w:val="19B15DB5"/>
    <w:rsid w:val="19B749E9"/>
    <w:rsid w:val="19B968F6"/>
    <w:rsid w:val="19BF3D70"/>
    <w:rsid w:val="19C26F76"/>
    <w:rsid w:val="19C8656E"/>
    <w:rsid w:val="19CA4577"/>
    <w:rsid w:val="19CB7D0B"/>
    <w:rsid w:val="19CD58E0"/>
    <w:rsid w:val="19D92AF4"/>
    <w:rsid w:val="19E2573F"/>
    <w:rsid w:val="19E41BC5"/>
    <w:rsid w:val="19EF2318"/>
    <w:rsid w:val="19F21E2E"/>
    <w:rsid w:val="19FC24B1"/>
    <w:rsid w:val="1A0475F3"/>
    <w:rsid w:val="1A111C3B"/>
    <w:rsid w:val="1A1331FD"/>
    <w:rsid w:val="1A1531BB"/>
    <w:rsid w:val="1A1A2904"/>
    <w:rsid w:val="1A261D37"/>
    <w:rsid w:val="1A2C1D58"/>
    <w:rsid w:val="1A2D2716"/>
    <w:rsid w:val="1A2E1092"/>
    <w:rsid w:val="1A2F0966"/>
    <w:rsid w:val="1A361CF4"/>
    <w:rsid w:val="1A3A7A37"/>
    <w:rsid w:val="1A403A4B"/>
    <w:rsid w:val="1A424A7D"/>
    <w:rsid w:val="1A442663"/>
    <w:rsid w:val="1A60378D"/>
    <w:rsid w:val="1A644AB4"/>
    <w:rsid w:val="1A647B6A"/>
    <w:rsid w:val="1A671B7B"/>
    <w:rsid w:val="1A78230D"/>
    <w:rsid w:val="1A7A6566"/>
    <w:rsid w:val="1A7D0A36"/>
    <w:rsid w:val="1A824F3A"/>
    <w:rsid w:val="1A846F04"/>
    <w:rsid w:val="1A891D39"/>
    <w:rsid w:val="1A8C7AE9"/>
    <w:rsid w:val="1A8D4E1F"/>
    <w:rsid w:val="1A915D33"/>
    <w:rsid w:val="1A976C37"/>
    <w:rsid w:val="1AA24D88"/>
    <w:rsid w:val="1AA97676"/>
    <w:rsid w:val="1AAA09C2"/>
    <w:rsid w:val="1AB04A94"/>
    <w:rsid w:val="1AB1581F"/>
    <w:rsid w:val="1AB175CD"/>
    <w:rsid w:val="1AB44759"/>
    <w:rsid w:val="1ABF7F3C"/>
    <w:rsid w:val="1AC1532F"/>
    <w:rsid w:val="1AC217DA"/>
    <w:rsid w:val="1AC345F7"/>
    <w:rsid w:val="1AC57406"/>
    <w:rsid w:val="1AC57F78"/>
    <w:rsid w:val="1AC612CA"/>
    <w:rsid w:val="1AD0039B"/>
    <w:rsid w:val="1AD02149"/>
    <w:rsid w:val="1AD12AFA"/>
    <w:rsid w:val="1AD83C03"/>
    <w:rsid w:val="1ADE3D65"/>
    <w:rsid w:val="1ADF6DAB"/>
    <w:rsid w:val="1AE819A5"/>
    <w:rsid w:val="1AEF4092"/>
    <w:rsid w:val="1AF23E6D"/>
    <w:rsid w:val="1AF5429F"/>
    <w:rsid w:val="1AFA4069"/>
    <w:rsid w:val="1AFF68C6"/>
    <w:rsid w:val="1B0708C6"/>
    <w:rsid w:val="1B183F58"/>
    <w:rsid w:val="1B1C3E18"/>
    <w:rsid w:val="1B1F6C2C"/>
    <w:rsid w:val="1B2415A9"/>
    <w:rsid w:val="1B293607"/>
    <w:rsid w:val="1B3375FF"/>
    <w:rsid w:val="1B35794C"/>
    <w:rsid w:val="1B374EE5"/>
    <w:rsid w:val="1B377EF1"/>
    <w:rsid w:val="1B3A47FA"/>
    <w:rsid w:val="1B407869"/>
    <w:rsid w:val="1B453FF3"/>
    <w:rsid w:val="1B506DE6"/>
    <w:rsid w:val="1B5625B2"/>
    <w:rsid w:val="1B581343"/>
    <w:rsid w:val="1B636A4B"/>
    <w:rsid w:val="1B6947C1"/>
    <w:rsid w:val="1B796330"/>
    <w:rsid w:val="1B7C407F"/>
    <w:rsid w:val="1B827078"/>
    <w:rsid w:val="1B966EEF"/>
    <w:rsid w:val="1B9C202B"/>
    <w:rsid w:val="1B9C71DA"/>
    <w:rsid w:val="1BA11E2F"/>
    <w:rsid w:val="1BA45939"/>
    <w:rsid w:val="1BB062A3"/>
    <w:rsid w:val="1BB173AC"/>
    <w:rsid w:val="1BC136BE"/>
    <w:rsid w:val="1BC33A5C"/>
    <w:rsid w:val="1BC84E16"/>
    <w:rsid w:val="1BD84411"/>
    <w:rsid w:val="1BED2887"/>
    <w:rsid w:val="1BEF1838"/>
    <w:rsid w:val="1BF718C8"/>
    <w:rsid w:val="1BFB1F81"/>
    <w:rsid w:val="1BFB4FA4"/>
    <w:rsid w:val="1BFB6EF2"/>
    <w:rsid w:val="1C024AF6"/>
    <w:rsid w:val="1C0320AA"/>
    <w:rsid w:val="1C044712"/>
    <w:rsid w:val="1C0459A4"/>
    <w:rsid w:val="1C0C6595"/>
    <w:rsid w:val="1C146065"/>
    <w:rsid w:val="1C160D91"/>
    <w:rsid w:val="1C1A58AA"/>
    <w:rsid w:val="1C254165"/>
    <w:rsid w:val="1C2C7F07"/>
    <w:rsid w:val="1C2C7FE2"/>
    <w:rsid w:val="1C304AE6"/>
    <w:rsid w:val="1C33032E"/>
    <w:rsid w:val="1C346454"/>
    <w:rsid w:val="1C3D380E"/>
    <w:rsid w:val="1C3D6D64"/>
    <w:rsid w:val="1C3D78C0"/>
    <w:rsid w:val="1C4C59F7"/>
    <w:rsid w:val="1C715B8C"/>
    <w:rsid w:val="1C752FA8"/>
    <w:rsid w:val="1C821221"/>
    <w:rsid w:val="1C890331"/>
    <w:rsid w:val="1C8B457A"/>
    <w:rsid w:val="1C916898"/>
    <w:rsid w:val="1C9B1651"/>
    <w:rsid w:val="1C9E5F59"/>
    <w:rsid w:val="1CAA0778"/>
    <w:rsid w:val="1CAC1596"/>
    <w:rsid w:val="1CAC2742"/>
    <w:rsid w:val="1CAF6BA6"/>
    <w:rsid w:val="1CB175E8"/>
    <w:rsid w:val="1CBB1BB0"/>
    <w:rsid w:val="1CBF5FD1"/>
    <w:rsid w:val="1CC47A8B"/>
    <w:rsid w:val="1CC75536"/>
    <w:rsid w:val="1CD71CCA"/>
    <w:rsid w:val="1CE123EB"/>
    <w:rsid w:val="1CF3211F"/>
    <w:rsid w:val="1CF35D62"/>
    <w:rsid w:val="1CFF7835"/>
    <w:rsid w:val="1D0E6F59"/>
    <w:rsid w:val="1D11547E"/>
    <w:rsid w:val="1D132287"/>
    <w:rsid w:val="1D160266"/>
    <w:rsid w:val="1D331C48"/>
    <w:rsid w:val="1D3552D3"/>
    <w:rsid w:val="1D3A0EA8"/>
    <w:rsid w:val="1D3A158C"/>
    <w:rsid w:val="1D3D339A"/>
    <w:rsid w:val="1D3E4854"/>
    <w:rsid w:val="1D4F1F6C"/>
    <w:rsid w:val="1D5232E9"/>
    <w:rsid w:val="1D583653"/>
    <w:rsid w:val="1D5E62DC"/>
    <w:rsid w:val="1D666D95"/>
    <w:rsid w:val="1D6B58D5"/>
    <w:rsid w:val="1D796AC8"/>
    <w:rsid w:val="1D86043C"/>
    <w:rsid w:val="1D8D4E90"/>
    <w:rsid w:val="1D91566D"/>
    <w:rsid w:val="1D9B6693"/>
    <w:rsid w:val="1D9D6B74"/>
    <w:rsid w:val="1D9F56A6"/>
    <w:rsid w:val="1DA43419"/>
    <w:rsid w:val="1DB17368"/>
    <w:rsid w:val="1DB525C6"/>
    <w:rsid w:val="1DB555AA"/>
    <w:rsid w:val="1DBE402B"/>
    <w:rsid w:val="1DC16803"/>
    <w:rsid w:val="1DC46501"/>
    <w:rsid w:val="1DC62AFB"/>
    <w:rsid w:val="1DD1669E"/>
    <w:rsid w:val="1DDF4451"/>
    <w:rsid w:val="1DEF28E6"/>
    <w:rsid w:val="1DF32D1A"/>
    <w:rsid w:val="1DF85EA7"/>
    <w:rsid w:val="1DFC0063"/>
    <w:rsid w:val="1DFC253B"/>
    <w:rsid w:val="1E050672"/>
    <w:rsid w:val="1E075D4C"/>
    <w:rsid w:val="1E1176E2"/>
    <w:rsid w:val="1E164317"/>
    <w:rsid w:val="1E202439"/>
    <w:rsid w:val="1E2B3488"/>
    <w:rsid w:val="1E383D2D"/>
    <w:rsid w:val="1E3E561C"/>
    <w:rsid w:val="1E434E32"/>
    <w:rsid w:val="1E4427E1"/>
    <w:rsid w:val="1E5033D1"/>
    <w:rsid w:val="1E5170FD"/>
    <w:rsid w:val="1E535731"/>
    <w:rsid w:val="1E5F0035"/>
    <w:rsid w:val="1E65704C"/>
    <w:rsid w:val="1E6E180B"/>
    <w:rsid w:val="1E7F010E"/>
    <w:rsid w:val="1E803F35"/>
    <w:rsid w:val="1E8611E5"/>
    <w:rsid w:val="1E870D71"/>
    <w:rsid w:val="1E8C20BB"/>
    <w:rsid w:val="1E8C625D"/>
    <w:rsid w:val="1E8F4898"/>
    <w:rsid w:val="1E911E99"/>
    <w:rsid w:val="1E9319F3"/>
    <w:rsid w:val="1E990AA4"/>
    <w:rsid w:val="1E9C67A3"/>
    <w:rsid w:val="1EA620B5"/>
    <w:rsid w:val="1EB42981"/>
    <w:rsid w:val="1EBF49AE"/>
    <w:rsid w:val="1EC705AE"/>
    <w:rsid w:val="1ED42AEF"/>
    <w:rsid w:val="1ED7628D"/>
    <w:rsid w:val="1ED8781E"/>
    <w:rsid w:val="1EDC6DFF"/>
    <w:rsid w:val="1EE14925"/>
    <w:rsid w:val="1EEF14BD"/>
    <w:rsid w:val="1EF76D1F"/>
    <w:rsid w:val="1EF804A7"/>
    <w:rsid w:val="1F035A98"/>
    <w:rsid w:val="1F0622AD"/>
    <w:rsid w:val="1F1216B0"/>
    <w:rsid w:val="1F1F369F"/>
    <w:rsid w:val="1F2C34A5"/>
    <w:rsid w:val="1F361B1D"/>
    <w:rsid w:val="1F386EDF"/>
    <w:rsid w:val="1F4A35D0"/>
    <w:rsid w:val="1F5B7B77"/>
    <w:rsid w:val="1F5D57C7"/>
    <w:rsid w:val="1F667210"/>
    <w:rsid w:val="1F680BA2"/>
    <w:rsid w:val="1F6E1F30"/>
    <w:rsid w:val="1F7B4714"/>
    <w:rsid w:val="1F813B73"/>
    <w:rsid w:val="1F847EA1"/>
    <w:rsid w:val="1F854F6F"/>
    <w:rsid w:val="1F8F680F"/>
    <w:rsid w:val="1F957891"/>
    <w:rsid w:val="1F970E32"/>
    <w:rsid w:val="1FA0658E"/>
    <w:rsid w:val="1FA15E62"/>
    <w:rsid w:val="1FA173F5"/>
    <w:rsid w:val="1FAB6D2F"/>
    <w:rsid w:val="1FAD0CAB"/>
    <w:rsid w:val="1FB65DB1"/>
    <w:rsid w:val="1FB77434"/>
    <w:rsid w:val="1FBC6A67"/>
    <w:rsid w:val="1FCC664D"/>
    <w:rsid w:val="1FCD404B"/>
    <w:rsid w:val="1FCF6E73"/>
    <w:rsid w:val="1FD703D0"/>
    <w:rsid w:val="1FDA06FF"/>
    <w:rsid w:val="1FDB3ED7"/>
    <w:rsid w:val="1FE04BDC"/>
    <w:rsid w:val="1FE12A8E"/>
    <w:rsid w:val="1FE60C51"/>
    <w:rsid w:val="1FF1387B"/>
    <w:rsid w:val="1FF53971"/>
    <w:rsid w:val="1FFA2910"/>
    <w:rsid w:val="1FFB1B1F"/>
    <w:rsid w:val="2002597F"/>
    <w:rsid w:val="2004342D"/>
    <w:rsid w:val="2008363E"/>
    <w:rsid w:val="200C13B1"/>
    <w:rsid w:val="20112FE8"/>
    <w:rsid w:val="202F7912"/>
    <w:rsid w:val="20312B67"/>
    <w:rsid w:val="20361E67"/>
    <w:rsid w:val="203778E9"/>
    <w:rsid w:val="203A1C39"/>
    <w:rsid w:val="203E7B55"/>
    <w:rsid w:val="20415D6B"/>
    <w:rsid w:val="2044337B"/>
    <w:rsid w:val="204C6999"/>
    <w:rsid w:val="205F522A"/>
    <w:rsid w:val="206A094A"/>
    <w:rsid w:val="207A08C5"/>
    <w:rsid w:val="207A5E9C"/>
    <w:rsid w:val="207D6FB9"/>
    <w:rsid w:val="20971417"/>
    <w:rsid w:val="20983709"/>
    <w:rsid w:val="209F2C2F"/>
    <w:rsid w:val="20A029E1"/>
    <w:rsid w:val="20AE0033"/>
    <w:rsid w:val="20B25632"/>
    <w:rsid w:val="20B47E17"/>
    <w:rsid w:val="20BE47F2"/>
    <w:rsid w:val="20C30596"/>
    <w:rsid w:val="20CE2C87"/>
    <w:rsid w:val="20DB35F6"/>
    <w:rsid w:val="20F06D17"/>
    <w:rsid w:val="20F21A35"/>
    <w:rsid w:val="20FD5366"/>
    <w:rsid w:val="210342D6"/>
    <w:rsid w:val="21066593"/>
    <w:rsid w:val="210967FF"/>
    <w:rsid w:val="210F3D49"/>
    <w:rsid w:val="211641D9"/>
    <w:rsid w:val="2119364B"/>
    <w:rsid w:val="212152E8"/>
    <w:rsid w:val="2127683B"/>
    <w:rsid w:val="212925B3"/>
    <w:rsid w:val="212F1A47"/>
    <w:rsid w:val="21303CCC"/>
    <w:rsid w:val="2130415F"/>
    <w:rsid w:val="213276BA"/>
    <w:rsid w:val="21375356"/>
    <w:rsid w:val="21387070"/>
    <w:rsid w:val="213A6CA9"/>
    <w:rsid w:val="21442E07"/>
    <w:rsid w:val="21442F49"/>
    <w:rsid w:val="214C5EE7"/>
    <w:rsid w:val="215654A2"/>
    <w:rsid w:val="2157286C"/>
    <w:rsid w:val="21611D4D"/>
    <w:rsid w:val="216C04B6"/>
    <w:rsid w:val="216C4E94"/>
    <w:rsid w:val="216D6C3A"/>
    <w:rsid w:val="2177021F"/>
    <w:rsid w:val="21930AA1"/>
    <w:rsid w:val="219428FB"/>
    <w:rsid w:val="219519F6"/>
    <w:rsid w:val="219914E7"/>
    <w:rsid w:val="21A8797C"/>
    <w:rsid w:val="21AD294D"/>
    <w:rsid w:val="21B079CB"/>
    <w:rsid w:val="21BD3DCF"/>
    <w:rsid w:val="21C621AC"/>
    <w:rsid w:val="21D07995"/>
    <w:rsid w:val="21D20555"/>
    <w:rsid w:val="21D531B6"/>
    <w:rsid w:val="21DC13D3"/>
    <w:rsid w:val="21E12E8E"/>
    <w:rsid w:val="21E7202A"/>
    <w:rsid w:val="21EA1D42"/>
    <w:rsid w:val="21EA7D22"/>
    <w:rsid w:val="21F41A5B"/>
    <w:rsid w:val="21F901D7"/>
    <w:rsid w:val="220F0064"/>
    <w:rsid w:val="220F17A9"/>
    <w:rsid w:val="220F2641"/>
    <w:rsid w:val="221338AA"/>
    <w:rsid w:val="22151481"/>
    <w:rsid w:val="22170E24"/>
    <w:rsid w:val="221F7512"/>
    <w:rsid w:val="222334A6"/>
    <w:rsid w:val="222E31ED"/>
    <w:rsid w:val="222F3BF9"/>
    <w:rsid w:val="223631D9"/>
    <w:rsid w:val="22384C4E"/>
    <w:rsid w:val="22396826"/>
    <w:rsid w:val="223C00C4"/>
    <w:rsid w:val="224831C9"/>
    <w:rsid w:val="22486AAA"/>
    <w:rsid w:val="224B6898"/>
    <w:rsid w:val="224D49BF"/>
    <w:rsid w:val="225322DB"/>
    <w:rsid w:val="225673D8"/>
    <w:rsid w:val="22574EFE"/>
    <w:rsid w:val="225C001A"/>
    <w:rsid w:val="22613F55"/>
    <w:rsid w:val="22651074"/>
    <w:rsid w:val="22707261"/>
    <w:rsid w:val="22717D6E"/>
    <w:rsid w:val="22725D13"/>
    <w:rsid w:val="22794BAF"/>
    <w:rsid w:val="22811A2C"/>
    <w:rsid w:val="22833F45"/>
    <w:rsid w:val="22837AA1"/>
    <w:rsid w:val="22872E05"/>
    <w:rsid w:val="228B1B4B"/>
    <w:rsid w:val="22923344"/>
    <w:rsid w:val="229503B7"/>
    <w:rsid w:val="229E2B2D"/>
    <w:rsid w:val="22A83966"/>
    <w:rsid w:val="22AD2A0F"/>
    <w:rsid w:val="22B53570"/>
    <w:rsid w:val="22BE600E"/>
    <w:rsid w:val="22C1607A"/>
    <w:rsid w:val="22C24A6D"/>
    <w:rsid w:val="22CC509F"/>
    <w:rsid w:val="22CD4DFA"/>
    <w:rsid w:val="22D476CD"/>
    <w:rsid w:val="22DE24EC"/>
    <w:rsid w:val="22E21AB1"/>
    <w:rsid w:val="23043442"/>
    <w:rsid w:val="230B159E"/>
    <w:rsid w:val="2317211B"/>
    <w:rsid w:val="231B5F2B"/>
    <w:rsid w:val="232748D0"/>
    <w:rsid w:val="23306FF8"/>
    <w:rsid w:val="23316965"/>
    <w:rsid w:val="23356FED"/>
    <w:rsid w:val="23406505"/>
    <w:rsid w:val="234E4553"/>
    <w:rsid w:val="234E6DFE"/>
    <w:rsid w:val="235071D5"/>
    <w:rsid w:val="23517C92"/>
    <w:rsid w:val="235478E1"/>
    <w:rsid w:val="235A5567"/>
    <w:rsid w:val="23601A02"/>
    <w:rsid w:val="23605214"/>
    <w:rsid w:val="23642F13"/>
    <w:rsid w:val="236440D4"/>
    <w:rsid w:val="236A0DDA"/>
    <w:rsid w:val="237044C9"/>
    <w:rsid w:val="23735F76"/>
    <w:rsid w:val="237C1FD8"/>
    <w:rsid w:val="237F64BA"/>
    <w:rsid w:val="23812232"/>
    <w:rsid w:val="239317C9"/>
    <w:rsid w:val="23962FAA"/>
    <w:rsid w:val="23A24214"/>
    <w:rsid w:val="23A92B9D"/>
    <w:rsid w:val="23AA5C0C"/>
    <w:rsid w:val="23AB5501"/>
    <w:rsid w:val="23AE0BE1"/>
    <w:rsid w:val="23B1063E"/>
    <w:rsid w:val="23B720F8"/>
    <w:rsid w:val="23B82995"/>
    <w:rsid w:val="23C93BD9"/>
    <w:rsid w:val="23C959C9"/>
    <w:rsid w:val="23C9733D"/>
    <w:rsid w:val="23D34A58"/>
    <w:rsid w:val="23E634F2"/>
    <w:rsid w:val="23ED4EAE"/>
    <w:rsid w:val="23F00AB3"/>
    <w:rsid w:val="23FD77A9"/>
    <w:rsid w:val="2408446D"/>
    <w:rsid w:val="240F629E"/>
    <w:rsid w:val="2412732E"/>
    <w:rsid w:val="24156E29"/>
    <w:rsid w:val="241A103A"/>
    <w:rsid w:val="24240DD8"/>
    <w:rsid w:val="24294678"/>
    <w:rsid w:val="242C6517"/>
    <w:rsid w:val="242F6132"/>
    <w:rsid w:val="24344735"/>
    <w:rsid w:val="24385020"/>
    <w:rsid w:val="243F5C4A"/>
    <w:rsid w:val="2444572C"/>
    <w:rsid w:val="244945FE"/>
    <w:rsid w:val="244B0F13"/>
    <w:rsid w:val="2452203A"/>
    <w:rsid w:val="24531EDF"/>
    <w:rsid w:val="24547947"/>
    <w:rsid w:val="245C2C9F"/>
    <w:rsid w:val="24651B54"/>
    <w:rsid w:val="2466447B"/>
    <w:rsid w:val="246B18DA"/>
    <w:rsid w:val="2474661C"/>
    <w:rsid w:val="247D50F0"/>
    <w:rsid w:val="24854695"/>
    <w:rsid w:val="24880CBC"/>
    <w:rsid w:val="24901F1F"/>
    <w:rsid w:val="249C4E4A"/>
    <w:rsid w:val="24A216A6"/>
    <w:rsid w:val="24B05FF2"/>
    <w:rsid w:val="24B91EA0"/>
    <w:rsid w:val="24C02559"/>
    <w:rsid w:val="24C745BD"/>
    <w:rsid w:val="24D53E3B"/>
    <w:rsid w:val="24D647F8"/>
    <w:rsid w:val="24F94E85"/>
    <w:rsid w:val="24FE18A4"/>
    <w:rsid w:val="250E04AB"/>
    <w:rsid w:val="2510555E"/>
    <w:rsid w:val="251B580C"/>
    <w:rsid w:val="251B68C4"/>
    <w:rsid w:val="25357E39"/>
    <w:rsid w:val="2536529E"/>
    <w:rsid w:val="2537321F"/>
    <w:rsid w:val="25413B65"/>
    <w:rsid w:val="25514248"/>
    <w:rsid w:val="255A55A8"/>
    <w:rsid w:val="255F6895"/>
    <w:rsid w:val="2561782C"/>
    <w:rsid w:val="25641E0C"/>
    <w:rsid w:val="2566688E"/>
    <w:rsid w:val="256D3348"/>
    <w:rsid w:val="257004C2"/>
    <w:rsid w:val="257028FB"/>
    <w:rsid w:val="257203A2"/>
    <w:rsid w:val="258778A8"/>
    <w:rsid w:val="25902C01"/>
    <w:rsid w:val="25935C55"/>
    <w:rsid w:val="259E3EC8"/>
    <w:rsid w:val="25A0225B"/>
    <w:rsid w:val="25A67436"/>
    <w:rsid w:val="25A73060"/>
    <w:rsid w:val="25AD08F2"/>
    <w:rsid w:val="25AD7650"/>
    <w:rsid w:val="25AE3087"/>
    <w:rsid w:val="25B6156F"/>
    <w:rsid w:val="25B82157"/>
    <w:rsid w:val="25BA7F37"/>
    <w:rsid w:val="25D56352"/>
    <w:rsid w:val="25E06A5D"/>
    <w:rsid w:val="25E52A97"/>
    <w:rsid w:val="25EB0C84"/>
    <w:rsid w:val="25EE5B79"/>
    <w:rsid w:val="260D5FFF"/>
    <w:rsid w:val="261750D0"/>
    <w:rsid w:val="261C7C82"/>
    <w:rsid w:val="261D1FBA"/>
    <w:rsid w:val="261E7DDA"/>
    <w:rsid w:val="2622433E"/>
    <w:rsid w:val="26360137"/>
    <w:rsid w:val="263B62BB"/>
    <w:rsid w:val="263C5D0A"/>
    <w:rsid w:val="264458DF"/>
    <w:rsid w:val="264834DB"/>
    <w:rsid w:val="264F605B"/>
    <w:rsid w:val="26644797"/>
    <w:rsid w:val="26774228"/>
    <w:rsid w:val="267A14D0"/>
    <w:rsid w:val="267B19F3"/>
    <w:rsid w:val="267F0573"/>
    <w:rsid w:val="268D5392"/>
    <w:rsid w:val="269B14B9"/>
    <w:rsid w:val="26AA0B19"/>
    <w:rsid w:val="26AA12B0"/>
    <w:rsid w:val="26AD02C6"/>
    <w:rsid w:val="26AF5F03"/>
    <w:rsid w:val="26B50445"/>
    <w:rsid w:val="26BB5A5B"/>
    <w:rsid w:val="26CE38AA"/>
    <w:rsid w:val="26DB1A1C"/>
    <w:rsid w:val="26E020A9"/>
    <w:rsid w:val="26EB1EFE"/>
    <w:rsid w:val="26F15921"/>
    <w:rsid w:val="26FC7E22"/>
    <w:rsid w:val="270218DC"/>
    <w:rsid w:val="271138CD"/>
    <w:rsid w:val="271F245F"/>
    <w:rsid w:val="272B2AFE"/>
    <w:rsid w:val="272F01F7"/>
    <w:rsid w:val="272F1FA5"/>
    <w:rsid w:val="2734562F"/>
    <w:rsid w:val="27353C9A"/>
    <w:rsid w:val="274847AE"/>
    <w:rsid w:val="274A6DDF"/>
    <w:rsid w:val="274F2647"/>
    <w:rsid w:val="275851E4"/>
    <w:rsid w:val="27590E5D"/>
    <w:rsid w:val="27594B9C"/>
    <w:rsid w:val="27620F4B"/>
    <w:rsid w:val="27625124"/>
    <w:rsid w:val="276251C4"/>
    <w:rsid w:val="27704536"/>
    <w:rsid w:val="277125BE"/>
    <w:rsid w:val="2775024B"/>
    <w:rsid w:val="27777ECB"/>
    <w:rsid w:val="27781B9E"/>
    <w:rsid w:val="277E213C"/>
    <w:rsid w:val="27896EEB"/>
    <w:rsid w:val="27897907"/>
    <w:rsid w:val="278E13C2"/>
    <w:rsid w:val="278E3170"/>
    <w:rsid w:val="27B04C8E"/>
    <w:rsid w:val="27B150B0"/>
    <w:rsid w:val="27B5694E"/>
    <w:rsid w:val="27B76736"/>
    <w:rsid w:val="27B801ED"/>
    <w:rsid w:val="27B93FC6"/>
    <w:rsid w:val="27BF157B"/>
    <w:rsid w:val="27C85B42"/>
    <w:rsid w:val="27C92EAF"/>
    <w:rsid w:val="27CB0B36"/>
    <w:rsid w:val="27CC1DBD"/>
    <w:rsid w:val="27D33279"/>
    <w:rsid w:val="27D711E9"/>
    <w:rsid w:val="27DE4429"/>
    <w:rsid w:val="27F54F9D"/>
    <w:rsid w:val="28017DE6"/>
    <w:rsid w:val="28072F22"/>
    <w:rsid w:val="280A53B4"/>
    <w:rsid w:val="281318C7"/>
    <w:rsid w:val="282275DE"/>
    <w:rsid w:val="283009C9"/>
    <w:rsid w:val="28362EBB"/>
    <w:rsid w:val="28364FB1"/>
    <w:rsid w:val="283C6BB4"/>
    <w:rsid w:val="283F26BC"/>
    <w:rsid w:val="28451019"/>
    <w:rsid w:val="28456B9B"/>
    <w:rsid w:val="28461C9C"/>
    <w:rsid w:val="284B623F"/>
    <w:rsid w:val="2851054E"/>
    <w:rsid w:val="285162F7"/>
    <w:rsid w:val="285404E5"/>
    <w:rsid w:val="285A12A4"/>
    <w:rsid w:val="285A5748"/>
    <w:rsid w:val="28612632"/>
    <w:rsid w:val="28645D2E"/>
    <w:rsid w:val="286B2950"/>
    <w:rsid w:val="286F2715"/>
    <w:rsid w:val="28757E8C"/>
    <w:rsid w:val="287B36BC"/>
    <w:rsid w:val="287E4A98"/>
    <w:rsid w:val="28856764"/>
    <w:rsid w:val="28885E11"/>
    <w:rsid w:val="288D1679"/>
    <w:rsid w:val="28960753"/>
    <w:rsid w:val="28961282"/>
    <w:rsid w:val="289A3251"/>
    <w:rsid w:val="289C7FA4"/>
    <w:rsid w:val="28AC24C6"/>
    <w:rsid w:val="28B7126A"/>
    <w:rsid w:val="28B968B2"/>
    <w:rsid w:val="28BA3DA4"/>
    <w:rsid w:val="28C12E8B"/>
    <w:rsid w:val="28C17575"/>
    <w:rsid w:val="28C60B56"/>
    <w:rsid w:val="28C668F3"/>
    <w:rsid w:val="28CD1A76"/>
    <w:rsid w:val="28D52E42"/>
    <w:rsid w:val="28DE1B7C"/>
    <w:rsid w:val="28E86E2D"/>
    <w:rsid w:val="28E93131"/>
    <w:rsid w:val="28EA4167"/>
    <w:rsid w:val="28ED6517"/>
    <w:rsid w:val="291200CC"/>
    <w:rsid w:val="29127C18"/>
    <w:rsid w:val="2916166F"/>
    <w:rsid w:val="291640F4"/>
    <w:rsid w:val="291E0523"/>
    <w:rsid w:val="292518B2"/>
    <w:rsid w:val="292E7A3C"/>
    <w:rsid w:val="2931666F"/>
    <w:rsid w:val="29317AA5"/>
    <w:rsid w:val="29325D7D"/>
    <w:rsid w:val="2941154D"/>
    <w:rsid w:val="294D2BB7"/>
    <w:rsid w:val="294E1C37"/>
    <w:rsid w:val="29577251"/>
    <w:rsid w:val="29581C87"/>
    <w:rsid w:val="29677583"/>
    <w:rsid w:val="296E7531"/>
    <w:rsid w:val="29793C7F"/>
    <w:rsid w:val="297E7214"/>
    <w:rsid w:val="29824F56"/>
    <w:rsid w:val="29852351"/>
    <w:rsid w:val="29A414AB"/>
    <w:rsid w:val="29A52F17"/>
    <w:rsid w:val="29A77266"/>
    <w:rsid w:val="29AE1D76"/>
    <w:rsid w:val="29B80978"/>
    <w:rsid w:val="29B80C62"/>
    <w:rsid w:val="29BA5185"/>
    <w:rsid w:val="29C075EA"/>
    <w:rsid w:val="29C47D3C"/>
    <w:rsid w:val="29DA6B40"/>
    <w:rsid w:val="29DF005A"/>
    <w:rsid w:val="29E7300B"/>
    <w:rsid w:val="29E90B31"/>
    <w:rsid w:val="29EB6163"/>
    <w:rsid w:val="2A023954"/>
    <w:rsid w:val="2A031B7E"/>
    <w:rsid w:val="2A042E78"/>
    <w:rsid w:val="2A0E67EA"/>
    <w:rsid w:val="2A162D4A"/>
    <w:rsid w:val="2A1D1D6E"/>
    <w:rsid w:val="2A224317"/>
    <w:rsid w:val="2A2723E1"/>
    <w:rsid w:val="2A306760"/>
    <w:rsid w:val="2A355B25"/>
    <w:rsid w:val="2A413BE1"/>
    <w:rsid w:val="2A45177F"/>
    <w:rsid w:val="2A5266D7"/>
    <w:rsid w:val="2A571F3F"/>
    <w:rsid w:val="2A5F2DE6"/>
    <w:rsid w:val="2A630BE4"/>
    <w:rsid w:val="2A65091E"/>
    <w:rsid w:val="2A781E0D"/>
    <w:rsid w:val="2A7C6EF9"/>
    <w:rsid w:val="2A7E1934"/>
    <w:rsid w:val="2A81520E"/>
    <w:rsid w:val="2A84204E"/>
    <w:rsid w:val="2A84561E"/>
    <w:rsid w:val="2A870159"/>
    <w:rsid w:val="2A88342D"/>
    <w:rsid w:val="2A8B7E3A"/>
    <w:rsid w:val="2A8E3487"/>
    <w:rsid w:val="2A9461DF"/>
    <w:rsid w:val="2AA0355B"/>
    <w:rsid w:val="2ABA069B"/>
    <w:rsid w:val="2ABF1892"/>
    <w:rsid w:val="2AC8278B"/>
    <w:rsid w:val="2AC87D13"/>
    <w:rsid w:val="2ACE4DEE"/>
    <w:rsid w:val="2AD87F24"/>
    <w:rsid w:val="2ADF4CA2"/>
    <w:rsid w:val="2AE1563D"/>
    <w:rsid w:val="2AE35B22"/>
    <w:rsid w:val="2AE412F9"/>
    <w:rsid w:val="2AEC4698"/>
    <w:rsid w:val="2AF32F31"/>
    <w:rsid w:val="2AFA263C"/>
    <w:rsid w:val="2B031227"/>
    <w:rsid w:val="2B037E43"/>
    <w:rsid w:val="2B057BED"/>
    <w:rsid w:val="2B0E1332"/>
    <w:rsid w:val="2B183A96"/>
    <w:rsid w:val="2B1971F4"/>
    <w:rsid w:val="2B1A0A54"/>
    <w:rsid w:val="2B1C414F"/>
    <w:rsid w:val="2B1F1409"/>
    <w:rsid w:val="2B2304B0"/>
    <w:rsid w:val="2B243F83"/>
    <w:rsid w:val="2B252DAB"/>
    <w:rsid w:val="2B2D4AE3"/>
    <w:rsid w:val="2B3152EA"/>
    <w:rsid w:val="2B37666C"/>
    <w:rsid w:val="2B3C2EE3"/>
    <w:rsid w:val="2B4626AB"/>
    <w:rsid w:val="2B483EA9"/>
    <w:rsid w:val="2B4C75CA"/>
    <w:rsid w:val="2B4E575D"/>
    <w:rsid w:val="2B677198"/>
    <w:rsid w:val="2B711F4B"/>
    <w:rsid w:val="2B7C531F"/>
    <w:rsid w:val="2B7D7C76"/>
    <w:rsid w:val="2B7E6AED"/>
    <w:rsid w:val="2B8A5DAF"/>
    <w:rsid w:val="2B94134F"/>
    <w:rsid w:val="2B966A97"/>
    <w:rsid w:val="2BA42EFC"/>
    <w:rsid w:val="2BA74800"/>
    <w:rsid w:val="2BA94A1C"/>
    <w:rsid w:val="2BB178AC"/>
    <w:rsid w:val="2BB27326"/>
    <w:rsid w:val="2BCE0689"/>
    <w:rsid w:val="2BD171A7"/>
    <w:rsid w:val="2BD80E5D"/>
    <w:rsid w:val="2BE033D3"/>
    <w:rsid w:val="2BE55864"/>
    <w:rsid w:val="2BEB6DE3"/>
    <w:rsid w:val="2BEC2116"/>
    <w:rsid w:val="2BEC2B5B"/>
    <w:rsid w:val="2BEC4909"/>
    <w:rsid w:val="2BEC66B7"/>
    <w:rsid w:val="2BF316DC"/>
    <w:rsid w:val="2BF51A0F"/>
    <w:rsid w:val="2BF812BD"/>
    <w:rsid w:val="2C106849"/>
    <w:rsid w:val="2C1263CB"/>
    <w:rsid w:val="2C1543A7"/>
    <w:rsid w:val="2C1A1476"/>
    <w:rsid w:val="2C1C51EE"/>
    <w:rsid w:val="2C2A3E5C"/>
    <w:rsid w:val="2C33078A"/>
    <w:rsid w:val="2C35005E"/>
    <w:rsid w:val="2C351E0C"/>
    <w:rsid w:val="2C387B4E"/>
    <w:rsid w:val="2C3F54D9"/>
    <w:rsid w:val="2C4409B5"/>
    <w:rsid w:val="2C443E51"/>
    <w:rsid w:val="2C4457BC"/>
    <w:rsid w:val="2C4B680C"/>
    <w:rsid w:val="2C4D3A70"/>
    <w:rsid w:val="2C567FD4"/>
    <w:rsid w:val="2C5C7B22"/>
    <w:rsid w:val="2C603BDB"/>
    <w:rsid w:val="2C617065"/>
    <w:rsid w:val="2C680FE8"/>
    <w:rsid w:val="2C6B50F3"/>
    <w:rsid w:val="2C70553A"/>
    <w:rsid w:val="2C7A04EF"/>
    <w:rsid w:val="2C7E62B1"/>
    <w:rsid w:val="2C7F7F57"/>
    <w:rsid w:val="2C802E20"/>
    <w:rsid w:val="2C844B41"/>
    <w:rsid w:val="2C8A4A20"/>
    <w:rsid w:val="2C923702"/>
    <w:rsid w:val="2C9E3E55"/>
    <w:rsid w:val="2C9F3729"/>
    <w:rsid w:val="2C9F5E1F"/>
    <w:rsid w:val="2CAB76E0"/>
    <w:rsid w:val="2CB861C0"/>
    <w:rsid w:val="2CBC252D"/>
    <w:rsid w:val="2CBD1123"/>
    <w:rsid w:val="2CC14B61"/>
    <w:rsid w:val="2CCC1794"/>
    <w:rsid w:val="2CCF32E2"/>
    <w:rsid w:val="2CD26082"/>
    <w:rsid w:val="2CD26934"/>
    <w:rsid w:val="2CEA02BC"/>
    <w:rsid w:val="2CED1F69"/>
    <w:rsid w:val="2CF37D23"/>
    <w:rsid w:val="2CFC5020"/>
    <w:rsid w:val="2D006881"/>
    <w:rsid w:val="2D0A14EA"/>
    <w:rsid w:val="2D0B6596"/>
    <w:rsid w:val="2D0B6D9D"/>
    <w:rsid w:val="2D1466AB"/>
    <w:rsid w:val="2D2119EE"/>
    <w:rsid w:val="2D2140A0"/>
    <w:rsid w:val="2D2B2949"/>
    <w:rsid w:val="2D317F8E"/>
    <w:rsid w:val="2D3940C5"/>
    <w:rsid w:val="2D4349FC"/>
    <w:rsid w:val="2D440D78"/>
    <w:rsid w:val="2D46629B"/>
    <w:rsid w:val="2D570D1C"/>
    <w:rsid w:val="2D6678EA"/>
    <w:rsid w:val="2D7352E2"/>
    <w:rsid w:val="2D8A6187"/>
    <w:rsid w:val="2D9A18BD"/>
    <w:rsid w:val="2DA578D4"/>
    <w:rsid w:val="2DA73D43"/>
    <w:rsid w:val="2DAB004C"/>
    <w:rsid w:val="2DB0031F"/>
    <w:rsid w:val="2DCA6BFF"/>
    <w:rsid w:val="2DCD028F"/>
    <w:rsid w:val="2DCF74C7"/>
    <w:rsid w:val="2DD10802"/>
    <w:rsid w:val="2DD85C59"/>
    <w:rsid w:val="2DDA4747"/>
    <w:rsid w:val="2DDD6BFF"/>
    <w:rsid w:val="2DF203BC"/>
    <w:rsid w:val="2DFA4AF6"/>
    <w:rsid w:val="2E003688"/>
    <w:rsid w:val="2E00644A"/>
    <w:rsid w:val="2E0602CB"/>
    <w:rsid w:val="2E096406"/>
    <w:rsid w:val="2E100D83"/>
    <w:rsid w:val="2E15286B"/>
    <w:rsid w:val="2E165C6D"/>
    <w:rsid w:val="2E206AEC"/>
    <w:rsid w:val="2E266F24"/>
    <w:rsid w:val="2E2C594D"/>
    <w:rsid w:val="2E3656DD"/>
    <w:rsid w:val="2E3D769E"/>
    <w:rsid w:val="2E4B1DBB"/>
    <w:rsid w:val="2E516CA5"/>
    <w:rsid w:val="2E5D564A"/>
    <w:rsid w:val="2E67471B"/>
    <w:rsid w:val="2E694863"/>
    <w:rsid w:val="2E725599"/>
    <w:rsid w:val="2E786A9C"/>
    <w:rsid w:val="2E7D428E"/>
    <w:rsid w:val="2E955D79"/>
    <w:rsid w:val="2E9A4AF0"/>
    <w:rsid w:val="2EA6182F"/>
    <w:rsid w:val="2EAB0AAB"/>
    <w:rsid w:val="2EAB4607"/>
    <w:rsid w:val="2EB15996"/>
    <w:rsid w:val="2EBF6305"/>
    <w:rsid w:val="2EC9462C"/>
    <w:rsid w:val="2ECE06D1"/>
    <w:rsid w:val="2EEC798C"/>
    <w:rsid w:val="2EF169A2"/>
    <w:rsid w:val="2EF9362C"/>
    <w:rsid w:val="2EFF6701"/>
    <w:rsid w:val="2EFF79A7"/>
    <w:rsid w:val="2F026732"/>
    <w:rsid w:val="2F0C6FE7"/>
    <w:rsid w:val="2F1D0805"/>
    <w:rsid w:val="2F1E127D"/>
    <w:rsid w:val="2F20375F"/>
    <w:rsid w:val="2F2148C9"/>
    <w:rsid w:val="2F236894"/>
    <w:rsid w:val="2F2D28E7"/>
    <w:rsid w:val="2F320E6B"/>
    <w:rsid w:val="2F332362"/>
    <w:rsid w:val="2F3E191F"/>
    <w:rsid w:val="2F416D1A"/>
    <w:rsid w:val="2F494C94"/>
    <w:rsid w:val="2F5A7DDB"/>
    <w:rsid w:val="2F5B427F"/>
    <w:rsid w:val="2F5E262F"/>
    <w:rsid w:val="2F7A3369"/>
    <w:rsid w:val="2F7C7314"/>
    <w:rsid w:val="2F860786"/>
    <w:rsid w:val="2F880DEC"/>
    <w:rsid w:val="2F8A06C1"/>
    <w:rsid w:val="2F8A6913"/>
    <w:rsid w:val="2F8D01B1"/>
    <w:rsid w:val="2FAF126E"/>
    <w:rsid w:val="2FB15C4D"/>
    <w:rsid w:val="2FB32CCE"/>
    <w:rsid w:val="2FC303EE"/>
    <w:rsid w:val="2FC409EA"/>
    <w:rsid w:val="2FC43D45"/>
    <w:rsid w:val="2FC65EE7"/>
    <w:rsid w:val="2FCB3509"/>
    <w:rsid w:val="2FCD4A51"/>
    <w:rsid w:val="2FD54FEF"/>
    <w:rsid w:val="2FD91648"/>
    <w:rsid w:val="2FD933F6"/>
    <w:rsid w:val="2FDB74D1"/>
    <w:rsid w:val="2FE5403D"/>
    <w:rsid w:val="2FE91D6D"/>
    <w:rsid w:val="2FEA29CC"/>
    <w:rsid w:val="2FEC3129"/>
    <w:rsid w:val="2FEF342E"/>
    <w:rsid w:val="2FF63FA8"/>
    <w:rsid w:val="2FF9392A"/>
    <w:rsid w:val="2FFD70E5"/>
    <w:rsid w:val="300B50FB"/>
    <w:rsid w:val="300E12F2"/>
    <w:rsid w:val="30161574"/>
    <w:rsid w:val="30161F54"/>
    <w:rsid w:val="30181FBE"/>
    <w:rsid w:val="301B3E66"/>
    <w:rsid w:val="30305B1B"/>
    <w:rsid w:val="303279C9"/>
    <w:rsid w:val="30330D58"/>
    <w:rsid w:val="303C73AF"/>
    <w:rsid w:val="303D5733"/>
    <w:rsid w:val="303E325B"/>
    <w:rsid w:val="304365BC"/>
    <w:rsid w:val="30485E94"/>
    <w:rsid w:val="304925DB"/>
    <w:rsid w:val="305759C8"/>
    <w:rsid w:val="305A7565"/>
    <w:rsid w:val="30606076"/>
    <w:rsid w:val="30753326"/>
    <w:rsid w:val="30761702"/>
    <w:rsid w:val="30785015"/>
    <w:rsid w:val="307A0F91"/>
    <w:rsid w:val="307C2B3F"/>
    <w:rsid w:val="307F7AFA"/>
    <w:rsid w:val="30823A8E"/>
    <w:rsid w:val="30965EAE"/>
    <w:rsid w:val="30A47713"/>
    <w:rsid w:val="30AB4D93"/>
    <w:rsid w:val="30B30136"/>
    <w:rsid w:val="30BD0A8C"/>
    <w:rsid w:val="30C714A1"/>
    <w:rsid w:val="30CC4D09"/>
    <w:rsid w:val="30D062B7"/>
    <w:rsid w:val="30D84E3E"/>
    <w:rsid w:val="30DF654B"/>
    <w:rsid w:val="30E162C6"/>
    <w:rsid w:val="30EA486A"/>
    <w:rsid w:val="30F73B34"/>
    <w:rsid w:val="31017F33"/>
    <w:rsid w:val="31077AEF"/>
    <w:rsid w:val="311061F7"/>
    <w:rsid w:val="31134219"/>
    <w:rsid w:val="3118387F"/>
    <w:rsid w:val="311A6D9D"/>
    <w:rsid w:val="311D7D22"/>
    <w:rsid w:val="31243331"/>
    <w:rsid w:val="312A5482"/>
    <w:rsid w:val="312B7E4D"/>
    <w:rsid w:val="31321010"/>
    <w:rsid w:val="31342FDA"/>
    <w:rsid w:val="313A6116"/>
    <w:rsid w:val="314169CB"/>
    <w:rsid w:val="314D27AB"/>
    <w:rsid w:val="31584F6F"/>
    <w:rsid w:val="3159209F"/>
    <w:rsid w:val="315A40C3"/>
    <w:rsid w:val="315B5AD8"/>
    <w:rsid w:val="315D37F8"/>
    <w:rsid w:val="31660CB9"/>
    <w:rsid w:val="316768ED"/>
    <w:rsid w:val="31741628"/>
    <w:rsid w:val="317653A0"/>
    <w:rsid w:val="317D2D70"/>
    <w:rsid w:val="317E4255"/>
    <w:rsid w:val="31964556"/>
    <w:rsid w:val="319777CD"/>
    <w:rsid w:val="319778DC"/>
    <w:rsid w:val="319A0963"/>
    <w:rsid w:val="319B4DAE"/>
    <w:rsid w:val="319E229A"/>
    <w:rsid w:val="31A34FCB"/>
    <w:rsid w:val="31A67308"/>
    <w:rsid w:val="31AE7611"/>
    <w:rsid w:val="31B934DF"/>
    <w:rsid w:val="31B9703B"/>
    <w:rsid w:val="31CC3212"/>
    <w:rsid w:val="31DB22DC"/>
    <w:rsid w:val="31EA5447"/>
    <w:rsid w:val="31ED3189"/>
    <w:rsid w:val="31EF5CFF"/>
    <w:rsid w:val="31F3703A"/>
    <w:rsid w:val="31F51F83"/>
    <w:rsid w:val="31F97CD9"/>
    <w:rsid w:val="31FF76C2"/>
    <w:rsid w:val="32096215"/>
    <w:rsid w:val="320A1638"/>
    <w:rsid w:val="320F75A3"/>
    <w:rsid w:val="321C3788"/>
    <w:rsid w:val="32217826"/>
    <w:rsid w:val="322425CE"/>
    <w:rsid w:val="32347C8D"/>
    <w:rsid w:val="323B3B03"/>
    <w:rsid w:val="323D2627"/>
    <w:rsid w:val="32427031"/>
    <w:rsid w:val="324530C6"/>
    <w:rsid w:val="324A5708"/>
    <w:rsid w:val="324C6101"/>
    <w:rsid w:val="3252231D"/>
    <w:rsid w:val="32560D2E"/>
    <w:rsid w:val="325C4BCC"/>
    <w:rsid w:val="32611DF4"/>
    <w:rsid w:val="32717916"/>
    <w:rsid w:val="32757CF8"/>
    <w:rsid w:val="32764F2C"/>
    <w:rsid w:val="32785CE5"/>
    <w:rsid w:val="327C1AB8"/>
    <w:rsid w:val="327E2F2A"/>
    <w:rsid w:val="328517A6"/>
    <w:rsid w:val="32892EB1"/>
    <w:rsid w:val="329B0E37"/>
    <w:rsid w:val="32A25D4D"/>
    <w:rsid w:val="32A2788A"/>
    <w:rsid w:val="32B533E2"/>
    <w:rsid w:val="32B83797"/>
    <w:rsid w:val="32B93475"/>
    <w:rsid w:val="32BF6730"/>
    <w:rsid w:val="32C2687B"/>
    <w:rsid w:val="32D004E7"/>
    <w:rsid w:val="32D63160"/>
    <w:rsid w:val="32D87995"/>
    <w:rsid w:val="32DD144F"/>
    <w:rsid w:val="32E91BA2"/>
    <w:rsid w:val="32EB76C8"/>
    <w:rsid w:val="32F544A3"/>
    <w:rsid w:val="33014773"/>
    <w:rsid w:val="33026040"/>
    <w:rsid w:val="33062754"/>
    <w:rsid w:val="33067E09"/>
    <w:rsid w:val="332116F0"/>
    <w:rsid w:val="332B4046"/>
    <w:rsid w:val="33305A23"/>
    <w:rsid w:val="333B4D1D"/>
    <w:rsid w:val="3344327C"/>
    <w:rsid w:val="33453373"/>
    <w:rsid w:val="335A5977"/>
    <w:rsid w:val="335D5343"/>
    <w:rsid w:val="33614751"/>
    <w:rsid w:val="3361798A"/>
    <w:rsid w:val="33627F5C"/>
    <w:rsid w:val="336359DD"/>
    <w:rsid w:val="336562D4"/>
    <w:rsid w:val="33675BD3"/>
    <w:rsid w:val="33681D12"/>
    <w:rsid w:val="336A2CE3"/>
    <w:rsid w:val="33775400"/>
    <w:rsid w:val="33843993"/>
    <w:rsid w:val="338A5133"/>
    <w:rsid w:val="338D4C23"/>
    <w:rsid w:val="33900270"/>
    <w:rsid w:val="33953AD8"/>
    <w:rsid w:val="33977850"/>
    <w:rsid w:val="33992755"/>
    <w:rsid w:val="33B16910"/>
    <w:rsid w:val="33B62866"/>
    <w:rsid w:val="33C40FA3"/>
    <w:rsid w:val="33C64039"/>
    <w:rsid w:val="33C71C43"/>
    <w:rsid w:val="33CC1B89"/>
    <w:rsid w:val="33D2413B"/>
    <w:rsid w:val="33D90F67"/>
    <w:rsid w:val="33D91C17"/>
    <w:rsid w:val="33DA4961"/>
    <w:rsid w:val="33E10ACB"/>
    <w:rsid w:val="33E448D8"/>
    <w:rsid w:val="33FE3CE8"/>
    <w:rsid w:val="33FF7E6D"/>
    <w:rsid w:val="340424C6"/>
    <w:rsid w:val="340519D9"/>
    <w:rsid w:val="340F4E6D"/>
    <w:rsid w:val="34320A13"/>
    <w:rsid w:val="343B467F"/>
    <w:rsid w:val="34425231"/>
    <w:rsid w:val="34431B06"/>
    <w:rsid w:val="34474DD2"/>
    <w:rsid w:val="345929DE"/>
    <w:rsid w:val="346072C0"/>
    <w:rsid w:val="346516FC"/>
    <w:rsid w:val="346A5F31"/>
    <w:rsid w:val="346D7CF6"/>
    <w:rsid w:val="347362BE"/>
    <w:rsid w:val="3474109D"/>
    <w:rsid w:val="347673CF"/>
    <w:rsid w:val="347B64AA"/>
    <w:rsid w:val="347D6A46"/>
    <w:rsid w:val="347E3BAB"/>
    <w:rsid w:val="347F183F"/>
    <w:rsid w:val="34842520"/>
    <w:rsid w:val="3489363D"/>
    <w:rsid w:val="349A7C58"/>
    <w:rsid w:val="349F4C0E"/>
    <w:rsid w:val="34A70FCF"/>
    <w:rsid w:val="34A813F3"/>
    <w:rsid w:val="34AD46FA"/>
    <w:rsid w:val="34BA21D9"/>
    <w:rsid w:val="34CF77ED"/>
    <w:rsid w:val="34D67F04"/>
    <w:rsid w:val="34D80120"/>
    <w:rsid w:val="34E22D4D"/>
    <w:rsid w:val="34F12C96"/>
    <w:rsid w:val="34FC456B"/>
    <w:rsid w:val="350229B1"/>
    <w:rsid w:val="3517036A"/>
    <w:rsid w:val="351865A9"/>
    <w:rsid w:val="35223DBB"/>
    <w:rsid w:val="352E648C"/>
    <w:rsid w:val="3536335A"/>
    <w:rsid w:val="35401C2F"/>
    <w:rsid w:val="35430AA4"/>
    <w:rsid w:val="35521BC3"/>
    <w:rsid w:val="35577297"/>
    <w:rsid w:val="355A6D87"/>
    <w:rsid w:val="35635C3C"/>
    <w:rsid w:val="357B01F0"/>
    <w:rsid w:val="3583008C"/>
    <w:rsid w:val="358B5193"/>
    <w:rsid w:val="359244F6"/>
    <w:rsid w:val="3599165E"/>
    <w:rsid w:val="359F5D99"/>
    <w:rsid w:val="35A22981"/>
    <w:rsid w:val="35BC359E"/>
    <w:rsid w:val="35D326FA"/>
    <w:rsid w:val="35DB3297"/>
    <w:rsid w:val="35E01951"/>
    <w:rsid w:val="35E02FC2"/>
    <w:rsid w:val="35E50B2A"/>
    <w:rsid w:val="35EB36C7"/>
    <w:rsid w:val="35EF3A10"/>
    <w:rsid w:val="35F352A1"/>
    <w:rsid w:val="35F47882"/>
    <w:rsid w:val="35FD01EF"/>
    <w:rsid w:val="35FE7713"/>
    <w:rsid w:val="3608233F"/>
    <w:rsid w:val="360B1967"/>
    <w:rsid w:val="361909F0"/>
    <w:rsid w:val="362376BA"/>
    <w:rsid w:val="362656CE"/>
    <w:rsid w:val="362F1F00"/>
    <w:rsid w:val="36487F49"/>
    <w:rsid w:val="36494A1E"/>
    <w:rsid w:val="364A2958"/>
    <w:rsid w:val="364E5590"/>
    <w:rsid w:val="365D6B2F"/>
    <w:rsid w:val="36605C56"/>
    <w:rsid w:val="366951E8"/>
    <w:rsid w:val="3683289F"/>
    <w:rsid w:val="3684094B"/>
    <w:rsid w:val="36940077"/>
    <w:rsid w:val="3699621A"/>
    <w:rsid w:val="369D1BC5"/>
    <w:rsid w:val="36A30340"/>
    <w:rsid w:val="36A91D74"/>
    <w:rsid w:val="36AA789A"/>
    <w:rsid w:val="36AE6DC9"/>
    <w:rsid w:val="36B156FE"/>
    <w:rsid w:val="36B87B15"/>
    <w:rsid w:val="36BF474E"/>
    <w:rsid w:val="36C821B9"/>
    <w:rsid w:val="36C91572"/>
    <w:rsid w:val="36DD37CC"/>
    <w:rsid w:val="36EC083E"/>
    <w:rsid w:val="36EC3A0F"/>
    <w:rsid w:val="36F54FB9"/>
    <w:rsid w:val="370945C1"/>
    <w:rsid w:val="370B658B"/>
    <w:rsid w:val="371511B8"/>
    <w:rsid w:val="37215DAE"/>
    <w:rsid w:val="372B0A1D"/>
    <w:rsid w:val="372D58EF"/>
    <w:rsid w:val="3736112E"/>
    <w:rsid w:val="37386C54"/>
    <w:rsid w:val="373F5208"/>
    <w:rsid w:val="373F65F1"/>
    <w:rsid w:val="37460B3B"/>
    <w:rsid w:val="374D6BA3"/>
    <w:rsid w:val="375C0B95"/>
    <w:rsid w:val="37712780"/>
    <w:rsid w:val="37744822"/>
    <w:rsid w:val="377759CE"/>
    <w:rsid w:val="37887BDC"/>
    <w:rsid w:val="378B382E"/>
    <w:rsid w:val="379150F5"/>
    <w:rsid w:val="3792357E"/>
    <w:rsid w:val="379C42C2"/>
    <w:rsid w:val="379D5C59"/>
    <w:rsid w:val="37A27544"/>
    <w:rsid w:val="37AA39C7"/>
    <w:rsid w:val="37B07132"/>
    <w:rsid w:val="37CB5D1A"/>
    <w:rsid w:val="37CD1A92"/>
    <w:rsid w:val="37D50947"/>
    <w:rsid w:val="37E605B1"/>
    <w:rsid w:val="37F214F9"/>
    <w:rsid w:val="37F350D2"/>
    <w:rsid w:val="37F73715"/>
    <w:rsid w:val="3801173C"/>
    <w:rsid w:val="380B5401"/>
    <w:rsid w:val="38111509"/>
    <w:rsid w:val="381650F0"/>
    <w:rsid w:val="381847E7"/>
    <w:rsid w:val="38192CFD"/>
    <w:rsid w:val="381A0BA2"/>
    <w:rsid w:val="381C0840"/>
    <w:rsid w:val="381C6576"/>
    <w:rsid w:val="38242728"/>
    <w:rsid w:val="382C0FF7"/>
    <w:rsid w:val="382D3D18"/>
    <w:rsid w:val="38333B35"/>
    <w:rsid w:val="38397128"/>
    <w:rsid w:val="38410B34"/>
    <w:rsid w:val="38484DCE"/>
    <w:rsid w:val="385C6972"/>
    <w:rsid w:val="385E1DAE"/>
    <w:rsid w:val="386677F1"/>
    <w:rsid w:val="386755F3"/>
    <w:rsid w:val="386D0B7F"/>
    <w:rsid w:val="38867CFD"/>
    <w:rsid w:val="388E4674"/>
    <w:rsid w:val="38995E18"/>
    <w:rsid w:val="389E6F8B"/>
    <w:rsid w:val="389F33B1"/>
    <w:rsid w:val="38A35447"/>
    <w:rsid w:val="38A52F55"/>
    <w:rsid w:val="38AA514D"/>
    <w:rsid w:val="38AF1198"/>
    <w:rsid w:val="38B268DB"/>
    <w:rsid w:val="38B73D3B"/>
    <w:rsid w:val="38CF35E8"/>
    <w:rsid w:val="38D34A56"/>
    <w:rsid w:val="38D62298"/>
    <w:rsid w:val="38D96D53"/>
    <w:rsid w:val="38DD39C5"/>
    <w:rsid w:val="38EA11EC"/>
    <w:rsid w:val="38F65019"/>
    <w:rsid w:val="38F81807"/>
    <w:rsid w:val="390A40DA"/>
    <w:rsid w:val="390F7891"/>
    <w:rsid w:val="3914724D"/>
    <w:rsid w:val="39166205"/>
    <w:rsid w:val="39190562"/>
    <w:rsid w:val="391B05DB"/>
    <w:rsid w:val="391F0C48"/>
    <w:rsid w:val="39204F51"/>
    <w:rsid w:val="39243934"/>
    <w:rsid w:val="39243950"/>
    <w:rsid w:val="39272600"/>
    <w:rsid w:val="39292CF8"/>
    <w:rsid w:val="392B5E27"/>
    <w:rsid w:val="393B18AF"/>
    <w:rsid w:val="393E337F"/>
    <w:rsid w:val="39447B32"/>
    <w:rsid w:val="394616C0"/>
    <w:rsid w:val="394915F5"/>
    <w:rsid w:val="394F0285"/>
    <w:rsid w:val="39560C0A"/>
    <w:rsid w:val="39596675"/>
    <w:rsid w:val="396D46B4"/>
    <w:rsid w:val="39703D6E"/>
    <w:rsid w:val="39794A28"/>
    <w:rsid w:val="397F2D9D"/>
    <w:rsid w:val="397F500E"/>
    <w:rsid w:val="39867E0F"/>
    <w:rsid w:val="3987236F"/>
    <w:rsid w:val="39900FC9"/>
    <w:rsid w:val="39922880"/>
    <w:rsid w:val="39AC10AA"/>
    <w:rsid w:val="39AF6CBA"/>
    <w:rsid w:val="39B20F40"/>
    <w:rsid w:val="39B62EBE"/>
    <w:rsid w:val="39BA6046"/>
    <w:rsid w:val="39C31139"/>
    <w:rsid w:val="39C37D0E"/>
    <w:rsid w:val="39C93AC7"/>
    <w:rsid w:val="39CB2002"/>
    <w:rsid w:val="39CB3D5D"/>
    <w:rsid w:val="39CC458C"/>
    <w:rsid w:val="39D44A4C"/>
    <w:rsid w:val="39D5480A"/>
    <w:rsid w:val="39D9415E"/>
    <w:rsid w:val="39DC7D6B"/>
    <w:rsid w:val="39EB553D"/>
    <w:rsid w:val="39F75872"/>
    <w:rsid w:val="3A005C66"/>
    <w:rsid w:val="3A064CF0"/>
    <w:rsid w:val="3A181E6C"/>
    <w:rsid w:val="3A1A4D37"/>
    <w:rsid w:val="3A234DBD"/>
    <w:rsid w:val="3A2D6380"/>
    <w:rsid w:val="3A30130F"/>
    <w:rsid w:val="3A377C08"/>
    <w:rsid w:val="3A390FCD"/>
    <w:rsid w:val="3A4F678F"/>
    <w:rsid w:val="3A557B1D"/>
    <w:rsid w:val="3A573895"/>
    <w:rsid w:val="3A5F23D0"/>
    <w:rsid w:val="3A647D60"/>
    <w:rsid w:val="3A810612"/>
    <w:rsid w:val="3A8C6315"/>
    <w:rsid w:val="3A8D5DAE"/>
    <w:rsid w:val="3A98262C"/>
    <w:rsid w:val="3A9B7C26"/>
    <w:rsid w:val="3AA747E7"/>
    <w:rsid w:val="3ABA546C"/>
    <w:rsid w:val="3ABB02C8"/>
    <w:rsid w:val="3AD320B5"/>
    <w:rsid w:val="3AD82C28"/>
    <w:rsid w:val="3ADC79B0"/>
    <w:rsid w:val="3ADE13F4"/>
    <w:rsid w:val="3AE3683B"/>
    <w:rsid w:val="3AFA0DF0"/>
    <w:rsid w:val="3B0060E7"/>
    <w:rsid w:val="3B013DDA"/>
    <w:rsid w:val="3B071567"/>
    <w:rsid w:val="3B0A6B5A"/>
    <w:rsid w:val="3B0D2698"/>
    <w:rsid w:val="3B0F2A1E"/>
    <w:rsid w:val="3B1106A1"/>
    <w:rsid w:val="3B194FEF"/>
    <w:rsid w:val="3B200467"/>
    <w:rsid w:val="3B235AB5"/>
    <w:rsid w:val="3B242AAA"/>
    <w:rsid w:val="3B267EDC"/>
    <w:rsid w:val="3B337E5E"/>
    <w:rsid w:val="3B351E28"/>
    <w:rsid w:val="3B366259"/>
    <w:rsid w:val="3B3712A4"/>
    <w:rsid w:val="3B4F290D"/>
    <w:rsid w:val="3B510E8A"/>
    <w:rsid w:val="3B5413FB"/>
    <w:rsid w:val="3B5925B9"/>
    <w:rsid w:val="3B621237"/>
    <w:rsid w:val="3B697610"/>
    <w:rsid w:val="3B6A5D88"/>
    <w:rsid w:val="3B6E2210"/>
    <w:rsid w:val="3B730C7B"/>
    <w:rsid w:val="3B783B70"/>
    <w:rsid w:val="3B79685B"/>
    <w:rsid w:val="3B7F2AF7"/>
    <w:rsid w:val="3B897295"/>
    <w:rsid w:val="3B8B7C9A"/>
    <w:rsid w:val="3B8E32E7"/>
    <w:rsid w:val="3B9308FD"/>
    <w:rsid w:val="3B9733D4"/>
    <w:rsid w:val="3B976681"/>
    <w:rsid w:val="3B9B79B4"/>
    <w:rsid w:val="3BA90120"/>
    <w:rsid w:val="3BAD1958"/>
    <w:rsid w:val="3BB56AC5"/>
    <w:rsid w:val="3BBB11DD"/>
    <w:rsid w:val="3BC0054A"/>
    <w:rsid w:val="3BC46D08"/>
    <w:rsid w:val="3BD10DFD"/>
    <w:rsid w:val="3BDE4F17"/>
    <w:rsid w:val="3BE257D5"/>
    <w:rsid w:val="3BE63423"/>
    <w:rsid w:val="3BE86E9B"/>
    <w:rsid w:val="3BEB0EE6"/>
    <w:rsid w:val="3BED44B1"/>
    <w:rsid w:val="3BF45D5F"/>
    <w:rsid w:val="3BF511EF"/>
    <w:rsid w:val="3BFA1DF4"/>
    <w:rsid w:val="3BFD046C"/>
    <w:rsid w:val="3BFE436E"/>
    <w:rsid w:val="3C01500B"/>
    <w:rsid w:val="3C0739A0"/>
    <w:rsid w:val="3C0812EB"/>
    <w:rsid w:val="3C0A2CAD"/>
    <w:rsid w:val="3C0B218D"/>
    <w:rsid w:val="3C200535"/>
    <w:rsid w:val="3C205972"/>
    <w:rsid w:val="3C2B4FD9"/>
    <w:rsid w:val="3C3663B7"/>
    <w:rsid w:val="3C4972CC"/>
    <w:rsid w:val="3C4C2722"/>
    <w:rsid w:val="3C540BC8"/>
    <w:rsid w:val="3C590864"/>
    <w:rsid w:val="3C5E715D"/>
    <w:rsid w:val="3C643AB5"/>
    <w:rsid w:val="3C666C80"/>
    <w:rsid w:val="3C80069E"/>
    <w:rsid w:val="3C81617B"/>
    <w:rsid w:val="3C860462"/>
    <w:rsid w:val="3C862578"/>
    <w:rsid w:val="3C8A04C7"/>
    <w:rsid w:val="3C924348"/>
    <w:rsid w:val="3C9D7175"/>
    <w:rsid w:val="3CA1021D"/>
    <w:rsid w:val="3CA838F1"/>
    <w:rsid w:val="3CA8662A"/>
    <w:rsid w:val="3CA914D0"/>
    <w:rsid w:val="3CB274A9"/>
    <w:rsid w:val="3CB56E20"/>
    <w:rsid w:val="3CBB635D"/>
    <w:rsid w:val="3CBD5EFB"/>
    <w:rsid w:val="3CC411AB"/>
    <w:rsid w:val="3CC47EF6"/>
    <w:rsid w:val="3CD278D9"/>
    <w:rsid w:val="3CD75F5F"/>
    <w:rsid w:val="3CDC166B"/>
    <w:rsid w:val="3CDD4F8F"/>
    <w:rsid w:val="3CE56210"/>
    <w:rsid w:val="3CEB1530"/>
    <w:rsid w:val="3CEB480A"/>
    <w:rsid w:val="3CF7310E"/>
    <w:rsid w:val="3CFD619E"/>
    <w:rsid w:val="3D013E12"/>
    <w:rsid w:val="3D015B5C"/>
    <w:rsid w:val="3D0715A3"/>
    <w:rsid w:val="3D0D09B7"/>
    <w:rsid w:val="3D1F2BD4"/>
    <w:rsid w:val="3D2E16F9"/>
    <w:rsid w:val="3D376763"/>
    <w:rsid w:val="3D405813"/>
    <w:rsid w:val="3D510A70"/>
    <w:rsid w:val="3D56682D"/>
    <w:rsid w:val="3D595B76"/>
    <w:rsid w:val="3D5C33A2"/>
    <w:rsid w:val="3D633A68"/>
    <w:rsid w:val="3D6E076D"/>
    <w:rsid w:val="3D6E33D0"/>
    <w:rsid w:val="3D7529B0"/>
    <w:rsid w:val="3D7604B3"/>
    <w:rsid w:val="3D7A6218"/>
    <w:rsid w:val="3D7E738B"/>
    <w:rsid w:val="3D843302"/>
    <w:rsid w:val="3D8D5834"/>
    <w:rsid w:val="3D8E20D1"/>
    <w:rsid w:val="3D8F69DB"/>
    <w:rsid w:val="3D962926"/>
    <w:rsid w:val="3DA940B9"/>
    <w:rsid w:val="3DAC214A"/>
    <w:rsid w:val="3DAC7709"/>
    <w:rsid w:val="3DAE1A1E"/>
    <w:rsid w:val="3DBD3231"/>
    <w:rsid w:val="3DC54FBA"/>
    <w:rsid w:val="3DC61B4F"/>
    <w:rsid w:val="3DC94AAA"/>
    <w:rsid w:val="3DD27E02"/>
    <w:rsid w:val="3DD94641"/>
    <w:rsid w:val="3DDD670F"/>
    <w:rsid w:val="3DED69EA"/>
    <w:rsid w:val="3DF71617"/>
    <w:rsid w:val="3DF918B9"/>
    <w:rsid w:val="3E021D6A"/>
    <w:rsid w:val="3E06729F"/>
    <w:rsid w:val="3E0A4F8D"/>
    <w:rsid w:val="3E0C2BE9"/>
    <w:rsid w:val="3E104D62"/>
    <w:rsid w:val="3E110954"/>
    <w:rsid w:val="3E157CEF"/>
    <w:rsid w:val="3E1B24DD"/>
    <w:rsid w:val="3E1B4FF1"/>
    <w:rsid w:val="3E1E55B3"/>
    <w:rsid w:val="3E2B2DF7"/>
    <w:rsid w:val="3E2C6DE7"/>
    <w:rsid w:val="3E2E0DB1"/>
    <w:rsid w:val="3E343DA9"/>
    <w:rsid w:val="3E3A4719"/>
    <w:rsid w:val="3E4471E4"/>
    <w:rsid w:val="3E497999"/>
    <w:rsid w:val="3E4A1A59"/>
    <w:rsid w:val="3E5B3426"/>
    <w:rsid w:val="3E617027"/>
    <w:rsid w:val="3E6471B4"/>
    <w:rsid w:val="3E652951"/>
    <w:rsid w:val="3E6F1DB3"/>
    <w:rsid w:val="3E737453"/>
    <w:rsid w:val="3E8310FD"/>
    <w:rsid w:val="3E8323E3"/>
    <w:rsid w:val="3E860BED"/>
    <w:rsid w:val="3E92628C"/>
    <w:rsid w:val="3E9704BE"/>
    <w:rsid w:val="3E9B4698"/>
    <w:rsid w:val="3E9C7628"/>
    <w:rsid w:val="3E9F580B"/>
    <w:rsid w:val="3EA43207"/>
    <w:rsid w:val="3EA90890"/>
    <w:rsid w:val="3EBA2645"/>
    <w:rsid w:val="3EBB51FB"/>
    <w:rsid w:val="3EC62F27"/>
    <w:rsid w:val="3ECA20C2"/>
    <w:rsid w:val="3ECA3883"/>
    <w:rsid w:val="3ECC2AA4"/>
    <w:rsid w:val="3ECC6CE1"/>
    <w:rsid w:val="3ECF486C"/>
    <w:rsid w:val="3EE16A43"/>
    <w:rsid w:val="3EE4350E"/>
    <w:rsid w:val="3EEE4430"/>
    <w:rsid w:val="3EF23B8C"/>
    <w:rsid w:val="3EF5367D"/>
    <w:rsid w:val="3F087854"/>
    <w:rsid w:val="3F161308"/>
    <w:rsid w:val="3F16680E"/>
    <w:rsid w:val="3F204B9E"/>
    <w:rsid w:val="3F340649"/>
    <w:rsid w:val="3F381EE7"/>
    <w:rsid w:val="3F3A2A5D"/>
    <w:rsid w:val="3F3B0FCC"/>
    <w:rsid w:val="3F4A7370"/>
    <w:rsid w:val="3F631B80"/>
    <w:rsid w:val="3F670725"/>
    <w:rsid w:val="3F696387"/>
    <w:rsid w:val="3F6F313D"/>
    <w:rsid w:val="3F71545C"/>
    <w:rsid w:val="3F740A45"/>
    <w:rsid w:val="3F796A2B"/>
    <w:rsid w:val="3F80563C"/>
    <w:rsid w:val="3F8213B4"/>
    <w:rsid w:val="3F844CD7"/>
    <w:rsid w:val="3F9A2908"/>
    <w:rsid w:val="3F9B730E"/>
    <w:rsid w:val="3FAE03FB"/>
    <w:rsid w:val="3FAE391C"/>
    <w:rsid w:val="3FB43F04"/>
    <w:rsid w:val="3FB55092"/>
    <w:rsid w:val="3FB86B84"/>
    <w:rsid w:val="3FBD419A"/>
    <w:rsid w:val="3FBD5D22"/>
    <w:rsid w:val="3FBF6AC7"/>
    <w:rsid w:val="3FC204D1"/>
    <w:rsid w:val="3FDA3B6F"/>
    <w:rsid w:val="3FDD2A8F"/>
    <w:rsid w:val="3FE6172A"/>
    <w:rsid w:val="3FE85D1D"/>
    <w:rsid w:val="3FE926F0"/>
    <w:rsid w:val="3FEF3F72"/>
    <w:rsid w:val="3FF12096"/>
    <w:rsid w:val="3FF60311"/>
    <w:rsid w:val="3FFD6C8D"/>
    <w:rsid w:val="4001677D"/>
    <w:rsid w:val="40044C61"/>
    <w:rsid w:val="400718BA"/>
    <w:rsid w:val="400A6436"/>
    <w:rsid w:val="400F137D"/>
    <w:rsid w:val="40177840"/>
    <w:rsid w:val="401D10DD"/>
    <w:rsid w:val="40204729"/>
    <w:rsid w:val="40221B57"/>
    <w:rsid w:val="402661E4"/>
    <w:rsid w:val="40284702"/>
    <w:rsid w:val="40291830"/>
    <w:rsid w:val="40324B88"/>
    <w:rsid w:val="40383842"/>
    <w:rsid w:val="403A5DE1"/>
    <w:rsid w:val="403C77B5"/>
    <w:rsid w:val="404F2FBD"/>
    <w:rsid w:val="4051691E"/>
    <w:rsid w:val="40532D51"/>
    <w:rsid w:val="40553FB0"/>
    <w:rsid w:val="40570EDD"/>
    <w:rsid w:val="4058423C"/>
    <w:rsid w:val="4069448A"/>
    <w:rsid w:val="406B171F"/>
    <w:rsid w:val="406E5603"/>
    <w:rsid w:val="40730CFD"/>
    <w:rsid w:val="40784565"/>
    <w:rsid w:val="4078684E"/>
    <w:rsid w:val="407D79D3"/>
    <w:rsid w:val="407F3B46"/>
    <w:rsid w:val="407F58F4"/>
    <w:rsid w:val="40811071"/>
    <w:rsid w:val="40857CE9"/>
    <w:rsid w:val="40865031"/>
    <w:rsid w:val="40896772"/>
    <w:rsid w:val="409C50B2"/>
    <w:rsid w:val="40A241CE"/>
    <w:rsid w:val="40A8309D"/>
    <w:rsid w:val="40AC6AAF"/>
    <w:rsid w:val="40B21825"/>
    <w:rsid w:val="40B33FF4"/>
    <w:rsid w:val="40BC6069"/>
    <w:rsid w:val="40C357E1"/>
    <w:rsid w:val="40C51572"/>
    <w:rsid w:val="40C714B9"/>
    <w:rsid w:val="40D503D7"/>
    <w:rsid w:val="40D5546E"/>
    <w:rsid w:val="40E070FE"/>
    <w:rsid w:val="41023C45"/>
    <w:rsid w:val="410924C1"/>
    <w:rsid w:val="41120516"/>
    <w:rsid w:val="411408A0"/>
    <w:rsid w:val="412025EC"/>
    <w:rsid w:val="412A5860"/>
    <w:rsid w:val="412C06F1"/>
    <w:rsid w:val="413A2C90"/>
    <w:rsid w:val="413D48C0"/>
    <w:rsid w:val="413D74AE"/>
    <w:rsid w:val="4142704D"/>
    <w:rsid w:val="41434B73"/>
    <w:rsid w:val="4144245B"/>
    <w:rsid w:val="414A0A35"/>
    <w:rsid w:val="414F2FB6"/>
    <w:rsid w:val="415D5C35"/>
    <w:rsid w:val="415E2C8C"/>
    <w:rsid w:val="4162324B"/>
    <w:rsid w:val="4164482C"/>
    <w:rsid w:val="41687000"/>
    <w:rsid w:val="416949D8"/>
    <w:rsid w:val="416D34A4"/>
    <w:rsid w:val="416D707C"/>
    <w:rsid w:val="416F4486"/>
    <w:rsid w:val="417A4E1B"/>
    <w:rsid w:val="417E0802"/>
    <w:rsid w:val="41862B62"/>
    <w:rsid w:val="41872CB2"/>
    <w:rsid w:val="418E7A7B"/>
    <w:rsid w:val="41A90E7A"/>
    <w:rsid w:val="41A945C9"/>
    <w:rsid w:val="41C45CB4"/>
    <w:rsid w:val="41C95444"/>
    <w:rsid w:val="41CB15D0"/>
    <w:rsid w:val="41CB65F6"/>
    <w:rsid w:val="41E03106"/>
    <w:rsid w:val="41FA16D6"/>
    <w:rsid w:val="41FE625E"/>
    <w:rsid w:val="4206612A"/>
    <w:rsid w:val="42093F60"/>
    <w:rsid w:val="42116A20"/>
    <w:rsid w:val="421232FD"/>
    <w:rsid w:val="42146FA9"/>
    <w:rsid w:val="42213106"/>
    <w:rsid w:val="422641D7"/>
    <w:rsid w:val="423B139B"/>
    <w:rsid w:val="423D2E16"/>
    <w:rsid w:val="424566C9"/>
    <w:rsid w:val="424B1F31"/>
    <w:rsid w:val="42521512"/>
    <w:rsid w:val="425863FC"/>
    <w:rsid w:val="425B7C9B"/>
    <w:rsid w:val="4265497C"/>
    <w:rsid w:val="42711B3D"/>
    <w:rsid w:val="427A03F3"/>
    <w:rsid w:val="427A6373"/>
    <w:rsid w:val="42855123"/>
    <w:rsid w:val="4289010D"/>
    <w:rsid w:val="42982C9D"/>
    <w:rsid w:val="42A11B51"/>
    <w:rsid w:val="42AB3FE2"/>
    <w:rsid w:val="42AB4E0A"/>
    <w:rsid w:val="42AD499A"/>
    <w:rsid w:val="42B35E13"/>
    <w:rsid w:val="42B62F99"/>
    <w:rsid w:val="42B73EF4"/>
    <w:rsid w:val="42C05F84"/>
    <w:rsid w:val="42D55C9F"/>
    <w:rsid w:val="42DB1904"/>
    <w:rsid w:val="42DD22F7"/>
    <w:rsid w:val="42EA2BC8"/>
    <w:rsid w:val="42F205FF"/>
    <w:rsid w:val="42F21FE1"/>
    <w:rsid w:val="43036368"/>
    <w:rsid w:val="43040332"/>
    <w:rsid w:val="43100A85"/>
    <w:rsid w:val="43116723"/>
    <w:rsid w:val="43123D63"/>
    <w:rsid w:val="431466D8"/>
    <w:rsid w:val="43212B30"/>
    <w:rsid w:val="43234C5C"/>
    <w:rsid w:val="4325240D"/>
    <w:rsid w:val="43256EEA"/>
    <w:rsid w:val="4327572C"/>
    <w:rsid w:val="4330314B"/>
    <w:rsid w:val="433C115C"/>
    <w:rsid w:val="434A3CF5"/>
    <w:rsid w:val="434B1A4B"/>
    <w:rsid w:val="434E22B3"/>
    <w:rsid w:val="435272F0"/>
    <w:rsid w:val="43615785"/>
    <w:rsid w:val="436B79AD"/>
    <w:rsid w:val="43704FFC"/>
    <w:rsid w:val="43781E7D"/>
    <w:rsid w:val="437B33EA"/>
    <w:rsid w:val="438020AF"/>
    <w:rsid w:val="4383394D"/>
    <w:rsid w:val="43873112"/>
    <w:rsid w:val="438F5E4E"/>
    <w:rsid w:val="4393072E"/>
    <w:rsid w:val="4395200F"/>
    <w:rsid w:val="43986CA9"/>
    <w:rsid w:val="43AE3A19"/>
    <w:rsid w:val="43BB12B9"/>
    <w:rsid w:val="43CE5CA9"/>
    <w:rsid w:val="43DB1093"/>
    <w:rsid w:val="43E86952"/>
    <w:rsid w:val="43EA147C"/>
    <w:rsid w:val="43F9488E"/>
    <w:rsid w:val="44000AFA"/>
    <w:rsid w:val="440452A9"/>
    <w:rsid w:val="440E1469"/>
    <w:rsid w:val="441411B9"/>
    <w:rsid w:val="44142AFA"/>
    <w:rsid w:val="441A0B4A"/>
    <w:rsid w:val="44205881"/>
    <w:rsid w:val="4421189F"/>
    <w:rsid w:val="44266B5B"/>
    <w:rsid w:val="442B6F19"/>
    <w:rsid w:val="442C4DEC"/>
    <w:rsid w:val="443E4F80"/>
    <w:rsid w:val="44400568"/>
    <w:rsid w:val="444430DC"/>
    <w:rsid w:val="44483DD4"/>
    <w:rsid w:val="444A3405"/>
    <w:rsid w:val="444C1F91"/>
    <w:rsid w:val="44512499"/>
    <w:rsid w:val="445A3B32"/>
    <w:rsid w:val="44601B49"/>
    <w:rsid w:val="4461256A"/>
    <w:rsid w:val="448E5285"/>
    <w:rsid w:val="448E6105"/>
    <w:rsid w:val="449E378C"/>
    <w:rsid w:val="44A04D86"/>
    <w:rsid w:val="44A75419"/>
    <w:rsid w:val="44A93726"/>
    <w:rsid w:val="44BF2763"/>
    <w:rsid w:val="44C15907"/>
    <w:rsid w:val="44D34274"/>
    <w:rsid w:val="44D44683"/>
    <w:rsid w:val="44D55B82"/>
    <w:rsid w:val="44D66D07"/>
    <w:rsid w:val="44E1037D"/>
    <w:rsid w:val="44E4041B"/>
    <w:rsid w:val="44E43675"/>
    <w:rsid w:val="44EC5D33"/>
    <w:rsid w:val="44FB36BB"/>
    <w:rsid w:val="44FC39B7"/>
    <w:rsid w:val="45003D04"/>
    <w:rsid w:val="450111BF"/>
    <w:rsid w:val="45012D7B"/>
    <w:rsid w:val="4504286C"/>
    <w:rsid w:val="450661BB"/>
    <w:rsid w:val="45232CF2"/>
    <w:rsid w:val="45244CBC"/>
    <w:rsid w:val="452F21E3"/>
    <w:rsid w:val="453635A3"/>
    <w:rsid w:val="453C2005"/>
    <w:rsid w:val="45485D39"/>
    <w:rsid w:val="454972FF"/>
    <w:rsid w:val="454D5FC1"/>
    <w:rsid w:val="45512DC5"/>
    <w:rsid w:val="455C3988"/>
    <w:rsid w:val="45682DFA"/>
    <w:rsid w:val="457A1A0B"/>
    <w:rsid w:val="457C2990"/>
    <w:rsid w:val="458D4485"/>
    <w:rsid w:val="458D460F"/>
    <w:rsid w:val="45927D82"/>
    <w:rsid w:val="45932935"/>
    <w:rsid w:val="459403B6"/>
    <w:rsid w:val="4595417B"/>
    <w:rsid w:val="459E4A6E"/>
    <w:rsid w:val="45A04342"/>
    <w:rsid w:val="45A51959"/>
    <w:rsid w:val="45AA0C99"/>
    <w:rsid w:val="45B1751D"/>
    <w:rsid w:val="45B42804"/>
    <w:rsid w:val="45B50CDC"/>
    <w:rsid w:val="45B7168C"/>
    <w:rsid w:val="45BD0908"/>
    <w:rsid w:val="45BD0A2B"/>
    <w:rsid w:val="45BF3902"/>
    <w:rsid w:val="45C75D73"/>
    <w:rsid w:val="45C8294A"/>
    <w:rsid w:val="45D33D70"/>
    <w:rsid w:val="45D65FB6"/>
    <w:rsid w:val="45D916C4"/>
    <w:rsid w:val="45E22BAD"/>
    <w:rsid w:val="45F25257"/>
    <w:rsid w:val="45FD0096"/>
    <w:rsid w:val="46022BE9"/>
    <w:rsid w:val="4602608A"/>
    <w:rsid w:val="4603139C"/>
    <w:rsid w:val="46066E7D"/>
    <w:rsid w:val="460B5F1A"/>
    <w:rsid w:val="460C7C2A"/>
    <w:rsid w:val="460D74FE"/>
    <w:rsid w:val="460F3276"/>
    <w:rsid w:val="46111831"/>
    <w:rsid w:val="461643C7"/>
    <w:rsid w:val="4617730B"/>
    <w:rsid w:val="461A0720"/>
    <w:rsid w:val="463F631B"/>
    <w:rsid w:val="463F7FFF"/>
    <w:rsid w:val="46401AA1"/>
    <w:rsid w:val="464C4AB8"/>
    <w:rsid w:val="464E1FF0"/>
    <w:rsid w:val="464E5266"/>
    <w:rsid w:val="4654512D"/>
    <w:rsid w:val="46567C78"/>
    <w:rsid w:val="465A14A9"/>
    <w:rsid w:val="465C2E57"/>
    <w:rsid w:val="46625488"/>
    <w:rsid w:val="466A5039"/>
    <w:rsid w:val="46810F38"/>
    <w:rsid w:val="4687034D"/>
    <w:rsid w:val="468811F4"/>
    <w:rsid w:val="46896345"/>
    <w:rsid w:val="4690117F"/>
    <w:rsid w:val="46933428"/>
    <w:rsid w:val="469A023F"/>
    <w:rsid w:val="46A7516B"/>
    <w:rsid w:val="46A80C8F"/>
    <w:rsid w:val="46AC0F95"/>
    <w:rsid w:val="46B8610C"/>
    <w:rsid w:val="46C44DAD"/>
    <w:rsid w:val="46C53FAB"/>
    <w:rsid w:val="46CB68BF"/>
    <w:rsid w:val="46CB6D8A"/>
    <w:rsid w:val="46CD4208"/>
    <w:rsid w:val="46D53C93"/>
    <w:rsid w:val="46E6178F"/>
    <w:rsid w:val="46E75FA1"/>
    <w:rsid w:val="46F012F9"/>
    <w:rsid w:val="46F74436"/>
    <w:rsid w:val="46FF32EA"/>
    <w:rsid w:val="47226FD9"/>
    <w:rsid w:val="47234345"/>
    <w:rsid w:val="47262F6D"/>
    <w:rsid w:val="472C77E3"/>
    <w:rsid w:val="472D5E76"/>
    <w:rsid w:val="473016F6"/>
    <w:rsid w:val="473D3F5F"/>
    <w:rsid w:val="474A0981"/>
    <w:rsid w:val="474C7FC1"/>
    <w:rsid w:val="474D63E7"/>
    <w:rsid w:val="474F0B57"/>
    <w:rsid w:val="47522650"/>
    <w:rsid w:val="47563B74"/>
    <w:rsid w:val="475E13D7"/>
    <w:rsid w:val="47631ACB"/>
    <w:rsid w:val="47633879"/>
    <w:rsid w:val="476D399F"/>
    <w:rsid w:val="477517FF"/>
    <w:rsid w:val="477E0BCB"/>
    <w:rsid w:val="478062EC"/>
    <w:rsid w:val="47806F3D"/>
    <w:rsid w:val="47904CBE"/>
    <w:rsid w:val="47907D61"/>
    <w:rsid w:val="47946129"/>
    <w:rsid w:val="47961EA1"/>
    <w:rsid w:val="479C322F"/>
    <w:rsid w:val="47B310D0"/>
    <w:rsid w:val="47B374C0"/>
    <w:rsid w:val="47B534E0"/>
    <w:rsid w:val="47B9588B"/>
    <w:rsid w:val="47C14A44"/>
    <w:rsid w:val="47D17961"/>
    <w:rsid w:val="47D6611B"/>
    <w:rsid w:val="47D76015"/>
    <w:rsid w:val="47D91D8F"/>
    <w:rsid w:val="47EF7803"/>
    <w:rsid w:val="47F210A1"/>
    <w:rsid w:val="47F6211F"/>
    <w:rsid w:val="47F917E3"/>
    <w:rsid w:val="47F941DE"/>
    <w:rsid w:val="47FC5A7C"/>
    <w:rsid w:val="480709ED"/>
    <w:rsid w:val="480858BC"/>
    <w:rsid w:val="481234E7"/>
    <w:rsid w:val="4812529F"/>
    <w:rsid w:val="481C39B0"/>
    <w:rsid w:val="481E1E96"/>
    <w:rsid w:val="48215C95"/>
    <w:rsid w:val="482963CC"/>
    <w:rsid w:val="48373C90"/>
    <w:rsid w:val="483E5009"/>
    <w:rsid w:val="48427933"/>
    <w:rsid w:val="484B2AC8"/>
    <w:rsid w:val="484F7474"/>
    <w:rsid w:val="48526F1A"/>
    <w:rsid w:val="485338EE"/>
    <w:rsid w:val="4855187C"/>
    <w:rsid w:val="4858785A"/>
    <w:rsid w:val="485A0E2C"/>
    <w:rsid w:val="48610996"/>
    <w:rsid w:val="48623FDC"/>
    <w:rsid w:val="486C5962"/>
    <w:rsid w:val="486F44A0"/>
    <w:rsid w:val="487675DC"/>
    <w:rsid w:val="487770C9"/>
    <w:rsid w:val="48783354"/>
    <w:rsid w:val="487970CD"/>
    <w:rsid w:val="487F0B87"/>
    <w:rsid w:val="48820171"/>
    <w:rsid w:val="48893B4B"/>
    <w:rsid w:val="488A14A0"/>
    <w:rsid w:val="488B1C6A"/>
    <w:rsid w:val="48900AE1"/>
    <w:rsid w:val="48906018"/>
    <w:rsid w:val="48961A2D"/>
    <w:rsid w:val="48965ED0"/>
    <w:rsid w:val="489802AD"/>
    <w:rsid w:val="489B2461"/>
    <w:rsid w:val="489B56B9"/>
    <w:rsid w:val="489D2DBB"/>
    <w:rsid w:val="489E1D31"/>
    <w:rsid w:val="489F6B33"/>
    <w:rsid w:val="48A5734E"/>
    <w:rsid w:val="48A75B34"/>
    <w:rsid w:val="48AA54D8"/>
    <w:rsid w:val="48AC74A2"/>
    <w:rsid w:val="48B12D0A"/>
    <w:rsid w:val="48B72A8A"/>
    <w:rsid w:val="48B77505"/>
    <w:rsid w:val="48C350D6"/>
    <w:rsid w:val="48C42A3E"/>
    <w:rsid w:val="48D569F9"/>
    <w:rsid w:val="48D71B2A"/>
    <w:rsid w:val="48DC297F"/>
    <w:rsid w:val="48E13170"/>
    <w:rsid w:val="48E4488A"/>
    <w:rsid w:val="48ED39D2"/>
    <w:rsid w:val="48F11FB7"/>
    <w:rsid w:val="48FB2350"/>
    <w:rsid w:val="48FD385A"/>
    <w:rsid w:val="491136DF"/>
    <w:rsid w:val="49155047"/>
    <w:rsid w:val="491C5AA8"/>
    <w:rsid w:val="4922108F"/>
    <w:rsid w:val="4927179D"/>
    <w:rsid w:val="492B03C7"/>
    <w:rsid w:val="492F33E7"/>
    <w:rsid w:val="49351245"/>
    <w:rsid w:val="49357497"/>
    <w:rsid w:val="49382AE4"/>
    <w:rsid w:val="49415E3C"/>
    <w:rsid w:val="49431BB4"/>
    <w:rsid w:val="494616A5"/>
    <w:rsid w:val="494A7D91"/>
    <w:rsid w:val="4950607F"/>
    <w:rsid w:val="4953791E"/>
    <w:rsid w:val="495D0879"/>
    <w:rsid w:val="49627B61"/>
    <w:rsid w:val="49641B2B"/>
    <w:rsid w:val="496A6CFE"/>
    <w:rsid w:val="497801C2"/>
    <w:rsid w:val="497C50C6"/>
    <w:rsid w:val="49824445"/>
    <w:rsid w:val="49905504"/>
    <w:rsid w:val="49A3466A"/>
    <w:rsid w:val="49A61DF9"/>
    <w:rsid w:val="49A65795"/>
    <w:rsid w:val="49A67FF2"/>
    <w:rsid w:val="49AB1BAE"/>
    <w:rsid w:val="49B626EC"/>
    <w:rsid w:val="49BA2D04"/>
    <w:rsid w:val="49CE2C27"/>
    <w:rsid w:val="49CF51F6"/>
    <w:rsid w:val="49CF56E0"/>
    <w:rsid w:val="49D00F6E"/>
    <w:rsid w:val="49D14272"/>
    <w:rsid w:val="49D4280C"/>
    <w:rsid w:val="49DE6705"/>
    <w:rsid w:val="49E15142"/>
    <w:rsid w:val="49F153DD"/>
    <w:rsid w:val="49F27235"/>
    <w:rsid w:val="49F85439"/>
    <w:rsid w:val="49F9411A"/>
    <w:rsid w:val="49FA5FEB"/>
    <w:rsid w:val="49FD1F40"/>
    <w:rsid w:val="4A002CD2"/>
    <w:rsid w:val="4A013B32"/>
    <w:rsid w:val="4A03530C"/>
    <w:rsid w:val="4A041678"/>
    <w:rsid w:val="4A0B5F87"/>
    <w:rsid w:val="4A10358B"/>
    <w:rsid w:val="4A1C1FDA"/>
    <w:rsid w:val="4A1C7526"/>
    <w:rsid w:val="4A2773B4"/>
    <w:rsid w:val="4A372D9B"/>
    <w:rsid w:val="4A3C4A03"/>
    <w:rsid w:val="4A407EA2"/>
    <w:rsid w:val="4A470B3C"/>
    <w:rsid w:val="4A4A0D21"/>
    <w:rsid w:val="4A4E5B36"/>
    <w:rsid w:val="4A563B69"/>
    <w:rsid w:val="4A691BA3"/>
    <w:rsid w:val="4A6954B1"/>
    <w:rsid w:val="4A6E0EB3"/>
    <w:rsid w:val="4A6E2C61"/>
    <w:rsid w:val="4A7565A1"/>
    <w:rsid w:val="4A7D1E8E"/>
    <w:rsid w:val="4A7D7C4B"/>
    <w:rsid w:val="4A7E07C9"/>
    <w:rsid w:val="4A820643"/>
    <w:rsid w:val="4A825A42"/>
    <w:rsid w:val="4A87287A"/>
    <w:rsid w:val="4A890FC1"/>
    <w:rsid w:val="4A980F0B"/>
    <w:rsid w:val="4A987CDE"/>
    <w:rsid w:val="4AAD3DAE"/>
    <w:rsid w:val="4AC23EE3"/>
    <w:rsid w:val="4AD27B95"/>
    <w:rsid w:val="4AD52CE0"/>
    <w:rsid w:val="4AD8457E"/>
    <w:rsid w:val="4AD978D9"/>
    <w:rsid w:val="4AE42F23"/>
    <w:rsid w:val="4AEB33EF"/>
    <w:rsid w:val="4AEC2662"/>
    <w:rsid w:val="4AEF3676"/>
    <w:rsid w:val="4AF05342"/>
    <w:rsid w:val="4AF15640"/>
    <w:rsid w:val="4AF601B0"/>
    <w:rsid w:val="4AFA2747"/>
    <w:rsid w:val="4B0233A9"/>
    <w:rsid w:val="4B08577E"/>
    <w:rsid w:val="4B0950E3"/>
    <w:rsid w:val="4B0B165A"/>
    <w:rsid w:val="4B0D47BD"/>
    <w:rsid w:val="4B1732F9"/>
    <w:rsid w:val="4B18509E"/>
    <w:rsid w:val="4B192982"/>
    <w:rsid w:val="4B1E2290"/>
    <w:rsid w:val="4B1E6E25"/>
    <w:rsid w:val="4B284E6A"/>
    <w:rsid w:val="4B294DDA"/>
    <w:rsid w:val="4B2A443D"/>
    <w:rsid w:val="4B375C9E"/>
    <w:rsid w:val="4B3A0D95"/>
    <w:rsid w:val="4B3F6D8E"/>
    <w:rsid w:val="4B4928AE"/>
    <w:rsid w:val="4B4D442B"/>
    <w:rsid w:val="4B556B2C"/>
    <w:rsid w:val="4B63653E"/>
    <w:rsid w:val="4B6A63B8"/>
    <w:rsid w:val="4B722F57"/>
    <w:rsid w:val="4B726095"/>
    <w:rsid w:val="4B7C3C48"/>
    <w:rsid w:val="4B7D6173"/>
    <w:rsid w:val="4B81051B"/>
    <w:rsid w:val="4B856B5C"/>
    <w:rsid w:val="4BA26DBE"/>
    <w:rsid w:val="4BA91A77"/>
    <w:rsid w:val="4BB2010F"/>
    <w:rsid w:val="4BB308C1"/>
    <w:rsid w:val="4BB714C5"/>
    <w:rsid w:val="4BB73A44"/>
    <w:rsid w:val="4BB8656E"/>
    <w:rsid w:val="4BC82845"/>
    <w:rsid w:val="4BCE1927"/>
    <w:rsid w:val="4BD5286C"/>
    <w:rsid w:val="4BEA14D5"/>
    <w:rsid w:val="4BEA27BB"/>
    <w:rsid w:val="4BEB208F"/>
    <w:rsid w:val="4BEC2EA0"/>
    <w:rsid w:val="4C0575F5"/>
    <w:rsid w:val="4C066F9F"/>
    <w:rsid w:val="4C095CF3"/>
    <w:rsid w:val="4C1672E0"/>
    <w:rsid w:val="4C210EF5"/>
    <w:rsid w:val="4C255067"/>
    <w:rsid w:val="4C2B603E"/>
    <w:rsid w:val="4C2B6930"/>
    <w:rsid w:val="4C2C1484"/>
    <w:rsid w:val="4C2F52EB"/>
    <w:rsid w:val="4C3E48B5"/>
    <w:rsid w:val="4C464CC2"/>
    <w:rsid w:val="4C4F0870"/>
    <w:rsid w:val="4C5222CE"/>
    <w:rsid w:val="4C526500"/>
    <w:rsid w:val="4C5F70AB"/>
    <w:rsid w:val="4C622959"/>
    <w:rsid w:val="4C675DE6"/>
    <w:rsid w:val="4C765DFD"/>
    <w:rsid w:val="4C7B6D4B"/>
    <w:rsid w:val="4C7E2F03"/>
    <w:rsid w:val="4C87411C"/>
    <w:rsid w:val="4C883D82"/>
    <w:rsid w:val="4C9D5A7F"/>
    <w:rsid w:val="4CA17AA1"/>
    <w:rsid w:val="4CA24E44"/>
    <w:rsid w:val="4CAC3657"/>
    <w:rsid w:val="4CAE3FDC"/>
    <w:rsid w:val="4CB0382E"/>
    <w:rsid w:val="4CB623DC"/>
    <w:rsid w:val="4CB72186"/>
    <w:rsid w:val="4CC254E6"/>
    <w:rsid w:val="4CC6788E"/>
    <w:rsid w:val="4CC76658"/>
    <w:rsid w:val="4CC823D1"/>
    <w:rsid w:val="4CCA4972"/>
    <w:rsid w:val="4CCC0529"/>
    <w:rsid w:val="4CCE159C"/>
    <w:rsid w:val="4CCF5F6E"/>
    <w:rsid w:val="4CE4778E"/>
    <w:rsid w:val="4CEE0DD1"/>
    <w:rsid w:val="4CFB785A"/>
    <w:rsid w:val="4D0258E3"/>
    <w:rsid w:val="4D06072C"/>
    <w:rsid w:val="4D0C49B3"/>
    <w:rsid w:val="4D0E36B2"/>
    <w:rsid w:val="4D131782"/>
    <w:rsid w:val="4D1F0243"/>
    <w:rsid w:val="4D2652AE"/>
    <w:rsid w:val="4D2A6C33"/>
    <w:rsid w:val="4D2B4E39"/>
    <w:rsid w:val="4D2F4D2F"/>
    <w:rsid w:val="4D391782"/>
    <w:rsid w:val="4D3C6647"/>
    <w:rsid w:val="4D4813CF"/>
    <w:rsid w:val="4D4B54DB"/>
    <w:rsid w:val="4D5902F7"/>
    <w:rsid w:val="4D5C11EB"/>
    <w:rsid w:val="4D741827"/>
    <w:rsid w:val="4D754306"/>
    <w:rsid w:val="4D8B15CB"/>
    <w:rsid w:val="4D8F2412"/>
    <w:rsid w:val="4D93478D"/>
    <w:rsid w:val="4D937316"/>
    <w:rsid w:val="4D986247"/>
    <w:rsid w:val="4DA4086A"/>
    <w:rsid w:val="4DA4215D"/>
    <w:rsid w:val="4DA846DC"/>
    <w:rsid w:val="4DBB00CD"/>
    <w:rsid w:val="4DC1754C"/>
    <w:rsid w:val="4DCB3F26"/>
    <w:rsid w:val="4DD04AC6"/>
    <w:rsid w:val="4DD52FF7"/>
    <w:rsid w:val="4DD8354A"/>
    <w:rsid w:val="4DDC0BFF"/>
    <w:rsid w:val="4DEA1D77"/>
    <w:rsid w:val="4DEA6A2B"/>
    <w:rsid w:val="4DF3197E"/>
    <w:rsid w:val="4DF70BE1"/>
    <w:rsid w:val="4DF74091"/>
    <w:rsid w:val="4DFF7874"/>
    <w:rsid w:val="4E061402"/>
    <w:rsid w:val="4E105DDD"/>
    <w:rsid w:val="4E175AEF"/>
    <w:rsid w:val="4E1C1156"/>
    <w:rsid w:val="4E1C4782"/>
    <w:rsid w:val="4E1E04FA"/>
    <w:rsid w:val="4E2A4472"/>
    <w:rsid w:val="4E2B0E69"/>
    <w:rsid w:val="4E30022D"/>
    <w:rsid w:val="4E3125DD"/>
    <w:rsid w:val="4E3A3FBE"/>
    <w:rsid w:val="4E3B4233"/>
    <w:rsid w:val="4E421EEB"/>
    <w:rsid w:val="4E4A7113"/>
    <w:rsid w:val="4E5401D6"/>
    <w:rsid w:val="4E571C1E"/>
    <w:rsid w:val="4E5B5EB2"/>
    <w:rsid w:val="4E5C427A"/>
    <w:rsid w:val="4E5E3D22"/>
    <w:rsid w:val="4E616A14"/>
    <w:rsid w:val="4E636855"/>
    <w:rsid w:val="4E6D3230"/>
    <w:rsid w:val="4E7D4EFB"/>
    <w:rsid w:val="4E8515A5"/>
    <w:rsid w:val="4E86609F"/>
    <w:rsid w:val="4E88142B"/>
    <w:rsid w:val="4E8B3FF2"/>
    <w:rsid w:val="4E8C0501"/>
    <w:rsid w:val="4E8F7CF8"/>
    <w:rsid w:val="4E916F1E"/>
    <w:rsid w:val="4E9B5FEF"/>
    <w:rsid w:val="4E9C5DD3"/>
    <w:rsid w:val="4EA03605"/>
    <w:rsid w:val="4EA24076"/>
    <w:rsid w:val="4EA67419"/>
    <w:rsid w:val="4EAE6458"/>
    <w:rsid w:val="4EAF2828"/>
    <w:rsid w:val="4EB017CC"/>
    <w:rsid w:val="4EB11D28"/>
    <w:rsid w:val="4EB969B9"/>
    <w:rsid w:val="4EC05A55"/>
    <w:rsid w:val="4ECE44E4"/>
    <w:rsid w:val="4ED35788"/>
    <w:rsid w:val="4EE52763"/>
    <w:rsid w:val="4EF00836"/>
    <w:rsid w:val="4EF45307"/>
    <w:rsid w:val="4EF82B59"/>
    <w:rsid w:val="4F0E7CB6"/>
    <w:rsid w:val="4F0F26C5"/>
    <w:rsid w:val="4F1F09CE"/>
    <w:rsid w:val="4F263DA6"/>
    <w:rsid w:val="4F28617B"/>
    <w:rsid w:val="4F2E5493"/>
    <w:rsid w:val="4F2E63D9"/>
    <w:rsid w:val="4F2E6E63"/>
    <w:rsid w:val="4F324EDF"/>
    <w:rsid w:val="4F333975"/>
    <w:rsid w:val="4F33758D"/>
    <w:rsid w:val="4F350482"/>
    <w:rsid w:val="4F363F69"/>
    <w:rsid w:val="4F3E4386"/>
    <w:rsid w:val="4F4026F2"/>
    <w:rsid w:val="4F457D08"/>
    <w:rsid w:val="4F5050E6"/>
    <w:rsid w:val="4F5D14F6"/>
    <w:rsid w:val="4F5D4C99"/>
    <w:rsid w:val="4F5F5380"/>
    <w:rsid w:val="4F6463E1"/>
    <w:rsid w:val="4F673836"/>
    <w:rsid w:val="4F6E725F"/>
    <w:rsid w:val="4F75353F"/>
    <w:rsid w:val="4F7874EE"/>
    <w:rsid w:val="4F794E31"/>
    <w:rsid w:val="4F7D56F4"/>
    <w:rsid w:val="4F8265E1"/>
    <w:rsid w:val="4F863BEF"/>
    <w:rsid w:val="4F882966"/>
    <w:rsid w:val="4FAE1D52"/>
    <w:rsid w:val="4FB50573"/>
    <w:rsid w:val="4FCB3DF3"/>
    <w:rsid w:val="4FCB630F"/>
    <w:rsid w:val="4FCE41A2"/>
    <w:rsid w:val="4FCF3E41"/>
    <w:rsid w:val="4FD3347C"/>
    <w:rsid w:val="4FD7745B"/>
    <w:rsid w:val="4FD86DCF"/>
    <w:rsid w:val="4FDD1C15"/>
    <w:rsid w:val="4FE319FB"/>
    <w:rsid w:val="4FE94B38"/>
    <w:rsid w:val="4FF21C3E"/>
    <w:rsid w:val="4FF24139"/>
    <w:rsid w:val="4FF45B6E"/>
    <w:rsid w:val="4FF550BD"/>
    <w:rsid w:val="4FF77255"/>
    <w:rsid w:val="500E459E"/>
    <w:rsid w:val="501968D3"/>
    <w:rsid w:val="501F0559"/>
    <w:rsid w:val="501F67AB"/>
    <w:rsid w:val="502C7AA9"/>
    <w:rsid w:val="50334005"/>
    <w:rsid w:val="5038667F"/>
    <w:rsid w:val="503B4E54"/>
    <w:rsid w:val="503C7A30"/>
    <w:rsid w:val="504A701F"/>
    <w:rsid w:val="504B57F2"/>
    <w:rsid w:val="50561FAA"/>
    <w:rsid w:val="505A66D8"/>
    <w:rsid w:val="50606D41"/>
    <w:rsid w:val="50670687"/>
    <w:rsid w:val="506C27EE"/>
    <w:rsid w:val="506E3F85"/>
    <w:rsid w:val="50725B4F"/>
    <w:rsid w:val="50790B00"/>
    <w:rsid w:val="50792360"/>
    <w:rsid w:val="509275DD"/>
    <w:rsid w:val="5094266A"/>
    <w:rsid w:val="509A780C"/>
    <w:rsid w:val="50A05B3E"/>
    <w:rsid w:val="50A11925"/>
    <w:rsid w:val="50A70C7B"/>
    <w:rsid w:val="50B25872"/>
    <w:rsid w:val="50B35CB2"/>
    <w:rsid w:val="50B9275C"/>
    <w:rsid w:val="50BA00E8"/>
    <w:rsid w:val="50BA6E34"/>
    <w:rsid w:val="50BB64D4"/>
    <w:rsid w:val="50C335DB"/>
    <w:rsid w:val="50C35389"/>
    <w:rsid w:val="50C517E8"/>
    <w:rsid w:val="50C730CB"/>
    <w:rsid w:val="50CF2466"/>
    <w:rsid w:val="50E36F44"/>
    <w:rsid w:val="50E80E43"/>
    <w:rsid w:val="51002139"/>
    <w:rsid w:val="510233EA"/>
    <w:rsid w:val="510B6B7A"/>
    <w:rsid w:val="51114346"/>
    <w:rsid w:val="511D7E2D"/>
    <w:rsid w:val="51200658"/>
    <w:rsid w:val="51257DF2"/>
    <w:rsid w:val="51334745"/>
    <w:rsid w:val="513E7F97"/>
    <w:rsid w:val="51404C2B"/>
    <w:rsid w:val="514A73D5"/>
    <w:rsid w:val="515A2406"/>
    <w:rsid w:val="515C087A"/>
    <w:rsid w:val="51626319"/>
    <w:rsid w:val="51631665"/>
    <w:rsid w:val="5163343E"/>
    <w:rsid w:val="516528E4"/>
    <w:rsid w:val="51752B27"/>
    <w:rsid w:val="518379C3"/>
    <w:rsid w:val="518C60C3"/>
    <w:rsid w:val="51932FAD"/>
    <w:rsid w:val="519456F6"/>
    <w:rsid w:val="51993CF9"/>
    <w:rsid w:val="519B260A"/>
    <w:rsid w:val="51AC0832"/>
    <w:rsid w:val="51B15157"/>
    <w:rsid w:val="51B25DC6"/>
    <w:rsid w:val="51B76F1C"/>
    <w:rsid w:val="51BD44CE"/>
    <w:rsid w:val="51BD7440"/>
    <w:rsid w:val="51BF5ACB"/>
    <w:rsid w:val="51C34F60"/>
    <w:rsid w:val="51C55131"/>
    <w:rsid w:val="51D33CF1"/>
    <w:rsid w:val="51D53D43"/>
    <w:rsid w:val="51DA2011"/>
    <w:rsid w:val="51DA4294"/>
    <w:rsid w:val="51DF4444"/>
    <w:rsid w:val="51E4140A"/>
    <w:rsid w:val="51F32479"/>
    <w:rsid w:val="51F34B83"/>
    <w:rsid w:val="520804DF"/>
    <w:rsid w:val="5209418D"/>
    <w:rsid w:val="521560B8"/>
    <w:rsid w:val="52170146"/>
    <w:rsid w:val="52232583"/>
    <w:rsid w:val="52293911"/>
    <w:rsid w:val="52555B21"/>
    <w:rsid w:val="525607E8"/>
    <w:rsid w:val="525963C7"/>
    <w:rsid w:val="525A35C4"/>
    <w:rsid w:val="526112FD"/>
    <w:rsid w:val="526A0045"/>
    <w:rsid w:val="526E49B8"/>
    <w:rsid w:val="526F4E40"/>
    <w:rsid w:val="5276715A"/>
    <w:rsid w:val="527B24DD"/>
    <w:rsid w:val="528A0854"/>
    <w:rsid w:val="528B2778"/>
    <w:rsid w:val="529C0587"/>
    <w:rsid w:val="529C40E3"/>
    <w:rsid w:val="52A37795"/>
    <w:rsid w:val="52B22681"/>
    <w:rsid w:val="52BF7DD2"/>
    <w:rsid w:val="52C40130"/>
    <w:rsid w:val="52CC2F4F"/>
    <w:rsid w:val="52D10231"/>
    <w:rsid w:val="52D25D57"/>
    <w:rsid w:val="52D7336D"/>
    <w:rsid w:val="52DB2E5E"/>
    <w:rsid w:val="52E0400B"/>
    <w:rsid w:val="52E53CDC"/>
    <w:rsid w:val="52E83327"/>
    <w:rsid w:val="53087D22"/>
    <w:rsid w:val="53101AD7"/>
    <w:rsid w:val="531243A6"/>
    <w:rsid w:val="531A24E3"/>
    <w:rsid w:val="531F4FAE"/>
    <w:rsid w:val="53273F3E"/>
    <w:rsid w:val="532B0745"/>
    <w:rsid w:val="53316F22"/>
    <w:rsid w:val="5337765B"/>
    <w:rsid w:val="533B4B1A"/>
    <w:rsid w:val="533C134E"/>
    <w:rsid w:val="534C78B7"/>
    <w:rsid w:val="53566988"/>
    <w:rsid w:val="535B3F9E"/>
    <w:rsid w:val="535E6CAA"/>
    <w:rsid w:val="53630D86"/>
    <w:rsid w:val="53696710"/>
    <w:rsid w:val="536C4C6F"/>
    <w:rsid w:val="536F7A4A"/>
    <w:rsid w:val="53717315"/>
    <w:rsid w:val="53717440"/>
    <w:rsid w:val="53724765"/>
    <w:rsid w:val="53764934"/>
    <w:rsid w:val="53840694"/>
    <w:rsid w:val="538635EB"/>
    <w:rsid w:val="53880772"/>
    <w:rsid w:val="53A94D0A"/>
    <w:rsid w:val="53AC47FA"/>
    <w:rsid w:val="53AD3B54"/>
    <w:rsid w:val="53B40574"/>
    <w:rsid w:val="53B44388"/>
    <w:rsid w:val="53B90038"/>
    <w:rsid w:val="53BD0541"/>
    <w:rsid w:val="53CA4C80"/>
    <w:rsid w:val="53CB2ED2"/>
    <w:rsid w:val="53CF4E84"/>
    <w:rsid w:val="53F45B6B"/>
    <w:rsid w:val="53F70AD0"/>
    <w:rsid w:val="53FB1213"/>
    <w:rsid w:val="53FD5056"/>
    <w:rsid w:val="53FD6E04"/>
    <w:rsid w:val="53FF395E"/>
    <w:rsid w:val="540939FA"/>
    <w:rsid w:val="54096BB0"/>
    <w:rsid w:val="54121CE8"/>
    <w:rsid w:val="541327B7"/>
    <w:rsid w:val="541505F1"/>
    <w:rsid w:val="54273343"/>
    <w:rsid w:val="543C5B7E"/>
    <w:rsid w:val="54434E77"/>
    <w:rsid w:val="54464B59"/>
    <w:rsid w:val="544F115F"/>
    <w:rsid w:val="54501629"/>
    <w:rsid w:val="54502A06"/>
    <w:rsid w:val="54517EE5"/>
    <w:rsid w:val="54601186"/>
    <w:rsid w:val="54652F43"/>
    <w:rsid w:val="54690E49"/>
    <w:rsid w:val="546B6463"/>
    <w:rsid w:val="54703A7A"/>
    <w:rsid w:val="54791FA3"/>
    <w:rsid w:val="547F3190"/>
    <w:rsid w:val="548B08B3"/>
    <w:rsid w:val="54943E52"/>
    <w:rsid w:val="54951CB2"/>
    <w:rsid w:val="549F21E3"/>
    <w:rsid w:val="54A820C7"/>
    <w:rsid w:val="54B003AC"/>
    <w:rsid w:val="54B40D9C"/>
    <w:rsid w:val="54B64C51"/>
    <w:rsid w:val="54B75204"/>
    <w:rsid w:val="54BA2762"/>
    <w:rsid w:val="54C959E7"/>
    <w:rsid w:val="54D264E2"/>
    <w:rsid w:val="54D46D88"/>
    <w:rsid w:val="54DD4299"/>
    <w:rsid w:val="54E03154"/>
    <w:rsid w:val="54F7562C"/>
    <w:rsid w:val="54FA7191"/>
    <w:rsid w:val="54FF58F9"/>
    <w:rsid w:val="5503044A"/>
    <w:rsid w:val="55044254"/>
    <w:rsid w:val="55084DCE"/>
    <w:rsid w:val="55085A60"/>
    <w:rsid w:val="550A1892"/>
    <w:rsid w:val="550C0376"/>
    <w:rsid w:val="550D66AE"/>
    <w:rsid w:val="5514008F"/>
    <w:rsid w:val="55173EF5"/>
    <w:rsid w:val="551D26EE"/>
    <w:rsid w:val="551E34D6"/>
    <w:rsid w:val="55202F57"/>
    <w:rsid w:val="55237588"/>
    <w:rsid w:val="55326F81"/>
    <w:rsid w:val="553A7E63"/>
    <w:rsid w:val="55412CDE"/>
    <w:rsid w:val="55434EEF"/>
    <w:rsid w:val="554A39C7"/>
    <w:rsid w:val="554D7917"/>
    <w:rsid w:val="555060C5"/>
    <w:rsid w:val="55562D51"/>
    <w:rsid w:val="555759AC"/>
    <w:rsid w:val="555D0836"/>
    <w:rsid w:val="555D2250"/>
    <w:rsid w:val="555D6521"/>
    <w:rsid w:val="55705D34"/>
    <w:rsid w:val="55747183"/>
    <w:rsid w:val="557B26D6"/>
    <w:rsid w:val="55804850"/>
    <w:rsid w:val="55857A73"/>
    <w:rsid w:val="55895AFA"/>
    <w:rsid w:val="558A1BC2"/>
    <w:rsid w:val="558E38FB"/>
    <w:rsid w:val="558F7F2F"/>
    <w:rsid w:val="5593430B"/>
    <w:rsid w:val="55A8654A"/>
    <w:rsid w:val="55A95B7B"/>
    <w:rsid w:val="55BB563D"/>
    <w:rsid w:val="55CF47D0"/>
    <w:rsid w:val="55D122F6"/>
    <w:rsid w:val="55D1679A"/>
    <w:rsid w:val="55D30991"/>
    <w:rsid w:val="55E1740A"/>
    <w:rsid w:val="55E23AEF"/>
    <w:rsid w:val="55E60677"/>
    <w:rsid w:val="55F14746"/>
    <w:rsid w:val="55FD2FCC"/>
    <w:rsid w:val="55FF248B"/>
    <w:rsid w:val="56070F79"/>
    <w:rsid w:val="560A1B14"/>
    <w:rsid w:val="56101AC7"/>
    <w:rsid w:val="56140CA3"/>
    <w:rsid w:val="5622675C"/>
    <w:rsid w:val="562A1929"/>
    <w:rsid w:val="562D6AA7"/>
    <w:rsid w:val="563A60ED"/>
    <w:rsid w:val="563A670D"/>
    <w:rsid w:val="564131A5"/>
    <w:rsid w:val="564156CE"/>
    <w:rsid w:val="56424FA2"/>
    <w:rsid w:val="56451E7A"/>
    <w:rsid w:val="56495608"/>
    <w:rsid w:val="564A7FC9"/>
    <w:rsid w:val="565151E5"/>
    <w:rsid w:val="56653CED"/>
    <w:rsid w:val="56694C64"/>
    <w:rsid w:val="566D1292"/>
    <w:rsid w:val="56752138"/>
    <w:rsid w:val="56795286"/>
    <w:rsid w:val="56823404"/>
    <w:rsid w:val="5687357E"/>
    <w:rsid w:val="56A56C6D"/>
    <w:rsid w:val="56A774B9"/>
    <w:rsid w:val="56AF469D"/>
    <w:rsid w:val="56AF6ADB"/>
    <w:rsid w:val="56B76EBC"/>
    <w:rsid w:val="56BA0F77"/>
    <w:rsid w:val="56D24578"/>
    <w:rsid w:val="56D77DE0"/>
    <w:rsid w:val="56DA167E"/>
    <w:rsid w:val="56F21B73"/>
    <w:rsid w:val="56F269C8"/>
    <w:rsid w:val="56FB7B05"/>
    <w:rsid w:val="56FD775F"/>
    <w:rsid w:val="570010E5"/>
    <w:rsid w:val="570566FB"/>
    <w:rsid w:val="570A1F63"/>
    <w:rsid w:val="570E7193"/>
    <w:rsid w:val="571559E2"/>
    <w:rsid w:val="571719F0"/>
    <w:rsid w:val="571D2F37"/>
    <w:rsid w:val="57216032"/>
    <w:rsid w:val="57250B4B"/>
    <w:rsid w:val="572A30A8"/>
    <w:rsid w:val="572A6162"/>
    <w:rsid w:val="572B1EDA"/>
    <w:rsid w:val="573F3235"/>
    <w:rsid w:val="574377B7"/>
    <w:rsid w:val="57460760"/>
    <w:rsid w:val="574655DE"/>
    <w:rsid w:val="574B1C5B"/>
    <w:rsid w:val="57500559"/>
    <w:rsid w:val="575052A4"/>
    <w:rsid w:val="57622734"/>
    <w:rsid w:val="576F626A"/>
    <w:rsid w:val="577677ED"/>
    <w:rsid w:val="577A6500"/>
    <w:rsid w:val="577E1EB3"/>
    <w:rsid w:val="577F6E0F"/>
    <w:rsid w:val="5783718C"/>
    <w:rsid w:val="57870D02"/>
    <w:rsid w:val="57870FE1"/>
    <w:rsid w:val="578C0BCA"/>
    <w:rsid w:val="578D0BA8"/>
    <w:rsid w:val="578F09FB"/>
    <w:rsid w:val="579C3E76"/>
    <w:rsid w:val="57B8376D"/>
    <w:rsid w:val="57C2283E"/>
    <w:rsid w:val="57C44170"/>
    <w:rsid w:val="57C8153C"/>
    <w:rsid w:val="57D07DF8"/>
    <w:rsid w:val="57D9218C"/>
    <w:rsid w:val="57DB3900"/>
    <w:rsid w:val="57DD36A5"/>
    <w:rsid w:val="57E03B58"/>
    <w:rsid w:val="57E569CA"/>
    <w:rsid w:val="57EA3EC9"/>
    <w:rsid w:val="57EB25DF"/>
    <w:rsid w:val="57EC23FB"/>
    <w:rsid w:val="57FB50B6"/>
    <w:rsid w:val="57FE1EAA"/>
    <w:rsid w:val="580956C4"/>
    <w:rsid w:val="580C1524"/>
    <w:rsid w:val="580C1D0B"/>
    <w:rsid w:val="581B1F4E"/>
    <w:rsid w:val="581C2A2E"/>
    <w:rsid w:val="58247055"/>
    <w:rsid w:val="582A2734"/>
    <w:rsid w:val="582F3C9B"/>
    <w:rsid w:val="583026A0"/>
    <w:rsid w:val="58335906"/>
    <w:rsid w:val="5842572D"/>
    <w:rsid w:val="58532634"/>
    <w:rsid w:val="58545AF7"/>
    <w:rsid w:val="58556DFB"/>
    <w:rsid w:val="585A59BA"/>
    <w:rsid w:val="585E7C8F"/>
    <w:rsid w:val="58661910"/>
    <w:rsid w:val="58690513"/>
    <w:rsid w:val="58690F0C"/>
    <w:rsid w:val="586B6A32"/>
    <w:rsid w:val="58705BA5"/>
    <w:rsid w:val="58730A25"/>
    <w:rsid w:val="5878114F"/>
    <w:rsid w:val="587A0A23"/>
    <w:rsid w:val="58820BC4"/>
    <w:rsid w:val="58A75640"/>
    <w:rsid w:val="58A77421"/>
    <w:rsid w:val="58A81A34"/>
    <w:rsid w:val="58AB44A7"/>
    <w:rsid w:val="58AE691E"/>
    <w:rsid w:val="58B63DFC"/>
    <w:rsid w:val="58B73506"/>
    <w:rsid w:val="58B91882"/>
    <w:rsid w:val="58BA0637"/>
    <w:rsid w:val="58BD51D1"/>
    <w:rsid w:val="58BF0B2C"/>
    <w:rsid w:val="58C42CCF"/>
    <w:rsid w:val="58C60EF4"/>
    <w:rsid w:val="58D17A3C"/>
    <w:rsid w:val="58DC7543"/>
    <w:rsid w:val="58E81E30"/>
    <w:rsid w:val="58F05189"/>
    <w:rsid w:val="59011144"/>
    <w:rsid w:val="59123351"/>
    <w:rsid w:val="59130003"/>
    <w:rsid w:val="59181AA9"/>
    <w:rsid w:val="59306EB1"/>
    <w:rsid w:val="5936039F"/>
    <w:rsid w:val="59371D6D"/>
    <w:rsid w:val="593F2A20"/>
    <w:rsid w:val="594250E6"/>
    <w:rsid w:val="59521158"/>
    <w:rsid w:val="595526E7"/>
    <w:rsid w:val="595C5506"/>
    <w:rsid w:val="5962687B"/>
    <w:rsid w:val="596B69D3"/>
    <w:rsid w:val="597162CA"/>
    <w:rsid w:val="59743BD4"/>
    <w:rsid w:val="597F6B30"/>
    <w:rsid w:val="59840099"/>
    <w:rsid w:val="59847329"/>
    <w:rsid w:val="59901F67"/>
    <w:rsid w:val="59906EAF"/>
    <w:rsid w:val="5991083C"/>
    <w:rsid w:val="59967CB6"/>
    <w:rsid w:val="5997152E"/>
    <w:rsid w:val="59975605"/>
    <w:rsid w:val="599E06B7"/>
    <w:rsid w:val="59A00538"/>
    <w:rsid w:val="59A7656F"/>
    <w:rsid w:val="59AA040E"/>
    <w:rsid w:val="59AD55D8"/>
    <w:rsid w:val="59B54077"/>
    <w:rsid w:val="59B7358F"/>
    <w:rsid w:val="59B80783"/>
    <w:rsid w:val="59CC52AE"/>
    <w:rsid w:val="59CD6042"/>
    <w:rsid w:val="59DB2DE6"/>
    <w:rsid w:val="59DE3DE4"/>
    <w:rsid w:val="59ED1F26"/>
    <w:rsid w:val="59EE7E17"/>
    <w:rsid w:val="59EF71EF"/>
    <w:rsid w:val="59F55223"/>
    <w:rsid w:val="59FB725D"/>
    <w:rsid w:val="5A04713E"/>
    <w:rsid w:val="5A0535EB"/>
    <w:rsid w:val="5A0A49C3"/>
    <w:rsid w:val="5A0A7324"/>
    <w:rsid w:val="5A0F4142"/>
    <w:rsid w:val="5A191F5F"/>
    <w:rsid w:val="5A1A3741"/>
    <w:rsid w:val="5A1F5392"/>
    <w:rsid w:val="5A1F5D26"/>
    <w:rsid w:val="5A250E62"/>
    <w:rsid w:val="5A2A01BB"/>
    <w:rsid w:val="5A301EB8"/>
    <w:rsid w:val="5A330365"/>
    <w:rsid w:val="5A33357F"/>
    <w:rsid w:val="5A340C02"/>
    <w:rsid w:val="5A3555C7"/>
    <w:rsid w:val="5A407A4A"/>
    <w:rsid w:val="5A441799"/>
    <w:rsid w:val="5A44578C"/>
    <w:rsid w:val="5A47702B"/>
    <w:rsid w:val="5A5A0B0C"/>
    <w:rsid w:val="5A6606E3"/>
    <w:rsid w:val="5A724661"/>
    <w:rsid w:val="5A7F7B5A"/>
    <w:rsid w:val="5A8E5042"/>
    <w:rsid w:val="5A93401E"/>
    <w:rsid w:val="5A9559B1"/>
    <w:rsid w:val="5AA07C03"/>
    <w:rsid w:val="5AA44B51"/>
    <w:rsid w:val="5AA464AB"/>
    <w:rsid w:val="5AAB75B9"/>
    <w:rsid w:val="5AAC3332"/>
    <w:rsid w:val="5AAF1E05"/>
    <w:rsid w:val="5ABD281B"/>
    <w:rsid w:val="5ABF4E13"/>
    <w:rsid w:val="5AC13672"/>
    <w:rsid w:val="5AC343A4"/>
    <w:rsid w:val="5AC95C92"/>
    <w:rsid w:val="5ACC6F27"/>
    <w:rsid w:val="5ACF4686"/>
    <w:rsid w:val="5AD0066F"/>
    <w:rsid w:val="5AD3266C"/>
    <w:rsid w:val="5ADB2FFD"/>
    <w:rsid w:val="5AE76118"/>
    <w:rsid w:val="5AEB7E48"/>
    <w:rsid w:val="5B022F52"/>
    <w:rsid w:val="5B026335"/>
    <w:rsid w:val="5B03795E"/>
    <w:rsid w:val="5B0453E0"/>
    <w:rsid w:val="5B0F7128"/>
    <w:rsid w:val="5B10566E"/>
    <w:rsid w:val="5B136F0D"/>
    <w:rsid w:val="5B150ED7"/>
    <w:rsid w:val="5B180A14"/>
    <w:rsid w:val="5B24111A"/>
    <w:rsid w:val="5B2E49EE"/>
    <w:rsid w:val="5B36569B"/>
    <w:rsid w:val="5B3A3ACB"/>
    <w:rsid w:val="5B3A5AD4"/>
    <w:rsid w:val="5B426A54"/>
    <w:rsid w:val="5B4D6E72"/>
    <w:rsid w:val="5B575F0E"/>
    <w:rsid w:val="5B5B0FE0"/>
    <w:rsid w:val="5B61411C"/>
    <w:rsid w:val="5B737AF3"/>
    <w:rsid w:val="5B75266F"/>
    <w:rsid w:val="5B775864"/>
    <w:rsid w:val="5B77791D"/>
    <w:rsid w:val="5B7E6A7C"/>
    <w:rsid w:val="5B8411B1"/>
    <w:rsid w:val="5B85605C"/>
    <w:rsid w:val="5B865931"/>
    <w:rsid w:val="5B8A49CE"/>
    <w:rsid w:val="5B8F2A37"/>
    <w:rsid w:val="5B9242D5"/>
    <w:rsid w:val="5B94364D"/>
    <w:rsid w:val="5B9A39AA"/>
    <w:rsid w:val="5BA160AD"/>
    <w:rsid w:val="5BAF1241"/>
    <w:rsid w:val="5BAF3DCA"/>
    <w:rsid w:val="5BB22BCA"/>
    <w:rsid w:val="5BC052E6"/>
    <w:rsid w:val="5BC1782E"/>
    <w:rsid w:val="5BC326E1"/>
    <w:rsid w:val="5BD7618C"/>
    <w:rsid w:val="5BD87995"/>
    <w:rsid w:val="5BDE489C"/>
    <w:rsid w:val="5BE56726"/>
    <w:rsid w:val="5BFB5352"/>
    <w:rsid w:val="5BFE5D72"/>
    <w:rsid w:val="5C0C4737"/>
    <w:rsid w:val="5C0D47C2"/>
    <w:rsid w:val="5C174477"/>
    <w:rsid w:val="5C195F8C"/>
    <w:rsid w:val="5C1D03BC"/>
    <w:rsid w:val="5C235D41"/>
    <w:rsid w:val="5C385A44"/>
    <w:rsid w:val="5C425CFC"/>
    <w:rsid w:val="5C4A4BB0"/>
    <w:rsid w:val="5C5D6A61"/>
    <w:rsid w:val="5C61311E"/>
    <w:rsid w:val="5C62014C"/>
    <w:rsid w:val="5C6E1494"/>
    <w:rsid w:val="5C7156C4"/>
    <w:rsid w:val="5C724DC7"/>
    <w:rsid w:val="5C8B27BD"/>
    <w:rsid w:val="5CA114ED"/>
    <w:rsid w:val="5CA44876"/>
    <w:rsid w:val="5CAA6DD1"/>
    <w:rsid w:val="5CB52971"/>
    <w:rsid w:val="5CB85FBE"/>
    <w:rsid w:val="5CC47458"/>
    <w:rsid w:val="5CC5325C"/>
    <w:rsid w:val="5CC55041"/>
    <w:rsid w:val="5CCC23D2"/>
    <w:rsid w:val="5CD16A65"/>
    <w:rsid w:val="5CD84061"/>
    <w:rsid w:val="5CE46DB3"/>
    <w:rsid w:val="5CE94B04"/>
    <w:rsid w:val="5CEC4C5D"/>
    <w:rsid w:val="5CF248FC"/>
    <w:rsid w:val="5CFC234E"/>
    <w:rsid w:val="5CFE7E04"/>
    <w:rsid w:val="5CFF7BD4"/>
    <w:rsid w:val="5D0D3705"/>
    <w:rsid w:val="5D0F7BD9"/>
    <w:rsid w:val="5D145F18"/>
    <w:rsid w:val="5D1F428F"/>
    <w:rsid w:val="5D221827"/>
    <w:rsid w:val="5D250B35"/>
    <w:rsid w:val="5D355860"/>
    <w:rsid w:val="5D377858"/>
    <w:rsid w:val="5D3F6C57"/>
    <w:rsid w:val="5D414205"/>
    <w:rsid w:val="5D491E99"/>
    <w:rsid w:val="5D4B4257"/>
    <w:rsid w:val="5D4B5A48"/>
    <w:rsid w:val="5D577585"/>
    <w:rsid w:val="5D6B54ED"/>
    <w:rsid w:val="5D802FD0"/>
    <w:rsid w:val="5D8208FB"/>
    <w:rsid w:val="5D883BE2"/>
    <w:rsid w:val="5D944335"/>
    <w:rsid w:val="5D9B70C6"/>
    <w:rsid w:val="5D9D50A4"/>
    <w:rsid w:val="5D9E2B1F"/>
    <w:rsid w:val="5DAB091F"/>
    <w:rsid w:val="5DAE165D"/>
    <w:rsid w:val="5DAF5613"/>
    <w:rsid w:val="5DCA57EA"/>
    <w:rsid w:val="5DCD2559"/>
    <w:rsid w:val="5DD62B9F"/>
    <w:rsid w:val="5DDE3B25"/>
    <w:rsid w:val="5DE80B25"/>
    <w:rsid w:val="5DEC18F0"/>
    <w:rsid w:val="5DF23751"/>
    <w:rsid w:val="5DFB6523"/>
    <w:rsid w:val="5E0740AF"/>
    <w:rsid w:val="5E077957"/>
    <w:rsid w:val="5E18576B"/>
    <w:rsid w:val="5E1911A5"/>
    <w:rsid w:val="5E192F86"/>
    <w:rsid w:val="5E225DE5"/>
    <w:rsid w:val="5E2A2EEB"/>
    <w:rsid w:val="5E353C24"/>
    <w:rsid w:val="5E3B0C54"/>
    <w:rsid w:val="5E455888"/>
    <w:rsid w:val="5E490A40"/>
    <w:rsid w:val="5E515E4C"/>
    <w:rsid w:val="5E6006BB"/>
    <w:rsid w:val="5E625895"/>
    <w:rsid w:val="5E652175"/>
    <w:rsid w:val="5E694C83"/>
    <w:rsid w:val="5E6B5D55"/>
    <w:rsid w:val="5E6C3504"/>
    <w:rsid w:val="5E77028A"/>
    <w:rsid w:val="5E7A73FD"/>
    <w:rsid w:val="5E7B54F5"/>
    <w:rsid w:val="5E9D546B"/>
    <w:rsid w:val="5E9D63EB"/>
    <w:rsid w:val="5EA330D8"/>
    <w:rsid w:val="5EA90602"/>
    <w:rsid w:val="5EB34C8F"/>
    <w:rsid w:val="5EB46B8D"/>
    <w:rsid w:val="5EB90CD8"/>
    <w:rsid w:val="5ECA544B"/>
    <w:rsid w:val="5ECC7AFE"/>
    <w:rsid w:val="5EDE4A06"/>
    <w:rsid w:val="5EE224D7"/>
    <w:rsid w:val="5EE25574"/>
    <w:rsid w:val="5EE51A3B"/>
    <w:rsid w:val="5EEA0B8A"/>
    <w:rsid w:val="5EEA49CA"/>
    <w:rsid w:val="5EEF0853"/>
    <w:rsid w:val="5EEF195A"/>
    <w:rsid w:val="5EF37781"/>
    <w:rsid w:val="5EF62478"/>
    <w:rsid w:val="5EF75679"/>
    <w:rsid w:val="5F001EB7"/>
    <w:rsid w:val="5F0757F4"/>
    <w:rsid w:val="5F176B0F"/>
    <w:rsid w:val="5F1A37E2"/>
    <w:rsid w:val="5F202A97"/>
    <w:rsid w:val="5F205004"/>
    <w:rsid w:val="5F2459D9"/>
    <w:rsid w:val="5F276E24"/>
    <w:rsid w:val="5F2C67EF"/>
    <w:rsid w:val="5F2F41B6"/>
    <w:rsid w:val="5F3B35C2"/>
    <w:rsid w:val="5F407CD3"/>
    <w:rsid w:val="5F41229A"/>
    <w:rsid w:val="5F434264"/>
    <w:rsid w:val="5F5229AF"/>
    <w:rsid w:val="5F544481"/>
    <w:rsid w:val="5F582509"/>
    <w:rsid w:val="5F5A7800"/>
    <w:rsid w:val="5F633D4A"/>
    <w:rsid w:val="5F6450FE"/>
    <w:rsid w:val="5F677827"/>
    <w:rsid w:val="5F74285B"/>
    <w:rsid w:val="5F761B91"/>
    <w:rsid w:val="5F7F6630"/>
    <w:rsid w:val="5F7F707C"/>
    <w:rsid w:val="5F83564D"/>
    <w:rsid w:val="5F840C85"/>
    <w:rsid w:val="5F8B5C0B"/>
    <w:rsid w:val="5F902C1F"/>
    <w:rsid w:val="5F915994"/>
    <w:rsid w:val="5F994C9B"/>
    <w:rsid w:val="5FA57677"/>
    <w:rsid w:val="5FA962BE"/>
    <w:rsid w:val="5FAA42E4"/>
    <w:rsid w:val="5FAB1E0A"/>
    <w:rsid w:val="5FB0763B"/>
    <w:rsid w:val="5FB66778"/>
    <w:rsid w:val="5FC263B9"/>
    <w:rsid w:val="5FC63F0E"/>
    <w:rsid w:val="5FD0168D"/>
    <w:rsid w:val="5FD071E6"/>
    <w:rsid w:val="5FD52D7E"/>
    <w:rsid w:val="5FD849CF"/>
    <w:rsid w:val="5FDB3EC4"/>
    <w:rsid w:val="5FDF075A"/>
    <w:rsid w:val="5FE2346B"/>
    <w:rsid w:val="5FE43904"/>
    <w:rsid w:val="5FEB7D85"/>
    <w:rsid w:val="5FFB68ED"/>
    <w:rsid w:val="5FFE39CE"/>
    <w:rsid w:val="60033159"/>
    <w:rsid w:val="600532C8"/>
    <w:rsid w:val="60055390"/>
    <w:rsid w:val="60093B39"/>
    <w:rsid w:val="6016712B"/>
    <w:rsid w:val="60225154"/>
    <w:rsid w:val="60327E35"/>
    <w:rsid w:val="60341DFF"/>
    <w:rsid w:val="60363DC9"/>
    <w:rsid w:val="605E5A20"/>
    <w:rsid w:val="606414CD"/>
    <w:rsid w:val="606F4E38"/>
    <w:rsid w:val="60706FA0"/>
    <w:rsid w:val="60783761"/>
    <w:rsid w:val="60793CB6"/>
    <w:rsid w:val="608361F4"/>
    <w:rsid w:val="60874625"/>
    <w:rsid w:val="608763D3"/>
    <w:rsid w:val="608C39E9"/>
    <w:rsid w:val="608E45F4"/>
    <w:rsid w:val="60A52CFD"/>
    <w:rsid w:val="60A76A75"/>
    <w:rsid w:val="60AB4BF7"/>
    <w:rsid w:val="60BC6CED"/>
    <w:rsid w:val="60BD5A35"/>
    <w:rsid w:val="60C11F89"/>
    <w:rsid w:val="60C70EC5"/>
    <w:rsid w:val="60C92298"/>
    <w:rsid w:val="60C96D4B"/>
    <w:rsid w:val="60CC028A"/>
    <w:rsid w:val="60CF409A"/>
    <w:rsid w:val="60D43BD3"/>
    <w:rsid w:val="60D877D9"/>
    <w:rsid w:val="60DE7109"/>
    <w:rsid w:val="60DF654F"/>
    <w:rsid w:val="60E6759D"/>
    <w:rsid w:val="60EA1419"/>
    <w:rsid w:val="60EA6049"/>
    <w:rsid w:val="60EE6452"/>
    <w:rsid w:val="60F33A68"/>
    <w:rsid w:val="60F5158E"/>
    <w:rsid w:val="60F54926"/>
    <w:rsid w:val="60F63558"/>
    <w:rsid w:val="60F815D6"/>
    <w:rsid w:val="6105299B"/>
    <w:rsid w:val="61073FEC"/>
    <w:rsid w:val="610E08A2"/>
    <w:rsid w:val="610F07F0"/>
    <w:rsid w:val="611A128A"/>
    <w:rsid w:val="611D2893"/>
    <w:rsid w:val="61306A6A"/>
    <w:rsid w:val="61363955"/>
    <w:rsid w:val="613B2F91"/>
    <w:rsid w:val="614918DA"/>
    <w:rsid w:val="614B0204"/>
    <w:rsid w:val="615B2DA3"/>
    <w:rsid w:val="61657C91"/>
    <w:rsid w:val="616B1562"/>
    <w:rsid w:val="616B299F"/>
    <w:rsid w:val="616E2E86"/>
    <w:rsid w:val="616E30EF"/>
    <w:rsid w:val="616E5870"/>
    <w:rsid w:val="61783C6C"/>
    <w:rsid w:val="618058F5"/>
    <w:rsid w:val="61832D5A"/>
    <w:rsid w:val="618362FE"/>
    <w:rsid w:val="61863410"/>
    <w:rsid w:val="618B1C42"/>
    <w:rsid w:val="618C5044"/>
    <w:rsid w:val="61912097"/>
    <w:rsid w:val="6191701F"/>
    <w:rsid w:val="61934CA4"/>
    <w:rsid w:val="619F774C"/>
    <w:rsid w:val="61A82AA5"/>
    <w:rsid w:val="61AB4343"/>
    <w:rsid w:val="61B01959"/>
    <w:rsid w:val="61B87E04"/>
    <w:rsid w:val="61CE3B8D"/>
    <w:rsid w:val="61CE5D83"/>
    <w:rsid w:val="61D27B22"/>
    <w:rsid w:val="61DE235F"/>
    <w:rsid w:val="61DF46D3"/>
    <w:rsid w:val="61DF7322"/>
    <w:rsid w:val="61E138C1"/>
    <w:rsid w:val="61E33ADD"/>
    <w:rsid w:val="61E40B15"/>
    <w:rsid w:val="61F13719"/>
    <w:rsid w:val="61F431AE"/>
    <w:rsid w:val="61FA4B82"/>
    <w:rsid w:val="62004C04"/>
    <w:rsid w:val="620F67EC"/>
    <w:rsid w:val="621506F6"/>
    <w:rsid w:val="62173BF9"/>
    <w:rsid w:val="62261C1B"/>
    <w:rsid w:val="62285994"/>
    <w:rsid w:val="622B549B"/>
    <w:rsid w:val="62336329"/>
    <w:rsid w:val="62404A8B"/>
    <w:rsid w:val="62421701"/>
    <w:rsid w:val="624337C3"/>
    <w:rsid w:val="624A1575"/>
    <w:rsid w:val="624C6651"/>
    <w:rsid w:val="624D53FA"/>
    <w:rsid w:val="62516C98"/>
    <w:rsid w:val="62522C51"/>
    <w:rsid w:val="62620EA5"/>
    <w:rsid w:val="626671FB"/>
    <w:rsid w:val="62667E39"/>
    <w:rsid w:val="626D33A6"/>
    <w:rsid w:val="626F711E"/>
    <w:rsid w:val="62740BD9"/>
    <w:rsid w:val="627833F3"/>
    <w:rsid w:val="627D6F1E"/>
    <w:rsid w:val="62835061"/>
    <w:rsid w:val="62917095"/>
    <w:rsid w:val="62931F63"/>
    <w:rsid w:val="62991C9B"/>
    <w:rsid w:val="62A0552A"/>
    <w:rsid w:val="62AF7E63"/>
    <w:rsid w:val="62B56081"/>
    <w:rsid w:val="62BF4BBB"/>
    <w:rsid w:val="62C4514A"/>
    <w:rsid w:val="62CE02E9"/>
    <w:rsid w:val="62D33B51"/>
    <w:rsid w:val="62E70A4E"/>
    <w:rsid w:val="62EE2739"/>
    <w:rsid w:val="6308088B"/>
    <w:rsid w:val="630E2DDB"/>
    <w:rsid w:val="631877B6"/>
    <w:rsid w:val="6323685A"/>
    <w:rsid w:val="63254BDB"/>
    <w:rsid w:val="63287637"/>
    <w:rsid w:val="632A4B59"/>
    <w:rsid w:val="63302D52"/>
    <w:rsid w:val="63306D81"/>
    <w:rsid w:val="633345F0"/>
    <w:rsid w:val="63381C06"/>
    <w:rsid w:val="63386B4E"/>
    <w:rsid w:val="633D2586"/>
    <w:rsid w:val="633F11E7"/>
    <w:rsid w:val="6348729E"/>
    <w:rsid w:val="634C139E"/>
    <w:rsid w:val="63560810"/>
    <w:rsid w:val="63576992"/>
    <w:rsid w:val="635B0161"/>
    <w:rsid w:val="635D166D"/>
    <w:rsid w:val="635F7193"/>
    <w:rsid w:val="63623C1B"/>
    <w:rsid w:val="636D5D54"/>
    <w:rsid w:val="6370314E"/>
    <w:rsid w:val="63733314"/>
    <w:rsid w:val="637F32A0"/>
    <w:rsid w:val="63803431"/>
    <w:rsid w:val="63872B56"/>
    <w:rsid w:val="638C2861"/>
    <w:rsid w:val="638F69EF"/>
    <w:rsid w:val="63950E07"/>
    <w:rsid w:val="639929C7"/>
    <w:rsid w:val="639C724C"/>
    <w:rsid w:val="639C7B6D"/>
    <w:rsid w:val="63AD7F8F"/>
    <w:rsid w:val="63B11E58"/>
    <w:rsid w:val="63B636A5"/>
    <w:rsid w:val="63B734C3"/>
    <w:rsid w:val="63BD719E"/>
    <w:rsid w:val="63CA2346"/>
    <w:rsid w:val="63CB65D6"/>
    <w:rsid w:val="63CC234F"/>
    <w:rsid w:val="63D25BB7"/>
    <w:rsid w:val="63D6331E"/>
    <w:rsid w:val="63DC6A36"/>
    <w:rsid w:val="63DF1DEF"/>
    <w:rsid w:val="63E61C76"/>
    <w:rsid w:val="63E678B4"/>
    <w:rsid w:val="63E80F78"/>
    <w:rsid w:val="63F27D49"/>
    <w:rsid w:val="63F57AF7"/>
    <w:rsid w:val="63FB36ED"/>
    <w:rsid w:val="640226E3"/>
    <w:rsid w:val="64093A01"/>
    <w:rsid w:val="640B12E3"/>
    <w:rsid w:val="640B7A57"/>
    <w:rsid w:val="641F5B61"/>
    <w:rsid w:val="6427286C"/>
    <w:rsid w:val="64306D81"/>
    <w:rsid w:val="64376697"/>
    <w:rsid w:val="6445304B"/>
    <w:rsid w:val="644C0DA7"/>
    <w:rsid w:val="644C4F04"/>
    <w:rsid w:val="64535F13"/>
    <w:rsid w:val="645654E4"/>
    <w:rsid w:val="64590086"/>
    <w:rsid w:val="645930E3"/>
    <w:rsid w:val="646930E0"/>
    <w:rsid w:val="64706357"/>
    <w:rsid w:val="6476555B"/>
    <w:rsid w:val="64837769"/>
    <w:rsid w:val="6489147F"/>
    <w:rsid w:val="648F3611"/>
    <w:rsid w:val="648F5ED1"/>
    <w:rsid w:val="649039A2"/>
    <w:rsid w:val="649B2A1E"/>
    <w:rsid w:val="64A07C09"/>
    <w:rsid w:val="64A137DB"/>
    <w:rsid w:val="64AB50DC"/>
    <w:rsid w:val="64AD0E15"/>
    <w:rsid w:val="64AF03BA"/>
    <w:rsid w:val="64B61035"/>
    <w:rsid w:val="64BB5319"/>
    <w:rsid w:val="64BB664B"/>
    <w:rsid w:val="64BE09EB"/>
    <w:rsid w:val="64BF3577"/>
    <w:rsid w:val="64C00105"/>
    <w:rsid w:val="64C13396"/>
    <w:rsid w:val="64C20DAB"/>
    <w:rsid w:val="64C574CA"/>
    <w:rsid w:val="64CA4AE0"/>
    <w:rsid w:val="64CB2F56"/>
    <w:rsid w:val="64D23995"/>
    <w:rsid w:val="64D65F27"/>
    <w:rsid w:val="64D8488F"/>
    <w:rsid w:val="64DE7EA1"/>
    <w:rsid w:val="64F25DE5"/>
    <w:rsid w:val="64F665E4"/>
    <w:rsid w:val="65007F6E"/>
    <w:rsid w:val="651B533C"/>
    <w:rsid w:val="651F4987"/>
    <w:rsid w:val="65222B6E"/>
    <w:rsid w:val="652F7039"/>
    <w:rsid w:val="65356982"/>
    <w:rsid w:val="653C6AAC"/>
    <w:rsid w:val="65403ADE"/>
    <w:rsid w:val="654C7BEB"/>
    <w:rsid w:val="65533386"/>
    <w:rsid w:val="655A0E16"/>
    <w:rsid w:val="655F5697"/>
    <w:rsid w:val="65624D19"/>
    <w:rsid w:val="65644F35"/>
    <w:rsid w:val="656478D0"/>
    <w:rsid w:val="65680207"/>
    <w:rsid w:val="656A2DF5"/>
    <w:rsid w:val="6570158A"/>
    <w:rsid w:val="657666EF"/>
    <w:rsid w:val="657A4EB2"/>
    <w:rsid w:val="65801643"/>
    <w:rsid w:val="658274BD"/>
    <w:rsid w:val="65854FB2"/>
    <w:rsid w:val="65871E7F"/>
    <w:rsid w:val="65920DF7"/>
    <w:rsid w:val="659342C4"/>
    <w:rsid w:val="659628B6"/>
    <w:rsid w:val="659770B8"/>
    <w:rsid w:val="65A11CE5"/>
    <w:rsid w:val="65A26BFE"/>
    <w:rsid w:val="65A43583"/>
    <w:rsid w:val="65A5498A"/>
    <w:rsid w:val="65A672FB"/>
    <w:rsid w:val="65AC17F9"/>
    <w:rsid w:val="65B063E1"/>
    <w:rsid w:val="65B06CE3"/>
    <w:rsid w:val="65B177E2"/>
    <w:rsid w:val="65B23EF2"/>
    <w:rsid w:val="65BE2E39"/>
    <w:rsid w:val="65BF4B98"/>
    <w:rsid w:val="65C10E0B"/>
    <w:rsid w:val="65CD41B1"/>
    <w:rsid w:val="65D300F3"/>
    <w:rsid w:val="65D75B48"/>
    <w:rsid w:val="65D8147F"/>
    <w:rsid w:val="65E82DD0"/>
    <w:rsid w:val="65E9120F"/>
    <w:rsid w:val="65F377B2"/>
    <w:rsid w:val="65FE24E9"/>
    <w:rsid w:val="66157F14"/>
    <w:rsid w:val="66195D1F"/>
    <w:rsid w:val="661E0A71"/>
    <w:rsid w:val="66277C26"/>
    <w:rsid w:val="662F7E78"/>
    <w:rsid w:val="66310804"/>
    <w:rsid w:val="663372BC"/>
    <w:rsid w:val="66385942"/>
    <w:rsid w:val="66436342"/>
    <w:rsid w:val="66451EA0"/>
    <w:rsid w:val="6646463A"/>
    <w:rsid w:val="66494E8C"/>
    <w:rsid w:val="664A0080"/>
    <w:rsid w:val="66537869"/>
    <w:rsid w:val="665C3E5E"/>
    <w:rsid w:val="6664160A"/>
    <w:rsid w:val="66676EF2"/>
    <w:rsid w:val="666B0702"/>
    <w:rsid w:val="666E56CA"/>
    <w:rsid w:val="6672542F"/>
    <w:rsid w:val="668B029F"/>
    <w:rsid w:val="668F5FE1"/>
    <w:rsid w:val="669C425A"/>
    <w:rsid w:val="66A25F9D"/>
    <w:rsid w:val="66A603DB"/>
    <w:rsid w:val="66AC1200"/>
    <w:rsid w:val="66B06886"/>
    <w:rsid w:val="66B23438"/>
    <w:rsid w:val="66B44573"/>
    <w:rsid w:val="66BD1DF7"/>
    <w:rsid w:val="66C0670E"/>
    <w:rsid w:val="66CA7019"/>
    <w:rsid w:val="66CD2E67"/>
    <w:rsid w:val="66CF198A"/>
    <w:rsid w:val="66D32372"/>
    <w:rsid w:val="66D41C46"/>
    <w:rsid w:val="66D9725C"/>
    <w:rsid w:val="66E35DDB"/>
    <w:rsid w:val="66E532F9"/>
    <w:rsid w:val="66F45579"/>
    <w:rsid w:val="66F61BBC"/>
    <w:rsid w:val="66F84D2C"/>
    <w:rsid w:val="66FD5484"/>
    <w:rsid w:val="66FE49C9"/>
    <w:rsid w:val="67080599"/>
    <w:rsid w:val="671170A5"/>
    <w:rsid w:val="67142B45"/>
    <w:rsid w:val="67157F47"/>
    <w:rsid w:val="671D4CBB"/>
    <w:rsid w:val="672B161A"/>
    <w:rsid w:val="673130BA"/>
    <w:rsid w:val="67325647"/>
    <w:rsid w:val="67345A41"/>
    <w:rsid w:val="67391A5D"/>
    <w:rsid w:val="67460E08"/>
    <w:rsid w:val="67582877"/>
    <w:rsid w:val="675E0354"/>
    <w:rsid w:val="676174D7"/>
    <w:rsid w:val="6763423D"/>
    <w:rsid w:val="676B5531"/>
    <w:rsid w:val="676C4A3A"/>
    <w:rsid w:val="676E3E49"/>
    <w:rsid w:val="676F6237"/>
    <w:rsid w:val="676F7BC1"/>
    <w:rsid w:val="6774361A"/>
    <w:rsid w:val="67753D77"/>
    <w:rsid w:val="678036DB"/>
    <w:rsid w:val="67886343"/>
    <w:rsid w:val="67890C82"/>
    <w:rsid w:val="678B49FB"/>
    <w:rsid w:val="679A4C3E"/>
    <w:rsid w:val="679D472E"/>
    <w:rsid w:val="67A01073"/>
    <w:rsid w:val="67A14064"/>
    <w:rsid w:val="67A8101C"/>
    <w:rsid w:val="67AE7F63"/>
    <w:rsid w:val="67B80367"/>
    <w:rsid w:val="67B850C4"/>
    <w:rsid w:val="67BA708E"/>
    <w:rsid w:val="67C021CA"/>
    <w:rsid w:val="67CC7644"/>
    <w:rsid w:val="67D31EFE"/>
    <w:rsid w:val="67DF3D1B"/>
    <w:rsid w:val="67DF6D22"/>
    <w:rsid w:val="67E17CDB"/>
    <w:rsid w:val="67E61C31"/>
    <w:rsid w:val="67E7707F"/>
    <w:rsid w:val="67F16C59"/>
    <w:rsid w:val="67FC76A6"/>
    <w:rsid w:val="680E2045"/>
    <w:rsid w:val="68166522"/>
    <w:rsid w:val="68171E63"/>
    <w:rsid w:val="681D3B99"/>
    <w:rsid w:val="681F1C30"/>
    <w:rsid w:val="681F1F41"/>
    <w:rsid w:val="68264723"/>
    <w:rsid w:val="6827516E"/>
    <w:rsid w:val="683800FF"/>
    <w:rsid w:val="683B7208"/>
    <w:rsid w:val="683C305C"/>
    <w:rsid w:val="684849DC"/>
    <w:rsid w:val="68581AC7"/>
    <w:rsid w:val="686836BC"/>
    <w:rsid w:val="686C7E54"/>
    <w:rsid w:val="68733F68"/>
    <w:rsid w:val="687419EA"/>
    <w:rsid w:val="6878383F"/>
    <w:rsid w:val="688B4586"/>
    <w:rsid w:val="689577F2"/>
    <w:rsid w:val="689D1E5A"/>
    <w:rsid w:val="689E1934"/>
    <w:rsid w:val="68A14BFD"/>
    <w:rsid w:val="68A85413"/>
    <w:rsid w:val="68A93693"/>
    <w:rsid w:val="68B910F3"/>
    <w:rsid w:val="68BB3463"/>
    <w:rsid w:val="68C161FA"/>
    <w:rsid w:val="68C5117E"/>
    <w:rsid w:val="68C77CB4"/>
    <w:rsid w:val="68CE1FA1"/>
    <w:rsid w:val="68D40DA5"/>
    <w:rsid w:val="68E25AE7"/>
    <w:rsid w:val="68E8053E"/>
    <w:rsid w:val="68E9524D"/>
    <w:rsid w:val="68ED5B88"/>
    <w:rsid w:val="68EE7F73"/>
    <w:rsid w:val="68F04DF8"/>
    <w:rsid w:val="68F44821"/>
    <w:rsid w:val="68F85A27"/>
    <w:rsid w:val="69016050"/>
    <w:rsid w:val="6902134D"/>
    <w:rsid w:val="690448CD"/>
    <w:rsid w:val="690C1F68"/>
    <w:rsid w:val="690D21E3"/>
    <w:rsid w:val="69117181"/>
    <w:rsid w:val="69151573"/>
    <w:rsid w:val="691E189E"/>
    <w:rsid w:val="69232A11"/>
    <w:rsid w:val="692D5EA0"/>
    <w:rsid w:val="69362744"/>
    <w:rsid w:val="693E5A9D"/>
    <w:rsid w:val="6941031D"/>
    <w:rsid w:val="694330B3"/>
    <w:rsid w:val="694B643F"/>
    <w:rsid w:val="694B64C3"/>
    <w:rsid w:val="69564B94"/>
    <w:rsid w:val="695D23C7"/>
    <w:rsid w:val="69642A9C"/>
    <w:rsid w:val="6971770E"/>
    <w:rsid w:val="6972190C"/>
    <w:rsid w:val="69792A15"/>
    <w:rsid w:val="697A5E6D"/>
    <w:rsid w:val="69890F67"/>
    <w:rsid w:val="698A2D58"/>
    <w:rsid w:val="698E0F2F"/>
    <w:rsid w:val="69A04061"/>
    <w:rsid w:val="69A47B5D"/>
    <w:rsid w:val="69B30CE2"/>
    <w:rsid w:val="69B938C9"/>
    <w:rsid w:val="69C06ED9"/>
    <w:rsid w:val="69D447B5"/>
    <w:rsid w:val="69D63E1E"/>
    <w:rsid w:val="69DA3A17"/>
    <w:rsid w:val="69E55F18"/>
    <w:rsid w:val="69EC72A7"/>
    <w:rsid w:val="69FC398E"/>
    <w:rsid w:val="6A1074E0"/>
    <w:rsid w:val="6A132F7A"/>
    <w:rsid w:val="6A18009C"/>
    <w:rsid w:val="6A184540"/>
    <w:rsid w:val="6A1B047E"/>
    <w:rsid w:val="6A1F4818"/>
    <w:rsid w:val="6A1F4CFD"/>
    <w:rsid w:val="6A2904FB"/>
    <w:rsid w:val="6A2E78BF"/>
    <w:rsid w:val="6A314603"/>
    <w:rsid w:val="6A603E68"/>
    <w:rsid w:val="6A644718"/>
    <w:rsid w:val="6A647785"/>
    <w:rsid w:val="6A740236"/>
    <w:rsid w:val="6A763739"/>
    <w:rsid w:val="6A7774B8"/>
    <w:rsid w:val="6A7A6FA8"/>
    <w:rsid w:val="6A86594D"/>
    <w:rsid w:val="6A8A71EB"/>
    <w:rsid w:val="6A8E65B0"/>
    <w:rsid w:val="6A9029FB"/>
    <w:rsid w:val="6A927E4E"/>
    <w:rsid w:val="6A953FED"/>
    <w:rsid w:val="6A9823D0"/>
    <w:rsid w:val="6A991E62"/>
    <w:rsid w:val="6AA54025"/>
    <w:rsid w:val="6AA648FD"/>
    <w:rsid w:val="6AAE1F1C"/>
    <w:rsid w:val="6AB17F2A"/>
    <w:rsid w:val="6AB50AF4"/>
    <w:rsid w:val="6ABA028C"/>
    <w:rsid w:val="6AC344AB"/>
    <w:rsid w:val="6AC63F9C"/>
    <w:rsid w:val="6AC83804"/>
    <w:rsid w:val="6ACB382B"/>
    <w:rsid w:val="6AD13234"/>
    <w:rsid w:val="6ADA2312"/>
    <w:rsid w:val="6ADB6643"/>
    <w:rsid w:val="6AE9242C"/>
    <w:rsid w:val="6AEB46CF"/>
    <w:rsid w:val="6AF01018"/>
    <w:rsid w:val="6AF15C9A"/>
    <w:rsid w:val="6AFD56FB"/>
    <w:rsid w:val="6B0074AE"/>
    <w:rsid w:val="6B052D89"/>
    <w:rsid w:val="6B075088"/>
    <w:rsid w:val="6B08141A"/>
    <w:rsid w:val="6B090F1F"/>
    <w:rsid w:val="6B0A4E0E"/>
    <w:rsid w:val="6B0A61AB"/>
    <w:rsid w:val="6B0C030D"/>
    <w:rsid w:val="6B1900DD"/>
    <w:rsid w:val="6B1958C5"/>
    <w:rsid w:val="6B2129A4"/>
    <w:rsid w:val="6B221BF5"/>
    <w:rsid w:val="6B2B172F"/>
    <w:rsid w:val="6B32518D"/>
    <w:rsid w:val="6B3A6CFA"/>
    <w:rsid w:val="6B410883"/>
    <w:rsid w:val="6B424E38"/>
    <w:rsid w:val="6B480CD5"/>
    <w:rsid w:val="6B4A0729"/>
    <w:rsid w:val="6B4F5D3F"/>
    <w:rsid w:val="6B542A67"/>
    <w:rsid w:val="6B542B37"/>
    <w:rsid w:val="6B581098"/>
    <w:rsid w:val="6B5862AA"/>
    <w:rsid w:val="6B67752D"/>
    <w:rsid w:val="6B6D2669"/>
    <w:rsid w:val="6B6F17F0"/>
    <w:rsid w:val="6B6F5ECF"/>
    <w:rsid w:val="6B7032FB"/>
    <w:rsid w:val="6B7265D9"/>
    <w:rsid w:val="6B767D8A"/>
    <w:rsid w:val="6B87372B"/>
    <w:rsid w:val="6B885A26"/>
    <w:rsid w:val="6B9549DE"/>
    <w:rsid w:val="6B9E5162"/>
    <w:rsid w:val="6BA12FD3"/>
    <w:rsid w:val="6BA50383"/>
    <w:rsid w:val="6BAE09D9"/>
    <w:rsid w:val="6BAF3408"/>
    <w:rsid w:val="6BAF67DE"/>
    <w:rsid w:val="6BC93D43"/>
    <w:rsid w:val="6BDB3A77"/>
    <w:rsid w:val="6BE04F09"/>
    <w:rsid w:val="6BE168CF"/>
    <w:rsid w:val="6BE4292B"/>
    <w:rsid w:val="6BEA3CBA"/>
    <w:rsid w:val="6BEB1F0C"/>
    <w:rsid w:val="6BF007F2"/>
    <w:rsid w:val="6BF6173A"/>
    <w:rsid w:val="6BF90442"/>
    <w:rsid w:val="6BFB17B6"/>
    <w:rsid w:val="6BFD22BB"/>
    <w:rsid w:val="6C022EBF"/>
    <w:rsid w:val="6C122B9A"/>
    <w:rsid w:val="6C174566"/>
    <w:rsid w:val="6C1C72EC"/>
    <w:rsid w:val="6C1D7BEB"/>
    <w:rsid w:val="6C2E1DF8"/>
    <w:rsid w:val="6C315445"/>
    <w:rsid w:val="6C33691E"/>
    <w:rsid w:val="6C442A2F"/>
    <w:rsid w:val="6C4E15D0"/>
    <w:rsid w:val="6C53185F"/>
    <w:rsid w:val="6C562949"/>
    <w:rsid w:val="6C563C74"/>
    <w:rsid w:val="6C5A7006"/>
    <w:rsid w:val="6C677F61"/>
    <w:rsid w:val="6C6C167D"/>
    <w:rsid w:val="6C6D0B4B"/>
    <w:rsid w:val="6C6E0447"/>
    <w:rsid w:val="6C703D71"/>
    <w:rsid w:val="6C7331DC"/>
    <w:rsid w:val="6C74577D"/>
    <w:rsid w:val="6C7A3290"/>
    <w:rsid w:val="6C7B036F"/>
    <w:rsid w:val="6C81461E"/>
    <w:rsid w:val="6C823ED5"/>
    <w:rsid w:val="6C8A5269"/>
    <w:rsid w:val="6C8D4D71"/>
    <w:rsid w:val="6C8E6D3B"/>
    <w:rsid w:val="6C900967"/>
    <w:rsid w:val="6C9A748E"/>
    <w:rsid w:val="6CA2194B"/>
    <w:rsid w:val="6CA55F4C"/>
    <w:rsid w:val="6CA5790A"/>
    <w:rsid w:val="6CA76937"/>
    <w:rsid w:val="6CA93A1E"/>
    <w:rsid w:val="6CAF118B"/>
    <w:rsid w:val="6CB066E8"/>
    <w:rsid w:val="6CB27BDA"/>
    <w:rsid w:val="6CBA18DE"/>
    <w:rsid w:val="6CC0190E"/>
    <w:rsid w:val="6CC62031"/>
    <w:rsid w:val="6CC71984"/>
    <w:rsid w:val="6CCD33BF"/>
    <w:rsid w:val="6CD14697"/>
    <w:rsid w:val="6CD72490"/>
    <w:rsid w:val="6CDF4E2C"/>
    <w:rsid w:val="6CE10C19"/>
    <w:rsid w:val="6CE16E6B"/>
    <w:rsid w:val="6CE3015F"/>
    <w:rsid w:val="6CEB5F3B"/>
    <w:rsid w:val="6CF44DF0"/>
    <w:rsid w:val="6CF92406"/>
    <w:rsid w:val="6CFE1E5E"/>
    <w:rsid w:val="6CFE4846"/>
    <w:rsid w:val="6CFF3E99"/>
    <w:rsid w:val="6D050583"/>
    <w:rsid w:val="6D21195D"/>
    <w:rsid w:val="6D27607B"/>
    <w:rsid w:val="6D297E01"/>
    <w:rsid w:val="6D34343E"/>
    <w:rsid w:val="6D346119"/>
    <w:rsid w:val="6D371368"/>
    <w:rsid w:val="6D396CA7"/>
    <w:rsid w:val="6D4318D3"/>
    <w:rsid w:val="6D4A40F5"/>
    <w:rsid w:val="6D51376B"/>
    <w:rsid w:val="6D513FF0"/>
    <w:rsid w:val="6D5B375C"/>
    <w:rsid w:val="6D624BDE"/>
    <w:rsid w:val="6D652199"/>
    <w:rsid w:val="6D6A6148"/>
    <w:rsid w:val="6D6F2689"/>
    <w:rsid w:val="6D6F3286"/>
    <w:rsid w:val="6D7332EA"/>
    <w:rsid w:val="6D7669D4"/>
    <w:rsid w:val="6D7C476A"/>
    <w:rsid w:val="6D876313"/>
    <w:rsid w:val="6D8E4035"/>
    <w:rsid w:val="6D9F574D"/>
    <w:rsid w:val="6DA246DE"/>
    <w:rsid w:val="6DA50B2E"/>
    <w:rsid w:val="6DA700B4"/>
    <w:rsid w:val="6DAF51BB"/>
    <w:rsid w:val="6DB225B5"/>
    <w:rsid w:val="6DCA149F"/>
    <w:rsid w:val="6DCA3DA3"/>
    <w:rsid w:val="6DCA6EC4"/>
    <w:rsid w:val="6DD21C36"/>
    <w:rsid w:val="6DD56C28"/>
    <w:rsid w:val="6DD864C0"/>
    <w:rsid w:val="6DD93FE6"/>
    <w:rsid w:val="6DE022AF"/>
    <w:rsid w:val="6DE74432"/>
    <w:rsid w:val="6DF2085E"/>
    <w:rsid w:val="6DF32B48"/>
    <w:rsid w:val="6DF332FA"/>
    <w:rsid w:val="6DFB3861"/>
    <w:rsid w:val="6E015277"/>
    <w:rsid w:val="6E0F771C"/>
    <w:rsid w:val="6E106662"/>
    <w:rsid w:val="6E113780"/>
    <w:rsid w:val="6E131E9C"/>
    <w:rsid w:val="6E166F6D"/>
    <w:rsid w:val="6E173FE7"/>
    <w:rsid w:val="6E217E67"/>
    <w:rsid w:val="6E274142"/>
    <w:rsid w:val="6E2A4841"/>
    <w:rsid w:val="6E331948"/>
    <w:rsid w:val="6E3743BB"/>
    <w:rsid w:val="6E3766E2"/>
    <w:rsid w:val="6E3A2E32"/>
    <w:rsid w:val="6E4137A9"/>
    <w:rsid w:val="6E455104"/>
    <w:rsid w:val="6E562226"/>
    <w:rsid w:val="6E5F193D"/>
    <w:rsid w:val="6E610192"/>
    <w:rsid w:val="6E694CD0"/>
    <w:rsid w:val="6E751F61"/>
    <w:rsid w:val="6E787E2C"/>
    <w:rsid w:val="6E8A73B8"/>
    <w:rsid w:val="6E8B3532"/>
    <w:rsid w:val="6E8D04CC"/>
    <w:rsid w:val="6E9042DA"/>
    <w:rsid w:val="6EA97E5C"/>
    <w:rsid w:val="6EAD16FA"/>
    <w:rsid w:val="6EAD3BE3"/>
    <w:rsid w:val="6EB02F99"/>
    <w:rsid w:val="6EB61FD2"/>
    <w:rsid w:val="6EBF142E"/>
    <w:rsid w:val="6ECB7DD2"/>
    <w:rsid w:val="6ECC6D07"/>
    <w:rsid w:val="6ED30A35"/>
    <w:rsid w:val="6EE3336E"/>
    <w:rsid w:val="6EE70791"/>
    <w:rsid w:val="6EE748F6"/>
    <w:rsid w:val="6EEB0061"/>
    <w:rsid w:val="6EEB413D"/>
    <w:rsid w:val="6EEE3AC1"/>
    <w:rsid w:val="6EEF3F4A"/>
    <w:rsid w:val="6EF035CF"/>
    <w:rsid w:val="6F0D3F47"/>
    <w:rsid w:val="6F110CFC"/>
    <w:rsid w:val="6F1451B1"/>
    <w:rsid w:val="6F1572A0"/>
    <w:rsid w:val="6F1E43A6"/>
    <w:rsid w:val="6F1F2265"/>
    <w:rsid w:val="6F280D81"/>
    <w:rsid w:val="6F2D1D6A"/>
    <w:rsid w:val="6F2F0361"/>
    <w:rsid w:val="6F3B0591"/>
    <w:rsid w:val="6F3F60CB"/>
    <w:rsid w:val="6F411E43"/>
    <w:rsid w:val="6F441960"/>
    <w:rsid w:val="6F465B3B"/>
    <w:rsid w:val="6F4B75E3"/>
    <w:rsid w:val="6F542073"/>
    <w:rsid w:val="6F5E6145"/>
    <w:rsid w:val="6F5F48D0"/>
    <w:rsid w:val="6F60676D"/>
    <w:rsid w:val="6F7779BF"/>
    <w:rsid w:val="6F7B5355"/>
    <w:rsid w:val="6F7D2D33"/>
    <w:rsid w:val="6F8B6905"/>
    <w:rsid w:val="6F9E7295"/>
    <w:rsid w:val="6FAD1747"/>
    <w:rsid w:val="6FB03B52"/>
    <w:rsid w:val="6FB8008F"/>
    <w:rsid w:val="6FC54822"/>
    <w:rsid w:val="6FC84312"/>
    <w:rsid w:val="6FCF56A0"/>
    <w:rsid w:val="6FCF763E"/>
    <w:rsid w:val="6FD343AC"/>
    <w:rsid w:val="6FD72858"/>
    <w:rsid w:val="6FDA1D57"/>
    <w:rsid w:val="6FE0321B"/>
    <w:rsid w:val="6FE12E9B"/>
    <w:rsid w:val="6FE939E1"/>
    <w:rsid w:val="6FED3D79"/>
    <w:rsid w:val="6FF60DA8"/>
    <w:rsid w:val="6FF623E6"/>
    <w:rsid w:val="700418B8"/>
    <w:rsid w:val="7007308C"/>
    <w:rsid w:val="700A125A"/>
    <w:rsid w:val="700B1AE0"/>
    <w:rsid w:val="70117A67"/>
    <w:rsid w:val="70174859"/>
    <w:rsid w:val="70186FAB"/>
    <w:rsid w:val="70190636"/>
    <w:rsid w:val="701A4AF9"/>
    <w:rsid w:val="701B2B7C"/>
    <w:rsid w:val="701D56A9"/>
    <w:rsid w:val="701D7A25"/>
    <w:rsid w:val="70216380"/>
    <w:rsid w:val="70265F2A"/>
    <w:rsid w:val="703A6FBE"/>
    <w:rsid w:val="703E6382"/>
    <w:rsid w:val="704716DB"/>
    <w:rsid w:val="70480FAF"/>
    <w:rsid w:val="704C7AAF"/>
    <w:rsid w:val="704F7AC0"/>
    <w:rsid w:val="70590415"/>
    <w:rsid w:val="70593DDE"/>
    <w:rsid w:val="7064228D"/>
    <w:rsid w:val="70666005"/>
    <w:rsid w:val="70673B2B"/>
    <w:rsid w:val="706B361B"/>
    <w:rsid w:val="706D7E9A"/>
    <w:rsid w:val="706D7F87"/>
    <w:rsid w:val="707353C5"/>
    <w:rsid w:val="70763D6E"/>
    <w:rsid w:val="70767A53"/>
    <w:rsid w:val="707E242F"/>
    <w:rsid w:val="708D2123"/>
    <w:rsid w:val="70974410"/>
    <w:rsid w:val="709C3E73"/>
    <w:rsid w:val="70A64653"/>
    <w:rsid w:val="70AC7790"/>
    <w:rsid w:val="70C61622"/>
    <w:rsid w:val="70C951A3"/>
    <w:rsid w:val="70CA2E18"/>
    <w:rsid w:val="70CE3BAA"/>
    <w:rsid w:val="70DD5B9B"/>
    <w:rsid w:val="70E64BED"/>
    <w:rsid w:val="70EF1BD4"/>
    <w:rsid w:val="70F3576F"/>
    <w:rsid w:val="70F3716D"/>
    <w:rsid w:val="70FA1AA8"/>
    <w:rsid w:val="7101188A"/>
    <w:rsid w:val="71080479"/>
    <w:rsid w:val="710B6BAC"/>
    <w:rsid w:val="710D6FC3"/>
    <w:rsid w:val="71123A97"/>
    <w:rsid w:val="71145A61"/>
    <w:rsid w:val="712676ED"/>
    <w:rsid w:val="712E4649"/>
    <w:rsid w:val="712E63F7"/>
    <w:rsid w:val="71321543"/>
    <w:rsid w:val="713D0D66"/>
    <w:rsid w:val="713E3AAF"/>
    <w:rsid w:val="71492F22"/>
    <w:rsid w:val="714B6FA9"/>
    <w:rsid w:val="7152561A"/>
    <w:rsid w:val="715E6F0F"/>
    <w:rsid w:val="716D6B75"/>
    <w:rsid w:val="7178039E"/>
    <w:rsid w:val="717E2EDA"/>
    <w:rsid w:val="718335FD"/>
    <w:rsid w:val="718A5D23"/>
    <w:rsid w:val="718D4B40"/>
    <w:rsid w:val="718D5813"/>
    <w:rsid w:val="71A843FB"/>
    <w:rsid w:val="71B9523D"/>
    <w:rsid w:val="71B953FC"/>
    <w:rsid w:val="71C55FD5"/>
    <w:rsid w:val="71D310CC"/>
    <w:rsid w:val="71DC2E41"/>
    <w:rsid w:val="71DD47AE"/>
    <w:rsid w:val="71E116BB"/>
    <w:rsid w:val="71F91C6E"/>
    <w:rsid w:val="71FA6D8D"/>
    <w:rsid w:val="71FB452B"/>
    <w:rsid w:val="71FB5F9D"/>
    <w:rsid w:val="72035AD5"/>
    <w:rsid w:val="720A7322"/>
    <w:rsid w:val="721101F2"/>
    <w:rsid w:val="721E0D9B"/>
    <w:rsid w:val="72227D09"/>
    <w:rsid w:val="72231CD3"/>
    <w:rsid w:val="722411BD"/>
    <w:rsid w:val="72247F25"/>
    <w:rsid w:val="72267458"/>
    <w:rsid w:val="72275320"/>
    <w:rsid w:val="723848C6"/>
    <w:rsid w:val="725A7892"/>
    <w:rsid w:val="725B321B"/>
    <w:rsid w:val="725D03F8"/>
    <w:rsid w:val="72620A4E"/>
    <w:rsid w:val="72646574"/>
    <w:rsid w:val="72652BB9"/>
    <w:rsid w:val="727979CE"/>
    <w:rsid w:val="727A1EEA"/>
    <w:rsid w:val="728743F3"/>
    <w:rsid w:val="72975557"/>
    <w:rsid w:val="729D6597"/>
    <w:rsid w:val="729E0B1A"/>
    <w:rsid w:val="72A26AED"/>
    <w:rsid w:val="72AE7772"/>
    <w:rsid w:val="72B312A9"/>
    <w:rsid w:val="72B34E05"/>
    <w:rsid w:val="72B50B7E"/>
    <w:rsid w:val="72C214EC"/>
    <w:rsid w:val="72CF312B"/>
    <w:rsid w:val="72D87743"/>
    <w:rsid w:val="72DA6836"/>
    <w:rsid w:val="72E62EE4"/>
    <w:rsid w:val="72EB670B"/>
    <w:rsid w:val="72F21524"/>
    <w:rsid w:val="72F94C9B"/>
    <w:rsid w:val="72FB055A"/>
    <w:rsid w:val="73035041"/>
    <w:rsid w:val="730700BC"/>
    <w:rsid w:val="7309711B"/>
    <w:rsid w:val="73232D00"/>
    <w:rsid w:val="732600AB"/>
    <w:rsid w:val="732706FC"/>
    <w:rsid w:val="732A31CF"/>
    <w:rsid w:val="732B7092"/>
    <w:rsid w:val="73397A01"/>
    <w:rsid w:val="73496EC1"/>
    <w:rsid w:val="734E4B2E"/>
    <w:rsid w:val="73557ED4"/>
    <w:rsid w:val="73593BFF"/>
    <w:rsid w:val="736425A4"/>
    <w:rsid w:val="736A74CA"/>
    <w:rsid w:val="736D6C6F"/>
    <w:rsid w:val="7376194C"/>
    <w:rsid w:val="7379774F"/>
    <w:rsid w:val="737B5F85"/>
    <w:rsid w:val="737E150A"/>
    <w:rsid w:val="737E18B7"/>
    <w:rsid w:val="738D2920"/>
    <w:rsid w:val="73905147"/>
    <w:rsid w:val="73952F0E"/>
    <w:rsid w:val="73974727"/>
    <w:rsid w:val="73B2707D"/>
    <w:rsid w:val="73B54BAD"/>
    <w:rsid w:val="73C92407"/>
    <w:rsid w:val="73CD1966"/>
    <w:rsid w:val="73CE12B4"/>
    <w:rsid w:val="73DA4614"/>
    <w:rsid w:val="73E07E7C"/>
    <w:rsid w:val="73E477F0"/>
    <w:rsid w:val="73E57241"/>
    <w:rsid w:val="73E956FB"/>
    <w:rsid w:val="73F040A4"/>
    <w:rsid w:val="73F3329E"/>
    <w:rsid w:val="73FE1D5E"/>
    <w:rsid w:val="740A3956"/>
    <w:rsid w:val="741158C7"/>
    <w:rsid w:val="741B2910"/>
    <w:rsid w:val="741E09A4"/>
    <w:rsid w:val="74225B25"/>
    <w:rsid w:val="74227969"/>
    <w:rsid w:val="74250203"/>
    <w:rsid w:val="7431692A"/>
    <w:rsid w:val="74341F76"/>
    <w:rsid w:val="743A6814"/>
    <w:rsid w:val="743B1556"/>
    <w:rsid w:val="743D687C"/>
    <w:rsid w:val="74493C73"/>
    <w:rsid w:val="744A76C8"/>
    <w:rsid w:val="74551CC7"/>
    <w:rsid w:val="745F3B1C"/>
    <w:rsid w:val="746835E5"/>
    <w:rsid w:val="746F3893"/>
    <w:rsid w:val="7471689A"/>
    <w:rsid w:val="74732A9E"/>
    <w:rsid w:val="74793E2D"/>
    <w:rsid w:val="747B1F6E"/>
    <w:rsid w:val="747C28D6"/>
    <w:rsid w:val="74852248"/>
    <w:rsid w:val="748A7DE8"/>
    <w:rsid w:val="749501D4"/>
    <w:rsid w:val="74971B2F"/>
    <w:rsid w:val="749D4702"/>
    <w:rsid w:val="74A01FC9"/>
    <w:rsid w:val="74A46EFD"/>
    <w:rsid w:val="74B24C40"/>
    <w:rsid w:val="74B87E4D"/>
    <w:rsid w:val="74D21692"/>
    <w:rsid w:val="74D220CF"/>
    <w:rsid w:val="74D84EAB"/>
    <w:rsid w:val="74D909B8"/>
    <w:rsid w:val="74E06006"/>
    <w:rsid w:val="74E4699E"/>
    <w:rsid w:val="74EB2236"/>
    <w:rsid w:val="74EF65B0"/>
    <w:rsid w:val="74F040EF"/>
    <w:rsid w:val="74F6660F"/>
    <w:rsid w:val="74F72EF3"/>
    <w:rsid w:val="74F76369"/>
    <w:rsid w:val="74F82F47"/>
    <w:rsid w:val="74FE0377"/>
    <w:rsid w:val="7501454E"/>
    <w:rsid w:val="75045DEC"/>
    <w:rsid w:val="750E6B1C"/>
    <w:rsid w:val="751111C4"/>
    <w:rsid w:val="75115F2C"/>
    <w:rsid w:val="75161E3B"/>
    <w:rsid w:val="751A73BE"/>
    <w:rsid w:val="751A74A1"/>
    <w:rsid w:val="7525484C"/>
    <w:rsid w:val="75306A24"/>
    <w:rsid w:val="753747F2"/>
    <w:rsid w:val="753B6B7F"/>
    <w:rsid w:val="753C438E"/>
    <w:rsid w:val="753F0BD2"/>
    <w:rsid w:val="7541697D"/>
    <w:rsid w:val="754B7577"/>
    <w:rsid w:val="754E7067"/>
    <w:rsid w:val="754F24C6"/>
    <w:rsid w:val="755A49B9"/>
    <w:rsid w:val="75636EF2"/>
    <w:rsid w:val="756A5430"/>
    <w:rsid w:val="756B5C21"/>
    <w:rsid w:val="756B7DCA"/>
    <w:rsid w:val="75704911"/>
    <w:rsid w:val="75706FDE"/>
    <w:rsid w:val="75714EAB"/>
    <w:rsid w:val="75767FF7"/>
    <w:rsid w:val="757A34CC"/>
    <w:rsid w:val="757C3BD5"/>
    <w:rsid w:val="758002E5"/>
    <w:rsid w:val="75806055"/>
    <w:rsid w:val="75862997"/>
    <w:rsid w:val="758F7BB5"/>
    <w:rsid w:val="75923710"/>
    <w:rsid w:val="75956274"/>
    <w:rsid w:val="75956A44"/>
    <w:rsid w:val="759E1BFC"/>
    <w:rsid w:val="759F14C1"/>
    <w:rsid w:val="759F7159"/>
    <w:rsid w:val="75A00231"/>
    <w:rsid w:val="75A82C1C"/>
    <w:rsid w:val="75B90985"/>
    <w:rsid w:val="75C60440"/>
    <w:rsid w:val="75CA695F"/>
    <w:rsid w:val="75D16198"/>
    <w:rsid w:val="75D73501"/>
    <w:rsid w:val="75DB7710"/>
    <w:rsid w:val="75E9473F"/>
    <w:rsid w:val="75EB48B6"/>
    <w:rsid w:val="75EB571E"/>
    <w:rsid w:val="75EC3B9E"/>
    <w:rsid w:val="75EF25F8"/>
    <w:rsid w:val="75F01D28"/>
    <w:rsid w:val="760137CF"/>
    <w:rsid w:val="760C7401"/>
    <w:rsid w:val="760E2D18"/>
    <w:rsid w:val="761323C6"/>
    <w:rsid w:val="76154D29"/>
    <w:rsid w:val="76157C7D"/>
    <w:rsid w:val="7623614A"/>
    <w:rsid w:val="7627273C"/>
    <w:rsid w:val="76272B2A"/>
    <w:rsid w:val="76276E68"/>
    <w:rsid w:val="762A53DF"/>
    <w:rsid w:val="762D4ECF"/>
    <w:rsid w:val="76310DA3"/>
    <w:rsid w:val="763169E0"/>
    <w:rsid w:val="764C053F"/>
    <w:rsid w:val="765B2492"/>
    <w:rsid w:val="765E7D1E"/>
    <w:rsid w:val="76622145"/>
    <w:rsid w:val="76641E67"/>
    <w:rsid w:val="766534AD"/>
    <w:rsid w:val="7668755F"/>
    <w:rsid w:val="76692F8F"/>
    <w:rsid w:val="766B41BF"/>
    <w:rsid w:val="7676624D"/>
    <w:rsid w:val="7679515F"/>
    <w:rsid w:val="767D243D"/>
    <w:rsid w:val="767F7CDF"/>
    <w:rsid w:val="76856AB9"/>
    <w:rsid w:val="768840F2"/>
    <w:rsid w:val="76974B9D"/>
    <w:rsid w:val="76982343"/>
    <w:rsid w:val="76AC04E9"/>
    <w:rsid w:val="76AD5674"/>
    <w:rsid w:val="76B61368"/>
    <w:rsid w:val="76BB24DB"/>
    <w:rsid w:val="76C20A59"/>
    <w:rsid w:val="76C543E8"/>
    <w:rsid w:val="76CA63C9"/>
    <w:rsid w:val="76D46C00"/>
    <w:rsid w:val="76D51CA6"/>
    <w:rsid w:val="76F23FB2"/>
    <w:rsid w:val="76F50B26"/>
    <w:rsid w:val="76F93E19"/>
    <w:rsid w:val="77071BC4"/>
    <w:rsid w:val="770C2286"/>
    <w:rsid w:val="770C71DA"/>
    <w:rsid w:val="77161E07"/>
    <w:rsid w:val="77194799"/>
    <w:rsid w:val="771B45CC"/>
    <w:rsid w:val="77242776"/>
    <w:rsid w:val="772C162A"/>
    <w:rsid w:val="77307786"/>
    <w:rsid w:val="77361738"/>
    <w:rsid w:val="77463A8F"/>
    <w:rsid w:val="774826D8"/>
    <w:rsid w:val="774C59E5"/>
    <w:rsid w:val="77540DA8"/>
    <w:rsid w:val="77616D8E"/>
    <w:rsid w:val="776668EA"/>
    <w:rsid w:val="776844BE"/>
    <w:rsid w:val="7769172D"/>
    <w:rsid w:val="776963DA"/>
    <w:rsid w:val="776A2977"/>
    <w:rsid w:val="776B08C5"/>
    <w:rsid w:val="776E1C43"/>
    <w:rsid w:val="777F175A"/>
    <w:rsid w:val="778F33BE"/>
    <w:rsid w:val="77903967"/>
    <w:rsid w:val="77905715"/>
    <w:rsid w:val="7797613B"/>
    <w:rsid w:val="779A6594"/>
    <w:rsid w:val="77AE0291"/>
    <w:rsid w:val="77B06503"/>
    <w:rsid w:val="77B07B65"/>
    <w:rsid w:val="77B238DE"/>
    <w:rsid w:val="77B358A8"/>
    <w:rsid w:val="77BF5FFA"/>
    <w:rsid w:val="77C17C2C"/>
    <w:rsid w:val="77C70B12"/>
    <w:rsid w:val="77C91317"/>
    <w:rsid w:val="77CA50CB"/>
    <w:rsid w:val="77CF01C2"/>
    <w:rsid w:val="77D364DD"/>
    <w:rsid w:val="77D777E8"/>
    <w:rsid w:val="77D9530E"/>
    <w:rsid w:val="77DD1558"/>
    <w:rsid w:val="77E05E39"/>
    <w:rsid w:val="77E27799"/>
    <w:rsid w:val="77EA2218"/>
    <w:rsid w:val="77EC30D7"/>
    <w:rsid w:val="77EF2BD0"/>
    <w:rsid w:val="77F9747F"/>
    <w:rsid w:val="7800275F"/>
    <w:rsid w:val="78023D57"/>
    <w:rsid w:val="7808174F"/>
    <w:rsid w:val="78220405"/>
    <w:rsid w:val="782B18E2"/>
    <w:rsid w:val="782C26F1"/>
    <w:rsid w:val="783F0342"/>
    <w:rsid w:val="783F09AA"/>
    <w:rsid w:val="78412EB3"/>
    <w:rsid w:val="784529A4"/>
    <w:rsid w:val="784A620C"/>
    <w:rsid w:val="784B5AE0"/>
    <w:rsid w:val="785F2D80"/>
    <w:rsid w:val="787A2D18"/>
    <w:rsid w:val="787B1EB9"/>
    <w:rsid w:val="78864B2F"/>
    <w:rsid w:val="788C05D2"/>
    <w:rsid w:val="788D379C"/>
    <w:rsid w:val="788F3532"/>
    <w:rsid w:val="78973A97"/>
    <w:rsid w:val="789C63B5"/>
    <w:rsid w:val="789F4F72"/>
    <w:rsid w:val="78A551F0"/>
    <w:rsid w:val="78AA6CAB"/>
    <w:rsid w:val="78AC311D"/>
    <w:rsid w:val="78AF1577"/>
    <w:rsid w:val="78BF4EFE"/>
    <w:rsid w:val="78C728B3"/>
    <w:rsid w:val="78C95DB6"/>
    <w:rsid w:val="78D131C3"/>
    <w:rsid w:val="78D15FE5"/>
    <w:rsid w:val="78D750CC"/>
    <w:rsid w:val="78DE0702"/>
    <w:rsid w:val="78F10436"/>
    <w:rsid w:val="78F37635"/>
    <w:rsid w:val="78F67688"/>
    <w:rsid w:val="78FB5320"/>
    <w:rsid w:val="7905512B"/>
    <w:rsid w:val="790D75E6"/>
    <w:rsid w:val="791365FE"/>
    <w:rsid w:val="79162863"/>
    <w:rsid w:val="79184AFB"/>
    <w:rsid w:val="79222CE5"/>
    <w:rsid w:val="79251513"/>
    <w:rsid w:val="792D0059"/>
    <w:rsid w:val="79341734"/>
    <w:rsid w:val="793741EC"/>
    <w:rsid w:val="793763EA"/>
    <w:rsid w:val="79384883"/>
    <w:rsid w:val="79395171"/>
    <w:rsid w:val="793B5B55"/>
    <w:rsid w:val="793B7B7B"/>
    <w:rsid w:val="793D7B1F"/>
    <w:rsid w:val="79427FFF"/>
    <w:rsid w:val="794D63A0"/>
    <w:rsid w:val="79551857"/>
    <w:rsid w:val="796B6B52"/>
    <w:rsid w:val="79724177"/>
    <w:rsid w:val="797E7441"/>
    <w:rsid w:val="797F5A41"/>
    <w:rsid w:val="79836B0A"/>
    <w:rsid w:val="79860C21"/>
    <w:rsid w:val="79892971"/>
    <w:rsid w:val="799C1668"/>
    <w:rsid w:val="79A951B4"/>
    <w:rsid w:val="79B85A3F"/>
    <w:rsid w:val="79B95098"/>
    <w:rsid w:val="79BF5FDF"/>
    <w:rsid w:val="79C1634F"/>
    <w:rsid w:val="79C37870"/>
    <w:rsid w:val="79C84C3B"/>
    <w:rsid w:val="79CB7092"/>
    <w:rsid w:val="79D12423"/>
    <w:rsid w:val="79D80789"/>
    <w:rsid w:val="79D97847"/>
    <w:rsid w:val="79DC0512"/>
    <w:rsid w:val="79E0320E"/>
    <w:rsid w:val="79E85D93"/>
    <w:rsid w:val="79EB71A8"/>
    <w:rsid w:val="79EC2A16"/>
    <w:rsid w:val="79F555E1"/>
    <w:rsid w:val="7A0375D0"/>
    <w:rsid w:val="7A055B3E"/>
    <w:rsid w:val="7A0C79FF"/>
    <w:rsid w:val="7A0E4B27"/>
    <w:rsid w:val="7A14063E"/>
    <w:rsid w:val="7A262361"/>
    <w:rsid w:val="7A2A0184"/>
    <w:rsid w:val="7A2B7977"/>
    <w:rsid w:val="7A460C55"/>
    <w:rsid w:val="7A581B30"/>
    <w:rsid w:val="7A596D8D"/>
    <w:rsid w:val="7A5C0D12"/>
    <w:rsid w:val="7A5E5F9F"/>
    <w:rsid w:val="7A610456"/>
    <w:rsid w:val="7A6413DB"/>
    <w:rsid w:val="7A653CE3"/>
    <w:rsid w:val="7A7C1358"/>
    <w:rsid w:val="7A7E7708"/>
    <w:rsid w:val="7A866BA8"/>
    <w:rsid w:val="7A9139AA"/>
    <w:rsid w:val="7A944128"/>
    <w:rsid w:val="7A9B79A7"/>
    <w:rsid w:val="7AA02113"/>
    <w:rsid w:val="7AAC6CD1"/>
    <w:rsid w:val="7AAF5FD7"/>
    <w:rsid w:val="7AB43E11"/>
    <w:rsid w:val="7AB46BDC"/>
    <w:rsid w:val="7ABA21A7"/>
    <w:rsid w:val="7ABF74EC"/>
    <w:rsid w:val="7AC812BC"/>
    <w:rsid w:val="7ACC1A92"/>
    <w:rsid w:val="7AD655A5"/>
    <w:rsid w:val="7AE33905"/>
    <w:rsid w:val="7AEF309B"/>
    <w:rsid w:val="7AF244C2"/>
    <w:rsid w:val="7AF366E7"/>
    <w:rsid w:val="7AF406B1"/>
    <w:rsid w:val="7AFA3A86"/>
    <w:rsid w:val="7AFD53D2"/>
    <w:rsid w:val="7B016CDB"/>
    <w:rsid w:val="7B05466C"/>
    <w:rsid w:val="7B067103"/>
    <w:rsid w:val="7B081A75"/>
    <w:rsid w:val="7B197786"/>
    <w:rsid w:val="7B2C1BF9"/>
    <w:rsid w:val="7B2C2235"/>
    <w:rsid w:val="7B2E4327"/>
    <w:rsid w:val="7B360DCC"/>
    <w:rsid w:val="7B384C36"/>
    <w:rsid w:val="7B3867F0"/>
    <w:rsid w:val="7B3A2568"/>
    <w:rsid w:val="7B4314FF"/>
    <w:rsid w:val="7B4E3859"/>
    <w:rsid w:val="7B537186"/>
    <w:rsid w:val="7B560A24"/>
    <w:rsid w:val="7B5B4B1B"/>
    <w:rsid w:val="7B5E0AEA"/>
    <w:rsid w:val="7B615D46"/>
    <w:rsid w:val="7B682047"/>
    <w:rsid w:val="7B6C46EB"/>
    <w:rsid w:val="7B703190"/>
    <w:rsid w:val="7B865AB3"/>
    <w:rsid w:val="7B89704B"/>
    <w:rsid w:val="7B933561"/>
    <w:rsid w:val="7B963645"/>
    <w:rsid w:val="7BA070E9"/>
    <w:rsid w:val="7BAB6FC2"/>
    <w:rsid w:val="7BB067EC"/>
    <w:rsid w:val="7BB60A53"/>
    <w:rsid w:val="7BBB021E"/>
    <w:rsid w:val="7BBC17FF"/>
    <w:rsid w:val="7BC83ED0"/>
    <w:rsid w:val="7BCB31C0"/>
    <w:rsid w:val="7BD13B3B"/>
    <w:rsid w:val="7BD36518"/>
    <w:rsid w:val="7BD77DB7"/>
    <w:rsid w:val="7BE25922"/>
    <w:rsid w:val="7BE92462"/>
    <w:rsid w:val="7BE92E31"/>
    <w:rsid w:val="7BEC37BA"/>
    <w:rsid w:val="7BF93F15"/>
    <w:rsid w:val="7BFC781D"/>
    <w:rsid w:val="7C021003"/>
    <w:rsid w:val="7C2312F5"/>
    <w:rsid w:val="7C2553D4"/>
    <w:rsid w:val="7C266648"/>
    <w:rsid w:val="7C2D5C29"/>
    <w:rsid w:val="7C352D2F"/>
    <w:rsid w:val="7C404346"/>
    <w:rsid w:val="7C416EDC"/>
    <w:rsid w:val="7C435E42"/>
    <w:rsid w:val="7C4C3055"/>
    <w:rsid w:val="7C4E6217"/>
    <w:rsid w:val="7C507DE7"/>
    <w:rsid w:val="7C556F2D"/>
    <w:rsid w:val="7C594F2F"/>
    <w:rsid w:val="7C6025F9"/>
    <w:rsid w:val="7C646809"/>
    <w:rsid w:val="7C6565A2"/>
    <w:rsid w:val="7C6C173F"/>
    <w:rsid w:val="7C8074DE"/>
    <w:rsid w:val="7C841CEC"/>
    <w:rsid w:val="7C8D4919"/>
    <w:rsid w:val="7C955736"/>
    <w:rsid w:val="7CA0464C"/>
    <w:rsid w:val="7CA120A3"/>
    <w:rsid w:val="7CA44B33"/>
    <w:rsid w:val="7CA70540"/>
    <w:rsid w:val="7CC321BF"/>
    <w:rsid w:val="7CCF6CE0"/>
    <w:rsid w:val="7CD65CF4"/>
    <w:rsid w:val="7CE02C9B"/>
    <w:rsid w:val="7CE34995"/>
    <w:rsid w:val="7CE64029"/>
    <w:rsid w:val="7CE97397"/>
    <w:rsid w:val="7CEA0838"/>
    <w:rsid w:val="7CEF2EDE"/>
    <w:rsid w:val="7CF43F8C"/>
    <w:rsid w:val="7CFB6925"/>
    <w:rsid w:val="7CFE75C5"/>
    <w:rsid w:val="7CFF0D1F"/>
    <w:rsid w:val="7D01398B"/>
    <w:rsid w:val="7D071A3A"/>
    <w:rsid w:val="7D11658A"/>
    <w:rsid w:val="7D163659"/>
    <w:rsid w:val="7D217FDA"/>
    <w:rsid w:val="7D221505"/>
    <w:rsid w:val="7D2221D8"/>
    <w:rsid w:val="7D2569E0"/>
    <w:rsid w:val="7D2E263F"/>
    <w:rsid w:val="7D31799A"/>
    <w:rsid w:val="7D3B4375"/>
    <w:rsid w:val="7D3F5922"/>
    <w:rsid w:val="7D470F6C"/>
    <w:rsid w:val="7D4E40A8"/>
    <w:rsid w:val="7D5208C6"/>
    <w:rsid w:val="7D5272D2"/>
    <w:rsid w:val="7D551F8D"/>
    <w:rsid w:val="7D5B67C5"/>
    <w:rsid w:val="7D620E06"/>
    <w:rsid w:val="7D626205"/>
    <w:rsid w:val="7D6A2F8F"/>
    <w:rsid w:val="7D734EFC"/>
    <w:rsid w:val="7D761FC6"/>
    <w:rsid w:val="7D787377"/>
    <w:rsid w:val="7D7F36F4"/>
    <w:rsid w:val="7D830F78"/>
    <w:rsid w:val="7D851A94"/>
    <w:rsid w:val="7D8717B0"/>
    <w:rsid w:val="7D875780"/>
    <w:rsid w:val="7D8C4CB0"/>
    <w:rsid w:val="7D9537F7"/>
    <w:rsid w:val="7DA71A0B"/>
    <w:rsid w:val="7DA771E9"/>
    <w:rsid w:val="7DA9103A"/>
    <w:rsid w:val="7DA939D5"/>
    <w:rsid w:val="7DB3215D"/>
    <w:rsid w:val="7DB53FE6"/>
    <w:rsid w:val="7DB60250"/>
    <w:rsid w:val="7DBC4D0B"/>
    <w:rsid w:val="7DC10015"/>
    <w:rsid w:val="7DCC68DD"/>
    <w:rsid w:val="7DD035F6"/>
    <w:rsid w:val="7DD81BC4"/>
    <w:rsid w:val="7DEC38C1"/>
    <w:rsid w:val="7E024E93"/>
    <w:rsid w:val="7E040C0B"/>
    <w:rsid w:val="7E0767D9"/>
    <w:rsid w:val="7E2C5A3A"/>
    <w:rsid w:val="7E304914"/>
    <w:rsid w:val="7E33329E"/>
    <w:rsid w:val="7E341161"/>
    <w:rsid w:val="7E3C5B25"/>
    <w:rsid w:val="7E44251B"/>
    <w:rsid w:val="7E4D4360"/>
    <w:rsid w:val="7E4E76F2"/>
    <w:rsid w:val="7E5020A2"/>
    <w:rsid w:val="7E50462D"/>
    <w:rsid w:val="7E504E87"/>
    <w:rsid w:val="7E52407C"/>
    <w:rsid w:val="7E585E70"/>
    <w:rsid w:val="7E725B75"/>
    <w:rsid w:val="7E781B70"/>
    <w:rsid w:val="7E7F64E4"/>
    <w:rsid w:val="7E80688B"/>
    <w:rsid w:val="7E861620"/>
    <w:rsid w:val="7E8835EA"/>
    <w:rsid w:val="7E8A512D"/>
    <w:rsid w:val="7E8F4979"/>
    <w:rsid w:val="7E9A5C41"/>
    <w:rsid w:val="7E9A6830"/>
    <w:rsid w:val="7EA34C53"/>
    <w:rsid w:val="7EAA17B2"/>
    <w:rsid w:val="7EB361E0"/>
    <w:rsid w:val="7EB43299"/>
    <w:rsid w:val="7EBE6704"/>
    <w:rsid w:val="7EC579F1"/>
    <w:rsid w:val="7EC9380E"/>
    <w:rsid w:val="7ED13751"/>
    <w:rsid w:val="7ED14F91"/>
    <w:rsid w:val="7ED607F9"/>
    <w:rsid w:val="7ED71E7C"/>
    <w:rsid w:val="7ED73D79"/>
    <w:rsid w:val="7EDD54BD"/>
    <w:rsid w:val="7EE1361A"/>
    <w:rsid w:val="7EE36A72"/>
    <w:rsid w:val="7EE64CFA"/>
    <w:rsid w:val="7EF16DBA"/>
    <w:rsid w:val="7EFB0260"/>
    <w:rsid w:val="7EFD6BC1"/>
    <w:rsid w:val="7F0621F1"/>
    <w:rsid w:val="7F1029FA"/>
    <w:rsid w:val="7F17671C"/>
    <w:rsid w:val="7F2154E5"/>
    <w:rsid w:val="7F2208B9"/>
    <w:rsid w:val="7F2873FC"/>
    <w:rsid w:val="7F2F2FE2"/>
    <w:rsid w:val="7F36152D"/>
    <w:rsid w:val="7F485C78"/>
    <w:rsid w:val="7F533BF8"/>
    <w:rsid w:val="7F58347D"/>
    <w:rsid w:val="7F6A0F42"/>
    <w:rsid w:val="7F6A2CF0"/>
    <w:rsid w:val="7F737DF6"/>
    <w:rsid w:val="7F7679E7"/>
    <w:rsid w:val="7F861A72"/>
    <w:rsid w:val="7F8A4C13"/>
    <w:rsid w:val="7F9B10FB"/>
    <w:rsid w:val="7F9F6E3D"/>
    <w:rsid w:val="7FA02BB5"/>
    <w:rsid w:val="7FA665D0"/>
    <w:rsid w:val="7FA87469"/>
    <w:rsid w:val="7FAB6EF3"/>
    <w:rsid w:val="7FB36445"/>
    <w:rsid w:val="7FB65F35"/>
    <w:rsid w:val="7FB673BB"/>
    <w:rsid w:val="7FC56178"/>
    <w:rsid w:val="7FD10FC1"/>
    <w:rsid w:val="7FD178C3"/>
    <w:rsid w:val="7FDC1F4A"/>
    <w:rsid w:val="7FE014A4"/>
    <w:rsid w:val="7FE26D2A"/>
    <w:rsid w:val="7FF56A5D"/>
    <w:rsid w:val="7FF7371C"/>
    <w:rsid w:val="7FFA4277"/>
    <w:rsid w:val="7FFF78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97"/>
    <w:qFormat/>
    <w:uiPriority w:val="0"/>
    <w:pPr>
      <w:keepNext/>
      <w:keepLines/>
      <w:pageBreakBefore/>
      <w:spacing w:before="120" w:beforeLines="0" w:after="120" w:afterLines="0"/>
      <w:jc w:val="center"/>
      <w:outlineLvl w:val="0"/>
    </w:pPr>
    <w:rPr>
      <w:rFonts w:eastAsia="方正小标宋_GBK"/>
      <w:b/>
      <w:kern w:val="44"/>
      <w:sz w:val="32"/>
    </w:rPr>
  </w:style>
  <w:style w:type="paragraph" w:styleId="3">
    <w:name w:val="heading 2"/>
    <w:basedOn w:val="1"/>
    <w:next w:val="1"/>
    <w:link w:val="107"/>
    <w:qFormat/>
    <w:uiPriority w:val="0"/>
    <w:pPr>
      <w:keepNext/>
      <w:keepLines/>
      <w:spacing w:line="560" w:lineRule="exact"/>
      <w:ind w:firstLine="200" w:firstLineChars="200"/>
      <w:outlineLvl w:val="1"/>
    </w:pPr>
    <w:rPr>
      <w:rFonts w:ascii="仿宋_GB2312" w:hAnsi="宋体" w:eastAsia="楷体_GB2312"/>
      <w:b/>
      <w:kern w:val="2"/>
      <w:sz w:val="32"/>
      <w:szCs w:val="24"/>
    </w:rPr>
  </w:style>
  <w:style w:type="paragraph" w:styleId="4">
    <w:name w:val="heading 3"/>
    <w:basedOn w:val="1"/>
    <w:next w:val="1"/>
    <w:link w:val="147"/>
    <w:qFormat/>
    <w:uiPriority w:val="0"/>
    <w:pPr>
      <w:keepNext/>
      <w:keepLines/>
      <w:spacing w:line="440" w:lineRule="exact"/>
      <w:ind w:firstLine="510"/>
      <w:outlineLvl w:val="2"/>
    </w:pPr>
    <w:rPr>
      <w:rFonts w:eastAsia="楷体_GB2312"/>
      <w:kern w:val="2"/>
      <w:sz w:val="28"/>
    </w:rPr>
  </w:style>
  <w:style w:type="paragraph" w:styleId="5">
    <w:name w:val="heading 4"/>
    <w:basedOn w:val="1"/>
    <w:next w:val="1"/>
    <w:link w:val="132"/>
    <w:qFormat/>
    <w:uiPriority w:val="0"/>
    <w:pPr>
      <w:keepNext/>
      <w:keepLines/>
      <w:spacing w:before="280" w:beforeLines="0" w:after="290" w:afterLines="0" w:line="376" w:lineRule="auto"/>
      <w:outlineLvl w:val="3"/>
    </w:pPr>
    <w:rPr>
      <w:rFonts w:ascii="Cambria" w:hAnsi="Cambria" w:eastAsia="宋体" w:cs="Times New Roman"/>
      <w:b/>
      <w:bCs/>
      <w:kern w:val="2"/>
      <w:sz w:val="28"/>
      <w:szCs w:val="28"/>
    </w:rPr>
  </w:style>
  <w:style w:type="paragraph" w:styleId="6">
    <w:name w:val="heading 5"/>
    <w:basedOn w:val="1"/>
    <w:next w:val="1"/>
    <w:link w:val="112"/>
    <w:qFormat/>
    <w:uiPriority w:val="0"/>
    <w:pPr>
      <w:keepNext/>
      <w:jc w:val="center"/>
      <w:outlineLvl w:val="4"/>
    </w:pPr>
    <w:rPr>
      <w:rFonts w:ascii="仿宋_GB2312" w:eastAsia="仿宋_GB2312"/>
      <w:b/>
      <w:bCs/>
      <w:kern w:val="2"/>
      <w:sz w:val="24"/>
      <w:lang w:val="en-US" w:eastAsia="zh-CN"/>
    </w:rPr>
  </w:style>
  <w:style w:type="character" w:default="1" w:styleId="33">
    <w:name w:val="Default Paragraph Font"/>
    <w:qFormat/>
    <w:uiPriority w:val="0"/>
  </w:style>
  <w:style w:type="table" w:default="1" w:styleId="31">
    <w:name w:val="Normal Table"/>
    <w:unhideWhenUsed/>
    <w:qFormat/>
    <w:uiPriority w:val="99"/>
    <w:tblPr>
      <w:tblCellMar>
        <w:top w:w="0" w:type="dxa"/>
        <w:left w:w="108" w:type="dxa"/>
        <w:bottom w:w="0" w:type="dxa"/>
        <w:right w:w="108" w:type="dxa"/>
      </w:tblCellMar>
    </w:tblPr>
  </w:style>
  <w:style w:type="paragraph" w:styleId="7">
    <w:name w:val="toc 7"/>
    <w:basedOn w:val="1"/>
    <w:next w:val="1"/>
    <w:qFormat/>
    <w:uiPriority w:val="0"/>
    <w:pPr>
      <w:ind w:left="1260"/>
      <w:jc w:val="left"/>
    </w:pPr>
    <w:rPr>
      <w:rFonts w:ascii="Calibri" w:hAnsi="Calibri"/>
      <w:sz w:val="18"/>
      <w:szCs w:val="18"/>
    </w:rPr>
  </w:style>
  <w:style w:type="paragraph" w:styleId="8">
    <w:name w:val="annotation text"/>
    <w:basedOn w:val="1"/>
    <w:link w:val="84"/>
    <w:qFormat/>
    <w:uiPriority w:val="0"/>
    <w:pPr>
      <w:jc w:val="left"/>
    </w:pPr>
    <w:rPr>
      <w:szCs w:val="24"/>
    </w:rPr>
  </w:style>
  <w:style w:type="paragraph" w:styleId="9">
    <w:name w:val="Body Text"/>
    <w:basedOn w:val="1"/>
    <w:next w:val="10"/>
    <w:link w:val="63"/>
    <w:qFormat/>
    <w:uiPriority w:val="0"/>
    <w:pPr>
      <w:adjustRightInd w:val="0"/>
      <w:spacing w:line="440" w:lineRule="exact"/>
    </w:pPr>
    <w:rPr>
      <w:rFonts w:ascii="宋体" w:hAnsi="宋体" w:eastAsia="宋体"/>
      <w:bCs/>
      <w:color w:val="000000"/>
      <w:kern w:val="2"/>
      <w:sz w:val="24"/>
      <w:lang w:val="en-US" w:eastAsia="zh-CN"/>
    </w:rPr>
  </w:style>
  <w:style w:type="paragraph" w:styleId="10">
    <w:name w:val="Body Text 2"/>
    <w:basedOn w:val="1"/>
    <w:qFormat/>
    <w:uiPriority w:val="99"/>
    <w:rPr>
      <w:rFonts w:ascii="宋体" w:hAnsi="Times New Roman"/>
      <w:kern w:val="0"/>
      <w:sz w:val="20"/>
      <w:szCs w:val="20"/>
    </w:rPr>
  </w:style>
  <w:style w:type="paragraph" w:styleId="11">
    <w:name w:val="Body Text Indent"/>
    <w:basedOn w:val="1"/>
    <w:qFormat/>
    <w:uiPriority w:val="0"/>
    <w:pPr>
      <w:ind w:firstLine="200" w:firstLineChars="200"/>
    </w:pPr>
    <w:rPr>
      <w:rFonts w:ascii="仿宋_GB2312" w:hAnsi="宋体" w:eastAsia="仿宋_GB2312" w:cs="宋体"/>
      <w:sz w:val="28"/>
    </w:rPr>
  </w:style>
  <w:style w:type="paragraph" w:styleId="12">
    <w:name w:val="Block Text"/>
    <w:basedOn w:val="1"/>
    <w:qFormat/>
    <w:uiPriority w:val="0"/>
    <w:pPr>
      <w:spacing w:after="120" w:afterLines="0"/>
      <w:ind w:left="1440" w:leftChars="700" w:right="1440" w:rightChars="700"/>
    </w:pPr>
  </w:style>
  <w:style w:type="paragraph" w:styleId="13">
    <w:name w:val="toc 5"/>
    <w:basedOn w:val="1"/>
    <w:next w:val="1"/>
    <w:qFormat/>
    <w:uiPriority w:val="0"/>
    <w:pPr>
      <w:ind w:left="840"/>
      <w:jc w:val="left"/>
    </w:pPr>
    <w:rPr>
      <w:rFonts w:ascii="Calibri" w:hAnsi="Calibri"/>
      <w:sz w:val="18"/>
      <w:szCs w:val="18"/>
    </w:rPr>
  </w:style>
  <w:style w:type="paragraph" w:styleId="14">
    <w:name w:val="toc 3"/>
    <w:basedOn w:val="1"/>
    <w:next w:val="1"/>
    <w:qFormat/>
    <w:uiPriority w:val="39"/>
    <w:pPr>
      <w:ind w:left="420"/>
      <w:jc w:val="left"/>
    </w:pPr>
    <w:rPr>
      <w:rFonts w:ascii="Calibri" w:hAnsi="Calibri"/>
      <w:i/>
      <w:iCs/>
      <w:sz w:val="20"/>
    </w:rPr>
  </w:style>
  <w:style w:type="paragraph" w:styleId="15">
    <w:name w:val="Plain Text"/>
    <w:basedOn w:val="1"/>
    <w:qFormat/>
    <w:uiPriority w:val="0"/>
    <w:rPr>
      <w:rFonts w:ascii="宋体" w:hAnsi="宋体" w:cs="宋体"/>
      <w:szCs w:val="20"/>
    </w:rPr>
  </w:style>
  <w:style w:type="paragraph" w:styleId="16">
    <w:name w:val="toc 8"/>
    <w:basedOn w:val="1"/>
    <w:next w:val="1"/>
    <w:qFormat/>
    <w:uiPriority w:val="0"/>
    <w:pPr>
      <w:ind w:left="1470"/>
      <w:jc w:val="left"/>
    </w:pPr>
    <w:rPr>
      <w:rFonts w:ascii="Calibri" w:hAnsi="Calibri"/>
      <w:sz w:val="18"/>
      <w:szCs w:val="18"/>
    </w:rPr>
  </w:style>
  <w:style w:type="paragraph" w:styleId="17">
    <w:name w:val="Balloon Text"/>
    <w:basedOn w:val="1"/>
    <w:link w:val="73"/>
    <w:qFormat/>
    <w:uiPriority w:val="0"/>
    <w:rPr>
      <w:rFonts w:eastAsia="宋体"/>
      <w:kern w:val="2"/>
      <w:sz w:val="18"/>
      <w:szCs w:val="18"/>
      <w:lang w:val="en-US" w:eastAsia="zh-CN"/>
    </w:rPr>
  </w:style>
  <w:style w:type="paragraph" w:styleId="18">
    <w:name w:val="footer"/>
    <w:basedOn w:val="1"/>
    <w:link w:val="121"/>
    <w:qFormat/>
    <w:uiPriority w:val="0"/>
    <w:pPr>
      <w:tabs>
        <w:tab w:val="center" w:pos="4153"/>
        <w:tab w:val="right" w:pos="8306"/>
      </w:tabs>
      <w:snapToGrid w:val="0"/>
      <w:jc w:val="left"/>
    </w:pPr>
    <w:rPr>
      <w:rFonts w:eastAsia="宋体"/>
      <w:kern w:val="2"/>
      <w:sz w:val="18"/>
      <w:szCs w:val="18"/>
      <w:lang w:val="en-US" w:eastAsia="zh-CN"/>
    </w:rPr>
  </w:style>
  <w:style w:type="paragraph" w:styleId="19">
    <w:name w:val="header"/>
    <w:basedOn w:val="1"/>
    <w:link w:val="126"/>
    <w:qFormat/>
    <w:uiPriority w:val="0"/>
    <w:pPr>
      <w:pBdr>
        <w:bottom w:val="single" w:color="auto" w:sz="6" w:space="1"/>
      </w:pBdr>
      <w:tabs>
        <w:tab w:val="center" w:pos="4153"/>
        <w:tab w:val="right" w:pos="8306"/>
      </w:tabs>
      <w:snapToGrid w:val="0"/>
      <w:jc w:val="center"/>
    </w:pPr>
    <w:rPr>
      <w:rFonts w:eastAsia="宋体"/>
      <w:kern w:val="2"/>
      <w:sz w:val="18"/>
      <w:szCs w:val="18"/>
      <w:lang w:val="en-US" w:eastAsia="zh-CN"/>
    </w:rPr>
  </w:style>
  <w:style w:type="paragraph" w:styleId="20">
    <w:name w:val="toc 1"/>
    <w:basedOn w:val="1"/>
    <w:next w:val="1"/>
    <w:qFormat/>
    <w:uiPriority w:val="39"/>
    <w:pPr>
      <w:spacing w:before="120" w:beforeLines="0" w:after="120" w:afterLines="0"/>
      <w:jc w:val="left"/>
    </w:pPr>
    <w:rPr>
      <w:rFonts w:ascii="Calibri" w:hAnsi="Calibri"/>
      <w:b/>
      <w:bCs/>
      <w:caps/>
      <w:sz w:val="20"/>
    </w:rPr>
  </w:style>
  <w:style w:type="paragraph" w:styleId="21">
    <w:name w:val="toc 4"/>
    <w:basedOn w:val="1"/>
    <w:next w:val="1"/>
    <w:qFormat/>
    <w:uiPriority w:val="0"/>
    <w:pPr>
      <w:ind w:left="630"/>
      <w:jc w:val="left"/>
    </w:pPr>
    <w:rPr>
      <w:rFonts w:ascii="Calibri" w:hAnsi="Calibri"/>
      <w:sz w:val="18"/>
      <w:szCs w:val="18"/>
    </w:rPr>
  </w:style>
  <w:style w:type="paragraph" w:styleId="22">
    <w:name w:val="Subtitle"/>
    <w:basedOn w:val="1"/>
    <w:next w:val="1"/>
    <w:qFormat/>
    <w:uiPriority w:val="0"/>
    <w:pPr>
      <w:widowControl w:val="0"/>
      <w:spacing w:before="240" w:after="60" w:line="312" w:lineRule="auto"/>
      <w:jc w:val="center"/>
      <w:outlineLvl w:val="1"/>
    </w:pPr>
    <w:rPr>
      <w:rFonts w:ascii="Cambria" w:hAnsi="Cambria"/>
      <w:b/>
      <w:bCs/>
      <w:kern w:val="28"/>
      <w:sz w:val="32"/>
      <w:szCs w:val="32"/>
    </w:rPr>
  </w:style>
  <w:style w:type="paragraph" w:styleId="23">
    <w:name w:val="toc 6"/>
    <w:basedOn w:val="1"/>
    <w:next w:val="1"/>
    <w:qFormat/>
    <w:uiPriority w:val="0"/>
    <w:pPr>
      <w:ind w:left="1050"/>
      <w:jc w:val="left"/>
    </w:pPr>
    <w:rPr>
      <w:rFonts w:ascii="Calibri" w:hAnsi="Calibri"/>
      <w:sz w:val="18"/>
      <w:szCs w:val="18"/>
    </w:rPr>
  </w:style>
  <w:style w:type="paragraph" w:styleId="24">
    <w:name w:val="toc 2"/>
    <w:basedOn w:val="1"/>
    <w:next w:val="1"/>
    <w:qFormat/>
    <w:uiPriority w:val="39"/>
    <w:pPr>
      <w:ind w:left="210"/>
      <w:jc w:val="left"/>
    </w:pPr>
    <w:rPr>
      <w:rFonts w:ascii="Calibri" w:hAnsi="Calibri"/>
      <w:smallCaps/>
      <w:sz w:val="20"/>
    </w:rPr>
  </w:style>
  <w:style w:type="paragraph" w:styleId="25">
    <w:name w:val="toc 9"/>
    <w:basedOn w:val="1"/>
    <w:next w:val="1"/>
    <w:qFormat/>
    <w:uiPriority w:val="0"/>
    <w:pPr>
      <w:ind w:left="1680"/>
      <w:jc w:val="left"/>
    </w:pPr>
    <w:rPr>
      <w:rFonts w:ascii="Calibri" w:hAnsi="Calibri"/>
      <w:sz w:val="18"/>
      <w:szCs w:val="18"/>
    </w:rPr>
  </w:style>
  <w:style w:type="paragraph" w:styleId="26">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7">
    <w:name w:val="Normal (Web)"/>
    <w:basedOn w:val="1"/>
    <w:unhideWhenUsed/>
    <w:qFormat/>
    <w:uiPriority w:val="99"/>
    <w:rPr>
      <w:sz w:val="24"/>
    </w:rPr>
  </w:style>
  <w:style w:type="paragraph" w:styleId="28">
    <w:name w:val="Title"/>
    <w:basedOn w:val="1"/>
    <w:next w:val="1"/>
    <w:link w:val="52"/>
    <w:qFormat/>
    <w:uiPriority w:val="0"/>
    <w:pPr>
      <w:spacing w:before="240" w:beforeLines="0" w:after="60" w:afterLines="0"/>
      <w:jc w:val="center"/>
      <w:outlineLvl w:val="0"/>
    </w:pPr>
    <w:rPr>
      <w:rFonts w:ascii="Cambria" w:hAnsi="Cambria" w:cs="Times New Roman"/>
      <w:b/>
      <w:bCs/>
      <w:kern w:val="2"/>
      <w:sz w:val="32"/>
      <w:szCs w:val="32"/>
    </w:rPr>
  </w:style>
  <w:style w:type="paragraph" w:styleId="29">
    <w:name w:val="annotation subject"/>
    <w:basedOn w:val="8"/>
    <w:next w:val="8"/>
    <w:link w:val="99"/>
    <w:unhideWhenUsed/>
    <w:qFormat/>
    <w:uiPriority w:val="99"/>
    <w:rPr>
      <w:b/>
      <w:bCs/>
      <w:szCs w:val="20"/>
    </w:rPr>
  </w:style>
  <w:style w:type="paragraph" w:styleId="30">
    <w:name w:val="Body Text First Indent 2"/>
    <w:basedOn w:val="11"/>
    <w:qFormat/>
    <w:uiPriority w:val="0"/>
    <w:pPr>
      <w:ind w:firstLine="420" w:firstLineChars="200"/>
    </w:pPr>
    <w:rPr>
      <w:rFonts w:ascii="Times New Roman"/>
    </w:rPr>
  </w:style>
  <w:style w:type="table" w:styleId="32">
    <w:name w:val="Table Grid"/>
    <w:basedOn w:val="3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rFonts w:ascii="Tahoma" w:hAnsi="Tahoma"/>
      <w:b/>
      <w:bCs/>
      <w:sz w:val="24"/>
    </w:rPr>
  </w:style>
  <w:style w:type="character" w:styleId="35">
    <w:name w:val="FollowedHyperlink"/>
    <w:basedOn w:val="33"/>
    <w:qFormat/>
    <w:uiPriority w:val="0"/>
    <w:rPr>
      <w:rFonts w:hint="eastAsia" w:ascii="微软雅黑" w:hAnsi="微软雅黑" w:eastAsia="微软雅黑" w:cs="微软雅黑"/>
      <w:color w:val="428BCA"/>
      <w:u w:val="none"/>
    </w:rPr>
  </w:style>
  <w:style w:type="character" w:styleId="36">
    <w:name w:val="Emphasis"/>
    <w:basedOn w:val="33"/>
    <w:qFormat/>
    <w:uiPriority w:val="20"/>
  </w:style>
  <w:style w:type="character" w:styleId="37">
    <w:name w:val="HTML Definition"/>
    <w:basedOn w:val="33"/>
    <w:unhideWhenUsed/>
    <w:qFormat/>
    <w:uiPriority w:val="99"/>
    <w:rPr>
      <w:i/>
    </w:rPr>
  </w:style>
  <w:style w:type="character" w:styleId="38">
    <w:name w:val="Hyperlink"/>
    <w:basedOn w:val="33"/>
    <w:qFormat/>
    <w:uiPriority w:val="99"/>
    <w:rPr>
      <w:color w:val="333333"/>
      <w:u w:val="none"/>
    </w:rPr>
  </w:style>
  <w:style w:type="character" w:styleId="39">
    <w:name w:val="HTML Code"/>
    <w:basedOn w:val="33"/>
    <w:unhideWhenUsed/>
    <w:qFormat/>
    <w:uiPriority w:val="99"/>
    <w:rPr>
      <w:rFonts w:hint="default" w:ascii="Consolas" w:hAnsi="Consolas" w:eastAsia="Consolas" w:cs="Consolas"/>
      <w:color w:val="C7254E"/>
      <w:sz w:val="21"/>
      <w:szCs w:val="21"/>
      <w:shd w:val="clear" w:color="auto" w:fill="F9F2F4"/>
    </w:rPr>
  </w:style>
  <w:style w:type="character" w:styleId="40">
    <w:name w:val="annotation reference"/>
    <w:basedOn w:val="33"/>
    <w:unhideWhenUsed/>
    <w:qFormat/>
    <w:uiPriority w:val="99"/>
    <w:rPr>
      <w:sz w:val="21"/>
      <w:szCs w:val="21"/>
    </w:rPr>
  </w:style>
  <w:style w:type="character" w:styleId="41">
    <w:name w:val="HTML Keyboard"/>
    <w:basedOn w:val="33"/>
    <w:unhideWhenUsed/>
    <w:qFormat/>
    <w:uiPriority w:val="99"/>
    <w:rPr>
      <w:rFonts w:ascii="Consolas" w:hAnsi="Consolas" w:eastAsia="Consolas" w:cs="Consolas"/>
      <w:color w:val="FFFFFF"/>
      <w:sz w:val="21"/>
      <w:szCs w:val="21"/>
      <w:shd w:val="clear" w:color="auto" w:fill="333333"/>
    </w:rPr>
  </w:style>
  <w:style w:type="character" w:styleId="42">
    <w:name w:val="HTML Sample"/>
    <w:basedOn w:val="33"/>
    <w:unhideWhenUsed/>
    <w:qFormat/>
    <w:uiPriority w:val="99"/>
    <w:rPr>
      <w:rFonts w:hint="default" w:ascii="Consolas" w:hAnsi="Consolas" w:eastAsia="Consolas" w:cs="Consolas"/>
      <w:sz w:val="21"/>
      <w:szCs w:val="21"/>
    </w:rPr>
  </w:style>
  <w:style w:type="paragraph" w:customStyle="1" w:styleId="4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4">
    <w:name w:val="表格"/>
    <w:basedOn w:val="1"/>
    <w:qFormat/>
    <w:uiPriority w:val="0"/>
    <w:pPr>
      <w:tabs>
        <w:tab w:val="left" w:pos="1200"/>
      </w:tabs>
      <w:spacing w:line="500" w:lineRule="exact"/>
      <w:jc w:val="center"/>
    </w:pPr>
    <w:rPr>
      <w:rFonts w:ascii="宋体"/>
      <w:sz w:val="24"/>
      <w:szCs w:val="18"/>
    </w:rPr>
  </w:style>
  <w:style w:type="paragraph" w:customStyle="1" w:styleId="45">
    <w:name w:val="Fließtext"/>
    <w:basedOn w:val="1"/>
    <w:qFormat/>
    <w:uiPriority w:val="0"/>
    <w:pPr>
      <w:overflowPunct w:val="0"/>
      <w:autoSpaceDE w:val="0"/>
      <w:autoSpaceDN w:val="0"/>
      <w:adjustRightInd w:val="0"/>
      <w:textAlignment w:val="baseline"/>
    </w:pPr>
    <w:rPr>
      <w:rFonts w:ascii="Calibri" w:hAnsi="Calibri"/>
      <w:kern w:val="28"/>
      <w:szCs w:val="20"/>
    </w:rPr>
  </w:style>
  <w:style w:type="character" w:customStyle="1" w:styleId="46">
    <w:name w:val="word"/>
    <w:basedOn w:val="33"/>
    <w:qFormat/>
    <w:uiPriority w:val="0"/>
  </w:style>
  <w:style w:type="character" w:customStyle="1" w:styleId="47">
    <w:name w:val="文章正文 Char Char"/>
    <w:link w:val="48"/>
    <w:qFormat/>
    <w:uiPriority w:val="0"/>
    <w:rPr>
      <w:rFonts w:ascii="仿宋_GB2312" w:hAnsi="宋体" w:eastAsia="仿宋_GB2312"/>
      <w:snapToGrid w:val="0"/>
      <w:spacing w:val="6"/>
      <w:sz w:val="24"/>
      <w:szCs w:val="24"/>
      <w:lang w:val="zh-CN"/>
    </w:rPr>
  </w:style>
  <w:style w:type="paragraph" w:customStyle="1" w:styleId="48">
    <w:name w:val="文章正文"/>
    <w:basedOn w:val="1"/>
    <w:link w:val="47"/>
    <w:qFormat/>
    <w:uiPriority w:val="0"/>
    <w:pPr>
      <w:spacing w:line="480" w:lineRule="auto"/>
      <w:ind w:firstLine="504" w:firstLineChars="200"/>
    </w:pPr>
    <w:rPr>
      <w:rFonts w:ascii="仿宋_GB2312" w:hAnsi="宋体" w:eastAsia="仿宋_GB2312"/>
      <w:snapToGrid w:val="0"/>
      <w:spacing w:val="6"/>
      <w:kern w:val="0"/>
      <w:sz w:val="24"/>
      <w:szCs w:val="24"/>
      <w:lang w:val="zh-CN"/>
    </w:rPr>
  </w:style>
  <w:style w:type="character" w:customStyle="1" w:styleId="49">
    <w:name w:val="HTML Sample_0"/>
    <w:basedOn w:val="33"/>
    <w:qFormat/>
    <w:uiPriority w:val="0"/>
    <w:rPr>
      <w:rFonts w:hint="default" w:ascii="Consolas" w:hAnsi="Consolas" w:eastAsia="Consolas" w:cs="Consolas"/>
      <w:sz w:val="21"/>
      <w:szCs w:val="21"/>
    </w:rPr>
  </w:style>
  <w:style w:type="character" w:customStyle="1" w:styleId="50">
    <w:name w:val="标题 #6 (2)_"/>
    <w:link w:val="51"/>
    <w:qFormat/>
    <w:uiPriority w:val="0"/>
    <w:rPr>
      <w:rFonts w:ascii="宋体" w:hAnsi="宋体" w:cs="宋体"/>
      <w:sz w:val="28"/>
      <w:szCs w:val="28"/>
      <w:shd w:val="clear" w:color="auto" w:fill="FFFFFF"/>
    </w:rPr>
  </w:style>
  <w:style w:type="paragraph" w:customStyle="1" w:styleId="51">
    <w:name w:val="标题 #6 (2)"/>
    <w:basedOn w:val="1"/>
    <w:link w:val="50"/>
    <w:qFormat/>
    <w:uiPriority w:val="0"/>
    <w:pPr>
      <w:shd w:val="clear" w:color="auto" w:fill="FFFFFF"/>
      <w:spacing w:after="240" w:afterLines="0" w:line="240" w:lineRule="atLeast"/>
      <w:jc w:val="center"/>
      <w:outlineLvl w:val="5"/>
    </w:pPr>
    <w:rPr>
      <w:rFonts w:ascii="宋体" w:hAnsi="宋体"/>
      <w:kern w:val="0"/>
      <w:sz w:val="28"/>
      <w:szCs w:val="28"/>
      <w:shd w:val="clear" w:color="auto" w:fill="FFFFFF"/>
    </w:rPr>
  </w:style>
  <w:style w:type="character" w:customStyle="1" w:styleId="52">
    <w:name w:val="标题 Char"/>
    <w:basedOn w:val="33"/>
    <w:link w:val="28"/>
    <w:qFormat/>
    <w:uiPriority w:val="0"/>
    <w:rPr>
      <w:rFonts w:ascii="Cambria" w:hAnsi="Cambria" w:cs="Times New Roman"/>
      <w:b/>
      <w:bCs/>
      <w:kern w:val="2"/>
      <w:sz w:val="32"/>
      <w:szCs w:val="32"/>
    </w:rPr>
  </w:style>
  <w:style w:type="character" w:customStyle="1" w:styleId="53">
    <w:name w:val="正文文本 2 Char"/>
    <w:basedOn w:val="33"/>
    <w:link w:val="54"/>
    <w:qFormat/>
    <w:uiPriority w:val="0"/>
    <w:rPr>
      <w:rFonts w:eastAsia="宋体"/>
      <w:kern w:val="2"/>
      <w:sz w:val="21"/>
      <w:lang w:val="en-US" w:eastAsia="zh-CN"/>
    </w:rPr>
  </w:style>
  <w:style w:type="paragraph" w:customStyle="1" w:styleId="54">
    <w:name w:val="Body Text 2"/>
    <w:basedOn w:val="1"/>
    <w:link w:val="53"/>
    <w:qFormat/>
    <w:uiPriority w:val="0"/>
    <w:pPr>
      <w:spacing w:after="120" w:afterLines="0" w:line="480" w:lineRule="auto"/>
    </w:pPr>
    <w:rPr>
      <w:rFonts w:eastAsia="宋体"/>
      <w:kern w:val="2"/>
      <w:sz w:val="21"/>
      <w:lang w:val="en-US" w:eastAsia="zh-CN"/>
    </w:rPr>
  </w:style>
  <w:style w:type="character" w:customStyle="1" w:styleId="55">
    <w:name w:val="正文文本 (2) + 12 pt"/>
    <w:qFormat/>
    <w:uiPriority w:val="0"/>
    <w:rPr>
      <w:rFonts w:ascii="宋体" w:hAnsi="宋体" w:eastAsia="宋体" w:cs="宋体"/>
      <w:b/>
      <w:bCs/>
      <w:color w:val="000000"/>
      <w:spacing w:val="0"/>
      <w:w w:val="100"/>
      <w:position w:val="0"/>
      <w:sz w:val="24"/>
      <w:szCs w:val="24"/>
      <w:u w:val="none"/>
      <w:lang w:val="zh-CN" w:eastAsia="zh-CN"/>
    </w:rPr>
  </w:style>
  <w:style w:type="character" w:customStyle="1" w:styleId="56">
    <w:name w:val="正文文本缩进 Char"/>
    <w:basedOn w:val="33"/>
    <w:link w:val="57"/>
    <w:qFormat/>
    <w:uiPriority w:val="0"/>
    <w:rPr>
      <w:rFonts w:eastAsia="宋体"/>
      <w:kern w:val="2"/>
      <w:sz w:val="21"/>
      <w:lang w:val="en-US" w:eastAsia="zh-CN"/>
    </w:rPr>
  </w:style>
  <w:style w:type="paragraph" w:customStyle="1" w:styleId="57">
    <w:name w:val="Body Text Indent_0"/>
    <w:basedOn w:val="1"/>
    <w:link w:val="56"/>
    <w:qFormat/>
    <w:uiPriority w:val="0"/>
    <w:pPr>
      <w:spacing w:line="460" w:lineRule="exact"/>
      <w:ind w:firstLine="510"/>
    </w:pPr>
    <w:rPr>
      <w:rFonts w:eastAsia="宋体"/>
      <w:kern w:val="2"/>
      <w:sz w:val="21"/>
      <w:lang w:val="en-US" w:eastAsia="zh-CN"/>
    </w:rPr>
  </w:style>
  <w:style w:type="character" w:customStyle="1" w:styleId="58">
    <w:name w:val="正文文本缩进 3 Char"/>
    <w:basedOn w:val="33"/>
    <w:link w:val="59"/>
    <w:qFormat/>
    <w:uiPriority w:val="0"/>
    <w:rPr>
      <w:kern w:val="2"/>
      <w:sz w:val="24"/>
      <w:szCs w:val="24"/>
    </w:rPr>
  </w:style>
  <w:style w:type="paragraph" w:customStyle="1" w:styleId="59">
    <w:name w:val="Body Text Indent 3"/>
    <w:basedOn w:val="1"/>
    <w:link w:val="58"/>
    <w:qFormat/>
    <w:uiPriority w:val="0"/>
    <w:pPr>
      <w:spacing w:line="360" w:lineRule="auto"/>
      <w:ind w:firstLine="480" w:firstLineChars="200"/>
    </w:pPr>
    <w:rPr>
      <w:kern w:val="2"/>
      <w:sz w:val="24"/>
      <w:szCs w:val="24"/>
    </w:rPr>
  </w:style>
  <w:style w:type="character" w:customStyle="1" w:styleId="60">
    <w:name w:val="标题 Char1"/>
    <w:basedOn w:val="33"/>
    <w:qFormat/>
    <w:uiPriority w:val="0"/>
    <w:rPr>
      <w:rFonts w:ascii="Cambria" w:hAnsi="Cambria" w:cs="Times New Roman"/>
      <w:b/>
      <w:bCs/>
      <w:kern w:val="2"/>
      <w:sz w:val="32"/>
      <w:szCs w:val="32"/>
    </w:rPr>
  </w:style>
  <w:style w:type="character" w:customStyle="1" w:styleId="61">
    <w:name w:val="日期 Char"/>
    <w:basedOn w:val="33"/>
    <w:link w:val="62"/>
    <w:qFormat/>
    <w:uiPriority w:val="0"/>
    <w:rPr>
      <w:rFonts w:eastAsia="楷体_GB2312"/>
      <w:kern w:val="2"/>
      <w:sz w:val="48"/>
      <w:szCs w:val="24"/>
    </w:rPr>
  </w:style>
  <w:style w:type="paragraph" w:customStyle="1" w:styleId="62">
    <w:name w:val="Date"/>
    <w:basedOn w:val="1"/>
    <w:next w:val="1"/>
    <w:link w:val="61"/>
    <w:qFormat/>
    <w:uiPriority w:val="0"/>
    <w:pPr>
      <w:ind w:left="100" w:leftChars="2500"/>
    </w:pPr>
    <w:rPr>
      <w:rFonts w:eastAsia="楷体_GB2312"/>
      <w:kern w:val="2"/>
      <w:sz w:val="48"/>
      <w:szCs w:val="24"/>
    </w:rPr>
  </w:style>
  <w:style w:type="character" w:customStyle="1" w:styleId="63">
    <w:name w:val="正文文本 Char"/>
    <w:basedOn w:val="33"/>
    <w:link w:val="9"/>
    <w:qFormat/>
    <w:uiPriority w:val="0"/>
    <w:rPr>
      <w:rFonts w:ascii="宋体" w:hAnsi="宋体" w:eastAsia="宋体"/>
      <w:bCs/>
      <w:color w:val="000000"/>
      <w:kern w:val="2"/>
      <w:sz w:val="24"/>
      <w:lang w:val="en-US" w:eastAsia="zh-CN"/>
    </w:rPr>
  </w:style>
  <w:style w:type="character" w:customStyle="1" w:styleId="64">
    <w:name w:val="Anrede1IhrZeichen"/>
    <w:basedOn w:val="33"/>
    <w:qFormat/>
    <w:uiPriority w:val="0"/>
    <w:rPr>
      <w:rFonts w:ascii="Arial" w:hAnsi="Arial"/>
      <w:sz w:val="20"/>
    </w:rPr>
  </w:style>
  <w:style w:type="character" w:customStyle="1" w:styleId="65">
    <w:name w:val="font71"/>
    <w:basedOn w:val="33"/>
    <w:qFormat/>
    <w:uiPriority w:val="0"/>
    <w:rPr>
      <w:rFonts w:hint="default" w:ascii="Times New Roman" w:hAnsi="Times New Roman" w:cs="Times New Roman"/>
      <w:color w:val="000000"/>
      <w:sz w:val="21"/>
      <w:szCs w:val="21"/>
      <w:u w:val="none"/>
    </w:rPr>
  </w:style>
  <w:style w:type="character" w:customStyle="1" w:styleId="66">
    <w:name w:val="font41"/>
    <w:basedOn w:val="33"/>
    <w:qFormat/>
    <w:uiPriority w:val="0"/>
    <w:rPr>
      <w:rFonts w:hint="eastAsia" w:ascii="宋体" w:hAnsi="宋体" w:eastAsia="宋体"/>
      <w:color w:val="000000"/>
      <w:sz w:val="22"/>
      <w:szCs w:val="22"/>
      <w:u w:val="none"/>
    </w:rPr>
  </w:style>
  <w:style w:type="character" w:customStyle="1" w:styleId="67">
    <w:name w:val="2 Char Char"/>
    <w:link w:val="68"/>
    <w:qFormat/>
    <w:uiPriority w:val="0"/>
    <w:rPr>
      <w:rFonts w:ascii="宋体" w:hAnsi="宋体"/>
      <w:b/>
      <w:snapToGrid w:val="0"/>
      <w:sz w:val="30"/>
      <w:szCs w:val="30"/>
    </w:rPr>
  </w:style>
  <w:style w:type="paragraph" w:customStyle="1" w:styleId="68">
    <w:name w:val="2"/>
    <w:basedOn w:val="1"/>
    <w:next w:val="1"/>
    <w:link w:val="67"/>
    <w:qFormat/>
    <w:uiPriority w:val="0"/>
    <w:pPr>
      <w:tabs>
        <w:tab w:val="left" w:pos="630"/>
      </w:tabs>
      <w:adjustRightInd w:val="0"/>
      <w:snapToGrid w:val="0"/>
      <w:spacing w:before="62" w:beforeLines="0" w:after="93" w:afterLines="0" w:line="560" w:lineRule="exact"/>
      <w:ind w:left="-1"/>
      <w:outlineLvl w:val="1"/>
    </w:pPr>
    <w:rPr>
      <w:rFonts w:ascii="宋体" w:hAnsi="宋体"/>
      <w:b/>
      <w:snapToGrid w:val="0"/>
      <w:kern w:val="0"/>
      <w:sz w:val="30"/>
      <w:szCs w:val="30"/>
    </w:rPr>
  </w:style>
  <w:style w:type="character" w:customStyle="1" w:styleId="69">
    <w:name w:val="一级条标题 Char Char"/>
    <w:basedOn w:val="33"/>
    <w:link w:val="70"/>
    <w:qFormat/>
    <w:uiPriority w:val="0"/>
    <w:rPr>
      <w:rFonts w:ascii="黑体" w:eastAsia="黑体"/>
      <w:sz w:val="21"/>
      <w:szCs w:val="21"/>
      <w:lang w:val="en-US" w:eastAsia="zh-CN" w:bidi="ar-SA"/>
    </w:rPr>
  </w:style>
  <w:style w:type="paragraph" w:customStyle="1" w:styleId="70">
    <w:name w:val="一级条标题"/>
    <w:next w:val="71"/>
    <w:link w:val="69"/>
    <w:qFormat/>
    <w:uiPriority w:val="0"/>
    <w:pPr>
      <w:numPr>
        <w:ilvl w:val="1"/>
        <w:numId w:val="1"/>
      </w:numPr>
      <w:spacing w:before="156" w:beforeLines="50" w:after="156" w:afterLines="50"/>
      <w:outlineLvl w:val="2"/>
    </w:pPr>
    <w:rPr>
      <w:rFonts w:ascii="黑体" w:hAnsi="Calibri" w:eastAsia="黑体" w:cs="Times New Roman"/>
      <w:sz w:val="21"/>
      <w:szCs w:val="21"/>
      <w:lang w:val="en-US" w:eastAsia="zh-CN" w:bidi="ar-SA"/>
    </w:rPr>
  </w:style>
  <w:style w:type="paragraph" w:customStyle="1" w:styleId="71">
    <w:name w:val="段"/>
    <w:link w:val="144"/>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lang w:val="en-US" w:eastAsia="zh-CN" w:bidi="ar-SA"/>
    </w:rPr>
  </w:style>
  <w:style w:type="character" w:customStyle="1" w:styleId="72">
    <w:name w:val="纯文本 Char1"/>
    <w:qFormat/>
    <w:uiPriority w:val="0"/>
    <w:rPr>
      <w:rFonts w:ascii="宋体" w:eastAsia="宋体"/>
      <w:kern w:val="2"/>
      <w:sz w:val="21"/>
      <w:lang w:val="en-US" w:eastAsia="zh-CN"/>
    </w:rPr>
  </w:style>
  <w:style w:type="character" w:customStyle="1" w:styleId="73">
    <w:name w:val="批注框文本 Char"/>
    <w:basedOn w:val="33"/>
    <w:link w:val="17"/>
    <w:qFormat/>
    <w:uiPriority w:val="0"/>
    <w:rPr>
      <w:rFonts w:eastAsia="宋体"/>
      <w:kern w:val="2"/>
      <w:sz w:val="18"/>
      <w:szCs w:val="18"/>
      <w:lang w:val="en-US" w:eastAsia="zh-CN"/>
    </w:rPr>
  </w:style>
  <w:style w:type="character" w:customStyle="1" w:styleId="74">
    <w:name w:val="正文缩进 Char"/>
    <w:link w:val="75"/>
    <w:qFormat/>
    <w:uiPriority w:val="0"/>
    <w:rPr>
      <w:rFonts w:ascii="Cambria" w:hAnsi="Cambria"/>
      <w:b/>
      <w:bCs/>
      <w:kern w:val="2"/>
      <w:sz w:val="32"/>
      <w:szCs w:val="32"/>
    </w:rPr>
  </w:style>
  <w:style w:type="paragraph" w:customStyle="1" w:styleId="75">
    <w:name w:val="Normal Indent1"/>
    <w:basedOn w:val="1"/>
    <w:next w:val="1"/>
    <w:link w:val="74"/>
    <w:qFormat/>
    <w:uiPriority w:val="0"/>
    <w:pPr>
      <w:spacing w:before="240" w:beforeLines="0" w:after="60" w:afterLines="0"/>
      <w:jc w:val="center"/>
      <w:outlineLvl w:val="0"/>
    </w:pPr>
    <w:rPr>
      <w:rFonts w:ascii="Cambria" w:hAnsi="Cambria"/>
      <w:b/>
      <w:bCs/>
      <w:sz w:val="32"/>
      <w:szCs w:val="32"/>
    </w:rPr>
  </w:style>
  <w:style w:type="character" w:customStyle="1" w:styleId="76">
    <w:name w:val="font61"/>
    <w:basedOn w:val="33"/>
    <w:qFormat/>
    <w:uiPriority w:val="0"/>
    <w:rPr>
      <w:rFonts w:hint="eastAsia" w:ascii="宋体" w:hAnsi="宋体" w:eastAsia="宋体"/>
      <w:color w:val="000000"/>
      <w:sz w:val="24"/>
      <w:szCs w:val="24"/>
      <w:u w:val="none"/>
    </w:rPr>
  </w:style>
  <w:style w:type="character" w:customStyle="1" w:styleId="77">
    <w:name w:val="四级条标题 Char Char"/>
    <w:basedOn w:val="78"/>
    <w:link w:val="82"/>
    <w:qFormat/>
    <w:uiPriority w:val="0"/>
    <w:rPr>
      <w:rFonts w:ascii="黑体" w:eastAsia="黑体"/>
      <w:sz w:val="21"/>
      <w:szCs w:val="21"/>
    </w:rPr>
  </w:style>
  <w:style w:type="character" w:customStyle="1" w:styleId="78">
    <w:name w:val="三级条标题 Char Char"/>
    <w:basedOn w:val="79"/>
    <w:link w:val="81"/>
    <w:qFormat/>
    <w:uiPriority w:val="0"/>
    <w:rPr>
      <w:rFonts w:ascii="黑体" w:eastAsia="黑体"/>
      <w:sz w:val="21"/>
      <w:szCs w:val="21"/>
    </w:rPr>
  </w:style>
  <w:style w:type="character" w:customStyle="1" w:styleId="79">
    <w:name w:val="二级条标题 Char Char"/>
    <w:basedOn w:val="69"/>
    <w:link w:val="80"/>
    <w:qFormat/>
    <w:uiPriority w:val="0"/>
    <w:rPr>
      <w:rFonts w:ascii="黑体" w:eastAsia="黑体"/>
      <w:sz w:val="21"/>
      <w:szCs w:val="21"/>
    </w:rPr>
  </w:style>
  <w:style w:type="paragraph" w:customStyle="1" w:styleId="80">
    <w:name w:val="二级条标题"/>
    <w:basedOn w:val="70"/>
    <w:next w:val="71"/>
    <w:link w:val="79"/>
    <w:qFormat/>
    <w:uiPriority w:val="0"/>
    <w:pPr>
      <w:numPr>
        <w:ilvl w:val="1"/>
        <w:numId w:val="0"/>
      </w:numPr>
      <w:spacing w:before="50" w:beforeLines="0" w:after="50" w:afterLines="0"/>
      <w:ind w:left="900"/>
      <w:outlineLvl w:val="3"/>
    </w:pPr>
    <w:rPr>
      <w:rFonts w:ascii="黑体" w:eastAsia="黑体"/>
      <w:sz w:val="21"/>
      <w:szCs w:val="21"/>
    </w:rPr>
  </w:style>
  <w:style w:type="paragraph" w:customStyle="1" w:styleId="81">
    <w:name w:val="三级条标题"/>
    <w:basedOn w:val="80"/>
    <w:next w:val="71"/>
    <w:link w:val="78"/>
    <w:qFormat/>
    <w:uiPriority w:val="0"/>
    <w:pPr>
      <w:numPr>
        <w:ilvl w:val="0"/>
        <w:numId w:val="0"/>
      </w:numPr>
      <w:ind w:left="900"/>
      <w:outlineLvl w:val="4"/>
    </w:pPr>
    <w:rPr>
      <w:rFonts w:ascii="黑体" w:eastAsia="黑体"/>
      <w:sz w:val="21"/>
      <w:szCs w:val="21"/>
    </w:rPr>
  </w:style>
  <w:style w:type="paragraph" w:customStyle="1" w:styleId="82">
    <w:name w:val="四级条标题"/>
    <w:basedOn w:val="81"/>
    <w:next w:val="71"/>
    <w:link w:val="77"/>
    <w:qFormat/>
    <w:uiPriority w:val="0"/>
    <w:pPr>
      <w:numPr>
        <w:ilvl w:val="0"/>
        <w:numId w:val="0"/>
      </w:numPr>
      <w:ind w:left="900"/>
      <w:outlineLvl w:val="5"/>
    </w:pPr>
    <w:rPr>
      <w:rFonts w:ascii="黑体" w:eastAsia="黑体"/>
      <w:sz w:val="21"/>
      <w:szCs w:val="21"/>
    </w:rPr>
  </w:style>
  <w:style w:type="character" w:customStyle="1" w:styleId="83">
    <w:name w:val="批注主题 Char"/>
    <w:basedOn w:val="84"/>
    <w:link w:val="85"/>
    <w:qFormat/>
    <w:uiPriority w:val="0"/>
    <w:rPr>
      <w:rFonts w:ascii="Times New Roman" w:hAnsi="Times New Roman" w:eastAsia="宋体" w:cs="Times New Roman"/>
      <w:b/>
      <w:bCs/>
    </w:rPr>
  </w:style>
  <w:style w:type="character" w:customStyle="1" w:styleId="84">
    <w:name w:val="批注文字 Char"/>
    <w:link w:val="8"/>
    <w:qFormat/>
    <w:uiPriority w:val="0"/>
    <w:rPr>
      <w:kern w:val="2"/>
      <w:sz w:val="21"/>
      <w:szCs w:val="24"/>
    </w:rPr>
  </w:style>
  <w:style w:type="paragraph" w:customStyle="1" w:styleId="85">
    <w:name w:val="annotation subject"/>
    <w:basedOn w:val="8"/>
    <w:next w:val="8"/>
    <w:link w:val="83"/>
    <w:qFormat/>
    <w:uiPriority w:val="0"/>
    <w:rPr>
      <w:rFonts w:ascii="Times New Roman" w:hAnsi="Times New Roman" w:eastAsia="宋体" w:cs="Times New Roman"/>
      <w:b/>
      <w:bCs/>
    </w:rPr>
  </w:style>
  <w:style w:type="character" w:customStyle="1" w:styleId="86">
    <w:name w:val="annotation reference"/>
    <w:qFormat/>
    <w:uiPriority w:val="0"/>
    <w:rPr>
      <w:sz w:val="21"/>
    </w:rPr>
  </w:style>
  <w:style w:type="character" w:customStyle="1" w:styleId="87">
    <w:name w:val="标题 #6_"/>
    <w:link w:val="88"/>
    <w:qFormat/>
    <w:uiPriority w:val="0"/>
    <w:rPr>
      <w:rFonts w:ascii="宋体" w:hAnsi="宋体" w:cs="宋体"/>
      <w:b/>
      <w:bCs/>
      <w:shd w:val="clear" w:color="auto" w:fill="FFFFFF"/>
    </w:rPr>
  </w:style>
  <w:style w:type="paragraph" w:customStyle="1" w:styleId="88">
    <w:name w:val="标题 #6"/>
    <w:basedOn w:val="1"/>
    <w:link w:val="87"/>
    <w:qFormat/>
    <w:uiPriority w:val="0"/>
    <w:pPr>
      <w:shd w:val="clear" w:color="auto" w:fill="FFFFFF"/>
      <w:spacing w:before="660" w:beforeLines="0" w:line="499" w:lineRule="exact"/>
      <w:jc w:val="left"/>
      <w:outlineLvl w:val="5"/>
    </w:pPr>
    <w:rPr>
      <w:rFonts w:ascii="宋体" w:hAnsi="宋体"/>
      <w:b/>
      <w:bCs/>
      <w:kern w:val="0"/>
      <w:sz w:val="20"/>
      <w:shd w:val="clear" w:color="auto" w:fill="FFFFFF"/>
    </w:rPr>
  </w:style>
  <w:style w:type="character" w:customStyle="1" w:styleId="89">
    <w:name w:val="5 Char Char"/>
    <w:link w:val="90"/>
    <w:qFormat/>
    <w:uiPriority w:val="0"/>
    <w:rPr>
      <w:rFonts w:ascii="黑体" w:hAnsi="华文细黑" w:eastAsia="黑体"/>
      <w:snapToGrid w:val="0"/>
      <w:sz w:val="28"/>
      <w:szCs w:val="28"/>
      <w:lang w:val="en-US" w:eastAsia="zh-CN"/>
    </w:rPr>
  </w:style>
  <w:style w:type="paragraph" w:customStyle="1" w:styleId="90">
    <w:name w:val="5"/>
    <w:basedOn w:val="91"/>
    <w:link w:val="89"/>
    <w:qFormat/>
    <w:uiPriority w:val="0"/>
    <w:pPr>
      <w:widowControl w:val="0"/>
      <w:tabs>
        <w:tab w:val="left" w:pos="0"/>
        <w:tab w:val="left" w:pos="2730"/>
        <w:tab w:val="center" w:pos="4479"/>
      </w:tabs>
      <w:ind w:firstLine="576" w:firstLineChars="200"/>
      <w:jc w:val="left"/>
      <w:outlineLvl w:val="9"/>
    </w:pPr>
    <w:rPr>
      <w:rFonts w:ascii="黑体" w:hAnsi="华文细黑" w:eastAsia="黑体"/>
      <w:snapToGrid w:val="0"/>
    </w:rPr>
  </w:style>
  <w:style w:type="paragraph" w:customStyle="1" w:styleId="91">
    <w:name w:val="4"/>
    <w:basedOn w:val="1"/>
    <w:qFormat/>
    <w:uiPriority w:val="0"/>
    <w:pPr>
      <w:widowControl/>
      <w:tabs>
        <w:tab w:val="left" w:pos="0"/>
      </w:tabs>
      <w:adjustRightInd w:val="0"/>
      <w:snapToGrid w:val="0"/>
      <w:spacing w:line="560" w:lineRule="exact"/>
      <w:outlineLvl w:val="3"/>
    </w:pPr>
    <w:rPr>
      <w:rFonts w:ascii="宋体" w:hAnsi="宋体"/>
      <w:kern w:val="0"/>
      <w:sz w:val="28"/>
      <w:szCs w:val="28"/>
    </w:rPr>
  </w:style>
  <w:style w:type="character" w:customStyle="1" w:styleId="92">
    <w:name w:val="page number"/>
    <w:basedOn w:val="33"/>
    <w:qFormat/>
    <w:uiPriority w:val="0"/>
  </w:style>
  <w:style w:type="character" w:customStyle="1" w:styleId="93">
    <w:name w:val="font31"/>
    <w:qFormat/>
    <w:uiPriority w:val="0"/>
    <w:rPr>
      <w:rFonts w:hint="eastAsia" w:ascii="宋体" w:hAnsi="宋体" w:eastAsia="宋体" w:cs="宋体"/>
      <w:color w:val="000000"/>
      <w:sz w:val="20"/>
      <w:szCs w:val="20"/>
      <w:u w:val="none"/>
    </w:rPr>
  </w:style>
  <w:style w:type="character" w:customStyle="1" w:styleId="94">
    <w:name w:val="不明显强调11"/>
    <w:qFormat/>
    <w:uiPriority w:val="0"/>
    <w:rPr>
      <w:rFonts w:eastAsia="仿宋_GB2312"/>
      <w:iCs/>
      <w:color w:val="auto"/>
      <w:sz w:val="24"/>
    </w:rPr>
  </w:style>
  <w:style w:type="character" w:customStyle="1" w:styleId="95">
    <w:name w:val="标题 3 Char2"/>
    <w:qFormat/>
    <w:uiPriority w:val="0"/>
    <w:rPr>
      <w:rFonts w:eastAsia="黑体"/>
      <w:b/>
      <w:sz w:val="28"/>
    </w:rPr>
  </w:style>
  <w:style w:type="character" w:customStyle="1" w:styleId="96">
    <w:name w:val="articletitle1"/>
    <w:basedOn w:val="33"/>
    <w:qFormat/>
    <w:uiPriority w:val="0"/>
    <w:rPr>
      <w:rFonts w:hint="default" w:ascii="ˎ̥" w:hAnsi="ˎ̥"/>
      <w:b/>
      <w:bCs/>
      <w:color w:val="000000"/>
      <w:sz w:val="33"/>
      <w:szCs w:val="33"/>
    </w:rPr>
  </w:style>
  <w:style w:type="character" w:customStyle="1" w:styleId="97">
    <w:name w:val="标题 1 Char"/>
    <w:basedOn w:val="33"/>
    <w:link w:val="2"/>
    <w:qFormat/>
    <w:uiPriority w:val="0"/>
    <w:rPr>
      <w:rFonts w:eastAsia="方正小标宋_GBK"/>
      <w:b/>
      <w:kern w:val="44"/>
      <w:sz w:val="32"/>
    </w:rPr>
  </w:style>
  <w:style w:type="character" w:customStyle="1" w:styleId="98">
    <w:name w:val="font91"/>
    <w:basedOn w:val="33"/>
    <w:qFormat/>
    <w:uiPriority w:val="0"/>
    <w:rPr>
      <w:rFonts w:hint="eastAsia" w:ascii="仿宋_GB2312" w:eastAsia="仿宋_GB2312"/>
      <w:color w:val="FF0000"/>
      <w:sz w:val="22"/>
      <w:szCs w:val="22"/>
      <w:u w:val="none"/>
    </w:rPr>
  </w:style>
  <w:style w:type="character" w:customStyle="1" w:styleId="99">
    <w:name w:val="批注主题 Char1"/>
    <w:basedOn w:val="84"/>
    <w:link w:val="29"/>
    <w:semiHidden/>
    <w:qFormat/>
    <w:uiPriority w:val="99"/>
    <w:rPr>
      <w:b/>
      <w:bCs/>
    </w:rPr>
  </w:style>
  <w:style w:type="character" w:customStyle="1" w:styleId="100">
    <w:name w:val="正文文本 (5) + 11 pt"/>
    <w:qFormat/>
    <w:uiPriority w:val="0"/>
    <w:rPr>
      <w:rFonts w:ascii="宋体" w:hAnsi="宋体" w:eastAsia="宋体" w:cs="宋体"/>
      <w:b/>
      <w:bCs/>
      <w:color w:val="000000"/>
      <w:spacing w:val="0"/>
      <w:w w:val="100"/>
      <w:position w:val="0"/>
      <w:sz w:val="22"/>
      <w:szCs w:val="22"/>
      <w:u w:val="none"/>
      <w:lang w:val="zh-CN" w:eastAsia="zh-CN"/>
    </w:rPr>
  </w:style>
  <w:style w:type="character" w:customStyle="1" w:styleId="101">
    <w:name w:val="apple-style-span"/>
    <w:basedOn w:val="33"/>
    <w:qFormat/>
    <w:uiPriority w:val="0"/>
  </w:style>
  <w:style w:type="character" w:customStyle="1" w:styleId="102">
    <w:name w:val="列出段落 Char"/>
    <w:link w:val="103"/>
    <w:qFormat/>
    <w:uiPriority w:val="0"/>
    <w:rPr>
      <w:rFonts w:ascii="Calibri" w:hAnsi="Calibri"/>
      <w:kern w:val="2"/>
      <w:sz w:val="21"/>
      <w:szCs w:val="22"/>
    </w:rPr>
  </w:style>
  <w:style w:type="paragraph" w:customStyle="1" w:styleId="103">
    <w:name w:val="列出段落2"/>
    <w:basedOn w:val="1"/>
    <w:link w:val="102"/>
    <w:qFormat/>
    <w:uiPriority w:val="0"/>
    <w:pPr>
      <w:ind w:firstLine="420" w:firstLineChars="200"/>
    </w:pPr>
    <w:rPr>
      <w:rFonts w:ascii="Calibri" w:hAnsi="Calibri"/>
      <w:szCs w:val="22"/>
    </w:rPr>
  </w:style>
  <w:style w:type="character" w:customStyle="1" w:styleId="104">
    <w:name w:val="HTML Code_0"/>
    <w:basedOn w:val="33"/>
    <w:qFormat/>
    <w:uiPriority w:val="0"/>
    <w:rPr>
      <w:rFonts w:hint="default" w:ascii="Consolas" w:hAnsi="Consolas" w:eastAsia="Consolas" w:cs="Consolas"/>
      <w:color w:val="C7254E"/>
      <w:sz w:val="21"/>
      <w:szCs w:val="21"/>
      <w:shd w:val="clear" w:color="auto" w:fill="F9F2F4"/>
    </w:rPr>
  </w:style>
  <w:style w:type="character" w:customStyle="1" w:styleId="105">
    <w:name w:val="设计文本 Char Char"/>
    <w:link w:val="106"/>
    <w:qFormat/>
    <w:uiPriority w:val="0"/>
    <w:rPr>
      <w:rFonts w:ascii="仿宋_GB2312" w:eastAsia="仿宋_GB2312"/>
      <w:snapToGrid w:val="0"/>
      <w:sz w:val="28"/>
      <w:szCs w:val="28"/>
    </w:rPr>
  </w:style>
  <w:style w:type="paragraph" w:customStyle="1" w:styleId="106">
    <w:name w:val="设计文本"/>
    <w:basedOn w:val="1"/>
    <w:link w:val="105"/>
    <w:qFormat/>
    <w:uiPriority w:val="0"/>
    <w:pPr>
      <w:spacing w:line="600" w:lineRule="exact"/>
      <w:ind w:firstLine="560" w:firstLineChars="200"/>
    </w:pPr>
    <w:rPr>
      <w:rFonts w:ascii="仿宋_GB2312" w:eastAsia="仿宋_GB2312"/>
      <w:snapToGrid w:val="0"/>
      <w:kern w:val="0"/>
      <w:sz w:val="28"/>
      <w:szCs w:val="28"/>
    </w:rPr>
  </w:style>
  <w:style w:type="character" w:customStyle="1" w:styleId="107">
    <w:name w:val="标题 2 Char"/>
    <w:basedOn w:val="33"/>
    <w:link w:val="3"/>
    <w:qFormat/>
    <w:uiPriority w:val="0"/>
    <w:rPr>
      <w:rFonts w:ascii="仿宋_GB2312" w:hAnsi="宋体" w:eastAsia="楷体_GB2312"/>
      <w:b/>
      <w:kern w:val="2"/>
      <w:sz w:val="32"/>
      <w:szCs w:val="24"/>
    </w:rPr>
  </w:style>
  <w:style w:type="character" w:customStyle="1" w:styleId="108">
    <w:name w:val="HTML Definition_0"/>
    <w:basedOn w:val="33"/>
    <w:qFormat/>
    <w:uiPriority w:val="0"/>
    <w:rPr>
      <w:i/>
    </w:rPr>
  </w:style>
  <w:style w:type="character" w:customStyle="1" w:styleId="109">
    <w:name w:val="纯文本 Char"/>
    <w:basedOn w:val="33"/>
    <w:link w:val="110"/>
    <w:qFormat/>
    <w:uiPriority w:val="0"/>
    <w:rPr>
      <w:rFonts w:ascii="宋体" w:hAnsi="Courier New" w:eastAsia="宋体"/>
      <w:kern w:val="2"/>
      <w:sz w:val="21"/>
      <w:lang w:val="en-US" w:eastAsia="zh-CN"/>
    </w:rPr>
  </w:style>
  <w:style w:type="paragraph" w:customStyle="1" w:styleId="110">
    <w:name w:val="Plain Text_0"/>
    <w:basedOn w:val="1"/>
    <w:link w:val="109"/>
    <w:qFormat/>
    <w:uiPriority w:val="0"/>
    <w:rPr>
      <w:rFonts w:ascii="宋体" w:hAnsi="Courier New" w:eastAsia="宋体"/>
      <w:kern w:val="2"/>
      <w:sz w:val="21"/>
      <w:lang w:val="en-US" w:eastAsia="zh-CN"/>
    </w:rPr>
  </w:style>
  <w:style w:type="character" w:customStyle="1" w:styleId="111">
    <w:name w:val="grame"/>
    <w:qFormat/>
    <w:uiPriority w:val="0"/>
  </w:style>
  <w:style w:type="character" w:customStyle="1" w:styleId="112">
    <w:name w:val="标题 5 Char"/>
    <w:basedOn w:val="33"/>
    <w:link w:val="6"/>
    <w:qFormat/>
    <w:uiPriority w:val="0"/>
    <w:rPr>
      <w:rFonts w:ascii="仿宋_GB2312" w:eastAsia="仿宋_GB2312"/>
      <w:b/>
      <w:bCs/>
      <w:kern w:val="2"/>
      <w:sz w:val="24"/>
      <w:lang w:val="en-US" w:eastAsia="zh-CN"/>
    </w:rPr>
  </w:style>
  <w:style w:type="character" w:customStyle="1" w:styleId="113">
    <w:name w:val="font81"/>
    <w:basedOn w:val="33"/>
    <w:qFormat/>
    <w:uiPriority w:val="0"/>
    <w:rPr>
      <w:rFonts w:hint="eastAsia" w:ascii="宋体" w:hAnsi="宋体" w:eastAsia="宋体"/>
      <w:color w:val="008080"/>
      <w:sz w:val="21"/>
      <w:szCs w:val="21"/>
      <w:u w:val="none"/>
    </w:rPr>
  </w:style>
  <w:style w:type="character" w:customStyle="1" w:styleId="114">
    <w:name w:val="font12"/>
    <w:basedOn w:val="33"/>
    <w:qFormat/>
    <w:uiPriority w:val="0"/>
    <w:rPr>
      <w:rFonts w:hint="eastAsia" w:ascii="仿宋_GB2312" w:eastAsia="仿宋_GB2312"/>
      <w:color w:val="000000"/>
      <w:sz w:val="21"/>
      <w:szCs w:val="21"/>
      <w:u w:val="none"/>
    </w:rPr>
  </w:style>
  <w:style w:type="character" w:customStyle="1" w:styleId="115">
    <w:name w:val="正文文本 (2)_"/>
    <w:link w:val="116"/>
    <w:qFormat/>
    <w:uiPriority w:val="0"/>
    <w:rPr>
      <w:rFonts w:ascii="宋体" w:hAnsi="宋体" w:cs="宋体"/>
      <w:sz w:val="22"/>
      <w:szCs w:val="22"/>
      <w:shd w:val="clear" w:color="auto" w:fill="FFFFFF"/>
    </w:rPr>
  </w:style>
  <w:style w:type="paragraph" w:customStyle="1" w:styleId="116">
    <w:name w:val="正文文本 (2)1"/>
    <w:basedOn w:val="1"/>
    <w:link w:val="115"/>
    <w:qFormat/>
    <w:uiPriority w:val="0"/>
    <w:pPr>
      <w:shd w:val="clear" w:color="auto" w:fill="FFFFFF"/>
      <w:spacing w:line="240" w:lineRule="atLeast"/>
      <w:ind w:hanging="140"/>
      <w:jc w:val="left"/>
    </w:pPr>
    <w:rPr>
      <w:rFonts w:ascii="宋体" w:hAnsi="宋体"/>
      <w:kern w:val="0"/>
      <w:sz w:val="22"/>
      <w:szCs w:val="22"/>
      <w:shd w:val="clear" w:color="auto" w:fill="FFFFFF"/>
    </w:rPr>
  </w:style>
  <w:style w:type="character" w:customStyle="1" w:styleId="117">
    <w:name w:val="font01"/>
    <w:basedOn w:val="33"/>
    <w:qFormat/>
    <w:uiPriority w:val="0"/>
    <w:rPr>
      <w:rFonts w:hint="eastAsia" w:ascii="宋体" w:hAnsi="宋体" w:eastAsia="宋体"/>
      <w:b/>
      <w:bCs/>
      <w:color w:val="000000"/>
      <w:sz w:val="24"/>
      <w:szCs w:val="24"/>
      <w:u w:val="none"/>
    </w:rPr>
  </w:style>
  <w:style w:type="character" w:customStyle="1" w:styleId="118">
    <w:name w:val="无间隔 Char"/>
    <w:basedOn w:val="33"/>
    <w:link w:val="119"/>
    <w:qFormat/>
    <w:uiPriority w:val="0"/>
    <w:rPr>
      <w:kern w:val="2"/>
      <w:sz w:val="21"/>
      <w:lang w:val="en-US" w:eastAsia="zh-CN" w:bidi="ar-SA"/>
    </w:rPr>
  </w:style>
  <w:style w:type="paragraph" w:customStyle="1" w:styleId="119">
    <w:name w:val="无间隔1"/>
    <w:link w:val="118"/>
    <w:qFormat/>
    <w:uiPriority w:val="0"/>
    <w:pPr>
      <w:widowControl w:val="0"/>
      <w:jc w:val="both"/>
    </w:pPr>
    <w:rPr>
      <w:rFonts w:ascii="Calibri" w:hAnsi="Calibri" w:eastAsia="宋体" w:cs="Times New Roman"/>
      <w:kern w:val="2"/>
      <w:sz w:val="21"/>
      <w:lang w:val="en-US" w:eastAsia="zh-CN" w:bidi="ar-SA"/>
    </w:rPr>
  </w:style>
  <w:style w:type="character" w:customStyle="1" w:styleId="120">
    <w:name w:val="不明显强调1"/>
    <w:qFormat/>
    <w:uiPriority w:val="0"/>
    <w:rPr>
      <w:rFonts w:eastAsia="仿宋_GB2312"/>
      <w:iCs/>
      <w:color w:val="auto"/>
      <w:sz w:val="24"/>
    </w:rPr>
  </w:style>
  <w:style w:type="character" w:customStyle="1" w:styleId="121">
    <w:name w:val="页脚 Char"/>
    <w:basedOn w:val="33"/>
    <w:link w:val="18"/>
    <w:qFormat/>
    <w:uiPriority w:val="0"/>
    <w:rPr>
      <w:rFonts w:eastAsia="宋体"/>
      <w:kern w:val="2"/>
      <w:sz w:val="18"/>
      <w:szCs w:val="18"/>
      <w:lang w:val="en-US" w:eastAsia="zh-CN"/>
    </w:rPr>
  </w:style>
  <w:style w:type="character" w:customStyle="1" w:styleId="122">
    <w:name w:val="批注文字 Char Char"/>
    <w:basedOn w:val="33"/>
    <w:qFormat/>
    <w:uiPriority w:val="0"/>
    <w:rPr>
      <w:kern w:val="2"/>
      <w:sz w:val="21"/>
    </w:rPr>
  </w:style>
  <w:style w:type="character" w:customStyle="1" w:styleId="123">
    <w:name w:val="font111"/>
    <w:basedOn w:val="33"/>
    <w:qFormat/>
    <w:uiPriority w:val="0"/>
    <w:rPr>
      <w:rFonts w:hint="eastAsia" w:ascii="宋体" w:hAnsi="宋体" w:eastAsia="宋体"/>
      <w:color w:val="000000"/>
      <w:sz w:val="21"/>
      <w:szCs w:val="21"/>
      <w:u w:val="none"/>
    </w:rPr>
  </w:style>
  <w:style w:type="character" w:customStyle="1" w:styleId="124">
    <w:name w:val="正文文本缩进 2 Char"/>
    <w:basedOn w:val="33"/>
    <w:link w:val="125"/>
    <w:qFormat/>
    <w:uiPriority w:val="0"/>
    <w:rPr>
      <w:rFonts w:ascii="宋体" w:eastAsia="宋体"/>
      <w:kern w:val="2"/>
      <w:sz w:val="24"/>
      <w:lang w:val="en-US" w:eastAsia="zh-CN"/>
    </w:rPr>
  </w:style>
  <w:style w:type="paragraph" w:customStyle="1" w:styleId="125">
    <w:name w:val="Body Text Indent 21"/>
    <w:basedOn w:val="1"/>
    <w:link w:val="124"/>
    <w:qFormat/>
    <w:uiPriority w:val="0"/>
    <w:pPr>
      <w:spacing w:line="500" w:lineRule="exact"/>
      <w:ind w:firstLine="510"/>
    </w:pPr>
    <w:rPr>
      <w:rFonts w:ascii="宋体" w:eastAsia="宋体"/>
      <w:kern w:val="2"/>
      <w:sz w:val="24"/>
      <w:lang w:val="en-US" w:eastAsia="zh-CN"/>
    </w:rPr>
  </w:style>
  <w:style w:type="character" w:customStyle="1" w:styleId="126">
    <w:name w:val="页眉 Char"/>
    <w:basedOn w:val="33"/>
    <w:link w:val="19"/>
    <w:qFormat/>
    <w:uiPriority w:val="0"/>
    <w:rPr>
      <w:rFonts w:eastAsia="宋体"/>
      <w:kern w:val="2"/>
      <w:sz w:val="18"/>
      <w:szCs w:val="18"/>
      <w:lang w:val="en-US" w:eastAsia="zh-CN"/>
    </w:rPr>
  </w:style>
  <w:style w:type="character" w:customStyle="1" w:styleId="127">
    <w:name w:val="H-TextFormat Char Char"/>
    <w:basedOn w:val="33"/>
    <w:link w:val="128"/>
    <w:qFormat/>
    <w:uiPriority w:val="0"/>
    <w:rPr>
      <w:rFonts w:ascii="Arial" w:hAnsi="Arial" w:cs="Arial"/>
      <w:sz w:val="22"/>
      <w:szCs w:val="22"/>
      <w:lang w:val="en-US" w:eastAsia="en-US" w:bidi="ar-SA"/>
    </w:rPr>
  </w:style>
  <w:style w:type="paragraph" w:customStyle="1" w:styleId="128">
    <w:name w:val="H-TextFormat"/>
    <w:link w:val="127"/>
    <w:qFormat/>
    <w:uiPriority w:val="0"/>
    <w:pPr>
      <w:autoSpaceDE w:val="0"/>
      <w:autoSpaceDN w:val="0"/>
      <w:adjustRightInd w:val="0"/>
    </w:pPr>
    <w:rPr>
      <w:rFonts w:ascii="Arial" w:hAnsi="Arial" w:eastAsia="宋体" w:cs="Arial"/>
      <w:sz w:val="22"/>
      <w:szCs w:val="22"/>
      <w:lang w:val="en-US" w:eastAsia="en-US" w:bidi="ar-SA"/>
    </w:rPr>
  </w:style>
  <w:style w:type="character" w:customStyle="1" w:styleId="129">
    <w:name w:val="正文文本 (5)_"/>
    <w:link w:val="130"/>
    <w:qFormat/>
    <w:uiPriority w:val="0"/>
    <w:rPr>
      <w:rFonts w:ascii="宋体" w:hAnsi="宋体" w:cs="宋体"/>
      <w:b/>
      <w:bCs/>
      <w:shd w:val="clear" w:color="auto" w:fill="FFFFFF"/>
    </w:rPr>
  </w:style>
  <w:style w:type="paragraph" w:customStyle="1" w:styleId="130">
    <w:name w:val="正文文本 (5)"/>
    <w:basedOn w:val="1"/>
    <w:link w:val="129"/>
    <w:qFormat/>
    <w:uiPriority w:val="0"/>
    <w:pPr>
      <w:shd w:val="clear" w:color="auto" w:fill="FFFFFF"/>
      <w:spacing w:line="499" w:lineRule="exact"/>
      <w:jc w:val="distribute"/>
    </w:pPr>
    <w:rPr>
      <w:rFonts w:ascii="宋体" w:hAnsi="宋体"/>
      <w:b/>
      <w:bCs/>
      <w:kern w:val="0"/>
      <w:sz w:val="20"/>
      <w:shd w:val="clear" w:color="auto" w:fill="FFFFFF"/>
    </w:rPr>
  </w:style>
  <w:style w:type="character" w:customStyle="1" w:styleId="131">
    <w:name w:val="dy_biao_content1"/>
    <w:qFormat/>
    <w:uiPriority w:val="0"/>
    <w:rPr>
      <w:rFonts w:hint="eastAsia" w:ascii="宋体" w:hAnsi="宋体" w:eastAsia="宋体"/>
      <w:sz w:val="24"/>
      <w:szCs w:val="24"/>
    </w:rPr>
  </w:style>
  <w:style w:type="character" w:customStyle="1" w:styleId="132">
    <w:name w:val="标题 4 Char"/>
    <w:basedOn w:val="33"/>
    <w:link w:val="5"/>
    <w:qFormat/>
    <w:uiPriority w:val="0"/>
    <w:rPr>
      <w:rFonts w:ascii="Cambria" w:hAnsi="Cambria" w:eastAsia="宋体" w:cs="Times New Roman"/>
      <w:b/>
      <w:bCs/>
      <w:kern w:val="2"/>
      <w:sz w:val="28"/>
      <w:szCs w:val="28"/>
    </w:rPr>
  </w:style>
  <w:style w:type="character" w:customStyle="1" w:styleId="133">
    <w:name w:val="black0001"/>
    <w:basedOn w:val="33"/>
    <w:qFormat/>
    <w:uiPriority w:val="0"/>
    <w:rPr>
      <w:b/>
      <w:bCs/>
      <w:color w:val="000000"/>
      <w:sz w:val="16"/>
      <w:szCs w:val="16"/>
    </w:rPr>
  </w:style>
  <w:style w:type="character" w:customStyle="1" w:styleId="134">
    <w:name w:val="font21"/>
    <w:basedOn w:val="33"/>
    <w:qFormat/>
    <w:uiPriority w:val="0"/>
    <w:rPr>
      <w:rFonts w:hint="eastAsia" w:ascii="宋体" w:hAnsi="宋体" w:eastAsia="宋体"/>
      <w:color w:val="000000"/>
      <w:sz w:val="22"/>
      <w:szCs w:val="22"/>
      <w:u w:val="none"/>
    </w:rPr>
  </w:style>
  <w:style w:type="character" w:customStyle="1" w:styleId="135">
    <w:name w:val="HTML Keyboard_0"/>
    <w:basedOn w:val="33"/>
    <w:qFormat/>
    <w:uiPriority w:val="0"/>
    <w:rPr>
      <w:rFonts w:ascii="Consolas" w:hAnsi="Consolas" w:eastAsia="Consolas" w:cs="Consolas"/>
      <w:color w:val="FFFFFF"/>
      <w:sz w:val="21"/>
      <w:szCs w:val="21"/>
      <w:shd w:val="clear" w:color="auto" w:fill="333333"/>
    </w:rPr>
  </w:style>
  <w:style w:type="character" w:customStyle="1" w:styleId="136">
    <w:name w:val="正文文本 (2) + 10 pt1"/>
    <w:qFormat/>
    <w:uiPriority w:val="0"/>
    <w:rPr>
      <w:rFonts w:ascii="宋体" w:hAnsi="宋体" w:eastAsia="宋体" w:cs="宋体"/>
      <w:color w:val="000000"/>
      <w:spacing w:val="0"/>
      <w:w w:val="100"/>
      <w:position w:val="0"/>
      <w:sz w:val="20"/>
      <w:szCs w:val="20"/>
      <w:u w:val="none"/>
      <w:lang w:val="zh-CN" w:eastAsia="zh-CN"/>
    </w:rPr>
  </w:style>
  <w:style w:type="character" w:customStyle="1" w:styleId="137">
    <w:name w:val="标题 3 Char1"/>
    <w:qFormat/>
    <w:uiPriority w:val="0"/>
    <w:rPr>
      <w:rFonts w:eastAsia="宋体"/>
      <w:b/>
      <w:bCs/>
      <w:kern w:val="2"/>
      <w:sz w:val="32"/>
      <w:szCs w:val="32"/>
      <w:lang w:val="en-US" w:eastAsia="zh-CN"/>
    </w:rPr>
  </w:style>
  <w:style w:type="character" w:customStyle="1" w:styleId="138">
    <w:name w:val="文档结构图 Char"/>
    <w:basedOn w:val="33"/>
    <w:link w:val="139"/>
    <w:qFormat/>
    <w:uiPriority w:val="0"/>
    <w:rPr>
      <w:rFonts w:eastAsia="宋体"/>
      <w:kern w:val="2"/>
      <w:sz w:val="21"/>
      <w:lang w:val="en-US" w:eastAsia="zh-CN"/>
    </w:rPr>
  </w:style>
  <w:style w:type="paragraph" w:customStyle="1" w:styleId="139">
    <w:name w:val="Document Map"/>
    <w:basedOn w:val="1"/>
    <w:link w:val="138"/>
    <w:qFormat/>
    <w:uiPriority w:val="0"/>
    <w:pPr>
      <w:shd w:val="clear" w:color="auto" w:fill="000080"/>
    </w:pPr>
    <w:rPr>
      <w:rFonts w:eastAsia="宋体"/>
      <w:kern w:val="2"/>
      <w:sz w:val="21"/>
      <w:lang w:val="en-US" w:eastAsia="zh-CN"/>
    </w:rPr>
  </w:style>
  <w:style w:type="character" w:customStyle="1" w:styleId="140">
    <w:name w:val="HTML 预设格式 Char"/>
    <w:basedOn w:val="33"/>
    <w:link w:val="141"/>
    <w:qFormat/>
    <w:uiPriority w:val="0"/>
    <w:rPr>
      <w:rFonts w:ascii="Arial" w:hAnsi="Arial" w:cs="Arial"/>
      <w:sz w:val="24"/>
      <w:szCs w:val="24"/>
    </w:rPr>
  </w:style>
  <w:style w:type="paragraph" w:customStyle="1" w:styleId="141">
    <w:name w:val="HTML Preformatted_0"/>
    <w:basedOn w:val="1"/>
    <w:link w:val="14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szCs w:val="24"/>
    </w:rPr>
  </w:style>
  <w:style w:type="character" w:customStyle="1" w:styleId="142">
    <w:name w:val="apple-converted-space"/>
    <w:basedOn w:val="33"/>
    <w:qFormat/>
    <w:uiPriority w:val="0"/>
  </w:style>
  <w:style w:type="character" w:customStyle="1" w:styleId="143">
    <w:name w:val="正文缩进 Char1"/>
    <w:qFormat/>
    <w:uiPriority w:val="0"/>
    <w:rPr>
      <w:rFonts w:ascii="Cambria" w:hAnsi="Cambria"/>
      <w:b/>
      <w:bCs/>
      <w:kern w:val="2"/>
      <w:sz w:val="32"/>
      <w:szCs w:val="32"/>
    </w:rPr>
  </w:style>
  <w:style w:type="character" w:customStyle="1" w:styleId="144">
    <w:name w:val="段 Char Char"/>
    <w:basedOn w:val="33"/>
    <w:link w:val="71"/>
    <w:qFormat/>
    <w:uiPriority w:val="0"/>
    <w:rPr>
      <w:rFonts w:ascii="宋体"/>
      <w:sz w:val="21"/>
      <w:lang w:val="en-US" w:eastAsia="zh-CN" w:bidi="ar-SA"/>
    </w:rPr>
  </w:style>
  <w:style w:type="character" w:customStyle="1" w:styleId="145">
    <w:name w:val="样式4 Char Char"/>
    <w:basedOn w:val="33"/>
    <w:link w:val="146"/>
    <w:qFormat/>
    <w:uiPriority w:val="0"/>
    <w:rPr>
      <w:kern w:val="2"/>
      <w:sz w:val="24"/>
      <w:szCs w:val="24"/>
    </w:rPr>
  </w:style>
  <w:style w:type="paragraph" w:customStyle="1" w:styleId="146">
    <w:name w:val="样式4"/>
    <w:basedOn w:val="9"/>
    <w:link w:val="145"/>
    <w:qFormat/>
    <w:uiPriority w:val="0"/>
    <w:pPr>
      <w:adjustRightInd/>
      <w:spacing w:line="500" w:lineRule="exact"/>
      <w:ind w:firstLine="480" w:firstLineChars="200"/>
    </w:pPr>
    <w:rPr>
      <w:kern w:val="2"/>
      <w:sz w:val="24"/>
      <w:szCs w:val="24"/>
    </w:rPr>
  </w:style>
  <w:style w:type="character" w:customStyle="1" w:styleId="147">
    <w:name w:val="标题 3 Char"/>
    <w:basedOn w:val="33"/>
    <w:link w:val="4"/>
    <w:qFormat/>
    <w:uiPriority w:val="0"/>
    <w:rPr>
      <w:rFonts w:eastAsia="楷体_GB2312"/>
      <w:kern w:val="2"/>
      <w:sz w:val="28"/>
    </w:rPr>
  </w:style>
  <w:style w:type="character" w:customStyle="1" w:styleId="148">
    <w:name w:val="font51"/>
    <w:basedOn w:val="33"/>
    <w:qFormat/>
    <w:uiPriority w:val="0"/>
    <w:rPr>
      <w:rFonts w:hint="eastAsia" w:ascii="宋体" w:hAnsi="宋体" w:eastAsia="宋体"/>
      <w:color w:val="000000"/>
      <w:sz w:val="24"/>
      <w:szCs w:val="24"/>
      <w:u w:val="none"/>
    </w:rPr>
  </w:style>
  <w:style w:type="character" w:customStyle="1" w:styleId="149">
    <w:name w:val="font11"/>
    <w:basedOn w:val="33"/>
    <w:qFormat/>
    <w:uiPriority w:val="0"/>
    <w:rPr>
      <w:rFonts w:hint="eastAsia" w:ascii="宋体" w:hAnsi="宋体" w:eastAsia="宋体"/>
      <w:b/>
      <w:bCs/>
      <w:color w:val="000000"/>
      <w:sz w:val="22"/>
      <w:szCs w:val="22"/>
      <w:u w:val="none"/>
    </w:rPr>
  </w:style>
  <w:style w:type="paragraph" w:customStyle="1" w:styleId="150">
    <w:name w:val="AbsatzTableFormat"/>
    <w:basedOn w:val="1"/>
    <w:qFormat/>
    <w:uiPriority w:val="0"/>
    <w:pPr>
      <w:widowControl/>
      <w:ind w:left="112" w:right="112"/>
      <w:jc w:val="left"/>
    </w:pPr>
    <w:rPr>
      <w:rFonts w:ascii="Arial" w:hAnsi="Univers" w:cs="Arial"/>
      <w:kern w:val="0"/>
      <w:sz w:val="24"/>
    </w:rPr>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三级无"/>
    <w:basedOn w:val="81"/>
    <w:qFormat/>
    <w:uiPriority w:val="0"/>
    <w:rPr>
      <w:rFonts w:ascii="宋体" w:eastAsia="宋体"/>
    </w:rPr>
  </w:style>
  <w:style w:type="paragraph" w:customStyle="1" w:styleId="153">
    <w:name w:val="index 1"/>
    <w:basedOn w:val="1"/>
    <w:next w:val="1"/>
    <w:qFormat/>
    <w:uiPriority w:val="0"/>
    <w:pPr>
      <w:spacing w:after="120" w:afterLines="0" w:line="360" w:lineRule="auto"/>
      <w:ind w:left="208" w:leftChars="42" w:hanging="120" w:hangingChars="50"/>
    </w:pPr>
    <w:rPr>
      <w:rFonts w:ascii="宋体" w:hAnsi="宋体"/>
      <w:sz w:val="24"/>
    </w:rPr>
  </w:style>
  <w:style w:type="paragraph" w:customStyle="1" w:styleId="154">
    <w:name w:val="List Paragraph_8ed451a9-9c35-4b7e-8ca6-e89da4f27aeb"/>
    <w:basedOn w:val="1"/>
    <w:qFormat/>
    <w:uiPriority w:val="0"/>
    <w:pPr>
      <w:ind w:firstLine="420" w:firstLineChars="200"/>
    </w:pPr>
    <w:rPr>
      <w:rFonts w:ascii="Calibri" w:hAnsi="Calibri" w:eastAsia="宋体" w:cs="Times New Roman"/>
      <w:szCs w:val="21"/>
    </w:rPr>
  </w:style>
  <w:style w:type="paragraph" w:customStyle="1" w:styleId="155">
    <w:name w:val="样式 5 + 首行缩进:  2 字符"/>
    <w:basedOn w:val="90"/>
    <w:qFormat/>
    <w:uiPriority w:val="0"/>
    <w:pPr>
      <w:ind w:firstLine="630"/>
    </w:pPr>
    <w:rPr>
      <w:rFonts w:ascii="黑体" w:hAnsi="华文细黑" w:eastAsia="黑体" w:cs="宋体"/>
      <w:spacing w:val="0"/>
      <w:szCs w:val="20"/>
    </w:rPr>
  </w:style>
  <w:style w:type="paragraph" w:customStyle="1" w:styleId="156">
    <w:name w:val="Normal (Web)1"/>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157">
    <w:name w:val="样式 首行缩进:  2 字符"/>
    <w:basedOn w:val="1"/>
    <w:qFormat/>
    <w:uiPriority w:val="0"/>
    <w:pPr>
      <w:spacing w:line="400" w:lineRule="exact"/>
      <w:ind w:firstLine="200" w:firstLineChars="200"/>
    </w:pPr>
    <w:rPr>
      <w:rFonts w:cs="宋体"/>
      <w:sz w:val="24"/>
    </w:rPr>
  </w:style>
  <w:style w:type="paragraph" w:customStyle="1" w:styleId="158">
    <w:name w:val="样式 5 + 首行缩进:  2 字符1"/>
    <w:basedOn w:val="90"/>
    <w:qFormat/>
    <w:uiPriority w:val="0"/>
    <w:pPr>
      <w:ind w:firstLine="0" w:firstLineChars="0"/>
    </w:pPr>
    <w:rPr>
      <w:bCs/>
      <w:snapToGrid/>
    </w:rPr>
  </w:style>
  <w:style w:type="paragraph" w:customStyle="1" w:styleId="159">
    <w:name w:val="List Paragraph1"/>
    <w:basedOn w:val="1"/>
    <w:qFormat/>
    <w:uiPriority w:val="0"/>
    <w:pPr>
      <w:spacing w:beforeLines="50" w:after="100" w:afterAutospacing="1"/>
      <w:ind w:firstLine="420" w:firstLineChars="200"/>
    </w:pPr>
    <w:rPr>
      <w:rFonts w:ascii="Calibri" w:hAnsi="Calibri" w:eastAsia="宋体" w:cs="Times New Roman"/>
      <w:szCs w:val="21"/>
    </w:rPr>
  </w:style>
  <w:style w:type="paragraph" w:customStyle="1" w:styleId="160">
    <w:name w:val="无间隔11"/>
    <w:qFormat/>
    <w:uiPriority w:val="0"/>
    <w:pPr>
      <w:widowControl w:val="0"/>
      <w:jc w:val="both"/>
    </w:pPr>
    <w:rPr>
      <w:rFonts w:ascii="Calibri" w:hAnsi="Calibri" w:eastAsia="宋体" w:cs="Times New Roman"/>
      <w:kern w:val="2"/>
      <w:sz w:val="21"/>
      <w:lang w:val="en-US" w:eastAsia="zh-CN" w:bidi="ar-SA"/>
    </w:rPr>
  </w:style>
  <w:style w:type="paragraph" w:customStyle="1" w:styleId="161">
    <w:name w:val="_Style 1"/>
    <w:basedOn w:val="1"/>
    <w:qFormat/>
    <w:uiPriority w:val="99"/>
    <w:pPr>
      <w:ind w:firstLine="420" w:firstLineChars="200"/>
    </w:pPr>
    <w:rPr>
      <w:rFonts w:ascii="Calibri" w:hAnsi="Calibri" w:eastAsia="宋体" w:cs="黑体"/>
      <w:szCs w:val="24"/>
    </w:rPr>
  </w:style>
  <w:style w:type="paragraph" w:customStyle="1" w:styleId="162">
    <w:name w:val="设计正文"/>
    <w:basedOn w:val="106"/>
    <w:qFormat/>
    <w:uiPriority w:val="0"/>
  </w:style>
  <w:style w:type="paragraph" w:customStyle="1" w:styleId="163">
    <w:name w:val="表格内容"/>
    <w:basedOn w:val="1"/>
    <w:qFormat/>
    <w:uiPriority w:val="0"/>
    <w:pPr>
      <w:overflowPunct w:val="0"/>
      <w:adjustRightInd w:val="0"/>
      <w:spacing w:before="40" w:beforeLines="0" w:after="60" w:afterLines="0" w:line="200" w:lineRule="atLeast"/>
      <w:textAlignment w:val="baseline"/>
    </w:pPr>
    <w:rPr>
      <w:rFonts w:ascii="Arial" w:hAnsi="Arial" w:eastAsia="仿宋_GB2312"/>
      <w:kern w:val="0"/>
      <w:sz w:val="24"/>
    </w:rPr>
  </w:style>
  <w:style w:type="paragraph" w:customStyle="1" w:styleId="164">
    <w:name w:val="编号列项（三级）"/>
    <w:qFormat/>
    <w:uiPriority w:val="0"/>
    <w:pPr>
      <w:numPr>
        <w:ilvl w:val="2"/>
        <w:numId w:val="2"/>
      </w:numPr>
      <w:tabs>
        <w:tab w:val="left" w:pos="839"/>
        <w:tab w:val="clear" w:pos="0"/>
      </w:tabs>
    </w:pPr>
    <w:rPr>
      <w:rFonts w:ascii="宋体" w:hAnsi="Calibri" w:eastAsia="宋体" w:cs="Times New Roman"/>
      <w:sz w:val="21"/>
      <w:lang w:val="en-US" w:eastAsia="zh-CN" w:bidi="ar-SA"/>
    </w:rPr>
  </w:style>
  <w:style w:type="paragraph" w:customStyle="1" w:styleId="165">
    <w:name w:val="设计"/>
    <w:basedOn w:val="1"/>
    <w:qFormat/>
    <w:uiPriority w:val="0"/>
    <w:pPr>
      <w:tabs>
        <w:tab w:val="left" w:pos="2895"/>
      </w:tabs>
    </w:pPr>
    <w:rPr>
      <w:rFonts w:ascii="仿宋_GB2312" w:hAnsi="黑体" w:eastAsia="仿宋_GB2312"/>
      <w:bCs/>
      <w:sz w:val="28"/>
      <w:szCs w:val="28"/>
    </w:rPr>
  </w:style>
  <w:style w:type="paragraph" w:customStyle="1" w:styleId="166">
    <w:name w:val="章标题"/>
    <w:next w:val="71"/>
    <w:qFormat/>
    <w:uiPriority w:val="0"/>
    <w:pPr>
      <w:numPr>
        <w:ilvl w:val="0"/>
        <w:numId w:val="1"/>
      </w:numPr>
      <w:spacing w:before="312" w:beforeLines="100" w:after="312" w:afterLines="100"/>
      <w:jc w:val="both"/>
      <w:outlineLvl w:val="1"/>
    </w:pPr>
    <w:rPr>
      <w:rFonts w:ascii="黑体" w:hAnsi="Calibri" w:eastAsia="黑体" w:cs="Times New Roman"/>
      <w:sz w:val="21"/>
      <w:lang w:val="en-US" w:eastAsia="zh-CN" w:bidi="ar-SA"/>
    </w:rPr>
  </w:style>
  <w:style w:type="paragraph" w:customStyle="1" w:styleId="167">
    <w:name w:val="二级无"/>
    <w:basedOn w:val="80"/>
    <w:qFormat/>
    <w:uiPriority w:val="0"/>
    <w:rPr>
      <w:rFonts w:ascii="宋体" w:eastAsia="宋体"/>
    </w:rPr>
  </w:style>
  <w:style w:type="paragraph" w:customStyle="1" w:styleId="168">
    <w:name w:val="Char"/>
    <w:basedOn w:val="1"/>
    <w:qFormat/>
    <w:uiPriority w:val="0"/>
    <w:pPr>
      <w:widowControl/>
      <w:spacing w:after="160" w:afterLines="0" w:line="240" w:lineRule="exact"/>
      <w:jc w:val="center"/>
    </w:pPr>
    <w:rPr>
      <w:rFonts w:ascii="黑体" w:hAnsi="Verdana" w:eastAsia="黑体"/>
      <w:kern w:val="0"/>
      <w:sz w:val="32"/>
      <w:szCs w:val="32"/>
      <w:lang w:eastAsia="en-US"/>
    </w:rPr>
  </w:style>
  <w:style w:type="paragraph" w:customStyle="1" w:styleId="169">
    <w:name w:val="Char Char Char Char Char Char Char Char Char Char Char Char"/>
    <w:basedOn w:val="1"/>
    <w:qFormat/>
    <w:uiPriority w:val="0"/>
    <w:pPr>
      <w:tabs>
        <w:tab w:val="right" w:pos="-2120"/>
      </w:tabs>
      <w:snapToGrid w:val="0"/>
    </w:pPr>
    <w:rPr>
      <w:rFonts w:ascii="Tahoma" w:hAnsi="Tahoma"/>
      <w:spacing w:val="6"/>
      <w:sz w:val="24"/>
    </w:rPr>
  </w:style>
  <w:style w:type="paragraph" w:customStyle="1" w:styleId="170">
    <w:name w:val="WPSOffice手动目录 1"/>
    <w:qFormat/>
    <w:uiPriority w:val="0"/>
    <w:pPr>
      <w:ind w:leftChars="0"/>
    </w:pPr>
    <w:rPr>
      <w:rFonts w:ascii="Calibri" w:hAnsi="Calibri" w:eastAsia="宋体" w:cs="Times New Roman"/>
      <w:sz w:val="20"/>
      <w:szCs w:val="20"/>
    </w:rPr>
  </w:style>
  <w:style w:type="paragraph" w:customStyle="1" w:styleId="171">
    <w:name w:val="toa heading"/>
    <w:basedOn w:val="1"/>
    <w:next w:val="1"/>
    <w:qFormat/>
    <w:uiPriority w:val="0"/>
    <w:pPr>
      <w:spacing w:before="120" w:beforeLines="0"/>
    </w:pPr>
    <w:rPr>
      <w:rFonts w:ascii="Arial" w:hAnsi="Arial" w:cs="Arial"/>
      <w:sz w:val="24"/>
    </w:rPr>
  </w:style>
  <w:style w:type="paragraph" w:customStyle="1" w:styleId="172">
    <w:name w:val="Char1"/>
    <w:basedOn w:val="1"/>
    <w:qFormat/>
    <w:uiPriority w:val="0"/>
    <w:pPr>
      <w:ind w:firstLine="200" w:firstLineChars="200"/>
    </w:pPr>
    <w:rPr>
      <w:szCs w:val="24"/>
    </w:rPr>
  </w:style>
  <w:style w:type="paragraph" w:customStyle="1" w:styleId="173">
    <w:name w:val="msonormalcxspmiddle"/>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174">
    <w:name w:val="样式79"/>
    <w:basedOn w:val="1"/>
    <w:qFormat/>
    <w:uiPriority w:val="0"/>
    <w:pPr>
      <w:keepNext/>
      <w:tabs>
        <w:tab w:val="left" w:pos="0"/>
      </w:tabs>
      <w:suppressAutoHyphens/>
      <w:adjustRightInd w:val="0"/>
      <w:snapToGrid w:val="0"/>
      <w:spacing w:after="156" w:afterLines="50" w:line="520" w:lineRule="exact"/>
      <w:outlineLvl w:val="2"/>
    </w:pPr>
    <w:rPr>
      <w:rFonts w:ascii="仿宋_GB2312" w:hAnsi="宋体" w:eastAsia="仿宋_GB2312"/>
      <w:b/>
      <w:bCs/>
      <w:color w:val="000000"/>
      <w:kern w:val="0"/>
      <w:sz w:val="24"/>
      <w:szCs w:val="24"/>
    </w:rPr>
  </w:style>
  <w:style w:type="paragraph" w:customStyle="1" w:styleId="175">
    <w:name w:val="列出段落21"/>
    <w:basedOn w:val="1"/>
    <w:qFormat/>
    <w:uiPriority w:val="0"/>
    <w:pPr>
      <w:ind w:firstLine="420" w:firstLineChars="200"/>
    </w:pPr>
    <w:rPr>
      <w:rFonts w:ascii="Calibri" w:hAnsi="Calibri"/>
      <w:szCs w:val="22"/>
    </w:rPr>
  </w:style>
  <w:style w:type="paragraph" w:customStyle="1" w:styleId="176">
    <w:name w:val="样式2"/>
    <w:basedOn w:val="1"/>
    <w:qFormat/>
    <w:uiPriority w:val="0"/>
    <w:pPr>
      <w:spacing w:line="360" w:lineRule="auto"/>
    </w:pPr>
    <w:rPr>
      <w:rFonts w:ascii="Century Gothic" w:hAnsi="Century Gothic" w:eastAsia="黑体"/>
      <w:b/>
      <w:sz w:val="32"/>
      <w:szCs w:val="30"/>
    </w:rPr>
  </w:style>
  <w:style w:type="paragraph" w:customStyle="1" w:styleId="177">
    <w:name w:val="Char13"/>
    <w:basedOn w:val="1"/>
    <w:qFormat/>
    <w:uiPriority w:val="0"/>
    <w:rPr>
      <w:szCs w:val="24"/>
    </w:rPr>
  </w:style>
  <w:style w:type="paragraph" w:customStyle="1" w:styleId="178">
    <w:name w:val="修订1"/>
    <w:qFormat/>
    <w:uiPriority w:val="0"/>
    <w:rPr>
      <w:rFonts w:ascii="Calibri" w:hAnsi="Calibri" w:eastAsia="宋体" w:cs="Times New Roman"/>
      <w:kern w:val="2"/>
      <w:sz w:val="21"/>
      <w:lang w:val="en-US" w:eastAsia="zh-CN" w:bidi="ar-SA"/>
    </w:rPr>
  </w:style>
  <w:style w:type="paragraph" w:customStyle="1" w:styleId="179">
    <w:name w:val="正文表标题"/>
    <w:next w:val="71"/>
    <w:qFormat/>
    <w:uiPriority w:val="0"/>
    <w:pPr>
      <w:numPr>
        <w:ilvl w:val="0"/>
        <w:numId w:val="3"/>
      </w:numPr>
      <w:tabs>
        <w:tab w:val="left" w:pos="360"/>
      </w:tabs>
      <w:spacing w:before="156" w:beforeLines="50" w:after="156" w:afterLines="50"/>
      <w:jc w:val="center"/>
    </w:pPr>
    <w:rPr>
      <w:rFonts w:ascii="黑体" w:hAnsi="Calibri" w:eastAsia="黑体" w:cs="Times New Roman"/>
      <w:sz w:val="21"/>
      <w:lang w:val="en-US" w:eastAsia="zh-CN" w:bidi="ar-SA"/>
    </w:rPr>
  </w:style>
  <w:style w:type="paragraph" w:customStyle="1" w:styleId="180">
    <w:name w:val="Char2 Char Char Char Char Char Char"/>
    <w:basedOn w:val="139"/>
    <w:qFormat/>
    <w:uiPriority w:val="0"/>
    <w:rPr>
      <w:rFonts w:ascii="Tahoma" w:hAnsi="Tahoma"/>
      <w:sz w:val="24"/>
      <w:szCs w:val="24"/>
    </w:rPr>
  </w:style>
  <w:style w:type="paragraph" w:customStyle="1" w:styleId="181">
    <w:name w:val="Char Char Char Char Char Char Char Char Char Char Char Char Char"/>
    <w:basedOn w:val="1"/>
    <w:qFormat/>
    <w:uiPriority w:val="0"/>
  </w:style>
  <w:style w:type="paragraph" w:customStyle="1" w:styleId="182">
    <w:name w:val="五级条标题"/>
    <w:basedOn w:val="82"/>
    <w:next w:val="71"/>
    <w:qFormat/>
    <w:uiPriority w:val="0"/>
    <w:pPr>
      <w:numPr>
        <w:ilvl w:val="0"/>
        <w:numId w:val="0"/>
      </w:numPr>
      <w:tabs>
        <w:tab w:val="left" w:pos="360"/>
      </w:tabs>
      <w:ind w:left="2520" w:hanging="420"/>
      <w:outlineLvl w:val="6"/>
    </w:pPr>
  </w:style>
  <w:style w:type="paragraph" w:customStyle="1" w:styleId="183">
    <w:name w:val="样式44"/>
    <w:basedOn w:val="90"/>
    <w:qFormat/>
    <w:uiPriority w:val="0"/>
    <w:pPr>
      <w:ind w:firstLine="630"/>
    </w:pPr>
    <w:rPr>
      <w:rFonts w:ascii="黑体" w:hAnsi="华文细黑" w:eastAsia="黑体"/>
      <w:bCs/>
      <w:spacing w:val="0"/>
    </w:rPr>
  </w:style>
  <w:style w:type="paragraph" w:customStyle="1" w:styleId="184">
    <w:name w:val="列出段落1"/>
    <w:basedOn w:val="1"/>
    <w:qFormat/>
    <w:uiPriority w:val="0"/>
    <w:pPr>
      <w:ind w:firstLine="420" w:firstLineChars="200"/>
    </w:pPr>
  </w:style>
  <w:style w:type="paragraph" w:customStyle="1" w:styleId="185">
    <w:name w:val="Absatz2AL"/>
    <w:basedOn w:val="9"/>
    <w:next w:val="1"/>
    <w:qFormat/>
    <w:uiPriority w:val="0"/>
    <w:pPr>
      <w:widowControl/>
      <w:overflowPunct w:val="0"/>
      <w:autoSpaceDE w:val="0"/>
      <w:autoSpaceDN w:val="0"/>
      <w:spacing w:line="240" w:lineRule="auto"/>
      <w:textAlignment w:val="baseline"/>
    </w:pPr>
    <w:rPr>
      <w:rFonts w:ascii="Times New Roman" w:hAnsi="Times New Roman" w:eastAsia="楷体_GB2312"/>
      <w:bCs w:val="0"/>
      <w:color w:val="auto"/>
      <w:kern w:val="0"/>
    </w:rPr>
  </w:style>
  <w:style w:type="paragraph" w:customStyle="1" w:styleId="186">
    <w:name w:val="图"/>
    <w:basedOn w:val="1"/>
    <w:qFormat/>
    <w:uiPriority w:val="0"/>
    <w:pPr>
      <w:keepNext/>
      <w:adjustRightInd w:val="0"/>
      <w:spacing w:before="60" w:beforeLines="0" w:after="60" w:afterLines="0" w:line="300" w:lineRule="auto"/>
      <w:jc w:val="center"/>
      <w:textAlignment w:val="center"/>
    </w:pPr>
    <w:rPr>
      <w:snapToGrid w:val="0"/>
      <w:spacing w:val="20"/>
      <w:kern w:val="0"/>
      <w:sz w:val="24"/>
    </w:rPr>
  </w:style>
  <w:style w:type="paragraph" w:customStyle="1" w:styleId="187">
    <w:name w:val="数字编号列项（二级）"/>
    <w:qFormat/>
    <w:uiPriority w:val="0"/>
    <w:pPr>
      <w:numPr>
        <w:ilvl w:val="1"/>
        <w:numId w:val="2"/>
      </w:numPr>
      <w:tabs>
        <w:tab w:val="left" w:pos="839"/>
        <w:tab w:val="clear" w:pos="1259"/>
      </w:tabs>
      <w:jc w:val="both"/>
    </w:pPr>
    <w:rPr>
      <w:rFonts w:ascii="宋体" w:hAnsi="Calibri" w:eastAsia="宋体" w:cs="Times New Roman"/>
      <w:sz w:val="21"/>
      <w:lang w:val="en-US" w:eastAsia="zh-CN" w:bidi="ar-SA"/>
    </w:rPr>
  </w:style>
  <w:style w:type="paragraph" w:customStyle="1" w:styleId="188">
    <w:name w:val="xl23"/>
    <w:next w:val="25"/>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89">
    <w:name w:val="样式 标题 2 + 宋体 五号 行距: 单倍行距"/>
    <w:basedOn w:val="3"/>
    <w:qFormat/>
    <w:uiPriority w:val="0"/>
    <w:pPr>
      <w:adjustRightInd w:val="0"/>
      <w:spacing w:line="240" w:lineRule="auto"/>
      <w:jc w:val="left"/>
      <w:textAlignment w:val="baseline"/>
    </w:pPr>
    <w:rPr>
      <w:rFonts w:ascii="宋体" w:hAnsi="宋体" w:eastAsia="宋体" w:cs="宋体"/>
      <w:kern w:val="0"/>
      <w:sz w:val="21"/>
      <w:szCs w:val="20"/>
    </w:rPr>
  </w:style>
  <w:style w:type="paragraph" w:customStyle="1" w:styleId="190">
    <w:name w:val="正文公式编号制表符"/>
    <w:basedOn w:val="71"/>
    <w:next w:val="71"/>
    <w:qFormat/>
    <w:uiPriority w:val="0"/>
    <w:pPr>
      <w:ind w:firstLine="0" w:firstLineChars="0"/>
    </w:pPr>
  </w:style>
  <w:style w:type="paragraph" w:customStyle="1" w:styleId="191">
    <w:name w:val="抬头"/>
    <w:basedOn w:val="1"/>
    <w:qFormat/>
    <w:uiPriority w:val="0"/>
    <w:pPr>
      <w:spacing w:before="156" w:beforeLines="50" w:line="360" w:lineRule="auto"/>
    </w:pPr>
    <w:rPr>
      <w:rFonts w:ascii="宋体"/>
      <w:sz w:val="24"/>
      <w:szCs w:val="24"/>
    </w:rPr>
  </w:style>
  <w:style w:type="paragraph" w:customStyle="1" w:styleId="192">
    <w:name w:val="p0"/>
    <w:basedOn w:val="1"/>
    <w:qFormat/>
    <w:uiPriority w:val="0"/>
    <w:pPr>
      <w:widowControl/>
    </w:pPr>
    <w:rPr>
      <w:kern w:val="0"/>
      <w:szCs w:val="21"/>
    </w:rPr>
  </w:style>
  <w:style w:type="paragraph" w:customStyle="1" w:styleId="193">
    <w:name w:val="Char Char Char"/>
    <w:basedOn w:val="1"/>
    <w:qFormat/>
    <w:uiPriority w:val="0"/>
    <w:rPr>
      <w:szCs w:val="24"/>
    </w:rPr>
  </w:style>
  <w:style w:type="paragraph" w:customStyle="1" w:styleId="194">
    <w:name w:val="正文五号"/>
    <w:basedOn w:val="1"/>
    <w:qFormat/>
    <w:uiPriority w:val="0"/>
    <w:rPr>
      <w:rFonts w:ascii="宋体" w:eastAsia="仿宋_GB2312"/>
    </w:rPr>
  </w:style>
  <w:style w:type="paragraph" w:customStyle="1" w:styleId="195">
    <w:name w:val="字母编号列项（一级）"/>
    <w:qFormat/>
    <w:uiPriority w:val="0"/>
    <w:pPr>
      <w:numPr>
        <w:ilvl w:val="0"/>
        <w:numId w:val="2"/>
      </w:numPr>
      <w:jc w:val="both"/>
    </w:pPr>
    <w:rPr>
      <w:rFonts w:ascii="宋体" w:hAnsi="Calibri" w:eastAsia="宋体" w:cs="Times New Roman"/>
      <w:sz w:val="21"/>
      <w:lang w:val="en-US" w:eastAsia="zh-CN" w:bidi="ar-SA"/>
    </w:rPr>
  </w:style>
  <w:style w:type="paragraph" w:customStyle="1" w:styleId="196">
    <w:name w:val="修订11"/>
    <w:qFormat/>
    <w:uiPriority w:val="0"/>
    <w:rPr>
      <w:rFonts w:ascii="Calibri" w:hAnsi="Calibri" w:eastAsia="宋体" w:cs="Times New Roman"/>
      <w:kern w:val="2"/>
      <w:sz w:val="21"/>
      <w:lang w:val="en-US" w:eastAsia="zh-CN" w:bidi="ar-SA"/>
    </w:rPr>
  </w:style>
  <w:style w:type="paragraph" w:customStyle="1" w:styleId="197">
    <w:name w:val="List Paragraph"/>
    <w:basedOn w:val="1"/>
    <w:qFormat/>
    <w:uiPriority w:val="0"/>
    <w:pPr>
      <w:ind w:firstLine="420" w:firstLineChars="200"/>
    </w:pPr>
  </w:style>
  <w:style w:type="paragraph" w:customStyle="1" w:styleId="198">
    <w:name w:val="Char Char1 Char Char"/>
    <w:basedOn w:val="1"/>
    <w:qFormat/>
    <w:uiPriority w:val="0"/>
    <w:pPr>
      <w:tabs>
        <w:tab w:val="left" w:pos="360"/>
      </w:tabs>
    </w:pPr>
  </w:style>
  <w:style w:type="paragraph" w:customStyle="1" w:styleId="199">
    <w:name w:val="正文样式啊啊 啊啊 啊啊"/>
    <w:basedOn w:val="1"/>
    <w:qFormat/>
    <w:uiPriority w:val="0"/>
    <w:pPr>
      <w:spacing w:line="360" w:lineRule="auto"/>
      <w:ind w:firstLine="200" w:firstLineChars="200"/>
    </w:pPr>
    <w:rPr>
      <w:rFonts w:eastAsia="仿宋_GB2312"/>
      <w:color w:val="FF0000"/>
      <w:sz w:val="28"/>
      <w:szCs w:val="24"/>
    </w:rPr>
  </w:style>
  <w:style w:type="paragraph" w:customStyle="1" w:styleId="20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01">
    <w:name w:val="not([class*=suffix])"/>
    <w:basedOn w:val="33"/>
    <w:qFormat/>
    <w:uiPriority w:val="0"/>
    <w:rPr>
      <w:sz w:val="19"/>
      <w:szCs w:val="19"/>
    </w:rPr>
  </w:style>
  <w:style w:type="character" w:customStyle="1" w:styleId="202">
    <w:name w:val="not([class*=suffix])1"/>
    <w:basedOn w:val="33"/>
    <w:qFormat/>
    <w:uiPriority w:val="0"/>
  </w:style>
  <w:style w:type="character" w:customStyle="1" w:styleId="203">
    <w:name w:val="active[data-v-5a67f9ae]"/>
    <w:basedOn w:val="33"/>
    <w:qFormat/>
    <w:uiPriority w:val="0"/>
    <w:rPr>
      <w:b/>
      <w:bCs/>
    </w:rPr>
  </w:style>
  <w:style w:type="paragraph" w:customStyle="1" w:styleId="204">
    <w:name w:val="Heading1"/>
    <w:basedOn w:val="1"/>
    <w:next w:val="1"/>
    <w:qFormat/>
    <w:uiPriority w:val="0"/>
    <w:pPr>
      <w:keepNext/>
      <w:keepLines/>
      <w:spacing w:before="340" w:after="330" w:line="576" w:lineRule="auto"/>
      <w:jc w:val="both"/>
    </w:pPr>
    <w:rPr>
      <w:rFonts w:ascii="Calibri" w:hAnsi="Calibri" w:eastAsia="宋体"/>
      <w:b/>
      <w:kern w:val="44"/>
      <w:sz w:val="44"/>
      <w:szCs w:val="24"/>
      <w:lang w:val="en-US" w:eastAsia="zh-CN" w:bidi="ar-SA"/>
    </w:rPr>
  </w:style>
  <w:style w:type="paragraph" w:customStyle="1" w:styleId="205">
    <w:name w:val="正文_4"/>
    <w:next w:val="3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6">
    <w:name w:val="Plain Text"/>
    <w:basedOn w:val="1"/>
    <w:qFormat/>
    <w:uiPriority w:val="0"/>
    <w:rPr>
      <w:rFonts w:ascii="宋体" w:hAnsi="Courier New" w:eastAsia="宋体"/>
      <w:kern w:val="2"/>
      <w:sz w:val="21"/>
      <w:lang w:val="en-US" w:eastAsia="zh-CN"/>
    </w:rPr>
  </w:style>
  <w:style w:type="paragraph" w:customStyle="1" w:styleId="207">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208">
    <w:name w:val="附件标题1"/>
    <w:next w:val="1"/>
    <w:qFormat/>
    <w:uiPriority w:val="0"/>
    <w:pPr>
      <w:numPr>
        <w:ilvl w:val="0"/>
        <w:numId w:val="4"/>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paragraph" w:customStyle="1" w:styleId="209">
    <w:name w:val="TOC 标题2"/>
    <w:basedOn w:val="2"/>
    <w:next w:val="1"/>
    <w:qFormat/>
    <w:uiPriority w:val="0"/>
    <w:pPr>
      <w:keepNext/>
      <w:keepLines/>
      <w:widowControl w:val="0"/>
      <w:adjustRightInd/>
      <w:snapToGrid/>
      <w:spacing w:before="260" w:after="260" w:line="413" w:lineRule="auto"/>
    </w:pPr>
    <w:rPr>
      <w:rFonts w:ascii="宋体" w:hAnsi="宋体" w:eastAsia="宋体" w:cs="Times New Roman"/>
      <w:sz w:val="36"/>
      <w:szCs w:val="44"/>
      <w:lang w:val="zh-CN"/>
    </w:rPr>
  </w:style>
  <w:style w:type="paragraph" w:customStyle="1" w:styleId="210">
    <w:name w:val="协议书标题2"/>
    <w:basedOn w:val="3"/>
    <w:next w:val="1"/>
    <w:qFormat/>
    <w:uiPriority w:val="0"/>
    <w:pPr>
      <w:keepNext w:val="0"/>
      <w:keepLines w:val="0"/>
      <w:numPr>
        <w:ilvl w:val="0"/>
        <w:numId w:val="5"/>
      </w:numPr>
      <w:tabs>
        <w:tab w:val="left" w:pos="567"/>
      </w:tabs>
      <w:spacing w:line="360" w:lineRule="auto"/>
      <w:ind w:firstLine="0" w:firstLineChars="0"/>
      <w:jc w:val="left"/>
    </w:pPr>
    <w:rPr>
      <w:rFonts w:ascii="宋体" w:hAnsi="宋体" w:eastAsia="宋体"/>
      <w:sz w:val="24"/>
    </w:rPr>
  </w:style>
  <w:style w:type="paragraph" w:customStyle="1" w:styleId="211">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212">
    <w:name w:val="通用标题2"/>
    <w:basedOn w:val="3"/>
    <w:next w:val="1"/>
    <w:qFormat/>
    <w:uiPriority w:val="0"/>
    <w:pPr>
      <w:keepNext w:val="0"/>
      <w:keepLines w:val="0"/>
      <w:numPr>
        <w:ilvl w:val="0"/>
        <w:numId w:val="6"/>
      </w:numPr>
      <w:tabs>
        <w:tab w:val="left" w:pos="993"/>
      </w:tabs>
      <w:spacing w:line="360" w:lineRule="auto"/>
      <w:ind w:firstLineChars="0"/>
    </w:pPr>
    <w:rPr>
      <w:rFonts w:ascii="黑体" w:hAnsi="黑体"/>
    </w:rPr>
  </w:style>
  <w:style w:type="paragraph" w:customStyle="1" w:styleId="213">
    <w:name w:val="通用标题3"/>
    <w:next w:val="1"/>
    <w:qFormat/>
    <w:uiPriority w:val="0"/>
    <w:pPr>
      <w:widowControl w:val="0"/>
      <w:numPr>
        <w:ilvl w:val="1"/>
        <w:numId w:val="7"/>
      </w:numPr>
      <w:tabs>
        <w:tab w:val="left" w:pos="851"/>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214">
    <w:name w:val="通用标题4"/>
    <w:next w:val="1"/>
    <w:qFormat/>
    <w:uiPriority w:val="0"/>
    <w:pPr>
      <w:numPr>
        <w:ilvl w:val="2"/>
        <w:numId w:val="7"/>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215">
    <w:name w:val="通用标题5"/>
    <w:qFormat/>
    <w:uiPriority w:val="0"/>
    <w:pPr>
      <w:widowControl w:val="0"/>
      <w:numPr>
        <w:ilvl w:val="3"/>
        <w:numId w:val="7"/>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216">
    <w:name w:val="通用标题6"/>
    <w:basedOn w:val="1"/>
    <w:qFormat/>
    <w:uiPriority w:val="0"/>
    <w:pPr>
      <w:numPr>
        <w:ilvl w:val="4"/>
        <w:numId w:val="8"/>
      </w:numPr>
      <w:tabs>
        <w:tab w:val="left" w:pos="993"/>
      </w:tabs>
      <w:wordWrap/>
      <w:topLinePunct w:val="0"/>
      <w:ind w:firstLine="0" w:firstLineChars="0"/>
    </w:pPr>
  </w:style>
  <w:style w:type="paragraph" w:customStyle="1" w:styleId="217">
    <w:name w:val="专用标题2"/>
    <w:basedOn w:val="3"/>
    <w:next w:val="1"/>
    <w:qFormat/>
    <w:uiPriority w:val="0"/>
    <w:pPr>
      <w:keepNext w:val="0"/>
      <w:keepLines w:val="0"/>
      <w:tabs>
        <w:tab w:val="left" w:pos="993"/>
      </w:tabs>
      <w:wordWrap/>
      <w:topLinePunct w:val="0"/>
      <w:spacing w:line="360" w:lineRule="auto"/>
      <w:ind w:firstLine="0" w:firstLineChars="0"/>
    </w:pPr>
    <w:rPr>
      <w:rFonts w:ascii="宋体" w:hAnsi="宋体" w:eastAsia="宋体" w:cs="Times"/>
    </w:rPr>
  </w:style>
  <w:style w:type="paragraph" w:customStyle="1" w:styleId="218">
    <w:name w:val="附件标题"/>
    <w:basedOn w:val="3"/>
    <w:next w:val="1"/>
    <w:qFormat/>
    <w:uiPriority w:val="0"/>
    <w:pPr>
      <w:numPr>
        <w:ilvl w:val="0"/>
        <w:numId w:val="9"/>
      </w:numPr>
      <w:tabs>
        <w:tab w:val="left" w:pos="1134"/>
      </w:tabs>
      <w:spacing w:line="360" w:lineRule="auto"/>
      <w:ind w:firstLine="0" w:firstLineChars="0"/>
      <w:jc w:val="center"/>
    </w:pPr>
    <w:rPr>
      <w:rFonts w:ascii="黑体" w:hAnsi="黑体"/>
      <w:sz w:val="30"/>
      <w:szCs w:val="30"/>
    </w:rPr>
  </w:style>
  <w:style w:type="paragraph" w:customStyle="1" w:styleId="219">
    <w:name w:val="纯文本1"/>
    <w:basedOn w:val="1"/>
    <w:qFormat/>
    <w:uiPriority w:val="0"/>
    <w:rPr>
      <w:rFonts w:ascii="宋体" w:hAnsi="Courier New" w:eastAsia="宋体" w:cs="Times New Roman"/>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56"/>
    <customShpInfo spid="_x0000_s2077"/>
    <customShpInfo spid="_x0000_s2057"/>
    <customShpInfo spid="_x0000_s2078" textRotate="1"/>
    <customShpInfo spid="_x0000_s2079" textRotate="1"/>
    <customShpInfo spid="_x0000_s2080" textRotate="1"/>
    <customShpInfo spid="_x0000_s2081" textRotate="1"/>
    <customShpInfo spid="_x0000_s2068"/>
    <customShpInfo spid="_x0000_s2058"/>
    <customShpInfo spid="_x0000_s2082" textRotate="1"/>
    <customShpInfo spid="_x0000_s2083" textRotate="1"/>
    <customShpInfo spid="_x0000_s1028"/>
    <customShpInfo spid="_x0000_s1031"/>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144</Pages>
  <Words>13159</Words>
  <Characters>14145</Characters>
  <Lines>247</Lines>
  <Paragraphs>69</Paragraphs>
  <TotalTime>2</TotalTime>
  <ScaleCrop>false</ScaleCrop>
  <LinksUpToDate>false</LinksUpToDate>
  <CharactersWithSpaces>14486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2017-08-24T10:48:00Z</dcterms:created>
  <dc:creator>微软用户</dc:creator>
  <cp:lastModifiedBy>尹世斌</cp:lastModifiedBy>
  <cp:lastPrinted>2021-09-18T03:29:00Z</cp:lastPrinted>
  <dcterms:modified xsi:type="dcterms:W3CDTF">2025-02-17T07:54:51Z</dcterms:modified>
  <dc:title>AutoBVT</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34E3A3F2F152468BB15638581E8A6C34</vt:lpwstr>
  </property>
  <property fmtid="{D5CDD505-2E9C-101B-9397-08002B2CF9AE}" pid="3" name="KSOProductBuildVer">
    <vt:lpwstr>2052-12.1.0.19770</vt:lpwstr>
  </property>
  <property fmtid="{D5CDD505-2E9C-101B-9397-08002B2CF9AE}" pid="4" name="KSOTemplateDocerSaveRecord">
    <vt:lpwstr>eyJoZGlkIjoiZTUxNjJlMzY4YTdiMTc2NzFlOGE4NzNkZmViNzQyZGUiLCJ1c2VySWQiOiI0NDYzNzg3MTYifQ==</vt:lpwstr>
  </property>
</Properties>
</file>