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jc w:val="center"/>
        <w:outlineLvl w:val="0"/>
        <w:rPr>
          <w:b/>
          <w:bCs/>
          <w:sz w:val="28"/>
          <w:szCs w:val="28"/>
          <w:lang w:val="zh-CN"/>
        </w:rPr>
      </w:pPr>
      <w:r>
        <w:rPr>
          <w:b/>
          <w:bCs/>
          <w:sz w:val="28"/>
          <w:szCs w:val="28"/>
          <w:lang w:val="zh-CN"/>
        </w:rPr>
        <w:t>第八章 货物需求一览表及技术规格</w:t>
      </w:r>
    </w:p>
    <w:p>
      <w:pPr>
        <w:autoSpaceDE w:val="0"/>
        <w:autoSpaceDN w:val="0"/>
        <w:adjustRightInd w:val="0"/>
        <w:jc w:val="left"/>
        <w:rPr>
          <w:rFonts w:ascii="宋体" w:hAnsi="宋体" w:cs="宋体"/>
          <w:szCs w:val="21"/>
        </w:rPr>
      </w:pPr>
      <w:r>
        <w:rPr>
          <w:rFonts w:hint="eastAsia" w:ascii="宋体" w:hAnsi="宋体" w:cs="宋体"/>
          <w:szCs w:val="21"/>
        </w:rPr>
        <w:t>一、基本信息</w:t>
      </w:r>
    </w:p>
    <w:tbl>
      <w:tblPr>
        <w:tblStyle w:val="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5"/>
        <w:gridCol w:w="3217"/>
        <w:gridCol w:w="1847"/>
        <w:gridCol w:w="1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42" w:type="pct"/>
            <w:vAlign w:val="center"/>
          </w:tcPr>
          <w:p>
            <w:pPr>
              <w:spacing w:line="360" w:lineRule="auto"/>
              <w:jc w:val="center"/>
              <w:rPr>
                <w:b/>
                <w:bCs/>
              </w:rPr>
            </w:pPr>
            <w:r>
              <w:rPr>
                <w:rFonts w:hint="eastAsia"/>
                <w:b/>
                <w:bCs/>
              </w:rPr>
              <w:t>序号</w:t>
            </w:r>
          </w:p>
        </w:tc>
        <w:tc>
          <w:tcPr>
            <w:tcW w:w="1888" w:type="pct"/>
            <w:vAlign w:val="center"/>
          </w:tcPr>
          <w:p>
            <w:pPr>
              <w:spacing w:line="360" w:lineRule="auto"/>
              <w:jc w:val="center"/>
              <w:rPr>
                <w:b/>
                <w:bCs/>
              </w:rPr>
            </w:pPr>
            <w:r>
              <w:rPr>
                <w:rFonts w:hint="eastAsia"/>
                <w:b/>
                <w:bCs/>
              </w:rPr>
              <w:t>产品</w:t>
            </w:r>
            <w:r>
              <w:rPr>
                <w:b/>
                <w:bCs/>
              </w:rPr>
              <w:t>名称</w:t>
            </w:r>
          </w:p>
        </w:tc>
        <w:tc>
          <w:tcPr>
            <w:tcW w:w="1084" w:type="pct"/>
            <w:vAlign w:val="center"/>
          </w:tcPr>
          <w:p>
            <w:pPr>
              <w:spacing w:line="360" w:lineRule="auto"/>
              <w:jc w:val="center"/>
              <w:rPr>
                <w:b/>
                <w:bCs/>
              </w:rPr>
            </w:pPr>
            <w:r>
              <w:rPr>
                <w:b/>
                <w:bCs/>
              </w:rPr>
              <w:t>数量</w:t>
            </w:r>
          </w:p>
        </w:tc>
        <w:tc>
          <w:tcPr>
            <w:tcW w:w="1084" w:type="pct"/>
            <w:vAlign w:val="center"/>
          </w:tcPr>
          <w:p>
            <w:pPr>
              <w:spacing w:line="360" w:lineRule="auto"/>
              <w:jc w:val="center"/>
              <w:rPr>
                <w:b/>
                <w:bCs/>
              </w:rPr>
            </w:pPr>
            <w:r>
              <w:rPr>
                <w:rFonts w:hint="eastAsia"/>
                <w:b/>
                <w:bCs/>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2" w:type="pct"/>
            <w:vAlign w:val="center"/>
          </w:tcPr>
          <w:p>
            <w:pPr>
              <w:spacing w:line="360" w:lineRule="auto"/>
              <w:jc w:val="center"/>
            </w:pPr>
            <w:r>
              <w:t>1</w:t>
            </w:r>
          </w:p>
        </w:tc>
        <w:tc>
          <w:tcPr>
            <w:tcW w:w="1888" w:type="pct"/>
            <w:vAlign w:val="center"/>
          </w:tcPr>
          <w:p>
            <w:pPr>
              <w:spacing w:line="360" w:lineRule="auto"/>
              <w:jc w:val="center"/>
            </w:pPr>
            <w:r>
              <w:rPr>
                <w:rFonts w:hint="eastAsia"/>
                <w:bCs/>
                <w:szCs w:val="21"/>
              </w:rPr>
              <w:t>轨道交通单轨不平顺测试仪</w:t>
            </w:r>
          </w:p>
        </w:tc>
        <w:tc>
          <w:tcPr>
            <w:tcW w:w="1084" w:type="pct"/>
            <w:vAlign w:val="center"/>
          </w:tcPr>
          <w:p>
            <w:pPr>
              <w:spacing w:line="360" w:lineRule="auto"/>
              <w:jc w:val="center"/>
            </w:pPr>
            <w:r>
              <w:rPr>
                <w:bCs/>
                <w:szCs w:val="21"/>
              </w:rPr>
              <w:t>1</w:t>
            </w:r>
          </w:p>
        </w:tc>
        <w:tc>
          <w:tcPr>
            <w:tcW w:w="1084" w:type="pct"/>
            <w:vAlign w:val="center"/>
          </w:tcPr>
          <w:p>
            <w:pPr>
              <w:spacing w:line="360" w:lineRule="auto"/>
              <w:jc w:val="center"/>
              <w:rPr>
                <w:bCs/>
                <w:szCs w:val="21"/>
              </w:rPr>
            </w:pPr>
            <w:r>
              <w:rPr>
                <w:bCs/>
                <w:szCs w:val="21"/>
              </w:rPr>
              <w:t>台</w:t>
            </w:r>
          </w:p>
        </w:tc>
      </w:tr>
    </w:tbl>
    <w:p>
      <w:pPr>
        <w:autoSpaceDE w:val="0"/>
        <w:autoSpaceDN w:val="0"/>
        <w:adjustRightInd w:val="0"/>
        <w:ind w:firstLine="420" w:firstLineChars="200"/>
        <w:jc w:val="left"/>
        <w:rPr>
          <w:rFonts w:ascii="宋体" w:hAnsi="宋体" w:cs="宋体"/>
          <w:szCs w:val="21"/>
        </w:rPr>
      </w:pPr>
    </w:p>
    <w:p>
      <w:pPr>
        <w:autoSpaceDE w:val="0"/>
        <w:autoSpaceDN w:val="0"/>
        <w:adjustRightInd w:val="0"/>
        <w:jc w:val="left"/>
        <w:rPr>
          <w:rFonts w:ascii="宋体" w:hAnsi="宋体" w:cs="宋体"/>
          <w:szCs w:val="21"/>
        </w:rPr>
      </w:pPr>
      <w:r>
        <w:rPr>
          <w:rFonts w:hint="eastAsia" w:ascii="宋体" w:hAnsi="宋体" w:cs="宋体"/>
          <w:szCs w:val="21"/>
        </w:rPr>
        <w:t>二、商务要求</w:t>
      </w:r>
    </w:p>
    <w:tbl>
      <w:tblPr>
        <w:tblStyle w:val="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5"/>
        <w:gridCol w:w="6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907" w:type="pct"/>
            <w:vAlign w:val="center"/>
          </w:tcPr>
          <w:p>
            <w:pPr>
              <w:jc w:val="center"/>
              <w:rPr>
                <w:rFonts w:ascii="宋体" w:hAnsi="宋体" w:cs="宋体"/>
                <w:b/>
                <w:szCs w:val="21"/>
              </w:rPr>
            </w:pPr>
            <w:r>
              <w:rPr>
                <w:rFonts w:hint="eastAsia" w:ascii="宋体" w:hAnsi="宋体" w:cs="宋体"/>
                <w:b/>
                <w:kern w:val="0"/>
                <w:szCs w:val="21"/>
              </w:rPr>
              <w:t>履约保证金</w:t>
            </w:r>
          </w:p>
        </w:tc>
        <w:tc>
          <w:tcPr>
            <w:tcW w:w="4092" w:type="pct"/>
            <w:vAlign w:val="center"/>
          </w:tcPr>
          <w:p>
            <w:pPr>
              <w:autoSpaceDE w:val="0"/>
              <w:autoSpaceDN w:val="0"/>
              <w:adjustRightInd w:val="0"/>
              <w:jc w:val="left"/>
              <w:rPr>
                <w:rFonts w:ascii="宋体" w:hAnsi="宋体" w:cs="宋体"/>
                <w:i/>
                <w:szCs w:val="21"/>
              </w:rPr>
            </w:pPr>
            <w:r>
              <w:rPr>
                <w:rFonts w:hint="eastAsia" w:ascii="宋体" w:hAnsi="宋体" w:cs="宋体"/>
                <w:szCs w:val="21"/>
              </w:rPr>
              <w:t xml:space="preserve">免收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907" w:type="pct"/>
            <w:vAlign w:val="center"/>
          </w:tcPr>
          <w:p>
            <w:pPr>
              <w:jc w:val="center"/>
              <w:rPr>
                <w:rFonts w:ascii="宋体" w:hAnsi="宋体" w:cs="宋体"/>
                <w:b/>
                <w:szCs w:val="21"/>
              </w:rPr>
            </w:pPr>
            <w:r>
              <w:rPr>
                <w:rFonts w:hint="eastAsia" w:ascii="宋体" w:hAnsi="宋体" w:cs="宋体"/>
                <w:b/>
                <w:szCs w:val="21"/>
              </w:rPr>
              <w:t>付款方式</w:t>
            </w:r>
          </w:p>
        </w:tc>
        <w:tc>
          <w:tcPr>
            <w:tcW w:w="4092" w:type="pct"/>
            <w:vAlign w:val="center"/>
          </w:tcPr>
          <w:p>
            <w:pPr>
              <w:autoSpaceDE w:val="0"/>
              <w:autoSpaceDN w:val="0"/>
              <w:adjustRightInd w:val="0"/>
              <w:jc w:val="left"/>
              <w:rPr>
                <w:rFonts w:ascii="宋体" w:hAnsi="宋体" w:cs="宋体"/>
                <w:szCs w:val="21"/>
              </w:rPr>
            </w:pPr>
            <w:r>
              <w:rPr>
                <w:rFonts w:hint="eastAsia" w:ascii="宋体" w:hAnsi="宋体" w:cs="宋体"/>
                <w:szCs w:val="21"/>
              </w:rPr>
              <w:t>预付款不超过50%，具体付款方式签订合同时约定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07" w:type="pct"/>
            <w:vAlign w:val="center"/>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供货期限</w:t>
            </w:r>
          </w:p>
        </w:tc>
        <w:tc>
          <w:tcPr>
            <w:tcW w:w="4092" w:type="pct"/>
            <w:vAlign w:val="center"/>
          </w:tcPr>
          <w:p>
            <w:pPr>
              <w:autoSpaceDE w:val="0"/>
              <w:autoSpaceDN w:val="0"/>
              <w:adjustRightInd w:val="0"/>
              <w:jc w:val="left"/>
              <w:rPr>
                <w:rFonts w:ascii="宋体" w:hAnsi="宋体" w:cs="宋体"/>
                <w:color w:val="000000" w:themeColor="text1"/>
                <w:szCs w:val="21"/>
                <w14:textFill>
                  <w14:solidFill>
                    <w14:schemeClr w14:val="tx1"/>
                  </w14:solidFill>
                </w14:textFill>
              </w:rPr>
            </w:pPr>
            <w:r>
              <w:rPr>
                <w:rFonts w:hint="eastAsia" w:ascii="宋体" w:hAnsi="宋体" w:cs="宋体"/>
                <w:szCs w:val="21"/>
              </w:rPr>
              <w:t>自合同签定之日起60日到货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07" w:type="pct"/>
            <w:vAlign w:val="center"/>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货物质保期</w:t>
            </w:r>
          </w:p>
        </w:tc>
        <w:tc>
          <w:tcPr>
            <w:tcW w:w="4092" w:type="pct"/>
            <w:vAlign w:val="center"/>
          </w:tcPr>
          <w:p>
            <w:pPr>
              <w:autoSpaceDE w:val="0"/>
              <w:autoSpaceDN w:val="0"/>
              <w:adjustRightInd w:val="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免费质保期（维保期）</w:t>
            </w:r>
            <w:r>
              <w:rPr>
                <w:rFonts w:hint="eastAsia" w:ascii="宋体" w:hAnsi="宋体" w:cs="宋体"/>
                <w:szCs w:val="21"/>
              </w:rPr>
              <w:t>1</w:t>
            </w:r>
            <w:r>
              <w:rPr>
                <w:rFonts w:hint="eastAsia" w:ascii="宋体" w:hAnsi="宋体" w:cs="宋体"/>
                <w:color w:val="000000" w:themeColor="text1"/>
                <w:szCs w:val="21"/>
                <w14:textFill>
                  <w14:solidFill>
                    <w14:schemeClr w14:val="tx1"/>
                  </w14:solidFill>
                </w14:textFill>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07" w:type="pct"/>
            <w:vAlign w:val="center"/>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售后服务要求</w:t>
            </w:r>
          </w:p>
        </w:tc>
        <w:tc>
          <w:tcPr>
            <w:tcW w:w="4092" w:type="pct"/>
            <w:vAlign w:val="center"/>
          </w:tcPr>
          <w:p>
            <w:pPr>
              <w:pStyle w:val="4"/>
              <w:autoSpaceDE w:val="0"/>
              <w:autoSpaceDN w:val="0"/>
              <w:adjustRightInd w:val="0"/>
              <w:ind w:firstLine="0" w:firstLineChars="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1、应提供设备使用操作培训，确保使用方能够熟练掌握设备的操作及日常维护方法。</w:t>
            </w:r>
          </w:p>
          <w:p>
            <w:pPr>
              <w:pStyle w:val="4"/>
              <w:autoSpaceDE w:val="0"/>
              <w:autoSpaceDN w:val="0"/>
              <w:adjustRightInd w:val="0"/>
              <w:ind w:firstLine="0" w:firstLineChars="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2、应提供24小时售后服务电话，满足48小时到达现场技术服务，并提供长期维修服务保证。</w:t>
            </w:r>
          </w:p>
          <w:p>
            <w:pPr>
              <w:pStyle w:val="4"/>
              <w:autoSpaceDE w:val="0"/>
              <w:autoSpaceDN w:val="0"/>
              <w:adjustRightInd w:val="0"/>
              <w:ind w:firstLine="0" w:firstLineChars="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3、应提供设备所需的备品备件清单，确保在设备出现故障时能够迅速更换。对于文件价格清单中已有报价的备品备件，卖方应按买方要求，随时以不高于该价格清单中单价向买方提供有关的备品备件。质保期届满之后，卖方应按买方要求，随时以最优惠的价格向买方提供合同设备所需的备品备件。</w:t>
            </w:r>
          </w:p>
          <w:p>
            <w:pPr>
              <w:pStyle w:val="4"/>
              <w:autoSpaceDE w:val="0"/>
              <w:autoSpaceDN w:val="0"/>
              <w:adjustRightInd w:val="0"/>
              <w:ind w:firstLine="0" w:firstLineChars="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4、在保修期过后，应提供有偿的售后服务，包括但不限于维护、保养、维修、升级等。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07" w:type="pct"/>
            <w:vAlign w:val="center"/>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培训要求</w:t>
            </w:r>
          </w:p>
        </w:tc>
        <w:tc>
          <w:tcPr>
            <w:tcW w:w="4092" w:type="pct"/>
            <w:vAlign w:val="center"/>
          </w:tcPr>
          <w:p>
            <w:pPr>
              <w:autoSpaceDE w:val="0"/>
              <w:autoSpaceDN w:val="0"/>
              <w:adjustRightInd w:val="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卖方无偿对买方使用人员进行2次培训。通过培训，使买方使用人员能够掌握设备的结构性能、使用操作和维修维护方法。</w:t>
            </w:r>
          </w:p>
        </w:tc>
      </w:tr>
    </w:tbl>
    <w:p>
      <w:pPr>
        <w:rPr>
          <w:rFonts w:ascii="宋体" w:hAnsi="宋体" w:cs="宋体"/>
          <w:szCs w:val="21"/>
        </w:rPr>
      </w:pPr>
    </w:p>
    <w:p>
      <w:pPr>
        <w:rPr>
          <w:rFonts w:ascii="宋体" w:hAnsi="宋体" w:cs="宋体"/>
          <w:szCs w:val="21"/>
        </w:rPr>
      </w:pPr>
      <w:r>
        <w:rPr>
          <w:rFonts w:hint="eastAsia" w:ascii="宋体" w:hAnsi="宋体" w:cs="宋体"/>
          <w:szCs w:val="21"/>
        </w:rPr>
        <w:t>三、技术要求</w:t>
      </w:r>
    </w:p>
    <w:p>
      <w:pPr>
        <w:autoSpaceDE w:val="0"/>
        <w:autoSpaceDN w:val="0"/>
        <w:adjustRightInd w:val="0"/>
        <w:snapToGrid w:val="0"/>
        <w:rPr>
          <w:rFonts w:ascii="宋体" w:hAnsi="宋体" w:cs="宋体"/>
          <w:szCs w:val="21"/>
        </w:rPr>
      </w:pPr>
      <w:r>
        <w:rPr>
          <w:rFonts w:hint="eastAsia" w:ascii="宋体" w:hAnsi="宋体" w:cs="宋体"/>
          <w:szCs w:val="21"/>
        </w:rPr>
        <w:t>1.货物部分（注：1.此表主要填写对采购货物的功能和质量要求，包括性能、材料、结构、外观、安全，或者服务内容和标准等。2. 技术参数前可用“</w:t>
      </w:r>
      <w:r>
        <w:rPr>
          <w:rFonts w:hint="eastAsia" w:ascii="宋体" w:hAnsi="宋体" w:cs="宋体"/>
          <w:b/>
          <w:bCs/>
          <w:szCs w:val="21"/>
        </w:rPr>
        <w:t>*</w:t>
      </w:r>
      <w:r>
        <w:rPr>
          <w:rFonts w:hint="eastAsia" w:ascii="宋体" w:hAnsi="宋体" w:cs="宋体"/>
          <w:szCs w:val="21"/>
        </w:rPr>
        <w:t>”“▲”表示其重要性，“</w:t>
      </w:r>
      <w:r>
        <w:rPr>
          <w:rFonts w:hint="eastAsia" w:ascii="宋体" w:hAnsi="宋体" w:cs="宋体"/>
          <w:b/>
          <w:bCs/>
          <w:szCs w:val="21"/>
        </w:rPr>
        <w:t>*</w:t>
      </w:r>
      <w:r>
        <w:rPr>
          <w:rFonts w:hint="eastAsia" w:ascii="宋体" w:hAnsi="宋体" w:cs="宋体"/>
          <w:szCs w:val="21"/>
        </w:rPr>
        <w:t>”代表关键指标，不满足该指标项将导致响应被拒绝；“▲”代表重要指标，计入评分标准；无标识则表示属一般指标项。3.“证明材料要求”是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tbl>
      <w:tblPr>
        <w:tblStyle w:val="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4"/>
        <w:gridCol w:w="1031"/>
        <w:gridCol w:w="847"/>
        <w:gridCol w:w="3949"/>
        <w:gridCol w:w="1038"/>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5" w:type="pct"/>
            <w:vAlign w:val="center"/>
          </w:tcPr>
          <w:p>
            <w:pPr>
              <w:jc w:val="center"/>
              <w:rPr>
                <w:rFonts w:ascii="宋体" w:hAnsi="宋体" w:cs="宋体"/>
                <w:b/>
                <w:szCs w:val="21"/>
              </w:rPr>
            </w:pPr>
            <w:r>
              <w:rPr>
                <w:rFonts w:hint="eastAsia" w:ascii="宋体" w:hAnsi="宋体" w:cs="宋体"/>
                <w:b/>
                <w:szCs w:val="21"/>
              </w:rPr>
              <w:t>序号</w:t>
            </w:r>
          </w:p>
        </w:tc>
        <w:tc>
          <w:tcPr>
            <w:tcW w:w="605" w:type="pct"/>
            <w:vAlign w:val="center"/>
          </w:tcPr>
          <w:p>
            <w:pPr>
              <w:jc w:val="center"/>
              <w:rPr>
                <w:rFonts w:ascii="宋体" w:hAnsi="宋体" w:cs="宋体"/>
                <w:b/>
                <w:szCs w:val="21"/>
              </w:rPr>
            </w:pPr>
            <w:r>
              <w:rPr>
                <w:rFonts w:hint="eastAsia" w:ascii="宋体" w:hAnsi="宋体" w:cs="宋体"/>
                <w:b/>
                <w:szCs w:val="21"/>
              </w:rPr>
              <w:t>名称</w:t>
            </w:r>
          </w:p>
        </w:tc>
        <w:tc>
          <w:tcPr>
            <w:tcW w:w="497" w:type="pct"/>
            <w:vAlign w:val="center"/>
          </w:tcPr>
          <w:p>
            <w:pPr>
              <w:jc w:val="center"/>
              <w:rPr>
                <w:rFonts w:ascii="宋体" w:hAnsi="宋体" w:cs="宋体"/>
                <w:b/>
                <w:szCs w:val="21"/>
              </w:rPr>
            </w:pPr>
            <w:r>
              <w:rPr>
                <w:rFonts w:hint="eastAsia" w:ascii="宋体" w:hAnsi="宋体" w:cs="宋体"/>
                <w:b/>
                <w:szCs w:val="21"/>
              </w:rPr>
              <w:t>数量</w:t>
            </w:r>
          </w:p>
          <w:p>
            <w:pPr>
              <w:jc w:val="center"/>
              <w:rPr>
                <w:rFonts w:ascii="宋体" w:hAnsi="宋体" w:cs="宋体"/>
                <w:b/>
                <w:szCs w:val="21"/>
              </w:rPr>
            </w:pPr>
            <w:r>
              <w:rPr>
                <w:rFonts w:hint="eastAsia" w:ascii="宋体" w:hAnsi="宋体" w:cs="宋体"/>
                <w:b/>
                <w:szCs w:val="21"/>
              </w:rPr>
              <w:t>（单位）</w:t>
            </w:r>
          </w:p>
        </w:tc>
        <w:tc>
          <w:tcPr>
            <w:tcW w:w="2317" w:type="pct"/>
            <w:vAlign w:val="center"/>
          </w:tcPr>
          <w:p>
            <w:pPr>
              <w:jc w:val="center"/>
              <w:rPr>
                <w:rFonts w:ascii="宋体" w:hAnsi="宋体" w:cs="宋体"/>
                <w:b/>
                <w:szCs w:val="21"/>
              </w:rPr>
            </w:pPr>
            <w:r>
              <w:rPr>
                <w:rFonts w:hint="eastAsia" w:ascii="宋体" w:hAnsi="宋体" w:cs="宋体"/>
                <w:b/>
                <w:szCs w:val="21"/>
              </w:rPr>
              <w:t>技术参数及要求</w:t>
            </w:r>
          </w:p>
        </w:tc>
        <w:tc>
          <w:tcPr>
            <w:tcW w:w="609" w:type="pct"/>
            <w:vAlign w:val="center"/>
          </w:tcPr>
          <w:p>
            <w:pPr>
              <w:jc w:val="center"/>
              <w:rPr>
                <w:rFonts w:ascii="宋体" w:hAnsi="宋体" w:cs="宋体"/>
                <w:b/>
                <w:szCs w:val="21"/>
              </w:rPr>
            </w:pPr>
            <w:r>
              <w:rPr>
                <w:rFonts w:hint="eastAsia" w:ascii="宋体" w:hAnsi="宋体" w:cs="宋体"/>
                <w:b/>
                <w:szCs w:val="21"/>
              </w:rPr>
              <w:t>证明材料要求</w:t>
            </w:r>
          </w:p>
        </w:tc>
        <w:tc>
          <w:tcPr>
            <w:tcW w:w="545" w:type="pct"/>
            <w:vAlign w:val="center"/>
          </w:tcPr>
          <w:p>
            <w:pPr>
              <w:jc w:val="center"/>
              <w:rPr>
                <w:rFonts w:ascii="宋体" w:hAnsi="宋体" w:cs="宋体"/>
                <w:b/>
                <w:szCs w:val="21"/>
              </w:rPr>
            </w:pPr>
            <w:r>
              <w:rPr>
                <w:rFonts w:hint="eastAsia" w:ascii="宋体" w:hAnsi="宋体" w:cs="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425" w:type="pct"/>
            <w:vAlign w:val="center"/>
          </w:tcPr>
          <w:p>
            <w:pPr>
              <w:spacing w:line="360" w:lineRule="auto"/>
              <w:jc w:val="center"/>
              <w:rPr>
                <w:rFonts w:ascii="宋体" w:hAnsi="宋体" w:cs="宋体"/>
                <w:b/>
                <w:szCs w:val="21"/>
              </w:rPr>
            </w:pPr>
            <w:r>
              <w:rPr>
                <w:rFonts w:hint="eastAsia" w:ascii="宋体" w:hAnsi="宋体" w:cs="宋体"/>
                <w:b/>
                <w:szCs w:val="21"/>
              </w:rPr>
              <w:t>1</w:t>
            </w:r>
          </w:p>
        </w:tc>
        <w:tc>
          <w:tcPr>
            <w:tcW w:w="605" w:type="pct"/>
            <w:vAlign w:val="center"/>
          </w:tcPr>
          <w:p>
            <w:pPr>
              <w:spacing w:line="360" w:lineRule="auto"/>
              <w:jc w:val="center"/>
              <w:rPr>
                <w:rFonts w:ascii="宋体" w:hAnsi="宋体" w:cs="宋体"/>
                <w:b/>
                <w:bCs/>
                <w:szCs w:val="21"/>
              </w:rPr>
            </w:pPr>
            <w:r>
              <w:rPr>
                <w:rFonts w:hint="eastAsia" w:ascii="宋体" w:hAnsi="宋体" w:cs="宋体"/>
                <w:szCs w:val="21"/>
              </w:rPr>
              <w:t>轨道交通单轨不平顺测试仪</w:t>
            </w:r>
          </w:p>
        </w:tc>
        <w:tc>
          <w:tcPr>
            <w:tcW w:w="497" w:type="pct"/>
            <w:vAlign w:val="center"/>
          </w:tcPr>
          <w:p>
            <w:pPr>
              <w:spacing w:line="276" w:lineRule="auto"/>
              <w:jc w:val="center"/>
              <w:rPr>
                <w:rFonts w:ascii="宋体" w:hAnsi="宋体" w:cs="宋体"/>
                <w:szCs w:val="21"/>
              </w:rPr>
            </w:pPr>
            <w:r>
              <w:rPr>
                <w:rFonts w:hint="eastAsia" w:ascii="宋体" w:hAnsi="宋体" w:cs="宋体"/>
                <w:szCs w:val="21"/>
              </w:rPr>
              <w:t>台</w:t>
            </w:r>
          </w:p>
        </w:tc>
        <w:tc>
          <w:tcPr>
            <w:tcW w:w="2317" w:type="pct"/>
          </w:tcPr>
          <w:p>
            <w:pPr>
              <w:jc w:val="left"/>
              <w:rPr>
                <w:rFonts w:ascii="宋体" w:hAnsi="宋体" w:cs="宋体"/>
                <w:szCs w:val="21"/>
              </w:rPr>
            </w:pPr>
            <w:r>
              <w:rPr>
                <w:rFonts w:hint="eastAsia" w:ascii="宋体" w:hAnsi="宋体" w:cs="宋体"/>
                <w:szCs w:val="21"/>
              </w:rPr>
              <w:t>(1) 测试仪测量钢轨波磨时，沿钢轨纵向相邻两个采样点之间的间距≤1mm，提供家铁路产品质量监督检验中心的报告佐证。测量重复性优于1μm，测试仪应设置计程轮，具有里程修正功能，方便现场记录数据。</w:t>
            </w:r>
          </w:p>
          <w:p>
            <w:pPr>
              <w:jc w:val="left"/>
              <w:rPr>
                <w:rFonts w:ascii="宋体" w:hAnsi="宋体" w:cs="宋体"/>
                <w:szCs w:val="21"/>
              </w:rPr>
            </w:pPr>
            <w:r>
              <w:rPr>
                <w:rFonts w:hint="eastAsia" w:ascii="宋体" w:hAnsi="宋体" w:cs="宋体"/>
                <w:szCs w:val="21"/>
              </w:rPr>
              <w:t>(2)测量速度（在+/- 25％范围以内）：0.5m/s（1mm间隔），1m/s（2mm间隔）；</w:t>
            </w:r>
          </w:p>
          <w:p>
            <w:pPr>
              <w:jc w:val="left"/>
              <w:rPr>
                <w:rFonts w:ascii="宋体" w:hAnsi="宋体" w:cs="宋体"/>
                <w:szCs w:val="21"/>
              </w:rPr>
            </w:pPr>
            <w:r>
              <w:rPr>
                <w:rFonts w:hint="eastAsia" w:ascii="宋体" w:hAnsi="宋体" w:cs="宋体"/>
                <w:szCs w:val="21"/>
              </w:rPr>
              <w:t>(3)测量精度（位移）：0.01μm；数据存储要求：＜2MB/每公里导轨；</w:t>
            </w:r>
          </w:p>
          <w:p>
            <w:pPr>
              <w:jc w:val="left"/>
              <w:rPr>
                <w:rFonts w:ascii="宋体" w:hAnsi="宋体" w:cs="宋体"/>
                <w:szCs w:val="21"/>
              </w:rPr>
            </w:pPr>
            <w:r>
              <w:rPr>
                <w:rFonts w:hint="eastAsia" w:ascii="宋体" w:hAnsi="宋体" w:cs="宋体"/>
                <w:szCs w:val="21"/>
              </w:rPr>
              <w:t>(4)设备采用惯性基准原理进行测量，测量准确度：优于 0.2μm (RMS 10-30mm) ； 0.5μm(RMS 30-100mm)； 2.0μm (RMS 100-300mm)。</w:t>
            </w:r>
          </w:p>
          <w:p>
            <w:pPr>
              <w:jc w:val="left"/>
              <w:rPr>
                <w:rFonts w:ascii="宋体" w:hAnsi="宋体" w:cs="宋体"/>
                <w:szCs w:val="21"/>
              </w:rPr>
            </w:pPr>
            <w:r>
              <w:rPr>
                <w:rFonts w:hint="eastAsia" w:ascii="宋体" w:hAnsi="宋体" w:cs="宋体"/>
                <w:szCs w:val="21"/>
              </w:rPr>
              <w:t>(5)设备能够现场进行分析，能根据检测结果制定打磨方案，并对打磨车打磨质量进行检测评定，为整治钢轨波磨病害提供依。</w:t>
            </w:r>
          </w:p>
          <w:p>
            <w:pPr>
              <w:jc w:val="left"/>
              <w:rPr>
                <w:rFonts w:ascii="宋体" w:hAnsi="宋体" w:cs="宋体"/>
                <w:szCs w:val="21"/>
              </w:rPr>
            </w:pPr>
            <w:r>
              <w:rPr>
                <w:rFonts w:hint="eastAsia" w:ascii="宋体" w:hAnsi="宋体" w:cs="宋体"/>
                <w:szCs w:val="21"/>
              </w:rPr>
              <w:t>(6)测量波长范围：10-30mm, 30-100mm, 100-300mm, 300- 1000mm, 1000-3000mm及其它自定义波长范围，测试仪测量钢轨波磨时，沿钢轨纵向相邻两个采样点之间的间距为1mm，测试仪应具有连续或分段测量、连续数据存储功能，满足单次连续不少于5km，累积测量不少于50km的数据存储要求；</w:t>
            </w:r>
          </w:p>
          <w:p>
            <w:pPr>
              <w:jc w:val="left"/>
              <w:rPr>
                <w:rFonts w:ascii="宋体" w:hAnsi="宋体" w:cs="宋体"/>
                <w:szCs w:val="21"/>
              </w:rPr>
            </w:pPr>
            <w:r>
              <w:rPr>
                <w:rFonts w:hint="eastAsia" w:ascii="宋体" w:hAnsi="宋体" w:cs="宋体"/>
                <w:szCs w:val="21"/>
              </w:rPr>
              <w:t>(7)检测探头位置需可调，波磨测量的位置应能分别固定于钢轨轨顶中线、中线两侧5mm、中线两侧10mm处的5个位置之一，位置误差不超过出±0.5mm，且测量轨迹平行于钢轨纵向，并能通过简单的方式调节波磨测量位置（调节范围不小于60mm）。</w:t>
            </w:r>
          </w:p>
          <w:p>
            <w:pPr>
              <w:jc w:val="left"/>
              <w:rPr>
                <w:rFonts w:ascii="宋体" w:hAnsi="宋体" w:cs="宋体"/>
                <w:szCs w:val="21"/>
              </w:rPr>
            </w:pPr>
            <w:r>
              <w:rPr>
                <w:rFonts w:hint="eastAsia" w:ascii="宋体" w:hAnsi="宋体" w:cs="宋体"/>
                <w:szCs w:val="21"/>
              </w:rPr>
              <w:t>(8)为确保设备走行轮和测量轮工作正常，走行轮工作面的表面粗糙度应为MRR Ra ≥ 6.3，测量轮工作面的表面粗糙度应为MRR Ra≥1.6，需经国家铁路产品质量监督检验中心检测。</w:t>
            </w:r>
          </w:p>
          <w:p>
            <w:pPr>
              <w:jc w:val="left"/>
              <w:rPr>
                <w:rFonts w:ascii="宋体" w:hAnsi="宋体" w:cs="宋体"/>
                <w:szCs w:val="21"/>
              </w:rPr>
            </w:pPr>
            <w:r>
              <w:rPr>
                <w:rFonts w:hint="eastAsia" w:ascii="宋体" w:hAnsi="宋体" w:cs="宋体"/>
                <w:szCs w:val="21"/>
              </w:rPr>
              <w:t>(9)设备能够满足现场复杂的工况，应经高低温试验、恒定湿热试验、水试验，并提供检测报告。</w:t>
            </w:r>
          </w:p>
          <w:p>
            <w:pPr>
              <w:jc w:val="left"/>
              <w:rPr>
                <w:rFonts w:ascii="宋体" w:hAnsi="宋体" w:cs="宋体"/>
                <w:szCs w:val="21"/>
              </w:rPr>
            </w:pPr>
            <w:r>
              <w:rPr>
                <w:rFonts w:hint="eastAsia" w:ascii="宋体" w:hAnsi="宋体" w:cs="宋体"/>
                <w:szCs w:val="21"/>
              </w:rPr>
              <w:t>(10)软件查看和分析还可提供以下功能：</w:t>
            </w:r>
          </w:p>
          <w:p>
            <w:pPr>
              <w:jc w:val="left"/>
              <w:rPr>
                <w:rFonts w:ascii="宋体" w:hAnsi="宋体" w:cs="宋体"/>
                <w:szCs w:val="21"/>
              </w:rPr>
            </w:pPr>
            <w:r>
              <w:rPr>
                <w:rFonts w:hint="eastAsia" w:ascii="宋体" w:hAnsi="宋体" w:cs="宋体"/>
                <w:szCs w:val="21"/>
              </w:rPr>
              <w:t>可给出均方根RMS值，包括移动平均峰间位移，移动平均均方根位移、块平均均方根值。</w:t>
            </w:r>
          </w:p>
          <w:p>
            <w:pPr>
              <w:jc w:val="left"/>
              <w:rPr>
                <w:rFonts w:ascii="宋体" w:hAnsi="宋体" w:cs="宋体"/>
                <w:szCs w:val="21"/>
              </w:rPr>
            </w:pPr>
            <w:r>
              <w:rPr>
                <w:rFonts w:hint="eastAsia" w:ascii="宋体" w:hAnsi="宋体" w:cs="宋体"/>
                <w:szCs w:val="21"/>
              </w:rPr>
              <w:t>可自设超限值，自动得出所占超限比例。满足《高速铁路钢轨打磨管理办法》（铁总运〔2014〕357号）波磨验收要求；</w:t>
            </w:r>
          </w:p>
          <w:p>
            <w:pPr>
              <w:jc w:val="left"/>
              <w:rPr>
                <w:rFonts w:ascii="宋体" w:hAnsi="宋体" w:cs="宋体"/>
                <w:szCs w:val="21"/>
              </w:rPr>
            </w:pPr>
            <w:r>
              <w:rPr>
                <w:rFonts w:hint="eastAsia" w:ascii="宋体" w:hAnsi="宋体" w:cs="宋体"/>
                <w:szCs w:val="21"/>
              </w:rPr>
              <w:t>可自设采样窗长度，并实时计算出超限率。满足《高速铁路钢轨打磨管理办法》（铁总运〔2014〕357号）波磨验收要求；</w:t>
            </w:r>
          </w:p>
          <w:p>
            <w:pPr>
              <w:jc w:val="left"/>
              <w:rPr>
                <w:rFonts w:ascii="宋体" w:hAnsi="宋体" w:cs="宋体"/>
                <w:szCs w:val="21"/>
              </w:rPr>
            </w:pPr>
            <w:r>
              <w:rPr>
                <w:rFonts w:hint="eastAsia" w:ascii="宋体" w:hAnsi="宋体" w:cs="宋体"/>
                <w:szCs w:val="21"/>
              </w:rPr>
              <w:t>除可按标准的四个波长分析外，另提供了不同波长进行分析，可得出波磨超限比例图表以及三分之一倍频谱分析曲线可对不平顺列表及超限点、超限值出具检测报告，报告格式可选。软件能够依据EN15610进行峰尖处理和轮曲率校正，提高对采集数据处理的准确性。软件提供五种数据分析线：波浪磨耗采集数据线、打磨质量评判线、噪声控制采集数据线、钢轨磨耗控制线及打磨前后直观数据对比线。</w:t>
            </w:r>
          </w:p>
          <w:p>
            <w:pPr>
              <w:jc w:val="left"/>
              <w:rPr>
                <w:rFonts w:ascii="宋体" w:hAnsi="宋体" w:cs="宋体"/>
                <w:szCs w:val="21"/>
              </w:rPr>
            </w:pPr>
            <w:r>
              <w:rPr>
                <w:rFonts w:hint="eastAsia" w:ascii="宋体" w:hAnsi="宋体" w:cs="宋体"/>
                <w:szCs w:val="21"/>
              </w:rPr>
              <w:t>(11)输出符合标准要求:EN 13231-3：2006、EN13231-3: 2012、EN ISO 3095：2005、•EN 15610：2009</w:t>
            </w:r>
          </w:p>
          <w:p>
            <w:pPr>
              <w:jc w:val="left"/>
              <w:rPr>
                <w:rFonts w:ascii="宋体" w:hAnsi="宋体" w:cs="宋体"/>
                <w:szCs w:val="21"/>
              </w:rPr>
            </w:pPr>
            <w:r>
              <w:rPr>
                <w:rFonts w:hint="eastAsia" w:ascii="宋体" w:hAnsi="宋体" w:cs="宋体"/>
                <w:szCs w:val="21"/>
              </w:rPr>
              <w:t>(12) 软件内置过滤器：</w:t>
            </w:r>
          </w:p>
          <w:p>
            <w:pPr>
              <w:jc w:val="left"/>
              <w:rPr>
                <w:rFonts w:ascii="宋体" w:hAnsi="宋体" w:cs="宋体"/>
                <w:szCs w:val="21"/>
              </w:rPr>
            </w:pPr>
            <w:r>
              <w:rPr>
                <w:rFonts w:hint="eastAsia" w:ascii="宋体" w:hAnsi="宋体" w:cs="宋体"/>
                <w:szCs w:val="21"/>
              </w:rPr>
              <w:t>•10-30mm，30-100mm，100-300mm，300-1000mm，1000-3000mm</w:t>
            </w:r>
          </w:p>
          <w:p>
            <w:pPr>
              <w:jc w:val="left"/>
              <w:rPr>
                <w:rFonts w:ascii="宋体" w:hAnsi="宋体" w:cs="宋体"/>
                <w:szCs w:val="21"/>
              </w:rPr>
            </w:pPr>
            <w:r>
              <w:rPr>
                <w:rFonts w:hint="eastAsia" w:ascii="宋体" w:hAnsi="宋体" w:cs="宋体"/>
                <w:szCs w:val="21"/>
              </w:rPr>
              <w:t>•30-300mm，300-3000mm</w:t>
            </w:r>
          </w:p>
          <w:p>
            <w:pPr>
              <w:jc w:val="left"/>
              <w:rPr>
                <w:rFonts w:ascii="宋体" w:hAnsi="宋体" w:cs="宋体"/>
                <w:szCs w:val="21"/>
              </w:rPr>
            </w:pPr>
            <w:r>
              <w:rPr>
                <w:rFonts w:hint="eastAsia" w:ascii="宋体" w:hAnsi="宋体" w:cs="宋体"/>
                <w:szCs w:val="21"/>
              </w:rPr>
              <w:t>•30-150mm，150-1500mm</w:t>
            </w:r>
          </w:p>
          <w:p>
            <w:pPr>
              <w:jc w:val="left"/>
              <w:rPr>
                <w:rFonts w:ascii="宋体" w:hAnsi="宋体" w:cs="宋体"/>
                <w:szCs w:val="21"/>
              </w:rPr>
            </w:pPr>
            <w:r>
              <w:rPr>
                <w:rFonts w:hint="eastAsia" w:ascii="宋体" w:hAnsi="宋体" w:cs="宋体"/>
                <w:szCs w:val="21"/>
              </w:rPr>
              <w:t>•150-1000mm，1000-1500mm</w:t>
            </w:r>
          </w:p>
          <w:p>
            <w:pPr>
              <w:spacing w:line="360" w:lineRule="auto"/>
              <w:rPr>
                <w:rFonts w:ascii="宋体" w:hAnsi="宋体" w:cs="宋体"/>
                <w:bCs/>
                <w:szCs w:val="21"/>
              </w:rPr>
            </w:pPr>
            <w:r>
              <w:rPr>
                <w:rFonts w:hint="eastAsia" w:ascii="宋体" w:hAnsi="宋体" w:cs="宋体"/>
                <w:szCs w:val="21"/>
              </w:rPr>
              <w:t>•并可选择带通、高通或低通。</w:t>
            </w:r>
          </w:p>
        </w:tc>
        <w:tc>
          <w:tcPr>
            <w:tcW w:w="609" w:type="pct"/>
            <w:vAlign w:val="center"/>
          </w:tcPr>
          <w:p>
            <w:pPr>
              <w:spacing w:line="360" w:lineRule="auto"/>
              <w:jc w:val="center"/>
              <w:rPr>
                <w:rFonts w:ascii="宋体" w:hAnsi="宋体" w:cs="宋体"/>
                <w:bCs/>
                <w:szCs w:val="21"/>
              </w:rPr>
            </w:pPr>
            <w:r>
              <w:rPr>
                <w:rFonts w:hint="eastAsia" w:ascii="宋体" w:hAnsi="宋体" w:cs="宋体"/>
                <w:szCs w:val="21"/>
              </w:rPr>
              <w:t>1.设备应经国家铁路产品质量监督检验中心检测，并出具正式的检测报告。（原件备查）。</w:t>
            </w:r>
          </w:p>
        </w:tc>
        <w:tc>
          <w:tcPr>
            <w:tcW w:w="545" w:type="pct"/>
            <w:vAlign w:val="center"/>
          </w:tcPr>
          <w:p>
            <w:pPr>
              <w:spacing w:line="360" w:lineRule="auto"/>
              <w:jc w:val="center"/>
              <w:rPr>
                <w:rFonts w:ascii="宋体" w:hAnsi="宋体" w:cs="宋体"/>
                <w:bCs/>
                <w:szCs w:val="21"/>
              </w:rPr>
            </w:pPr>
          </w:p>
        </w:tc>
      </w:tr>
    </w:tbl>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r>
        <w:rPr>
          <w:rFonts w:hint="eastAsia" w:ascii="宋体" w:hAnsi="宋体" w:cs="宋体"/>
          <w:szCs w:val="21"/>
        </w:rPr>
        <w:t>四、其他要求</w:t>
      </w:r>
    </w:p>
    <w:p>
      <w:pPr>
        <w:spacing w:line="360" w:lineRule="auto"/>
        <w:ind w:firstLine="420" w:firstLineChars="20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.若本项目需办理出口许可证，六个月内出口许可证没办理成功，则</w:t>
      </w:r>
      <w:r>
        <w:rPr>
          <w:rFonts w:hint="eastAsia" w:ascii="宋体" w:hAnsi="宋体" w:cs="宋体"/>
          <w:szCs w:val="21"/>
        </w:rPr>
        <w:t>中标人与招标人</w:t>
      </w:r>
      <w:r>
        <w:rPr>
          <w:rFonts w:hint="eastAsia" w:ascii="宋体" w:hAnsi="宋体" w:cs="宋体"/>
          <w:szCs w:val="21"/>
          <w:lang w:val="zh-CN"/>
        </w:rPr>
        <w:t>双方签订的合同自动取消。</w:t>
      </w:r>
    </w:p>
    <w:p>
      <w:pPr>
        <w:spacing w:line="360" w:lineRule="auto"/>
        <w:ind w:firstLine="420" w:firstLineChars="200"/>
        <w:rPr>
          <w:rFonts w:ascii="宋体" w:hAnsi="宋体" w:cs="宋体"/>
          <w:szCs w:val="21"/>
          <w:lang w:val="zh-CN"/>
        </w:rPr>
      </w:pPr>
      <w:r>
        <w:rPr>
          <w:rFonts w:hint="eastAsia" w:ascii="宋体" w:hAnsi="宋体" w:cs="宋体"/>
          <w:szCs w:val="21"/>
        </w:rPr>
        <w:t>2</w:t>
      </w:r>
      <w:r>
        <w:rPr>
          <w:rFonts w:hint="eastAsia" w:ascii="宋体" w:hAnsi="宋体" w:cs="宋体"/>
          <w:szCs w:val="21"/>
          <w:lang w:val="zh-CN"/>
        </w:rPr>
        <w:t>.合同结算时，因汇率波动造成合同实际结算时超出本项目的人民币中标价时，招标人不承担超出投标限价的部分，该部分费用由中标人承担。 </w:t>
      </w:r>
    </w:p>
    <w:p>
      <w:pPr>
        <w:spacing w:line="360" w:lineRule="auto"/>
        <w:ind w:firstLine="420" w:firstLineChars="200"/>
      </w:pPr>
      <w:r>
        <w:rPr>
          <w:rFonts w:hint="eastAsia" w:ascii="宋体" w:hAnsi="宋体" w:cs="宋体"/>
          <w:szCs w:val="21"/>
        </w:rPr>
        <w:t>3</w:t>
      </w:r>
      <w:r>
        <w:rPr>
          <w:rFonts w:hint="eastAsia" w:ascii="宋体" w:hAnsi="宋体" w:cs="宋体"/>
          <w:szCs w:val="21"/>
          <w:lang w:val="zh-CN"/>
        </w:rPr>
        <w:t>.本项目拟申请海关免税政策，若因免税政策变化等原因导致最终招标人未能享受免税政策，相关税收由中标人承担。在执行</w:t>
      </w:r>
      <w:r>
        <w:rPr>
          <w:rFonts w:hint="eastAsia" w:ascii="宋体" w:hAnsi="宋体" w:cs="宋体"/>
          <w:szCs w:val="21"/>
        </w:rPr>
        <w:t>本项目</w:t>
      </w:r>
      <w:r>
        <w:rPr>
          <w:rFonts w:hint="eastAsia" w:ascii="宋体" w:hAnsi="宋体" w:cs="宋体"/>
          <w:szCs w:val="21"/>
          <w:lang w:val="zh-CN"/>
        </w:rPr>
        <w:t>合同过程中，在中国以外发生的所有税费由中标人承担。</w:t>
      </w:r>
    </w:p>
    <w:p>
      <w:pPr>
        <w:spacing w:line="360" w:lineRule="auto"/>
        <w:ind w:firstLine="420" w:firstLineChars="200"/>
        <w:rPr>
          <w:szCs w:val="21"/>
        </w:rPr>
      </w:pPr>
      <w:r>
        <w:rPr>
          <w:rFonts w:hint="eastAsia"/>
          <w:szCs w:val="21"/>
        </w:rPr>
        <w:t>4.投标人应在投标文件中提供</w:t>
      </w:r>
      <w:r>
        <w:rPr>
          <w:szCs w:val="21"/>
        </w:rPr>
        <w:t>售后服务方案</w:t>
      </w:r>
      <w:r>
        <w:rPr>
          <w:rFonts w:hint="eastAsia"/>
          <w:szCs w:val="21"/>
        </w:rPr>
        <w:t>、</w:t>
      </w:r>
      <w:r>
        <w:rPr>
          <w:szCs w:val="21"/>
        </w:rPr>
        <w:t>维修服务方案</w:t>
      </w:r>
      <w:r>
        <w:rPr>
          <w:rFonts w:hint="eastAsia"/>
          <w:szCs w:val="21"/>
        </w:rPr>
        <w:t>、</w:t>
      </w:r>
      <w:r>
        <w:rPr>
          <w:szCs w:val="21"/>
        </w:rPr>
        <w:t>培训方案</w:t>
      </w:r>
      <w:r>
        <w:rPr>
          <w:rFonts w:hint="eastAsia"/>
          <w:szCs w:val="21"/>
        </w:rPr>
        <w:t>。</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2YTM5YmIyYmI4N2MzZjFiZTg3M2EwNGUzZjQ3ZGEifQ=="/>
  </w:docVars>
  <w:rsids>
    <w:rsidRoot w:val="00000000"/>
    <w:rsid w:val="67584F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styleId="4">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2024-07-02T08:55:35Z</dcterms:created>
  <dc:creator>Dai</dc:creator>
  <cp:lastModifiedBy>戴</cp:lastModifiedBy>
  <dcterms:modified xsi:type="dcterms:W3CDTF">2024-07-02T08:55:37Z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0D2A7E8DA29847DA8681D9FA2F8E131F_12</vt:lpwstr>
  </property>
</Properties>
</file>