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24CAA5">
      <w:pPr>
        <w:autoSpaceDE w:val="0"/>
        <w:autoSpaceDN w:val="0"/>
        <w:adjustRightInd w:val="0"/>
        <w:snapToGrid w:val="0"/>
        <w:ind w:right="893"/>
        <w:jc w:val="center"/>
        <w:textAlignment w:val="bottom"/>
        <w:rPr>
          <w:rFonts w:ascii="宋体" w:hAnsi="宋体"/>
          <w:b/>
          <w:sz w:val="24"/>
        </w:rPr>
      </w:pPr>
      <w:r>
        <w:rPr>
          <w:rFonts w:hint="eastAsia" w:ascii="宋体" w:hAnsi="宋体"/>
          <w:b/>
          <w:sz w:val="24"/>
        </w:rPr>
        <w:t>第五部分：采购需求</w:t>
      </w:r>
    </w:p>
    <w:p w14:paraId="106A990F">
      <w:pPr>
        <w:autoSpaceDE w:val="0"/>
        <w:autoSpaceDN w:val="0"/>
        <w:adjustRightInd w:val="0"/>
        <w:snapToGrid w:val="0"/>
        <w:ind w:right="893"/>
        <w:jc w:val="center"/>
        <w:textAlignment w:val="bottom"/>
        <w:rPr>
          <w:rFonts w:ascii="宋体" w:hAnsi="宋体"/>
          <w:b/>
          <w:sz w:val="24"/>
        </w:rPr>
      </w:pPr>
      <w:r>
        <w:rPr>
          <w:rFonts w:hint="eastAsia" w:ascii="宋体" w:hAnsi="宋体"/>
          <w:b/>
          <w:sz w:val="24"/>
        </w:rPr>
        <w:t xml:space="preserve">   </w:t>
      </w:r>
    </w:p>
    <w:p w14:paraId="7BD06903">
      <w:pPr>
        <w:tabs>
          <w:tab w:val="left" w:pos="0"/>
        </w:tabs>
        <w:autoSpaceDE w:val="0"/>
        <w:autoSpaceDN w:val="0"/>
        <w:adjustRightInd w:val="0"/>
        <w:snapToGrid w:val="0"/>
        <w:ind w:right="-34"/>
        <w:jc w:val="center"/>
        <w:textAlignment w:val="bottom"/>
        <w:rPr>
          <w:rFonts w:ascii="宋体" w:hAnsi="宋体"/>
          <w:b/>
          <w:sz w:val="24"/>
        </w:rPr>
      </w:pPr>
    </w:p>
    <w:p w14:paraId="342B2980">
      <w:pPr>
        <w:pStyle w:val="2"/>
        <w:ind w:left="0" w:leftChars="0" w:firstLine="0" w:firstLineChars="0"/>
        <w:jc w:val="center"/>
        <w:rPr>
          <w:rFonts w:hint="eastAsia"/>
        </w:rPr>
      </w:pPr>
      <w:bookmarkStart w:id="0" w:name="_Toc347059232"/>
      <w:bookmarkStart w:id="1" w:name="_Toc327257820"/>
      <w:bookmarkStart w:id="2" w:name="_Toc274315793"/>
      <w:r>
        <w:rPr>
          <w:rFonts w:ascii="宋体" w:hAnsi="宋体"/>
          <w:b/>
        </w:rPr>
        <w:t>货物需求一览表</w:t>
      </w:r>
      <w:bookmarkEnd w:id="0"/>
      <w:bookmarkEnd w:id="1"/>
      <w:bookmarkEnd w:id="2"/>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304"/>
        <w:gridCol w:w="576"/>
        <w:gridCol w:w="2401"/>
        <w:gridCol w:w="1329"/>
        <w:gridCol w:w="2270"/>
      </w:tblGrid>
      <w:tr w14:paraId="0D585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72C57D8C">
            <w:pPr>
              <w:jc w:val="center"/>
              <w:rPr>
                <w:rFonts w:ascii="宋体" w:hAnsi="Bookman Old Style"/>
                <w:sz w:val="24"/>
              </w:rPr>
            </w:pPr>
            <w:r>
              <w:rPr>
                <w:rFonts w:hint="eastAsia" w:ascii="宋体" w:hAnsi="Bookman Old Style"/>
                <w:sz w:val="24"/>
              </w:rPr>
              <w:t>包号</w:t>
            </w:r>
          </w:p>
        </w:tc>
        <w:tc>
          <w:tcPr>
            <w:tcW w:w="2304" w:type="dxa"/>
            <w:noWrap w:val="0"/>
            <w:vAlign w:val="center"/>
          </w:tcPr>
          <w:p w14:paraId="7ED72B97">
            <w:pPr>
              <w:jc w:val="center"/>
              <w:rPr>
                <w:rFonts w:ascii="宋体" w:hAnsi="Bookman Old Style"/>
                <w:sz w:val="24"/>
              </w:rPr>
            </w:pPr>
            <w:r>
              <w:rPr>
                <w:rFonts w:hint="eastAsia" w:ascii="宋体" w:hAnsi="Bookman Old Style"/>
                <w:sz w:val="24"/>
              </w:rPr>
              <w:t>货物名称</w:t>
            </w:r>
          </w:p>
        </w:tc>
        <w:tc>
          <w:tcPr>
            <w:tcW w:w="576" w:type="dxa"/>
            <w:noWrap w:val="0"/>
            <w:vAlign w:val="center"/>
          </w:tcPr>
          <w:p w14:paraId="472F8DD1">
            <w:pPr>
              <w:jc w:val="center"/>
              <w:rPr>
                <w:rFonts w:ascii="宋体" w:hAnsi="Bookman Old Style"/>
                <w:sz w:val="24"/>
              </w:rPr>
            </w:pPr>
            <w:r>
              <w:rPr>
                <w:rFonts w:hint="eastAsia" w:ascii="宋体" w:hAnsi="Bookman Old Style"/>
                <w:sz w:val="24"/>
              </w:rPr>
              <w:t>数量</w:t>
            </w:r>
          </w:p>
        </w:tc>
        <w:tc>
          <w:tcPr>
            <w:tcW w:w="2401" w:type="dxa"/>
            <w:noWrap w:val="0"/>
            <w:vAlign w:val="center"/>
          </w:tcPr>
          <w:p w14:paraId="67C29FE4">
            <w:pPr>
              <w:jc w:val="center"/>
              <w:rPr>
                <w:rFonts w:ascii="宋体" w:hAnsi="Bookman Old Style"/>
                <w:sz w:val="24"/>
              </w:rPr>
            </w:pPr>
            <w:r>
              <w:rPr>
                <w:rFonts w:hint="eastAsia" w:ascii="宋体" w:hAnsi="Bookman Old Style"/>
                <w:sz w:val="24"/>
              </w:rPr>
              <w:t>交货期</w:t>
            </w:r>
          </w:p>
        </w:tc>
        <w:tc>
          <w:tcPr>
            <w:tcW w:w="1329" w:type="dxa"/>
            <w:noWrap w:val="0"/>
            <w:vAlign w:val="center"/>
          </w:tcPr>
          <w:p w14:paraId="328DDAD0">
            <w:pPr>
              <w:jc w:val="center"/>
              <w:rPr>
                <w:rFonts w:ascii="宋体" w:hAnsi="Bookman Old Style"/>
                <w:sz w:val="24"/>
              </w:rPr>
            </w:pPr>
            <w:r>
              <w:rPr>
                <w:rFonts w:hint="eastAsia" w:ascii="宋体" w:hAnsi="Bookman Old Style"/>
                <w:sz w:val="24"/>
              </w:rPr>
              <w:t>指定到货港</w:t>
            </w:r>
          </w:p>
        </w:tc>
        <w:tc>
          <w:tcPr>
            <w:tcW w:w="2270" w:type="dxa"/>
            <w:noWrap w:val="0"/>
            <w:vAlign w:val="center"/>
          </w:tcPr>
          <w:p w14:paraId="2EDDC1FD">
            <w:pPr>
              <w:jc w:val="center"/>
              <w:rPr>
                <w:rFonts w:ascii="宋体" w:hAnsi="Bookman Old Style"/>
                <w:sz w:val="24"/>
                <w:shd w:val="pct10" w:color="auto" w:fill="FFFFFF"/>
              </w:rPr>
            </w:pPr>
            <w:r>
              <w:rPr>
                <w:rFonts w:hint="eastAsia" w:ascii="宋体" w:hAnsi="Bookman Old Style"/>
                <w:sz w:val="24"/>
              </w:rPr>
              <w:t>项目现场（交货地点）</w:t>
            </w:r>
          </w:p>
        </w:tc>
      </w:tr>
      <w:tr w14:paraId="287E5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Merge w:val="restart"/>
            <w:noWrap w:val="0"/>
            <w:vAlign w:val="center"/>
          </w:tcPr>
          <w:p w14:paraId="698ECA19">
            <w:pPr>
              <w:jc w:val="center"/>
              <w:rPr>
                <w:rFonts w:ascii="宋体"/>
                <w:sz w:val="24"/>
              </w:rPr>
            </w:pPr>
            <w:r>
              <w:rPr>
                <w:rFonts w:ascii="宋体"/>
                <w:sz w:val="24"/>
              </w:rPr>
              <w:t>1</w:t>
            </w:r>
          </w:p>
        </w:tc>
        <w:tc>
          <w:tcPr>
            <w:tcW w:w="2304" w:type="dxa"/>
            <w:noWrap w:val="0"/>
            <w:vAlign w:val="center"/>
          </w:tcPr>
          <w:p w14:paraId="02D8415B">
            <w:pPr>
              <w:jc w:val="center"/>
              <w:rPr>
                <w:rFonts w:hint="eastAsia" w:ascii="Bookman Old Style" w:hAnsi="Bookman Old Style"/>
                <w:sz w:val="24"/>
              </w:rPr>
            </w:pPr>
            <w:r>
              <w:rPr>
                <w:rFonts w:hint="eastAsia" w:ascii="宋体" w:hAnsi="Bookman Old Style"/>
                <w:sz w:val="24"/>
              </w:rPr>
              <w:t>5</w:t>
            </w:r>
            <w:r>
              <w:rPr>
                <w:rFonts w:ascii="宋体" w:hAnsi="Bookman Old Style"/>
                <w:sz w:val="24"/>
              </w:rPr>
              <w:t>G/4G</w:t>
            </w:r>
            <w:r>
              <w:rPr>
                <w:rFonts w:hint="eastAsia" w:ascii="宋体" w:hAnsi="Bookman Old Style"/>
                <w:sz w:val="24"/>
              </w:rPr>
              <w:t>融合核心网</w:t>
            </w:r>
          </w:p>
        </w:tc>
        <w:tc>
          <w:tcPr>
            <w:tcW w:w="576" w:type="dxa"/>
            <w:noWrap w:val="0"/>
            <w:vAlign w:val="center"/>
          </w:tcPr>
          <w:p w14:paraId="0840E2AD">
            <w:pPr>
              <w:jc w:val="center"/>
              <w:rPr>
                <w:rFonts w:ascii="宋体" w:hAnsi="Bookman Old Style"/>
                <w:sz w:val="24"/>
              </w:rPr>
            </w:pPr>
            <w:r>
              <w:rPr>
                <w:rFonts w:ascii="宋体" w:hAnsi="Bookman Old Style"/>
                <w:sz w:val="24"/>
              </w:rPr>
              <w:t>2</w:t>
            </w:r>
            <w:r>
              <w:rPr>
                <w:rFonts w:hint="eastAsia" w:ascii="宋体" w:hAnsi="Bookman Old Style"/>
                <w:sz w:val="24"/>
              </w:rPr>
              <w:t>套</w:t>
            </w:r>
          </w:p>
        </w:tc>
        <w:tc>
          <w:tcPr>
            <w:tcW w:w="2401" w:type="dxa"/>
            <w:noWrap w:val="0"/>
            <w:vAlign w:val="center"/>
          </w:tcPr>
          <w:p w14:paraId="10883AEC">
            <w:pPr>
              <w:jc w:val="center"/>
              <w:rPr>
                <w:rFonts w:ascii="宋体" w:hAnsi="Bookman Old Style"/>
                <w:sz w:val="24"/>
              </w:rPr>
            </w:pPr>
            <w:r>
              <w:rPr>
                <w:rFonts w:hint="eastAsia" w:ascii="宋体" w:hAnsi="Bookman Old Style"/>
                <w:sz w:val="24"/>
              </w:rPr>
              <w:t>合同签署后45天内</w:t>
            </w:r>
          </w:p>
        </w:tc>
        <w:tc>
          <w:tcPr>
            <w:tcW w:w="1329" w:type="dxa"/>
            <w:noWrap w:val="0"/>
            <w:vAlign w:val="center"/>
          </w:tcPr>
          <w:p w14:paraId="06259BB5">
            <w:pPr>
              <w:jc w:val="center"/>
              <w:rPr>
                <w:rFonts w:ascii="宋体" w:hAnsi="Bookman Old Style"/>
                <w:sz w:val="24"/>
              </w:rPr>
            </w:pPr>
            <w:r>
              <w:rPr>
                <w:rFonts w:hint="eastAsia" w:ascii="宋体" w:hAnsi="Bookman Old Style"/>
                <w:sz w:val="24"/>
              </w:rPr>
              <w:t>/</w:t>
            </w:r>
          </w:p>
        </w:tc>
        <w:tc>
          <w:tcPr>
            <w:tcW w:w="2270" w:type="dxa"/>
            <w:noWrap w:val="0"/>
            <w:vAlign w:val="center"/>
          </w:tcPr>
          <w:p w14:paraId="4A9C06E2">
            <w:pPr>
              <w:jc w:val="center"/>
              <w:rPr>
                <w:rFonts w:ascii="宋体" w:hAnsi="Bookman Old Style"/>
                <w:sz w:val="24"/>
              </w:rPr>
            </w:pPr>
            <w:r>
              <w:rPr>
                <w:rFonts w:hint="eastAsia" w:ascii="宋体" w:hAnsi="Bookman Old Style"/>
                <w:sz w:val="24"/>
              </w:rPr>
              <w:t>中国科学院计算技术研究所或用户指定地点</w:t>
            </w:r>
          </w:p>
        </w:tc>
      </w:tr>
      <w:tr w14:paraId="72603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Merge w:val="continue"/>
            <w:noWrap w:val="0"/>
            <w:vAlign w:val="center"/>
          </w:tcPr>
          <w:p w14:paraId="055C33DA">
            <w:pPr>
              <w:jc w:val="center"/>
              <w:rPr>
                <w:rFonts w:ascii="宋体"/>
                <w:sz w:val="24"/>
              </w:rPr>
            </w:pPr>
          </w:p>
        </w:tc>
        <w:tc>
          <w:tcPr>
            <w:tcW w:w="2304" w:type="dxa"/>
            <w:noWrap w:val="0"/>
            <w:vAlign w:val="center"/>
          </w:tcPr>
          <w:p w14:paraId="01149C5C">
            <w:pPr>
              <w:jc w:val="center"/>
              <w:rPr>
                <w:rFonts w:hint="eastAsia" w:ascii="宋体" w:hAnsi="Bookman Old Style"/>
                <w:sz w:val="24"/>
              </w:rPr>
            </w:pPr>
            <w:r>
              <w:rPr>
                <w:rFonts w:hint="eastAsia" w:ascii="宋体" w:hAnsi="Bookman Old Style"/>
                <w:sz w:val="24"/>
              </w:rPr>
              <w:t>I</w:t>
            </w:r>
            <w:r>
              <w:rPr>
                <w:rFonts w:ascii="宋体" w:hAnsi="Bookman Old Style"/>
                <w:sz w:val="24"/>
              </w:rPr>
              <w:t>MS</w:t>
            </w:r>
            <w:r>
              <w:rPr>
                <w:rFonts w:hint="eastAsia" w:ascii="宋体" w:hAnsi="Bookman Old Style"/>
                <w:sz w:val="24"/>
              </w:rPr>
              <w:t>系统</w:t>
            </w:r>
          </w:p>
        </w:tc>
        <w:tc>
          <w:tcPr>
            <w:tcW w:w="576" w:type="dxa"/>
            <w:noWrap w:val="0"/>
            <w:vAlign w:val="center"/>
          </w:tcPr>
          <w:p w14:paraId="51001605">
            <w:pPr>
              <w:jc w:val="center"/>
              <w:rPr>
                <w:rFonts w:ascii="宋体" w:hAnsi="Bookman Old Style"/>
                <w:sz w:val="24"/>
              </w:rPr>
            </w:pPr>
            <w:r>
              <w:rPr>
                <w:rFonts w:hint="eastAsia" w:ascii="宋体" w:hAnsi="Bookman Old Style"/>
                <w:sz w:val="24"/>
              </w:rPr>
              <w:t>1套</w:t>
            </w:r>
          </w:p>
        </w:tc>
        <w:tc>
          <w:tcPr>
            <w:tcW w:w="2401" w:type="dxa"/>
            <w:noWrap w:val="0"/>
            <w:vAlign w:val="center"/>
          </w:tcPr>
          <w:p w14:paraId="3925826D">
            <w:pPr>
              <w:jc w:val="center"/>
              <w:rPr>
                <w:rFonts w:hint="eastAsia" w:ascii="宋体" w:hAnsi="Bookman Old Style"/>
                <w:sz w:val="24"/>
              </w:rPr>
            </w:pPr>
            <w:r>
              <w:rPr>
                <w:rFonts w:hint="eastAsia" w:ascii="宋体" w:hAnsi="Bookman Old Style"/>
                <w:sz w:val="24"/>
              </w:rPr>
              <w:t>合同签署后45天内</w:t>
            </w:r>
          </w:p>
        </w:tc>
        <w:tc>
          <w:tcPr>
            <w:tcW w:w="1329" w:type="dxa"/>
            <w:noWrap w:val="0"/>
            <w:vAlign w:val="center"/>
          </w:tcPr>
          <w:p w14:paraId="52D26875">
            <w:pPr>
              <w:jc w:val="center"/>
              <w:rPr>
                <w:rFonts w:hint="eastAsia" w:ascii="宋体" w:hAnsi="Bookman Old Style"/>
                <w:sz w:val="24"/>
              </w:rPr>
            </w:pPr>
            <w:r>
              <w:rPr>
                <w:rFonts w:hint="eastAsia" w:ascii="宋体" w:hAnsi="Bookman Old Style"/>
                <w:sz w:val="24"/>
              </w:rPr>
              <w:t>/</w:t>
            </w:r>
          </w:p>
        </w:tc>
        <w:tc>
          <w:tcPr>
            <w:tcW w:w="2270" w:type="dxa"/>
            <w:noWrap w:val="0"/>
            <w:vAlign w:val="center"/>
          </w:tcPr>
          <w:p w14:paraId="0F41BC8E">
            <w:pPr>
              <w:jc w:val="center"/>
              <w:rPr>
                <w:rFonts w:hint="eastAsia" w:ascii="宋体" w:hAnsi="Bookman Old Style"/>
                <w:sz w:val="24"/>
              </w:rPr>
            </w:pPr>
            <w:r>
              <w:rPr>
                <w:rFonts w:hint="eastAsia" w:ascii="宋体" w:hAnsi="Bookman Old Style"/>
                <w:sz w:val="24"/>
              </w:rPr>
              <w:t>中国科学院计算技术研究所或用户指定地点</w:t>
            </w:r>
          </w:p>
        </w:tc>
      </w:tr>
    </w:tbl>
    <w:p w14:paraId="3046FAF4">
      <w:pPr>
        <w:adjustRightInd w:val="0"/>
        <w:snapToGrid w:val="0"/>
        <w:jc w:val="center"/>
        <w:rPr>
          <w:rFonts w:hint="eastAsia"/>
          <w:b/>
          <w:sz w:val="24"/>
          <w:szCs w:val="30"/>
        </w:rPr>
      </w:pPr>
    </w:p>
    <w:p w14:paraId="5FBAA2A2">
      <w:pPr>
        <w:adjustRightInd w:val="0"/>
        <w:snapToGrid w:val="0"/>
        <w:jc w:val="center"/>
        <w:rPr>
          <w:rFonts w:hint="eastAsia"/>
          <w:b/>
          <w:sz w:val="24"/>
          <w:szCs w:val="30"/>
        </w:rPr>
      </w:pPr>
    </w:p>
    <w:p w14:paraId="188B5A7B">
      <w:pPr>
        <w:rPr>
          <w:rFonts w:hint="eastAsia"/>
          <w:sz w:val="24"/>
        </w:rPr>
      </w:pPr>
      <w:r>
        <w:rPr>
          <w:rFonts w:hint="eastAsia"/>
          <w:sz w:val="24"/>
        </w:rPr>
        <w:t>注：供应商须对上述投标内容中完整的一包进行应答，不完整的应答文件将视为非响应性投应答予以拒绝。</w:t>
      </w:r>
    </w:p>
    <w:p w14:paraId="3DFC0B08">
      <w:pPr>
        <w:adjustRightInd w:val="0"/>
        <w:snapToGrid w:val="0"/>
        <w:rPr>
          <w:rFonts w:hint="eastAsia"/>
          <w:sz w:val="24"/>
          <w:szCs w:val="21"/>
        </w:rPr>
      </w:pPr>
    </w:p>
    <w:p w14:paraId="6F3902AE">
      <w:pPr>
        <w:adjustRightInd w:val="0"/>
        <w:snapToGrid w:val="0"/>
        <w:rPr>
          <w:rFonts w:hint="eastAsia"/>
          <w:sz w:val="24"/>
          <w:szCs w:val="21"/>
        </w:rPr>
      </w:pPr>
    </w:p>
    <w:p w14:paraId="548A0FAB">
      <w:pPr>
        <w:adjustRightInd w:val="0"/>
        <w:snapToGrid w:val="0"/>
        <w:rPr>
          <w:rFonts w:hint="eastAsia"/>
          <w:b/>
          <w:sz w:val="24"/>
          <w:szCs w:val="30"/>
        </w:rPr>
      </w:pPr>
      <w:r>
        <w:rPr>
          <w:b/>
          <w:sz w:val="24"/>
          <w:szCs w:val="30"/>
        </w:rPr>
        <w:br w:type="page"/>
      </w:r>
    </w:p>
    <w:p w14:paraId="4DE592BC">
      <w:pPr>
        <w:numPr>
          <w:ilvl w:val="2"/>
          <w:numId w:val="1"/>
        </w:numPr>
        <w:tabs>
          <w:tab w:val="left" w:pos="720"/>
          <w:tab w:val="clear" w:pos="1560"/>
        </w:tabs>
        <w:adjustRightInd w:val="0"/>
        <w:snapToGrid w:val="0"/>
        <w:ind w:hanging="1560"/>
        <w:jc w:val="center"/>
        <w:rPr>
          <w:b/>
          <w:sz w:val="24"/>
          <w:szCs w:val="30"/>
        </w:rPr>
      </w:pPr>
      <w:r>
        <w:rPr>
          <w:rFonts w:hint="eastAsia"/>
          <w:b/>
          <w:sz w:val="24"/>
          <w:szCs w:val="30"/>
        </w:rPr>
        <w:t>总则</w:t>
      </w:r>
    </w:p>
    <w:p w14:paraId="7681E063">
      <w:pPr>
        <w:spacing w:before="120" w:beforeLines="50" w:after="120" w:afterLines="50" w:line="360" w:lineRule="auto"/>
        <w:ind w:left="601" w:hanging="601"/>
        <w:rPr>
          <w:b/>
          <w:sz w:val="24"/>
        </w:rPr>
      </w:pPr>
      <w:r>
        <w:rPr>
          <w:b/>
          <w:sz w:val="24"/>
        </w:rPr>
        <w:t>1</w:t>
      </w:r>
      <w:r>
        <w:rPr>
          <w:rFonts w:hint="eastAsia"/>
          <w:b/>
          <w:sz w:val="24"/>
        </w:rPr>
        <w:t>、投标要求</w:t>
      </w:r>
    </w:p>
    <w:p w14:paraId="49CE32D1">
      <w:pPr>
        <w:spacing w:line="360" w:lineRule="auto"/>
        <w:ind w:left="554" w:hanging="554" w:hangingChars="231"/>
        <w:rPr>
          <w:rFonts w:hint="eastAsia"/>
          <w:sz w:val="24"/>
        </w:rPr>
      </w:pPr>
      <w:r>
        <w:rPr>
          <w:sz w:val="24"/>
        </w:rPr>
        <w:t xml:space="preserve">1.1 </w:t>
      </w:r>
      <w:r>
        <w:rPr>
          <w:rFonts w:hint="eastAsia"/>
          <w:sz w:val="24"/>
        </w:rPr>
        <w:t xml:space="preserve"> 投标人在准备投标书时，务必在所提供的商品的技术规格文件中，标明型号、商标名称、目录号。</w:t>
      </w:r>
    </w:p>
    <w:p w14:paraId="7209BECF">
      <w:pPr>
        <w:spacing w:line="360" w:lineRule="auto"/>
        <w:ind w:left="554" w:hanging="554" w:hangingChars="231"/>
        <w:rPr>
          <w:rFonts w:hint="eastAsia"/>
          <w:sz w:val="24"/>
        </w:rPr>
      </w:pPr>
      <w:r>
        <w:rPr>
          <w:rFonts w:hint="eastAsia"/>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72821B3">
      <w:pPr>
        <w:spacing w:line="360" w:lineRule="auto"/>
        <w:ind w:left="554" w:hanging="554" w:hangingChars="231"/>
        <w:rPr>
          <w:rFonts w:hint="eastAsia"/>
          <w:sz w:val="24"/>
        </w:rPr>
      </w:pPr>
      <w:r>
        <w:rPr>
          <w:rFonts w:hint="eastAsia"/>
          <w:sz w:val="24"/>
        </w:rPr>
        <w:t>1.3  投标人提供的产品样本，必须是“原件”而非复印件，图表、简图、电路图以及印刷电路板图等都应清晰易读。买方有权不付任何附加费用复制这些资料以供参考。</w:t>
      </w:r>
    </w:p>
    <w:p w14:paraId="4D42CE52">
      <w:pPr>
        <w:spacing w:line="360" w:lineRule="auto"/>
        <w:ind w:left="554" w:hanging="554" w:hangingChars="231"/>
        <w:rPr>
          <w:rFonts w:hint="eastAsia"/>
          <w:sz w:val="24"/>
        </w:rPr>
      </w:pPr>
      <w:r>
        <w:rPr>
          <w:rFonts w:hint="eastAsia"/>
          <w:sz w:val="24"/>
        </w:rPr>
        <w:t>1.4  投标人的投标产品应符合国家有关部门规定的相应技术、节能、安全和环保标准；如国家有关部门对投标人的投标产品有强制性规定或要求的，则投标人的投标产品必须符合相应规定或要求。</w:t>
      </w:r>
    </w:p>
    <w:p w14:paraId="421FC3C9">
      <w:pPr>
        <w:spacing w:before="120" w:beforeLines="50" w:after="120" w:afterLines="50" w:line="360" w:lineRule="auto"/>
        <w:ind w:left="601" w:hanging="601"/>
        <w:rPr>
          <w:b/>
          <w:sz w:val="24"/>
        </w:rPr>
      </w:pPr>
      <w:r>
        <w:rPr>
          <w:rFonts w:hint="eastAsia"/>
          <w:b/>
          <w:sz w:val="24"/>
        </w:rPr>
        <w:t>2、评标标准</w:t>
      </w:r>
    </w:p>
    <w:p w14:paraId="17A8ED28">
      <w:pPr>
        <w:spacing w:line="360" w:lineRule="auto"/>
        <w:ind w:left="554" w:hanging="554" w:hangingChars="231"/>
        <w:rPr>
          <w:rFonts w:hint="eastAsia"/>
          <w:sz w:val="24"/>
        </w:rPr>
      </w:pPr>
      <w:r>
        <w:rPr>
          <w:sz w:val="24"/>
        </w:rPr>
        <w:t>2.</w:t>
      </w:r>
      <w:r>
        <w:rPr>
          <w:rFonts w:hint="eastAsia"/>
          <w:sz w:val="24"/>
        </w:rPr>
        <w:t>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0930C333">
      <w:pPr>
        <w:spacing w:line="360" w:lineRule="auto"/>
        <w:ind w:left="554" w:hanging="554" w:hangingChars="231"/>
        <w:rPr>
          <w:rFonts w:hint="eastAsia"/>
          <w:sz w:val="24"/>
        </w:rPr>
      </w:pPr>
      <w:r>
        <w:rPr>
          <w:rFonts w:hint="eastAsia"/>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3A9A6EC9">
      <w:pPr>
        <w:spacing w:line="360" w:lineRule="auto"/>
        <w:ind w:left="554" w:hanging="554" w:hangingChars="231"/>
        <w:rPr>
          <w:rFonts w:hint="eastAsia"/>
          <w:sz w:val="24"/>
        </w:rPr>
      </w:pPr>
      <w:r>
        <w:rPr>
          <w:rFonts w:hint="eastAsia"/>
          <w:sz w:val="24"/>
        </w:rPr>
        <w:t>2.3  为便于用户进行接收仪器的准备工作，卖方应在合同生效后</w:t>
      </w:r>
      <w:r>
        <w:rPr>
          <w:rFonts w:hint="eastAsia"/>
          <w:b/>
          <w:sz w:val="24"/>
        </w:rPr>
        <w:t>60</w:t>
      </w:r>
      <w:r>
        <w:rPr>
          <w:rFonts w:hint="eastAsia"/>
          <w:sz w:val="24"/>
        </w:rPr>
        <w:t>天内向用户提供一套完整的使用说明书、操作手册、维修及安装说明等文件。另一套完整上述资料应在交货时随货包装提供给用户，这些费用应计入投标价中。</w:t>
      </w:r>
    </w:p>
    <w:p w14:paraId="59271B9E">
      <w:pPr>
        <w:spacing w:line="360" w:lineRule="auto"/>
        <w:ind w:left="554" w:hanging="554" w:hangingChars="231"/>
        <w:rPr>
          <w:rFonts w:hint="eastAsia"/>
          <w:sz w:val="24"/>
        </w:rPr>
      </w:pPr>
      <w:r>
        <w:rPr>
          <w:rFonts w:hint="eastAsia"/>
          <w:sz w:val="24"/>
        </w:rPr>
        <w:t>2</w:t>
      </w:r>
      <w:r>
        <w:rPr>
          <w:sz w:val="24"/>
        </w:rPr>
        <w:t>.</w:t>
      </w:r>
      <w:r>
        <w:rPr>
          <w:rFonts w:hint="eastAsia"/>
          <w:sz w:val="24"/>
        </w:rPr>
        <w:t>4</w:t>
      </w:r>
      <w:r>
        <w:rPr>
          <w:sz w:val="24"/>
        </w:rPr>
        <w:t xml:space="preserve"> </w:t>
      </w:r>
      <w:r>
        <w:rPr>
          <w:rFonts w:hint="eastAsia"/>
          <w:sz w:val="24"/>
        </w:rPr>
        <w:t xml:space="preserve"> 关于设备的安装调试，如果有必要的安装准备条件，卖方应在合同生效后一个月内向买方提出详细的要求或计划。安装调试的费用应计入投标价中，并应单独列出，供评标使用。</w:t>
      </w:r>
    </w:p>
    <w:p w14:paraId="06E5CACF">
      <w:pPr>
        <w:spacing w:line="360" w:lineRule="auto"/>
        <w:ind w:left="554" w:hanging="554" w:hangingChars="231"/>
        <w:rPr>
          <w:sz w:val="24"/>
        </w:rPr>
      </w:pPr>
      <w:r>
        <w:rPr>
          <w:sz w:val="24"/>
        </w:rPr>
        <w:t>2.</w:t>
      </w:r>
      <w:r>
        <w:rPr>
          <w:rFonts w:hint="eastAsia"/>
          <w:sz w:val="24"/>
        </w:rPr>
        <w:t>5  制造厂家提供的培训指的是涉及货物的基本原理、操作使用和保养维修等有关内容的培训。</w:t>
      </w:r>
    </w:p>
    <w:p w14:paraId="45BEB158">
      <w:pPr>
        <w:spacing w:line="360" w:lineRule="auto"/>
        <w:ind w:left="554" w:hanging="554" w:hangingChars="231"/>
        <w:rPr>
          <w:rFonts w:hint="eastAsia"/>
          <w:sz w:val="24"/>
        </w:rPr>
      </w:pPr>
      <w:r>
        <w:rPr>
          <w:rFonts w:hint="eastAsia"/>
          <w:sz w:val="24"/>
        </w:rPr>
        <w:t>2</w:t>
      </w:r>
      <w:r>
        <w:rPr>
          <w:sz w:val="24"/>
        </w:rPr>
        <w:t>.</w:t>
      </w:r>
      <w:r>
        <w:rPr>
          <w:rFonts w:hint="eastAsia"/>
          <w:sz w:val="24"/>
        </w:rPr>
        <w:t>6  在评标过程中，买方有权向投标人索取任何与评标有关的资料，投标人务必在接到此类要求后，在规定时间内予以答复。对于无答复的投标人，买方有权拒绝其投标。</w:t>
      </w:r>
    </w:p>
    <w:p w14:paraId="51AAB18E">
      <w:pPr>
        <w:spacing w:before="120" w:beforeLines="50" w:after="120" w:afterLines="50" w:line="360" w:lineRule="auto"/>
        <w:ind w:left="601" w:hanging="601"/>
        <w:rPr>
          <w:rFonts w:hint="eastAsia"/>
          <w:b/>
          <w:sz w:val="24"/>
        </w:rPr>
      </w:pPr>
      <w:r>
        <w:rPr>
          <w:rFonts w:hint="eastAsia"/>
          <w:b/>
          <w:sz w:val="24"/>
        </w:rPr>
        <w:t>3、工作条件</w:t>
      </w:r>
    </w:p>
    <w:p w14:paraId="6BEE3D0B">
      <w:pPr>
        <w:spacing w:after="240" w:afterLines="100" w:line="360" w:lineRule="auto"/>
        <w:rPr>
          <w:rFonts w:hint="eastAsia"/>
          <w:sz w:val="24"/>
        </w:rPr>
      </w:pPr>
      <w:r>
        <w:rPr>
          <w:rFonts w:hint="eastAsia"/>
          <w:sz w:val="24"/>
        </w:rPr>
        <w:t>除非在技术规格中另有说明，所有仪器、设备和系统都应符合下列要求：</w:t>
      </w:r>
      <w:r>
        <w:rPr>
          <w:sz w:val="24"/>
        </w:rPr>
        <w:t xml:space="preserve"> </w:t>
      </w:r>
    </w:p>
    <w:p w14:paraId="74C6FBAE">
      <w:pPr>
        <w:spacing w:line="360" w:lineRule="auto"/>
        <w:ind w:left="554" w:hanging="554" w:hangingChars="231"/>
        <w:rPr>
          <w:rFonts w:hint="eastAsia"/>
          <w:sz w:val="24"/>
        </w:rPr>
      </w:pPr>
      <w:r>
        <w:rPr>
          <w:rFonts w:hint="eastAsia"/>
          <w:sz w:val="24"/>
        </w:rPr>
        <w:t>3.1  适于在气温为摄氏</w:t>
      </w:r>
      <w:r>
        <w:rPr>
          <w:b/>
          <w:sz w:val="24"/>
        </w:rPr>
        <w:t>-20</w:t>
      </w:r>
      <w:r>
        <w:rPr>
          <w:rFonts w:hint="eastAsia"/>
          <w:b/>
          <w:sz w:val="24"/>
        </w:rPr>
        <w:t>℃～＋</w:t>
      </w:r>
      <w:r>
        <w:rPr>
          <w:b/>
          <w:sz w:val="24"/>
        </w:rPr>
        <w:t>50</w:t>
      </w:r>
      <w:r>
        <w:rPr>
          <w:rFonts w:hint="eastAsia"/>
          <w:b/>
          <w:sz w:val="24"/>
        </w:rPr>
        <w:t>℃</w:t>
      </w:r>
      <w:r>
        <w:rPr>
          <w:rFonts w:hint="eastAsia"/>
          <w:sz w:val="24"/>
        </w:rPr>
        <w:t>和相对湿度为</w:t>
      </w:r>
      <w:r>
        <w:rPr>
          <w:b/>
          <w:sz w:val="24"/>
        </w:rPr>
        <w:t>90</w:t>
      </w:r>
      <w:r>
        <w:rPr>
          <w:rFonts w:hint="eastAsia"/>
          <w:b/>
          <w:sz w:val="24"/>
        </w:rPr>
        <w:t>％</w:t>
      </w:r>
      <w:r>
        <w:rPr>
          <w:rFonts w:hint="eastAsia"/>
          <w:sz w:val="24"/>
        </w:rPr>
        <w:t>的环境条件下运输和贮存。</w:t>
      </w:r>
    </w:p>
    <w:p w14:paraId="54B49BB2">
      <w:pPr>
        <w:spacing w:line="360" w:lineRule="auto"/>
        <w:ind w:left="554" w:hanging="554" w:hangingChars="231"/>
        <w:rPr>
          <w:rFonts w:hint="eastAsia"/>
          <w:sz w:val="24"/>
        </w:rPr>
      </w:pPr>
      <w:r>
        <w:rPr>
          <w:rFonts w:hint="eastAsia"/>
          <w:sz w:val="24"/>
        </w:rPr>
        <w:t>3.2  适于在电源</w:t>
      </w:r>
      <w:r>
        <w:rPr>
          <w:b/>
          <w:sz w:val="24"/>
        </w:rPr>
        <w:t>220V</w:t>
      </w:r>
      <w:r>
        <w:rPr>
          <w:rFonts w:hint="eastAsia"/>
          <w:b/>
          <w:sz w:val="24"/>
        </w:rPr>
        <w:t>（</w:t>
      </w:r>
      <w:r>
        <w:rPr>
          <w:b/>
          <w:sz w:val="24"/>
        </w:rPr>
        <w:sym w:font="Symbol" w:char="F0B1"/>
      </w:r>
      <w:r>
        <w:rPr>
          <w:b/>
          <w:sz w:val="24"/>
        </w:rPr>
        <w:t>10</w:t>
      </w:r>
      <w:r>
        <w:rPr>
          <w:rFonts w:hint="eastAsia"/>
          <w:b/>
          <w:sz w:val="24"/>
        </w:rPr>
        <w:t>％）</w:t>
      </w:r>
      <w:r>
        <w:rPr>
          <w:b/>
          <w:sz w:val="24"/>
        </w:rPr>
        <w:t>/50Hz</w:t>
      </w:r>
      <w:r>
        <w:rPr>
          <w:rFonts w:hint="eastAsia"/>
          <w:sz w:val="24"/>
        </w:rPr>
        <w:t>、</w:t>
      </w:r>
      <w:r>
        <w:rPr>
          <w:rFonts w:hint="eastAsia"/>
          <w:b/>
          <w:sz w:val="24"/>
        </w:rPr>
        <w:t>380</w:t>
      </w:r>
      <w:r>
        <w:rPr>
          <w:b/>
          <w:sz w:val="24"/>
        </w:rPr>
        <w:t>V</w:t>
      </w:r>
      <w:r>
        <w:rPr>
          <w:rFonts w:hint="eastAsia"/>
          <w:b/>
          <w:sz w:val="24"/>
        </w:rPr>
        <w:t>/3Ph/50Hz、</w:t>
      </w:r>
      <w:r>
        <w:rPr>
          <w:rFonts w:hint="eastAsia"/>
          <w:sz w:val="24"/>
        </w:rPr>
        <w:t>气温摄氏</w:t>
      </w:r>
      <w:r>
        <w:rPr>
          <w:rFonts w:hint="eastAsia"/>
          <w:b/>
          <w:sz w:val="24"/>
        </w:rPr>
        <w:t>+1</w:t>
      </w:r>
      <w:r>
        <w:rPr>
          <w:b/>
          <w:sz w:val="24"/>
        </w:rPr>
        <w:t>5</w:t>
      </w:r>
      <w:r>
        <w:rPr>
          <w:rFonts w:hint="eastAsia"/>
          <w:b/>
          <w:sz w:val="24"/>
        </w:rPr>
        <w:t>℃～＋3</w:t>
      </w:r>
      <w:r>
        <w:rPr>
          <w:b/>
          <w:sz w:val="24"/>
        </w:rPr>
        <w:t>0</w:t>
      </w:r>
      <w:r>
        <w:rPr>
          <w:rFonts w:hint="eastAsia"/>
          <w:b/>
          <w:sz w:val="24"/>
        </w:rPr>
        <w:t>℃</w:t>
      </w:r>
      <w:r>
        <w:rPr>
          <w:rFonts w:hint="eastAsia"/>
          <w:sz w:val="24"/>
        </w:rPr>
        <w:t>和相对湿度小于</w:t>
      </w:r>
      <w:r>
        <w:rPr>
          <w:b/>
          <w:sz w:val="24"/>
        </w:rPr>
        <w:t>8</w:t>
      </w:r>
      <w:r>
        <w:rPr>
          <w:rFonts w:hint="eastAsia"/>
          <w:b/>
          <w:sz w:val="24"/>
        </w:rPr>
        <w:t>0％</w:t>
      </w:r>
      <w:r>
        <w:rPr>
          <w:rFonts w:hint="eastAsia"/>
          <w:sz w:val="24"/>
        </w:rPr>
        <w:t>的环境条件下运行。</w:t>
      </w:r>
      <w:r>
        <w:rPr>
          <w:rFonts w:hint="eastAsia"/>
          <w:b/>
          <w:sz w:val="24"/>
        </w:rPr>
        <w:t>能够连续正常工作。</w:t>
      </w:r>
    </w:p>
    <w:p w14:paraId="1C091B6C">
      <w:pPr>
        <w:spacing w:line="360" w:lineRule="auto"/>
        <w:ind w:left="554" w:hanging="554" w:hangingChars="231"/>
        <w:rPr>
          <w:rFonts w:hint="eastAsia"/>
          <w:sz w:val="24"/>
        </w:rPr>
      </w:pPr>
      <w:r>
        <w:rPr>
          <w:rFonts w:hint="eastAsia"/>
          <w:sz w:val="24"/>
        </w:rPr>
        <w:t>3.3  配置符合中国有关标准要求的插头，如果没有这样的插头，则需提供适当的转换插座。</w:t>
      </w:r>
    </w:p>
    <w:p w14:paraId="07F62E8F">
      <w:pPr>
        <w:spacing w:line="360" w:lineRule="auto"/>
        <w:ind w:left="554" w:hanging="554" w:hangingChars="231"/>
        <w:rPr>
          <w:rFonts w:hint="eastAsia"/>
          <w:sz w:val="24"/>
        </w:rPr>
      </w:pPr>
      <w:r>
        <w:rPr>
          <w:rFonts w:hint="eastAsia"/>
          <w:sz w:val="24"/>
        </w:rPr>
        <w:t>3.4  如产品达不到上述要求，投标人应注明其偏差。如仪器设备需要特殊工作条件（如水、电源、磁场强度、温度、湿度、动强度等）投标人应在投标书中加以说明。</w:t>
      </w:r>
    </w:p>
    <w:p w14:paraId="6AE1FFEA">
      <w:pPr>
        <w:spacing w:before="120" w:beforeLines="50" w:after="120" w:afterLines="50" w:line="360" w:lineRule="auto"/>
        <w:ind w:left="601" w:hanging="601"/>
        <w:rPr>
          <w:rFonts w:hint="eastAsia"/>
          <w:b/>
          <w:sz w:val="24"/>
        </w:rPr>
      </w:pPr>
      <w:r>
        <w:rPr>
          <w:rFonts w:hint="eastAsia"/>
          <w:b/>
          <w:sz w:val="24"/>
        </w:rPr>
        <w:t>4、验收标准</w:t>
      </w:r>
    </w:p>
    <w:p w14:paraId="4BD82849">
      <w:pPr>
        <w:spacing w:after="240" w:afterLines="100" w:line="360" w:lineRule="auto"/>
        <w:rPr>
          <w:rFonts w:hint="eastAsia"/>
          <w:sz w:val="24"/>
        </w:rPr>
      </w:pPr>
      <w:r>
        <w:rPr>
          <w:rFonts w:hint="eastAsia"/>
          <w:sz w:val="24"/>
        </w:rPr>
        <w:t>除非在技术规格中另有说明，所有仪器、设备和系统按下列要求进行验收：</w:t>
      </w:r>
      <w:r>
        <w:rPr>
          <w:sz w:val="24"/>
        </w:rPr>
        <w:t xml:space="preserve"> </w:t>
      </w:r>
    </w:p>
    <w:p w14:paraId="17DD1B68">
      <w:pPr>
        <w:spacing w:line="360" w:lineRule="auto"/>
        <w:ind w:left="554" w:hanging="554" w:hangingChars="231"/>
        <w:rPr>
          <w:rFonts w:hint="eastAsia"/>
          <w:sz w:val="24"/>
        </w:rPr>
      </w:pPr>
      <w:r>
        <w:rPr>
          <w:rFonts w:hint="eastAsia"/>
          <w:sz w:val="24"/>
        </w:rPr>
        <w:t>4.1  仪器设备运抵安装现场后，买方将与卖方共同开箱验收</w:t>
      </w:r>
      <w:r>
        <w:rPr>
          <w:sz w:val="24"/>
        </w:rPr>
        <w:t xml:space="preserve">, </w:t>
      </w:r>
      <w:r>
        <w:rPr>
          <w:rFonts w:hint="eastAsia"/>
          <w:sz w:val="24"/>
        </w:rPr>
        <w:t>如卖方届时不派人来</w:t>
      </w:r>
      <w:r>
        <w:rPr>
          <w:sz w:val="24"/>
        </w:rPr>
        <w:t xml:space="preserve">, </w:t>
      </w:r>
      <w:r>
        <w:rPr>
          <w:rFonts w:hint="eastAsia"/>
          <w:sz w:val="24"/>
        </w:rPr>
        <w:t>则验收结果应以买方的验收报告为最终验收结果。验收时发现短缺、破损</w:t>
      </w:r>
      <w:r>
        <w:rPr>
          <w:sz w:val="24"/>
        </w:rPr>
        <w:t xml:space="preserve">, </w:t>
      </w:r>
      <w:r>
        <w:rPr>
          <w:rFonts w:hint="eastAsia"/>
          <w:sz w:val="24"/>
        </w:rPr>
        <w:t>买方有权要求卖方负责更换。</w:t>
      </w:r>
    </w:p>
    <w:p w14:paraId="3BF780F9">
      <w:pPr>
        <w:spacing w:line="360" w:lineRule="auto"/>
        <w:ind w:left="554" w:hanging="554" w:hangingChars="231"/>
        <w:rPr>
          <w:rFonts w:hint="eastAsia"/>
          <w:sz w:val="24"/>
        </w:rPr>
      </w:pPr>
      <w:r>
        <w:rPr>
          <w:rFonts w:hint="eastAsia"/>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212AC2F6">
      <w:pPr>
        <w:spacing w:line="360" w:lineRule="auto"/>
        <w:ind w:left="554" w:hanging="554" w:hangingChars="231"/>
        <w:rPr>
          <w:rFonts w:hint="eastAsia"/>
          <w:sz w:val="24"/>
        </w:rPr>
      </w:pPr>
      <w:r>
        <w:rPr>
          <w:rFonts w:hint="eastAsia"/>
          <w:sz w:val="24"/>
        </w:rPr>
        <w:t xml:space="preserve">4.3  </w:t>
      </w:r>
      <w:r>
        <w:rPr>
          <w:sz w:val="24"/>
        </w:rPr>
        <w:t>验收由采购人、中标人及相关人员依国家有关标准、合同及有关附件要求进行，验收完毕由采购人及中标人在验收报告上签名。</w:t>
      </w:r>
    </w:p>
    <w:p w14:paraId="35DF252E">
      <w:pPr>
        <w:spacing w:line="360" w:lineRule="auto"/>
        <w:ind w:left="410" w:hanging="410" w:hangingChars="170"/>
        <w:rPr>
          <w:rFonts w:hint="eastAsia"/>
          <w:b/>
          <w:sz w:val="24"/>
        </w:rPr>
      </w:pPr>
    </w:p>
    <w:p w14:paraId="38B4F6B4">
      <w:pPr>
        <w:spacing w:line="360" w:lineRule="auto"/>
        <w:ind w:left="410" w:hanging="410" w:hangingChars="170"/>
        <w:rPr>
          <w:rFonts w:hint="eastAsia"/>
          <w:b/>
          <w:sz w:val="24"/>
        </w:rPr>
      </w:pPr>
      <w:r>
        <w:rPr>
          <w:rFonts w:hint="eastAsia"/>
          <w:b/>
          <w:sz w:val="24"/>
        </w:rPr>
        <w:t>5、本技术规格书中标注“*”号的为实质性要求，不满足其投标将被拒绝。</w:t>
      </w:r>
    </w:p>
    <w:p w14:paraId="575C6D9E">
      <w:pPr>
        <w:spacing w:line="360" w:lineRule="auto"/>
        <w:rPr>
          <w:rFonts w:hint="eastAsia"/>
          <w:b/>
          <w:sz w:val="24"/>
        </w:rPr>
      </w:pPr>
    </w:p>
    <w:p w14:paraId="4756F9F7">
      <w:pPr>
        <w:spacing w:line="360" w:lineRule="auto"/>
        <w:rPr>
          <w:rFonts w:hint="eastAsia"/>
          <w:b/>
          <w:sz w:val="24"/>
        </w:rPr>
      </w:pPr>
      <w:r>
        <w:rPr>
          <w:rFonts w:hint="eastAsia"/>
          <w:b/>
          <w:sz w:val="24"/>
        </w:rPr>
        <w:t>6、如在具体技术规格中有本总则不一致之处，以具体技术规格中的要求为准。</w:t>
      </w:r>
    </w:p>
    <w:p w14:paraId="25014397">
      <w:pPr>
        <w:spacing w:after="120" w:afterLines="50"/>
        <w:ind w:left="601" w:hanging="601"/>
        <w:rPr>
          <w:b/>
          <w:sz w:val="24"/>
        </w:rPr>
      </w:pPr>
      <w:r>
        <w:rPr>
          <w:b/>
          <w:sz w:val="24"/>
        </w:rPr>
        <w:br w:type="page"/>
      </w:r>
      <w:r>
        <w:rPr>
          <w:rFonts w:hint="eastAsia"/>
          <w:b/>
          <w:sz w:val="24"/>
        </w:rPr>
        <w:t>三、具体技术规格</w:t>
      </w:r>
    </w:p>
    <w:p w14:paraId="3AA9A363">
      <w:pPr>
        <w:spacing w:after="120" w:afterLines="50"/>
        <w:ind w:left="601" w:hanging="601"/>
        <w:jc w:val="center"/>
        <w:rPr>
          <w:rFonts w:hint="eastAsia"/>
          <w:b/>
          <w:sz w:val="24"/>
        </w:rPr>
      </w:pPr>
      <w:r>
        <w:rPr>
          <w:rFonts w:hint="eastAsia"/>
          <w:b/>
          <w:sz w:val="24"/>
        </w:rPr>
        <w:t>融合核心网系统</w:t>
      </w:r>
    </w:p>
    <w:p w14:paraId="015220CA">
      <w:pPr>
        <w:spacing w:line="360" w:lineRule="auto"/>
        <w:rPr>
          <w:b/>
          <w:sz w:val="24"/>
        </w:rPr>
      </w:pPr>
      <w:r>
        <w:rPr>
          <w:rFonts w:hint="eastAsia"/>
          <w:b/>
          <w:sz w:val="24"/>
        </w:rPr>
        <w:t>（一）技术要求：</w:t>
      </w:r>
    </w:p>
    <w:p w14:paraId="320DD92C">
      <w:pPr>
        <w:spacing w:line="360" w:lineRule="auto"/>
        <w:rPr>
          <w:rFonts w:hint="eastAsia"/>
          <w:b/>
          <w:sz w:val="24"/>
        </w:rPr>
      </w:pPr>
      <w:r>
        <w:rPr>
          <w:b/>
          <w:sz w:val="24"/>
        </w:rPr>
        <w:t xml:space="preserve">1. </w:t>
      </w:r>
      <w:r>
        <w:rPr>
          <w:rFonts w:hint="eastAsia"/>
          <w:b/>
          <w:sz w:val="24"/>
        </w:rPr>
        <w:t>4G/5G融合核心网</w:t>
      </w:r>
    </w:p>
    <w:p w14:paraId="6D5184F2">
      <w:pPr>
        <w:spacing w:line="360" w:lineRule="auto"/>
        <w:rPr>
          <w:rFonts w:hint="eastAsia"/>
          <w:b/>
          <w:sz w:val="24"/>
        </w:rPr>
      </w:pPr>
      <w:r>
        <w:rPr>
          <w:rFonts w:hint="eastAsia"/>
          <w:b/>
          <w:sz w:val="24"/>
        </w:rPr>
        <w:t>（1）功能要求</w:t>
      </w:r>
    </w:p>
    <w:p w14:paraId="44663650">
      <w:pPr>
        <w:numPr>
          <w:ilvl w:val="0"/>
          <w:numId w:val="2"/>
        </w:numPr>
        <w:spacing w:line="360" w:lineRule="auto"/>
        <w:rPr>
          <w:rFonts w:hint="eastAsia"/>
          <w:sz w:val="24"/>
        </w:rPr>
      </w:pPr>
      <w:r>
        <w:rPr>
          <w:rFonts w:hint="eastAsia"/>
          <w:sz w:val="24"/>
        </w:rPr>
        <w:t>提供支持网元融合部署的4G/5G核心网网元；</w:t>
      </w:r>
    </w:p>
    <w:p w14:paraId="61A99D51">
      <w:pPr>
        <w:numPr>
          <w:ilvl w:val="0"/>
          <w:numId w:val="2"/>
        </w:numPr>
        <w:spacing w:line="360" w:lineRule="auto"/>
        <w:rPr>
          <w:rFonts w:hint="eastAsia"/>
          <w:sz w:val="24"/>
        </w:rPr>
      </w:pPr>
      <w:r>
        <w:rPr>
          <w:rFonts w:hint="eastAsia"/>
          <w:sz w:val="24"/>
        </w:rPr>
        <w:t>具备4G/5G核心网的标准业务流程实时获取与查看；</w:t>
      </w:r>
    </w:p>
    <w:p w14:paraId="5FDB8F3E">
      <w:pPr>
        <w:numPr>
          <w:ilvl w:val="0"/>
          <w:numId w:val="2"/>
        </w:numPr>
        <w:spacing w:line="360" w:lineRule="auto"/>
        <w:rPr>
          <w:rFonts w:hint="eastAsia"/>
          <w:sz w:val="24"/>
        </w:rPr>
      </w:pPr>
      <w:r>
        <w:rPr>
          <w:rFonts w:hint="eastAsia"/>
          <w:sz w:val="24"/>
        </w:rPr>
        <w:t>具备4G/5G核心网数据包的获取功能，支持在指定地址进行数据获取与解析；</w:t>
      </w:r>
    </w:p>
    <w:p w14:paraId="66AF2605">
      <w:pPr>
        <w:numPr>
          <w:ilvl w:val="0"/>
          <w:numId w:val="2"/>
        </w:numPr>
        <w:spacing w:line="360" w:lineRule="auto"/>
        <w:rPr>
          <w:rFonts w:hint="eastAsia"/>
          <w:sz w:val="24"/>
        </w:rPr>
      </w:pPr>
      <w:r>
        <w:rPr>
          <w:rFonts w:hint="eastAsia"/>
          <w:sz w:val="24"/>
        </w:rPr>
        <w:t>具备典型应用的构建能力，包括网页访问，视频下载，FTP，应急广播等；</w:t>
      </w:r>
    </w:p>
    <w:p w14:paraId="4848171B">
      <w:pPr>
        <w:numPr>
          <w:ilvl w:val="0"/>
          <w:numId w:val="2"/>
        </w:numPr>
        <w:spacing w:line="360" w:lineRule="auto"/>
        <w:rPr>
          <w:rFonts w:hint="eastAsia"/>
          <w:sz w:val="24"/>
        </w:rPr>
      </w:pPr>
      <w:r>
        <w:rPr>
          <w:rFonts w:hint="eastAsia"/>
          <w:sz w:val="24"/>
        </w:rPr>
        <w:t xml:space="preserve">具备4G/5G核心网间的漫游功能，支持网元配置与相关信令查看； </w:t>
      </w:r>
    </w:p>
    <w:p w14:paraId="7B9FFECD">
      <w:pPr>
        <w:numPr>
          <w:ilvl w:val="0"/>
          <w:numId w:val="2"/>
        </w:numPr>
        <w:spacing w:line="360" w:lineRule="auto"/>
        <w:rPr>
          <w:rFonts w:hint="eastAsia"/>
          <w:sz w:val="24"/>
        </w:rPr>
      </w:pPr>
      <w:r>
        <w:rPr>
          <w:rFonts w:hint="eastAsia"/>
          <w:sz w:val="24"/>
        </w:rPr>
        <w:t>具备通过N3接口与5G NTN制式基站的业务互通功能；</w:t>
      </w:r>
    </w:p>
    <w:p w14:paraId="6FD7278A">
      <w:pPr>
        <w:numPr>
          <w:ilvl w:val="0"/>
          <w:numId w:val="2"/>
        </w:numPr>
        <w:spacing w:line="360" w:lineRule="auto"/>
        <w:rPr>
          <w:rFonts w:hint="eastAsia"/>
          <w:sz w:val="24"/>
        </w:rPr>
      </w:pPr>
      <w:r>
        <w:rPr>
          <w:rFonts w:hint="eastAsia"/>
          <w:sz w:val="24"/>
        </w:rPr>
        <w:t>具备通过N6接口与5G NTN制式核心网的业务互通功能；</w:t>
      </w:r>
    </w:p>
    <w:p w14:paraId="574AD9AC">
      <w:pPr>
        <w:numPr>
          <w:ilvl w:val="0"/>
          <w:numId w:val="2"/>
        </w:numPr>
        <w:spacing w:line="360" w:lineRule="auto"/>
        <w:rPr>
          <w:rFonts w:hint="eastAsia"/>
          <w:sz w:val="24"/>
        </w:rPr>
      </w:pPr>
      <w:r>
        <w:rPr>
          <w:rFonts w:hint="eastAsia"/>
          <w:sz w:val="24"/>
        </w:rPr>
        <w:t>具备与MEC的业务互通功能，支持通过N33接口与MEC业务互通；</w:t>
      </w:r>
    </w:p>
    <w:p w14:paraId="716D2582">
      <w:pPr>
        <w:numPr>
          <w:ilvl w:val="0"/>
          <w:numId w:val="2"/>
        </w:numPr>
        <w:spacing w:line="360" w:lineRule="auto"/>
        <w:rPr>
          <w:rFonts w:hint="eastAsia"/>
          <w:sz w:val="24"/>
        </w:rPr>
      </w:pPr>
      <w:r>
        <w:rPr>
          <w:rFonts w:hint="eastAsia"/>
          <w:sz w:val="24"/>
        </w:rPr>
        <w:t>具备与IMS的业务互通功能，支持通过Cx、Rx、N6接口与IMS系统业务互通，支持Diameter、SIP信令查看；</w:t>
      </w:r>
    </w:p>
    <w:p w14:paraId="163808D0">
      <w:pPr>
        <w:numPr>
          <w:ilvl w:val="0"/>
          <w:numId w:val="2"/>
        </w:numPr>
        <w:spacing w:line="360" w:lineRule="auto"/>
        <w:rPr>
          <w:rFonts w:hint="eastAsia"/>
          <w:sz w:val="24"/>
        </w:rPr>
      </w:pPr>
      <w:r>
        <w:rPr>
          <w:rFonts w:hint="eastAsia"/>
          <w:sz w:val="24"/>
        </w:rPr>
        <w:t>具备与接入网系统与业务系统互通能力，支持基于统一路由分配IP的端到端业务通信能力。接入网系统包括5G基站、5G NTN设备；业务系统包括IMS、MEC等；</w:t>
      </w:r>
    </w:p>
    <w:p w14:paraId="65ED3990">
      <w:pPr>
        <w:numPr>
          <w:ilvl w:val="0"/>
          <w:numId w:val="2"/>
        </w:numPr>
        <w:spacing w:line="360" w:lineRule="auto"/>
        <w:rPr>
          <w:rFonts w:hint="eastAsia"/>
          <w:sz w:val="24"/>
        </w:rPr>
      </w:pPr>
      <w:r>
        <w:rPr>
          <w:rFonts w:hint="eastAsia"/>
          <w:sz w:val="24"/>
        </w:rPr>
        <w:t>具备4G制式的移动性管理功能，包含初始注册、移动注册更新、周期注册更新功能；</w:t>
      </w:r>
    </w:p>
    <w:p w14:paraId="6B8F0D62">
      <w:pPr>
        <w:numPr>
          <w:ilvl w:val="0"/>
          <w:numId w:val="2"/>
        </w:numPr>
        <w:spacing w:line="360" w:lineRule="auto"/>
        <w:rPr>
          <w:rFonts w:hint="eastAsia"/>
          <w:sz w:val="24"/>
        </w:rPr>
      </w:pPr>
      <w:r>
        <w:rPr>
          <w:rFonts w:hint="eastAsia"/>
          <w:sz w:val="24"/>
        </w:rPr>
        <w:t>具备4G制式的会话管理功能，包括会话建立、会话修改、会话释放功能；</w:t>
      </w:r>
    </w:p>
    <w:p w14:paraId="6D17AFD4">
      <w:pPr>
        <w:numPr>
          <w:ilvl w:val="0"/>
          <w:numId w:val="2"/>
        </w:numPr>
        <w:spacing w:line="360" w:lineRule="auto"/>
        <w:rPr>
          <w:rFonts w:hint="eastAsia"/>
          <w:sz w:val="24"/>
        </w:rPr>
      </w:pPr>
      <w:r>
        <w:rPr>
          <w:rFonts w:hint="eastAsia"/>
          <w:sz w:val="24"/>
        </w:rPr>
        <w:t>具备4G制式的安全管理功能，包括鉴权、加密、机卡一致性；</w:t>
      </w:r>
    </w:p>
    <w:p w14:paraId="32259621">
      <w:pPr>
        <w:numPr>
          <w:ilvl w:val="0"/>
          <w:numId w:val="2"/>
        </w:numPr>
        <w:spacing w:line="360" w:lineRule="auto"/>
        <w:rPr>
          <w:rFonts w:hint="eastAsia"/>
          <w:sz w:val="24"/>
        </w:rPr>
      </w:pPr>
      <w:r>
        <w:rPr>
          <w:rFonts w:hint="eastAsia"/>
          <w:sz w:val="24"/>
        </w:rPr>
        <w:t>具备4G制式的用户管理功能，包括用户注册、销户、业务配置；</w:t>
      </w:r>
    </w:p>
    <w:p w14:paraId="06D6990C">
      <w:pPr>
        <w:numPr>
          <w:ilvl w:val="0"/>
          <w:numId w:val="2"/>
        </w:numPr>
        <w:spacing w:line="360" w:lineRule="auto"/>
        <w:rPr>
          <w:rFonts w:hint="eastAsia"/>
          <w:sz w:val="24"/>
        </w:rPr>
      </w:pPr>
      <w:r>
        <w:rPr>
          <w:rFonts w:hint="eastAsia"/>
          <w:sz w:val="24"/>
        </w:rPr>
        <w:t>具备5G制式的移动性管理功能，包含初始注册、移动注册更新、周期注册更新功能；</w:t>
      </w:r>
    </w:p>
    <w:p w14:paraId="4996A8C9">
      <w:pPr>
        <w:numPr>
          <w:ilvl w:val="0"/>
          <w:numId w:val="2"/>
        </w:numPr>
        <w:spacing w:line="360" w:lineRule="auto"/>
        <w:rPr>
          <w:rFonts w:hint="eastAsia"/>
          <w:sz w:val="24"/>
        </w:rPr>
      </w:pPr>
      <w:r>
        <w:rPr>
          <w:rFonts w:hint="eastAsia"/>
          <w:sz w:val="24"/>
        </w:rPr>
        <w:t>具备5G制式的会话管理功能，包括会话建立、会话修改、会话释放功能，支持会话建立的二次认证功能；</w:t>
      </w:r>
    </w:p>
    <w:p w14:paraId="0BB52722">
      <w:pPr>
        <w:numPr>
          <w:ilvl w:val="0"/>
          <w:numId w:val="2"/>
        </w:numPr>
        <w:spacing w:line="360" w:lineRule="auto"/>
        <w:rPr>
          <w:rFonts w:hint="eastAsia"/>
          <w:sz w:val="24"/>
        </w:rPr>
      </w:pPr>
      <w:r>
        <w:rPr>
          <w:rFonts w:hint="eastAsia"/>
          <w:sz w:val="24"/>
        </w:rPr>
        <w:t>具备5G制式的安全管理功能，包括鉴权、加密、机卡一致性；</w:t>
      </w:r>
    </w:p>
    <w:p w14:paraId="6965D7B5">
      <w:pPr>
        <w:numPr>
          <w:ilvl w:val="0"/>
          <w:numId w:val="2"/>
        </w:numPr>
        <w:spacing w:line="360" w:lineRule="auto"/>
        <w:rPr>
          <w:rFonts w:hint="eastAsia"/>
          <w:sz w:val="24"/>
        </w:rPr>
      </w:pPr>
      <w:r>
        <w:rPr>
          <w:rFonts w:hint="eastAsia"/>
          <w:sz w:val="24"/>
        </w:rPr>
        <w:t>具备5G制式的用户管理功能，包括用户注册、销户、业务配置；</w:t>
      </w:r>
    </w:p>
    <w:p w14:paraId="6B517F02">
      <w:pPr>
        <w:numPr>
          <w:ilvl w:val="0"/>
          <w:numId w:val="2"/>
        </w:numPr>
        <w:spacing w:line="360" w:lineRule="auto"/>
        <w:rPr>
          <w:sz w:val="24"/>
        </w:rPr>
      </w:pPr>
      <w:r>
        <w:rPr>
          <w:rFonts w:hint="eastAsia"/>
          <w:sz w:val="24"/>
        </w:rPr>
        <w:tab/>
      </w:r>
      <w:r>
        <w:rPr>
          <w:rFonts w:hint="eastAsia"/>
          <w:sz w:val="24"/>
        </w:rPr>
        <w:t>配备核心网网管软件，提供图形化管理界面；</w:t>
      </w:r>
    </w:p>
    <w:p w14:paraId="02DD0DBC">
      <w:pPr>
        <w:numPr>
          <w:ilvl w:val="0"/>
          <w:numId w:val="2"/>
        </w:numPr>
        <w:spacing w:line="360" w:lineRule="auto"/>
        <w:rPr>
          <w:sz w:val="24"/>
        </w:rPr>
      </w:pPr>
      <w:r>
        <w:rPr>
          <w:rFonts w:hint="eastAsia"/>
          <w:sz w:val="24"/>
        </w:rPr>
        <w:t>支持虚拟化部署，提供核心网部署的配套硬件；</w:t>
      </w:r>
    </w:p>
    <w:p w14:paraId="45D5A6DF">
      <w:pPr>
        <w:numPr>
          <w:ilvl w:val="0"/>
          <w:numId w:val="2"/>
        </w:numPr>
        <w:spacing w:line="360" w:lineRule="auto"/>
        <w:rPr>
          <w:rFonts w:hint="eastAsia"/>
          <w:sz w:val="24"/>
        </w:rPr>
      </w:pPr>
      <w:r>
        <w:rPr>
          <w:rFonts w:hint="eastAsia"/>
          <w:sz w:val="24"/>
        </w:rPr>
        <w:t>提供便携式远程测控主机（带屏幕）。</w:t>
      </w:r>
    </w:p>
    <w:p w14:paraId="30127A25">
      <w:pPr>
        <w:spacing w:line="360" w:lineRule="auto"/>
        <w:rPr>
          <w:rFonts w:hint="eastAsia"/>
          <w:b/>
          <w:sz w:val="24"/>
        </w:rPr>
      </w:pPr>
      <w:r>
        <w:rPr>
          <w:rFonts w:hint="eastAsia"/>
          <w:b/>
          <w:sz w:val="24"/>
        </w:rPr>
        <w:t>（2）性能要求</w:t>
      </w:r>
    </w:p>
    <w:p w14:paraId="322F4AAF">
      <w:pPr>
        <w:spacing w:line="360" w:lineRule="auto"/>
        <w:rPr>
          <w:rFonts w:hint="eastAsia"/>
          <w:sz w:val="24"/>
        </w:rPr>
      </w:pPr>
      <w:r>
        <w:rPr>
          <w:rFonts w:hint="eastAsia"/>
          <w:sz w:val="24"/>
        </w:rPr>
        <w:t>1)</w:t>
      </w:r>
      <w:r>
        <w:rPr>
          <w:rFonts w:hint="eastAsia"/>
          <w:sz w:val="24"/>
        </w:rPr>
        <w:tab/>
      </w:r>
      <w:r>
        <w:rPr>
          <w:rFonts w:hint="eastAsia"/>
          <w:sz w:val="24"/>
        </w:rPr>
        <w:t>核心网数据获取种类：≥2类，至少包含控制面信令数据和用户面业务数据；</w:t>
      </w:r>
    </w:p>
    <w:p w14:paraId="263B6AF1">
      <w:pPr>
        <w:spacing w:line="360" w:lineRule="auto"/>
        <w:rPr>
          <w:rFonts w:hint="eastAsia"/>
          <w:sz w:val="24"/>
        </w:rPr>
      </w:pPr>
      <w:r>
        <w:rPr>
          <w:rFonts w:hint="eastAsia"/>
          <w:sz w:val="24"/>
        </w:rPr>
        <w:t>2)</w:t>
      </w:r>
      <w:r>
        <w:rPr>
          <w:rFonts w:hint="eastAsia"/>
          <w:sz w:val="24"/>
        </w:rPr>
        <w:tab/>
      </w:r>
      <w:r>
        <w:rPr>
          <w:rFonts w:hint="eastAsia"/>
          <w:sz w:val="24"/>
        </w:rPr>
        <w:t>提供的网元类型：≥13种，至少包含AMF、SMF/GW-C、UDM/HSS、PCF/PCRF、UPF/GW-U、MME、AUSF、NRF、DRA、SEPP、NEF、CBCF、EIR等网元；</w:t>
      </w:r>
    </w:p>
    <w:p w14:paraId="358F2183">
      <w:pPr>
        <w:spacing w:line="360" w:lineRule="auto"/>
        <w:rPr>
          <w:rFonts w:hint="eastAsia"/>
          <w:sz w:val="24"/>
        </w:rPr>
      </w:pPr>
      <w:r>
        <w:rPr>
          <w:rFonts w:hint="eastAsia"/>
          <w:sz w:val="24"/>
        </w:rPr>
        <w:t>3)</w:t>
      </w:r>
      <w:r>
        <w:rPr>
          <w:rFonts w:hint="eastAsia"/>
          <w:sz w:val="24"/>
        </w:rPr>
        <w:tab/>
      </w:r>
      <w:r>
        <w:rPr>
          <w:rFonts w:hint="eastAsia"/>
          <w:sz w:val="24"/>
        </w:rPr>
        <w:t>网元数据同步时间：≤1分钟；</w:t>
      </w:r>
    </w:p>
    <w:p w14:paraId="37563FD2">
      <w:pPr>
        <w:spacing w:line="360" w:lineRule="auto"/>
        <w:rPr>
          <w:rFonts w:hint="eastAsia"/>
          <w:sz w:val="24"/>
        </w:rPr>
      </w:pPr>
      <w:r>
        <w:rPr>
          <w:rFonts w:hint="eastAsia"/>
          <w:sz w:val="24"/>
        </w:rPr>
        <w:t>4)</w:t>
      </w:r>
      <w:r>
        <w:rPr>
          <w:rFonts w:hint="eastAsia"/>
          <w:sz w:val="24"/>
        </w:rPr>
        <w:tab/>
      </w:r>
      <w:r>
        <w:rPr>
          <w:rFonts w:hint="eastAsia"/>
          <w:sz w:val="24"/>
        </w:rPr>
        <w:t>支持的业务流程类型：≥12种，至少包含初始注册、移动注册更新、周期注册更新、用户身份识别、5G AKA鉴权流程、NAS信令加密、NAS信令完整性保护流程、多PDU会话建立、释放流程、策略控制、用户数据管理等；</w:t>
      </w:r>
    </w:p>
    <w:p w14:paraId="549768E3">
      <w:pPr>
        <w:spacing w:line="360" w:lineRule="auto"/>
        <w:rPr>
          <w:rFonts w:hint="eastAsia"/>
          <w:sz w:val="24"/>
        </w:rPr>
      </w:pPr>
      <w:r>
        <w:rPr>
          <w:rFonts w:hint="eastAsia"/>
          <w:sz w:val="24"/>
        </w:rPr>
        <w:t>5)</w:t>
      </w:r>
      <w:r>
        <w:rPr>
          <w:rFonts w:hint="eastAsia"/>
          <w:sz w:val="24"/>
        </w:rPr>
        <w:tab/>
      </w:r>
      <w:r>
        <w:rPr>
          <w:rFonts w:hint="eastAsia"/>
          <w:sz w:val="24"/>
        </w:rPr>
        <w:t>支持的4G协议接口类型≥5种，至少包括S1-MME、S1-U、SGi、S6a、S11；</w:t>
      </w:r>
    </w:p>
    <w:p w14:paraId="0823236C">
      <w:pPr>
        <w:spacing w:line="360" w:lineRule="auto"/>
        <w:rPr>
          <w:rFonts w:hint="eastAsia"/>
          <w:sz w:val="24"/>
        </w:rPr>
      </w:pPr>
      <w:r>
        <w:rPr>
          <w:rFonts w:hint="eastAsia"/>
          <w:sz w:val="24"/>
        </w:rPr>
        <w:t>6)</w:t>
      </w:r>
      <w:r>
        <w:rPr>
          <w:rFonts w:hint="eastAsia"/>
          <w:sz w:val="24"/>
        </w:rPr>
        <w:tab/>
      </w:r>
      <w:r>
        <w:rPr>
          <w:rFonts w:hint="eastAsia"/>
          <w:sz w:val="24"/>
        </w:rPr>
        <w:t>支持的5G协议接口类型≥15种，至少包括 N1、N2、N3、N4、N6、N7、N8、N10、N11、N12接口，以及N9、N13、N26、N32、N33；</w:t>
      </w:r>
    </w:p>
    <w:p w14:paraId="29D8B6EC">
      <w:pPr>
        <w:spacing w:line="360" w:lineRule="auto"/>
        <w:rPr>
          <w:rFonts w:hint="eastAsia"/>
          <w:sz w:val="24"/>
        </w:rPr>
      </w:pPr>
      <w:r>
        <w:rPr>
          <w:rFonts w:hint="eastAsia"/>
          <w:sz w:val="24"/>
        </w:rPr>
        <w:t>7)</w:t>
      </w:r>
      <w:r>
        <w:rPr>
          <w:rFonts w:hint="eastAsia"/>
          <w:sz w:val="24"/>
        </w:rPr>
        <w:tab/>
      </w:r>
      <w:r>
        <w:rPr>
          <w:rFonts w:hint="eastAsia"/>
          <w:sz w:val="24"/>
        </w:rPr>
        <w:t>网络数据吞吐量：≥10Gbps；</w:t>
      </w:r>
    </w:p>
    <w:p w14:paraId="14A8981C">
      <w:pPr>
        <w:spacing w:line="360" w:lineRule="auto"/>
        <w:rPr>
          <w:rFonts w:hint="eastAsia"/>
          <w:sz w:val="24"/>
        </w:rPr>
      </w:pPr>
      <w:r>
        <w:rPr>
          <w:rFonts w:hint="eastAsia"/>
          <w:sz w:val="24"/>
        </w:rPr>
        <w:t>8)</w:t>
      </w:r>
      <w:r>
        <w:rPr>
          <w:rFonts w:hint="eastAsia"/>
          <w:sz w:val="24"/>
        </w:rPr>
        <w:tab/>
      </w:r>
      <w:r>
        <w:rPr>
          <w:rFonts w:hint="eastAsia"/>
          <w:sz w:val="24"/>
        </w:rPr>
        <w:t>用户数：≥100000；</w:t>
      </w:r>
    </w:p>
    <w:p w14:paraId="3283D49D">
      <w:pPr>
        <w:spacing w:line="360" w:lineRule="auto"/>
        <w:rPr>
          <w:rFonts w:hint="eastAsia"/>
          <w:sz w:val="24"/>
        </w:rPr>
      </w:pPr>
      <w:r>
        <w:rPr>
          <w:rFonts w:hint="eastAsia"/>
          <w:sz w:val="24"/>
        </w:rPr>
        <w:t>9)</w:t>
      </w:r>
      <w:r>
        <w:rPr>
          <w:rFonts w:hint="eastAsia"/>
          <w:sz w:val="24"/>
        </w:rPr>
        <w:tab/>
      </w:r>
      <w:r>
        <w:rPr>
          <w:rFonts w:hint="eastAsia"/>
          <w:sz w:val="24"/>
        </w:rPr>
        <w:t>支持的业务类型：≥4类，至少包含语音业务、短信业务和数据业务、紧急广播；</w:t>
      </w:r>
    </w:p>
    <w:p w14:paraId="592E56A6">
      <w:pPr>
        <w:spacing w:line="360" w:lineRule="auto"/>
        <w:rPr>
          <w:rFonts w:hint="eastAsia"/>
          <w:sz w:val="24"/>
        </w:rPr>
      </w:pPr>
      <w:r>
        <w:rPr>
          <w:rFonts w:hint="eastAsia"/>
          <w:sz w:val="24"/>
        </w:rPr>
        <w:t>10)</w:t>
      </w:r>
      <w:r>
        <w:rPr>
          <w:rFonts w:hint="eastAsia"/>
          <w:sz w:val="24"/>
        </w:rPr>
        <w:tab/>
      </w:r>
      <w:r>
        <w:rPr>
          <w:rFonts w:hint="eastAsia"/>
          <w:sz w:val="24"/>
        </w:rPr>
        <w:t>虚拟化平台管理功能：≥2中，至少包含虚拟资源管理、虚拟网元管理；</w:t>
      </w:r>
    </w:p>
    <w:p w14:paraId="494D3CAF">
      <w:pPr>
        <w:spacing w:line="360" w:lineRule="auto"/>
        <w:rPr>
          <w:sz w:val="24"/>
        </w:rPr>
      </w:pPr>
      <w:r>
        <w:rPr>
          <w:rFonts w:hint="eastAsia"/>
          <w:sz w:val="24"/>
        </w:rPr>
        <w:t>11)</w:t>
      </w:r>
      <w:r>
        <w:rPr>
          <w:rFonts w:hint="eastAsia"/>
          <w:sz w:val="24"/>
        </w:rPr>
        <w:tab/>
      </w:r>
      <w:r>
        <w:rPr>
          <w:rFonts w:hint="eastAsia"/>
          <w:sz w:val="24"/>
        </w:rPr>
        <w:t>配置管理功能种类：≥6种，至少包括设备管理、用户管理、状态管理、日志管理、配置管理、拓扑管理功能。</w:t>
      </w:r>
    </w:p>
    <w:p w14:paraId="395CE69C">
      <w:pPr>
        <w:spacing w:line="360" w:lineRule="auto"/>
        <w:rPr>
          <w:rFonts w:hint="eastAsia"/>
          <w:b/>
          <w:sz w:val="24"/>
        </w:rPr>
      </w:pPr>
      <w:r>
        <w:rPr>
          <w:rFonts w:hint="eastAsia"/>
          <w:b/>
          <w:sz w:val="24"/>
        </w:rPr>
        <w:t>2</w:t>
      </w:r>
      <w:r>
        <w:rPr>
          <w:b/>
          <w:sz w:val="24"/>
        </w:rPr>
        <w:t xml:space="preserve">. </w:t>
      </w:r>
      <w:r>
        <w:rPr>
          <w:rFonts w:hint="eastAsia"/>
          <w:b/>
          <w:sz w:val="24"/>
        </w:rPr>
        <w:t>IMS系统</w:t>
      </w:r>
    </w:p>
    <w:p w14:paraId="1319AA86">
      <w:pPr>
        <w:spacing w:line="360" w:lineRule="auto"/>
        <w:rPr>
          <w:rFonts w:hint="eastAsia"/>
          <w:b/>
          <w:sz w:val="24"/>
        </w:rPr>
      </w:pPr>
      <w:r>
        <w:rPr>
          <w:rFonts w:hint="eastAsia"/>
          <w:b/>
          <w:sz w:val="24"/>
        </w:rPr>
        <w:t>（1）功能要求</w:t>
      </w:r>
    </w:p>
    <w:p w14:paraId="1F565FB7">
      <w:pPr>
        <w:spacing w:line="360" w:lineRule="auto"/>
        <w:rPr>
          <w:rFonts w:hint="eastAsia"/>
          <w:sz w:val="24"/>
        </w:rPr>
      </w:pPr>
      <w:r>
        <w:rPr>
          <w:rFonts w:hint="eastAsia"/>
          <w:sz w:val="24"/>
        </w:rPr>
        <w:t>1)</w:t>
      </w:r>
      <w:r>
        <w:rPr>
          <w:rFonts w:hint="eastAsia"/>
          <w:sz w:val="24"/>
        </w:rPr>
        <w:tab/>
      </w:r>
      <w:r>
        <w:rPr>
          <w:rFonts w:hint="eastAsia"/>
          <w:sz w:val="24"/>
        </w:rPr>
        <w:t>支持</w:t>
      </w:r>
      <w:r>
        <w:rPr>
          <w:sz w:val="24"/>
        </w:rPr>
        <w:t>IMS</w:t>
      </w:r>
      <w:r>
        <w:rPr>
          <w:rFonts w:hint="eastAsia"/>
          <w:sz w:val="24"/>
        </w:rPr>
        <w:t>语音业务的呼叫建立、释放等功能；</w:t>
      </w:r>
    </w:p>
    <w:p w14:paraId="20AAD029">
      <w:pPr>
        <w:spacing w:line="360" w:lineRule="auto"/>
        <w:rPr>
          <w:rFonts w:hint="eastAsia"/>
          <w:sz w:val="24"/>
        </w:rPr>
      </w:pPr>
      <w:r>
        <w:rPr>
          <w:rFonts w:hint="eastAsia"/>
          <w:sz w:val="24"/>
        </w:rPr>
        <w:t>2)</w:t>
      </w:r>
      <w:r>
        <w:rPr>
          <w:rFonts w:hint="eastAsia"/>
          <w:sz w:val="24"/>
        </w:rPr>
        <w:tab/>
      </w:r>
      <w:r>
        <w:rPr>
          <w:rFonts w:hint="eastAsia"/>
          <w:sz w:val="24"/>
        </w:rPr>
        <w:t>具备IMS会话控制网元功能模拟能力；</w:t>
      </w:r>
    </w:p>
    <w:p w14:paraId="751B1966">
      <w:pPr>
        <w:spacing w:line="360" w:lineRule="auto"/>
        <w:rPr>
          <w:rFonts w:hint="eastAsia"/>
          <w:sz w:val="24"/>
        </w:rPr>
      </w:pPr>
      <w:r>
        <w:rPr>
          <w:rFonts w:hint="eastAsia"/>
          <w:sz w:val="24"/>
        </w:rPr>
        <w:t>3)</w:t>
      </w:r>
      <w:r>
        <w:rPr>
          <w:rFonts w:hint="eastAsia"/>
          <w:sz w:val="24"/>
        </w:rPr>
        <w:tab/>
      </w:r>
      <w:r>
        <w:rPr>
          <w:rFonts w:hint="eastAsia"/>
          <w:sz w:val="24"/>
        </w:rPr>
        <w:t>具备通过信令采集方式展示语音业务呼叫建立、释放的详细交互流程展示功能；</w:t>
      </w:r>
    </w:p>
    <w:p w14:paraId="7DEF77BC">
      <w:pPr>
        <w:spacing w:line="360" w:lineRule="auto"/>
        <w:rPr>
          <w:rFonts w:hint="eastAsia"/>
          <w:sz w:val="24"/>
        </w:rPr>
      </w:pPr>
      <w:r>
        <w:rPr>
          <w:rFonts w:hint="eastAsia"/>
          <w:sz w:val="24"/>
        </w:rPr>
        <w:t>4)</w:t>
      </w:r>
      <w:r>
        <w:rPr>
          <w:rFonts w:hint="eastAsia"/>
          <w:sz w:val="24"/>
        </w:rPr>
        <w:tab/>
      </w:r>
      <w:r>
        <w:rPr>
          <w:rFonts w:hint="eastAsia"/>
          <w:sz w:val="24"/>
        </w:rPr>
        <w:t>支持将信令及语音数据输出到指定地址，支持数据包的获取与查看；</w:t>
      </w:r>
    </w:p>
    <w:p w14:paraId="40742B7F">
      <w:pPr>
        <w:spacing w:line="360" w:lineRule="auto"/>
        <w:rPr>
          <w:rFonts w:hint="eastAsia"/>
          <w:sz w:val="24"/>
        </w:rPr>
      </w:pPr>
      <w:r>
        <w:rPr>
          <w:rFonts w:hint="eastAsia"/>
          <w:sz w:val="24"/>
        </w:rPr>
        <w:t>5)</w:t>
      </w:r>
      <w:r>
        <w:rPr>
          <w:rFonts w:hint="eastAsia"/>
          <w:sz w:val="24"/>
        </w:rPr>
        <w:tab/>
      </w:r>
      <w:r>
        <w:rPr>
          <w:rFonts w:hint="eastAsia"/>
          <w:sz w:val="24"/>
        </w:rPr>
        <w:t>具备与终端、基站、4G/5G核心网互联构建端到端业务场景功能，业务场景包括语音、视频通话、短信业务、彩铃、三方通话功能；</w:t>
      </w:r>
    </w:p>
    <w:p w14:paraId="5CFBBAA4">
      <w:pPr>
        <w:spacing w:line="360" w:lineRule="auto"/>
        <w:rPr>
          <w:rFonts w:hint="eastAsia"/>
          <w:sz w:val="24"/>
        </w:rPr>
      </w:pPr>
      <w:r>
        <w:rPr>
          <w:rFonts w:hint="eastAsia"/>
          <w:sz w:val="24"/>
        </w:rPr>
        <w:t>6)</w:t>
      </w:r>
      <w:r>
        <w:rPr>
          <w:rFonts w:hint="eastAsia"/>
          <w:sz w:val="24"/>
        </w:rPr>
        <w:tab/>
      </w:r>
      <w:r>
        <w:rPr>
          <w:rFonts w:hint="eastAsia"/>
          <w:sz w:val="24"/>
        </w:rPr>
        <w:t>具备核心网信令协议SIP、Diameter、SCTP解析能力，支持信令数据的分析与查看；</w:t>
      </w:r>
    </w:p>
    <w:p w14:paraId="51362A1F">
      <w:pPr>
        <w:spacing w:line="360" w:lineRule="auto"/>
        <w:rPr>
          <w:rFonts w:hint="eastAsia"/>
          <w:sz w:val="24"/>
        </w:rPr>
      </w:pPr>
      <w:r>
        <w:rPr>
          <w:rFonts w:hint="eastAsia"/>
          <w:sz w:val="24"/>
        </w:rPr>
        <w:t>7)</w:t>
      </w:r>
      <w:r>
        <w:rPr>
          <w:rFonts w:hint="eastAsia"/>
          <w:sz w:val="24"/>
        </w:rPr>
        <w:tab/>
      </w:r>
      <w:r>
        <w:rPr>
          <w:rFonts w:hint="eastAsia"/>
          <w:sz w:val="24"/>
        </w:rPr>
        <w:t>支持</w:t>
      </w:r>
      <w:r>
        <w:rPr>
          <w:sz w:val="24"/>
        </w:rPr>
        <w:t>V</w:t>
      </w:r>
      <w:r>
        <w:rPr>
          <w:rFonts w:hint="eastAsia"/>
          <w:sz w:val="24"/>
        </w:rPr>
        <w:t>o</w:t>
      </w:r>
      <w:r>
        <w:rPr>
          <w:sz w:val="24"/>
        </w:rPr>
        <w:t>LTE/VoNR</w:t>
      </w:r>
      <w:r>
        <w:rPr>
          <w:rFonts w:hint="eastAsia"/>
          <w:sz w:val="24"/>
        </w:rPr>
        <w:t>的标准语音编解码；</w:t>
      </w:r>
    </w:p>
    <w:p w14:paraId="39255AA9">
      <w:pPr>
        <w:spacing w:line="360" w:lineRule="auto"/>
        <w:rPr>
          <w:rFonts w:hint="eastAsia"/>
          <w:sz w:val="24"/>
        </w:rPr>
      </w:pPr>
      <w:r>
        <w:rPr>
          <w:rFonts w:hint="eastAsia"/>
          <w:sz w:val="24"/>
        </w:rPr>
        <w:t>8)</w:t>
      </w:r>
      <w:r>
        <w:rPr>
          <w:rFonts w:hint="eastAsia"/>
          <w:sz w:val="24"/>
        </w:rPr>
        <w:tab/>
      </w:r>
      <w:r>
        <w:rPr>
          <w:rFonts w:hint="eastAsia"/>
          <w:sz w:val="24"/>
        </w:rPr>
        <w:t>支持与4G/5G核心网互通的标准接口，至少包括Cx接口、Rx接口、Gm接口；</w:t>
      </w:r>
    </w:p>
    <w:p w14:paraId="4DC6A4BA">
      <w:pPr>
        <w:spacing w:line="360" w:lineRule="auto"/>
        <w:rPr>
          <w:sz w:val="24"/>
        </w:rPr>
      </w:pPr>
      <w:r>
        <w:rPr>
          <w:rFonts w:hint="eastAsia"/>
          <w:sz w:val="24"/>
        </w:rPr>
        <w:t>9)</w:t>
      </w:r>
      <w:r>
        <w:rPr>
          <w:rFonts w:hint="eastAsia"/>
          <w:sz w:val="24"/>
        </w:rPr>
        <w:tab/>
      </w:r>
      <w:r>
        <w:rPr>
          <w:rFonts w:hint="eastAsia"/>
          <w:sz w:val="24"/>
        </w:rPr>
        <w:t>支持语音通信信令与语音数据的获取，支持信令跟踪与查看功能；</w:t>
      </w:r>
    </w:p>
    <w:p w14:paraId="6E43F627">
      <w:pPr>
        <w:spacing w:line="360" w:lineRule="auto"/>
        <w:rPr>
          <w:sz w:val="24"/>
        </w:rPr>
      </w:pPr>
      <w:r>
        <w:rPr>
          <w:sz w:val="24"/>
        </w:rPr>
        <w:t>1</w:t>
      </w:r>
      <w:r>
        <w:rPr>
          <w:rFonts w:hint="eastAsia"/>
          <w:sz w:val="24"/>
        </w:rPr>
        <w:t>0）提供I</w:t>
      </w:r>
      <w:r>
        <w:rPr>
          <w:sz w:val="24"/>
        </w:rPr>
        <w:t>MS</w:t>
      </w:r>
      <w:r>
        <w:rPr>
          <w:rFonts w:hint="eastAsia"/>
          <w:sz w:val="24"/>
        </w:rPr>
        <w:t>部署的配套硬件；</w:t>
      </w:r>
    </w:p>
    <w:p w14:paraId="44943233">
      <w:pPr>
        <w:spacing w:line="360" w:lineRule="auto"/>
        <w:rPr>
          <w:rFonts w:hint="eastAsia"/>
          <w:sz w:val="24"/>
        </w:rPr>
      </w:pPr>
    </w:p>
    <w:p w14:paraId="0D78DE9D">
      <w:pPr>
        <w:spacing w:line="360" w:lineRule="auto"/>
        <w:rPr>
          <w:rFonts w:hint="eastAsia"/>
          <w:b/>
          <w:sz w:val="24"/>
        </w:rPr>
      </w:pPr>
      <w:r>
        <w:rPr>
          <w:rFonts w:hint="eastAsia"/>
          <w:b/>
          <w:sz w:val="24"/>
        </w:rPr>
        <w:t>（2）性能要求</w:t>
      </w:r>
    </w:p>
    <w:p w14:paraId="4E778B4B">
      <w:pPr>
        <w:spacing w:line="360" w:lineRule="auto"/>
        <w:rPr>
          <w:rFonts w:hint="eastAsia"/>
          <w:sz w:val="24"/>
        </w:rPr>
      </w:pPr>
      <w:r>
        <w:rPr>
          <w:rFonts w:hint="eastAsia"/>
          <w:sz w:val="24"/>
        </w:rPr>
        <w:t>1)</w:t>
      </w:r>
      <w:r>
        <w:rPr>
          <w:rFonts w:hint="eastAsia"/>
          <w:sz w:val="24"/>
        </w:rPr>
        <w:tab/>
      </w:r>
      <w:r>
        <w:rPr>
          <w:rFonts w:hint="eastAsia"/>
          <w:sz w:val="24"/>
        </w:rPr>
        <w:t>网元类型：≥8种，至少包含IMS的P-CSCF、I-CSCF、S-CSCF、MMTel-AS、SMSC、IMS-HSS、IP-SM-GW、MRF网元等；</w:t>
      </w:r>
    </w:p>
    <w:p w14:paraId="3490D762">
      <w:pPr>
        <w:spacing w:line="360" w:lineRule="auto"/>
        <w:rPr>
          <w:rFonts w:hint="eastAsia"/>
          <w:sz w:val="24"/>
        </w:rPr>
      </w:pPr>
      <w:r>
        <w:rPr>
          <w:sz w:val="24"/>
        </w:rPr>
        <w:t>2）</w:t>
      </w:r>
      <w:r>
        <w:rPr>
          <w:rFonts w:hint="eastAsia"/>
          <w:sz w:val="24"/>
        </w:rPr>
        <w:t>支持接口信令获取与查看的接口类型：≥ 7种，至少包含I-CSCF/S-CSCF网元与P-CSCF网元Mw接口、I-CSCF/S-CSCF网元与HSS网元Cx接口、S-CSCF网元与MMTel-AS网元ISC接口、MMTel-AS网元与HSS网元Sh接口、IP-SM-GW网元与SMSC网元接口、P-CSCF网元与4G 网络的PGW网元Gm接口、P-CSCF网元与5G 网络的UPF网元Gm接口；</w:t>
      </w:r>
    </w:p>
    <w:p w14:paraId="7700A6FA">
      <w:pPr>
        <w:spacing w:line="360" w:lineRule="auto"/>
        <w:rPr>
          <w:rFonts w:hint="eastAsia"/>
          <w:sz w:val="24"/>
        </w:rPr>
      </w:pPr>
      <w:r>
        <w:rPr>
          <w:rFonts w:hint="eastAsia"/>
          <w:sz w:val="24"/>
        </w:rPr>
        <w:t>3)</w:t>
      </w:r>
      <w:r>
        <w:rPr>
          <w:rFonts w:hint="eastAsia"/>
          <w:sz w:val="24"/>
        </w:rPr>
        <w:tab/>
      </w:r>
      <w:r>
        <w:rPr>
          <w:rFonts w:hint="eastAsia"/>
          <w:sz w:val="24"/>
        </w:rPr>
        <w:t>支持业务类型：≥2种，至少包含VoNR/VoLTE语音/视频呼叫、SIP短信等；</w:t>
      </w:r>
    </w:p>
    <w:p w14:paraId="1E58DB00">
      <w:pPr>
        <w:spacing w:line="360" w:lineRule="auto"/>
        <w:rPr>
          <w:rFonts w:hint="eastAsia"/>
          <w:sz w:val="24"/>
        </w:rPr>
      </w:pPr>
      <w:r>
        <w:rPr>
          <w:rFonts w:hint="eastAsia"/>
          <w:sz w:val="24"/>
        </w:rPr>
        <w:t>4)</w:t>
      </w:r>
      <w:r>
        <w:rPr>
          <w:rFonts w:hint="eastAsia"/>
          <w:sz w:val="24"/>
        </w:rPr>
        <w:tab/>
      </w:r>
      <w:r>
        <w:rPr>
          <w:rFonts w:hint="eastAsia"/>
          <w:sz w:val="24"/>
        </w:rPr>
        <w:t>呼叫业务流程类型：≥3种，至少包括终端注册、呼叫业务建立、呼叫业务释放；</w:t>
      </w:r>
    </w:p>
    <w:p w14:paraId="114834D5">
      <w:pPr>
        <w:spacing w:line="360" w:lineRule="auto"/>
        <w:rPr>
          <w:rFonts w:hint="eastAsia"/>
          <w:sz w:val="24"/>
        </w:rPr>
      </w:pPr>
      <w:r>
        <w:rPr>
          <w:rFonts w:hint="eastAsia"/>
          <w:sz w:val="24"/>
        </w:rPr>
        <w:t>5)</w:t>
      </w:r>
      <w:r>
        <w:rPr>
          <w:rFonts w:hint="eastAsia"/>
          <w:sz w:val="24"/>
        </w:rPr>
        <w:tab/>
      </w:r>
      <w:r>
        <w:rPr>
          <w:rFonts w:hint="eastAsia"/>
          <w:sz w:val="24"/>
        </w:rPr>
        <w:t>IP地址类型：≥2种，至少包括IPv4、IPv6；</w:t>
      </w:r>
    </w:p>
    <w:p w14:paraId="73E3842D">
      <w:pPr>
        <w:spacing w:line="360" w:lineRule="auto"/>
        <w:rPr>
          <w:rFonts w:hint="eastAsia"/>
          <w:sz w:val="24"/>
        </w:rPr>
      </w:pPr>
      <w:r>
        <w:rPr>
          <w:rFonts w:hint="eastAsia"/>
          <w:sz w:val="24"/>
        </w:rPr>
        <w:t>6)</w:t>
      </w:r>
      <w:r>
        <w:rPr>
          <w:rFonts w:hint="eastAsia"/>
          <w:sz w:val="24"/>
        </w:rPr>
        <w:tab/>
      </w:r>
      <w:r>
        <w:rPr>
          <w:rFonts w:hint="eastAsia"/>
          <w:sz w:val="24"/>
        </w:rPr>
        <w:t>用户数：≥10000；</w:t>
      </w:r>
    </w:p>
    <w:p w14:paraId="2441DF02">
      <w:pPr>
        <w:spacing w:line="360" w:lineRule="auto"/>
        <w:rPr>
          <w:rFonts w:hint="eastAsia"/>
          <w:sz w:val="24"/>
        </w:rPr>
      </w:pPr>
      <w:r>
        <w:rPr>
          <w:rFonts w:hint="eastAsia"/>
          <w:sz w:val="24"/>
        </w:rPr>
        <w:t>7)</w:t>
      </w:r>
      <w:r>
        <w:rPr>
          <w:rFonts w:hint="eastAsia"/>
          <w:sz w:val="24"/>
        </w:rPr>
        <w:tab/>
      </w:r>
      <w:r>
        <w:rPr>
          <w:rFonts w:hint="eastAsia"/>
          <w:sz w:val="24"/>
        </w:rPr>
        <w:t xml:space="preserve">并发用户数：≥1000； </w:t>
      </w:r>
    </w:p>
    <w:p w14:paraId="3F48AAE9">
      <w:pPr>
        <w:spacing w:line="360" w:lineRule="auto"/>
        <w:rPr>
          <w:sz w:val="24"/>
        </w:rPr>
      </w:pPr>
      <w:r>
        <w:rPr>
          <w:rFonts w:hint="eastAsia"/>
          <w:sz w:val="24"/>
        </w:rPr>
        <w:t>8)</w:t>
      </w:r>
      <w:r>
        <w:rPr>
          <w:rFonts w:hint="eastAsia"/>
          <w:sz w:val="24"/>
        </w:rPr>
        <w:tab/>
      </w:r>
      <w:r>
        <w:rPr>
          <w:rFonts w:hint="eastAsia"/>
          <w:sz w:val="24"/>
        </w:rPr>
        <w:t>语音编解码种类：≥4种，至少包含AMR、EVS、G.711、G.729。</w:t>
      </w:r>
    </w:p>
    <w:p w14:paraId="3C1BDF72">
      <w:pPr>
        <w:spacing w:line="360" w:lineRule="auto"/>
        <w:rPr>
          <w:rFonts w:hint="eastAsia"/>
          <w:sz w:val="24"/>
        </w:rPr>
      </w:pPr>
    </w:p>
    <w:p w14:paraId="4A781EEA">
      <w:pPr>
        <w:spacing w:line="360" w:lineRule="auto"/>
        <w:rPr>
          <w:b/>
          <w:sz w:val="24"/>
        </w:rPr>
      </w:pPr>
      <w:r>
        <w:rPr>
          <w:rFonts w:hint="eastAsia"/>
          <w:b/>
          <w:sz w:val="24"/>
        </w:rPr>
        <w:t>（二）其他要求：</w:t>
      </w:r>
    </w:p>
    <w:p w14:paraId="429D0838">
      <w:pPr>
        <w:spacing w:line="360" w:lineRule="auto"/>
        <w:rPr>
          <w:b/>
          <w:sz w:val="24"/>
        </w:rPr>
      </w:pPr>
      <w:r>
        <w:rPr>
          <w:rFonts w:hint="eastAsia"/>
          <w:b/>
          <w:sz w:val="24"/>
        </w:rPr>
        <w:t>1</w:t>
      </w:r>
      <w:r>
        <w:rPr>
          <w:b/>
          <w:sz w:val="24"/>
        </w:rPr>
        <w:t xml:space="preserve"> </w:t>
      </w:r>
      <w:bookmarkStart w:id="3" w:name="_Toc221638667"/>
      <w:r>
        <w:rPr>
          <w:rFonts w:hint="eastAsia"/>
          <w:b/>
          <w:sz w:val="24"/>
        </w:rPr>
        <w:t>实施进度要求</w:t>
      </w:r>
      <w:bookmarkEnd w:id="3"/>
    </w:p>
    <w:p w14:paraId="1B1CB2E7">
      <w:pPr>
        <w:spacing w:line="360" w:lineRule="auto"/>
        <w:ind w:firstLine="480" w:firstLineChars="200"/>
        <w:rPr>
          <w:sz w:val="24"/>
        </w:rPr>
      </w:pPr>
      <w:r>
        <w:rPr>
          <w:rFonts w:hint="eastAsia"/>
          <w:sz w:val="24"/>
        </w:rPr>
        <w:t>提供合理的实施团队，确保在合同签订后</w:t>
      </w:r>
      <w:r>
        <w:rPr>
          <w:sz w:val="24"/>
        </w:rPr>
        <w:t>45</w:t>
      </w:r>
      <w:r>
        <w:rPr>
          <w:rFonts w:hint="eastAsia"/>
          <w:sz w:val="24"/>
        </w:rPr>
        <w:t>日内完成产品的交货及部署调试，并配合完成建设阶段检验验收；并配合完成单项验收、综合验收和合同验收。</w:t>
      </w:r>
    </w:p>
    <w:tbl>
      <w:tblPr>
        <w:tblStyle w:val="3"/>
        <w:tblW w:w="4224" w:type="pct"/>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4007"/>
        <w:gridCol w:w="2034"/>
      </w:tblGrid>
      <w:tr w14:paraId="54CD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pct"/>
            <w:shd w:val="clear" w:color="auto" w:fill="F2F2F2"/>
            <w:noWrap w:val="0"/>
            <w:vAlign w:val="center"/>
          </w:tcPr>
          <w:p w14:paraId="728A8813">
            <w:pPr>
              <w:jc w:val="center"/>
              <w:rPr>
                <w:rFonts w:ascii="宋体" w:hAnsi="宋体"/>
                <w:b/>
                <w:sz w:val="24"/>
              </w:rPr>
            </w:pPr>
            <w:r>
              <w:rPr>
                <w:rFonts w:hint="eastAsia" w:ascii="宋体" w:hAnsi="宋体"/>
                <w:b/>
                <w:sz w:val="24"/>
              </w:rPr>
              <w:t>阶段</w:t>
            </w:r>
          </w:p>
        </w:tc>
        <w:tc>
          <w:tcPr>
            <w:tcW w:w="2783" w:type="pct"/>
            <w:shd w:val="clear" w:color="auto" w:fill="F2F2F2"/>
            <w:noWrap w:val="0"/>
            <w:vAlign w:val="center"/>
          </w:tcPr>
          <w:p w14:paraId="22C9D324">
            <w:pPr>
              <w:jc w:val="center"/>
              <w:rPr>
                <w:rFonts w:ascii="宋体" w:hAnsi="宋体"/>
                <w:b/>
                <w:sz w:val="24"/>
              </w:rPr>
            </w:pPr>
            <w:r>
              <w:rPr>
                <w:rFonts w:hint="eastAsia" w:ascii="宋体" w:hAnsi="宋体"/>
                <w:b/>
                <w:sz w:val="24"/>
              </w:rPr>
              <w:t>交付内容</w:t>
            </w:r>
          </w:p>
        </w:tc>
        <w:tc>
          <w:tcPr>
            <w:tcW w:w="1413" w:type="pct"/>
            <w:shd w:val="clear" w:color="auto" w:fill="F2F2F2"/>
            <w:noWrap w:val="0"/>
            <w:vAlign w:val="center"/>
          </w:tcPr>
          <w:p w14:paraId="516B1685">
            <w:pPr>
              <w:jc w:val="center"/>
              <w:rPr>
                <w:rFonts w:hint="eastAsia" w:ascii="宋体" w:hAnsi="宋体"/>
                <w:b/>
                <w:sz w:val="24"/>
              </w:rPr>
            </w:pPr>
            <w:r>
              <w:rPr>
                <w:rFonts w:hint="eastAsia" w:ascii="宋体" w:hAnsi="宋体"/>
                <w:b/>
                <w:sz w:val="24"/>
              </w:rPr>
              <w:t>进度要求（自然日）</w:t>
            </w:r>
          </w:p>
        </w:tc>
      </w:tr>
      <w:tr w14:paraId="7334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pct"/>
            <w:noWrap w:val="0"/>
            <w:vAlign w:val="center"/>
          </w:tcPr>
          <w:p w14:paraId="4094D73F">
            <w:pPr>
              <w:rPr>
                <w:rFonts w:ascii="宋体" w:hAnsi="宋体"/>
                <w:sz w:val="24"/>
              </w:rPr>
            </w:pPr>
            <w:r>
              <w:rPr>
                <w:rFonts w:hint="eastAsia" w:ascii="宋体" w:hAnsi="宋体"/>
                <w:sz w:val="24"/>
              </w:rPr>
              <w:t>合同签订</w:t>
            </w:r>
          </w:p>
        </w:tc>
        <w:tc>
          <w:tcPr>
            <w:tcW w:w="2783" w:type="pct"/>
            <w:noWrap w:val="0"/>
            <w:vAlign w:val="center"/>
          </w:tcPr>
          <w:p w14:paraId="4D8EBC90">
            <w:pPr>
              <w:rPr>
                <w:rFonts w:ascii="宋体" w:hAnsi="宋体"/>
                <w:sz w:val="24"/>
              </w:rPr>
            </w:pPr>
            <w:r>
              <w:rPr>
                <w:rFonts w:hint="eastAsia" w:ascii="宋体" w:hAnsi="宋体"/>
                <w:sz w:val="24"/>
              </w:rPr>
              <w:t>完成合同签订（双方盖章）</w:t>
            </w:r>
          </w:p>
        </w:tc>
        <w:tc>
          <w:tcPr>
            <w:tcW w:w="1413" w:type="pct"/>
            <w:noWrap w:val="0"/>
            <w:vAlign w:val="center"/>
          </w:tcPr>
          <w:p w14:paraId="305BEFEC">
            <w:pPr>
              <w:rPr>
                <w:rFonts w:ascii="宋体" w:hAnsi="宋体"/>
                <w:sz w:val="24"/>
              </w:rPr>
            </w:pPr>
            <w:r>
              <w:rPr>
                <w:rFonts w:hint="eastAsia" w:ascii="宋体" w:hAnsi="宋体"/>
                <w:sz w:val="24"/>
              </w:rPr>
              <w:t>T</w:t>
            </w:r>
            <w:r>
              <w:rPr>
                <w:rFonts w:ascii="宋体" w:hAnsi="宋体"/>
                <w:sz w:val="24"/>
              </w:rPr>
              <w:t>0</w:t>
            </w:r>
          </w:p>
        </w:tc>
      </w:tr>
      <w:tr w14:paraId="7413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pct"/>
            <w:noWrap w:val="0"/>
            <w:vAlign w:val="center"/>
          </w:tcPr>
          <w:p w14:paraId="662175A7">
            <w:pPr>
              <w:rPr>
                <w:rFonts w:ascii="宋体" w:hAnsi="宋体"/>
                <w:sz w:val="24"/>
              </w:rPr>
            </w:pPr>
            <w:r>
              <w:rPr>
                <w:rFonts w:hint="eastAsia" w:ascii="宋体" w:hAnsi="宋体"/>
                <w:sz w:val="24"/>
              </w:rPr>
              <w:t>设备交货</w:t>
            </w:r>
          </w:p>
        </w:tc>
        <w:tc>
          <w:tcPr>
            <w:tcW w:w="2783" w:type="pct"/>
            <w:noWrap w:val="0"/>
            <w:vAlign w:val="center"/>
          </w:tcPr>
          <w:p w14:paraId="7E8BDDA2">
            <w:pPr>
              <w:rPr>
                <w:rFonts w:ascii="宋体" w:hAnsi="宋体"/>
                <w:sz w:val="24"/>
              </w:rPr>
            </w:pPr>
            <w:r>
              <w:rPr>
                <w:rFonts w:hint="eastAsia" w:ascii="宋体" w:hAnsi="宋体"/>
                <w:sz w:val="24"/>
              </w:rPr>
              <w:t>完成设备软硬件部署，并交付到招标方指定地点</w:t>
            </w:r>
          </w:p>
        </w:tc>
        <w:tc>
          <w:tcPr>
            <w:tcW w:w="1413" w:type="pct"/>
            <w:noWrap w:val="0"/>
            <w:vAlign w:val="center"/>
          </w:tcPr>
          <w:p w14:paraId="0EE240AA">
            <w:pPr>
              <w:rPr>
                <w:rFonts w:ascii="宋体" w:hAnsi="宋体"/>
                <w:sz w:val="24"/>
              </w:rPr>
            </w:pPr>
            <w:r>
              <w:rPr>
                <w:rFonts w:hint="eastAsia" w:ascii="宋体" w:hAnsi="宋体"/>
                <w:sz w:val="24"/>
              </w:rPr>
              <w:t>T0+45日</w:t>
            </w:r>
          </w:p>
        </w:tc>
      </w:tr>
      <w:tr w14:paraId="5C27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804" w:type="pct"/>
            <w:noWrap w:val="0"/>
            <w:vAlign w:val="center"/>
          </w:tcPr>
          <w:p w14:paraId="2956318E">
            <w:pPr>
              <w:rPr>
                <w:rFonts w:ascii="宋体" w:hAnsi="宋体"/>
                <w:sz w:val="24"/>
              </w:rPr>
            </w:pPr>
            <w:r>
              <w:rPr>
                <w:rFonts w:hint="eastAsia" w:ascii="宋体" w:hAnsi="宋体"/>
                <w:sz w:val="24"/>
              </w:rPr>
              <w:t>检验验收</w:t>
            </w:r>
          </w:p>
        </w:tc>
        <w:tc>
          <w:tcPr>
            <w:tcW w:w="2783" w:type="pct"/>
            <w:noWrap w:val="0"/>
            <w:vAlign w:val="center"/>
          </w:tcPr>
          <w:p w14:paraId="602F4EE6">
            <w:pPr>
              <w:rPr>
                <w:rFonts w:ascii="宋体" w:hAnsi="宋体"/>
                <w:sz w:val="24"/>
              </w:rPr>
            </w:pPr>
            <w:r>
              <w:rPr>
                <w:rFonts w:hint="eastAsia" w:ascii="宋体" w:hAnsi="宋体"/>
                <w:sz w:val="24"/>
              </w:rPr>
              <w:t>通过招标方组织的功性能指标测试；配合招标方完成最终用户组织的功性能指标测试</w:t>
            </w:r>
          </w:p>
        </w:tc>
        <w:tc>
          <w:tcPr>
            <w:tcW w:w="1413" w:type="pct"/>
            <w:noWrap w:val="0"/>
            <w:vAlign w:val="center"/>
          </w:tcPr>
          <w:p w14:paraId="14828EE4">
            <w:pPr>
              <w:rPr>
                <w:rFonts w:hint="eastAsia" w:ascii="宋体" w:hAnsi="宋体"/>
                <w:sz w:val="24"/>
              </w:rPr>
            </w:pPr>
            <w:r>
              <w:rPr>
                <w:rFonts w:hint="eastAsia" w:ascii="宋体" w:hAnsi="宋体"/>
                <w:sz w:val="24"/>
              </w:rPr>
              <w:t>T0+75日</w:t>
            </w:r>
          </w:p>
        </w:tc>
      </w:tr>
      <w:tr w14:paraId="72206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pct"/>
            <w:noWrap w:val="0"/>
            <w:vAlign w:val="center"/>
          </w:tcPr>
          <w:p w14:paraId="39F07A34">
            <w:pPr>
              <w:rPr>
                <w:rFonts w:ascii="宋体" w:hAnsi="宋体"/>
                <w:sz w:val="24"/>
              </w:rPr>
            </w:pPr>
            <w:r>
              <w:rPr>
                <w:rFonts w:hint="eastAsia" w:ascii="宋体" w:hAnsi="宋体"/>
                <w:sz w:val="24"/>
              </w:rPr>
              <w:t>单项验收</w:t>
            </w:r>
          </w:p>
        </w:tc>
        <w:tc>
          <w:tcPr>
            <w:tcW w:w="2783" w:type="pct"/>
            <w:noWrap w:val="0"/>
            <w:vAlign w:val="center"/>
          </w:tcPr>
          <w:p w14:paraId="6E3CBF08">
            <w:pPr>
              <w:rPr>
                <w:rFonts w:ascii="宋体" w:hAnsi="宋体"/>
                <w:sz w:val="24"/>
              </w:rPr>
            </w:pPr>
            <w:r>
              <w:rPr>
                <w:rFonts w:hint="eastAsia" w:ascii="宋体" w:hAnsi="宋体"/>
                <w:sz w:val="24"/>
              </w:rPr>
              <w:t>配合完成招标方的项目典型场景验证验收</w:t>
            </w:r>
          </w:p>
        </w:tc>
        <w:tc>
          <w:tcPr>
            <w:tcW w:w="1413" w:type="pct"/>
            <w:noWrap w:val="0"/>
            <w:vAlign w:val="center"/>
          </w:tcPr>
          <w:p w14:paraId="617BDDF9">
            <w:pPr>
              <w:rPr>
                <w:rFonts w:hint="eastAsia" w:ascii="宋体" w:hAnsi="宋体"/>
                <w:sz w:val="24"/>
              </w:rPr>
            </w:pPr>
            <w:r>
              <w:rPr>
                <w:rFonts w:hint="eastAsia" w:ascii="宋体" w:hAnsi="宋体"/>
                <w:sz w:val="24"/>
              </w:rPr>
              <w:t>T</w:t>
            </w:r>
            <w:r>
              <w:rPr>
                <w:rFonts w:ascii="宋体" w:hAnsi="宋体"/>
                <w:sz w:val="24"/>
              </w:rPr>
              <w:t>0+</w:t>
            </w:r>
            <w:r>
              <w:rPr>
                <w:rFonts w:hint="eastAsia" w:ascii="宋体" w:hAnsi="宋体"/>
                <w:sz w:val="24"/>
              </w:rPr>
              <w:t>180日</w:t>
            </w:r>
          </w:p>
        </w:tc>
      </w:tr>
      <w:tr w14:paraId="4085B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pct"/>
            <w:noWrap w:val="0"/>
            <w:vAlign w:val="center"/>
          </w:tcPr>
          <w:p w14:paraId="09A2800B">
            <w:pPr>
              <w:rPr>
                <w:rFonts w:ascii="宋体" w:hAnsi="宋体"/>
                <w:sz w:val="24"/>
              </w:rPr>
            </w:pPr>
            <w:r>
              <w:rPr>
                <w:rFonts w:hint="eastAsia" w:ascii="宋体" w:hAnsi="宋体"/>
                <w:sz w:val="24"/>
              </w:rPr>
              <w:t>综合验收</w:t>
            </w:r>
          </w:p>
        </w:tc>
        <w:tc>
          <w:tcPr>
            <w:tcW w:w="2783" w:type="pct"/>
            <w:noWrap w:val="0"/>
            <w:vAlign w:val="center"/>
          </w:tcPr>
          <w:p w14:paraId="358BF747">
            <w:pPr>
              <w:rPr>
                <w:rFonts w:ascii="宋体" w:hAnsi="宋体"/>
                <w:sz w:val="24"/>
              </w:rPr>
            </w:pPr>
            <w:r>
              <w:rPr>
                <w:rFonts w:hint="eastAsia" w:ascii="宋体" w:hAnsi="宋体"/>
                <w:sz w:val="24"/>
              </w:rPr>
              <w:t>配合完成招标方的联调联试</w:t>
            </w:r>
          </w:p>
        </w:tc>
        <w:tc>
          <w:tcPr>
            <w:tcW w:w="1413" w:type="pct"/>
            <w:noWrap w:val="0"/>
            <w:vAlign w:val="center"/>
          </w:tcPr>
          <w:p w14:paraId="5E689881">
            <w:pPr>
              <w:rPr>
                <w:rFonts w:ascii="宋体" w:hAnsi="宋体"/>
                <w:sz w:val="24"/>
              </w:rPr>
            </w:pPr>
            <w:r>
              <w:rPr>
                <w:rFonts w:hint="eastAsia" w:ascii="宋体" w:hAnsi="宋体"/>
                <w:sz w:val="24"/>
              </w:rPr>
              <w:t>T</w:t>
            </w:r>
            <w:r>
              <w:rPr>
                <w:rFonts w:ascii="宋体" w:hAnsi="宋体"/>
                <w:sz w:val="24"/>
              </w:rPr>
              <w:t>0+</w:t>
            </w:r>
            <w:r>
              <w:rPr>
                <w:rFonts w:hint="eastAsia" w:ascii="宋体" w:hAnsi="宋体"/>
                <w:sz w:val="24"/>
              </w:rPr>
              <w:t>270日（具体时间，由招标方组织）</w:t>
            </w:r>
          </w:p>
        </w:tc>
      </w:tr>
      <w:tr w14:paraId="16B6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pct"/>
            <w:noWrap w:val="0"/>
            <w:vAlign w:val="center"/>
          </w:tcPr>
          <w:p w14:paraId="75C79E99">
            <w:pPr>
              <w:rPr>
                <w:rFonts w:ascii="宋体" w:hAnsi="宋体"/>
                <w:sz w:val="24"/>
              </w:rPr>
            </w:pPr>
            <w:r>
              <w:rPr>
                <w:rFonts w:hint="eastAsia" w:ascii="宋体" w:hAnsi="宋体"/>
                <w:sz w:val="24"/>
              </w:rPr>
              <w:t>合同验收</w:t>
            </w:r>
          </w:p>
        </w:tc>
        <w:tc>
          <w:tcPr>
            <w:tcW w:w="2783" w:type="pct"/>
            <w:noWrap w:val="0"/>
            <w:vAlign w:val="center"/>
          </w:tcPr>
          <w:p w14:paraId="587BF82A">
            <w:pPr>
              <w:rPr>
                <w:rFonts w:ascii="宋体" w:hAnsi="宋体"/>
                <w:sz w:val="24"/>
              </w:rPr>
            </w:pPr>
            <w:r>
              <w:rPr>
                <w:rFonts w:hint="eastAsia" w:ascii="宋体" w:hAnsi="宋体"/>
                <w:sz w:val="24"/>
              </w:rPr>
              <w:t>开展用户试用，配合完成合同交付验收</w:t>
            </w:r>
          </w:p>
        </w:tc>
        <w:tc>
          <w:tcPr>
            <w:tcW w:w="1413" w:type="pct"/>
            <w:noWrap w:val="0"/>
            <w:vAlign w:val="center"/>
          </w:tcPr>
          <w:p w14:paraId="19095AEE">
            <w:pPr>
              <w:rPr>
                <w:rFonts w:ascii="宋体" w:hAnsi="宋体"/>
                <w:sz w:val="24"/>
              </w:rPr>
            </w:pPr>
            <w:r>
              <w:rPr>
                <w:rFonts w:hint="eastAsia" w:ascii="宋体" w:hAnsi="宋体"/>
                <w:sz w:val="24"/>
              </w:rPr>
              <w:t>T</w:t>
            </w:r>
            <w:r>
              <w:rPr>
                <w:rFonts w:ascii="宋体" w:hAnsi="宋体"/>
                <w:sz w:val="24"/>
              </w:rPr>
              <w:t>0+</w:t>
            </w:r>
            <w:r>
              <w:rPr>
                <w:rFonts w:hint="eastAsia" w:ascii="宋体" w:hAnsi="宋体"/>
                <w:sz w:val="24"/>
              </w:rPr>
              <w:t>360日（具体时间，由招标方组织）</w:t>
            </w:r>
          </w:p>
        </w:tc>
      </w:tr>
    </w:tbl>
    <w:p w14:paraId="4FBCFDCD">
      <w:pPr>
        <w:spacing w:line="360" w:lineRule="auto"/>
        <w:ind w:firstLine="480" w:firstLineChars="200"/>
        <w:rPr>
          <w:rFonts w:hint="eastAsia"/>
          <w:sz w:val="24"/>
          <w:highlight w:val="yellow"/>
        </w:rPr>
      </w:pPr>
    </w:p>
    <w:p w14:paraId="1B1DC3EB">
      <w:pPr>
        <w:spacing w:line="360" w:lineRule="auto"/>
        <w:rPr>
          <w:rFonts w:hint="eastAsia"/>
          <w:b/>
          <w:sz w:val="24"/>
        </w:rPr>
      </w:pPr>
      <w:r>
        <w:rPr>
          <w:rFonts w:hint="eastAsia"/>
          <w:b/>
          <w:sz w:val="24"/>
        </w:rPr>
        <w:t>1</w:t>
      </w:r>
      <w:r>
        <w:rPr>
          <w:b/>
          <w:sz w:val="24"/>
        </w:rPr>
        <w:t xml:space="preserve"> </w:t>
      </w:r>
      <w:r>
        <w:rPr>
          <w:rFonts w:hint="eastAsia"/>
          <w:b/>
          <w:sz w:val="24"/>
        </w:rPr>
        <w:t>质量保障要求</w:t>
      </w:r>
    </w:p>
    <w:p w14:paraId="6561718A">
      <w:pPr>
        <w:spacing w:line="360" w:lineRule="auto"/>
        <w:ind w:firstLine="480" w:firstLineChars="200"/>
        <w:rPr>
          <w:rFonts w:hint="eastAsia"/>
          <w:sz w:val="24"/>
        </w:rPr>
      </w:pPr>
      <w:r>
        <w:rPr>
          <w:rFonts w:hint="eastAsia"/>
          <w:sz w:val="24"/>
        </w:rPr>
        <w:t>1.</w:t>
      </w:r>
      <w:r>
        <w:rPr>
          <w:sz w:val="24"/>
        </w:rPr>
        <w:t>1</w:t>
      </w:r>
      <w:r>
        <w:rPr>
          <w:rFonts w:hint="eastAsia"/>
          <w:sz w:val="24"/>
        </w:rPr>
        <w:t>中标人在生产全过程中应贯彻国家标准、行业标准等各类有关的法规和标准，保证本合同持续有效运行，并为本合同订购项目构建与所承担生产任务相适应的制度、人员、厂所、仪器设备等质量保证能力。</w:t>
      </w:r>
    </w:p>
    <w:p w14:paraId="45B738E0">
      <w:pPr>
        <w:spacing w:line="360" w:lineRule="auto"/>
        <w:ind w:firstLine="480" w:firstLineChars="200"/>
        <w:rPr>
          <w:rFonts w:hint="eastAsia"/>
          <w:sz w:val="24"/>
        </w:rPr>
      </w:pPr>
      <w:r>
        <w:rPr>
          <w:sz w:val="24"/>
        </w:rPr>
        <w:t>1</w:t>
      </w:r>
      <w:r>
        <w:rPr>
          <w:rFonts w:hint="eastAsia"/>
          <w:sz w:val="24"/>
        </w:rPr>
        <w:t>.</w:t>
      </w:r>
      <w:r>
        <w:rPr>
          <w:sz w:val="24"/>
        </w:rPr>
        <w:t>2</w:t>
      </w:r>
      <w:r>
        <w:rPr>
          <w:rFonts w:hint="eastAsia"/>
          <w:sz w:val="24"/>
        </w:rPr>
        <w:t>中标人根据招标方要求，协助招标人制定产品试验检验计划、培训使用计划等与项目管理相关计划并抓好落实。</w:t>
      </w:r>
    </w:p>
    <w:p w14:paraId="18DB7469">
      <w:pPr>
        <w:spacing w:line="360" w:lineRule="auto"/>
        <w:rPr>
          <w:b/>
          <w:sz w:val="24"/>
        </w:rPr>
      </w:pPr>
      <w:r>
        <w:rPr>
          <w:b/>
          <w:sz w:val="24"/>
        </w:rPr>
        <w:t>2</w:t>
      </w:r>
      <w:r>
        <w:rPr>
          <w:rFonts w:hint="eastAsia"/>
          <w:b/>
          <w:sz w:val="24"/>
        </w:rPr>
        <w:t xml:space="preserve"> 技术培训要求</w:t>
      </w:r>
    </w:p>
    <w:p w14:paraId="3074E0BA">
      <w:pPr>
        <w:spacing w:line="360" w:lineRule="auto"/>
        <w:ind w:firstLine="480" w:firstLineChars="200"/>
        <w:rPr>
          <w:rFonts w:hint="eastAsia"/>
          <w:sz w:val="24"/>
        </w:rPr>
      </w:pPr>
      <w:r>
        <w:rPr>
          <w:sz w:val="24"/>
        </w:rPr>
        <w:t>2.</w:t>
      </w:r>
      <w:r>
        <w:rPr>
          <w:rFonts w:hint="eastAsia"/>
          <w:sz w:val="24"/>
        </w:rPr>
        <w:t>1中标人提供技术培训服务，培训内容主要为装备的安装和使用操作方法和日常维护及有关注意事项、常见故障诊断和排除等。</w:t>
      </w:r>
    </w:p>
    <w:p w14:paraId="14090F50">
      <w:pPr>
        <w:spacing w:line="360" w:lineRule="auto"/>
        <w:ind w:firstLine="480" w:firstLineChars="200"/>
        <w:rPr>
          <w:rFonts w:hint="eastAsia"/>
          <w:sz w:val="24"/>
        </w:rPr>
      </w:pPr>
      <w:r>
        <w:rPr>
          <w:rFonts w:hint="eastAsia"/>
          <w:sz w:val="24"/>
        </w:rPr>
        <w:t>2.</w:t>
      </w:r>
      <w:r>
        <w:rPr>
          <w:sz w:val="24"/>
        </w:rPr>
        <w:t>2</w:t>
      </w:r>
      <w:r>
        <w:rPr>
          <w:rFonts w:hint="eastAsia"/>
          <w:sz w:val="24"/>
        </w:rPr>
        <w:t>中标人应按照招标人要求协助招标人制定培训计划，并在交付后为招标人提供设备使用和技术培训。</w:t>
      </w:r>
    </w:p>
    <w:p w14:paraId="62FFD344">
      <w:pPr>
        <w:spacing w:line="360" w:lineRule="auto"/>
        <w:rPr>
          <w:rFonts w:hint="eastAsia"/>
          <w:b/>
          <w:sz w:val="24"/>
        </w:rPr>
      </w:pPr>
      <w:r>
        <w:rPr>
          <w:b/>
          <w:sz w:val="24"/>
        </w:rPr>
        <w:t>3</w:t>
      </w:r>
      <w:r>
        <w:rPr>
          <w:rFonts w:hint="eastAsia"/>
          <w:b/>
          <w:sz w:val="24"/>
        </w:rPr>
        <w:t xml:space="preserve"> 售后服务要求</w:t>
      </w:r>
    </w:p>
    <w:p w14:paraId="39F2488F">
      <w:pPr>
        <w:spacing w:line="360" w:lineRule="auto"/>
        <w:ind w:firstLine="480" w:firstLineChars="200"/>
        <w:rPr>
          <w:rFonts w:hint="eastAsia"/>
          <w:sz w:val="24"/>
        </w:rPr>
      </w:pPr>
      <w:r>
        <w:rPr>
          <w:sz w:val="24"/>
        </w:rPr>
        <w:t>3.</w:t>
      </w:r>
      <w:r>
        <w:rPr>
          <w:rFonts w:hint="eastAsia"/>
          <w:sz w:val="24"/>
        </w:rPr>
        <w:t>1</w:t>
      </w:r>
      <w:r>
        <w:rPr>
          <w:sz w:val="24"/>
        </w:rPr>
        <w:t xml:space="preserve"> </w:t>
      </w:r>
      <w:r>
        <w:rPr>
          <w:rFonts w:hint="eastAsia"/>
          <w:sz w:val="24"/>
        </w:rPr>
        <w:t>中标人交付的所有软硬件，质保期为五年，质保期的开始时间从项目通过合同验收的次日起算。在质保期内，提供不少于3名售后服务人员，应随时提供包括技术保障、软件升级、漏洞修复等服务，在核心功能不变的情况下需根据招标人要求对软件进行修改完善，确保软件功能与业务需求保持一致（质保期相关费用包含在总报价中，甲方不额外支付相关费用）。</w:t>
      </w:r>
    </w:p>
    <w:p w14:paraId="0F32E2D9">
      <w:pPr>
        <w:spacing w:line="360" w:lineRule="auto"/>
        <w:ind w:firstLine="480" w:firstLineChars="200"/>
        <w:rPr>
          <w:rFonts w:hint="eastAsia"/>
          <w:sz w:val="24"/>
        </w:rPr>
      </w:pPr>
      <w:r>
        <w:rPr>
          <w:sz w:val="24"/>
        </w:rPr>
        <w:t>3.</w:t>
      </w:r>
      <w:r>
        <w:rPr>
          <w:rFonts w:hint="eastAsia"/>
          <w:sz w:val="24"/>
        </w:rPr>
        <w:t>2</w:t>
      </w:r>
      <w:r>
        <w:rPr>
          <w:sz w:val="24"/>
        </w:rPr>
        <w:t xml:space="preserve"> </w:t>
      </w:r>
      <w:r>
        <w:rPr>
          <w:rFonts w:hint="eastAsia"/>
          <w:sz w:val="24"/>
        </w:rPr>
        <w:t>中标人应建立健全售后服务保障机制，按有关规定做好售后服务保障工作。</w:t>
      </w:r>
    </w:p>
    <w:p w14:paraId="012E6CB0">
      <w:pPr>
        <w:spacing w:line="360" w:lineRule="auto"/>
        <w:ind w:firstLine="480" w:firstLineChars="200"/>
        <w:rPr>
          <w:rFonts w:hint="eastAsia"/>
          <w:sz w:val="24"/>
        </w:rPr>
      </w:pPr>
      <w:r>
        <w:rPr>
          <w:rFonts w:hint="eastAsia"/>
          <w:sz w:val="24"/>
        </w:rPr>
        <w:t>3.</w:t>
      </w:r>
      <w:r>
        <w:rPr>
          <w:sz w:val="24"/>
        </w:rPr>
        <w:t xml:space="preserve">3 </w:t>
      </w:r>
      <w:r>
        <w:rPr>
          <w:rFonts w:hint="eastAsia"/>
          <w:sz w:val="24"/>
        </w:rPr>
        <w:t>中标人应制定并落实售后技术服务计划，按要求到招标人指定地点进行现场技术服务，定期或不定期地进行质量访问，收集故障信息。了解设备使用情况，征求招标人意见，提高设备质量和服务质量。</w:t>
      </w:r>
    </w:p>
    <w:p w14:paraId="61312746">
      <w:pPr>
        <w:spacing w:line="360" w:lineRule="auto"/>
        <w:ind w:firstLine="480" w:firstLineChars="200"/>
        <w:rPr>
          <w:rFonts w:hint="eastAsia"/>
          <w:sz w:val="24"/>
        </w:rPr>
      </w:pPr>
      <w:r>
        <w:rPr>
          <w:sz w:val="24"/>
        </w:rPr>
        <w:t>3.</w:t>
      </w:r>
      <w:r>
        <w:rPr>
          <w:rFonts w:hint="eastAsia"/>
          <w:sz w:val="24"/>
        </w:rPr>
        <w:t>4</w:t>
      </w:r>
      <w:r>
        <w:rPr>
          <w:sz w:val="24"/>
        </w:rPr>
        <w:t xml:space="preserve"> </w:t>
      </w:r>
      <w:r>
        <w:rPr>
          <w:rFonts w:hint="eastAsia"/>
          <w:sz w:val="24"/>
        </w:rPr>
        <w:t>根据招标人要求，中标人派技术人员到现场指导试运行、维护修复工作。现场支持响应时间≤10小时、远程支持响应时间≤30分钟。</w:t>
      </w:r>
    </w:p>
    <w:p w14:paraId="5E124733">
      <w:pPr>
        <w:spacing w:line="360" w:lineRule="auto"/>
        <w:rPr>
          <w:b/>
          <w:sz w:val="24"/>
        </w:rPr>
      </w:pPr>
      <w:r>
        <w:rPr>
          <w:b/>
          <w:sz w:val="24"/>
        </w:rPr>
        <w:t>4</w:t>
      </w:r>
      <w:r>
        <w:rPr>
          <w:rFonts w:hint="eastAsia"/>
          <w:b/>
          <w:sz w:val="24"/>
        </w:rPr>
        <w:t>验收交付要求</w:t>
      </w:r>
    </w:p>
    <w:p w14:paraId="20158B6D">
      <w:pPr>
        <w:spacing w:line="360" w:lineRule="auto"/>
        <w:ind w:firstLine="480" w:firstLineChars="200"/>
        <w:rPr>
          <w:rFonts w:hint="eastAsia"/>
          <w:sz w:val="24"/>
        </w:rPr>
      </w:pPr>
      <w:r>
        <w:rPr>
          <w:sz w:val="24"/>
        </w:rPr>
        <w:t>4.</w:t>
      </w:r>
      <w:r>
        <w:rPr>
          <w:rFonts w:hint="eastAsia"/>
          <w:sz w:val="24"/>
        </w:rPr>
        <w:t>1</w:t>
      </w:r>
      <w:r>
        <w:rPr>
          <w:sz w:val="24"/>
        </w:rPr>
        <w:t xml:space="preserve"> </w:t>
      </w:r>
      <w:r>
        <w:rPr>
          <w:rFonts w:hint="eastAsia"/>
          <w:sz w:val="24"/>
        </w:rPr>
        <w:t>中标人应按规定要求，在招标人规定的交付地点完成系统和设备的组装、安装和调试，需提供具备软硬件测评资质的第三方测评公司的测评报告（要求CNAS或CMA）（第三方测试费用包含在总报价中）。</w:t>
      </w:r>
    </w:p>
    <w:p w14:paraId="7B5B5C10">
      <w:pPr>
        <w:spacing w:line="360" w:lineRule="auto"/>
        <w:ind w:firstLine="480" w:firstLineChars="200"/>
        <w:rPr>
          <w:rFonts w:hint="eastAsia"/>
          <w:sz w:val="24"/>
        </w:rPr>
      </w:pPr>
      <w:r>
        <w:rPr>
          <w:sz w:val="24"/>
        </w:rPr>
        <w:t>4.</w:t>
      </w:r>
      <w:r>
        <w:rPr>
          <w:rFonts w:hint="eastAsia"/>
          <w:sz w:val="24"/>
        </w:rPr>
        <w:t>2</w:t>
      </w:r>
      <w:r>
        <w:rPr>
          <w:sz w:val="24"/>
        </w:rPr>
        <w:t xml:space="preserve"> </w:t>
      </w:r>
      <w:r>
        <w:rPr>
          <w:rFonts w:hint="eastAsia"/>
          <w:sz w:val="24"/>
        </w:rPr>
        <w:t>中标人提供所需的相关耗材、备品备件；中标人应按照测试要求，提供测试所需要的各类陪试设备（测试完成后，设备由中标方处置），配合开展检验验收工作。</w:t>
      </w:r>
    </w:p>
    <w:p w14:paraId="3259AB94">
      <w:pPr>
        <w:spacing w:line="360" w:lineRule="auto"/>
        <w:ind w:firstLine="480" w:firstLineChars="200"/>
        <w:rPr>
          <w:sz w:val="24"/>
        </w:rPr>
      </w:pPr>
      <w:r>
        <w:rPr>
          <w:sz w:val="24"/>
        </w:rPr>
        <w:t xml:space="preserve">4.3 </w:t>
      </w:r>
      <w:r>
        <w:rPr>
          <w:rFonts w:hint="eastAsia"/>
          <w:sz w:val="24"/>
        </w:rPr>
        <w:t>在各阶段验收期间，中标人应配合招标方完成验收大纲等验收材料的撰写与设备及系统安装和调试工作。需要人员驻场时，中标人应配合派遣驻场人员。</w:t>
      </w:r>
    </w:p>
    <w:p w14:paraId="583EB02D">
      <w:pPr>
        <w:spacing w:line="360" w:lineRule="auto"/>
        <w:ind w:firstLine="480" w:firstLineChars="200"/>
        <w:rPr>
          <w:rFonts w:hint="eastAsia"/>
          <w:sz w:val="24"/>
        </w:rPr>
      </w:pPr>
      <w:r>
        <w:rPr>
          <w:sz w:val="24"/>
        </w:rPr>
        <w:t>4.</w:t>
      </w:r>
      <w:r>
        <w:rPr>
          <w:rFonts w:hint="eastAsia"/>
          <w:sz w:val="24"/>
        </w:rPr>
        <w:t>4</w:t>
      </w:r>
      <w:r>
        <w:rPr>
          <w:sz w:val="24"/>
        </w:rPr>
        <w:t xml:space="preserve"> </w:t>
      </w:r>
      <w:r>
        <w:rPr>
          <w:rFonts w:hint="eastAsia"/>
          <w:sz w:val="24"/>
        </w:rPr>
        <w:t>在检验验收中发现的质量问题，中标方应及时处理。对于中标方提供的软硬件设备如存在重大质量问题或严重质量隐患，依据相关法规要求，招标方有权停止检验验收，待中标方按标准要求完成整改后恢复。</w:t>
      </w:r>
    </w:p>
    <w:p w14:paraId="7A74BB98">
      <w:pPr>
        <w:spacing w:line="360" w:lineRule="auto"/>
        <w:ind w:firstLine="480" w:firstLineChars="200"/>
        <w:rPr>
          <w:sz w:val="24"/>
        </w:rPr>
      </w:pPr>
      <w:r>
        <w:rPr>
          <w:sz w:val="24"/>
        </w:rPr>
        <w:t>4.</w:t>
      </w:r>
      <w:r>
        <w:rPr>
          <w:rFonts w:hint="eastAsia"/>
          <w:sz w:val="24"/>
        </w:rPr>
        <w:t>5</w:t>
      </w:r>
      <w:r>
        <w:rPr>
          <w:sz w:val="24"/>
        </w:rPr>
        <w:t xml:space="preserve"> </w:t>
      </w:r>
      <w:r>
        <w:rPr>
          <w:rFonts w:hint="eastAsia"/>
          <w:sz w:val="24"/>
        </w:rPr>
        <w:t>依据合同要求通过合同验收后，完成全系统交付。</w:t>
      </w:r>
    </w:p>
    <w:p w14:paraId="1FAE6CBE">
      <w:pPr>
        <w:spacing w:line="360" w:lineRule="auto"/>
        <w:rPr>
          <w:rFonts w:hint="eastAsia"/>
          <w:b/>
          <w:sz w:val="24"/>
        </w:rPr>
      </w:pPr>
      <w:r>
        <w:rPr>
          <w:rFonts w:hint="eastAsia"/>
          <w:b/>
          <w:sz w:val="24"/>
        </w:rPr>
        <w:t>5联调联试要求</w:t>
      </w:r>
    </w:p>
    <w:p w14:paraId="7DF14C94">
      <w:pPr>
        <w:spacing w:line="360" w:lineRule="auto"/>
        <w:ind w:firstLine="480" w:firstLineChars="200"/>
        <w:rPr>
          <w:rFonts w:hint="eastAsia"/>
          <w:sz w:val="24"/>
        </w:rPr>
      </w:pPr>
      <w:r>
        <w:rPr>
          <w:sz w:val="24"/>
        </w:rPr>
        <w:t>5.</w:t>
      </w:r>
      <w:r>
        <w:rPr>
          <w:rFonts w:hint="eastAsia"/>
          <w:sz w:val="24"/>
        </w:rPr>
        <w:t>1</w:t>
      </w:r>
      <w:r>
        <w:rPr>
          <w:sz w:val="24"/>
        </w:rPr>
        <w:t xml:space="preserve"> </w:t>
      </w:r>
      <w:r>
        <w:rPr>
          <w:rFonts w:hint="eastAsia"/>
          <w:sz w:val="24"/>
        </w:rPr>
        <w:t>项目需按要求部署到指定地点，配合招标方进行联调联试，搭建合规的软硬件、网络及数据环境（含真实测试数据与备份方案），确保环境稳定可用；</w:t>
      </w:r>
    </w:p>
    <w:p w14:paraId="1E2AE302">
      <w:pPr>
        <w:spacing w:line="360" w:lineRule="auto"/>
        <w:ind w:firstLine="480" w:firstLineChars="200"/>
        <w:rPr>
          <w:rFonts w:hint="eastAsia"/>
          <w:sz w:val="24"/>
        </w:rPr>
      </w:pPr>
      <w:r>
        <w:rPr>
          <w:sz w:val="24"/>
        </w:rPr>
        <w:t>5.</w:t>
      </w:r>
      <w:r>
        <w:rPr>
          <w:rFonts w:hint="eastAsia"/>
          <w:sz w:val="24"/>
        </w:rPr>
        <w:t>2</w:t>
      </w:r>
      <w:r>
        <w:rPr>
          <w:sz w:val="24"/>
        </w:rPr>
        <w:t xml:space="preserve"> </w:t>
      </w:r>
      <w:r>
        <w:rPr>
          <w:rFonts w:hint="eastAsia"/>
          <w:sz w:val="24"/>
        </w:rPr>
        <w:t>完成本项目各设备数据交互、管理适配等功能联调，验证功能协同性与数据准确性；</w:t>
      </w:r>
    </w:p>
    <w:p w14:paraId="1A61157B">
      <w:pPr>
        <w:spacing w:line="360" w:lineRule="auto"/>
        <w:ind w:firstLine="480" w:firstLineChars="200"/>
        <w:rPr>
          <w:rFonts w:hint="eastAsia"/>
          <w:sz w:val="24"/>
        </w:rPr>
      </w:pPr>
      <w:r>
        <w:rPr>
          <w:sz w:val="24"/>
        </w:rPr>
        <w:t>5.</w:t>
      </w:r>
      <w:r>
        <w:rPr>
          <w:rFonts w:hint="eastAsia"/>
          <w:sz w:val="24"/>
        </w:rPr>
        <w:t>3</w:t>
      </w:r>
      <w:r>
        <w:rPr>
          <w:sz w:val="24"/>
        </w:rPr>
        <w:t xml:space="preserve"> </w:t>
      </w:r>
      <w:r>
        <w:rPr>
          <w:rFonts w:hint="eastAsia"/>
          <w:sz w:val="24"/>
        </w:rPr>
        <w:t>提供不少于4名联调联试人员参与驻场测试，提供承诺函及驻场人员名单，驻场人员技术能力须满足项目联调联试要求，且须提供驻场人员保密承诺函。</w:t>
      </w:r>
    </w:p>
    <w:p w14:paraId="73F836C3">
      <w:pPr>
        <w:spacing w:line="360" w:lineRule="auto"/>
        <w:ind w:firstLine="480" w:firstLineChars="200"/>
        <w:rPr>
          <w:rFonts w:hint="eastAsia"/>
          <w:sz w:val="24"/>
        </w:rPr>
      </w:pPr>
    </w:p>
    <w:p w14:paraId="7ACE310F">
      <w:pPr>
        <w:spacing w:line="360" w:lineRule="auto"/>
        <w:rPr>
          <w:rFonts w:hint="eastAsia"/>
          <w:b/>
          <w:sz w:val="24"/>
        </w:rPr>
      </w:pPr>
      <w:r>
        <w:rPr>
          <w:rFonts w:hint="eastAsia"/>
          <w:b/>
          <w:sz w:val="24"/>
        </w:rPr>
        <w:t>（三）订货数量：</w:t>
      </w:r>
    </w:p>
    <w:p w14:paraId="4659445B">
      <w:pPr>
        <w:spacing w:line="360" w:lineRule="auto"/>
        <w:ind w:firstLine="240" w:firstLineChars="100"/>
        <w:rPr>
          <w:sz w:val="24"/>
        </w:rPr>
      </w:pPr>
      <w:r>
        <w:rPr>
          <w:rFonts w:hint="eastAsia"/>
          <w:sz w:val="24"/>
        </w:rPr>
        <w:t>详见：</w:t>
      </w:r>
      <w:r>
        <w:rPr>
          <w:rFonts w:hint="eastAsia" w:ascii="宋体" w:hAnsi="宋体"/>
          <w:b/>
          <w:sz w:val="24"/>
        </w:rPr>
        <w:t>货物需求一览表</w:t>
      </w:r>
      <w:r>
        <w:rPr>
          <w:rFonts w:hint="eastAsia"/>
          <w:sz w:val="24"/>
        </w:rPr>
        <w:t>。</w:t>
      </w:r>
    </w:p>
    <w:p w14:paraId="69F7EB7D">
      <w:pPr>
        <w:spacing w:line="360" w:lineRule="auto"/>
        <w:rPr>
          <w:b/>
          <w:sz w:val="24"/>
        </w:rPr>
      </w:pPr>
      <w:r>
        <w:rPr>
          <w:rFonts w:hint="eastAsia"/>
          <w:b/>
          <w:sz w:val="24"/>
        </w:rPr>
        <w:t>（四）交货日期和交货地点（项目现场）：</w:t>
      </w:r>
    </w:p>
    <w:p w14:paraId="0CF66C23">
      <w:pPr>
        <w:spacing w:line="360" w:lineRule="auto"/>
        <w:ind w:firstLine="480" w:firstLineChars="200"/>
        <w:rPr>
          <w:sz w:val="24"/>
        </w:rPr>
      </w:pPr>
      <w:r>
        <w:rPr>
          <w:rFonts w:hint="eastAsia"/>
          <w:sz w:val="24"/>
        </w:rPr>
        <w:t>交货日期：合同签订后，45日内完成产品的交货及部署调试，360日内完成合同验收。</w:t>
      </w:r>
    </w:p>
    <w:p w14:paraId="49B2D1FF">
      <w:pPr>
        <w:spacing w:line="360" w:lineRule="auto"/>
        <w:ind w:firstLine="480" w:firstLineChars="200"/>
        <w:rPr>
          <w:rFonts w:hint="eastAsia"/>
          <w:sz w:val="24"/>
        </w:rPr>
      </w:pPr>
      <w:r>
        <w:rPr>
          <w:rFonts w:hint="eastAsia"/>
          <w:sz w:val="24"/>
        </w:rPr>
        <w:t>交货地点：具体地点由招标方指定。</w:t>
      </w:r>
    </w:p>
    <w:p w14:paraId="330C2AEC">
      <w:pPr>
        <w:spacing w:line="360" w:lineRule="auto"/>
        <w:rPr>
          <w:rFonts w:hint="eastAsia"/>
          <w:b/>
          <w:bCs/>
          <w:sz w:val="24"/>
        </w:rPr>
      </w:pPr>
      <w:r>
        <w:rPr>
          <w:rFonts w:hint="eastAsia"/>
          <w:b/>
          <w:bCs/>
          <w:sz w:val="24"/>
        </w:rPr>
        <w:t>（五）付款方式：</w:t>
      </w:r>
    </w:p>
    <w:p w14:paraId="54ED13F0">
      <w:pPr>
        <w:spacing w:line="360" w:lineRule="auto"/>
        <w:ind w:firstLine="480" w:firstLineChars="200"/>
        <w:rPr>
          <w:rFonts w:hint="eastAsia"/>
          <w:sz w:val="24"/>
        </w:rPr>
      </w:pPr>
      <w:r>
        <w:rPr>
          <w:rFonts w:hint="eastAsia"/>
          <w:sz w:val="24"/>
        </w:rPr>
        <w:t>（1）合同签订后，乙方开具合同总价的30%发票，甲方支付合同总价的30%；</w:t>
      </w:r>
    </w:p>
    <w:p w14:paraId="436F278B">
      <w:pPr>
        <w:spacing w:line="360" w:lineRule="auto"/>
        <w:ind w:firstLine="480" w:firstLineChars="200"/>
        <w:rPr>
          <w:sz w:val="24"/>
        </w:rPr>
      </w:pPr>
      <w:r>
        <w:rPr>
          <w:rFonts w:hint="eastAsia"/>
          <w:sz w:val="24"/>
        </w:rPr>
        <w:t>（2）货到指定地点并通过</w:t>
      </w:r>
      <w:r>
        <w:rPr>
          <w:rFonts w:hint="eastAsia" w:ascii="宋体" w:hAnsi="宋体"/>
          <w:sz w:val="24"/>
        </w:rPr>
        <w:t>检验验收</w:t>
      </w:r>
      <w:r>
        <w:rPr>
          <w:rFonts w:hint="eastAsia"/>
          <w:sz w:val="24"/>
        </w:rPr>
        <w:t>后，乙方开具合同总价的</w:t>
      </w:r>
      <w:r>
        <w:rPr>
          <w:sz w:val="24"/>
        </w:rPr>
        <w:t>2</w:t>
      </w:r>
      <w:r>
        <w:rPr>
          <w:rFonts w:hint="eastAsia"/>
          <w:sz w:val="24"/>
        </w:rPr>
        <w:t>0%发票，甲方支付合同总价的</w:t>
      </w:r>
      <w:r>
        <w:rPr>
          <w:sz w:val="24"/>
        </w:rPr>
        <w:t>2</w:t>
      </w:r>
      <w:r>
        <w:rPr>
          <w:rFonts w:hint="eastAsia"/>
          <w:sz w:val="24"/>
        </w:rPr>
        <w:t>0%；</w:t>
      </w:r>
    </w:p>
    <w:p w14:paraId="73392710">
      <w:pPr>
        <w:spacing w:line="360" w:lineRule="auto"/>
        <w:ind w:firstLine="480" w:firstLineChars="200"/>
        <w:rPr>
          <w:sz w:val="24"/>
        </w:rPr>
      </w:pPr>
      <w:r>
        <w:rPr>
          <w:rFonts w:hint="eastAsia"/>
          <w:sz w:val="24"/>
        </w:rPr>
        <w:t>（</w:t>
      </w:r>
      <w:r>
        <w:rPr>
          <w:sz w:val="24"/>
        </w:rPr>
        <w:t>3</w:t>
      </w:r>
      <w:r>
        <w:rPr>
          <w:rFonts w:hint="eastAsia"/>
          <w:sz w:val="24"/>
        </w:rPr>
        <w:t>）配合完成招标方通过</w:t>
      </w:r>
      <w:r>
        <w:rPr>
          <w:rFonts w:hint="eastAsia" w:ascii="宋体" w:hAnsi="宋体"/>
          <w:sz w:val="24"/>
        </w:rPr>
        <w:t>单项验收</w:t>
      </w:r>
      <w:r>
        <w:rPr>
          <w:rFonts w:hint="eastAsia"/>
          <w:sz w:val="24"/>
        </w:rPr>
        <w:t>后，乙方开具合同总价的</w:t>
      </w:r>
      <w:r>
        <w:rPr>
          <w:sz w:val="24"/>
        </w:rPr>
        <w:t>2</w:t>
      </w:r>
      <w:r>
        <w:rPr>
          <w:rFonts w:hint="eastAsia"/>
          <w:sz w:val="24"/>
        </w:rPr>
        <w:t>0%发票，甲方支付合同总价的</w:t>
      </w:r>
      <w:r>
        <w:rPr>
          <w:sz w:val="24"/>
        </w:rPr>
        <w:t>2</w:t>
      </w:r>
      <w:r>
        <w:rPr>
          <w:rFonts w:hint="eastAsia"/>
          <w:sz w:val="24"/>
        </w:rPr>
        <w:t>0%；</w:t>
      </w:r>
    </w:p>
    <w:p w14:paraId="08871A79">
      <w:pPr>
        <w:spacing w:line="360" w:lineRule="auto"/>
        <w:ind w:firstLine="480" w:firstLineChars="200"/>
        <w:rPr>
          <w:sz w:val="24"/>
        </w:rPr>
      </w:pPr>
      <w:r>
        <w:rPr>
          <w:rFonts w:hint="eastAsia"/>
          <w:sz w:val="24"/>
        </w:rPr>
        <w:t>（</w:t>
      </w:r>
      <w:r>
        <w:rPr>
          <w:sz w:val="24"/>
        </w:rPr>
        <w:t>4</w:t>
      </w:r>
      <w:r>
        <w:rPr>
          <w:rFonts w:hint="eastAsia"/>
          <w:sz w:val="24"/>
        </w:rPr>
        <w:t>）配合完成招标方通过</w:t>
      </w:r>
      <w:r>
        <w:rPr>
          <w:rFonts w:hint="eastAsia" w:ascii="宋体" w:hAnsi="宋体"/>
          <w:sz w:val="24"/>
        </w:rPr>
        <w:t>综合验收</w:t>
      </w:r>
      <w:r>
        <w:rPr>
          <w:rFonts w:hint="eastAsia"/>
          <w:sz w:val="24"/>
        </w:rPr>
        <w:t>后，乙方开具合同总价的</w:t>
      </w:r>
      <w:r>
        <w:rPr>
          <w:sz w:val="24"/>
        </w:rPr>
        <w:t>2</w:t>
      </w:r>
      <w:r>
        <w:rPr>
          <w:rFonts w:hint="eastAsia"/>
          <w:sz w:val="24"/>
        </w:rPr>
        <w:t>0%发票，甲方支付合同总价的</w:t>
      </w:r>
      <w:r>
        <w:rPr>
          <w:sz w:val="24"/>
        </w:rPr>
        <w:t>2</w:t>
      </w:r>
      <w:r>
        <w:rPr>
          <w:rFonts w:hint="eastAsia"/>
          <w:sz w:val="24"/>
        </w:rPr>
        <w:t>0%；</w:t>
      </w:r>
    </w:p>
    <w:p w14:paraId="0A0ECECF">
      <w:pPr>
        <w:spacing w:line="360" w:lineRule="auto"/>
        <w:ind w:firstLine="480" w:firstLineChars="200"/>
        <w:rPr>
          <w:rFonts w:hint="eastAsia"/>
          <w:sz w:val="24"/>
        </w:rPr>
      </w:pPr>
      <w:r>
        <w:rPr>
          <w:rFonts w:hint="eastAsia"/>
          <w:sz w:val="24"/>
        </w:rPr>
        <w:t>（</w:t>
      </w:r>
      <w:r>
        <w:rPr>
          <w:sz w:val="24"/>
        </w:rPr>
        <w:t>5</w:t>
      </w:r>
      <w:r>
        <w:rPr>
          <w:rFonts w:hint="eastAsia"/>
          <w:sz w:val="24"/>
        </w:rPr>
        <w:t>）配合完成招标方通过</w:t>
      </w:r>
      <w:r>
        <w:rPr>
          <w:rFonts w:hint="eastAsia" w:ascii="宋体" w:hAnsi="宋体"/>
          <w:sz w:val="24"/>
        </w:rPr>
        <w:t>合同验收</w:t>
      </w:r>
      <w:r>
        <w:rPr>
          <w:rFonts w:hint="eastAsia"/>
          <w:sz w:val="24"/>
        </w:rPr>
        <w:t>后，乙方开具合同总价的</w:t>
      </w:r>
      <w:r>
        <w:rPr>
          <w:sz w:val="24"/>
        </w:rPr>
        <w:t>5</w:t>
      </w:r>
      <w:r>
        <w:rPr>
          <w:rFonts w:hint="eastAsia"/>
          <w:sz w:val="24"/>
        </w:rPr>
        <w:t>%发票，甲方支付合同总价的5%。</w:t>
      </w:r>
    </w:p>
    <w:p w14:paraId="4E55CC3A">
      <w:pPr>
        <w:spacing w:line="360" w:lineRule="auto"/>
        <w:ind w:firstLine="480" w:firstLineChars="200"/>
        <w:rPr>
          <w:rFonts w:hint="eastAsia"/>
          <w:sz w:val="24"/>
        </w:rPr>
      </w:pPr>
      <w:r>
        <w:rPr>
          <w:rFonts w:hint="eastAsia"/>
          <w:sz w:val="24"/>
        </w:rPr>
        <w:t>（6）合同金额的5%转为质保金，质保金在质保期满且无质量问题时由招标方拨付。</w:t>
      </w:r>
    </w:p>
    <w:p w14:paraId="385FA63A">
      <w:pPr>
        <w:spacing w:line="360" w:lineRule="auto"/>
        <w:ind w:firstLine="480" w:firstLineChars="200"/>
        <w:rPr>
          <w:rFonts w:hint="eastAsia"/>
          <w:sz w:val="24"/>
          <w:highlight w:val="yellow"/>
        </w:rPr>
      </w:pPr>
    </w:p>
    <w:p w14:paraId="2534BD8B">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4A86A5"/>
    <w:multiLevelType w:val="singleLevel"/>
    <w:tmpl w:val="964A86A5"/>
    <w:lvl w:ilvl="0" w:tentative="0">
      <w:start w:val="1"/>
      <w:numFmt w:val="decimal"/>
      <w:lvlText w:val="%1)"/>
      <w:lvlJc w:val="left"/>
      <w:pPr>
        <w:ind w:left="425" w:hanging="425"/>
      </w:pPr>
      <w:rPr>
        <w:rFonts w:hint="default"/>
      </w:rPr>
    </w:lvl>
  </w:abstractNum>
  <w:abstractNum w:abstractNumId="1">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A635F7"/>
    <w:rsid w:val="15EE2487"/>
    <w:rsid w:val="7FA635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2"/>
    <w:basedOn w:val="1"/>
    <w:uiPriority w:val="0"/>
    <w:pPr>
      <w:snapToGrid w:val="0"/>
      <w:spacing w:line="360" w:lineRule="auto"/>
      <w:ind w:left="734" w:leftChars="343" w:hanging="14" w:hangingChars="6"/>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2026-03-20T05:24:00Z</dcterms:created>
  <dc:creator>顾嘉宁</dc:creator>
  <cp:lastModifiedBy>顾嘉宁</cp:lastModifiedBy>
  <dcterms:modified xsi:type="dcterms:W3CDTF">2026-03-20T05:25:36Z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7C1B85090E37484CB0878BE18D1DCAB5_11</vt:lpwstr>
  </property>
  <property fmtid="{D5CDD505-2E9C-101B-9397-08002B2CF9AE}" pid="4" name="KSOTemplateDocerSaveRecord">
    <vt:lpwstr>eyJoZGlkIjoiM2FjYTIzZGUxMzUyYzc4ODFmYzlkNjk5ZTYzODY2NmIiLCJ1c2VySWQiOiIxNjYzMDExNDYwIn0=</vt:lpwstr>
  </property>
</Properties>
</file>