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版本号：N510101202600029120260528001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内镜追溯系统维保服务项目(二次)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N5101012026000291</w:t>
      </w:r>
    </w:p>
    <w:p>
      <w:pPr>
        <w:pStyle w:val="null3"/>
        <w:jc w:val="left"/>
        <w:outlineLvl w:val="2"/>
      </w:pPr>
      <w:r>
        <w:rPr>
          <w:rFonts w:ascii="仿宋_GB2312" w:hAnsi="仿宋_GB2312" w:cs="仿宋_GB2312" w:eastAsia="仿宋_GB2312"/>
          <w:sz w:val="28"/>
          <w:b/>
        </w:rPr>
        <w:t>成都市第七人民医院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成都市第七人民医院</w:t>
      </w:r>
      <w:r>
        <w:rPr>
          <w:rFonts w:ascii="仿宋_GB2312" w:hAnsi="仿宋_GB2312" w:cs="仿宋_GB2312" w:eastAsia="仿宋_GB2312"/>
        </w:rPr>
        <w:t xml:space="preserve"> 委托，拟对 </w:t>
      </w:r>
      <w:r>
        <w:rPr>
          <w:rFonts w:ascii="仿宋_GB2312" w:hAnsi="仿宋_GB2312" w:cs="仿宋_GB2312" w:eastAsia="仿宋_GB2312"/>
        </w:rPr>
        <w:t>内镜追溯系统维保服务项目(二次)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N5101012026000291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内镜追溯系统维保服务项目(二次)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21"/>
        </w:rPr>
        <w:t>为保障成都市第七人民医院内镜追溯系统的稳定运行，满足</w:t>
      </w:r>
      <w:r>
        <w:rPr>
          <w:rFonts w:ascii="仿宋_GB2312" w:hAnsi="仿宋_GB2312" w:cs="仿宋_GB2312" w:eastAsia="仿宋_GB2312"/>
          <w:sz w:val="21"/>
        </w:rPr>
        <w:t>WS 507-2016《软式内镜清洗消毒技术规范》文件的要求，内镜清洗及消毒需做到全流程质量控制记录并可追溯，为患者持续提供便捷的就医体验，为医务人员提供高效诊疗环境</w:t>
      </w:r>
      <w:r>
        <w:rPr>
          <w:rFonts w:ascii="仿宋_GB2312" w:hAnsi="仿宋_GB2312" w:cs="仿宋_GB2312" w:eastAsia="仿宋_GB2312"/>
          <w:sz w:val="21"/>
        </w:rPr>
        <w:t>，</w:t>
      </w:r>
      <w:r>
        <w:rPr>
          <w:rFonts w:ascii="仿宋_GB2312" w:hAnsi="仿宋_GB2312" w:cs="仿宋_GB2312" w:eastAsia="仿宋_GB2312"/>
          <w:sz w:val="21"/>
        </w:rPr>
        <w:t>拟采购内镜追溯系统维保服务项目</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为有效缓解中小企业融资难、融资贵问题，成都市财政局、中国人民银行成都分行营业管理部制定了《成都市中小企业政府采购信用融资暂行办法》和《成都市级支持中小企业政府采购信用融资实施方案》，成都市范围内政府采购项目中标（成交）的中小微企业可向开展政府采购信用融资业务的银行提出融资申请。 （具体内容详见附件《供应商信用融资补充事宜》）</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成都市第七人民医院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四川省成都市双流区双兴大道1188号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028-60677776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四川国际招标有限责任公司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028-87797776转611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依照成本加合理利润的原则，以中标金额作为计算基数，按差额定率累进法进行计算，并按以下费率标准（服务采购项目）下浮25%，不足2700元按照2700元收取：中标金额100万元以下，费率1.5%。 （2）收款单位：四川国际招标有限责任公司 （3）开户行：中国民生银行股份有限公司成都分行营业部 （4）银行账号：9902001849178973 （5）采购合同签订前向代理机构交纳招标代理服务费。 （6）招标代理服务费交纳完成后，可按照以下温馨提示开具发票： 方式①：供应商进入http://sale.scbid.net/home 网站，登录系统（无账号供应商需按照提示注册账号），登录后进入“中标项目”页面，找到需要开票的项目点击“申请/领取中标通知书”，根据提示填写信息并上传支付回单扫描件，提交开票申请。 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成都市第七人民医院</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成都市第七人民医院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90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每半年维保服务周期结束后，采购人对供应商服务质量进行考核，与验收要求一致，出具服务质量考核表，以考核结果作为验收结果。</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按照本项目采购文件中“技术要求”及中标供应商响应文件进行验收；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按照本项目采购文件中“服务要求”及中标供应商响应文件进行验收；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本项目采购人将按照《财政部关于进一步加强政府采购需求和履约验收管理的指导意见》（财库〔2016〕205 号）、《政府采购需求管理办法》（财库〔2021〕22 号）以及《成都市市级采购项目履约验收实施细则（试行）》的要求进行验收。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因系统固化原因，七、履约验收时间中“1、验收条件说明”不适用于本项目，本项目“1、验收条件说明”以此为准（供应商应答“1、验收条件说明”时仅需应答此条要求即可，无需再应答七、履约验收时间中“1、验收条件说明”）：（1）验收条件说明：供应商提出验收申请之日起15日内组织验收实际发生的相关金额。履约验收主体：成都市第七人民医院。</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成都市第七人民医院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联系人：技术发展部</w:t>
      </w:r>
    </w:p>
    <w:p>
      <w:pPr>
        <w:pStyle w:val="null3"/>
        <w:jc w:val="left"/>
      </w:pPr>
      <w:r>
        <w:rPr>
          <w:rFonts w:ascii="仿宋_GB2312" w:hAnsi="仿宋_GB2312" w:cs="仿宋_GB2312" w:eastAsia="仿宋_GB2312"/>
        </w:rPr>
        <w:t>联系电话：028-87797776转820/725</w:t>
      </w:r>
    </w:p>
    <w:p>
      <w:pPr>
        <w:pStyle w:val="null3"/>
        <w:jc w:val="left"/>
      </w:pPr>
      <w:r>
        <w:rPr>
          <w:rFonts w:ascii="仿宋_GB2312" w:hAnsi="仿宋_GB2312" w:cs="仿宋_GB2312" w:eastAsia="仿宋_GB2312"/>
        </w:rPr>
        <w:t>地址：中国（四川）自由贸易试验区成都市高新区天府四街66号1栋17层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40,000.00</w:t>
      </w:r>
    </w:p>
    <w:p>
      <w:pPr>
        <w:pStyle w:val="null3"/>
        <w:jc w:val="left"/>
      </w:pPr>
      <w:r>
        <w:rPr>
          <w:rFonts w:ascii="仿宋_GB2312" w:hAnsi="仿宋_GB2312" w:cs="仿宋_GB2312" w:eastAsia="仿宋_GB2312"/>
        </w:rPr>
        <w:t>采购包最高限价（元）: 38,000.00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C16070300 软件运维服务</w:t>
            </w:r>
          </w:p>
        </w:tc>
        <w:tc>
          <w:tcPr>
            <w:tcW w:type="dxa" w:w="821"/>
          </w:tcPr>
          <w:p>
            <w:pPr>
              <w:pStyle w:val="null3"/>
              <w:jc w:val="left"/>
            </w:pPr>
            <w:r>
              <w:rPr>
                <w:rFonts w:ascii="仿宋_GB2312" w:hAnsi="仿宋_GB2312" w:cs="仿宋_GB2312" w:eastAsia="仿宋_GB2312"/>
              </w:rPr>
              <w:t>内镜追溯系统维保服务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38,000.00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内镜追溯系统维保服务天府院区报价</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因系统固化原因，内镜追溯系统维保服务天府院区最高限价为19000元/年。</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内镜追溯系统维保服务新南院区报价</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因系统固化原因，内镜追溯系统维保服务新南院区最高限价为19000元/年。</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标的名称：内镜追溯系统维保服务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1"/>
              </w:rPr>
              <w:t>（1）提供蓝鹰内镜中心追溯管理系统（下称系统），版本号：V1.3的维保服务，维保范围为整个系统所涉及到的所有软件、硬件及服务器环境。以下为本项目涉及到的软硬件清单：</w:t>
            </w:r>
          </w:p>
          <w:tbl>
            <w:tblPr>
              <w:tblBorders>
                <w:top w:val="none" w:color="000000" w:sz="4"/>
                <w:left w:val="none" w:color="000000" w:sz="4"/>
                <w:bottom w:val="none" w:color="000000" w:sz="4"/>
                <w:right w:val="none" w:color="000000" w:sz="4"/>
                <w:insideH w:val="none"/>
                <w:insideV w:val="none"/>
              </w:tblBorders>
            </w:tblPr>
            <w:tblGrid>
              <w:gridCol w:w="570"/>
              <w:gridCol w:w="2505"/>
              <w:gridCol w:w="1170"/>
              <w:gridCol w:w="675"/>
              <w:gridCol w:w="570"/>
            </w:tblGrid>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2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型号</w:t>
                  </w:r>
                </w:p>
              </w:tc>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蓝鹰内镜中心追溯管理系统（系统）（天府院区）</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V1.3</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2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RFID读卡器（天府院区）</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DI20-WY</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2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RFID手环（天府院区）</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K6</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2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RFID卡片（天府院区）</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H3</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2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高拍仪（天府院区）</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V1020</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2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高拍仪（新南院区）</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V1020</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2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追溯芯片识读设备（新南院区）</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DI20-WY</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2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设备追溯芯片（新南院区）</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H3</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42</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2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人员追溯手环（新南院区）</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K6</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2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追溯监控终端（新南院区）</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B55E5</w:t>
                  </w: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bl>
          <w:p>
            <w:pPr>
              <w:pStyle w:val="null3"/>
              <w:jc w:val="both"/>
            </w:pPr>
            <w:r>
              <w:rPr>
                <w:rFonts w:ascii="仿宋_GB2312" w:hAnsi="仿宋_GB2312" w:cs="仿宋_GB2312" w:eastAsia="仿宋_GB2312"/>
                <w:sz w:val="21"/>
              </w:rPr>
              <w:t>（2）供应商需针对系统的使用及维护对采购人的工作人员进行培训，直至采购人工作人员可独立完成系统基本使用。</w:t>
            </w:r>
          </w:p>
          <w:p>
            <w:pPr>
              <w:pStyle w:val="null3"/>
              <w:jc w:val="both"/>
            </w:pPr>
            <w:r>
              <w:rPr>
                <w:rFonts w:ascii="仿宋_GB2312" w:hAnsi="仿宋_GB2312" w:cs="仿宋_GB2312" w:eastAsia="仿宋_GB2312"/>
                <w:sz w:val="21"/>
              </w:rPr>
              <w:t>（3）在服务期限内，如系统硬件发生损坏，由供应商进行维修及更换且费用包含在本项目报价中。</w:t>
            </w:r>
          </w:p>
          <w:p>
            <w:pPr>
              <w:pStyle w:val="null3"/>
              <w:jc w:val="both"/>
            </w:pPr>
            <w:r>
              <w:rPr>
                <w:rFonts w:ascii="仿宋_GB2312" w:hAnsi="仿宋_GB2312" w:cs="仿宋_GB2312" w:eastAsia="仿宋_GB2312"/>
                <w:sz w:val="21"/>
              </w:rPr>
              <w:t>（4）每季度进行一次巡查工作，对系统涉及到的所有软件及硬件设备进行日常维保，并出具巡查报告书。</w:t>
            </w:r>
          </w:p>
          <w:p>
            <w:pPr>
              <w:pStyle w:val="null3"/>
              <w:jc w:val="left"/>
            </w:pPr>
            <w:r>
              <w:rPr>
                <w:rFonts w:ascii="仿宋_GB2312" w:hAnsi="仿宋_GB2312" w:cs="仿宋_GB2312" w:eastAsia="仿宋_GB2312"/>
                <w:sz w:val="21"/>
              </w:rPr>
              <w:t>（5）本项目履约期间每个考核周期（半年度）内要求系统故障时间≤4小时。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1"/>
              </w:rPr>
              <w:t>1.服务方式：电话指导、远程维护、现场服务。</w:t>
            </w:r>
          </w:p>
          <w:p>
            <w:pPr>
              <w:pStyle w:val="null3"/>
              <w:jc w:val="both"/>
            </w:pPr>
            <w:r>
              <w:rPr>
                <w:rFonts w:ascii="仿宋_GB2312" w:hAnsi="仿宋_GB2312" w:cs="仿宋_GB2312" w:eastAsia="仿宋_GB2312"/>
                <w:sz w:val="21"/>
              </w:rPr>
              <w:t>2.服务响应时间：</w:t>
            </w:r>
          </w:p>
          <w:p>
            <w:pPr>
              <w:pStyle w:val="null3"/>
              <w:jc w:val="both"/>
            </w:pPr>
            <w:r>
              <w:rPr>
                <w:rFonts w:ascii="仿宋_GB2312" w:hAnsi="仿宋_GB2312" w:cs="仿宋_GB2312" w:eastAsia="仿宋_GB2312"/>
                <w:sz w:val="21"/>
              </w:rPr>
              <w:t>（1）提供7×24小时全天技术服务支持，随时保持电话响应。</w:t>
            </w:r>
          </w:p>
          <w:p>
            <w:pPr>
              <w:pStyle w:val="null3"/>
              <w:jc w:val="both"/>
            </w:pPr>
            <w:r>
              <w:rPr>
                <w:rFonts w:ascii="仿宋_GB2312" w:hAnsi="仿宋_GB2312" w:cs="仿宋_GB2312" w:eastAsia="仿宋_GB2312"/>
                <w:sz w:val="21"/>
              </w:rPr>
              <w:t>（2）对于由采购人工作人员判定必须由供应商技术人员现场解决的故障，在接到采购人通知后供应商必须在10分钟内响应，保证在收到现场服务通知后，2小时内到达现场。4小时内彻底解决故障。</w:t>
            </w:r>
          </w:p>
          <w:p>
            <w:pPr>
              <w:pStyle w:val="null3"/>
              <w:jc w:val="both"/>
            </w:pPr>
            <w:r>
              <w:rPr>
                <w:rFonts w:ascii="仿宋_GB2312" w:hAnsi="仿宋_GB2312" w:cs="仿宋_GB2312" w:eastAsia="仿宋_GB2312"/>
                <w:sz w:val="21"/>
              </w:rPr>
              <w:t>3.售后要求：</w:t>
            </w:r>
          </w:p>
          <w:p>
            <w:pPr>
              <w:pStyle w:val="null3"/>
              <w:jc w:val="both"/>
            </w:pPr>
            <w:r>
              <w:rPr>
                <w:rFonts w:ascii="仿宋_GB2312" w:hAnsi="仿宋_GB2312" w:cs="仿宋_GB2312" w:eastAsia="仿宋_GB2312"/>
                <w:sz w:val="21"/>
              </w:rPr>
              <w:t>（1）供应商在进行软件升级、整改、发布等操作时，必须提前以书面形式告知采购人且征得采购人同意后进行操作。告知内容包括但不限于：操作人员、操作时间、操作内容、后续影响内容。</w:t>
            </w:r>
          </w:p>
          <w:p>
            <w:pPr>
              <w:pStyle w:val="null3"/>
              <w:jc w:val="both"/>
            </w:pPr>
            <w:r>
              <w:rPr>
                <w:rFonts w:ascii="仿宋_GB2312" w:hAnsi="仿宋_GB2312" w:cs="仿宋_GB2312" w:eastAsia="仿宋_GB2312"/>
                <w:sz w:val="21"/>
              </w:rPr>
              <w:t>（2）非故障性的其他系统升级、优化、政策指令性等需求，应在政策指令要求的时限前完成（以需求正式提交时间为准），系统 BUG 修正时间不超过 1 周（以BUG 确认时间为准）。</w:t>
            </w:r>
          </w:p>
          <w:p>
            <w:pPr>
              <w:pStyle w:val="null3"/>
              <w:jc w:val="both"/>
            </w:pPr>
            <w:r>
              <w:rPr>
                <w:rFonts w:ascii="仿宋_GB2312" w:hAnsi="仿宋_GB2312" w:cs="仿宋_GB2312" w:eastAsia="仿宋_GB2312"/>
                <w:sz w:val="21"/>
              </w:rPr>
              <w:t>（3）提供特殊保障服务：在法定节假日、省市级活动及其它特殊时期，需要配合采购人做好相应技术支持工作。</w:t>
            </w:r>
          </w:p>
          <w:p>
            <w:pPr>
              <w:pStyle w:val="null3"/>
              <w:jc w:val="both"/>
            </w:pPr>
            <w:r>
              <w:rPr>
                <w:rFonts w:ascii="仿宋_GB2312" w:hAnsi="仿宋_GB2312" w:cs="仿宋_GB2312" w:eastAsia="仿宋_GB2312"/>
                <w:sz w:val="21"/>
              </w:rPr>
              <w:t>4.服务质量考核及监督：</w:t>
            </w:r>
          </w:p>
          <w:p>
            <w:pPr>
              <w:pStyle w:val="null3"/>
              <w:jc w:val="both"/>
            </w:pPr>
            <w:r>
              <w:rPr>
                <w:rFonts w:ascii="仿宋_GB2312" w:hAnsi="仿宋_GB2312" w:cs="仿宋_GB2312" w:eastAsia="仿宋_GB2312"/>
                <w:sz w:val="21"/>
              </w:rPr>
              <w:t>本项目自提供服务之日起每半年为一个周期，按周期进行服务质量考核。考核合格即视为本周期验收通过，考核标准如下：</w:t>
            </w:r>
          </w:p>
          <w:tbl>
            <w:tblPr>
              <w:tblInd w:type="dxa" w:w="120"/>
              <w:tblBorders>
                <w:top w:val="none" w:color="000000" w:sz="4"/>
                <w:left w:val="none" w:color="000000" w:sz="4"/>
                <w:bottom w:val="none" w:color="000000" w:sz="4"/>
                <w:right w:val="none" w:color="000000" w:sz="4"/>
                <w:insideH w:val="none"/>
                <w:insideV w:val="none"/>
              </w:tblBorders>
            </w:tblPr>
            <w:tblGrid>
              <w:gridCol w:w="710"/>
              <w:gridCol w:w="2160"/>
              <w:gridCol w:w="2728"/>
            </w:tblGrid>
            <w:tr>
              <w:tc>
                <w:tcPr>
                  <w:tcW w:type="dxa" w:w="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2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考核内容</w:t>
                  </w:r>
                </w:p>
              </w:tc>
              <w:tc>
                <w:tcPr>
                  <w:tcW w:type="dxa" w:w="2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考核分数说明</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系统故障时间</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要求总故障时间≤4小时。</w:t>
                  </w:r>
                </w:p>
                <w:p>
                  <w:pPr>
                    <w:pStyle w:val="null3"/>
                    <w:jc w:val="both"/>
                  </w:pPr>
                  <w:r>
                    <w:rPr>
                      <w:rFonts w:ascii="仿宋_GB2312" w:hAnsi="仿宋_GB2312" w:cs="仿宋_GB2312" w:eastAsia="仿宋_GB2312"/>
                      <w:sz w:val="21"/>
                    </w:rPr>
                    <w:t>若总故障时间＞4小时，每多60分钟扣5分，不足60分钟按60分钟计算。</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供应商响应时间</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未按要求响应，扣5分/次。响应时间超过60分钟，加扣10分/次。</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到场时间</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未按要求到达现场，扣5分/次。到场时间超过60分钟，加扣10分/次。</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解决故障时间</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未按要求时间解决故障，扣5分/次。故障解决时间超过60分钟，加扣10分/次。</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有效投诉</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供应商工作人员被医患投诉，被判定为有效投诉的扣5分/次。</w:t>
                  </w:r>
                </w:p>
              </w:tc>
            </w:tr>
            <w:tr>
              <w:tc>
                <w:tcPr>
                  <w:tcW w:type="dxa" w:w="559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备注：1.考核分数80（含）分及以上为合格，支付100%本周期服务费；</w:t>
                  </w:r>
                </w:p>
                <w:p>
                  <w:pPr>
                    <w:pStyle w:val="null3"/>
                    <w:jc w:val="both"/>
                  </w:pPr>
                  <w:r>
                    <w:rPr>
                      <w:rFonts w:ascii="仿宋_GB2312" w:hAnsi="仿宋_GB2312" w:cs="仿宋_GB2312" w:eastAsia="仿宋_GB2312"/>
                      <w:sz w:val="21"/>
                    </w:rPr>
                    <w:t>2.考核分数为60分（含）-80分（不含）的，每扣1分，扣除本周期服务费的0.5%，且供应商需出具情况说明并进行整改，直至通过验收；</w:t>
                  </w:r>
                </w:p>
                <w:p>
                  <w:pPr>
                    <w:pStyle w:val="null3"/>
                    <w:jc w:val="both"/>
                  </w:pPr>
                  <w:r>
                    <w:rPr>
                      <w:rFonts w:ascii="仿宋_GB2312" w:hAnsi="仿宋_GB2312" w:cs="仿宋_GB2312" w:eastAsia="仿宋_GB2312"/>
                      <w:sz w:val="21"/>
                    </w:rPr>
                    <w:t>3.考核分数＜60分，为考核不合格，不支付本周期服务费，同时采购人有权终止合同。</w:t>
                  </w:r>
                </w:p>
                <w:p>
                  <w:pPr>
                    <w:pStyle w:val="null3"/>
                    <w:jc w:val="both"/>
                  </w:pPr>
                  <w:r>
                    <w:rPr>
                      <w:rFonts w:ascii="仿宋_GB2312" w:hAnsi="仿宋_GB2312" w:cs="仿宋_GB2312" w:eastAsia="仿宋_GB2312"/>
                      <w:sz w:val="21"/>
                    </w:rPr>
                    <w:t>4.本服务质量考核表由采购人出具，由采购人使用科室及管理科室签字和供应商签字确认。</w:t>
                  </w:r>
                </w:p>
              </w:tc>
            </w:tr>
          </w:tbl>
          <w:p>
            <w:pPr>
              <w:pStyle w:val="null3"/>
              <w:jc w:val="left"/>
            </w:pPr>
            <w:r>
              <w:rPr>
                <w:rFonts w:ascii="仿宋_GB2312" w:hAnsi="仿宋_GB2312" w:cs="仿宋_GB2312" w:eastAsia="仿宋_GB2312"/>
                <w:sz w:val="21"/>
              </w:rPr>
              <w:t>5.报价要求：供应商报价是分别按照两院区年度服务费用进行报价。</w:t>
            </w:r>
          </w:p>
          <w:p>
            <w:pPr>
              <w:pStyle w:val="null3"/>
              <w:jc w:val="both"/>
            </w:pPr>
            <w:r>
              <w:rPr>
                <w:rFonts w:ascii="仿宋_GB2312" w:hAnsi="仿宋_GB2312" w:cs="仿宋_GB2312" w:eastAsia="仿宋_GB2312"/>
                <w:sz w:val="21"/>
              </w:rPr>
              <w:t>内镜追溯系统维保服务天府院区最高限价：1.9万元/年。</w:t>
            </w:r>
          </w:p>
          <w:p>
            <w:pPr>
              <w:pStyle w:val="null3"/>
              <w:jc w:val="left"/>
            </w:pPr>
            <w:r>
              <w:rPr>
                <w:rFonts w:ascii="仿宋_GB2312" w:hAnsi="仿宋_GB2312" w:cs="仿宋_GB2312" w:eastAsia="仿宋_GB2312"/>
                <w:sz w:val="21"/>
              </w:rPr>
              <w:t>内镜追溯系统维保服务新南院区</w:t>
            </w:r>
            <w:r>
              <w:rPr>
                <w:rFonts w:ascii="仿宋_GB2312" w:hAnsi="仿宋_GB2312" w:cs="仿宋_GB2312" w:eastAsia="仿宋_GB2312"/>
                <w:sz w:val="21"/>
              </w:rPr>
              <w:t>最高</w:t>
            </w:r>
            <w:r>
              <w:rPr>
                <w:rFonts w:ascii="仿宋_GB2312" w:hAnsi="仿宋_GB2312" w:cs="仿宋_GB2312" w:eastAsia="仿宋_GB2312"/>
                <w:sz w:val="21"/>
              </w:rPr>
              <w:t>限价：1.9万元/年。</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付款进度安排（以此为准）</w:t>
            </w:r>
          </w:p>
        </w:tc>
        <w:tc>
          <w:tcPr>
            <w:tcW w:type="dxa" w:w="5814"/>
          </w:tcPr>
          <w:p>
            <w:pPr>
              <w:pStyle w:val="null3"/>
              <w:jc w:val="left"/>
            </w:pPr>
            <w:r>
              <w:rPr>
                <w:rFonts w:ascii="仿宋_GB2312" w:hAnsi="仿宋_GB2312" w:cs="仿宋_GB2312" w:eastAsia="仿宋_GB2312"/>
                <w:sz w:val="21"/>
              </w:rPr>
              <w:t>因系统固化原因，3.3.2.商务要求中“付款进度安排”不适用于本项目，本项目“付款进度安排”以此为准（供应商应答“付款进度安排”时仅需应答此条要求即可，无需再应答3.3.2.商务要求中“付款进度安排”）：</w:t>
            </w:r>
          </w:p>
          <w:p>
            <w:pPr>
              <w:pStyle w:val="null3"/>
              <w:jc w:val="left"/>
            </w:pPr>
            <w:r>
              <w:rPr>
                <w:rFonts w:ascii="仿宋_GB2312" w:hAnsi="仿宋_GB2312" w:cs="仿宋_GB2312" w:eastAsia="仿宋_GB2312"/>
                <w:sz w:val="21"/>
              </w:rPr>
              <w:t>（1）新南院区：按半年度支付服务费，新南院区半年度服务费=新南院区年度服务费÷2。每半年度考核完毕后根据考核结果支付，如供应商有考核扣款及赔款的，采购人从服务费用中扣除相应款项后支付给供应商，供应商开具应付金额的有效增值税发票，采购人收到后10个工作日内支付。</w:t>
            </w:r>
          </w:p>
          <w:p>
            <w:pPr>
              <w:pStyle w:val="null3"/>
              <w:jc w:val="left"/>
            </w:pPr>
            <w:r>
              <w:rPr>
                <w:rFonts w:ascii="仿宋_GB2312" w:hAnsi="仿宋_GB2312" w:cs="仿宋_GB2312" w:eastAsia="仿宋_GB2312"/>
                <w:sz w:val="21"/>
              </w:rPr>
              <w:t>（2）天府院区：按半年度支付服务费，天府院区半年度服务费=天府院区年度服务费÷2。每半年度考核完毕后根据考核结果支付，如供应商有考核扣款及赔款的，采购人从服务费用中扣除相应款项后支付给供应商，供应商开具应付金额的有效增值税发票，采购人收到后10个工作日内支付。</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（1）服务期限：一采三年，合同一年一签。 （2）交付日期：合同签订后，采购人分别根据天府院区和新南院区维保到期时间，通知供应商开始提供服务。天府院区内镜追溯系统的维保服务将于2026年5月24日到期，新南院区内镜追溯系统的质保期将于2026年11月24日届满。服务起始期限以最终合同签订为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成都市第七人民医院天府院区、成都市第七人民医院新南院区。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采购文件的技术指标和商务要求、中标供应商的响应文件及承诺与本合同约定标准进行验收。验收时如发现供应商提供的服务不符合标准及本合同规定之情形者，由双方签署备忘录，由此产生的时间延误与有关费用由供应商承担，且验收期限相应顺延。（注：此处如有与招标文件2.2.6履约验收方案存在冲突的内容，以此为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每半年度考核完毕后根据考核结果支付，如供应商有考核扣款及赔款的，采购人从服务费用中扣除相应款项后支付给供应商，供应商开具应付金额的有效增值税发票，采购人收到后10个工作日内支付，达到付款条件起14日内，支付合同总金额的50.00%</w:t>
            </w:r>
          </w:p>
          <w:p>
            <w:pPr>
              <w:pStyle w:val="null3"/>
              <w:jc w:val="left"/>
            </w:pPr>
            <w:r>
              <w:rPr>
                <w:rFonts w:ascii="仿宋_GB2312" w:hAnsi="仿宋_GB2312" w:cs="仿宋_GB2312" w:eastAsia="仿宋_GB2312"/>
              </w:rPr>
              <w:t>2、每半年度考核完毕后根据考核结果支付，如供应商有考核扣款及赔款的，采购人从服务费用中扣除相应款项后支付给供应商，供应商开具应付金额的有效增值税发票，采购人收到后10个工作日内支付，达到付款条件起14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（1）若供应商开具的发票为虚假发票，或提供由他人开具的与实际经营业务不符的发票。因此引起发票无法认证、认证不符或其他任何因发票瑕疵导致发票作废等情形。由供应商承担相关责任。 （2）因供应商内部问题导致采购人受到互联网领域（包括但不限于抖音、小红书、今日头条、微信公众号、快手、微博、问政四川）负面影响，应在2小时内控制负面影响并视负面影响的严重程度给予经济处罚5000元，且采购人有权解除合同，并追究供应商相关责任。 （3）供应商在参与本项目采购过程中，因自身围标、串标或提供虚假材料（承诺）、恶意竞标（中标后无法实质性响应采购要求等）谋取中标/成交/中选等行为被质疑成立、投诉成立或被相关上级部门通报处罚的，则采购人有权解除合同，同时供应商应支付项目成交金额10%的违约金。 （4）保密要求：供应商须与采购人签订信息安全保密协议（模板见合同草案），供应商在服务过程中从医院获知的技术秘密、医院信息、临床科室信息等一切信息均负有保密责任。未经医院事先书面授权，供应商不得以任何方式向其它任何组织或个人泄露、转让、交换、赠与该信息或与任何其他组织或个人共同使用该信息。因为供应商违反规定造成信息泄漏给采购人造成损失的，采购人有权终止合同，不再支付后续款项，且采购人有权追究其法律责任。 （5）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（6）在执行本合同中发生的或与本合同有关的争端，双方应通过友好协商解决，经协商在60天内不能达成协议时，应向采购人所在地有管辖权的人民法院提起诉讼。 （7）除另有裁决外，诉讼费应由败诉方负担。 （8）在诉讼期间，除正在进行诉讼部分外，合同其他部分继续执行。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1、未载明或者载明的标的名称、数量、计量单位及其他政府采购合同实质性内容与采购文件要求不一致，且采购单位无法接受的，属于无效响应。2、因系统固化原因，本项目的采购预算为40000元/年。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专门面向中小企业采购(监狱企业、残疾人福利性单位均视同小微企业，符合中小企业划分标准的个体工商户视同中小企业)，非中小企业参与的将视为无效响应〔中小企业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需要投标人提供材料进行响应的实质性要求</w:t>
            </w:r>
          </w:p>
        </w:tc>
        <w:tc>
          <w:tcPr>
            <w:tcW w:type="dxa" w:w="3322"/>
          </w:tcPr>
          <w:p>
            <w:pPr>
              <w:pStyle w:val="null3"/>
              <w:jc w:val="left"/>
            </w:pPr>
            <w:r>
              <w:rPr>
                <w:rFonts w:ascii="仿宋_GB2312" w:hAnsi="仿宋_GB2312" w:cs="仿宋_GB2312" w:eastAsia="仿宋_GB2312"/>
              </w:rPr>
              <w:t>需要投标人提供材料进行响应，按照招标文件要求提供相应的材料。</w:t>
            </w:r>
          </w:p>
        </w:tc>
        <w:tc>
          <w:tcPr>
            <w:tcW w:type="dxa" w:w="1661"/>
          </w:tcPr>
          <w:p>
            <w:pPr>
              <w:pStyle w:val="null3"/>
              <w:jc w:val="left"/>
            </w:pPr>
            <w:r>
              <w:rPr>
                <w:rFonts w:ascii="仿宋_GB2312" w:hAnsi="仿宋_GB2312" w:cs="仿宋_GB2312" w:eastAsia="仿宋_GB2312"/>
              </w:rPr>
              <w:t>技术服务响应表,供应商认为需要提供的其他证明材料,报价表,服务要求应答表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不存在招标文件规定的“无效”情形</w:t>
            </w:r>
          </w:p>
        </w:tc>
        <w:tc>
          <w:tcPr>
            <w:tcW w:type="dxa" w:w="3322"/>
          </w:tcPr>
          <w:p>
            <w:pPr>
              <w:pStyle w:val="null3"/>
              <w:jc w:val="left"/>
            </w:pPr>
            <w:r>
              <w:rPr>
                <w:rFonts w:ascii="仿宋_GB2312" w:hAnsi="仿宋_GB2312" w:cs="仿宋_GB2312" w:eastAsia="仿宋_GB2312"/>
              </w:rPr>
              <w:t>投标人按照招标文件要求进行响应，评标委员会对相关情形进行认定。</w:t>
            </w:r>
          </w:p>
        </w:tc>
        <w:tc>
          <w:tcPr>
            <w:tcW w:type="dxa" w:w="1661"/>
          </w:tcPr>
          <w:p>
            <w:pPr>
              <w:pStyle w:val="null3"/>
              <w:jc w:val="left"/>
            </w:pPr>
            <w:r>
              <w:rPr>
                <w:rFonts w:ascii="仿宋_GB2312" w:hAnsi="仿宋_GB2312" w:cs="仿宋_GB2312" w:eastAsia="仿宋_GB2312"/>
              </w:rPr>
              <w:t>技术服务响应表,供应商认为需要提供的其他证明材料,报价表,投标（响应）函,服务要求应答表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按投标人投标报价从低到高顺序排列，投标文件满足招标文件全部实质性要求且投标报价最低的投标人为排名第一的中标候选人。中标候选人并列的，由评标委员会根据招标文件规定的中标候选人数量，在排名并列的中标候选人中，采取随机抽取的方式确定中标候选人排名顺序。</w:t>
            </w:r>
          </w:p>
        </w:tc>
        <w:tc>
          <w:tcPr>
            <w:tcW w:type="dxa" w:w="2123"/>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详见附件：供应商认为需要提供的其他证明材料</w:t>
      </w:r>
    </w:p>
    <w:p>
      <w:pPr>
        <w:pStyle w:val="null3"/>
        <w:ind w:firstLine="960"/>
        <w:jc w:val="left"/>
      </w:pPr>
      <w:r>
        <w:rPr>
          <w:rFonts w:ascii="仿宋_GB2312" w:hAnsi="仿宋_GB2312" w:cs="仿宋_GB2312" w:eastAsia="仿宋_GB2312"/>
        </w:rPr>
        <w:t>详见附件：技术服务响应表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详见附件：内镜追溯 附件：合同草案.docx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