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79A28">
      <w:pPr>
        <w:jc w:val="both"/>
        <w:rPr>
          <w:rFonts w:hint="eastAsia" w:ascii="仿宋" w:hAnsi="仿宋" w:eastAsia="仿宋" w:cs="仿宋"/>
          <w:b/>
          <w:color w:val="000000" w:themeColor="text1"/>
          <w:sz w:val="30"/>
          <w:szCs w:val="30"/>
          <w:highlight w:val="none"/>
          <w14:textFill>
            <w14:solidFill>
              <w14:schemeClr w14:val="tx1"/>
            </w14:solidFill>
          </w14:textFill>
        </w:rPr>
        <w:sectPr>
          <w:headerReference r:id="rId4" w:type="default"/>
          <w:footerReference r:id="rId5" w:type="default"/>
          <w:pgSz w:w="11906" w:h="16838"/>
          <w:pgMar w:top="1417" w:right="1446" w:bottom="1417" w:left="1417" w:header="567" w:footer="283" w:gutter="0"/>
          <w:pgNumType w:fmt="numberInDash" w:start="1"/>
          <w:cols w:space="720" w:num="1"/>
          <w:docGrid w:type="linesAndChars" w:linePitch="312" w:charSpace="0"/>
        </w:sectPr>
      </w:pPr>
      <w:bookmarkStart w:id="0" w:name="_Toc227991412"/>
      <w:bookmarkStart w:id="1" w:name="_Toc292200550"/>
      <w:r>
        <w:rPr>
          <w:color w:val="000000" w:themeColor="text1"/>
          <w:highlight w:val="none"/>
          <w14:textFill>
            <w14:solidFill>
              <w14:schemeClr w14:val="tx1"/>
            </w14:solidFill>
          </w14:textFill>
        </w:rPr>
        <w:drawing>
          <wp:inline distT="0" distB="0" distL="114300" distR="114300">
            <wp:extent cx="5562600" cy="790575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9"/>
                    <a:stretch>
                      <a:fillRect/>
                    </a:stretch>
                  </pic:blipFill>
                  <pic:spPr>
                    <a:xfrm>
                      <a:off x="0" y="0"/>
                      <a:ext cx="5562600" cy="7905750"/>
                    </a:xfrm>
                    <a:prstGeom prst="rect">
                      <a:avLst/>
                    </a:prstGeom>
                    <a:noFill/>
                    <a:ln>
                      <a:noFill/>
                    </a:ln>
                  </pic:spPr>
                </pic:pic>
              </a:graphicData>
            </a:graphic>
          </wp:inline>
        </w:drawing>
      </w:r>
    </w:p>
    <w:p w14:paraId="1B063913">
      <w:pPr>
        <w:keepNext w:val="0"/>
        <w:keepLines w:val="0"/>
        <w:pageBreakBefore w:val="0"/>
        <w:kinsoku/>
        <w:wordWrap/>
        <w:overflowPunct/>
        <w:topLinePunct w:val="0"/>
        <w:autoSpaceDE/>
        <w:autoSpaceDN/>
        <w:bidi w:val="0"/>
        <w:spacing w:before="0" w:after="0" w:line="360" w:lineRule="auto"/>
        <w:ind w:left="0" w:leftChars="0" w:right="0" w:rightChars="0" w:firstLine="0" w:firstLineChars="0"/>
        <w:jc w:val="center"/>
        <w:textAlignment w:val="auto"/>
        <w:rPr>
          <w:rFonts w:hint="eastAsia" w:ascii="仿宋" w:hAnsi="仿宋" w:eastAsia="仿宋" w:cs="仿宋"/>
          <w:color w:val="000000" w:themeColor="text1"/>
          <w:sz w:val="28"/>
          <w:szCs w:val="28"/>
          <w:highlight w:val="none"/>
          <w14:textFill>
            <w14:solidFill>
              <w14:schemeClr w14:val="tx1"/>
            </w14:solidFill>
          </w14:textFill>
        </w:rPr>
      </w:pPr>
    </w:p>
    <w:p w14:paraId="064D4500">
      <w:pPr>
        <w:pStyle w:val="16"/>
        <w:rPr>
          <w:rFonts w:hint="eastAsia" w:ascii="仿宋" w:hAnsi="仿宋" w:eastAsia="仿宋" w:cs="仿宋"/>
          <w:color w:val="000000" w:themeColor="text1"/>
          <w:highlight w:val="none"/>
          <w14:textFill>
            <w14:solidFill>
              <w14:schemeClr w14:val="tx1"/>
            </w14:solidFill>
          </w14:textFill>
        </w:rPr>
      </w:pPr>
    </w:p>
    <w:p w14:paraId="48AF87CE">
      <w:pPr>
        <w:keepNext w:val="0"/>
        <w:keepLines w:val="0"/>
        <w:pageBreakBefore w:val="0"/>
        <w:kinsoku/>
        <w:wordWrap/>
        <w:overflowPunct/>
        <w:topLinePunct w:val="0"/>
        <w:autoSpaceDE/>
        <w:autoSpaceDN/>
        <w:bidi w:val="0"/>
        <w:spacing w:before="0" w:after="0" w:line="360" w:lineRule="auto"/>
        <w:ind w:left="0" w:leftChars="0" w:right="0" w:rightChars="0" w:firstLine="0" w:firstLineChars="0"/>
        <w:jc w:val="center"/>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目</w:t>
      </w:r>
      <w:r>
        <w:rPr>
          <w:rFonts w:hint="eastAsia" w:ascii="仿宋" w:hAnsi="仿宋" w:eastAsia="仿宋" w:cs="仿宋"/>
          <w:color w:val="000000" w:themeColor="text1"/>
          <w:sz w:val="28"/>
          <w:szCs w:val="28"/>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8"/>
          <w:szCs w:val="28"/>
          <w:highlight w:val="none"/>
          <w14:textFill>
            <w14:solidFill>
              <w14:schemeClr w14:val="tx1"/>
            </w14:solidFill>
          </w14:textFill>
        </w:rPr>
        <w:t>录</w:t>
      </w:r>
      <w:r>
        <w:rPr>
          <w:rStyle w:val="25"/>
          <w:rFonts w:hint="eastAsia" w:ascii="仿宋" w:hAnsi="仿宋" w:eastAsia="仿宋" w:cs="仿宋"/>
          <w:color w:val="000000" w:themeColor="text1"/>
          <w:sz w:val="28"/>
          <w:szCs w:val="28"/>
          <w:highlight w:val="none"/>
          <w14:textFill>
            <w14:solidFill>
              <w14:schemeClr w14:val="tx1"/>
            </w14:solidFill>
          </w14:textFill>
        </w:rPr>
        <w:fldChar w:fldCharType="begin"/>
      </w:r>
      <w:r>
        <w:rPr>
          <w:rStyle w:val="25"/>
          <w:rFonts w:hint="eastAsia" w:ascii="仿宋" w:hAnsi="仿宋" w:eastAsia="仿宋" w:cs="仿宋"/>
          <w:color w:val="000000" w:themeColor="text1"/>
          <w:sz w:val="28"/>
          <w:szCs w:val="28"/>
          <w:highlight w:val="none"/>
          <w14:textFill>
            <w14:solidFill>
              <w14:schemeClr w14:val="tx1"/>
            </w14:solidFill>
          </w14:textFill>
        </w:rPr>
        <w:instrText xml:space="preserve">TOC \o "1-1" \h \u </w:instrText>
      </w:r>
      <w:r>
        <w:rPr>
          <w:rStyle w:val="25"/>
          <w:rFonts w:hint="eastAsia" w:ascii="仿宋" w:hAnsi="仿宋" w:eastAsia="仿宋" w:cs="仿宋"/>
          <w:color w:val="000000" w:themeColor="text1"/>
          <w:sz w:val="28"/>
          <w:szCs w:val="28"/>
          <w:highlight w:val="none"/>
          <w14:textFill>
            <w14:solidFill>
              <w14:schemeClr w14:val="tx1"/>
            </w14:solidFill>
          </w14:textFill>
        </w:rPr>
        <w:fldChar w:fldCharType="separate"/>
      </w:r>
    </w:p>
    <w:p w14:paraId="3A96B769">
      <w:pPr>
        <w:pStyle w:val="16"/>
        <w:tabs>
          <w:tab w:val="right" w:leader="dot" w:pos="9077"/>
          <w:tab w:val="clear" w:pos="9540"/>
        </w:tabs>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_Toc29815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bCs/>
          <w:color w:val="000000" w:themeColor="text1"/>
          <w:kern w:val="2"/>
          <w:sz w:val="28"/>
          <w:szCs w:val="28"/>
          <w:highlight w:val="none"/>
          <w14:textFill>
            <w14:solidFill>
              <w14:schemeClr w14:val="tx1"/>
            </w14:solidFill>
          </w14:textFill>
        </w:rPr>
        <w:t>第一章  竞争性磋商公告</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_Toc29815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- 1 -</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7D1B5BF2">
      <w:pPr>
        <w:pStyle w:val="16"/>
        <w:tabs>
          <w:tab w:val="right" w:leader="dot" w:pos="9077"/>
          <w:tab w:val="clear" w:pos="9540"/>
        </w:tabs>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_Toc4231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bCs/>
          <w:color w:val="000000" w:themeColor="text1"/>
          <w:kern w:val="2"/>
          <w:sz w:val="28"/>
          <w:szCs w:val="28"/>
          <w:highlight w:val="none"/>
          <w14:textFill>
            <w14:solidFill>
              <w14:schemeClr w14:val="tx1"/>
            </w14:solidFill>
          </w14:textFill>
        </w:rPr>
        <w:t xml:space="preserve">第二章  </w:t>
      </w:r>
      <w:r>
        <w:rPr>
          <w:rFonts w:hint="eastAsia" w:ascii="仿宋" w:hAnsi="仿宋" w:eastAsia="仿宋" w:cs="仿宋"/>
          <w:bCs/>
          <w:color w:val="000000" w:themeColor="text1"/>
          <w:kern w:val="2"/>
          <w:sz w:val="28"/>
          <w:szCs w:val="28"/>
          <w:highlight w:val="none"/>
          <w:lang w:val="en-US" w:eastAsia="zh-CN"/>
          <w14:textFill>
            <w14:solidFill>
              <w14:schemeClr w14:val="tx1"/>
            </w14:solidFill>
          </w14:textFill>
        </w:rPr>
        <w:t>供应商</w:t>
      </w:r>
      <w:r>
        <w:rPr>
          <w:rFonts w:hint="eastAsia" w:ascii="仿宋" w:hAnsi="仿宋" w:eastAsia="仿宋" w:cs="仿宋"/>
          <w:bCs/>
          <w:color w:val="000000" w:themeColor="text1"/>
          <w:kern w:val="2"/>
          <w:sz w:val="28"/>
          <w:szCs w:val="28"/>
          <w:highlight w:val="none"/>
          <w14:textFill>
            <w14:solidFill>
              <w14:schemeClr w14:val="tx1"/>
            </w14:solidFill>
          </w14:textFill>
        </w:rPr>
        <w:t>须知</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_Toc4231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- 7 -</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51B9D955">
      <w:pPr>
        <w:pStyle w:val="16"/>
        <w:tabs>
          <w:tab w:val="right" w:leader="dot" w:pos="9077"/>
          <w:tab w:val="clear" w:pos="9540"/>
        </w:tabs>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_Toc32088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第三章 评审办法（综合评分法）</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_Toc32088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- 28 -</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32E9D312">
      <w:pPr>
        <w:pStyle w:val="16"/>
        <w:tabs>
          <w:tab w:val="right" w:leader="dot" w:pos="9077"/>
          <w:tab w:val="clear" w:pos="9540"/>
        </w:tabs>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_Toc16919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bCs/>
          <w:color w:val="000000" w:themeColor="text1"/>
          <w:sz w:val="28"/>
          <w:szCs w:val="28"/>
          <w:highlight w:val="none"/>
          <w14:textFill>
            <w14:solidFill>
              <w14:schemeClr w14:val="tx1"/>
            </w14:solidFill>
          </w14:textFill>
        </w:rPr>
        <w:t>第四章  合同条款及格式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_Toc16919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- 41 -</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426EE336">
      <w:pPr>
        <w:pStyle w:val="16"/>
        <w:tabs>
          <w:tab w:val="right" w:leader="dot" w:pos="9077"/>
          <w:tab w:val="clear" w:pos="9540"/>
        </w:tabs>
        <w:spacing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_Toc7411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lang w:val="en-US" w:eastAsia="zh-CN"/>
          <w14:textFill>
            <w14:solidFill>
              <w14:schemeClr w14:val="tx1"/>
            </w14:solidFill>
          </w14:textFill>
        </w:rPr>
        <w:t>第五章  采购需求</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_Toc7411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- 50 -</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7351EA50">
      <w:pPr>
        <w:pStyle w:val="16"/>
        <w:tabs>
          <w:tab w:val="right" w:leader="dot" w:pos="9077"/>
          <w:tab w:val="clear" w:pos="9540"/>
        </w:tabs>
        <w:spacing w:line="360" w:lineRule="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HYPERLINK \l _Toc28938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第</w:t>
      </w:r>
      <w:r>
        <w:rPr>
          <w:rFonts w:hint="eastAsia" w:ascii="仿宋" w:hAnsi="仿宋" w:eastAsia="仿宋" w:cs="仿宋"/>
          <w:color w:val="000000" w:themeColor="text1"/>
          <w:sz w:val="28"/>
          <w:szCs w:val="28"/>
          <w:highlight w:val="none"/>
          <w:lang w:val="en-US" w:eastAsia="zh-CN"/>
          <w14:textFill>
            <w14:solidFill>
              <w14:schemeClr w14:val="tx1"/>
            </w14:solidFill>
          </w14:textFill>
        </w:rPr>
        <w:t>六</w:t>
      </w:r>
      <w:r>
        <w:rPr>
          <w:rFonts w:hint="eastAsia" w:ascii="仿宋" w:hAnsi="仿宋" w:eastAsia="仿宋" w:cs="仿宋"/>
          <w:color w:val="000000" w:themeColor="text1"/>
          <w:sz w:val="28"/>
          <w:szCs w:val="28"/>
          <w:highlight w:val="none"/>
          <w14:textFill>
            <w14:solidFill>
              <w14:schemeClr w14:val="tx1"/>
            </w14:solidFill>
          </w14:textFill>
        </w:rPr>
        <w:t>章  竞争性磋商响应文件格式</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PAGEREF _Toc28938 \h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8"/>
          <w:szCs w:val="28"/>
          <w:highlight w:val="none"/>
          <w14:textFill>
            <w14:solidFill>
              <w14:schemeClr w14:val="tx1"/>
            </w14:solidFill>
          </w14:textFill>
        </w:rPr>
        <w:t>- 52 -</w:t>
      </w:r>
      <w:r>
        <w:rPr>
          <w:rFonts w:hint="eastAsia" w:ascii="仿宋" w:hAnsi="仿宋" w:eastAsia="仿宋" w:cs="仿宋"/>
          <w:color w:val="000000" w:themeColor="text1"/>
          <w:sz w:val="28"/>
          <w:szCs w:val="28"/>
          <w:highlight w:val="none"/>
          <w14:textFill>
            <w14:solidFill>
              <w14:schemeClr w14:val="tx1"/>
            </w14:solidFill>
          </w14:textFill>
        </w:rPr>
        <w:fldChar w:fldCharType="end"/>
      </w:r>
      <w:r>
        <w:rPr>
          <w:rFonts w:hint="eastAsia" w:ascii="仿宋" w:hAnsi="仿宋" w:eastAsia="仿宋" w:cs="仿宋"/>
          <w:color w:val="000000" w:themeColor="text1"/>
          <w:sz w:val="28"/>
          <w:szCs w:val="28"/>
          <w:highlight w:val="none"/>
          <w14:textFill>
            <w14:solidFill>
              <w14:schemeClr w14:val="tx1"/>
            </w14:solidFill>
          </w14:textFill>
        </w:rPr>
        <w:fldChar w:fldCharType="end"/>
      </w:r>
    </w:p>
    <w:p w14:paraId="611C04E7">
      <w:pPr>
        <w:pStyle w:val="17"/>
        <w:keepNext w:val="0"/>
        <w:keepLines w:val="0"/>
        <w:pageBreakBefore w:val="0"/>
        <w:tabs>
          <w:tab w:val="right" w:leader="dot" w:pos="10176"/>
        </w:tabs>
        <w:kinsoku/>
        <w:wordWrap/>
        <w:overflowPunct/>
        <w:topLinePunct w:val="0"/>
        <w:autoSpaceDE/>
        <w:autoSpaceDN/>
        <w:bidi w:val="0"/>
        <w:spacing w:line="360" w:lineRule="auto"/>
        <w:textAlignment w:val="auto"/>
        <w:rPr>
          <w:rStyle w:val="25"/>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Cs w:val="28"/>
          <w:highlight w:val="none"/>
          <w14:textFill>
            <w14:solidFill>
              <w14:schemeClr w14:val="tx1"/>
            </w14:solidFill>
          </w14:textFill>
        </w:rPr>
        <w:fldChar w:fldCharType="end"/>
      </w:r>
    </w:p>
    <w:p w14:paraId="70DFA300">
      <w:pPr>
        <w:tabs>
          <w:tab w:val="left" w:pos="1980"/>
        </w:tabs>
        <w:spacing w:line="360" w:lineRule="auto"/>
        <w:jc w:val="both"/>
        <w:outlineLvl w:val="9"/>
        <w:rPr>
          <w:rFonts w:hint="eastAsia" w:ascii="仿宋" w:hAnsi="仿宋" w:eastAsia="仿宋" w:cs="仿宋"/>
          <w:b/>
          <w:bCs/>
          <w:color w:val="000000" w:themeColor="text1"/>
          <w:kern w:val="2"/>
          <w:sz w:val="30"/>
          <w:szCs w:val="30"/>
          <w:highlight w:val="none"/>
          <w14:textFill>
            <w14:solidFill>
              <w14:schemeClr w14:val="tx1"/>
            </w14:solidFill>
          </w14:textFill>
        </w:rPr>
      </w:pPr>
    </w:p>
    <w:p w14:paraId="6B591B33">
      <w:pPr>
        <w:tabs>
          <w:tab w:val="left" w:pos="5693"/>
        </w:tabs>
        <w:bidi w:val="0"/>
        <w:spacing w:line="360" w:lineRule="auto"/>
        <w:jc w:val="left"/>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r>
        <w:rPr>
          <w:rFonts w:hint="eastAsia" w:ascii="仿宋" w:hAnsi="仿宋" w:eastAsia="仿宋" w:cs="仿宋"/>
          <w:color w:val="000000" w:themeColor="text1"/>
          <w:sz w:val="22"/>
          <w:szCs w:val="22"/>
          <w:highlight w:val="none"/>
          <w:lang w:val="en-US" w:eastAsia="zh-CN" w:bidi="ar-SA"/>
          <w14:textFill>
            <w14:solidFill>
              <w14:schemeClr w14:val="tx1"/>
            </w14:solidFill>
          </w14:textFill>
        </w:rPr>
        <w:tab/>
      </w:r>
    </w:p>
    <w:p w14:paraId="6D036783">
      <w:pPr>
        <w:bidi w:val="0"/>
        <w:spacing w:line="360" w:lineRule="auto"/>
        <w:rPr>
          <w:rFonts w:hint="eastAsia" w:ascii="仿宋" w:hAnsi="仿宋" w:eastAsia="仿宋" w:cs="仿宋"/>
          <w:color w:val="000000" w:themeColor="text1"/>
          <w:sz w:val="22"/>
          <w:szCs w:val="22"/>
          <w:highlight w:val="none"/>
          <w:lang w:val="en-US" w:eastAsia="zh-CN" w:bidi="ar-SA"/>
          <w14:textFill>
            <w14:solidFill>
              <w14:schemeClr w14:val="tx1"/>
            </w14:solidFill>
          </w14:textFill>
        </w:rPr>
      </w:pPr>
    </w:p>
    <w:p w14:paraId="6FEC944D">
      <w:pPr>
        <w:tabs>
          <w:tab w:val="left" w:pos="3940"/>
        </w:tabs>
        <w:bidi w:val="0"/>
        <w:spacing w:line="360" w:lineRule="auto"/>
        <w:jc w:val="left"/>
        <w:rPr>
          <w:rFonts w:hint="eastAsia" w:ascii="仿宋" w:hAnsi="仿宋" w:eastAsia="仿宋" w:cs="仿宋"/>
          <w:color w:val="000000" w:themeColor="text1"/>
          <w:highlight w:val="none"/>
          <w:lang w:val="en-US" w:eastAsia="zh-CN"/>
          <w14:textFill>
            <w14:solidFill>
              <w14:schemeClr w14:val="tx1"/>
            </w14:solidFill>
          </w14:textFill>
        </w:rPr>
        <w:sectPr>
          <w:headerReference r:id="rId7" w:type="first"/>
          <w:footerReference r:id="rId9" w:type="first"/>
          <w:headerReference r:id="rId6" w:type="default"/>
          <w:footerReference r:id="rId8" w:type="default"/>
          <w:pgSz w:w="11911" w:h="16838"/>
          <w:pgMar w:top="1417" w:right="1417" w:bottom="1417" w:left="1417" w:header="567" w:footer="567" w:gutter="0"/>
          <w:pgNumType w:fmt="numberInDash" w:start="1" w:chapStyle="3"/>
          <w:cols w:space="720" w:num="1"/>
          <w:titlePg/>
          <w:rtlGutter w:val="0"/>
          <w:docGrid w:linePitch="299" w:charSpace="0"/>
        </w:sectPr>
      </w:pPr>
      <w:r>
        <w:rPr>
          <w:rFonts w:hint="eastAsia" w:ascii="仿宋" w:hAnsi="仿宋" w:eastAsia="仿宋" w:cs="仿宋"/>
          <w:color w:val="000000" w:themeColor="text1"/>
          <w:highlight w:val="none"/>
          <w:lang w:val="en-US" w:eastAsia="zh-CN"/>
          <w14:textFill>
            <w14:solidFill>
              <w14:schemeClr w14:val="tx1"/>
            </w14:solidFill>
          </w14:textFill>
        </w:rPr>
        <w:tab/>
      </w:r>
    </w:p>
    <w:p w14:paraId="27C0AC84">
      <w:pPr>
        <w:pStyle w:val="2"/>
        <w:bidi w:val="0"/>
        <w:jc w:val="center"/>
        <w:rPr>
          <w:rFonts w:hint="eastAsia" w:ascii="仿宋" w:hAnsi="仿宋" w:eastAsia="仿宋" w:cs="仿宋"/>
          <w:color w:val="000000" w:themeColor="text1"/>
          <w:highlight w:val="none"/>
          <w14:textFill>
            <w14:solidFill>
              <w14:schemeClr w14:val="tx1"/>
            </w14:solidFill>
          </w14:textFill>
        </w:rPr>
      </w:pPr>
      <w:bookmarkStart w:id="2" w:name="_Toc25361"/>
      <w:bookmarkStart w:id="3" w:name="_Toc32236"/>
      <w:bookmarkStart w:id="4" w:name="_Toc29815"/>
      <w:r>
        <w:rPr>
          <w:rFonts w:hint="eastAsia" w:ascii="仿宋" w:hAnsi="仿宋" w:eastAsia="仿宋" w:cs="仿宋"/>
          <w:color w:val="000000" w:themeColor="text1"/>
          <w:highlight w:val="none"/>
          <w14:textFill>
            <w14:solidFill>
              <w14:schemeClr w14:val="tx1"/>
            </w14:solidFill>
          </w14:textFill>
        </w:rPr>
        <mc:AlternateContent>
          <mc:Choice Requires="wps">
            <w:drawing>
              <wp:anchor distT="0" distB="0" distL="114300" distR="114300" simplePos="0" relativeHeight="251659264" behindDoc="0" locked="0" layoutInCell="1" hidden="1" allowOverlap="1">
                <wp:simplePos x="0" y="0"/>
                <wp:positionH relativeFrom="column">
                  <wp:posOffset>-678180</wp:posOffset>
                </wp:positionH>
                <wp:positionV relativeFrom="paragraph">
                  <wp:posOffset>-603250</wp:posOffset>
                </wp:positionV>
                <wp:extent cx="63500" cy="63500"/>
                <wp:effectExtent l="0" t="0" r="0" b="0"/>
                <wp:wrapNone/>
                <wp:docPr id="5" name="矩形 5" descr="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"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bodyPr upright="1"/>
                    </wps:wsp>
                  </a:graphicData>
                </a:graphic>
              </wp:anchor>
            </w:drawing>
          </mc:Choice>
          <mc:Fallback>
            <w:pict>
              <v:rect id="_x0000_s1026" o:spid="_x0000_s1026" o:spt="1" alt="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" style="position:absolute;left:0pt;margin-left:-53.4pt;margin-top:-47.5pt;height:5pt;width:5pt;visibility:hidden;z-index:251659264;mso-width-relative:page;mso-height-relative:page;" fillcolor="#FFFFFF" filled="t" stroked="t" coordsize="21600,21600" o:gfxdata="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">
                <v:fill on="t" focussize="0,0"/>
                <v:stroke color="#000000" joinstyle="miter"/>
                <v:imagedata o:title=""/>
                <o:lock v:ext="edit" aspectratio="f"/>
              </v:rect>
            </w:pict>
          </mc:Fallback>
        </mc:AlternateContent>
      </w:r>
      <w:r>
        <w:rPr>
          <w:rFonts w:hint="eastAsia" w:ascii="仿宋" w:hAnsi="仿宋" w:eastAsia="仿宋" w:cs="仿宋"/>
          <w:color w:val="000000" w:themeColor="text1"/>
          <w:highlight w:val="none"/>
          <w14:textFill>
            <w14:solidFill>
              <w14:schemeClr w14:val="tx1"/>
            </w14:solidFill>
          </w14:textFill>
        </w:rPr>
        <w:t>第一章  竞争性磋商</w:t>
      </w:r>
      <w:bookmarkEnd w:id="0"/>
      <w:bookmarkEnd w:id="1"/>
      <w:bookmarkStart w:id="5" w:name="_Toc487037683"/>
      <w:bookmarkStart w:id="6" w:name="_Toc519007706"/>
      <w:bookmarkStart w:id="7" w:name="_Toc292200559"/>
      <w:bookmarkStart w:id="8" w:name="_Toc227991413"/>
      <w:r>
        <w:rPr>
          <w:rFonts w:hint="eastAsia" w:ascii="仿宋" w:hAnsi="仿宋" w:eastAsia="仿宋" w:cs="仿宋"/>
          <w:color w:val="000000" w:themeColor="text1"/>
          <w:highlight w:val="none"/>
          <w14:textFill>
            <w14:solidFill>
              <w14:schemeClr w14:val="tx1"/>
            </w14:solidFill>
          </w14:textFill>
        </w:rPr>
        <w:t>公告</w:t>
      </w:r>
      <w:bookmarkEnd w:id="2"/>
      <w:bookmarkEnd w:id="3"/>
      <w:bookmarkEnd w:id="4"/>
    </w:p>
    <w:bookmarkEnd w:id="5"/>
    <w:bookmarkEnd w:id="6"/>
    <w:p w14:paraId="38122467">
      <w:pPr>
        <w:tabs>
          <w:tab w:val="left" w:pos="1980"/>
          <w:tab w:val="center" w:pos="5093"/>
          <w:tab w:val="left" w:pos="9315"/>
        </w:tabs>
        <w:spacing w:line="240" w:lineRule="auto"/>
        <w:ind w:firstLine="281" w:firstLineChars="100"/>
        <w:jc w:val="center"/>
        <w:outlineLvl w:val="0"/>
        <w:rPr>
          <w:rFonts w:hint="eastAsia" w:ascii="仿宋" w:hAnsi="仿宋" w:eastAsia="仿宋" w:cs="仿宋"/>
          <w:b/>
          <w:bCs/>
          <w:color w:val="000000" w:themeColor="text1"/>
          <w:kern w:val="2"/>
          <w:sz w:val="28"/>
          <w:szCs w:val="28"/>
          <w:highlight w:val="none"/>
          <w14:textFill>
            <w14:solidFill>
              <w14:schemeClr w14:val="tx1"/>
            </w14:solidFill>
          </w14:textFill>
        </w:rPr>
      </w:pPr>
      <w:bookmarkStart w:id="9" w:name="_Toc7360"/>
      <w:bookmarkStart w:id="10" w:name="_Toc32419"/>
      <w:bookmarkStart w:id="11" w:name="_Toc9359"/>
      <w:bookmarkStart w:id="12" w:name="_Toc519587933"/>
      <w:bookmarkStart w:id="13" w:name="_Toc487037688"/>
      <w:r>
        <w:rPr>
          <w:rFonts w:hint="eastAsia" w:ascii="仿宋" w:hAnsi="仿宋" w:eastAsia="仿宋" w:cs="仿宋"/>
          <w:b/>
          <w:bCs/>
          <w:color w:val="000000" w:themeColor="text1"/>
          <w:kern w:val="2"/>
          <w:sz w:val="28"/>
          <w:szCs w:val="28"/>
          <w:highlight w:val="none"/>
          <w:lang w:eastAsia="zh-CN"/>
          <w14:textFill>
            <w14:solidFill>
              <w14:schemeClr w14:val="tx1"/>
            </w14:solidFill>
          </w14:textFill>
        </w:rPr>
        <w:t>文山市2025年度山洪灾害防治及维修养护项目</w:t>
      </w:r>
      <w:r>
        <w:rPr>
          <w:rFonts w:hint="eastAsia" w:ascii="仿宋" w:hAnsi="仿宋" w:eastAsia="仿宋" w:cs="仿宋"/>
          <w:b/>
          <w:bCs/>
          <w:color w:val="000000" w:themeColor="text1"/>
          <w:kern w:val="2"/>
          <w:sz w:val="28"/>
          <w:szCs w:val="28"/>
          <w:highlight w:val="none"/>
          <w14:textFill>
            <w14:solidFill>
              <w14:schemeClr w14:val="tx1"/>
            </w14:solidFill>
          </w14:textFill>
        </w:rPr>
        <w:t>竞争性磋商公告</w:t>
      </w:r>
      <w:bookmarkEnd w:id="9"/>
      <w:bookmarkEnd w:id="10"/>
      <w:bookmarkEnd w:id="11"/>
      <w:r>
        <w:rPr>
          <w:rFonts w:hint="eastAsia" w:ascii="仿宋" w:hAnsi="仿宋" w:eastAsia="仿宋" w:cs="仿宋"/>
          <w:b/>
          <w:bCs/>
          <w:color w:val="000000" w:themeColor="text1"/>
          <w:kern w:val="2"/>
          <w:sz w:val="28"/>
          <w:szCs w:val="28"/>
          <w:highlight w:val="none"/>
          <w14:textFill>
            <w14:solidFill>
              <w14:schemeClr w14:val="tx1"/>
            </w14:solidFill>
          </w14:textFill>
        </w:rPr>
        <w:t xml:space="preserve">  </w:t>
      </w:r>
    </w:p>
    <w:tbl>
      <w:tblPr>
        <w:tblStyle w:val="22"/>
        <w:tblpPr w:leftFromText="180" w:rightFromText="180" w:vertAnchor="text" w:horzAnchor="page" w:tblpX="1606" w:tblpY="171"/>
        <w:tblOverlap w:val="never"/>
        <w:tblW w:w="95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73"/>
      </w:tblGrid>
      <w:tr w14:paraId="37D0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73" w:type="dxa"/>
          </w:tcPr>
          <w:p w14:paraId="744BA98B">
            <w:pPr>
              <w:pageBreakBefore w:val="0"/>
              <w:kinsoku/>
              <w:wordWrap w:val="0"/>
              <w:overflowPunct/>
              <w:bidi w:val="0"/>
              <w:spacing w:after="0" w:line="41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项目概况</w:t>
            </w:r>
          </w:p>
          <w:p w14:paraId="2E82E70D">
            <w:pPr>
              <w:pageBreakBefore w:val="0"/>
              <w:kinsoku/>
              <w:wordWrap w:val="0"/>
              <w:overflowPunct/>
              <w:bidi w:val="0"/>
              <w:spacing w:after="0" w:line="410" w:lineRule="exact"/>
              <w:ind w:firstLine="480" w:firstLineChars="200"/>
              <w:textAlignment w:val="auto"/>
              <w:rPr>
                <w:rFonts w:hint="eastAsia" w:ascii="仿宋" w:hAnsi="仿宋" w:eastAsia="仿宋" w:cs="仿宋"/>
                <w:b/>
                <w:bCs/>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bCs/>
                <w:color w:val="000000" w:themeColor="text1"/>
                <w:kern w:val="2"/>
                <w:sz w:val="24"/>
                <w:szCs w:val="24"/>
                <w:highlight w:val="none"/>
                <w:u w:val="single"/>
                <w:lang w:eastAsia="zh-CN"/>
                <w14:textFill>
                  <w14:solidFill>
                    <w14:schemeClr w14:val="tx1"/>
                  </w14:solidFill>
                </w14:textFill>
              </w:rPr>
              <w:t>文山市2025年度山洪灾害防治及维修养护项目</w:t>
            </w:r>
            <w:r>
              <w:rPr>
                <w:rFonts w:hint="eastAsia" w:ascii="仿宋" w:hAnsi="仿宋" w:eastAsia="仿宋" w:cs="仿宋"/>
                <w:color w:val="000000" w:themeColor="text1"/>
                <w:sz w:val="24"/>
                <w:szCs w:val="24"/>
                <w:highlight w:val="none"/>
                <w14:textFill>
                  <w14:solidFill>
                    <w14:schemeClr w14:val="tx1"/>
                  </w14:solidFill>
                </w14:textFill>
              </w:rPr>
              <w:t>”采购项目的潜在供应商应在</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政府采购云平台”（https://www.zcygov.cn/)</w:t>
            </w:r>
            <w:r>
              <w:rPr>
                <w:rFonts w:hint="eastAsia" w:ascii="仿宋" w:hAnsi="仿宋" w:eastAsia="仿宋" w:cs="仿宋"/>
                <w:color w:val="000000" w:themeColor="text1"/>
                <w:sz w:val="24"/>
                <w:szCs w:val="24"/>
                <w:highlight w:val="none"/>
                <w14:textFill>
                  <w14:solidFill>
                    <w14:schemeClr w14:val="tx1"/>
                  </w14:solidFill>
                </w14:textFill>
              </w:rPr>
              <w:t>获取采购文件，并于</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2025年06月10日09时00</w:t>
            </w:r>
            <w:r>
              <w:rPr>
                <w:rFonts w:hint="eastAsia" w:ascii="仿宋" w:hAnsi="仿宋" w:eastAsia="仿宋" w:cs="仿宋"/>
                <w:b/>
                <w:bCs/>
                <w:color w:val="000000" w:themeColor="text1"/>
                <w:sz w:val="24"/>
                <w:szCs w:val="24"/>
                <w:highlight w:val="none"/>
                <w14:textFill>
                  <w14:solidFill>
                    <w14:schemeClr w14:val="tx1"/>
                  </w14:solidFill>
                </w14:textFill>
              </w:rPr>
              <w:t>分</w:t>
            </w:r>
            <w:r>
              <w:rPr>
                <w:rFonts w:hint="eastAsia" w:ascii="仿宋" w:hAnsi="仿宋" w:eastAsia="仿宋" w:cs="仿宋"/>
                <w:color w:val="000000" w:themeColor="text1"/>
                <w:sz w:val="24"/>
                <w:szCs w:val="24"/>
                <w:highlight w:val="none"/>
                <w14:textFill>
                  <w14:solidFill>
                    <w14:schemeClr w14:val="tx1"/>
                  </w14:solidFill>
                </w14:textFill>
              </w:rPr>
              <w:t>（北京时间）前递交响应文件。</w:t>
            </w:r>
          </w:p>
        </w:tc>
      </w:tr>
    </w:tbl>
    <w:p w14:paraId="4A1C7927">
      <w:pPr>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 w:hAnsi="仿宋" w:eastAsia="仿宋" w:cs="仿宋"/>
          <w:b/>
          <w:bCs w:val="0"/>
          <w:color w:val="000000" w:themeColor="text1"/>
          <w:kern w:val="2"/>
          <w:sz w:val="28"/>
          <w:szCs w:val="28"/>
          <w:highlight w:val="none"/>
          <w:u w:val="none"/>
          <w:lang w:val="en-US" w:eastAsia="zh-CN"/>
          <w14:textFill>
            <w14:solidFill>
              <w14:schemeClr w14:val="tx1"/>
            </w14:solidFill>
          </w14:textFill>
        </w:rPr>
      </w:pPr>
      <w:bookmarkStart w:id="14" w:name="_Toc525207115"/>
      <w:bookmarkStart w:id="15" w:name="_Toc525741688"/>
      <w:bookmarkStart w:id="16" w:name="_Toc525049630"/>
      <w:r>
        <w:rPr>
          <w:rFonts w:hint="eastAsia" w:ascii="仿宋" w:hAnsi="仿宋" w:eastAsia="仿宋" w:cs="仿宋"/>
          <w:b/>
          <w:bCs w:val="0"/>
          <w:color w:val="000000" w:themeColor="text1"/>
          <w:kern w:val="2"/>
          <w:sz w:val="28"/>
          <w:szCs w:val="28"/>
          <w:highlight w:val="none"/>
          <w:lang w:val="en-US" w:eastAsia="zh-CN" w:bidi="ar-SA"/>
          <w14:textFill>
            <w14:solidFill>
              <w14:schemeClr w14:val="tx1"/>
            </w14:solidFill>
          </w14:textFill>
        </w:rPr>
        <w:t>一、</w:t>
      </w:r>
      <w:r>
        <w:rPr>
          <w:rFonts w:hint="eastAsia" w:ascii="仿宋" w:hAnsi="仿宋" w:eastAsia="仿宋" w:cs="仿宋"/>
          <w:b/>
          <w:bCs w:val="0"/>
          <w:color w:val="000000" w:themeColor="text1"/>
          <w:kern w:val="2"/>
          <w:sz w:val="28"/>
          <w:szCs w:val="28"/>
          <w:highlight w:val="none"/>
          <w:u w:val="none"/>
          <w:lang w:val="en-US" w:eastAsia="zh-CN"/>
          <w14:textFill>
            <w14:solidFill>
              <w14:schemeClr w14:val="tx1"/>
            </w14:solidFill>
          </w14:textFill>
        </w:rPr>
        <w:t>项目基本情况</w:t>
      </w:r>
    </w:p>
    <w:p w14:paraId="44AF37F6">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bookmarkStart w:id="17" w:name="_Toc28359014"/>
      <w:bookmarkStart w:id="18" w:name="_Toc28359091"/>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1、项目编号：WSZC2025-C3-00492-YNFY-0065</w:t>
      </w: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 xml:space="preserve">     </w:t>
      </w:r>
    </w:p>
    <w:p w14:paraId="359907CB">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2、项目名称：文山市2025年度山洪灾害防治及维修养护项目</w:t>
      </w:r>
    </w:p>
    <w:p w14:paraId="2AF21B63">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3、采购方式：竞争性磋商</w:t>
      </w:r>
    </w:p>
    <w:p w14:paraId="1723149A">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4、预算金额：64.30万元</w:t>
      </w:r>
    </w:p>
    <w:p w14:paraId="6F668D8D">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5、最高限价：</w:t>
      </w:r>
      <w:bookmarkStart w:id="19" w:name="_Toc35393630"/>
      <w:bookmarkStart w:id="20" w:name="_Toc28359013"/>
      <w:bookmarkStart w:id="21" w:name="_Toc35393799"/>
      <w:bookmarkStart w:id="22" w:name="_Toc28359090"/>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60万元</w:t>
      </w:r>
    </w:p>
    <w:p w14:paraId="55A0496F">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6、采购需求：根据《云南省2025年度山洪灾害防治项目实施方案》（文山州分册）和《文山市2025年度山洪灾害防治非工程措施运行维护实施方案》开展文山市2025年度山洪灾害防治及维修养护项目。项目内容包括但不限于补充新建雨水情监测站点、更新雨水情监测站点、补充现地监测预警设备、宣传栏、培训、演练及山洪灾害监测预警系统维护等，同时满足第五章采购需求。</w:t>
      </w:r>
    </w:p>
    <w:p w14:paraId="70343B24">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7、合同履行期限：</w:t>
      </w:r>
      <w:r>
        <w:rPr>
          <w:rFonts w:hint="eastAsia" w:ascii="仿宋" w:hAnsi="仿宋" w:eastAsia="仿宋" w:cs="仿宋"/>
          <w:color w:val="000000" w:themeColor="text1"/>
          <w:sz w:val="24"/>
          <w:szCs w:val="24"/>
          <w:highlight w:val="none"/>
          <w:lang w:val="en-US" w:eastAsia="zh-CN"/>
          <w14:textFill>
            <w14:solidFill>
              <w14:schemeClr w14:val="tx1"/>
            </w14:solidFill>
          </w14:textFill>
        </w:rPr>
        <w:t>签订合同后365日历天日内完成供货并验收合格</w:t>
      </w: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w:t>
      </w:r>
    </w:p>
    <w:p w14:paraId="7D4F0FC2">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8、交货地点：采购人指定地点。</w:t>
      </w:r>
    </w:p>
    <w:p w14:paraId="01C43C19">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9、质量要求：符合现行国家相关规定及行业标准、要求，满足采购人要求。</w:t>
      </w:r>
    </w:p>
    <w:p w14:paraId="4F2190DB">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w:t>
      </w:r>
      <w:r>
        <w:rPr>
          <w:rFonts w:hint="eastAsia" w:ascii="仿宋" w:hAnsi="仿宋" w:eastAsia="仿宋" w:cs="仿宋"/>
          <w:b w:val="0"/>
          <w:bCs/>
          <w:color w:val="000000" w:themeColor="text1"/>
          <w:kern w:val="2"/>
          <w:sz w:val="24"/>
          <w:szCs w:val="24"/>
          <w:highlight w:val="none"/>
          <w:lang w:val="en-US" w:eastAsia="zh-CN" w:bidi="ar-SA"/>
          <w14:textFill>
            <w14:solidFill>
              <w14:schemeClr w14:val="tx1"/>
            </w14:solidFill>
          </w14:textFill>
        </w:rPr>
        <w:t>本项目不接受联合体磋商。</w:t>
      </w:r>
    </w:p>
    <w:p w14:paraId="6293FDE6">
      <w:pPr>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 w:hAnsi="仿宋" w:eastAsia="仿宋" w:cs="仿宋"/>
          <w:b/>
          <w:bCs/>
          <w:color w:val="000000" w:themeColor="text1"/>
          <w:kern w:val="2"/>
          <w:sz w:val="28"/>
          <w:szCs w:val="28"/>
          <w:highlight w:val="none"/>
          <w:u w:val="none"/>
          <w:lang w:val="en-US" w:eastAsia="zh-CN"/>
          <w14:textFill>
            <w14:solidFill>
              <w14:schemeClr w14:val="tx1"/>
            </w14:solidFill>
          </w14:textFill>
        </w:rPr>
      </w:pPr>
      <w:bookmarkStart w:id="23" w:name="_Toc9382"/>
      <w:r>
        <w:rPr>
          <w:rFonts w:hint="eastAsia" w:ascii="仿宋" w:hAnsi="仿宋" w:eastAsia="仿宋" w:cs="仿宋"/>
          <w:b/>
          <w:bCs/>
          <w:color w:val="000000" w:themeColor="text1"/>
          <w:kern w:val="2"/>
          <w:sz w:val="28"/>
          <w:szCs w:val="28"/>
          <w:highlight w:val="none"/>
          <w:u w:val="none"/>
          <w:lang w:val="en-US" w:eastAsia="zh-CN"/>
          <w14:textFill>
            <w14:solidFill>
              <w14:schemeClr w14:val="tx1"/>
            </w14:solidFill>
          </w14:textFill>
        </w:rPr>
        <w:t>二、供应商的资格要求：</w:t>
      </w:r>
      <w:bookmarkEnd w:id="19"/>
      <w:bookmarkEnd w:id="20"/>
      <w:bookmarkEnd w:id="21"/>
      <w:bookmarkEnd w:id="22"/>
      <w:bookmarkEnd w:id="23"/>
    </w:p>
    <w:p w14:paraId="47E3C207">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1.满足《中华人民共和国政府采购法》第二十二条规定；</w:t>
      </w:r>
      <w:bookmarkStart w:id="206" w:name="_GoBack"/>
      <w:bookmarkEnd w:id="206"/>
    </w:p>
    <w:p w14:paraId="54788C55">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1.1具有独立承担民事责任的能力：</w:t>
      </w:r>
      <w:r>
        <w:rPr>
          <w:rFonts w:hint="eastAsia" w:ascii="仿宋" w:hAnsi="仿宋" w:eastAsia="仿宋" w:cs="仿宋"/>
          <w:color w:val="000000" w:themeColor="text1"/>
          <w:sz w:val="24"/>
          <w:szCs w:val="24"/>
          <w:highlight w:val="none"/>
          <w:lang w:val="en-US" w:eastAsia="zh-CN"/>
          <w14:textFill>
            <w14:solidFill>
              <w14:schemeClr w14:val="tx1"/>
            </w14:solidFill>
          </w14:textFill>
        </w:rPr>
        <w:t>在相关部门注册登记备案，提供法人或者其他组织的营业执照</w:t>
      </w: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或民办非企业单位（法人）登记证书等证明文件原件扫描件；</w:t>
      </w:r>
    </w:p>
    <w:p w14:paraId="30767B0A">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1.2财务要求：</w:t>
      </w:r>
      <w:r>
        <w:rPr>
          <w:rFonts w:hint="eastAsia" w:ascii="仿宋" w:hAnsi="仿宋" w:eastAsia="仿宋" w:cs="仿宋"/>
          <w:b w:val="0"/>
          <w:bCs w:val="0"/>
          <w:color w:val="000000" w:themeColor="text1"/>
          <w:kern w:val="2"/>
          <w:sz w:val="24"/>
          <w:szCs w:val="24"/>
          <w:highlight w:val="none"/>
          <w:u w:val="none"/>
          <w:lang w:val="en-US" w:eastAsia="zh-CN"/>
          <w14:textFill>
            <w14:solidFill>
              <w14:schemeClr w14:val="tx1"/>
            </w14:solidFill>
          </w14:textFill>
        </w:rPr>
        <w:t>具有良好的商业信誉和健全的财务会计制度，</w:t>
      </w:r>
      <w:r>
        <w:rPr>
          <w:rFonts w:hint="eastAsia" w:ascii="仿宋" w:hAnsi="仿宋" w:eastAsia="仿宋" w:cs="仿宋"/>
          <w:b w:val="0"/>
          <w:bCs w:val="0"/>
          <w:color w:val="000000" w:themeColor="text1"/>
          <w:kern w:val="0"/>
          <w:sz w:val="24"/>
          <w:szCs w:val="24"/>
          <w:highlight w:val="none"/>
          <w14:textFill>
            <w14:solidFill>
              <w14:schemeClr w14:val="tx1"/>
            </w14:solidFill>
          </w14:textFill>
        </w:rPr>
        <w:t>没有处于被责令停业、财产被冻结、接管或破产状态</w:t>
      </w:r>
      <w:r>
        <w:rPr>
          <w:rFonts w:hint="eastAsia" w:ascii="仿宋" w:hAnsi="仿宋" w:eastAsia="仿宋" w:cs="仿宋"/>
          <w:b w:val="0"/>
          <w:bCs w:val="0"/>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提供2022年</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至今任意一年</w:t>
      </w:r>
      <w:r>
        <w:rPr>
          <w:rFonts w:hint="eastAsia" w:ascii="仿宋" w:hAnsi="仿宋" w:eastAsia="仿宋" w:cs="仿宋"/>
          <w:color w:val="000000" w:themeColor="text1"/>
          <w:kern w:val="0"/>
          <w:sz w:val="24"/>
          <w:szCs w:val="24"/>
          <w:highlight w:val="none"/>
          <w:lang w:eastAsia="zh-CN"/>
          <w14:textFill>
            <w14:solidFill>
              <w14:schemeClr w14:val="tx1"/>
            </w14:solidFill>
          </w14:textFill>
        </w:rPr>
        <w:t>经审计的财务报告（包括资产负债表、利润表、现金流量表、所有者权益变动表及其附注），新成立不满1年的投标人提供自成立至今的财务报表；</w:t>
      </w:r>
    </w:p>
    <w:p w14:paraId="4AE2087F">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1.3具有履行合同所必需的设备和专业技术能力</w:t>
      </w: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：具有履行合同所必需的设备和专业技术能力，提供书面声明或证明材料。</w:t>
      </w:r>
    </w:p>
    <w:p w14:paraId="5250A29E">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1.4参加政府采购活动前三年内在经营活动中没有重大违法记录</w:t>
      </w: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：重大违法记录是指供应商因违法经营受到刑事处罚或者责令停产停业、吊销许可证或者执照、较大数额罚款等行政处罚（提供书面声明）。</w:t>
      </w:r>
    </w:p>
    <w:p w14:paraId="42679CF4">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1.5法律、行政法规规定的其他条件：</w:t>
      </w:r>
    </w:p>
    <w:p w14:paraId="23FE31D9">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（1）单位负责人为同一人或者存在直接控股、管理关系的不同投标人，不得参加同一合同项下的政府采购活动；</w:t>
      </w:r>
    </w:p>
    <w:p w14:paraId="29107F30">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（2）为本采购项目提供过整体设计、编制技术规范或其他文件等咨询服务的投标人，不得再参加该项目的其他采购活动；</w:t>
      </w:r>
    </w:p>
    <w:p w14:paraId="40CA05F3">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（3）供应商应在“信用中国”网站（www.creditchina.gov.cn）未被列入失信被执行人记录、重大税收违法失信主体且在中国政府采购网（www.ccgp.gov.cn）没有政府采购严重违法失信行为记录。</w:t>
      </w:r>
    </w:p>
    <w:p w14:paraId="3087A756">
      <w:pPr>
        <w:pStyle w:val="9"/>
        <w:rPr>
          <w:rFonts w:hint="eastAsia" w:ascii="仿宋" w:hAnsi="仿宋" w:eastAsia="仿宋" w:cs="仿宋"/>
          <w:color w:val="000000" w:themeColor="text1"/>
          <w:highlight w:val="none"/>
          <w:lang w:val="en-US" w:eastAsia="zh-CN"/>
          <w14:textFill>
            <w14:solidFill>
              <w14:schemeClr w14:val="tx1"/>
            </w14:solidFill>
          </w14:textFill>
        </w:rPr>
      </w:pPr>
    </w:p>
    <w:p w14:paraId="3FBC1264">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1.6具有依法缴纳税收和社会保障资金的良好记录：</w:t>
      </w:r>
    </w:p>
    <w:p w14:paraId="2AF5069C">
      <w:pPr>
        <w:keepNext w:val="0"/>
        <w:keepLines/>
        <w:pageBreakBefore w:val="0"/>
        <w:widowControl w:val="0"/>
        <w:numPr>
          <w:ilvl w:val="0"/>
          <w:numId w:val="1"/>
        </w:numPr>
        <w:kinsoku/>
        <w:wordWrap/>
        <w:overflowPunct/>
        <w:topLinePunct w:val="0"/>
        <w:autoSpaceDE/>
        <w:autoSpaceDN/>
        <w:bidi w:val="0"/>
        <w:adjustRightInd/>
        <w:snapToGrid/>
        <w:spacing w:after="0" w:line="520" w:lineRule="exact"/>
        <w:ind w:firstLine="480" w:firstLineChars="200"/>
        <w:jc w:val="both"/>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提供缴费所属时间在2024年01月至本项目响应文件提交截止时间前任意1个月的税收缴纳凭证；新成立的供应商提供成立以来的税收缴纳凭证或相关情况说明,依法免税的供应商，应提供相应文件证明其依法免税；</w:t>
      </w:r>
    </w:p>
    <w:p w14:paraId="598EC9C0">
      <w:pPr>
        <w:keepNext w:val="0"/>
        <w:keepLines w:val="0"/>
        <w:pageBreakBefore w:val="0"/>
        <w:widowControl w:val="0"/>
        <w:numPr>
          <w:ilvl w:val="0"/>
          <w:numId w:val="0"/>
        </w:numPr>
        <w:kinsoku/>
        <w:wordWrap/>
        <w:overflowPunct/>
        <w:topLinePunct w:val="0"/>
        <w:autoSpaceDE/>
        <w:autoSpaceDN/>
        <w:bidi w:val="0"/>
        <w:adjustRightInd/>
        <w:snapToGrid/>
        <w:spacing w:after="0" w:line="520" w:lineRule="exact"/>
        <w:ind w:firstLine="480" w:firstLineChars="200"/>
        <w:jc w:val="both"/>
        <w:textAlignment w:val="auto"/>
        <w:rPr>
          <w:rFonts w:hint="eastAsia" w:ascii="仿宋" w:hAnsi="仿宋" w:eastAsia="仿宋" w:cs="仿宋"/>
          <w:color w:val="000000" w:themeColor="text1"/>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val="zh-CN"/>
          <w14:textFill>
            <w14:solidFill>
              <w14:schemeClr w14:val="tx1"/>
            </w14:solidFill>
          </w14:textFill>
        </w:rPr>
        <w:t>提供缴费所属时间在202</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lang w:val="zh-CN"/>
          <w14:textFill>
            <w14:solidFill>
              <w14:schemeClr w14:val="tx1"/>
            </w14:solidFill>
          </w14:textFill>
        </w:rPr>
        <w:t>年0</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val="zh-CN"/>
          <w14:textFill>
            <w14:solidFill>
              <w14:schemeClr w14:val="tx1"/>
            </w14:solidFill>
          </w14:textFill>
        </w:rPr>
        <w:t>月至本项目</w:t>
      </w:r>
      <w:r>
        <w:rPr>
          <w:rFonts w:hint="eastAsia" w:ascii="仿宋" w:hAnsi="仿宋" w:eastAsia="仿宋" w:cs="仿宋"/>
          <w:color w:val="000000" w:themeColor="text1"/>
          <w:sz w:val="24"/>
          <w:szCs w:val="24"/>
          <w:highlight w:val="none"/>
          <w14:textFill>
            <w14:solidFill>
              <w14:schemeClr w14:val="tx1"/>
            </w14:solidFill>
          </w14:textFill>
        </w:rPr>
        <w:t>响应</w:t>
      </w:r>
      <w:r>
        <w:rPr>
          <w:rFonts w:hint="eastAsia" w:ascii="仿宋" w:hAnsi="仿宋" w:eastAsia="仿宋" w:cs="仿宋"/>
          <w:color w:val="000000" w:themeColor="text1"/>
          <w:sz w:val="24"/>
          <w:szCs w:val="24"/>
          <w:highlight w:val="none"/>
          <w:lang w:val="zh-CN"/>
          <w14:textFill>
            <w14:solidFill>
              <w14:schemeClr w14:val="tx1"/>
            </w14:solidFill>
          </w14:textFill>
        </w:rPr>
        <w:t>文件提交截止时间前任意</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val="zh-CN"/>
          <w14:textFill>
            <w14:solidFill>
              <w14:schemeClr w14:val="tx1"/>
            </w14:solidFill>
          </w14:textFill>
        </w:rPr>
        <w:t>个月的社保资金缴纳凭证；</w:t>
      </w:r>
      <w:r>
        <w:rPr>
          <w:rFonts w:hint="eastAsia" w:ascii="仿宋" w:hAnsi="仿宋" w:eastAsia="仿宋" w:cs="仿宋"/>
          <w:color w:val="000000" w:themeColor="text1"/>
          <w:sz w:val="24"/>
          <w:szCs w:val="24"/>
          <w:highlight w:val="none"/>
          <w:lang w:val="en-US" w:eastAsia="zh-CN"/>
          <w14:textFill>
            <w14:solidFill>
              <w14:schemeClr w14:val="tx1"/>
            </w14:solidFill>
          </w14:textFill>
        </w:rPr>
        <w:t>新</w:t>
      </w:r>
      <w:r>
        <w:rPr>
          <w:rFonts w:hint="eastAsia" w:ascii="仿宋" w:hAnsi="仿宋" w:eastAsia="仿宋" w:cs="仿宋"/>
          <w:color w:val="000000" w:themeColor="text1"/>
          <w:sz w:val="24"/>
          <w:szCs w:val="24"/>
          <w:highlight w:val="none"/>
          <w:lang w:val="zh-CN"/>
          <w14:textFill>
            <w14:solidFill>
              <w14:schemeClr w14:val="tx1"/>
            </w14:solidFill>
          </w14:textFill>
        </w:rPr>
        <w:t>成立的</w:t>
      </w:r>
      <w:r>
        <w:rPr>
          <w:rFonts w:hint="eastAsia" w:ascii="仿宋" w:hAnsi="仿宋" w:eastAsia="仿宋" w:cs="仿宋"/>
          <w:color w:val="000000" w:themeColor="text1"/>
          <w:sz w:val="24"/>
          <w:szCs w:val="24"/>
          <w:highlight w:val="none"/>
          <w14:textFill>
            <w14:solidFill>
              <w14:schemeClr w14:val="tx1"/>
            </w14:solidFill>
          </w14:textFill>
        </w:rPr>
        <w:t>供应商</w:t>
      </w:r>
      <w:r>
        <w:rPr>
          <w:rFonts w:hint="eastAsia" w:ascii="仿宋" w:hAnsi="仿宋" w:eastAsia="仿宋" w:cs="仿宋"/>
          <w:color w:val="000000" w:themeColor="text1"/>
          <w:sz w:val="24"/>
          <w:szCs w:val="24"/>
          <w:highlight w:val="none"/>
          <w:lang w:val="zh-CN"/>
          <w14:textFill>
            <w14:solidFill>
              <w14:schemeClr w14:val="tx1"/>
            </w14:solidFill>
          </w14:textFill>
        </w:rPr>
        <w:t>提供成立以来社保资金缴纳凭证或相关情况说明；</w:t>
      </w:r>
    </w:p>
    <w:p w14:paraId="387515D6">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b w:val="0"/>
          <w:bCs w:val="0"/>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u w:val="none"/>
          <w:lang w:val="en-US" w:eastAsia="zh-CN"/>
          <w14:textFill>
            <w14:solidFill>
              <w14:schemeClr w14:val="tx1"/>
            </w14:solidFill>
          </w14:textFill>
        </w:rPr>
        <w:t>2.落实政府采购政策需满足的资格要求：</w:t>
      </w:r>
      <w:r>
        <w:rPr>
          <w:rFonts w:hint="eastAsia" w:ascii="仿宋" w:hAnsi="仿宋" w:eastAsia="仿宋" w:cs="仿宋"/>
          <w:b w:val="0"/>
          <w:bCs w:val="0"/>
          <w:color w:val="000000" w:themeColor="text1"/>
          <w:kern w:val="2"/>
          <w:sz w:val="24"/>
          <w:szCs w:val="24"/>
          <w:highlight w:val="none"/>
          <w:u w:val="none"/>
          <w:lang w:val="en-US" w:eastAsia="zh-CN"/>
          <w14:textFill>
            <w14:solidFill>
              <w14:schemeClr w14:val="tx1"/>
            </w14:solidFill>
          </w14:textFill>
        </w:rPr>
        <w:t>本项目不属于专门面向中小企业、监狱企业、残疾人福利企业采购项目。</w:t>
      </w:r>
    </w:p>
    <w:p w14:paraId="22CB632B">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2.1 根据财政部发布的《政府采购促进中小企业发展管理办法》规定，本项目对小型和微型企业产品的价格给予10%的扣除。</w:t>
      </w:r>
    </w:p>
    <w:p w14:paraId="0ED0DCA8">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2.2 根据财政部发布的《关于政府采购支持监狱企业发展有关问题的通知》规定，本项目对监狱企业产品的价格给予10%的扣除。</w:t>
      </w:r>
    </w:p>
    <w:p w14:paraId="703E95E8">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2.3 根据财政部、民政部、中国残疾人联合会发布的《关于促进残疾人就业政府采购政策的通知》规定，本项目对残疾人福利性单位产品的价格给予10%的扣除。残疾人福利性单位视同为小型、微型企业。</w:t>
      </w:r>
    </w:p>
    <w:p w14:paraId="01B584DB">
      <w:pPr>
        <w:pageBreakBefore w:val="0"/>
        <w:widowControl w:val="0"/>
        <w:kinsoku/>
        <w:wordWrap/>
        <w:overflowPunct/>
        <w:topLinePunct w:val="0"/>
        <w:autoSpaceDE/>
        <w:autoSpaceDN/>
        <w:bidi w:val="0"/>
        <w:adjustRightInd/>
        <w:snapToGrid/>
        <w:spacing w:after="0" w:line="560" w:lineRule="exact"/>
        <w:ind w:left="585" w:leftChars="266" w:firstLine="0" w:firstLineChars="0"/>
        <w:jc w:val="both"/>
        <w:textAlignment w:val="auto"/>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t>3.</w:t>
      </w:r>
      <w:r>
        <w:rPr>
          <w:rFonts w:hint="eastAsia" w:ascii="仿宋" w:hAnsi="仿宋" w:eastAsia="仿宋" w:cs="仿宋"/>
          <w:b/>
          <w:bCs/>
          <w:color w:val="000000" w:themeColor="text1"/>
          <w:kern w:val="2"/>
          <w:sz w:val="24"/>
          <w:szCs w:val="24"/>
          <w:highlight w:val="none"/>
          <w14:textFill>
            <w14:solidFill>
              <w14:schemeClr w14:val="tx1"/>
            </w14:solidFill>
          </w14:textFill>
        </w:rPr>
        <w:t>本项目的特定资格要求：</w:t>
      </w:r>
      <w:r>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t>无</w:t>
      </w:r>
    </w:p>
    <w:p w14:paraId="365F603C">
      <w:pPr>
        <w:keepNext/>
        <w:keepLines/>
        <w:pageBreakBefore w:val="0"/>
        <w:widowControl w:val="0"/>
        <w:numPr>
          <w:ilvl w:val="1"/>
          <w:numId w:val="0"/>
        </w:numPr>
        <w:kinsoku/>
        <w:wordWrap/>
        <w:overflowPunct/>
        <w:topLinePunct w:val="0"/>
        <w:autoSpaceDE/>
        <w:autoSpaceDN/>
        <w:bidi w:val="0"/>
        <w:adjustRightInd/>
        <w:snapToGrid/>
        <w:spacing w:before="0" w:after="0" w:line="560" w:lineRule="exact"/>
        <w:ind w:left="425" w:leftChars="0" w:firstLine="281" w:firstLineChars="100"/>
        <w:jc w:val="both"/>
        <w:textAlignment w:val="auto"/>
        <w:outlineLvl w:val="0"/>
        <w:rPr>
          <w:rFonts w:hint="eastAsia" w:ascii="仿宋" w:hAnsi="仿宋" w:eastAsia="仿宋" w:cs="仿宋"/>
          <w:b/>
          <w:bCs w:val="0"/>
          <w:color w:val="000000" w:themeColor="text1"/>
          <w:kern w:val="2"/>
          <w:sz w:val="28"/>
          <w:szCs w:val="28"/>
          <w:highlight w:val="none"/>
          <w:lang w:val="en-US" w:eastAsia="zh-CN" w:bidi="ar-SA"/>
          <w14:textFill>
            <w14:solidFill>
              <w14:schemeClr w14:val="tx1"/>
            </w14:solidFill>
          </w14:textFill>
        </w:rPr>
      </w:pPr>
      <w:bookmarkStart w:id="24" w:name="_Toc26747"/>
      <w:bookmarkStart w:id="25" w:name="_Toc35393800"/>
      <w:bookmarkStart w:id="26" w:name="_Toc35393631"/>
      <w:r>
        <w:rPr>
          <w:rFonts w:hint="eastAsia" w:ascii="仿宋" w:hAnsi="仿宋" w:eastAsia="仿宋" w:cs="仿宋"/>
          <w:b/>
          <w:bCs w:val="0"/>
          <w:color w:val="000000" w:themeColor="text1"/>
          <w:kern w:val="2"/>
          <w:sz w:val="28"/>
          <w:szCs w:val="28"/>
          <w:highlight w:val="none"/>
          <w:lang w:val="en-US" w:eastAsia="zh-CN" w:bidi="ar-SA"/>
          <w14:textFill>
            <w14:solidFill>
              <w14:schemeClr w14:val="tx1"/>
            </w14:solidFill>
          </w14:textFill>
        </w:rPr>
        <w:t>三、获取采购文件</w:t>
      </w:r>
      <w:bookmarkEnd w:id="17"/>
      <w:bookmarkEnd w:id="18"/>
      <w:bookmarkEnd w:id="24"/>
      <w:bookmarkEnd w:id="25"/>
      <w:bookmarkEnd w:id="26"/>
    </w:p>
    <w:p w14:paraId="376B1665">
      <w:pPr>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时间：</w:t>
      </w:r>
      <w:r>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t>2025年05月30日至2025年06月06日</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23时59分（北京时间，法定节假日除外），</w:t>
      </w:r>
    </w:p>
    <w:p w14:paraId="6E7F65F8">
      <w:pPr>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地点：政采云平台线上获取（http：//www.zcygov.cn），（操作路径：登录“政采云”平台-项目采购-获取采购文件-找到本项目-点击“申请获取采购文件”）。</w:t>
      </w:r>
    </w:p>
    <w:p w14:paraId="63BF4C1D">
      <w:pPr>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方式：</w:t>
      </w:r>
    </w:p>
    <w:p w14:paraId="6477D343">
      <w:pPr>
        <w:pageBreakBefore w:val="0"/>
        <w:widowControl w:val="0"/>
        <w:numPr>
          <w:ilvl w:val="0"/>
          <w:numId w:val="2"/>
        </w:numPr>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凡有意参加投标者，须在政采云平台办理数字证书（CA），CA申领链接：https://middle.zcygov.cn/ca/apply/list?_app_=zcy.sys，并在政采云绑定数字证书（CA）后在网上获取采购文件及其它采购资料，数字证书（CA）详见其办理流程。</w:t>
      </w:r>
    </w:p>
    <w:p w14:paraId="67529A05">
      <w:pPr>
        <w:pageBreakBefore w:val="0"/>
        <w:widowControl w:val="0"/>
        <w:numPr>
          <w:ilvl w:val="0"/>
          <w:numId w:val="0"/>
        </w:numPr>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04F874AE">
      <w:pPr>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2.按上述要求获取文件的供应商视为合法获取了本项目采购文件，具备本项目的投标资格。</w:t>
      </w:r>
    </w:p>
    <w:p w14:paraId="11DB6730">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color w:val="000000" w:themeColor="text1"/>
          <w:kern w:val="2"/>
          <w:sz w:val="24"/>
          <w:szCs w:val="24"/>
          <w:highlight w:val="none"/>
          <w:lang w:val="en-US" w:eastAsia="zh-CN"/>
          <w14:textFill>
            <w14:solidFill>
              <w14:schemeClr w14:val="tx1"/>
            </w14:solidFill>
          </w14:textFill>
        </w:rPr>
        <w:t>售价：0元。</w:t>
      </w:r>
    </w:p>
    <w:p w14:paraId="5CA69933">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四、响应文件提交</w:t>
      </w:r>
    </w:p>
    <w:p w14:paraId="565AEA54">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t>截止时间</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w:t>
      </w:r>
      <w:r>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t>2025年06月10日09点00分（</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北京时间）</w:t>
      </w:r>
    </w:p>
    <w:p w14:paraId="3B689D26">
      <w:pPr>
        <w:keepNext w:val="0"/>
        <w:keepLines w:val="0"/>
        <w:pageBreakBefore w:val="0"/>
        <w:widowControl w:val="0"/>
        <w:kinsoku/>
        <w:wordWrap/>
        <w:overflowPunct/>
        <w:topLinePunct w:val="0"/>
        <w:autoSpaceDE/>
        <w:autoSpaceDN/>
        <w:bidi w:val="0"/>
        <w:adjustRightInd/>
        <w:snapToGrid/>
        <w:spacing w:after="0" w:line="560" w:lineRule="exact"/>
        <w:ind w:firstLine="482" w:firstLineChars="200"/>
        <w:jc w:val="both"/>
        <w:textAlignment w:val="auto"/>
        <w:rPr>
          <w:rFonts w:hint="eastAsia" w:ascii="仿宋" w:hAnsi="仿宋" w:eastAsia="仿宋" w:cs="仿宋"/>
          <w:b w:val="0"/>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t>递交地点</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w:t>
      </w:r>
      <w:r>
        <w:rPr>
          <w:rFonts w:hint="eastAsia" w:ascii="仿宋" w:hAnsi="仿宋" w:eastAsia="仿宋" w:cs="仿宋"/>
          <w:b w:val="0"/>
          <w:color w:val="000000" w:themeColor="text1"/>
          <w:sz w:val="24"/>
          <w:szCs w:val="24"/>
          <w:highlight w:val="none"/>
          <w14:textFill>
            <w14:solidFill>
              <w14:schemeClr w14:val="tx1"/>
            </w14:solidFill>
          </w14:textFill>
        </w:rPr>
        <w:t>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r>
        <w:rPr>
          <w:rFonts w:hint="eastAsia" w:ascii="仿宋" w:hAnsi="仿宋" w:eastAsia="仿宋" w:cs="仿宋"/>
          <w:b w:val="0"/>
          <w:color w:val="000000" w:themeColor="text1"/>
          <w:sz w:val="24"/>
          <w:szCs w:val="24"/>
          <w:highlight w:val="none"/>
          <w:lang w:eastAsia="zh-CN"/>
          <w14:textFill>
            <w14:solidFill>
              <w14:schemeClr w14:val="tx1"/>
            </w14:solidFill>
          </w14:textFill>
        </w:rPr>
        <w:t>。</w:t>
      </w:r>
    </w:p>
    <w:p w14:paraId="31798771">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递交方式：</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网上提交。</w:t>
      </w:r>
    </w:p>
    <w:p w14:paraId="4EAB885C">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b w:val="0"/>
          <w:color w:val="000000" w:themeColor="text1"/>
          <w:sz w:val="24"/>
          <w:szCs w:val="24"/>
          <w:highlight w:val="none"/>
          <w:lang w:val="en-US" w:eastAsia="zh-CN"/>
          <w14:textFill>
            <w14:solidFill>
              <w14:schemeClr w14:val="tx1"/>
            </w14:solidFill>
          </w14:textFill>
        </w:rPr>
        <w:t>注：供应商无需到达开标地点，须在"政采云"平台远程解密、开标的要求，须在规定时间完成签到、在线解密、开标一览表确认等相关操作,若供应商没有在规定时间完成以上相关操作，则视为撤销其响应文件，不再进入评标阶段。开标过程中如有问题，可以发起在线异议，由代理机构给予对应的回复。请供应商提前熟悉"政采云"平台操作手册。任何因忽视或误解而导致响应文件未上传或已上传但未按规定的操作流程及时间要求进行解密的，由供应商自行负责。</w:t>
      </w:r>
    </w:p>
    <w:p w14:paraId="510EE677">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五、开启</w:t>
      </w:r>
    </w:p>
    <w:p w14:paraId="210EBF7B">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时间：</w:t>
      </w:r>
      <w:r>
        <w:rPr>
          <w:rFonts w:hint="eastAsia" w:ascii="仿宋" w:hAnsi="仿宋" w:eastAsia="仿宋" w:cs="仿宋"/>
          <w:b/>
          <w:bCs/>
          <w:color w:val="000000" w:themeColor="text1"/>
          <w:kern w:val="2"/>
          <w:sz w:val="24"/>
          <w:szCs w:val="24"/>
          <w:highlight w:val="none"/>
          <w:lang w:val="en-US" w:eastAsia="zh-CN"/>
          <w14:textFill>
            <w14:solidFill>
              <w14:schemeClr w14:val="tx1"/>
            </w14:solidFill>
          </w14:textFill>
        </w:rPr>
        <w:t>2025年06月10日09点00分</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（北京时间）</w:t>
      </w:r>
    </w:p>
    <w:p w14:paraId="67972067">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地点：通过“政采云”平台在线提交（政采云平台</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fldChar w:fldCharType="begin"/>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instrText xml:space="preserve"> HYPERLINK "https://www.zcygov.cn/）。" </w:instrTex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fldChar w:fldCharType="separate"/>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https://www.zcygov.cn/）</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fldChar w:fldCharType="end"/>
      </w:r>
      <w:r>
        <w:rPr>
          <w:rFonts w:hint="eastAsia" w:ascii="仿宋" w:hAnsi="仿宋" w:eastAsia="仿宋" w:cs="仿宋"/>
          <w:b w:val="0"/>
          <w:bCs w:val="0"/>
          <w:color w:val="000000" w:themeColor="text1"/>
          <w:kern w:val="2"/>
          <w:sz w:val="24"/>
          <w:szCs w:val="24"/>
          <w:highlight w:val="none"/>
          <w14:textFill>
            <w14:solidFill>
              <w14:schemeClr w14:val="tx1"/>
            </w14:solidFill>
          </w14:textFill>
        </w:rPr>
        <w:t>(供应商无需到现场）</w:t>
      </w:r>
      <w:r>
        <w:rPr>
          <w:rFonts w:hint="eastAsia" w:ascii="仿宋" w:hAnsi="仿宋" w:eastAsia="仿宋" w:cs="仿宋"/>
          <w:b w:val="0"/>
          <w:bCs w:val="0"/>
          <w:color w:val="000000" w:themeColor="text1"/>
          <w:kern w:val="2"/>
          <w:sz w:val="24"/>
          <w:szCs w:val="24"/>
          <w:highlight w:val="none"/>
          <w:lang w:eastAsia="zh-CN"/>
          <w14:textFill>
            <w14:solidFill>
              <w14:schemeClr w14:val="tx1"/>
            </w14:solidFill>
          </w14:textFill>
        </w:rPr>
        <w:t>。</w:t>
      </w:r>
    </w:p>
    <w:p w14:paraId="32F7AFE9">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六、公告期限</w:t>
      </w:r>
    </w:p>
    <w:p w14:paraId="21937243">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自本公告发布之日起5个工作日。</w:t>
      </w:r>
    </w:p>
    <w:p w14:paraId="2E5AA4EC">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本次采购公告同时在“云南省政府采购网”、“政府采购云平台”上发布，供应商应在递交投标文件前随时查看，以获取最新信息。因供应商未及时查看网站信息导致的一切不利后果由供应商自负。对其他网站或媒体转载的公告内容采购人和采购代理机构不承担任何责任。</w:t>
      </w:r>
    </w:p>
    <w:p w14:paraId="073F63A2">
      <w:pPr>
        <w:pStyle w:val="3"/>
        <w:keepNext/>
        <w:keepLines/>
        <w:pageBreakBefore w:val="0"/>
        <w:widowControl w:val="0"/>
        <w:numPr>
          <w:ilvl w:val="1"/>
          <w:numId w:val="0"/>
        </w:numPr>
        <w:kinsoku/>
        <w:wordWrap/>
        <w:overflowPunct/>
        <w:topLinePunct w:val="0"/>
        <w:autoSpaceDE/>
        <w:autoSpaceDN/>
        <w:bidi w:val="0"/>
        <w:adjustRightInd/>
        <w:snapToGrid/>
        <w:spacing w:before="0" w:after="0" w:line="540" w:lineRule="exact"/>
        <w:ind w:left="425" w:leftChars="0"/>
        <w:jc w:val="both"/>
        <w:textAlignment w:val="auto"/>
        <w:outlineLvl w:val="0"/>
        <w:rPr>
          <w:rFonts w:hint="eastAsia" w:ascii="仿宋" w:hAnsi="仿宋" w:eastAsia="仿宋" w:cs="仿宋"/>
          <w:b/>
          <w:bCs w:val="0"/>
          <w:color w:val="000000" w:themeColor="text1"/>
          <w:sz w:val="28"/>
          <w:szCs w:val="28"/>
          <w:highlight w:val="none"/>
          <w14:textFill>
            <w14:solidFill>
              <w14:schemeClr w14:val="tx1"/>
            </w14:solidFill>
          </w14:textFill>
        </w:rPr>
      </w:pP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七、</w:t>
      </w:r>
      <w:r>
        <w:rPr>
          <w:rFonts w:hint="eastAsia" w:ascii="仿宋" w:hAnsi="仿宋" w:eastAsia="仿宋" w:cs="仿宋"/>
          <w:b/>
          <w:bCs w:val="0"/>
          <w:color w:val="000000" w:themeColor="text1"/>
          <w:sz w:val="28"/>
          <w:szCs w:val="28"/>
          <w:highlight w:val="none"/>
          <w14:textFill>
            <w14:solidFill>
              <w14:schemeClr w14:val="tx1"/>
            </w14:solidFill>
          </w14:textFill>
        </w:rPr>
        <w:t>其他补充事宜</w:t>
      </w:r>
    </w:p>
    <w:p w14:paraId="13AC7D2F">
      <w:pPr>
        <w:keepNext w:val="0"/>
        <w:keepLines w:val="0"/>
        <w:pageBreakBefore w:val="0"/>
        <w:widowControl/>
        <w:suppressLineNumbers w:val="0"/>
        <w:kinsoku/>
        <w:wordWrap/>
        <w:overflowPunct/>
        <w:topLinePunct w:val="0"/>
        <w:autoSpaceDE w:val="0"/>
        <w:autoSpaceDN w:val="0"/>
        <w:bidi w:val="0"/>
        <w:adjustRightInd/>
        <w:snapToGrid/>
        <w:spacing w:before="0" w:line="520" w:lineRule="exact"/>
        <w:ind w:left="0" w:leftChars="0" w:right="0" w:firstLine="480" w:firstLineChars="200"/>
        <w:jc w:val="left"/>
        <w:textAlignment w:val="auto"/>
        <w:rPr>
          <w:rFonts w:hint="eastAsia" w:ascii="仿宋" w:hAnsi="仿宋" w:eastAsia="仿宋" w:cs="仿宋"/>
          <w:b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color w:val="000000" w:themeColor="text1"/>
          <w:sz w:val="24"/>
          <w:szCs w:val="24"/>
          <w:highlight w:val="none"/>
          <w:lang w:val="en-US" w:eastAsia="zh-CN"/>
          <w14:textFill>
            <w14:solidFill>
              <w14:schemeClr w14:val="tx1"/>
            </w14:solidFill>
          </w14:textFill>
        </w:rPr>
        <w:t>（一）是否需要缴纳投标保证金：否</w:t>
      </w:r>
    </w:p>
    <w:p w14:paraId="00C178A3">
      <w:pPr>
        <w:keepNext w:val="0"/>
        <w:keepLines w:val="0"/>
        <w:pageBreakBefore w:val="0"/>
        <w:widowControl/>
        <w:suppressLineNumbers w:val="0"/>
        <w:kinsoku/>
        <w:wordWrap/>
        <w:overflowPunct/>
        <w:topLinePunct w:val="0"/>
        <w:autoSpaceDE w:val="0"/>
        <w:autoSpaceDN w:val="0"/>
        <w:bidi w:val="0"/>
        <w:adjustRightInd/>
        <w:snapToGrid/>
        <w:spacing w:before="0" w:line="520" w:lineRule="exact"/>
        <w:ind w:left="0" w:leftChars="0" w:right="0" w:firstLine="480" w:firstLineChars="200"/>
        <w:jc w:val="left"/>
        <w:textAlignment w:val="auto"/>
        <w:rPr>
          <w:rFonts w:hint="eastAsia" w:ascii="仿宋" w:hAnsi="仿宋" w:eastAsia="仿宋" w:cs="仿宋"/>
          <w:b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color w:val="000000" w:themeColor="text1"/>
          <w:sz w:val="24"/>
          <w:szCs w:val="24"/>
          <w:highlight w:val="none"/>
          <w:lang w:val="en-US" w:eastAsia="zh-CN"/>
          <w14:textFill>
            <w14:solidFill>
              <w14:schemeClr w14:val="tx1"/>
            </w14:solidFill>
          </w14:textFill>
        </w:rPr>
        <w:t>（二）开标方式：网上智能开标：</w:t>
      </w:r>
    </w:p>
    <w:p w14:paraId="3DE0008F">
      <w:pPr>
        <w:keepNext w:val="0"/>
        <w:keepLines w:val="0"/>
        <w:pageBreakBefore w:val="0"/>
        <w:widowControl/>
        <w:suppressLineNumbers w:val="0"/>
        <w:kinsoku/>
        <w:wordWrap/>
        <w:overflowPunct/>
        <w:topLinePunct w:val="0"/>
        <w:autoSpaceDE w:val="0"/>
        <w:autoSpaceDN w:val="0"/>
        <w:bidi w:val="0"/>
        <w:adjustRightInd/>
        <w:snapToGrid/>
        <w:spacing w:before="0" w:line="520" w:lineRule="exact"/>
        <w:ind w:left="0" w:leftChars="0" w:right="0" w:firstLine="480" w:firstLineChars="200"/>
        <w:jc w:val="left"/>
        <w:textAlignment w:val="auto"/>
        <w:rPr>
          <w:rFonts w:hint="eastAsia" w:ascii="仿宋" w:hAnsi="仿宋" w:eastAsia="仿宋" w:cs="仿宋"/>
          <w:b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color w:val="000000" w:themeColor="text1"/>
          <w:sz w:val="24"/>
          <w:szCs w:val="24"/>
          <w:highlight w:val="none"/>
          <w:lang w:val="en-US" w:eastAsia="zh-CN"/>
          <w14:textFill>
            <w14:solidFill>
              <w14:schemeClr w14:val="tx1"/>
            </w14:solidFill>
          </w14:textFill>
        </w:rPr>
        <w:t>（1）该项目通过网上远程解密响应文件，供应商无需到现场参与响应文件解密环节。代理机构通过远程在线开标系统下达“网上解密”指令后，供应商应在规定的响应文件解密时间（下达远程解密命令后30分钟）内，使用对本项目响应文件进行加密的数字证书完成本单位所有响应文件解密操作。如若未在规定的解密时间内完成解密操作或因供应商自身原因致使其响应文件未成功解密的响应视为无效。</w:t>
      </w:r>
    </w:p>
    <w:p w14:paraId="1E5F6D7C">
      <w:pPr>
        <w:keepNext w:val="0"/>
        <w:keepLines w:val="0"/>
        <w:pageBreakBefore w:val="0"/>
        <w:widowControl/>
        <w:suppressLineNumbers w:val="0"/>
        <w:kinsoku/>
        <w:wordWrap/>
        <w:overflowPunct/>
        <w:topLinePunct w:val="0"/>
        <w:autoSpaceDE w:val="0"/>
        <w:autoSpaceDN w:val="0"/>
        <w:bidi w:val="0"/>
        <w:adjustRightInd/>
        <w:snapToGrid/>
        <w:spacing w:before="0" w:line="520" w:lineRule="exact"/>
        <w:ind w:left="0" w:leftChars="0" w:right="0" w:firstLine="480" w:firstLineChars="200"/>
        <w:jc w:val="left"/>
        <w:textAlignment w:val="auto"/>
        <w:rPr>
          <w:rFonts w:hint="eastAsia" w:ascii="仿宋" w:hAnsi="仿宋" w:eastAsia="仿宋" w:cs="仿宋"/>
          <w:b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color w:val="000000" w:themeColor="text1"/>
          <w:sz w:val="24"/>
          <w:szCs w:val="24"/>
          <w:highlight w:val="none"/>
          <w:lang w:val="en-US" w:eastAsia="zh-CN"/>
          <w14:textFill>
            <w14:solidFill>
              <w14:schemeClr w14:val="tx1"/>
            </w14:solidFill>
          </w14:textFill>
        </w:rPr>
        <w:t>（2）各供应商应在开标前确保成为政采云平台供应商，并完成CA数字证书申领。因未注册入库、未办理CA数字证书等原因造成无法投标或投标失败等后果由供应商自行承担。凡有意参加投标的投标人，须在政采云平台办理数字证书（CA）CA申领链接：https://middle.zcygov.cn/ca/apply/list?_app_=zcy.sys，并通过政采云绑定数字证书（CA）后在网上获取采购文件及其它采购资料，数字证书（CA）详见其办理流程；</w:t>
      </w:r>
    </w:p>
    <w:p w14:paraId="3E6595B7">
      <w:pPr>
        <w:pStyle w:val="32"/>
        <w:pageBreakBefore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color w:val="000000" w:themeColor="text1"/>
          <w:sz w:val="24"/>
          <w:szCs w:val="24"/>
          <w:highlight w:val="none"/>
          <w:lang w:val="en-US" w:eastAsia="zh-CN"/>
          <w14:textFill>
            <w14:solidFill>
              <w14:schemeClr w14:val="tx1"/>
            </w14:solidFill>
          </w14:textFill>
        </w:rPr>
        <w:t>（3）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以及云南CA操作问题：请致电云南CA，4006727666；云南CA紧急联系方式：15288315056。如因供应商自身原因导致在规定时间内无法正常解密的（如：浏览器故障、未安装相关驱动、网络故障、加密CA与解密CA不一致等），代理机构不予异常处理，视为供应商自动弃标。</w:t>
      </w:r>
    </w:p>
    <w:p w14:paraId="755441CC">
      <w:pPr>
        <w:keepNext w:val="0"/>
        <w:keepLines w:val="0"/>
        <w:pageBreakBefore w:val="0"/>
        <w:widowControl w:val="0"/>
        <w:kinsoku/>
        <w:wordWrap/>
        <w:overflowPunct/>
        <w:topLinePunct w:val="0"/>
        <w:autoSpaceDE/>
        <w:autoSpaceDN/>
        <w:bidi w:val="0"/>
        <w:adjustRightInd/>
        <w:snapToGrid/>
        <w:spacing w:after="0" w:line="560" w:lineRule="exact"/>
        <w:ind w:firstLine="562" w:firstLineChars="200"/>
        <w:jc w:val="both"/>
        <w:textAlignment w:val="auto"/>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kern w:val="2"/>
          <w:sz w:val="28"/>
          <w:szCs w:val="28"/>
          <w:highlight w:val="none"/>
          <w:lang w:val="en-US" w:eastAsia="zh-CN"/>
          <w14:textFill>
            <w14:solidFill>
              <w14:schemeClr w14:val="tx1"/>
            </w14:solidFill>
          </w14:textFill>
        </w:rPr>
        <w:t>八、凡对本次采购提出询问，请按以下方式联系。</w:t>
      </w:r>
    </w:p>
    <w:p w14:paraId="41E1DCBC">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1.采购人信息</w:t>
      </w:r>
    </w:p>
    <w:p w14:paraId="4418E007">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名    称：文山市水务局</w:t>
      </w:r>
    </w:p>
    <w:p w14:paraId="3FC5F965">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地    址：文山壮族苗族自治州文山市新闻路46号</w:t>
      </w:r>
    </w:p>
    <w:p w14:paraId="33277902">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联系方式：0876-2195160</w:t>
      </w:r>
    </w:p>
    <w:p w14:paraId="09E2210C">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2.采购代理机构信息</w:t>
      </w:r>
    </w:p>
    <w:p w14:paraId="3F4BD0E4">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名    称：云南方圆工程咨询有限公司</w:t>
      </w:r>
    </w:p>
    <w:p w14:paraId="12CF64C4">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 xml:space="preserve">地　　址：云南省文山壮族苗族自治州文山市卧龙街道大以古社区城北片区州委州政府北侧凤凰时代F1-25号商铺 </w:t>
      </w:r>
    </w:p>
    <w:p w14:paraId="6AF837F9">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联系方式：0876-8841989</w:t>
      </w:r>
    </w:p>
    <w:p w14:paraId="0616AB35">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3.项目联系方式</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ab/>
      </w:r>
    </w:p>
    <w:p w14:paraId="165A128F">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项目联系人：谭香</w:t>
      </w:r>
    </w:p>
    <w:p w14:paraId="12B02ABC">
      <w:pPr>
        <w:keepNext w:val="0"/>
        <w:keepLines w:val="0"/>
        <w:pageBreakBefore w:val="0"/>
        <w:widowControl w:val="0"/>
        <w:kinsoku/>
        <w:wordWrap/>
        <w:overflowPunct/>
        <w:topLinePunct w:val="0"/>
        <w:autoSpaceDE/>
        <w:autoSpaceDN/>
        <w:bidi w:val="0"/>
        <w:adjustRightInd/>
        <w:snapToGrid/>
        <w:spacing w:after="0" w:line="560" w:lineRule="exact"/>
        <w:ind w:firstLine="480" w:firstLineChars="200"/>
        <w:jc w:val="both"/>
        <w:textAlignment w:val="auto"/>
        <w:rPr>
          <w:rFonts w:hint="eastAsia" w:ascii="仿宋" w:hAnsi="仿宋" w:eastAsia="仿宋" w:cs="仿宋"/>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电　　  话：0876-8841989</w:t>
      </w:r>
    </w:p>
    <w:p w14:paraId="4383238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0EDB48D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364FEF22">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p>
    <w:bookmarkEnd w:id="14"/>
    <w:bookmarkEnd w:id="15"/>
    <w:bookmarkEnd w:id="16"/>
    <w:p w14:paraId="751DAE72">
      <w:pPr>
        <w:rPr>
          <w:rFonts w:hint="eastAsia" w:ascii="仿宋" w:hAnsi="仿宋" w:eastAsia="仿宋" w:cs="仿宋"/>
          <w:b/>
          <w:bCs/>
          <w:color w:val="000000" w:themeColor="text1"/>
          <w:kern w:val="2"/>
          <w:sz w:val="30"/>
          <w:szCs w:val="30"/>
          <w:highlight w:val="none"/>
          <w14:textFill>
            <w14:solidFill>
              <w14:schemeClr w14:val="tx1"/>
            </w14:solidFill>
          </w14:textFill>
        </w:rPr>
      </w:pPr>
      <w:bookmarkStart w:id="27" w:name="_Toc5210"/>
      <w:bookmarkStart w:id="28" w:name="_Toc15839"/>
      <w:bookmarkStart w:id="29" w:name="_Toc4231"/>
      <w:r>
        <w:rPr>
          <w:rFonts w:hint="eastAsia" w:ascii="仿宋" w:hAnsi="仿宋" w:eastAsia="仿宋" w:cs="仿宋"/>
          <w:b/>
          <w:bCs/>
          <w:color w:val="000000" w:themeColor="text1"/>
          <w:kern w:val="2"/>
          <w:sz w:val="30"/>
          <w:szCs w:val="30"/>
          <w:highlight w:val="none"/>
          <w14:textFill>
            <w14:solidFill>
              <w14:schemeClr w14:val="tx1"/>
            </w14:solidFill>
          </w14:textFill>
        </w:rPr>
        <w:br w:type="page"/>
      </w:r>
    </w:p>
    <w:p w14:paraId="1DBF0266">
      <w:pPr>
        <w:pStyle w:val="2"/>
        <w:bidi w:val="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第二章</w:t>
      </w:r>
      <w:r>
        <w:rPr>
          <w:rFonts w:hint="eastAsia" w:ascii="仿宋" w:hAnsi="仿宋" w:eastAsia="仿宋" w:cs="仿宋"/>
          <w:color w:val="000000" w:themeColor="text1"/>
          <w:highlight w:val="none"/>
          <w:lang w:val="en-US" w:eastAsia="zh-CN"/>
          <w14:textFill>
            <w14:solidFill>
              <w14:schemeClr w14:val="tx1"/>
            </w14:solidFill>
          </w14:textFill>
        </w:rPr>
        <w:t xml:space="preserve"> 供应商</w:t>
      </w:r>
      <w:r>
        <w:rPr>
          <w:rFonts w:hint="eastAsia" w:ascii="仿宋" w:hAnsi="仿宋" w:eastAsia="仿宋" w:cs="仿宋"/>
          <w:color w:val="000000" w:themeColor="text1"/>
          <w:highlight w:val="none"/>
          <w14:textFill>
            <w14:solidFill>
              <w14:schemeClr w14:val="tx1"/>
            </w14:solidFill>
          </w14:textFill>
        </w:rPr>
        <w:t>须知</w:t>
      </w:r>
      <w:bookmarkEnd w:id="27"/>
      <w:bookmarkEnd w:id="28"/>
      <w:bookmarkEnd w:id="29"/>
    </w:p>
    <w:p w14:paraId="15D0AFAA">
      <w:pPr>
        <w:spacing w:line="360" w:lineRule="auto"/>
        <w:jc w:val="center"/>
        <w:outlineLvl w:val="1"/>
        <w:rPr>
          <w:rFonts w:hint="eastAsia" w:ascii="仿宋" w:hAnsi="仿宋" w:eastAsia="仿宋" w:cs="仿宋"/>
          <w:b/>
          <w:color w:val="000000" w:themeColor="text1"/>
          <w:sz w:val="28"/>
          <w:highlight w:val="none"/>
          <w14:textFill>
            <w14:solidFill>
              <w14:schemeClr w14:val="tx1"/>
            </w14:solidFill>
          </w14:textFill>
        </w:rPr>
      </w:pPr>
      <w:bookmarkStart w:id="30" w:name="_Toc517963430"/>
      <w:bookmarkStart w:id="31" w:name="_Toc4217"/>
      <w:r>
        <w:rPr>
          <w:rFonts w:hint="eastAsia" w:ascii="仿宋" w:hAnsi="仿宋" w:eastAsia="仿宋" w:cs="仿宋"/>
          <w:b/>
          <w:color w:val="000000" w:themeColor="text1"/>
          <w:sz w:val="28"/>
          <w:highlight w:val="none"/>
          <w:lang w:eastAsia="zh-CN"/>
          <w14:textFill>
            <w14:solidFill>
              <w14:schemeClr w14:val="tx1"/>
            </w14:solidFill>
          </w14:textFill>
        </w:rPr>
        <w:t>供应商</w:t>
      </w:r>
      <w:r>
        <w:rPr>
          <w:rFonts w:hint="eastAsia" w:ascii="仿宋" w:hAnsi="仿宋" w:eastAsia="仿宋" w:cs="仿宋"/>
          <w:b/>
          <w:color w:val="000000" w:themeColor="text1"/>
          <w:sz w:val="28"/>
          <w:highlight w:val="none"/>
          <w:lang w:bidi="zh-CN"/>
          <w14:textFill>
            <w14:solidFill>
              <w14:schemeClr w14:val="tx1"/>
            </w14:solidFill>
          </w14:textFill>
        </w:rPr>
        <w:t>须知</w:t>
      </w:r>
      <w:r>
        <w:rPr>
          <w:rFonts w:hint="eastAsia" w:ascii="仿宋" w:hAnsi="仿宋" w:eastAsia="仿宋" w:cs="仿宋"/>
          <w:b/>
          <w:color w:val="000000" w:themeColor="text1"/>
          <w:sz w:val="28"/>
          <w:highlight w:val="none"/>
          <w14:textFill>
            <w14:solidFill>
              <w14:schemeClr w14:val="tx1"/>
            </w14:solidFill>
          </w14:textFill>
        </w:rPr>
        <w:t>前</w:t>
      </w:r>
      <w:bookmarkEnd w:id="30"/>
      <w:r>
        <w:rPr>
          <w:rFonts w:hint="eastAsia" w:ascii="仿宋" w:hAnsi="仿宋" w:eastAsia="仿宋" w:cs="仿宋"/>
          <w:b/>
          <w:color w:val="000000" w:themeColor="text1"/>
          <w:sz w:val="28"/>
          <w:highlight w:val="none"/>
          <w14:textFill>
            <w14:solidFill>
              <w14:schemeClr w14:val="tx1"/>
            </w14:solidFill>
          </w14:textFill>
        </w:rPr>
        <w:t>附表</w:t>
      </w:r>
      <w:bookmarkEnd w:id="31"/>
    </w:p>
    <w:tbl>
      <w:tblPr>
        <w:tblStyle w:val="28"/>
        <w:tblW w:w="97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5"/>
        <w:gridCol w:w="1695"/>
        <w:gridCol w:w="7275"/>
      </w:tblGrid>
      <w:tr w14:paraId="2195D7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9" w:hRule="atLeast"/>
          <w:jc w:val="center"/>
        </w:trPr>
        <w:tc>
          <w:tcPr>
            <w:tcW w:w="825" w:type="dxa"/>
            <w:noWrap w:val="0"/>
            <w:vAlign w:val="center"/>
          </w:tcPr>
          <w:p w14:paraId="43DE6779">
            <w:pPr>
              <w:spacing w:after="0" w:line="360" w:lineRule="auto"/>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条款号</w:t>
            </w:r>
          </w:p>
        </w:tc>
        <w:tc>
          <w:tcPr>
            <w:tcW w:w="1695" w:type="dxa"/>
            <w:noWrap w:val="0"/>
            <w:vAlign w:val="center"/>
          </w:tcPr>
          <w:p w14:paraId="72D4A925">
            <w:pPr>
              <w:spacing w:after="0" w:line="360" w:lineRule="auto"/>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条 款 名 称</w:t>
            </w:r>
          </w:p>
        </w:tc>
        <w:tc>
          <w:tcPr>
            <w:tcW w:w="7275" w:type="dxa"/>
            <w:noWrap w:val="0"/>
            <w:vAlign w:val="top"/>
          </w:tcPr>
          <w:p w14:paraId="732D9B5C">
            <w:pPr>
              <w:spacing w:after="0" w:line="360" w:lineRule="auto"/>
              <w:jc w:val="center"/>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编 列 内 容</w:t>
            </w:r>
          </w:p>
        </w:tc>
      </w:tr>
      <w:tr w14:paraId="20C6E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7" w:hRule="atLeast"/>
          <w:jc w:val="center"/>
        </w:trPr>
        <w:tc>
          <w:tcPr>
            <w:tcW w:w="825" w:type="dxa"/>
            <w:noWrap w:val="0"/>
            <w:vAlign w:val="center"/>
          </w:tcPr>
          <w:p w14:paraId="65D6366C">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1.1.2</w:t>
            </w:r>
          </w:p>
        </w:tc>
        <w:tc>
          <w:tcPr>
            <w:tcW w:w="1695" w:type="dxa"/>
            <w:noWrap w:val="0"/>
            <w:vAlign w:val="center"/>
          </w:tcPr>
          <w:p w14:paraId="46F8ECF9">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采购人</w:t>
            </w:r>
          </w:p>
        </w:tc>
        <w:tc>
          <w:tcPr>
            <w:tcW w:w="7275" w:type="dxa"/>
            <w:noWrap w:val="0"/>
            <w:vAlign w:val="center"/>
          </w:tcPr>
          <w:p w14:paraId="7FBDA2D1">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采购人：文山市水务局</w:t>
            </w:r>
          </w:p>
          <w:p w14:paraId="363ED3F3">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地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lang w:eastAsia="zh-CN"/>
                <w14:textFill>
                  <w14:solidFill>
                    <w14:schemeClr w14:val="tx1"/>
                  </w14:solidFill>
                </w14:textFill>
              </w:rPr>
              <w:t>址：文山壮族苗族自治州文山市新闻路46号</w:t>
            </w:r>
          </w:p>
          <w:p w14:paraId="5785E0D7">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联系人：郑文光</w:t>
            </w:r>
          </w:p>
          <w:p w14:paraId="791DE814">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电  话：0876-2195160</w:t>
            </w:r>
          </w:p>
        </w:tc>
      </w:tr>
      <w:tr w14:paraId="4931C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08" w:hRule="atLeast"/>
          <w:jc w:val="center"/>
        </w:trPr>
        <w:tc>
          <w:tcPr>
            <w:tcW w:w="825" w:type="dxa"/>
            <w:noWrap w:val="0"/>
            <w:vAlign w:val="center"/>
          </w:tcPr>
          <w:p w14:paraId="260D0863">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1.1.3</w:t>
            </w:r>
          </w:p>
        </w:tc>
        <w:tc>
          <w:tcPr>
            <w:tcW w:w="1695" w:type="dxa"/>
            <w:noWrap w:val="0"/>
            <w:vAlign w:val="center"/>
          </w:tcPr>
          <w:p w14:paraId="2163407A">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采购代理机构</w:t>
            </w:r>
          </w:p>
        </w:tc>
        <w:tc>
          <w:tcPr>
            <w:tcW w:w="7275" w:type="dxa"/>
            <w:noWrap w:val="0"/>
            <w:vAlign w:val="top"/>
          </w:tcPr>
          <w:p w14:paraId="40593F51">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名  称：</w:t>
            </w:r>
            <w:r>
              <w:rPr>
                <w:rFonts w:hint="eastAsia" w:ascii="仿宋" w:hAnsi="仿宋" w:eastAsia="仿宋" w:cs="仿宋"/>
                <w:color w:val="000000" w:themeColor="text1"/>
                <w:sz w:val="24"/>
                <w:szCs w:val="24"/>
                <w:highlight w:val="none"/>
                <w:lang w:eastAsia="zh-CN"/>
                <w14:textFill>
                  <w14:solidFill>
                    <w14:schemeClr w14:val="tx1"/>
                  </w14:solidFill>
                </w14:textFill>
              </w:rPr>
              <w:t>云南方圆工程咨询有限公司</w:t>
            </w:r>
          </w:p>
          <w:p w14:paraId="638B1E20">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址：</w:t>
            </w:r>
            <w:r>
              <w:rPr>
                <w:rFonts w:hint="eastAsia" w:ascii="仿宋" w:hAnsi="仿宋" w:eastAsia="仿宋" w:cs="仿宋"/>
                <w:color w:val="000000" w:themeColor="text1"/>
                <w:sz w:val="24"/>
                <w:szCs w:val="24"/>
                <w:highlight w:val="none"/>
                <w:lang w:eastAsia="zh-CN"/>
                <w14:textFill>
                  <w14:solidFill>
                    <w14:schemeClr w14:val="tx1"/>
                  </w14:solidFill>
                </w14:textFill>
              </w:rPr>
              <w:t>云南省文山壮族苗族自治州文山市卧龙街道大以古社区城北片区州委州政府北侧凤凰时代F1-25号商铺</w:t>
            </w:r>
          </w:p>
          <w:p w14:paraId="302DE717">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联系人：</w:t>
            </w:r>
            <w:r>
              <w:rPr>
                <w:rFonts w:hint="eastAsia" w:ascii="仿宋" w:hAnsi="仿宋" w:eastAsia="仿宋" w:cs="仿宋"/>
                <w:color w:val="000000" w:themeColor="text1"/>
                <w:sz w:val="24"/>
                <w:szCs w:val="24"/>
                <w:highlight w:val="none"/>
                <w:lang w:val="en-US" w:eastAsia="zh-CN"/>
                <w14:textFill>
                  <w14:solidFill>
                    <w14:schemeClr w14:val="tx1"/>
                  </w14:solidFill>
                </w14:textFill>
              </w:rPr>
              <w:t>谭香</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0B4DAB74">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  话：</w:t>
            </w:r>
            <w:r>
              <w:rPr>
                <w:rFonts w:hint="eastAsia" w:ascii="仿宋" w:hAnsi="仿宋" w:eastAsia="仿宋" w:cs="仿宋"/>
                <w:color w:val="000000" w:themeColor="text1"/>
                <w:sz w:val="24"/>
                <w:szCs w:val="24"/>
                <w:highlight w:val="none"/>
                <w:lang w:eastAsia="zh-CN"/>
                <w14:textFill>
                  <w14:solidFill>
                    <w14:schemeClr w14:val="tx1"/>
                  </w14:solidFill>
                </w14:textFill>
              </w:rPr>
              <w:t>0876-8841989</w:t>
            </w:r>
            <w:r>
              <w:rPr>
                <w:rFonts w:hint="eastAsia" w:ascii="仿宋" w:hAnsi="仿宋" w:eastAsia="仿宋" w:cs="仿宋"/>
                <w:color w:val="000000" w:themeColor="text1"/>
                <w:sz w:val="24"/>
                <w:szCs w:val="24"/>
                <w:highlight w:val="none"/>
                <w14:textFill>
                  <w14:solidFill>
                    <w14:schemeClr w14:val="tx1"/>
                  </w14:solidFill>
                </w14:textFill>
              </w:rPr>
              <w:t>　</w:t>
            </w:r>
          </w:p>
        </w:tc>
      </w:tr>
      <w:tr w14:paraId="54ABF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jc w:val="center"/>
        </w:trPr>
        <w:tc>
          <w:tcPr>
            <w:tcW w:w="825" w:type="dxa"/>
            <w:noWrap w:val="0"/>
            <w:vAlign w:val="center"/>
          </w:tcPr>
          <w:p w14:paraId="1CF728A5">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1.1.4</w:t>
            </w:r>
          </w:p>
        </w:tc>
        <w:tc>
          <w:tcPr>
            <w:tcW w:w="1695" w:type="dxa"/>
            <w:noWrap w:val="0"/>
            <w:vAlign w:val="center"/>
          </w:tcPr>
          <w:p w14:paraId="168DA48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项目名称</w:t>
            </w:r>
          </w:p>
        </w:tc>
        <w:tc>
          <w:tcPr>
            <w:tcW w:w="7275" w:type="dxa"/>
            <w:noWrap w:val="0"/>
            <w:vAlign w:val="center"/>
          </w:tcPr>
          <w:p w14:paraId="52524C77">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文山市2025年度山洪灾害防治及维修养护项目</w:t>
            </w:r>
          </w:p>
        </w:tc>
      </w:tr>
      <w:tr w14:paraId="3BD65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7" w:hRule="atLeast"/>
          <w:jc w:val="center"/>
        </w:trPr>
        <w:tc>
          <w:tcPr>
            <w:tcW w:w="825" w:type="dxa"/>
            <w:noWrap w:val="0"/>
            <w:vAlign w:val="center"/>
          </w:tcPr>
          <w:p w14:paraId="1AEBD48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1.1.5</w:t>
            </w:r>
          </w:p>
        </w:tc>
        <w:tc>
          <w:tcPr>
            <w:tcW w:w="1695" w:type="dxa"/>
            <w:noWrap w:val="0"/>
            <w:vAlign w:val="center"/>
          </w:tcPr>
          <w:p w14:paraId="3A2116FD">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项目地点</w:t>
            </w:r>
          </w:p>
        </w:tc>
        <w:tc>
          <w:tcPr>
            <w:tcW w:w="7275" w:type="dxa"/>
            <w:noWrap w:val="0"/>
            <w:vAlign w:val="center"/>
          </w:tcPr>
          <w:p w14:paraId="080CABF7">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文山市境内</w:t>
            </w:r>
          </w:p>
        </w:tc>
      </w:tr>
      <w:tr w14:paraId="3F9C8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825" w:type="dxa"/>
            <w:noWrap w:val="0"/>
            <w:vAlign w:val="center"/>
          </w:tcPr>
          <w:p w14:paraId="300260F4">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1.2.1</w:t>
            </w:r>
          </w:p>
        </w:tc>
        <w:tc>
          <w:tcPr>
            <w:tcW w:w="1695" w:type="dxa"/>
            <w:noWrap w:val="0"/>
            <w:vAlign w:val="center"/>
          </w:tcPr>
          <w:p w14:paraId="2832914D">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资金来源</w:t>
            </w:r>
          </w:p>
        </w:tc>
        <w:tc>
          <w:tcPr>
            <w:tcW w:w="7275" w:type="dxa"/>
            <w:noWrap w:val="0"/>
            <w:vAlign w:val="center"/>
          </w:tcPr>
          <w:p w14:paraId="65BC95C9">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财政资金</w:t>
            </w:r>
          </w:p>
        </w:tc>
      </w:tr>
      <w:tr w14:paraId="20B38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jc w:val="center"/>
        </w:trPr>
        <w:tc>
          <w:tcPr>
            <w:tcW w:w="825" w:type="dxa"/>
            <w:noWrap w:val="0"/>
            <w:vAlign w:val="center"/>
          </w:tcPr>
          <w:p w14:paraId="52DD04F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1.2.2</w:t>
            </w:r>
          </w:p>
        </w:tc>
        <w:tc>
          <w:tcPr>
            <w:tcW w:w="1695" w:type="dxa"/>
            <w:noWrap w:val="0"/>
            <w:vAlign w:val="center"/>
          </w:tcPr>
          <w:p w14:paraId="23985EAD">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资金落实情况</w:t>
            </w:r>
          </w:p>
        </w:tc>
        <w:tc>
          <w:tcPr>
            <w:tcW w:w="7275" w:type="dxa"/>
            <w:noWrap w:val="0"/>
            <w:vAlign w:val="center"/>
          </w:tcPr>
          <w:p w14:paraId="505E17AC">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已落实</w:t>
            </w:r>
          </w:p>
        </w:tc>
      </w:tr>
      <w:tr w14:paraId="33FA4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7" w:hRule="atLeast"/>
          <w:jc w:val="center"/>
        </w:trPr>
        <w:tc>
          <w:tcPr>
            <w:tcW w:w="825" w:type="dxa"/>
            <w:noWrap w:val="0"/>
            <w:vAlign w:val="center"/>
          </w:tcPr>
          <w:p w14:paraId="7F75A21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1.3.1</w:t>
            </w:r>
          </w:p>
        </w:tc>
        <w:tc>
          <w:tcPr>
            <w:tcW w:w="1695" w:type="dxa"/>
            <w:noWrap w:val="0"/>
            <w:vAlign w:val="center"/>
          </w:tcPr>
          <w:p w14:paraId="46E11D29">
            <w:pPr>
              <w:spacing w:after="0" w:line="360" w:lineRule="auto"/>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合同履行期限</w:t>
            </w:r>
          </w:p>
        </w:tc>
        <w:tc>
          <w:tcPr>
            <w:tcW w:w="7275" w:type="dxa"/>
            <w:noWrap w:val="0"/>
            <w:vAlign w:val="center"/>
          </w:tcPr>
          <w:p w14:paraId="576FF652">
            <w:pPr>
              <w:spacing w:after="0" w:line="360" w:lineRule="auto"/>
              <w:jc w:val="both"/>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签订合同后365日历天日内完成供货并验收合格。</w:t>
            </w:r>
          </w:p>
        </w:tc>
      </w:tr>
      <w:tr w14:paraId="20D1D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5" w:hRule="atLeast"/>
          <w:jc w:val="center"/>
        </w:trPr>
        <w:tc>
          <w:tcPr>
            <w:tcW w:w="825" w:type="dxa"/>
            <w:noWrap w:val="0"/>
            <w:vAlign w:val="center"/>
          </w:tcPr>
          <w:p w14:paraId="788F140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1.3.2</w:t>
            </w:r>
          </w:p>
        </w:tc>
        <w:tc>
          <w:tcPr>
            <w:tcW w:w="1695" w:type="dxa"/>
            <w:noWrap w:val="0"/>
            <w:vAlign w:val="center"/>
          </w:tcPr>
          <w:p w14:paraId="305E4475">
            <w:pPr>
              <w:spacing w:after="0" w:line="360" w:lineRule="auto"/>
              <w:jc w:val="center"/>
              <w:rPr>
                <w:rFonts w:hint="default"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采购需求</w:t>
            </w:r>
          </w:p>
        </w:tc>
        <w:tc>
          <w:tcPr>
            <w:tcW w:w="7275" w:type="dxa"/>
            <w:noWrap w:val="0"/>
            <w:vAlign w:val="center"/>
          </w:tcPr>
          <w:p w14:paraId="3076D893">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根据《云南省2025年度山洪灾害防治项目实施方案》（文山州分册）和《文山市2025年度山洪灾害防治非工程措施运行维护实施方案》开展文山市2025年度山洪灾害防治及维修养护项目。项目内容包括但不限于补充新建雨水情监测站点、更新雨水情监测站点、补充现地监测预警设备、宣传栏、培训、演练及山洪灾害监测预警系统维护等，同时满足第五章采购需求。</w:t>
            </w:r>
          </w:p>
        </w:tc>
      </w:tr>
      <w:tr w14:paraId="0837E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5" w:hRule="atLeast"/>
          <w:jc w:val="center"/>
        </w:trPr>
        <w:tc>
          <w:tcPr>
            <w:tcW w:w="825" w:type="dxa"/>
            <w:noWrap w:val="0"/>
            <w:vAlign w:val="center"/>
          </w:tcPr>
          <w:p w14:paraId="666A35B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1.4.1</w:t>
            </w:r>
          </w:p>
        </w:tc>
        <w:tc>
          <w:tcPr>
            <w:tcW w:w="1695" w:type="dxa"/>
            <w:noWrap w:val="0"/>
            <w:vAlign w:val="center"/>
          </w:tcPr>
          <w:p w14:paraId="6CE7EDA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资质条件、能力和信誉</w:t>
            </w:r>
          </w:p>
        </w:tc>
        <w:tc>
          <w:tcPr>
            <w:tcW w:w="7275" w:type="dxa"/>
            <w:noWrap w:val="0"/>
            <w:vAlign w:val="center"/>
          </w:tcPr>
          <w:p w14:paraId="53C85476">
            <w:pPr>
              <w:spacing w:after="0" w:line="360" w:lineRule="auto"/>
              <w:jc w:val="lef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符合第一章竞争性磋商公告“二、供应商的资格要求：”</w:t>
            </w:r>
          </w:p>
        </w:tc>
      </w:tr>
      <w:tr w14:paraId="2E74B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43D0B48E">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1.4.2</w:t>
            </w:r>
          </w:p>
        </w:tc>
        <w:tc>
          <w:tcPr>
            <w:tcW w:w="1695" w:type="dxa"/>
            <w:noWrap w:val="0"/>
            <w:vAlign w:val="center"/>
          </w:tcPr>
          <w:p w14:paraId="071AF1FE">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是否接受联合体磋商</w:t>
            </w:r>
          </w:p>
        </w:tc>
        <w:tc>
          <w:tcPr>
            <w:tcW w:w="7275" w:type="dxa"/>
            <w:noWrap w:val="0"/>
            <w:vAlign w:val="center"/>
          </w:tcPr>
          <w:p w14:paraId="227FAD44">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不接受</w:t>
            </w:r>
          </w:p>
          <w:p w14:paraId="0BFC286D">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本项目接受联合体磋商</w:t>
            </w:r>
          </w:p>
        </w:tc>
      </w:tr>
      <w:tr w14:paraId="5B560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7AC6D6A3">
            <w:pPr>
              <w:spacing w:after="0"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1.5</w:t>
            </w:r>
          </w:p>
        </w:tc>
        <w:tc>
          <w:tcPr>
            <w:tcW w:w="1695" w:type="dxa"/>
            <w:noWrap w:val="0"/>
            <w:vAlign w:val="center"/>
          </w:tcPr>
          <w:p w14:paraId="04463D3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费用承担</w:t>
            </w:r>
          </w:p>
        </w:tc>
        <w:tc>
          <w:tcPr>
            <w:tcW w:w="7275" w:type="dxa"/>
            <w:noWrap w:val="0"/>
            <w:vAlign w:val="center"/>
          </w:tcPr>
          <w:p w14:paraId="736AA0B8">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 xml:space="preserve">准备和参加投标活动发生的费用自理； </w:t>
            </w:r>
          </w:p>
          <w:p w14:paraId="4CC2A460">
            <w:pPr>
              <w:spacing w:after="0" w:line="360" w:lineRule="auto"/>
              <w:rPr>
                <w:rFonts w:hint="eastAsia"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2、本项目招标代理服务费为4500.00元，由成交供应商在领取成交通知书一次性向代理公司支付。</w:t>
            </w:r>
          </w:p>
        </w:tc>
      </w:tr>
      <w:tr w14:paraId="52A961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6" w:hRule="atLeast"/>
          <w:jc w:val="center"/>
        </w:trPr>
        <w:tc>
          <w:tcPr>
            <w:tcW w:w="825" w:type="dxa"/>
            <w:tcBorders>
              <w:top w:val="single" w:color="auto" w:sz="4" w:space="0"/>
            </w:tcBorders>
            <w:noWrap w:val="0"/>
            <w:vAlign w:val="center"/>
          </w:tcPr>
          <w:p w14:paraId="5FE9FD85">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1.9.1</w:t>
            </w:r>
          </w:p>
        </w:tc>
        <w:tc>
          <w:tcPr>
            <w:tcW w:w="1695" w:type="dxa"/>
            <w:tcBorders>
              <w:top w:val="single" w:color="auto" w:sz="4" w:space="0"/>
            </w:tcBorders>
            <w:noWrap w:val="0"/>
            <w:vAlign w:val="center"/>
          </w:tcPr>
          <w:p w14:paraId="4AD7B99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踏勘现场</w:t>
            </w:r>
          </w:p>
        </w:tc>
        <w:tc>
          <w:tcPr>
            <w:tcW w:w="7275" w:type="dxa"/>
            <w:tcBorders>
              <w:top w:val="single" w:color="auto" w:sz="4" w:space="0"/>
            </w:tcBorders>
            <w:noWrap w:val="0"/>
            <w:vAlign w:val="top"/>
          </w:tcPr>
          <w:p w14:paraId="5770D94E">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不统一组织，自行踏勘</w:t>
            </w:r>
          </w:p>
          <w:p w14:paraId="60613B5D">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组织，组织集体踏勘。</w:t>
            </w:r>
          </w:p>
        </w:tc>
      </w:tr>
      <w:tr w14:paraId="32C9F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5754051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1.10.1</w:t>
            </w:r>
          </w:p>
        </w:tc>
        <w:tc>
          <w:tcPr>
            <w:tcW w:w="1695" w:type="dxa"/>
            <w:noWrap w:val="0"/>
            <w:vAlign w:val="center"/>
          </w:tcPr>
          <w:p w14:paraId="77CF6855">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磋商预备会</w:t>
            </w:r>
          </w:p>
        </w:tc>
        <w:tc>
          <w:tcPr>
            <w:tcW w:w="7275" w:type="dxa"/>
            <w:noWrap w:val="0"/>
            <w:vAlign w:val="top"/>
          </w:tcPr>
          <w:p w14:paraId="4E348743">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不召开</w:t>
            </w:r>
          </w:p>
          <w:p w14:paraId="60CC34B5">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召开,召开时间：        召开地点：        </w:t>
            </w:r>
          </w:p>
        </w:tc>
      </w:tr>
      <w:tr w14:paraId="03FA8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825" w:type="dxa"/>
            <w:noWrap w:val="0"/>
            <w:vAlign w:val="center"/>
          </w:tcPr>
          <w:p w14:paraId="46787FC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1.10.2</w:t>
            </w:r>
          </w:p>
        </w:tc>
        <w:tc>
          <w:tcPr>
            <w:tcW w:w="1695" w:type="dxa"/>
            <w:noWrap w:val="0"/>
            <w:vAlign w:val="center"/>
          </w:tcPr>
          <w:p w14:paraId="6B47B7C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申请人提出问题的截止时间</w:t>
            </w:r>
          </w:p>
        </w:tc>
        <w:tc>
          <w:tcPr>
            <w:tcW w:w="7275" w:type="dxa"/>
            <w:noWrap w:val="0"/>
            <w:vAlign w:val="center"/>
          </w:tcPr>
          <w:p w14:paraId="09AECD19">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磋商截止日前 5天</w:t>
            </w:r>
          </w:p>
        </w:tc>
      </w:tr>
      <w:tr w14:paraId="0E192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825" w:type="dxa"/>
            <w:noWrap w:val="0"/>
            <w:vAlign w:val="center"/>
          </w:tcPr>
          <w:p w14:paraId="7638534C">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1.10.3</w:t>
            </w:r>
          </w:p>
        </w:tc>
        <w:tc>
          <w:tcPr>
            <w:tcW w:w="1695" w:type="dxa"/>
            <w:noWrap w:val="0"/>
            <w:vAlign w:val="center"/>
          </w:tcPr>
          <w:p w14:paraId="1446A33F">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采购人书面                   澄清的时间</w:t>
            </w:r>
          </w:p>
        </w:tc>
        <w:tc>
          <w:tcPr>
            <w:tcW w:w="7275" w:type="dxa"/>
            <w:noWrap w:val="0"/>
            <w:vAlign w:val="center"/>
          </w:tcPr>
          <w:p w14:paraId="2A4B6004">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磋商截止日前 5天</w:t>
            </w:r>
          </w:p>
        </w:tc>
      </w:tr>
      <w:tr w14:paraId="66651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8" w:hRule="atLeast"/>
          <w:jc w:val="center"/>
        </w:trPr>
        <w:tc>
          <w:tcPr>
            <w:tcW w:w="825" w:type="dxa"/>
            <w:noWrap w:val="0"/>
            <w:vAlign w:val="center"/>
          </w:tcPr>
          <w:p w14:paraId="3D86A35A">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1.10.4</w:t>
            </w:r>
          </w:p>
        </w:tc>
        <w:tc>
          <w:tcPr>
            <w:tcW w:w="1695" w:type="dxa"/>
            <w:noWrap w:val="0"/>
            <w:vAlign w:val="center"/>
          </w:tcPr>
          <w:p w14:paraId="112A0D21">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构成采购文件               的其他材料</w:t>
            </w:r>
          </w:p>
        </w:tc>
        <w:tc>
          <w:tcPr>
            <w:tcW w:w="7275" w:type="dxa"/>
            <w:noWrap w:val="0"/>
            <w:vAlign w:val="center"/>
          </w:tcPr>
          <w:p w14:paraId="73C66D0F">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本项目</w:t>
            </w:r>
            <w:r>
              <w:rPr>
                <w:rFonts w:hint="eastAsia" w:ascii="仿宋" w:hAnsi="仿宋" w:eastAsia="仿宋" w:cs="仿宋"/>
                <w:color w:val="000000" w:themeColor="text1"/>
                <w:sz w:val="24"/>
                <w:szCs w:val="24"/>
                <w:highlight w:val="none"/>
                <w14:textFill>
                  <w14:solidFill>
                    <w14:schemeClr w14:val="tx1"/>
                  </w14:solidFill>
                </w14:textFill>
              </w:rPr>
              <w:t>补充通知、澄清文件、答疑文件等资料（若有）</w:t>
            </w:r>
          </w:p>
        </w:tc>
      </w:tr>
      <w:tr w14:paraId="795FAB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64456C1B">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w:t>
            </w:r>
          </w:p>
        </w:tc>
        <w:tc>
          <w:tcPr>
            <w:tcW w:w="1695" w:type="dxa"/>
            <w:noWrap w:val="0"/>
            <w:vAlign w:val="center"/>
          </w:tcPr>
          <w:p w14:paraId="3E14BB0F">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要求澄清     采购文件的截止时间</w:t>
            </w:r>
          </w:p>
        </w:tc>
        <w:tc>
          <w:tcPr>
            <w:tcW w:w="7275" w:type="dxa"/>
            <w:noWrap w:val="0"/>
            <w:vAlign w:val="center"/>
          </w:tcPr>
          <w:p w14:paraId="1F267500">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磋商截止时间 5天前</w:t>
            </w:r>
          </w:p>
        </w:tc>
      </w:tr>
      <w:tr w14:paraId="70BF3F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7" w:hRule="atLeast"/>
          <w:jc w:val="center"/>
        </w:trPr>
        <w:tc>
          <w:tcPr>
            <w:tcW w:w="825" w:type="dxa"/>
            <w:noWrap w:val="0"/>
            <w:vAlign w:val="center"/>
          </w:tcPr>
          <w:p w14:paraId="4C896AED">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2.2.1</w:t>
            </w:r>
          </w:p>
        </w:tc>
        <w:tc>
          <w:tcPr>
            <w:tcW w:w="1695" w:type="dxa"/>
            <w:noWrap w:val="0"/>
            <w:vAlign w:val="center"/>
          </w:tcPr>
          <w:p w14:paraId="5A3A5574">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磋商截止时间</w:t>
            </w:r>
          </w:p>
        </w:tc>
        <w:tc>
          <w:tcPr>
            <w:tcW w:w="7275" w:type="dxa"/>
            <w:noWrap w:val="0"/>
            <w:vAlign w:val="center"/>
          </w:tcPr>
          <w:p w14:paraId="644E9D64">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lang w:eastAsia="zh-CN"/>
                <w14:textFill>
                  <w14:solidFill>
                    <w14:schemeClr w14:val="tx1"/>
                  </w14:solidFill>
                </w14:textFill>
              </w:rPr>
              <w:t>2025年0</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
                <w:bCs/>
                <w:color w:val="000000" w:themeColor="text1"/>
                <w:sz w:val="24"/>
                <w:szCs w:val="24"/>
                <w:highlight w:val="none"/>
                <w:lang w:eastAsia="zh-CN"/>
                <w14:textFill>
                  <w14:solidFill>
                    <w14:schemeClr w14:val="tx1"/>
                  </w14:solidFill>
                </w14:textFill>
              </w:rPr>
              <w:t>月</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
                <w:bCs/>
                <w:color w:val="000000" w:themeColor="text1"/>
                <w:sz w:val="24"/>
                <w:szCs w:val="24"/>
                <w:highlight w:val="none"/>
                <w:lang w:eastAsia="zh-CN"/>
                <w14:textFill>
                  <w14:solidFill>
                    <w14:schemeClr w14:val="tx1"/>
                  </w14:solidFill>
                </w14:textFill>
              </w:rPr>
              <w:t>日</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09</w:t>
            </w:r>
            <w:r>
              <w:rPr>
                <w:rFonts w:hint="eastAsia" w:ascii="仿宋" w:hAnsi="仿宋" w:eastAsia="仿宋" w:cs="仿宋"/>
                <w:b/>
                <w:bCs/>
                <w:color w:val="000000" w:themeColor="text1"/>
                <w:sz w:val="24"/>
                <w:szCs w:val="24"/>
                <w:highlight w:val="none"/>
                <w:lang w:eastAsia="zh-CN"/>
                <w14:textFill>
                  <w14:solidFill>
                    <w14:schemeClr w14:val="tx1"/>
                  </w14:solidFill>
                </w14:textFill>
              </w:rPr>
              <w:t>时</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00分</w:t>
            </w:r>
            <w:r>
              <w:rPr>
                <w:rFonts w:hint="eastAsia" w:ascii="仿宋" w:hAnsi="仿宋" w:eastAsia="仿宋" w:cs="仿宋"/>
                <w:color w:val="000000" w:themeColor="text1"/>
                <w:sz w:val="24"/>
                <w:szCs w:val="24"/>
                <w:highlight w:val="none"/>
                <w:lang w:eastAsia="zh-CN"/>
                <w14:textFill>
                  <w14:solidFill>
                    <w14:schemeClr w14:val="tx1"/>
                  </w14:solidFill>
                </w14:textFill>
              </w:rPr>
              <w:t>（北京时间）</w:t>
            </w:r>
          </w:p>
        </w:tc>
      </w:tr>
      <w:tr w14:paraId="16B80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825" w:type="dxa"/>
            <w:noWrap w:val="0"/>
            <w:vAlign w:val="center"/>
          </w:tcPr>
          <w:p w14:paraId="76C18C5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2.2.2</w:t>
            </w:r>
          </w:p>
        </w:tc>
        <w:tc>
          <w:tcPr>
            <w:tcW w:w="1695" w:type="dxa"/>
            <w:noWrap w:val="0"/>
            <w:vAlign w:val="center"/>
          </w:tcPr>
          <w:p w14:paraId="56FDF181">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确认收到</w:t>
            </w:r>
            <w:r>
              <w:rPr>
                <w:rFonts w:hint="eastAsia" w:ascii="仿宋" w:hAnsi="仿宋" w:eastAsia="仿宋" w:cs="仿宋"/>
                <w:color w:val="000000" w:themeColor="text1"/>
                <w:sz w:val="24"/>
                <w:szCs w:val="24"/>
                <w:highlight w:val="none"/>
                <w:lang w:eastAsia="zh-CN"/>
                <w14:textFill>
                  <w14:solidFill>
                    <w14:schemeClr w14:val="tx1"/>
                  </w14:solidFill>
                </w14:textFill>
              </w:rPr>
              <w:t>竞争性磋商</w:t>
            </w:r>
            <w:r>
              <w:rPr>
                <w:rFonts w:hint="eastAsia" w:ascii="仿宋" w:hAnsi="仿宋" w:eastAsia="仿宋" w:cs="仿宋"/>
                <w:color w:val="000000" w:themeColor="text1"/>
                <w:sz w:val="24"/>
                <w:szCs w:val="24"/>
                <w:highlight w:val="none"/>
                <w14:textFill>
                  <w14:solidFill>
                    <w14:schemeClr w14:val="tx1"/>
                  </w14:solidFill>
                </w14:textFill>
              </w:rPr>
              <w:t>文件澄清的时间</w:t>
            </w:r>
          </w:p>
        </w:tc>
        <w:tc>
          <w:tcPr>
            <w:tcW w:w="7275" w:type="dxa"/>
            <w:noWrap w:val="0"/>
            <w:vAlign w:val="center"/>
          </w:tcPr>
          <w:p w14:paraId="01517E52">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供应商自行登录政府采购云平台获取澄清，无须回复确认已收到该澄清。</w:t>
            </w:r>
          </w:p>
        </w:tc>
      </w:tr>
      <w:tr w14:paraId="1B726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jc w:val="center"/>
        </w:trPr>
        <w:tc>
          <w:tcPr>
            <w:tcW w:w="825" w:type="dxa"/>
            <w:noWrap w:val="0"/>
            <w:vAlign w:val="center"/>
          </w:tcPr>
          <w:p w14:paraId="6C49F94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2.2.3</w:t>
            </w:r>
          </w:p>
        </w:tc>
        <w:tc>
          <w:tcPr>
            <w:tcW w:w="1695" w:type="dxa"/>
            <w:noWrap w:val="0"/>
            <w:vAlign w:val="center"/>
          </w:tcPr>
          <w:p w14:paraId="1F821BDC">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确认收到采购文件修改的时间</w:t>
            </w:r>
          </w:p>
        </w:tc>
        <w:tc>
          <w:tcPr>
            <w:tcW w:w="7275" w:type="dxa"/>
            <w:noWrap w:val="0"/>
            <w:vAlign w:val="center"/>
          </w:tcPr>
          <w:p w14:paraId="6D005080">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供应商自行登录政府采购云平台获取修改，无须回复确认已收到该修改。</w:t>
            </w:r>
          </w:p>
        </w:tc>
      </w:tr>
      <w:tr w14:paraId="12007F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jc w:val="center"/>
        </w:trPr>
        <w:tc>
          <w:tcPr>
            <w:tcW w:w="825" w:type="dxa"/>
            <w:noWrap w:val="0"/>
            <w:vAlign w:val="center"/>
          </w:tcPr>
          <w:p w14:paraId="27453DD1">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2.3.2</w:t>
            </w:r>
          </w:p>
        </w:tc>
        <w:tc>
          <w:tcPr>
            <w:tcW w:w="1695" w:type="dxa"/>
            <w:noWrap w:val="0"/>
            <w:vAlign w:val="center"/>
          </w:tcPr>
          <w:p w14:paraId="602ADBF3">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构成响应文件的其他材料</w:t>
            </w:r>
          </w:p>
        </w:tc>
        <w:tc>
          <w:tcPr>
            <w:tcW w:w="7275" w:type="dxa"/>
            <w:noWrap w:val="0"/>
            <w:vAlign w:val="center"/>
          </w:tcPr>
          <w:p w14:paraId="3159D81E">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采购单位</w:t>
            </w:r>
            <w:r>
              <w:rPr>
                <w:rFonts w:hint="eastAsia" w:ascii="仿宋" w:hAnsi="仿宋" w:eastAsia="仿宋" w:cs="仿宋"/>
                <w:color w:val="000000" w:themeColor="text1"/>
                <w:sz w:val="24"/>
                <w:szCs w:val="24"/>
                <w:highlight w:val="none"/>
                <w:lang w:val="en-US" w:eastAsia="zh-CN"/>
                <w14:textFill>
                  <w14:solidFill>
                    <w14:schemeClr w14:val="tx1"/>
                  </w14:solidFill>
                </w14:textFill>
              </w:rPr>
              <w:t>或采购代理机构</w:t>
            </w:r>
            <w:r>
              <w:rPr>
                <w:rFonts w:hint="eastAsia" w:ascii="仿宋" w:hAnsi="仿宋" w:eastAsia="仿宋" w:cs="仿宋"/>
                <w:color w:val="000000" w:themeColor="text1"/>
                <w:sz w:val="24"/>
                <w:szCs w:val="24"/>
                <w:highlight w:val="none"/>
                <w14:textFill>
                  <w14:solidFill>
                    <w14:schemeClr w14:val="tx1"/>
                  </w14:solidFill>
                </w14:textFill>
              </w:rPr>
              <w:t>发出的答疑书、补遗书或通知等。</w:t>
            </w:r>
          </w:p>
        </w:tc>
      </w:tr>
      <w:tr w14:paraId="04B2D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1" w:hRule="atLeast"/>
          <w:jc w:val="center"/>
        </w:trPr>
        <w:tc>
          <w:tcPr>
            <w:tcW w:w="825" w:type="dxa"/>
            <w:noWrap w:val="0"/>
            <w:vAlign w:val="center"/>
          </w:tcPr>
          <w:p w14:paraId="354A400B">
            <w:pPr>
              <w:spacing w:after="0"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3.2.3</w:t>
            </w:r>
          </w:p>
        </w:tc>
        <w:tc>
          <w:tcPr>
            <w:tcW w:w="1695" w:type="dxa"/>
            <w:noWrap w:val="0"/>
            <w:vAlign w:val="center"/>
          </w:tcPr>
          <w:p w14:paraId="3F85AF50">
            <w:pPr>
              <w:spacing w:after="0" w:line="360" w:lineRule="auto"/>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采购控制价</w:t>
            </w:r>
          </w:p>
        </w:tc>
        <w:tc>
          <w:tcPr>
            <w:tcW w:w="7275" w:type="dxa"/>
            <w:noWrap w:val="0"/>
            <w:vAlign w:val="center"/>
          </w:tcPr>
          <w:p w14:paraId="4B6733AC">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预算金额：</w:t>
            </w:r>
            <w:r>
              <w:rPr>
                <w:rFonts w:hint="eastAsia" w:ascii="仿宋" w:hAnsi="仿宋" w:eastAsia="仿宋" w:cs="仿宋"/>
                <w:color w:val="000000" w:themeColor="text1"/>
                <w:sz w:val="24"/>
                <w:szCs w:val="24"/>
                <w:highlight w:val="none"/>
                <w:lang w:val="en-US" w:eastAsia="zh-CN"/>
                <w14:textFill>
                  <w14:solidFill>
                    <w14:schemeClr w14:val="tx1"/>
                  </w14:solidFill>
                </w14:textFill>
              </w:rPr>
              <w:t>643000.00元</w:t>
            </w:r>
          </w:p>
          <w:p w14:paraId="004F6FC1">
            <w:pPr>
              <w:spacing w:after="0"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最高限价：600000.00元</w:t>
            </w:r>
          </w:p>
        </w:tc>
      </w:tr>
      <w:tr w14:paraId="61E55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5" w:hRule="atLeast"/>
          <w:jc w:val="center"/>
        </w:trPr>
        <w:tc>
          <w:tcPr>
            <w:tcW w:w="825" w:type="dxa"/>
            <w:noWrap w:val="0"/>
            <w:vAlign w:val="center"/>
          </w:tcPr>
          <w:p w14:paraId="30844987">
            <w:pPr>
              <w:spacing w:after="0" w:line="360" w:lineRule="auto"/>
              <w:jc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1695" w:type="dxa"/>
            <w:noWrap w:val="0"/>
            <w:vAlign w:val="center"/>
          </w:tcPr>
          <w:p w14:paraId="299750D5">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磋商有效期</w:t>
            </w:r>
          </w:p>
        </w:tc>
        <w:tc>
          <w:tcPr>
            <w:tcW w:w="7275" w:type="dxa"/>
            <w:noWrap w:val="0"/>
            <w:vAlign w:val="center"/>
          </w:tcPr>
          <w:p w14:paraId="28114A99">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90日历天</w:t>
            </w:r>
          </w:p>
        </w:tc>
      </w:tr>
      <w:tr w14:paraId="328147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2EB5095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3.4</w:t>
            </w:r>
          </w:p>
        </w:tc>
        <w:tc>
          <w:tcPr>
            <w:tcW w:w="1695" w:type="dxa"/>
            <w:noWrap w:val="0"/>
            <w:vAlign w:val="center"/>
          </w:tcPr>
          <w:p w14:paraId="6D6138DA">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磋商保证金</w:t>
            </w:r>
          </w:p>
        </w:tc>
        <w:tc>
          <w:tcPr>
            <w:tcW w:w="7275" w:type="dxa"/>
            <w:noWrap w:val="0"/>
            <w:vAlign w:val="top"/>
          </w:tcPr>
          <w:p w14:paraId="1762E442">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本项目不收取保证金</w:t>
            </w:r>
          </w:p>
        </w:tc>
      </w:tr>
      <w:tr w14:paraId="53BFD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1" w:hRule="atLeast"/>
          <w:jc w:val="center"/>
        </w:trPr>
        <w:tc>
          <w:tcPr>
            <w:tcW w:w="825" w:type="dxa"/>
            <w:tcBorders>
              <w:top w:val="single" w:color="auto" w:sz="4" w:space="0"/>
            </w:tcBorders>
            <w:noWrap w:val="0"/>
            <w:vAlign w:val="center"/>
          </w:tcPr>
          <w:p w14:paraId="67076783">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3.5.3</w:t>
            </w:r>
          </w:p>
        </w:tc>
        <w:tc>
          <w:tcPr>
            <w:tcW w:w="1695" w:type="dxa"/>
            <w:tcBorders>
              <w:top w:val="single" w:color="auto" w:sz="4" w:space="0"/>
            </w:tcBorders>
            <w:noWrap w:val="0"/>
            <w:vAlign w:val="center"/>
          </w:tcPr>
          <w:p w14:paraId="5A152C73">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财务状况的年份要求</w:t>
            </w:r>
          </w:p>
        </w:tc>
        <w:tc>
          <w:tcPr>
            <w:tcW w:w="7275" w:type="dxa"/>
            <w:tcBorders>
              <w:top w:val="single" w:color="auto" w:sz="4" w:space="0"/>
            </w:tcBorders>
            <w:noWrap w:val="0"/>
            <w:vAlign w:val="center"/>
          </w:tcPr>
          <w:p w14:paraId="283F5E28">
            <w:pPr>
              <w:spacing w:after="0" w:line="360" w:lineRule="auto"/>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2022年至今任一年度</w:t>
            </w:r>
          </w:p>
        </w:tc>
      </w:tr>
      <w:tr w14:paraId="17677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2" w:hRule="atLeast"/>
          <w:jc w:val="center"/>
        </w:trPr>
        <w:tc>
          <w:tcPr>
            <w:tcW w:w="825" w:type="dxa"/>
            <w:noWrap w:val="0"/>
            <w:vAlign w:val="center"/>
          </w:tcPr>
          <w:p w14:paraId="3C77EC7A">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3.5.4</w:t>
            </w:r>
          </w:p>
        </w:tc>
        <w:tc>
          <w:tcPr>
            <w:tcW w:w="1695" w:type="dxa"/>
            <w:noWrap w:val="0"/>
            <w:vAlign w:val="center"/>
          </w:tcPr>
          <w:p w14:paraId="26B3EFA5">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近三年发生的诉讼及仲裁情况的年份要求</w:t>
            </w:r>
          </w:p>
        </w:tc>
        <w:tc>
          <w:tcPr>
            <w:tcW w:w="7275" w:type="dxa"/>
            <w:noWrap w:val="0"/>
            <w:vAlign w:val="center"/>
          </w:tcPr>
          <w:p w14:paraId="1EC10570">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近三年（</w:t>
            </w:r>
            <w:r>
              <w:rPr>
                <w:rFonts w:hint="eastAsia" w:ascii="仿宋" w:hAnsi="仿宋" w:eastAsia="仿宋" w:cs="仿宋"/>
                <w:color w:val="000000" w:themeColor="text1"/>
                <w:sz w:val="24"/>
                <w:szCs w:val="24"/>
                <w:highlight w:val="none"/>
                <w:lang w:eastAsia="zh-CN"/>
                <w14:textFill>
                  <w14:solidFill>
                    <w14:schemeClr w14:val="tx1"/>
                  </w14:solidFill>
                </w14:textFill>
              </w:rPr>
              <w:t>20</w:t>
            </w:r>
            <w:r>
              <w:rPr>
                <w:rFonts w:hint="eastAsia" w:ascii="仿宋" w:hAnsi="仿宋" w:eastAsia="仿宋" w:cs="仿宋"/>
                <w:color w:val="000000" w:themeColor="text1"/>
                <w:sz w:val="24"/>
                <w:szCs w:val="24"/>
                <w:highlight w:val="none"/>
                <w:lang w:val="en-US" w:eastAsia="zh-CN"/>
                <w14:textFill>
                  <w14:solidFill>
                    <w14:schemeClr w14:val="tx1"/>
                  </w14:solidFill>
                </w14:textFill>
              </w:rPr>
              <w:t>22</w:t>
            </w:r>
            <w:r>
              <w:rPr>
                <w:rFonts w:hint="eastAsia" w:ascii="仿宋" w:hAnsi="仿宋" w:eastAsia="仿宋" w:cs="仿宋"/>
                <w:color w:val="000000" w:themeColor="text1"/>
                <w:sz w:val="24"/>
                <w:szCs w:val="24"/>
                <w:highlight w:val="none"/>
                <w:lang w:eastAsia="zh-CN"/>
                <w14:textFill>
                  <w14:solidFill>
                    <w14:schemeClr w14:val="tx1"/>
                  </w14:solidFill>
                </w14:textFill>
              </w:rPr>
              <w:t>年01月01日至今</w:t>
            </w:r>
            <w:r>
              <w:rPr>
                <w:rFonts w:hint="eastAsia" w:ascii="仿宋" w:hAnsi="仿宋" w:eastAsia="仿宋" w:cs="仿宋"/>
                <w:color w:val="000000" w:themeColor="text1"/>
                <w:sz w:val="24"/>
                <w:szCs w:val="24"/>
                <w:highlight w:val="none"/>
                <w14:textFill>
                  <w14:solidFill>
                    <w14:schemeClr w14:val="tx1"/>
                  </w14:solidFill>
                </w14:textFill>
              </w:rPr>
              <w:t>）</w:t>
            </w:r>
          </w:p>
        </w:tc>
      </w:tr>
      <w:tr w14:paraId="0B97AE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6787CF8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3.6</w:t>
            </w:r>
          </w:p>
        </w:tc>
        <w:tc>
          <w:tcPr>
            <w:tcW w:w="1695" w:type="dxa"/>
            <w:noWrap w:val="0"/>
            <w:vAlign w:val="center"/>
          </w:tcPr>
          <w:p w14:paraId="11CD1296">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是否允许递交               备选磋商方案</w:t>
            </w:r>
          </w:p>
        </w:tc>
        <w:tc>
          <w:tcPr>
            <w:tcW w:w="7275" w:type="dxa"/>
            <w:noWrap w:val="0"/>
            <w:vAlign w:val="center"/>
          </w:tcPr>
          <w:p w14:paraId="7DAAA5B6">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■不允许    </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 xml:space="preserve"> 允 许</w:t>
            </w:r>
          </w:p>
        </w:tc>
      </w:tr>
      <w:tr w14:paraId="0CB792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jc w:val="center"/>
        </w:trPr>
        <w:tc>
          <w:tcPr>
            <w:tcW w:w="825" w:type="dxa"/>
            <w:noWrap w:val="0"/>
            <w:vAlign w:val="center"/>
          </w:tcPr>
          <w:p w14:paraId="191F37ED">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3.7.3</w:t>
            </w:r>
          </w:p>
        </w:tc>
        <w:tc>
          <w:tcPr>
            <w:tcW w:w="1695" w:type="dxa"/>
            <w:noWrap w:val="0"/>
            <w:vAlign w:val="center"/>
          </w:tcPr>
          <w:p w14:paraId="2318475A">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签字或盖章要求</w:t>
            </w:r>
          </w:p>
        </w:tc>
        <w:tc>
          <w:tcPr>
            <w:tcW w:w="7275" w:type="dxa"/>
            <w:noWrap w:val="0"/>
            <w:vAlign w:val="center"/>
          </w:tcPr>
          <w:p w14:paraId="4852EF6C">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按第六章竞争性磋商响应文件格式要求</w:t>
            </w:r>
            <w:r>
              <w:rPr>
                <w:rFonts w:hint="eastAsia" w:ascii="仿宋" w:hAnsi="仿宋" w:eastAsia="仿宋" w:cs="仿宋"/>
                <w:color w:val="000000" w:themeColor="text1"/>
                <w:sz w:val="24"/>
                <w:szCs w:val="24"/>
                <w:highlight w:val="none"/>
                <w:lang w:val="en-US" w:eastAsia="zh-CN"/>
                <w14:textFill>
                  <w14:solidFill>
                    <w14:schemeClr w14:val="tx1"/>
                  </w14:solidFill>
                </w14:textFill>
              </w:rPr>
              <w:t>采用单位数字证书电子签章，在需要电子签章的地方进行电子签章，无需逐页电子签章。</w:t>
            </w:r>
          </w:p>
        </w:tc>
      </w:tr>
      <w:tr w14:paraId="3E22F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9" w:hRule="atLeast"/>
          <w:jc w:val="center"/>
        </w:trPr>
        <w:tc>
          <w:tcPr>
            <w:tcW w:w="825" w:type="dxa"/>
            <w:noWrap w:val="0"/>
            <w:vAlign w:val="center"/>
          </w:tcPr>
          <w:p w14:paraId="04BA8ED5">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3.7.4</w:t>
            </w:r>
          </w:p>
        </w:tc>
        <w:tc>
          <w:tcPr>
            <w:tcW w:w="1695" w:type="dxa"/>
            <w:noWrap w:val="0"/>
            <w:vAlign w:val="center"/>
          </w:tcPr>
          <w:p w14:paraId="349BB21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竞争性磋商                   响应文件份数</w:t>
            </w:r>
          </w:p>
        </w:tc>
        <w:tc>
          <w:tcPr>
            <w:tcW w:w="7275" w:type="dxa"/>
            <w:noWrap w:val="0"/>
            <w:vAlign w:val="center"/>
          </w:tcPr>
          <w:p w14:paraId="79242B64">
            <w:pPr>
              <w:spacing w:after="0"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rtl w:val="0"/>
                <w:lang w:val="en-US" w:eastAsia="zh-CN"/>
                <w14:textFill>
                  <w14:solidFill>
                    <w14:schemeClr w14:val="tx1"/>
                  </w14:solidFill>
                </w14:textFill>
              </w:rPr>
              <w:t>供应商应当在响应文件提交截止时间前将加密的响应文件上传至“政府采购云平台”。</w:t>
            </w:r>
          </w:p>
        </w:tc>
      </w:tr>
      <w:tr w14:paraId="453AE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56EC8D3B">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4.1.1</w:t>
            </w:r>
          </w:p>
        </w:tc>
        <w:tc>
          <w:tcPr>
            <w:tcW w:w="1695" w:type="dxa"/>
            <w:noWrap w:val="0"/>
            <w:vAlign w:val="center"/>
          </w:tcPr>
          <w:p w14:paraId="19E0C6D6">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装订要求</w:t>
            </w:r>
          </w:p>
        </w:tc>
        <w:tc>
          <w:tcPr>
            <w:tcW w:w="7275" w:type="dxa"/>
            <w:noWrap w:val="0"/>
            <w:vAlign w:val="center"/>
          </w:tcPr>
          <w:p w14:paraId="619D6B21">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w:t>
            </w:r>
          </w:p>
        </w:tc>
      </w:tr>
      <w:tr w14:paraId="05625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825" w:type="dxa"/>
            <w:noWrap w:val="0"/>
            <w:vAlign w:val="center"/>
          </w:tcPr>
          <w:p w14:paraId="3C6A6A83">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4.1.2</w:t>
            </w:r>
          </w:p>
        </w:tc>
        <w:tc>
          <w:tcPr>
            <w:tcW w:w="1695" w:type="dxa"/>
            <w:noWrap w:val="0"/>
            <w:vAlign w:val="center"/>
          </w:tcPr>
          <w:p w14:paraId="2CE9B605">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递交竞争性磋商响应文件时间、地点</w:t>
            </w:r>
          </w:p>
        </w:tc>
        <w:tc>
          <w:tcPr>
            <w:tcW w:w="7275" w:type="dxa"/>
            <w:noWrap w:val="0"/>
            <w:vAlign w:val="top"/>
          </w:tcPr>
          <w:p w14:paraId="154B7918">
            <w:pPr>
              <w:spacing w:after="0" w:line="360" w:lineRule="auto"/>
              <w:rPr>
                <w:rFonts w:hint="eastAsia"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时间</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b/>
                <w:bCs/>
                <w:color w:val="000000" w:themeColor="text1"/>
                <w:sz w:val="24"/>
                <w:szCs w:val="24"/>
                <w:highlight w:val="none"/>
                <w:u w:val="none"/>
                <w:lang w:eastAsia="zh-CN"/>
                <w14:textFill>
                  <w14:solidFill>
                    <w14:schemeClr w14:val="tx1"/>
                  </w14:solidFill>
                </w14:textFill>
              </w:rPr>
              <w:t>2025年0</w:t>
            </w: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6</w:t>
            </w:r>
            <w:r>
              <w:rPr>
                <w:rFonts w:hint="eastAsia" w:ascii="仿宋" w:hAnsi="仿宋" w:eastAsia="仿宋" w:cs="仿宋"/>
                <w:b/>
                <w:bCs/>
                <w:color w:val="000000" w:themeColor="text1"/>
                <w:sz w:val="24"/>
                <w:szCs w:val="24"/>
                <w:highlight w:val="none"/>
                <w:u w:val="none"/>
                <w:lang w:eastAsia="zh-CN"/>
                <w14:textFill>
                  <w14:solidFill>
                    <w14:schemeClr w14:val="tx1"/>
                  </w14:solidFill>
                </w14:textFill>
              </w:rPr>
              <w:t>月</w:t>
            </w: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10</w:t>
            </w:r>
            <w:r>
              <w:rPr>
                <w:rFonts w:hint="eastAsia" w:ascii="仿宋" w:hAnsi="仿宋" w:eastAsia="仿宋" w:cs="仿宋"/>
                <w:b/>
                <w:bCs/>
                <w:color w:val="000000" w:themeColor="text1"/>
                <w:sz w:val="24"/>
                <w:szCs w:val="24"/>
                <w:highlight w:val="none"/>
                <w:u w:val="none"/>
                <w:lang w:eastAsia="zh-CN"/>
                <w14:textFill>
                  <w14:solidFill>
                    <w14:schemeClr w14:val="tx1"/>
                  </w14:solidFill>
                </w14:textFill>
              </w:rPr>
              <w:t>日</w:t>
            </w: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09</w:t>
            </w:r>
            <w:r>
              <w:rPr>
                <w:rFonts w:hint="eastAsia" w:ascii="仿宋" w:hAnsi="仿宋" w:eastAsia="仿宋" w:cs="仿宋"/>
                <w:b/>
                <w:bCs/>
                <w:color w:val="000000" w:themeColor="text1"/>
                <w:sz w:val="24"/>
                <w:szCs w:val="24"/>
                <w:highlight w:val="none"/>
                <w:u w:val="none"/>
                <w:lang w:eastAsia="zh-CN"/>
                <w14:textFill>
                  <w14:solidFill>
                    <w14:schemeClr w14:val="tx1"/>
                  </w14:solidFill>
                </w14:textFill>
              </w:rPr>
              <w:t>时</w:t>
            </w:r>
            <w:r>
              <w:rPr>
                <w:rFonts w:hint="eastAsia" w:ascii="仿宋" w:hAnsi="仿宋" w:eastAsia="仿宋" w:cs="仿宋"/>
                <w:b/>
                <w:bCs/>
                <w:color w:val="000000" w:themeColor="text1"/>
                <w:sz w:val="24"/>
                <w:szCs w:val="24"/>
                <w:highlight w:val="none"/>
                <w:u w:val="none"/>
                <w:lang w:val="en-US" w:eastAsia="zh-CN"/>
                <w14:textFill>
                  <w14:solidFill>
                    <w14:schemeClr w14:val="tx1"/>
                  </w14:solidFill>
                </w14:textFill>
              </w:rPr>
              <w:t>00</w:t>
            </w:r>
            <w:r>
              <w:rPr>
                <w:rFonts w:hint="eastAsia" w:ascii="仿宋" w:hAnsi="仿宋" w:eastAsia="仿宋" w:cs="仿宋"/>
                <w:b/>
                <w:bCs/>
                <w:color w:val="000000" w:themeColor="text1"/>
                <w:sz w:val="24"/>
                <w:szCs w:val="24"/>
                <w:highlight w:val="none"/>
                <w:u w:val="none"/>
                <w:lang w:eastAsia="zh-CN"/>
                <w14:textFill>
                  <w14:solidFill>
                    <w14:schemeClr w14:val="tx1"/>
                  </w14:solidFill>
                </w14:textFill>
              </w:rPr>
              <w:t>分</w:t>
            </w:r>
            <w:r>
              <w:rPr>
                <w:rFonts w:hint="eastAsia" w:ascii="仿宋" w:hAnsi="仿宋" w:eastAsia="仿宋" w:cs="仿宋"/>
                <w:b/>
                <w:bCs/>
                <w:color w:val="000000" w:themeColor="text1"/>
                <w:sz w:val="24"/>
                <w:szCs w:val="24"/>
                <w:highlight w:val="none"/>
                <w:u w:val="none"/>
                <w14:textFill>
                  <w14:solidFill>
                    <w14:schemeClr w14:val="tx1"/>
                  </w14:solidFill>
                </w14:textFill>
              </w:rPr>
              <w:t>以</w:t>
            </w:r>
            <w:r>
              <w:rPr>
                <w:rFonts w:hint="eastAsia" w:ascii="仿宋" w:hAnsi="仿宋" w:eastAsia="仿宋" w:cs="仿宋"/>
                <w:b/>
                <w:bCs/>
                <w:color w:val="000000" w:themeColor="text1"/>
                <w:sz w:val="24"/>
                <w:szCs w:val="24"/>
                <w:highlight w:val="none"/>
                <w14:textFill>
                  <w14:solidFill>
                    <w14:schemeClr w14:val="tx1"/>
                  </w14:solidFill>
                </w14:textFill>
              </w:rPr>
              <w:t>前</w:t>
            </w:r>
          </w:p>
          <w:p w14:paraId="5106FBD9">
            <w:pPr>
              <w:spacing w:after="0"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地点：</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通过“政府采购云平台”（网址：</w:t>
            </w:r>
            <w:r>
              <w:rPr>
                <w:rFonts w:hint="eastAsia" w:ascii="仿宋" w:hAnsi="仿宋" w:eastAsia="仿宋" w:cs="仿宋"/>
                <w:bCs/>
                <w:color w:val="000000" w:themeColor="text1"/>
                <w:sz w:val="24"/>
                <w:szCs w:val="24"/>
                <w:highlight w:val="none"/>
                <w:u w:val="none"/>
                <w:lang w:val="en-US" w:eastAsia="zh-CN"/>
                <w14:textFill>
                  <w14:solidFill>
                    <w14:schemeClr w14:val="tx1"/>
                  </w14:solidFill>
                </w14:textFill>
              </w:rPr>
              <w:t>https://www.zcygov.cn/)</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 xml:space="preserve"> 进行网上递交。          </w:t>
            </w:r>
          </w:p>
          <w:p w14:paraId="33F52152">
            <w:pPr>
              <w:spacing w:after="0" w:line="360" w:lineRule="auto"/>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注：</w:t>
            </w:r>
          </w:p>
          <w:p w14:paraId="14A39F7D">
            <w:pPr>
              <w:keepNext w:val="0"/>
              <w:keepLines w:val="0"/>
              <w:pageBreakBefore w:val="0"/>
              <w:kinsoku/>
              <w:wordWrap/>
              <w:overflowPunct/>
              <w:topLinePunct w:val="0"/>
              <w:bidi w:val="0"/>
              <w:snapToGrid/>
              <w:spacing w:after="0" w:line="360" w:lineRule="auto"/>
              <w:ind w:left="1" w:firstLine="0" w:firstLine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rtl w:val="0"/>
                <w:lang w:val="en-US" w:eastAsia="zh-CN"/>
                <w14:textFill>
                  <w14:solidFill>
                    <w14:schemeClr w14:val="tx1"/>
                  </w14:solidFill>
                </w14:textFill>
              </w:rPr>
              <w:t>1.供应商应按照本项目采购文件和</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“政府采购云平台”</w:t>
            </w:r>
            <w:r>
              <w:rPr>
                <w:rFonts w:hint="eastAsia" w:ascii="仿宋" w:hAnsi="仿宋" w:eastAsia="仿宋" w:cs="仿宋"/>
                <w:bCs/>
                <w:color w:val="000000" w:themeColor="text1"/>
                <w:sz w:val="24"/>
                <w:szCs w:val="24"/>
                <w:highlight w:val="none"/>
                <w:rtl w:val="0"/>
                <w:lang w:val="en-US" w:eastAsia="zh-CN"/>
                <w14:textFill>
                  <w14:solidFill>
                    <w14:schemeClr w14:val="tx1"/>
                  </w14:solidFill>
                </w14:textFill>
              </w:rPr>
              <w:t>的要求编制、加密响应文件，</w:t>
            </w:r>
            <w: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t>供应商生成格式为*. jmbs格式加密标书后，需在提交截止时间前将加密的电子响应文件按“政采云”要求上传至政采云平台。未按要求在截止时间前完成电子响应文件上传的，视为自动放弃磋商。供应商在"政采云"平台提交电子版响应文件时，请填写参加远程采购活动经办人联系方式。</w:t>
            </w:r>
            <w:r>
              <w:rPr>
                <w:rFonts w:hint="eastAsia" w:ascii="仿宋" w:hAnsi="仿宋" w:eastAsia="仿宋" w:cs="仿宋"/>
                <w:bCs/>
                <w:color w:val="000000" w:themeColor="text1"/>
                <w:sz w:val="24"/>
                <w:szCs w:val="24"/>
                <w:highlight w:val="none"/>
                <w:rtl w:val="0"/>
                <w:lang w:val="en-US" w:eastAsia="zh-CN"/>
                <w14:textFill>
                  <w14:solidFill>
                    <w14:schemeClr w14:val="tx1"/>
                  </w14:solidFill>
                </w14:textFill>
              </w:rPr>
              <w:t xml:space="preserve">                                                           2.供应商在</w:t>
            </w:r>
            <w:r>
              <w:rPr>
                <w:rFonts w:hint="eastAsia" w:ascii="仿宋" w:hAnsi="仿宋" w:eastAsia="仿宋" w:cs="仿宋"/>
                <w:bCs/>
                <w:color w:val="000000" w:themeColor="text1"/>
                <w:sz w:val="24"/>
                <w:szCs w:val="24"/>
                <w:highlight w:val="none"/>
                <w:lang w:val="en-US" w:eastAsia="zh-CN"/>
                <w14:textFill>
                  <w14:solidFill>
                    <w14:schemeClr w14:val="tx1"/>
                  </w14:solidFill>
                </w14:textFill>
              </w:rPr>
              <w:t>“政府采购云平台”</w:t>
            </w:r>
            <w:r>
              <w:rPr>
                <w:rFonts w:hint="eastAsia" w:ascii="仿宋" w:hAnsi="仿宋" w:eastAsia="仿宋" w:cs="仿宋"/>
                <w:bCs/>
                <w:color w:val="000000" w:themeColor="text1"/>
                <w:sz w:val="24"/>
                <w:szCs w:val="24"/>
                <w:highlight w:val="none"/>
                <w:rtl w:val="0"/>
                <w:lang w:val="en-US" w:eastAsia="zh-CN"/>
                <w14:textFill>
                  <w14:solidFill>
                    <w14:schemeClr w14:val="tx1"/>
                  </w14:solidFill>
                </w14:textFill>
              </w:rPr>
              <w:t>提交电子版响应文件时，请填写参加远程采购活动经办人联系方式。并于开标当日在系统上等待代理机构通知最后报价。</w:t>
            </w:r>
          </w:p>
        </w:tc>
      </w:tr>
      <w:tr w14:paraId="5BFD77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0EA6DD1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4.2.2</w:t>
            </w:r>
          </w:p>
        </w:tc>
        <w:tc>
          <w:tcPr>
            <w:tcW w:w="1695" w:type="dxa"/>
            <w:noWrap w:val="0"/>
            <w:vAlign w:val="center"/>
          </w:tcPr>
          <w:p w14:paraId="07952CB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是否退还                       竞争性磋商响应文件</w:t>
            </w:r>
          </w:p>
        </w:tc>
        <w:tc>
          <w:tcPr>
            <w:tcW w:w="7275" w:type="dxa"/>
            <w:noWrap w:val="0"/>
            <w:vAlign w:val="center"/>
          </w:tcPr>
          <w:p w14:paraId="68907A44">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■否</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□是</w:t>
            </w:r>
          </w:p>
        </w:tc>
      </w:tr>
      <w:tr w14:paraId="51AE7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5" w:hRule="atLeast"/>
          <w:jc w:val="center"/>
        </w:trPr>
        <w:tc>
          <w:tcPr>
            <w:tcW w:w="825" w:type="dxa"/>
            <w:noWrap w:val="0"/>
            <w:vAlign w:val="center"/>
          </w:tcPr>
          <w:p w14:paraId="4C95E455">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4.2.3</w:t>
            </w:r>
          </w:p>
        </w:tc>
        <w:tc>
          <w:tcPr>
            <w:tcW w:w="1695" w:type="dxa"/>
            <w:noWrap w:val="0"/>
            <w:vAlign w:val="center"/>
          </w:tcPr>
          <w:p w14:paraId="0798759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磋商时间和地点</w:t>
            </w:r>
          </w:p>
        </w:tc>
        <w:tc>
          <w:tcPr>
            <w:tcW w:w="7275" w:type="dxa"/>
            <w:noWrap w:val="0"/>
            <w:vAlign w:val="center"/>
          </w:tcPr>
          <w:p w14:paraId="6F223BE5">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磋商时间：</w:t>
            </w:r>
            <w:r>
              <w:rPr>
                <w:rFonts w:hint="eastAsia" w:ascii="仿宋" w:hAnsi="仿宋" w:eastAsia="仿宋" w:cs="仿宋"/>
                <w:b/>
                <w:bCs/>
                <w:color w:val="000000" w:themeColor="text1"/>
                <w:sz w:val="24"/>
                <w:szCs w:val="24"/>
                <w:highlight w:val="none"/>
                <w:lang w:eastAsia="zh-CN"/>
                <w14:textFill>
                  <w14:solidFill>
                    <w14:schemeClr w14:val="tx1"/>
                  </w14:solidFill>
                </w14:textFill>
              </w:rPr>
              <w:t>2025年0</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
                <w:bCs/>
                <w:color w:val="000000" w:themeColor="text1"/>
                <w:sz w:val="24"/>
                <w:szCs w:val="24"/>
                <w:highlight w:val="none"/>
                <w:lang w:eastAsia="zh-CN"/>
                <w14:textFill>
                  <w14:solidFill>
                    <w14:schemeClr w14:val="tx1"/>
                  </w14:solidFill>
                </w14:textFill>
              </w:rPr>
              <w:t>月</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10</w:t>
            </w:r>
            <w:r>
              <w:rPr>
                <w:rFonts w:hint="eastAsia" w:ascii="仿宋" w:hAnsi="仿宋" w:eastAsia="仿宋" w:cs="仿宋"/>
                <w:b/>
                <w:bCs/>
                <w:color w:val="000000" w:themeColor="text1"/>
                <w:sz w:val="24"/>
                <w:szCs w:val="24"/>
                <w:highlight w:val="none"/>
                <w:lang w:eastAsia="zh-CN"/>
                <w14:textFill>
                  <w14:solidFill>
                    <w14:schemeClr w14:val="tx1"/>
                  </w14:solidFill>
                </w14:textFill>
              </w:rPr>
              <w:t>日</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09</w:t>
            </w:r>
            <w:r>
              <w:rPr>
                <w:rFonts w:hint="eastAsia" w:ascii="仿宋" w:hAnsi="仿宋" w:eastAsia="仿宋" w:cs="仿宋"/>
                <w:b/>
                <w:bCs/>
                <w:color w:val="000000" w:themeColor="text1"/>
                <w:sz w:val="24"/>
                <w:szCs w:val="24"/>
                <w:highlight w:val="none"/>
                <w:lang w:eastAsia="zh-CN"/>
                <w14:textFill>
                  <w14:solidFill>
                    <w14:schemeClr w14:val="tx1"/>
                  </w14:solidFill>
                </w14:textFill>
              </w:rPr>
              <w:t>时</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00</w:t>
            </w:r>
            <w:r>
              <w:rPr>
                <w:rFonts w:hint="eastAsia" w:ascii="仿宋" w:hAnsi="仿宋" w:eastAsia="仿宋" w:cs="仿宋"/>
                <w:b/>
                <w:bCs/>
                <w:color w:val="000000" w:themeColor="text1"/>
                <w:sz w:val="24"/>
                <w:szCs w:val="24"/>
                <w:highlight w:val="none"/>
                <w:lang w:eastAsia="zh-CN"/>
                <w14:textFill>
                  <w14:solidFill>
                    <w14:schemeClr w14:val="tx1"/>
                  </w14:solidFill>
                </w14:textFill>
              </w:rPr>
              <w:t>分</w:t>
            </w:r>
            <w:r>
              <w:rPr>
                <w:rFonts w:hint="eastAsia" w:ascii="仿宋" w:hAnsi="仿宋" w:eastAsia="仿宋" w:cs="仿宋"/>
                <w:color w:val="000000" w:themeColor="text1"/>
                <w:sz w:val="24"/>
                <w:szCs w:val="24"/>
                <w:highlight w:val="none"/>
                <w:lang w:eastAsia="zh-CN"/>
                <w14:textFill>
                  <w14:solidFill>
                    <w14:schemeClr w14:val="tx1"/>
                  </w14:solidFill>
                </w14:textFill>
              </w:rPr>
              <w:t>（北京时间）</w:t>
            </w:r>
          </w:p>
          <w:p w14:paraId="7478926B">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磋商地点：</w:t>
            </w:r>
            <w:r>
              <w:rPr>
                <w:rFonts w:hint="eastAsia" w:ascii="仿宋" w:hAnsi="仿宋" w:eastAsia="仿宋" w:cs="仿宋"/>
                <w:color w:val="000000" w:themeColor="text1"/>
                <w:sz w:val="24"/>
                <w:szCs w:val="24"/>
                <w:highlight w:val="none"/>
                <w:lang w:val="en-US" w:eastAsia="zh-CN"/>
                <w14:textFill>
                  <w14:solidFill>
                    <w14:schemeClr w14:val="tx1"/>
                  </w14:solidFill>
                </w14:textFill>
              </w:rPr>
              <w:t>“政采云”平台（https://www.zcygov.cn/）</w:t>
            </w:r>
          </w:p>
        </w:tc>
      </w:tr>
      <w:tr w14:paraId="7DA4A0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jc w:val="center"/>
        </w:trPr>
        <w:tc>
          <w:tcPr>
            <w:tcW w:w="825" w:type="dxa"/>
            <w:noWrap w:val="0"/>
            <w:vAlign w:val="center"/>
          </w:tcPr>
          <w:p w14:paraId="793898F6">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5.2</w:t>
            </w:r>
          </w:p>
        </w:tc>
        <w:tc>
          <w:tcPr>
            <w:tcW w:w="1695" w:type="dxa"/>
            <w:noWrap w:val="0"/>
            <w:vAlign w:val="center"/>
          </w:tcPr>
          <w:p w14:paraId="591BBDB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磋商程序</w:t>
            </w:r>
          </w:p>
        </w:tc>
        <w:tc>
          <w:tcPr>
            <w:tcW w:w="7275" w:type="dxa"/>
            <w:noWrap w:val="0"/>
            <w:vAlign w:val="center"/>
          </w:tcPr>
          <w:p w14:paraId="79283DA9">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随机顺序</w:t>
            </w:r>
          </w:p>
        </w:tc>
      </w:tr>
      <w:tr w14:paraId="011782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75" w:hRule="atLeast"/>
          <w:jc w:val="center"/>
        </w:trPr>
        <w:tc>
          <w:tcPr>
            <w:tcW w:w="825" w:type="dxa"/>
            <w:noWrap w:val="0"/>
            <w:vAlign w:val="center"/>
          </w:tcPr>
          <w:p w14:paraId="4888DB0B">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6.1</w:t>
            </w:r>
          </w:p>
        </w:tc>
        <w:tc>
          <w:tcPr>
            <w:tcW w:w="1695" w:type="dxa"/>
            <w:noWrap w:val="0"/>
            <w:vAlign w:val="center"/>
          </w:tcPr>
          <w:p w14:paraId="23AF0E1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磋商小组的组建</w:t>
            </w:r>
          </w:p>
        </w:tc>
        <w:tc>
          <w:tcPr>
            <w:tcW w:w="7275" w:type="dxa"/>
            <w:noWrap w:val="0"/>
            <w:vAlign w:val="center"/>
          </w:tcPr>
          <w:p w14:paraId="2D441BF9">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磋商小组人数：</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u w:val="none"/>
                <w14:textFill>
                  <w14:solidFill>
                    <w14:schemeClr w14:val="tx1"/>
                  </w14:solidFill>
                </w14:textFill>
              </w:rPr>
              <w:t>人</w:t>
            </w:r>
            <w:r>
              <w:rPr>
                <w:rFonts w:hint="eastAsia" w:ascii="仿宋" w:hAnsi="仿宋" w:eastAsia="仿宋" w:cs="仿宋"/>
                <w:color w:val="000000" w:themeColor="text1"/>
                <w:sz w:val="24"/>
                <w:szCs w:val="24"/>
                <w:highlight w:val="none"/>
                <w14:textFill>
                  <w14:solidFill>
                    <w14:schemeClr w14:val="tx1"/>
                  </w14:solidFill>
                </w14:textFill>
              </w:rPr>
              <w:t>及以上单数</w:t>
            </w:r>
          </w:p>
          <w:p w14:paraId="13C3F03B">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磋商小组构成：由采购人代表和评审专家共</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人及以上单数组成，其中评审专家人数不得少于磋商小组成员总数的2/3。</w:t>
            </w:r>
          </w:p>
          <w:p w14:paraId="78A59FA1">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注：采购人委派代表参加评审委员会的，须向采购代理机构出具授权函。采购人代表不得担任组长。</w:t>
            </w:r>
          </w:p>
          <w:p w14:paraId="04630349">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评标专家确定方式：</w:t>
            </w:r>
            <w:r>
              <w:rPr>
                <w:rFonts w:hint="eastAsia" w:ascii="仿宋" w:hAnsi="仿宋" w:eastAsia="仿宋" w:cs="仿宋"/>
                <w:color w:val="000000" w:themeColor="text1"/>
                <w:sz w:val="24"/>
                <w:szCs w:val="24"/>
                <w:highlight w:val="none"/>
                <w:lang w:eastAsia="zh-CN"/>
                <w14:textFill>
                  <w14:solidFill>
                    <w14:schemeClr w14:val="tx1"/>
                  </w14:solidFill>
                </w14:textFill>
              </w:rPr>
              <w:t>在</w:t>
            </w:r>
            <w:r>
              <w:rPr>
                <w:rFonts w:hint="eastAsia" w:ascii="仿宋" w:hAnsi="仿宋" w:eastAsia="仿宋" w:cs="仿宋"/>
                <w:color w:val="000000" w:themeColor="text1"/>
                <w:sz w:val="24"/>
                <w:szCs w:val="24"/>
                <w:highlight w:val="none"/>
                <w14:textFill>
                  <w14:solidFill>
                    <w14:schemeClr w14:val="tx1"/>
                  </w14:solidFill>
                </w14:textFill>
              </w:rPr>
              <w:t>云南省政府采购专家库</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文山州分库</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随机抽取。</w:t>
            </w:r>
          </w:p>
        </w:tc>
      </w:tr>
      <w:tr w14:paraId="18434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3F3D32E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6.3</w:t>
            </w:r>
          </w:p>
        </w:tc>
        <w:tc>
          <w:tcPr>
            <w:tcW w:w="1695" w:type="dxa"/>
            <w:noWrap w:val="0"/>
            <w:vAlign w:val="center"/>
          </w:tcPr>
          <w:p w14:paraId="78BA2A53">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评标办法</w:t>
            </w:r>
          </w:p>
        </w:tc>
        <w:tc>
          <w:tcPr>
            <w:tcW w:w="7275" w:type="dxa"/>
            <w:noWrap w:val="0"/>
            <w:vAlign w:val="center"/>
          </w:tcPr>
          <w:p w14:paraId="52DC5002">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综合评分法</w:t>
            </w:r>
          </w:p>
        </w:tc>
      </w:tr>
      <w:tr w14:paraId="224CA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825" w:type="dxa"/>
            <w:noWrap w:val="0"/>
            <w:vAlign w:val="center"/>
          </w:tcPr>
          <w:p w14:paraId="241FF2FE">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7.1.2</w:t>
            </w:r>
          </w:p>
        </w:tc>
        <w:tc>
          <w:tcPr>
            <w:tcW w:w="1695" w:type="dxa"/>
            <w:noWrap w:val="0"/>
            <w:vAlign w:val="center"/>
          </w:tcPr>
          <w:p w14:paraId="2994336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是否授权磋商小组确定成交单位</w:t>
            </w:r>
          </w:p>
        </w:tc>
        <w:tc>
          <w:tcPr>
            <w:tcW w:w="7275" w:type="dxa"/>
            <w:noWrap w:val="0"/>
            <w:vAlign w:val="center"/>
          </w:tcPr>
          <w:p w14:paraId="424C3D3D">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是</w:t>
            </w:r>
          </w:p>
          <w:p w14:paraId="244FA9A3">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■否,由磋商小组根据采购文件评审办法的相关规定推荐成交单位，采购人根据相关规定确定成交。</w:t>
            </w:r>
          </w:p>
        </w:tc>
      </w:tr>
      <w:tr w14:paraId="1C557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825" w:type="dxa"/>
            <w:noWrap w:val="0"/>
            <w:vAlign w:val="center"/>
          </w:tcPr>
          <w:p w14:paraId="480716D9">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7.3</w:t>
            </w:r>
          </w:p>
        </w:tc>
        <w:tc>
          <w:tcPr>
            <w:tcW w:w="1695" w:type="dxa"/>
            <w:noWrap w:val="0"/>
            <w:vAlign w:val="center"/>
          </w:tcPr>
          <w:p w14:paraId="6BCAFD9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履约担保</w:t>
            </w:r>
          </w:p>
        </w:tc>
        <w:tc>
          <w:tcPr>
            <w:tcW w:w="7275" w:type="dxa"/>
            <w:noWrap w:val="0"/>
            <w:vAlign w:val="center"/>
          </w:tcPr>
          <w:p w14:paraId="4B1F1EDE">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履约担保的金额：双方另行约定。</w:t>
            </w:r>
          </w:p>
          <w:p w14:paraId="00C71AC1">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履约担保的形式：现金、电汇、银行转账</w:t>
            </w:r>
          </w:p>
        </w:tc>
      </w:tr>
      <w:tr w14:paraId="681F39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1" w:hRule="atLeast"/>
          <w:jc w:val="center"/>
        </w:trPr>
        <w:tc>
          <w:tcPr>
            <w:tcW w:w="825" w:type="dxa"/>
            <w:noWrap w:val="0"/>
            <w:vAlign w:val="center"/>
          </w:tcPr>
          <w:p w14:paraId="12D63C92">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w:t>
            </w:r>
          </w:p>
        </w:tc>
        <w:tc>
          <w:tcPr>
            <w:tcW w:w="8970" w:type="dxa"/>
            <w:gridSpan w:val="2"/>
            <w:noWrap w:val="0"/>
            <w:vAlign w:val="center"/>
          </w:tcPr>
          <w:p w14:paraId="314C32A0">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需要补充的其他内容</w:t>
            </w:r>
          </w:p>
        </w:tc>
      </w:tr>
      <w:tr w14:paraId="26A21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825" w:type="dxa"/>
            <w:noWrap w:val="0"/>
            <w:vAlign w:val="center"/>
          </w:tcPr>
          <w:p w14:paraId="2061DEFA">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10.1</w:t>
            </w:r>
          </w:p>
        </w:tc>
        <w:tc>
          <w:tcPr>
            <w:tcW w:w="1695" w:type="dxa"/>
            <w:noWrap w:val="0"/>
            <w:vAlign w:val="center"/>
          </w:tcPr>
          <w:p w14:paraId="353EDDBB">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报价说明</w:t>
            </w:r>
          </w:p>
        </w:tc>
        <w:tc>
          <w:tcPr>
            <w:tcW w:w="7275" w:type="dxa"/>
            <w:noWrap w:val="0"/>
            <w:vAlign w:val="center"/>
          </w:tcPr>
          <w:p w14:paraId="076CDCE2">
            <w:pPr>
              <w:spacing w:after="0" w:line="360" w:lineRule="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）报价次数：本项目采用2轮报价</w:t>
            </w:r>
          </w:p>
          <w:p w14:paraId="4CF1E704">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（2）磋商报价方式：报价采用费用包干方式，供应商应依据本磋商文件、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质量</w:t>
            </w:r>
            <w:r>
              <w:rPr>
                <w:rFonts w:hint="eastAsia" w:ascii="仿宋" w:hAnsi="仿宋" w:eastAsia="仿宋" w:cs="仿宋"/>
                <w:color w:val="000000" w:themeColor="text1"/>
                <w:sz w:val="24"/>
                <w:szCs w:val="24"/>
                <w:highlight w:val="none"/>
                <w:lang w:eastAsia="zh-CN"/>
                <w14:textFill>
                  <w14:solidFill>
                    <w14:schemeClr w14:val="tx1"/>
                  </w14:solidFill>
                </w14:textFill>
              </w:rPr>
              <w:t>要求及有关资料，根据供应商自身综合实力、现行市场价格自行测算出满足采购要求的投标报价，该投标报价须包含供应商人工费、运杂费、仓储费、利润、税金以及国家规定的各项费用。因成交人自身原因造成漏报、少报皆由其自行承担责任，采购人不再补偿。</w:t>
            </w:r>
            <w:r>
              <w:rPr>
                <w:rFonts w:hint="eastAsia" w:ascii="仿宋" w:hAnsi="仿宋" w:eastAsia="仿宋" w:cs="仿宋"/>
                <w:color w:val="000000" w:themeColor="text1"/>
                <w:sz w:val="24"/>
                <w:szCs w:val="24"/>
                <w:highlight w:val="none"/>
                <w14:textFill>
                  <w14:solidFill>
                    <w14:schemeClr w14:val="tx1"/>
                  </w14:solidFill>
                </w14:textFill>
              </w:rPr>
              <w:t xml:space="preserve">                                                            </w:t>
            </w:r>
          </w:p>
        </w:tc>
      </w:tr>
      <w:tr w14:paraId="29EFC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jc w:val="center"/>
        </w:trPr>
        <w:tc>
          <w:tcPr>
            <w:tcW w:w="825" w:type="dxa"/>
            <w:tcBorders>
              <w:top w:val="single" w:color="auto" w:sz="4" w:space="0"/>
              <w:bottom w:val="single" w:color="auto" w:sz="4" w:space="0"/>
              <w:right w:val="single" w:color="auto" w:sz="4" w:space="0"/>
            </w:tcBorders>
            <w:noWrap w:val="0"/>
            <w:vAlign w:val="center"/>
          </w:tcPr>
          <w:p w14:paraId="308F8A34">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10.2</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3A9D0948">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知识产权</w:t>
            </w:r>
          </w:p>
        </w:tc>
        <w:tc>
          <w:tcPr>
            <w:tcW w:w="7275" w:type="dxa"/>
            <w:tcBorders>
              <w:top w:val="single" w:color="auto" w:sz="4" w:space="0"/>
              <w:left w:val="single" w:color="auto" w:sz="4" w:space="0"/>
              <w:bottom w:val="single" w:color="auto" w:sz="4" w:space="0"/>
            </w:tcBorders>
            <w:noWrap w:val="0"/>
            <w:vAlign w:val="center"/>
          </w:tcPr>
          <w:p w14:paraId="707953B7">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磋商申请单位必须遵守《中华人民共和国保守国家秘密法》、《中华人民共和国保守国家秘密法实施条例》规定做好保密工作，构成本磋商文件各个组成部分的文件，未经采购人书面同意，</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不得擅自复印和用于非本磋商项目所需的其他目的。采购人全部或者部分使用未成交人磋商响应文件中的技术成果或技术方案时，需征得其书面同意，并不得擅自复印或提供给第三人。</w:t>
            </w:r>
          </w:p>
        </w:tc>
      </w:tr>
      <w:tr w14:paraId="4E46C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5" w:hRule="atLeast"/>
          <w:jc w:val="center"/>
        </w:trPr>
        <w:tc>
          <w:tcPr>
            <w:tcW w:w="825" w:type="dxa"/>
            <w:tcBorders>
              <w:top w:val="single" w:color="auto" w:sz="4" w:space="0"/>
              <w:bottom w:val="single" w:color="auto" w:sz="4" w:space="0"/>
              <w:right w:val="single" w:color="auto" w:sz="4" w:space="0"/>
            </w:tcBorders>
            <w:noWrap w:val="0"/>
            <w:vAlign w:val="center"/>
          </w:tcPr>
          <w:p w14:paraId="1675B747">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10.3</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10456E93">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解释权</w:t>
            </w:r>
          </w:p>
        </w:tc>
        <w:tc>
          <w:tcPr>
            <w:tcW w:w="7275" w:type="dxa"/>
            <w:tcBorders>
              <w:top w:val="single" w:color="auto" w:sz="4" w:space="0"/>
              <w:left w:val="single" w:color="auto" w:sz="4" w:space="0"/>
              <w:bottom w:val="single" w:color="auto" w:sz="4" w:space="0"/>
            </w:tcBorders>
            <w:noWrap w:val="0"/>
            <w:vAlign w:val="center"/>
          </w:tcPr>
          <w:p w14:paraId="338F187E">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构成本采购文件的各个组成文件应互为解释，互为说明；如有不明确或不一致，构成合同文件组成内容的，以合同文件约定内容为准，且以专用合同条款约定的合同文件优先顺序解释；除采购文件中有特别规定外，仅适用于采购全过程阶段的规定，按磋商公告、</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评审办法、磋商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p>
        </w:tc>
      </w:tr>
      <w:tr w14:paraId="0496A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 w:hRule="atLeast"/>
          <w:jc w:val="center"/>
        </w:trPr>
        <w:tc>
          <w:tcPr>
            <w:tcW w:w="825" w:type="dxa"/>
            <w:tcBorders>
              <w:top w:val="single" w:color="auto" w:sz="4" w:space="0"/>
              <w:bottom w:val="single" w:color="auto" w:sz="4" w:space="0"/>
              <w:right w:val="single" w:color="auto" w:sz="4" w:space="0"/>
            </w:tcBorders>
            <w:noWrap w:val="0"/>
            <w:vAlign w:val="center"/>
          </w:tcPr>
          <w:p w14:paraId="0D62CE8D">
            <w:pPr>
              <w:spacing w:after="0"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497C873D">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偏离</w:t>
            </w:r>
          </w:p>
        </w:tc>
        <w:tc>
          <w:tcPr>
            <w:tcW w:w="7275" w:type="dxa"/>
            <w:tcBorders>
              <w:top w:val="single" w:color="auto" w:sz="4" w:space="0"/>
              <w:left w:val="single" w:color="auto" w:sz="4" w:space="0"/>
              <w:bottom w:val="single" w:color="auto" w:sz="4" w:space="0"/>
            </w:tcBorders>
            <w:noWrap w:val="0"/>
            <w:vAlign w:val="center"/>
          </w:tcPr>
          <w:p w14:paraId="1655D6F6">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不允许</w:t>
            </w:r>
          </w:p>
          <w:p w14:paraId="2FD81B0E">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允许细微偏离</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供应商可在竞争性磋商文件要求的条件上，做出正偏离的承诺（如工期提前、质量标准提高，处罚额度增大等）。</w:t>
            </w:r>
          </w:p>
        </w:tc>
      </w:tr>
      <w:tr w14:paraId="69470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 w:hRule="atLeast"/>
          <w:jc w:val="center"/>
        </w:trPr>
        <w:tc>
          <w:tcPr>
            <w:tcW w:w="825" w:type="dxa"/>
            <w:tcBorders>
              <w:top w:val="single" w:color="auto" w:sz="4" w:space="0"/>
              <w:bottom w:val="single" w:color="auto" w:sz="4" w:space="0"/>
              <w:right w:val="single" w:color="auto" w:sz="4" w:space="0"/>
            </w:tcBorders>
            <w:noWrap w:val="0"/>
            <w:vAlign w:val="center"/>
          </w:tcPr>
          <w:p w14:paraId="55F56628">
            <w:pPr>
              <w:spacing w:after="0" w:line="360" w:lineRule="auto"/>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10.5</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56052F91">
            <w:pPr>
              <w:spacing w:after="0" w:line="360" w:lineRule="auto"/>
              <w:jc w:val="center"/>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政府采购政策功能（若有时提供）</w:t>
            </w:r>
          </w:p>
        </w:tc>
        <w:tc>
          <w:tcPr>
            <w:tcW w:w="7275" w:type="dxa"/>
            <w:tcBorders>
              <w:top w:val="single" w:color="auto" w:sz="4" w:space="0"/>
              <w:left w:val="single" w:color="auto" w:sz="4" w:space="0"/>
              <w:bottom w:val="single" w:color="auto" w:sz="4" w:space="0"/>
            </w:tcBorders>
            <w:noWrap w:val="0"/>
            <w:vAlign w:val="center"/>
          </w:tcPr>
          <w:p w14:paraId="24A1F602">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14:textFill>
                  <w14:solidFill>
                    <w14:schemeClr w14:val="tx1"/>
                  </w14:solidFill>
                </w14:textFill>
              </w:rPr>
            </w:pPr>
            <w:r>
              <w:rPr>
                <w:rFonts w:hint="eastAsia" w:ascii="仿宋" w:hAnsi="仿宋" w:eastAsia="仿宋" w:cs="仿宋"/>
                <w:color w:val="000000" w:themeColor="text1"/>
                <w:kern w:val="2"/>
                <w:sz w:val="24"/>
                <w:highlight w:val="none"/>
                <w14:textFill>
                  <w14:solidFill>
                    <w14:schemeClr w14:val="tx1"/>
                  </w14:solidFill>
                </w14:textFill>
              </w:rPr>
              <w:t>小型和微型企业价格评分优惠政策</w:t>
            </w:r>
          </w:p>
          <w:p w14:paraId="2BE0B5AA">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14:textFill>
                  <w14:solidFill>
                    <w14:schemeClr w14:val="tx1"/>
                  </w14:solidFill>
                </w14:textFill>
              </w:rPr>
            </w:pPr>
            <w:r>
              <w:rPr>
                <w:rFonts w:hint="eastAsia" w:ascii="仿宋" w:hAnsi="仿宋" w:eastAsia="仿宋" w:cs="仿宋"/>
                <w:color w:val="000000" w:themeColor="text1"/>
                <w:kern w:val="2"/>
                <w:sz w:val="24"/>
                <w:highlight w:val="none"/>
                <w14:textFill>
                  <w14:solidFill>
                    <w14:schemeClr w14:val="tx1"/>
                  </w14:solidFill>
                </w14:textFill>
              </w:rPr>
              <w:t>①根据财政部发布的《政府采购促进中小企业发展管理办法》规定，本项目对小型和微型企业产品的价格给予</w:t>
            </w:r>
            <w:r>
              <w:rPr>
                <w:rFonts w:hint="eastAsia" w:ascii="仿宋" w:hAnsi="仿宋" w:eastAsia="仿宋" w:cs="仿宋"/>
                <w:color w:val="000000" w:themeColor="text1"/>
                <w:kern w:val="2"/>
                <w:sz w:val="24"/>
                <w:highlight w:val="none"/>
                <w:lang w:val="en-US" w:eastAsia="zh-CN"/>
                <w14:textFill>
                  <w14:solidFill>
                    <w14:schemeClr w14:val="tx1"/>
                  </w14:solidFill>
                </w14:textFill>
              </w:rPr>
              <w:t>10</w:t>
            </w:r>
            <w:r>
              <w:rPr>
                <w:rFonts w:hint="eastAsia" w:ascii="仿宋" w:hAnsi="仿宋" w:eastAsia="仿宋" w:cs="仿宋"/>
                <w:color w:val="000000" w:themeColor="text1"/>
                <w:kern w:val="2"/>
                <w:sz w:val="24"/>
                <w:highlight w:val="none"/>
                <w14:textFill>
                  <w14:solidFill>
                    <w14:schemeClr w14:val="tx1"/>
                  </w14:solidFill>
                </w14:textFill>
              </w:rPr>
              <w:t>%的扣除。</w:t>
            </w:r>
          </w:p>
          <w:p w14:paraId="6472626D">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14:textFill>
                  <w14:solidFill>
                    <w14:schemeClr w14:val="tx1"/>
                  </w14:solidFill>
                </w14:textFill>
              </w:rPr>
              <w:t>② 根据财政部发布的《关于政府采购支持监狱企业发展有</w:t>
            </w:r>
            <w:r>
              <w:rPr>
                <w:rFonts w:hint="eastAsia" w:ascii="仿宋" w:hAnsi="仿宋" w:eastAsia="仿宋" w:cs="仿宋"/>
                <w:color w:val="000000" w:themeColor="text1"/>
                <w:kern w:val="2"/>
                <w:sz w:val="24"/>
                <w:highlight w:val="none"/>
                <w:lang w:val="en-US" w:eastAsia="zh-CN"/>
                <w14:textFill>
                  <w14:solidFill>
                    <w14:schemeClr w14:val="tx1"/>
                  </w14:solidFill>
                </w14:textFill>
              </w:rPr>
              <w:t>关问题的通知》规定，本项目对监狱企业产品的价格给予10%的扣除。</w:t>
            </w:r>
          </w:p>
          <w:p w14:paraId="4CE125E1">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14:textFill>
                  <w14:solidFill>
                    <w14:schemeClr w14:val="tx1"/>
                  </w14:solidFill>
                </w14:textFill>
              </w:rPr>
              <w:t>③</w:t>
            </w:r>
            <w:r>
              <w:rPr>
                <w:rFonts w:hint="eastAsia" w:ascii="仿宋" w:hAnsi="仿宋" w:eastAsia="仿宋" w:cs="仿宋"/>
                <w:color w:val="000000" w:themeColor="text1"/>
                <w:kern w:val="2"/>
                <w:sz w:val="24"/>
                <w:highlight w:val="none"/>
                <w:lang w:val="en-US" w:eastAsia="zh-CN"/>
                <w14:textFill>
                  <w14:solidFill>
                    <w14:schemeClr w14:val="tx1"/>
                  </w14:solidFill>
                </w14:textFill>
              </w:rPr>
              <w:t>根据财政部、民政部、中国残疾人联合会发布的《关于促进残疾人就业政府采购政策的通知》规定，本项目对残疾人福利性单位产品的价格给予10%的扣除。残疾人福利性单位视同为小型、微型企业。</w:t>
            </w:r>
          </w:p>
          <w:p w14:paraId="1C2D55FC">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b/>
                <w:bCs/>
                <w:color w:val="000000" w:themeColor="text1"/>
                <w:kern w:val="2"/>
                <w:sz w:val="24"/>
                <w:highlight w:val="none"/>
                <w:lang w:val="en-US" w:eastAsia="zh-CN"/>
                <w14:textFill>
                  <w14:solidFill>
                    <w14:schemeClr w14:val="tx1"/>
                  </w14:solidFill>
                </w14:textFill>
              </w:rPr>
            </w:pPr>
            <w:r>
              <w:rPr>
                <w:rFonts w:hint="eastAsia" w:ascii="仿宋" w:hAnsi="仿宋" w:eastAsia="仿宋" w:cs="仿宋"/>
                <w:b/>
                <w:bCs/>
                <w:color w:val="000000" w:themeColor="text1"/>
                <w:kern w:val="2"/>
                <w:sz w:val="24"/>
                <w:highlight w:val="none"/>
                <w:lang w:val="en-US" w:eastAsia="zh-CN"/>
                <w14:textFill>
                  <w14:solidFill>
                    <w14:schemeClr w14:val="tx1"/>
                  </w14:solidFill>
                </w14:textFill>
              </w:rPr>
              <w:t>根据《关于印发中小企业划型标准规定的通知》（工信部联企业〔2011〕300号）中小企业划型标准规定节选：</w:t>
            </w:r>
          </w:p>
          <w:p w14:paraId="4FC649D4">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各行业划型标准为：</w:t>
            </w:r>
          </w:p>
          <w:p w14:paraId="1D0FC027">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（一）农、林、牧、渔业。营业收入20000万元以下的为中小微型企业。其中，营业收入500万元及以上的为中型企业，营业收入50万元及以上的为小型企业，营业收入50万元以下的为微型企业。</w:t>
            </w:r>
          </w:p>
          <w:p w14:paraId="1110AA86">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BF54626">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1996D0F">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637A9E0">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2204FDE0">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2D292285">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5AFF49">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997519C">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2D113E7">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1595E5CA">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C922849">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930B46D">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15575F54">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DADB2C7">
            <w:pPr>
              <w:pStyle w:val="12"/>
              <w:keepNext w:val="0"/>
              <w:keepLines w:val="0"/>
              <w:pageBreakBefore w:val="0"/>
              <w:kinsoku/>
              <w:wordWrap/>
              <w:overflowPunct/>
              <w:topLinePunct w:val="0"/>
              <w:bidi w:val="0"/>
              <w:snapToGrid/>
              <w:spacing w:after="0" w:line="360" w:lineRule="auto"/>
              <w:ind w:firstLine="0" w:firstLineChars="0"/>
              <w:jc w:val="both"/>
              <w:textAlignment w:val="auto"/>
              <w:rPr>
                <w:rFonts w:hint="eastAsia" w:ascii="仿宋" w:hAnsi="仿宋" w:eastAsia="仿宋" w:cs="仿宋"/>
                <w:color w:val="000000" w:themeColor="text1"/>
                <w:kern w:val="2"/>
                <w:sz w:val="24"/>
                <w:highlight w:val="none"/>
                <w:lang w:val="en-US" w:eastAsia="zh-CN"/>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00BB8B8">
            <w:pPr>
              <w:spacing w:after="0" w:line="360" w:lineRule="auto"/>
              <w:rPr>
                <w:rFonts w:hint="eastAsia" w:ascii="仿宋" w:hAnsi="仿宋" w:eastAsia="仿宋" w:cs="仿宋"/>
                <w:color w:val="000000" w:themeColor="text1"/>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
                <w:sz w:val="24"/>
                <w:highlight w:val="none"/>
                <w:lang w:val="en-US" w:eastAsia="zh-CN"/>
                <w14:textFill>
                  <w14:solidFill>
                    <w14:schemeClr w14:val="tx1"/>
                  </w14:solidFill>
                </w14:textFill>
              </w:rPr>
              <w:t>　　（十六）其他未列明行业。从业人员300人以下的为中小微型企业。其中，从业人员100人及以上的为中型企业；从业人员10人及以上的为小型企业；从业人员10人以下的为微型企业。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color w:val="000000" w:themeColor="text1"/>
                <w:sz w:val="24"/>
                <w:szCs w:val="24"/>
                <w:highlight w:val="none"/>
                <w:lang w:val="en-US" w:eastAsia="zh-CN"/>
                <w14:textFill>
                  <w14:solidFill>
                    <w14:schemeClr w14:val="tx1"/>
                  </w14:solidFill>
                </w14:textFill>
              </w:rPr>
              <w:t>。</w:t>
            </w:r>
          </w:p>
        </w:tc>
      </w:tr>
      <w:tr w14:paraId="792E56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825" w:type="dxa"/>
            <w:tcBorders>
              <w:top w:val="single" w:color="auto" w:sz="4" w:space="0"/>
              <w:bottom w:val="single" w:color="auto" w:sz="4" w:space="0"/>
              <w:right w:val="single" w:color="auto" w:sz="4" w:space="0"/>
            </w:tcBorders>
            <w:noWrap w:val="0"/>
            <w:vAlign w:val="center"/>
          </w:tcPr>
          <w:p w14:paraId="5364673B">
            <w:pPr>
              <w:spacing w:after="0"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5AF2134B">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词语的定义</w:t>
            </w:r>
          </w:p>
        </w:tc>
        <w:tc>
          <w:tcPr>
            <w:tcW w:w="7275" w:type="dxa"/>
            <w:tcBorders>
              <w:top w:val="single" w:color="auto" w:sz="4" w:space="0"/>
              <w:left w:val="single" w:color="auto" w:sz="4" w:space="0"/>
              <w:bottom w:val="single" w:color="auto" w:sz="4" w:space="0"/>
            </w:tcBorders>
            <w:noWrap w:val="0"/>
            <w:vAlign w:val="center"/>
          </w:tcPr>
          <w:p w14:paraId="348A4AEA">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1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①</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采购人</w:t>
            </w:r>
            <w:r>
              <w:rPr>
                <w:rFonts w:hint="eastAsia" w:ascii="仿宋" w:hAnsi="仿宋" w:eastAsia="仿宋" w:cs="仿宋"/>
                <w:color w:val="000000" w:themeColor="text1"/>
                <w:sz w:val="24"/>
                <w:szCs w:val="24"/>
                <w:highlight w:val="none"/>
                <w14:textFill>
                  <w14:solidFill>
                    <w14:schemeClr w14:val="tx1"/>
                  </w14:solidFill>
                </w14:textFill>
              </w:rPr>
              <w:t>”系指获得资金或贷款的国家机关、企事业单位或者其他社会组织，或称业主。</w:t>
            </w:r>
          </w:p>
          <w:p w14:paraId="59F848E3">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2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②</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成交人</w:t>
            </w:r>
            <w:r>
              <w:rPr>
                <w:rFonts w:hint="eastAsia" w:ascii="仿宋" w:hAnsi="仿宋" w:eastAsia="仿宋" w:cs="仿宋"/>
                <w:color w:val="000000" w:themeColor="text1"/>
                <w:sz w:val="24"/>
                <w:szCs w:val="24"/>
                <w:highlight w:val="none"/>
                <w14:textFill>
                  <w14:solidFill>
                    <w14:schemeClr w14:val="tx1"/>
                  </w14:solidFill>
                </w14:textFill>
              </w:rPr>
              <w:t>”系指向</w:t>
            </w:r>
            <w:r>
              <w:rPr>
                <w:rFonts w:hint="eastAsia" w:ascii="仿宋" w:hAnsi="仿宋" w:eastAsia="仿宋" w:cs="仿宋"/>
                <w:color w:val="000000" w:themeColor="text1"/>
                <w:sz w:val="24"/>
                <w:szCs w:val="24"/>
                <w:highlight w:val="none"/>
                <w:lang w:eastAsia="zh-CN"/>
                <w14:textFill>
                  <w14:solidFill>
                    <w14:schemeClr w14:val="tx1"/>
                  </w14:solidFill>
                </w14:textFill>
              </w:rPr>
              <w:t>采购人</w:t>
            </w:r>
            <w:r>
              <w:rPr>
                <w:rFonts w:hint="eastAsia" w:ascii="仿宋" w:hAnsi="仿宋" w:eastAsia="仿宋" w:cs="仿宋"/>
                <w:color w:val="000000" w:themeColor="text1"/>
                <w:sz w:val="24"/>
                <w:szCs w:val="24"/>
                <w:highlight w:val="none"/>
                <w14:textFill>
                  <w14:solidFill>
                    <w14:schemeClr w14:val="tx1"/>
                  </w14:solidFill>
                </w14:textFill>
              </w:rPr>
              <w:t>提交</w:t>
            </w:r>
            <w:r>
              <w:rPr>
                <w:rFonts w:hint="eastAsia" w:ascii="仿宋" w:hAnsi="仿宋" w:eastAsia="仿宋" w:cs="仿宋"/>
                <w:color w:val="000000" w:themeColor="text1"/>
                <w:sz w:val="24"/>
                <w:szCs w:val="24"/>
                <w:highlight w:val="none"/>
                <w:lang w:eastAsia="zh-CN"/>
                <w14:textFill>
                  <w14:solidFill>
                    <w14:schemeClr w14:val="tx1"/>
                  </w14:solidFill>
                </w14:textFill>
              </w:rPr>
              <w:t>竞争性磋商响应文件</w:t>
            </w:r>
            <w:r>
              <w:rPr>
                <w:rFonts w:hint="eastAsia" w:ascii="仿宋" w:hAnsi="仿宋" w:eastAsia="仿宋" w:cs="仿宋"/>
                <w:color w:val="000000" w:themeColor="text1"/>
                <w:sz w:val="24"/>
                <w:szCs w:val="24"/>
                <w:highlight w:val="none"/>
                <w14:textFill>
                  <w14:solidFill>
                    <w14:schemeClr w14:val="tx1"/>
                  </w14:solidFill>
                </w14:textFill>
              </w:rPr>
              <w:t>的</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”的投标产品中标后，即为“</w:t>
            </w:r>
            <w:r>
              <w:rPr>
                <w:rFonts w:hint="eastAsia" w:ascii="仿宋" w:hAnsi="仿宋" w:eastAsia="仿宋" w:cs="仿宋"/>
                <w:color w:val="000000" w:themeColor="text1"/>
                <w:sz w:val="24"/>
                <w:szCs w:val="24"/>
                <w:highlight w:val="none"/>
                <w:lang w:eastAsia="zh-CN"/>
                <w14:textFill>
                  <w14:solidFill>
                    <w14:schemeClr w14:val="tx1"/>
                  </w14:solidFill>
                </w14:textFill>
              </w:rPr>
              <w:t>成交人</w:t>
            </w:r>
            <w:r>
              <w:rPr>
                <w:rFonts w:hint="eastAsia" w:ascii="仿宋" w:hAnsi="仿宋" w:eastAsia="仿宋" w:cs="仿宋"/>
                <w:color w:val="000000" w:themeColor="text1"/>
                <w:sz w:val="24"/>
                <w:szCs w:val="24"/>
                <w:highlight w:val="none"/>
                <w14:textFill>
                  <w14:solidFill>
                    <w14:schemeClr w14:val="tx1"/>
                  </w14:solidFill>
                </w14:textFill>
              </w:rPr>
              <w:t>”。</w:t>
            </w:r>
          </w:p>
          <w:p w14:paraId="7FC7369C">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3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③</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“招标代理机构”或“采购代理机构”系指依法备案，从事招标代理业务并提供相关服务的社会中介组织。</w:t>
            </w:r>
          </w:p>
          <w:p w14:paraId="76C0AA0E">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4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④</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“服务”系指</w:t>
            </w:r>
            <w:r>
              <w:rPr>
                <w:rFonts w:hint="eastAsia" w:ascii="仿宋" w:hAnsi="仿宋" w:eastAsia="仿宋" w:cs="仿宋"/>
                <w:color w:val="000000" w:themeColor="text1"/>
                <w:sz w:val="24"/>
                <w:szCs w:val="24"/>
                <w:highlight w:val="none"/>
                <w:lang w:eastAsia="zh-CN"/>
                <w14:textFill>
                  <w14:solidFill>
                    <w14:schemeClr w14:val="tx1"/>
                  </w14:solidFill>
                </w14:textFill>
              </w:rPr>
              <w:t>竞争性磋商文件</w:t>
            </w:r>
            <w:r>
              <w:rPr>
                <w:rFonts w:hint="eastAsia" w:ascii="仿宋" w:hAnsi="仿宋" w:eastAsia="仿宋" w:cs="仿宋"/>
                <w:color w:val="000000" w:themeColor="text1"/>
                <w:sz w:val="24"/>
                <w:szCs w:val="24"/>
                <w:highlight w:val="none"/>
                <w14:textFill>
                  <w14:solidFill>
                    <w14:schemeClr w14:val="tx1"/>
                  </w14:solidFill>
                </w14:textFill>
              </w:rPr>
              <w:t>规定的需</w:t>
            </w:r>
            <w:r>
              <w:rPr>
                <w:rFonts w:hint="eastAsia" w:ascii="仿宋" w:hAnsi="仿宋" w:eastAsia="仿宋" w:cs="仿宋"/>
                <w:color w:val="000000" w:themeColor="text1"/>
                <w:sz w:val="24"/>
                <w:szCs w:val="24"/>
                <w:highlight w:val="none"/>
                <w:lang w:eastAsia="zh-CN"/>
                <w14:textFill>
                  <w14:solidFill>
                    <w14:schemeClr w14:val="tx1"/>
                  </w14:solidFill>
                </w14:textFill>
              </w:rPr>
              <w:t>成交人</w:t>
            </w:r>
            <w:r>
              <w:rPr>
                <w:rFonts w:hint="eastAsia" w:ascii="仿宋" w:hAnsi="仿宋" w:eastAsia="仿宋" w:cs="仿宋"/>
                <w:color w:val="000000" w:themeColor="text1"/>
                <w:sz w:val="24"/>
                <w:szCs w:val="24"/>
                <w:highlight w:val="none"/>
                <w14:textFill>
                  <w14:solidFill>
                    <w14:schemeClr w14:val="tx1"/>
                  </w14:solidFill>
                </w14:textFill>
              </w:rPr>
              <w:t>承担的如运输、保险及其它服务，或指导安装、调试、提供技术协助、培训及其它义务。</w:t>
            </w:r>
          </w:p>
          <w:p w14:paraId="5160FEDC">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5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⑤</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“单位公章”系指刻有工商登记部门核准并登记的法人名称全称的公章，简称“公章”。</w:t>
            </w:r>
          </w:p>
          <w:p w14:paraId="50FCE155">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6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⑥</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法人”系指具有民事权利能力和民事行为能力，依法独立享有民事权利和承担民事义务的组织。简言之，法人是具有民事权利主体资格的社会组织。我国的法人主要有四种：机关法人、事业法人、企业法人和社团法人。</w:t>
            </w:r>
          </w:p>
          <w:p w14:paraId="11C31BED">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7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⑦</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“企业法人”系指依照《中华人民共和国公司法》在中国境内设立的有限责任公司和股份有限公司。</w:t>
            </w:r>
          </w:p>
          <w:p w14:paraId="6B074F9D">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8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⑧</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“法定代表人”系指依照法律或法人组织章程规定，代表法人行使职权的负责人。</w:t>
            </w:r>
          </w:p>
          <w:p w14:paraId="76E4AECE">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9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⑨</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“书面”表示有收到证明的书面通讯(如电报、传真、信函)。</w:t>
            </w:r>
          </w:p>
          <w:p w14:paraId="2651197A">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10 \* GB3</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⑩</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“天”系指日历天数。</w:t>
            </w:r>
          </w:p>
        </w:tc>
      </w:tr>
      <w:tr w14:paraId="404712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25" w:type="dxa"/>
            <w:tcBorders>
              <w:top w:val="single" w:color="auto" w:sz="4" w:space="0"/>
              <w:bottom w:val="single" w:color="auto" w:sz="4" w:space="0"/>
              <w:right w:val="single" w:color="auto" w:sz="4" w:space="0"/>
            </w:tcBorders>
            <w:noWrap w:val="0"/>
            <w:vAlign w:val="center"/>
          </w:tcPr>
          <w:p w14:paraId="1A2A2DF0">
            <w:pPr>
              <w:spacing w:after="0" w:line="360" w:lineRule="auto"/>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10.</w:t>
            </w:r>
            <w:r>
              <w:rPr>
                <w:rFonts w:hint="eastAsia" w:ascii="仿宋" w:hAnsi="仿宋" w:eastAsia="仿宋" w:cs="仿宋"/>
                <w:color w:val="000000" w:themeColor="text1"/>
                <w:sz w:val="24"/>
                <w:szCs w:val="24"/>
                <w:highlight w:val="none"/>
                <w:lang w:val="en-US" w:eastAsia="zh-CN"/>
                <w14:textFill>
                  <w14:solidFill>
                    <w14:schemeClr w14:val="tx1"/>
                  </w14:solidFill>
                </w14:textFill>
              </w:rPr>
              <w:t>7</w:t>
            </w:r>
          </w:p>
        </w:tc>
        <w:tc>
          <w:tcPr>
            <w:tcW w:w="1695" w:type="dxa"/>
            <w:tcBorders>
              <w:top w:val="single" w:color="auto" w:sz="4" w:space="0"/>
              <w:left w:val="single" w:color="auto" w:sz="4" w:space="0"/>
              <w:bottom w:val="single" w:color="auto" w:sz="4" w:space="0"/>
              <w:right w:val="single" w:color="auto" w:sz="4" w:space="0"/>
            </w:tcBorders>
            <w:noWrap w:val="0"/>
            <w:vAlign w:val="center"/>
          </w:tcPr>
          <w:p w14:paraId="65A79524">
            <w:pPr>
              <w:spacing w:after="0"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其他未尽事宜</w:t>
            </w:r>
          </w:p>
        </w:tc>
        <w:tc>
          <w:tcPr>
            <w:tcW w:w="7275" w:type="dxa"/>
            <w:tcBorders>
              <w:top w:val="single" w:color="auto" w:sz="4" w:space="0"/>
              <w:left w:val="single" w:color="auto" w:sz="4" w:space="0"/>
              <w:bottom w:val="single" w:color="auto" w:sz="4" w:space="0"/>
            </w:tcBorders>
            <w:noWrap w:val="0"/>
            <w:vAlign w:val="center"/>
          </w:tcPr>
          <w:p w14:paraId="36AE7F4C">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32" w:name="_Toc526759805"/>
            <w:bookmarkStart w:id="33" w:name="_Toc524621588"/>
            <w:r>
              <w:rPr>
                <w:rFonts w:hint="eastAsia" w:ascii="仿宋" w:hAnsi="仿宋" w:eastAsia="仿宋" w:cs="仿宋"/>
                <w:color w:val="000000" w:themeColor="text1"/>
                <w:sz w:val="24"/>
                <w:szCs w:val="24"/>
                <w:highlight w:val="none"/>
                <w14:textFill>
                  <w14:solidFill>
                    <w14:schemeClr w14:val="tx1"/>
                  </w14:solidFill>
                </w14:textFill>
              </w:rPr>
              <w:t>本采购文件未尽事宜，按现行相关法律法规执行。</w:t>
            </w:r>
            <w:bookmarkEnd w:id="32"/>
            <w:bookmarkEnd w:id="33"/>
          </w:p>
        </w:tc>
      </w:tr>
      <w:tr w14:paraId="4AF765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2" w:hRule="atLeast"/>
          <w:jc w:val="center"/>
        </w:trPr>
        <w:tc>
          <w:tcPr>
            <w:tcW w:w="825" w:type="dxa"/>
            <w:tcBorders>
              <w:top w:val="single" w:color="auto" w:sz="4" w:space="0"/>
              <w:bottom w:val="single" w:color="auto" w:sz="4" w:space="0"/>
              <w:right w:val="single" w:color="auto" w:sz="4" w:space="0"/>
            </w:tcBorders>
            <w:noWrap w:val="0"/>
            <w:vAlign w:val="center"/>
          </w:tcPr>
          <w:p w14:paraId="6E1574CA">
            <w:pPr>
              <w:spacing w:after="0" w:line="360" w:lineRule="auto"/>
              <w:jc w:val="both"/>
              <w:rPr>
                <w:rFonts w:hint="default" w:ascii="仿宋" w:hAnsi="仿宋" w:eastAsia="仿宋" w:cs="仿宋"/>
                <w:color w:val="000000" w:themeColor="text1"/>
                <w:sz w:val="24"/>
                <w:szCs w:val="24"/>
                <w:highlight w:val="none"/>
                <w:lang w:val="en-US" w:eastAsia="zh-CN"/>
                <w14:textFill>
                  <w14:solidFill>
                    <w14:schemeClr w14:val="tx1"/>
                  </w14:solidFill>
                </w14:textFill>
              </w:rPr>
            </w:pPr>
            <w:bookmarkStart w:id="34" w:name="_Toc517963432"/>
            <w:bookmarkStart w:id="35" w:name="_Toc27705"/>
            <w:r>
              <w:rPr>
                <w:rFonts w:hint="eastAsia" w:ascii="仿宋" w:hAnsi="仿宋" w:eastAsia="仿宋" w:cs="仿宋"/>
                <w:color w:val="000000" w:themeColor="text1"/>
                <w:sz w:val="24"/>
                <w:szCs w:val="24"/>
                <w:highlight w:val="none"/>
                <w:lang w:val="en-US" w:eastAsia="zh-CN"/>
                <w14:textFill>
                  <w14:solidFill>
                    <w14:schemeClr w14:val="tx1"/>
                  </w14:solidFill>
                </w14:textFill>
              </w:rPr>
              <w:t>10.8</w:t>
            </w:r>
          </w:p>
        </w:tc>
        <w:tc>
          <w:tcPr>
            <w:tcW w:w="8970" w:type="dxa"/>
            <w:gridSpan w:val="2"/>
            <w:tcBorders>
              <w:top w:val="single" w:color="auto" w:sz="4" w:space="0"/>
              <w:left w:val="single" w:color="auto" w:sz="4" w:space="0"/>
              <w:bottom w:val="single" w:color="auto" w:sz="4" w:space="0"/>
            </w:tcBorders>
            <w:noWrap w:val="0"/>
            <w:vAlign w:val="center"/>
          </w:tcPr>
          <w:p w14:paraId="13E6ECD5">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供应商成交</w:t>
            </w:r>
            <w:r>
              <w:rPr>
                <w:rFonts w:hint="eastAsia" w:ascii="仿宋" w:hAnsi="仿宋" w:eastAsia="仿宋" w:cs="仿宋"/>
                <w:color w:val="000000" w:themeColor="text1"/>
                <w:sz w:val="24"/>
                <w:szCs w:val="24"/>
                <w:highlight w:val="none"/>
                <w14:textFill>
                  <w14:solidFill>
                    <w14:schemeClr w14:val="tx1"/>
                  </w14:solidFill>
                </w14:textFill>
              </w:rPr>
              <w:t>后须提交的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在领取</w:t>
            </w:r>
            <w:r>
              <w:rPr>
                <w:rFonts w:hint="eastAsia" w:ascii="仿宋" w:hAnsi="仿宋" w:eastAsia="仿宋" w:cs="仿宋"/>
                <w:color w:val="000000" w:themeColor="text1"/>
                <w:sz w:val="24"/>
                <w:szCs w:val="24"/>
                <w:highlight w:val="none"/>
                <w:lang w:val="en-US" w:eastAsia="zh-CN"/>
                <w14:textFill>
                  <w14:solidFill>
                    <w14:schemeClr w14:val="tx1"/>
                  </w14:solidFill>
                </w14:textFill>
              </w:rPr>
              <w:t>成交</w:t>
            </w:r>
            <w:r>
              <w:rPr>
                <w:rFonts w:hint="eastAsia" w:ascii="仿宋" w:hAnsi="仿宋" w:eastAsia="仿宋" w:cs="仿宋"/>
                <w:color w:val="000000" w:themeColor="text1"/>
                <w:sz w:val="24"/>
                <w:szCs w:val="24"/>
                <w:highlight w:val="none"/>
                <w14:textFill>
                  <w14:solidFill>
                    <w14:schemeClr w14:val="tx1"/>
                  </w14:solidFill>
                </w14:textFill>
              </w:rPr>
              <w:t>通知书时须提供</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份与网上上传的电子</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文件完全一致的纸质</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w:t>
            </w:r>
          </w:p>
        </w:tc>
      </w:tr>
    </w:tbl>
    <w:p w14:paraId="0A5B60D3">
      <w:pPr>
        <w:pStyle w:val="3"/>
        <w:spacing w:before="120" w:beforeLines="50" w:after="120" w:afterLines="50"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1.总则</w:t>
      </w:r>
      <w:bookmarkEnd w:id="34"/>
      <w:bookmarkEnd w:id="35"/>
    </w:p>
    <w:p w14:paraId="3265515B">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bookmarkStart w:id="36" w:name="_bookmark14"/>
      <w:bookmarkEnd w:id="36"/>
      <w:r>
        <w:rPr>
          <w:rFonts w:hint="eastAsia" w:ascii="仿宋" w:hAnsi="仿宋" w:eastAsia="仿宋" w:cs="仿宋"/>
          <w:b/>
          <w:bCs/>
          <w:color w:val="000000" w:themeColor="text1"/>
          <w:sz w:val="24"/>
          <w:szCs w:val="24"/>
          <w:highlight w:val="none"/>
          <w14:textFill>
            <w14:solidFill>
              <w14:schemeClr w14:val="tx1"/>
            </w14:solidFill>
          </w14:textFill>
        </w:rPr>
        <w:t>1.1 项目概况</w:t>
      </w:r>
    </w:p>
    <w:p w14:paraId="7F467D7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1.1.1根据《中华人民共和国政府采购法》、《云南省政府采购管理暂行办法》、《政府采购竞争性磋商采购方式管理暂行办法》（财库〔2014〕214号）等法律法规的规定，本项目己具备磋商条件，现对本项目进行磋商采购。</w:t>
      </w:r>
    </w:p>
    <w:p w14:paraId="342808C5">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1.1.2采购人：详见“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6373703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1.1.3采购代理机构：详见“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2E5C5315">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1.1.4 项目名称：详见“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6B0F91F3">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1.1.5 项目地点：</w:t>
      </w:r>
      <w:bookmarkStart w:id="37" w:name="_bookmark15"/>
      <w:bookmarkEnd w:id="37"/>
      <w:r>
        <w:rPr>
          <w:rFonts w:hint="eastAsia" w:ascii="仿宋" w:hAnsi="仿宋" w:eastAsia="仿宋" w:cs="仿宋"/>
          <w:color w:val="000000" w:themeColor="text1"/>
          <w:sz w:val="24"/>
          <w:szCs w:val="24"/>
          <w:highlight w:val="none"/>
          <w14:textFill>
            <w14:solidFill>
              <w14:schemeClr w14:val="tx1"/>
            </w14:solidFill>
          </w14:textFill>
        </w:rPr>
        <w:t>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5C3328AC">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1.2 资金来源和落实情况</w:t>
      </w:r>
    </w:p>
    <w:p w14:paraId="326EDFA4">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1.2.1资金来源：详见“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607AD50E">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1.2.2资金落实情况：</w:t>
      </w:r>
      <w:bookmarkStart w:id="38" w:name="_bookmark16"/>
      <w:bookmarkEnd w:id="38"/>
      <w:r>
        <w:rPr>
          <w:rFonts w:hint="eastAsia" w:ascii="仿宋" w:hAnsi="仿宋" w:eastAsia="仿宋" w:cs="仿宋"/>
          <w:color w:val="000000" w:themeColor="text1"/>
          <w:sz w:val="24"/>
          <w:szCs w:val="24"/>
          <w:highlight w:val="none"/>
          <w14:textFill>
            <w14:solidFill>
              <w14:schemeClr w14:val="tx1"/>
            </w14:solidFill>
          </w14:textFill>
        </w:rPr>
        <w:t>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5A9AA100">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 </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采购需求</w:t>
      </w:r>
      <w:r>
        <w:rPr>
          <w:rFonts w:hint="eastAsia" w:ascii="仿宋" w:hAnsi="仿宋" w:eastAsia="仿宋" w:cs="仿宋"/>
          <w:b/>
          <w:bCs/>
          <w:color w:val="000000" w:themeColor="text1"/>
          <w:sz w:val="24"/>
          <w:szCs w:val="24"/>
          <w:highlight w:val="none"/>
          <w14:textFill>
            <w14:solidFill>
              <w14:schemeClr w14:val="tx1"/>
            </w14:solidFill>
          </w14:textFill>
        </w:rPr>
        <w:t>、</w:t>
      </w:r>
      <w:r>
        <w:rPr>
          <w:rFonts w:hint="eastAsia" w:ascii="仿宋" w:hAnsi="仿宋" w:eastAsia="仿宋" w:cs="仿宋"/>
          <w:b/>
          <w:bCs/>
          <w:color w:val="000000" w:themeColor="text1"/>
          <w:sz w:val="24"/>
          <w:szCs w:val="24"/>
          <w:highlight w:val="none"/>
          <w:lang w:eastAsia="zh-CN"/>
          <w14:textFill>
            <w14:solidFill>
              <w14:schemeClr w14:val="tx1"/>
            </w14:solidFill>
          </w14:textFill>
        </w:rPr>
        <w:t>合同履行期限</w:t>
      </w:r>
    </w:p>
    <w:p w14:paraId="6E919FD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 </w:t>
      </w:r>
      <w:r>
        <w:rPr>
          <w:rFonts w:hint="eastAsia" w:ascii="仿宋" w:hAnsi="仿宋" w:eastAsia="仿宋" w:cs="仿宋"/>
          <w:color w:val="000000" w:themeColor="text1"/>
          <w:sz w:val="24"/>
          <w:szCs w:val="24"/>
          <w:highlight w:val="none"/>
          <w:lang w:eastAsia="zh-CN"/>
          <w14:textFill>
            <w14:solidFill>
              <w14:schemeClr w14:val="tx1"/>
            </w14:solidFill>
          </w14:textFill>
        </w:rPr>
        <w:t>合同履行期限</w:t>
      </w:r>
      <w:r>
        <w:rPr>
          <w:rFonts w:hint="eastAsia" w:ascii="仿宋" w:hAnsi="仿宋" w:eastAsia="仿宋" w:cs="仿宋"/>
          <w:color w:val="000000" w:themeColor="text1"/>
          <w:sz w:val="24"/>
          <w:szCs w:val="24"/>
          <w:highlight w:val="none"/>
          <w14:textFill>
            <w14:solidFill>
              <w14:schemeClr w14:val="tx1"/>
            </w14:solidFill>
          </w14:textFill>
        </w:rPr>
        <w:t>：详见“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4255792B">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1.3.2</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采购需求</w:t>
      </w:r>
      <w:r>
        <w:rPr>
          <w:rFonts w:hint="eastAsia" w:ascii="仿宋" w:hAnsi="仿宋" w:eastAsia="仿宋" w:cs="仿宋"/>
          <w:color w:val="000000" w:themeColor="text1"/>
          <w:sz w:val="24"/>
          <w:szCs w:val="24"/>
          <w:highlight w:val="none"/>
          <w14:textFill>
            <w14:solidFill>
              <w14:schemeClr w14:val="tx1"/>
            </w14:solidFill>
          </w14:textFill>
        </w:rPr>
        <w:t>：详见“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049643CB">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bookmarkStart w:id="39" w:name="_bookmark17"/>
      <w:bookmarkEnd w:id="39"/>
      <w:r>
        <w:rPr>
          <w:rFonts w:hint="eastAsia" w:ascii="仿宋" w:hAnsi="仿宋" w:eastAsia="仿宋" w:cs="仿宋"/>
          <w:b/>
          <w:bCs/>
          <w:color w:val="000000" w:themeColor="text1"/>
          <w:sz w:val="24"/>
          <w:szCs w:val="24"/>
          <w:highlight w:val="none"/>
          <w14:textFill>
            <w14:solidFill>
              <w14:schemeClr w14:val="tx1"/>
            </w14:solidFill>
          </w14:textFill>
        </w:rPr>
        <w:t xml:space="preserve">1.4 </w:t>
      </w:r>
      <w:r>
        <w:rPr>
          <w:rFonts w:hint="eastAsia" w:ascii="仿宋" w:hAnsi="仿宋" w:eastAsia="仿宋" w:cs="仿宋"/>
          <w:b/>
          <w:bCs/>
          <w:color w:val="000000" w:themeColor="text1"/>
          <w:sz w:val="24"/>
          <w:szCs w:val="24"/>
          <w:highlight w:val="none"/>
          <w:lang w:eastAsia="zh-CN"/>
          <w14:textFill>
            <w14:solidFill>
              <w14:schemeClr w14:val="tx1"/>
            </w14:solidFill>
          </w14:textFill>
        </w:rPr>
        <w:t>供应商</w:t>
      </w:r>
      <w:r>
        <w:rPr>
          <w:rFonts w:hint="eastAsia" w:ascii="仿宋" w:hAnsi="仿宋" w:eastAsia="仿宋" w:cs="仿宋"/>
          <w:b/>
          <w:bCs/>
          <w:color w:val="000000" w:themeColor="text1"/>
          <w:sz w:val="24"/>
          <w:szCs w:val="24"/>
          <w:highlight w:val="none"/>
          <w14:textFill>
            <w14:solidFill>
              <w14:schemeClr w14:val="tx1"/>
            </w14:solidFill>
          </w14:textFill>
        </w:rPr>
        <w:t>资格要求</w:t>
      </w:r>
    </w:p>
    <w:p w14:paraId="3EC84F3D">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 </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应具备承担本项目的资质条件、能力和信誉；</w:t>
      </w:r>
    </w:p>
    <w:p w14:paraId="297325D6">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1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⑴</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资质条件：详见“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56A97E7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2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⑵</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财务状况及财务能力要求：详见“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498DE530">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3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⑶</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信誉要求：详见“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15E4CDEC">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4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⑷</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其他要求：详见“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5A163C14">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1.4.2 </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须知前附表规定接受联合体磋商的，除应符合本章第 1.4.1 项和</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须知前附表的要求外，还应遵守以下规定：</w:t>
      </w:r>
    </w:p>
    <w:p w14:paraId="0A05E4ED">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1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⑴</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联合体各方应按竞争性磋商文件提供的格式签订联合体协议书，明确联合体牵头人和各方权利义务；</w:t>
      </w:r>
    </w:p>
    <w:p w14:paraId="2512464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2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⑵</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由同一专业的单位组成的联合体，按照资质等级较低的单位确定资质等级；</w:t>
      </w:r>
    </w:p>
    <w:p w14:paraId="00B914DB">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3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⑶</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联合体各方不得再以自己名义单独或参加其他联合体在同一标段中磋商。</w:t>
      </w:r>
    </w:p>
    <w:p w14:paraId="7F1FFEA8">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1.4.3 </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不得存在下列情形之一：</w:t>
      </w:r>
    </w:p>
    <w:p w14:paraId="044CEA89">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1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⑴</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与采购人存在利害关系可能影响磋商公正性的法人、其他组织或者个人，不得参加磋商。单位负责人为同一人或者存在控股、管理关系；</w:t>
      </w:r>
    </w:p>
    <w:p w14:paraId="2C218E3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2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⑵</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为本项目提供采购代理服务的；</w:t>
      </w:r>
    </w:p>
    <w:p w14:paraId="55E50984">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3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⑶</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与本项目的代建人或采购代理机构同为一个法定代表人的；</w:t>
      </w:r>
    </w:p>
    <w:p w14:paraId="77E5326E">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4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⑷</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与本项目的代建人或采购代理机构相互控股或参股的；</w:t>
      </w:r>
    </w:p>
    <w:p w14:paraId="559EA181">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5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⑸</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与本项目的代建人或采购代理机构相互任职或工作的；</w:t>
      </w:r>
    </w:p>
    <w:p w14:paraId="5337508A">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6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⑹</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被责令停业的；</w:t>
      </w:r>
    </w:p>
    <w:p w14:paraId="55A3F7F7">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7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⑺</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被暂停或取消磋商资格的；</w:t>
      </w:r>
    </w:p>
    <w:p w14:paraId="7B783712">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8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⑻</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财产被接管或冻结的；</w:t>
      </w:r>
    </w:p>
    <w:p w14:paraId="542FA59A">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9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⑼</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在最近三年内有骗取中标或严重违约或重大工程质量问题的。</w:t>
      </w:r>
    </w:p>
    <w:p w14:paraId="1C3FF3C8">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bookmarkStart w:id="40" w:name="_bookmark18"/>
      <w:bookmarkEnd w:id="40"/>
      <w:bookmarkStart w:id="41" w:name="_Toc529362113"/>
      <w:bookmarkStart w:id="42" w:name="_Toc529362396"/>
      <w:r>
        <w:rPr>
          <w:rFonts w:hint="eastAsia" w:ascii="仿宋" w:hAnsi="仿宋" w:eastAsia="仿宋" w:cs="仿宋"/>
          <w:b/>
          <w:bCs/>
          <w:color w:val="000000" w:themeColor="text1"/>
          <w:sz w:val="24"/>
          <w:szCs w:val="24"/>
          <w:highlight w:val="none"/>
          <w14:textFill>
            <w14:solidFill>
              <w14:schemeClr w14:val="tx1"/>
            </w14:solidFill>
          </w14:textFill>
        </w:rPr>
        <w:t>1.5费用承担</w:t>
      </w:r>
      <w:bookmarkEnd w:id="41"/>
      <w:bookmarkEnd w:id="42"/>
    </w:p>
    <w:p w14:paraId="698C67BF">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1.5.1</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 xml:space="preserve">准备和参加投标活动发生的费用自理； </w:t>
      </w:r>
    </w:p>
    <w:p w14:paraId="5C6B824D">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1.5.2</w:t>
      </w:r>
      <w:r>
        <w:rPr>
          <w:rFonts w:hint="eastAsia" w:ascii="仿宋" w:hAnsi="仿宋" w:eastAsia="仿宋" w:cs="仿宋"/>
          <w:color w:val="000000" w:themeColor="text1"/>
          <w:sz w:val="24"/>
          <w:szCs w:val="24"/>
          <w:highlight w:val="none"/>
          <w:lang w:val="en-US" w:eastAsia="zh-CN"/>
          <w14:textFill>
            <w14:solidFill>
              <w14:schemeClr w14:val="tx1"/>
            </w14:solidFill>
          </w14:textFill>
        </w:rPr>
        <w:t>本项目招标代理服务费为4500.00元，由成交供应商支付。</w:t>
      </w:r>
    </w:p>
    <w:p w14:paraId="4660CF5B">
      <w:pPr>
        <w:keepNext w:val="0"/>
        <w:keepLines w:val="0"/>
        <w:pageBreakBefore w:val="0"/>
        <w:widowControl/>
        <w:kinsoku/>
        <w:wordWrap/>
        <w:overflowPunct/>
        <w:topLinePunct w:val="0"/>
        <w:autoSpaceDE/>
        <w:autoSpaceDN/>
        <w:bidi w:val="0"/>
        <w:adjustRightInd w:val="0"/>
        <w:snapToGrid w:val="0"/>
        <w:spacing w:after="0" w:line="360" w:lineRule="auto"/>
        <w:ind w:firstLine="482"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1.6 保密</w:t>
      </w:r>
    </w:p>
    <w:p w14:paraId="27B0C82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参与采购活动的各方应对采购文件和</w:t>
      </w:r>
      <w:r>
        <w:rPr>
          <w:rFonts w:hint="eastAsia" w:ascii="仿宋" w:hAnsi="仿宋" w:eastAsia="仿宋" w:cs="仿宋"/>
          <w:color w:val="000000" w:themeColor="text1"/>
          <w:sz w:val="24"/>
          <w:highlight w:val="none"/>
          <w14:textFill>
            <w14:solidFill>
              <w14:schemeClr w14:val="tx1"/>
            </w14:solidFill>
          </w14:textFill>
        </w:rPr>
        <w:t>响应文件</w:t>
      </w:r>
      <w:r>
        <w:rPr>
          <w:rFonts w:hint="eastAsia" w:ascii="仿宋" w:hAnsi="仿宋" w:eastAsia="仿宋" w:cs="仿宋"/>
          <w:color w:val="000000" w:themeColor="text1"/>
          <w:sz w:val="24"/>
          <w:szCs w:val="24"/>
          <w:highlight w:val="none"/>
          <w14:textFill>
            <w14:solidFill>
              <w14:schemeClr w14:val="tx1"/>
            </w14:solidFill>
          </w14:textFill>
        </w:rPr>
        <w:t>中的商业和技术等秘密保密，违者应对由此造成的后果承担法律责任。</w:t>
      </w:r>
    </w:p>
    <w:p w14:paraId="56F8AC16">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43" w:name="_bookmark20"/>
      <w:bookmarkEnd w:id="43"/>
      <w:r>
        <w:rPr>
          <w:rFonts w:hint="eastAsia" w:ascii="仿宋" w:hAnsi="仿宋" w:eastAsia="仿宋" w:cs="仿宋"/>
          <w:b/>
          <w:bCs/>
          <w:color w:val="000000" w:themeColor="text1"/>
          <w:sz w:val="24"/>
          <w:szCs w:val="24"/>
          <w:highlight w:val="none"/>
          <w14:textFill>
            <w14:solidFill>
              <w14:schemeClr w14:val="tx1"/>
            </w14:solidFill>
          </w14:textFill>
        </w:rPr>
        <w:t>1.7 语言文字</w:t>
      </w:r>
    </w:p>
    <w:p w14:paraId="5DBC1C12">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除专用术语外，与采购有关的语言均使用中文。必要时专用术语应附有中文注释。</w:t>
      </w:r>
    </w:p>
    <w:p w14:paraId="182A0C4B">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44" w:name="_bookmark21"/>
      <w:bookmarkEnd w:id="44"/>
      <w:r>
        <w:rPr>
          <w:rFonts w:hint="eastAsia" w:ascii="仿宋" w:hAnsi="仿宋" w:eastAsia="仿宋" w:cs="仿宋"/>
          <w:b/>
          <w:bCs/>
          <w:color w:val="000000" w:themeColor="text1"/>
          <w:sz w:val="24"/>
          <w:szCs w:val="24"/>
          <w:highlight w:val="none"/>
          <w14:textFill>
            <w14:solidFill>
              <w14:schemeClr w14:val="tx1"/>
            </w14:solidFill>
          </w14:textFill>
        </w:rPr>
        <w:t>1.8计量单位</w:t>
      </w:r>
    </w:p>
    <w:p w14:paraId="4B80C602">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所有计量均采用中华人民共和国法定计量单位。</w:t>
      </w:r>
    </w:p>
    <w:p w14:paraId="09DCC21A">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45" w:name="_bookmark22"/>
      <w:bookmarkEnd w:id="45"/>
      <w:r>
        <w:rPr>
          <w:rFonts w:hint="eastAsia" w:ascii="仿宋" w:hAnsi="仿宋" w:eastAsia="仿宋" w:cs="仿宋"/>
          <w:b/>
          <w:bCs/>
          <w:color w:val="000000" w:themeColor="text1"/>
          <w:sz w:val="24"/>
          <w:szCs w:val="24"/>
          <w:highlight w:val="none"/>
          <w14:textFill>
            <w14:solidFill>
              <w14:schemeClr w14:val="tx1"/>
            </w14:solidFill>
          </w14:textFill>
        </w:rPr>
        <w:t>1.9 踏勘现场</w:t>
      </w:r>
    </w:p>
    <w:p w14:paraId="181FC98C">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1.9.1 本项目采购人不组织踏勘现场，</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自行踏勘。</w:t>
      </w:r>
    </w:p>
    <w:p w14:paraId="1B746534">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1.9.2 </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踏勘现场发生的费用自理。</w:t>
      </w:r>
    </w:p>
    <w:p w14:paraId="7CCED9E5">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1.9.3 除采购人的原因外，</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自行负责在踏勘现场中所发生的人员伤亡和财产损失。</w:t>
      </w:r>
    </w:p>
    <w:p w14:paraId="04DB37B0">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46" w:name="_bookmark23"/>
      <w:bookmarkEnd w:id="46"/>
      <w:r>
        <w:rPr>
          <w:rFonts w:hint="eastAsia" w:ascii="仿宋" w:hAnsi="仿宋" w:eastAsia="仿宋" w:cs="仿宋"/>
          <w:b/>
          <w:bCs/>
          <w:color w:val="000000" w:themeColor="text1"/>
          <w:sz w:val="24"/>
          <w:szCs w:val="24"/>
          <w:highlight w:val="none"/>
          <w14:textFill>
            <w14:solidFill>
              <w14:schemeClr w14:val="tx1"/>
            </w14:solidFill>
          </w14:textFill>
        </w:rPr>
        <w:t>1.10 磋商预备会</w:t>
      </w:r>
    </w:p>
    <w:p w14:paraId="0932DBC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不召开磋商预备会。</w:t>
      </w:r>
    </w:p>
    <w:p w14:paraId="0E9D19C3">
      <w:pPr>
        <w:pStyle w:val="3"/>
        <w:spacing w:before="120" w:beforeLines="50" w:after="120" w:afterLines="50" w:line="360" w:lineRule="auto"/>
        <w:rPr>
          <w:rFonts w:hint="eastAsia" w:ascii="仿宋" w:hAnsi="仿宋" w:eastAsia="仿宋" w:cs="仿宋"/>
          <w:color w:val="000000" w:themeColor="text1"/>
          <w:sz w:val="28"/>
          <w:szCs w:val="28"/>
          <w:highlight w:val="none"/>
          <w14:textFill>
            <w14:solidFill>
              <w14:schemeClr w14:val="tx1"/>
            </w14:solidFill>
          </w14:textFill>
        </w:rPr>
      </w:pPr>
      <w:bookmarkStart w:id="47" w:name="_bookmark24"/>
      <w:bookmarkEnd w:id="47"/>
      <w:bookmarkStart w:id="48" w:name="_Toc21758"/>
      <w:r>
        <w:rPr>
          <w:rFonts w:hint="eastAsia" w:ascii="仿宋" w:hAnsi="仿宋" w:eastAsia="仿宋" w:cs="仿宋"/>
          <w:color w:val="000000" w:themeColor="text1"/>
          <w:sz w:val="28"/>
          <w:szCs w:val="28"/>
          <w:highlight w:val="none"/>
          <w14:textFill>
            <w14:solidFill>
              <w14:schemeClr w14:val="tx1"/>
            </w14:solidFill>
          </w14:textFill>
        </w:rPr>
        <w:t>2.竞争性磋商文件</w:t>
      </w:r>
      <w:bookmarkEnd w:id="48"/>
    </w:p>
    <w:p w14:paraId="7D6E60D1">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49" w:name="_bookmark25"/>
      <w:bookmarkEnd w:id="49"/>
      <w:r>
        <w:rPr>
          <w:rFonts w:hint="eastAsia" w:ascii="仿宋" w:hAnsi="仿宋" w:eastAsia="仿宋" w:cs="仿宋"/>
          <w:b/>
          <w:bCs/>
          <w:color w:val="000000" w:themeColor="text1"/>
          <w:sz w:val="24"/>
          <w:szCs w:val="24"/>
          <w:highlight w:val="none"/>
          <w14:textFill>
            <w14:solidFill>
              <w14:schemeClr w14:val="tx1"/>
            </w14:solidFill>
          </w14:textFill>
        </w:rPr>
        <w:t>2.1竞争性磋商文件的组成</w:t>
      </w:r>
    </w:p>
    <w:p w14:paraId="5006762E">
      <w:pPr>
        <w:spacing w:after="0" w:line="360" w:lineRule="auto"/>
        <w:ind w:firstLine="120" w:firstLineChars="5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）磋商公告；</w:t>
      </w:r>
    </w:p>
    <w:p w14:paraId="69C70837">
      <w:pPr>
        <w:spacing w:after="0" w:line="360" w:lineRule="auto"/>
        <w:ind w:firstLine="120" w:firstLineChars="5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lang w:eastAsia="zh-CN"/>
          <w14:textFill>
            <w14:solidFill>
              <w14:schemeClr w14:val="tx1"/>
            </w14:solidFill>
          </w14:textFill>
        </w:rPr>
        <w:t>）供应商须知；</w:t>
      </w:r>
    </w:p>
    <w:p w14:paraId="17115C0F">
      <w:pPr>
        <w:spacing w:after="0" w:line="360" w:lineRule="auto"/>
        <w:ind w:firstLine="120" w:firstLineChars="5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）评审办法；</w:t>
      </w:r>
    </w:p>
    <w:p w14:paraId="2D455282">
      <w:pPr>
        <w:spacing w:after="0" w:line="360" w:lineRule="auto"/>
        <w:ind w:firstLine="120" w:firstLineChars="5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4</w:t>
      </w:r>
      <w:r>
        <w:rPr>
          <w:rFonts w:hint="eastAsia" w:ascii="仿宋" w:hAnsi="仿宋" w:eastAsia="仿宋" w:cs="仿宋"/>
          <w:color w:val="000000" w:themeColor="text1"/>
          <w:sz w:val="24"/>
          <w:szCs w:val="24"/>
          <w:highlight w:val="none"/>
          <w:lang w:eastAsia="zh-CN"/>
          <w14:textFill>
            <w14:solidFill>
              <w14:schemeClr w14:val="tx1"/>
            </w14:solidFill>
          </w14:textFill>
        </w:rPr>
        <w:t>）合同条款及格式；</w:t>
      </w:r>
    </w:p>
    <w:p w14:paraId="45E1262F">
      <w:pPr>
        <w:spacing w:after="0" w:line="360" w:lineRule="auto"/>
        <w:ind w:firstLine="120" w:firstLineChars="5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采购需求</w:t>
      </w:r>
    </w:p>
    <w:p w14:paraId="257523D0">
      <w:pPr>
        <w:spacing w:after="0" w:line="360" w:lineRule="auto"/>
        <w:ind w:firstLine="120" w:firstLineChars="5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lang w:eastAsia="zh-CN"/>
          <w14:textFill>
            <w14:solidFill>
              <w14:schemeClr w14:val="tx1"/>
            </w14:solidFill>
          </w14:textFill>
        </w:rPr>
        <w:t>竞争性磋商响应文件格式；</w:t>
      </w:r>
    </w:p>
    <w:p w14:paraId="21C0E9F1">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根据本章</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须知前附表第 1.10 款、</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须知第 2.2 款对竞争性磋商文件所作的澄清、修改，构成采购文件的组成部分。</w:t>
      </w:r>
    </w:p>
    <w:p w14:paraId="347371B1">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50" w:name="_bookmark26"/>
      <w:bookmarkEnd w:id="50"/>
      <w:r>
        <w:rPr>
          <w:rFonts w:hint="eastAsia" w:ascii="仿宋" w:hAnsi="仿宋" w:eastAsia="仿宋" w:cs="仿宋"/>
          <w:b/>
          <w:bCs/>
          <w:color w:val="000000" w:themeColor="text1"/>
          <w:sz w:val="24"/>
          <w:szCs w:val="24"/>
          <w:highlight w:val="none"/>
          <w14:textFill>
            <w14:solidFill>
              <w14:schemeClr w14:val="tx1"/>
            </w14:solidFill>
          </w14:textFill>
        </w:rPr>
        <w:t>2.2 竞争性磋商文件的澄清</w:t>
      </w:r>
    </w:p>
    <w:p w14:paraId="48E1417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bookmarkStart w:id="51" w:name="_bookmark27"/>
      <w:bookmarkEnd w:id="51"/>
      <w:r>
        <w:rPr>
          <w:rFonts w:hint="eastAsia" w:ascii="仿宋" w:hAnsi="仿宋" w:eastAsia="仿宋" w:cs="仿宋"/>
          <w:color w:val="000000" w:themeColor="text1"/>
          <w:sz w:val="24"/>
          <w:szCs w:val="24"/>
          <w:highlight w:val="none"/>
          <w14:textFill>
            <w14:solidFill>
              <w14:schemeClr w14:val="tx1"/>
            </w14:solidFill>
          </w14:textFill>
        </w:rPr>
        <w:t>2.2.1磋商截止时间：详见“供应商须知前附表”。</w:t>
      </w:r>
    </w:p>
    <w:p w14:paraId="1F038338">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2.2.2供应商应仔细阅读和检查采购文件的全部内容。如发现缺页或附件不全，应及时向采购人提出，以便补齐。如有疑问，应在“供应商须知前附表”规定的时间前</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使用CA数字证书登录“政府采购云平台”（网址：</w:t>
      </w:r>
      <w:r>
        <w:rPr>
          <w:rFonts w:hint="eastAsia" w:ascii="仿宋" w:hAnsi="仿宋" w:eastAsia="仿宋" w:cs="仿宋"/>
          <w:color w:val="000000" w:themeColor="text1"/>
          <w:sz w:val="24"/>
          <w:szCs w:val="24"/>
          <w:highlight w:val="none"/>
          <w:lang w:eastAsia="zh-CN"/>
          <w14:textFill>
            <w14:solidFill>
              <w14:schemeClr w14:val="tx1"/>
            </w14:solidFill>
          </w14:textFill>
        </w:rPr>
        <w:t>https://www.zcygov.cn/</w:t>
      </w:r>
      <w:r>
        <w:rPr>
          <w:rFonts w:hint="eastAsia" w:ascii="仿宋" w:hAnsi="仿宋" w:eastAsia="仿宋" w:cs="仿宋"/>
          <w:color w:val="000000" w:themeColor="text1"/>
          <w:sz w:val="24"/>
          <w:szCs w:val="24"/>
          <w:highlight w:val="none"/>
          <w14:textFill>
            <w14:solidFill>
              <w14:schemeClr w14:val="tx1"/>
            </w14:solidFill>
          </w14:textFill>
        </w:rPr>
        <w:t>)，在“</w:t>
      </w:r>
      <w:r>
        <w:rPr>
          <w:rFonts w:hint="eastAsia" w:ascii="仿宋" w:hAnsi="仿宋" w:eastAsia="仿宋" w:cs="仿宋"/>
          <w:color w:val="000000" w:themeColor="text1"/>
          <w:sz w:val="24"/>
          <w:szCs w:val="24"/>
          <w:highlight w:val="none"/>
          <w:lang w:val="en-US" w:eastAsia="zh-CN"/>
          <w14:textFill>
            <w14:solidFill>
              <w14:schemeClr w14:val="tx1"/>
            </w14:solidFill>
          </w14:textFill>
        </w:rPr>
        <w:t>询问</w:t>
      </w:r>
      <w:r>
        <w:rPr>
          <w:rFonts w:hint="eastAsia" w:ascii="仿宋" w:hAnsi="仿宋" w:eastAsia="仿宋" w:cs="仿宋"/>
          <w:color w:val="000000" w:themeColor="text1"/>
          <w:sz w:val="24"/>
          <w:szCs w:val="24"/>
          <w:highlight w:val="none"/>
          <w14:textFill>
            <w14:solidFill>
              <w14:schemeClr w14:val="tx1"/>
            </w14:solidFill>
          </w14:textFill>
        </w:rPr>
        <w:t>”菜单提出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要求采购人对采购文件予以澄清。</w:t>
      </w:r>
    </w:p>
    <w:p w14:paraId="271372B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2.2.3供应商自行登录“政府采购云平台”（网址：</w:t>
      </w:r>
      <w:r>
        <w:rPr>
          <w:rFonts w:hint="eastAsia" w:ascii="仿宋" w:hAnsi="仿宋" w:eastAsia="仿宋" w:cs="仿宋"/>
          <w:color w:val="000000" w:themeColor="text1"/>
          <w:sz w:val="24"/>
          <w:szCs w:val="24"/>
          <w:highlight w:val="none"/>
          <w:lang w:eastAsia="zh-CN"/>
          <w14:textFill>
            <w14:solidFill>
              <w14:schemeClr w14:val="tx1"/>
            </w14:solidFill>
          </w14:textFill>
        </w:rPr>
        <w:t>https://www.zcygov.cn/</w:t>
      </w:r>
      <w:r>
        <w:rPr>
          <w:rFonts w:hint="eastAsia" w:ascii="仿宋" w:hAnsi="仿宋" w:eastAsia="仿宋" w:cs="仿宋"/>
          <w:color w:val="000000" w:themeColor="text1"/>
          <w:sz w:val="24"/>
          <w:szCs w:val="24"/>
          <w:highlight w:val="none"/>
          <w14:textFill>
            <w14:solidFill>
              <w14:schemeClr w14:val="tx1"/>
            </w14:solidFill>
          </w14:textFill>
        </w:rPr>
        <w:t>)获取澄清，无须回复确认已收到该澄清。</w:t>
      </w:r>
    </w:p>
    <w:p w14:paraId="17C2BD3F">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2.3 竞争性磋商文件的修改</w:t>
      </w:r>
    </w:p>
    <w:p w14:paraId="48F01DA1">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2.3.1提交首次响应文件截止之日前，采购人、采购代理机构可以对已发出的磋商文件进行必要的修改，修改的内容作为磋商文件的组成部分。采购人、采购代理机构通过“政府采购云平台”（网址：</w:t>
      </w:r>
      <w:r>
        <w:rPr>
          <w:rFonts w:hint="eastAsia" w:ascii="仿宋" w:hAnsi="仿宋" w:eastAsia="仿宋" w:cs="仿宋"/>
          <w:color w:val="000000" w:themeColor="text1"/>
          <w:sz w:val="24"/>
          <w:szCs w:val="24"/>
          <w:highlight w:val="none"/>
          <w:lang w:eastAsia="zh-CN"/>
          <w14:textFill>
            <w14:solidFill>
              <w14:schemeClr w14:val="tx1"/>
            </w14:solidFill>
          </w14:textFill>
        </w:rPr>
        <w:t>https://www.zcygov.cn/</w:t>
      </w:r>
      <w:r>
        <w:rPr>
          <w:rFonts w:hint="eastAsia" w:ascii="仿宋" w:hAnsi="仿宋" w:eastAsia="仿宋" w:cs="仿宋"/>
          <w:color w:val="000000" w:themeColor="text1"/>
          <w:sz w:val="24"/>
          <w:szCs w:val="24"/>
          <w:highlight w:val="none"/>
          <w14:textFill>
            <w14:solidFill>
              <w14:schemeClr w14:val="tx1"/>
            </w14:solidFill>
          </w14:textFill>
        </w:rPr>
        <w:t>)发出采购文件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修改</w:t>
      </w:r>
      <w:r>
        <w:rPr>
          <w:rFonts w:hint="eastAsia" w:ascii="仿宋" w:hAnsi="仿宋" w:eastAsia="仿宋" w:cs="仿宋"/>
          <w:color w:val="000000" w:themeColor="text1"/>
          <w:sz w:val="24"/>
          <w:szCs w:val="24"/>
          <w:highlight w:val="none"/>
          <w14:textFill>
            <w14:solidFill>
              <w14:schemeClr w14:val="tx1"/>
            </w14:solidFill>
          </w14:textFill>
        </w:rPr>
        <w:t>。所有获取了采购文件的潜在供应商登录“政府采购云平台”（网址：</w:t>
      </w:r>
      <w:r>
        <w:rPr>
          <w:rFonts w:hint="eastAsia" w:ascii="仿宋" w:hAnsi="仿宋" w:eastAsia="仿宋" w:cs="仿宋"/>
          <w:color w:val="000000" w:themeColor="text1"/>
          <w:sz w:val="24"/>
          <w:szCs w:val="24"/>
          <w:highlight w:val="none"/>
          <w:lang w:eastAsia="zh-CN"/>
          <w14:textFill>
            <w14:solidFill>
              <w14:schemeClr w14:val="tx1"/>
            </w14:solidFill>
          </w14:textFill>
        </w:rPr>
        <w:t>https://www.zcygov.cn/</w:t>
      </w:r>
      <w:r>
        <w:rPr>
          <w:rFonts w:hint="eastAsia" w:ascii="仿宋" w:hAnsi="仿宋" w:eastAsia="仿宋" w:cs="仿宋"/>
          <w:color w:val="000000" w:themeColor="text1"/>
          <w:sz w:val="24"/>
          <w:szCs w:val="24"/>
          <w:highlight w:val="none"/>
          <w14:textFill>
            <w14:solidFill>
              <w14:schemeClr w14:val="tx1"/>
            </w14:solidFill>
          </w14:textFill>
        </w:rPr>
        <w:t>)凭企业身份认证数字证书（CA）查看</w:t>
      </w:r>
      <w:r>
        <w:rPr>
          <w:rFonts w:hint="eastAsia" w:ascii="仿宋" w:hAnsi="仿宋" w:eastAsia="仿宋" w:cs="仿宋"/>
          <w:color w:val="000000" w:themeColor="text1"/>
          <w:sz w:val="24"/>
          <w:szCs w:val="24"/>
          <w:highlight w:val="none"/>
          <w:lang w:val="en-US" w:eastAsia="zh-CN"/>
          <w14:textFill>
            <w14:solidFill>
              <w14:schemeClr w14:val="tx1"/>
            </w14:solidFill>
          </w14:textFill>
        </w:rPr>
        <w:t>修改</w:t>
      </w:r>
      <w:r>
        <w:rPr>
          <w:rFonts w:hint="eastAsia" w:ascii="仿宋" w:hAnsi="仿宋" w:eastAsia="仿宋" w:cs="仿宋"/>
          <w:color w:val="000000" w:themeColor="text1"/>
          <w:sz w:val="24"/>
          <w:szCs w:val="24"/>
          <w:highlight w:val="none"/>
          <w14:textFill>
            <w14:solidFill>
              <w14:schemeClr w14:val="tx1"/>
            </w14:solidFill>
          </w14:textFill>
        </w:rPr>
        <w:t>内容。</w:t>
      </w:r>
    </w:p>
    <w:p w14:paraId="5B139AF7">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2.3.2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1D005600">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2.3.3采购代理机构发出的所有补充、修改和变更文件均作为磋商文件的组成部分，与磋商文件具有同等法律效力。当采购文件、采购文件澄清、采购文件修改文件内容前后相互矛盾时，以最后发出的为准。</w:t>
      </w:r>
    </w:p>
    <w:p w14:paraId="3456E856">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2.4 竞争性磋商文件的解释</w:t>
      </w:r>
    </w:p>
    <w:p w14:paraId="613CF47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文件最终解释权归采购人，所有解释均依据本采购文件及有关的法律、法规；在评审时，若出现采购文件无明确说明和处理的情况时，由磋商小组讨论确定处理方案；磋商小组成员之间对处理方案有争议时，采取少数服从多数的投票方式确定。</w:t>
      </w:r>
    </w:p>
    <w:p w14:paraId="4EA12C40">
      <w:pPr>
        <w:pStyle w:val="3"/>
        <w:spacing w:before="120" w:beforeLines="50" w:after="120" w:afterLines="50" w:line="360" w:lineRule="auto"/>
        <w:rPr>
          <w:rFonts w:hint="eastAsia" w:ascii="仿宋" w:hAnsi="仿宋" w:eastAsia="仿宋" w:cs="仿宋"/>
          <w:color w:val="000000" w:themeColor="text1"/>
          <w:sz w:val="28"/>
          <w:szCs w:val="28"/>
          <w:highlight w:val="none"/>
          <w14:textFill>
            <w14:solidFill>
              <w14:schemeClr w14:val="tx1"/>
            </w14:solidFill>
          </w14:textFill>
        </w:rPr>
      </w:pPr>
      <w:bookmarkStart w:id="52" w:name="_bookmark29"/>
      <w:bookmarkEnd w:id="52"/>
      <w:bookmarkStart w:id="53" w:name="_Toc653"/>
      <w:r>
        <w:rPr>
          <w:rFonts w:hint="eastAsia" w:ascii="仿宋" w:hAnsi="仿宋" w:eastAsia="仿宋" w:cs="仿宋"/>
          <w:color w:val="000000" w:themeColor="text1"/>
          <w:sz w:val="28"/>
          <w:szCs w:val="28"/>
          <w:highlight w:val="none"/>
          <w14:textFill>
            <w14:solidFill>
              <w14:schemeClr w14:val="tx1"/>
            </w14:solidFill>
          </w14:textFill>
        </w:rPr>
        <w:t>3.竞争性磋商响应文件</w:t>
      </w:r>
      <w:bookmarkEnd w:id="53"/>
    </w:p>
    <w:p w14:paraId="73437257">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54" w:name="_bookmark30"/>
      <w:bookmarkEnd w:id="54"/>
      <w:r>
        <w:rPr>
          <w:rFonts w:hint="eastAsia" w:ascii="仿宋" w:hAnsi="仿宋" w:eastAsia="仿宋" w:cs="仿宋"/>
          <w:b/>
          <w:bCs/>
          <w:color w:val="000000" w:themeColor="text1"/>
          <w:sz w:val="24"/>
          <w:szCs w:val="24"/>
          <w:highlight w:val="none"/>
          <w14:textFill>
            <w14:solidFill>
              <w14:schemeClr w14:val="tx1"/>
            </w14:solidFill>
          </w14:textFill>
        </w:rPr>
        <w:t>3.1竞争性磋商响应文件的组成</w:t>
      </w:r>
    </w:p>
    <w:p w14:paraId="54E32C71">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3.1.1竞争性磋商响应文件应包括下列内容：</w:t>
      </w:r>
    </w:p>
    <w:p w14:paraId="7AD171A7">
      <w:pPr>
        <w:spacing w:after="0" w:line="360" w:lineRule="auto"/>
        <w:ind w:firstLine="480" w:firstLineChars="200"/>
        <w:rPr>
          <w:rFonts w:hint="eastAsia" w:ascii="仿宋" w:hAnsi="仿宋" w:eastAsia="仿宋" w:cs="仿宋"/>
          <w:b w:val="0"/>
          <w:bCs w:val="0"/>
          <w:color w:val="000000" w:themeColor="text1"/>
          <w:sz w:val="24"/>
          <w:szCs w:val="24"/>
          <w:highlight w:val="none"/>
          <w14:textFill>
            <w14:solidFill>
              <w14:schemeClr w14:val="tx1"/>
            </w14:solidFill>
          </w14:textFill>
        </w:rPr>
      </w:pPr>
      <w:bookmarkStart w:id="55" w:name="_bookmark31"/>
      <w:bookmarkEnd w:id="55"/>
      <w:r>
        <w:rPr>
          <w:rFonts w:hint="eastAsia" w:ascii="仿宋" w:hAnsi="仿宋" w:eastAsia="仿宋" w:cs="仿宋"/>
          <w:b w:val="0"/>
          <w:bCs w:val="0"/>
          <w:color w:val="000000" w:themeColor="text1"/>
          <w:sz w:val="24"/>
          <w:szCs w:val="24"/>
          <w:highlight w:val="none"/>
          <w14:textFill>
            <w14:solidFill>
              <w14:schemeClr w14:val="tx1"/>
            </w14:solidFill>
          </w14:textFill>
        </w:rPr>
        <w:t>1.磋商函</w:t>
      </w:r>
    </w:p>
    <w:p w14:paraId="74D621F3">
      <w:pPr>
        <w:spacing w:after="0" w:line="360" w:lineRule="auto"/>
        <w:ind w:firstLine="480" w:firstLineChars="200"/>
        <w:rPr>
          <w:rFonts w:hint="default"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2.</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磋商报价</w:t>
      </w:r>
    </w:p>
    <w:p w14:paraId="30C8840F">
      <w:pPr>
        <w:spacing w:after="0" w:line="360" w:lineRule="auto"/>
        <w:ind w:firstLine="480" w:firstLineChars="20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3.法定代表人身份证明书</w:t>
      </w:r>
    </w:p>
    <w:p w14:paraId="62BEED7F">
      <w:pPr>
        <w:spacing w:after="0" w:line="360" w:lineRule="auto"/>
        <w:ind w:firstLine="480" w:firstLineChars="20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4.授权委托书</w:t>
      </w:r>
    </w:p>
    <w:p w14:paraId="72562EA3">
      <w:pPr>
        <w:spacing w:after="0" w:line="360" w:lineRule="auto"/>
        <w:ind w:firstLine="480" w:firstLineChars="200"/>
        <w:rPr>
          <w:rFonts w:hint="eastAsia" w:ascii="仿宋" w:hAnsi="仿宋" w:eastAsia="仿宋" w:cs="仿宋"/>
          <w:b w:val="0"/>
          <w:bCs w:val="0"/>
          <w:color w:val="000000" w:themeColor="text1"/>
          <w:sz w:val="24"/>
          <w:szCs w:val="24"/>
          <w:highlight w:val="none"/>
          <w:lang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5</w:t>
      </w:r>
      <w:r>
        <w:rPr>
          <w:rFonts w:hint="eastAsia" w:ascii="仿宋" w:hAnsi="仿宋" w:eastAsia="仿宋" w:cs="仿宋"/>
          <w:b w:val="0"/>
          <w:bCs w:val="0"/>
          <w:color w:val="000000" w:themeColor="text1"/>
          <w:sz w:val="24"/>
          <w:szCs w:val="24"/>
          <w:highlight w:val="none"/>
          <w14:textFill>
            <w14:solidFill>
              <w14:schemeClr w14:val="tx1"/>
            </w14:solidFill>
          </w14:textFill>
        </w:rPr>
        <w:t>.资格审查资料</w:t>
      </w:r>
    </w:p>
    <w:p w14:paraId="5DF21767">
      <w:pPr>
        <w:spacing w:after="0" w:line="360" w:lineRule="auto"/>
        <w:ind w:firstLine="480" w:firstLineChars="20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6</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技术部分</w:t>
      </w:r>
    </w:p>
    <w:p w14:paraId="5E3030B9">
      <w:pPr>
        <w:spacing w:after="0" w:line="360" w:lineRule="auto"/>
        <w:ind w:firstLine="480" w:firstLineChars="20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7.供应商认为需要提交的其他资料或竞争性磋商文件要求提交的其他资料</w:t>
      </w:r>
    </w:p>
    <w:p w14:paraId="7046A1E8">
      <w:pPr>
        <w:spacing w:after="0" w:line="360" w:lineRule="auto"/>
        <w:ind w:firstLine="480" w:firstLineChars="20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8.中小企业、残疾人福利性单位、监狱企业证明文件</w:t>
      </w:r>
    </w:p>
    <w:p w14:paraId="723F525B">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3.2 磋商报价</w:t>
      </w:r>
    </w:p>
    <w:p w14:paraId="1027169A">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bookmarkStart w:id="56" w:name="_bookmark32"/>
      <w:bookmarkEnd w:id="56"/>
      <w:r>
        <w:rPr>
          <w:rFonts w:hint="eastAsia" w:ascii="仿宋" w:hAnsi="仿宋" w:eastAsia="仿宋" w:cs="仿宋"/>
          <w:color w:val="000000" w:themeColor="text1"/>
          <w:sz w:val="24"/>
          <w:szCs w:val="24"/>
          <w:highlight w:val="none"/>
          <w14:textFill>
            <w14:solidFill>
              <w14:schemeClr w14:val="tx1"/>
            </w14:solidFill>
          </w14:textFill>
        </w:rPr>
        <w:t>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242F084B">
      <w:pPr>
        <w:spacing w:after="0" w:line="360" w:lineRule="auto"/>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3.3 磋商有效期</w:t>
      </w:r>
    </w:p>
    <w:p w14:paraId="376CAB17">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3.3.1 在</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须知前附表规定的磋商有效期内，</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不得要求撤销或修改其竞争性磋商响应文件。</w:t>
      </w:r>
    </w:p>
    <w:p w14:paraId="61E1DF6E">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3.3.2 出现特殊情况需要延长磋商有效期的，采购人以书面形式通知所有</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延长磋商有效期。</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同意延长的，应相应延长其磋商保证金的有效期，但不得要求或被允许修改或撤销其竞争性磋商响应文件；</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拒绝延长的，其磋商失效，但</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有权收回其磋商保证金。</w:t>
      </w:r>
    </w:p>
    <w:p w14:paraId="20FB1136">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57" w:name="_bookmark33"/>
      <w:bookmarkEnd w:id="57"/>
      <w:r>
        <w:rPr>
          <w:rFonts w:hint="eastAsia" w:ascii="仿宋" w:hAnsi="仿宋" w:eastAsia="仿宋" w:cs="仿宋"/>
          <w:b/>
          <w:bCs/>
          <w:color w:val="000000" w:themeColor="text1"/>
          <w:sz w:val="24"/>
          <w:szCs w:val="24"/>
          <w:highlight w:val="none"/>
          <w14:textFill>
            <w14:solidFill>
              <w14:schemeClr w14:val="tx1"/>
            </w14:solidFill>
          </w14:textFill>
        </w:rPr>
        <w:t>3.4 磋商保证金</w:t>
      </w:r>
    </w:p>
    <w:p w14:paraId="18D22F0C">
      <w:pPr>
        <w:spacing w:after="0" w:line="360" w:lineRule="auto"/>
        <w:ind w:firstLine="480" w:firstLineChars="20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bookmarkStart w:id="58" w:name="_bookmark34"/>
      <w:bookmarkEnd w:id="58"/>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本项目不收取保证金</w:t>
      </w:r>
    </w:p>
    <w:p w14:paraId="2F9655BA">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3.5 资格审查资料</w:t>
      </w:r>
    </w:p>
    <w:p w14:paraId="7754253D">
      <w:pPr>
        <w:spacing w:after="0" w:line="360" w:lineRule="auto"/>
        <w:ind w:firstLine="240" w:firstLineChars="1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具体要求详见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 xml:space="preserve">须知前附表； </w:t>
      </w:r>
    </w:p>
    <w:p w14:paraId="6F8F4E38">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3.6 备选磋商方案</w:t>
      </w:r>
    </w:p>
    <w:p w14:paraId="5E14110D">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除</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须知前附表另有规定外，</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不得递交备选磋商方案。允许</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递交备选磋商方案的，只有成交单位所递交的备选磋商方案方可予以考虑。磋商小组认为成交单位的备选磋商方案优于其按照竞争性磋商文件要求编制的磋商方案的，采购人可以接受该备选磋商方案。</w:t>
      </w:r>
    </w:p>
    <w:p w14:paraId="7539DE17">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59" w:name="_bookmark36"/>
      <w:bookmarkEnd w:id="59"/>
      <w:r>
        <w:rPr>
          <w:rFonts w:hint="eastAsia" w:ascii="仿宋" w:hAnsi="仿宋" w:eastAsia="仿宋" w:cs="仿宋"/>
          <w:b/>
          <w:bCs/>
          <w:color w:val="000000" w:themeColor="text1"/>
          <w:sz w:val="24"/>
          <w:szCs w:val="24"/>
          <w:highlight w:val="none"/>
          <w14:textFill>
            <w14:solidFill>
              <w14:schemeClr w14:val="tx1"/>
            </w14:solidFill>
          </w14:textFill>
        </w:rPr>
        <w:t>3.7 竞争性磋商响应文件的编制</w:t>
      </w:r>
    </w:p>
    <w:p w14:paraId="15B8981E">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bookmarkStart w:id="60" w:name="_bookmark37"/>
      <w:bookmarkEnd w:id="60"/>
      <w:r>
        <w:rPr>
          <w:rFonts w:hint="eastAsia" w:ascii="仿宋" w:hAnsi="仿宋" w:eastAsia="仿宋" w:cs="仿宋"/>
          <w:color w:val="000000" w:themeColor="text1"/>
          <w:sz w:val="24"/>
          <w:szCs w:val="24"/>
          <w:highlight w:val="none"/>
          <w:lang w:val="en-US" w:eastAsia="zh-CN"/>
          <w14:textFill>
            <w14:solidFill>
              <w14:schemeClr w14:val="tx1"/>
            </w14:solidFill>
          </w14:textFill>
        </w:rPr>
        <w:t>3.7.1</w:t>
      </w:r>
      <w:r>
        <w:rPr>
          <w:rFonts w:hint="eastAsia" w:ascii="仿宋" w:hAnsi="仿宋" w:eastAsia="仿宋" w:cs="仿宋"/>
          <w:color w:val="000000" w:themeColor="text1"/>
          <w:sz w:val="24"/>
          <w:szCs w:val="24"/>
          <w:highlight w:val="none"/>
          <w14:textFill>
            <w14:solidFill>
              <w14:schemeClr w14:val="tx1"/>
            </w14:solidFill>
          </w14:textFill>
        </w:rPr>
        <w:t>响应文件全部采用电子文档，供应商应安装客户端软件—“政采云电子交易客户端”，并按照</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color w:val="000000" w:themeColor="text1"/>
          <w:sz w:val="24"/>
          <w:szCs w:val="24"/>
          <w:highlight w:val="none"/>
          <w14:textFill>
            <w14:solidFill>
              <w14:schemeClr w14:val="tx1"/>
            </w14:solidFill>
          </w14:textFill>
        </w:rPr>
        <w:t>文件和政采云电子交易平台的要求编制，编制后应进行电子签章、签名及加密；</w:t>
      </w:r>
    </w:p>
    <w:p w14:paraId="01BA3BD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3.7.2</w:t>
      </w:r>
      <w:r>
        <w:rPr>
          <w:rFonts w:hint="eastAsia" w:ascii="仿宋" w:hAnsi="仿宋" w:eastAsia="仿宋" w:cs="仿宋"/>
          <w:color w:val="000000" w:themeColor="text1"/>
          <w:sz w:val="24"/>
          <w:szCs w:val="24"/>
          <w:highlight w:val="none"/>
          <w14:textFill>
            <w14:solidFill>
              <w14:schemeClr w14:val="tx1"/>
            </w14:solidFill>
          </w14:textFill>
        </w:rPr>
        <w:t>如响应文件提交的电子标书不满足</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color w:val="000000" w:themeColor="text1"/>
          <w:sz w:val="24"/>
          <w:szCs w:val="24"/>
          <w:highlight w:val="none"/>
          <w14:textFill>
            <w14:solidFill>
              <w14:schemeClr w14:val="tx1"/>
            </w14:solidFill>
          </w14:textFill>
        </w:rPr>
        <w:t xml:space="preserve">文件要求或开标时无法读取导入或解密，其响应文件将不予受理； </w:t>
      </w:r>
    </w:p>
    <w:p w14:paraId="3D9B99A0">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3.7.3</w:t>
      </w:r>
      <w:r>
        <w:rPr>
          <w:rFonts w:hint="eastAsia" w:ascii="仿宋" w:hAnsi="仿宋" w:eastAsia="仿宋" w:cs="仿宋"/>
          <w:color w:val="000000" w:themeColor="text1"/>
          <w:sz w:val="24"/>
          <w:szCs w:val="24"/>
          <w:highlight w:val="none"/>
          <w14:textFill>
            <w14:solidFill>
              <w14:schemeClr w14:val="tx1"/>
            </w14:solidFill>
          </w14:textFill>
        </w:rPr>
        <w:t>响应文件中提供的资料（扫描件），内容必须清晰可辨，若内容模糊，无法辨识，均视为未提供。</w:t>
      </w:r>
    </w:p>
    <w:p w14:paraId="5051B2F0">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3.7.4供应商</w:t>
      </w:r>
      <w:r>
        <w:rPr>
          <w:rFonts w:hint="eastAsia" w:ascii="仿宋" w:hAnsi="仿宋" w:eastAsia="仿宋" w:cs="仿宋"/>
          <w:color w:val="000000" w:themeColor="text1"/>
          <w:sz w:val="24"/>
          <w:szCs w:val="24"/>
          <w:highlight w:val="none"/>
          <w14:textFill>
            <w14:solidFill>
              <w14:schemeClr w14:val="tx1"/>
            </w14:solidFill>
          </w14:textFill>
        </w:rPr>
        <w:t>进行电子交易应安装客户端软件—“政采云电子交易客户端”，并按照</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color w:val="000000" w:themeColor="text1"/>
          <w:sz w:val="24"/>
          <w:szCs w:val="24"/>
          <w:highlight w:val="none"/>
          <w14:textFill>
            <w14:solidFill>
              <w14:schemeClr w14:val="tx1"/>
            </w14:solidFill>
          </w14:textFill>
        </w:rPr>
        <w:t>文件和电子交易平台的要求编制并加密响应文件。</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 xml:space="preserve">未按规定加密的响应文件，电子交易平台将拒收并提示； </w:t>
      </w:r>
    </w:p>
    <w:p w14:paraId="4E9D7435">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3.7.5</w:t>
      </w:r>
      <w:r>
        <w:rPr>
          <w:rFonts w:hint="eastAsia" w:ascii="仿宋" w:hAnsi="仿宋" w:eastAsia="仿宋" w:cs="仿宋"/>
          <w:color w:val="000000" w:themeColor="text1"/>
          <w:sz w:val="24"/>
          <w:szCs w:val="24"/>
          <w:highlight w:val="none"/>
          <w14:textFill>
            <w14:solidFill>
              <w14:schemeClr w14:val="tx1"/>
            </w14:solidFill>
          </w14:textFill>
        </w:rPr>
        <w:t>使用“政采云电子交易客户端”需要提前申领CA数字证书，申领流程见“政府采购云平台”</w:t>
      </w:r>
      <w:r>
        <w:rPr>
          <w:rFonts w:hint="eastAsia" w:ascii="仿宋" w:hAnsi="仿宋" w:eastAsia="仿宋" w:cs="仿宋"/>
          <w:color w:val="000000" w:themeColor="text1"/>
          <w:sz w:val="24"/>
          <w:szCs w:val="24"/>
          <w:highlight w:val="none"/>
          <w:lang w:val="en-US" w:eastAsia="zh-CN"/>
          <w14:textFill>
            <w14:solidFill>
              <w14:schemeClr w14:val="tx1"/>
            </w14:solidFill>
          </w14:textFill>
        </w:rPr>
        <w:t>相应模块</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28C1910E">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3.7.6</w:t>
      </w:r>
      <w:r>
        <w:rPr>
          <w:rFonts w:hint="eastAsia" w:ascii="仿宋" w:hAnsi="仿宋" w:eastAsia="仿宋" w:cs="仿宋"/>
          <w:color w:val="000000" w:themeColor="text1"/>
          <w:sz w:val="24"/>
          <w:szCs w:val="24"/>
          <w:highlight w:val="none"/>
          <w14:textFill>
            <w14:solidFill>
              <w14:schemeClr w14:val="tx1"/>
            </w14:solidFill>
          </w14:textFill>
        </w:rPr>
        <w:t>为确保网上操作合法、有效和安全，</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应当在响应文件提交截止时间前完成在“政府采购云平台”的身份认证，确保在电子交易过程中能够对相关数据电文进行加密和使用电子签名。</w:t>
      </w:r>
    </w:p>
    <w:p w14:paraId="4BBE3E8A">
      <w:pPr>
        <w:pStyle w:val="3"/>
        <w:pageBreakBefore w:val="0"/>
        <w:kinsoku/>
        <w:wordWrap/>
        <w:overflowPunct/>
        <w:topLinePunct w:val="0"/>
        <w:autoSpaceDE/>
        <w:autoSpaceDN/>
        <w:bidi w:val="0"/>
        <w:spacing w:before="120" w:beforeLines="50" w:after="120" w:afterLines="50" w:line="360" w:lineRule="auto"/>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61" w:name="_Toc28281"/>
      <w:r>
        <w:rPr>
          <w:rFonts w:hint="eastAsia" w:ascii="仿宋" w:hAnsi="仿宋" w:eastAsia="仿宋" w:cs="仿宋"/>
          <w:color w:val="000000" w:themeColor="text1"/>
          <w:sz w:val="28"/>
          <w:szCs w:val="28"/>
          <w:highlight w:val="none"/>
          <w14:textFill>
            <w14:solidFill>
              <w14:schemeClr w14:val="tx1"/>
            </w14:solidFill>
          </w14:textFill>
        </w:rPr>
        <w:t>4.</w:t>
      </w:r>
      <w:bookmarkEnd w:id="61"/>
      <w:r>
        <w:rPr>
          <w:rFonts w:hint="eastAsia" w:ascii="仿宋" w:hAnsi="仿宋" w:eastAsia="仿宋" w:cs="仿宋"/>
          <w:color w:val="000000" w:themeColor="text1"/>
          <w:sz w:val="28"/>
          <w:szCs w:val="28"/>
          <w:highlight w:val="none"/>
          <w14:textFill>
            <w14:solidFill>
              <w14:schemeClr w14:val="tx1"/>
            </w14:solidFill>
          </w14:textFill>
        </w:rPr>
        <w:t>磋商响应文件的提交</w:t>
      </w:r>
    </w:p>
    <w:p w14:paraId="5DFB5966">
      <w:pPr>
        <w:pageBreakBefore w:val="0"/>
        <w:kinsoku/>
        <w:wordWrap/>
        <w:overflowPunct/>
        <w:topLinePunct w:val="0"/>
        <w:autoSpaceDE/>
        <w:autoSpaceDN/>
        <w:bidi w:val="0"/>
        <w:spacing w:after="0" w:line="360" w:lineRule="auto"/>
        <w:textAlignment w:val="auto"/>
        <w:rPr>
          <w:rFonts w:hint="eastAsia" w:ascii="仿宋" w:hAnsi="仿宋" w:eastAsia="仿宋" w:cs="仿宋"/>
          <w:b/>
          <w:bCs/>
          <w:color w:val="000000" w:themeColor="text1"/>
          <w:sz w:val="24"/>
          <w:szCs w:val="24"/>
          <w:highlight w:val="none"/>
          <w14:textFill>
            <w14:solidFill>
              <w14:schemeClr w14:val="tx1"/>
            </w14:solidFill>
          </w14:textFill>
        </w:rPr>
      </w:pPr>
      <w:bookmarkStart w:id="62" w:name="_bookmark38"/>
      <w:bookmarkEnd w:id="62"/>
      <w:r>
        <w:rPr>
          <w:rFonts w:hint="eastAsia" w:ascii="仿宋" w:hAnsi="仿宋" w:eastAsia="仿宋" w:cs="仿宋"/>
          <w:b/>
          <w:bCs/>
          <w:color w:val="000000" w:themeColor="text1"/>
          <w:sz w:val="24"/>
          <w:szCs w:val="24"/>
          <w:highlight w:val="none"/>
          <w14:textFill>
            <w14:solidFill>
              <w14:schemeClr w14:val="tx1"/>
            </w14:solidFill>
          </w14:textFill>
        </w:rPr>
        <w:t>4.</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1</w:t>
      </w:r>
      <w:r>
        <w:rPr>
          <w:rFonts w:hint="eastAsia" w:ascii="仿宋" w:hAnsi="仿宋" w:eastAsia="仿宋" w:cs="仿宋"/>
          <w:b/>
          <w:bCs/>
          <w:color w:val="000000" w:themeColor="text1"/>
          <w:sz w:val="24"/>
          <w:szCs w:val="24"/>
          <w:highlight w:val="none"/>
          <w14:textFill>
            <w14:solidFill>
              <w14:schemeClr w14:val="tx1"/>
            </w14:solidFill>
          </w14:textFill>
        </w:rPr>
        <w:t xml:space="preserve"> </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竞争性</w:t>
      </w:r>
      <w:r>
        <w:rPr>
          <w:rFonts w:hint="eastAsia" w:ascii="仿宋" w:hAnsi="仿宋" w:eastAsia="仿宋" w:cs="仿宋"/>
          <w:b/>
          <w:bCs/>
          <w:color w:val="000000" w:themeColor="text1"/>
          <w:sz w:val="24"/>
          <w:szCs w:val="24"/>
          <w:highlight w:val="none"/>
          <w14:textFill>
            <w14:solidFill>
              <w14:schemeClr w14:val="tx1"/>
            </w14:solidFill>
          </w14:textFill>
        </w:rPr>
        <w:t>磋商响应文件的递交</w:t>
      </w:r>
    </w:p>
    <w:p w14:paraId="3A126748">
      <w:pPr>
        <w:pageBreakBefore w:val="0"/>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bookmarkStart w:id="63" w:name="_bookmark40"/>
      <w:bookmarkEnd w:id="63"/>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.1在“供应商须知前附表” 2.2.1项规定的磋商截止时间前递交竞争性磋商响应文件。</w:t>
      </w:r>
    </w:p>
    <w:p w14:paraId="0C94D467">
      <w:pPr>
        <w:pageBreakBefore w:val="0"/>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.2供应商递交竞争性磋商响应文件的地点：详见“供应商须知前附表”。</w:t>
      </w:r>
    </w:p>
    <w:p w14:paraId="4F305BCE">
      <w:pPr>
        <w:pageBreakBefore w:val="0"/>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.3除“供应商须知前附表”另有规定外，供应商所递交的竞争性磋商响应文件不予</w:t>
      </w:r>
    </w:p>
    <w:p w14:paraId="2F326ABD">
      <w:pPr>
        <w:pageBreakBefore w:val="0"/>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退还。</w:t>
      </w:r>
    </w:p>
    <w:p w14:paraId="76913EE0">
      <w:pPr>
        <w:pageBreakBefore w:val="0"/>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4供应商应当在磋商文件要求的截止时间前，按照本项目采购文件和“政府采购云平台”的要求编制、加密响应文件，并在响应文件提交截止时间前上传至“政府采购云平台”，响应文件提交截止时间前未完成响应文件上传的，视为撤回响应文件。</w:t>
      </w:r>
    </w:p>
    <w:p w14:paraId="7A7195AD">
      <w:pPr>
        <w:pageBreakBefore w:val="0"/>
        <w:kinsoku/>
        <w:wordWrap/>
        <w:overflowPunct/>
        <w:topLinePunct w:val="0"/>
        <w:autoSpaceDE/>
        <w:autoSpaceDN/>
        <w:bidi w:val="0"/>
        <w:spacing w:after="0" w:line="360" w:lineRule="auto"/>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4.</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2</w:t>
      </w:r>
      <w:r>
        <w:rPr>
          <w:rFonts w:hint="eastAsia" w:ascii="仿宋" w:hAnsi="仿宋" w:eastAsia="仿宋" w:cs="仿宋"/>
          <w:b/>
          <w:bCs/>
          <w:color w:val="000000" w:themeColor="text1"/>
          <w:sz w:val="24"/>
          <w:szCs w:val="24"/>
          <w:highlight w:val="none"/>
          <w14:textFill>
            <w14:solidFill>
              <w14:schemeClr w14:val="tx1"/>
            </w14:solidFill>
          </w14:textFill>
        </w:rPr>
        <w:t>竞争性磋商申请文件的修改与撤回</w:t>
      </w:r>
    </w:p>
    <w:p w14:paraId="1E002E26">
      <w:pPr>
        <w:pageBreakBefore w:val="0"/>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bookmarkStart w:id="64" w:name="_bookmark42"/>
      <w:bookmarkEnd w:id="64"/>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.1本章第4.</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.1款规定的</w:t>
      </w:r>
      <w:r>
        <w:rPr>
          <w:rFonts w:hint="eastAsia" w:ascii="仿宋" w:hAnsi="仿宋" w:eastAsia="仿宋" w:cs="仿宋"/>
          <w:color w:val="000000" w:themeColor="text1"/>
          <w:sz w:val="24"/>
          <w:szCs w:val="24"/>
          <w:highlight w:val="none"/>
          <w:lang w:val="en-US"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截止时间前，</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可以修改或撤回已递交的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文件，无须书面形式通知</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color w:val="000000" w:themeColor="text1"/>
          <w:sz w:val="24"/>
          <w:szCs w:val="24"/>
          <w:highlight w:val="none"/>
          <w14:textFill>
            <w14:solidFill>
              <w14:schemeClr w14:val="tx1"/>
            </w14:solidFill>
          </w14:textFill>
        </w:rPr>
        <w:t>人。</w:t>
      </w:r>
    </w:p>
    <w:p w14:paraId="16025BD9">
      <w:pPr>
        <w:pageBreakBefore w:val="0"/>
        <w:kinsoku/>
        <w:wordWrap/>
        <w:overflowPunct/>
        <w:topLinePunct w:val="0"/>
        <w:autoSpaceDE/>
        <w:autoSpaceDN/>
        <w:bidi w:val="0"/>
        <w:spacing w:after="0" w:line="360" w:lineRule="auto"/>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.2修改的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文件应按照电子</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文件编制规定进行编制、密封、标记和递交。</w:t>
      </w:r>
    </w:p>
    <w:p w14:paraId="46A52E46">
      <w:pPr>
        <w:pStyle w:val="3"/>
        <w:pageBreakBefore w:val="0"/>
        <w:kinsoku/>
        <w:wordWrap/>
        <w:overflowPunct/>
        <w:topLinePunct w:val="0"/>
        <w:autoSpaceDE/>
        <w:autoSpaceDN/>
        <w:bidi w:val="0"/>
        <w:spacing w:before="120" w:beforeLines="50" w:after="120" w:afterLines="50" w:line="360" w:lineRule="auto"/>
        <w:textAlignment w:val="auto"/>
        <w:rPr>
          <w:rFonts w:hint="eastAsia" w:ascii="仿宋" w:hAnsi="仿宋" w:eastAsia="仿宋" w:cs="仿宋"/>
          <w:color w:val="000000" w:themeColor="text1"/>
          <w:sz w:val="28"/>
          <w:szCs w:val="28"/>
          <w:highlight w:val="none"/>
          <w14:textFill>
            <w14:solidFill>
              <w14:schemeClr w14:val="tx1"/>
            </w14:solidFill>
          </w14:textFill>
        </w:rPr>
      </w:pPr>
      <w:bookmarkStart w:id="65" w:name="_Toc2141"/>
      <w:r>
        <w:rPr>
          <w:rFonts w:hint="eastAsia" w:ascii="仿宋" w:hAnsi="仿宋" w:eastAsia="仿宋" w:cs="仿宋"/>
          <w:color w:val="000000" w:themeColor="text1"/>
          <w:sz w:val="28"/>
          <w:szCs w:val="28"/>
          <w:highlight w:val="none"/>
          <w14:textFill>
            <w14:solidFill>
              <w14:schemeClr w14:val="tx1"/>
            </w14:solidFill>
          </w14:textFill>
        </w:rPr>
        <w:t>5.磋商</w:t>
      </w:r>
      <w:bookmarkEnd w:id="65"/>
    </w:p>
    <w:p w14:paraId="3EDD0AC2">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5.1磋商时间和地点</w:t>
      </w:r>
    </w:p>
    <w:p w14:paraId="3574E272">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采购人在磋商须知前附表 2.2.1 项规定的磋商截止时间（磋商时间）和</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须知前附表规定的地点参加公开磋商。</w:t>
      </w:r>
    </w:p>
    <w:p w14:paraId="5E53223C">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66" w:name="_bookmark43"/>
      <w:bookmarkEnd w:id="66"/>
      <w:r>
        <w:rPr>
          <w:rFonts w:hint="eastAsia" w:ascii="仿宋" w:hAnsi="仿宋" w:eastAsia="仿宋" w:cs="仿宋"/>
          <w:b/>
          <w:bCs/>
          <w:color w:val="000000" w:themeColor="text1"/>
          <w:sz w:val="24"/>
          <w:szCs w:val="24"/>
          <w:highlight w:val="none"/>
          <w14:textFill>
            <w14:solidFill>
              <w14:schemeClr w14:val="tx1"/>
            </w14:solidFill>
          </w14:textFill>
        </w:rPr>
        <w:t>5.2 磋商程序</w:t>
      </w:r>
    </w:p>
    <w:p w14:paraId="6673B918">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w:t>
      </w:r>
      <w:r>
        <w:rPr>
          <w:rFonts w:hint="eastAsia" w:ascii="仿宋" w:hAnsi="仿宋" w:eastAsia="仿宋" w:cs="仿宋"/>
          <w:color w:val="000000" w:themeColor="text1"/>
          <w:sz w:val="24"/>
          <w:szCs w:val="24"/>
          <w:highlight w:val="none"/>
          <w14:textFill>
            <w14:solidFill>
              <w14:schemeClr w14:val="tx1"/>
            </w14:solidFill>
          </w14:textFill>
        </w:rPr>
        <w:t>在本章第4.2.1项规定的</w:t>
      </w:r>
      <w:r>
        <w:rPr>
          <w:rFonts w:hint="eastAsia" w:ascii="仿宋" w:hAnsi="仿宋" w:eastAsia="仿宋" w:cs="仿宋"/>
          <w:color w:val="000000" w:themeColor="text1"/>
          <w:sz w:val="24"/>
          <w:szCs w:val="24"/>
          <w:highlight w:val="none"/>
          <w:lang w:val="en-US"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截止时间（开标时间）和</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须知前附表规定的地点公开开标，并邀请所有</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的法定代表人或其委托代理人准时参加网上开标。</w:t>
      </w:r>
    </w:p>
    <w:p w14:paraId="27B5CB63">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5.2</w:t>
      </w:r>
      <w:r>
        <w:rPr>
          <w:rFonts w:hint="eastAsia" w:ascii="仿宋" w:hAnsi="仿宋" w:eastAsia="仿宋" w:cs="仿宋"/>
          <w:color w:val="000000" w:themeColor="text1"/>
          <w:sz w:val="24"/>
          <w:szCs w:val="24"/>
          <w:highlight w:val="none"/>
          <w:lang w:val="en-US"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程序</w:t>
      </w:r>
    </w:p>
    <w:p w14:paraId="6A45712C">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主持人按下列程序进行开标：</w:t>
      </w:r>
    </w:p>
    <w:p w14:paraId="1E62DEAE">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⑴宣布</w:t>
      </w:r>
      <w:r>
        <w:rPr>
          <w:rFonts w:hint="eastAsia" w:ascii="仿宋" w:hAnsi="仿宋" w:eastAsia="仿宋" w:cs="仿宋"/>
          <w:color w:val="000000" w:themeColor="text1"/>
          <w:sz w:val="24"/>
          <w:szCs w:val="24"/>
          <w:highlight w:val="none"/>
          <w:lang w:val="en-US"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纪律。</w:t>
      </w:r>
    </w:p>
    <w:p w14:paraId="7816A857">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⑵公布在投标截止时间前递交投标文件的情况。</w:t>
      </w:r>
    </w:p>
    <w:p w14:paraId="06F81BC2">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⑶宣布</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w:t>
      </w:r>
      <w:r>
        <w:rPr>
          <w:rFonts w:hint="eastAsia" w:ascii="仿宋" w:hAnsi="仿宋" w:eastAsia="仿宋" w:cs="仿宋"/>
          <w:color w:val="000000" w:themeColor="text1"/>
          <w:sz w:val="24"/>
          <w:szCs w:val="24"/>
          <w:highlight w:val="none"/>
          <w14:textFill>
            <w14:solidFill>
              <w14:schemeClr w14:val="tx1"/>
            </w14:solidFill>
          </w14:textFill>
        </w:rPr>
        <w:t>人、唱标人、记录人、监标人等有关人员姓名。</w:t>
      </w:r>
    </w:p>
    <w:p w14:paraId="1D968232">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⑷按照</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须知前附表的规定确定并宣布</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文件开标顺序。</w:t>
      </w:r>
    </w:p>
    <w:p w14:paraId="01F9089D">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⑸按照“政府采购云平台”自动提取所有</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的顺序当众开标，由</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对网上递交已加密的</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文件，进行网上（远程）解密，解密完成后，</w:t>
      </w:r>
      <w:r>
        <w:rPr>
          <w:rFonts w:hint="eastAsia" w:ascii="仿宋" w:hAnsi="仿宋" w:eastAsia="仿宋" w:cs="仿宋"/>
          <w:color w:val="000000" w:themeColor="text1"/>
          <w:sz w:val="24"/>
          <w:szCs w:val="24"/>
          <w:highlight w:val="none"/>
          <w:lang w:val="en-US" w:eastAsia="zh-CN"/>
          <w14:textFill>
            <w14:solidFill>
              <w14:schemeClr w14:val="tx1"/>
            </w14:solidFill>
          </w14:textFill>
        </w:rPr>
        <w:t>将供应商</w:t>
      </w:r>
      <w:r>
        <w:rPr>
          <w:rFonts w:hint="eastAsia" w:ascii="仿宋" w:hAnsi="仿宋" w:eastAsia="仿宋" w:cs="仿宋"/>
          <w:color w:val="000000" w:themeColor="text1"/>
          <w:sz w:val="24"/>
          <w:szCs w:val="24"/>
          <w:highlight w:val="none"/>
          <w14:textFill>
            <w14:solidFill>
              <w14:schemeClr w14:val="tx1"/>
            </w14:solidFill>
          </w14:textFill>
        </w:rPr>
        <w:t>名称、标段名称、</w:t>
      </w:r>
      <w:r>
        <w:rPr>
          <w:rFonts w:hint="eastAsia" w:ascii="仿宋" w:hAnsi="仿宋" w:eastAsia="仿宋" w:cs="仿宋"/>
          <w:color w:val="000000" w:themeColor="text1"/>
          <w:sz w:val="24"/>
          <w:szCs w:val="24"/>
          <w:highlight w:val="none"/>
          <w:lang w:val="en-US"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报价、</w:t>
      </w:r>
      <w:r>
        <w:rPr>
          <w:rFonts w:hint="eastAsia" w:ascii="仿宋" w:hAnsi="仿宋" w:eastAsia="仿宋" w:cs="仿宋"/>
          <w:color w:val="000000" w:themeColor="text1"/>
          <w:sz w:val="24"/>
          <w:szCs w:val="24"/>
          <w:highlight w:val="none"/>
          <w:lang w:val="en-US" w:eastAsia="zh-CN"/>
          <w14:textFill>
            <w14:solidFill>
              <w14:schemeClr w14:val="tx1"/>
            </w14:solidFill>
          </w14:textFill>
        </w:rPr>
        <w:t>合同履行期限</w:t>
      </w:r>
      <w:r>
        <w:rPr>
          <w:rFonts w:hint="eastAsia" w:ascii="仿宋" w:hAnsi="仿宋" w:eastAsia="仿宋" w:cs="仿宋"/>
          <w:color w:val="000000" w:themeColor="text1"/>
          <w:sz w:val="24"/>
          <w:szCs w:val="24"/>
          <w:highlight w:val="none"/>
          <w14:textFill>
            <w14:solidFill>
              <w14:schemeClr w14:val="tx1"/>
            </w14:solidFill>
          </w14:textFill>
        </w:rPr>
        <w:t>及其他内容记录在案。因</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原因造成</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文件未解密的，视为撤销其</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w:t>
      </w:r>
    </w:p>
    <w:p w14:paraId="03D29E5D">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⑹</w:t>
      </w:r>
      <w:r>
        <w:rPr>
          <w:rFonts w:hint="eastAsia" w:ascii="仿宋" w:hAnsi="仿宋" w:eastAsia="仿宋" w:cs="仿宋"/>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代表（如需）、</w:t>
      </w:r>
      <w:r>
        <w:rPr>
          <w:rFonts w:hint="eastAsia" w:ascii="仿宋" w:hAnsi="仿宋" w:eastAsia="仿宋" w:cs="仿宋"/>
          <w:color w:val="000000" w:themeColor="text1"/>
          <w:sz w:val="24"/>
          <w:szCs w:val="24"/>
          <w:highlight w:val="none"/>
          <w:lang w:val="en-US" w:eastAsia="zh-CN"/>
          <w14:textFill>
            <w14:solidFill>
              <w14:schemeClr w14:val="tx1"/>
            </w14:solidFill>
          </w14:textFill>
        </w:rPr>
        <w:t>采购人</w:t>
      </w:r>
      <w:r>
        <w:rPr>
          <w:rFonts w:hint="eastAsia" w:ascii="仿宋" w:hAnsi="仿宋" w:eastAsia="仿宋" w:cs="仿宋"/>
          <w:color w:val="000000" w:themeColor="text1"/>
          <w:sz w:val="24"/>
          <w:szCs w:val="24"/>
          <w:highlight w:val="none"/>
          <w14:textFill>
            <w14:solidFill>
              <w14:schemeClr w14:val="tx1"/>
            </w14:solidFill>
          </w14:textFill>
        </w:rPr>
        <w:t>代表、监标人、记录人等有关人员在开标记录上签字确认。</w:t>
      </w:r>
    </w:p>
    <w:p w14:paraId="49C2BDED">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⑺通过初步评审的供应商进入第二轮报价及承诺</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磋商小组成员集中与单一供应商分别进行磋商；公布供应商名称、磋商第二轮报价、合同履行期限及其他内容，并记录在案；</w:t>
      </w:r>
    </w:p>
    <w:p w14:paraId="4D64A0C3">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⑻</w:t>
      </w:r>
      <w:r>
        <w:rPr>
          <w:rFonts w:hint="eastAsia" w:ascii="仿宋" w:hAnsi="仿宋" w:eastAsia="仿宋" w:cs="仿宋"/>
          <w:color w:val="000000" w:themeColor="text1"/>
          <w:sz w:val="24"/>
          <w:szCs w:val="24"/>
          <w:highlight w:val="none"/>
          <w:lang w:val="en-US" w:eastAsia="zh-CN"/>
          <w14:textFill>
            <w14:solidFill>
              <w14:schemeClr w14:val="tx1"/>
            </w14:solidFill>
          </w14:textFill>
        </w:rPr>
        <w:t>磋商</w:t>
      </w:r>
      <w:r>
        <w:rPr>
          <w:rFonts w:hint="eastAsia" w:ascii="仿宋" w:hAnsi="仿宋" w:eastAsia="仿宋" w:cs="仿宋"/>
          <w:color w:val="000000" w:themeColor="text1"/>
          <w:sz w:val="24"/>
          <w:szCs w:val="24"/>
          <w:highlight w:val="none"/>
          <w14:textFill>
            <w14:solidFill>
              <w14:schemeClr w14:val="tx1"/>
            </w14:solidFill>
          </w14:textFill>
        </w:rPr>
        <w:t>结束。</w:t>
      </w:r>
    </w:p>
    <w:p w14:paraId="52945DD4">
      <w:pPr>
        <w:pStyle w:val="3"/>
        <w:spacing w:before="120" w:beforeLines="50" w:after="120" w:afterLines="50" w:line="360" w:lineRule="auto"/>
        <w:rPr>
          <w:rFonts w:hint="eastAsia" w:ascii="仿宋" w:hAnsi="仿宋" w:eastAsia="仿宋" w:cs="仿宋"/>
          <w:color w:val="000000" w:themeColor="text1"/>
          <w:sz w:val="28"/>
          <w:szCs w:val="28"/>
          <w:highlight w:val="none"/>
          <w:lang w:eastAsia="zh-CN"/>
          <w14:textFill>
            <w14:solidFill>
              <w14:schemeClr w14:val="tx1"/>
            </w14:solidFill>
          </w14:textFill>
        </w:rPr>
      </w:pPr>
      <w:bookmarkStart w:id="67" w:name="_Toc12139"/>
      <w:r>
        <w:rPr>
          <w:rFonts w:hint="eastAsia" w:ascii="仿宋" w:hAnsi="仿宋" w:eastAsia="仿宋" w:cs="仿宋"/>
          <w:color w:val="000000" w:themeColor="text1"/>
          <w:sz w:val="28"/>
          <w:szCs w:val="28"/>
          <w:highlight w:val="none"/>
          <w14:textFill>
            <w14:solidFill>
              <w14:schemeClr w14:val="tx1"/>
            </w14:solidFill>
          </w14:textFill>
        </w:rPr>
        <w:t>6.</w:t>
      </w:r>
      <w:bookmarkEnd w:id="67"/>
      <w:r>
        <w:rPr>
          <w:rFonts w:hint="eastAsia" w:ascii="仿宋" w:hAnsi="仿宋" w:eastAsia="仿宋" w:cs="仿宋"/>
          <w:color w:val="000000" w:themeColor="text1"/>
          <w:sz w:val="28"/>
          <w:szCs w:val="28"/>
          <w:highlight w:val="none"/>
          <w:lang w:val="en-US" w:eastAsia="zh-CN"/>
          <w14:textFill>
            <w14:solidFill>
              <w14:schemeClr w14:val="tx1"/>
            </w14:solidFill>
          </w14:textFill>
        </w:rPr>
        <w:t>磋商与评审</w:t>
      </w:r>
    </w:p>
    <w:p w14:paraId="47E38406">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68" w:name="_bookmark45"/>
      <w:bookmarkEnd w:id="68"/>
      <w:r>
        <w:rPr>
          <w:rFonts w:hint="eastAsia" w:ascii="仿宋" w:hAnsi="仿宋" w:eastAsia="仿宋" w:cs="仿宋"/>
          <w:b/>
          <w:bCs/>
          <w:color w:val="000000" w:themeColor="text1"/>
          <w:sz w:val="24"/>
          <w:szCs w:val="24"/>
          <w:highlight w:val="none"/>
          <w14:textFill>
            <w14:solidFill>
              <w14:schemeClr w14:val="tx1"/>
            </w14:solidFill>
          </w14:textFill>
        </w:rPr>
        <w:t>6.1 磋商小组</w:t>
      </w:r>
    </w:p>
    <w:p w14:paraId="7184E68B">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6.1.1 评审由采购人依法组建的磋商小组负责。磋商小组由采购人和评审专家共3人以上单数组成。磋商小组成员人数以及技术、经济等方面专家的确定方式见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6C62F169">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6.1.2 磋商小组成员有下列情形之一的，应当回避：</w:t>
      </w:r>
    </w:p>
    <w:p w14:paraId="33E6CF2B">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1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⑴</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采购人或</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的主要负责人的近亲属；</w:t>
      </w:r>
    </w:p>
    <w:p w14:paraId="61831D10">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2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⑵</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项目主管部门或者行政监督部门的人员；</w:t>
      </w:r>
    </w:p>
    <w:p w14:paraId="03A167EF">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3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⑶</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与</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有经济利益关系，可能影响对磋商公正评审的；</w:t>
      </w:r>
    </w:p>
    <w:p w14:paraId="5D6A3303">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4 \* GB2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⑷</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曾因在招标、评标以及其他与招标投标有关活动中从事违法行为而受过行政处罚或刑事处罚的。</w:t>
      </w:r>
    </w:p>
    <w:p w14:paraId="3E54B0CF">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69" w:name="_bookmark46"/>
      <w:bookmarkEnd w:id="69"/>
      <w:r>
        <w:rPr>
          <w:rFonts w:hint="eastAsia" w:ascii="仿宋" w:hAnsi="仿宋" w:eastAsia="仿宋" w:cs="仿宋"/>
          <w:b/>
          <w:bCs/>
          <w:color w:val="000000" w:themeColor="text1"/>
          <w:sz w:val="24"/>
          <w:szCs w:val="24"/>
          <w:highlight w:val="none"/>
          <w14:textFill>
            <w14:solidFill>
              <w14:schemeClr w14:val="tx1"/>
            </w14:solidFill>
          </w14:textFill>
        </w:rPr>
        <w:t>6.2 磋商原则</w:t>
      </w:r>
    </w:p>
    <w:p w14:paraId="7492DB50">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评审活动遵循公平、公正、科学和择优的原则。</w:t>
      </w:r>
    </w:p>
    <w:p w14:paraId="380280AF">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70" w:name="_bookmark47"/>
      <w:bookmarkEnd w:id="70"/>
      <w:r>
        <w:rPr>
          <w:rFonts w:hint="eastAsia" w:ascii="仿宋" w:hAnsi="仿宋" w:eastAsia="仿宋" w:cs="仿宋"/>
          <w:b/>
          <w:bCs/>
          <w:color w:val="000000" w:themeColor="text1"/>
          <w:sz w:val="24"/>
          <w:szCs w:val="24"/>
          <w:highlight w:val="none"/>
          <w14:textFill>
            <w14:solidFill>
              <w14:schemeClr w14:val="tx1"/>
            </w14:solidFill>
          </w14:textFill>
        </w:rPr>
        <w:t>6.3 评标</w:t>
      </w:r>
    </w:p>
    <w:p w14:paraId="12E0BCDE">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磋商小组按照第三章“评审办法”规定的方法、评审因素、标准和程序对竞争性磋商响应文件进行评审。第三章“评审办法”没有规定的方法、评审因素和标准，不作为评审依据。</w:t>
      </w:r>
    </w:p>
    <w:p w14:paraId="7843E8E9">
      <w:pPr>
        <w:pStyle w:val="3"/>
        <w:spacing w:before="120" w:beforeLines="50" w:after="120" w:afterLines="50" w:line="360" w:lineRule="auto"/>
        <w:rPr>
          <w:rFonts w:hint="eastAsia" w:ascii="仿宋" w:hAnsi="仿宋" w:eastAsia="仿宋" w:cs="仿宋"/>
          <w:color w:val="000000" w:themeColor="text1"/>
          <w:sz w:val="28"/>
          <w:szCs w:val="28"/>
          <w:highlight w:val="none"/>
          <w14:textFill>
            <w14:solidFill>
              <w14:schemeClr w14:val="tx1"/>
            </w14:solidFill>
          </w14:textFill>
        </w:rPr>
      </w:pPr>
      <w:bookmarkStart w:id="71" w:name="_Toc29445"/>
      <w:r>
        <w:rPr>
          <w:rFonts w:hint="eastAsia" w:ascii="仿宋" w:hAnsi="仿宋" w:eastAsia="仿宋" w:cs="仿宋"/>
          <w:color w:val="000000" w:themeColor="text1"/>
          <w:sz w:val="28"/>
          <w:szCs w:val="28"/>
          <w:highlight w:val="none"/>
          <w14:textFill>
            <w14:solidFill>
              <w14:schemeClr w14:val="tx1"/>
            </w14:solidFill>
          </w14:textFill>
        </w:rPr>
        <w:t>7.</w:t>
      </w:r>
      <w:bookmarkEnd w:id="71"/>
      <w:r>
        <w:rPr>
          <w:rFonts w:hint="eastAsia" w:ascii="仿宋" w:hAnsi="仿宋" w:eastAsia="仿宋" w:cs="仿宋"/>
          <w:color w:val="000000" w:themeColor="text1"/>
          <w:sz w:val="28"/>
          <w:szCs w:val="28"/>
          <w:highlight w:val="none"/>
          <w14:textFill>
            <w14:solidFill>
              <w14:schemeClr w14:val="tx1"/>
            </w14:solidFill>
          </w14:textFill>
        </w:rPr>
        <w:t>成交结果</w:t>
      </w:r>
    </w:p>
    <w:p w14:paraId="5EC46C28">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72" w:name="_bookmark49"/>
      <w:bookmarkEnd w:id="72"/>
      <w:r>
        <w:rPr>
          <w:rFonts w:hint="eastAsia" w:ascii="仿宋" w:hAnsi="仿宋" w:eastAsia="仿宋" w:cs="仿宋"/>
          <w:b/>
          <w:bCs/>
          <w:color w:val="000000" w:themeColor="text1"/>
          <w:sz w:val="24"/>
          <w:szCs w:val="24"/>
          <w:highlight w:val="none"/>
          <w14:textFill>
            <w14:solidFill>
              <w14:schemeClr w14:val="tx1"/>
            </w14:solidFill>
          </w14:textFill>
        </w:rPr>
        <w:t>7.1成交供应商的确定</w:t>
      </w:r>
    </w:p>
    <w:p w14:paraId="2C484B66">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7.1.1 除</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须知前附表规定磋商小组直接确定成交单位外，采购人根据磋商小组提出的书面评审报告和推荐的成交候选人自行确定成交单位,磋商小组推荐成交候选人的人数见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3F8A0DA5">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7.1.2 成交候选人不能作为成交单位的情形：</w:t>
      </w:r>
    </w:p>
    <w:p w14:paraId="1C00DDB0">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r>
        <w:rPr>
          <w:rFonts w:hint="eastAsia" w:ascii="仿宋" w:hAnsi="仿宋" w:eastAsia="仿宋" w:cs="仿宋"/>
          <w:color w:val="000000" w:themeColor="text1"/>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成交候选人放弃成交的；</w:t>
      </w:r>
    </w:p>
    <w:p w14:paraId="5E2F59E6">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（2）因不可抗力不能履行合同的；</w:t>
      </w:r>
    </w:p>
    <w:p w14:paraId="3F7BBBFA">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（3）成交候选人公示期满后，在采购人规定的时限内，不能到场商签合同的；</w:t>
      </w:r>
    </w:p>
    <w:p w14:paraId="04C016F2">
      <w:pPr>
        <w:spacing w:after="0" w:line="36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（4）被查实存在影响成交结果的违法行为等情形的；</w:t>
      </w:r>
    </w:p>
    <w:p w14:paraId="4F887165">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（5）其他不符合成交</w:t>
      </w:r>
      <w:r>
        <w:rPr>
          <w:rFonts w:hint="eastAsia" w:ascii="仿宋" w:hAnsi="仿宋" w:eastAsia="仿宋" w:cs="仿宋"/>
          <w:color w:val="000000" w:themeColor="text1"/>
          <w:sz w:val="24"/>
          <w:szCs w:val="24"/>
          <w:highlight w:val="none"/>
          <w14:textFill>
            <w14:solidFill>
              <w14:schemeClr w14:val="tx1"/>
            </w14:solidFill>
          </w14:textFill>
        </w:rPr>
        <w:t>条件情形的。</w:t>
      </w:r>
    </w:p>
    <w:p w14:paraId="056ABB74">
      <w:pPr>
        <w:pageBreakBefore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bookmarkStart w:id="73" w:name="_bookmark50"/>
      <w:bookmarkEnd w:id="73"/>
      <w:r>
        <w:rPr>
          <w:rFonts w:hint="eastAsia" w:ascii="仿宋" w:hAnsi="仿宋" w:eastAsia="仿宋" w:cs="仿宋"/>
          <w:color w:val="000000" w:themeColor="text1"/>
          <w:sz w:val="24"/>
          <w:highlight w:val="none"/>
          <w14:textFill>
            <w14:solidFill>
              <w14:schemeClr w14:val="tx1"/>
            </w14:solidFill>
          </w14:textFill>
        </w:rPr>
        <w:t>成交供应商因不可抗力或者自身原因不能履行政府采购合同的，采购人可以与排位在成交供应商之后第一位的成交候选供应商签订政府采购合同，以此类推；</w:t>
      </w:r>
      <w:r>
        <w:rPr>
          <w:rFonts w:hint="eastAsia" w:ascii="仿宋" w:hAnsi="仿宋" w:eastAsia="仿宋" w:cs="仿宋"/>
          <w:color w:val="000000" w:themeColor="text1"/>
          <w:kern w:val="0"/>
          <w:sz w:val="24"/>
          <w:highlight w:val="none"/>
          <w14:textFill>
            <w14:solidFill>
              <w14:schemeClr w14:val="tx1"/>
            </w14:solidFill>
          </w14:textFill>
        </w:rPr>
        <w:t>或重新开展采购活动。拒绝签订政府采购合同的成交供应商不得参加对本项目重新开展的采购活动。</w:t>
      </w:r>
    </w:p>
    <w:p w14:paraId="303E0325">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7.2 成交通知</w:t>
      </w:r>
    </w:p>
    <w:p w14:paraId="22FADA2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成交供应商确定后，成交结果由采购代理机构在云南省政府采购网等媒体上公告</w:t>
      </w:r>
      <w:r>
        <w:rPr>
          <w:rFonts w:hint="eastAsia" w:ascii="仿宋" w:hAnsi="仿宋" w:eastAsia="仿宋" w:cs="仿宋"/>
          <w:color w:val="000000" w:themeColor="text1"/>
          <w:sz w:val="24"/>
          <w:szCs w:val="24"/>
          <w:highlight w:val="none"/>
          <w14:textFill>
            <w14:solidFill>
              <w14:schemeClr w14:val="tx1"/>
            </w14:solidFill>
          </w14:textFill>
        </w:rPr>
        <w:t>，采购人</w:t>
      </w:r>
      <w:r>
        <w:rPr>
          <w:rFonts w:hint="eastAsia" w:ascii="仿宋" w:hAnsi="仿宋" w:eastAsia="仿宋" w:cs="仿宋"/>
          <w:color w:val="000000" w:themeColor="text1"/>
          <w:sz w:val="24"/>
          <w:szCs w:val="24"/>
          <w:highlight w:val="none"/>
          <w:lang w:val="en-US" w:eastAsia="zh-CN"/>
          <w14:textFill>
            <w14:solidFill>
              <w14:schemeClr w14:val="tx1"/>
            </w14:solidFill>
          </w14:textFill>
        </w:rPr>
        <w:t>或采购代理机构</w:t>
      </w:r>
      <w:r>
        <w:rPr>
          <w:rFonts w:hint="eastAsia" w:ascii="仿宋" w:hAnsi="仿宋" w:eastAsia="仿宋" w:cs="仿宋"/>
          <w:color w:val="000000" w:themeColor="text1"/>
          <w:sz w:val="24"/>
          <w:szCs w:val="24"/>
          <w:highlight w:val="none"/>
          <w14:textFill>
            <w14:solidFill>
              <w14:schemeClr w14:val="tx1"/>
            </w14:solidFill>
          </w14:textFill>
        </w:rPr>
        <w:t>以书面形式向成交单位人发出成交通知书，同时将未成交结果通知未成交的</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w:t>
      </w:r>
    </w:p>
    <w:p w14:paraId="10F20BB0">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7.3 履约担保</w:t>
      </w:r>
    </w:p>
    <w:p w14:paraId="0CEE2B15">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74" w:name="_bookmark52"/>
      <w:bookmarkEnd w:id="74"/>
      <w:r>
        <w:rPr>
          <w:rFonts w:hint="eastAsia" w:ascii="仿宋" w:hAnsi="仿宋" w:eastAsia="仿宋" w:cs="仿宋"/>
          <w:color w:val="000000" w:themeColor="text1"/>
          <w:sz w:val="24"/>
          <w:szCs w:val="24"/>
          <w:highlight w:val="none"/>
          <w14:textFill>
            <w14:solidFill>
              <w14:schemeClr w14:val="tx1"/>
            </w14:solidFill>
          </w14:textFill>
        </w:rPr>
        <w:t>7.3.1在签订合同前，成交单位应按“供应商须知前附表”规定的金额、担保形式向采购人提交履约担保。</w:t>
      </w:r>
    </w:p>
    <w:p w14:paraId="6C28180A">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7.3.</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成交单位不能按本章第7.3.1项要求提交担保的，视为放弃成交，给采购人造成的损失的，成交单位还应当予以赔偿。</w:t>
      </w:r>
    </w:p>
    <w:p w14:paraId="1776DB45">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7.4 签订合同</w:t>
      </w:r>
    </w:p>
    <w:p w14:paraId="052EB27C">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7.4.1 采购人和成交单位应当自成交通知书发出之日起30天内，根据竞争性磋商文件和成交单位的竞争性磋商响应文件订立书面合同。成交单位无正当理由拒签合同的，采购人取消其成交资格，给采购人造成损失的，成交单位还应当予以赔偿。</w:t>
      </w:r>
    </w:p>
    <w:p w14:paraId="7577C8C9">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7.4.2 发出成交通知书后，采购人无正当理由拒签合同的，给成交单位造成损失的，还应当赔偿损失。</w:t>
      </w:r>
    </w:p>
    <w:p w14:paraId="5EF9A5D0">
      <w:pPr>
        <w:pStyle w:val="3"/>
        <w:spacing w:before="120" w:beforeLines="50" w:after="120" w:afterLines="50" w:line="360" w:lineRule="auto"/>
        <w:rPr>
          <w:rFonts w:hint="eastAsia" w:ascii="仿宋" w:hAnsi="仿宋" w:eastAsia="仿宋" w:cs="仿宋"/>
          <w:color w:val="000000" w:themeColor="text1"/>
          <w:sz w:val="28"/>
          <w:szCs w:val="28"/>
          <w:highlight w:val="none"/>
          <w14:textFill>
            <w14:solidFill>
              <w14:schemeClr w14:val="tx1"/>
            </w14:solidFill>
          </w14:textFill>
        </w:rPr>
      </w:pPr>
      <w:bookmarkStart w:id="75" w:name="_Toc31001"/>
      <w:r>
        <w:rPr>
          <w:rFonts w:hint="eastAsia" w:ascii="仿宋" w:hAnsi="仿宋" w:eastAsia="仿宋" w:cs="仿宋"/>
          <w:color w:val="000000" w:themeColor="text1"/>
          <w:sz w:val="28"/>
          <w:szCs w:val="28"/>
          <w:highlight w:val="none"/>
          <w14:textFill>
            <w14:solidFill>
              <w14:schemeClr w14:val="tx1"/>
            </w14:solidFill>
          </w14:textFill>
        </w:rPr>
        <w:t>8.重新磋商和不再磋商</w:t>
      </w:r>
      <w:bookmarkEnd w:id="75"/>
    </w:p>
    <w:p w14:paraId="1F8A2A7E">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76" w:name="_bookmark54"/>
      <w:bookmarkEnd w:id="76"/>
      <w:r>
        <w:rPr>
          <w:rFonts w:hint="eastAsia" w:ascii="仿宋" w:hAnsi="仿宋" w:eastAsia="仿宋" w:cs="仿宋"/>
          <w:b/>
          <w:bCs/>
          <w:color w:val="000000" w:themeColor="text1"/>
          <w:sz w:val="24"/>
          <w:szCs w:val="24"/>
          <w:highlight w:val="none"/>
          <w14:textFill>
            <w14:solidFill>
              <w14:schemeClr w14:val="tx1"/>
            </w14:solidFill>
          </w14:textFill>
        </w:rPr>
        <w:t>8.1 重新磋商</w:t>
      </w:r>
    </w:p>
    <w:p w14:paraId="39938709">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bookmarkStart w:id="77" w:name="_bookmark55"/>
      <w:bookmarkEnd w:id="77"/>
      <w:r>
        <w:rPr>
          <w:rFonts w:hint="eastAsia" w:ascii="仿宋" w:hAnsi="仿宋" w:eastAsia="仿宋" w:cs="仿宋"/>
          <w:color w:val="000000" w:themeColor="text1"/>
          <w:sz w:val="24"/>
          <w:szCs w:val="24"/>
          <w:highlight w:val="none"/>
          <w14:textFill>
            <w14:solidFill>
              <w14:schemeClr w14:val="tx1"/>
            </w14:solidFill>
          </w14:textFill>
        </w:rPr>
        <w:t>8.1.1出现下列情形之一的，采购人或者采购代理机构应当终止竞争性磋商采购活动，发布项目终止公告并说明原因，重新开展采购活动：</w:t>
      </w:r>
    </w:p>
    <w:p w14:paraId="741237EF">
      <w:pPr>
        <w:numPr>
          <w:ilvl w:val="0"/>
          <w:numId w:val="0"/>
        </w:numPr>
        <w:spacing w:after="0" w:line="360" w:lineRule="auto"/>
        <w:ind w:left="426"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①因情况变化，不再符合规定的竞争性磋商采购方式适用情形的；</w:t>
      </w:r>
    </w:p>
    <w:p w14:paraId="2C94E307">
      <w:pPr>
        <w:numPr>
          <w:ilvl w:val="0"/>
          <w:numId w:val="0"/>
        </w:numPr>
        <w:spacing w:after="0" w:line="360" w:lineRule="auto"/>
        <w:ind w:left="426"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②出现影响采购公正的违法、违规行为的；</w:t>
      </w:r>
    </w:p>
    <w:p w14:paraId="4AFCF9CE">
      <w:pPr>
        <w:numPr>
          <w:ilvl w:val="0"/>
          <w:numId w:val="0"/>
        </w:numPr>
        <w:spacing w:after="0" w:line="360" w:lineRule="auto"/>
        <w:ind w:left="426" w:leftChars="0"/>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③除《政府采购竞争性磋商采购方式管理暂行办法》（财库〔2014〕214号）第二十一条第三款规定的情形外，在采购过程中符合要求的供应商或者报价未超过采购预算的供应商不足3家的</w:t>
      </w:r>
      <w:r>
        <w:rPr>
          <w:rFonts w:hint="eastAsia" w:ascii="仿宋" w:hAnsi="仿宋" w:eastAsia="仿宋" w:cs="仿宋"/>
          <w:color w:val="000000" w:themeColor="text1"/>
          <w:sz w:val="24"/>
          <w:szCs w:val="24"/>
          <w:highlight w:val="none"/>
          <w:lang w:eastAsia="zh-CN"/>
          <w14:textFill>
            <w14:solidFill>
              <w14:schemeClr w14:val="tx1"/>
            </w14:solidFill>
          </w14:textFill>
        </w:rPr>
        <w:t>；</w:t>
      </w:r>
    </w:p>
    <w:p w14:paraId="281BA8E7">
      <w:pPr>
        <w:numPr>
          <w:ilvl w:val="0"/>
          <w:numId w:val="0"/>
        </w:numPr>
        <w:spacing w:after="0" w:line="360" w:lineRule="auto"/>
        <w:ind w:left="426"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④磋商截止时间止，供应商少于3个的；</w:t>
      </w:r>
    </w:p>
    <w:p w14:paraId="301C281E">
      <w:pPr>
        <w:numPr>
          <w:ilvl w:val="0"/>
          <w:numId w:val="0"/>
        </w:numPr>
        <w:spacing w:after="0" w:line="360" w:lineRule="auto"/>
        <w:ind w:left="400" w:leftChars="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⑤经磋商小组评审后否决所有磋商。</w:t>
      </w:r>
    </w:p>
    <w:p w14:paraId="0CC652BC">
      <w:pPr>
        <w:spacing w:after="0"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8.1.2采购活动中因重大变故，采购任务取消的，采购人或者采购代理机构应当终止采购活动，通知所有参加采购活动的供应商，并将项目实施情况和采购任务取消原因报送本级财政部门。</w:t>
      </w:r>
    </w:p>
    <w:p w14:paraId="0548E8A7">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8.2 不再磋商</w:t>
      </w:r>
    </w:p>
    <w:p w14:paraId="5165303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重新磋商后</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仍少于3个或者所有磋商被否决的，属于必须审批或核准的工程建设项目，经原审批或核准部门批准后不再进行磋商。</w:t>
      </w:r>
    </w:p>
    <w:p w14:paraId="565028B7">
      <w:pPr>
        <w:pStyle w:val="3"/>
        <w:spacing w:before="120" w:beforeLines="50" w:after="120" w:afterLines="50" w:line="360" w:lineRule="auto"/>
        <w:rPr>
          <w:rFonts w:hint="eastAsia" w:ascii="仿宋" w:hAnsi="仿宋" w:eastAsia="仿宋" w:cs="仿宋"/>
          <w:color w:val="000000" w:themeColor="text1"/>
          <w:sz w:val="28"/>
          <w:szCs w:val="28"/>
          <w:highlight w:val="none"/>
          <w14:textFill>
            <w14:solidFill>
              <w14:schemeClr w14:val="tx1"/>
            </w14:solidFill>
          </w14:textFill>
        </w:rPr>
      </w:pPr>
      <w:bookmarkStart w:id="78" w:name="_bookmark56"/>
      <w:bookmarkEnd w:id="78"/>
      <w:bookmarkStart w:id="79" w:name="_Toc17066"/>
      <w:r>
        <w:rPr>
          <w:rFonts w:hint="eastAsia" w:ascii="仿宋" w:hAnsi="仿宋" w:eastAsia="仿宋" w:cs="仿宋"/>
          <w:color w:val="000000" w:themeColor="text1"/>
          <w:sz w:val="28"/>
          <w:szCs w:val="28"/>
          <w:highlight w:val="none"/>
          <w14:textFill>
            <w14:solidFill>
              <w14:schemeClr w14:val="tx1"/>
            </w14:solidFill>
          </w14:textFill>
        </w:rPr>
        <w:t>9.纪律和监督</w:t>
      </w:r>
      <w:bookmarkEnd w:id="79"/>
    </w:p>
    <w:p w14:paraId="3EFE945A">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80" w:name="_bookmark62"/>
      <w:bookmarkEnd w:id="80"/>
      <w:bookmarkStart w:id="81" w:name="_bookmark57"/>
      <w:bookmarkEnd w:id="81"/>
      <w:r>
        <w:rPr>
          <w:rFonts w:hint="eastAsia" w:ascii="仿宋" w:hAnsi="仿宋" w:eastAsia="仿宋" w:cs="仿宋"/>
          <w:b/>
          <w:bCs/>
          <w:color w:val="000000" w:themeColor="text1"/>
          <w:sz w:val="24"/>
          <w:szCs w:val="24"/>
          <w:highlight w:val="none"/>
          <w14:textFill>
            <w14:solidFill>
              <w14:schemeClr w14:val="tx1"/>
            </w14:solidFill>
          </w14:textFill>
        </w:rPr>
        <w:t>9.1对采购人的纪律要求</w:t>
      </w:r>
    </w:p>
    <w:p w14:paraId="60F6B051">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采购人不得泄漏招标投标活动中应当保密的情况和资料，不得与供应商串通损害国家利益、社会公共利益或者他人合法权益。</w:t>
      </w:r>
    </w:p>
    <w:p w14:paraId="7441A1CF">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82" w:name="_bookmark58"/>
      <w:bookmarkEnd w:id="82"/>
      <w:r>
        <w:rPr>
          <w:rFonts w:hint="eastAsia" w:ascii="仿宋" w:hAnsi="仿宋" w:eastAsia="仿宋" w:cs="仿宋"/>
          <w:b/>
          <w:bCs/>
          <w:color w:val="000000" w:themeColor="text1"/>
          <w:sz w:val="24"/>
          <w:szCs w:val="24"/>
          <w:highlight w:val="none"/>
          <w14:textFill>
            <w14:solidFill>
              <w14:schemeClr w14:val="tx1"/>
            </w14:solidFill>
          </w14:textFill>
        </w:rPr>
        <w:t>9.2对供应商的纪律要求</w:t>
      </w:r>
    </w:p>
    <w:p w14:paraId="14FEEF63">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供应商不得相互串通磋商或者与采购人串通投标，不得向采购人或者磋商小组成员行贿谋取成交，不得以他人名义磋商或者以其他方式弄虚作假骗取成交；供应商不得以任何方式干扰、影响评审工作。</w:t>
      </w:r>
    </w:p>
    <w:p w14:paraId="697D2E60">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83" w:name="_bookmark59"/>
      <w:bookmarkEnd w:id="83"/>
      <w:r>
        <w:rPr>
          <w:rFonts w:hint="eastAsia" w:ascii="仿宋" w:hAnsi="仿宋" w:eastAsia="仿宋" w:cs="仿宋"/>
          <w:b/>
          <w:bCs/>
          <w:color w:val="000000" w:themeColor="text1"/>
          <w:sz w:val="24"/>
          <w:szCs w:val="24"/>
          <w:highlight w:val="none"/>
          <w14:textFill>
            <w14:solidFill>
              <w14:schemeClr w14:val="tx1"/>
            </w14:solidFill>
          </w14:textFill>
        </w:rPr>
        <w:t>9.3对磋商小组成员的纪律要求</w:t>
      </w:r>
    </w:p>
    <w:p w14:paraId="6B8058D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9.3.1磋商小组应当遵守评审工作纪律，不得泄露评审情况和评审中获悉的商业秘密。</w:t>
      </w:r>
    </w:p>
    <w:p w14:paraId="21AF7105">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9.3.2磋商小组在评审过程中发现供应商有行贿、提供虚假材料或者串通等违法行为的，应当及时向财政部门报告。</w:t>
      </w:r>
    </w:p>
    <w:p w14:paraId="5E28C6BA">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9.3.3在评审活动中，磋商小组成员不得擅离职守，影响评审程序正常进行。</w:t>
      </w:r>
    </w:p>
    <w:p w14:paraId="6B9665B2">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9.3.4磋商文件中没有规定的评审标准不得作为评审依据。</w:t>
      </w:r>
    </w:p>
    <w:p w14:paraId="18DBADF4">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9.3.5评审专家在评审过程中受到非法干涉的，应当及时向财政、监察等部门举报。</w:t>
      </w:r>
    </w:p>
    <w:p w14:paraId="61F811D1">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9.3.6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6179CDA2">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9.3.7磋商文件内容违反国家有关强制性规定的，磋商小组应当停止评审并向采购人或者采购代理机构说明情况。</w:t>
      </w:r>
    </w:p>
    <w:p w14:paraId="1AF537D7">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9.4参与评审活动的工作人员的纪律要求</w:t>
      </w:r>
    </w:p>
    <w:p w14:paraId="5FA61C9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与评审活动有关的工作人员不得收受他人的财物或者其他好处，不得向他人透漏对竞争性磋商响应文件的评审和比较、成交单位的推荐情况以及评审有关的其他情况。在评审活动中，与评审活动有关的工作人员不得擅离职守，影响评审程序正常进行。</w:t>
      </w:r>
    </w:p>
    <w:p w14:paraId="6C3E63C6">
      <w:pPr>
        <w:spacing w:after="0" w:line="360" w:lineRule="auto"/>
        <w:rPr>
          <w:rFonts w:hint="eastAsia" w:ascii="仿宋" w:hAnsi="仿宋" w:eastAsia="仿宋" w:cs="仿宋"/>
          <w:b/>
          <w:bCs/>
          <w:color w:val="000000" w:themeColor="text1"/>
          <w:sz w:val="24"/>
          <w:szCs w:val="24"/>
          <w:highlight w:val="none"/>
          <w14:textFill>
            <w14:solidFill>
              <w14:schemeClr w14:val="tx1"/>
            </w14:solidFill>
          </w14:textFill>
        </w:rPr>
      </w:pPr>
      <w:bookmarkStart w:id="84" w:name="_bookmark61"/>
      <w:bookmarkEnd w:id="84"/>
      <w:r>
        <w:rPr>
          <w:rFonts w:hint="eastAsia" w:ascii="仿宋" w:hAnsi="仿宋" w:eastAsia="仿宋" w:cs="仿宋"/>
          <w:b/>
          <w:bCs/>
          <w:color w:val="000000" w:themeColor="text1"/>
          <w:sz w:val="24"/>
          <w:szCs w:val="24"/>
          <w:highlight w:val="none"/>
          <w14:textFill>
            <w14:solidFill>
              <w14:schemeClr w14:val="tx1"/>
            </w14:solidFill>
          </w14:textFill>
        </w:rPr>
        <w:t>9.5质疑和投诉</w:t>
      </w:r>
    </w:p>
    <w:p w14:paraId="243B1A4F">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9.5.1质疑提出与答复</w:t>
      </w:r>
    </w:p>
    <w:p w14:paraId="2CA85CB5">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1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⑴</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供应商认为采购文件、采购过程、中标或者成交结果使自己的权益受到损害的，可以在知道或者应知其权益受到损害之日起7个工作日内，</w:t>
      </w:r>
      <w:r>
        <w:rPr>
          <w:rFonts w:hint="eastAsia" w:ascii="仿宋" w:hAnsi="仿宋" w:eastAsia="仿宋" w:cs="仿宋"/>
          <w:color w:val="000000" w:themeColor="text1"/>
          <w:sz w:val="24"/>
          <w:highlight w:val="none"/>
          <w14:textFill>
            <w14:solidFill>
              <w14:schemeClr w14:val="tx1"/>
            </w14:solidFill>
          </w14:textFill>
        </w:rPr>
        <w:t>以书面形式</w:t>
      </w:r>
      <w:r>
        <w:rPr>
          <w:rFonts w:hint="eastAsia" w:ascii="仿宋" w:hAnsi="仿宋" w:eastAsia="仿宋" w:cs="仿宋"/>
          <w:color w:val="000000" w:themeColor="text1"/>
          <w:sz w:val="24"/>
          <w:szCs w:val="24"/>
          <w:highlight w:val="none"/>
          <w14:textFill>
            <w14:solidFill>
              <w14:schemeClr w14:val="tx1"/>
            </w14:solidFill>
          </w14:textFill>
        </w:rPr>
        <w:t>向采购人、采购代理机构提出质疑。</w:t>
      </w:r>
      <w:r>
        <w:rPr>
          <w:rFonts w:hint="eastAsia" w:ascii="仿宋" w:hAnsi="仿宋" w:eastAsia="仿宋" w:cs="仿宋"/>
          <w:color w:val="000000" w:themeColor="text1"/>
          <w:sz w:val="24"/>
          <w:highlight w:val="none"/>
          <w14:textFill>
            <w14:solidFill>
              <w14:schemeClr w14:val="tx1"/>
            </w14:solidFill>
          </w14:textFill>
        </w:rPr>
        <w:t>质疑内容不得含有虚假、恶意成分。提出质疑时应当有明确的请求和必要的证明材料，同时还必须提交相关证据材料和注明事实的确切来源。</w:t>
      </w:r>
    </w:p>
    <w:p w14:paraId="668DCF9B">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2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⑵</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提出质疑的供应商（以下简称质疑供应商）应当是参与所质疑项目采购活动的供应商。以联合体形式参加政府采购活动的，其</w:t>
      </w:r>
      <w:r>
        <w:rPr>
          <w:rFonts w:hint="eastAsia" w:ascii="仿宋" w:hAnsi="仿宋" w:eastAsia="仿宋" w:cs="仿宋"/>
          <w:color w:val="000000" w:themeColor="text1"/>
          <w:sz w:val="24"/>
          <w:szCs w:val="24"/>
          <w:highlight w:val="none"/>
          <w:lang w:val="en-US" w:eastAsia="zh-CN"/>
          <w14:textFill>
            <w14:solidFill>
              <w14:schemeClr w14:val="tx1"/>
            </w14:solidFill>
          </w14:textFill>
        </w:rPr>
        <w:t>质疑</w:t>
      </w:r>
      <w:r>
        <w:rPr>
          <w:rFonts w:hint="eastAsia" w:ascii="仿宋" w:hAnsi="仿宋" w:eastAsia="仿宋" w:cs="仿宋"/>
          <w:color w:val="000000" w:themeColor="text1"/>
          <w:sz w:val="24"/>
          <w:szCs w:val="24"/>
          <w:highlight w:val="none"/>
          <w14:textFill>
            <w14:solidFill>
              <w14:schemeClr w14:val="tx1"/>
            </w14:solidFill>
          </w14:textFill>
        </w:rPr>
        <w:t>应当由组成联合体的所有供应商共同提出。</w:t>
      </w:r>
    </w:p>
    <w:p w14:paraId="39ECAFD0">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3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⑶</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2038A862">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4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⑷</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供应商提出质疑应当提交质疑函和必要的证明材料。质疑函应当包括下列内容：</w:t>
      </w:r>
    </w:p>
    <w:p w14:paraId="1169D126">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①供应商的姓名或者名称、地址、邮编、联系人及联系电话；</w:t>
      </w:r>
    </w:p>
    <w:p w14:paraId="325CBCC4">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②质疑项目的名称、编号；</w:t>
      </w:r>
    </w:p>
    <w:p w14:paraId="595D4BE5">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③具体、明确的质疑事项和与质疑事项相关的请求；</w:t>
      </w:r>
    </w:p>
    <w:p w14:paraId="7F03FA6D">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④事实依据；</w:t>
      </w:r>
    </w:p>
    <w:p w14:paraId="53E7F92F">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⑤必要的法律依据；</w:t>
      </w:r>
    </w:p>
    <w:p w14:paraId="15A84B77">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⑥提出质疑的日期。</w:t>
      </w:r>
    </w:p>
    <w:p w14:paraId="1C16C9D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5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⑸</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7F77EC77">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6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highlight w:val="none"/>
          <w14:textFill>
            <w14:solidFill>
              <w14:schemeClr w14:val="tx1"/>
            </w14:solidFill>
          </w14:textFill>
        </w:rPr>
        <w:t>⑹</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采购人、采购代理机构不得拒收质疑供应商在法定质疑期内发出的质疑函，应当在收到质疑函后7个工作日内作出答复，并以书面形式通知质疑供应商和其他有关供应商。</w:t>
      </w:r>
    </w:p>
    <w:p w14:paraId="7EB8A45C">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9.5.2投诉提出与投诉处理</w:t>
      </w:r>
    </w:p>
    <w:p w14:paraId="33DA119C">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1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⑴</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质疑供应商对采购人、采购代理机构的答复不满意，或者采购人、采购代理机构未在规定时间内作出答复的，可以在答复期满后15个工作日内向《政府采购质疑和投诉办法》（中华人民共和国财政部令第94号）规定的部门提起投诉。</w:t>
      </w:r>
    </w:p>
    <w:p w14:paraId="650F595D">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2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⑵</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投诉人投诉时，应当提交投诉书和必要的证明材料，并按照被投诉采购人、采购代理机构（以下简称被投诉人）和与投诉事项有关的供应商数量提供投诉书的副本。投诉书应当包括下列内容：</w:t>
      </w:r>
    </w:p>
    <w:p w14:paraId="78B6104C">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①投诉人和被投诉人的姓名或者名称、通讯地址、邮编、联系人及联系电话；</w:t>
      </w:r>
    </w:p>
    <w:p w14:paraId="0C9328A7">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②质疑和质疑答复情况说明及相关证明材料；</w:t>
      </w:r>
    </w:p>
    <w:p w14:paraId="10941511">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③具体、明确的投诉事项和与投诉事项相关的投诉请求；</w:t>
      </w:r>
    </w:p>
    <w:p w14:paraId="75E0BCA3">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④事实依据；</w:t>
      </w:r>
    </w:p>
    <w:p w14:paraId="1D092531">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⑤法律依据；</w:t>
      </w:r>
    </w:p>
    <w:p w14:paraId="56A780F2">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⑥提起投诉的日期。</w:t>
      </w:r>
    </w:p>
    <w:p w14:paraId="70BB0F43">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3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⑶</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22169B3C">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4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⑷</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投诉人提起投诉应当符合下列条件：</w:t>
      </w:r>
    </w:p>
    <w:p w14:paraId="17EC346B">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①提起投诉前已依法进行质疑；</w:t>
      </w:r>
    </w:p>
    <w:p w14:paraId="7665B46E">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②投诉书内容符合本办法的规定；</w:t>
      </w:r>
    </w:p>
    <w:p w14:paraId="41C2295E">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③在投诉有效期限内提起投诉；</w:t>
      </w:r>
    </w:p>
    <w:p w14:paraId="3E87BC5C">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④同一投诉事项未经财政部门投诉处理；</w:t>
      </w:r>
    </w:p>
    <w:p w14:paraId="7620C26C">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⑤财政部规定的其他条件。</w:t>
      </w:r>
    </w:p>
    <w:p w14:paraId="6C37E195">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5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⑸</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供应商投诉的事项不得超出已质疑事项的范围，但基于质疑答复内容提出的投诉事项除外。</w:t>
      </w:r>
    </w:p>
    <w:p w14:paraId="18D594D1">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fldChar w:fldCharType="begin"/>
      </w:r>
      <w:r>
        <w:rPr>
          <w:rFonts w:hint="eastAsia" w:ascii="仿宋" w:hAnsi="仿宋" w:eastAsia="仿宋" w:cs="仿宋"/>
          <w:color w:val="000000" w:themeColor="text1"/>
          <w:sz w:val="24"/>
          <w:szCs w:val="24"/>
          <w:highlight w:val="none"/>
          <w14:textFill>
            <w14:solidFill>
              <w14:schemeClr w14:val="tx1"/>
            </w14:solidFill>
          </w14:textFill>
        </w:rPr>
        <w:instrText xml:space="preserve"> = 6 \* GB2 \* MERGEFORMAT </w:instrText>
      </w:r>
      <w:r>
        <w:rPr>
          <w:rFonts w:hint="eastAsia" w:ascii="仿宋" w:hAnsi="仿宋" w:eastAsia="仿宋" w:cs="仿宋"/>
          <w:color w:val="000000" w:themeColor="text1"/>
          <w:sz w:val="24"/>
          <w:szCs w:val="24"/>
          <w:highlight w:val="none"/>
          <w14:textFill>
            <w14:solidFill>
              <w14:schemeClr w14:val="tx1"/>
            </w14:solidFill>
          </w14:textFill>
        </w:rPr>
        <w:fldChar w:fldCharType="separate"/>
      </w:r>
      <w:r>
        <w:rPr>
          <w:rFonts w:hint="eastAsia" w:ascii="仿宋" w:hAnsi="仿宋" w:eastAsia="仿宋" w:cs="仿宋"/>
          <w:color w:val="000000" w:themeColor="text1"/>
          <w:sz w:val="24"/>
          <w:szCs w:val="24"/>
          <w:highlight w:val="none"/>
          <w14:textFill>
            <w14:solidFill>
              <w14:schemeClr w14:val="tx1"/>
            </w14:solidFill>
          </w14:textFill>
        </w:rPr>
        <w:t>⑹</w:t>
      </w:r>
      <w:r>
        <w:rPr>
          <w:rFonts w:hint="eastAsia" w:ascii="仿宋" w:hAnsi="仿宋" w:eastAsia="仿宋" w:cs="仿宋"/>
          <w:color w:val="000000" w:themeColor="text1"/>
          <w:sz w:val="24"/>
          <w:szCs w:val="24"/>
          <w:highlight w:val="none"/>
          <w14:textFill>
            <w14:solidFill>
              <w14:schemeClr w14:val="tx1"/>
            </w14:solidFill>
          </w14:textFill>
        </w:rPr>
        <w:fldChar w:fldCharType="end"/>
      </w:r>
      <w:r>
        <w:rPr>
          <w:rFonts w:hint="eastAsia" w:ascii="仿宋" w:hAnsi="仿宋" w:eastAsia="仿宋" w:cs="仿宋"/>
          <w:color w:val="000000" w:themeColor="text1"/>
          <w:sz w:val="24"/>
          <w:szCs w:val="24"/>
          <w:highlight w:val="none"/>
          <w14:textFill>
            <w14:solidFill>
              <w14:schemeClr w14:val="tx1"/>
            </w14:solidFill>
          </w14:textFill>
        </w:rPr>
        <w:t>投诉人有下列行为之一的，属于虚假、恶意投诉，由财政部门列入不良行为记录名单，禁止其1至3年内参加政府采购活动：</w:t>
      </w:r>
    </w:p>
    <w:p w14:paraId="4483F74F">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①捏造事实；</w:t>
      </w:r>
    </w:p>
    <w:p w14:paraId="6D0F3717">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②提供虚假材料；</w:t>
      </w:r>
    </w:p>
    <w:p w14:paraId="6793E36D">
      <w:pPr>
        <w:numPr>
          <w:ilvl w:val="0"/>
          <w:numId w:val="0"/>
        </w:numPr>
        <w:spacing w:after="0" w:line="360" w:lineRule="auto"/>
        <w:ind w:left="400" w:leftChars="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③以非法手段取得证明材料。证据来源的合法性存在明显疑问，投诉人无法证明其取得方式合法的，视为以非法手段取得证明材料。</w:t>
      </w:r>
    </w:p>
    <w:p w14:paraId="4074F0C5">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⑺财政部门收到投诉书后，按照《政府采购质疑和投诉办法》（中华人民共和国财政部令第94号）相关规定处理。</w:t>
      </w:r>
    </w:p>
    <w:p w14:paraId="3B11FF39">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9.5.3质疑函和投诉书应当使用中文。</w:t>
      </w:r>
    </w:p>
    <w:p w14:paraId="25A6A187">
      <w:pPr>
        <w:pStyle w:val="3"/>
        <w:spacing w:before="120" w:beforeLines="50" w:after="120" w:afterLines="50" w:line="360" w:lineRule="auto"/>
        <w:rPr>
          <w:rFonts w:hint="eastAsia" w:ascii="仿宋" w:hAnsi="仿宋" w:eastAsia="仿宋" w:cs="仿宋"/>
          <w:color w:val="000000" w:themeColor="text1"/>
          <w:sz w:val="28"/>
          <w:szCs w:val="28"/>
          <w:highlight w:val="none"/>
          <w14:textFill>
            <w14:solidFill>
              <w14:schemeClr w14:val="tx1"/>
            </w14:solidFill>
          </w14:textFill>
        </w:rPr>
      </w:pPr>
      <w:bookmarkStart w:id="85" w:name="_Toc10045"/>
      <w:r>
        <w:rPr>
          <w:rFonts w:hint="eastAsia" w:ascii="仿宋" w:hAnsi="仿宋" w:eastAsia="仿宋" w:cs="仿宋"/>
          <w:color w:val="000000" w:themeColor="text1"/>
          <w:sz w:val="28"/>
          <w:szCs w:val="28"/>
          <w:highlight w:val="none"/>
          <w14:textFill>
            <w14:solidFill>
              <w14:schemeClr w14:val="tx1"/>
            </w14:solidFill>
          </w14:textFill>
        </w:rPr>
        <w:t>10.需要补充的其他内容</w:t>
      </w:r>
      <w:bookmarkEnd w:id="85"/>
    </w:p>
    <w:p w14:paraId="78F420DA">
      <w:pPr>
        <w:spacing w:after="0"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需要补充的其他内容：见</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须知前附表。</w:t>
      </w:r>
    </w:p>
    <w:p w14:paraId="3A5762E5">
      <w:pPr>
        <w:spacing w:line="360" w:lineRule="auto"/>
        <w:jc w:val="right"/>
        <w:rPr>
          <w:rFonts w:hint="eastAsia" w:ascii="仿宋" w:hAnsi="仿宋" w:eastAsia="仿宋" w:cs="仿宋"/>
          <w:color w:val="000000" w:themeColor="text1"/>
          <w:sz w:val="24"/>
          <w:szCs w:val="24"/>
          <w:highlight w:val="none"/>
          <w14:textFill>
            <w14:solidFill>
              <w14:schemeClr w14:val="tx1"/>
            </w14:solidFill>
          </w14:textFill>
        </w:rPr>
        <w:sectPr>
          <w:headerReference r:id="rId10" w:type="first"/>
          <w:footerReference r:id="rId12" w:type="first"/>
          <w:footerReference r:id="rId11" w:type="default"/>
          <w:pgSz w:w="11911" w:h="16838"/>
          <w:pgMar w:top="1417" w:right="1417" w:bottom="1417" w:left="1417" w:header="567" w:footer="283" w:gutter="0"/>
          <w:pgNumType w:fmt="numberInDash" w:start="1"/>
          <w:cols w:space="720" w:num="1"/>
          <w:titlePg/>
          <w:rtlGutter w:val="0"/>
          <w:docGrid w:linePitch="299" w:charSpace="0"/>
        </w:sectPr>
      </w:pPr>
      <w:r>
        <w:rPr>
          <w:rFonts w:hint="eastAsia" w:ascii="仿宋" w:hAnsi="仿宋" w:eastAsia="仿宋" w:cs="仿宋"/>
          <w:b/>
          <w:bCs/>
          <w:color w:val="000000" w:themeColor="text1"/>
          <w:sz w:val="24"/>
          <w:szCs w:val="24"/>
          <w:highlight w:val="none"/>
          <w14:textFill>
            <w14:solidFill>
              <w14:schemeClr w14:val="tx1"/>
            </w14:solidFill>
          </w14:textFill>
        </w:rPr>
        <w:br w:type="page"/>
      </w:r>
    </w:p>
    <w:p w14:paraId="355D8E97">
      <w:pPr>
        <w:pStyle w:val="2"/>
        <w:spacing w:line="360" w:lineRule="auto"/>
        <w:jc w:val="center"/>
        <w:rPr>
          <w:rFonts w:hint="eastAsia" w:ascii="仿宋" w:hAnsi="仿宋" w:eastAsia="仿宋" w:cs="仿宋"/>
          <w:color w:val="000000" w:themeColor="text1"/>
          <w:sz w:val="30"/>
          <w:szCs w:val="30"/>
          <w:highlight w:val="none"/>
          <w14:textFill>
            <w14:solidFill>
              <w14:schemeClr w14:val="tx1"/>
            </w14:solidFill>
          </w14:textFill>
        </w:rPr>
      </w:pPr>
      <w:bookmarkStart w:id="86" w:name="_Toc32088"/>
      <w:bookmarkStart w:id="87" w:name="_Toc11232"/>
      <w:bookmarkStart w:id="88" w:name="_Toc16473"/>
      <w:bookmarkStart w:id="89" w:name="_Toc530733561"/>
      <w:bookmarkStart w:id="90" w:name="_Toc468367787"/>
      <w:bookmarkStart w:id="91" w:name="_Toc468962371"/>
      <w:bookmarkStart w:id="92" w:name="_Toc472062102"/>
      <w:bookmarkStart w:id="93" w:name="_Toc468280346"/>
      <w:bookmarkStart w:id="94" w:name="_Toc466120028"/>
      <w:r>
        <w:rPr>
          <w:rFonts w:hint="eastAsia" w:ascii="仿宋" w:hAnsi="仿宋" w:eastAsia="仿宋" w:cs="仿宋"/>
          <w:color w:val="000000" w:themeColor="text1"/>
          <w:sz w:val="30"/>
          <w:szCs w:val="30"/>
          <w:highlight w:val="none"/>
          <w14:textFill>
            <w14:solidFill>
              <w14:schemeClr w14:val="tx1"/>
            </w14:solidFill>
          </w14:textFill>
        </w:rPr>
        <w:t>第三章 评审办法（综合评分法）</w:t>
      </w:r>
      <w:bookmarkEnd w:id="86"/>
      <w:bookmarkEnd w:id="87"/>
      <w:bookmarkEnd w:id="88"/>
      <w:bookmarkEnd w:id="89"/>
    </w:p>
    <w:p w14:paraId="1F98F92B">
      <w:pPr>
        <w:pStyle w:val="3"/>
        <w:spacing w:before="120" w:after="120" w:line="360" w:lineRule="auto"/>
        <w:jc w:val="center"/>
        <w:rPr>
          <w:rFonts w:hint="eastAsia" w:ascii="仿宋" w:hAnsi="仿宋" w:eastAsia="仿宋" w:cs="仿宋"/>
          <w:color w:val="000000" w:themeColor="text1"/>
          <w:sz w:val="28"/>
          <w:highlight w:val="none"/>
          <w14:textFill>
            <w14:solidFill>
              <w14:schemeClr w14:val="tx1"/>
            </w14:solidFill>
          </w14:textFill>
        </w:rPr>
      </w:pPr>
      <w:bookmarkStart w:id="95" w:name="_bookmark66"/>
      <w:bookmarkEnd w:id="95"/>
      <w:bookmarkStart w:id="96" w:name="_Toc4557"/>
      <w:bookmarkStart w:id="97" w:name="_Toc530733562"/>
      <w:bookmarkStart w:id="98" w:name="_Toc517963434"/>
      <w:r>
        <w:rPr>
          <w:rFonts w:hint="eastAsia" w:ascii="仿宋" w:hAnsi="仿宋" w:eastAsia="仿宋" w:cs="仿宋"/>
          <w:color w:val="000000" w:themeColor="text1"/>
          <w:sz w:val="28"/>
          <w:highlight w:val="none"/>
          <w14:textFill>
            <w14:solidFill>
              <w14:schemeClr w14:val="tx1"/>
            </w14:solidFill>
          </w14:textFill>
        </w:rPr>
        <w:t>评审办法前附表</w:t>
      </w:r>
      <w:bookmarkEnd w:id="96"/>
      <w:bookmarkEnd w:id="97"/>
      <w:bookmarkEnd w:id="98"/>
    </w:p>
    <w:tbl>
      <w:tblPr>
        <w:tblStyle w:val="21"/>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6"/>
        <w:gridCol w:w="1334"/>
        <w:gridCol w:w="1935"/>
        <w:gridCol w:w="5389"/>
      </w:tblGrid>
      <w:tr w14:paraId="2E15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820" w:type="dxa"/>
            <w:gridSpan w:val="2"/>
            <w:tcBorders>
              <w:top w:val="single" w:color="000000" w:sz="4" w:space="0"/>
              <w:left w:val="single" w:color="000000" w:sz="4" w:space="0"/>
              <w:bottom w:val="single" w:color="000000" w:sz="4" w:space="0"/>
              <w:right w:val="single" w:color="000000" w:sz="4" w:space="0"/>
            </w:tcBorders>
            <w:vAlign w:val="center"/>
          </w:tcPr>
          <w:p w14:paraId="5427885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bookmarkStart w:id="99" w:name="_Toc14749"/>
            <w:bookmarkStart w:id="100" w:name="_Toc525207134"/>
            <w:bookmarkStart w:id="101" w:name="_Toc530733564"/>
            <w:r>
              <w:rPr>
                <w:rFonts w:hint="eastAsia" w:ascii="仿宋" w:hAnsi="仿宋" w:eastAsia="仿宋" w:cs="仿宋"/>
                <w:color w:val="000000" w:themeColor="text1"/>
                <w:kern w:val="0"/>
                <w:sz w:val="24"/>
                <w:szCs w:val="24"/>
                <w:highlight w:val="none"/>
                <w14:textFill>
                  <w14:solidFill>
                    <w14:schemeClr w14:val="tx1"/>
                  </w14:solidFill>
                </w14:textFill>
              </w:rPr>
              <w:t>条款号</w:t>
            </w:r>
          </w:p>
        </w:tc>
        <w:tc>
          <w:tcPr>
            <w:tcW w:w="1935" w:type="dxa"/>
            <w:tcBorders>
              <w:top w:val="single" w:color="000000" w:sz="4" w:space="0"/>
              <w:left w:val="single" w:color="000000" w:sz="4" w:space="0"/>
              <w:bottom w:val="single" w:color="000000" w:sz="4" w:space="0"/>
              <w:right w:val="single" w:color="000000" w:sz="4" w:space="0"/>
            </w:tcBorders>
            <w:vAlign w:val="center"/>
          </w:tcPr>
          <w:p w14:paraId="78570639">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评审因素</w:t>
            </w:r>
          </w:p>
        </w:tc>
        <w:tc>
          <w:tcPr>
            <w:tcW w:w="5389" w:type="dxa"/>
            <w:tcBorders>
              <w:top w:val="single" w:color="000000" w:sz="4" w:space="0"/>
              <w:left w:val="single" w:color="000000" w:sz="4" w:space="0"/>
              <w:bottom w:val="single" w:color="000000" w:sz="4" w:space="0"/>
              <w:right w:val="single" w:color="000000" w:sz="4" w:space="0"/>
            </w:tcBorders>
            <w:vAlign w:val="center"/>
          </w:tcPr>
          <w:p w14:paraId="78B34C56">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评审标准</w:t>
            </w:r>
          </w:p>
        </w:tc>
      </w:tr>
      <w:tr w14:paraId="3E1AC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86" w:type="dxa"/>
            <w:vMerge w:val="restart"/>
            <w:tcBorders>
              <w:top w:val="single" w:color="000000" w:sz="4" w:space="0"/>
              <w:left w:val="single" w:color="000000" w:sz="4" w:space="0"/>
              <w:right w:val="single" w:color="000000" w:sz="4" w:space="0"/>
            </w:tcBorders>
            <w:vAlign w:val="center"/>
          </w:tcPr>
          <w:p w14:paraId="2D6FB99B">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w:t>
            </w:r>
          </w:p>
        </w:tc>
        <w:tc>
          <w:tcPr>
            <w:tcW w:w="1334" w:type="dxa"/>
            <w:vMerge w:val="restart"/>
            <w:tcBorders>
              <w:top w:val="single" w:color="000000" w:sz="4" w:space="0"/>
              <w:left w:val="single" w:color="000000" w:sz="4" w:space="0"/>
              <w:right w:val="single" w:color="000000" w:sz="4" w:space="0"/>
            </w:tcBorders>
            <w:vAlign w:val="center"/>
          </w:tcPr>
          <w:p w14:paraId="674866AE">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资</w:t>
            </w:r>
          </w:p>
          <w:p w14:paraId="4B9D9786">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格</w:t>
            </w:r>
          </w:p>
          <w:p w14:paraId="565BCA57">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性</w:t>
            </w:r>
          </w:p>
          <w:p w14:paraId="6D836260">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评</w:t>
            </w:r>
          </w:p>
          <w:p w14:paraId="79E0AE21">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审</w:t>
            </w:r>
          </w:p>
          <w:p w14:paraId="0583B2DB">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标</w:t>
            </w:r>
          </w:p>
          <w:p w14:paraId="165996B7">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准</w:t>
            </w:r>
          </w:p>
        </w:tc>
        <w:tc>
          <w:tcPr>
            <w:tcW w:w="1935" w:type="dxa"/>
            <w:tcBorders>
              <w:top w:val="single" w:color="000000" w:sz="4" w:space="0"/>
              <w:left w:val="single" w:color="000000" w:sz="4" w:space="0"/>
              <w:bottom w:val="single" w:color="000000" w:sz="4" w:space="0"/>
              <w:right w:val="single" w:color="000000" w:sz="4" w:space="0"/>
            </w:tcBorders>
            <w:vAlign w:val="center"/>
          </w:tcPr>
          <w:p w14:paraId="6DB7666F">
            <w:pPr>
              <w:keepNext w:val="0"/>
              <w:keepLines w:val="0"/>
              <w:pageBreakBefore w:val="0"/>
              <w:widowControl/>
              <w:kinsoku/>
              <w:wordWrap/>
              <w:overflowPunct/>
              <w:topLinePunct w:val="0"/>
              <w:autoSpaceDE/>
              <w:autoSpaceDN/>
              <w:bidi w:val="0"/>
              <w:snapToGrid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具有独立承担民事责任能力</w:t>
            </w:r>
          </w:p>
        </w:tc>
        <w:tc>
          <w:tcPr>
            <w:tcW w:w="5389" w:type="dxa"/>
            <w:tcBorders>
              <w:top w:val="single" w:color="000000" w:sz="4" w:space="0"/>
              <w:left w:val="single" w:color="000000" w:sz="4" w:space="0"/>
              <w:bottom w:val="single" w:color="000000" w:sz="4" w:space="0"/>
              <w:right w:val="single" w:color="000000" w:sz="4" w:space="0"/>
            </w:tcBorders>
            <w:vAlign w:val="center"/>
          </w:tcPr>
          <w:p w14:paraId="416B4F97">
            <w:pPr>
              <w:keepNext w:val="0"/>
              <w:keepLines w:val="0"/>
              <w:pageBreakBefore w:val="0"/>
              <w:widowControl/>
              <w:kinsoku/>
              <w:wordWrap/>
              <w:overflowPunct/>
              <w:topLinePunct w:val="0"/>
              <w:autoSpaceDE/>
              <w:autoSpaceDN/>
              <w:bidi w:val="0"/>
              <w:snapToGrid w:val="0"/>
              <w:spacing w:line="560" w:lineRule="exact"/>
              <w:jc w:val="left"/>
              <w:textAlignment w:val="auto"/>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在相关部门注册登记备案，提供法人或者其他组织的营业执照或民办非企业单位（法人）登记证书等证明文件原件扫描件；</w:t>
            </w:r>
          </w:p>
        </w:tc>
      </w:tr>
      <w:tr w14:paraId="112C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759007B5">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0DDC8AE8">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320E6873">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财务要求</w:t>
            </w:r>
          </w:p>
        </w:tc>
        <w:tc>
          <w:tcPr>
            <w:tcW w:w="5389" w:type="dxa"/>
            <w:tcBorders>
              <w:top w:val="single" w:color="000000" w:sz="4" w:space="0"/>
              <w:left w:val="single" w:color="000000" w:sz="4" w:space="0"/>
              <w:bottom w:val="single" w:color="000000" w:sz="4" w:space="0"/>
              <w:right w:val="single" w:color="000000" w:sz="4" w:space="0"/>
            </w:tcBorders>
            <w:vAlign w:val="center"/>
          </w:tcPr>
          <w:p w14:paraId="2DF49486">
            <w:pPr>
              <w:keepNext w:val="0"/>
              <w:keepLines w:val="0"/>
              <w:pageBreakBefore w:val="0"/>
              <w:kinsoku/>
              <w:wordWrap/>
              <w:overflowPunct/>
              <w:topLinePunct w:val="0"/>
              <w:autoSpaceDE/>
              <w:autoSpaceDN/>
              <w:bidi w:val="0"/>
              <w:snapToGrid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具有良好的商业信誉和健全的财务会计制度，</w:t>
            </w:r>
            <w:r>
              <w:rPr>
                <w:rFonts w:hint="eastAsia" w:ascii="仿宋" w:hAnsi="仿宋" w:eastAsia="仿宋" w:cs="仿宋"/>
                <w:color w:val="000000" w:themeColor="text1"/>
                <w:kern w:val="0"/>
                <w:sz w:val="24"/>
                <w:szCs w:val="24"/>
                <w:highlight w:val="none"/>
                <w14:textFill>
                  <w14:solidFill>
                    <w14:schemeClr w14:val="tx1"/>
                  </w14:solidFill>
                </w14:textFill>
              </w:rPr>
              <w:t>没有处于被责令停业、财产被冻结、接管或破产状态</w:t>
            </w:r>
            <w:r>
              <w:rPr>
                <w:rFonts w:hint="eastAsia" w:ascii="仿宋" w:hAnsi="仿宋" w:eastAsia="仿宋" w:cs="仿宋"/>
                <w:color w:val="000000" w:themeColor="text1"/>
                <w:kern w:val="0"/>
                <w:sz w:val="24"/>
                <w:szCs w:val="24"/>
                <w:highlight w:val="none"/>
                <w:lang w:eastAsia="zh-CN"/>
                <w14:textFill>
                  <w14:solidFill>
                    <w14:schemeClr w14:val="tx1"/>
                  </w14:solidFill>
                </w14:textFill>
              </w:rPr>
              <w:t>，提供2022年</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至今任意一年</w:t>
            </w:r>
            <w:r>
              <w:rPr>
                <w:rFonts w:hint="eastAsia" w:ascii="仿宋" w:hAnsi="仿宋" w:eastAsia="仿宋" w:cs="仿宋"/>
                <w:color w:val="000000" w:themeColor="text1"/>
                <w:kern w:val="0"/>
                <w:sz w:val="24"/>
                <w:szCs w:val="24"/>
                <w:highlight w:val="none"/>
                <w:lang w:eastAsia="zh-CN"/>
                <w14:textFill>
                  <w14:solidFill>
                    <w14:schemeClr w14:val="tx1"/>
                  </w14:solidFill>
                </w14:textFill>
              </w:rPr>
              <w:t>经审计的财务报告（包括资产负债表、利润表、现金流量表、所有者权益变动表及其附注），新成立不满1年的投标人提供自成立至今的财务报表；</w:t>
            </w:r>
          </w:p>
        </w:tc>
      </w:tr>
      <w:tr w14:paraId="2FC29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486" w:type="dxa"/>
            <w:vMerge w:val="continue"/>
            <w:tcBorders>
              <w:left w:val="single" w:color="000000" w:sz="4" w:space="0"/>
              <w:right w:val="single" w:color="000000" w:sz="4" w:space="0"/>
            </w:tcBorders>
            <w:vAlign w:val="center"/>
          </w:tcPr>
          <w:p w14:paraId="026B26C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5C7E9F8A">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283DEE1E">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具有履行合同所必需的设备和专业技术能力</w:t>
            </w:r>
          </w:p>
        </w:tc>
        <w:tc>
          <w:tcPr>
            <w:tcW w:w="5389" w:type="dxa"/>
            <w:tcBorders>
              <w:top w:val="single" w:color="000000" w:sz="4" w:space="0"/>
              <w:left w:val="single" w:color="000000" w:sz="4" w:space="0"/>
              <w:bottom w:val="single" w:color="000000" w:sz="4" w:space="0"/>
              <w:right w:val="single" w:color="000000" w:sz="4" w:space="0"/>
            </w:tcBorders>
            <w:vAlign w:val="center"/>
          </w:tcPr>
          <w:p w14:paraId="5F86FC06">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具有履行合同所必需的设备和专业技术能力，提供书面声明或证明材料。</w:t>
            </w:r>
          </w:p>
        </w:tc>
      </w:tr>
      <w:tr w14:paraId="3E35B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5F7E6AB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5F6A1812">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28B02D99">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参加政府采购活动前三年内在经营活动中没有重大违法记录</w:t>
            </w:r>
          </w:p>
        </w:tc>
        <w:tc>
          <w:tcPr>
            <w:tcW w:w="5389" w:type="dxa"/>
            <w:tcBorders>
              <w:top w:val="single" w:color="000000" w:sz="4" w:space="0"/>
              <w:left w:val="single" w:color="000000" w:sz="4" w:space="0"/>
              <w:bottom w:val="single" w:color="000000" w:sz="4" w:space="0"/>
              <w:right w:val="single" w:color="000000" w:sz="4" w:space="0"/>
            </w:tcBorders>
            <w:vAlign w:val="center"/>
          </w:tcPr>
          <w:p w14:paraId="4581A1AC">
            <w:pPr>
              <w:keepNext w:val="0"/>
              <w:keepLines w:val="0"/>
              <w:pageBreakBefore w:val="0"/>
              <w:widowControl w:val="0"/>
              <w:kinsoku/>
              <w:wordWrap/>
              <w:overflowPunct/>
              <w:topLinePunct w:val="0"/>
              <w:autoSpaceDE/>
              <w:autoSpaceDN/>
              <w:bidi w:val="0"/>
              <w:adjustRightInd/>
              <w:snapToGrid/>
              <w:spacing w:after="0" w:line="560" w:lineRule="exact"/>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重大违法记录是指供应商因违法经营受到刑事处罚或者责令停产停业、吊销许可证或者执照、较大数额罚款等行政处罚（提供书面声明）。</w:t>
            </w:r>
          </w:p>
          <w:p w14:paraId="381CC94B">
            <w:pPr>
              <w:keepNext w:val="0"/>
              <w:keepLines w:val="0"/>
              <w:pageBreakBefore w:val="0"/>
              <w:widowControl/>
              <w:kinsoku/>
              <w:wordWrap/>
              <w:overflowPunct/>
              <w:topLinePunct w:val="0"/>
              <w:autoSpaceDE/>
              <w:autoSpaceDN/>
              <w:bidi w:val="0"/>
              <w:adjustRightInd/>
              <w:snapToGrid/>
              <w:spacing w:line="560" w:lineRule="exact"/>
              <w:ind w:left="0"/>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r>
      <w:tr w14:paraId="79990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5" w:hRule="atLeast"/>
          <w:jc w:val="center"/>
        </w:trPr>
        <w:tc>
          <w:tcPr>
            <w:tcW w:w="486" w:type="dxa"/>
            <w:vMerge w:val="continue"/>
            <w:tcBorders>
              <w:left w:val="single" w:color="000000" w:sz="4" w:space="0"/>
              <w:right w:val="single" w:color="000000" w:sz="4" w:space="0"/>
            </w:tcBorders>
            <w:vAlign w:val="center"/>
          </w:tcPr>
          <w:p w14:paraId="7DCC5A3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755487B9">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53118148">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法律、行政法规规定的其他条件</w:t>
            </w:r>
          </w:p>
        </w:tc>
        <w:tc>
          <w:tcPr>
            <w:tcW w:w="5389" w:type="dxa"/>
            <w:tcBorders>
              <w:top w:val="single" w:color="000000" w:sz="4" w:space="0"/>
              <w:left w:val="single" w:color="000000" w:sz="4" w:space="0"/>
              <w:bottom w:val="single" w:color="000000" w:sz="4" w:space="0"/>
              <w:right w:val="single" w:color="000000" w:sz="4" w:space="0"/>
            </w:tcBorders>
            <w:vAlign w:val="center"/>
          </w:tcPr>
          <w:p w14:paraId="2C215117">
            <w:pPr>
              <w:keepNext w:val="0"/>
              <w:keepLines w:val="0"/>
              <w:pageBreakBefore w:val="0"/>
              <w:widowControl/>
              <w:kinsoku/>
              <w:wordWrap/>
              <w:overflowPunct/>
              <w:topLinePunct w:val="0"/>
              <w:autoSpaceDE/>
              <w:autoSpaceDN/>
              <w:bidi w:val="0"/>
              <w:adjustRightInd/>
              <w:snapToGrid/>
              <w:spacing w:line="560" w:lineRule="exact"/>
              <w:ind w:left="0"/>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（1）单位负责人为同一人或者存在直接控股、管理关系的不同投标人，不得参加同一合同项下的政府采购活动；</w:t>
            </w:r>
          </w:p>
          <w:p w14:paraId="78353699">
            <w:pPr>
              <w:keepNext w:val="0"/>
              <w:keepLines w:val="0"/>
              <w:pageBreakBefore w:val="0"/>
              <w:widowControl/>
              <w:kinsoku/>
              <w:wordWrap/>
              <w:overflowPunct/>
              <w:topLinePunct w:val="0"/>
              <w:autoSpaceDE/>
              <w:autoSpaceDN/>
              <w:bidi w:val="0"/>
              <w:adjustRightInd/>
              <w:snapToGrid/>
              <w:spacing w:line="560" w:lineRule="exact"/>
              <w:ind w:left="0"/>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（2）为本采购项目提供过整体设计、编制技术规范或其他文件等咨询服务的投标人，不得再参加该项目的其他采购活动；</w:t>
            </w:r>
          </w:p>
          <w:p w14:paraId="390041D7">
            <w:pPr>
              <w:keepNext w:val="0"/>
              <w:keepLines w:val="0"/>
              <w:pageBreakBefore w:val="0"/>
              <w:widowControl/>
              <w:kinsoku/>
              <w:wordWrap/>
              <w:overflowPunct/>
              <w:topLinePunct w:val="0"/>
              <w:autoSpaceDE/>
              <w:autoSpaceDN/>
              <w:bidi w:val="0"/>
              <w:adjustRightInd/>
              <w:snapToGrid/>
              <w:spacing w:line="560" w:lineRule="exact"/>
              <w:ind w:left="0"/>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（3）供应商应在“信用中国”网站（www.creditchina.gov.cn）未被列入失信被执行人记录、重大税收违法失信主体且在中国政府采购网（www.ccgp.gov.cn）没有政府采购严重违法失信行为记录。</w:t>
            </w:r>
          </w:p>
        </w:tc>
      </w:tr>
      <w:tr w14:paraId="67215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left w:val="single" w:color="000000" w:sz="4" w:space="0"/>
              <w:right w:val="single" w:color="000000" w:sz="4" w:space="0"/>
            </w:tcBorders>
            <w:vAlign w:val="center"/>
          </w:tcPr>
          <w:p w14:paraId="1001C1D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0B5B3D01">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2A09754E">
            <w:pPr>
              <w:keepNext w:val="0"/>
              <w:keepLines w:val="0"/>
              <w:pageBreakBefore w:val="0"/>
              <w:kinsoku/>
              <w:wordWrap/>
              <w:overflowPunct/>
              <w:topLinePunct w:val="0"/>
              <w:autoSpaceDE/>
              <w:autoSpaceDN/>
              <w:bidi w:val="0"/>
              <w:snapToGrid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具有依法缴纳税收和社会保障资金的良好记录</w:t>
            </w:r>
          </w:p>
        </w:tc>
        <w:tc>
          <w:tcPr>
            <w:tcW w:w="5389" w:type="dxa"/>
            <w:tcBorders>
              <w:top w:val="single" w:color="000000" w:sz="4" w:space="0"/>
              <w:left w:val="single" w:color="000000" w:sz="4" w:space="0"/>
              <w:bottom w:val="single" w:color="000000" w:sz="4" w:space="0"/>
              <w:right w:val="single" w:color="000000" w:sz="4" w:space="0"/>
            </w:tcBorders>
            <w:vAlign w:val="center"/>
          </w:tcPr>
          <w:p w14:paraId="1B91617A">
            <w:pPr>
              <w:keepNext w:val="0"/>
              <w:keepLines w:val="0"/>
              <w:pageBreakBefore w:val="0"/>
              <w:widowControl/>
              <w:numPr>
                <w:ilvl w:val="0"/>
                <w:numId w:val="0"/>
              </w:numPr>
              <w:kinsoku/>
              <w:wordWrap/>
              <w:overflowPunct/>
              <w:topLinePunct w:val="0"/>
              <w:autoSpaceDE/>
              <w:autoSpaceDN/>
              <w:bidi w:val="0"/>
              <w:spacing w:line="560" w:lineRule="exact"/>
              <w:ind w:left="0" w:leftChars="0" w:firstLine="0" w:firstLineChars="0"/>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提供缴费所属时间在2024年01月至本项目响应文件提交截止时间前任意1个月的税收缴纳凭证；新成立的供应商提供成立以来的税收缴纳凭证或相关情况说明,依法免税的供应商，应提供相应文件证明其依法免税；</w:t>
            </w:r>
          </w:p>
          <w:p w14:paraId="52849EEF">
            <w:pPr>
              <w:keepNext w:val="0"/>
              <w:keepLines w:val="0"/>
              <w:pageBreakBefore w:val="0"/>
              <w:widowControl/>
              <w:numPr>
                <w:ilvl w:val="0"/>
                <w:numId w:val="0"/>
              </w:numPr>
              <w:kinsoku/>
              <w:wordWrap/>
              <w:overflowPunct/>
              <w:topLinePunct w:val="0"/>
              <w:autoSpaceDE/>
              <w:autoSpaceDN/>
              <w:bidi w:val="0"/>
              <w:spacing w:line="560" w:lineRule="exact"/>
              <w:ind w:left="0" w:leftChars="0" w:firstLine="0" w:firstLineChars="0"/>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val="zh-CN"/>
                <w14:textFill>
                  <w14:solidFill>
                    <w14:schemeClr w14:val="tx1"/>
                  </w14:solidFill>
                </w14:textFill>
              </w:rPr>
              <w:t>提供缴费所属时间在202</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0"/>
                <w:sz w:val="24"/>
                <w:szCs w:val="24"/>
                <w:highlight w:val="none"/>
                <w:lang w:val="zh-CN"/>
                <w14:textFill>
                  <w14:solidFill>
                    <w14:schemeClr w14:val="tx1"/>
                  </w14:solidFill>
                </w14:textFill>
              </w:rPr>
              <w:t>年0</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zh-CN"/>
                <w14:textFill>
                  <w14:solidFill>
                    <w14:schemeClr w14:val="tx1"/>
                  </w14:solidFill>
                </w14:textFill>
              </w:rPr>
              <w:t>月至本项目</w:t>
            </w:r>
            <w:r>
              <w:rPr>
                <w:rFonts w:hint="eastAsia" w:ascii="仿宋" w:hAnsi="仿宋" w:eastAsia="仿宋" w:cs="仿宋"/>
                <w:color w:val="000000" w:themeColor="text1"/>
                <w:kern w:val="0"/>
                <w:sz w:val="24"/>
                <w:szCs w:val="24"/>
                <w:highlight w:val="none"/>
                <w14:textFill>
                  <w14:solidFill>
                    <w14:schemeClr w14:val="tx1"/>
                  </w14:solidFill>
                </w14:textFill>
              </w:rPr>
              <w:t>响应</w:t>
            </w:r>
            <w:r>
              <w:rPr>
                <w:rFonts w:hint="eastAsia" w:ascii="仿宋" w:hAnsi="仿宋" w:eastAsia="仿宋" w:cs="仿宋"/>
                <w:color w:val="000000" w:themeColor="text1"/>
                <w:kern w:val="0"/>
                <w:sz w:val="24"/>
                <w:szCs w:val="24"/>
                <w:highlight w:val="none"/>
                <w:lang w:val="zh-CN"/>
                <w14:textFill>
                  <w14:solidFill>
                    <w14:schemeClr w14:val="tx1"/>
                  </w14:solidFill>
                </w14:textFill>
              </w:rPr>
              <w:t>文件提交截止时间前任意</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zh-CN"/>
                <w14:textFill>
                  <w14:solidFill>
                    <w14:schemeClr w14:val="tx1"/>
                  </w14:solidFill>
                </w14:textFill>
              </w:rPr>
              <w:t>个月的社保资金缴纳凭证；</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新</w:t>
            </w:r>
            <w:r>
              <w:rPr>
                <w:rFonts w:hint="eastAsia" w:ascii="仿宋" w:hAnsi="仿宋" w:eastAsia="仿宋" w:cs="仿宋"/>
                <w:color w:val="000000" w:themeColor="text1"/>
                <w:kern w:val="0"/>
                <w:sz w:val="24"/>
                <w:szCs w:val="24"/>
                <w:highlight w:val="none"/>
                <w:lang w:val="zh-CN"/>
                <w14:textFill>
                  <w14:solidFill>
                    <w14:schemeClr w14:val="tx1"/>
                  </w14:solidFill>
                </w14:textFill>
              </w:rPr>
              <w:t>成立的</w:t>
            </w:r>
            <w:r>
              <w:rPr>
                <w:rFonts w:hint="eastAsia" w:ascii="仿宋" w:hAnsi="仿宋" w:eastAsia="仿宋" w:cs="仿宋"/>
                <w:color w:val="000000" w:themeColor="text1"/>
                <w:kern w:val="0"/>
                <w:sz w:val="24"/>
                <w:szCs w:val="24"/>
                <w:highlight w:val="none"/>
                <w14:textFill>
                  <w14:solidFill>
                    <w14:schemeClr w14:val="tx1"/>
                  </w14:solidFill>
                </w14:textFill>
              </w:rPr>
              <w:t>供应商</w:t>
            </w:r>
            <w:r>
              <w:rPr>
                <w:rFonts w:hint="eastAsia" w:ascii="仿宋" w:hAnsi="仿宋" w:eastAsia="仿宋" w:cs="仿宋"/>
                <w:color w:val="000000" w:themeColor="text1"/>
                <w:kern w:val="0"/>
                <w:sz w:val="24"/>
                <w:szCs w:val="24"/>
                <w:highlight w:val="none"/>
                <w:lang w:val="zh-CN"/>
                <w14:textFill>
                  <w14:solidFill>
                    <w14:schemeClr w14:val="tx1"/>
                  </w14:solidFill>
                </w14:textFill>
              </w:rPr>
              <w:t>提供成立以来社保资金缴纳凭证或相关情况说明；</w:t>
            </w:r>
          </w:p>
        </w:tc>
      </w:tr>
      <w:tr w14:paraId="19CA8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44" w:type="dxa"/>
            <w:gridSpan w:val="4"/>
            <w:tcBorders>
              <w:top w:val="single" w:color="000000" w:sz="4" w:space="0"/>
              <w:left w:val="single" w:color="000000" w:sz="4" w:space="0"/>
              <w:bottom w:val="single" w:color="000000" w:sz="4" w:space="0"/>
              <w:right w:val="single" w:color="000000" w:sz="4" w:space="0"/>
            </w:tcBorders>
            <w:vAlign w:val="center"/>
          </w:tcPr>
          <w:p w14:paraId="47FFA74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上述评审标准，供应商须全部满足，否则</w:t>
            </w:r>
            <w:r>
              <w:rPr>
                <w:rFonts w:hint="eastAsia" w:ascii="仿宋" w:hAnsi="仿宋" w:eastAsia="仿宋" w:cs="仿宋"/>
                <w:color w:val="000000" w:themeColor="text1"/>
                <w:kern w:val="0"/>
                <w:sz w:val="24"/>
                <w:szCs w:val="24"/>
                <w:highlight w:val="none"/>
                <w:lang w:eastAsia="zh-CN"/>
                <w14:textFill>
                  <w14:solidFill>
                    <w14:schemeClr w14:val="tx1"/>
                  </w14:solidFill>
                </w14:textFill>
              </w:rPr>
              <w:t>视为</w:t>
            </w:r>
            <w:r>
              <w:rPr>
                <w:rFonts w:hint="eastAsia" w:ascii="仿宋" w:hAnsi="仿宋" w:eastAsia="仿宋" w:cs="仿宋"/>
                <w:color w:val="000000" w:themeColor="text1"/>
                <w:kern w:val="0"/>
                <w:sz w:val="24"/>
                <w:szCs w:val="24"/>
                <w:highlight w:val="none"/>
                <w14:textFill>
                  <w14:solidFill>
                    <w14:schemeClr w14:val="tx1"/>
                  </w14:solidFill>
                </w14:textFill>
              </w:rPr>
              <w:t>不合格的供应商，不得进入符合性评审、技术部分评审和磋商报价。</w:t>
            </w:r>
          </w:p>
        </w:tc>
      </w:tr>
      <w:tr w14:paraId="6EB8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820" w:type="dxa"/>
            <w:gridSpan w:val="2"/>
            <w:tcBorders>
              <w:top w:val="single" w:color="000000" w:sz="4" w:space="0"/>
              <w:left w:val="single" w:color="000000" w:sz="4" w:space="0"/>
              <w:bottom w:val="single" w:color="000000" w:sz="4" w:space="0"/>
              <w:right w:val="single" w:color="000000" w:sz="4" w:space="0"/>
            </w:tcBorders>
            <w:vAlign w:val="center"/>
          </w:tcPr>
          <w:p w14:paraId="2D2DE54B">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条款号</w:t>
            </w:r>
          </w:p>
        </w:tc>
        <w:tc>
          <w:tcPr>
            <w:tcW w:w="1935" w:type="dxa"/>
            <w:tcBorders>
              <w:top w:val="single" w:color="000000" w:sz="4" w:space="0"/>
              <w:left w:val="single" w:color="000000" w:sz="4" w:space="0"/>
              <w:bottom w:val="single" w:color="000000" w:sz="4" w:space="0"/>
              <w:right w:val="single" w:color="000000" w:sz="4" w:space="0"/>
            </w:tcBorders>
            <w:vAlign w:val="center"/>
          </w:tcPr>
          <w:p w14:paraId="5176FA8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评审因素</w:t>
            </w:r>
          </w:p>
        </w:tc>
        <w:tc>
          <w:tcPr>
            <w:tcW w:w="5389" w:type="dxa"/>
            <w:tcBorders>
              <w:top w:val="single" w:color="000000" w:sz="4" w:space="0"/>
              <w:left w:val="single" w:color="000000" w:sz="4" w:space="0"/>
              <w:bottom w:val="single" w:color="000000" w:sz="4" w:space="0"/>
              <w:right w:val="single" w:color="000000" w:sz="4" w:space="0"/>
            </w:tcBorders>
            <w:vAlign w:val="center"/>
          </w:tcPr>
          <w:p w14:paraId="764BE67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评审标准</w:t>
            </w:r>
          </w:p>
        </w:tc>
      </w:tr>
      <w:tr w14:paraId="33FF4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2" w:hRule="atLeast"/>
          <w:jc w:val="center"/>
        </w:trPr>
        <w:tc>
          <w:tcPr>
            <w:tcW w:w="486" w:type="dxa"/>
            <w:vMerge w:val="restart"/>
            <w:tcBorders>
              <w:top w:val="single" w:color="000000" w:sz="4" w:space="0"/>
              <w:left w:val="single" w:color="000000" w:sz="4" w:space="0"/>
              <w:bottom w:val="single" w:color="000000" w:sz="4" w:space="0"/>
              <w:right w:val="single" w:color="000000" w:sz="4" w:space="0"/>
            </w:tcBorders>
            <w:vAlign w:val="center"/>
          </w:tcPr>
          <w:p w14:paraId="308DD34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二</w:t>
            </w:r>
          </w:p>
        </w:tc>
        <w:tc>
          <w:tcPr>
            <w:tcW w:w="1334" w:type="dxa"/>
            <w:vMerge w:val="restart"/>
            <w:tcBorders>
              <w:top w:val="single" w:color="000000" w:sz="4" w:space="0"/>
              <w:left w:val="single" w:color="000000" w:sz="4" w:space="0"/>
              <w:bottom w:val="single" w:color="000000" w:sz="4" w:space="0"/>
              <w:right w:val="single" w:color="000000" w:sz="4" w:space="0"/>
            </w:tcBorders>
            <w:vAlign w:val="center"/>
          </w:tcPr>
          <w:p w14:paraId="105EB6B2">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符合性评审标准</w:t>
            </w:r>
          </w:p>
        </w:tc>
        <w:tc>
          <w:tcPr>
            <w:tcW w:w="1935" w:type="dxa"/>
            <w:tcBorders>
              <w:top w:val="single" w:color="000000" w:sz="4" w:space="0"/>
              <w:left w:val="single" w:color="000000" w:sz="4" w:space="0"/>
              <w:right w:val="single" w:color="000000" w:sz="4" w:space="0"/>
            </w:tcBorders>
            <w:vAlign w:val="center"/>
          </w:tcPr>
          <w:p w14:paraId="6D38DA6A">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报价</w:t>
            </w:r>
          </w:p>
        </w:tc>
        <w:tc>
          <w:tcPr>
            <w:tcW w:w="5389" w:type="dxa"/>
            <w:tcBorders>
              <w:top w:val="single" w:color="000000" w:sz="4" w:space="0"/>
              <w:left w:val="single" w:color="000000" w:sz="4" w:space="0"/>
              <w:bottom w:val="single" w:color="000000" w:sz="4" w:space="0"/>
              <w:right w:val="single" w:color="000000" w:sz="4" w:space="0"/>
            </w:tcBorders>
            <w:vAlign w:val="center"/>
          </w:tcPr>
          <w:p w14:paraId="20B42F56">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完整且只有一个有效报价</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p>
        </w:tc>
      </w:tr>
      <w:tr w14:paraId="3405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86" w:type="dxa"/>
            <w:vMerge w:val="continue"/>
            <w:tcBorders>
              <w:top w:val="single" w:color="000000" w:sz="4" w:space="0"/>
              <w:left w:val="single" w:color="000000" w:sz="4" w:space="0"/>
              <w:bottom w:val="single" w:color="000000" w:sz="4" w:space="0"/>
              <w:right w:val="single" w:color="000000" w:sz="4" w:space="0"/>
            </w:tcBorders>
            <w:vAlign w:val="center"/>
          </w:tcPr>
          <w:p w14:paraId="26152751">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top w:val="single" w:color="000000" w:sz="4" w:space="0"/>
              <w:left w:val="single" w:color="000000" w:sz="4" w:space="0"/>
              <w:bottom w:val="single" w:color="000000" w:sz="4" w:space="0"/>
              <w:right w:val="single" w:color="000000" w:sz="4" w:space="0"/>
            </w:tcBorders>
            <w:vAlign w:val="center"/>
          </w:tcPr>
          <w:p w14:paraId="67477786">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2D0E9B50">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磋商响应文件格式</w:t>
            </w:r>
          </w:p>
        </w:tc>
        <w:tc>
          <w:tcPr>
            <w:tcW w:w="5389" w:type="dxa"/>
            <w:tcBorders>
              <w:top w:val="single" w:color="000000" w:sz="4" w:space="0"/>
              <w:left w:val="single" w:color="000000" w:sz="4" w:space="0"/>
              <w:bottom w:val="single" w:color="000000" w:sz="4" w:space="0"/>
              <w:right w:val="single" w:color="000000" w:sz="4" w:space="0"/>
            </w:tcBorders>
            <w:vAlign w:val="center"/>
          </w:tcPr>
          <w:p w14:paraId="50FBED3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磋商响应文件是否按规定的格式填写，是否有内容不全或关键字模糊、无法辨认的；</w:t>
            </w:r>
          </w:p>
        </w:tc>
      </w:tr>
      <w:tr w14:paraId="7BB8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486" w:type="dxa"/>
            <w:vMerge w:val="continue"/>
            <w:tcBorders>
              <w:top w:val="single" w:color="000000" w:sz="4" w:space="0"/>
              <w:left w:val="single" w:color="000000" w:sz="4" w:space="0"/>
              <w:bottom w:val="single" w:color="000000" w:sz="4" w:space="0"/>
              <w:right w:val="single" w:color="000000" w:sz="4" w:space="0"/>
            </w:tcBorders>
            <w:vAlign w:val="center"/>
          </w:tcPr>
          <w:p w14:paraId="786D4FAA">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top w:val="single" w:color="000000" w:sz="4" w:space="0"/>
              <w:left w:val="single" w:color="000000" w:sz="4" w:space="0"/>
              <w:bottom w:val="single" w:color="000000" w:sz="4" w:space="0"/>
              <w:right w:val="single" w:color="000000" w:sz="4" w:space="0"/>
            </w:tcBorders>
            <w:vAlign w:val="center"/>
          </w:tcPr>
          <w:p w14:paraId="1CFFFAE5">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57DB44BA">
            <w:pPr>
              <w:keepNext w:val="0"/>
              <w:keepLines w:val="0"/>
              <w:pageBreakBefore w:val="0"/>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磋商响应文件</w:t>
            </w:r>
            <w:r>
              <w:rPr>
                <w:rFonts w:hint="eastAsia" w:ascii="仿宋" w:hAnsi="仿宋" w:eastAsia="仿宋" w:cs="仿宋"/>
                <w:color w:val="000000" w:themeColor="text1"/>
                <w:kern w:val="0"/>
                <w:sz w:val="24"/>
                <w:szCs w:val="24"/>
                <w:highlight w:val="none"/>
                <w:lang w:eastAsia="zh-CN"/>
                <w14:textFill>
                  <w14:solidFill>
                    <w14:schemeClr w14:val="tx1"/>
                  </w14:solidFill>
                </w14:textFill>
              </w:rPr>
              <w:t>电子签章、签字</w:t>
            </w:r>
          </w:p>
        </w:tc>
        <w:tc>
          <w:tcPr>
            <w:tcW w:w="5389" w:type="dxa"/>
            <w:tcBorders>
              <w:top w:val="single" w:color="000000" w:sz="4" w:space="0"/>
              <w:left w:val="single" w:color="000000" w:sz="4" w:space="0"/>
              <w:bottom w:val="single" w:color="000000" w:sz="4" w:space="0"/>
              <w:right w:val="single" w:color="000000" w:sz="4" w:space="0"/>
            </w:tcBorders>
            <w:vAlign w:val="center"/>
          </w:tcPr>
          <w:p w14:paraId="15E71BF0">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磋商响应文件是否按规定</w:t>
            </w:r>
            <w:r>
              <w:rPr>
                <w:rFonts w:hint="eastAsia" w:ascii="仿宋" w:hAnsi="仿宋" w:eastAsia="仿宋" w:cs="仿宋"/>
                <w:color w:val="000000" w:themeColor="text1"/>
                <w:kern w:val="0"/>
                <w:sz w:val="24"/>
                <w:szCs w:val="24"/>
                <w:highlight w:val="none"/>
                <w:lang w:eastAsia="zh-CN"/>
                <w14:textFill>
                  <w14:solidFill>
                    <w14:schemeClr w14:val="tx1"/>
                  </w14:solidFill>
                </w14:textFill>
              </w:rPr>
              <w:t>电子签章、签字</w:t>
            </w:r>
            <w:r>
              <w:rPr>
                <w:rFonts w:hint="eastAsia" w:ascii="仿宋" w:hAnsi="仿宋" w:eastAsia="仿宋" w:cs="仿宋"/>
                <w:color w:val="000000" w:themeColor="text1"/>
                <w:kern w:val="0"/>
                <w:sz w:val="24"/>
                <w:szCs w:val="24"/>
                <w:highlight w:val="none"/>
                <w14:textFill>
                  <w14:solidFill>
                    <w14:schemeClr w14:val="tx1"/>
                  </w14:solidFill>
                </w14:textFill>
              </w:rPr>
              <w:t>；</w:t>
            </w:r>
          </w:p>
        </w:tc>
      </w:tr>
      <w:tr w14:paraId="44CE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144" w:type="dxa"/>
            <w:gridSpan w:val="4"/>
            <w:tcBorders>
              <w:top w:val="single" w:color="000000" w:sz="4" w:space="0"/>
              <w:left w:val="single" w:color="000000" w:sz="4" w:space="0"/>
              <w:bottom w:val="single" w:color="000000" w:sz="4" w:space="0"/>
              <w:right w:val="single" w:color="000000" w:sz="4" w:space="0"/>
            </w:tcBorders>
            <w:vAlign w:val="center"/>
          </w:tcPr>
          <w:p w14:paraId="17A52FC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上述符合性评审标准通过者，才能进入最终报价和综合评分。</w:t>
            </w:r>
          </w:p>
        </w:tc>
      </w:tr>
      <w:tr w14:paraId="5230D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0" w:type="dxa"/>
            <w:gridSpan w:val="2"/>
            <w:tcBorders>
              <w:top w:val="single" w:color="000000" w:sz="4" w:space="0"/>
              <w:left w:val="single" w:color="000000" w:sz="4" w:space="0"/>
              <w:bottom w:val="single" w:color="000000" w:sz="4" w:space="0"/>
              <w:right w:val="single" w:color="000000" w:sz="4" w:space="0"/>
            </w:tcBorders>
            <w:vAlign w:val="center"/>
          </w:tcPr>
          <w:p w14:paraId="2453F70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条款号</w:t>
            </w:r>
          </w:p>
        </w:tc>
        <w:tc>
          <w:tcPr>
            <w:tcW w:w="7324" w:type="dxa"/>
            <w:gridSpan w:val="2"/>
            <w:tcBorders>
              <w:top w:val="single" w:color="000000" w:sz="4" w:space="0"/>
              <w:left w:val="single" w:color="000000" w:sz="4" w:space="0"/>
              <w:bottom w:val="single" w:color="000000" w:sz="4" w:space="0"/>
              <w:right w:val="single" w:color="000000" w:sz="4" w:space="0"/>
            </w:tcBorders>
            <w:vAlign w:val="center"/>
          </w:tcPr>
          <w:p w14:paraId="0B2D12C9">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评分标准</w:t>
            </w:r>
          </w:p>
        </w:tc>
      </w:tr>
      <w:tr w14:paraId="1915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restart"/>
            <w:tcBorders>
              <w:top w:val="single" w:color="000000" w:sz="4" w:space="0"/>
              <w:left w:val="single" w:color="000000" w:sz="4" w:space="0"/>
              <w:right w:val="single" w:color="000000" w:sz="4" w:space="0"/>
            </w:tcBorders>
            <w:vAlign w:val="center"/>
          </w:tcPr>
          <w:p w14:paraId="7E318BC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三</w:t>
            </w:r>
          </w:p>
        </w:tc>
        <w:tc>
          <w:tcPr>
            <w:tcW w:w="1334" w:type="dxa"/>
            <w:vMerge w:val="restart"/>
            <w:tcBorders>
              <w:top w:val="single" w:color="000000" w:sz="4" w:space="0"/>
              <w:left w:val="single" w:color="000000" w:sz="4" w:space="0"/>
              <w:right w:val="single" w:color="000000" w:sz="4" w:space="0"/>
            </w:tcBorders>
            <w:vAlign w:val="center"/>
          </w:tcPr>
          <w:p w14:paraId="34434F4B">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综合评分</w:t>
            </w:r>
          </w:p>
          <w:p w14:paraId="7A82A8A8">
            <w:pPr>
              <w:keepNext w:val="0"/>
              <w:keepLines w:val="0"/>
              <w:pageBreakBefore w:val="0"/>
              <w:widowControl/>
              <w:kinsoku/>
              <w:wordWrap/>
              <w:overflowPunct/>
              <w:topLinePunct w:val="0"/>
              <w:autoSpaceDE/>
              <w:autoSpaceDN/>
              <w:bidi w:val="0"/>
              <w:spacing w:line="560" w:lineRule="exact"/>
              <w:ind w:right="-101" w:rightChars="-46"/>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（100分）</w:t>
            </w:r>
          </w:p>
        </w:tc>
        <w:tc>
          <w:tcPr>
            <w:tcW w:w="7324" w:type="dxa"/>
            <w:gridSpan w:val="2"/>
            <w:tcBorders>
              <w:top w:val="single" w:color="000000" w:sz="4" w:space="0"/>
              <w:left w:val="single" w:color="000000" w:sz="4" w:space="0"/>
              <w:bottom w:val="single" w:color="000000" w:sz="4" w:space="0"/>
              <w:right w:val="single" w:color="000000" w:sz="4" w:space="0"/>
            </w:tcBorders>
            <w:vAlign w:val="center"/>
          </w:tcPr>
          <w:p w14:paraId="5FA85883">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（一）最终报价评分（满分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30</w:t>
            </w:r>
            <w:r>
              <w:rPr>
                <w:rFonts w:hint="eastAsia" w:ascii="仿宋" w:hAnsi="仿宋" w:eastAsia="仿宋" w:cs="仿宋"/>
                <w:color w:val="000000" w:themeColor="text1"/>
                <w:kern w:val="0"/>
                <w:sz w:val="24"/>
                <w:szCs w:val="24"/>
                <w:highlight w:val="none"/>
                <w14:textFill>
                  <w14:solidFill>
                    <w14:schemeClr w14:val="tx1"/>
                  </w14:solidFill>
                </w14:textFill>
              </w:rPr>
              <w:t>分）</w:t>
            </w:r>
          </w:p>
        </w:tc>
      </w:tr>
      <w:tr w14:paraId="5148F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4B7CECB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textDirection w:val="tbRlV"/>
            <w:vAlign w:val="center"/>
          </w:tcPr>
          <w:p w14:paraId="1AA025FD">
            <w:pPr>
              <w:keepNext w:val="0"/>
              <w:keepLines w:val="0"/>
              <w:pageBreakBefore w:val="0"/>
              <w:widowControl/>
              <w:kinsoku/>
              <w:wordWrap/>
              <w:overflowPunct/>
              <w:topLinePunct w:val="0"/>
              <w:autoSpaceDE/>
              <w:autoSpaceDN/>
              <w:bidi w:val="0"/>
              <w:spacing w:line="560" w:lineRule="exact"/>
              <w:jc w:val="center"/>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7324" w:type="dxa"/>
            <w:gridSpan w:val="2"/>
            <w:tcBorders>
              <w:top w:val="single" w:color="000000" w:sz="4" w:space="0"/>
              <w:left w:val="single" w:color="000000" w:sz="4" w:space="0"/>
              <w:bottom w:val="single" w:color="000000" w:sz="4" w:space="0"/>
              <w:right w:val="single" w:color="000000" w:sz="4" w:space="0"/>
            </w:tcBorders>
            <w:vAlign w:val="center"/>
          </w:tcPr>
          <w:p w14:paraId="7078399E">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eastAsia="zh-CN"/>
                <w14:textFill>
                  <w14:solidFill>
                    <w14:schemeClr w14:val="tx1"/>
                  </w14:solidFill>
                </w14:textFill>
              </w:rPr>
              <w:t>二</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zh-CN"/>
                <w14:textFill>
                  <w14:solidFill>
                    <w14:schemeClr w14:val="tx1"/>
                  </w14:solidFill>
                </w14:textFill>
              </w:rPr>
              <w:t>技术参数响应程度</w:t>
            </w:r>
            <w:r>
              <w:rPr>
                <w:rFonts w:hint="eastAsia" w:ascii="仿宋" w:hAnsi="仿宋" w:eastAsia="仿宋" w:cs="仿宋"/>
                <w:color w:val="000000" w:themeColor="text1"/>
                <w:kern w:val="0"/>
                <w:sz w:val="24"/>
                <w:szCs w:val="24"/>
                <w:highlight w:val="none"/>
                <w14:textFill>
                  <w14:solidFill>
                    <w14:schemeClr w14:val="tx1"/>
                  </w14:solidFill>
                </w14:textFill>
              </w:rPr>
              <w:t>（满分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10</w:t>
            </w:r>
            <w:r>
              <w:rPr>
                <w:rFonts w:hint="eastAsia" w:ascii="仿宋" w:hAnsi="仿宋" w:eastAsia="仿宋" w:cs="仿宋"/>
                <w:color w:val="000000" w:themeColor="text1"/>
                <w:kern w:val="0"/>
                <w:sz w:val="24"/>
                <w:szCs w:val="24"/>
                <w:highlight w:val="none"/>
                <w14:textFill>
                  <w14:solidFill>
                    <w14:schemeClr w14:val="tx1"/>
                  </w14:solidFill>
                </w14:textFill>
              </w:rPr>
              <w:t>分）</w:t>
            </w:r>
          </w:p>
        </w:tc>
      </w:tr>
      <w:tr w14:paraId="4547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67609744">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3B25C1E8">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7324" w:type="dxa"/>
            <w:gridSpan w:val="2"/>
            <w:tcBorders>
              <w:top w:val="single" w:color="000000" w:sz="4" w:space="0"/>
              <w:left w:val="single" w:color="000000" w:sz="4" w:space="0"/>
              <w:bottom w:val="single" w:color="000000" w:sz="4" w:space="0"/>
              <w:right w:val="single" w:color="000000" w:sz="4" w:space="0"/>
            </w:tcBorders>
            <w:vAlign w:val="center"/>
          </w:tcPr>
          <w:p w14:paraId="286FD3A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eastAsia="zh-CN"/>
                <w14:textFill>
                  <w14:solidFill>
                    <w14:schemeClr w14:val="tx1"/>
                  </w14:solidFill>
                </w14:textFill>
              </w:rPr>
              <w:t>三</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供货</w:t>
            </w:r>
            <w:r>
              <w:rPr>
                <w:rFonts w:hint="eastAsia" w:ascii="仿宋" w:hAnsi="仿宋" w:eastAsia="仿宋" w:cs="仿宋"/>
                <w:color w:val="000000" w:themeColor="text1"/>
                <w:kern w:val="0"/>
                <w:sz w:val="24"/>
                <w:szCs w:val="24"/>
                <w:highlight w:val="none"/>
                <w14:textFill>
                  <w14:solidFill>
                    <w14:schemeClr w14:val="tx1"/>
                  </w14:solidFill>
                </w14:textFill>
              </w:rPr>
              <w:t>实施</w:t>
            </w:r>
            <w:r>
              <w:rPr>
                <w:rFonts w:hint="eastAsia" w:ascii="仿宋" w:hAnsi="仿宋" w:eastAsia="仿宋" w:cs="仿宋"/>
                <w:color w:val="000000" w:themeColor="text1"/>
                <w:kern w:val="0"/>
                <w:sz w:val="24"/>
                <w:szCs w:val="24"/>
                <w:highlight w:val="none"/>
                <w:lang w:val="zh-CN"/>
                <w14:textFill>
                  <w14:solidFill>
                    <w14:schemeClr w14:val="tx1"/>
                  </w14:solidFill>
                </w14:textFill>
              </w:rPr>
              <w:t>方案</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（满分20分）</w:t>
            </w:r>
          </w:p>
        </w:tc>
      </w:tr>
      <w:tr w14:paraId="3E4F0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486" w:type="dxa"/>
            <w:vMerge w:val="continue"/>
            <w:tcBorders>
              <w:left w:val="single" w:color="000000" w:sz="4" w:space="0"/>
              <w:right w:val="single" w:color="000000" w:sz="4" w:space="0"/>
            </w:tcBorders>
            <w:vAlign w:val="center"/>
          </w:tcPr>
          <w:p w14:paraId="0FECD63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51651F3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7324" w:type="dxa"/>
            <w:gridSpan w:val="2"/>
            <w:tcBorders>
              <w:top w:val="single" w:color="000000" w:sz="4" w:space="0"/>
              <w:left w:val="single" w:color="000000" w:sz="4" w:space="0"/>
              <w:bottom w:val="single" w:color="000000" w:sz="4" w:space="0"/>
              <w:right w:val="single" w:color="000000" w:sz="4" w:space="0"/>
            </w:tcBorders>
            <w:vAlign w:val="center"/>
          </w:tcPr>
          <w:p w14:paraId="3AE7E1E7">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eastAsia="zh-CN"/>
                <w14:textFill>
                  <w14:solidFill>
                    <w14:schemeClr w14:val="tx1"/>
                  </w14:solidFill>
                </w14:textFill>
              </w:rPr>
              <w:t>四</w:t>
            </w:r>
            <w:r>
              <w:rPr>
                <w:rFonts w:hint="eastAsia" w:ascii="仿宋" w:hAnsi="仿宋" w:eastAsia="仿宋" w:cs="仿宋"/>
                <w:color w:val="000000" w:themeColor="text1"/>
                <w:kern w:val="0"/>
                <w:sz w:val="24"/>
                <w:szCs w:val="24"/>
                <w:highlight w:val="none"/>
                <w14:textFill>
                  <w14:solidFill>
                    <w14:schemeClr w14:val="tx1"/>
                  </w14:solidFill>
                </w14:textFill>
              </w:rPr>
              <w:t>）产品、服务质量及保障措施（满分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20</w:t>
            </w:r>
            <w:r>
              <w:rPr>
                <w:rFonts w:hint="eastAsia" w:ascii="仿宋" w:hAnsi="仿宋" w:eastAsia="仿宋" w:cs="仿宋"/>
                <w:color w:val="000000" w:themeColor="text1"/>
                <w:kern w:val="0"/>
                <w:sz w:val="24"/>
                <w:szCs w:val="24"/>
                <w:highlight w:val="none"/>
                <w14:textFill>
                  <w14:solidFill>
                    <w14:schemeClr w14:val="tx1"/>
                  </w14:solidFill>
                </w14:textFill>
              </w:rPr>
              <w:t>分）</w:t>
            </w:r>
          </w:p>
        </w:tc>
      </w:tr>
      <w:tr w14:paraId="606D9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jc w:val="center"/>
        </w:trPr>
        <w:tc>
          <w:tcPr>
            <w:tcW w:w="486" w:type="dxa"/>
            <w:vMerge w:val="continue"/>
            <w:tcBorders>
              <w:left w:val="single" w:color="000000" w:sz="4" w:space="0"/>
              <w:right w:val="single" w:color="000000" w:sz="4" w:space="0"/>
            </w:tcBorders>
            <w:vAlign w:val="center"/>
          </w:tcPr>
          <w:p w14:paraId="16A2976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0689FDB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tc>
        <w:tc>
          <w:tcPr>
            <w:tcW w:w="7324" w:type="dxa"/>
            <w:gridSpan w:val="2"/>
            <w:tcBorders>
              <w:top w:val="single" w:color="000000" w:sz="4" w:space="0"/>
              <w:left w:val="single" w:color="000000" w:sz="4" w:space="0"/>
              <w:bottom w:val="single" w:color="000000" w:sz="4" w:space="0"/>
              <w:right w:val="single" w:color="000000" w:sz="4" w:space="0"/>
            </w:tcBorders>
            <w:vAlign w:val="center"/>
          </w:tcPr>
          <w:p w14:paraId="4DF0DB64">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eastAsia="zh-CN"/>
                <w14:textFill>
                  <w14:solidFill>
                    <w14:schemeClr w14:val="tx1"/>
                  </w14:solidFill>
                </w14:textFill>
              </w:rPr>
              <w:t>五</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运行维护服务方案</w:t>
            </w:r>
            <w:r>
              <w:rPr>
                <w:rFonts w:hint="eastAsia" w:ascii="仿宋" w:hAnsi="仿宋" w:eastAsia="仿宋" w:cs="仿宋"/>
                <w:color w:val="000000" w:themeColor="text1"/>
                <w:kern w:val="0"/>
                <w:sz w:val="24"/>
                <w:szCs w:val="24"/>
                <w:highlight w:val="none"/>
                <w14:textFill>
                  <w14:solidFill>
                    <w14:schemeClr w14:val="tx1"/>
                  </w14:solidFill>
                </w14:textFill>
              </w:rPr>
              <w:t>（满分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20</w:t>
            </w:r>
            <w:r>
              <w:rPr>
                <w:rFonts w:hint="eastAsia" w:ascii="仿宋" w:hAnsi="仿宋" w:eastAsia="仿宋" w:cs="仿宋"/>
                <w:color w:val="000000" w:themeColor="text1"/>
                <w:kern w:val="0"/>
                <w:sz w:val="24"/>
                <w:szCs w:val="24"/>
                <w:highlight w:val="none"/>
                <w14:textFill>
                  <w14:solidFill>
                    <w14:schemeClr w14:val="tx1"/>
                  </w14:solidFill>
                </w14:textFill>
              </w:rPr>
              <w:t>分）</w:t>
            </w:r>
          </w:p>
        </w:tc>
      </w:tr>
      <w:tr w14:paraId="19FBE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tcBorders>
              <w:left w:val="single" w:color="000000" w:sz="4" w:space="0"/>
              <w:right w:val="single" w:color="000000" w:sz="4" w:space="0"/>
            </w:tcBorders>
            <w:vAlign w:val="center"/>
          </w:tcPr>
          <w:p w14:paraId="03C028FC">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四</w:t>
            </w:r>
          </w:p>
        </w:tc>
        <w:tc>
          <w:tcPr>
            <w:tcW w:w="1334" w:type="dxa"/>
            <w:tcBorders>
              <w:left w:val="single" w:color="000000" w:sz="4" w:space="0"/>
              <w:right w:val="single" w:color="000000" w:sz="4" w:space="0"/>
            </w:tcBorders>
            <w:vAlign w:val="center"/>
          </w:tcPr>
          <w:p w14:paraId="19791FA6">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报价部分</w:t>
            </w:r>
          </w:p>
        </w:tc>
        <w:tc>
          <w:tcPr>
            <w:tcW w:w="1935" w:type="dxa"/>
            <w:tcBorders>
              <w:top w:val="single" w:color="000000" w:sz="4" w:space="0"/>
              <w:left w:val="single" w:color="000000" w:sz="4" w:space="0"/>
              <w:bottom w:val="single" w:color="000000" w:sz="4" w:space="0"/>
              <w:right w:val="single" w:color="000000" w:sz="4" w:space="0"/>
            </w:tcBorders>
            <w:vAlign w:val="center"/>
          </w:tcPr>
          <w:p w14:paraId="044244A1">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报价得分</w:t>
            </w:r>
          </w:p>
          <w:p w14:paraId="2132B5E8">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（30分）</w:t>
            </w:r>
          </w:p>
        </w:tc>
        <w:tc>
          <w:tcPr>
            <w:tcW w:w="5389" w:type="dxa"/>
            <w:tcBorders>
              <w:top w:val="single" w:color="000000" w:sz="4" w:space="0"/>
              <w:left w:val="single" w:color="000000" w:sz="4" w:space="0"/>
              <w:bottom w:val="single" w:color="000000" w:sz="4" w:space="0"/>
              <w:right w:val="single" w:color="000000" w:sz="4" w:space="0"/>
            </w:tcBorders>
            <w:vAlign w:val="center"/>
          </w:tcPr>
          <w:p w14:paraId="3DEF8370">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通过</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符合性</w:t>
            </w:r>
            <w:r>
              <w:rPr>
                <w:rFonts w:hint="eastAsia" w:ascii="仿宋" w:hAnsi="仿宋" w:eastAsia="仿宋" w:cs="仿宋"/>
                <w:color w:val="000000" w:themeColor="text1"/>
                <w:kern w:val="0"/>
                <w:sz w:val="24"/>
                <w:szCs w:val="24"/>
                <w:highlight w:val="none"/>
                <w14:textFill>
                  <w14:solidFill>
                    <w14:schemeClr w14:val="tx1"/>
                  </w14:solidFill>
                </w14:textFill>
              </w:rPr>
              <w:t>评审的所有</w:t>
            </w:r>
            <w:r>
              <w:rPr>
                <w:rFonts w:hint="eastAsia" w:ascii="仿宋" w:hAnsi="仿宋" w:eastAsia="仿宋" w:cs="仿宋"/>
                <w:color w:val="000000" w:themeColor="text1"/>
                <w:kern w:val="0"/>
                <w:sz w:val="24"/>
                <w:szCs w:val="24"/>
                <w:highlight w:val="none"/>
                <w:lang w:eastAsia="zh-CN"/>
                <w14:textFill>
                  <w14:solidFill>
                    <w14:schemeClr w14:val="tx1"/>
                  </w14:solidFill>
                </w14:textFill>
              </w:rPr>
              <w:t>供应商</w:t>
            </w:r>
            <w:r>
              <w:rPr>
                <w:rFonts w:hint="eastAsia" w:ascii="仿宋" w:hAnsi="仿宋" w:eastAsia="仿宋" w:cs="仿宋"/>
                <w:color w:val="000000" w:themeColor="text1"/>
                <w:kern w:val="0"/>
                <w:sz w:val="24"/>
                <w:szCs w:val="24"/>
                <w:highlight w:val="none"/>
                <w14:textFill>
                  <w14:solidFill>
                    <w14:schemeClr w14:val="tx1"/>
                  </w14:solidFill>
                </w14:textFill>
              </w:rPr>
              <w:t>最终报价中最低报价为基准价，其价格分为满分。</w:t>
            </w:r>
          </w:p>
          <w:p w14:paraId="09A60945">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最终报价得分=(评标基准价／最后报价)×</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30</w:t>
            </w:r>
          </w:p>
          <w:p w14:paraId="2D9741BB">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备注：（1）对小型和微型企业产品的价格给予10%的扣除，用扣除后的价格参与评审。</w:t>
            </w:r>
          </w:p>
        </w:tc>
      </w:tr>
      <w:tr w14:paraId="23E536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vMerge w:val="restart"/>
            <w:tcBorders>
              <w:left w:val="single" w:color="000000" w:sz="4" w:space="0"/>
              <w:right w:val="single" w:color="000000" w:sz="4" w:space="0"/>
            </w:tcBorders>
            <w:vAlign w:val="center"/>
          </w:tcPr>
          <w:p w14:paraId="084410F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五</w:t>
            </w:r>
          </w:p>
        </w:tc>
        <w:tc>
          <w:tcPr>
            <w:tcW w:w="1334" w:type="dxa"/>
            <w:vMerge w:val="restart"/>
            <w:tcBorders>
              <w:left w:val="single" w:color="000000" w:sz="4" w:space="0"/>
              <w:right w:val="single" w:color="000000" w:sz="4" w:space="0"/>
            </w:tcBorders>
            <w:vAlign w:val="center"/>
          </w:tcPr>
          <w:p w14:paraId="1C4FA577">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技术部分</w:t>
            </w:r>
          </w:p>
        </w:tc>
        <w:tc>
          <w:tcPr>
            <w:tcW w:w="1935" w:type="dxa"/>
            <w:tcBorders>
              <w:top w:val="single" w:color="000000" w:sz="4" w:space="0"/>
              <w:left w:val="single" w:color="000000" w:sz="4" w:space="0"/>
              <w:bottom w:val="single" w:color="000000" w:sz="4" w:space="0"/>
              <w:right w:val="single" w:color="000000" w:sz="4" w:space="0"/>
            </w:tcBorders>
            <w:vAlign w:val="center"/>
          </w:tcPr>
          <w:p w14:paraId="2818B7FB">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技术参数响应程度（满分10分）</w:t>
            </w:r>
          </w:p>
        </w:tc>
        <w:tc>
          <w:tcPr>
            <w:tcW w:w="5389" w:type="dxa"/>
            <w:tcBorders>
              <w:top w:val="single" w:color="000000" w:sz="4" w:space="0"/>
              <w:left w:val="single" w:color="000000" w:sz="4" w:space="0"/>
              <w:bottom w:val="single" w:color="000000" w:sz="4" w:space="0"/>
              <w:right w:val="single" w:color="000000" w:sz="4" w:space="0"/>
            </w:tcBorders>
            <w:vAlign w:val="center"/>
          </w:tcPr>
          <w:p w14:paraId="043D7EC3">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技术参数无偏离：供应商拟提供产品所显示的技术参数完全满足竞争性磋商文件要求，均无任何负偏离，并对产品的功能描述合理、完整的得10分</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 xml:space="preserve"> </w:t>
            </w:r>
          </w:p>
          <w:p w14:paraId="32D1BF99">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技术参数负偏离：供应商拟供产品的技术参数中每存在一项负偏离扣0.2分，分数扣完为止。</w:t>
            </w:r>
          </w:p>
          <w:p w14:paraId="4E987E20">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注：供应商须对技术参数作出全面、真实地反映。响应文件须附相关佐证材料，技术支持资料指生产厂家公开发布的印刷资料或检测机构出具的检验报告，若生产厂家公开发布的印刷资料与检测机构出具的检验报告不一致，以检测机构出具的检验报告为准。若佐证材料参数与“技术规格偏离表”不符，而供应商未在响应文件中作出说明和解释的，视为不响应该条技术参数要求。</w:t>
            </w:r>
          </w:p>
        </w:tc>
      </w:tr>
      <w:tr w14:paraId="4F21F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vMerge w:val="continue"/>
            <w:tcBorders>
              <w:left w:val="single" w:color="000000" w:sz="4" w:space="0"/>
              <w:right w:val="single" w:color="000000" w:sz="4" w:space="0"/>
            </w:tcBorders>
            <w:vAlign w:val="center"/>
          </w:tcPr>
          <w:p w14:paraId="3948B1E8">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38DC7B6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54D2D108">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供货实施方案（ 20分）</w:t>
            </w:r>
          </w:p>
        </w:tc>
        <w:tc>
          <w:tcPr>
            <w:tcW w:w="5389" w:type="dxa"/>
            <w:tcBorders>
              <w:top w:val="single" w:color="000000" w:sz="4" w:space="0"/>
              <w:left w:val="single" w:color="000000" w:sz="4" w:space="0"/>
              <w:bottom w:val="single" w:color="000000" w:sz="4" w:space="0"/>
              <w:right w:val="single" w:color="000000" w:sz="4" w:space="0"/>
            </w:tcBorders>
            <w:vAlign w:val="center"/>
          </w:tcPr>
          <w:p w14:paraId="50029D33">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1、有完善具体的实施方案及进度安排，计划合理可行，包括但不限于交货方案、安装调试方案、时间进度计划安排方案等；（5分）</w:t>
            </w:r>
          </w:p>
          <w:p w14:paraId="56BB82E2">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（1）实施方案及进度安排，计划合理可行强，内容是基于采购需求进行编制，对应部分描述详细、齐全完整，内容描述科学合理、可行性强，符合项目实际的得5分。</w:t>
            </w:r>
          </w:p>
          <w:p w14:paraId="3CCACB8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（2）实施方案及进度安排，计划基本合理可行，内容是基于采购需求进行编制，对应部分描述较为详细、完整，内容合理、可行性一般的得3分。</w:t>
            </w:r>
          </w:p>
          <w:p w14:paraId="479466EF">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（3）实施方案及进度安排，计划合理可行较差，内容基本符合采购需求对应部分描述简单，与本项目对应的内容无关或未提供，且存在瑕疵或存在前后逻辑错误，对应的内容存在缺陷、无可行性的得1分。</w:t>
            </w:r>
          </w:p>
          <w:p w14:paraId="71A43C12">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（4）无实施方案及进度安排和计划内容得0分。</w:t>
            </w:r>
          </w:p>
          <w:p w14:paraId="1ECD51CE">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2、供货渠道来源明确，有对应客观支撑；（5分）</w:t>
            </w:r>
          </w:p>
          <w:p w14:paraId="6BA036C6">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（1）供应商对所投标段货物的采购渠道有详细描述，且能提供证明材料的，得5分；</w:t>
            </w:r>
          </w:p>
          <w:p w14:paraId="523BB683">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（2）供应商对供货渠道有相应描述，提供货物采购渠道的证明材料有缺项的，得3分；</w:t>
            </w:r>
          </w:p>
          <w:p w14:paraId="02895A0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（3）供应商对供货渠道有相应描述，但未提供货物采购渠道证明材料的，得1分。</w:t>
            </w:r>
          </w:p>
          <w:p w14:paraId="3A155EA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（4）供应商无供货渠道有相应描述，未提供货物采购渠道证明材料的，得0分。</w:t>
            </w:r>
          </w:p>
          <w:p w14:paraId="23556B61">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注：采购渠道的证明材料为货物制造商供货合同或协议，如所提供货物为供应商自有产品则提供相应说明及证明材料。</w:t>
            </w:r>
          </w:p>
          <w:p w14:paraId="0866D0E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3、有具体可行的交货验收方案，满足采购人验收要求；（5分）</w:t>
            </w:r>
          </w:p>
          <w:p w14:paraId="404A1BF8">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（1）供应商对自身交货验收能力有详细的描述，有完善的公司管理制度、交货验收方案明确、合理、切实可行，交货验收要求及规定可操作性强的，得5分；</w:t>
            </w:r>
          </w:p>
          <w:p w14:paraId="4F37A9E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（2）供应商对自身交货验收能力有描述，公司管理制度、交货验收方案及规定描述不清晰或存在遗漏的，得3分；</w:t>
            </w:r>
          </w:p>
          <w:p w14:paraId="2218E80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（3）供应商交货验收能力、公司管理制度、交货验收方案描述粗略或不合理的，得1分。</w:t>
            </w:r>
          </w:p>
          <w:p w14:paraId="60F98D6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（4）供应商无交货验收能力、公司管理制度、交货验收方案的，得0分。</w:t>
            </w:r>
          </w:p>
          <w:p w14:paraId="7C1AC50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4、有具体的售后服务承诺及保障措施，包括但不限于售后服务方案、售后服务人员、售后服务保障措施、服务响应时间、免费质保期等；（5分）</w:t>
            </w:r>
          </w:p>
          <w:p w14:paraId="40820750">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（1）项目售后服务承诺、保障措施完整、合理、针对性强及可操作性强符合项目实际得5分；</w:t>
            </w:r>
          </w:p>
          <w:p w14:paraId="21D7667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（2）项目售后服务承诺、保障措施基本完整、合理、有针对性及具有可操作性基本符合项目实际得3分；</w:t>
            </w:r>
          </w:p>
          <w:p w14:paraId="504C5F7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（3）项目售后服务承诺、保障措施一般，可操作性差的得1分；</w:t>
            </w:r>
          </w:p>
          <w:p w14:paraId="02596E38">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（4）项目售后服务承诺、保障措施中单项内容的描述与本项目对应的内容无关或未提供的得0分。</w:t>
            </w:r>
          </w:p>
        </w:tc>
      </w:tr>
      <w:tr w14:paraId="6F937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486" w:type="dxa"/>
            <w:vMerge w:val="continue"/>
            <w:tcBorders>
              <w:left w:val="single" w:color="000000" w:sz="4" w:space="0"/>
              <w:right w:val="single" w:color="000000" w:sz="4" w:space="0"/>
            </w:tcBorders>
            <w:vAlign w:val="center"/>
          </w:tcPr>
          <w:p w14:paraId="3C3958B1">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74381483">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1935" w:type="dxa"/>
            <w:tcBorders>
              <w:top w:val="single" w:color="000000" w:sz="4" w:space="0"/>
              <w:left w:val="single" w:color="000000" w:sz="4" w:space="0"/>
              <w:bottom w:val="single" w:color="000000" w:sz="4" w:space="0"/>
              <w:right w:val="single" w:color="000000" w:sz="4" w:space="0"/>
            </w:tcBorders>
            <w:vAlign w:val="center"/>
          </w:tcPr>
          <w:p w14:paraId="3E6E510B">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产品、服务质量及保障措施（20分）</w:t>
            </w:r>
          </w:p>
        </w:tc>
        <w:tc>
          <w:tcPr>
            <w:tcW w:w="5389" w:type="dxa"/>
            <w:tcBorders>
              <w:top w:val="single" w:color="000000" w:sz="4" w:space="0"/>
              <w:left w:val="single" w:color="000000" w:sz="4" w:space="0"/>
              <w:bottom w:val="single" w:color="000000" w:sz="4" w:space="0"/>
              <w:right w:val="single" w:color="000000" w:sz="4" w:space="0"/>
            </w:tcBorders>
            <w:vAlign w:val="center"/>
          </w:tcPr>
          <w:p w14:paraId="37A36A22">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1、有明确具体的产品质量控制及保证方案；（5分）</w:t>
            </w:r>
          </w:p>
          <w:p w14:paraId="578C4C63">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（1）供应商拟定的产品质量安全保证措施科学、合理、可操作性强，安全性能要求高，能有效保证产品质量安全；具体违约责任承诺内容有详细描述且有相应详细的处罚措施和具体违约金额，针对性强得5分。</w:t>
            </w:r>
          </w:p>
          <w:p w14:paraId="5587F875">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（2）供应商拟定的产品质量安全保证措施基本科学、合理、具有可操作性，安全性能达到基本要求，基本能有效保证产品质量安全；违约责任承诺内容、处罚措施和违约金额等内容描述一般，针对性一般得3分。</w:t>
            </w:r>
          </w:p>
          <w:p w14:paraId="71FDEC09">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（3）供应商拟定的产品质量安全保证措施一般；具体违约责任承诺内容提出没有相应的处罚措施和具体违约金额的得1分。</w:t>
            </w:r>
          </w:p>
          <w:p w14:paraId="52623C8C">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（4）供应商无具体的产品质量安全保证措施的得0分。</w:t>
            </w:r>
          </w:p>
          <w:p w14:paraId="79A96252">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2、有明确具体的故障响应、故障处理保障措施；（5分）</w:t>
            </w:r>
          </w:p>
          <w:p w14:paraId="663AA76C">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（1）有明确具体的故障响应、故障处理保障措施，故障响应时间不超过1小时，故障响应到达时间不超过6小时，故障处理保障措施全面、可行性强，故障处理能力不超过到达时间6小时，得5分；</w:t>
            </w:r>
          </w:p>
          <w:p w14:paraId="0871BD61">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（2）有明确具体的故障响应、故障处理保障措施，故障响应时间不超过1小时，故障响应到达时间不超过9小时，故障处理保障措施基本合理、可行，故障处理能力不超过到达时间9小时，得3分；</w:t>
            </w:r>
          </w:p>
          <w:p w14:paraId="3194BF43">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（3）有故障响应和故障处理保障措施，故障响应时间不超过1小时，故障响应到达时间不超过12小时，故障处理保障措施合理、可行较差，故障处理能力不超过到达时间12小时，得2分；</w:t>
            </w:r>
          </w:p>
          <w:p w14:paraId="32CDA76C">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（4）有故障响应和故障处理保障措施，故障响应时间超过1小时，故障响应到达时间超过12小时，故障处理保障措施不合理、可行较差，故障处理能力超过到达时间12小时，得1分；</w:t>
            </w:r>
          </w:p>
          <w:p w14:paraId="7F58D08C">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（5）无具体的故障响应、故障处理保障措施得0分。</w:t>
            </w:r>
          </w:p>
          <w:p w14:paraId="2A5538A2">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3、对服务过程中可能发生的突发情况有完备的应急预案，且预案中能够体现供应商应对各种突发事件的处理措施;（5分）</w:t>
            </w:r>
          </w:p>
          <w:p w14:paraId="55153AC8">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有完备的应急预案，且预案中能够体现供应商应对各种突发事件的处理措施，应急响应时间不超过1小时，应急响应到达时间不超过6小时，应急方案措施全面、可行，设备巡检维护周期、巡检计划内容合理性、可行性强，得5分；</w:t>
            </w:r>
          </w:p>
          <w:p w14:paraId="2A29140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有完备的应急预案，且预案中能够体现供应商应对各种突发事件的处理措施，应急响应时间不超过1小时，应急响应到达时间不超过9小时，应急方案措施基本合理、可行，设备巡检维护周期、巡检计划内容基本合理、可行，得3分；</w:t>
            </w:r>
          </w:p>
          <w:p w14:paraId="6618E4DD">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（3）有相关的应急预案和突发事件的处理措施，应急响应时间不超过1小时，应急响应到达时间不超过12小时，设备巡检维护周期、巡检计划内容及应急方案措施不合理、不可行，得2分。</w:t>
            </w:r>
          </w:p>
          <w:p w14:paraId="4CD0F1A9">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（3）有相关的应急预案和突发事件的处理措施，应急响应时间超过1小时，应急响应到达时间超过12小时，设备巡检维护周期、巡检计划内容及应急方案措施不合理、不可行，得1分。</w:t>
            </w:r>
          </w:p>
          <w:p w14:paraId="31C4DBD3">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（4）无有完备的应急预案及处理措施得0分。</w:t>
            </w:r>
          </w:p>
          <w:p w14:paraId="72F4FDDE">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4、服务质量保证措施完善具体，有明确可行的违约承诺及违约处罚措施。（5分）</w:t>
            </w:r>
          </w:p>
          <w:p w14:paraId="65217A36">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服务质量保证措施非常具体且有明确的违约处罚条款及处罚金额、详细，能满足竞争性磋商文件要求且有具体的责任承诺，对货物质量有具体且有明确的违约处罚条款及处罚金额、详细、针对性较强的保证措施的，得5分；</w:t>
            </w:r>
          </w:p>
          <w:p w14:paraId="3FE16EE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服务质量保证措施较具体且有明确的违约处罚条款及处罚金额、详细，能满足竞争性磋商文件要求且有具体的责任承诺，对货物质量有具体且有明确的违约处罚条款及处罚金额、详细、保证措施，有大部分内容具有针对性的，得4分；</w:t>
            </w:r>
          </w:p>
          <w:p w14:paraId="6F8FE54A">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（3）服务质量保证措施得当违约处罚条款不明确，能满足竞争性磋商文件要求且有一定的责任承诺，对货物质量有一定针对性、合理性的保证措施的，得3分；</w:t>
            </w:r>
          </w:p>
          <w:p w14:paraId="5657381C">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（4）服务质量保证措施不具体无违约处罚条款，部分内容满足竞争性磋商文件要求，有责任承诺但不具体的得2分；</w:t>
            </w:r>
          </w:p>
          <w:p w14:paraId="2C719215">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（5）未提供服务质量保证措施的，得0分。</w:t>
            </w:r>
          </w:p>
        </w:tc>
      </w:tr>
      <w:tr w14:paraId="32D50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9" w:hRule="atLeast"/>
          <w:jc w:val="center"/>
        </w:trPr>
        <w:tc>
          <w:tcPr>
            <w:tcW w:w="486" w:type="dxa"/>
            <w:vMerge w:val="continue"/>
            <w:tcBorders>
              <w:left w:val="single" w:color="000000" w:sz="4" w:space="0"/>
              <w:right w:val="single" w:color="000000" w:sz="4" w:space="0"/>
            </w:tcBorders>
            <w:vAlign w:val="center"/>
          </w:tcPr>
          <w:p w14:paraId="563672CF">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1334" w:type="dxa"/>
            <w:vMerge w:val="continue"/>
            <w:tcBorders>
              <w:left w:val="single" w:color="000000" w:sz="4" w:space="0"/>
              <w:right w:val="single" w:color="000000" w:sz="4" w:space="0"/>
            </w:tcBorders>
            <w:vAlign w:val="center"/>
          </w:tcPr>
          <w:p w14:paraId="2E97A814">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p>
        </w:tc>
        <w:tc>
          <w:tcPr>
            <w:tcW w:w="1935" w:type="dxa"/>
            <w:tcBorders>
              <w:top w:val="single" w:color="000000" w:sz="4" w:space="0"/>
              <w:left w:val="single" w:color="000000" w:sz="4" w:space="0"/>
              <w:right w:val="single" w:color="000000" w:sz="4" w:space="0"/>
            </w:tcBorders>
            <w:vAlign w:val="center"/>
          </w:tcPr>
          <w:p w14:paraId="3AD59CAD">
            <w:pPr>
              <w:spacing w:after="0" w:line="360" w:lineRule="auto"/>
              <w:jc w:val="cente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运行维护服务方案（满分20分）</w:t>
            </w:r>
          </w:p>
        </w:tc>
        <w:tc>
          <w:tcPr>
            <w:tcW w:w="5389" w:type="dxa"/>
            <w:tcBorders>
              <w:top w:val="single" w:color="000000" w:sz="4" w:space="0"/>
              <w:left w:val="single" w:color="000000" w:sz="4" w:space="0"/>
              <w:bottom w:val="single" w:color="000000" w:sz="4" w:space="0"/>
              <w:right w:val="single" w:color="000000" w:sz="4" w:space="0"/>
            </w:tcBorders>
            <w:vAlign w:val="center"/>
          </w:tcPr>
          <w:p w14:paraId="79BA4D21">
            <w:pPr>
              <w:numPr>
                <w:ilvl w:val="0"/>
                <w:numId w:val="3"/>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服务方案完整性：技术方案全面覆盖了预警系统巡检、维护、运行、测试等各个环节。（7分）</w:t>
            </w:r>
          </w:p>
          <w:p w14:paraId="2CB8F0BB">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服务方案完整清晰、架构完整详细、针对性强、合理可行，对实施内容及需求认识全面、清晰、精准、到位，能够很好地完全满足本项目需求</w:t>
            </w:r>
            <w:r>
              <w:rPr>
                <w:rFonts w:hint="eastAsia" w:ascii="仿宋" w:hAnsi="仿宋" w:eastAsia="仿宋" w:cs="仿宋"/>
                <w:color w:val="000000" w:themeColor="text1"/>
                <w:highlight w:val="none"/>
                <w:lang w:val="zh-CN"/>
                <w14:textFill>
                  <w14:solidFill>
                    <w14:schemeClr w14:val="tx1"/>
                  </w14:solidFill>
                </w14:textFill>
              </w:rPr>
              <w:t>的得</w:t>
            </w:r>
            <w:r>
              <w:rPr>
                <w:rFonts w:hint="eastAsia" w:ascii="仿宋" w:hAnsi="仿宋" w:eastAsia="仿宋" w:cs="仿宋"/>
                <w:color w:val="000000" w:themeColor="text1"/>
                <w:highlight w:val="none"/>
                <w:lang w:val="en-US" w:eastAsia="zh-CN"/>
                <w14:textFill>
                  <w14:solidFill>
                    <w14:schemeClr w14:val="tx1"/>
                  </w14:solidFill>
                </w14:textFill>
              </w:rPr>
              <w:t>7</w:t>
            </w:r>
            <w:r>
              <w:rPr>
                <w:rFonts w:hint="eastAsia" w:ascii="仿宋" w:hAnsi="仿宋" w:eastAsia="仿宋" w:cs="仿宋"/>
                <w:color w:val="000000" w:themeColor="text1"/>
                <w:highlight w:val="none"/>
                <w:lang w:val="zh-CN"/>
                <w14:textFill>
                  <w14:solidFill>
                    <w14:schemeClr w14:val="tx1"/>
                  </w14:solidFill>
                </w14:textFill>
              </w:rPr>
              <w:t>分；</w:t>
            </w:r>
          </w:p>
          <w:p w14:paraId="41D236A6">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（2）服务方案完整、架构完整、有一定针对性、合理可行，对实施内容及需求认识全面、到位，能满足项目需求的得5分；</w:t>
            </w:r>
          </w:p>
          <w:p w14:paraId="4217886B">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（3）服务方案完整、基本合理、基本可行，对实施内容及需求认识基本到位，基本满足本项目需求的得3分；</w:t>
            </w:r>
          </w:p>
          <w:p w14:paraId="5D7895A4">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（4）服务方案一般，对实施内容及需求认识一般， 勉强能满足本项目需求的的1分；</w:t>
            </w:r>
          </w:p>
          <w:p w14:paraId="0AD5C43D">
            <w:pPr>
              <w:numPr>
                <w:ilvl w:val="0"/>
                <w:numId w:val="3"/>
              </w:numPr>
              <w:spacing w:after="0" w:line="360" w:lineRule="auto"/>
              <w:jc w:val="both"/>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设备检修服务方案：有记录设备巡检数据，包括设备状态、异常情况、存在的问题等，并及时进行处理和分析。（7分）</w:t>
            </w:r>
          </w:p>
          <w:p w14:paraId="690B0DE7">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服务方案完整清晰、架构完整详细、针对性强、合理可行，对实施内容及需求认识全面、清晰、精准、到位，能够很好地完全满足本项目需求</w:t>
            </w:r>
            <w:r>
              <w:rPr>
                <w:rFonts w:hint="eastAsia" w:ascii="仿宋" w:hAnsi="仿宋" w:eastAsia="仿宋" w:cs="仿宋"/>
                <w:color w:val="000000" w:themeColor="text1"/>
                <w:highlight w:val="none"/>
                <w:lang w:val="zh-CN"/>
                <w14:textFill>
                  <w14:solidFill>
                    <w14:schemeClr w14:val="tx1"/>
                  </w14:solidFill>
                </w14:textFill>
              </w:rPr>
              <w:t>的得</w:t>
            </w:r>
            <w:r>
              <w:rPr>
                <w:rFonts w:hint="eastAsia" w:ascii="仿宋" w:hAnsi="仿宋" w:eastAsia="仿宋" w:cs="仿宋"/>
                <w:color w:val="000000" w:themeColor="text1"/>
                <w:highlight w:val="none"/>
                <w:lang w:val="en-US" w:eastAsia="zh-CN"/>
                <w14:textFill>
                  <w14:solidFill>
                    <w14:schemeClr w14:val="tx1"/>
                  </w14:solidFill>
                </w14:textFill>
              </w:rPr>
              <w:t>7</w:t>
            </w:r>
            <w:r>
              <w:rPr>
                <w:rFonts w:hint="eastAsia" w:ascii="仿宋" w:hAnsi="仿宋" w:eastAsia="仿宋" w:cs="仿宋"/>
                <w:color w:val="000000" w:themeColor="text1"/>
                <w:highlight w:val="none"/>
                <w:lang w:val="zh-CN"/>
                <w14:textFill>
                  <w14:solidFill>
                    <w14:schemeClr w14:val="tx1"/>
                  </w14:solidFill>
                </w14:textFill>
              </w:rPr>
              <w:t>分；</w:t>
            </w:r>
          </w:p>
          <w:p w14:paraId="1D994D84">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（2）服务方案完整、架构完整、有一定针对性、合理可行，对实施内容及需求认识全面、到位，能满足项目需求的得5分；</w:t>
            </w:r>
          </w:p>
          <w:p w14:paraId="0285B04D">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（3）服务方案完整、基本合理、基本可行，对实施内容及需求认识基本到位，基本满足本项目需求的得3分；</w:t>
            </w:r>
          </w:p>
          <w:p w14:paraId="1D11970B">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（4）服务方案一般，对实施内容及需求认识一般， 勉强能满足本项目需求的的1分；</w:t>
            </w:r>
          </w:p>
          <w:p w14:paraId="413E8367">
            <w:pPr>
              <w:keepNext w:val="0"/>
              <w:keepLines w:val="0"/>
              <w:widowControl/>
              <w:suppressLineNumbers w:val="0"/>
              <w:jc w:val="left"/>
              <w:rPr>
                <w:rFonts w:hint="eastAsia"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14:textFill>
                  <w14:solidFill>
                    <w14:schemeClr w14:val="tx1"/>
                  </w14:solidFill>
                </w14:textFill>
              </w:rPr>
              <w:t>3、设备日常维护方案：有设备检修、更换设备易损件、保养、设备清洁、紧固等保养计划，确保设备的正常运行或延长设备寿命。（6分）</w:t>
            </w:r>
          </w:p>
          <w:p w14:paraId="558FC84E">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kern w:val="0"/>
                <w:sz w:val="24"/>
                <w:szCs w:val="24"/>
                <w:highlight w:val="none"/>
                <w:lang w:val="en-US" w:eastAsia="zh-CN"/>
                <w14:textFill>
                  <w14:solidFill>
                    <w14:schemeClr w14:val="tx1"/>
                  </w14:solidFill>
                </w14:textFill>
              </w:rPr>
              <w:t>（1）维护方案</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完整清晰、架构完整详细、针对性强、合理可行，对实施内容及需求认识全面、清晰、精准、到位，能够很好地完全满足本项目需求</w:t>
            </w:r>
            <w:r>
              <w:rPr>
                <w:rFonts w:hint="eastAsia" w:ascii="仿宋" w:hAnsi="仿宋" w:eastAsia="仿宋" w:cs="仿宋"/>
                <w:color w:val="000000" w:themeColor="text1"/>
                <w:highlight w:val="none"/>
                <w:lang w:val="zh-CN"/>
                <w14:textFill>
                  <w14:solidFill>
                    <w14:schemeClr w14:val="tx1"/>
                  </w14:solidFill>
                </w14:textFill>
              </w:rPr>
              <w:t>的得</w:t>
            </w:r>
            <w:r>
              <w:rPr>
                <w:rFonts w:hint="eastAsia" w:ascii="仿宋" w:hAnsi="仿宋" w:eastAsia="仿宋" w:cs="仿宋"/>
                <w:color w:val="000000" w:themeColor="text1"/>
                <w:highlight w:val="none"/>
                <w:lang w:val="en-US" w:eastAsia="zh-CN"/>
                <w14:textFill>
                  <w14:solidFill>
                    <w14:schemeClr w14:val="tx1"/>
                  </w14:solidFill>
                </w14:textFill>
              </w:rPr>
              <w:t>6</w:t>
            </w:r>
            <w:r>
              <w:rPr>
                <w:rFonts w:hint="eastAsia" w:ascii="仿宋" w:hAnsi="仿宋" w:eastAsia="仿宋" w:cs="仿宋"/>
                <w:color w:val="000000" w:themeColor="text1"/>
                <w:highlight w:val="none"/>
                <w:lang w:val="zh-CN"/>
                <w14:textFill>
                  <w14:solidFill>
                    <w14:schemeClr w14:val="tx1"/>
                  </w14:solidFill>
                </w14:textFill>
              </w:rPr>
              <w:t>分；</w:t>
            </w:r>
          </w:p>
          <w:p w14:paraId="60C8AE90">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（2）维护方案完整、架构完整、有一定针对性、合理可行，对实施内容及需求认识全面、到位，能满足项目需求的得5分；</w:t>
            </w:r>
          </w:p>
          <w:p w14:paraId="37326F33">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（3）维护方案完整、基本合理、基本可行，对实施内容及需求认识基本到位，基本满足本项目需求的得3分；</w:t>
            </w:r>
          </w:p>
          <w:p w14:paraId="4EACDF77">
            <w:pPr>
              <w:numPr>
                <w:ilvl w:val="0"/>
                <w:numId w:val="0"/>
              </w:numPr>
              <w:spacing w:after="0" w:line="360" w:lineRule="auto"/>
              <w:jc w:val="both"/>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（4）维护方案一般，对实施内容及需求认识一般， 勉强能满足本项目需求的的1分；</w:t>
            </w:r>
          </w:p>
        </w:tc>
      </w:tr>
      <w:tr w14:paraId="271DD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0" w:hRule="atLeast"/>
          <w:jc w:val="center"/>
        </w:trPr>
        <w:tc>
          <w:tcPr>
            <w:tcW w:w="486" w:type="dxa"/>
            <w:tcBorders>
              <w:left w:val="single" w:color="000000" w:sz="4" w:space="0"/>
              <w:right w:val="single" w:color="000000" w:sz="4" w:space="0"/>
            </w:tcBorders>
            <w:vAlign w:val="center"/>
          </w:tcPr>
          <w:p w14:paraId="7BB84260">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color w:val="000000" w:themeColor="text1"/>
                <w:kern w:val="0"/>
                <w:sz w:val="24"/>
                <w:szCs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六</w:t>
            </w:r>
          </w:p>
        </w:tc>
        <w:tc>
          <w:tcPr>
            <w:tcW w:w="1334" w:type="dxa"/>
            <w:tcBorders>
              <w:left w:val="single" w:color="000000" w:sz="4" w:space="0"/>
              <w:right w:val="single" w:color="auto" w:sz="4" w:space="0"/>
            </w:tcBorders>
            <w:vAlign w:val="center"/>
          </w:tcPr>
          <w:p w14:paraId="2E1D1B8B">
            <w:pPr>
              <w:keepNext w:val="0"/>
              <w:keepLines w:val="0"/>
              <w:pageBreakBefore w:val="0"/>
              <w:widowControl/>
              <w:kinsoku/>
              <w:wordWrap/>
              <w:overflowPunct/>
              <w:topLinePunct w:val="0"/>
              <w:autoSpaceDE/>
              <w:autoSpaceDN/>
              <w:bidi w:val="0"/>
              <w:spacing w:line="560" w:lineRule="exact"/>
              <w:jc w:val="left"/>
              <w:textAlignment w:val="auto"/>
              <w:rPr>
                <w:rFonts w:hint="eastAsia" w:ascii="仿宋" w:hAnsi="仿宋" w:eastAsia="仿宋" w:cs="仿宋"/>
                <w:b w:val="0"/>
                <w:bCs/>
                <w:color w:val="000000" w:themeColor="text1"/>
                <w:kern w:val="0"/>
                <w:sz w:val="24"/>
                <w:szCs w:val="24"/>
                <w:highlight w:val="none"/>
                <w14:textFill>
                  <w14:solidFill>
                    <w14:schemeClr w14:val="tx1"/>
                  </w14:solidFill>
                </w14:textFill>
              </w:rPr>
            </w:pPr>
            <w:r>
              <w:rPr>
                <w:rFonts w:hint="eastAsia" w:ascii="仿宋" w:hAnsi="仿宋" w:eastAsia="仿宋" w:cs="仿宋"/>
                <w:b w:val="0"/>
                <w:bCs/>
                <w:color w:val="000000" w:themeColor="text1"/>
                <w:kern w:val="0"/>
                <w:sz w:val="24"/>
                <w:szCs w:val="24"/>
                <w:highlight w:val="none"/>
                <w14:textFill>
                  <w14:solidFill>
                    <w14:schemeClr w14:val="tx1"/>
                  </w14:solidFill>
                </w14:textFill>
              </w:rPr>
              <w:t>定标说明</w:t>
            </w:r>
          </w:p>
        </w:tc>
        <w:tc>
          <w:tcPr>
            <w:tcW w:w="7324" w:type="dxa"/>
            <w:gridSpan w:val="2"/>
            <w:tcBorders>
              <w:top w:val="single" w:color="000000" w:sz="4" w:space="0"/>
              <w:left w:val="single" w:color="auto" w:sz="4" w:space="0"/>
              <w:bottom w:val="single" w:color="000000" w:sz="4" w:space="0"/>
              <w:right w:val="single" w:color="000000" w:sz="4" w:space="0"/>
            </w:tcBorders>
            <w:vAlign w:val="center"/>
          </w:tcPr>
          <w:p w14:paraId="72BCACD3">
            <w:pPr>
              <w:keepNext w:val="0"/>
              <w:keepLines w:val="0"/>
              <w:pageBreakBefore w:val="0"/>
              <w:widowControl/>
              <w:kinsoku/>
              <w:wordWrap/>
              <w:overflowPunct/>
              <w:topLinePunct w:val="0"/>
              <w:autoSpaceDE/>
              <w:autoSpaceDN/>
              <w:bidi w:val="0"/>
              <w:adjustRightInd w:val="0"/>
              <w:spacing w:line="560" w:lineRule="exact"/>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1、经磋商小组经过评审通过初审的供应商，由磋商小组采用综合评分法对供应商的磋商响应文件和</w:t>
            </w:r>
            <w:r>
              <w:rPr>
                <w:rFonts w:hint="eastAsia" w:ascii="仿宋" w:hAnsi="仿宋" w:eastAsia="仿宋" w:cs="仿宋"/>
                <w:color w:val="000000" w:themeColor="text1"/>
                <w:sz w:val="24"/>
                <w:szCs w:val="24"/>
                <w:highlight w:val="none"/>
                <w:lang w:eastAsia="zh-CN"/>
                <w14:textFill>
                  <w14:solidFill>
                    <w14:schemeClr w14:val="tx1"/>
                  </w14:solidFill>
                </w14:textFill>
              </w:rPr>
              <w:t>最终</w:t>
            </w:r>
            <w:r>
              <w:rPr>
                <w:rFonts w:hint="eastAsia" w:ascii="仿宋" w:hAnsi="仿宋" w:eastAsia="仿宋" w:cs="仿宋"/>
                <w:color w:val="000000" w:themeColor="text1"/>
                <w:sz w:val="24"/>
                <w:szCs w:val="24"/>
                <w:highlight w:val="none"/>
                <w14:textFill>
                  <w14:solidFill>
                    <w14:schemeClr w14:val="tx1"/>
                  </w14:solidFill>
                </w14:textFill>
              </w:rPr>
              <w:t>报价进行综合评分。</w:t>
            </w:r>
          </w:p>
          <w:p w14:paraId="01E6D4B6">
            <w:pPr>
              <w:keepNext w:val="0"/>
              <w:keepLines w:val="0"/>
              <w:pageBreakBefore w:val="0"/>
              <w:kinsoku/>
              <w:wordWrap/>
              <w:overflowPunct/>
              <w:topLinePunct w:val="0"/>
              <w:autoSpaceDE/>
              <w:autoSpaceDN/>
              <w:bidi w:val="0"/>
              <w:adjustRightInd w:val="0"/>
              <w:spacing w:line="560" w:lineRule="exact"/>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2、磋商小组按磋商响应文件满足磋商文件全部实质性要求按综合评分得分由高到低的顺序推荐成交供应商候选人。如出现供应商综合评分得分相同的，按供应商的</w:t>
            </w:r>
            <w:r>
              <w:rPr>
                <w:rFonts w:hint="eastAsia" w:ascii="仿宋" w:hAnsi="仿宋" w:eastAsia="仿宋" w:cs="仿宋"/>
                <w:color w:val="000000" w:themeColor="text1"/>
                <w:sz w:val="24"/>
                <w:szCs w:val="24"/>
                <w:highlight w:val="none"/>
                <w:lang w:eastAsia="zh-CN"/>
                <w14:textFill>
                  <w14:solidFill>
                    <w14:schemeClr w14:val="tx1"/>
                  </w14:solidFill>
                </w14:textFill>
              </w:rPr>
              <w:t>最低</w:t>
            </w:r>
            <w:r>
              <w:rPr>
                <w:rFonts w:hint="eastAsia" w:ascii="仿宋" w:hAnsi="仿宋" w:eastAsia="仿宋" w:cs="仿宋"/>
                <w:color w:val="000000" w:themeColor="text1"/>
                <w:sz w:val="24"/>
                <w:szCs w:val="24"/>
                <w:highlight w:val="none"/>
                <w14:textFill>
                  <w14:solidFill>
                    <w14:schemeClr w14:val="tx1"/>
                  </w14:solidFill>
                </w14:textFill>
              </w:rPr>
              <w:t>投标报价由低到高顺序推荐成交供应商候选人，如出现供应商的最</w:t>
            </w:r>
            <w:r>
              <w:rPr>
                <w:rFonts w:hint="eastAsia" w:ascii="仿宋" w:hAnsi="仿宋" w:eastAsia="仿宋" w:cs="仿宋"/>
                <w:color w:val="000000" w:themeColor="text1"/>
                <w:sz w:val="24"/>
                <w:szCs w:val="24"/>
                <w:highlight w:val="none"/>
                <w:lang w:val="en-US" w:eastAsia="zh-CN"/>
                <w14:textFill>
                  <w14:solidFill>
                    <w14:schemeClr w14:val="tx1"/>
                  </w14:solidFill>
                </w14:textFill>
              </w:rPr>
              <w:t>低</w:t>
            </w:r>
            <w:r>
              <w:rPr>
                <w:rFonts w:hint="eastAsia" w:ascii="仿宋" w:hAnsi="仿宋" w:eastAsia="仿宋" w:cs="仿宋"/>
                <w:color w:val="000000" w:themeColor="text1"/>
                <w:sz w:val="24"/>
                <w:szCs w:val="24"/>
                <w:highlight w:val="none"/>
                <w14:textFill>
                  <w14:solidFill>
                    <w14:schemeClr w14:val="tx1"/>
                  </w14:solidFill>
                </w14:textFill>
              </w:rPr>
              <w:t>投标报价相同的，按技术部分得分由高到低顺序推荐成交供应商候选人。</w:t>
            </w:r>
          </w:p>
        </w:tc>
      </w:tr>
    </w:tbl>
    <w:p w14:paraId="3176F40A">
      <w:pPr>
        <w:pStyle w:val="3"/>
        <w:spacing w:before="120" w:beforeLines="50" w:after="120" w:afterLines="50" w:line="360" w:lineRule="auto"/>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r>
      <w:bookmarkEnd w:id="99"/>
      <w:bookmarkStart w:id="102" w:name="_Toc24212"/>
    </w:p>
    <w:bookmarkEnd w:id="100"/>
    <w:bookmarkEnd w:id="101"/>
    <w:bookmarkEnd w:id="102"/>
    <w:p w14:paraId="1A921BAA">
      <w:pPr>
        <w:pStyle w:val="2"/>
        <w:keepNext/>
        <w:keepLines/>
        <w:pageBreakBefore w:val="0"/>
        <w:widowControl w:val="0"/>
        <w:kinsoku/>
        <w:wordWrap/>
        <w:overflowPunct/>
        <w:topLinePunct w:val="0"/>
        <w:autoSpaceDE/>
        <w:autoSpaceDN/>
        <w:bidi w:val="0"/>
        <w:adjustRightInd/>
        <w:snapToGrid/>
        <w:spacing w:line="560" w:lineRule="exact"/>
        <w:ind w:firstLine="562" w:firstLineChars="200"/>
        <w:jc w:val="both"/>
        <w:textAlignment w:val="auto"/>
        <w:outlineLvl w:val="0"/>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bookmarkStart w:id="103" w:name="_Toc86124094"/>
      <w:bookmarkStart w:id="104" w:name="_Toc9143"/>
      <w:bookmarkStart w:id="105" w:name="_Toc379789648"/>
      <w:bookmarkStart w:id="106" w:name="_Toc8540"/>
      <w:bookmarkStart w:id="107" w:name="_Toc337822266"/>
      <w:bookmarkStart w:id="108" w:name="_Toc422271228"/>
      <w:bookmarkStart w:id="109" w:name="_Toc1692"/>
      <w:bookmarkStart w:id="110" w:name="_Toc457310273"/>
      <w:bookmarkStart w:id="111" w:name="_Toc28736"/>
      <w:bookmarkStart w:id="112" w:name="_Toc457317847"/>
      <w:bookmarkStart w:id="113" w:name="_Toc517963435"/>
      <w:bookmarkStart w:id="114" w:name="_Toc19424"/>
      <w:bookmarkStart w:id="115" w:name="_Toc4110"/>
      <w:bookmarkStart w:id="116" w:name="_Toc16919"/>
      <w:bookmarkStart w:id="117" w:name="_Toc530733567"/>
      <w:r>
        <w:rPr>
          <w:rFonts w:hint="eastAsia" w:ascii="仿宋" w:hAnsi="仿宋" w:eastAsia="仿宋" w:cs="仿宋"/>
          <w:b/>
          <w:bCs/>
          <w:color w:val="000000" w:themeColor="text1"/>
          <w:sz w:val="28"/>
          <w:szCs w:val="28"/>
          <w:highlight w:val="none"/>
          <w:lang w:val="en-US" w:eastAsia="zh-CN"/>
          <w14:textFill>
            <w14:solidFill>
              <w14:schemeClr w14:val="tx1"/>
            </w14:solidFill>
          </w14:textFill>
        </w:rPr>
        <w:t xml:space="preserve">1. </w:t>
      </w:r>
      <w:bookmarkEnd w:id="103"/>
      <w:r>
        <w:rPr>
          <w:rFonts w:hint="eastAsia" w:ascii="仿宋" w:hAnsi="仿宋" w:eastAsia="仿宋" w:cs="仿宋"/>
          <w:b/>
          <w:bCs/>
          <w:color w:val="000000" w:themeColor="text1"/>
          <w:sz w:val="28"/>
          <w:szCs w:val="28"/>
          <w:highlight w:val="none"/>
          <w:lang w:val="en-US" w:eastAsia="zh-CN"/>
          <w14:textFill>
            <w14:solidFill>
              <w14:schemeClr w14:val="tx1"/>
            </w14:solidFill>
          </w14:textFill>
        </w:rPr>
        <w:t>评审方法</w:t>
      </w:r>
      <w:bookmarkEnd w:id="104"/>
      <w:bookmarkEnd w:id="105"/>
      <w:bookmarkEnd w:id="106"/>
      <w:bookmarkEnd w:id="107"/>
      <w:bookmarkEnd w:id="108"/>
      <w:bookmarkEnd w:id="109"/>
      <w:bookmarkEnd w:id="110"/>
      <w:bookmarkEnd w:id="111"/>
      <w:bookmarkEnd w:id="112"/>
    </w:p>
    <w:p w14:paraId="5167309E">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磋商小组根据磋商文件的规定及要求对供应商的磋商响应文件，进行</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资格性和符合性</w:t>
      </w:r>
      <w:r>
        <w:rPr>
          <w:rFonts w:hint="eastAsia" w:ascii="仿宋" w:hAnsi="仿宋" w:eastAsia="仿宋" w:cs="仿宋"/>
          <w:b w:val="0"/>
          <w:bCs w:val="0"/>
          <w:color w:val="000000" w:themeColor="text1"/>
          <w:sz w:val="24"/>
          <w:szCs w:val="24"/>
          <w:highlight w:val="none"/>
          <w14:textFill>
            <w14:solidFill>
              <w14:schemeClr w14:val="tx1"/>
            </w14:solidFill>
          </w14:textFill>
        </w:rPr>
        <w:t>评审，在全部满足磋商文件</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资格性和符合性</w:t>
      </w:r>
      <w:r>
        <w:rPr>
          <w:rFonts w:hint="eastAsia" w:ascii="仿宋" w:hAnsi="仿宋" w:eastAsia="仿宋" w:cs="仿宋"/>
          <w:b w:val="0"/>
          <w:bCs w:val="0"/>
          <w:color w:val="000000" w:themeColor="text1"/>
          <w:sz w:val="24"/>
          <w:szCs w:val="24"/>
          <w:highlight w:val="none"/>
          <w14:textFill>
            <w14:solidFill>
              <w14:schemeClr w14:val="tx1"/>
            </w14:solidFill>
          </w14:textFill>
        </w:rPr>
        <w:t>评审要求，质量和服务后，</w:t>
      </w:r>
      <w:bookmarkStart w:id="118" w:name="_Toc379789649"/>
      <w:r>
        <w:rPr>
          <w:rFonts w:hint="eastAsia" w:ascii="仿宋" w:hAnsi="仿宋" w:eastAsia="仿宋" w:cs="仿宋"/>
          <w:b w:val="0"/>
          <w:bCs w:val="0"/>
          <w:color w:val="000000" w:themeColor="text1"/>
          <w:sz w:val="24"/>
          <w:szCs w:val="24"/>
          <w:highlight w:val="none"/>
          <w14:textFill>
            <w14:solidFill>
              <w14:schemeClr w14:val="tx1"/>
            </w14:solidFill>
          </w14:textFill>
        </w:rPr>
        <w:t>由磋商小组采用综合评分法对各供应商的磋商响应文件进行综合评分。</w:t>
      </w:r>
    </w:p>
    <w:p w14:paraId="125B7EA9">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综合评分法，是指磋商响应文件满足磋商文件全部实质性要求且按评审因素的量化指标评审得分最高的供应商为成交候选供应商的评审方法。</w:t>
      </w:r>
    </w:p>
    <w:p w14:paraId="00E1E342">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bookmarkStart w:id="119" w:name="_Toc457317848"/>
      <w:bookmarkStart w:id="120" w:name="_Toc689"/>
      <w:bookmarkStart w:id="121" w:name="_Toc13905"/>
      <w:bookmarkStart w:id="122" w:name="_Toc2457"/>
      <w:bookmarkStart w:id="123" w:name="_Toc457310274"/>
      <w:bookmarkStart w:id="124" w:name="_Toc422271229"/>
      <w:bookmarkStart w:id="125" w:name="_Toc8671"/>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2. 初步评审标准</w:t>
      </w:r>
      <w:bookmarkEnd w:id="118"/>
      <w:bookmarkEnd w:id="119"/>
      <w:bookmarkEnd w:id="120"/>
      <w:bookmarkEnd w:id="121"/>
      <w:bookmarkEnd w:id="122"/>
      <w:bookmarkEnd w:id="123"/>
      <w:bookmarkEnd w:id="124"/>
      <w:bookmarkEnd w:id="125"/>
    </w:p>
    <w:p w14:paraId="29B3875B">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2.1 资格评审标准：依据法律法规和磋商文件的规定，对磋商响应文件中的资格证明等进行审查，以确定供应商是否具备磋商资格；见“评审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办法</w:t>
      </w:r>
      <w:r>
        <w:rPr>
          <w:rFonts w:hint="eastAsia" w:ascii="仿宋" w:hAnsi="仿宋" w:eastAsia="仿宋" w:cs="仿宋"/>
          <w:b w:val="0"/>
          <w:bCs w:val="0"/>
          <w:color w:val="000000" w:themeColor="text1"/>
          <w:sz w:val="24"/>
          <w:szCs w:val="24"/>
          <w:highlight w:val="none"/>
          <w14:textFill>
            <w14:solidFill>
              <w14:schemeClr w14:val="tx1"/>
            </w14:solidFill>
          </w14:textFill>
        </w:rPr>
        <w:t>前附表”。</w:t>
      </w:r>
    </w:p>
    <w:p w14:paraId="0BCD956F">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2.2 符合性评审标准：依据磋商文件的规定对磋商响应文件进行审查，以确定是否对磋商文件的实质性要求做出响应；见“评审办法前附表”。</w:t>
      </w:r>
      <w:bookmarkStart w:id="126" w:name="_Toc426031644"/>
    </w:p>
    <w:p w14:paraId="43EFD8B6">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bookmarkStart w:id="127" w:name="_Toc457317849"/>
      <w:bookmarkStart w:id="128" w:name="_Toc6848"/>
      <w:bookmarkStart w:id="129" w:name="_Toc17189"/>
      <w:bookmarkStart w:id="130" w:name="_Toc457310275"/>
      <w:bookmarkStart w:id="131" w:name="_Toc23394"/>
      <w:bookmarkStart w:id="132" w:name="_Toc11991"/>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3.综合评分标准</w:t>
      </w:r>
      <w:bookmarkEnd w:id="127"/>
      <w:bookmarkEnd w:id="128"/>
      <w:bookmarkEnd w:id="129"/>
      <w:bookmarkEnd w:id="130"/>
      <w:bookmarkEnd w:id="131"/>
      <w:bookmarkEnd w:id="132"/>
    </w:p>
    <w:p w14:paraId="5782288F">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14:textFill>
            <w14:solidFill>
              <w14:schemeClr w14:val="tx1"/>
            </w14:solidFill>
          </w14:textFill>
        </w:rPr>
        <w:t>见“评审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办法</w:t>
      </w:r>
      <w:r>
        <w:rPr>
          <w:rFonts w:hint="eastAsia" w:ascii="仿宋" w:hAnsi="仿宋" w:eastAsia="仿宋" w:cs="仿宋"/>
          <w:b w:val="0"/>
          <w:bCs w:val="0"/>
          <w:color w:val="000000" w:themeColor="text1"/>
          <w:sz w:val="24"/>
          <w:szCs w:val="24"/>
          <w:highlight w:val="none"/>
          <w14:textFill>
            <w14:solidFill>
              <w14:schemeClr w14:val="tx1"/>
            </w14:solidFill>
          </w14:textFill>
        </w:rPr>
        <w:t>前附表”。</w:t>
      </w:r>
    </w:p>
    <w:bookmarkEnd w:id="126"/>
    <w:p w14:paraId="654E806B">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 评审程序</w:t>
      </w:r>
    </w:p>
    <w:p w14:paraId="753DEC91">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4.1 初步评审</w:t>
      </w:r>
    </w:p>
    <w:p w14:paraId="5CD05D38">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4.1.1磋商小组依据本章第一项、第二项规定的标准对磋商响应文件进行初步评审。有一项不符合评审标准的，不再参与磋商。</w:t>
      </w:r>
    </w:p>
    <w:p w14:paraId="26C32F30">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4.1.2供应商有以下情形之一的，取消其磋商资格：</w:t>
      </w:r>
    </w:p>
    <w:p w14:paraId="7CC14F58">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（1）串通报价或弄虚作假或有其他违法行为的；</w:t>
      </w:r>
    </w:p>
    <w:p w14:paraId="553CE0F5">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（2）不按磋商小组要求澄清、说明或补正的。</w:t>
      </w:r>
    </w:p>
    <w:p w14:paraId="1E28D18D">
      <w:pPr>
        <w:pStyle w:val="2"/>
        <w:keepNext w:val="0"/>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4.1.3 磋商响应文件如果出现计算或表达上的错误，修正错误的原则如下：</w:t>
      </w:r>
    </w:p>
    <w:p w14:paraId="1A94C88C">
      <w:pPr>
        <w:pStyle w:val="2"/>
        <w:keepNext w:val="0"/>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（1）报价的大写金额和小写金额不一致的，以大写金额为准；</w:t>
      </w:r>
    </w:p>
    <w:p w14:paraId="1167C362">
      <w:pPr>
        <w:pStyle w:val="2"/>
        <w:keepNext w:val="0"/>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（2）总价金额与按单价汇总金额不一致的，以单价金额计算结果为准；</w:t>
      </w:r>
    </w:p>
    <w:p w14:paraId="3B7C4B18">
      <w:pPr>
        <w:pStyle w:val="2"/>
        <w:keepNext w:val="0"/>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（3）单价金额小数点有明显错位的，应以总价为准，并修改单价；</w:t>
      </w:r>
    </w:p>
    <w:p w14:paraId="6B47A73F">
      <w:pPr>
        <w:pStyle w:val="2"/>
        <w:keepNext w:val="0"/>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（4）对不同文字文本磋商响应文件的解释发生异议的，以中文文本为准。</w:t>
      </w:r>
    </w:p>
    <w:p w14:paraId="2A494DE2">
      <w:pPr>
        <w:pStyle w:val="2"/>
        <w:keepNext w:val="0"/>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（5）按上述修正错误的原则及方法调整或修正磋商响应文件的报价，供应商同意后，调整后的报价对供应商起约束作用。如果供应商不接受修正后的报价，则其申请将被拒绝并且其保证金也将被没收。</w:t>
      </w:r>
    </w:p>
    <w:p w14:paraId="03AD7355">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4.2 磋商、比较与评价</w:t>
      </w:r>
    </w:p>
    <w:p w14:paraId="61A7ADDE">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4.2.1磋商小组所有成员集中与通过初审的单一供应商分别进行磋商。在磋商中，磋商的任何一方不得透露与磋商有关的其他供应商的技术资料、价格、折扣和其他信息。</w:t>
      </w:r>
    </w:p>
    <w:p w14:paraId="7A900F27">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4.2.2磋商文件有实质性变动的，磋商小组将以书面形式通知所有参加磋商的供应商。但不得对涉及竞争的公平、公正性内容进行修改、变动。</w:t>
      </w:r>
    </w:p>
    <w:p w14:paraId="73DEB1E7">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4.2.3为有助于对磋商响应文件的详细审查、评价和比较，磋商小组可要求对供应商分别进行技术询问、澄清，有关要求和答复均现场进行。</w:t>
      </w:r>
    </w:p>
    <w:p w14:paraId="04794EBC">
      <w:pPr>
        <w:pStyle w:val="2"/>
        <w:keepNext/>
        <w:keepLines/>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4.2.4磋商小组在对磋商响应文件的有效性、完整性和响应程度进行审查时，可以要求供应商对磋商响应文件中含义不明确、同类问题表述不一致或者有明显文字和计算错误的内容等作出必要的澄清、说明或者更正。供应商的澄清、说明或者更正不得超出磋商响应文件的范围或者改变磋商响应文件的实质性内容。磋商小组不接受供应商主动提出的澄清、说明或补正。</w:t>
      </w:r>
    </w:p>
    <w:p w14:paraId="4513E16D">
      <w:pPr>
        <w:pStyle w:val="2"/>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4.2.5供应商的书面澄清、说明和补正属于磋商响应文件的组成部分。</w:t>
      </w:r>
    </w:p>
    <w:p w14:paraId="1D733D29">
      <w:pPr>
        <w:pStyle w:val="2"/>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4.2.6磋商小组对供应商提交的澄清、说明或补正有疑问的，可以要求供应商进一步澄清、说明或补正，直至满足磋商小组的要求。</w:t>
      </w:r>
    </w:p>
    <w:p w14:paraId="66AFD0D8">
      <w:pPr>
        <w:pStyle w:val="2"/>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4.3 评审结果</w:t>
      </w:r>
    </w:p>
    <w:p w14:paraId="49BB0C97">
      <w:pPr>
        <w:pStyle w:val="2"/>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outlineLvl w:val="0"/>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磋商小组按磋商响应文件满足磋商文件全部实质性要求按综合评分得分由高到低的顺序推荐成交供应商候选人。如出现供应商综合评分得分相同的，按供应商的最低投标报价由低到高顺序推荐成交供应商候选人，如出现供应商的最低投标报价相同的，按技术部分得分由高到低顺序推荐成交供应商候选人，并编写评审报告。</w:t>
      </w:r>
    </w:p>
    <w:p w14:paraId="3929EBFD">
      <w:pPr>
        <w:pStyle w:val="2"/>
        <w:spacing w:line="360" w:lineRule="auto"/>
        <w:jc w:val="both"/>
        <w:outlineLvl w:val="0"/>
        <w:rPr>
          <w:rFonts w:hint="eastAsia" w:ascii="仿宋" w:hAnsi="仿宋" w:eastAsia="仿宋" w:cs="仿宋"/>
          <w:b/>
          <w:bCs/>
          <w:color w:val="000000" w:themeColor="text1"/>
          <w:sz w:val="30"/>
          <w:szCs w:val="30"/>
          <w:highlight w:val="none"/>
          <w14:textFill>
            <w14:solidFill>
              <w14:schemeClr w14:val="tx1"/>
            </w14:solidFill>
          </w14:textFill>
        </w:rPr>
      </w:pPr>
    </w:p>
    <w:p w14:paraId="5892D434">
      <w:pPr>
        <w:rPr>
          <w:rFonts w:hint="eastAsia" w:ascii="仿宋" w:hAnsi="仿宋" w:eastAsia="仿宋" w:cs="仿宋"/>
          <w:b/>
          <w:bCs/>
          <w:color w:val="000000" w:themeColor="text1"/>
          <w:sz w:val="30"/>
          <w:szCs w:val="30"/>
          <w:highlight w:val="none"/>
          <w14:textFill>
            <w14:solidFill>
              <w14:schemeClr w14:val="tx1"/>
            </w14:solidFill>
          </w14:textFill>
        </w:rPr>
      </w:pPr>
    </w:p>
    <w:p w14:paraId="5D6FAA8A">
      <w:pPr>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br w:type="page"/>
      </w:r>
    </w:p>
    <w:p w14:paraId="608AB291">
      <w:pPr>
        <w:pStyle w:val="2"/>
        <w:spacing w:line="360" w:lineRule="auto"/>
        <w:jc w:val="center"/>
        <w:outlineLvl w:val="0"/>
        <w:rPr>
          <w:rFonts w:hint="eastAsia" w:ascii="仿宋" w:hAnsi="仿宋" w:eastAsia="仿宋" w:cs="仿宋"/>
          <w:b/>
          <w:bCs/>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第四章  合同条款及格式</w:t>
      </w:r>
      <w:bookmarkEnd w:id="113"/>
      <w:bookmarkEnd w:id="114"/>
      <w:bookmarkEnd w:id="115"/>
      <w:bookmarkEnd w:id="116"/>
      <w:bookmarkEnd w:id="117"/>
    </w:p>
    <w:p w14:paraId="44AEEDC1">
      <w:pPr>
        <w:spacing w:after="240"/>
        <w:rPr>
          <w:rFonts w:hint="eastAsia" w:ascii="仿宋" w:hAnsi="仿宋" w:eastAsia="仿宋" w:cs="仿宋"/>
          <w:color w:val="000000" w:themeColor="text1"/>
          <w:highlight w:val="none"/>
          <w14:textFill>
            <w14:solidFill>
              <w14:schemeClr w14:val="tx1"/>
            </w14:solidFill>
          </w14:textFill>
        </w:rPr>
      </w:pPr>
    </w:p>
    <w:p w14:paraId="49DD5895">
      <w:pPr>
        <w:spacing w:after="24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注：以下合同格式仅供招标阶段参考，具体合同条款及内容待双方签订合同时商榷。</w:t>
      </w:r>
    </w:p>
    <w:p w14:paraId="6BF5B881">
      <w:pPr>
        <w:spacing w:after="24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合同编号：              合同自编号：           招标编号：</w:t>
      </w:r>
    </w:p>
    <w:p w14:paraId="4ECF31DD">
      <w:pPr>
        <w:spacing w:after="24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●本合同须加盖甲乙双方骑缝章有效</w:t>
      </w:r>
    </w:p>
    <w:p w14:paraId="04026E08">
      <w:pPr>
        <w:spacing w:line="360" w:lineRule="auto"/>
        <w:ind w:firstLine="690" w:firstLineChars="177"/>
        <w:jc w:val="center"/>
        <w:rPr>
          <w:rFonts w:hint="eastAsia" w:ascii="仿宋" w:hAnsi="仿宋" w:eastAsia="仿宋" w:cs="仿宋"/>
          <w:color w:val="000000" w:themeColor="text1"/>
          <w:sz w:val="39"/>
          <w:szCs w:val="39"/>
          <w:highlight w:val="none"/>
          <w14:textFill>
            <w14:solidFill>
              <w14:schemeClr w14:val="tx1"/>
            </w14:solidFill>
          </w14:textFill>
        </w:rPr>
      </w:pPr>
    </w:p>
    <w:p w14:paraId="71BDD3B3">
      <w:pPr>
        <w:spacing w:line="360" w:lineRule="auto"/>
        <w:ind w:firstLine="690" w:firstLineChars="177"/>
        <w:jc w:val="center"/>
        <w:rPr>
          <w:rFonts w:hint="eastAsia"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39"/>
          <w:szCs w:val="39"/>
          <w:highlight w:val="none"/>
          <w14:textFill>
            <w14:solidFill>
              <w14:schemeClr w14:val="tx1"/>
            </w14:solidFill>
          </w14:textFill>
        </w:rPr>
        <w:t>云南省政府采购</w:t>
      </w:r>
    </w:p>
    <w:p w14:paraId="56C594BC">
      <w:pPr>
        <w:spacing w:after="240"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33"/>
          <w:szCs w:val="33"/>
          <w:highlight w:val="none"/>
          <w14:textFill>
            <w14:solidFill>
              <w14:schemeClr w14:val="tx1"/>
            </w14:solidFill>
          </w14:textFill>
        </w:rPr>
        <w:t>（委托采购）</w:t>
      </w:r>
      <w:r>
        <w:rPr>
          <w:rFonts w:hint="eastAsia" w:ascii="仿宋" w:hAnsi="仿宋" w:eastAsia="仿宋" w:cs="仿宋"/>
          <w:color w:val="000000" w:themeColor="text1"/>
          <w:sz w:val="18"/>
          <w:szCs w:val="18"/>
          <w:highlight w:val="none"/>
          <w14:textFill>
            <w14:solidFill>
              <w14:schemeClr w14:val="tx1"/>
            </w14:solidFill>
          </w14:textFill>
        </w:rPr>
        <w:t xml:space="preserve"> </w:t>
      </w:r>
    </w:p>
    <w:p w14:paraId="6F71E85A">
      <w:pPr>
        <w:spacing w:after="240" w:line="360" w:lineRule="auto"/>
        <w:jc w:val="center"/>
        <w:rPr>
          <w:rFonts w:hint="eastAsia"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63"/>
          <w:szCs w:val="63"/>
          <w:highlight w:val="none"/>
          <w14:textFill>
            <w14:solidFill>
              <w14:schemeClr w14:val="tx1"/>
            </w14:solidFill>
          </w14:textFill>
        </w:rPr>
        <w:t>合</w:t>
      </w:r>
      <w:r>
        <w:rPr>
          <w:rFonts w:hint="eastAsia" w:ascii="仿宋" w:hAnsi="仿宋" w:eastAsia="仿宋" w:cs="仿宋"/>
          <w:color w:val="000000" w:themeColor="text1"/>
          <w:sz w:val="18"/>
          <w:szCs w:val="18"/>
          <w:highlight w:val="none"/>
          <w14:textFill>
            <w14:solidFill>
              <w14:schemeClr w14:val="tx1"/>
            </w14:solidFill>
          </w14:textFill>
        </w:rPr>
        <w:t xml:space="preserve"> </w:t>
      </w:r>
    </w:p>
    <w:p w14:paraId="6C0A539C">
      <w:pPr>
        <w:spacing w:after="240" w:line="360" w:lineRule="auto"/>
        <w:jc w:val="center"/>
        <w:rPr>
          <w:rFonts w:hint="eastAsia"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color w:val="000000" w:themeColor="text1"/>
          <w:sz w:val="63"/>
          <w:szCs w:val="63"/>
          <w:highlight w:val="none"/>
          <w14:textFill>
            <w14:solidFill>
              <w14:schemeClr w14:val="tx1"/>
            </w14:solidFill>
          </w14:textFill>
        </w:rPr>
        <w:t>同</w:t>
      </w:r>
    </w:p>
    <w:p w14:paraId="4A6AA7B0">
      <w:pPr>
        <w:spacing w:after="240"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63"/>
          <w:szCs w:val="63"/>
          <w:highlight w:val="none"/>
          <w14:textFill>
            <w14:solidFill>
              <w14:schemeClr w14:val="tx1"/>
            </w14:solidFill>
          </w14:textFill>
        </w:rPr>
        <w:t>书</w:t>
      </w:r>
      <w:r>
        <w:rPr>
          <w:rFonts w:hint="eastAsia" w:ascii="仿宋" w:hAnsi="仿宋" w:eastAsia="仿宋" w:cs="仿宋"/>
          <w:color w:val="000000" w:themeColor="text1"/>
          <w:sz w:val="18"/>
          <w:szCs w:val="18"/>
          <w:highlight w:val="none"/>
          <w14:textFill>
            <w14:solidFill>
              <w14:schemeClr w14:val="tx1"/>
            </w14:solidFill>
          </w14:textFill>
        </w:rPr>
        <w:t xml:space="preserve"> </w:t>
      </w:r>
    </w:p>
    <w:p w14:paraId="6A2CB5B6">
      <w:pPr>
        <w:spacing w:after="240"/>
        <w:jc w:val="center"/>
        <w:rPr>
          <w:rFonts w:hint="eastAsia" w:ascii="仿宋" w:hAnsi="仿宋" w:eastAsia="仿宋" w:cs="仿宋"/>
          <w:color w:val="000000" w:themeColor="text1"/>
          <w:sz w:val="18"/>
          <w:szCs w:val="18"/>
          <w:highlight w:val="none"/>
          <w14:textFill>
            <w14:solidFill>
              <w14:schemeClr w14:val="tx1"/>
            </w14:solidFill>
          </w14:textFill>
        </w:rPr>
      </w:pPr>
      <w:r>
        <w:rPr>
          <w:rFonts w:hint="eastAsia" w:ascii="仿宋" w:hAnsi="仿宋" w:eastAsia="仿宋" w:cs="仿宋"/>
          <w:b/>
          <w:bCs/>
          <w:color w:val="000000" w:themeColor="text1"/>
          <w:sz w:val="27"/>
          <w:szCs w:val="27"/>
          <w:highlight w:val="none"/>
          <w14:textFill>
            <w14:solidFill>
              <w14:schemeClr w14:val="tx1"/>
            </w14:solidFill>
          </w14:textFill>
        </w:rPr>
        <w:t>签订地点:</w:t>
      </w:r>
      <w:r>
        <w:rPr>
          <w:rFonts w:hint="eastAsia" w:ascii="仿宋" w:hAnsi="仿宋" w:eastAsia="仿宋" w:cs="仿宋"/>
          <w:color w:val="000000" w:themeColor="text1"/>
          <w:sz w:val="18"/>
          <w:szCs w:val="18"/>
          <w:highlight w:val="none"/>
          <w14:textFill>
            <w14:solidFill>
              <w14:schemeClr w14:val="tx1"/>
            </w14:solidFill>
          </w14:textFill>
        </w:rPr>
        <w:t xml:space="preserve"> </w:t>
      </w:r>
    </w:p>
    <w:p w14:paraId="5E58FE44">
      <w:pPr>
        <w:pStyle w:val="2"/>
        <w:rPr>
          <w:rFonts w:hint="eastAsia" w:ascii="仿宋" w:hAnsi="仿宋" w:eastAsia="仿宋" w:cs="仿宋"/>
          <w:color w:val="000000" w:themeColor="text1"/>
          <w:highlight w:val="none"/>
          <w14:textFill>
            <w14:solidFill>
              <w14:schemeClr w14:val="tx1"/>
            </w14:solidFill>
          </w14:textFill>
        </w:rPr>
      </w:pPr>
    </w:p>
    <w:p w14:paraId="5031F8FE">
      <w:pPr>
        <w:spacing w:after="240"/>
        <w:jc w:val="center"/>
        <w:rPr>
          <w:rFonts w:hint="eastAsia" w:ascii="仿宋" w:hAnsi="仿宋" w:eastAsia="仿宋" w:cs="仿宋"/>
          <w:b/>
          <w:bCs/>
          <w:color w:val="000000" w:themeColor="text1"/>
          <w:sz w:val="27"/>
          <w:szCs w:val="27"/>
          <w:highlight w:val="none"/>
          <w14:textFill>
            <w14:solidFill>
              <w14:schemeClr w14:val="tx1"/>
            </w14:solidFill>
          </w14:textFill>
        </w:rPr>
      </w:pPr>
      <w:r>
        <w:rPr>
          <w:rFonts w:hint="eastAsia" w:ascii="仿宋" w:hAnsi="仿宋" w:eastAsia="仿宋" w:cs="仿宋"/>
          <w:b/>
          <w:bCs/>
          <w:color w:val="000000" w:themeColor="text1"/>
          <w:sz w:val="27"/>
          <w:szCs w:val="27"/>
          <w:highlight w:val="none"/>
          <w14:textFill>
            <w14:solidFill>
              <w14:schemeClr w14:val="tx1"/>
            </w14:solidFill>
          </w14:textFill>
        </w:rPr>
        <w:t xml:space="preserve">签订日期:    年  月  日 </w:t>
      </w:r>
    </w:p>
    <w:p w14:paraId="2CC93A6F">
      <w:pPr>
        <w:pStyle w:val="2"/>
        <w:rPr>
          <w:rFonts w:hint="eastAsia" w:ascii="仿宋" w:hAnsi="仿宋" w:eastAsia="仿宋" w:cs="仿宋"/>
          <w:color w:val="000000" w:themeColor="text1"/>
          <w:highlight w:val="none"/>
          <w14:textFill>
            <w14:solidFill>
              <w14:schemeClr w14:val="tx1"/>
            </w14:solidFill>
          </w14:textFill>
        </w:rPr>
      </w:pPr>
    </w:p>
    <w:p w14:paraId="4E936F11">
      <w:pPr>
        <w:pStyle w:val="19"/>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7"/>
          <w:szCs w:val="27"/>
          <w:highlight w:val="none"/>
          <w14:textFill>
            <w14:solidFill>
              <w14:schemeClr w14:val="tx1"/>
            </w14:solidFill>
          </w14:textFill>
        </w:rPr>
        <w:t xml:space="preserve">云南省财政厅 制 </w:t>
      </w:r>
      <w:bookmarkStart w:id="133" w:name="_Toc70"/>
      <w:bookmarkStart w:id="134" w:name="_Toc530733568"/>
      <w:bookmarkStart w:id="135" w:name="_Toc1437"/>
    </w:p>
    <w:p w14:paraId="37D780BB">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甲方（采购人公章）名称：</w:t>
      </w:r>
    </w:p>
    <w:p w14:paraId="4BEDDB8F">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地       址：</w:t>
      </w:r>
    </w:p>
    <w:p w14:paraId="03A14C3B">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邮       编：</w:t>
      </w:r>
    </w:p>
    <w:p w14:paraId="2E4B6D2C">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法定代表人或委托代理人：</w:t>
      </w:r>
    </w:p>
    <w:p w14:paraId="7F53FB51">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项目（技术）负责人：</w:t>
      </w:r>
    </w:p>
    <w:p w14:paraId="256A069C">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电       话：</w:t>
      </w:r>
    </w:p>
    <w:p w14:paraId="1935E301">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开 户 银 行：</w:t>
      </w:r>
    </w:p>
    <w:p w14:paraId="7B6C1A81">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账       号：</w:t>
      </w:r>
    </w:p>
    <w:p w14:paraId="3827AC4C">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p w14:paraId="7C35217E">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p w14:paraId="187596F0">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乙方（</w:t>
      </w:r>
      <w:r>
        <w:rPr>
          <w:rFonts w:hint="eastAsia" w:ascii="仿宋" w:hAnsi="仿宋" w:eastAsia="仿宋" w:cs="仿宋"/>
          <w:color w:val="000000" w:themeColor="text1"/>
          <w:kern w:val="0"/>
          <w:sz w:val="24"/>
          <w:szCs w:val="24"/>
          <w:highlight w:val="none"/>
          <w:lang w:eastAsia="zh-CN"/>
          <w14:textFill>
            <w14:solidFill>
              <w14:schemeClr w14:val="tx1"/>
            </w14:solidFill>
          </w14:textFill>
        </w:rPr>
        <w:t>供应商</w:t>
      </w:r>
      <w:r>
        <w:rPr>
          <w:rFonts w:hint="eastAsia" w:ascii="仿宋" w:hAnsi="仿宋" w:eastAsia="仿宋" w:cs="仿宋"/>
          <w:color w:val="000000" w:themeColor="text1"/>
          <w:kern w:val="0"/>
          <w:sz w:val="24"/>
          <w:szCs w:val="24"/>
          <w:highlight w:val="none"/>
          <w14:textFill>
            <w14:solidFill>
              <w14:schemeClr w14:val="tx1"/>
            </w14:solidFill>
          </w14:textFill>
        </w:rPr>
        <w:t>公章）名称：</w:t>
      </w:r>
    </w:p>
    <w:p w14:paraId="60D7B329">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地       址：</w:t>
      </w:r>
    </w:p>
    <w:p w14:paraId="17E482C5">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邮       编：</w:t>
      </w:r>
    </w:p>
    <w:p w14:paraId="19417D76">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法定代表人：</w:t>
      </w:r>
    </w:p>
    <w:p w14:paraId="2DBD5217">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委托代理人：</w:t>
      </w:r>
    </w:p>
    <w:p w14:paraId="3C34F953">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电       话：</w:t>
      </w:r>
    </w:p>
    <w:p w14:paraId="61ED3297">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开 户 银 行：</w:t>
      </w:r>
    </w:p>
    <w:p w14:paraId="6838CB1C">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账       号：</w:t>
      </w:r>
    </w:p>
    <w:p w14:paraId="5B8FFD46">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p w14:paraId="5A545EBE">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p>
    <w:p w14:paraId="3D11ADA2">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 xml:space="preserve">丙方（鉴证方公章）名称： </w:t>
      </w:r>
    </w:p>
    <w:p w14:paraId="50D56BA8">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 xml:space="preserve">地 址： </w:t>
      </w:r>
    </w:p>
    <w:p w14:paraId="6EC86D2C">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 xml:space="preserve">邮 编： </w:t>
      </w:r>
    </w:p>
    <w:p w14:paraId="79215A8B">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 xml:space="preserve">法定代表人或委托代理人： </w:t>
      </w:r>
    </w:p>
    <w:p w14:paraId="243573AF">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 xml:space="preserve">经办人： </w:t>
      </w:r>
    </w:p>
    <w:p w14:paraId="4A924B8A">
      <w:pPr>
        <w:keepNext w:val="0"/>
        <w:keepLines w:val="0"/>
        <w:pageBreakBefore w:val="0"/>
        <w:widowControl/>
        <w:kinsoku/>
        <w:wordWrap/>
        <w:overflowPunct/>
        <w:topLinePunct w:val="0"/>
        <w:autoSpaceDE/>
        <w:autoSpaceDN/>
        <w:bidi w:val="0"/>
        <w:adjustRightInd w:val="0"/>
        <w:snapToGrid w:val="0"/>
        <w:spacing w:line="240" w:lineRule="auto"/>
        <w:ind w:firstLine="482"/>
        <w:jc w:val="lef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电 话：</w:t>
      </w:r>
    </w:p>
    <w:p w14:paraId="6F1D046F">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根据《中华人民共和国民法典》、《中华人民共和国政府采购法》等法律法规的规定，甲乙双方按照文山市2025年度山洪灾害防治及维修养护项目（项目编号：    ）</w:t>
      </w:r>
      <w:r>
        <w:rPr>
          <w:rFonts w:hint="eastAsia" w:ascii="仿宋" w:hAnsi="仿宋" w:eastAsia="仿宋" w:cs="仿宋"/>
          <w:color w:val="000000" w:themeColor="text1"/>
          <w:sz w:val="24"/>
          <w:szCs w:val="24"/>
          <w:highlight w:val="none"/>
          <w:lang w:val="en-US" w:eastAsia="zh-CN"/>
          <w14:textFill>
            <w14:solidFill>
              <w14:schemeClr w14:val="tx1"/>
            </w14:solidFill>
          </w14:textFill>
        </w:rPr>
        <w:t>成交</w:t>
      </w:r>
      <w:r>
        <w:rPr>
          <w:rFonts w:hint="eastAsia" w:ascii="仿宋" w:hAnsi="仿宋" w:eastAsia="仿宋" w:cs="仿宋"/>
          <w:color w:val="000000" w:themeColor="text1"/>
          <w:sz w:val="24"/>
          <w:szCs w:val="24"/>
          <w:highlight w:val="none"/>
          <w:lang w:val="zh-CN"/>
          <w14:textFill>
            <w14:solidFill>
              <w14:schemeClr w14:val="tx1"/>
            </w14:solidFill>
          </w14:textFill>
        </w:rPr>
        <w:t>结果，经平等、友好、自愿、互惠互利的原则进行协商，达成以下协议。</w:t>
      </w:r>
    </w:p>
    <w:p w14:paraId="56BC42CE">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乙方按响应文件的内容和</w:t>
      </w:r>
      <w:r>
        <w:rPr>
          <w:rFonts w:hint="eastAsia" w:ascii="仿宋" w:hAnsi="仿宋" w:eastAsia="仿宋" w:cs="仿宋"/>
          <w:color w:val="000000" w:themeColor="text1"/>
          <w:sz w:val="24"/>
          <w:szCs w:val="24"/>
          <w:highlight w:val="none"/>
          <w:lang w:val="en-US" w:eastAsia="zh-CN"/>
          <w14:textFill>
            <w14:solidFill>
              <w14:schemeClr w14:val="tx1"/>
            </w14:solidFill>
          </w14:textFill>
        </w:rPr>
        <w:t>成交</w:t>
      </w:r>
      <w:r>
        <w:rPr>
          <w:rFonts w:hint="eastAsia" w:ascii="仿宋" w:hAnsi="仿宋" w:eastAsia="仿宋" w:cs="仿宋"/>
          <w:color w:val="000000" w:themeColor="text1"/>
          <w:sz w:val="24"/>
          <w:szCs w:val="24"/>
          <w:highlight w:val="none"/>
          <w:lang w:val="zh-CN"/>
          <w14:textFill>
            <w14:solidFill>
              <w14:schemeClr w14:val="tx1"/>
            </w14:solidFill>
          </w14:textFill>
        </w:rPr>
        <w:t>结果为甲方提供以下货物（可直接填写下表或后附清单）。</w:t>
      </w:r>
    </w:p>
    <w:tbl>
      <w:tblPr>
        <w:tblStyle w:val="21"/>
        <w:tblW w:w="1003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1"/>
        <w:gridCol w:w="1454"/>
        <w:gridCol w:w="784"/>
        <w:gridCol w:w="1195"/>
        <w:gridCol w:w="1321"/>
        <w:gridCol w:w="758"/>
        <w:gridCol w:w="991"/>
        <w:gridCol w:w="1349"/>
        <w:gridCol w:w="1532"/>
      </w:tblGrid>
      <w:tr w14:paraId="0C8173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0F0EDCDE">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序号</w:t>
            </w:r>
          </w:p>
        </w:tc>
        <w:tc>
          <w:tcPr>
            <w:tcW w:w="1454" w:type="dxa"/>
            <w:tcBorders>
              <w:top w:val="single" w:color="auto" w:sz="4" w:space="0"/>
              <w:left w:val="single" w:color="auto" w:sz="4" w:space="0"/>
              <w:bottom w:val="single" w:color="auto" w:sz="4" w:space="0"/>
              <w:right w:val="single" w:color="auto" w:sz="4" w:space="0"/>
            </w:tcBorders>
            <w:noWrap/>
            <w:vAlign w:val="center"/>
          </w:tcPr>
          <w:p w14:paraId="68BDFBF1">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货物（设备或产品)名称</w:t>
            </w:r>
          </w:p>
        </w:tc>
        <w:tc>
          <w:tcPr>
            <w:tcW w:w="784" w:type="dxa"/>
            <w:tcBorders>
              <w:top w:val="single" w:color="auto" w:sz="4" w:space="0"/>
              <w:left w:val="single" w:color="auto" w:sz="4" w:space="0"/>
              <w:bottom w:val="single" w:color="auto" w:sz="4" w:space="0"/>
              <w:right w:val="single" w:color="auto" w:sz="4" w:space="0"/>
            </w:tcBorders>
            <w:noWrap/>
            <w:vAlign w:val="center"/>
          </w:tcPr>
          <w:p w14:paraId="7433D7E8">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品牌</w:t>
            </w:r>
          </w:p>
        </w:tc>
        <w:tc>
          <w:tcPr>
            <w:tcW w:w="1195" w:type="dxa"/>
            <w:tcBorders>
              <w:top w:val="single" w:color="auto" w:sz="4" w:space="0"/>
              <w:left w:val="single" w:color="auto" w:sz="4" w:space="0"/>
              <w:bottom w:val="single" w:color="auto" w:sz="4" w:space="0"/>
              <w:right w:val="single" w:color="auto" w:sz="4" w:space="0"/>
            </w:tcBorders>
            <w:noWrap/>
            <w:vAlign w:val="center"/>
          </w:tcPr>
          <w:p w14:paraId="4C37EED0">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规格型号</w:t>
            </w:r>
          </w:p>
        </w:tc>
        <w:tc>
          <w:tcPr>
            <w:tcW w:w="1321" w:type="dxa"/>
            <w:tcBorders>
              <w:top w:val="single" w:color="auto" w:sz="4" w:space="0"/>
              <w:left w:val="single" w:color="auto" w:sz="4" w:space="0"/>
              <w:bottom w:val="single" w:color="auto" w:sz="4" w:space="0"/>
              <w:right w:val="single" w:color="auto" w:sz="4" w:space="0"/>
            </w:tcBorders>
            <w:noWrap/>
            <w:vAlign w:val="center"/>
          </w:tcPr>
          <w:p w14:paraId="6F7BD6E4">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生产厂商/制造商名称</w:t>
            </w:r>
          </w:p>
        </w:tc>
        <w:tc>
          <w:tcPr>
            <w:tcW w:w="758" w:type="dxa"/>
            <w:tcBorders>
              <w:top w:val="single" w:color="auto" w:sz="4" w:space="0"/>
              <w:left w:val="single" w:color="auto" w:sz="4" w:space="0"/>
              <w:bottom w:val="single" w:color="auto" w:sz="4" w:space="0"/>
              <w:right w:val="single" w:color="auto" w:sz="4" w:space="0"/>
            </w:tcBorders>
            <w:noWrap/>
            <w:vAlign w:val="center"/>
          </w:tcPr>
          <w:p w14:paraId="0CC03F43">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单位</w:t>
            </w:r>
          </w:p>
        </w:tc>
        <w:tc>
          <w:tcPr>
            <w:tcW w:w="991" w:type="dxa"/>
            <w:tcBorders>
              <w:top w:val="single" w:color="auto" w:sz="4" w:space="0"/>
              <w:left w:val="single" w:color="auto" w:sz="4" w:space="0"/>
              <w:bottom w:val="single" w:color="auto" w:sz="4" w:space="0"/>
              <w:right w:val="single" w:color="auto" w:sz="4" w:space="0"/>
            </w:tcBorders>
            <w:noWrap/>
            <w:vAlign w:val="center"/>
          </w:tcPr>
          <w:p w14:paraId="03FA5AE7">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数量</w:t>
            </w:r>
          </w:p>
        </w:tc>
        <w:tc>
          <w:tcPr>
            <w:tcW w:w="1349" w:type="dxa"/>
            <w:tcBorders>
              <w:top w:val="single" w:color="auto" w:sz="4" w:space="0"/>
              <w:left w:val="single" w:color="auto" w:sz="4" w:space="0"/>
              <w:bottom w:val="single" w:color="auto" w:sz="4" w:space="0"/>
              <w:right w:val="single" w:color="auto" w:sz="4" w:space="0"/>
            </w:tcBorders>
            <w:noWrap/>
            <w:vAlign w:val="center"/>
          </w:tcPr>
          <w:p w14:paraId="504CFF5C">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单价（元）</w:t>
            </w:r>
          </w:p>
        </w:tc>
        <w:tc>
          <w:tcPr>
            <w:tcW w:w="1532" w:type="dxa"/>
            <w:tcBorders>
              <w:top w:val="single" w:color="auto" w:sz="4" w:space="0"/>
              <w:left w:val="single" w:color="auto" w:sz="4" w:space="0"/>
              <w:bottom w:val="single" w:color="auto" w:sz="4" w:space="0"/>
              <w:right w:val="single" w:color="auto" w:sz="4" w:space="0"/>
            </w:tcBorders>
            <w:noWrap/>
            <w:vAlign w:val="center"/>
          </w:tcPr>
          <w:p w14:paraId="20F0CC74">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金额（元）</w:t>
            </w:r>
          </w:p>
        </w:tc>
      </w:tr>
      <w:tr w14:paraId="6F86DC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3EEEFC7F">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1454" w:type="dxa"/>
            <w:tcBorders>
              <w:top w:val="single" w:color="auto" w:sz="4" w:space="0"/>
              <w:left w:val="single" w:color="auto" w:sz="4" w:space="0"/>
              <w:bottom w:val="single" w:color="auto" w:sz="4" w:space="0"/>
              <w:right w:val="single" w:color="auto" w:sz="4" w:space="0"/>
            </w:tcBorders>
            <w:noWrap/>
            <w:vAlign w:val="center"/>
          </w:tcPr>
          <w:p w14:paraId="69E99A17">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784" w:type="dxa"/>
            <w:tcBorders>
              <w:top w:val="single" w:color="auto" w:sz="4" w:space="0"/>
              <w:left w:val="single" w:color="auto" w:sz="4" w:space="0"/>
              <w:bottom w:val="single" w:color="auto" w:sz="4" w:space="0"/>
              <w:right w:val="single" w:color="auto" w:sz="4" w:space="0"/>
            </w:tcBorders>
            <w:noWrap/>
            <w:vAlign w:val="center"/>
          </w:tcPr>
          <w:p w14:paraId="0D84186B">
            <w:pPr>
              <w:spacing w:line="288" w:lineRule="auto"/>
              <w:rPr>
                <w:rFonts w:hint="eastAsia" w:ascii="仿宋" w:hAnsi="仿宋" w:eastAsia="仿宋" w:cs="仿宋"/>
                <w:b/>
                <w:bCs/>
                <w:color w:val="000000" w:themeColor="text1"/>
                <w:sz w:val="24"/>
                <w:szCs w:val="24"/>
                <w:highlight w:val="none"/>
                <w14:textFill>
                  <w14:solidFill>
                    <w14:schemeClr w14:val="tx1"/>
                  </w14:solidFill>
                </w14:textFill>
              </w:rPr>
            </w:pPr>
          </w:p>
        </w:tc>
        <w:tc>
          <w:tcPr>
            <w:tcW w:w="1195" w:type="dxa"/>
            <w:tcBorders>
              <w:top w:val="single" w:color="auto" w:sz="4" w:space="0"/>
              <w:left w:val="single" w:color="auto" w:sz="4" w:space="0"/>
              <w:bottom w:val="single" w:color="auto" w:sz="4" w:space="0"/>
              <w:right w:val="single" w:color="auto" w:sz="4" w:space="0"/>
            </w:tcBorders>
            <w:noWrap/>
            <w:vAlign w:val="center"/>
          </w:tcPr>
          <w:p w14:paraId="02E8E3DD">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440856ED">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758" w:type="dxa"/>
            <w:tcBorders>
              <w:top w:val="single" w:color="auto" w:sz="4" w:space="0"/>
              <w:left w:val="single" w:color="auto" w:sz="4" w:space="0"/>
              <w:bottom w:val="single" w:color="auto" w:sz="4" w:space="0"/>
              <w:right w:val="single" w:color="auto" w:sz="4" w:space="0"/>
            </w:tcBorders>
            <w:noWrap/>
            <w:vAlign w:val="center"/>
          </w:tcPr>
          <w:p w14:paraId="6B2B626A">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991" w:type="dxa"/>
            <w:tcBorders>
              <w:top w:val="single" w:color="auto" w:sz="4" w:space="0"/>
              <w:left w:val="single" w:color="auto" w:sz="4" w:space="0"/>
              <w:bottom w:val="single" w:color="auto" w:sz="4" w:space="0"/>
              <w:right w:val="single" w:color="auto" w:sz="4" w:space="0"/>
            </w:tcBorders>
            <w:noWrap/>
            <w:vAlign w:val="center"/>
          </w:tcPr>
          <w:p w14:paraId="4001239F">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1349" w:type="dxa"/>
            <w:tcBorders>
              <w:top w:val="single" w:color="auto" w:sz="4" w:space="0"/>
              <w:left w:val="single" w:color="auto" w:sz="4" w:space="0"/>
              <w:bottom w:val="single" w:color="auto" w:sz="4" w:space="0"/>
              <w:right w:val="single" w:color="auto" w:sz="4" w:space="0"/>
            </w:tcBorders>
            <w:noWrap/>
            <w:vAlign w:val="center"/>
          </w:tcPr>
          <w:p w14:paraId="6879E658">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1532" w:type="dxa"/>
            <w:tcBorders>
              <w:top w:val="single" w:color="auto" w:sz="4" w:space="0"/>
              <w:left w:val="single" w:color="auto" w:sz="4" w:space="0"/>
              <w:bottom w:val="single" w:color="auto" w:sz="4" w:space="0"/>
              <w:right w:val="single" w:color="auto" w:sz="4" w:space="0"/>
            </w:tcBorders>
            <w:noWrap/>
            <w:vAlign w:val="center"/>
          </w:tcPr>
          <w:p w14:paraId="196861EA">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r>
      <w:tr w14:paraId="613509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51" w:type="dxa"/>
            <w:tcBorders>
              <w:top w:val="single" w:color="auto" w:sz="4" w:space="0"/>
              <w:left w:val="single" w:color="auto" w:sz="4" w:space="0"/>
              <w:bottom w:val="single" w:color="auto" w:sz="4" w:space="0"/>
              <w:right w:val="single" w:color="auto" w:sz="4" w:space="0"/>
            </w:tcBorders>
            <w:noWrap/>
            <w:vAlign w:val="center"/>
          </w:tcPr>
          <w:p w14:paraId="208BC494">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1454" w:type="dxa"/>
            <w:tcBorders>
              <w:top w:val="single" w:color="auto" w:sz="4" w:space="0"/>
              <w:left w:val="single" w:color="auto" w:sz="4" w:space="0"/>
              <w:bottom w:val="single" w:color="auto" w:sz="4" w:space="0"/>
              <w:right w:val="single" w:color="auto" w:sz="4" w:space="0"/>
            </w:tcBorders>
            <w:noWrap/>
            <w:vAlign w:val="center"/>
          </w:tcPr>
          <w:p w14:paraId="65402697">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784" w:type="dxa"/>
            <w:tcBorders>
              <w:top w:val="single" w:color="auto" w:sz="4" w:space="0"/>
              <w:left w:val="single" w:color="auto" w:sz="4" w:space="0"/>
              <w:bottom w:val="single" w:color="auto" w:sz="4" w:space="0"/>
              <w:right w:val="single" w:color="auto" w:sz="4" w:space="0"/>
            </w:tcBorders>
            <w:noWrap/>
            <w:vAlign w:val="center"/>
          </w:tcPr>
          <w:p w14:paraId="098B59E8">
            <w:pPr>
              <w:spacing w:line="288" w:lineRule="auto"/>
              <w:rPr>
                <w:rFonts w:hint="eastAsia" w:ascii="仿宋" w:hAnsi="仿宋" w:eastAsia="仿宋" w:cs="仿宋"/>
                <w:b/>
                <w:bCs/>
                <w:color w:val="000000" w:themeColor="text1"/>
                <w:sz w:val="24"/>
                <w:szCs w:val="24"/>
                <w:highlight w:val="none"/>
                <w14:textFill>
                  <w14:solidFill>
                    <w14:schemeClr w14:val="tx1"/>
                  </w14:solidFill>
                </w14:textFill>
              </w:rPr>
            </w:pPr>
          </w:p>
        </w:tc>
        <w:tc>
          <w:tcPr>
            <w:tcW w:w="1195" w:type="dxa"/>
            <w:tcBorders>
              <w:top w:val="single" w:color="auto" w:sz="4" w:space="0"/>
              <w:left w:val="single" w:color="auto" w:sz="4" w:space="0"/>
              <w:bottom w:val="single" w:color="auto" w:sz="4" w:space="0"/>
              <w:right w:val="single" w:color="auto" w:sz="4" w:space="0"/>
            </w:tcBorders>
            <w:noWrap/>
            <w:vAlign w:val="center"/>
          </w:tcPr>
          <w:p w14:paraId="1D798C63">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1321" w:type="dxa"/>
            <w:tcBorders>
              <w:top w:val="single" w:color="auto" w:sz="4" w:space="0"/>
              <w:left w:val="single" w:color="auto" w:sz="4" w:space="0"/>
              <w:bottom w:val="single" w:color="auto" w:sz="4" w:space="0"/>
              <w:right w:val="single" w:color="auto" w:sz="4" w:space="0"/>
            </w:tcBorders>
            <w:noWrap/>
            <w:vAlign w:val="center"/>
          </w:tcPr>
          <w:p w14:paraId="68211FB9">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758" w:type="dxa"/>
            <w:tcBorders>
              <w:top w:val="single" w:color="auto" w:sz="4" w:space="0"/>
              <w:left w:val="single" w:color="auto" w:sz="4" w:space="0"/>
              <w:bottom w:val="single" w:color="auto" w:sz="4" w:space="0"/>
              <w:right w:val="single" w:color="auto" w:sz="4" w:space="0"/>
            </w:tcBorders>
            <w:noWrap/>
            <w:vAlign w:val="center"/>
          </w:tcPr>
          <w:p w14:paraId="5063416D">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991" w:type="dxa"/>
            <w:tcBorders>
              <w:top w:val="single" w:color="auto" w:sz="4" w:space="0"/>
              <w:left w:val="single" w:color="auto" w:sz="4" w:space="0"/>
              <w:bottom w:val="single" w:color="auto" w:sz="4" w:space="0"/>
              <w:right w:val="single" w:color="auto" w:sz="4" w:space="0"/>
            </w:tcBorders>
            <w:noWrap/>
            <w:vAlign w:val="center"/>
          </w:tcPr>
          <w:p w14:paraId="2E66F8BD">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1349" w:type="dxa"/>
            <w:tcBorders>
              <w:top w:val="single" w:color="auto" w:sz="4" w:space="0"/>
              <w:left w:val="single" w:color="auto" w:sz="4" w:space="0"/>
              <w:bottom w:val="single" w:color="auto" w:sz="4" w:space="0"/>
              <w:right w:val="single" w:color="auto" w:sz="4" w:space="0"/>
            </w:tcBorders>
            <w:noWrap/>
            <w:vAlign w:val="center"/>
          </w:tcPr>
          <w:p w14:paraId="7552D193">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c>
          <w:tcPr>
            <w:tcW w:w="1532" w:type="dxa"/>
            <w:tcBorders>
              <w:top w:val="single" w:color="auto" w:sz="4" w:space="0"/>
              <w:left w:val="single" w:color="auto" w:sz="4" w:space="0"/>
              <w:bottom w:val="single" w:color="auto" w:sz="4" w:space="0"/>
              <w:right w:val="single" w:color="auto" w:sz="4" w:space="0"/>
            </w:tcBorders>
            <w:noWrap/>
            <w:vAlign w:val="center"/>
          </w:tcPr>
          <w:p w14:paraId="53ED24A8">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r>
      <w:tr w14:paraId="10947A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8503" w:type="dxa"/>
            <w:gridSpan w:val="8"/>
            <w:tcBorders>
              <w:top w:val="single" w:color="auto" w:sz="4" w:space="0"/>
              <w:left w:val="single" w:color="auto" w:sz="4" w:space="0"/>
              <w:bottom w:val="single" w:color="auto" w:sz="4" w:space="0"/>
              <w:right w:val="single" w:color="auto" w:sz="4" w:space="0"/>
            </w:tcBorders>
            <w:noWrap/>
            <w:vAlign w:val="center"/>
          </w:tcPr>
          <w:p w14:paraId="5A57C2B6">
            <w:pPr>
              <w:spacing w:line="288" w:lineRule="auto"/>
              <w:jc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合计（元）</w:t>
            </w:r>
          </w:p>
        </w:tc>
        <w:tc>
          <w:tcPr>
            <w:tcW w:w="1532" w:type="dxa"/>
            <w:tcBorders>
              <w:top w:val="single" w:color="auto" w:sz="4" w:space="0"/>
              <w:left w:val="single" w:color="auto" w:sz="4" w:space="0"/>
              <w:bottom w:val="single" w:color="auto" w:sz="4" w:space="0"/>
              <w:right w:val="single" w:color="auto" w:sz="4" w:space="0"/>
            </w:tcBorders>
            <w:noWrap/>
            <w:vAlign w:val="center"/>
          </w:tcPr>
          <w:p w14:paraId="498C46AF">
            <w:pPr>
              <w:spacing w:line="288"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p>
        </w:tc>
      </w:tr>
    </w:tbl>
    <w:p w14:paraId="1F33D836">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合同总价款（含税价）人民币          元，大写：              。</w:t>
      </w:r>
    </w:p>
    <w:p w14:paraId="700176C3">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（1）本合同总价款是货物制造、包装、仓储、运输、安装及验收合格的所有含税费用；</w:t>
      </w:r>
    </w:p>
    <w:p w14:paraId="402D9CD1">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（2）本合同总价款还包含乙方应当提供的伴随服务及售后服务费用；</w:t>
      </w:r>
    </w:p>
    <w:p w14:paraId="0CFC3F66">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（3）本合同执行期间合同总价款不变。</w:t>
      </w:r>
    </w:p>
    <w:p w14:paraId="217FC906">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3</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权利保证：                             </w:t>
      </w:r>
    </w:p>
    <w:p w14:paraId="749E523E">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4</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质量保证</w:t>
      </w:r>
    </w:p>
    <w:p w14:paraId="09CE7955">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（1）乙方所提供货物必须保证是全新的、符合国家质量检测标准和产品出厂标准的、技术参数和配置要求与竞争性磋商文件相符的，货物使用说明书及保修卡等资料齐全的货物；</w:t>
      </w:r>
    </w:p>
    <w:p w14:paraId="6122E1B3">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（2）在规定期限内，承担交验货物的一切责任，对不合格产品及时予以更换，并承担在此期间由于质量问题给甲方造成的损失。</w:t>
      </w:r>
    </w:p>
    <w:p w14:paraId="22932B00">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售后服务</w:t>
      </w:r>
    </w:p>
    <w:p w14:paraId="2118DADE">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（1）乙方必须提供包括安装、调试、使用和一般的维修、维护等主要货物的售后服务方式：</w:t>
      </w:r>
    </w:p>
    <w:tbl>
      <w:tblPr>
        <w:tblStyle w:val="2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71"/>
        <w:gridCol w:w="1334"/>
        <w:gridCol w:w="1453"/>
        <w:gridCol w:w="2267"/>
        <w:gridCol w:w="1565"/>
        <w:gridCol w:w="1021"/>
        <w:gridCol w:w="765"/>
      </w:tblGrid>
      <w:tr w14:paraId="08E945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93" w:hRule="atLeast"/>
          <w:jc w:val="center"/>
        </w:trPr>
        <w:tc>
          <w:tcPr>
            <w:tcW w:w="1271" w:type="dxa"/>
            <w:tcBorders>
              <w:top w:val="single" w:color="auto" w:sz="4" w:space="0"/>
              <w:left w:val="single" w:color="auto" w:sz="4" w:space="0"/>
              <w:bottom w:val="single" w:color="auto" w:sz="4" w:space="0"/>
              <w:right w:val="single" w:color="auto" w:sz="4" w:space="0"/>
            </w:tcBorders>
            <w:noWrap/>
            <w:vAlign w:val="center"/>
          </w:tcPr>
          <w:p w14:paraId="34F8BFFA">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货物名称</w:t>
            </w:r>
          </w:p>
        </w:tc>
        <w:tc>
          <w:tcPr>
            <w:tcW w:w="1334" w:type="dxa"/>
            <w:tcBorders>
              <w:top w:val="single" w:color="auto" w:sz="4" w:space="0"/>
              <w:left w:val="single" w:color="auto" w:sz="4" w:space="0"/>
              <w:bottom w:val="single" w:color="auto" w:sz="4" w:space="0"/>
              <w:right w:val="single" w:color="auto" w:sz="4" w:space="0"/>
            </w:tcBorders>
            <w:noWrap/>
            <w:vAlign w:val="center"/>
          </w:tcPr>
          <w:p w14:paraId="4DFBD771">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响应时间（小时内）</w:t>
            </w:r>
          </w:p>
        </w:tc>
        <w:tc>
          <w:tcPr>
            <w:tcW w:w="1453" w:type="dxa"/>
            <w:tcBorders>
              <w:top w:val="single" w:color="auto" w:sz="4" w:space="0"/>
              <w:left w:val="single" w:color="auto" w:sz="4" w:space="0"/>
              <w:bottom w:val="single" w:color="auto" w:sz="4" w:space="0"/>
              <w:right w:val="single" w:color="auto" w:sz="4" w:space="0"/>
            </w:tcBorders>
            <w:noWrap/>
            <w:vAlign w:val="center"/>
          </w:tcPr>
          <w:p w14:paraId="0CB4CCEA">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解决时间    （小时内）</w:t>
            </w:r>
          </w:p>
        </w:tc>
        <w:tc>
          <w:tcPr>
            <w:tcW w:w="2267" w:type="dxa"/>
            <w:tcBorders>
              <w:top w:val="single" w:color="auto" w:sz="4" w:space="0"/>
              <w:left w:val="single" w:color="auto" w:sz="4" w:space="0"/>
              <w:bottom w:val="single" w:color="auto" w:sz="4" w:space="0"/>
              <w:right w:val="single" w:color="auto" w:sz="4" w:space="0"/>
            </w:tcBorders>
            <w:noWrap/>
            <w:vAlign w:val="center"/>
          </w:tcPr>
          <w:p w14:paraId="15E360CD">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货物故障解决方式   </w:t>
            </w:r>
          </w:p>
          <w:p w14:paraId="107F926D">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（上门或送修）</w:t>
            </w:r>
          </w:p>
        </w:tc>
        <w:tc>
          <w:tcPr>
            <w:tcW w:w="1565" w:type="dxa"/>
            <w:tcBorders>
              <w:top w:val="single" w:color="auto" w:sz="4" w:space="0"/>
              <w:left w:val="single" w:color="auto" w:sz="4" w:space="0"/>
              <w:bottom w:val="single" w:color="auto" w:sz="4" w:space="0"/>
              <w:right w:val="single" w:color="auto" w:sz="4" w:space="0"/>
            </w:tcBorders>
            <w:noWrap/>
            <w:vAlign w:val="center"/>
          </w:tcPr>
          <w:p w14:paraId="33B1D481">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免费上门服务期限（年）</w:t>
            </w:r>
          </w:p>
        </w:tc>
        <w:tc>
          <w:tcPr>
            <w:tcW w:w="1021" w:type="dxa"/>
            <w:tcBorders>
              <w:top w:val="single" w:color="auto" w:sz="4" w:space="0"/>
              <w:left w:val="single" w:color="auto" w:sz="4" w:space="0"/>
              <w:bottom w:val="single" w:color="auto" w:sz="4" w:space="0"/>
              <w:right w:val="single" w:color="auto" w:sz="4" w:space="0"/>
            </w:tcBorders>
            <w:noWrap/>
            <w:vAlign w:val="center"/>
          </w:tcPr>
          <w:p w14:paraId="341AA11F">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质量保证期限</w:t>
            </w:r>
          </w:p>
        </w:tc>
        <w:tc>
          <w:tcPr>
            <w:tcW w:w="765" w:type="dxa"/>
            <w:tcBorders>
              <w:top w:val="single" w:color="auto" w:sz="4" w:space="0"/>
              <w:left w:val="single" w:color="auto" w:sz="4" w:space="0"/>
              <w:bottom w:val="single" w:color="auto" w:sz="4" w:space="0"/>
              <w:right w:val="single" w:color="auto" w:sz="4" w:space="0"/>
            </w:tcBorders>
            <w:noWrap/>
            <w:vAlign w:val="center"/>
          </w:tcPr>
          <w:p w14:paraId="1151E9FD">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回访</w:t>
            </w:r>
          </w:p>
        </w:tc>
      </w:tr>
      <w:tr w14:paraId="78D5E7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1" w:type="dxa"/>
            <w:tcBorders>
              <w:top w:val="single" w:color="auto" w:sz="4" w:space="0"/>
              <w:left w:val="single" w:color="auto" w:sz="4" w:space="0"/>
              <w:bottom w:val="single" w:color="auto" w:sz="4" w:space="0"/>
              <w:right w:val="single" w:color="auto" w:sz="4" w:space="0"/>
            </w:tcBorders>
            <w:noWrap/>
            <w:vAlign w:val="center"/>
          </w:tcPr>
          <w:p w14:paraId="1A340260">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34" w:type="dxa"/>
            <w:tcBorders>
              <w:top w:val="single" w:color="auto" w:sz="4" w:space="0"/>
              <w:left w:val="single" w:color="auto" w:sz="4" w:space="0"/>
              <w:bottom w:val="single" w:color="auto" w:sz="4" w:space="0"/>
              <w:right w:val="single" w:color="auto" w:sz="4" w:space="0"/>
            </w:tcBorders>
            <w:noWrap/>
            <w:vAlign w:val="center"/>
          </w:tcPr>
          <w:p w14:paraId="598F6B79">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53" w:type="dxa"/>
            <w:tcBorders>
              <w:top w:val="single" w:color="auto" w:sz="4" w:space="0"/>
              <w:left w:val="single" w:color="auto" w:sz="4" w:space="0"/>
              <w:bottom w:val="single" w:color="auto" w:sz="4" w:space="0"/>
              <w:right w:val="single" w:color="auto" w:sz="4" w:space="0"/>
            </w:tcBorders>
            <w:noWrap/>
            <w:vAlign w:val="center"/>
          </w:tcPr>
          <w:p w14:paraId="0B4FE4F0">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ign w:val="center"/>
          </w:tcPr>
          <w:p w14:paraId="7FD82E88">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565" w:type="dxa"/>
            <w:tcBorders>
              <w:top w:val="single" w:color="auto" w:sz="4" w:space="0"/>
              <w:left w:val="single" w:color="auto" w:sz="4" w:space="0"/>
              <w:bottom w:val="single" w:color="auto" w:sz="4" w:space="0"/>
              <w:right w:val="single" w:color="auto" w:sz="4" w:space="0"/>
            </w:tcBorders>
            <w:noWrap/>
            <w:vAlign w:val="center"/>
          </w:tcPr>
          <w:p w14:paraId="27D37FBF">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21" w:type="dxa"/>
            <w:tcBorders>
              <w:top w:val="single" w:color="auto" w:sz="4" w:space="0"/>
              <w:left w:val="single" w:color="auto" w:sz="4" w:space="0"/>
              <w:bottom w:val="single" w:color="auto" w:sz="4" w:space="0"/>
              <w:right w:val="single" w:color="auto" w:sz="4" w:space="0"/>
            </w:tcBorders>
            <w:noWrap/>
            <w:vAlign w:val="center"/>
          </w:tcPr>
          <w:p w14:paraId="53441569">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65" w:type="dxa"/>
            <w:tcBorders>
              <w:top w:val="single" w:color="auto" w:sz="4" w:space="0"/>
              <w:left w:val="single" w:color="auto" w:sz="4" w:space="0"/>
              <w:bottom w:val="single" w:color="auto" w:sz="4" w:space="0"/>
              <w:right w:val="single" w:color="auto" w:sz="4" w:space="0"/>
            </w:tcBorders>
            <w:noWrap/>
            <w:vAlign w:val="center"/>
          </w:tcPr>
          <w:p w14:paraId="13143D49">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4B5BDE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8" w:hRule="atLeast"/>
          <w:jc w:val="center"/>
        </w:trPr>
        <w:tc>
          <w:tcPr>
            <w:tcW w:w="1271" w:type="dxa"/>
            <w:tcBorders>
              <w:top w:val="single" w:color="auto" w:sz="4" w:space="0"/>
              <w:left w:val="single" w:color="auto" w:sz="4" w:space="0"/>
              <w:bottom w:val="single" w:color="auto" w:sz="4" w:space="0"/>
              <w:right w:val="single" w:color="auto" w:sz="4" w:space="0"/>
            </w:tcBorders>
            <w:noWrap/>
            <w:vAlign w:val="center"/>
          </w:tcPr>
          <w:p w14:paraId="167B2F90">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34" w:type="dxa"/>
            <w:tcBorders>
              <w:top w:val="single" w:color="auto" w:sz="4" w:space="0"/>
              <w:left w:val="single" w:color="auto" w:sz="4" w:space="0"/>
              <w:bottom w:val="single" w:color="auto" w:sz="4" w:space="0"/>
              <w:right w:val="single" w:color="auto" w:sz="4" w:space="0"/>
            </w:tcBorders>
            <w:noWrap/>
            <w:vAlign w:val="center"/>
          </w:tcPr>
          <w:p w14:paraId="49FB3572">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53" w:type="dxa"/>
            <w:tcBorders>
              <w:top w:val="single" w:color="auto" w:sz="4" w:space="0"/>
              <w:left w:val="single" w:color="auto" w:sz="4" w:space="0"/>
              <w:bottom w:val="single" w:color="auto" w:sz="4" w:space="0"/>
              <w:right w:val="single" w:color="auto" w:sz="4" w:space="0"/>
            </w:tcBorders>
            <w:noWrap/>
            <w:vAlign w:val="center"/>
          </w:tcPr>
          <w:p w14:paraId="3CBDE1AA">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ign w:val="center"/>
          </w:tcPr>
          <w:p w14:paraId="772C2426">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565" w:type="dxa"/>
            <w:tcBorders>
              <w:top w:val="single" w:color="auto" w:sz="4" w:space="0"/>
              <w:left w:val="single" w:color="auto" w:sz="4" w:space="0"/>
              <w:bottom w:val="single" w:color="auto" w:sz="4" w:space="0"/>
              <w:right w:val="single" w:color="auto" w:sz="4" w:space="0"/>
            </w:tcBorders>
            <w:noWrap/>
            <w:vAlign w:val="center"/>
          </w:tcPr>
          <w:p w14:paraId="49EEEAEA">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21" w:type="dxa"/>
            <w:tcBorders>
              <w:top w:val="single" w:color="auto" w:sz="4" w:space="0"/>
              <w:left w:val="single" w:color="auto" w:sz="4" w:space="0"/>
              <w:bottom w:val="single" w:color="auto" w:sz="4" w:space="0"/>
              <w:right w:val="single" w:color="auto" w:sz="4" w:space="0"/>
            </w:tcBorders>
            <w:noWrap/>
            <w:vAlign w:val="center"/>
          </w:tcPr>
          <w:p w14:paraId="5B973541">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65" w:type="dxa"/>
            <w:tcBorders>
              <w:top w:val="single" w:color="auto" w:sz="4" w:space="0"/>
              <w:left w:val="single" w:color="auto" w:sz="4" w:space="0"/>
              <w:bottom w:val="single" w:color="auto" w:sz="4" w:space="0"/>
              <w:right w:val="single" w:color="auto" w:sz="4" w:space="0"/>
            </w:tcBorders>
            <w:noWrap/>
            <w:vAlign w:val="center"/>
          </w:tcPr>
          <w:p w14:paraId="78AAAAE8">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0FADE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1271" w:type="dxa"/>
            <w:tcBorders>
              <w:top w:val="single" w:color="auto" w:sz="4" w:space="0"/>
              <w:left w:val="single" w:color="auto" w:sz="4" w:space="0"/>
              <w:bottom w:val="single" w:color="auto" w:sz="4" w:space="0"/>
              <w:right w:val="single" w:color="auto" w:sz="4" w:space="0"/>
            </w:tcBorders>
            <w:noWrap/>
            <w:vAlign w:val="center"/>
          </w:tcPr>
          <w:p w14:paraId="78C6C790">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334" w:type="dxa"/>
            <w:tcBorders>
              <w:top w:val="single" w:color="auto" w:sz="4" w:space="0"/>
              <w:left w:val="single" w:color="auto" w:sz="4" w:space="0"/>
              <w:bottom w:val="single" w:color="auto" w:sz="4" w:space="0"/>
              <w:right w:val="single" w:color="auto" w:sz="4" w:space="0"/>
            </w:tcBorders>
            <w:noWrap/>
            <w:vAlign w:val="center"/>
          </w:tcPr>
          <w:p w14:paraId="2D5B57E4">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53" w:type="dxa"/>
            <w:tcBorders>
              <w:top w:val="single" w:color="auto" w:sz="4" w:space="0"/>
              <w:left w:val="single" w:color="auto" w:sz="4" w:space="0"/>
              <w:bottom w:val="single" w:color="auto" w:sz="4" w:space="0"/>
              <w:right w:val="single" w:color="auto" w:sz="4" w:space="0"/>
            </w:tcBorders>
            <w:noWrap/>
            <w:vAlign w:val="center"/>
          </w:tcPr>
          <w:p w14:paraId="06FDE1BB">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2267" w:type="dxa"/>
            <w:tcBorders>
              <w:top w:val="single" w:color="auto" w:sz="4" w:space="0"/>
              <w:left w:val="single" w:color="auto" w:sz="4" w:space="0"/>
              <w:bottom w:val="single" w:color="auto" w:sz="4" w:space="0"/>
              <w:right w:val="single" w:color="auto" w:sz="4" w:space="0"/>
            </w:tcBorders>
            <w:noWrap/>
            <w:vAlign w:val="center"/>
          </w:tcPr>
          <w:p w14:paraId="5AF8E134">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565" w:type="dxa"/>
            <w:tcBorders>
              <w:top w:val="single" w:color="auto" w:sz="4" w:space="0"/>
              <w:left w:val="single" w:color="auto" w:sz="4" w:space="0"/>
              <w:bottom w:val="single" w:color="auto" w:sz="4" w:space="0"/>
              <w:right w:val="single" w:color="auto" w:sz="4" w:space="0"/>
            </w:tcBorders>
            <w:noWrap/>
            <w:vAlign w:val="center"/>
          </w:tcPr>
          <w:p w14:paraId="75E027BD">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21" w:type="dxa"/>
            <w:tcBorders>
              <w:top w:val="single" w:color="auto" w:sz="4" w:space="0"/>
              <w:left w:val="single" w:color="auto" w:sz="4" w:space="0"/>
              <w:bottom w:val="single" w:color="auto" w:sz="4" w:space="0"/>
              <w:right w:val="single" w:color="auto" w:sz="4" w:space="0"/>
            </w:tcBorders>
            <w:noWrap/>
            <w:vAlign w:val="center"/>
          </w:tcPr>
          <w:p w14:paraId="633E26EC">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65" w:type="dxa"/>
            <w:tcBorders>
              <w:top w:val="single" w:color="auto" w:sz="4" w:space="0"/>
              <w:left w:val="single" w:color="auto" w:sz="4" w:space="0"/>
              <w:bottom w:val="single" w:color="auto" w:sz="4" w:space="0"/>
              <w:right w:val="single" w:color="auto" w:sz="4" w:space="0"/>
            </w:tcBorders>
            <w:noWrap/>
            <w:vAlign w:val="center"/>
          </w:tcPr>
          <w:p w14:paraId="5EE53F0B">
            <w:pPr>
              <w:widowControl/>
              <w:adjustRightInd w:val="0"/>
              <w:snapToGrid w:val="0"/>
              <w:jc w:val="center"/>
              <w:rPr>
                <w:rFonts w:hint="eastAsia" w:ascii="仿宋" w:hAnsi="仿宋" w:eastAsia="仿宋" w:cs="仿宋"/>
                <w:color w:val="000000" w:themeColor="text1"/>
                <w:sz w:val="24"/>
                <w:szCs w:val="24"/>
                <w:highlight w:val="none"/>
                <w14:textFill>
                  <w14:solidFill>
                    <w14:schemeClr w14:val="tx1"/>
                  </w14:solidFill>
                </w14:textFill>
              </w:rPr>
            </w:pPr>
          </w:p>
        </w:tc>
      </w:tr>
    </w:tbl>
    <w:p w14:paraId="2CADE1BE">
      <w:pPr>
        <w:spacing w:line="480" w:lineRule="exact"/>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ab/>
      </w:r>
      <w:r>
        <w:rPr>
          <w:rFonts w:hint="eastAsia" w:ascii="仿宋" w:hAnsi="仿宋" w:eastAsia="仿宋" w:cs="仿宋"/>
          <w:color w:val="000000" w:themeColor="text1"/>
          <w:sz w:val="24"/>
          <w:szCs w:val="24"/>
          <w:highlight w:val="none"/>
          <w:lang w:val="zh-CN"/>
          <w14:textFill>
            <w14:solidFill>
              <w14:schemeClr w14:val="tx1"/>
            </w14:solidFill>
          </w14:textFill>
        </w:rPr>
        <w:tab/>
      </w:r>
      <w:r>
        <w:rPr>
          <w:rFonts w:hint="eastAsia" w:ascii="仿宋" w:hAnsi="仿宋" w:eastAsia="仿宋" w:cs="仿宋"/>
          <w:color w:val="000000" w:themeColor="text1"/>
          <w:sz w:val="24"/>
          <w:szCs w:val="24"/>
          <w:highlight w:val="none"/>
          <w:lang w:val="zh-CN"/>
          <w14:textFill>
            <w14:solidFill>
              <w14:schemeClr w14:val="tx1"/>
            </w14:solidFill>
          </w14:textFill>
        </w:rPr>
        <w:tab/>
      </w:r>
    </w:p>
    <w:p w14:paraId="4EDA0008">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（2）乙方保证及时为甲方免费提供货物使用中的技术支持，支持电话            ，联系人              。</w:t>
      </w:r>
    </w:p>
    <w:p w14:paraId="6DF5C2B2">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（3）乙方须按竞标时所报价格及售后措施和计划提供相应售后服务。</w:t>
      </w:r>
    </w:p>
    <w:p w14:paraId="40D46EF5">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（4）                      。</w:t>
      </w:r>
    </w:p>
    <w:p w14:paraId="42CD2C64">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交货期、地点及交验方式 </w:t>
      </w:r>
    </w:p>
    <w:p w14:paraId="6880BEE4">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（1）交货期：在合同签订后    天内（即      年   月   日前）完成交货（不得超过响应文件承诺交货期限）；</w:t>
      </w:r>
    </w:p>
    <w:p w14:paraId="547AF64B">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（2）交验地点:        ；</w:t>
      </w:r>
    </w:p>
    <w:p w14:paraId="777A5B44">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（3）交验方式：乙方负责将完整配套的产品送达交货地点，由甲乙双方共同初验。交货时，乙方随货向甲方交付货物必需的检测报告。</w:t>
      </w:r>
    </w:p>
    <w:p w14:paraId="09FDA53C">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7</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验收：                   。</w:t>
      </w:r>
    </w:p>
    <w:p w14:paraId="7D4C0022">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货物款项结算：                     。</w:t>
      </w:r>
    </w:p>
    <w:p w14:paraId="7BDF04AC">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9</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甲乙双方的权利和义务</w:t>
      </w:r>
    </w:p>
    <w:p w14:paraId="717C6A73">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（1）甲方的权利和义务</w:t>
      </w:r>
    </w:p>
    <w:p w14:paraId="6B014540">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①负责合同签订后项目实施的工作（如与乙方的具体联系和衔结，货物（设备）现场安装调试时配备人员进行监管控制）；</w:t>
      </w:r>
    </w:p>
    <w:p w14:paraId="134A1054">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②负责提供货物（设备）和安装调试所必须的场地和环境；</w:t>
      </w:r>
    </w:p>
    <w:p w14:paraId="7FC0CF53">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③负责组织成立验收小组对货物（设备）进行验收并签署验收报告；</w:t>
      </w:r>
    </w:p>
    <w:p w14:paraId="35F6C53A">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④按合同规定享有乙方提供的货物（设备）服务；</w:t>
      </w:r>
    </w:p>
    <w:p w14:paraId="6980C831">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⑤按政府采购规定落实采购资金并办理采购资金划拨手续。</w:t>
      </w:r>
    </w:p>
    <w:p w14:paraId="1F4746AC">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（二）乙方的权利和义务</w:t>
      </w:r>
    </w:p>
    <w:p w14:paraId="27DBFAF9">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（1）乙方保证按本合同条款负责完成甲方项目，并保证提供的设备是全新（包括零部件）、符合</w:t>
      </w:r>
      <w:r>
        <w:rPr>
          <w:rFonts w:hint="eastAsia" w:ascii="仿宋" w:hAnsi="仿宋" w:eastAsia="仿宋" w:cs="仿宋"/>
          <w:color w:val="000000" w:themeColor="text1"/>
          <w:sz w:val="24"/>
          <w:szCs w:val="24"/>
          <w:highlight w:val="none"/>
          <w:lang w:eastAsia="zh-CN"/>
          <w14:textFill>
            <w14:solidFill>
              <w14:schemeClr w14:val="tx1"/>
            </w14:solidFill>
          </w14:textFill>
        </w:rPr>
        <w:t>竞争性磋商文件</w:t>
      </w:r>
      <w:r>
        <w:rPr>
          <w:rFonts w:hint="eastAsia" w:ascii="仿宋" w:hAnsi="仿宋" w:eastAsia="仿宋" w:cs="仿宋"/>
          <w:color w:val="000000" w:themeColor="text1"/>
          <w:sz w:val="24"/>
          <w:szCs w:val="24"/>
          <w:highlight w:val="none"/>
          <w:lang w:val="zh-CN"/>
          <w14:textFill>
            <w14:solidFill>
              <w14:schemeClr w14:val="tx1"/>
            </w14:solidFill>
          </w14:textFill>
        </w:rPr>
        <w:t>规定、具有国家有关部门注册并符合国家质量检测标准（进口产品具有国家有关部门完整手续）和产品出厂标准的设备；设备及主要配件保修期为（   ）年，终身负责维修；并保证设备在甲方报废前正常运行。具体服务：保修期内，乙方对设备提供全免费上门保修或免费更换；在保修期，同一货物（设备）、同一质量问题连续三次维修仍无法正常使用，乙方必须予以更换同品牌、同型号或不低于</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配置的其它新机器。保修期后，收取成本费维修（自然灾害及人为故意损坏除外）；主设备乙方提供现场维修，维修人员在收到故障报告后保证（   ）小时内到达现场，在（   ）天内修复；乙方保证在甲方指定地点供应备品备件（含易损件）和配套消耗品；乙方对所提供的设备实行（   ）月时间定期进行保养（或维护、巡检）制度；</w:t>
      </w:r>
    </w:p>
    <w:p w14:paraId="0D09F5A2">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（2）保证甲方在合同设备或项目（有配套软件的还包括软件产品）使用期间不受第三方提出侵犯其专利权、商标权和工业设计权的起诉。</w:t>
      </w:r>
    </w:p>
    <w:p w14:paraId="0CF833C7">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（3）严格遵守</w:t>
      </w:r>
      <w:r>
        <w:rPr>
          <w:rFonts w:hint="eastAsia" w:ascii="仿宋" w:hAnsi="仿宋" w:eastAsia="仿宋" w:cs="仿宋"/>
          <w:color w:val="000000" w:themeColor="text1"/>
          <w:sz w:val="24"/>
          <w:szCs w:val="24"/>
          <w:highlight w:val="none"/>
          <w14:textFill>
            <w14:solidFill>
              <w14:schemeClr w14:val="tx1"/>
            </w14:solidFill>
          </w14:textFill>
        </w:rPr>
        <w:t>招标</w:t>
      </w:r>
      <w:r>
        <w:rPr>
          <w:rFonts w:hint="eastAsia" w:ascii="仿宋" w:hAnsi="仿宋" w:eastAsia="仿宋" w:cs="仿宋"/>
          <w:color w:val="000000" w:themeColor="text1"/>
          <w:sz w:val="24"/>
          <w:szCs w:val="24"/>
          <w:highlight w:val="none"/>
          <w:lang w:val="zh-CN"/>
          <w14:textFill>
            <w14:solidFill>
              <w14:schemeClr w14:val="tx1"/>
            </w14:solidFill>
          </w14:textFill>
        </w:rPr>
        <w:t>、技术澄清、商务谈判、</w:t>
      </w:r>
      <w:r>
        <w:rPr>
          <w:rFonts w:hint="eastAsia" w:ascii="仿宋" w:hAnsi="仿宋" w:eastAsia="仿宋" w:cs="仿宋"/>
          <w:color w:val="000000" w:themeColor="text1"/>
          <w:sz w:val="24"/>
          <w:szCs w:val="24"/>
          <w:highlight w:val="none"/>
          <w14:textFill>
            <w14:solidFill>
              <w14:schemeClr w14:val="tx1"/>
            </w14:solidFill>
          </w14:textFill>
        </w:rPr>
        <w:t>中标</w:t>
      </w:r>
      <w:r>
        <w:rPr>
          <w:rFonts w:hint="eastAsia" w:ascii="仿宋" w:hAnsi="仿宋" w:eastAsia="仿宋" w:cs="仿宋"/>
          <w:color w:val="000000" w:themeColor="text1"/>
          <w:sz w:val="24"/>
          <w:szCs w:val="24"/>
          <w:highlight w:val="none"/>
          <w:lang w:val="zh-CN"/>
          <w14:textFill>
            <w14:solidFill>
              <w14:schemeClr w14:val="tx1"/>
            </w14:solidFill>
          </w14:textFill>
        </w:rPr>
        <w:t>所承诺的一切规定和条款；</w:t>
      </w:r>
    </w:p>
    <w:p w14:paraId="2262555F">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（4）参与甲方共同进行设备和项目的验收。</w:t>
      </w:r>
    </w:p>
    <w:p w14:paraId="333B2AF3">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10</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违约责任</w:t>
      </w:r>
    </w:p>
    <w:p w14:paraId="7F4D2142">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除发生不可抗力事实外，乙方所交产品与合同不相符的，甲方有权拒收货物，乙方无权请求返还履约保证金；逾期交货将向甲方每日偿付合同总额   的滞纳金。因乙方不能按期交付造成经济损失的应依法赔偿，并视情况给予取消本次中标资格。</w:t>
      </w:r>
    </w:p>
    <w:p w14:paraId="14DFCC6E">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11</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争议</w:t>
      </w:r>
    </w:p>
    <w:p w14:paraId="0AA38822">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（1）因货物的质量问题发生争议的，应当邀请国家认可的质量检测机构对货物质量进行鉴定。货物符合标准的，鉴定费由甲方承担；货物不符合质量标准的，鉴定费由乙方承担。 </w:t>
      </w:r>
    </w:p>
    <w:p w14:paraId="568A5A16">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（2）因履行本合同引起的或与本合同有关的争议，甲、乙双方应首先通过友好协商解决，如果协商不能解决争议，则向合同签订地仲裁部门申请仲裁。</w:t>
      </w:r>
    </w:p>
    <w:p w14:paraId="60B55ABD">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合同的转让</w:t>
      </w:r>
    </w:p>
    <w:p w14:paraId="1BE91B07">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本采购合同仅适用于本次货物采购，不得转让他人，否则，本采购合同无效。</w:t>
      </w:r>
    </w:p>
    <w:p w14:paraId="7C2A31B7">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13</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合同的变更和终止</w:t>
      </w:r>
    </w:p>
    <w:p w14:paraId="67EBC09B">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除《民法典》规定的不可抗力和《政府采购法》第19条、第50条第二款规定的情形外，本合同一经签订，甲乙双方不得擅自变更、中止或终止合同。</w:t>
      </w:r>
    </w:p>
    <w:p w14:paraId="3EBF3CCC">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14</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合同生效及其他</w:t>
      </w:r>
    </w:p>
    <w:p w14:paraId="138EC036">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（1）本合同自双方签字盖章之日起生效。 </w:t>
      </w:r>
    </w:p>
    <w:p w14:paraId="5755ADCF">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（2）本合同一式_   份，甲乙双方各执_  份。</w:t>
      </w:r>
    </w:p>
    <w:p w14:paraId="285008AC">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15</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zh-CN"/>
          <w14:textFill>
            <w14:solidFill>
              <w14:schemeClr w14:val="tx1"/>
            </w14:solidFill>
          </w14:textFill>
        </w:rPr>
        <w:t>本合同不可分割之部分：</w:t>
      </w:r>
    </w:p>
    <w:p w14:paraId="6AF9C938">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（1）竞争性磋商文件；</w:t>
      </w:r>
    </w:p>
    <w:p w14:paraId="2D558A1E">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投标</w:t>
      </w:r>
      <w:r>
        <w:rPr>
          <w:rFonts w:hint="eastAsia" w:ascii="仿宋" w:hAnsi="仿宋" w:eastAsia="仿宋" w:cs="仿宋"/>
          <w:color w:val="000000" w:themeColor="text1"/>
          <w:sz w:val="24"/>
          <w:szCs w:val="24"/>
          <w:highlight w:val="none"/>
          <w:lang w:val="zh-CN"/>
          <w14:textFill>
            <w14:solidFill>
              <w14:schemeClr w14:val="tx1"/>
            </w14:solidFill>
          </w14:textFill>
        </w:rPr>
        <w:t>供应商的响应文件；</w:t>
      </w:r>
    </w:p>
    <w:p w14:paraId="6E0BBC2C">
      <w:pPr>
        <w:spacing w:line="440" w:lineRule="exact"/>
        <w:ind w:firstLine="480" w:firstLineChars="200"/>
        <w:rPr>
          <w:rFonts w:hint="eastAsia" w:ascii="仿宋" w:hAnsi="仿宋" w:eastAsia="仿宋" w:cs="仿宋"/>
          <w:color w:val="000000" w:themeColor="text1"/>
          <w:sz w:val="24"/>
          <w:szCs w:val="24"/>
          <w:highlight w:val="none"/>
          <w:lang w:val="zh-CN"/>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（3）</w:t>
      </w:r>
      <w:r>
        <w:rPr>
          <w:rFonts w:hint="eastAsia" w:ascii="仿宋" w:hAnsi="仿宋" w:eastAsia="仿宋" w:cs="仿宋"/>
          <w:color w:val="000000" w:themeColor="text1"/>
          <w:sz w:val="24"/>
          <w:szCs w:val="24"/>
          <w:highlight w:val="none"/>
          <w:lang w:val="en-US" w:eastAsia="zh-CN"/>
          <w14:textFill>
            <w14:solidFill>
              <w14:schemeClr w14:val="tx1"/>
            </w14:solidFill>
          </w14:textFill>
        </w:rPr>
        <w:t>成交</w:t>
      </w:r>
      <w:r>
        <w:rPr>
          <w:rFonts w:hint="eastAsia" w:ascii="仿宋" w:hAnsi="仿宋" w:eastAsia="仿宋" w:cs="仿宋"/>
          <w:color w:val="000000" w:themeColor="text1"/>
          <w:sz w:val="24"/>
          <w:szCs w:val="24"/>
          <w:highlight w:val="none"/>
          <w:lang w:val="zh-CN"/>
          <w14:textFill>
            <w14:solidFill>
              <w14:schemeClr w14:val="tx1"/>
            </w14:solidFill>
          </w14:textFill>
        </w:rPr>
        <w:t>通知书。</w:t>
      </w:r>
    </w:p>
    <w:p w14:paraId="43DF6441">
      <w:pP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注：本合同为示范文本，仅供参考，最终以甲乙双方协商签订的合同为准。</w:t>
      </w:r>
    </w:p>
    <w:p w14:paraId="3A65DB31">
      <w:pPr>
        <w:pStyle w:val="27"/>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7C70A049">
      <w:pPr>
        <w:pStyle w:val="27"/>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5EF1C85E">
      <w:pPr>
        <w:pStyle w:val="27"/>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4A3021B0">
      <w:pPr>
        <w:rPr>
          <w:rFonts w:hint="eastAsia" w:ascii="仿宋" w:hAnsi="仿宋" w:eastAsia="仿宋" w:cs="仿宋"/>
          <w:color w:val="000000" w:themeColor="text1"/>
          <w:sz w:val="30"/>
          <w:szCs w:val="30"/>
          <w:highlight w:val="none"/>
          <w:lang w:val="en-US" w:eastAsia="zh-CN"/>
          <w14:textFill>
            <w14:solidFill>
              <w14:schemeClr w14:val="tx1"/>
            </w14:solidFill>
          </w14:textFill>
        </w:rPr>
      </w:pPr>
      <w:bookmarkStart w:id="136" w:name="_Toc7411"/>
      <w:r>
        <w:rPr>
          <w:rFonts w:hint="eastAsia" w:ascii="仿宋" w:hAnsi="仿宋" w:eastAsia="仿宋" w:cs="仿宋"/>
          <w:color w:val="000000" w:themeColor="text1"/>
          <w:sz w:val="30"/>
          <w:szCs w:val="30"/>
          <w:highlight w:val="none"/>
          <w:lang w:val="en-US" w:eastAsia="zh-CN"/>
          <w14:textFill>
            <w14:solidFill>
              <w14:schemeClr w14:val="tx1"/>
            </w14:solidFill>
          </w14:textFill>
        </w:rPr>
        <w:br w:type="page"/>
      </w:r>
    </w:p>
    <w:p w14:paraId="2982110B">
      <w:pPr>
        <w:pStyle w:val="2"/>
        <w:keepNext/>
        <w:keepLines/>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outlineLvl w:val="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第五章、采购需求</w:t>
      </w:r>
      <w:bookmarkEnd w:id="136"/>
    </w:p>
    <w:p w14:paraId="56F1CFE7">
      <w:pPr>
        <w:pageBreakBefore w:val="0"/>
        <w:widowControl w:val="0"/>
        <w:kinsoku/>
        <w:wordWrap/>
        <w:overflowPunct/>
        <w:topLinePunct w:val="0"/>
        <w:autoSpaceDE/>
        <w:autoSpaceDN/>
        <w:bidi w:val="0"/>
        <w:adjustRightInd/>
        <w:snapToGrid/>
        <w:spacing w:after="0" w:line="560" w:lineRule="exact"/>
        <w:ind w:firstLine="540"/>
        <w:jc w:val="both"/>
        <w:textAlignment w:val="auto"/>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pP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根据《云南省2025年度山洪灾害防治项目实施方案》（文山州分册）和《文山市2025年度山洪灾害防治非工程措施运行维护实施方案》开展文山市2025年度山洪灾害防治及维修养护项目。</w:t>
      </w:r>
    </w:p>
    <w:p w14:paraId="2C2E2E69">
      <w:pPr>
        <w:pStyle w:val="27"/>
        <w:spacing w:line="240" w:lineRule="auto"/>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22B36ADE">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一、开展文山市2025年山洪灾害防治项目建设</w:t>
      </w:r>
    </w:p>
    <w:p w14:paraId="734A20B4">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（一）监测能力提升</w:t>
      </w:r>
    </w:p>
    <w:p w14:paraId="473E196A">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 xml:space="preserve">（1）补充新建自动雨量站 </w:t>
      </w:r>
    </w:p>
    <w:p w14:paraId="17121587">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在文山市境内补充新建自动雨量站11个。</w:t>
      </w:r>
    </w:p>
    <w:tbl>
      <w:tblPr>
        <w:tblStyle w:val="28"/>
        <w:tblW w:w="977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1"/>
        <w:gridCol w:w="886"/>
        <w:gridCol w:w="1245"/>
        <w:gridCol w:w="1425"/>
        <w:gridCol w:w="1455"/>
        <w:gridCol w:w="2115"/>
        <w:gridCol w:w="900"/>
        <w:gridCol w:w="1245"/>
      </w:tblGrid>
      <w:tr w14:paraId="0DE9BE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6" w:hRule="atLeast"/>
          <w:jc w:val="center"/>
        </w:trPr>
        <w:tc>
          <w:tcPr>
            <w:tcW w:w="501" w:type="dxa"/>
            <w:vMerge w:val="restart"/>
            <w:tcBorders>
              <w:bottom w:val="nil"/>
            </w:tcBorders>
            <w:textDirection w:val="tbRlV"/>
            <w:vAlign w:val="top"/>
          </w:tcPr>
          <w:p w14:paraId="27EC3012">
            <w:pPr>
              <w:pStyle w:val="37"/>
              <w:spacing w:before="168" w:line="211" w:lineRule="auto"/>
              <w:ind w:left="5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序</w:t>
            </w:r>
            <w:r>
              <w:rPr>
                <w:rFonts w:hint="eastAsia" w:ascii="仿宋" w:hAnsi="仿宋" w:eastAsia="仿宋" w:cs="仿宋"/>
                <w:color w:val="000000" w:themeColor="text1"/>
                <w:spacing w:val="-32"/>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号</w:t>
            </w:r>
          </w:p>
        </w:tc>
        <w:tc>
          <w:tcPr>
            <w:tcW w:w="886" w:type="dxa"/>
            <w:vMerge w:val="restart"/>
            <w:tcBorders>
              <w:bottom w:val="nil"/>
            </w:tcBorders>
            <w:vAlign w:val="top"/>
          </w:tcPr>
          <w:p w14:paraId="599CB8AB">
            <w:pPr>
              <w:pStyle w:val="37"/>
              <w:spacing w:before="155" w:line="225" w:lineRule="auto"/>
              <w:ind w:firstLine="234" w:firstLineChars="1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县区</w:t>
            </w:r>
          </w:p>
        </w:tc>
        <w:tc>
          <w:tcPr>
            <w:tcW w:w="1245" w:type="dxa"/>
            <w:vMerge w:val="restart"/>
            <w:tcBorders>
              <w:bottom w:val="nil"/>
            </w:tcBorders>
            <w:vAlign w:val="top"/>
          </w:tcPr>
          <w:p w14:paraId="25FA6BD9">
            <w:pPr>
              <w:pStyle w:val="37"/>
              <w:spacing w:before="156" w:line="220" w:lineRule="auto"/>
              <w:ind w:firstLine="228" w:firstLineChars="1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乡镇</w:t>
            </w:r>
          </w:p>
        </w:tc>
        <w:tc>
          <w:tcPr>
            <w:tcW w:w="2880" w:type="dxa"/>
            <w:gridSpan w:val="2"/>
            <w:vAlign w:val="top"/>
          </w:tcPr>
          <w:p w14:paraId="3A199ECE">
            <w:pPr>
              <w:pStyle w:val="37"/>
              <w:spacing w:before="36" w:line="219" w:lineRule="auto"/>
              <w:ind w:left="79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参考坐标</w:t>
            </w:r>
          </w:p>
        </w:tc>
        <w:tc>
          <w:tcPr>
            <w:tcW w:w="2115" w:type="dxa"/>
            <w:vMerge w:val="restart"/>
            <w:tcBorders>
              <w:bottom w:val="nil"/>
            </w:tcBorders>
            <w:vAlign w:val="top"/>
          </w:tcPr>
          <w:p w14:paraId="61A56FF7">
            <w:pPr>
              <w:pStyle w:val="37"/>
              <w:spacing w:before="155" w:line="22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覆盖防治村</w:t>
            </w:r>
          </w:p>
        </w:tc>
        <w:tc>
          <w:tcPr>
            <w:tcW w:w="2145" w:type="dxa"/>
            <w:gridSpan w:val="2"/>
            <w:vAlign w:val="top"/>
          </w:tcPr>
          <w:p w14:paraId="1828EA2F">
            <w:pPr>
              <w:pStyle w:val="37"/>
              <w:spacing w:before="36" w:line="219" w:lineRule="auto"/>
              <w:ind w:left="89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站点类型</w:t>
            </w:r>
          </w:p>
        </w:tc>
      </w:tr>
      <w:tr w14:paraId="64AA36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Merge w:val="continue"/>
            <w:tcBorders>
              <w:top w:val="nil"/>
            </w:tcBorders>
            <w:textDirection w:val="tbRlV"/>
            <w:vAlign w:val="top"/>
          </w:tcPr>
          <w:p w14:paraId="0690773B">
            <w:pPr>
              <w:rPr>
                <w:rFonts w:hint="eastAsia" w:ascii="仿宋" w:hAnsi="仿宋" w:eastAsia="仿宋" w:cs="仿宋"/>
                <w:color w:val="000000" w:themeColor="text1"/>
                <w:sz w:val="24"/>
                <w:szCs w:val="24"/>
                <w:highlight w:val="none"/>
                <w14:textFill>
                  <w14:solidFill>
                    <w14:schemeClr w14:val="tx1"/>
                  </w14:solidFill>
                </w14:textFill>
              </w:rPr>
            </w:pPr>
          </w:p>
        </w:tc>
        <w:tc>
          <w:tcPr>
            <w:tcW w:w="886" w:type="dxa"/>
            <w:vMerge w:val="continue"/>
            <w:tcBorders>
              <w:top w:val="nil"/>
            </w:tcBorders>
            <w:vAlign w:val="top"/>
          </w:tcPr>
          <w:p w14:paraId="03D406C2">
            <w:pPr>
              <w:rPr>
                <w:rFonts w:hint="eastAsia" w:ascii="仿宋" w:hAnsi="仿宋" w:eastAsia="仿宋" w:cs="仿宋"/>
                <w:color w:val="000000" w:themeColor="text1"/>
                <w:sz w:val="24"/>
                <w:szCs w:val="24"/>
                <w:highlight w:val="none"/>
                <w14:textFill>
                  <w14:solidFill>
                    <w14:schemeClr w14:val="tx1"/>
                  </w14:solidFill>
                </w14:textFill>
              </w:rPr>
            </w:pPr>
          </w:p>
        </w:tc>
        <w:tc>
          <w:tcPr>
            <w:tcW w:w="1245" w:type="dxa"/>
            <w:vMerge w:val="continue"/>
            <w:tcBorders>
              <w:top w:val="nil"/>
            </w:tcBorders>
            <w:vAlign w:val="top"/>
          </w:tcPr>
          <w:p w14:paraId="57F30BFF">
            <w:pPr>
              <w:rPr>
                <w:rFonts w:hint="eastAsia" w:ascii="仿宋" w:hAnsi="仿宋" w:eastAsia="仿宋" w:cs="仿宋"/>
                <w:color w:val="000000" w:themeColor="text1"/>
                <w:sz w:val="24"/>
                <w:szCs w:val="24"/>
                <w:highlight w:val="none"/>
                <w14:textFill>
                  <w14:solidFill>
                    <w14:schemeClr w14:val="tx1"/>
                  </w14:solidFill>
                </w14:textFill>
              </w:rPr>
            </w:pPr>
          </w:p>
        </w:tc>
        <w:tc>
          <w:tcPr>
            <w:tcW w:w="1425" w:type="dxa"/>
            <w:vAlign w:val="top"/>
          </w:tcPr>
          <w:p w14:paraId="1E638093">
            <w:pPr>
              <w:pStyle w:val="37"/>
              <w:spacing w:before="33" w:line="218" w:lineRule="auto"/>
              <w:ind w:left="42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经度</w:t>
            </w:r>
          </w:p>
        </w:tc>
        <w:tc>
          <w:tcPr>
            <w:tcW w:w="1455" w:type="dxa"/>
            <w:vAlign w:val="top"/>
          </w:tcPr>
          <w:p w14:paraId="1000039F">
            <w:pPr>
              <w:pStyle w:val="37"/>
              <w:spacing w:before="33" w:line="218" w:lineRule="auto"/>
              <w:ind w:left="37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纬度</w:t>
            </w:r>
          </w:p>
        </w:tc>
        <w:tc>
          <w:tcPr>
            <w:tcW w:w="2115" w:type="dxa"/>
            <w:vMerge w:val="continue"/>
            <w:tcBorders>
              <w:top w:val="nil"/>
            </w:tcBorders>
            <w:vAlign w:val="top"/>
          </w:tcPr>
          <w:p w14:paraId="1EDD5691">
            <w:pPr>
              <w:rPr>
                <w:rFonts w:hint="eastAsia" w:ascii="仿宋" w:hAnsi="仿宋" w:eastAsia="仿宋" w:cs="仿宋"/>
                <w:color w:val="000000" w:themeColor="text1"/>
                <w:sz w:val="24"/>
                <w:szCs w:val="24"/>
                <w:highlight w:val="none"/>
                <w14:textFill>
                  <w14:solidFill>
                    <w14:schemeClr w14:val="tx1"/>
                  </w14:solidFill>
                </w14:textFill>
              </w:rPr>
            </w:pPr>
          </w:p>
        </w:tc>
        <w:tc>
          <w:tcPr>
            <w:tcW w:w="900" w:type="dxa"/>
            <w:vAlign w:val="top"/>
          </w:tcPr>
          <w:p w14:paraId="72D01BB4">
            <w:pPr>
              <w:pStyle w:val="37"/>
              <w:spacing w:before="33" w:line="218" w:lineRule="auto"/>
              <w:ind w:left="17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14FFB7A5">
            <w:pPr>
              <w:pStyle w:val="37"/>
              <w:spacing w:before="33" w:line="218" w:lineRule="auto"/>
              <w:ind w:left="25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雨量水位一体站</w:t>
            </w:r>
          </w:p>
        </w:tc>
      </w:tr>
      <w:tr w14:paraId="1BB2B1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6771C576">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886" w:type="dxa"/>
            <w:vAlign w:val="top"/>
          </w:tcPr>
          <w:p w14:paraId="2B686B9E">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79366015">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平坝镇</w:t>
            </w:r>
          </w:p>
        </w:tc>
        <w:tc>
          <w:tcPr>
            <w:tcW w:w="1425" w:type="dxa"/>
            <w:vAlign w:val="top"/>
          </w:tcPr>
          <w:p w14:paraId="1B23BB57">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104.096579</w:t>
            </w:r>
          </w:p>
        </w:tc>
        <w:tc>
          <w:tcPr>
            <w:tcW w:w="1455" w:type="dxa"/>
            <w:vAlign w:val="top"/>
          </w:tcPr>
          <w:p w14:paraId="632D1816">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23.157317</w:t>
            </w:r>
          </w:p>
        </w:tc>
        <w:tc>
          <w:tcPr>
            <w:tcW w:w="2115" w:type="dxa"/>
            <w:vAlign w:val="top"/>
          </w:tcPr>
          <w:p w14:paraId="53190D9D">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文山市河边</w:t>
            </w:r>
          </w:p>
        </w:tc>
        <w:tc>
          <w:tcPr>
            <w:tcW w:w="900" w:type="dxa"/>
            <w:vAlign w:val="top"/>
          </w:tcPr>
          <w:p w14:paraId="41DAA0BB">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3047FCC5">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5866D6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166FBFFC">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886" w:type="dxa"/>
            <w:vAlign w:val="top"/>
          </w:tcPr>
          <w:p w14:paraId="3429C34A">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7F9B6BDC">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平坝镇</w:t>
            </w:r>
          </w:p>
        </w:tc>
        <w:tc>
          <w:tcPr>
            <w:tcW w:w="1425" w:type="dxa"/>
            <w:vAlign w:val="top"/>
          </w:tcPr>
          <w:p w14:paraId="2A838B9D">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104.143557</w:t>
            </w:r>
          </w:p>
        </w:tc>
        <w:tc>
          <w:tcPr>
            <w:tcW w:w="1455" w:type="dxa"/>
            <w:vAlign w:val="top"/>
          </w:tcPr>
          <w:p w14:paraId="4A5DDF8E">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23.233233</w:t>
            </w:r>
          </w:p>
        </w:tc>
        <w:tc>
          <w:tcPr>
            <w:tcW w:w="2115" w:type="dxa"/>
            <w:vAlign w:val="top"/>
          </w:tcPr>
          <w:p w14:paraId="6558DBD7">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文山市锁龙桥</w:t>
            </w:r>
          </w:p>
        </w:tc>
        <w:tc>
          <w:tcPr>
            <w:tcW w:w="900" w:type="dxa"/>
            <w:vAlign w:val="top"/>
          </w:tcPr>
          <w:p w14:paraId="7BAEA727">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4DE4B4C2">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2CB04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4E66445B">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886" w:type="dxa"/>
            <w:vAlign w:val="top"/>
          </w:tcPr>
          <w:p w14:paraId="517C32B6">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2A013BAA">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平坝镇</w:t>
            </w:r>
          </w:p>
        </w:tc>
        <w:tc>
          <w:tcPr>
            <w:tcW w:w="1425" w:type="dxa"/>
            <w:vAlign w:val="top"/>
          </w:tcPr>
          <w:p w14:paraId="721EFE9A">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104.123181</w:t>
            </w:r>
          </w:p>
        </w:tc>
        <w:tc>
          <w:tcPr>
            <w:tcW w:w="1455" w:type="dxa"/>
            <w:vAlign w:val="top"/>
          </w:tcPr>
          <w:p w14:paraId="4D387EF6">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23.247167</w:t>
            </w:r>
          </w:p>
        </w:tc>
        <w:tc>
          <w:tcPr>
            <w:tcW w:w="2115" w:type="dxa"/>
            <w:vAlign w:val="top"/>
          </w:tcPr>
          <w:p w14:paraId="2683D250">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文山市噜咱</w:t>
            </w:r>
          </w:p>
        </w:tc>
        <w:tc>
          <w:tcPr>
            <w:tcW w:w="900" w:type="dxa"/>
            <w:vAlign w:val="top"/>
          </w:tcPr>
          <w:p w14:paraId="01125F9C">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0BC7F8EE">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49274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3C3A1A0D">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p>
        </w:tc>
        <w:tc>
          <w:tcPr>
            <w:tcW w:w="886" w:type="dxa"/>
            <w:vAlign w:val="top"/>
          </w:tcPr>
          <w:p w14:paraId="477A3ABB">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47E68EEF">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平坝镇</w:t>
            </w:r>
          </w:p>
        </w:tc>
        <w:tc>
          <w:tcPr>
            <w:tcW w:w="1425" w:type="dxa"/>
            <w:vAlign w:val="top"/>
          </w:tcPr>
          <w:p w14:paraId="02F4D633">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104.094989</w:t>
            </w:r>
          </w:p>
        </w:tc>
        <w:tc>
          <w:tcPr>
            <w:tcW w:w="1455" w:type="dxa"/>
            <w:vAlign w:val="top"/>
          </w:tcPr>
          <w:p w14:paraId="7B61C557">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23.253396</w:t>
            </w:r>
          </w:p>
        </w:tc>
        <w:tc>
          <w:tcPr>
            <w:tcW w:w="2115" w:type="dxa"/>
            <w:vAlign w:val="top"/>
          </w:tcPr>
          <w:p w14:paraId="6F9EB9FF">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杨柳河上寨</w:t>
            </w:r>
          </w:p>
        </w:tc>
        <w:tc>
          <w:tcPr>
            <w:tcW w:w="900" w:type="dxa"/>
            <w:vAlign w:val="top"/>
          </w:tcPr>
          <w:p w14:paraId="73AE21A3">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27F287D4">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267B7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0EB75C58">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p>
        </w:tc>
        <w:tc>
          <w:tcPr>
            <w:tcW w:w="886" w:type="dxa"/>
            <w:vAlign w:val="top"/>
          </w:tcPr>
          <w:p w14:paraId="29050B88">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219898EA">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小街镇</w:t>
            </w:r>
          </w:p>
        </w:tc>
        <w:tc>
          <w:tcPr>
            <w:tcW w:w="1425" w:type="dxa"/>
            <w:vAlign w:val="top"/>
          </w:tcPr>
          <w:p w14:paraId="5ABAC7E5">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104.029018</w:t>
            </w:r>
          </w:p>
        </w:tc>
        <w:tc>
          <w:tcPr>
            <w:tcW w:w="1455" w:type="dxa"/>
            <w:vAlign w:val="top"/>
          </w:tcPr>
          <w:p w14:paraId="146B7F55">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23.261458</w:t>
            </w:r>
          </w:p>
        </w:tc>
        <w:tc>
          <w:tcPr>
            <w:tcW w:w="2115" w:type="dxa"/>
            <w:vAlign w:val="top"/>
          </w:tcPr>
          <w:p w14:paraId="13BD14CD">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小街镇大叶树柯</w:t>
            </w:r>
          </w:p>
        </w:tc>
        <w:tc>
          <w:tcPr>
            <w:tcW w:w="900" w:type="dxa"/>
            <w:vAlign w:val="top"/>
          </w:tcPr>
          <w:p w14:paraId="5422A61E">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2DD55BB7">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150AE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4CBFFA13">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w:t>
            </w:r>
          </w:p>
        </w:tc>
        <w:tc>
          <w:tcPr>
            <w:tcW w:w="886" w:type="dxa"/>
            <w:vAlign w:val="top"/>
          </w:tcPr>
          <w:p w14:paraId="3B9B511D">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51A852DD">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古木镇</w:t>
            </w:r>
          </w:p>
        </w:tc>
        <w:tc>
          <w:tcPr>
            <w:tcW w:w="1425" w:type="dxa"/>
            <w:vAlign w:val="top"/>
          </w:tcPr>
          <w:p w14:paraId="04A5EB1C">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104.199585</w:t>
            </w:r>
          </w:p>
        </w:tc>
        <w:tc>
          <w:tcPr>
            <w:tcW w:w="1455" w:type="dxa"/>
            <w:vAlign w:val="top"/>
          </w:tcPr>
          <w:p w14:paraId="07A6887F">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23.28405</w:t>
            </w:r>
          </w:p>
        </w:tc>
        <w:tc>
          <w:tcPr>
            <w:tcW w:w="2115" w:type="dxa"/>
            <w:vAlign w:val="top"/>
          </w:tcPr>
          <w:p w14:paraId="6FF954C3">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文山市务兔</w:t>
            </w:r>
          </w:p>
        </w:tc>
        <w:tc>
          <w:tcPr>
            <w:tcW w:w="900" w:type="dxa"/>
            <w:vAlign w:val="top"/>
          </w:tcPr>
          <w:p w14:paraId="44243638">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2CD76241">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34B54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1BD00217">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7</w:t>
            </w:r>
          </w:p>
        </w:tc>
        <w:tc>
          <w:tcPr>
            <w:tcW w:w="886" w:type="dxa"/>
            <w:vAlign w:val="top"/>
          </w:tcPr>
          <w:p w14:paraId="6DFF1CAD">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2C955FAA">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古木镇</w:t>
            </w:r>
          </w:p>
        </w:tc>
        <w:tc>
          <w:tcPr>
            <w:tcW w:w="1425" w:type="dxa"/>
            <w:vAlign w:val="top"/>
          </w:tcPr>
          <w:p w14:paraId="1D9F69F9">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104.209295</w:t>
            </w:r>
          </w:p>
        </w:tc>
        <w:tc>
          <w:tcPr>
            <w:tcW w:w="1455" w:type="dxa"/>
            <w:vAlign w:val="top"/>
          </w:tcPr>
          <w:p w14:paraId="70C7AB30">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23.291293</w:t>
            </w:r>
          </w:p>
        </w:tc>
        <w:tc>
          <w:tcPr>
            <w:tcW w:w="2115" w:type="dxa"/>
            <w:vAlign w:val="top"/>
          </w:tcPr>
          <w:p w14:paraId="02A228D3">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文山市马郎</w:t>
            </w:r>
          </w:p>
        </w:tc>
        <w:tc>
          <w:tcPr>
            <w:tcW w:w="900" w:type="dxa"/>
            <w:vAlign w:val="top"/>
          </w:tcPr>
          <w:p w14:paraId="2AD1C89B">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63078E57">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212877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1BF84581">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8</w:t>
            </w:r>
          </w:p>
        </w:tc>
        <w:tc>
          <w:tcPr>
            <w:tcW w:w="886" w:type="dxa"/>
            <w:vAlign w:val="top"/>
          </w:tcPr>
          <w:p w14:paraId="341AD0B4">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13FAF471">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开化街道</w:t>
            </w:r>
          </w:p>
        </w:tc>
        <w:tc>
          <w:tcPr>
            <w:tcW w:w="1425" w:type="dxa"/>
            <w:vAlign w:val="top"/>
          </w:tcPr>
          <w:p w14:paraId="3D355AE3">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104.181126</w:t>
            </w:r>
          </w:p>
        </w:tc>
        <w:tc>
          <w:tcPr>
            <w:tcW w:w="1455" w:type="dxa"/>
            <w:vAlign w:val="top"/>
          </w:tcPr>
          <w:p w14:paraId="17DF0177">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23.312759</w:t>
            </w:r>
          </w:p>
        </w:tc>
        <w:tc>
          <w:tcPr>
            <w:tcW w:w="2115" w:type="dxa"/>
            <w:vAlign w:val="top"/>
          </w:tcPr>
          <w:p w14:paraId="5A03DEE3">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禾木格一组、二组、三组</w:t>
            </w:r>
          </w:p>
        </w:tc>
        <w:tc>
          <w:tcPr>
            <w:tcW w:w="900" w:type="dxa"/>
            <w:vAlign w:val="top"/>
          </w:tcPr>
          <w:p w14:paraId="0BDBF549">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7C35B4BC">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68D49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27B40AD1">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w:t>
            </w:r>
          </w:p>
        </w:tc>
        <w:tc>
          <w:tcPr>
            <w:tcW w:w="886" w:type="dxa"/>
            <w:vAlign w:val="top"/>
          </w:tcPr>
          <w:p w14:paraId="2664C83C">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713AF1D9">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薄竹镇</w:t>
            </w:r>
          </w:p>
        </w:tc>
        <w:tc>
          <w:tcPr>
            <w:tcW w:w="1425" w:type="dxa"/>
            <w:vAlign w:val="top"/>
          </w:tcPr>
          <w:p w14:paraId="3BC59952">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103.935822</w:t>
            </w:r>
          </w:p>
        </w:tc>
        <w:tc>
          <w:tcPr>
            <w:tcW w:w="1455" w:type="dxa"/>
            <w:vAlign w:val="top"/>
          </w:tcPr>
          <w:p w14:paraId="39E97D34">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23.406422</w:t>
            </w:r>
          </w:p>
        </w:tc>
        <w:tc>
          <w:tcPr>
            <w:tcW w:w="2115" w:type="dxa"/>
            <w:vAlign w:val="top"/>
          </w:tcPr>
          <w:p w14:paraId="3B332A2E">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薄竹镇冬瓜林</w:t>
            </w:r>
          </w:p>
        </w:tc>
        <w:tc>
          <w:tcPr>
            <w:tcW w:w="900" w:type="dxa"/>
            <w:vAlign w:val="top"/>
          </w:tcPr>
          <w:p w14:paraId="608078C5">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426B9C13">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402C53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448D1A6D">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9"/>
                <w:sz w:val="24"/>
                <w:szCs w:val="24"/>
                <w:highlight w:val="none"/>
                <w14:textFill>
                  <w14:solidFill>
                    <w14:schemeClr w14:val="tx1"/>
                  </w14:solidFill>
                </w14:textFill>
              </w:rPr>
              <w:t>10</w:t>
            </w:r>
          </w:p>
        </w:tc>
        <w:tc>
          <w:tcPr>
            <w:tcW w:w="886" w:type="dxa"/>
            <w:vAlign w:val="top"/>
          </w:tcPr>
          <w:p w14:paraId="4572445B">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089D91F0">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薄竹镇</w:t>
            </w:r>
          </w:p>
        </w:tc>
        <w:tc>
          <w:tcPr>
            <w:tcW w:w="1425" w:type="dxa"/>
            <w:vAlign w:val="top"/>
          </w:tcPr>
          <w:p w14:paraId="65BDC7D5">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103.842762</w:t>
            </w:r>
          </w:p>
        </w:tc>
        <w:tc>
          <w:tcPr>
            <w:tcW w:w="1455" w:type="dxa"/>
            <w:vAlign w:val="top"/>
          </w:tcPr>
          <w:p w14:paraId="655E91C0">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23.410483</w:t>
            </w:r>
          </w:p>
        </w:tc>
        <w:tc>
          <w:tcPr>
            <w:tcW w:w="2115" w:type="dxa"/>
            <w:vAlign w:val="top"/>
          </w:tcPr>
          <w:p w14:paraId="15902B0B">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薄竹镇小寨</w:t>
            </w:r>
          </w:p>
        </w:tc>
        <w:tc>
          <w:tcPr>
            <w:tcW w:w="900" w:type="dxa"/>
            <w:vAlign w:val="top"/>
          </w:tcPr>
          <w:p w14:paraId="4D68851B">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7FE0C259">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6C6FB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jc w:val="center"/>
        </w:trPr>
        <w:tc>
          <w:tcPr>
            <w:tcW w:w="501" w:type="dxa"/>
            <w:vAlign w:val="top"/>
          </w:tcPr>
          <w:p w14:paraId="0125752D">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9"/>
                <w:sz w:val="24"/>
                <w:szCs w:val="24"/>
                <w:highlight w:val="none"/>
                <w14:textFill>
                  <w14:solidFill>
                    <w14:schemeClr w14:val="tx1"/>
                  </w14:solidFill>
                </w14:textFill>
              </w:rPr>
              <w:t>11</w:t>
            </w:r>
          </w:p>
        </w:tc>
        <w:tc>
          <w:tcPr>
            <w:tcW w:w="886" w:type="dxa"/>
            <w:vAlign w:val="top"/>
          </w:tcPr>
          <w:p w14:paraId="57578954">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1245" w:type="dxa"/>
            <w:vAlign w:val="top"/>
          </w:tcPr>
          <w:p w14:paraId="6A399A03">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德厚镇</w:t>
            </w:r>
          </w:p>
        </w:tc>
        <w:tc>
          <w:tcPr>
            <w:tcW w:w="1425" w:type="dxa"/>
            <w:vAlign w:val="top"/>
          </w:tcPr>
          <w:p w14:paraId="53B1DD9C">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103.898468</w:t>
            </w:r>
          </w:p>
        </w:tc>
        <w:tc>
          <w:tcPr>
            <w:tcW w:w="1455" w:type="dxa"/>
            <w:vAlign w:val="top"/>
          </w:tcPr>
          <w:p w14:paraId="2FE6A20F">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23.589395</w:t>
            </w:r>
          </w:p>
        </w:tc>
        <w:tc>
          <w:tcPr>
            <w:tcW w:w="2115" w:type="dxa"/>
            <w:vAlign w:val="top"/>
          </w:tcPr>
          <w:p w14:paraId="012E6813">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德厚镇坝头</w:t>
            </w:r>
          </w:p>
        </w:tc>
        <w:tc>
          <w:tcPr>
            <w:tcW w:w="900" w:type="dxa"/>
            <w:vAlign w:val="top"/>
          </w:tcPr>
          <w:p w14:paraId="1B0F5ADB">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1245" w:type="dxa"/>
            <w:vAlign w:val="top"/>
          </w:tcPr>
          <w:p w14:paraId="04F8E940">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bl>
    <w:p w14:paraId="750ED974">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p>
    <w:p w14:paraId="1E450080">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p>
    <w:p w14:paraId="76B6D338">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 xml:space="preserve">（2）更新雨水情监测站点 </w:t>
      </w:r>
    </w:p>
    <w:p w14:paraId="2F250C3B">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对文山市境内5个已建老化、受损设备雨量站进行更新。</w:t>
      </w:r>
    </w:p>
    <w:tbl>
      <w:tblPr>
        <w:tblStyle w:val="28"/>
        <w:tblW w:w="928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8"/>
        <w:gridCol w:w="795"/>
        <w:gridCol w:w="785"/>
        <w:gridCol w:w="788"/>
        <w:gridCol w:w="785"/>
        <w:gridCol w:w="1241"/>
        <w:gridCol w:w="1260"/>
        <w:gridCol w:w="540"/>
        <w:gridCol w:w="885"/>
        <w:gridCol w:w="636"/>
        <w:gridCol w:w="786"/>
      </w:tblGrid>
      <w:tr w14:paraId="5A7C9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36" w:hRule="atLeast"/>
        </w:trPr>
        <w:tc>
          <w:tcPr>
            <w:tcW w:w="788" w:type="dxa"/>
            <w:vMerge w:val="restart"/>
            <w:tcBorders>
              <w:bottom w:val="nil"/>
            </w:tcBorders>
            <w:vAlign w:val="top"/>
          </w:tcPr>
          <w:p w14:paraId="14553B40">
            <w:pPr>
              <w:pStyle w:val="37"/>
              <w:spacing w:before="249" w:line="222"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序号</w:t>
            </w:r>
          </w:p>
        </w:tc>
        <w:tc>
          <w:tcPr>
            <w:tcW w:w="795" w:type="dxa"/>
            <w:vMerge w:val="restart"/>
            <w:tcBorders>
              <w:bottom w:val="nil"/>
            </w:tcBorders>
            <w:vAlign w:val="top"/>
          </w:tcPr>
          <w:p w14:paraId="559362B3">
            <w:pPr>
              <w:pStyle w:val="37"/>
              <w:spacing w:before="250" w:line="22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县市区</w:t>
            </w:r>
          </w:p>
        </w:tc>
        <w:tc>
          <w:tcPr>
            <w:tcW w:w="1573" w:type="dxa"/>
            <w:gridSpan w:val="2"/>
            <w:vAlign w:val="top"/>
          </w:tcPr>
          <w:p w14:paraId="5974882C">
            <w:pPr>
              <w:pStyle w:val="37"/>
              <w:spacing w:before="36" w:line="219" w:lineRule="auto"/>
              <w:ind w:left="46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站点类型</w:t>
            </w:r>
          </w:p>
        </w:tc>
        <w:tc>
          <w:tcPr>
            <w:tcW w:w="785" w:type="dxa"/>
            <w:vMerge w:val="restart"/>
            <w:tcBorders>
              <w:bottom w:val="nil"/>
            </w:tcBorders>
            <w:vAlign w:val="top"/>
          </w:tcPr>
          <w:p w14:paraId="39C84959">
            <w:pPr>
              <w:pStyle w:val="37"/>
              <w:spacing w:before="146"/>
              <w:ind w:left="113" w:right="43" w:firstLine="4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建站年</w:t>
            </w:r>
            <w:r>
              <w:rPr>
                <w:rFonts w:hint="eastAsia" w:ascii="仿宋" w:hAnsi="仿宋" w:eastAsia="仿宋" w:cs="仿宋"/>
                <w:color w:val="000000" w:themeColor="text1"/>
                <w:spacing w:val="-5"/>
                <w:sz w:val="24"/>
                <w:szCs w:val="24"/>
                <w:highlight w:val="none"/>
                <w14:textFill>
                  <w14:solidFill>
                    <w14:schemeClr w14:val="tx1"/>
                  </w14:solidFill>
                </w14:textFill>
              </w:rPr>
              <w:t>份（年）</w:t>
            </w:r>
          </w:p>
        </w:tc>
        <w:tc>
          <w:tcPr>
            <w:tcW w:w="2501" w:type="dxa"/>
            <w:gridSpan w:val="2"/>
            <w:vAlign w:val="top"/>
          </w:tcPr>
          <w:p w14:paraId="080B5112">
            <w:pPr>
              <w:pStyle w:val="37"/>
              <w:spacing w:before="36" w:line="219" w:lineRule="auto"/>
              <w:ind w:left="78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站点坐标</w:t>
            </w:r>
          </w:p>
        </w:tc>
        <w:tc>
          <w:tcPr>
            <w:tcW w:w="2847" w:type="dxa"/>
            <w:gridSpan w:val="4"/>
            <w:vAlign w:val="top"/>
          </w:tcPr>
          <w:p w14:paraId="73297FF2">
            <w:pPr>
              <w:pStyle w:val="37"/>
              <w:spacing w:before="36" w:line="219" w:lineRule="auto"/>
              <w:ind w:left="109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更新改造内容</w:t>
            </w:r>
          </w:p>
        </w:tc>
      </w:tr>
      <w:tr w14:paraId="2AAB59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0" w:hRule="atLeast"/>
        </w:trPr>
        <w:tc>
          <w:tcPr>
            <w:tcW w:w="788" w:type="dxa"/>
            <w:vMerge w:val="continue"/>
            <w:tcBorders>
              <w:top w:val="nil"/>
            </w:tcBorders>
            <w:vAlign w:val="top"/>
          </w:tcPr>
          <w:p w14:paraId="5837597A">
            <w:pPr>
              <w:rPr>
                <w:rFonts w:hint="eastAsia" w:ascii="仿宋" w:hAnsi="仿宋" w:eastAsia="仿宋" w:cs="仿宋"/>
                <w:color w:val="000000" w:themeColor="text1"/>
                <w:sz w:val="24"/>
                <w:szCs w:val="24"/>
                <w:highlight w:val="none"/>
                <w14:textFill>
                  <w14:solidFill>
                    <w14:schemeClr w14:val="tx1"/>
                  </w14:solidFill>
                </w14:textFill>
              </w:rPr>
            </w:pPr>
          </w:p>
        </w:tc>
        <w:tc>
          <w:tcPr>
            <w:tcW w:w="795" w:type="dxa"/>
            <w:vMerge w:val="continue"/>
            <w:tcBorders>
              <w:top w:val="nil"/>
            </w:tcBorders>
            <w:vAlign w:val="top"/>
          </w:tcPr>
          <w:p w14:paraId="7082777A">
            <w:pPr>
              <w:rPr>
                <w:rFonts w:hint="eastAsia" w:ascii="仿宋" w:hAnsi="仿宋" w:eastAsia="仿宋" w:cs="仿宋"/>
                <w:color w:val="000000" w:themeColor="text1"/>
                <w:sz w:val="24"/>
                <w:szCs w:val="24"/>
                <w:highlight w:val="none"/>
                <w14:textFill>
                  <w14:solidFill>
                    <w14:schemeClr w14:val="tx1"/>
                  </w14:solidFill>
                </w14:textFill>
              </w:rPr>
            </w:pPr>
          </w:p>
        </w:tc>
        <w:tc>
          <w:tcPr>
            <w:tcW w:w="785" w:type="dxa"/>
            <w:vAlign w:val="top"/>
          </w:tcPr>
          <w:p w14:paraId="3295A7E4">
            <w:pPr>
              <w:pStyle w:val="37"/>
              <w:spacing w:before="126" w:line="223"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788" w:type="dxa"/>
            <w:vAlign w:val="top"/>
          </w:tcPr>
          <w:p w14:paraId="1F9581DB">
            <w:pPr>
              <w:pStyle w:val="37"/>
              <w:spacing w:before="126" w:line="22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水位站</w:t>
            </w:r>
          </w:p>
        </w:tc>
        <w:tc>
          <w:tcPr>
            <w:tcW w:w="785" w:type="dxa"/>
            <w:vMerge w:val="continue"/>
            <w:tcBorders>
              <w:top w:val="nil"/>
            </w:tcBorders>
            <w:vAlign w:val="top"/>
          </w:tcPr>
          <w:p w14:paraId="3A2E5135">
            <w:pPr>
              <w:rPr>
                <w:rFonts w:hint="eastAsia" w:ascii="仿宋" w:hAnsi="仿宋" w:eastAsia="仿宋" w:cs="仿宋"/>
                <w:color w:val="000000" w:themeColor="text1"/>
                <w:sz w:val="24"/>
                <w:szCs w:val="24"/>
                <w:highlight w:val="none"/>
                <w14:textFill>
                  <w14:solidFill>
                    <w14:schemeClr w14:val="tx1"/>
                  </w14:solidFill>
                </w14:textFill>
              </w:rPr>
            </w:pPr>
          </w:p>
        </w:tc>
        <w:tc>
          <w:tcPr>
            <w:tcW w:w="1241" w:type="dxa"/>
            <w:vAlign w:val="top"/>
          </w:tcPr>
          <w:p w14:paraId="44C35788">
            <w:pPr>
              <w:pStyle w:val="37"/>
              <w:spacing w:before="126" w:line="221" w:lineRule="auto"/>
              <w:ind w:left="42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经度</w:t>
            </w:r>
          </w:p>
        </w:tc>
        <w:tc>
          <w:tcPr>
            <w:tcW w:w="1260" w:type="dxa"/>
            <w:vAlign w:val="top"/>
          </w:tcPr>
          <w:p w14:paraId="19261012">
            <w:pPr>
              <w:pStyle w:val="37"/>
              <w:spacing w:before="126" w:line="221" w:lineRule="auto"/>
              <w:ind w:left="37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纬度</w:t>
            </w:r>
          </w:p>
        </w:tc>
        <w:tc>
          <w:tcPr>
            <w:tcW w:w="540" w:type="dxa"/>
            <w:vAlign w:val="top"/>
          </w:tcPr>
          <w:p w14:paraId="33CD3F66">
            <w:pPr>
              <w:pStyle w:val="37"/>
              <w:spacing w:before="152" w:line="183"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RTU</w:t>
            </w:r>
          </w:p>
        </w:tc>
        <w:tc>
          <w:tcPr>
            <w:tcW w:w="885" w:type="dxa"/>
            <w:vAlign w:val="top"/>
          </w:tcPr>
          <w:p w14:paraId="24E748A8">
            <w:pPr>
              <w:pStyle w:val="37"/>
              <w:spacing w:before="126" w:line="22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传感器</w:t>
            </w:r>
          </w:p>
        </w:tc>
        <w:tc>
          <w:tcPr>
            <w:tcW w:w="636" w:type="dxa"/>
            <w:vAlign w:val="top"/>
          </w:tcPr>
          <w:p w14:paraId="04A857C2">
            <w:pPr>
              <w:pStyle w:val="37"/>
              <w:spacing w:before="126" w:line="220" w:lineRule="auto"/>
              <w:ind w:left="23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供电</w:t>
            </w:r>
          </w:p>
        </w:tc>
        <w:tc>
          <w:tcPr>
            <w:tcW w:w="786" w:type="dxa"/>
            <w:vAlign w:val="top"/>
          </w:tcPr>
          <w:p w14:paraId="03C9D1ED">
            <w:pPr>
              <w:pStyle w:val="37"/>
              <w:spacing w:before="23" w:line="223" w:lineRule="auto"/>
              <w:ind w:right="15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基础设</w:t>
            </w:r>
            <w:r>
              <w:rPr>
                <w:rFonts w:hint="eastAsia" w:ascii="仿宋" w:hAnsi="仿宋" w:eastAsia="仿宋" w:cs="仿宋"/>
                <w:color w:val="000000" w:themeColor="text1"/>
                <w:sz w:val="24"/>
                <w:szCs w:val="24"/>
                <w:highlight w:val="none"/>
                <w14:textFill>
                  <w14:solidFill>
                    <w14:schemeClr w14:val="tx1"/>
                  </w14:solidFill>
                </w14:textFill>
              </w:rPr>
              <w:t>施</w:t>
            </w:r>
          </w:p>
        </w:tc>
      </w:tr>
      <w:tr w14:paraId="1E79DC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788" w:type="dxa"/>
            <w:vAlign w:val="top"/>
          </w:tcPr>
          <w:p w14:paraId="751DC3F9">
            <w:pPr>
              <w:pStyle w:val="37"/>
              <w:spacing w:before="33" w:line="218" w:lineRule="auto"/>
              <w:ind w:left="369"/>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795" w:type="dxa"/>
            <w:vAlign w:val="top"/>
          </w:tcPr>
          <w:p w14:paraId="663A6E2B">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785" w:type="dxa"/>
            <w:vAlign w:val="top"/>
          </w:tcPr>
          <w:p w14:paraId="3E85E004">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788" w:type="dxa"/>
            <w:vAlign w:val="top"/>
          </w:tcPr>
          <w:p w14:paraId="5D3EC533">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5" w:type="dxa"/>
            <w:vAlign w:val="top"/>
          </w:tcPr>
          <w:p w14:paraId="01A1D683">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2015</w:t>
            </w:r>
          </w:p>
        </w:tc>
        <w:tc>
          <w:tcPr>
            <w:tcW w:w="1241" w:type="dxa"/>
            <w:vAlign w:val="top"/>
          </w:tcPr>
          <w:p w14:paraId="027D595E">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103.974851</w:t>
            </w:r>
          </w:p>
        </w:tc>
        <w:tc>
          <w:tcPr>
            <w:tcW w:w="1260" w:type="dxa"/>
            <w:vAlign w:val="top"/>
          </w:tcPr>
          <w:p w14:paraId="7B1B4374">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23.468868</w:t>
            </w:r>
          </w:p>
        </w:tc>
        <w:tc>
          <w:tcPr>
            <w:tcW w:w="540" w:type="dxa"/>
            <w:vAlign w:val="top"/>
          </w:tcPr>
          <w:p w14:paraId="287FA1A5">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885" w:type="dxa"/>
            <w:vAlign w:val="top"/>
          </w:tcPr>
          <w:p w14:paraId="49C02084">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36" w:type="dxa"/>
            <w:vAlign w:val="top"/>
          </w:tcPr>
          <w:p w14:paraId="213E93B1">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786" w:type="dxa"/>
            <w:vAlign w:val="top"/>
          </w:tcPr>
          <w:p w14:paraId="35043FA1">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r>
      <w:tr w14:paraId="58E914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788" w:type="dxa"/>
            <w:vAlign w:val="top"/>
          </w:tcPr>
          <w:p w14:paraId="2B95B133">
            <w:pPr>
              <w:pStyle w:val="37"/>
              <w:spacing w:before="33" w:line="217" w:lineRule="auto"/>
              <w:ind w:left="359"/>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p>
        </w:tc>
        <w:tc>
          <w:tcPr>
            <w:tcW w:w="795" w:type="dxa"/>
            <w:vAlign w:val="top"/>
          </w:tcPr>
          <w:p w14:paraId="2D306BDC">
            <w:pPr>
              <w:pStyle w:val="37"/>
              <w:spacing w:before="33" w:line="217"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785" w:type="dxa"/>
            <w:vAlign w:val="top"/>
          </w:tcPr>
          <w:p w14:paraId="693E4335">
            <w:pPr>
              <w:pStyle w:val="37"/>
              <w:spacing w:before="33" w:line="217"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788" w:type="dxa"/>
            <w:vAlign w:val="top"/>
          </w:tcPr>
          <w:p w14:paraId="5224C382">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5" w:type="dxa"/>
            <w:vAlign w:val="top"/>
          </w:tcPr>
          <w:p w14:paraId="5CDBEA51">
            <w:pPr>
              <w:pStyle w:val="37"/>
              <w:spacing w:before="33" w:line="217"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2015</w:t>
            </w:r>
          </w:p>
        </w:tc>
        <w:tc>
          <w:tcPr>
            <w:tcW w:w="1241" w:type="dxa"/>
            <w:vAlign w:val="top"/>
          </w:tcPr>
          <w:p w14:paraId="703FDF19">
            <w:pPr>
              <w:pStyle w:val="37"/>
              <w:spacing w:before="33" w:line="217"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103.859162</w:t>
            </w:r>
          </w:p>
        </w:tc>
        <w:tc>
          <w:tcPr>
            <w:tcW w:w="1260" w:type="dxa"/>
            <w:vAlign w:val="top"/>
          </w:tcPr>
          <w:p w14:paraId="0B00AB34">
            <w:pPr>
              <w:pStyle w:val="37"/>
              <w:spacing w:before="33" w:line="217"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23.513792</w:t>
            </w:r>
          </w:p>
        </w:tc>
        <w:tc>
          <w:tcPr>
            <w:tcW w:w="540" w:type="dxa"/>
            <w:vAlign w:val="top"/>
          </w:tcPr>
          <w:p w14:paraId="71BFFC1F">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85" w:type="dxa"/>
            <w:vAlign w:val="top"/>
          </w:tcPr>
          <w:p w14:paraId="105CF8BC">
            <w:pPr>
              <w:pStyle w:val="37"/>
              <w:spacing w:before="33" w:line="217"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636" w:type="dxa"/>
            <w:vAlign w:val="top"/>
          </w:tcPr>
          <w:p w14:paraId="210E440C">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6" w:type="dxa"/>
            <w:vAlign w:val="top"/>
          </w:tcPr>
          <w:p w14:paraId="3391CD0D">
            <w:pPr>
              <w:pStyle w:val="37"/>
              <w:spacing w:before="33" w:line="217"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r>
      <w:tr w14:paraId="0D832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788" w:type="dxa"/>
            <w:vAlign w:val="top"/>
          </w:tcPr>
          <w:p w14:paraId="6BC8FE8A">
            <w:pPr>
              <w:pStyle w:val="37"/>
              <w:spacing w:before="31" w:line="220" w:lineRule="auto"/>
              <w:ind w:left="36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p>
        </w:tc>
        <w:tc>
          <w:tcPr>
            <w:tcW w:w="795" w:type="dxa"/>
            <w:vAlign w:val="top"/>
          </w:tcPr>
          <w:p w14:paraId="1CBB2650">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785" w:type="dxa"/>
            <w:vAlign w:val="top"/>
          </w:tcPr>
          <w:p w14:paraId="6DBABB19">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788" w:type="dxa"/>
            <w:vAlign w:val="top"/>
          </w:tcPr>
          <w:p w14:paraId="73E951F1">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5" w:type="dxa"/>
            <w:vAlign w:val="top"/>
          </w:tcPr>
          <w:p w14:paraId="77AB2B20">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2015</w:t>
            </w:r>
          </w:p>
        </w:tc>
        <w:tc>
          <w:tcPr>
            <w:tcW w:w="1241" w:type="dxa"/>
            <w:vAlign w:val="top"/>
          </w:tcPr>
          <w:p w14:paraId="50119144">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104.037705</w:t>
            </w:r>
          </w:p>
        </w:tc>
        <w:tc>
          <w:tcPr>
            <w:tcW w:w="1260" w:type="dxa"/>
            <w:vAlign w:val="top"/>
          </w:tcPr>
          <w:p w14:paraId="5DB47CA2">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23.619868</w:t>
            </w:r>
          </w:p>
        </w:tc>
        <w:tc>
          <w:tcPr>
            <w:tcW w:w="540" w:type="dxa"/>
            <w:vAlign w:val="top"/>
          </w:tcPr>
          <w:p w14:paraId="0CEBDA9B">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85" w:type="dxa"/>
            <w:vAlign w:val="top"/>
          </w:tcPr>
          <w:p w14:paraId="66CA4009">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36" w:type="dxa"/>
            <w:vAlign w:val="top"/>
          </w:tcPr>
          <w:p w14:paraId="0212646D">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786" w:type="dxa"/>
            <w:vAlign w:val="top"/>
          </w:tcPr>
          <w:p w14:paraId="7C9161CF">
            <w:pPr>
              <w:pStyle w:val="37"/>
              <w:spacing w:before="31" w:line="22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r>
      <w:tr w14:paraId="5ADC1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788" w:type="dxa"/>
            <w:vAlign w:val="top"/>
          </w:tcPr>
          <w:p w14:paraId="41D499DE">
            <w:pPr>
              <w:pStyle w:val="37"/>
              <w:spacing w:before="32" w:line="219" w:lineRule="auto"/>
              <w:ind w:left="357"/>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w:t>
            </w:r>
          </w:p>
        </w:tc>
        <w:tc>
          <w:tcPr>
            <w:tcW w:w="795" w:type="dxa"/>
            <w:vAlign w:val="top"/>
          </w:tcPr>
          <w:p w14:paraId="5D607888">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785" w:type="dxa"/>
            <w:vAlign w:val="top"/>
          </w:tcPr>
          <w:p w14:paraId="05A03D33">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788" w:type="dxa"/>
            <w:vAlign w:val="top"/>
          </w:tcPr>
          <w:p w14:paraId="2A9AEDDA">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5" w:type="dxa"/>
            <w:vAlign w:val="top"/>
          </w:tcPr>
          <w:p w14:paraId="5E081D68">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2015</w:t>
            </w:r>
          </w:p>
        </w:tc>
        <w:tc>
          <w:tcPr>
            <w:tcW w:w="1241" w:type="dxa"/>
            <w:vAlign w:val="top"/>
          </w:tcPr>
          <w:p w14:paraId="1A82FE2C">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103.883931</w:t>
            </w:r>
          </w:p>
        </w:tc>
        <w:tc>
          <w:tcPr>
            <w:tcW w:w="1260" w:type="dxa"/>
            <w:vAlign w:val="top"/>
          </w:tcPr>
          <w:p w14:paraId="5DFD870E">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23.560595</w:t>
            </w:r>
          </w:p>
        </w:tc>
        <w:tc>
          <w:tcPr>
            <w:tcW w:w="540" w:type="dxa"/>
            <w:vAlign w:val="top"/>
          </w:tcPr>
          <w:p w14:paraId="437907D1">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85" w:type="dxa"/>
            <w:vAlign w:val="top"/>
          </w:tcPr>
          <w:p w14:paraId="360F2EBB">
            <w:pPr>
              <w:pStyle w:val="37"/>
              <w:spacing w:before="32" w:line="219"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636" w:type="dxa"/>
            <w:vAlign w:val="top"/>
          </w:tcPr>
          <w:p w14:paraId="41B49A06">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6" w:type="dxa"/>
            <w:vAlign w:val="top"/>
          </w:tcPr>
          <w:p w14:paraId="3F597323">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08477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2" w:hRule="atLeast"/>
        </w:trPr>
        <w:tc>
          <w:tcPr>
            <w:tcW w:w="788" w:type="dxa"/>
            <w:vAlign w:val="top"/>
          </w:tcPr>
          <w:p w14:paraId="5864BF61">
            <w:pPr>
              <w:pStyle w:val="37"/>
              <w:spacing w:before="33" w:line="218" w:lineRule="auto"/>
              <w:ind w:left="361"/>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5</w:t>
            </w:r>
          </w:p>
        </w:tc>
        <w:tc>
          <w:tcPr>
            <w:tcW w:w="795" w:type="dxa"/>
            <w:vAlign w:val="top"/>
          </w:tcPr>
          <w:p w14:paraId="5477EEFA">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文山市</w:t>
            </w:r>
          </w:p>
        </w:tc>
        <w:tc>
          <w:tcPr>
            <w:tcW w:w="785" w:type="dxa"/>
            <w:vAlign w:val="top"/>
          </w:tcPr>
          <w:p w14:paraId="304A0E29">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雨量站</w:t>
            </w:r>
          </w:p>
        </w:tc>
        <w:tc>
          <w:tcPr>
            <w:tcW w:w="788" w:type="dxa"/>
            <w:vAlign w:val="top"/>
          </w:tcPr>
          <w:p w14:paraId="7D54CD34">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785" w:type="dxa"/>
            <w:vAlign w:val="top"/>
          </w:tcPr>
          <w:p w14:paraId="0E12C907">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2015</w:t>
            </w:r>
          </w:p>
        </w:tc>
        <w:tc>
          <w:tcPr>
            <w:tcW w:w="1241" w:type="dxa"/>
            <w:vAlign w:val="top"/>
          </w:tcPr>
          <w:p w14:paraId="30505DBE">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104.274985</w:t>
            </w:r>
          </w:p>
        </w:tc>
        <w:tc>
          <w:tcPr>
            <w:tcW w:w="1260" w:type="dxa"/>
            <w:vAlign w:val="top"/>
          </w:tcPr>
          <w:p w14:paraId="03BAAA1D">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23.306332</w:t>
            </w:r>
          </w:p>
        </w:tc>
        <w:tc>
          <w:tcPr>
            <w:tcW w:w="540" w:type="dxa"/>
            <w:vAlign w:val="top"/>
          </w:tcPr>
          <w:p w14:paraId="12EB6DB6">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885" w:type="dxa"/>
            <w:vAlign w:val="top"/>
          </w:tcPr>
          <w:p w14:paraId="0E22D8CF">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36" w:type="dxa"/>
            <w:vAlign w:val="top"/>
          </w:tcPr>
          <w:p w14:paraId="21F82879">
            <w:pPr>
              <w:pStyle w:val="37"/>
              <w:spacing w:before="33" w:line="218"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w:t>
            </w:r>
          </w:p>
        </w:tc>
        <w:tc>
          <w:tcPr>
            <w:tcW w:w="786" w:type="dxa"/>
            <w:vAlign w:val="top"/>
          </w:tcPr>
          <w:p w14:paraId="3B2992E6">
            <w:pPr>
              <w:spacing w:line="221"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r>
    </w:tbl>
    <w:p w14:paraId="4117CD96">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p>
    <w:p w14:paraId="48B53539">
      <w:pPr>
        <w:keepNext w:val="0"/>
        <w:keepLines w:val="0"/>
        <w:pageBreakBefore w:val="0"/>
        <w:widowControl/>
        <w:suppressLineNumbers w:val="0"/>
        <w:kinsoku/>
        <w:wordWrap/>
        <w:overflowPunct/>
        <w:topLinePunct w:val="0"/>
        <w:autoSpaceDE/>
        <w:autoSpaceDN/>
        <w:bidi w:val="0"/>
        <w:adjustRightInd w:val="0"/>
        <w:snapToGrid w:val="0"/>
        <w:ind w:firstLine="482"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（二）群测群防体系建设</w:t>
      </w:r>
    </w:p>
    <w:p w14:paraId="18D00867">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（1）修订完善市级山洪灾害防御预案；</w:t>
      </w:r>
    </w:p>
    <w:p w14:paraId="23C4F65A">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（2）开展宣传、培训及演练1场；</w:t>
      </w:r>
    </w:p>
    <w:p w14:paraId="7A34A366">
      <w:pPr>
        <w:keepNext w:val="0"/>
        <w:keepLines w:val="0"/>
        <w:pageBreakBefore w:val="0"/>
        <w:widowControl/>
        <w:suppressLineNumbers w:val="0"/>
        <w:kinsoku/>
        <w:wordWrap/>
        <w:overflowPunct/>
        <w:topLinePunct w:val="0"/>
        <w:autoSpaceDE/>
        <w:autoSpaceDN/>
        <w:bidi w:val="0"/>
        <w:adjustRightInd w:val="0"/>
        <w:snapToGrid w:val="0"/>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（3）补充现地监测预警设备60套；</w:t>
      </w:r>
    </w:p>
    <w:p w14:paraId="4B68A188">
      <w:pPr>
        <w:pStyle w:val="26"/>
        <w:keepNext w:val="0"/>
        <w:keepLines w:val="0"/>
        <w:pageBreakBefore w:val="0"/>
        <w:widowControl/>
        <w:kinsoku/>
        <w:wordWrap/>
        <w:overflowPunct/>
        <w:topLinePunct w:val="0"/>
        <w:autoSpaceDE/>
        <w:autoSpaceDN/>
        <w:bidi w:val="0"/>
        <w:adjustRightInd w:val="0"/>
        <w:snapToGrid w:val="0"/>
        <w:ind w:left="0" w:leftChars="0"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（4）安装宣传栏30块。</w:t>
      </w:r>
    </w:p>
    <w:p w14:paraId="74360A2B">
      <w:pPr>
        <w:keepNext w:val="0"/>
        <w:keepLines w:val="0"/>
        <w:pageBreakBefore w:val="0"/>
        <w:widowControl/>
        <w:numPr>
          <w:ilvl w:val="0"/>
          <w:numId w:val="4"/>
        </w:numPr>
        <w:suppressLineNumbers w:val="0"/>
        <w:kinsoku/>
        <w:wordWrap/>
        <w:overflowPunct/>
        <w:topLinePunct w:val="0"/>
        <w:autoSpaceDE/>
        <w:autoSpaceDN/>
        <w:bidi w:val="0"/>
        <w:spacing w:line="560" w:lineRule="exact"/>
        <w:ind w:firstLine="482" w:firstLineChars="200"/>
        <w:jc w:val="left"/>
        <w:textAlignment w:val="auto"/>
        <w:rPr>
          <w:rFonts w:hint="eastAsia" w:ascii="仿宋" w:hAnsi="仿宋" w:eastAsia="仿宋" w:cs="仿宋"/>
          <w:b/>
          <w:bCs/>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b/>
          <w:bCs/>
          <w:i w:val="0"/>
          <w:iCs w:val="0"/>
          <w:color w:val="000000" w:themeColor="text1"/>
          <w:sz w:val="24"/>
          <w:szCs w:val="24"/>
          <w:highlight w:val="none"/>
          <w:u w:val="none"/>
          <w:lang w:val="en-US" w:eastAsia="zh-CN"/>
          <w14:textFill>
            <w14:solidFill>
              <w14:schemeClr w14:val="tx1"/>
            </w14:solidFill>
          </w14:textFill>
        </w:rPr>
        <w:t>开展文山市2025年山洪灾害防治设施维修养护</w:t>
      </w:r>
    </w:p>
    <w:p w14:paraId="19ADA58F">
      <w:pPr>
        <w:pStyle w:val="26"/>
        <w:keepNext w:val="0"/>
        <w:keepLines w:val="0"/>
        <w:pageBreakBefore w:val="0"/>
        <w:widowControl/>
        <w:kinsoku/>
        <w:wordWrap/>
        <w:overflowPunct/>
        <w:topLinePunct w:val="0"/>
        <w:autoSpaceDE/>
        <w:autoSpaceDN/>
        <w:bidi w:val="0"/>
        <w:spacing w:line="560" w:lineRule="exact"/>
        <w:ind w:left="0" w:leftChars="0" w:firstLine="480" w:firstLineChars="200"/>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维护内容：文山市山洪灾害监测预警系统维护，包括县级平台、省级平台、四预系统、计算机网络、通信系统、山洪软件、计算机服务器、视频会议及扩音系统、自动雨量站（40）、自动水位/雨量站（21个）、视频图像站（5个）、自动广播预警站、简易雨量站等，对不正常站点的检查和设备更换工作。</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维修养护费用包括人员工资、车辆、运费、检查费、维护所用的配件、安装调试费、站点通讯费（一年）、管理费用等一切费用及企业私润。</w:t>
      </w:r>
    </w:p>
    <w:p w14:paraId="56CEEE85">
      <w:pPr>
        <w:keepNext w:val="0"/>
        <w:keepLines w:val="0"/>
        <w:pageBreakBefore w:val="0"/>
        <w:widowControl/>
        <w:numPr>
          <w:ilvl w:val="0"/>
          <w:numId w:val="0"/>
        </w:numPr>
        <w:suppressLineNumbers w:val="0"/>
        <w:kinsoku/>
        <w:wordWrap/>
        <w:overflowPunct/>
        <w:topLinePunct w:val="0"/>
        <w:autoSpaceDE/>
        <w:autoSpaceDN/>
        <w:bidi w:val="0"/>
        <w:spacing w:line="560" w:lineRule="exact"/>
        <w:ind w:firstLine="480" w:firstLineChars="200"/>
        <w:jc w:val="left"/>
        <w:textAlignment w:val="auto"/>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（2）维护服务期：1年，自</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2025</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年</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10</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月</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13</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日至</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2026</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年</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10</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月</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12</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日。</w:t>
      </w:r>
    </w:p>
    <w:bookmarkEnd w:id="7"/>
    <w:bookmarkEnd w:id="8"/>
    <w:bookmarkEnd w:id="12"/>
    <w:bookmarkEnd w:id="13"/>
    <w:bookmarkEnd w:id="90"/>
    <w:bookmarkEnd w:id="91"/>
    <w:bookmarkEnd w:id="92"/>
    <w:bookmarkEnd w:id="93"/>
    <w:bookmarkEnd w:id="94"/>
    <w:bookmarkEnd w:id="133"/>
    <w:bookmarkEnd w:id="134"/>
    <w:bookmarkEnd w:id="135"/>
    <w:p w14:paraId="4DF1A60F">
      <w:pPr>
        <w:keepNext w:val="0"/>
        <w:keepLines w:val="0"/>
        <w:pageBreakBefore w:val="0"/>
        <w:widowControl/>
        <w:numPr>
          <w:ilvl w:val="0"/>
          <w:numId w:val="0"/>
        </w:numPr>
        <w:suppressLineNumbers w:val="0"/>
        <w:kinsoku/>
        <w:wordWrap/>
        <w:overflowPunct/>
        <w:topLinePunct w:val="0"/>
        <w:autoSpaceDE/>
        <w:autoSpaceDN/>
        <w:bidi w:val="0"/>
        <w:spacing w:line="560" w:lineRule="exact"/>
        <w:ind w:firstLine="482" w:firstLineChars="200"/>
        <w:jc w:val="left"/>
        <w:textAlignment w:val="auto"/>
        <w:rPr>
          <w:rFonts w:hint="eastAsia" w:ascii="仿宋" w:hAnsi="仿宋" w:eastAsia="仿宋" w:cs="仿宋"/>
          <w:b/>
          <w:bCs/>
          <w:i w:val="0"/>
          <w:iCs w:val="0"/>
          <w:color w:val="000000" w:themeColor="text1"/>
          <w:sz w:val="24"/>
          <w:szCs w:val="24"/>
          <w:highlight w:val="none"/>
          <w:u w:val="none"/>
          <w:lang w:val="en-US" w:eastAsia="zh-CN"/>
          <w14:textFill>
            <w14:solidFill>
              <w14:schemeClr w14:val="tx1"/>
            </w14:solidFill>
          </w14:textFill>
        </w:rPr>
      </w:pPr>
      <w:bookmarkStart w:id="137" w:name="_Toc487037732"/>
      <w:bookmarkStart w:id="138" w:name="_Toc519587971"/>
      <w:bookmarkStart w:id="139" w:name="_Toc13789"/>
      <w:bookmarkStart w:id="140" w:name="_Toc28938"/>
      <w:bookmarkStart w:id="141" w:name="_Toc135"/>
      <w:r>
        <w:rPr>
          <w:rFonts w:hint="eastAsia" w:ascii="仿宋" w:hAnsi="仿宋" w:eastAsia="仿宋" w:cs="仿宋"/>
          <w:b/>
          <w:bCs/>
          <w:i w:val="0"/>
          <w:iCs w:val="0"/>
          <w:color w:val="000000" w:themeColor="text1"/>
          <w:sz w:val="24"/>
          <w:szCs w:val="24"/>
          <w:highlight w:val="none"/>
          <w:u w:val="none"/>
          <w:lang w:val="en-US" w:eastAsia="zh-CN"/>
          <w14:textFill>
            <w14:solidFill>
              <w14:schemeClr w14:val="tx1"/>
            </w14:solidFill>
          </w14:textFill>
        </w:rPr>
        <w:t>三、采购清单</w:t>
      </w:r>
    </w:p>
    <w:p w14:paraId="50AE293F">
      <w:pPr>
        <w:pStyle w:val="6"/>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30"/>
          <w:szCs w:val="30"/>
          <w:highlight w:val="none"/>
          <w:lang w:val="en-US" w:eastAsia="zh-CN"/>
          <w14:textFill>
            <w14:solidFill>
              <w14:schemeClr w14:val="tx1"/>
            </w14:solidFill>
          </w14:textFill>
        </w:rPr>
        <w:t>（一）</w:t>
      </w: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文山市2025年山洪灾害防治项目建设</w:t>
      </w:r>
    </w:p>
    <w:tbl>
      <w:tblPr>
        <w:tblStyle w:val="2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6"/>
        <w:gridCol w:w="3054"/>
        <w:gridCol w:w="1351"/>
        <w:gridCol w:w="1464"/>
        <w:gridCol w:w="2231"/>
      </w:tblGrid>
      <w:tr w14:paraId="7C3C4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1FF512C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序号</w:t>
            </w:r>
          </w:p>
        </w:tc>
        <w:tc>
          <w:tcPr>
            <w:tcW w:w="3054" w:type="dxa"/>
            <w:vAlign w:val="center"/>
          </w:tcPr>
          <w:p w14:paraId="357B9E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货物名称</w:t>
            </w:r>
          </w:p>
        </w:tc>
        <w:tc>
          <w:tcPr>
            <w:tcW w:w="1351" w:type="dxa"/>
            <w:vAlign w:val="center"/>
          </w:tcPr>
          <w:p w14:paraId="4BBC28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数量</w:t>
            </w:r>
          </w:p>
        </w:tc>
        <w:tc>
          <w:tcPr>
            <w:tcW w:w="1464" w:type="dxa"/>
            <w:vAlign w:val="center"/>
          </w:tcPr>
          <w:p w14:paraId="22FCAA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单位</w:t>
            </w:r>
          </w:p>
        </w:tc>
        <w:tc>
          <w:tcPr>
            <w:tcW w:w="2231" w:type="dxa"/>
            <w:vAlign w:val="center"/>
          </w:tcPr>
          <w:p w14:paraId="1C85601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是否接受进口产品</w:t>
            </w:r>
          </w:p>
        </w:tc>
      </w:tr>
      <w:tr w14:paraId="00DF7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6071AC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一</w:t>
            </w:r>
          </w:p>
        </w:tc>
        <w:tc>
          <w:tcPr>
            <w:tcW w:w="8100" w:type="dxa"/>
            <w:gridSpan w:val="4"/>
            <w:vAlign w:val="center"/>
          </w:tcPr>
          <w:p w14:paraId="6A1B195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监测能力提升</w:t>
            </w:r>
          </w:p>
        </w:tc>
      </w:tr>
      <w:tr w14:paraId="2EB16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1D7B7F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（一）</w:t>
            </w:r>
          </w:p>
        </w:tc>
        <w:tc>
          <w:tcPr>
            <w:tcW w:w="8100" w:type="dxa"/>
            <w:gridSpan w:val="4"/>
            <w:vAlign w:val="center"/>
          </w:tcPr>
          <w:p w14:paraId="287E9DAD">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补充新建雨水情监测站点</w:t>
            </w:r>
          </w:p>
        </w:tc>
      </w:tr>
      <w:tr w14:paraId="3586B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730512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w:t>
            </w:r>
          </w:p>
        </w:tc>
        <w:tc>
          <w:tcPr>
            <w:tcW w:w="3054" w:type="dxa"/>
            <w:vAlign w:val="center"/>
          </w:tcPr>
          <w:p w14:paraId="358ED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自动雨量站</w:t>
            </w:r>
          </w:p>
        </w:tc>
        <w:tc>
          <w:tcPr>
            <w:tcW w:w="1351" w:type="dxa"/>
            <w:vAlign w:val="center"/>
          </w:tcPr>
          <w:p w14:paraId="4E5837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11</w:t>
            </w:r>
          </w:p>
        </w:tc>
        <w:tc>
          <w:tcPr>
            <w:tcW w:w="1464" w:type="dxa"/>
            <w:vAlign w:val="center"/>
          </w:tcPr>
          <w:p w14:paraId="0D18F52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个</w:t>
            </w:r>
          </w:p>
        </w:tc>
        <w:tc>
          <w:tcPr>
            <w:tcW w:w="2231" w:type="dxa"/>
            <w:vAlign w:val="center"/>
          </w:tcPr>
          <w:p w14:paraId="70293F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否</w:t>
            </w:r>
          </w:p>
        </w:tc>
      </w:tr>
      <w:tr w14:paraId="21D36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030BD1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（二）</w:t>
            </w:r>
          </w:p>
        </w:tc>
        <w:tc>
          <w:tcPr>
            <w:tcW w:w="8100" w:type="dxa"/>
            <w:gridSpan w:val="4"/>
            <w:vAlign w:val="center"/>
          </w:tcPr>
          <w:p w14:paraId="7C718507">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更新雨水情监测站点</w:t>
            </w:r>
          </w:p>
        </w:tc>
      </w:tr>
      <w:tr w14:paraId="26A8B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0BFADF6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w:t>
            </w:r>
          </w:p>
        </w:tc>
        <w:tc>
          <w:tcPr>
            <w:tcW w:w="8100" w:type="dxa"/>
            <w:gridSpan w:val="4"/>
            <w:vAlign w:val="center"/>
          </w:tcPr>
          <w:p w14:paraId="69010FF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自动雨量站</w:t>
            </w:r>
          </w:p>
        </w:tc>
      </w:tr>
      <w:tr w14:paraId="12E4D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4E4016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1.1</w:t>
            </w:r>
          </w:p>
        </w:tc>
        <w:tc>
          <w:tcPr>
            <w:tcW w:w="3054" w:type="dxa"/>
            <w:vAlign w:val="center"/>
          </w:tcPr>
          <w:p w14:paraId="4E6CC5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遥测终端老化损毁更换</w:t>
            </w:r>
          </w:p>
        </w:tc>
        <w:tc>
          <w:tcPr>
            <w:tcW w:w="1351" w:type="dxa"/>
            <w:vAlign w:val="center"/>
          </w:tcPr>
          <w:p w14:paraId="38AEA9B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2</w:t>
            </w:r>
          </w:p>
        </w:tc>
        <w:tc>
          <w:tcPr>
            <w:tcW w:w="1464" w:type="dxa"/>
            <w:vAlign w:val="center"/>
          </w:tcPr>
          <w:p w14:paraId="503EE87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个</w:t>
            </w:r>
          </w:p>
        </w:tc>
        <w:tc>
          <w:tcPr>
            <w:tcW w:w="2231" w:type="dxa"/>
            <w:vAlign w:val="center"/>
          </w:tcPr>
          <w:p w14:paraId="23E5C71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否</w:t>
            </w:r>
          </w:p>
        </w:tc>
      </w:tr>
      <w:tr w14:paraId="21CCE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35C39C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1.2</w:t>
            </w:r>
          </w:p>
        </w:tc>
        <w:tc>
          <w:tcPr>
            <w:tcW w:w="3054" w:type="dxa"/>
            <w:vAlign w:val="center"/>
          </w:tcPr>
          <w:p w14:paraId="758D5A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监测设备老化或损毁更换</w:t>
            </w:r>
          </w:p>
        </w:tc>
        <w:tc>
          <w:tcPr>
            <w:tcW w:w="1351" w:type="dxa"/>
            <w:vAlign w:val="center"/>
          </w:tcPr>
          <w:p w14:paraId="734C93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2</w:t>
            </w:r>
          </w:p>
        </w:tc>
        <w:tc>
          <w:tcPr>
            <w:tcW w:w="1464" w:type="dxa"/>
            <w:vAlign w:val="center"/>
          </w:tcPr>
          <w:p w14:paraId="26F609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个</w:t>
            </w:r>
          </w:p>
        </w:tc>
        <w:tc>
          <w:tcPr>
            <w:tcW w:w="2231" w:type="dxa"/>
            <w:vAlign w:val="center"/>
          </w:tcPr>
          <w:p w14:paraId="4342AB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否</w:t>
            </w:r>
          </w:p>
        </w:tc>
      </w:tr>
      <w:tr w14:paraId="06E32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1D1943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1.3</w:t>
            </w:r>
          </w:p>
        </w:tc>
        <w:tc>
          <w:tcPr>
            <w:tcW w:w="3054" w:type="dxa"/>
            <w:vAlign w:val="center"/>
          </w:tcPr>
          <w:p w14:paraId="1B35F4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供电设备老化或损毁更换</w:t>
            </w:r>
          </w:p>
        </w:tc>
        <w:tc>
          <w:tcPr>
            <w:tcW w:w="1351" w:type="dxa"/>
            <w:vAlign w:val="center"/>
          </w:tcPr>
          <w:p w14:paraId="2A20FD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3</w:t>
            </w:r>
          </w:p>
        </w:tc>
        <w:tc>
          <w:tcPr>
            <w:tcW w:w="1464" w:type="dxa"/>
            <w:vAlign w:val="center"/>
          </w:tcPr>
          <w:p w14:paraId="71A08AD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个</w:t>
            </w:r>
          </w:p>
        </w:tc>
        <w:tc>
          <w:tcPr>
            <w:tcW w:w="2231" w:type="dxa"/>
            <w:vAlign w:val="center"/>
          </w:tcPr>
          <w:p w14:paraId="3B6EC9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否</w:t>
            </w:r>
          </w:p>
        </w:tc>
      </w:tr>
      <w:tr w14:paraId="4F016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7AD0ECC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1.4</w:t>
            </w:r>
          </w:p>
        </w:tc>
        <w:tc>
          <w:tcPr>
            <w:tcW w:w="3054" w:type="dxa"/>
            <w:vAlign w:val="center"/>
          </w:tcPr>
          <w:p w14:paraId="6DA9945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基础设施设备损毁更换</w:t>
            </w:r>
          </w:p>
        </w:tc>
        <w:tc>
          <w:tcPr>
            <w:tcW w:w="1351" w:type="dxa"/>
            <w:vAlign w:val="center"/>
          </w:tcPr>
          <w:p w14:paraId="6C8E450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3</w:t>
            </w:r>
          </w:p>
        </w:tc>
        <w:tc>
          <w:tcPr>
            <w:tcW w:w="1464" w:type="dxa"/>
            <w:vAlign w:val="center"/>
          </w:tcPr>
          <w:p w14:paraId="27C2B2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个</w:t>
            </w:r>
          </w:p>
        </w:tc>
        <w:tc>
          <w:tcPr>
            <w:tcW w:w="2231" w:type="dxa"/>
            <w:vAlign w:val="center"/>
          </w:tcPr>
          <w:p w14:paraId="2F38F9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否</w:t>
            </w:r>
          </w:p>
        </w:tc>
      </w:tr>
      <w:tr w14:paraId="2868F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3206F4C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二</w:t>
            </w:r>
          </w:p>
        </w:tc>
        <w:tc>
          <w:tcPr>
            <w:tcW w:w="8100" w:type="dxa"/>
            <w:gridSpan w:val="4"/>
            <w:vAlign w:val="center"/>
          </w:tcPr>
          <w:p w14:paraId="21F062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完善群测群防体系</w:t>
            </w:r>
          </w:p>
        </w:tc>
      </w:tr>
      <w:tr w14:paraId="25E46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21A99AD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w:t>
            </w:r>
          </w:p>
        </w:tc>
        <w:tc>
          <w:tcPr>
            <w:tcW w:w="3054" w:type="dxa"/>
            <w:vAlign w:val="center"/>
          </w:tcPr>
          <w:p w14:paraId="498CFA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现地监测预警设备</w:t>
            </w:r>
          </w:p>
        </w:tc>
        <w:tc>
          <w:tcPr>
            <w:tcW w:w="1351" w:type="dxa"/>
            <w:vAlign w:val="center"/>
          </w:tcPr>
          <w:p w14:paraId="247D74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60</w:t>
            </w:r>
          </w:p>
        </w:tc>
        <w:tc>
          <w:tcPr>
            <w:tcW w:w="1464" w:type="dxa"/>
            <w:vAlign w:val="center"/>
          </w:tcPr>
          <w:p w14:paraId="280947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套</w:t>
            </w:r>
          </w:p>
        </w:tc>
        <w:tc>
          <w:tcPr>
            <w:tcW w:w="2231" w:type="dxa"/>
            <w:vAlign w:val="center"/>
          </w:tcPr>
          <w:p w14:paraId="3E040CA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否</w:t>
            </w:r>
          </w:p>
        </w:tc>
      </w:tr>
      <w:tr w14:paraId="5AF7A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43C7313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2</w:t>
            </w:r>
          </w:p>
        </w:tc>
        <w:tc>
          <w:tcPr>
            <w:tcW w:w="3054" w:type="dxa"/>
            <w:vAlign w:val="center"/>
          </w:tcPr>
          <w:p w14:paraId="75F412D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宣传栏</w:t>
            </w:r>
          </w:p>
        </w:tc>
        <w:tc>
          <w:tcPr>
            <w:tcW w:w="1351" w:type="dxa"/>
            <w:vAlign w:val="center"/>
          </w:tcPr>
          <w:p w14:paraId="4348A7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30</w:t>
            </w:r>
          </w:p>
        </w:tc>
        <w:tc>
          <w:tcPr>
            <w:tcW w:w="1464" w:type="dxa"/>
            <w:vAlign w:val="center"/>
          </w:tcPr>
          <w:p w14:paraId="205AE0E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块</w:t>
            </w:r>
          </w:p>
        </w:tc>
        <w:tc>
          <w:tcPr>
            <w:tcW w:w="2231" w:type="dxa"/>
            <w:vAlign w:val="center"/>
          </w:tcPr>
          <w:p w14:paraId="4B4B00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否</w:t>
            </w:r>
          </w:p>
        </w:tc>
      </w:tr>
      <w:tr w14:paraId="7CEB3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4C8ADB3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3</w:t>
            </w:r>
          </w:p>
        </w:tc>
        <w:tc>
          <w:tcPr>
            <w:tcW w:w="3054" w:type="dxa"/>
            <w:vAlign w:val="center"/>
          </w:tcPr>
          <w:p w14:paraId="6738EC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培训、演练</w:t>
            </w:r>
          </w:p>
        </w:tc>
        <w:tc>
          <w:tcPr>
            <w:tcW w:w="1351" w:type="dxa"/>
            <w:vAlign w:val="center"/>
          </w:tcPr>
          <w:p w14:paraId="4FFBC69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w:t>
            </w:r>
          </w:p>
        </w:tc>
        <w:tc>
          <w:tcPr>
            <w:tcW w:w="1464" w:type="dxa"/>
            <w:vAlign w:val="center"/>
          </w:tcPr>
          <w:p w14:paraId="6C9B97B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次</w:t>
            </w:r>
          </w:p>
        </w:tc>
        <w:tc>
          <w:tcPr>
            <w:tcW w:w="2231" w:type="dxa"/>
            <w:vAlign w:val="center"/>
          </w:tcPr>
          <w:p w14:paraId="0E9D45D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p>
        </w:tc>
      </w:tr>
      <w:tr w14:paraId="76DBA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176" w:type="dxa"/>
            <w:vAlign w:val="center"/>
          </w:tcPr>
          <w:p w14:paraId="5277A58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4</w:t>
            </w:r>
          </w:p>
        </w:tc>
        <w:tc>
          <w:tcPr>
            <w:tcW w:w="3054" w:type="dxa"/>
            <w:vAlign w:val="center"/>
          </w:tcPr>
          <w:p w14:paraId="088E43F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修订完善市级山洪灾害防御预案</w:t>
            </w:r>
          </w:p>
        </w:tc>
        <w:tc>
          <w:tcPr>
            <w:tcW w:w="1351" w:type="dxa"/>
            <w:vAlign w:val="center"/>
          </w:tcPr>
          <w:p w14:paraId="0BDA28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1</w:t>
            </w:r>
          </w:p>
        </w:tc>
        <w:tc>
          <w:tcPr>
            <w:tcW w:w="1464" w:type="dxa"/>
            <w:vAlign w:val="center"/>
          </w:tcPr>
          <w:p w14:paraId="3353152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r>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t>套</w:t>
            </w:r>
          </w:p>
        </w:tc>
        <w:tc>
          <w:tcPr>
            <w:tcW w:w="2231" w:type="dxa"/>
            <w:vAlign w:val="center"/>
          </w:tcPr>
          <w:p w14:paraId="49E59F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val="0"/>
                <w:bCs w:val="0"/>
                <w:color w:val="000000" w:themeColor="text1"/>
                <w:kern w:val="0"/>
                <w:sz w:val="24"/>
                <w:szCs w:val="24"/>
                <w:highlight w:val="none"/>
                <w:vertAlign w:val="baseline"/>
                <w:lang w:val="en-US" w:eastAsia="zh-CN" w:bidi="ar"/>
                <w14:textFill>
                  <w14:solidFill>
                    <w14:schemeClr w14:val="tx1"/>
                  </w14:solidFill>
                </w14:textFill>
              </w:rPr>
            </w:pPr>
          </w:p>
        </w:tc>
      </w:tr>
    </w:tbl>
    <w:p w14:paraId="4163E226">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r>
    </w:p>
    <w:tbl>
      <w:tblPr>
        <w:tblStyle w:val="21"/>
        <w:tblW w:w="5156" w:type="pct"/>
        <w:tblInd w:w="0" w:type="dxa"/>
        <w:tblLayout w:type="fixed"/>
        <w:tblCellMar>
          <w:top w:w="0" w:type="dxa"/>
          <w:left w:w="108" w:type="dxa"/>
          <w:bottom w:w="0" w:type="dxa"/>
          <w:right w:w="108" w:type="dxa"/>
        </w:tblCellMar>
      </w:tblPr>
      <w:tblGrid>
        <w:gridCol w:w="527"/>
        <w:gridCol w:w="1989"/>
        <w:gridCol w:w="1275"/>
        <w:gridCol w:w="1680"/>
        <w:gridCol w:w="1951"/>
        <w:gridCol w:w="1049"/>
        <w:gridCol w:w="1095"/>
      </w:tblGrid>
      <w:tr w14:paraId="32D4514F">
        <w:tblPrEx>
          <w:tblCellMar>
            <w:top w:w="0" w:type="dxa"/>
            <w:left w:w="108" w:type="dxa"/>
            <w:bottom w:w="0" w:type="dxa"/>
            <w:right w:w="108" w:type="dxa"/>
          </w:tblCellMar>
        </w:tblPrEx>
        <w:trPr>
          <w:trHeight w:val="456" w:hRule="atLeast"/>
        </w:trPr>
        <w:tc>
          <w:tcPr>
            <w:tcW w:w="5000" w:type="pct"/>
            <w:gridSpan w:val="7"/>
            <w:tcBorders>
              <w:top w:val="nil"/>
              <w:left w:val="nil"/>
              <w:bottom w:val="single" w:color="auto" w:sz="8" w:space="0"/>
              <w:right w:val="nil"/>
            </w:tcBorders>
            <w:shd w:val="clear" w:color="auto" w:fill="auto"/>
            <w:noWrap/>
            <w:vAlign w:val="center"/>
          </w:tcPr>
          <w:p w14:paraId="22BADBA0">
            <w:pPr>
              <w:widowControl/>
              <w:jc w:val="both"/>
              <w:textAlignment w:val="center"/>
              <w:rPr>
                <w:rFonts w:hint="eastAsia" w:ascii="仿宋" w:hAnsi="仿宋" w:eastAsia="仿宋" w:cs="仿宋"/>
                <w:color w:val="000000" w:themeColor="text1"/>
                <w:sz w:val="36"/>
                <w:szCs w:val="36"/>
                <w:highlight w:val="none"/>
                <w:lang w:eastAsia="zh-CN"/>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（二）文山市2025年山洪灾害防治设施维修养护</w:t>
            </w:r>
          </w:p>
        </w:tc>
      </w:tr>
      <w:tr w14:paraId="79FE9945">
        <w:tblPrEx>
          <w:tblCellMar>
            <w:top w:w="0" w:type="dxa"/>
            <w:left w:w="108" w:type="dxa"/>
            <w:bottom w:w="0" w:type="dxa"/>
            <w:right w:w="108" w:type="dxa"/>
          </w:tblCellMar>
        </w:tblPrEx>
        <w:trPr>
          <w:trHeight w:val="326" w:hRule="atLeast"/>
        </w:trPr>
        <w:tc>
          <w:tcPr>
            <w:tcW w:w="275" w:type="pct"/>
            <w:vMerge w:val="restart"/>
            <w:tcBorders>
              <w:top w:val="nil"/>
              <w:left w:val="single" w:color="auto" w:sz="8" w:space="0"/>
              <w:bottom w:val="single" w:color="000000" w:sz="8" w:space="0"/>
              <w:right w:val="single" w:color="auto" w:sz="8" w:space="0"/>
            </w:tcBorders>
            <w:shd w:val="clear" w:color="auto" w:fill="auto"/>
            <w:noWrap/>
            <w:vAlign w:val="center"/>
          </w:tcPr>
          <w:p w14:paraId="27FCCD04">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序号</w:t>
            </w:r>
          </w:p>
        </w:tc>
        <w:tc>
          <w:tcPr>
            <w:tcW w:w="1039" w:type="pct"/>
            <w:vMerge w:val="restart"/>
            <w:tcBorders>
              <w:top w:val="nil"/>
              <w:left w:val="single" w:color="auto" w:sz="8" w:space="0"/>
              <w:bottom w:val="single" w:color="000000" w:sz="8" w:space="0"/>
              <w:right w:val="single" w:color="auto" w:sz="8" w:space="0"/>
            </w:tcBorders>
            <w:shd w:val="clear" w:color="auto" w:fill="auto"/>
            <w:noWrap/>
            <w:vAlign w:val="center"/>
          </w:tcPr>
          <w:p w14:paraId="1046C06A">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乡镇+村委会</w:t>
            </w:r>
          </w:p>
        </w:tc>
        <w:tc>
          <w:tcPr>
            <w:tcW w:w="666" w:type="pct"/>
            <w:vMerge w:val="restart"/>
            <w:tcBorders>
              <w:top w:val="nil"/>
              <w:left w:val="single" w:color="auto" w:sz="8" w:space="0"/>
              <w:bottom w:val="single" w:color="000000" w:sz="8" w:space="0"/>
              <w:right w:val="single" w:color="auto" w:sz="8" w:space="0"/>
            </w:tcBorders>
            <w:shd w:val="clear" w:color="auto" w:fill="auto"/>
            <w:noWrap/>
            <w:vAlign w:val="center"/>
          </w:tcPr>
          <w:p w14:paraId="12AD60B4">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名称</w:t>
            </w:r>
          </w:p>
        </w:tc>
        <w:tc>
          <w:tcPr>
            <w:tcW w:w="878" w:type="pct"/>
            <w:vMerge w:val="restart"/>
            <w:tcBorders>
              <w:top w:val="nil"/>
              <w:left w:val="single" w:color="auto" w:sz="8" w:space="0"/>
              <w:bottom w:val="single" w:color="000000" w:sz="8" w:space="0"/>
              <w:right w:val="single" w:color="auto" w:sz="8" w:space="0"/>
            </w:tcBorders>
            <w:shd w:val="clear" w:color="auto" w:fill="auto"/>
            <w:noWrap/>
            <w:vAlign w:val="center"/>
          </w:tcPr>
          <w:p w14:paraId="662C84DB">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站点类型</w:t>
            </w:r>
          </w:p>
        </w:tc>
        <w:tc>
          <w:tcPr>
            <w:tcW w:w="1019" w:type="pct"/>
            <w:vMerge w:val="restart"/>
            <w:tcBorders>
              <w:top w:val="nil"/>
              <w:left w:val="single" w:color="auto" w:sz="8" w:space="0"/>
              <w:bottom w:val="single" w:color="000000" w:sz="8" w:space="0"/>
              <w:right w:val="single" w:color="auto" w:sz="8" w:space="0"/>
            </w:tcBorders>
            <w:shd w:val="clear" w:color="auto" w:fill="auto"/>
            <w:noWrap/>
            <w:vAlign w:val="center"/>
          </w:tcPr>
          <w:p w14:paraId="17F24303">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维护事项</w:t>
            </w:r>
          </w:p>
        </w:tc>
        <w:tc>
          <w:tcPr>
            <w:tcW w:w="548" w:type="pct"/>
            <w:vMerge w:val="restart"/>
            <w:tcBorders>
              <w:top w:val="nil"/>
              <w:left w:val="single" w:color="auto" w:sz="8" w:space="0"/>
              <w:bottom w:val="single" w:color="000000" w:sz="8" w:space="0"/>
              <w:right w:val="single" w:color="auto" w:sz="8" w:space="0"/>
            </w:tcBorders>
            <w:shd w:val="clear" w:color="auto" w:fill="auto"/>
            <w:noWrap/>
            <w:vAlign w:val="center"/>
          </w:tcPr>
          <w:p w14:paraId="02ECC798">
            <w:pPr>
              <w:widowControl/>
              <w:ind w:firstLine="0" w:firstLineChars="0"/>
              <w:jc w:val="center"/>
              <w:textAlignment w:val="center"/>
              <w:rPr>
                <w:rFonts w:hint="eastAsia" w:ascii="仿宋" w:hAnsi="仿宋" w:eastAsia="仿宋" w:cs="仿宋"/>
                <w:color w:val="000000" w:themeColor="text1"/>
                <w:szCs w:val="24"/>
                <w:highlight w:val="none"/>
                <w:lang w:eastAsia="zh-CN" w:bidi="ar"/>
                <w14:textFill>
                  <w14:solidFill>
                    <w14:schemeClr w14:val="tx1"/>
                  </w14:solidFill>
                </w14:textFill>
              </w:rPr>
            </w:pPr>
            <w:r>
              <w:rPr>
                <w:rFonts w:hint="eastAsia" w:ascii="仿宋" w:hAnsi="仿宋" w:eastAsia="仿宋" w:cs="仿宋"/>
                <w:color w:val="000000" w:themeColor="text1"/>
                <w:szCs w:val="24"/>
                <w:highlight w:val="none"/>
                <w:lang w:eastAsia="zh-CN" w:bidi="ar"/>
                <w14:textFill>
                  <w14:solidFill>
                    <w14:schemeClr w14:val="tx1"/>
                  </w14:solidFill>
                </w14:textFill>
              </w:rPr>
              <w:t>金额</w:t>
            </w:r>
          </w:p>
          <w:p w14:paraId="39F2D745">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eastAsia="zh-CN" w:bidi="ar"/>
                <w14:textFill>
                  <w14:solidFill>
                    <w14:schemeClr w14:val="tx1"/>
                  </w14:solidFill>
                </w14:textFill>
              </w:rPr>
              <w:t>（万元）</w:t>
            </w:r>
          </w:p>
        </w:tc>
        <w:tc>
          <w:tcPr>
            <w:tcW w:w="572" w:type="pct"/>
            <w:vMerge w:val="restart"/>
            <w:tcBorders>
              <w:top w:val="nil"/>
              <w:left w:val="single" w:color="auto" w:sz="8" w:space="0"/>
              <w:bottom w:val="single" w:color="000000" w:sz="8" w:space="0"/>
              <w:right w:val="single" w:color="auto" w:sz="8" w:space="0"/>
            </w:tcBorders>
            <w:shd w:val="clear" w:color="auto" w:fill="auto"/>
            <w:noWrap/>
            <w:vAlign w:val="center"/>
          </w:tcPr>
          <w:p w14:paraId="6063C49C">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lang w:eastAsia="zh-CN" w:bidi="ar"/>
                <w14:textFill>
                  <w14:solidFill>
                    <w14:schemeClr w14:val="tx1"/>
                  </w14:solidFill>
                </w14:textFill>
              </w:rPr>
              <w:t>备注</w:t>
            </w:r>
          </w:p>
        </w:tc>
      </w:tr>
      <w:tr w14:paraId="429A0AC1">
        <w:tblPrEx>
          <w:tblCellMar>
            <w:top w:w="0" w:type="dxa"/>
            <w:left w:w="108" w:type="dxa"/>
            <w:bottom w:w="0" w:type="dxa"/>
            <w:right w:w="108" w:type="dxa"/>
          </w:tblCellMar>
        </w:tblPrEx>
        <w:trPr>
          <w:trHeight w:val="315" w:hRule="atLeast"/>
        </w:trPr>
        <w:tc>
          <w:tcPr>
            <w:tcW w:w="275" w:type="pct"/>
            <w:vMerge w:val="continue"/>
            <w:tcBorders>
              <w:top w:val="nil"/>
              <w:left w:val="single" w:color="auto" w:sz="8" w:space="0"/>
              <w:bottom w:val="single" w:color="000000" w:sz="8" w:space="0"/>
              <w:right w:val="single" w:color="auto" w:sz="8" w:space="0"/>
            </w:tcBorders>
            <w:shd w:val="clear" w:color="auto" w:fill="auto"/>
            <w:noWrap/>
            <w:vAlign w:val="center"/>
          </w:tcPr>
          <w:p w14:paraId="3B1F0295">
            <w:pPr>
              <w:ind w:firstLine="48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39" w:type="pct"/>
            <w:vMerge w:val="continue"/>
            <w:tcBorders>
              <w:top w:val="nil"/>
              <w:left w:val="single" w:color="auto" w:sz="8" w:space="0"/>
              <w:bottom w:val="single" w:color="000000" w:sz="8" w:space="0"/>
              <w:right w:val="single" w:color="auto" w:sz="8" w:space="0"/>
            </w:tcBorders>
            <w:shd w:val="clear" w:color="auto" w:fill="auto"/>
            <w:noWrap/>
            <w:vAlign w:val="center"/>
          </w:tcPr>
          <w:p w14:paraId="4D0E81DD">
            <w:pPr>
              <w:ind w:firstLine="48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666" w:type="pct"/>
            <w:vMerge w:val="continue"/>
            <w:tcBorders>
              <w:top w:val="nil"/>
              <w:left w:val="single" w:color="auto" w:sz="8" w:space="0"/>
              <w:bottom w:val="single" w:color="000000" w:sz="8" w:space="0"/>
              <w:right w:val="single" w:color="auto" w:sz="8" w:space="0"/>
            </w:tcBorders>
            <w:shd w:val="clear" w:color="auto" w:fill="auto"/>
            <w:noWrap/>
            <w:vAlign w:val="center"/>
          </w:tcPr>
          <w:p w14:paraId="1260D957">
            <w:pPr>
              <w:ind w:firstLine="48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878" w:type="pct"/>
            <w:vMerge w:val="continue"/>
            <w:tcBorders>
              <w:top w:val="nil"/>
              <w:left w:val="single" w:color="auto" w:sz="8" w:space="0"/>
              <w:bottom w:val="single" w:color="000000" w:sz="8" w:space="0"/>
              <w:right w:val="single" w:color="auto" w:sz="8" w:space="0"/>
            </w:tcBorders>
            <w:shd w:val="clear" w:color="auto" w:fill="auto"/>
            <w:noWrap/>
            <w:vAlign w:val="center"/>
          </w:tcPr>
          <w:p w14:paraId="115C30EF">
            <w:pPr>
              <w:ind w:firstLine="48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19" w:type="pct"/>
            <w:vMerge w:val="continue"/>
            <w:tcBorders>
              <w:top w:val="nil"/>
              <w:left w:val="single" w:color="auto" w:sz="8" w:space="0"/>
              <w:bottom w:val="single" w:color="000000" w:sz="8" w:space="0"/>
              <w:right w:val="single" w:color="auto" w:sz="8" w:space="0"/>
            </w:tcBorders>
            <w:shd w:val="clear" w:color="auto" w:fill="auto"/>
            <w:noWrap/>
            <w:vAlign w:val="center"/>
          </w:tcPr>
          <w:p w14:paraId="09E2F608">
            <w:pPr>
              <w:ind w:firstLine="480"/>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548" w:type="pct"/>
            <w:vMerge w:val="continue"/>
            <w:tcBorders>
              <w:top w:val="nil"/>
              <w:left w:val="single" w:color="auto" w:sz="8" w:space="0"/>
              <w:bottom w:val="single" w:color="000000" w:sz="8" w:space="0"/>
              <w:right w:val="single" w:color="auto" w:sz="8" w:space="0"/>
            </w:tcBorders>
            <w:shd w:val="clear" w:color="auto" w:fill="auto"/>
            <w:noWrap/>
            <w:vAlign w:val="center"/>
          </w:tcPr>
          <w:p w14:paraId="738FF11E">
            <w:pPr>
              <w:ind w:firstLine="480"/>
              <w:jc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vMerge w:val="continue"/>
            <w:tcBorders>
              <w:top w:val="nil"/>
              <w:left w:val="single" w:color="auto" w:sz="8" w:space="0"/>
              <w:bottom w:val="single" w:color="000000" w:sz="8" w:space="0"/>
              <w:right w:val="single" w:color="auto" w:sz="8" w:space="0"/>
            </w:tcBorders>
            <w:shd w:val="clear" w:color="auto" w:fill="auto"/>
            <w:noWrap/>
            <w:vAlign w:val="center"/>
          </w:tcPr>
          <w:p w14:paraId="5D5F5350">
            <w:pPr>
              <w:ind w:firstLine="480"/>
              <w:jc w:val="center"/>
              <w:rPr>
                <w:rFonts w:hint="eastAsia" w:ascii="仿宋" w:hAnsi="仿宋" w:eastAsia="仿宋" w:cs="仿宋"/>
                <w:color w:val="000000" w:themeColor="text1"/>
                <w:szCs w:val="24"/>
                <w:highlight w:val="none"/>
                <w14:textFill>
                  <w14:solidFill>
                    <w14:schemeClr w14:val="tx1"/>
                  </w14:solidFill>
                </w14:textFill>
              </w:rPr>
            </w:pPr>
          </w:p>
        </w:tc>
      </w:tr>
      <w:tr w14:paraId="20B4A2E9">
        <w:tblPrEx>
          <w:tblCellMar>
            <w:top w:w="0" w:type="dxa"/>
            <w:left w:w="108" w:type="dxa"/>
            <w:bottom w:w="0" w:type="dxa"/>
            <w:right w:w="108" w:type="dxa"/>
          </w:tblCellMar>
        </w:tblPrEx>
        <w:trPr>
          <w:trHeight w:val="517" w:hRule="atLeast"/>
        </w:trPr>
        <w:tc>
          <w:tcPr>
            <w:tcW w:w="3879" w:type="pct"/>
            <w:gridSpan w:val="5"/>
            <w:tcBorders>
              <w:top w:val="nil"/>
              <w:left w:val="single" w:color="auto" w:sz="8" w:space="0"/>
              <w:bottom w:val="single" w:color="auto" w:sz="8" w:space="0"/>
              <w:right w:val="single" w:color="000000" w:sz="8" w:space="0"/>
            </w:tcBorders>
            <w:shd w:val="clear" w:color="auto" w:fill="auto"/>
            <w:noWrap/>
            <w:vAlign w:val="center"/>
          </w:tcPr>
          <w:p w14:paraId="4998CAAE">
            <w:pPr>
              <w:widowControl/>
              <w:ind w:firstLine="482"/>
              <w:jc w:val="center"/>
              <w:textAlignment w:val="center"/>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eastAsia="zh-CN" w:bidi="ar"/>
                <w14:textFill>
                  <w14:solidFill>
                    <w14:schemeClr w14:val="tx1"/>
                  </w14:solidFill>
                </w14:textFill>
              </w:rPr>
              <w:t>合计</w:t>
            </w:r>
          </w:p>
        </w:tc>
        <w:tc>
          <w:tcPr>
            <w:tcW w:w="1120" w:type="pct"/>
            <w:gridSpan w:val="2"/>
            <w:tcBorders>
              <w:top w:val="nil"/>
              <w:left w:val="nil"/>
              <w:bottom w:val="single" w:color="auto" w:sz="8" w:space="0"/>
              <w:right w:val="single" w:color="auto" w:sz="8" w:space="0"/>
            </w:tcBorders>
            <w:shd w:val="clear" w:color="auto" w:fill="auto"/>
            <w:noWrap/>
            <w:vAlign w:val="center"/>
          </w:tcPr>
          <w:p w14:paraId="023975A5">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2E1DEAF1">
        <w:tblPrEx>
          <w:tblCellMar>
            <w:top w:w="0" w:type="dxa"/>
            <w:left w:w="108" w:type="dxa"/>
            <w:bottom w:w="0" w:type="dxa"/>
            <w:right w:w="108" w:type="dxa"/>
          </w:tblCellMar>
        </w:tblPrEx>
        <w:trPr>
          <w:trHeight w:val="300"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745722F3">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1</w:t>
            </w:r>
          </w:p>
        </w:tc>
        <w:tc>
          <w:tcPr>
            <w:tcW w:w="1039" w:type="pct"/>
            <w:tcBorders>
              <w:top w:val="nil"/>
              <w:left w:val="nil"/>
              <w:bottom w:val="single" w:color="auto" w:sz="8" w:space="0"/>
              <w:right w:val="single" w:color="auto" w:sz="8" w:space="0"/>
            </w:tcBorders>
            <w:shd w:val="clear" w:color="auto" w:fill="auto"/>
            <w:noWrap/>
            <w:vAlign w:val="center"/>
          </w:tcPr>
          <w:p w14:paraId="7EB9A588">
            <w:pPr>
              <w:widowControl/>
              <w:ind w:firstLine="0" w:firstLineChars="0"/>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洪峰坝水库（德厚镇）</w:t>
            </w:r>
          </w:p>
        </w:tc>
        <w:tc>
          <w:tcPr>
            <w:tcW w:w="666" w:type="pct"/>
            <w:tcBorders>
              <w:top w:val="nil"/>
              <w:left w:val="nil"/>
              <w:bottom w:val="single" w:color="auto" w:sz="8" w:space="0"/>
              <w:right w:val="single" w:color="auto" w:sz="8" w:space="0"/>
            </w:tcBorders>
            <w:shd w:val="clear" w:color="auto" w:fill="auto"/>
            <w:noWrap/>
            <w:vAlign w:val="center"/>
          </w:tcPr>
          <w:p w14:paraId="11F31361">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供电优先</w:t>
            </w:r>
          </w:p>
        </w:tc>
        <w:tc>
          <w:tcPr>
            <w:tcW w:w="878" w:type="pct"/>
            <w:tcBorders>
              <w:top w:val="nil"/>
              <w:left w:val="nil"/>
              <w:bottom w:val="single" w:color="auto" w:sz="8" w:space="0"/>
              <w:right w:val="single" w:color="auto" w:sz="8" w:space="0"/>
            </w:tcBorders>
            <w:shd w:val="clear" w:color="auto" w:fill="auto"/>
            <w:noWrap/>
            <w:vAlign w:val="center"/>
          </w:tcPr>
          <w:p w14:paraId="2AE5F609">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自动水位雨量站</w:t>
            </w:r>
          </w:p>
        </w:tc>
        <w:tc>
          <w:tcPr>
            <w:tcW w:w="1019" w:type="pct"/>
            <w:tcBorders>
              <w:top w:val="nil"/>
              <w:left w:val="nil"/>
              <w:bottom w:val="single" w:color="auto" w:sz="8" w:space="0"/>
              <w:right w:val="single" w:color="auto" w:sz="8" w:space="0"/>
            </w:tcBorders>
            <w:shd w:val="clear" w:color="auto" w:fill="auto"/>
            <w:noWrap/>
            <w:vAlign w:val="center"/>
          </w:tcPr>
          <w:p w14:paraId="68EC1A50">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更换电池</w:t>
            </w:r>
          </w:p>
        </w:tc>
        <w:tc>
          <w:tcPr>
            <w:tcW w:w="548" w:type="pct"/>
            <w:tcBorders>
              <w:top w:val="nil"/>
              <w:left w:val="nil"/>
              <w:bottom w:val="single" w:color="auto" w:sz="8" w:space="0"/>
              <w:right w:val="single" w:color="auto" w:sz="8" w:space="0"/>
            </w:tcBorders>
            <w:shd w:val="clear" w:color="auto" w:fill="auto"/>
            <w:noWrap/>
            <w:vAlign w:val="center"/>
          </w:tcPr>
          <w:p w14:paraId="65457862">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414D3114">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52F2F7D5">
        <w:tblPrEx>
          <w:tblCellMar>
            <w:top w:w="0" w:type="dxa"/>
            <w:left w:w="108" w:type="dxa"/>
            <w:bottom w:w="0" w:type="dxa"/>
            <w:right w:w="108" w:type="dxa"/>
          </w:tblCellMar>
        </w:tblPrEx>
        <w:trPr>
          <w:trHeight w:val="807"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65CD462F">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2</w:t>
            </w:r>
          </w:p>
        </w:tc>
        <w:tc>
          <w:tcPr>
            <w:tcW w:w="1039" w:type="pct"/>
            <w:tcBorders>
              <w:top w:val="nil"/>
              <w:left w:val="nil"/>
              <w:bottom w:val="single" w:color="auto" w:sz="8" w:space="0"/>
              <w:right w:val="single" w:color="auto" w:sz="8" w:space="0"/>
            </w:tcBorders>
            <w:shd w:val="clear" w:color="auto" w:fill="auto"/>
            <w:noWrap/>
            <w:vAlign w:val="center"/>
          </w:tcPr>
          <w:p w14:paraId="728228E2">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德厚（德厚镇）</w:t>
            </w:r>
          </w:p>
        </w:tc>
        <w:tc>
          <w:tcPr>
            <w:tcW w:w="666" w:type="pct"/>
            <w:tcBorders>
              <w:top w:val="nil"/>
              <w:left w:val="nil"/>
              <w:bottom w:val="single" w:color="auto" w:sz="8" w:space="0"/>
              <w:right w:val="single" w:color="auto" w:sz="8" w:space="0"/>
            </w:tcBorders>
            <w:shd w:val="clear" w:color="auto" w:fill="auto"/>
            <w:noWrap/>
            <w:vAlign w:val="center"/>
          </w:tcPr>
          <w:p w14:paraId="4098EFD6">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供电、传感器优先</w:t>
            </w:r>
          </w:p>
        </w:tc>
        <w:tc>
          <w:tcPr>
            <w:tcW w:w="878" w:type="pct"/>
            <w:tcBorders>
              <w:top w:val="nil"/>
              <w:left w:val="nil"/>
              <w:bottom w:val="single" w:color="auto" w:sz="8" w:space="0"/>
              <w:right w:val="single" w:color="auto" w:sz="8" w:space="0"/>
            </w:tcBorders>
            <w:shd w:val="clear" w:color="auto" w:fill="auto"/>
            <w:noWrap/>
            <w:vAlign w:val="center"/>
          </w:tcPr>
          <w:p w14:paraId="6AB6E029">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自动水位雨量站</w:t>
            </w:r>
          </w:p>
        </w:tc>
        <w:tc>
          <w:tcPr>
            <w:tcW w:w="1019" w:type="pct"/>
            <w:tcBorders>
              <w:top w:val="nil"/>
              <w:left w:val="nil"/>
              <w:bottom w:val="single" w:color="auto" w:sz="8" w:space="0"/>
              <w:right w:val="single" w:color="auto" w:sz="8" w:space="0"/>
            </w:tcBorders>
            <w:shd w:val="clear" w:color="auto" w:fill="auto"/>
            <w:noWrap/>
            <w:vAlign w:val="center"/>
          </w:tcPr>
          <w:p w14:paraId="05492EFC">
            <w:pPr>
              <w:widowControl/>
              <w:ind w:firstLine="0" w:firstLineChars="0"/>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更换水位传感器、电池</w:t>
            </w:r>
          </w:p>
        </w:tc>
        <w:tc>
          <w:tcPr>
            <w:tcW w:w="548" w:type="pct"/>
            <w:tcBorders>
              <w:top w:val="nil"/>
              <w:left w:val="nil"/>
              <w:bottom w:val="single" w:color="auto" w:sz="8" w:space="0"/>
              <w:right w:val="single" w:color="auto" w:sz="8" w:space="0"/>
            </w:tcBorders>
            <w:shd w:val="clear" w:color="auto" w:fill="auto"/>
            <w:noWrap/>
            <w:vAlign w:val="center"/>
          </w:tcPr>
          <w:p w14:paraId="477116C2">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2840674C">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4FCD4C1B">
        <w:tblPrEx>
          <w:tblCellMar>
            <w:top w:w="0" w:type="dxa"/>
            <w:left w:w="108" w:type="dxa"/>
            <w:bottom w:w="0" w:type="dxa"/>
            <w:right w:w="108" w:type="dxa"/>
          </w:tblCellMar>
        </w:tblPrEx>
        <w:trPr>
          <w:trHeight w:val="348"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3B04E5FE">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3</w:t>
            </w:r>
          </w:p>
        </w:tc>
        <w:tc>
          <w:tcPr>
            <w:tcW w:w="1039" w:type="pct"/>
            <w:tcBorders>
              <w:top w:val="nil"/>
              <w:left w:val="nil"/>
              <w:bottom w:val="single" w:color="auto" w:sz="8" w:space="0"/>
              <w:right w:val="single" w:color="auto" w:sz="8" w:space="0"/>
            </w:tcBorders>
            <w:shd w:val="clear" w:color="auto" w:fill="auto"/>
            <w:noWrap/>
            <w:vAlign w:val="center"/>
          </w:tcPr>
          <w:p w14:paraId="4FD71653">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大龙（德厚镇）</w:t>
            </w:r>
          </w:p>
        </w:tc>
        <w:tc>
          <w:tcPr>
            <w:tcW w:w="666" w:type="pct"/>
            <w:tcBorders>
              <w:top w:val="nil"/>
              <w:left w:val="nil"/>
              <w:bottom w:val="single" w:color="auto" w:sz="8" w:space="0"/>
              <w:right w:val="single" w:color="auto" w:sz="8" w:space="0"/>
            </w:tcBorders>
            <w:shd w:val="clear" w:color="auto" w:fill="auto"/>
            <w:noWrap/>
            <w:vAlign w:val="center"/>
          </w:tcPr>
          <w:p w14:paraId="2E0D54BA">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供电优先</w:t>
            </w:r>
          </w:p>
        </w:tc>
        <w:tc>
          <w:tcPr>
            <w:tcW w:w="878" w:type="pct"/>
            <w:tcBorders>
              <w:top w:val="nil"/>
              <w:left w:val="nil"/>
              <w:bottom w:val="single" w:color="auto" w:sz="8" w:space="0"/>
              <w:right w:val="single" w:color="auto" w:sz="8" w:space="0"/>
            </w:tcBorders>
            <w:shd w:val="clear" w:color="auto" w:fill="auto"/>
            <w:vAlign w:val="center"/>
          </w:tcPr>
          <w:p w14:paraId="1DB086FE">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自动雨量站</w:t>
            </w:r>
          </w:p>
        </w:tc>
        <w:tc>
          <w:tcPr>
            <w:tcW w:w="1019" w:type="pct"/>
            <w:tcBorders>
              <w:top w:val="nil"/>
              <w:left w:val="nil"/>
              <w:bottom w:val="single" w:color="auto" w:sz="8" w:space="0"/>
              <w:right w:val="single" w:color="auto" w:sz="8" w:space="0"/>
            </w:tcBorders>
            <w:shd w:val="clear" w:color="auto" w:fill="auto"/>
            <w:noWrap/>
            <w:vAlign w:val="center"/>
          </w:tcPr>
          <w:p w14:paraId="5B6ABE3C">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更换电池</w:t>
            </w:r>
          </w:p>
        </w:tc>
        <w:tc>
          <w:tcPr>
            <w:tcW w:w="548" w:type="pct"/>
            <w:tcBorders>
              <w:top w:val="nil"/>
              <w:left w:val="nil"/>
              <w:bottom w:val="single" w:color="auto" w:sz="8" w:space="0"/>
              <w:right w:val="single" w:color="auto" w:sz="8" w:space="0"/>
            </w:tcBorders>
            <w:shd w:val="clear" w:color="auto" w:fill="auto"/>
            <w:noWrap/>
            <w:vAlign w:val="center"/>
          </w:tcPr>
          <w:p w14:paraId="192FBDA0">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0E25A43D">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527A3A41">
        <w:tblPrEx>
          <w:tblCellMar>
            <w:top w:w="0" w:type="dxa"/>
            <w:left w:w="108" w:type="dxa"/>
            <w:bottom w:w="0" w:type="dxa"/>
            <w:right w:w="108" w:type="dxa"/>
          </w:tblCellMar>
        </w:tblPrEx>
        <w:trPr>
          <w:trHeight w:val="300"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71A4A9FF">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4</w:t>
            </w:r>
          </w:p>
        </w:tc>
        <w:tc>
          <w:tcPr>
            <w:tcW w:w="1039" w:type="pct"/>
            <w:tcBorders>
              <w:top w:val="nil"/>
              <w:left w:val="nil"/>
              <w:bottom w:val="single" w:color="auto" w:sz="8" w:space="0"/>
              <w:right w:val="single" w:color="auto" w:sz="8" w:space="0"/>
            </w:tcBorders>
            <w:shd w:val="clear" w:color="auto" w:fill="auto"/>
            <w:noWrap/>
            <w:vAlign w:val="center"/>
          </w:tcPr>
          <w:p w14:paraId="5A2AAC0E">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席草寨（红甸乡）</w:t>
            </w:r>
          </w:p>
        </w:tc>
        <w:tc>
          <w:tcPr>
            <w:tcW w:w="666" w:type="pct"/>
            <w:tcBorders>
              <w:top w:val="nil"/>
              <w:left w:val="nil"/>
              <w:bottom w:val="single" w:color="auto" w:sz="8" w:space="0"/>
              <w:right w:val="single" w:color="auto" w:sz="8" w:space="0"/>
            </w:tcBorders>
            <w:shd w:val="clear" w:color="auto" w:fill="auto"/>
            <w:noWrap/>
            <w:vAlign w:val="center"/>
          </w:tcPr>
          <w:p w14:paraId="78CD94CE">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供电优先</w:t>
            </w:r>
          </w:p>
        </w:tc>
        <w:tc>
          <w:tcPr>
            <w:tcW w:w="878" w:type="pct"/>
            <w:tcBorders>
              <w:top w:val="nil"/>
              <w:left w:val="nil"/>
              <w:bottom w:val="single" w:color="auto" w:sz="8" w:space="0"/>
              <w:right w:val="single" w:color="auto" w:sz="8" w:space="0"/>
            </w:tcBorders>
            <w:shd w:val="clear" w:color="auto" w:fill="auto"/>
            <w:noWrap/>
            <w:vAlign w:val="center"/>
          </w:tcPr>
          <w:p w14:paraId="70919721">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自动水位雨量站</w:t>
            </w:r>
          </w:p>
        </w:tc>
        <w:tc>
          <w:tcPr>
            <w:tcW w:w="1019" w:type="pct"/>
            <w:tcBorders>
              <w:top w:val="nil"/>
              <w:left w:val="nil"/>
              <w:bottom w:val="single" w:color="auto" w:sz="8" w:space="0"/>
              <w:right w:val="single" w:color="auto" w:sz="8" w:space="0"/>
            </w:tcBorders>
            <w:shd w:val="clear" w:color="auto" w:fill="auto"/>
            <w:noWrap/>
            <w:vAlign w:val="center"/>
          </w:tcPr>
          <w:p w14:paraId="1735D88A">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更换电池</w:t>
            </w:r>
          </w:p>
        </w:tc>
        <w:tc>
          <w:tcPr>
            <w:tcW w:w="548" w:type="pct"/>
            <w:tcBorders>
              <w:top w:val="nil"/>
              <w:left w:val="nil"/>
              <w:bottom w:val="single" w:color="auto" w:sz="8" w:space="0"/>
              <w:right w:val="single" w:color="auto" w:sz="8" w:space="0"/>
            </w:tcBorders>
            <w:shd w:val="clear" w:color="auto" w:fill="auto"/>
            <w:noWrap/>
            <w:vAlign w:val="center"/>
          </w:tcPr>
          <w:p w14:paraId="73D726FC">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70860600">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4B81C186">
        <w:tblPrEx>
          <w:tblCellMar>
            <w:top w:w="0" w:type="dxa"/>
            <w:left w:w="108" w:type="dxa"/>
            <w:bottom w:w="0" w:type="dxa"/>
            <w:right w:w="108" w:type="dxa"/>
          </w:tblCellMar>
        </w:tblPrEx>
        <w:trPr>
          <w:trHeight w:val="300"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3AA17CD6">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5</w:t>
            </w:r>
          </w:p>
        </w:tc>
        <w:tc>
          <w:tcPr>
            <w:tcW w:w="1039" w:type="pct"/>
            <w:tcBorders>
              <w:top w:val="nil"/>
              <w:left w:val="nil"/>
              <w:bottom w:val="single" w:color="auto" w:sz="8" w:space="0"/>
              <w:right w:val="single" w:color="auto" w:sz="8" w:space="0"/>
            </w:tcBorders>
            <w:shd w:val="clear" w:color="auto" w:fill="auto"/>
            <w:noWrap/>
            <w:vAlign w:val="center"/>
          </w:tcPr>
          <w:p w14:paraId="0E6A246C">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朝阳（德厚镇）</w:t>
            </w:r>
          </w:p>
        </w:tc>
        <w:tc>
          <w:tcPr>
            <w:tcW w:w="666" w:type="pct"/>
            <w:tcBorders>
              <w:top w:val="nil"/>
              <w:left w:val="nil"/>
              <w:bottom w:val="single" w:color="auto" w:sz="8" w:space="0"/>
              <w:right w:val="single" w:color="auto" w:sz="8" w:space="0"/>
            </w:tcBorders>
            <w:shd w:val="clear" w:color="auto" w:fill="auto"/>
            <w:noWrap/>
            <w:vAlign w:val="center"/>
          </w:tcPr>
          <w:p w14:paraId="79ADC786">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设备优先</w:t>
            </w:r>
          </w:p>
        </w:tc>
        <w:tc>
          <w:tcPr>
            <w:tcW w:w="878" w:type="pct"/>
            <w:tcBorders>
              <w:top w:val="nil"/>
              <w:left w:val="nil"/>
              <w:bottom w:val="single" w:color="auto" w:sz="8" w:space="0"/>
              <w:right w:val="single" w:color="auto" w:sz="8" w:space="0"/>
            </w:tcBorders>
            <w:shd w:val="clear" w:color="auto" w:fill="auto"/>
            <w:vAlign w:val="center"/>
          </w:tcPr>
          <w:p w14:paraId="40978602">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自动雨量站</w:t>
            </w:r>
          </w:p>
        </w:tc>
        <w:tc>
          <w:tcPr>
            <w:tcW w:w="1019" w:type="pct"/>
            <w:tcBorders>
              <w:top w:val="nil"/>
              <w:left w:val="nil"/>
              <w:bottom w:val="single" w:color="auto" w:sz="8" w:space="0"/>
              <w:right w:val="single" w:color="auto" w:sz="8" w:space="0"/>
            </w:tcBorders>
            <w:shd w:val="clear" w:color="auto" w:fill="auto"/>
            <w:noWrap/>
            <w:vAlign w:val="center"/>
          </w:tcPr>
          <w:p w14:paraId="5321D134">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更换遥测终端设备</w:t>
            </w:r>
          </w:p>
        </w:tc>
        <w:tc>
          <w:tcPr>
            <w:tcW w:w="548" w:type="pct"/>
            <w:tcBorders>
              <w:top w:val="nil"/>
              <w:left w:val="nil"/>
              <w:bottom w:val="single" w:color="auto" w:sz="8" w:space="0"/>
              <w:right w:val="single" w:color="auto" w:sz="8" w:space="0"/>
            </w:tcBorders>
            <w:shd w:val="clear" w:color="auto" w:fill="auto"/>
            <w:noWrap/>
            <w:vAlign w:val="center"/>
          </w:tcPr>
          <w:p w14:paraId="57153B5C">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4F62A172">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24E0E3E5">
        <w:tblPrEx>
          <w:tblCellMar>
            <w:top w:w="0" w:type="dxa"/>
            <w:left w:w="108" w:type="dxa"/>
            <w:bottom w:w="0" w:type="dxa"/>
            <w:right w:w="108" w:type="dxa"/>
          </w:tblCellMar>
        </w:tblPrEx>
        <w:trPr>
          <w:trHeight w:val="396"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16BC62B1">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6</w:t>
            </w:r>
          </w:p>
        </w:tc>
        <w:tc>
          <w:tcPr>
            <w:tcW w:w="1039" w:type="pct"/>
            <w:tcBorders>
              <w:top w:val="nil"/>
              <w:left w:val="nil"/>
              <w:bottom w:val="single" w:color="auto" w:sz="8" w:space="0"/>
              <w:right w:val="single" w:color="auto" w:sz="8" w:space="0"/>
            </w:tcBorders>
            <w:shd w:val="clear" w:color="auto" w:fill="auto"/>
            <w:noWrap/>
            <w:vAlign w:val="center"/>
          </w:tcPr>
          <w:p w14:paraId="41E4754A">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小六寨（红甸乡）</w:t>
            </w:r>
          </w:p>
        </w:tc>
        <w:tc>
          <w:tcPr>
            <w:tcW w:w="666" w:type="pct"/>
            <w:tcBorders>
              <w:top w:val="nil"/>
              <w:left w:val="nil"/>
              <w:bottom w:val="single" w:color="auto" w:sz="8" w:space="0"/>
              <w:right w:val="single" w:color="auto" w:sz="8" w:space="0"/>
            </w:tcBorders>
            <w:shd w:val="clear" w:color="auto" w:fill="auto"/>
            <w:noWrap/>
            <w:vAlign w:val="center"/>
          </w:tcPr>
          <w:p w14:paraId="171E5C62">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设备优先</w:t>
            </w:r>
          </w:p>
        </w:tc>
        <w:tc>
          <w:tcPr>
            <w:tcW w:w="878" w:type="pct"/>
            <w:tcBorders>
              <w:top w:val="nil"/>
              <w:left w:val="nil"/>
              <w:bottom w:val="single" w:color="auto" w:sz="8" w:space="0"/>
              <w:right w:val="single" w:color="auto" w:sz="8" w:space="0"/>
            </w:tcBorders>
            <w:shd w:val="clear" w:color="auto" w:fill="auto"/>
            <w:vAlign w:val="center"/>
          </w:tcPr>
          <w:p w14:paraId="37CAACF2">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自动雨量站</w:t>
            </w:r>
          </w:p>
        </w:tc>
        <w:tc>
          <w:tcPr>
            <w:tcW w:w="1019" w:type="pct"/>
            <w:tcBorders>
              <w:top w:val="nil"/>
              <w:left w:val="nil"/>
              <w:bottom w:val="single" w:color="auto" w:sz="8" w:space="0"/>
              <w:right w:val="single" w:color="auto" w:sz="8" w:space="0"/>
            </w:tcBorders>
            <w:shd w:val="clear" w:color="auto" w:fill="auto"/>
            <w:noWrap/>
            <w:vAlign w:val="center"/>
          </w:tcPr>
          <w:p w14:paraId="4CB7C81F">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更换遥测终端设备</w:t>
            </w:r>
          </w:p>
        </w:tc>
        <w:tc>
          <w:tcPr>
            <w:tcW w:w="548" w:type="pct"/>
            <w:tcBorders>
              <w:top w:val="nil"/>
              <w:left w:val="nil"/>
              <w:bottom w:val="single" w:color="auto" w:sz="8" w:space="0"/>
              <w:right w:val="single" w:color="auto" w:sz="8" w:space="0"/>
            </w:tcBorders>
            <w:shd w:val="clear" w:color="auto" w:fill="auto"/>
            <w:noWrap/>
            <w:vAlign w:val="center"/>
          </w:tcPr>
          <w:p w14:paraId="39456A6A">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0FB2D43A">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7CBE84F5">
        <w:tblPrEx>
          <w:tblCellMar>
            <w:top w:w="0" w:type="dxa"/>
            <w:left w:w="108" w:type="dxa"/>
            <w:bottom w:w="0" w:type="dxa"/>
            <w:right w:w="108" w:type="dxa"/>
          </w:tblCellMar>
        </w:tblPrEx>
        <w:trPr>
          <w:trHeight w:val="300"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580C51FF">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7</w:t>
            </w:r>
          </w:p>
        </w:tc>
        <w:tc>
          <w:tcPr>
            <w:tcW w:w="1039" w:type="pct"/>
            <w:tcBorders>
              <w:top w:val="nil"/>
              <w:left w:val="nil"/>
              <w:bottom w:val="single" w:color="auto" w:sz="8" w:space="0"/>
              <w:right w:val="single" w:color="auto" w:sz="8" w:space="0"/>
            </w:tcBorders>
            <w:shd w:val="clear" w:color="auto" w:fill="auto"/>
            <w:vAlign w:val="center"/>
          </w:tcPr>
          <w:p w14:paraId="65817E39">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茂克新寨（红甸乡）</w:t>
            </w:r>
          </w:p>
        </w:tc>
        <w:tc>
          <w:tcPr>
            <w:tcW w:w="666" w:type="pct"/>
            <w:tcBorders>
              <w:top w:val="nil"/>
              <w:left w:val="nil"/>
              <w:bottom w:val="single" w:color="auto" w:sz="8" w:space="0"/>
              <w:right w:val="single" w:color="auto" w:sz="8" w:space="0"/>
            </w:tcBorders>
            <w:shd w:val="clear" w:color="auto" w:fill="auto"/>
            <w:noWrap/>
            <w:vAlign w:val="center"/>
          </w:tcPr>
          <w:p w14:paraId="7593E49F">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搬迁站点</w:t>
            </w:r>
          </w:p>
        </w:tc>
        <w:tc>
          <w:tcPr>
            <w:tcW w:w="878" w:type="pct"/>
            <w:tcBorders>
              <w:top w:val="nil"/>
              <w:left w:val="nil"/>
              <w:bottom w:val="single" w:color="auto" w:sz="8" w:space="0"/>
              <w:right w:val="single" w:color="auto" w:sz="8" w:space="0"/>
            </w:tcBorders>
            <w:shd w:val="clear" w:color="auto" w:fill="auto"/>
            <w:noWrap/>
            <w:vAlign w:val="center"/>
          </w:tcPr>
          <w:p w14:paraId="6CD6E47B">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自动雨量站</w:t>
            </w:r>
          </w:p>
        </w:tc>
        <w:tc>
          <w:tcPr>
            <w:tcW w:w="1019" w:type="pct"/>
            <w:tcBorders>
              <w:top w:val="nil"/>
              <w:left w:val="nil"/>
              <w:bottom w:val="single" w:color="auto" w:sz="8" w:space="0"/>
              <w:right w:val="single" w:color="auto" w:sz="8" w:space="0"/>
            </w:tcBorders>
            <w:shd w:val="clear" w:color="auto" w:fill="auto"/>
            <w:noWrap/>
            <w:vAlign w:val="center"/>
          </w:tcPr>
          <w:p w14:paraId="12406584">
            <w:pPr>
              <w:widowControl/>
              <w:ind w:firstLine="0" w:firstLineChars="0"/>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搬迁站点，更换遥测终端设备</w:t>
            </w:r>
          </w:p>
        </w:tc>
        <w:tc>
          <w:tcPr>
            <w:tcW w:w="548" w:type="pct"/>
            <w:tcBorders>
              <w:top w:val="nil"/>
              <w:left w:val="nil"/>
              <w:bottom w:val="single" w:color="auto" w:sz="8" w:space="0"/>
              <w:right w:val="single" w:color="auto" w:sz="8" w:space="0"/>
            </w:tcBorders>
            <w:shd w:val="clear" w:color="auto" w:fill="auto"/>
            <w:noWrap/>
            <w:vAlign w:val="center"/>
          </w:tcPr>
          <w:p w14:paraId="2FD1AB60">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7D90BA2B">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51A3675E">
        <w:tblPrEx>
          <w:tblCellMar>
            <w:top w:w="0" w:type="dxa"/>
            <w:left w:w="108" w:type="dxa"/>
            <w:bottom w:w="0" w:type="dxa"/>
            <w:right w:w="108" w:type="dxa"/>
          </w:tblCellMar>
        </w:tblPrEx>
        <w:trPr>
          <w:trHeight w:val="300"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10818144">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8</w:t>
            </w:r>
          </w:p>
        </w:tc>
        <w:tc>
          <w:tcPr>
            <w:tcW w:w="1039" w:type="pct"/>
            <w:tcBorders>
              <w:top w:val="nil"/>
              <w:left w:val="nil"/>
              <w:bottom w:val="single" w:color="auto" w:sz="8" w:space="0"/>
              <w:right w:val="single" w:color="auto" w:sz="8" w:space="0"/>
            </w:tcBorders>
            <w:shd w:val="clear" w:color="auto" w:fill="auto"/>
            <w:noWrap/>
            <w:vAlign w:val="center"/>
          </w:tcPr>
          <w:p w14:paraId="6CF2359A">
            <w:pPr>
              <w:widowControl/>
              <w:ind w:firstLine="0" w:firstLineChars="0"/>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老安寨（大木克）（秉烈乡）</w:t>
            </w:r>
          </w:p>
        </w:tc>
        <w:tc>
          <w:tcPr>
            <w:tcW w:w="666" w:type="pct"/>
            <w:tcBorders>
              <w:top w:val="nil"/>
              <w:left w:val="nil"/>
              <w:bottom w:val="single" w:color="auto" w:sz="8" w:space="0"/>
              <w:right w:val="single" w:color="auto" w:sz="8" w:space="0"/>
            </w:tcBorders>
            <w:shd w:val="clear" w:color="auto" w:fill="auto"/>
            <w:noWrap/>
            <w:vAlign w:val="center"/>
          </w:tcPr>
          <w:p w14:paraId="55C30A46">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设备优先，搬迁站点</w:t>
            </w:r>
          </w:p>
        </w:tc>
        <w:tc>
          <w:tcPr>
            <w:tcW w:w="878" w:type="pct"/>
            <w:tcBorders>
              <w:top w:val="nil"/>
              <w:left w:val="nil"/>
              <w:bottom w:val="single" w:color="auto" w:sz="8" w:space="0"/>
              <w:right w:val="single" w:color="auto" w:sz="8" w:space="0"/>
            </w:tcBorders>
            <w:shd w:val="clear" w:color="auto" w:fill="auto"/>
            <w:noWrap/>
            <w:vAlign w:val="center"/>
          </w:tcPr>
          <w:p w14:paraId="14C9BDE7">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自动雨量站</w:t>
            </w:r>
          </w:p>
        </w:tc>
        <w:tc>
          <w:tcPr>
            <w:tcW w:w="1019" w:type="pct"/>
            <w:tcBorders>
              <w:top w:val="nil"/>
              <w:left w:val="nil"/>
              <w:bottom w:val="single" w:color="auto" w:sz="8" w:space="0"/>
              <w:right w:val="single" w:color="auto" w:sz="8" w:space="0"/>
            </w:tcBorders>
            <w:shd w:val="clear" w:color="auto" w:fill="auto"/>
            <w:noWrap/>
            <w:vAlign w:val="center"/>
          </w:tcPr>
          <w:p w14:paraId="46F8A39C">
            <w:pPr>
              <w:widowControl/>
              <w:ind w:firstLine="0" w:firstLineChars="0"/>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搬迁站点，更换遥测终端设备</w:t>
            </w:r>
          </w:p>
        </w:tc>
        <w:tc>
          <w:tcPr>
            <w:tcW w:w="548" w:type="pct"/>
            <w:tcBorders>
              <w:top w:val="nil"/>
              <w:left w:val="nil"/>
              <w:bottom w:val="single" w:color="auto" w:sz="8" w:space="0"/>
              <w:right w:val="single" w:color="auto" w:sz="8" w:space="0"/>
            </w:tcBorders>
            <w:shd w:val="clear" w:color="auto" w:fill="auto"/>
            <w:noWrap/>
            <w:vAlign w:val="center"/>
          </w:tcPr>
          <w:p w14:paraId="46756E60">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013F73B8">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r w14:paraId="616C96BF">
        <w:tblPrEx>
          <w:tblCellMar>
            <w:top w:w="0" w:type="dxa"/>
            <w:left w:w="108" w:type="dxa"/>
            <w:bottom w:w="0" w:type="dxa"/>
            <w:right w:w="108" w:type="dxa"/>
          </w:tblCellMar>
        </w:tblPrEx>
        <w:trPr>
          <w:trHeight w:val="588" w:hRule="atLeast"/>
        </w:trPr>
        <w:tc>
          <w:tcPr>
            <w:tcW w:w="275" w:type="pct"/>
            <w:tcBorders>
              <w:top w:val="nil"/>
              <w:left w:val="single" w:color="auto" w:sz="8" w:space="0"/>
              <w:bottom w:val="single" w:color="auto" w:sz="8" w:space="0"/>
              <w:right w:val="single" w:color="auto" w:sz="8" w:space="0"/>
            </w:tcBorders>
            <w:shd w:val="clear" w:color="auto" w:fill="auto"/>
            <w:noWrap/>
            <w:vAlign w:val="center"/>
          </w:tcPr>
          <w:p w14:paraId="0D15247A">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9</w:t>
            </w:r>
          </w:p>
        </w:tc>
        <w:tc>
          <w:tcPr>
            <w:tcW w:w="1039" w:type="pct"/>
            <w:tcBorders>
              <w:top w:val="nil"/>
              <w:left w:val="nil"/>
              <w:bottom w:val="single" w:color="auto" w:sz="8" w:space="0"/>
              <w:right w:val="single" w:color="auto" w:sz="8" w:space="0"/>
            </w:tcBorders>
            <w:shd w:val="clear" w:color="auto" w:fill="auto"/>
            <w:noWrap/>
            <w:vAlign w:val="center"/>
          </w:tcPr>
          <w:p w14:paraId="4E9B0B0A">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响水桥-（开化街道）</w:t>
            </w:r>
          </w:p>
        </w:tc>
        <w:tc>
          <w:tcPr>
            <w:tcW w:w="666" w:type="pct"/>
            <w:tcBorders>
              <w:top w:val="nil"/>
              <w:left w:val="nil"/>
              <w:bottom w:val="single" w:color="auto" w:sz="8" w:space="0"/>
              <w:right w:val="single" w:color="auto" w:sz="8" w:space="0"/>
            </w:tcBorders>
            <w:shd w:val="clear" w:color="auto" w:fill="auto"/>
            <w:noWrap/>
            <w:vAlign w:val="center"/>
          </w:tcPr>
          <w:p w14:paraId="60580249">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供电、设备优先</w:t>
            </w:r>
          </w:p>
        </w:tc>
        <w:tc>
          <w:tcPr>
            <w:tcW w:w="878" w:type="pct"/>
            <w:tcBorders>
              <w:top w:val="nil"/>
              <w:left w:val="nil"/>
              <w:bottom w:val="single" w:color="auto" w:sz="8" w:space="0"/>
              <w:right w:val="single" w:color="auto" w:sz="8" w:space="0"/>
            </w:tcBorders>
            <w:shd w:val="clear" w:color="auto" w:fill="auto"/>
            <w:noWrap/>
            <w:vAlign w:val="center"/>
          </w:tcPr>
          <w:p w14:paraId="6DDB39E5">
            <w:pPr>
              <w:widowControl/>
              <w:ind w:firstLine="0" w:firstLineChars="0"/>
              <w:jc w:val="center"/>
              <w:textAlignment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自动水位（雨量）站</w:t>
            </w:r>
          </w:p>
        </w:tc>
        <w:tc>
          <w:tcPr>
            <w:tcW w:w="1019" w:type="pct"/>
            <w:tcBorders>
              <w:top w:val="nil"/>
              <w:left w:val="nil"/>
              <w:bottom w:val="single" w:color="auto" w:sz="8" w:space="0"/>
              <w:right w:val="single" w:color="auto" w:sz="8" w:space="0"/>
            </w:tcBorders>
            <w:shd w:val="clear" w:color="auto" w:fill="auto"/>
            <w:vAlign w:val="center"/>
          </w:tcPr>
          <w:p w14:paraId="6EBF3BE3">
            <w:pPr>
              <w:widowControl/>
              <w:ind w:firstLine="0" w:firstLineChars="0"/>
              <w:jc w:val="center"/>
              <w:textAlignment w:val="center"/>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更换遥测终端设备、更换水位传感器</w:t>
            </w:r>
          </w:p>
        </w:tc>
        <w:tc>
          <w:tcPr>
            <w:tcW w:w="548" w:type="pct"/>
            <w:tcBorders>
              <w:top w:val="nil"/>
              <w:left w:val="nil"/>
              <w:bottom w:val="single" w:color="auto" w:sz="8" w:space="0"/>
              <w:right w:val="single" w:color="auto" w:sz="8" w:space="0"/>
            </w:tcBorders>
            <w:shd w:val="clear" w:color="auto" w:fill="auto"/>
            <w:noWrap/>
            <w:vAlign w:val="center"/>
          </w:tcPr>
          <w:p w14:paraId="11612FC0">
            <w:pPr>
              <w:widowControl/>
              <w:ind w:firstLine="0" w:firstLineChars="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c>
          <w:tcPr>
            <w:tcW w:w="572" w:type="pct"/>
            <w:tcBorders>
              <w:top w:val="nil"/>
              <w:left w:val="nil"/>
              <w:bottom w:val="single" w:color="auto" w:sz="8" w:space="0"/>
              <w:right w:val="single" w:color="auto" w:sz="8" w:space="0"/>
            </w:tcBorders>
            <w:shd w:val="clear" w:color="auto" w:fill="auto"/>
            <w:noWrap/>
            <w:vAlign w:val="center"/>
          </w:tcPr>
          <w:p w14:paraId="33E5252F">
            <w:pPr>
              <w:widowControl/>
              <w:ind w:firstLine="480"/>
              <w:jc w:val="center"/>
              <w:textAlignment w:val="center"/>
              <w:rPr>
                <w:rFonts w:hint="eastAsia" w:ascii="仿宋" w:hAnsi="仿宋" w:eastAsia="仿宋" w:cs="仿宋"/>
                <w:color w:val="000000" w:themeColor="text1"/>
                <w:szCs w:val="24"/>
                <w:highlight w:val="none"/>
                <w14:textFill>
                  <w14:solidFill>
                    <w14:schemeClr w14:val="tx1"/>
                  </w14:solidFill>
                </w14:textFill>
              </w:rPr>
            </w:pPr>
          </w:p>
        </w:tc>
      </w:tr>
    </w:tbl>
    <w:p w14:paraId="39AC4B3C">
      <w:pPr>
        <w:rPr>
          <w:rFonts w:hint="eastAsia" w:ascii="仿宋" w:hAnsi="仿宋" w:eastAsia="仿宋" w:cs="仿宋"/>
          <w:color w:val="000000" w:themeColor="text1"/>
          <w:sz w:val="30"/>
          <w:szCs w:val="30"/>
          <w:highlight w:val="none"/>
          <w14:textFill>
            <w14:solidFill>
              <w14:schemeClr w14:val="tx1"/>
            </w14:solidFill>
          </w14:textFill>
        </w:rPr>
        <w:sectPr>
          <w:footerReference r:id="rId15" w:type="first"/>
          <w:headerReference r:id="rId13" w:type="default"/>
          <w:footerReference r:id="rId14" w:type="default"/>
          <w:pgSz w:w="11906" w:h="16838"/>
          <w:pgMar w:top="1440" w:right="1423" w:bottom="1440" w:left="1423" w:header="567" w:footer="283" w:gutter="0"/>
          <w:pgBorders>
            <w:top w:val="none" w:sz="0" w:space="0"/>
            <w:left w:val="none" w:sz="0" w:space="0"/>
            <w:bottom w:val="none" w:sz="0" w:space="0"/>
            <w:right w:val="none" w:sz="0" w:space="0"/>
          </w:pgBorders>
          <w:pgNumType w:fmt="numberInDash"/>
          <w:cols w:space="720" w:num="1"/>
          <w:titlePg/>
          <w:rtlGutter w:val="0"/>
          <w:docGrid w:type="lines" w:linePitch="312" w:charSpace="0"/>
        </w:sectPr>
      </w:pPr>
    </w:p>
    <w:p w14:paraId="5BE70DD7">
      <w:pPr>
        <w:keepNext w:val="0"/>
        <w:keepLines w:val="0"/>
        <w:pageBreakBefore w:val="0"/>
        <w:widowControl/>
        <w:suppressLineNumbers w:val="0"/>
        <w:kinsoku/>
        <w:wordWrap/>
        <w:overflowPunct/>
        <w:topLinePunct w:val="0"/>
        <w:autoSpaceDE/>
        <w:autoSpaceDN/>
        <w:bidi w:val="0"/>
        <w:adjustRightInd/>
        <w:snapToGrid/>
        <w:spacing w:line="560" w:lineRule="exact"/>
        <w:ind w:firstLine="562" w:firstLineChars="200"/>
        <w:jc w:val="left"/>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kern w:val="0"/>
          <w:sz w:val="28"/>
          <w:szCs w:val="28"/>
          <w:highlight w:val="none"/>
          <w:lang w:val="en-US" w:eastAsia="zh-CN" w:bidi="ar"/>
          <w14:textFill>
            <w14:solidFill>
              <w14:schemeClr w14:val="tx1"/>
            </w14:solidFill>
          </w14:textFill>
        </w:rPr>
        <w:t xml:space="preserve">四、商务要求 </w:t>
      </w:r>
    </w:p>
    <w:p w14:paraId="594D11A8">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1、合同履行期限：签订合同后365日历天日内完成供货并验收合格</w:t>
      </w:r>
    </w:p>
    <w:p w14:paraId="1B3A6B2B">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 xml:space="preserve">2、项目地点：文山市境内（采购人指定地点）。 </w:t>
      </w:r>
    </w:p>
    <w:p w14:paraId="3044EF2C">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 xml:space="preserve">3、交付规定：供应商交付的货物应当完全符合竞争性磋商文件所规定的货物、数量和规格要求。供应商提供的货物不符合竞争性磋商文件规定的，采购人有权拒收货物。 </w:t>
      </w:r>
    </w:p>
    <w:p w14:paraId="4C7AC55A">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 xml:space="preserve">货物到货后由供应商及采购人对货物的型号、规格、数量、外观质量及货物包装等是否完好进行核查，若开箱后发现货物有缺少、破损，均由供应商承担，具体到货情况以供应商及采购人双方拆箱安装验收交付当日货物数量和完好情况为准。 </w:t>
      </w:r>
    </w:p>
    <w:p w14:paraId="0E6504A9">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供应商应将所提供货物的装箱清单、用户手册、原厂保修卡、合格证、随机资料及配件、随机工具等交付给采购人；供应商不能完整交付货物及本款规定的单证和工具的，视为未按约定交货，由供应商负责补齐，因此导致逾期交付的，由供应商承担相关的违约责任。</w:t>
      </w:r>
    </w:p>
    <w:p w14:paraId="263CF578">
      <w:pPr>
        <w:keepNext w:val="0"/>
        <w:keepLines w:val="0"/>
        <w:pageBreakBefore w:val="0"/>
        <w:widowControl/>
        <w:suppressLineNumbers w:val="0"/>
        <w:kinsoku/>
        <w:wordWrap/>
        <w:overflowPunct/>
        <w:topLinePunct w:val="0"/>
        <w:autoSpaceDE/>
        <w:autoSpaceDN/>
        <w:bidi w:val="0"/>
        <w:adjustRightInd/>
        <w:snapToGrid/>
        <w:spacing w:line="560" w:lineRule="exact"/>
        <w:ind w:firstLine="562"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b/>
          <w:bCs/>
          <w:color w:val="000000" w:themeColor="text1"/>
          <w:kern w:val="0"/>
          <w:sz w:val="28"/>
          <w:szCs w:val="28"/>
          <w:highlight w:val="none"/>
          <w:lang w:val="en-US" w:eastAsia="zh-CN" w:bidi="ar"/>
          <w14:textFill>
            <w14:solidFill>
              <w14:schemeClr w14:val="tx1"/>
            </w14:solidFill>
          </w14:textFill>
        </w:rPr>
        <w:t xml:space="preserve">五、付款条件 </w:t>
      </w:r>
    </w:p>
    <w:p w14:paraId="364C4283">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 xml:space="preserve">项目整体验收合格后，经甲方通知乙方开具符合财政、税务规定的相关票据，向乙方支付项目费用。因乙方未能按时提交等额发票给甲方，甲方有权拒绝付款，直至乙方提供发票后，甲方付款日期顺延。 </w:t>
      </w:r>
    </w:p>
    <w:p w14:paraId="08F13C59">
      <w:pPr>
        <w:keepNext w:val="0"/>
        <w:keepLines w:val="0"/>
        <w:pageBreakBefore w:val="0"/>
        <w:widowControl/>
        <w:suppressLineNumbers w:val="0"/>
        <w:kinsoku/>
        <w:wordWrap/>
        <w:overflowPunct/>
        <w:topLinePunct w:val="0"/>
        <w:autoSpaceDE/>
        <w:autoSpaceDN/>
        <w:bidi w:val="0"/>
        <w:adjustRightInd/>
        <w:snapToGrid/>
        <w:spacing w:line="560" w:lineRule="exact"/>
        <w:ind w:firstLine="562" w:firstLineChars="200"/>
        <w:jc w:val="left"/>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kern w:val="0"/>
          <w:sz w:val="28"/>
          <w:szCs w:val="28"/>
          <w:highlight w:val="none"/>
          <w:lang w:val="en-US" w:eastAsia="zh-CN" w:bidi="ar"/>
          <w14:textFill>
            <w14:solidFill>
              <w14:schemeClr w14:val="tx1"/>
            </w14:solidFill>
          </w14:textFill>
        </w:rPr>
        <w:t xml:space="preserve">六、包装 </w:t>
      </w:r>
    </w:p>
    <w:p w14:paraId="382D996E">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卖方应提供货物运至合同规定的最终目的地所需要的包装，以防止货物在转运中损坏或变质。这类包装应采取防潮、防晒、防锈、防腐蚀、防震动及防止其他损坏的必要保护措施，从而保护货物能够经受多次搬运、装卸及远洋和内陆的长途运输。卖方应承担由于其包装或其防护措施不妥而引起货物锈蚀、损坏和丢失的任何损失的责任或费用等。对于木质包装材料，应按照中华人民共和国国家质量监督检验检疫总局的规定，对木质包装进行除害处理并加施 IPPC 专用标识的声明或未使用木质包装的声明。卖方应在每一包装箱相邻的四面用不可擦除的油漆和明显的字样做出以下标记：1）收货人 2）合同号 3）发货标记（唛头）4）收货人编号5）目的地6）货物名称、品目号和箱号 7）毛重/净重（用 kg 表示）8）尺寸（长×宽×高用 cm 表示）如果单件包装箱的重量在 2 吨（t）或 2 吨（t）以上，卖方应在包装箱两侧用国际贸易通用的运输标记标注“重心”和“起吊点”，以便装卸和搬运。根据货物的特点和运输的不同要求，卖方应在包装箱上清楚地标注“小心轻放”“底端朝上，请勿倒置”“保持干燥”等字样和其他国际贸易中使用的适当标记。</w:t>
      </w:r>
    </w:p>
    <w:p w14:paraId="456695FE">
      <w:pPr>
        <w:keepNext w:val="0"/>
        <w:keepLines w:val="0"/>
        <w:pageBreakBefore w:val="0"/>
        <w:widowControl/>
        <w:suppressLineNumbers w:val="0"/>
        <w:kinsoku/>
        <w:wordWrap/>
        <w:overflowPunct/>
        <w:topLinePunct w:val="0"/>
        <w:autoSpaceDE/>
        <w:autoSpaceDN/>
        <w:bidi w:val="0"/>
        <w:adjustRightInd/>
        <w:snapToGrid/>
        <w:spacing w:line="560" w:lineRule="exact"/>
        <w:ind w:firstLine="562" w:firstLineChars="200"/>
        <w:jc w:val="left"/>
        <w:textAlignment w:val="auto"/>
        <w:rPr>
          <w:rFonts w:hint="eastAsia" w:ascii="仿宋" w:hAnsi="仿宋" w:eastAsia="仿宋" w:cs="仿宋"/>
          <w:b/>
          <w:bCs/>
          <w:color w:val="000000" w:themeColor="text1"/>
          <w:kern w:val="0"/>
          <w:sz w:val="28"/>
          <w:szCs w:val="28"/>
          <w:highlight w:val="none"/>
          <w:lang w:val="en-US" w:eastAsia="zh-CN" w:bidi="ar"/>
          <w14:textFill>
            <w14:solidFill>
              <w14:schemeClr w14:val="tx1"/>
            </w14:solidFill>
          </w14:textFill>
        </w:rPr>
      </w:pPr>
      <w:r>
        <w:rPr>
          <w:rFonts w:hint="eastAsia" w:ascii="仿宋" w:hAnsi="仿宋" w:eastAsia="仿宋" w:cs="仿宋"/>
          <w:b/>
          <w:bCs/>
          <w:color w:val="000000" w:themeColor="text1"/>
          <w:kern w:val="0"/>
          <w:sz w:val="28"/>
          <w:szCs w:val="28"/>
          <w:highlight w:val="none"/>
          <w:lang w:val="en-US" w:eastAsia="zh-CN" w:bidi="ar"/>
          <w14:textFill>
            <w14:solidFill>
              <w14:schemeClr w14:val="tx1"/>
            </w14:solidFill>
          </w14:textFill>
        </w:rPr>
        <w:t>七、技术要求及设施设备</w:t>
      </w:r>
    </w:p>
    <w:p w14:paraId="6C9A9CD6">
      <w:pPr>
        <w:keepNext w:val="0"/>
        <w:keepLines w:val="0"/>
        <w:pageBreakBefore w:val="0"/>
        <w:widowControl/>
        <w:kinsoku/>
        <w:wordWrap/>
        <w:overflowPunct/>
        <w:topLinePunct w:val="0"/>
        <w:autoSpaceDE/>
        <w:autoSpaceDN/>
        <w:bidi w:val="0"/>
        <w:spacing w:before="153" w:line="560" w:lineRule="exact"/>
        <w:ind w:left="8" w:right="10" w:firstLine="481"/>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要求自动雨量站有雨时不少于</w:t>
      </w:r>
      <w:r>
        <w:rPr>
          <w:rFonts w:hint="eastAsia" w:ascii="仿宋" w:hAnsi="仿宋" w:eastAsia="仿宋" w:cs="仿宋"/>
          <w:color w:val="000000" w:themeColor="text1"/>
          <w:spacing w:val="-4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5</w:t>
      </w:r>
      <w:r>
        <w:rPr>
          <w:rFonts w:hint="eastAsia" w:ascii="仿宋" w:hAnsi="仿宋" w:eastAsia="仿宋" w:cs="仿宋"/>
          <w:color w:val="000000" w:themeColor="text1"/>
          <w:spacing w:val="-47"/>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分钟报一次，须至少每天8：00</w:t>
      </w:r>
      <w:r>
        <w:rPr>
          <w:rFonts w:hint="eastAsia" w:ascii="仿宋" w:hAnsi="仿宋" w:eastAsia="仿宋" w:cs="仿宋"/>
          <w:color w:val="000000" w:themeColor="text1"/>
          <w:spacing w:val="-47"/>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发送一</w:t>
      </w:r>
      <w:r>
        <w:rPr>
          <w:rFonts w:hint="eastAsia" w:ascii="仿宋" w:hAnsi="仿宋" w:eastAsia="仿宋" w:cs="仿宋"/>
          <w:color w:val="000000" w:themeColor="text1"/>
          <w:spacing w:val="-2"/>
          <w:sz w:val="24"/>
          <w:szCs w:val="24"/>
          <w:highlight w:val="none"/>
          <w14:textFill>
            <w14:solidFill>
              <w14:schemeClr w14:val="tx1"/>
            </w14:solidFill>
          </w14:textFill>
        </w:rPr>
        <w:t>次平安报，上报内容包括电池电压、信号强度等内容。自动监测站点数据通信要符合《水文监测数</w:t>
      </w:r>
      <w:r>
        <w:rPr>
          <w:rFonts w:hint="eastAsia" w:ascii="仿宋" w:hAnsi="仿宋" w:eastAsia="仿宋" w:cs="仿宋"/>
          <w:color w:val="000000" w:themeColor="text1"/>
          <w:spacing w:val="-1"/>
          <w:sz w:val="24"/>
          <w:szCs w:val="24"/>
          <w:highlight w:val="none"/>
          <w14:textFill>
            <w14:solidFill>
              <w14:schemeClr w14:val="tx1"/>
            </w14:solidFill>
          </w14:textFill>
        </w:rPr>
        <w:t>据通信规约》，具备一站多发功能。</w:t>
      </w:r>
    </w:p>
    <w:p w14:paraId="0ACD29B5">
      <w:pPr>
        <w:keepNext w:val="0"/>
        <w:keepLines w:val="0"/>
        <w:pageBreakBefore w:val="0"/>
        <w:widowControl/>
        <w:kinsoku/>
        <w:wordWrap/>
        <w:overflowPunct/>
        <w:topLinePunct w:val="0"/>
        <w:autoSpaceDE/>
        <w:autoSpaceDN/>
        <w:bidi w:val="0"/>
        <w:spacing w:before="2" w:line="560" w:lineRule="exact"/>
        <w:ind w:left="13" w:right="10" w:firstLine="477"/>
        <w:jc w:val="both"/>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drawing>
          <wp:anchor distT="0" distB="0" distL="0" distR="0" simplePos="0" relativeHeight="251663360" behindDoc="1" locked="0" layoutInCell="1" allowOverlap="1">
            <wp:simplePos x="0" y="0"/>
            <wp:positionH relativeFrom="column">
              <wp:posOffset>-3175</wp:posOffset>
            </wp:positionH>
            <wp:positionV relativeFrom="paragraph">
              <wp:posOffset>768350</wp:posOffset>
            </wp:positionV>
            <wp:extent cx="6350" cy="245110"/>
            <wp:effectExtent l="0" t="0" r="0" b="0"/>
            <wp:wrapNone/>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20"/>
                    <a:stretch>
                      <a:fillRect/>
                    </a:stretch>
                  </pic:blipFill>
                  <pic:spPr>
                    <a:xfrm>
                      <a:off x="0" y="0"/>
                      <a:ext cx="6350" cy="245109"/>
                    </a:xfrm>
                    <a:prstGeom prst="rect">
                      <a:avLst/>
                    </a:prstGeom>
                  </pic:spPr>
                </pic:pic>
              </a:graphicData>
            </a:graphic>
          </wp:anchor>
        </w:drawing>
      </w:r>
      <w:r>
        <w:rPr>
          <w:rFonts w:hint="eastAsia" w:ascii="仿宋" w:hAnsi="仿宋" w:eastAsia="仿宋" w:cs="仿宋"/>
          <w:color w:val="000000" w:themeColor="text1"/>
          <w:spacing w:val="-2"/>
          <w:sz w:val="24"/>
          <w:szCs w:val="24"/>
          <w:highlight w:val="none"/>
          <w14:textFill>
            <w14:solidFill>
              <w14:schemeClr w14:val="tx1"/>
            </w14:solidFill>
          </w14:textFill>
        </w:rPr>
        <w:t>新建水位站要确定基准水位，原则上采用基准点引测达到四等以上水准测量要求，不具备条件的可采用差分</w:t>
      </w:r>
      <w:r>
        <w:rPr>
          <w:rFonts w:hint="eastAsia" w:ascii="仿宋" w:hAnsi="仿宋" w:eastAsia="仿宋" w:cs="仿宋"/>
          <w:color w:val="000000" w:themeColor="text1"/>
          <w:spacing w:val="-5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GPS</w:t>
      </w:r>
      <w:r>
        <w:rPr>
          <w:rFonts w:hint="eastAsia" w:ascii="仿宋" w:hAnsi="仿宋" w:eastAsia="仿宋" w:cs="仿宋"/>
          <w:color w:val="000000" w:themeColor="text1"/>
          <w:spacing w:val="-49"/>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等技术确定假定基面。要求提供定时上报和增</w:t>
      </w:r>
      <w:r>
        <w:rPr>
          <w:rFonts w:hint="eastAsia" w:ascii="仿宋" w:hAnsi="仿宋" w:eastAsia="仿宋" w:cs="仿宋"/>
          <w:color w:val="000000" w:themeColor="text1"/>
          <w:spacing w:val="-3"/>
          <w:sz w:val="24"/>
          <w:szCs w:val="24"/>
          <w:highlight w:val="none"/>
          <w14:textFill>
            <w14:solidFill>
              <w14:schemeClr w14:val="tx1"/>
            </w14:solidFill>
          </w14:textFill>
        </w:rPr>
        <w:t>量上报的功</w:t>
      </w:r>
      <w:r>
        <w:rPr>
          <w:rFonts w:hint="eastAsia" w:ascii="仿宋" w:hAnsi="仿宋" w:eastAsia="仿宋" w:cs="仿宋"/>
          <w:color w:val="000000" w:themeColor="text1"/>
          <w:spacing w:val="11"/>
          <w:sz w:val="24"/>
          <w:szCs w:val="24"/>
          <w:highlight w:val="none"/>
          <w14:textFill>
            <w14:solidFill>
              <w14:schemeClr w14:val="tx1"/>
            </w14:solidFill>
          </w14:textFill>
        </w:rPr>
        <w:t>能。根据河流特性和水位涨落变幅，设置上报水位变幅。可参考《水位观测标准》</w:t>
      </w:r>
      <w:r>
        <w:rPr>
          <w:rFonts w:hint="eastAsia" w:ascii="仿宋" w:hAnsi="仿宋" w:eastAsia="仿宋" w:cs="仿宋"/>
          <w:color w:val="000000" w:themeColor="text1"/>
          <w:spacing w:val="-2"/>
          <w:sz w:val="24"/>
          <w:szCs w:val="24"/>
          <w:highlight w:val="none"/>
          <w14:textFill>
            <w14:solidFill>
              <w14:schemeClr w14:val="tx1"/>
            </w14:solidFill>
          </w14:textFill>
        </w:rPr>
        <w:t>（GB/T50138-2010）和《水文普通测量规范》来细化报汛要求；须至少每天</w:t>
      </w:r>
      <w:r>
        <w:rPr>
          <w:rFonts w:hint="eastAsia" w:ascii="仿宋" w:hAnsi="仿宋" w:eastAsia="仿宋" w:cs="仿宋"/>
          <w:color w:val="000000" w:themeColor="text1"/>
          <w:spacing w:val="-4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8：00</w:t>
      </w:r>
      <w:r>
        <w:rPr>
          <w:rFonts w:hint="eastAsia" w:ascii="仿宋" w:hAnsi="仿宋" w:eastAsia="仿宋" w:cs="仿宋"/>
          <w:color w:val="000000" w:themeColor="text1"/>
          <w:spacing w:val="-47"/>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发送一次平安报，上报内容包括电池电压、信号强度等内容。自动监测站点数据通信要符合</w:t>
      </w:r>
      <w:r>
        <w:rPr>
          <w:rFonts w:hint="eastAsia" w:ascii="仿宋" w:hAnsi="仿宋" w:eastAsia="仿宋" w:cs="仿宋"/>
          <w:color w:val="000000" w:themeColor="text1"/>
          <w:spacing w:val="-1"/>
          <w:sz w:val="24"/>
          <w:szCs w:val="24"/>
          <w:highlight w:val="none"/>
          <w14:textFill>
            <w14:solidFill>
              <w14:schemeClr w14:val="tx1"/>
            </w14:solidFill>
          </w14:textFill>
        </w:rPr>
        <w:t>《水文监测数据通信规约》，具备一站多发功能。</w:t>
      </w:r>
    </w:p>
    <w:p w14:paraId="19C60F1E">
      <w:pPr>
        <w:rPr>
          <w:rFonts w:hint="eastAsia" w:ascii="仿宋" w:hAnsi="仿宋" w:eastAsia="仿宋" w:cs="仿宋"/>
          <w:b/>
          <w:bCs/>
          <w:color w:val="000000" w:themeColor="text1"/>
          <w:spacing w:val="-6"/>
          <w:sz w:val="24"/>
          <w:szCs w:val="24"/>
          <w:highlight w:val="none"/>
          <w14:textFill>
            <w14:solidFill>
              <w14:schemeClr w14:val="tx1"/>
            </w14:solidFill>
          </w14:textFill>
        </w:rPr>
      </w:pPr>
      <w:r>
        <w:rPr>
          <w:rFonts w:hint="eastAsia" w:ascii="仿宋" w:hAnsi="仿宋" w:eastAsia="仿宋" w:cs="仿宋"/>
          <w:b/>
          <w:bCs/>
          <w:color w:val="000000" w:themeColor="text1"/>
          <w:spacing w:val="-6"/>
          <w:sz w:val="24"/>
          <w:szCs w:val="24"/>
          <w:highlight w:val="none"/>
          <w14:textFill>
            <w14:solidFill>
              <w14:schemeClr w14:val="tx1"/>
            </w14:solidFill>
          </w14:textFill>
        </w:rPr>
        <w:br w:type="page"/>
      </w:r>
    </w:p>
    <w:p w14:paraId="6E66D0FB">
      <w:pPr>
        <w:spacing w:line="220" w:lineRule="auto"/>
        <w:ind w:firstLine="458"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pacing w:val="-6"/>
          <w:sz w:val="24"/>
          <w:szCs w:val="24"/>
          <w:highlight w:val="none"/>
          <w:lang w:val="en-US" w:eastAsia="zh-CN"/>
          <w14:textFill>
            <w14:solidFill>
              <w14:schemeClr w14:val="tx1"/>
            </w14:solidFill>
          </w14:textFill>
        </w:rPr>
        <w:t>1、</w:t>
      </w:r>
      <w:r>
        <w:rPr>
          <w:rFonts w:hint="eastAsia" w:ascii="仿宋" w:hAnsi="仿宋" w:eastAsia="仿宋" w:cs="仿宋"/>
          <w:b/>
          <w:bCs/>
          <w:color w:val="000000" w:themeColor="text1"/>
          <w:spacing w:val="-6"/>
          <w:sz w:val="24"/>
          <w:szCs w:val="24"/>
          <w:highlight w:val="none"/>
          <w14:textFill>
            <w14:solidFill>
              <w14:schemeClr w14:val="tx1"/>
            </w14:solidFill>
          </w14:textFill>
        </w:rPr>
        <w:t>自动监测雨量站设备设</w:t>
      </w:r>
      <w:r>
        <w:rPr>
          <w:rFonts w:hint="eastAsia" w:ascii="仿宋" w:hAnsi="仿宋" w:eastAsia="仿宋" w:cs="仿宋"/>
          <w:b/>
          <w:bCs/>
          <w:color w:val="000000" w:themeColor="text1"/>
          <w:spacing w:val="-6"/>
          <w:sz w:val="24"/>
          <w:szCs w:val="24"/>
          <w:highlight w:val="none"/>
          <w:lang w:val="en-US" w:eastAsia="zh-CN"/>
          <w14:textFill>
            <w14:solidFill>
              <w14:schemeClr w14:val="tx1"/>
            </w14:solidFill>
          </w14:textFill>
        </w:rPr>
        <w:t>技术参数表</w:t>
      </w:r>
    </w:p>
    <w:tbl>
      <w:tblPr>
        <w:tblStyle w:val="28"/>
        <w:tblW w:w="90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3"/>
        <w:gridCol w:w="1185"/>
        <w:gridCol w:w="852"/>
        <w:gridCol w:w="6520"/>
      </w:tblGrid>
      <w:tr w14:paraId="34B532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533" w:type="dxa"/>
            <w:textDirection w:val="tbRlV"/>
            <w:vAlign w:val="top"/>
          </w:tcPr>
          <w:p w14:paraId="3AB1CB0B">
            <w:pPr>
              <w:pStyle w:val="37"/>
              <w:spacing w:before="159" w:line="218" w:lineRule="auto"/>
              <w:ind w:left="4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6"/>
                <w:sz w:val="24"/>
                <w:szCs w:val="24"/>
                <w:highlight w:val="none"/>
                <w14:textFill>
                  <w14:solidFill>
                    <w14:schemeClr w14:val="tx1"/>
                  </w14:solidFill>
                </w14:textFill>
              </w:rPr>
              <w:t>序</w:t>
            </w:r>
            <w:r>
              <w:rPr>
                <w:rFonts w:hint="eastAsia" w:ascii="仿宋" w:hAnsi="仿宋" w:eastAsia="仿宋" w:cs="仿宋"/>
                <w:color w:val="000000" w:themeColor="text1"/>
                <w:spacing w:val="-38"/>
                <w:sz w:val="24"/>
                <w:szCs w:val="24"/>
                <w:highlight w:val="none"/>
                <w14:textFill>
                  <w14:solidFill>
                    <w14:schemeClr w14:val="tx1"/>
                  </w14:solidFill>
                </w14:textFill>
              </w:rPr>
              <w:t xml:space="preserve"> </w:t>
            </w:r>
            <w:r>
              <w:rPr>
                <w:rFonts w:hint="eastAsia" w:ascii="仿宋" w:hAnsi="仿宋" w:eastAsia="仿宋" w:cs="仿宋"/>
                <w:b/>
                <w:bCs/>
                <w:color w:val="000000" w:themeColor="text1"/>
                <w:spacing w:val="6"/>
                <w:sz w:val="24"/>
                <w:szCs w:val="24"/>
                <w:highlight w:val="none"/>
                <w14:textFill>
                  <w14:solidFill>
                    <w14:schemeClr w14:val="tx1"/>
                  </w14:solidFill>
                </w14:textFill>
              </w:rPr>
              <w:t>号</w:t>
            </w:r>
          </w:p>
        </w:tc>
        <w:tc>
          <w:tcPr>
            <w:tcW w:w="2037" w:type="dxa"/>
            <w:gridSpan w:val="2"/>
            <w:vAlign w:val="top"/>
          </w:tcPr>
          <w:p w14:paraId="7FABC05F">
            <w:pPr>
              <w:pStyle w:val="37"/>
              <w:spacing w:before="178" w:line="229" w:lineRule="auto"/>
              <w:ind w:left="38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6"/>
                <w:sz w:val="24"/>
                <w:szCs w:val="24"/>
                <w:highlight w:val="none"/>
                <w14:textFill>
                  <w14:solidFill>
                    <w14:schemeClr w14:val="tx1"/>
                  </w14:solidFill>
                </w14:textFill>
              </w:rPr>
              <w:t>设备设施名称</w:t>
            </w:r>
          </w:p>
        </w:tc>
        <w:tc>
          <w:tcPr>
            <w:tcW w:w="6520" w:type="dxa"/>
            <w:vAlign w:val="top"/>
          </w:tcPr>
          <w:p w14:paraId="01600831">
            <w:pPr>
              <w:pStyle w:val="37"/>
              <w:spacing w:before="178" w:line="228" w:lineRule="auto"/>
              <w:ind w:left="283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6"/>
                <w:sz w:val="24"/>
                <w:szCs w:val="24"/>
                <w:highlight w:val="none"/>
                <w14:textFill>
                  <w14:solidFill>
                    <w14:schemeClr w14:val="tx1"/>
                  </w14:solidFill>
                </w14:textFill>
              </w:rPr>
              <w:t>技术参数</w:t>
            </w:r>
          </w:p>
        </w:tc>
      </w:tr>
      <w:tr w14:paraId="010BD2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59" w:hRule="atLeast"/>
        </w:trPr>
        <w:tc>
          <w:tcPr>
            <w:tcW w:w="533" w:type="dxa"/>
            <w:vAlign w:val="top"/>
          </w:tcPr>
          <w:p w14:paraId="20255443">
            <w:pPr>
              <w:spacing w:line="249" w:lineRule="auto"/>
              <w:rPr>
                <w:rFonts w:hint="eastAsia" w:ascii="仿宋" w:hAnsi="仿宋" w:eastAsia="仿宋" w:cs="仿宋"/>
                <w:color w:val="000000" w:themeColor="text1"/>
                <w:sz w:val="24"/>
                <w:szCs w:val="24"/>
                <w:highlight w:val="none"/>
                <w14:textFill>
                  <w14:solidFill>
                    <w14:schemeClr w14:val="tx1"/>
                  </w14:solidFill>
                </w14:textFill>
              </w:rPr>
            </w:pPr>
          </w:p>
          <w:p w14:paraId="364F0D2B">
            <w:pPr>
              <w:spacing w:line="249" w:lineRule="auto"/>
              <w:rPr>
                <w:rFonts w:hint="eastAsia" w:ascii="仿宋" w:hAnsi="仿宋" w:eastAsia="仿宋" w:cs="仿宋"/>
                <w:color w:val="000000" w:themeColor="text1"/>
                <w:sz w:val="24"/>
                <w:szCs w:val="24"/>
                <w:highlight w:val="none"/>
                <w14:textFill>
                  <w14:solidFill>
                    <w14:schemeClr w14:val="tx1"/>
                  </w14:solidFill>
                </w14:textFill>
              </w:rPr>
            </w:pPr>
          </w:p>
          <w:p w14:paraId="7EF67C25">
            <w:pPr>
              <w:spacing w:line="249" w:lineRule="auto"/>
              <w:rPr>
                <w:rFonts w:hint="eastAsia" w:ascii="仿宋" w:hAnsi="仿宋" w:eastAsia="仿宋" w:cs="仿宋"/>
                <w:color w:val="000000" w:themeColor="text1"/>
                <w:sz w:val="24"/>
                <w:szCs w:val="24"/>
                <w:highlight w:val="none"/>
                <w14:textFill>
                  <w14:solidFill>
                    <w14:schemeClr w14:val="tx1"/>
                  </w14:solidFill>
                </w14:textFill>
              </w:rPr>
            </w:pPr>
          </w:p>
          <w:p w14:paraId="2373B89D">
            <w:pPr>
              <w:spacing w:line="249" w:lineRule="auto"/>
              <w:rPr>
                <w:rFonts w:hint="eastAsia" w:ascii="仿宋" w:hAnsi="仿宋" w:eastAsia="仿宋" w:cs="仿宋"/>
                <w:color w:val="000000" w:themeColor="text1"/>
                <w:sz w:val="24"/>
                <w:szCs w:val="24"/>
                <w:highlight w:val="none"/>
                <w14:textFill>
                  <w14:solidFill>
                    <w14:schemeClr w14:val="tx1"/>
                  </w14:solidFill>
                </w14:textFill>
              </w:rPr>
            </w:pPr>
          </w:p>
          <w:p w14:paraId="09452CC4">
            <w:pPr>
              <w:spacing w:line="249" w:lineRule="auto"/>
              <w:rPr>
                <w:rFonts w:hint="eastAsia" w:ascii="仿宋" w:hAnsi="仿宋" w:eastAsia="仿宋" w:cs="仿宋"/>
                <w:color w:val="000000" w:themeColor="text1"/>
                <w:sz w:val="24"/>
                <w:szCs w:val="24"/>
                <w:highlight w:val="none"/>
                <w14:textFill>
                  <w14:solidFill>
                    <w14:schemeClr w14:val="tx1"/>
                  </w14:solidFill>
                </w14:textFill>
              </w:rPr>
            </w:pPr>
          </w:p>
          <w:p w14:paraId="667F6EE9">
            <w:pPr>
              <w:spacing w:line="249" w:lineRule="auto"/>
              <w:rPr>
                <w:rFonts w:hint="eastAsia" w:ascii="仿宋" w:hAnsi="仿宋" w:eastAsia="仿宋" w:cs="仿宋"/>
                <w:color w:val="000000" w:themeColor="text1"/>
                <w:sz w:val="24"/>
                <w:szCs w:val="24"/>
                <w:highlight w:val="none"/>
                <w14:textFill>
                  <w14:solidFill>
                    <w14:schemeClr w14:val="tx1"/>
                  </w14:solidFill>
                </w14:textFill>
              </w:rPr>
            </w:pPr>
          </w:p>
          <w:p w14:paraId="11E722BF">
            <w:pPr>
              <w:spacing w:line="250" w:lineRule="auto"/>
              <w:rPr>
                <w:rFonts w:hint="eastAsia" w:ascii="仿宋" w:hAnsi="仿宋" w:eastAsia="仿宋" w:cs="仿宋"/>
                <w:color w:val="000000" w:themeColor="text1"/>
                <w:sz w:val="24"/>
                <w:szCs w:val="24"/>
                <w:highlight w:val="none"/>
                <w14:textFill>
                  <w14:solidFill>
                    <w14:schemeClr w14:val="tx1"/>
                  </w14:solidFill>
                </w14:textFill>
              </w:rPr>
            </w:pPr>
          </w:p>
          <w:p w14:paraId="3FBFCDA7">
            <w:pPr>
              <w:spacing w:line="250" w:lineRule="auto"/>
              <w:rPr>
                <w:rFonts w:hint="eastAsia" w:ascii="仿宋" w:hAnsi="仿宋" w:eastAsia="仿宋" w:cs="仿宋"/>
                <w:color w:val="000000" w:themeColor="text1"/>
                <w:sz w:val="24"/>
                <w:szCs w:val="24"/>
                <w:highlight w:val="none"/>
                <w14:textFill>
                  <w14:solidFill>
                    <w14:schemeClr w14:val="tx1"/>
                  </w14:solidFill>
                </w14:textFill>
              </w:rPr>
            </w:pPr>
          </w:p>
          <w:p w14:paraId="191F89E1">
            <w:pPr>
              <w:pStyle w:val="37"/>
              <w:spacing w:before="65" w:line="270" w:lineRule="exact"/>
              <w:ind w:left="23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position w:val="1"/>
                <w:sz w:val="24"/>
                <w:szCs w:val="24"/>
                <w:highlight w:val="none"/>
                <w14:textFill>
                  <w14:solidFill>
                    <w14:schemeClr w14:val="tx1"/>
                  </w14:solidFill>
                </w14:textFill>
              </w:rPr>
              <w:t>1</w:t>
            </w:r>
          </w:p>
        </w:tc>
        <w:tc>
          <w:tcPr>
            <w:tcW w:w="1185" w:type="dxa"/>
            <w:vAlign w:val="top"/>
          </w:tcPr>
          <w:p w14:paraId="7A739381">
            <w:pPr>
              <w:spacing w:line="265" w:lineRule="auto"/>
              <w:rPr>
                <w:rFonts w:hint="eastAsia" w:ascii="仿宋" w:hAnsi="仿宋" w:eastAsia="仿宋" w:cs="仿宋"/>
                <w:color w:val="000000" w:themeColor="text1"/>
                <w:sz w:val="24"/>
                <w:szCs w:val="24"/>
                <w:highlight w:val="none"/>
                <w14:textFill>
                  <w14:solidFill>
                    <w14:schemeClr w14:val="tx1"/>
                  </w14:solidFill>
                </w14:textFill>
              </w:rPr>
            </w:pPr>
          </w:p>
          <w:p w14:paraId="27C5EFB1">
            <w:pPr>
              <w:spacing w:line="265" w:lineRule="auto"/>
              <w:rPr>
                <w:rFonts w:hint="eastAsia" w:ascii="仿宋" w:hAnsi="仿宋" w:eastAsia="仿宋" w:cs="仿宋"/>
                <w:color w:val="000000" w:themeColor="text1"/>
                <w:sz w:val="24"/>
                <w:szCs w:val="24"/>
                <w:highlight w:val="none"/>
                <w14:textFill>
                  <w14:solidFill>
                    <w14:schemeClr w14:val="tx1"/>
                  </w14:solidFill>
                </w14:textFill>
              </w:rPr>
            </w:pPr>
          </w:p>
          <w:p w14:paraId="6BFBC387">
            <w:pPr>
              <w:spacing w:line="265" w:lineRule="auto"/>
              <w:rPr>
                <w:rFonts w:hint="eastAsia" w:ascii="仿宋" w:hAnsi="仿宋" w:eastAsia="仿宋" w:cs="仿宋"/>
                <w:color w:val="000000" w:themeColor="text1"/>
                <w:sz w:val="24"/>
                <w:szCs w:val="24"/>
                <w:highlight w:val="none"/>
                <w14:textFill>
                  <w14:solidFill>
                    <w14:schemeClr w14:val="tx1"/>
                  </w14:solidFill>
                </w14:textFill>
              </w:rPr>
            </w:pPr>
          </w:p>
          <w:p w14:paraId="2BDABAF8">
            <w:pPr>
              <w:spacing w:line="266" w:lineRule="auto"/>
              <w:rPr>
                <w:rFonts w:hint="eastAsia" w:ascii="仿宋" w:hAnsi="仿宋" w:eastAsia="仿宋" w:cs="仿宋"/>
                <w:color w:val="000000" w:themeColor="text1"/>
                <w:sz w:val="24"/>
                <w:szCs w:val="24"/>
                <w:highlight w:val="none"/>
                <w14:textFill>
                  <w14:solidFill>
                    <w14:schemeClr w14:val="tx1"/>
                  </w14:solidFill>
                </w14:textFill>
              </w:rPr>
            </w:pPr>
          </w:p>
          <w:p w14:paraId="7FBDD5C3">
            <w:pPr>
              <w:spacing w:line="266" w:lineRule="auto"/>
              <w:rPr>
                <w:rFonts w:hint="eastAsia" w:ascii="仿宋" w:hAnsi="仿宋" w:eastAsia="仿宋" w:cs="仿宋"/>
                <w:color w:val="000000" w:themeColor="text1"/>
                <w:sz w:val="24"/>
                <w:szCs w:val="24"/>
                <w:highlight w:val="none"/>
                <w14:textFill>
                  <w14:solidFill>
                    <w14:schemeClr w14:val="tx1"/>
                  </w14:solidFill>
                </w14:textFill>
              </w:rPr>
            </w:pPr>
          </w:p>
          <w:p w14:paraId="4568EC26">
            <w:pPr>
              <w:spacing w:line="266" w:lineRule="auto"/>
              <w:rPr>
                <w:rFonts w:hint="eastAsia" w:ascii="仿宋" w:hAnsi="仿宋" w:eastAsia="仿宋" w:cs="仿宋"/>
                <w:color w:val="000000" w:themeColor="text1"/>
                <w:sz w:val="24"/>
                <w:szCs w:val="24"/>
                <w:highlight w:val="none"/>
                <w14:textFill>
                  <w14:solidFill>
                    <w14:schemeClr w14:val="tx1"/>
                  </w14:solidFill>
                </w14:textFill>
              </w:rPr>
            </w:pPr>
          </w:p>
          <w:p w14:paraId="0A112D5E">
            <w:pPr>
              <w:spacing w:line="266" w:lineRule="auto"/>
              <w:rPr>
                <w:rFonts w:hint="eastAsia" w:ascii="仿宋" w:hAnsi="仿宋" w:eastAsia="仿宋" w:cs="仿宋"/>
                <w:color w:val="000000" w:themeColor="text1"/>
                <w:sz w:val="24"/>
                <w:szCs w:val="24"/>
                <w:highlight w:val="none"/>
                <w14:textFill>
                  <w14:solidFill>
                    <w14:schemeClr w14:val="tx1"/>
                  </w14:solidFill>
                </w14:textFill>
              </w:rPr>
            </w:pPr>
          </w:p>
          <w:p w14:paraId="7000A2A5">
            <w:pPr>
              <w:pStyle w:val="37"/>
              <w:spacing w:before="65" w:line="254" w:lineRule="auto"/>
              <w:ind w:left="250" w:right="148" w:hanging="10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传感</w:t>
            </w:r>
            <w:r>
              <w:rPr>
                <w:rFonts w:hint="eastAsia" w:ascii="仿宋" w:hAnsi="仿宋" w:eastAsia="仿宋" w:cs="仿宋"/>
                <w:color w:val="000000" w:themeColor="text1"/>
                <w:sz w:val="24"/>
                <w:szCs w:val="24"/>
                <w:highlight w:val="none"/>
                <w14:textFill>
                  <w14:solidFill>
                    <w14:schemeClr w14:val="tx1"/>
                  </w14:solidFill>
                </w14:textFill>
              </w:rPr>
              <w:t>器</w:t>
            </w:r>
          </w:p>
        </w:tc>
        <w:tc>
          <w:tcPr>
            <w:tcW w:w="852" w:type="dxa"/>
            <w:vAlign w:val="top"/>
          </w:tcPr>
          <w:p w14:paraId="7323363A">
            <w:pPr>
              <w:spacing w:line="265" w:lineRule="auto"/>
              <w:rPr>
                <w:rFonts w:hint="eastAsia" w:ascii="仿宋" w:hAnsi="仿宋" w:eastAsia="仿宋" w:cs="仿宋"/>
                <w:color w:val="000000" w:themeColor="text1"/>
                <w:sz w:val="24"/>
                <w:szCs w:val="24"/>
                <w:highlight w:val="none"/>
                <w14:textFill>
                  <w14:solidFill>
                    <w14:schemeClr w14:val="tx1"/>
                  </w14:solidFill>
                </w14:textFill>
              </w:rPr>
            </w:pPr>
          </w:p>
          <w:p w14:paraId="4E04A0D1">
            <w:pPr>
              <w:spacing w:line="265" w:lineRule="auto"/>
              <w:rPr>
                <w:rFonts w:hint="eastAsia" w:ascii="仿宋" w:hAnsi="仿宋" w:eastAsia="仿宋" w:cs="仿宋"/>
                <w:color w:val="000000" w:themeColor="text1"/>
                <w:sz w:val="24"/>
                <w:szCs w:val="24"/>
                <w:highlight w:val="none"/>
                <w14:textFill>
                  <w14:solidFill>
                    <w14:schemeClr w14:val="tx1"/>
                  </w14:solidFill>
                </w14:textFill>
              </w:rPr>
            </w:pPr>
          </w:p>
          <w:p w14:paraId="41AC7ED6">
            <w:pPr>
              <w:spacing w:line="265" w:lineRule="auto"/>
              <w:rPr>
                <w:rFonts w:hint="eastAsia" w:ascii="仿宋" w:hAnsi="仿宋" w:eastAsia="仿宋" w:cs="仿宋"/>
                <w:color w:val="000000" w:themeColor="text1"/>
                <w:sz w:val="24"/>
                <w:szCs w:val="24"/>
                <w:highlight w:val="none"/>
                <w14:textFill>
                  <w14:solidFill>
                    <w14:schemeClr w14:val="tx1"/>
                  </w14:solidFill>
                </w14:textFill>
              </w:rPr>
            </w:pPr>
          </w:p>
          <w:p w14:paraId="7A0FC70D">
            <w:pPr>
              <w:spacing w:line="265" w:lineRule="auto"/>
              <w:rPr>
                <w:rFonts w:hint="eastAsia" w:ascii="仿宋" w:hAnsi="仿宋" w:eastAsia="仿宋" w:cs="仿宋"/>
                <w:color w:val="000000" w:themeColor="text1"/>
                <w:sz w:val="24"/>
                <w:szCs w:val="24"/>
                <w:highlight w:val="none"/>
                <w14:textFill>
                  <w14:solidFill>
                    <w14:schemeClr w14:val="tx1"/>
                  </w14:solidFill>
                </w14:textFill>
              </w:rPr>
            </w:pPr>
          </w:p>
          <w:p w14:paraId="73734580">
            <w:pPr>
              <w:spacing w:line="266" w:lineRule="auto"/>
              <w:rPr>
                <w:rFonts w:hint="eastAsia" w:ascii="仿宋" w:hAnsi="仿宋" w:eastAsia="仿宋" w:cs="仿宋"/>
                <w:color w:val="000000" w:themeColor="text1"/>
                <w:sz w:val="24"/>
                <w:szCs w:val="24"/>
                <w:highlight w:val="none"/>
                <w14:textFill>
                  <w14:solidFill>
                    <w14:schemeClr w14:val="tx1"/>
                  </w14:solidFill>
                </w14:textFill>
              </w:rPr>
            </w:pPr>
          </w:p>
          <w:p w14:paraId="0744AEC2">
            <w:pPr>
              <w:spacing w:line="266" w:lineRule="auto"/>
              <w:rPr>
                <w:rFonts w:hint="eastAsia" w:ascii="仿宋" w:hAnsi="仿宋" w:eastAsia="仿宋" w:cs="仿宋"/>
                <w:color w:val="000000" w:themeColor="text1"/>
                <w:sz w:val="24"/>
                <w:szCs w:val="24"/>
                <w:highlight w:val="none"/>
                <w14:textFill>
                  <w14:solidFill>
                    <w14:schemeClr w14:val="tx1"/>
                  </w14:solidFill>
                </w14:textFill>
              </w:rPr>
            </w:pPr>
          </w:p>
          <w:p w14:paraId="5D661D1F">
            <w:pPr>
              <w:spacing w:line="266" w:lineRule="auto"/>
              <w:rPr>
                <w:rFonts w:hint="eastAsia" w:ascii="仿宋" w:hAnsi="仿宋" w:eastAsia="仿宋" w:cs="仿宋"/>
                <w:color w:val="000000" w:themeColor="text1"/>
                <w:sz w:val="24"/>
                <w:szCs w:val="24"/>
                <w:highlight w:val="none"/>
                <w14:textFill>
                  <w14:solidFill>
                    <w14:schemeClr w14:val="tx1"/>
                  </w14:solidFill>
                </w14:textFill>
              </w:rPr>
            </w:pPr>
          </w:p>
          <w:p w14:paraId="5364E8FD">
            <w:pPr>
              <w:pStyle w:val="37"/>
              <w:spacing w:before="65" w:line="229" w:lineRule="auto"/>
              <w:ind w:left="13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翻斗式雨量</w:t>
            </w:r>
            <w:r>
              <w:rPr>
                <w:rFonts w:hint="eastAsia" w:ascii="仿宋" w:hAnsi="仿宋" w:eastAsia="仿宋" w:cs="仿宋"/>
                <w:color w:val="000000" w:themeColor="text1"/>
                <w:sz w:val="24"/>
                <w:szCs w:val="24"/>
                <w:highlight w:val="none"/>
                <w14:textFill>
                  <w14:solidFill>
                    <w14:schemeClr w14:val="tx1"/>
                  </w14:solidFill>
                </w14:textFill>
              </w:rPr>
              <w:t>计</w:t>
            </w:r>
          </w:p>
        </w:tc>
        <w:tc>
          <w:tcPr>
            <w:tcW w:w="6520" w:type="dxa"/>
            <w:vAlign w:val="top"/>
          </w:tcPr>
          <w:p w14:paraId="6E56FCC4">
            <w:pPr>
              <w:pStyle w:val="37"/>
              <w:spacing w:before="29" w:line="228"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（1）承雨口径：200±0.6</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6"/>
                <w:sz w:val="24"/>
                <w:szCs w:val="24"/>
                <w:highlight w:val="none"/>
                <w14:textFill>
                  <w14:solidFill>
                    <w14:schemeClr w14:val="tx1"/>
                  </w14:solidFill>
                </w14:textFill>
              </w:rPr>
              <w:t>；</w:t>
            </w:r>
          </w:p>
          <w:p w14:paraId="4246CE89">
            <w:pPr>
              <w:pStyle w:val="37"/>
              <w:spacing w:before="24" w:line="227"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（2）刃口角：45</w:t>
            </w:r>
            <w:r>
              <w:rPr>
                <w:rFonts w:hint="eastAsia" w:ascii="仿宋" w:hAnsi="仿宋" w:eastAsia="仿宋" w:cs="仿宋"/>
                <w:color w:val="000000" w:themeColor="text1"/>
                <w:spacing w:val="-7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pacing w:val="-68"/>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±5</w:t>
            </w:r>
            <w:r>
              <w:rPr>
                <w:rFonts w:hint="eastAsia" w:ascii="仿宋" w:hAnsi="仿宋" w:eastAsia="仿宋" w:cs="仿宋"/>
                <w:color w:val="000000" w:themeColor="text1"/>
                <w:spacing w:val="-72"/>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pacing w:val="-74"/>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w:t>
            </w:r>
          </w:p>
          <w:p w14:paraId="5D2E1870">
            <w:pPr>
              <w:pStyle w:val="37"/>
              <w:spacing w:before="27" w:line="228"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（3）分辨率：0.1</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7"/>
                <w:sz w:val="24"/>
                <w:szCs w:val="24"/>
                <w:highlight w:val="none"/>
                <w14:textFill>
                  <w14:solidFill>
                    <w14:schemeClr w14:val="tx1"/>
                  </w14:solidFill>
                </w14:textFill>
              </w:rPr>
              <w:t>、0.2</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7"/>
                <w:sz w:val="24"/>
                <w:szCs w:val="24"/>
                <w:highlight w:val="none"/>
                <w14:textFill>
                  <w14:solidFill>
                    <w14:schemeClr w14:val="tx1"/>
                  </w14:solidFill>
                </w14:textFill>
              </w:rPr>
              <w:t>、0.5</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7"/>
                <w:sz w:val="24"/>
                <w:szCs w:val="24"/>
                <w:highlight w:val="none"/>
                <w14:textFill>
                  <w14:solidFill>
                    <w14:schemeClr w14:val="tx1"/>
                  </w14:solidFill>
                </w14:textFill>
              </w:rPr>
              <w:t>；</w:t>
            </w:r>
          </w:p>
          <w:p w14:paraId="2FE3B7B0">
            <w:pPr>
              <w:pStyle w:val="37"/>
              <w:spacing w:before="24" w:line="241" w:lineRule="auto"/>
              <w:ind w:left="112" w:right="105" w:firstLine="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（4）测量精度：自排水量≤25</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6"/>
                <w:sz w:val="24"/>
                <w:szCs w:val="24"/>
                <w:highlight w:val="none"/>
                <w14:textFill>
                  <w14:solidFill>
                    <w14:schemeClr w14:val="tx1"/>
                  </w14:solidFill>
                </w14:textFill>
              </w:rPr>
              <w:t>,误差为±1</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6"/>
                <w:sz w:val="24"/>
                <w:szCs w:val="24"/>
                <w:highlight w:val="none"/>
                <w14:textFill>
                  <w14:solidFill>
                    <w14:schemeClr w14:val="tx1"/>
                  </w14:solidFill>
                </w14:textFill>
              </w:rPr>
              <w:t>；</w:t>
            </w:r>
            <w:r>
              <w:rPr>
                <w:rFonts w:hint="eastAsia" w:ascii="仿宋" w:hAnsi="仿宋" w:eastAsia="仿宋" w:cs="仿宋"/>
                <w:color w:val="000000" w:themeColor="text1"/>
                <w:spacing w:val="5"/>
                <w:sz w:val="24"/>
                <w:szCs w:val="24"/>
                <w:highlight w:val="none"/>
                <w14:textFill>
                  <w14:solidFill>
                    <w14:schemeClr w14:val="tx1"/>
                  </w14:solidFill>
                </w14:textFill>
              </w:rPr>
              <w:t>自排水量&gt;25</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5"/>
                <w:sz w:val="24"/>
                <w:szCs w:val="24"/>
                <w:highlight w:val="none"/>
                <w14:textFill>
                  <w14:solidFill>
                    <w14:schemeClr w14:val="tx1"/>
                  </w14:solidFill>
                </w14:textFill>
              </w:rPr>
              <w:t>，误</w:t>
            </w:r>
            <w:r>
              <w:rPr>
                <w:rFonts w:hint="eastAsia" w:ascii="仿宋" w:hAnsi="仿宋" w:eastAsia="仿宋" w:cs="仿宋"/>
                <w:color w:val="000000" w:themeColor="text1"/>
                <w:spacing w:val="4"/>
                <w:sz w:val="24"/>
                <w:szCs w:val="24"/>
                <w:highlight w:val="none"/>
                <w14:textFill>
                  <w14:solidFill>
                    <w14:schemeClr w14:val="tx1"/>
                  </w14:solidFill>
                </w14:textFill>
              </w:rPr>
              <w:t>差为±2%；</w:t>
            </w:r>
          </w:p>
          <w:p w14:paraId="34835813">
            <w:pPr>
              <w:pStyle w:val="37"/>
              <w:spacing w:before="22" w:line="225"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（5）雨强范围：0.01～4</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8"/>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min</w:t>
            </w:r>
            <w:r>
              <w:rPr>
                <w:rFonts w:hint="eastAsia" w:ascii="仿宋" w:hAnsi="仿宋" w:eastAsia="仿宋" w:cs="仿宋"/>
                <w:color w:val="000000" w:themeColor="text1"/>
                <w:spacing w:val="8"/>
                <w:sz w:val="24"/>
                <w:szCs w:val="24"/>
                <w:highlight w:val="none"/>
                <w14:textFill>
                  <w14:solidFill>
                    <w14:schemeClr w14:val="tx1"/>
                  </w14:solidFill>
                </w14:textFill>
              </w:rPr>
              <w:t>,允许最大雨强</w:t>
            </w:r>
            <w:r>
              <w:rPr>
                <w:rFonts w:hint="eastAsia" w:ascii="仿宋" w:hAnsi="仿宋" w:eastAsia="仿宋" w:cs="仿宋"/>
                <w:color w:val="000000" w:themeColor="text1"/>
                <w:spacing w:val="-28"/>
                <w:sz w:val="24"/>
                <w:szCs w:val="24"/>
                <w:highlight w:val="none"/>
                <w14:textFill>
                  <w14:solidFill>
                    <w14:schemeClr w14:val="tx1"/>
                  </w14:solidFill>
                </w14:textFill>
              </w:rPr>
              <w:t xml:space="preserve"> </w:t>
            </w:r>
            <w:r>
              <w:rPr>
                <w:rFonts w:hint="eastAsia" w:ascii="仿宋" w:hAnsi="仿宋" w:eastAsia="仿宋" w:cs="仿宋"/>
                <w:color w:val="000000" w:themeColor="text1"/>
                <w:spacing w:val="8"/>
                <w:sz w:val="24"/>
                <w:szCs w:val="24"/>
                <w:highlight w:val="none"/>
                <w14:textFill>
                  <w14:solidFill>
                    <w14:schemeClr w14:val="tx1"/>
                  </w14:solidFill>
                </w14:textFill>
              </w:rPr>
              <w:t>8</w:t>
            </w:r>
            <w:r>
              <w:rPr>
                <w:rFonts w:hint="eastAsia" w:ascii="仿宋" w:hAnsi="仿宋" w:eastAsia="仿宋" w:cs="仿宋"/>
                <w:color w:val="000000" w:themeColor="text1"/>
                <w:sz w:val="24"/>
                <w:szCs w:val="24"/>
                <w:highlight w:val="none"/>
                <w14:textFill>
                  <w14:solidFill>
                    <w14:schemeClr w14:val="tx1"/>
                  </w14:solidFill>
                </w14:textFill>
              </w:rPr>
              <w:t>mm</w:t>
            </w:r>
            <w:r>
              <w:rPr>
                <w:rFonts w:hint="eastAsia" w:ascii="仿宋" w:hAnsi="仿宋" w:eastAsia="仿宋" w:cs="仿宋"/>
                <w:color w:val="000000" w:themeColor="text1"/>
                <w:spacing w:val="8"/>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min</w:t>
            </w:r>
            <w:r>
              <w:rPr>
                <w:rFonts w:hint="eastAsia" w:ascii="仿宋" w:hAnsi="仿宋" w:eastAsia="仿宋" w:cs="仿宋"/>
                <w:color w:val="000000" w:themeColor="text1"/>
                <w:spacing w:val="8"/>
                <w:sz w:val="24"/>
                <w:szCs w:val="24"/>
                <w:highlight w:val="none"/>
                <w14:textFill>
                  <w14:solidFill>
                    <w14:schemeClr w14:val="tx1"/>
                  </w14:solidFill>
                </w14:textFill>
              </w:rPr>
              <w:t>；</w:t>
            </w:r>
          </w:p>
          <w:p w14:paraId="24FDA502">
            <w:pPr>
              <w:pStyle w:val="37"/>
              <w:spacing w:before="29" w:line="228"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（6）误码率</w:t>
            </w:r>
            <w:r>
              <w:rPr>
                <w:rFonts w:hint="eastAsia" w:ascii="仿宋" w:hAnsi="仿宋" w:eastAsia="仿宋" w:cs="仿宋"/>
                <w:color w:val="000000" w:themeColor="text1"/>
                <w:spacing w:val="1"/>
                <w:sz w:val="24"/>
                <w:szCs w:val="24"/>
                <w:highlight w:val="none"/>
                <w14:textFill>
                  <w14:solidFill>
                    <w14:schemeClr w14:val="tx1"/>
                  </w14:solidFill>
                </w14:textFill>
              </w:rPr>
              <w:t>：＜</w:t>
            </w:r>
            <w:r>
              <w:rPr>
                <w:rFonts w:hint="eastAsia" w:ascii="仿宋" w:hAnsi="仿宋" w:eastAsia="仿宋" w:cs="仿宋"/>
                <w:color w:val="000000" w:themeColor="text1"/>
                <w:spacing w:val="7"/>
                <w:sz w:val="24"/>
                <w:szCs w:val="24"/>
                <w:highlight w:val="none"/>
                <w14:textFill>
                  <w14:solidFill>
                    <w14:schemeClr w14:val="tx1"/>
                  </w14:solidFill>
                </w14:textFill>
              </w:rPr>
              <w:t>10－4；</w:t>
            </w:r>
          </w:p>
          <w:p w14:paraId="418B2594">
            <w:pPr>
              <w:pStyle w:val="37"/>
              <w:spacing w:before="25" w:line="228"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（7）可靠性指标:</w:t>
            </w:r>
            <w:r>
              <w:rPr>
                <w:rFonts w:hint="eastAsia" w:ascii="仿宋" w:hAnsi="仿宋" w:eastAsia="仿宋" w:cs="仿宋"/>
                <w:color w:val="000000" w:themeColor="text1"/>
                <w:sz w:val="24"/>
                <w:szCs w:val="24"/>
                <w:highlight w:val="none"/>
                <w14:textFill>
                  <w14:solidFill>
                    <w14:schemeClr w14:val="tx1"/>
                  </w14:solidFill>
                </w14:textFill>
              </w:rPr>
              <w:t>MTBF</w:t>
            </w:r>
            <w:r>
              <w:rPr>
                <w:rFonts w:hint="eastAsia" w:ascii="仿宋" w:hAnsi="仿宋" w:eastAsia="仿宋" w:cs="仿宋"/>
                <w:color w:val="000000" w:themeColor="text1"/>
                <w:spacing w:val="7"/>
                <w:sz w:val="24"/>
                <w:szCs w:val="24"/>
                <w:highlight w:val="none"/>
                <w14:textFill>
                  <w14:solidFill>
                    <w14:schemeClr w14:val="tx1"/>
                  </w14:solidFill>
                </w14:textFill>
              </w:rPr>
              <w:t>≥40000h；</w:t>
            </w:r>
          </w:p>
          <w:p w14:paraId="17C4B9ED">
            <w:pPr>
              <w:pStyle w:val="37"/>
              <w:spacing w:before="23" w:line="246" w:lineRule="auto"/>
              <w:ind w:left="111" w:right="104" w:firstLine="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（8）信号输出：磁钢干簧管式接点通断信号</w:t>
            </w:r>
            <w:r>
              <w:rPr>
                <w:rFonts w:hint="eastAsia" w:ascii="仿宋" w:hAnsi="仿宋" w:eastAsia="仿宋" w:cs="仿宋"/>
                <w:color w:val="000000" w:themeColor="text1"/>
                <w:spacing w:val="5"/>
                <w:sz w:val="24"/>
                <w:szCs w:val="24"/>
                <w:highlight w:val="none"/>
                <w14:textFill>
                  <w14:solidFill>
                    <w14:schemeClr w14:val="tx1"/>
                  </w14:solidFill>
                </w14:textFill>
              </w:rPr>
              <w:t>(单信号或双信号)，接点</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4"/>
                <w:sz w:val="24"/>
                <w:szCs w:val="24"/>
                <w:highlight w:val="none"/>
                <w14:textFill>
                  <w14:solidFill>
                    <w14:schemeClr w14:val="tx1"/>
                  </w14:solidFill>
                </w14:textFill>
              </w:rPr>
              <w:t>允许承受的最大电压不小于15V，允许通过电流不小于</w:t>
            </w:r>
            <w:r>
              <w:rPr>
                <w:rFonts w:hint="eastAsia" w:ascii="仿宋" w:hAnsi="仿宋" w:eastAsia="仿宋" w:cs="仿宋"/>
                <w:color w:val="000000" w:themeColor="text1"/>
                <w:spacing w:val="-24"/>
                <w:sz w:val="24"/>
                <w:szCs w:val="24"/>
                <w:highlight w:val="none"/>
                <w14:textFill>
                  <w14:solidFill>
                    <w14:schemeClr w14:val="tx1"/>
                  </w14:solidFill>
                </w14:textFill>
              </w:rPr>
              <w:t xml:space="preserve"> </w:t>
            </w:r>
            <w:r>
              <w:rPr>
                <w:rFonts w:hint="eastAsia" w:ascii="仿宋" w:hAnsi="仿宋" w:eastAsia="仿宋" w:cs="仿宋"/>
                <w:color w:val="000000" w:themeColor="text1"/>
                <w:spacing w:val="4"/>
                <w:sz w:val="24"/>
                <w:szCs w:val="24"/>
                <w:highlight w:val="none"/>
                <w14:textFill>
                  <w14:solidFill>
                    <w14:schemeClr w14:val="tx1"/>
                  </w14:solidFill>
                </w14:textFill>
              </w:rPr>
              <w:t>150</w:t>
            </w:r>
            <w:r>
              <w:rPr>
                <w:rFonts w:hint="eastAsia" w:ascii="仿宋" w:hAnsi="仿宋" w:eastAsia="仿宋" w:cs="仿宋"/>
                <w:color w:val="000000" w:themeColor="text1"/>
                <w:sz w:val="24"/>
                <w:szCs w:val="24"/>
                <w:highlight w:val="none"/>
                <w14:textFill>
                  <w14:solidFill>
                    <w14:schemeClr w14:val="tx1"/>
                  </w14:solidFill>
                </w14:textFill>
              </w:rPr>
              <w:t>mA</w:t>
            </w:r>
            <w:r>
              <w:rPr>
                <w:rFonts w:hint="eastAsia" w:ascii="仿宋" w:hAnsi="仿宋" w:eastAsia="仿宋" w:cs="仿宋"/>
                <w:color w:val="000000" w:themeColor="text1"/>
                <w:spacing w:val="4"/>
                <w:sz w:val="24"/>
                <w:szCs w:val="24"/>
                <w:highlight w:val="none"/>
                <w14:textFill>
                  <w14:solidFill>
                    <w14:schemeClr w14:val="tx1"/>
                  </w14:solidFill>
                </w14:textFill>
              </w:rPr>
              <w:t>，输出端</w:t>
            </w:r>
            <w:r>
              <w:rPr>
                <w:rFonts w:hint="eastAsia" w:ascii="仿宋" w:hAnsi="仿宋" w:eastAsia="仿宋" w:cs="仿宋"/>
                <w:color w:val="000000" w:themeColor="text1"/>
                <w:sz w:val="24"/>
                <w:szCs w:val="24"/>
                <w:highlight w:val="none"/>
                <w14:textFill>
                  <w14:solidFill>
                    <w14:schemeClr w14:val="tx1"/>
                  </w14:solidFill>
                </w14:textFill>
              </w:rPr>
              <w:t xml:space="preserve"> 绝缘电阻不小于1MΩ</w:t>
            </w:r>
            <w:r>
              <w:rPr>
                <w:rFonts w:hint="eastAsia" w:ascii="仿宋" w:hAnsi="仿宋" w:eastAsia="仿宋" w:cs="仿宋"/>
                <w:color w:val="000000" w:themeColor="text1"/>
                <w:spacing w:val="-7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73"/>
                <w:sz w:val="24"/>
                <w:szCs w:val="24"/>
                <w:highlight w:val="none"/>
                <w:lang w:eastAsia="zh-CN"/>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导通电阻不大于</w:t>
            </w:r>
            <w:r>
              <w:rPr>
                <w:rFonts w:hint="eastAsia" w:ascii="仿宋" w:hAnsi="仿宋" w:eastAsia="仿宋" w:cs="仿宋"/>
                <w:color w:val="000000" w:themeColor="text1"/>
                <w:spacing w:val="-24"/>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10</w:t>
            </w:r>
            <w:r>
              <w:rPr>
                <w:rFonts w:hint="eastAsia" w:ascii="仿宋" w:hAnsi="仿宋" w:eastAsia="仿宋" w:cs="仿宋"/>
                <w:color w:val="000000" w:themeColor="text1"/>
                <w:spacing w:val="-49"/>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Ω</w:t>
            </w:r>
            <w:r>
              <w:rPr>
                <w:rFonts w:hint="eastAsia" w:ascii="仿宋" w:hAnsi="仿宋" w:eastAsia="仿宋" w:cs="仿宋"/>
                <w:color w:val="000000" w:themeColor="text1"/>
                <w:spacing w:val="-75"/>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pacing w:val="37"/>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接点工作</w:t>
            </w:r>
            <w:r>
              <w:rPr>
                <w:rFonts w:hint="eastAsia" w:ascii="仿宋" w:hAnsi="仿宋" w:eastAsia="仿宋" w:cs="仿宋"/>
                <w:color w:val="000000" w:themeColor="text1"/>
                <w:spacing w:val="-1"/>
                <w:sz w:val="24"/>
                <w:szCs w:val="24"/>
                <w:highlight w:val="none"/>
                <w14:textFill>
                  <w14:solidFill>
                    <w14:schemeClr w14:val="tx1"/>
                  </w14:solidFill>
                </w14:textFill>
              </w:rPr>
              <w:t>寿命在</w:t>
            </w:r>
            <w:r>
              <w:rPr>
                <w:rFonts w:hint="eastAsia" w:ascii="仿宋" w:hAnsi="仿宋" w:eastAsia="仿宋" w:cs="仿宋"/>
                <w:color w:val="000000" w:themeColor="text1"/>
                <w:spacing w:val="-3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50000</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4"/>
                <w:sz w:val="24"/>
                <w:szCs w:val="24"/>
                <w:highlight w:val="none"/>
                <w14:textFill>
                  <w14:solidFill>
                    <w14:schemeClr w14:val="tx1"/>
                  </w14:solidFill>
                </w14:textFill>
              </w:rPr>
              <w:t>次以上；</w:t>
            </w:r>
          </w:p>
          <w:p w14:paraId="1FE405EF">
            <w:pPr>
              <w:pStyle w:val="37"/>
              <w:spacing w:before="27" w:line="225"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0"/>
                <w:sz w:val="24"/>
                <w:szCs w:val="24"/>
                <w:highlight w:val="none"/>
                <w14:textFill>
                  <w14:solidFill>
                    <w14:schemeClr w14:val="tx1"/>
                  </w14:solidFill>
                </w14:textFill>
              </w:rPr>
              <w:t>（9）工作温度:-10℃~+70℃, 空气相对湿度不限；</w:t>
            </w:r>
          </w:p>
          <w:p w14:paraId="3FB3DF40">
            <w:pPr>
              <w:pStyle w:val="37"/>
              <w:spacing w:before="27" w:line="227"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（10）防堵塞:传感器具有防堵、防虫、防尘措施；</w:t>
            </w:r>
          </w:p>
          <w:p w14:paraId="1C947E6B">
            <w:pPr>
              <w:pStyle w:val="37"/>
              <w:spacing w:before="26" w:line="227"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（11）不锈钢材质；</w:t>
            </w:r>
          </w:p>
          <w:p w14:paraId="5A3F49D5">
            <w:pPr>
              <w:pStyle w:val="37"/>
              <w:spacing w:before="28" w:line="216" w:lineRule="auto"/>
              <w:ind w:left="12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（12）内置水平调平装置。</w:t>
            </w:r>
          </w:p>
        </w:tc>
      </w:tr>
      <w:tr w14:paraId="50214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trPr>
        <w:tc>
          <w:tcPr>
            <w:tcW w:w="533" w:type="dxa"/>
            <w:vAlign w:val="top"/>
          </w:tcPr>
          <w:p w14:paraId="43B4DBD5">
            <w:pPr>
              <w:pStyle w:val="37"/>
              <w:spacing w:before="65" w:line="270" w:lineRule="exact"/>
              <w:ind w:left="21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position w:val="1"/>
                <w:sz w:val="24"/>
                <w:szCs w:val="24"/>
                <w:highlight w:val="none"/>
                <w14:textFill>
                  <w14:solidFill>
                    <w14:schemeClr w14:val="tx1"/>
                  </w14:solidFill>
                </w14:textFill>
              </w:rPr>
              <w:t>2</w:t>
            </w:r>
          </w:p>
        </w:tc>
        <w:tc>
          <w:tcPr>
            <w:tcW w:w="1185" w:type="dxa"/>
            <w:vAlign w:val="top"/>
          </w:tcPr>
          <w:p w14:paraId="59DECCEA">
            <w:pPr>
              <w:pStyle w:val="37"/>
              <w:spacing w:before="65" w:line="22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遥测</w:t>
            </w:r>
            <w:r>
              <w:rPr>
                <w:rFonts w:hint="eastAsia" w:ascii="仿宋" w:hAnsi="仿宋" w:eastAsia="仿宋" w:cs="仿宋"/>
                <w:color w:val="000000" w:themeColor="text1"/>
                <w:spacing w:val="3"/>
                <w:sz w:val="24"/>
                <w:szCs w:val="24"/>
                <w:highlight w:val="none"/>
                <w14:textFill>
                  <w14:solidFill>
                    <w14:schemeClr w14:val="tx1"/>
                  </w14:solidFill>
                </w14:textFill>
              </w:rPr>
              <w:t>终端</w:t>
            </w:r>
          </w:p>
        </w:tc>
        <w:tc>
          <w:tcPr>
            <w:tcW w:w="852" w:type="dxa"/>
            <w:vAlign w:val="top"/>
          </w:tcPr>
          <w:p w14:paraId="234A46CA">
            <w:pPr>
              <w:pStyle w:val="37"/>
              <w:spacing w:before="65" w:line="187"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RTU</w:t>
            </w:r>
          </w:p>
        </w:tc>
        <w:tc>
          <w:tcPr>
            <w:tcW w:w="6520" w:type="dxa"/>
            <w:vAlign w:val="top"/>
          </w:tcPr>
          <w:p w14:paraId="32BF9904">
            <w:pPr>
              <w:pStyle w:val="37"/>
              <w:spacing w:before="35" w:line="251" w:lineRule="auto"/>
              <w:ind w:left="109" w:right="104" w:firstLine="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工作电源：</w:t>
            </w:r>
            <w:r>
              <w:rPr>
                <w:rFonts w:hint="eastAsia" w:ascii="仿宋" w:hAnsi="仿宋" w:eastAsia="仿宋" w:cs="仿宋"/>
                <w:color w:val="000000" w:themeColor="text1"/>
                <w:spacing w:val="-55"/>
                <w:sz w:val="24"/>
                <w:szCs w:val="24"/>
                <w:highlight w:val="none"/>
                <w14:textFill>
                  <w14:solidFill>
                    <w14:schemeClr w14:val="tx1"/>
                  </w14:solidFill>
                </w14:textFill>
              </w:rPr>
              <w:t xml:space="preserve"> </w:t>
            </w:r>
            <w:r>
              <w:rPr>
                <w:rFonts w:hint="eastAsia" w:ascii="仿宋" w:hAnsi="仿宋" w:eastAsia="仿宋" w:cs="仿宋"/>
                <w:color w:val="000000" w:themeColor="text1"/>
                <w:spacing w:val="8"/>
                <w:sz w:val="24"/>
                <w:szCs w:val="24"/>
                <w:highlight w:val="none"/>
                <w14:textFill>
                  <w14:solidFill>
                    <w14:schemeClr w14:val="tx1"/>
                  </w14:solidFill>
                </w14:textFill>
              </w:rPr>
              <w:t>内置电池，支持市电蓄电池双电源冗余；功耗（含通信模块</w:t>
            </w:r>
            <w:r>
              <w:rPr>
                <w:rFonts w:hint="eastAsia" w:ascii="仿宋" w:hAnsi="仿宋" w:eastAsia="仿宋" w:cs="仿宋"/>
                <w:color w:val="000000" w:themeColor="text1"/>
                <w:spacing w:val="14"/>
                <w:sz w:val="24"/>
                <w:szCs w:val="24"/>
                <w:highlight w:val="none"/>
                <w14:textFill>
                  <w14:solidFill>
                    <w14:schemeClr w14:val="tx1"/>
                  </w14:solidFill>
                </w14:textFill>
              </w:rPr>
              <w:t>）：</w:t>
            </w:r>
            <w:r>
              <w:rPr>
                <w:rFonts w:hint="eastAsia" w:ascii="仿宋" w:hAnsi="仿宋" w:eastAsia="仿宋" w:cs="仿宋"/>
                <w:color w:val="000000" w:themeColor="text1"/>
                <w:spacing w:val="8"/>
                <w:sz w:val="24"/>
                <w:szCs w:val="24"/>
                <w:highlight w:val="none"/>
                <w14:textFill>
                  <w14:solidFill>
                    <w14:schemeClr w14:val="tx1"/>
                  </w14:solidFill>
                </w14:textFill>
              </w:rPr>
              <w:t>值守功耗:&lt;30</w:t>
            </w:r>
            <w:r>
              <w:rPr>
                <w:rFonts w:hint="eastAsia" w:ascii="仿宋" w:hAnsi="仿宋" w:eastAsia="仿宋" w:cs="仿宋"/>
                <w:color w:val="000000" w:themeColor="text1"/>
                <w:sz w:val="24"/>
                <w:szCs w:val="24"/>
                <w:highlight w:val="none"/>
                <w14:textFill>
                  <w14:solidFill>
                    <w14:schemeClr w14:val="tx1"/>
                  </w14:solidFill>
                </w14:textFill>
              </w:rPr>
              <w:t>mA</w:t>
            </w:r>
            <w:r>
              <w:rPr>
                <w:rFonts w:hint="eastAsia" w:ascii="仿宋" w:hAnsi="仿宋" w:eastAsia="仿宋" w:cs="仿宋"/>
                <w:color w:val="000000" w:themeColor="text1"/>
                <w:spacing w:val="8"/>
                <w:sz w:val="24"/>
                <w:szCs w:val="24"/>
                <w:highlight w:val="none"/>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V</w:t>
            </w:r>
            <w:r>
              <w:rPr>
                <w:rFonts w:hint="eastAsia" w:ascii="仿宋" w:hAnsi="仿宋" w:eastAsia="仿宋" w:cs="仿宋"/>
                <w:color w:val="000000" w:themeColor="text1"/>
                <w:spacing w:val="8"/>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DC</w:t>
            </w:r>
            <w:r>
              <w:rPr>
                <w:rFonts w:hint="eastAsia" w:ascii="仿宋" w:hAnsi="仿宋" w:eastAsia="仿宋" w:cs="仿宋"/>
                <w:color w:val="000000" w:themeColor="text1"/>
                <w:spacing w:val="14"/>
                <w:sz w:val="24"/>
                <w:szCs w:val="24"/>
                <w:highlight w:val="none"/>
                <w14:textFill>
                  <w14:solidFill>
                    <w14:schemeClr w14:val="tx1"/>
                  </w14:solidFill>
                </w14:textFill>
              </w:rPr>
              <w:t>），</w:t>
            </w:r>
            <w:r>
              <w:rPr>
                <w:rFonts w:hint="eastAsia" w:ascii="仿宋" w:hAnsi="仿宋" w:eastAsia="仿宋" w:cs="仿宋"/>
                <w:color w:val="000000" w:themeColor="text1"/>
                <w:spacing w:val="8"/>
                <w:sz w:val="24"/>
                <w:szCs w:val="24"/>
                <w:highlight w:val="none"/>
                <w14:textFill>
                  <w14:solidFill>
                    <w14:schemeClr w14:val="tx1"/>
                  </w14:solidFill>
                </w14:textFill>
              </w:rPr>
              <w:t>工作功耗&lt;6</w:t>
            </w:r>
            <w:r>
              <w:rPr>
                <w:rFonts w:hint="eastAsia" w:ascii="仿宋" w:hAnsi="仿宋" w:eastAsia="仿宋" w:cs="仿宋"/>
                <w:color w:val="000000" w:themeColor="text1"/>
                <w:spacing w:val="7"/>
                <w:sz w:val="24"/>
                <w:szCs w:val="24"/>
                <w:highlight w:val="none"/>
                <w14:textFill>
                  <w14:solidFill>
                    <w14:schemeClr w14:val="tx1"/>
                  </w14:solidFill>
                </w14:textFill>
              </w:rPr>
              <w:t>00</w:t>
            </w:r>
            <w:r>
              <w:rPr>
                <w:rFonts w:hint="eastAsia" w:ascii="仿宋" w:hAnsi="仿宋" w:eastAsia="仿宋" w:cs="仿宋"/>
                <w:color w:val="000000" w:themeColor="text1"/>
                <w:sz w:val="24"/>
                <w:szCs w:val="24"/>
                <w:highlight w:val="none"/>
                <w14:textFill>
                  <w14:solidFill>
                    <w14:schemeClr w14:val="tx1"/>
                  </w14:solidFill>
                </w14:textFill>
              </w:rPr>
              <w:t>mA</w:t>
            </w:r>
            <w:r>
              <w:rPr>
                <w:rFonts w:hint="eastAsia" w:ascii="仿宋" w:hAnsi="仿宋" w:eastAsia="仿宋" w:cs="仿宋"/>
                <w:color w:val="000000" w:themeColor="text1"/>
                <w:spacing w:val="7"/>
                <w:sz w:val="24"/>
                <w:szCs w:val="24"/>
                <w:highlight w:val="none"/>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V</w:t>
            </w:r>
            <w:r>
              <w:rPr>
                <w:rFonts w:hint="eastAsia" w:ascii="仿宋" w:hAnsi="仿宋" w:eastAsia="仿宋" w:cs="仿宋"/>
                <w:color w:val="000000" w:themeColor="text1"/>
                <w:spacing w:val="7"/>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DC</w:t>
            </w:r>
            <w:r>
              <w:rPr>
                <w:rFonts w:hint="eastAsia" w:ascii="仿宋" w:hAnsi="仿宋" w:eastAsia="仿宋" w:cs="仿宋"/>
                <w:color w:val="000000" w:themeColor="text1"/>
                <w:spacing w:val="14"/>
                <w:sz w:val="24"/>
                <w:szCs w:val="24"/>
                <w:highlight w:val="none"/>
                <w14:textFill>
                  <w14:solidFill>
                    <w14:schemeClr w14:val="tx1"/>
                  </w14:solidFill>
                </w14:textFill>
              </w:rPr>
              <w:t>）；</w:t>
            </w:r>
            <w:r>
              <w:rPr>
                <w:rFonts w:hint="eastAsia" w:ascii="仿宋" w:hAnsi="仿宋" w:eastAsia="仿宋" w:cs="仿宋"/>
                <w:color w:val="000000" w:themeColor="text1"/>
                <w:spacing w:val="7"/>
                <w:sz w:val="24"/>
                <w:szCs w:val="24"/>
                <w:highlight w:val="none"/>
                <w14:textFill>
                  <w14:solidFill>
                    <w14:schemeClr w14:val="tx1"/>
                  </w14:solidFill>
                </w14:textFill>
              </w:rPr>
              <w:t>数</w:t>
            </w:r>
            <w:r>
              <w:rPr>
                <w:rFonts w:hint="eastAsia" w:ascii="仿宋" w:hAnsi="仿宋" w:eastAsia="仿宋" w:cs="仿宋"/>
                <w:color w:val="000000" w:themeColor="text1"/>
                <w:spacing w:val="-2"/>
                <w:sz w:val="24"/>
                <w:szCs w:val="24"/>
                <w:highlight w:val="none"/>
                <w14:textFill>
                  <w14:solidFill>
                    <w14:schemeClr w14:val="tx1"/>
                  </w14:solidFill>
                </w14:textFill>
              </w:rPr>
              <w:t>据存储：不少于</w:t>
            </w:r>
            <w:r>
              <w:rPr>
                <w:rFonts w:hint="eastAsia" w:ascii="仿宋" w:hAnsi="仿宋" w:eastAsia="仿宋" w:cs="仿宋"/>
                <w:color w:val="000000" w:themeColor="text1"/>
                <w:spacing w:val="-3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3</w:t>
            </w:r>
            <w:r>
              <w:rPr>
                <w:rFonts w:hint="eastAsia" w:ascii="仿宋" w:hAnsi="仿宋" w:eastAsia="仿宋" w:cs="仿宋"/>
                <w:color w:val="000000" w:themeColor="text1"/>
                <w:spacing w:val="-37"/>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年；支持存储扩展至128GB；主机定位：内置</w:t>
            </w:r>
            <w:r>
              <w:rPr>
                <w:rFonts w:hint="eastAsia" w:ascii="仿宋" w:hAnsi="仿宋" w:eastAsia="仿宋" w:cs="仿宋"/>
                <w:color w:val="000000" w:themeColor="text1"/>
                <w:spacing w:val="-39"/>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GPS/BDS</w:t>
            </w:r>
            <w:r>
              <w:rPr>
                <w:rFonts w:hint="eastAsia" w:ascii="仿宋" w:hAnsi="仿宋" w:eastAsia="仿宋" w:cs="仿宋"/>
                <w:color w:val="000000" w:themeColor="text1"/>
                <w:spacing w:val="9"/>
                <w:sz w:val="24"/>
                <w:szCs w:val="24"/>
                <w:highlight w:val="none"/>
                <w14:textFill>
                  <w14:solidFill>
                    <w14:schemeClr w14:val="tx1"/>
                  </w14:solidFill>
                </w14:textFill>
              </w:rPr>
              <w:t>多星多模定位；采集接口：</w:t>
            </w:r>
            <w:r>
              <w:rPr>
                <w:rFonts w:hint="eastAsia" w:ascii="仿宋" w:hAnsi="仿宋" w:eastAsia="仿宋" w:cs="仿宋"/>
                <w:color w:val="000000" w:themeColor="text1"/>
                <w:sz w:val="24"/>
                <w:szCs w:val="24"/>
                <w:highlight w:val="none"/>
                <w14:textFill>
                  <w14:solidFill>
                    <w14:schemeClr w14:val="tx1"/>
                  </w14:solidFill>
                </w14:textFill>
              </w:rPr>
              <w:t>RS</w:t>
            </w:r>
            <w:r>
              <w:rPr>
                <w:rFonts w:hint="eastAsia" w:ascii="仿宋" w:hAnsi="仿宋" w:eastAsia="仿宋" w:cs="仿宋"/>
                <w:color w:val="000000" w:themeColor="text1"/>
                <w:spacing w:val="9"/>
                <w:sz w:val="24"/>
                <w:szCs w:val="24"/>
                <w:highlight w:val="none"/>
                <w14:textFill>
                  <w14:solidFill>
                    <w14:schemeClr w14:val="tx1"/>
                  </w14:solidFill>
                </w14:textFill>
              </w:rPr>
              <w:t>485、</w:t>
            </w:r>
            <w:r>
              <w:rPr>
                <w:rFonts w:hint="eastAsia" w:ascii="仿宋" w:hAnsi="仿宋" w:eastAsia="仿宋" w:cs="仿宋"/>
                <w:color w:val="000000" w:themeColor="text1"/>
                <w:sz w:val="24"/>
                <w:szCs w:val="24"/>
                <w:highlight w:val="none"/>
                <w14:textFill>
                  <w14:solidFill>
                    <w14:schemeClr w14:val="tx1"/>
                  </w14:solidFill>
                </w14:textFill>
              </w:rPr>
              <w:t>RS</w:t>
            </w:r>
            <w:r>
              <w:rPr>
                <w:rFonts w:hint="eastAsia" w:ascii="仿宋" w:hAnsi="仿宋" w:eastAsia="仿宋" w:cs="仿宋"/>
                <w:color w:val="000000" w:themeColor="text1"/>
                <w:spacing w:val="9"/>
                <w:sz w:val="24"/>
                <w:szCs w:val="24"/>
                <w:highlight w:val="none"/>
                <w14:textFill>
                  <w14:solidFill>
                    <w14:schemeClr w14:val="tx1"/>
                  </w14:solidFill>
                </w14:textFill>
              </w:rPr>
              <w:t>232、</w:t>
            </w:r>
            <w:r>
              <w:rPr>
                <w:rFonts w:hint="eastAsia" w:ascii="仿宋" w:hAnsi="仿宋" w:eastAsia="仿宋" w:cs="仿宋"/>
                <w:color w:val="000000" w:themeColor="text1"/>
                <w:sz w:val="24"/>
                <w:szCs w:val="24"/>
                <w:highlight w:val="none"/>
                <w14:textFill>
                  <w14:solidFill>
                    <w14:schemeClr w14:val="tx1"/>
                  </w14:solidFill>
                </w14:textFill>
              </w:rPr>
              <w:t>RJ</w:t>
            </w:r>
            <w:r>
              <w:rPr>
                <w:rFonts w:hint="eastAsia" w:ascii="仿宋" w:hAnsi="仿宋" w:eastAsia="仿宋" w:cs="仿宋"/>
                <w:color w:val="000000" w:themeColor="text1"/>
                <w:spacing w:val="9"/>
                <w:sz w:val="24"/>
                <w:szCs w:val="24"/>
                <w:highlight w:val="none"/>
                <w14:textFill>
                  <w14:solidFill>
                    <w14:schemeClr w14:val="tx1"/>
                  </w14:solidFill>
                </w14:textFill>
              </w:rPr>
              <w:t>45、北斗通信外挂接口等；平均无故障时间：</w:t>
            </w:r>
            <w:r>
              <w:rPr>
                <w:rFonts w:hint="eastAsia" w:ascii="仿宋" w:hAnsi="仿宋" w:eastAsia="仿宋" w:cs="仿宋"/>
                <w:color w:val="000000" w:themeColor="text1"/>
                <w:sz w:val="24"/>
                <w:szCs w:val="24"/>
                <w:highlight w:val="none"/>
                <w14:textFill>
                  <w14:solidFill>
                    <w14:schemeClr w14:val="tx1"/>
                  </w14:solidFill>
                </w14:textFill>
              </w:rPr>
              <w:t>MTBF</w:t>
            </w:r>
            <w:r>
              <w:rPr>
                <w:rFonts w:hint="eastAsia" w:ascii="仿宋" w:hAnsi="仿宋" w:eastAsia="仿宋" w:cs="仿宋"/>
                <w:color w:val="000000" w:themeColor="text1"/>
                <w:spacing w:val="9"/>
                <w:sz w:val="24"/>
                <w:szCs w:val="24"/>
                <w:highlight w:val="none"/>
                <w14:textFill>
                  <w14:solidFill>
                    <w14:schemeClr w14:val="tx1"/>
                  </w14:solidFill>
                </w14:textFill>
              </w:rPr>
              <w:t>≥25000h；实时时钟：最大月误差不超过</w:t>
            </w:r>
            <w:r>
              <w:rPr>
                <w:rFonts w:hint="eastAsia" w:ascii="仿宋" w:hAnsi="仿宋" w:eastAsia="仿宋" w:cs="仿宋"/>
                <w:color w:val="000000" w:themeColor="text1"/>
                <w:spacing w:val="6"/>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14:textFill>
                  <w14:solidFill>
                    <w14:schemeClr w14:val="tx1"/>
                  </w14:solidFill>
                </w14:textFill>
              </w:rPr>
              <w:t>min</w:t>
            </w:r>
            <w:r>
              <w:rPr>
                <w:rFonts w:hint="eastAsia" w:ascii="仿宋" w:hAnsi="仿宋" w:eastAsia="仿宋" w:cs="仿宋"/>
                <w:color w:val="000000" w:themeColor="text1"/>
                <w:spacing w:val="6"/>
                <w:sz w:val="24"/>
                <w:szCs w:val="24"/>
                <w:highlight w:val="none"/>
                <w14:textFill>
                  <w14:solidFill>
                    <w14:schemeClr w14:val="tx1"/>
                  </w14:solidFill>
                </w14:textFill>
              </w:rPr>
              <w:t>，自动校时；工作模式：自报，查询应答，实时或定时发送；远</w:t>
            </w:r>
            <w:r>
              <w:rPr>
                <w:rFonts w:hint="eastAsia" w:ascii="仿宋" w:hAnsi="仿宋" w:eastAsia="仿宋" w:cs="仿宋"/>
                <w:color w:val="000000" w:themeColor="text1"/>
                <w:spacing w:val="10"/>
                <w:sz w:val="24"/>
                <w:szCs w:val="24"/>
                <w:highlight w:val="none"/>
                <w14:textFill>
                  <w14:solidFill>
                    <w14:schemeClr w14:val="tx1"/>
                  </w14:solidFill>
                </w14:textFill>
              </w:rPr>
              <w:t>程控制和更新：召测、参数设置、通信协议</w:t>
            </w:r>
            <w:r>
              <w:rPr>
                <w:rFonts w:hint="eastAsia" w:ascii="仿宋" w:hAnsi="仿宋" w:eastAsia="仿宋" w:cs="仿宋"/>
                <w:color w:val="000000" w:themeColor="text1"/>
                <w:spacing w:val="9"/>
                <w:sz w:val="24"/>
                <w:szCs w:val="24"/>
                <w:highlight w:val="none"/>
                <w14:textFill>
                  <w14:solidFill>
                    <w14:schemeClr w14:val="tx1"/>
                  </w14:solidFill>
                </w14:textFill>
              </w:rPr>
              <w:t>、下载、更新等；通信通</w:t>
            </w:r>
          </w:p>
          <w:p w14:paraId="7C4A4F17">
            <w:pPr>
              <w:pStyle w:val="37"/>
              <w:spacing w:line="245" w:lineRule="auto"/>
              <w:ind w:left="109" w:right="5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道：</w:t>
            </w:r>
            <w:r>
              <w:rPr>
                <w:rFonts w:hint="eastAsia" w:ascii="仿宋" w:hAnsi="仿宋" w:eastAsia="仿宋" w:cs="仿宋"/>
                <w:color w:val="000000" w:themeColor="text1"/>
                <w:spacing w:val="-4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7"/>
                <w:sz w:val="24"/>
                <w:szCs w:val="24"/>
                <w:highlight w:val="none"/>
                <w14:textFill>
                  <w14:solidFill>
                    <w14:schemeClr w14:val="tx1"/>
                  </w14:solidFill>
                </w14:textFill>
              </w:rPr>
              <w:t>内置</w:t>
            </w:r>
            <w:r>
              <w:rPr>
                <w:rFonts w:hint="eastAsia" w:ascii="仿宋" w:hAnsi="仿宋" w:eastAsia="仿宋" w:cs="仿宋"/>
                <w:color w:val="000000" w:themeColor="text1"/>
                <w:spacing w:val="-40"/>
                <w:sz w:val="24"/>
                <w:szCs w:val="24"/>
                <w:highlight w:val="none"/>
                <w14:textFill>
                  <w14:solidFill>
                    <w14:schemeClr w14:val="tx1"/>
                  </w14:solidFill>
                </w14:textFill>
              </w:rPr>
              <w:t xml:space="preserve"> </w:t>
            </w:r>
            <w:r>
              <w:rPr>
                <w:rFonts w:hint="eastAsia" w:ascii="仿宋" w:hAnsi="仿宋" w:eastAsia="仿宋" w:cs="仿宋"/>
                <w:color w:val="000000" w:themeColor="text1"/>
                <w:spacing w:val="7"/>
                <w:sz w:val="24"/>
                <w:szCs w:val="24"/>
                <w:highlight w:val="none"/>
                <w14:textFill>
                  <w14:solidFill>
                    <w14:schemeClr w14:val="tx1"/>
                  </w14:solidFill>
                </w14:textFill>
              </w:rPr>
              <w:t>4G</w:t>
            </w:r>
            <w:r>
              <w:rPr>
                <w:rFonts w:hint="eastAsia" w:ascii="仿宋" w:hAnsi="仿宋" w:eastAsia="仿宋" w:cs="仿宋"/>
                <w:color w:val="000000" w:themeColor="text1"/>
                <w:spacing w:val="-39"/>
                <w:sz w:val="24"/>
                <w:szCs w:val="24"/>
                <w:highlight w:val="none"/>
                <w14:textFill>
                  <w14:solidFill>
                    <w14:schemeClr w14:val="tx1"/>
                  </w14:solidFill>
                </w14:textFill>
              </w:rPr>
              <w:t xml:space="preserve"> </w:t>
            </w:r>
            <w:r>
              <w:rPr>
                <w:rFonts w:hint="eastAsia" w:ascii="仿宋" w:hAnsi="仿宋" w:eastAsia="仿宋" w:cs="仿宋"/>
                <w:color w:val="000000" w:themeColor="text1"/>
                <w:spacing w:val="7"/>
                <w:sz w:val="24"/>
                <w:szCs w:val="24"/>
                <w:highlight w:val="none"/>
                <w14:textFill>
                  <w14:solidFill>
                    <w14:schemeClr w14:val="tx1"/>
                  </w14:solidFill>
                </w14:textFill>
              </w:rPr>
              <w:t>及以上通信模块（兼容</w:t>
            </w:r>
            <w:r>
              <w:rPr>
                <w:rFonts w:hint="eastAsia" w:ascii="仿宋" w:hAnsi="仿宋" w:eastAsia="仿宋" w:cs="仿宋"/>
                <w:color w:val="000000" w:themeColor="text1"/>
                <w:spacing w:val="-38"/>
                <w:sz w:val="24"/>
                <w:szCs w:val="24"/>
                <w:highlight w:val="none"/>
                <w14:textFill>
                  <w14:solidFill>
                    <w14:schemeClr w14:val="tx1"/>
                  </w14:solidFill>
                </w14:textFill>
              </w:rPr>
              <w:t xml:space="preserve"> </w:t>
            </w:r>
            <w:r>
              <w:rPr>
                <w:rFonts w:hint="eastAsia" w:ascii="仿宋" w:hAnsi="仿宋" w:eastAsia="仿宋" w:cs="仿宋"/>
                <w:color w:val="000000" w:themeColor="text1"/>
                <w:spacing w:val="7"/>
                <w:sz w:val="24"/>
                <w:szCs w:val="24"/>
                <w:highlight w:val="none"/>
                <w14:textFill>
                  <w14:solidFill>
                    <w14:schemeClr w14:val="tx1"/>
                  </w14:solidFill>
                </w14:textFill>
              </w:rPr>
              <w:t>4G、3G、</w:t>
            </w:r>
            <w:r>
              <w:rPr>
                <w:rFonts w:hint="eastAsia" w:ascii="仿宋" w:hAnsi="仿宋" w:eastAsia="仿宋" w:cs="仿宋"/>
                <w:color w:val="000000" w:themeColor="text1"/>
                <w:sz w:val="24"/>
                <w:szCs w:val="24"/>
                <w:highlight w:val="none"/>
                <w14:textFill>
                  <w14:solidFill>
                    <w14:schemeClr w14:val="tx1"/>
                  </w14:solidFill>
                </w14:textFill>
              </w:rPr>
              <w:t>GPRS</w:t>
            </w:r>
            <w:r>
              <w:rPr>
                <w:rFonts w:hint="eastAsia" w:ascii="仿宋" w:hAnsi="仿宋" w:eastAsia="仿宋" w:cs="仿宋"/>
                <w:color w:val="000000" w:themeColor="text1"/>
                <w:spacing w:val="7"/>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NB</w:t>
            </w:r>
            <w:r>
              <w:rPr>
                <w:rFonts w:hint="eastAsia" w:ascii="仿宋" w:hAnsi="仿宋" w:eastAsia="仿宋" w:cs="仿宋"/>
                <w:color w:val="000000" w:themeColor="text1"/>
                <w:spacing w:val="7"/>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iot</w:t>
            </w:r>
            <w:r>
              <w:rPr>
                <w:rFonts w:hint="eastAsia" w:ascii="仿宋" w:hAnsi="仿宋" w:eastAsia="仿宋" w:cs="仿宋"/>
                <w:color w:val="000000" w:themeColor="text1"/>
                <w:spacing w:val="7"/>
                <w:sz w:val="24"/>
                <w:szCs w:val="24"/>
                <w:highlight w:val="none"/>
                <w14:textFill>
                  <w14:solidFill>
                    <w14:schemeClr w14:val="tx1"/>
                  </w14:solidFill>
                </w14:textFill>
              </w:rPr>
              <w:t>（物联</w:t>
            </w:r>
            <w:r>
              <w:rPr>
                <w:rFonts w:hint="eastAsia" w:ascii="仿宋" w:hAnsi="仿宋" w:eastAsia="仿宋" w:cs="仿宋"/>
                <w:color w:val="000000" w:themeColor="text1"/>
                <w:spacing w:val="9"/>
                <w:sz w:val="24"/>
                <w:szCs w:val="24"/>
                <w:highlight w:val="none"/>
                <w14:textFill>
                  <w14:solidFill>
                    <w14:schemeClr w14:val="tx1"/>
                  </w14:solidFill>
                </w14:textFill>
              </w:rPr>
              <w:t>网）、短信、</w:t>
            </w:r>
            <w:r>
              <w:rPr>
                <w:rFonts w:hint="eastAsia" w:ascii="仿宋" w:hAnsi="仿宋" w:eastAsia="仿宋" w:cs="仿宋"/>
                <w:color w:val="000000" w:themeColor="text1"/>
                <w:sz w:val="24"/>
                <w:szCs w:val="24"/>
                <w:highlight w:val="none"/>
                <w14:textFill>
                  <w14:solidFill>
                    <w14:schemeClr w14:val="tx1"/>
                  </w14:solidFill>
                </w14:textFill>
              </w:rPr>
              <w:t>CDMA</w:t>
            </w:r>
            <w:r>
              <w:rPr>
                <w:rFonts w:hint="eastAsia" w:ascii="仿宋" w:hAnsi="仿宋" w:eastAsia="仿宋" w:cs="仿宋"/>
                <w:color w:val="000000" w:themeColor="text1"/>
                <w:spacing w:val="9"/>
                <w:sz w:val="24"/>
                <w:szCs w:val="24"/>
                <w:highlight w:val="none"/>
                <w14:textFill>
                  <w14:solidFill>
                    <w14:schemeClr w14:val="tx1"/>
                  </w14:solidFill>
                </w14:textFill>
              </w:rPr>
              <w:t>、外挂北斗通信；设置方式：近场</w:t>
            </w:r>
            <w:r>
              <w:rPr>
                <w:rFonts w:hint="eastAsia" w:ascii="仿宋" w:hAnsi="仿宋" w:eastAsia="仿宋" w:cs="仿宋"/>
                <w:color w:val="000000" w:themeColor="text1"/>
                <w:spacing w:val="8"/>
                <w:sz w:val="24"/>
                <w:szCs w:val="24"/>
                <w:highlight w:val="none"/>
                <w14:textFill>
                  <w14:solidFill>
                    <w14:schemeClr w14:val="tx1"/>
                  </w14:solidFill>
                </w14:textFill>
              </w:rPr>
              <w:t>通过</w:t>
            </w:r>
            <w:r>
              <w:rPr>
                <w:rFonts w:hint="eastAsia" w:ascii="仿宋" w:hAnsi="仿宋" w:eastAsia="仿宋" w:cs="仿宋"/>
                <w:color w:val="000000" w:themeColor="text1"/>
                <w:sz w:val="24"/>
                <w:szCs w:val="24"/>
                <w:highlight w:val="none"/>
                <w14:textFill>
                  <w14:solidFill>
                    <w14:schemeClr w14:val="tx1"/>
                  </w14:solidFill>
                </w14:textFill>
              </w:rPr>
              <w:t>wifi</w:t>
            </w:r>
            <w:r>
              <w:rPr>
                <w:rFonts w:hint="eastAsia" w:ascii="仿宋" w:hAnsi="仿宋" w:eastAsia="仿宋" w:cs="仿宋"/>
                <w:color w:val="000000" w:themeColor="text1"/>
                <w:spacing w:val="8"/>
                <w:sz w:val="24"/>
                <w:szCs w:val="24"/>
                <w:highlight w:val="none"/>
                <w14:textFill>
                  <w14:solidFill>
                    <w14:schemeClr w14:val="tx1"/>
                  </w14:solidFill>
                </w14:textFill>
              </w:rPr>
              <w:t>或蓝牙用电脑或</w:t>
            </w:r>
            <w:r>
              <w:rPr>
                <w:rFonts w:hint="eastAsia" w:ascii="仿宋" w:hAnsi="仿宋" w:eastAsia="仿宋" w:cs="仿宋"/>
                <w:color w:val="000000" w:themeColor="text1"/>
                <w:spacing w:val="-46"/>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APP</w:t>
            </w:r>
            <w:r>
              <w:rPr>
                <w:rFonts w:hint="eastAsia" w:ascii="仿宋" w:hAnsi="仿宋" w:eastAsia="仿宋" w:cs="仿宋"/>
                <w:color w:val="000000" w:themeColor="text1"/>
                <w:spacing w:val="-34"/>
                <w:sz w:val="24"/>
                <w:szCs w:val="24"/>
                <w:highlight w:val="none"/>
                <w14:textFill>
                  <w14:solidFill>
                    <w14:schemeClr w14:val="tx1"/>
                  </w14:solidFill>
                </w14:textFill>
              </w:rPr>
              <w:t xml:space="preserve"> </w:t>
            </w:r>
            <w:r>
              <w:rPr>
                <w:rFonts w:hint="eastAsia" w:ascii="仿宋" w:hAnsi="仿宋" w:eastAsia="仿宋" w:cs="仿宋"/>
                <w:color w:val="000000" w:themeColor="text1"/>
                <w:spacing w:val="8"/>
                <w:sz w:val="24"/>
                <w:szCs w:val="24"/>
                <w:highlight w:val="none"/>
                <w14:textFill>
                  <w14:solidFill>
                    <w14:schemeClr w14:val="tx1"/>
                  </w14:solidFill>
                </w14:textFill>
              </w:rPr>
              <w:t>设置、远程通过互联网用电脑或</w:t>
            </w:r>
            <w:r>
              <w:rPr>
                <w:rFonts w:hint="eastAsia" w:ascii="仿宋" w:hAnsi="仿宋" w:eastAsia="仿宋" w:cs="仿宋"/>
                <w:color w:val="000000" w:themeColor="text1"/>
                <w:sz w:val="24"/>
                <w:szCs w:val="24"/>
                <w:highlight w:val="none"/>
                <w14:textFill>
                  <w14:solidFill>
                    <w14:schemeClr w14:val="tx1"/>
                  </w14:solidFill>
                </w14:textFill>
              </w:rPr>
              <w:t>APP</w:t>
            </w:r>
            <w:r>
              <w:rPr>
                <w:rFonts w:hint="eastAsia" w:ascii="仿宋" w:hAnsi="仿宋" w:eastAsia="仿宋" w:cs="仿宋"/>
                <w:color w:val="000000" w:themeColor="text1"/>
                <w:spacing w:val="8"/>
                <w:sz w:val="24"/>
                <w:szCs w:val="24"/>
                <w:highlight w:val="none"/>
                <w14:textFill>
                  <w14:solidFill>
                    <w14:schemeClr w14:val="tx1"/>
                  </w14:solidFill>
                </w14:textFill>
              </w:rPr>
              <w:t>设置；内置</w:t>
            </w:r>
            <w:r>
              <w:rPr>
                <w:rFonts w:hint="eastAsia" w:ascii="仿宋" w:hAnsi="仿宋" w:eastAsia="仿宋" w:cs="仿宋"/>
                <w:color w:val="000000" w:themeColor="text1"/>
                <w:spacing w:val="7"/>
                <w:sz w:val="24"/>
                <w:szCs w:val="24"/>
                <w:highlight w:val="none"/>
                <w14:textFill>
                  <w14:solidFill>
                    <w14:schemeClr w14:val="tx1"/>
                  </w14:solidFill>
                </w14:textFill>
              </w:rPr>
              <w:t>数据处</w:t>
            </w:r>
            <w:r>
              <w:rPr>
                <w:rFonts w:hint="eastAsia" w:ascii="仿宋" w:hAnsi="仿宋" w:eastAsia="仿宋" w:cs="仿宋"/>
                <w:color w:val="000000" w:themeColor="text1"/>
                <w:spacing w:val="5"/>
                <w:sz w:val="24"/>
                <w:szCs w:val="24"/>
                <w:highlight w:val="none"/>
                <w14:textFill>
                  <w14:solidFill>
                    <w14:schemeClr w14:val="tx1"/>
                  </w14:solidFill>
                </w14:textFill>
              </w:rPr>
              <w:t>理算法；支持协议：</w:t>
            </w:r>
            <w:r>
              <w:rPr>
                <w:rFonts w:hint="eastAsia" w:ascii="仿宋" w:hAnsi="仿宋" w:eastAsia="仿宋" w:cs="仿宋"/>
                <w:color w:val="000000" w:themeColor="text1"/>
                <w:sz w:val="24"/>
                <w:szCs w:val="24"/>
                <w:highlight w:val="none"/>
                <w14:textFill>
                  <w14:solidFill>
                    <w14:schemeClr w14:val="tx1"/>
                  </w14:solidFill>
                </w14:textFill>
              </w:rPr>
              <w:t>SL</w:t>
            </w:r>
            <w:r>
              <w:rPr>
                <w:rFonts w:hint="eastAsia" w:ascii="仿宋" w:hAnsi="仿宋" w:eastAsia="仿宋" w:cs="仿宋"/>
                <w:color w:val="000000" w:themeColor="text1"/>
                <w:spacing w:val="5"/>
                <w:sz w:val="24"/>
                <w:szCs w:val="24"/>
                <w:highlight w:val="none"/>
                <w14:textFill>
                  <w14:solidFill>
                    <w14:schemeClr w14:val="tx1"/>
                  </w14:solidFill>
                </w14:textFill>
              </w:rPr>
              <w:t>651、</w:t>
            </w:r>
            <w:r>
              <w:rPr>
                <w:rFonts w:hint="eastAsia" w:ascii="仿宋" w:hAnsi="仿宋" w:eastAsia="仿宋" w:cs="仿宋"/>
                <w:color w:val="000000" w:themeColor="text1"/>
                <w:sz w:val="24"/>
                <w:szCs w:val="24"/>
                <w:highlight w:val="none"/>
                <w14:textFill>
                  <w14:solidFill>
                    <w14:schemeClr w14:val="tx1"/>
                  </w14:solidFill>
                </w14:textFill>
              </w:rPr>
              <w:t>SL</w:t>
            </w:r>
            <w:r>
              <w:rPr>
                <w:rFonts w:hint="eastAsia" w:ascii="仿宋" w:hAnsi="仿宋" w:eastAsia="仿宋" w:cs="仿宋"/>
                <w:color w:val="000000" w:themeColor="text1"/>
                <w:spacing w:val="5"/>
                <w:sz w:val="24"/>
                <w:szCs w:val="24"/>
                <w:highlight w:val="none"/>
                <w14:textFill>
                  <w14:solidFill>
                    <w14:schemeClr w14:val="tx1"/>
                  </w14:solidFill>
                </w14:textFill>
              </w:rPr>
              <w:t>427、</w:t>
            </w:r>
            <w:r>
              <w:rPr>
                <w:rFonts w:hint="eastAsia" w:ascii="仿宋" w:hAnsi="仿宋" w:eastAsia="仿宋" w:cs="仿宋"/>
                <w:color w:val="000000" w:themeColor="text1"/>
                <w:sz w:val="24"/>
                <w:szCs w:val="24"/>
                <w:highlight w:val="none"/>
                <w14:textFill>
                  <w14:solidFill>
                    <w14:schemeClr w14:val="tx1"/>
                  </w14:solidFill>
                </w14:textFill>
              </w:rPr>
              <w:t>SZY</w:t>
            </w:r>
            <w:r>
              <w:rPr>
                <w:rFonts w:hint="eastAsia" w:ascii="仿宋" w:hAnsi="仿宋" w:eastAsia="仿宋" w:cs="仿宋"/>
                <w:color w:val="000000" w:themeColor="text1"/>
                <w:spacing w:val="5"/>
                <w:sz w:val="24"/>
                <w:szCs w:val="24"/>
                <w:highlight w:val="none"/>
                <w14:textFill>
                  <w14:solidFill>
                    <w14:schemeClr w14:val="tx1"/>
                  </w14:solidFill>
                </w14:textFill>
              </w:rPr>
              <w:t>20</w:t>
            </w:r>
            <w:r>
              <w:rPr>
                <w:rFonts w:hint="eastAsia" w:ascii="仿宋" w:hAnsi="仿宋" w:eastAsia="仿宋" w:cs="仿宋"/>
                <w:color w:val="000000" w:themeColor="text1"/>
                <w:spacing w:val="4"/>
                <w:sz w:val="24"/>
                <w:szCs w:val="24"/>
                <w:highlight w:val="none"/>
                <w14:textFill>
                  <w14:solidFill>
                    <w14:schemeClr w14:val="tx1"/>
                  </w14:solidFill>
                </w14:textFill>
              </w:rPr>
              <w:t>6、定制协议等；采集要素：</w:t>
            </w:r>
            <w:r>
              <w:rPr>
                <w:rFonts w:hint="eastAsia" w:ascii="仿宋" w:hAnsi="仿宋" w:eastAsia="仿宋" w:cs="仿宋"/>
                <w:color w:val="000000" w:themeColor="text1"/>
                <w:spacing w:val="7"/>
                <w:sz w:val="24"/>
                <w:szCs w:val="24"/>
                <w:highlight w:val="none"/>
                <w14:textFill>
                  <w14:solidFill>
                    <w14:schemeClr w14:val="tx1"/>
                  </w14:solidFill>
                </w14:textFill>
              </w:rPr>
              <w:t>支持集成采集雨量、气象等要素；工作温度：-40℃~70℃;满</w:t>
            </w:r>
            <w:r>
              <w:rPr>
                <w:rFonts w:hint="eastAsia" w:ascii="仿宋" w:hAnsi="仿宋" w:eastAsia="仿宋" w:cs="仿宋"/>
                <w:color w:val="000000" w:themeColor="text1"/>
                <w:spacing w:val="6"/>
                <w:sz w:val="24"/>
                <w:szCs w:val="24"/>
                <w:highlight w:val="none"/>
                <w14:textFill>
                  <w14:solidFill>
                    <w14:schemeClr w14:val="tx1"/>
                  </w14:solidFill>
                </w14:textFill>
              </w:rPr>
              <w:t>足强磁</w:t>
            </w:r>
            <w:r>
              <w:rPr>
                <w:rFonts w:hint="eastAsia" w:ascii="仿宋" w:hAnsi="仿宋" w:eastAsia="仿宋" w:cs="仿宋"/>
                <w:color w:val="000000" w:themeColor="text1"/>
                <w:spacing w:val="8"/>
                <w:sz w:val="24"/>
                <w:szCs w:val="24"/>
                <w:highlight w:val="none"/>
                <w14:textFill>
                  <w14:solidFill>
                    <w14:schemeClr w14:val="tx1"/>
                  </w14:solidFill>
                </w14:textFill>
              </w:rPr>
              <w:t>干扰下无故障工作等工业级品质。</w:t>
            </w:r>
          </w:p>
        </w:tc>
      </w:tr>
      <w:tr w14:paraId="2246D7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3" w:hRule="atLeast"/>
        </w:trPr>
        <w:tc>
          <w:tcPr>
            <w:tcW w:w="533" w:type="dxa"/>
            <w:vAlign w:val="top"/>
          </w:tcPr>
          <w:p w14:paraId="6CBACADE">
            <w:pPr>
              <w:pStyle w:val="37"/>
              <w:spacing w:before="65" w:line="269" w:lineRule="exact"/>
              <w:ind w:left="21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position w:val="1"/>
                <w:sz w:val="24"/>
                <w:szCs w:val="24"/>
                <w:highlight w:val="none"/>
                <w14:textFill>
                  <w14:solidFill>
                    <w14:schemeClr w14:val="tx1"/>
                  </w14:solidFill>
                </w14:textFill>
              </w:rPr>
              <w:t>3</w:t>
            </w:r>
          </w:p>
        </w:tc>
        <w:tc>
          <w:tcPr>
            <w:tcW w:w="1185" w:type="dxa"/>
            <w:vAlign w:val="top"/>
          </w:tcPr>
          <w:p w14:paraId="156356E5">
            <w:pPr>
              <w:pStyle w:val="37"/>
              <w:spacing w:before="61" w:line="22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通信模块</w:t>
            </w:r>
          </w:p>
        </w:tc>
        <w:tc>
          <w:tcPr>
            <w:tcW w:w="852" w:type="dxa"/>
            <w:vAlign w:val="top"/>
          </w:tcPr>
          <w:p w14:paraId="2DC91A62">
            <w:pPr>
              <w:pStyle w:val="37"/>
              <w:spacing w:before="65" w:line="22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通信模块</w:t>
            </w:r>
            <w:r>
              <w:rPr>
                <w:rFonts w:hint="eastAsia" w:ascii="仿宋" w:hAnsi="仿宋" w:eastAsia="仿宋" w:cs="仿宋"/>
                <w:color w:val="000000" w:themeColor="text1"/>
                <w:spacing w:val="-6"/>
                <w:sz w:val="24"/>
                <w:szCs w:val="24"/>
                <w:highlight w:val="none"/>
                <w14:textFill>
                  <w14:solidFill>
                    <w14:schemeClr w14:val="tx1"/>
                  </w14:solidFill>
                </w14:textFill>
              </w:rPr>
              <w:t>(5G)</w:t>
            </w:r>
          </w:p>
        </w:tc>
        <w:tc>
          <w:tcPr>
            <w:tcW w:w="6520" w:type="dxa"/>
            <w:vAlign w:val="top"/>
          </w:tcPr>
          <w:p w14:paraId="0EE5CE6A">
            <w:pPr>
              <w:pStyle w:val="37"/>
              <w:spacing w:before="35" w:line="227" w:lineRule="auto"/>
              <w:ind w:left="12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网络制式：5G（向下兼容4G/3G/2G</w:t>
            </w:r>
            <w:r>
              <w:rPr>
                <w:rFonts w:hint="eastAsia" w:ascii="仿宋" w:hAnsi="仿宋" w:eastAsia="仿宋" w:cs="仿宋"/>
                <w:color w:val="000000" w:themeColor="text1"/>
                <w:spacing w:val="18"/>
                <w:sz w:val="24"/>
                <w:szCs w:val="24"/>
                <w:highlight w:val="none"/>
                <w14:textFill>
                  <w14:solidFill>
                    <w14:schemeClr w14:val="tx1"/>
                  </w14:solidFill>
                </w14:textFill>
              </w:rPr>
              <w:t>）；</w:t>
            </w:r>
            <w:r>
              <w:rPr>
                <w:rFonts w:hint="eastAsia" w:ascii="仿宋" w:hAnsi="仿宋" w:eastAsia="仿宋" w:cs="仿宋"/>
                <w:color w:val="000000" w:themeColor="text1"/>
                <w:spacing w:val="6"/>
                <w:sz w:val="24"/>
                <w:szCs w:val="24"/>
                <w:highlight w:val="none"/>
                <w14:textFill>
                  <w14:solidFill>
                    <w14:schemeClr w14:val="tx1"/>
                  </w14:solidFill>
                </w14:textFill>
              </w:rPr>
              <w:t>接口：4G/5G天线接口；供电</w:t>
            </w:r>
          </w:p>
          <w:p w14:paraId="4B549DD7">
            <w:pPr>
              <w:pStyle w:val="37"/>
              <w:spacing w:before="24" w:line="239" w:lineRule="auto"/>
              <w:ind w:left="112" w:right="50" w:firstLine="2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电源：5V～36VDC；功耗：空闲状态（联网无数据收发≤360mA@12VDC，</w:t>
            </w:r>
            <w:r>
              <w:rPr>
                <w:rFonts w:hint="eastAsia" w:ascii="仿宋" w:hAnsi="仿宋" w:eastAsia="仿宋" w:cs="仿宋"/>
                <w:color w:val="000000" w:themeColor="text1"/>
                <w:spacing w:val="4"/>
                <w:sz w:val="24"/>
                <w:szCs w:val="24"/>
                <w:highlight w:val="none"/>
                <w14:textFill>
                  <w14:solidFill>
                    <w14:schemeClr w14:val="tx1"/>
                  </w14:solidFill>
                </w14:textFill>
              </w:rPr>
              <w:t>典型值（联网收发数据）≤1000</w:t>
            </w:r>
            <w:r>
              <w:rPr>
                <w:rFonts w:hint="eastAsia" w:ascii="仿宋" w:hAnsi="仿宋" w:eastAsia="仿宋" w:cs="仿宋"/>
                <w:color w:val="000000" w:themeColor="text1"/>
                <w:sz w:val="24"/>
                <w:szCs w:val="24"/>
                <w:highlight w:val="none"/>
                <w14:textFill>
                  <w14:solidFill>
                    <w14:schemeClr w14:val="tx1"/>
                  </w14:solidFill>
                </w14:textFill>
              </w:rPr>
              <w:t>mA</w:t>
            </w:r>
            <w:r>
              <w:rPr>
                <w:rFonts w:hint="eastAsia" w:ascii="仿宋" w:hAnsi="仿宋" w:eastAsia="仿宋" w:cs="仿宋"/>
                <w:color w:val="000000" w:themeColor="text1"/>
                <w:spacing w:val="4"/>
                <w:sz w:val="24"/>
                <w:szCs w:val="24"/>
                <w:highlight w:val="none"/>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VDC</w:t>
            </w:r>
            <w:r>
              <w:rPr>
                <w:rFonts w:hint="eastAsia" w:ascii="仿宋" w:hAnsi="仿宋" w:eastAsia="仿宋" w:cs="仿宋"/>
                <w:color w:val="000000" w:themeColor="text1"/>
                <w:spacing w:val="4"/>
                <w:sz w:val="24"/>
                <w:szCs w:val="24"/>
                <w:highlight w:val="none"/>
                <w14:textFill>
                  <w14:solidFill>
                    <w14:schemeClr w14:val="tx1"/>
                  </w14:solidFill>
                </w14:textFill>
              </w:rPr>
              <w:t>，最大功耗≤1300</w:t>
            </w:r>
            <w:r>
              <w:rPr>
                <w:rFonts w:hint="eastAsia" w:ascii="仿宋" w:hAnsi="仿宋" w:eastAsia="仿宋" w:cs="仿宋"/>
                <w:color w:val="000000" w:themeColor="text1"/>
                <w:sz w:val="24"/>
                <w:szCs w:val="24"/>
                <w:highlight w:val="none"/>
                <w14:textFill>
                  <w14:solidFill>
                    <w14:schemeClr w14:val="tx1"/>
                  </w14:solidFill>
                </w14:textFill>
              </w:rPr>
              <w:t>mA</w:t>
            </w:r>
            <w:r>
              <w:rPr>
                <w:rFonts w:hint="eastAsia" w:ascii="仿宋" w:hAnsi="仿宋" w:eastAsia="仿宋" w:cs="仿宋"/>
                <w:color w:val="000000" w:themeColor="text1"/>
                <w:spacing w:val="4"/>
                <w:sz w:val="24"/>
                <w:szCs w:val="24"/>
                <w:highlight w:val="none"/>
                <w14:textFill>
                  <w14:solidFill>
                    <w14:schemeClr w14:val="tx1"/>
                  </w14:solidFill>
                </w14:textFill>
              </w:rPr>
              <w:t>@12</w:t>
            </w:r>
            <w:r>
              <w:rPr>
                <w:rFonts w:hint="eastAsia" w:ascii="仿宋" w:hAnsi="仿宋" w:eastAsia="仿宋" w:cs="仿宋"/>
                <w:color w:val="000000" w:themeColor="text1"/>
                <w:sz w:val="24"/>
                <w:szCs w:val="24"/>
                <w:highlight w:val="none"/>
                <w14:textFill>
                  <w14:solidFill>
                    <w14:schemeClr w14:val="tx1"/>
                  </w14:solidFill>
                </w14:textFill>
              </w:rPr>
              <w:t>VDC</w:t>
            </w:r>
            <w:r>
              <w:rPr>
                <w:rFonts w:hint="eastAsia" w:ascii="仿宋" w:hAnsi="仿宋" w:eastAsia="仿宋" w:cs="仿宋"/>
                <w:color w:val="000000" w:themeColor="text1"/>
                <w:spacing w:val="4"/>
                <w:sz w:val="24"/>
                <w:szCs w:val="24"/>
                <w:highlight w:val="none"/>
                <w14:textFill>
                  <w14:solidFill>
                    <w14:schemeClr w14:val="tx1"/>
                  </w14:solidFill>
                </w14:textFill>
              </w:rPr>
              <w:t>；</w:t>
            </w:r>
            <w:r>
              <w:rPr>
                <w:rFonts w:hint="eastAsia" w:ascii="仿宋" w:hAnsi="仿宋" w:eastAsia="仿宋" w:cs="仿宋"/>
                <w:color w:val="000000" w:themeColor="text1"/>
                <w:spacing w:val="6"/>
                <w:sz w:val="24"/>
                <w:szCs w:val="24"/>
                <w:highlight w:val="none"/>
                <w14:textFill>
                  <w14:solidFill>
                    <w14:schemeClr w14:val="tx1"/>
                  </w14:solidFill>
                </w14:textFill>
              </w:rPr>
              <w:t>工作温度：-30～+75ºC；相对湿度：</w:t>
            </w:r>
            <w:r>
              <w:rPr>
                <w:rFonts w:hint="eastAsia" w:ascii="仿宋" w:hAnsi="仿宋" w:eastAsia="仿宋" w:cs="仿宋"/>
                <w:color w:val="000000" w:themeColor="text1"/>
                <w:spacing w:val="-6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6"/>
                <w:sz w:val="24"/>
                <w:szCs w:val="24"/>
                <w:highlight w:val="none"/>
                <w14:textFill>
                  <w14:solidFill>
                    <w14:schemeClr w14:val="tx1"/>
                  </w14:solidFill>
                </w14:textFill>
              </w:rPr>
              <w:t>≤95%（</w:t>
            </w:r>
            <w:r>
              <w:rPr>
                <w:rFonts w:hint="eastAsia" w:ascii="仿宋" w:hAnsi="仿宋" w:eastAsia="仿宋" w:cs="仿宋"/>
                <w:color w:val="000000" w:themeColor="text1"/>
                <w:spacing w:val="5"/>
                <w:sz w:val="24"/>
                <w:szCs w:val="24"/>
                <w:highlight w:val="none"/>
                <w14:textFill>
                  <w14:solidFill>
                    <w14:schemeClr w14:val="tx1"/>
                  </w14:solidFill>
                </w14:textFill>
              </w:rPr>
              <w:t>无凝结）。</w:t>
            </w:r>
          </w:p>
        </w:tc>
      </w:tr>
      <w:tr w14:paraId="0AF0D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8" w:hRule="atLeast"/>
        </w:trPr>
        <w:tc>
          <w:tcPr>
            <w:tcW w:w="533" w:type="dxa"/>
            <w:vMerge w:val="restart"/>
            <w:tcBorders>
              <w:bottom w:val="nil"/>
            </w:tcBorders>
            <w:vAlign w:val="top"/>
          </w:tcPr>
          <w:p w14:paraId="53CAB0BA">
            <w:pPr>
              <w:pStyle w:val="37"/>
              <w:spacing w:before="65" w:line="270" w:lineRule="exact"/>
              <w:ind w:left="21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position w:val="1"/>
                <w:sz w:val="24"/>
                <w:szCs w:val="24"/>
                <w:highlight w:val="none"/>
                <w14:textFill>
                  <w14:solidFill>
                    <w14:schemeClr w14:val="tx1"/>
                  </w14:solidFill>
                </w14:textFill>
              </w:rPr>
              <w:t>4</w:t>
            </w:r>
          </w:p>
        </w:tc>
        <w:tc>
          <w:tcPr>
            <w:tcW w:w="1185" w:type="dxa"/>
            <w:vMerge w:val="restart"/>
            <w:tcBorders>
              <w:bottom w:val="nil"/>
            </w:tcBorders>
            <w:vAlign w:val="top"/>
          </w:tcPr>
          <w:p w14:paraId="39B65555">
            <w:pPr>
              <w:pStyle w:val="37"/>
              <w:spacing w:before="181" w:line="252" w:lineRule="auto"/>
              <w:ind w:right="14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电源</w:t>
            </w:r>
            <w:r>
              <w:rPr>
                <w:rFonts w:hint="eastAsia" w:ascii="仿宋" w:hAnsi="仿宋" w:eastAsia="仿宋" w:cs="仿宋"/>
                <w:color w:val="000000" w:themeColor="text1"/>
                <w:spacing w:val="2"/>
                <w:sz w:val="24"/>
                <w:szCs w:val="24"/>
                <w:highlight w:val="none"/>
                <w14:textFill>
                  <w14:solidFill>
                    <w14:schemeClr w14:val="tx1"/>
                  </w14:solidFill>
                </w14:textFill>
              </w:rPr>
              <w:t>系统</w:t>
            </w:r>
          </w:p>
        </w:tc>
        <w:tc>
          <w:tcPr>
            <w:tcW w:w="852" w:type="dxa"/>
            <w:vAlign w:val="top"/>
          </w:tcPr>
          <w:p w14:paraId="571C85D5">
            <w:pPr>
              <w:pStyle w:val="37"/>
              <w:spacing w:before="37" w:line="213"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蓄电池</w:t>
            </w:r>
          </w:p>
        </w:tc>
        <w:tc>
          <w:tcPr>
            <w:tcW w:w="6520" w:type="dxa"/>
            <w:vAlign w:val="top"/>
          </w:tcPr>
          <w:p w14:paraId="6BF96DC6">
            <w:pPr>
              <w:pStyle w:val="37"/>
              <w:spacing w:before="37" w:line="213" w:lineRule="auto"/>
              <w:ind w:left="11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铅酸免维护可充电，12V38</w:t>
            </w:r>
            <w:r>
              <w:rPr>
                <w:rFonts w:hint="eastAsia" w:ascii="仿宋" w:hAnsi="仿宋" w:eastAsia="仿宋" w:cs="仿宋"/>
                <w:color w:val="000000" w:themeColor="text1"/>
                <w:sz w:val="24"/>
                <w:szCs w:val="24"/>
                <w:highlight w:val="none"/>
                <w14:textFill>
                  <w14:solidFill>
                    <w14:schemeClr w14:val="tx1"/>
                  </w14:solidFill>
                </w14:textFill>
              </w:rPr>
              <w:t>AH</w:t>
            </w:r>
            <w:r>
              <w:rPr>
                <w:rFonts w:hint="eastAsia" w:ascii="仿宋" w:hAnsi="仿宋" w:eastAsia="仿宋" w:cs="仿宋"/>
                <w:color w:val="000000" w:themeColor="text1"/>
                <w:spacing w:val="7"/>
                <w:sz w:val="24"/>
                <w:szCs w:val="24"/>
                <w:highlight w:val="none"/>
                <w14:textFill>
                  <w14:solidFill>
                    <w14:schemeClr w14:val="tx1"/>
                  </w14:solidFill>
                </w14:textFill>
              </w:rPr>
              <w:t>（阴雨天较多区域选择</w:t>
            </w:r>
            <w:r>
              <w:rPr>
                <w:rFonts w:hint="eastAsia" w:ascii="仿宋" w:hAnsi="仿宋" w:eastAsia="仿宋" w:cs="仿宋"/>
                <w:color w:val="000000" w:themeColor="text1"/>
                <w:spacing w:val="-8"/>
                <w:sz w:val="24"/>
                <w:szCs w:val="24"/>
                <w:highlight w:val="none"/>
                <w14:textFill>
                  <w14:solidFill>
                    <w14:schemeClr w14:val="tx1"/>
                  </w14:solidFill>
                </w14:textFill>
              </w:rPr>
              <w:t xml:space="preserve"> </w:t>
            </w:r>
            <w:r>
              <w:rPr>
                <w:rFonts w:hint="eastAsia" w:ascii="仿宋" w:hAnsi="仿宋" w:eastAsia="仿宋" w:cs="仿宋"/>
                <w:color w:val="000000" w:themeColor="text1"/>
                <w:spacing w:val="7"/>
                <w:sz w:val="24"/>
                <w:szCs w:val="24"/>
                <w:highlight w:val="none"/>
                <w14:textFill>
                  <w14:solidFill>
                    <w14:schemeClr w14:val="tx1"/>
                  </w14:solidFill>
                </w14:textFill>
              </w:rPr>
              <w:t>12V65</w:t>
            </w:r>
            <w:r>
              <w:rPr>
                <w:rFonts w:hint="eastAsia" w:ascii="仿宋" w:hAnsi="仿宋" w:eastAsia="仿宋" w:cs="仿宋"/>
                <w:color w:val="000000" w:themeColor="text1"/>
                <w:sz w:val="24"/>
                <w:szCs w:val="24"/>
                <w:highlight w:val="none"/>
                <w14:textFill>
                  <w14:solidFill>
                    <w14:schemeClr w14:val="tx1"/>
                  </w14:solidFill>
                </w14:textFill>
              </w:rPr>
              <w:t>AH</w:t>
            </w:r>
            <w:r>
              <w:rPr>
                <w:rFonts w:hint="eastAsia" w:ascii="仿宋" w:hAnsi="仿宋" w:eastAsia="仿宋" w:cs="仿宋"/>
                <w:color w:val="000000" w:themeColor="text1"/>
                <w:spacing w:val="7"/>
                <w:sz w:val="24"/>
                <w:szCs w:val="24"/>
                <w:highlight w:val="none"/>
                <w14:textFill>
                  <w14:solidFill>
                    <w14:schemeClr w14:val="tx1"/>
                  </w14:solidFill>
                </w14:textFill>
              </w:rPr>
              <w:t>）</w:t>
            </w:r>
          </w:p>
        </w:tc>
      </w:tr>
      <w:tr w14:paraId="372F9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8" w:hRule="atLeast"/>
        </w:trPr>
        <w:tc>
          <w:tcPr>
            <w:tcW w:w="533" w:type="dxa"/>
            <w:vMerge w:val="continue"/>
            <w:tcBorders>
              <w:top w:val="nil"/>
            </w:tcBorders>
            <w:vAlign w:val="top"/>
          </w:tcPr>
          <w:p w14:paraId="28C6CACD">
            <w:pPr>
              <w:rPr>
                <w:rFonts w:hint="eastAsia" w:ascii="仿宋" w:hAnsi="仿宋" w:eastAsia="仿宋" w:cs="仿宋"/>
                <w:color w:val="000000" w:themeColor="text1"/>
                <w:sz w:val="24"/>
                <w:szCs w:val="24"/>
                <w:highlight w:val="none"/>
                <w14:textFill>
                  <w14:solidFill>
                    <w14:schemeClr w14:val="tx1"/>
                  </w14:solidFill>
                </w14:textFill>
              </w:rPr>
            </w:pPr>
          </w:p>
        </w:tc>
        <w:tc>
          <w:tcPr>
            <w:tcW w:w="1185" w:type="dxa"/>
            <w:vMerge w:val="continue"/>
            <w:tcBorders>
              <w:top w:val="nil"/>
            </w:tcBorders>
            <w:vAlign w:val="top"/>
          </w:tcPr>
          <w:p w14:paraId="10746B59">
            <w:pPr>
              <w:rPr>
                <w:rFonts w:hint="eastAsia" w:ascii="仿宋" w:hAnsi="仿宋" w:eastAsia="仿宋" w:cs="仿宋"/>
                <w:color w:val="000000" w:themeColor="text1"/>
                <w:sz w:val="24"/>
                <w:szCs w:val="24"/>
                <w:highlight w:val="none"/>
                <w14:textFill>
                  <w14:solidFill>
                    <w14:schemeClr w14:val="tx1"/>
                  </w14:solidFill>
                </w14:textFill>
              </w:rPr>
            </w:pPr>
          </w:p>
        </w:tc>
        <w:tc>
          <w:tcPr>
            <w:tcW w:w="852" w:type="dxa"/>
            <w:vAlign w:val="top"/>
          </w:tcPr>
          <w:p w14:paraId="5A37AD21">
            <w:pPr>
              <w:pStyle w:val="37"/>
              <w:spacing w:before="36" w:line="227" w:lineRule="auto"/>
              <w:ind w:left="13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太阳能板及</w:t>
            </w:r>
            <w:r>
              <w:rPr>
                <w:rFonts w:hint="eastAsia" w:ascii="仿宋" w:hAnsi="仿宋" w:eastAsia="仿宋" w:cs="仿宋"/>
                <w:color w:val="000000" w:themeColor="text1"/>
                <w:spacing w:val="7"/>
                <w:sz w:val="24"/>
                <w:szCs w:val="24"/>
                <w:highlight w:val="none"/>
                <w14:textFill>
                  <w14:solidFill>
                    <w14:schemeClr w14:val="tx1"/>
                  </w14:solidFill>
                </w14:textFill>
              </w:rPr>
              <w:t>充电控制器</w:t>
            </w:r>
          </w:p>
        </w:tc>
        <w:tc>
          <w:tcPr>
            <w:tcW w:w="6520" w:type="dxa"/>
            <w:vAlign w:val="top"/>
          </w:tcPr>
          <w:p w14:paraId="2C2760FD">
            <w:pPr>
              <w:pStyle w:val="37"/>
              <w:spacing w:before="171" w:line="228" w:lineRule="auto"/>
              <w:ind w:left="1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单晶硅</w:t>
            </w:r>
            <w:r>
              <w:rPr>
                <w:rFonts w:hint="eastAsia" w:ascii="仿宋" w:hAnsi="仿宋" w:eastAsia="仿宋" w:cs="仿宋"/>
                <w:color w:val="000000" w:themeColor="text1"/>
                <w:spacing w:val="-38"/>
                <w:sz w:val="24"/>
                <w:szCs w:val="24"/>
                <w:highlight w:val="none"/>
                <w14:textFill>
                  <w14:solidFill>
                    <w14:schemeClr w14:val="tx1"/>
                  </w14:solidFill>
                </w14:textFill>
              </w:rPr>
              <w:t xml:space="preserve"> </w:t>
            </w:r>
            <w:r>
              <w:rPr>
                <w:rFonts w:hint="eastAsia" w:ascii="仿宋" w:hAnsi="仿宋" w:eastAsia="仿宋" w:cs="仿宋"/>
                <w:color w:val="000000" w:themeColor="text1"/>
                <w:spacing w:val="4"/>
                <w:sz w:val="24"/>
                <w:szCs w:val="24"/>
                <w:highlight w:val="none"/>
                <w14:textFill>
                  <w14:solidFill>
                    <w14:schemeClr w14:val="tx1"/>
                  </w14:solidFill>
                </w14:textFill>
              </w:rPr>
              <w:t>42W</w:t>
            </w:r>
          </w:p>
        </w:tc>
      </w:tr>
      <w:tr w14:paraId="345F2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1" w:hRule="atLeast"/>
        </w:trPr>
        <w:tc>
          <w:tcPr>
            <w:tcW w:w="533" w:type="dxa"/>
            <w:vAlign w:val="top"/>
          </w:tcPr>
          <w:p w14:paraId="2EA8B939">
            <w:pPr>
              <w:pStyle w:val="37"/>
              <w:spacing w:before="65" w:line="268" w:lineRule="exact"/>
              <w:ind w:left="21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position w:val="1"/>
                <w:sz w:val="24"/>
                <w:szCs w:val="24"/>
                <w:highlight w:val="none"/>
                <w14:textFill>
                  <w14:solidFill>
                    <w14:schemeClr w14:val="tx1"/>
                  </w14:solidFill>
                </w14:textFill>
              </w:rPr>
              <w:t>5</w:t>
            </w:r>
          </w:p>
        </w:tc>
        <w:tc>
          <w:tcPr>
            <w:tcW w:w="1185" w:type="dxa"/>
            <w:vAlign w:val="top"/>
          </w:tcPr>
          <w:p w14:paraId="4B061416">
            <w:pPr>
              <w:pStyle w:val="37"/>
              <w:spacing w:before="65" w:line="228" w:lineRule="auto"/>
              <w:ind w:left="143"/>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避雷</w:t>
            </w:r>
          </w:p>
        </w:tc>
        <w:tc>
          <w:tcPr>
            <w:tcW w:w="852" w:type="dxa"/>
            <w:vAlign w:val="top"/>
          </w:tcPr>
          <w:p w14:paraId="6F0DE889">
            <w:pPr>
              <w:pStyle w:val="37"/>
              <w:spacing w:before="65" w:line="228"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信号避雷器</w:t>
            </w:r>
          </w:p>
        </w:tc>
        <w:tc>
          <w:tcPr>
            <w:tcW w:w="6520" w:type="dxa"/>
            <w:vAlign w:val="top"/>
          </w:tcPr>
          <w:p w14:paraId="27077B42">
            <w:pPr>
              <w:pStyle w:val="37"/>
              <w:spacing w:before="65" w:line="227" w:lineRule="auto"/>
              <w:ind w:left="10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9"/>
                <w:sz w:val="24"/>
                <w:szCs w:val="24"/>
                <w:highlight w:val="none"/>
                <w14:textFill>
                  <w14:solidFill>
                    <w14:schemeClr w14:val="tx1"/>
                  </w14:solidFill>
                </w14:textFill>
              </w:rPr>
              <w:t>传感器信号、通讯信号、直流电源</w:t>
            </w:r>
          </w:p>
        </w:tc>
      </w:tr>
      <w:tr w14:paraId="6B4D5E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7" w:hRule="atLeast"/>
        </w:trPr>
        <w:tc>
          <w:tcPr>
            <w:tcW w:w="533" w:type="dxa"/>
            <w:vAlign w:val="top"/>
          </w:tcPr>
          <w:p w14:paraId="3BC0DF1D">
            <w:pPr>
              <w:pStyle w:val="37"/>
              <w:spacing w:before="174" w:line="268" w:lineRule="exact"/>
              <w:ind w:left="217"/>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position w:val="1"/>
                <w:sz w:val="24"/>
                <w:szCs w:val="24"/>
                <w:highlight w:val="none"/>
                <w14:textFill>
                  <w14:solidFill>
                    <w14:schemeClr w14:val="tx1"/>
                  </w14:solidFill>
                </w14:textFill>
              </w:rPr>
              <w:t>6</w:t>
            </w:r>
          </w:p>
        </w:tc>
        <w:tc>
          <w:tcPr>
            <w:tcW w:w="1185" w:type="dxa"/>
            <w:vAlign w:val="top"/>
          </w:tcPr>
          <w:p w14:paraId="747E74BA">
            <w:pPr>
              <w:pStyle w:val="37"/>
              <w:spacing w:before="173" w:line="230" w:lineRule="auto"/>
              <w:ind w:left="145"/>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基座</w:t>
            </w:r>
          </w:p>
        </w:tc>
        <w:tc>
          <w:tcPr>
            <w:tcW w:w="852" w:type="dxa"/>
            <w:vAlign w:val="top"/>
          </w:tcPr>
          <w:p w14:paraId="3EBBB9D0">
            <w:pPr>
              <w:rPr>
                <w:rFonts w:hint="eastAsia" w:ascii="仿宋" w:hAnsi="仿宋" w:eastAsia="仿宋" w:cs="仿宋"/>
                <w:color w:val="000000" w:themeColor="text1"/>
                <w:sz w:val="24"/>
                <w:szCs w:val="24"/>
                <w:highlight w:val="none"/>
                <w14:textFill>
                  <w14:solidFill>
                    <w14:schemeClr w14:val="tx1"/>
                  </w14:solidFill>
                </w14:textFill>
              </w:rPr>
            </w:pPr>
          </w:p>
        </w:tc>
        <w:tc>
          <w:tcPr>
            <w:tcW w:w="6520" w:type="dxa"/>
            <w:vAlign w:val="top"/>
          </w:tcPr>
          <w:p w14:paraId="46D549AD">
            <w:pPr>
              <w:pStyle w:val="37"/>
              <w:spacing w:before="39" w:line="234" w:lineRule="auto"/>
              <w:ind w:left="111" w:right="110" w:hanging="2"/>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0"/>
                <w:sz w:val="24"/>
                <w:szCs w:val="24"/>
                <w:highlight w:val="none"/>
                <w14:textFill>
                  <w14:solidFill>
                    <w14:schemeClr w14:val="tx1"/>
                  </w14:solidFill>
                </w14:textFill>
              </w:rPr>
              <w:t>在平房顶用混凝土预制雨量计安装基座，并</w:t>
            </w:r>
            <w:r>
              <w:rPr>
                <w:rFonts w:hint="eastAsia" w:ascii="仿宋" w:hAnsi="仿宋" w:eastAsia="仿宋" w:cs="仿宋"/>
                <w:color w:val="000000" w:themeColor="text1"/>
                <w:spacing w:val="9"/>
                <w:sz w:val="24"/>
                <w:szCs w:val="24"/>
                <w:highlight w:val="none"/>
                <w14:textFill>
                  <w14:solidFill>
                    <w14:schemeClr w14:val="tx1"/>
                  </w14:solidFill>
                </w14:textFill>
              </w:rPr>
              <w:t>需满足观测环境的建设要</w:t>
            </w:r>
            <w:r>
              <w:rPr>
                <w:rFonts w:hint="eastAsia" w:ascii="仿宋" w:hAnsi="仿宋" w:eastAsia="仿宋" w:cs="仿宋"/>
                <w:color w:val="000000" w:themeColor="text1"/>
                <w:sz w:val="24"/>
                <w:szCs w:val="24"/>
                <w:highlight w:val="none"/>
                <w14:textFill>
                  <w14:solidFill>
                    <w14:schemeClr w14:val="tx1"/>
                  </w14:solidFill>
                </w14:textFill>
              </w:rPr>
              <w:t xml:space="preserve"> 求</w:t>
            </w:r>
          </w:p>
        </w:tc>
      </w:tr>
    </w:tbl>
    <w:p w14:paraId="33AA86C4">
      <w:pPr>
        <w:spacing w:before="240" w:line="219" w:lineRule="auto"/>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pPr>
    </w:p>
    <w:p w14:paraId="2AE1EC3C">
      <w:pPr>
        <w:spacing w:before="240" w:line="219" w:lineRule="auto"/>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pPr>
    </w:p>
    <w:p w14:paraId="0AB7A916">
      <w:pP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br w:type="page"/>
      </w:r>
    </w:p>
    <w:p w14:paraId="09CCFF61">
      <w:pPr>
        <w:spacing w:before="240" w:line="219"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lang w:val="en-US" w:eastAsia="zh-CN"/>
          <w14:textFill>
            <w14:solidFill>
              <w14:schemeClr w14:val="tx1"/>
            </w14:solidFill>
          </w14:textFill>
        </w:rPr>
        <w:t>2、</w:t>
      </w:r>
      <w:r>
        <w:rPr>
          <w:rFonts w:hint="eastAsia" w:ascii="仿宋" w:hAnsi="仿宋" w:eastAsia="仿宋" w:cs="仿宋"/>
          <w:b/>
          <w:bCs/>
          <w:color w:val="000000" w:themeColor="text1"/>
          <w:spacing w:val="-3"/>
          <w:sz w:val="24"/>
          <w:szCs w:val="24"/>
          <w:highlight w:val="none"/>
          <w14:textFill>
            <w14:solidFill>
              <w14:schemeClr w14:val="tx1"/>
            </w14:solidFill>
          </w14:textFill>
        </w:rPr>
        <w:t>现地监测预警设备技术参数表</w:t>
      </w:r>
    </w:p>
    <w:p w14:paraId="396927A4">
      <w:pPr>
        <w:spacing w:line="39" w:lineRule="exact"/>
        <w:rPr>
          <w:rFonts w:hint="eastAsia" w:ascii="仿宋" w:hAnsi="仿宋" w:eastAsia="仿宋" w:cs="仿宋"/>
          <w:color w:val="000000" w:themeColor="text1"/>
          <w:highlight w:val="none"/>
          <w14:textFill>
            <w14:solidFill>
              <w14:schemeClr w14:val="tx1"/>
            </w14:solidFill>
          </w14:textFill>
        </w:rPr>
      </w:pPr>
    </w:p>
    <w:tbl>
      <w:tblPr>
        <w:tblStyle w:val="28"/>
        <w:tblW w:w="885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2"/>
        <w:gridCol w:w="4870"/>
        <w:gridCol w:w="3319"/>
      </w:tblGrid>
      <w:tr w14:paraId="3248CD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662" w:type="dxa"/>
            <w:vAlign w:val="top"/>
          </w:tcPr>
          <w:p w14:paraId="36549943">
            <w:pPr>
              <w:pStyle w:val="37"/>
              <w:spacing w:before="36" w:line="215" w:lineRule="auto"/>
              <w:ind w:left="13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设备</w:t>
            </w:r>
          </w:p>
        </w:tc>
        <w:tc>
          <w:tcPr>
            <w:tcW w:w="4870" w:type="dxa"/>
            <w:vAlign w:val="top"/>
          </w:tcPr>
          <w:p w14:paraId="5C6D0974">
            <w:pPr>
              <w:pStyle w:val="37"/>
              <w:spacing w:before="36" w:line="215" w:lineRule="auto"/>
              <w:ind w:left="167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功能要求</w:t>
            </w:r>
          </w:p>
        </w:tc>
        <w:tc>
          <w:tcPr>
            <w:tcW w:w="3319" w:type="dxa"/>
            <w:vAlign w:val="top"/>
          </w:tcPr>
          <w:p w14:paraId="01576B58">
            <w:pPr>
              <w:pStyle w:val="37"/>
              <w:spacing w:before="36" w:line="215" w:lineRule="auto"/>
              <w:ind w:left="163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技术参数</w:t>
            </w:r>
          </w:p>
        </w:tc>
      </w:tr>
      <w:tr w14:paraId="68FA0A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2" w:hRule="atLeast"/>
        </w:trPr>
        <w:tc>
          <w:tcPr>
            <w:tcW w:w="662" w:type="dxa"/>
            <w:textDirection w:val="tbRlV"/>
            <w:vAlign w:val="top"/>
          </w:tcPr>
          <w:p w14:paraId="6C0A73D7">
            <w:pPr>
              <w:pStyle w:val="37"/>
              <w:spacing w:before="208" w:line="209" w:lineRule="auto"/>
              <w:ind w:left="164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1"/>
                <w:w w:val="117"/>
                <w:sz w:val="24"/>
                <w:szCs w:val="24"/>
                <w:highlight w:val="none"/>
                <w14:textFill>
                  <w14:solidFill>
                    <w14:schemeClr w14:val="tx1"/>
                  </w14:solidFill>
                </w14:textFill>
              </w:rPr>
              <w:t>现地监测预警设备</w:t>
            </w:r>
          </w:p>
        </w:tc>
        <w:tc>
          <w:tcPr>
            <w:tcW w:w="4870" w:type="dxa"/>
            <w:vAlign w:val="top"/>
          </w:tcPr>
          <w:p w14:paraId="311D8821">
            <w:pPr>
              <w:pStyle w:val="37"/>
              <w:spacing w:before="33"/>
              <w:ind w:left="113" w:right="116" w:firstLine="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（1）语音呼叫：具有语音呼叫功能，支持以</w:t>
            </w:r>
            <w:r>
              <w:rPr>
                <w:rFonts w:hint="eastAsia" w:ascii="仿宋" w:hAnsi="仿宋" w:eastAsia="仿宋" w:cs="仿宋"/>
                <w:color w:val="000000" w:themeColor="text1"/>
                <w:spacing w:val="9"/>
                <w:sz w:val="24"/>
                <w:szCs w:val="24"/>
                <w:highlight w:val="none"/>
                <w14:textFill>
                  <w14:solidFill>
                    <w14:schemeClr w14:val="tx1"/>
                  </w14:solidFill>
                </w14:textFill>
              </w:rPr>
              <w:t>户为单位进行单呼和以组为单位进行组呼；</w:t>
            </w:r>
          </w:p>
          <w:p w14:paraId="65CA62BB">
            <w:pPr>
              <w:pStyle w:val="37"/>
              <w:spacing w:before="21" w:line="241" w:lineRule="auto"/>
              <w:ind w:left="114" w:right="165" w:firstLine="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（2）组户管理：具有组和户二级管理机制，</w:t>
            </w:r>
            <w:r>
              <w:rPr>
                <w:rFonts w:hint="eastAsia" w:ascii="仿宋" w:hAnsi="仿宋" w:eastAsia="仿宋" w:cs="仿宋"/>
                <w:color w:val="000000" w:themeColor="text1"/>
                <w:spacing w:val="8"/>
                <w:sz w:val="24"/>
                <w:szCs w:val="24"/>
                <w:highlight w:val="none"/>
                <w14:textFill>
                  <w14:solidFill>
                    <w14:schemeClr w14:val="tx1"/>
                  </w14:solidFill>
                </w14:textFill>
              </w:rPr>
              <w:t>可对接入的预警对象进行管理；</w:t>
            </w:r>
          </w:p>
          <w:p w14:paraId="30229C5C">
            <w:pPr>
              <w:pStyle w:val="37"/>
              <w:spacing w:before="24"/>
              <w:ind w:left="114" w:right="104" w:firstLine="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（3）一键报警：可通过近地无线</w:t>
            </w:r>
            <w:r>
              <w:rPr>
                <w:rFonts w:hint="eastAsia" w:ascii="仿宋" w:hAnsi="仿宋" w:eastAsia="仿宋" w:cs="仿宋"/>
                <w:color w:val="000000" w:themeColor="text1"/>
                <w:spacing w:val="-40"/>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MESH</w:t>
            </w:r>
            <w:r>
              <w:rPr>
                <w:rFonts w:hint="eastAsia" w:ascii="仿宋" w:hAnsi="仿宋" w:eastAsia="仿宋" w:cs="仿宋"/>
                <w:color w:val="000000" w:themeColor="text1"/>
                <w:spacing w:val="2"/>
                <w:sz w:val="24"/>
                <w:szCs w:val="24"/>
                <w:highlight w:val="none"/>
                <w14:textFill>
                  <w14:solidFill>
                    <w14:schemeClr w14:val="tx1"/>
                  </w14:solidFill>
                </w14:textFill>
              </w:rPr>
              <w:t>自组网</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7"/>
                <w:sz w:val="24"/>
                <w:szCs w:val="24"/>
                <w:highlight w:val="none"/>
                <w14:textFill>
                  <w14:solidFill>
                    <w14:schemeClr w14:val="tx1"/>
                  </w14:solidFill>
                </w14:textFill>
              </w:rPr>
              <w:t>按键触发紧急报警；</w:t>
            </w:r>
          </w:p>
          <w:p w14:paraId="087A82EE">
            <w:pPr>
              <w:pStyle w:val="37"/>
              <w:spacing w:before="24"/>
              <w:ind w:left="121" w:right="11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（4）叫应留痕：对每一次叫应操作存储叫应时间、被叫对象、叫应状态信息；</w:t>
            </w:r>
          </w:p>
          <w:p w14:paraId="6B46C78A">
            <w:pPr>
              <w:pStyle w:val="37"/>
              <w:spacing w:before="24"/>
              <w:ind w:left="110" w:right="39" w:firstLine="1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（5）呼叫记录：可查看终端编码、呼叫时间、</w:t>
            </w:r>
            <w:r>
              <w:rPr>
                <w:rFonts w:hint="eastAsia" w:ascii="仿宋" w:hAnsi="仿宋" w:eastAsia="仿宋" w:cs="仿宋"/>
                <w:color w:val="000000" w:themeColor="text1"/>
                <w:spacing w:val="8"/>
                <w:sz w:val="24"/>
                <w:szCs w:val="24"/>
                <w:highlight w:val="none"/>
                <w14:textFill>
                  <w14:solidFill>
                    <w14:schemeClr w14:val="tx1"/>
                  </w14:solidFill>
                </w14:textFill>
              </w:rPr>
              <w:t>送达状态等呼叫记录信息；</w:t>
            </w:r>
          </w:p>
          <w:p w14:paraId="5697D9D8">
            <w:pPr>
              <w:pStyle w:val="37"/>
              <w:spacing w:before="24"/>
              <w:ind w:left="113" w:right="116" w:firstLine="9"/>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（6）叫应管理：可展示同组内的一呼百应户户通设备值守、报警、应答状态；</w:t>
            </w:r>
          </w:p>
          <w:p w14:paraId="68E80290">
            <w:pPr>
              <w:pStyle w:val="37"/>
              <w:spacing w:before="25"/>
              <w:ind w:left="115" w:right="149" w:firstLine="6"/>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7"/>
                <w:sz w:val="24"/>
                <w:szCs w:val="24"/>
                <w:highlight w:val="none"/>
                <w14:textFill>
                  <w14:solidFill>
                    <w14:schemeClr w14:val="tx1"/>
                  </w14:solidFill>
                </w14:textFill>
              </w:rPr>
              <w:t>（7）终端管理：可展示所接入应答的在线、</w:t>
            </w:r>
            <w:r>
              <w:rPr>
                <w:rFonts w:hint="eastAsia" w:ascii="仿宋" w:hAnsi="仿宋" w:eastAsia="仿宋" w:cs="仿宋"/>
                <w:color w:val="000000" w:themeColor="text1"/>
                <w:spacing w:val="5"/>
                <w:sz w:val="24"/>
                <w:szCs w:val="24"/>
                <w:highlight w:val="none"/>
                <w14:textFill>
                  <w14:solidFill>
                    <w14:schemeClr w14:val="tx1"/>
                  </w14:solidFill>
                </w14:textFill>
              </w:rPr>
              <w:t>离线状态；</w:t>
            </w:r>
          </w:p>
          <w:p w14:paraId="7E0B8A3B">
            <w:pPr>
              <w:pStyle w:val="37"/>
              <w:spacing w:before="26"/>
              <w:ind w:left="126" w:right="116" w:hanging="4"/>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（8）呼叫监听：具备监听喇叭可本地监听呼</w:t>
            </w:r>
            <w:r>
              <w:rPr>
                <w:rFonts w:hint="eastAsia" w:ascii="仿宋" w:hAnsi="仿宋" w:eastAsia="仿宋" w:cs="仿宋"/>
                <w:color w:val="000000" w:themeColor="text1"/>
                <w:spacing w:val="1"/>
                <w:sz w:val="24"/>
                <w:szCs w:val="24"/>
                <w:highlight w:val="none"/>
                <w14:textFill>
                  <w14:solidFill>
                    <w14:schemeClr w14:val="tx1"/>
                  </w14:solidFill>
                </w14:textFill>
              </w:rPr>
              <w:t>叫语音；</w:t>
            </w:r>
          </w:p>
          <w:p w14:paraId="58EC5301">
            <w:pPr>
              <w:pStyle w:val="37"/>
              <w:spacing w:before="26"/>
              <w:ind w:left="123" w:right="116" w:hanging="1"/>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8"/>
                <w:sz w:val="24"/>
                <w:szCs w:val="24"/>
                <w:highlight w:val="none"/>
                <w14:textFill>
                  <w14:solidFill>
                    <w14:schemeClr w14:val="tx1"/>
                  </w14:solidFill>
                </w14:textFill>
              </w:rPr>
              <w:t>（9）权限控制：具有呼叫权限控制，可根按</w:t>
            </w:r>
            <w:r>
              <w:rPr>
                <w:rFonts w:hint="eastAsia" w:ascii="仿宋" w:hAnsi="仿宋" w:eastAsia="仿宋" w:cs="仿宋"/>
                <w:color w:val="000000" w:themeColor="text1"/>
                <w:spacing w:val="15"/>
                <w:sz w:val="24"/>
                <w:szCs w:val="24"/>
                <w:highlight w:val="none"/>
                <w14:textFill>
                  <w14:solidFill>
                    <w14:schemeClr w14:val="tx1"/>
                  </w14:solidFill>
                </w14:textFill>
              </w:rPr>
              <w:t xml:space="preserve"> </w:t>
            </w:r>
            <w:r>
              <w:rPr>
                <w:rFonts w:hint="eastAsia" w:ascii="仿宋" w:hAnsi="仿宋" w:eastAsia="仿宋" w:cs="仿宋"/>
                <w:color w:val="000000" w:themeColor="text1"/>
                <w:spacing w:val="6"/>
                <w:sz w:val="24"/>
                <w:szCs w:val="24"/>
                <w:highlight w:val="none"/>
                <w14:textFill>
                  <w14:solidFill>
                    <w14:schemeClr w14:val="tx1"/>
                  </w14:solidFill>
                </w14:textFill>
              </w:rPr>
              <w:t>需配置呼叫范围；</w:t>
            </w:r>
          </w:p>
          <w:p w14:paraId="34E46264">
            <w:pPr>
              <w:pStyle w:val="37"/>
              <w:spacing w:before="22"/>
              <w:ind w:left="114" w:right="106" w:firstLine="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（10）传输加密：内置安全证书，公网信息采</w:t>
            </w:r>
            <w:r>
              <w:rPr>
                <w:rFonts w:hint="eastAsia" w:ascii="仿宋" w:hAnsi="仿宋" w:eastAsia="仿宋" w:cs="仿宋"/>
                <w:color w:val="000000" w:themeColor="text1"/>
                <w:spacing w:val="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7"/>
                <w:sz w:val="24"/>
                <w:szCs w:val="24"/>
                <w:highlight w:val="none"/>
                <w14:textFill>
                  <w14:solidFill>
                    <w14:schemeClr w14:val="tx1"/>
                  </w14:solidFill>
                </w14:textFill>
              </w:rPr>
              <w:t>用密文格式传输；</w:t>
            </w:r>
          </w:p>
          <w:p w14:paraId="5D2B509C">
            <w:pPr>
              <w:pStyle w:val="37"/>
              <w:spacing w:before="25" w:line="235" w:lineRule="auto"/>
              <w:ind w:left="114" w:right="106" w:firstLine="8"/>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（11）备用电源：内置可充电备用电池，停电</w:t>
            </w:r>
            <w:r>
              <w:rPr>
                <w:rFonts w:hint="eastAsia" w:ascii="仿宋" w:hAnsi="仿宋" w:eastAsia="仿宋" w:cs="仿宋"/>
                <w:color w:val="000000" w:themeColor="text1"/>
                <w:spacing w:val="6"/>
                <w:sz w:val="24"/>
                <w:szCs w:val="24"/>
                <w:highlight w:val="none"/>
                <w14:textFill>
                  <w14:solidFill>
                    <w14:schemeClr w14:val="tx1"/>
                  </w14:solidFill>
                </w14:textFill>
              </w:rPr>
              <w:t>后可无缝切换。。</w:t>
            </w:r>
          </w:p>
        </w:tc>
        <w:tc>
          <w:tcPr>
            <w:tcW w:w="3319" w:type="dxa"/>
            <w:vAlign w:val="top"/>
          </w:tcPr>
          <w:p w14:paraId="1D929C1A">
            <w:pPr>
              <w:pStyle w:val="37"/>
              <w:spacing w:before="61" w:line="229" w:lineRule="auto"/>
              <w:ind w:left="124"/>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（1）外接电源：</w:t>
            </w:r>
            <w:r>
              <w:rPr>
                <w:rFonts w:hint="eastAsia" w:ascii="仿宋" w:hAnsi="仿宋" w:eastAsia="仿宋" w:cs="仿宋"/>
                <w:color w:val="000000" w:themeColor="text1"/>
                <w:sz w:val="24"/>
                <w:szCs w:val="24"/>
                <w:highlight w:val="none"/>
                <w14:textFill>
                  <w14:solidFill>
                    <w14:schemeClr w14:val="tx1"/>
                  </w14:solidFill>
                </w14:textFill>
              </w:rPr>
              <w:t>DC</w:t>
            </w:r>
            <w:r>
              <w:rPr>
                <w:rFonts w:hint="eastAsia" w:ascii="仿宋" w:hAnsi="仿宋" w:eastAsia="仿宋" w:cs="仿宋"/>
                <w:color w:val="000000" w:themeColor="text1"/>
                <w:spacing w:val="6"/>
                <w:sz w:val="24"/>
                <w:szCs w:val="24"/>
                <w:highlight w:val="none"/>
                <w14:textFill>
                  <w14:solidFill>
                    <w14:schemeClr w14:val="tx1"/>
                  </w14:solidFill>
                </w14:textFill>
              </w:rPr>
              <w:t>12V/3A；</w:t>
            </w:r>
          </w:p>
          <w:p w14:paraId="79CCF690">
            <w:pPr>
              <w:pStyle w:val="37"/>
              <w:spacing w:before="23" w:line="228" w:lineRule="auto"/>
              <w:ind w:left="124"/>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9"/>
                <w:sz w:val="24"/>
                <w:szCs w:val="24"/>
                <w:highlight w:val="none"/>
                <w14:textFill>
                  <w14:solidFill>
                    <w14:schemeClr w14:val="tx1"/>
                  </w14:solidFill>
                </w14:textFill>
              </w:rPr>
              <w:t>（2）公网通信：支持4G/</w:t>
            </w:r>
            <w:r>
              <w:rPr>
                <w:rFonts w:hint="eastAsia" w:ascii="仿宋" w:hAnsi="仿宋" w:eastAsia="仿宋" w:cs="仿宋"/>
                <w:color w:val="000000" w:themeColor="text1"/>
                <w:sz w:val="24"/>
                <w:szCs w:val="24"/>
                <w:highlight w:val="none"/>
                <w14:textFill>
                  <w14:solidFill>
                    <w14:schemeClr w14:val="tx1"/>
                  </w14:solidFill>
                </w14:textFill>
              </w:rPr>
              <w:t>WiFi</w:t>
            </w:r>
            <w:r>
              <w:rPr>
                <w:rFonts w:hint="eastAsia" w:ascii="仿宋" w:hAnsi="仿宋" w:eastAsia="仿宋" w:cs="仿宋"/>
                <w:color w:val="000000" w:themeColor="text1"/>
                <w:spacing w:val="9"/>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14:textFill>
                  <w14:solidFill>
                    <w14:schemeClr w14:val="tx1"/>
                  </w14:solidFill>
                </w14:textFill>
              </w:rPr>
              <w:t>Ethernet</w:t>
            </w:r>
            <w:r>
              <w:rPr>
                <w:rFonts w:hint="eastAsia" w:ascii="仿宋" w:hAnsi="仿宋" w:eastAsia="仿宋" w:cs="仿宋"/>
                <w:color w:val="000000" w:themeColor="text1"/>
                <w:spacing w:val="9"/>
                <w:sz w:val="24"/>
                <w:szCs w:val="24"/>
                <w:highlight w:val="none"/>
                <w14:textFill>
                  <w14:solidFill>
                    <w14:schemeClr w14:val="tx1"/>
                  </w14:solidFill>
                </w14:textFill>
              </w:rPr>
              <w:t>；</w:t>
            </w:r>
          </w:p>
          <w:p w14:paraId="1BD02A21">
            <w:pPr>
              <w:pStyle w:val="37"/>
              <w:spacing w:before="22" w:line="228" w:lineRule="auto"/>
              <w:ind w:right="17"/>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3"/>
                <w:sz w:val="24"/>
                <w:szCs w:val="24"/>
                <w:highlight w:val="none"/>
                <w14:textFill>
                  <w14:solidFill>
                    <w14:schemeClr w14:val="tx1"/>
                  </w14:solidFill>
                </w14:textFill>
              </w:rPr>
              <w:t>（3）应急通信：支持近地无线</w:t>
            </w:r>
            <w:r>
              <w:rPr>
                <w:rFonts w:hint="eastAsia" w:ascii="仿宋" w:hAnsi="仿宋" w:eastAsia="仿宋" w:cs="仿宋"/>
                <w:color w:val="000000" w:themeColor="text1"/>
                <w:spacing w:val="-37"/>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MESH</w:t>
            </w:r>
            <w:r>
              <w:rPr>
                <w:rFonts w:hint="eastAsia" w:ascii="仿宋" w:hAnsi="仿宋" w:eastAsia="仿宋" w:cs="仿宋"/>
                <w:color w:val="000000" w:themeColor="text1"/>
                <w:spacing w:val="3"/>
                <w:sz w:val="24"/>
                <w:szCs w:val="24"/>
                <w:highlight w:val="none"/>
                <w14:textFill>
                  <w14:solidFill>
                    <w14:schemeClr w14:val="tx1"/>
                  </w14:solidFill>
                </w14:textFill>
              </w:rPr>
              <w:t>自组网；</w:t>
            </w:r>
          </w:p>
          <w:p w14:paraId="78D21CEF">
            <w:pPr>
              <w:pStyle w:val="37"/>
              <w:spacing w:before="26"/>
              <w:ind w:left="115" w:right="107" w:firstLine="9"/>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4"/>
                <w:sz w:val="24"/>
                <w:szCs w:val="24"/>
                <w:highlight w:val="none"/>
                <w14:textFill>
                  <w14:solidFill>
                    <w14:schemeClr w14:val="tx1"/>
                  </w14:solidFill>
                </w14:textFill>
              </w:rPr>
              <w:t>（4）组网机制：内置</w:t>
            </w:r>
            <w:r>
              <w:rPr>
                <w:rFonts w:hint="eastAsia" w:ascii="仿宋" w:hAnsi="仿宋" w:eastAsia="仿宋" w:cs="仿宋"/>
                <w:color w:val="000000" w:themeColor="text1"/>
                <w:sz w:val="24"/>
                <w:szCs w:val="24"/>
                <w:highlight w:val="none"/>
                <w14:textFill>
                  <w14:solidFill>
                    <w14:schemeClr w14:val="tx1"/>
                  </w14:solidFill>
                </w14:textFill>
              </w:rPr>
              <w:t>AODV</w:t>
            </w:r>
            <w:r>
              <w:rPr>
                <w:rFonts w:hint="eastAsia" w:ascii="仿宋" w:hAnsi="仿宋" w:eastAsia="仿宋" w:cs="仿宋"/>
                <w:color w:val="000000" w:themeColor="text1"/>
                <w:spacing w:val="4"/>
                <w:sz w:val="24"/>
                <w:szCs w:val="24"/>
                <w:highlight w:val="none"/>
                <w14:textFill>
                  <w14:solidFill>
                    <w14:schemeClr w14:val="tx1"/>
                  </w14:solidFill>
                </w14:textFill>
              </w:rPr>
              <w:t>协议栈，最大10</w:t>
            </w:r>
            <w:r>
              <w:rPr>
                <w:rFonts w:hint="eastAsia" w:ascii="仿宋" w:hAnsi="仿宋" w:eastAsia="仿宋" w:cs="仿宋"/>
                <w:color w:val="000000" w:themeColor="text1"/>
                <w:spacing w:val="6"/>
                <w:sz w:val="24"/>
                <w:szCs w:val="24"/>
                <w:highlight w:val="none"/>
                <w14:textFill>
                  <w14:solidFill>
                    <w14:schemeClr w14:val="tx1"/>
                  </w14:solidFill>
                </w14:textFill>
              </w:rPr>
              <w:t>跳接力传输；</w:t>
            </w:r>
          </w:p>
          <w:p w14:paraId="204EF8D2">
            <w:pPr>
              <w:pStyle w:val="37"/>
              <w:spacing w:before="25" w:line="241" w:lineRule="auto"/>
              <w:ind w:left="153" w:right="251" w:hanging="29"/>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（5）监听喇叭：喇叭功率</w:t>
            </w:r>
            <w:r>
              <w:rPr>
                <w:rFonts w:hint="eastAsia" w:ascii="仿宋" w:hAnsi="仿宋" w:eastAsia="仿宋" w:cs="仿宋"/>
                <w:color w:val="000000" w:themeColor="text1"/>
                <w:spacing w:val="-15"/>
                <w:sz w:val="24"/>
                <w:szCs w:val="24"/>
                <w:highlight w:val="none"/>
                <w14:textFill>
                  <w14:solidFill>
                    <w14:schemeClr w14:val="tx1"/>
                  </w14:solidFill>
                </w14:textFill>
              </w:rPr>
              <w:t xml:space="preserve"> </w:t>
            </w:r>
            <w:r>
              <w:rPr>
                <w:rFonts w:hint="eastAsia" w:ascii="仿宋" w:hAnsi="仿宋" w:eastAsia="仿宋" w:cs="仿宋"/>
                <w:color w:val="000000" w:themeColor="text1"/>
                <w:spacing w:val="6"/>
                <w:sz w:val="24"/>
                <w:szCs w:val="24"/>
                <w:highlight w:val="none"/>
                <w14:textFill>
                  <w14:solidFill>
                    <w14:schemeClr w14:val="tx1"/>
                  </w14:solidFill>
                </w14:textFill>
              </w:rPr>
              <w:t>5W，喇叭阻抗4</w:t>
            </w:r>
            <w:r>
              <w:rPr>
                <w:rFonts w:hint="eastAsia" w:ascii="仿宋" w:hAnsi="仿宋" w:eastAsia="仿宋" w:cs="仿宋"/>
                <w:color w:val="000000" w:themeColor="text1"/>
                <w:spacing w:val="-20"/>
                <w:sz w:val="24"/>
                <w:szCs w:val="24"/>
                <w:highlight w:val="none"/>
                <w14:textFill>
                  <w14:solidFill>
                    <w14:schemeClr w14:val="tx1"/>
                  </w14:solidFill>
                </w14:textFill>
              </w:rPr>
              <w:t>Ω</w:t>
            </w:r>
            <w:r>
              <w:rPr>
                <w:rFonts w:hint="eastAsia" w:ascii="仿宋" w:hAnsi="仿宋" w:eastAsia="仿宋" w:cs="仿宋"/>
                <w:color w:val="000000" w:themeColor="text1"/>
                <w:spacing w:val="-70"/>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0"/>
                <w:sz w:val="24"/>
                <w:szCs w:val="24"/>
                <w:highlight w:val="none"/>
                <w14:textFill>
                  <w14:solidFill>
                    <w14:schemeClr w14:val="tx1"/>
                  </w14:solidFill>
                </w14:textFill>
              </w:rPr>
              <w:t>;</w:t>
            </w:r>
          </w:p>
          <w:p w14:paraId="0C381CF8">
            <w:pPr>
              <w:pStyle w:val="37"/>
              <w:spacing w:before="22" w:line="227" w:lineRule="auto"/>
              <w:ind w:left="124"/>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（6）话筒输入：输入幅度&gt;2mv，阻抗600Ω</w:t>
            </w:r>
            <w:r>
              <w:rPr>
                <w:rFonts w:hint="eastAsia" w:ascii="仿宋" w:hAnsi="仿宋" w:eastAsia="仿宋" w:cs="仿宋"/>
                <w:color w:val="000000" w:themeColor="text1"/>
                <w:spacing w:val="-70"/>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w:t>
            </w:r>
          </w:p>
          <w:p w14:paraId="2C548BC3">
            <w:pPr>
              <w:pStyle w:val="37"/>
              <w:spacing w:before="26" w:line="228" w:lineRule="auto"/>
              <w:ind w:left="124"/>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5"/>
                <w:sz w:val="24"/>
                <w:szCs w:val="24"/>
                <w:highlight w:val="none"/>
                <w14:textFill>
                  <w14:solidFill>
                    <w14:schemeClr w14:val="tx1"/>
                  </w14:solidFill>
                </w14:textFill>
              </w:rPr>
              <w:t>（7）内置电池：容量不小于</w:t>
            </w:r>
            <w:r>
              <w:rPr>
                <w:rFonts w:hint="eastAsia" w:ascii="仿宋" w:hAnsi="仿宋" w:eastAsia="仿宋" w:cs="仿宋"/>
                <w:color w:val="000000" w:themeColor="text1"/>
                <w:spacing w:val="-34"/>
                <w:sz w:val="24"/>
                <w:szCs w:val="24"/>
                <w:highlight w:val="none"/>
                <w14:textFill>
                  <w14:solidFill>
                    <w14:schemeClr w14:val="tx1"/>
                  </w14:solidFill>
                </w14:textFill>
              </w:rPr>
              <w:t xml:space="preserve"> </w:t>
            </w:r>
            <w:r>
              <w:rPr>
                <w:rFonts w:hint="eastAsia" w:ascii="仿宋" w:hAnsi="仿宋" w:eastAsia="仿宋" w:cs="仿宋"/>
                <w:color w:val="000000" w:themeColor="text1"/>
                <w:spacing w:val="5"/>
                <w:sz w:val="24"/>
                <w:szCs w:val="24"/>
                <w:highlight w:val="none"/>
                <w14:textFill>
                  <w14:solidFill>
                    <w14:schemeClr w14:val="tx1"/>
                  </w14:solidFill>
                </w14:textFill>
              </w:rPr>
              <w:t>2000</w:t>
            </w:r>
            <w:r>
              <w:rPr>
                <w:rFonts w:hint="eastAsia" w:ascii="仿宋" w:hAnsi="仿宋" w:eastAsia="仿宋" w:cs="仿宋"/>
                <w:color w:val="000000" w:themeColor="text1"/>
                <w:sz w:val="24"/>
                <w:szCs w:val="24"/>
                <w:highlight w:val="none"/>
                <w14:textFill>
                  <w14:solidFill>
                    <w14:schemeClr w14:val="tx1"/>
                  </w14:solidFill>
                </w14:textFill>
              </w:rPr>
              <w:t>mAh</w:t>
            </w:r>
            <w:r>
              <w:rPr>
                <w:rFonts w:hint="eastAsia" w:ascii="仿宋" w:hAnsi="仿宋" w:eastAsia="仿宋" w:cs="仿宋"/>
                <w:color w:val="000000" w:themeColor="text1"/>
                <w:spacing w:val="5"/>
                <w:sz w:val="24"/>
                <w:szCs w:val="24"/>
                <w:highlight w:val="none"/>
                <w14:textFill>
                  <w14:solidFill>
                    <w14:schemeClr w14:val="tx1"/>
                  </w14:solidFill>
                </w14:textFill>
              </w:rPr>
              <w:t>.</w:t>
            </w:r>
          </w:p>
          <w:p w14:paraId="4B44D42C">
            <w:pPr>
              <w:pStyle w:val="37"/>
              <w:spacing w:before="24" w:line="229" w:lineRule="auto"/>
              <w:ind w:left="124"/>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（8）工作温度：0~45℃;</w:t>
            </w:r>
          </w:p>
          <w:p w14:paraId="3798F74C">
            <w:pPr>
              <w:pStyle w:val="37"/>
              <w:spacing w:before="24" w:line="228" w:lineRule="auto"/>
              <w:ind w:left="124"/>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（9）存储温度：-20~60℃。</w:t>
            </w:r>
          </w:p>
        </w:tc>
      </w:tr>
    </w:tbl>
    <w:p w14:paraId="00AFCF27">
      <w:pPr>
        <w:keepNext w:val="0"/>
        <w:keepLines w:val="0"/>
        <w:pageBreakBefore w:val="0"/>
        <w:widowControl/>
        <w:kinsoku/>
        <w:wordWrap/>
        <w:overflowPunct/>
        <w:topLinePunct w:val="0"/>
        <w:autoSpaceDE/>
        <w:autoSpaceDN/>
        <w:bidi w:val="0"/>
        <w:adjustRightInd w:val="0"/>
        <w:snapToGrid w:val="0"/>
        <w:spacing w:before="149" w:line="560" w:lineRule="exact"/>
        <w:ind w:left="494"/>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2"/>
          <w:sz w:val="24"/>
          <w:szCs w:val="24"/>
          <w:highlight w:val="none"/>
          <w14:textFill>
            <w14:solidFill>
              <w14:schemeClr w14:val="tx1"/>
            </w14:solidFill>
          </w14:textFill>
        </w:rPr>
        <w:t>3、雨量站安装要求</w:t>
      </w:r>
    </w:p>
    <w:p w14:paraId="3F2812BA">
      <w:pPr>
        <w:keepNext w:val="0"/>
        <w:keepLines w:val="0"/>
        <w:pageBreakBefore w:val="0"/>
        <w:widowControl/>
        <w:kinsoku/>
        <w:wordWrap/>
        <w:overflowPunct/>
        <w:topLinePunct w:val="0"/>
        <w:autoSpaceDE/>
        <w:autoSpaceDN/>
        <w:bidi w:val="0"/>
        <w:adjustRightInd w:val="0"/>
        <w:snapToGrid w:val="0"/>
        <w:spacing w:before="151" w:line="560" w:lineRule="exact"/>
        <w:ind w:firstLine="470" w:firstLineChars="200"/>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14:textFill>
            <w14:solidFill>
              <w14:schemeClr w14:val="tx1"/>
            </w14:solidFill>
          </w14:textFill>
        </w:rPr>
        <w:t>（1）地面观测场环境</w:t>
      </w:r>
    </w:p>
    <w:p w14:paraId="2261CB9F">
      <w:pPr>
        <w:keepNext w:val="0"/>
        <w:keepLines w:val="0"/>
        <w:pageBreakBefore w:val="0"/>
        <w:widowControl/>
        <w:kinsoku/>
        <w:wordWrap/>
        <w:overflowPunct/>
        <w:topLinePunct w:val="0"/>
        <w:autoSpaceDE/>
        <w:autoSpaceDN/>
        <w:bidi w:val="0"/>
        <w:adjustRightInd w:val="0"/>
        <w:snapToGrid w:val="0"/>
        <w:spacing w:before="150" w:line="560" w:lineRule="exact"/>
        <w:ind w:left="21" w:right="61" w:firstLine="466"/>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①观测场应避开强风区，其周围应空旷、平坦，不受突变地形、树木和建筑物的影</w:t>
      </w:r>
      <w:r>
        <w:rPr>
          <w:rFonts w:hint="eastAsia" w:ascii="仿宋" w:hAnsi="仿宋" w:eastAsia="仿宋" w:cs="仿宋"/>
          <w:color w:val="000000" w:themeColor="text1"/>
          <w:spacing w:val="12"/>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1"/>
          <w:sz w:val="24"/>
          <w:szCs w:val="24"/>
          <w:highlight w:val="none"/>
          <w14:textFill>
            <w14:solidFill>
              <w14:schemeClr w14:val="tx1"/>
            </w14:solidFill>
          </w14:textFill>
        </w:rPr>
        <w:t>响。</w:t>
      </w:r>
    </w:p>
    <w:p w14:paraId="1BB58353">
      <w:pPr>
        <w:keepNext w:val="0"/>
        <w:keepLines w:val="0"/>
        <w:pageBreakBefore w:val="0"/>
        <w:widowControl/>
        <w:kinsoku/>
        <w:wordWrap/>
        <w:overflowPunct/>
        <w:topLinePunct w:val="0"/>
        <w:autoSpaceDE/>
        <w:autoSpaceDN/>
        <w:bidi w:val="0"/>
        <w:adjustRightInd w:val="0"/>
        <w:snapToGrid w:val="0"/>
        <w:spacing w:before="146" w:line="560" w:lineRule="exact"/>
        <w:ind w:left="29" w:right="61" w:firstLine="458"/>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②观测场不能完全避开建筑物、树木等障碍物的影响时，雨量器(计)至障碍物边缘</w:t>
      </w:r>
      <w:r>
        <w:rPr>
          <w:rFonts w:hint="eastAsia" w:ascii="仿宋" w:hAnsi="仿宋" w:eastAsia="仿宋" w:cs="仿宋"/>
          <w:color w:val="000000" w:themeColor="text1"/>
          <w:spacing w:val="15"/>
          <w:sz w:val="24"/>
          <w:szCs w:val="24"/>
          <w:highlight w:val="none"/>
          <w14:textFill>
            <w14:solidFill>
              <w14:schemeClr w14:val="tx1"/>
            </w14:solidFill>
          </w14:textFill>
        </w:rPr>
        <w:t xml:space="preserve"> </w:t>
      </w:r>
      <w:r>
        <w:rPr>
          <w:rFonts w:hint="eastAsia" w:ascii="仿宋" w:hAnsi="仿宋" w:eastAsia="仿宋" w:cs="仿宋"/>
          <w:color w:val="000000" w:themeColor="text1"/>
          <w:spacing w:val="-3"/>
          <w:sz w:val="24"/>
          <w:szCs w:val="24"/>
          <w:highlight w:val="none"/>
          <w14:textFill>
            <w14:solidFill>
              <w14:schemeClr w14:val="tx1"/>
            </w14:solidFill>
          </w14:textFill>
        </w:rPr>
        <w:t>的距离应大于障碍物顶部与承雨器口高差的</w:t>
      </w:r>
      <w:r>
        <w:rPr>
          <w:rFonts w:hint="eastAsia" w:ascii="仿宋" w:hAnsi="仿宋" w:eastAsia="仿宋" w:cs="仿宋"/>
          <w:color w:val="000000" w:themeColor="text1"/>
          <w:spacing w:val="-34"/>
          <w:sz w:val="24"/>
          <w:szCs w:val="24"/>
          <w:highlight w:val="none"/>
          <w14:textFill>
            <w14:solidFill>
              <w14:schemeClr w14:val="tx1"/>
            </w14:solidFill>
          </w14:textFill>
        </w:rPr>
        <w:t xml:space="preserve"> </w:t>
      </w:r>
      <w:r>
        <w:rPr>
          <w:rFonts w:hint="eastAsia" w:ascii="仿宋" w:hAnsi="仿宋" w:eastAsia="仿宋" w:cs="仿宋"/>
          <w:color w:val="000000" w:themeColor="text1"/>
          <w:spacing w:val="-3"/>
          <w:sz w:val="24"/>
          <w:szCs w:val="24"/>
          <w:highlight w:val="none"/>
          <w14:textFill>
            <w14:solidFill>
              <w14:schemeClr w14:val="tx1"/>
            </w14:solidFill>
          </w14:textFill>
        </w:rPr>
        <w:t>2</w:t>
      </w:r>
      <w:r>
        <w:rPr>
          <w:rFonts w:hint="eastAsia" w:ascii="仿宋" w:hAnsi="仿宋" w:eastAsia="仿宋" w:cs="仿宋"/>
          <w:color w:val="000000" w:themeColor="text1"/>
          <w:spacing w:val="-5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3"/>
          <w:sz w:val="24"/>
          <w:szCs w:val="24"/>
          <w:highlight w:val="none"/>
          <w14:textFill>
            <w14:solidFill>
              <w14:schemeClr w14:val="tx1"/>
            </w14:solidFill>
          </w14:textFill>
        </w:rPr>
        <w:t>倍。</w:t>
      </w:r>
    </w:p>
    <w:p w14:paraId="2A977560">
      <w:pPr>
        <w:keepNext w:val="0"/>
        <w:keepLines w:val="0"/>
        <w:pageBreakBefore w:val="0"/>
        <w:widowControl/>
        <w:kinsoku/>
        <w:wordWrap/>
        <w:overflowPunct/>
        <w:topLinePunct w:val="0"/>
        <w:autoSpaceDE/>
        <w:autoSpaceDN/>
        <w:bidi w:val="0"/>
        <w:adjustRightInd w:val="0"/>
        <w:snapToGrid w:val="0"/>
        <w:spacing w:before="150" w:line="560" w:lineRule="exact"/>
        <w:ind w:left="9" w:right="61" w:firstLine="478"/>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③在山区，观测场不宜设在陡坡上、峡谷内和风口处，应选择相对平坦的位置，使</w:t>
      </w:r>
      <w:r>
        <w:rPr>
          <w:rFonts w:hint="eastAsia" w:ascii="仿宋" w:hAnsi="仿宋" w:eastAsia="仿宋" w:cs="仿宋"/>
          <w:color w:val="000000" w:themeColor="text1"/>
          <w:spacing w:val="1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3"/>
          <w:sz w:val="24"/>
          <w:szCs w:val="24"/>
          <w:highlight w:val="none"/>
          <w14:textFill>
            <w14:solidFill>
              <w14:schemeClr w14:val="tx1"/>
            </w14:solidFill>
          </w14:textFill>
        </w:rPr>
        <w:t>承雨器口至山顶的仰角不大于 30</w:t>
      </w:r>
      <w:r>
        <w:rPr>
          <w:rFonts w:hint="eastAsia" w:ascii="仿宋" w:hAnsi="仿宋" w:eastAsia="仿宋" w:cs="仿宋"/>
          <w:color w:val="000000" w:themeColor="text1"/>
          <w:spacing w:val="-77"/>
          <w:sz w:val="24"/>
          <w:szCs w:val="24"/>
          <w:highlight w:val="none"/>
          <w14:textFill>
            <w14:solidFill>
              <w14:schemeClr w14:val="tx1"/>
            </w14:solidFill>
          </w14:textFill>
        </w:rPr>
        <w:t xml:space="preserve"> </w:t>
      </w:r>
      <w:r>
        <w:rPr>
          <w:rFonts w:hint="eastAsia" w:ascii="仿宋" w:hAnsi="仿宋" w:eastAsia="仿宋" w:cs="仿宋"/>
          <w:color w:val="000000" w:themeColor="text1"/>
          <w:spacing w:val="-3"/>
          <w:sz w:val="24"/>
          <w:szCs w:val="24"/>
          <w:highlight w:val="none"/>
          <w14:textFill>
            <w14:solidFill>
              <w14:schemeClr w14:val="tx1"/>
            </w14:solidFill>
          </w14:textFill>
        </w:rPr>
        <w:t>°。</w:t>
      </w:r>
    </w:p>
    <w:p w14:paraId="19891580">
      <w:pPr>
        <w:keepNext w:val="0"/>
        <w:keepLines w:val="0"/>
        <w:pageBreakBefore w:val="0"/>
        <w:widowControl/>
        <w:kinsoku/>
        <w:wordWrap/>
        <w:overflowPunct/>
        <w:topLinePunct w:val="0"/>
        <w:autoSpaceDE/>
        <w:autoSpaceDN/>
        <w:bidi w:val="0"/>
        <w:adjustRightInd w:val="0"/>
        <w:snapToGrid w:val="0"/>
        <w:spacing w:before="150" w:line="560" w:lineRule="exact"/>
        <w:ind w:left="8" w:right="61" w:firstLine="47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9"/>
          <w:sz w:val="24"/>
          <w:szCs w:val="24"/>
          <w:highlight w:val="none"/>
          <w14:textFill>
            <w14:solidFill>
              <w14:schemeClr w14:val="tx1"/>
            </w14:solidFill>
          </w14:textFill>
        </w:rPr>
        <w:t>④场内仪器之间、仪器与栏栅之间的间距不小于</w:t>
      </w:r>
      <w:r>
        <w:rPr>
          <w:rFonts w:hint="eastAsia" w:ascii="仿宋" w:hAnsi="仿宋" w:eastAsia="仿宋" w:cs="仿宋"/>
          <w:color w:val="000000" w:themeColor="text1"/>
          <w:spacing w:val="-2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9"/>
          <w:sz w:val="24"/>
          <w:szCs w:val="24"/>
          <w:highlight w:val="none"/>
          <w14:textFill>
            <w14:solidFill>
              <w14:schemeClr w14:val="tx1"/>
            </w14:solidFill>
          </w14:textFill>
        </w:rPr>
        <w:t>2m。仅设一台雨量器(计)时为</w:t>
      </w:r>
      <w:r>
        <w:rPr>
          <w:rFonts w:hint="eastAsia" w:ascii="仿宋" w:hAnsi="仿宋" w:eastAsia="仿宋" w:cs="仿宋"/>
          <w:color w:val="000000" w:themeColor="text1"/>
          <w:spacing w:val="-2"/>
          <w:sz w:val="24"/>
          <w:szCs w:val="24"/>
          <w:highlight w:val="none"/>
          <w14:textFill>
            <w14:solidFill>
              <w14:schemeClr w14:val="tx1"/>
            </w14:solidFill>
          </w14:textFill>
        </w:rPr>
        <w:t>4mX4m，设置雨量器和自记雨量计各一台时为4mX6m。场地平面布置如</w:t>
      </w:r>
      <w:r>
        <w:rPr>
          <w:rFonts w:hint="eastAsia" w:ascii="仿宋" w:hAnsi="仿宋" w:eastAsia="仿宋" w:cs="仿宋"/>
          <w:color w:val="000000" w:themeColor="text1"/>
          <w:spacing w:val="-3"/>
          <w:sz w:val="24"/>
          <w:szCs w:val="24"/>
          <w:highlight w:val="none"/>
          <w14:textFill>
            <w14:solidFill>
              <w14:schemeClr w14:val="tx1"/>
            </w14:solidFill>
          </w14:textFill>
        </w:rPr>
        <w:t>图</w:t>
      </w:r>
      <w:r>
        <w:rPr>
          <w:rFonts w:hint="eastAsia" w:ascii="仿宋" w:hAnsi="仿宋" w:eastAsia="仿宋" w:cs="仿宋"/>
          <w:color w:val="000000" w:themeColor="text1"/>
          <w:spacing w:val="-3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3"/>
          <w:sz w:val="24"/>
          <w:szCs w:val="24"/>
          <w:highlight w:val="none"/>
          <w14:textFill>
            <w14:solidFill>
              <w14:schemeClr w14:val="tx1"/>
            </w14:solidFill>
          </w14:textFill>
        </w:rPr>
        <w:t>1</w:t>
      </w:r>
      <w:r>
        <w:rPr>
          <w:rFonts w:hint="eastAsia" w:ascii="仿宋" w:hAnsi="仿宋" w:eastAsia="仿宋" w:cs="仿宋"/>
          <w:color w:val="000000" w:themeColor="text1"/>
          <w:spacing w:val="-50"/>
          <w:sz w:val="24"/>
          <w:szCs w:val="24"/>
          <w:highlight w:val="none"/>
          <w14:textFill>
            <w14:solidFill>
              <w14:schemeClr w14:val="tx1"/>
            </w14:solidFill>
          </w14:textFill>
        </w:rPr>
        <w:t xml:space="preserve"> </w:t>
      </w:r>
      <w:r>
        <w:rPr>
          <w:rFonts w:hint="eastAsia" w:ascii="仿宋" w:hAnsi="仿宋" w:eastAsia="仿宋" w:cs="仿宋"/>
          <w:color w:val="000000" w:themeColor="text1"/>
          <w:spacing w:val="-3"/>
          <w:sz w:val="24"/>
          <w:szCs w:val="24"/>
          <w:highlight w:val="none"/>
          <w14:textFill>
            <w14:solidFill>
              <w14:schemeClr w14:val="tx1"/>
            </w14:solidFill>
          </w14:textFill>
        </w:rPr>
        <w:t>所示。e)场内地面应平整，保持均匀草层，草高不宜超过</w:t>
      </w:r>
      <w:r>
        <w:rPr>
          <w:rFonts w:hint="eastAsia" w:ascii="仿宋" w:hAnsi="仿宋" w:eastAsia="仿宋" w:cs="仿宋"/>
          <w:color w:val="000000" w:themeColor="text1"/>
          <w:spacing w:val="-47"/>
          <w:sz w:val="24"/>
          <w:szCs w:val="24"/>
          <w:highlight w:val="none"/>
          <w14:textFill>
            <w14:solidFill>
              <w14:schemeClr w14:val="tx1"/>
            </w14:solidFill>
          </w14:textFill>
        </w:rPr>
        <w:t xml:space="preserve"> </w:t>
      </w:r>
      <w:r>
        <w:rPr>
          <w:rFonts w:hint="eastAsia" w:ascii="仿宋" w:hAnsi="仿宋" w:eastAsia="仿宋" w:cs="仿宋"/>
          <w:color w:val="000000" w:themeColor="text1"/>
          <w:spacing w:val="-3"/>
          <w:sz w:val="24"/>
          <w:szCs w:val="24"/>
          <w:highlight w:val="none"/>
          <w14:textFill>
            <w14:solidFill>
              <w14:schemeClr w14:val="tx1"/>
            </w14:solidFill>
          </w14:textFill>
        </w:rPr>
        <w:t>20cm。设置的</w:t>
      </w:r>
      <w:r>
        <w:rPr>
          <w:rFonts w:hint="eastAsia" w:ascii="仿宋" w:hAnsi="仿宋" w:eastAsia="仿宋" w:cs="仿宋"/>
          <w:color w:val="000000" w:themeColor="text1"/>
          <w:spacing w:val="-4"/>
          <w:sz w:val="24"/>
          <w:szCs w:val="24"/>
          <w:highlight w:val="none"/>
          <w14:textFill>
            <w14:solidFill>
              <w14:schemeClr w14:val="tx1"/>
            </w14:solidFill>
          </w14:textFill>
        </w:rPr>
        <w:t>小路和门应便于观测，路宽不</w:t>
      </w:r>
      <w:r>
        <w:rPr>
          <w:rFonts w:hint="eastAsia" w:ascii="仿宋" w:hAnsi="仿宋" w:eastAsia="仿宋" w:cs="仿宋"/>
          <w:color w:val="000000" w:themeColor="text1"/>
          <w:spacing w:val="-3"/>
          <w:sz w:val="24"/>
          <w:szCs w:val="24"/>
          <w:highlight w:val="none"/>
          <w14:textFill>
            <w14:solidFill>
              <w14:schemeClr w14:val="tx1"/>
            </w14:solidFill>
          </w14:textFill>
        </w:rPr>
        <w:t>大于0.5m。</w:t>
      </w:r>
    </w:p>
    <w:p w14:paraId="3A03B3F6">
      <w:pPr>
        <w:keepNext w:val="0"/>
        <w:keepLines w:val="0"/>
        <w:pageBreakBefore w:val="0"/>
        <w:widowControl/>
        <w:kinsoku/>
        <w:wordWrap/>
        <w:overflowPunct/>
        <w:topLinePunct w:val="0"/>
        <w:autoSpaceDE/>
        <w:autoSpaceDN/>
        <w:bidi w:val="0"/>
        <w:adjustRightInd w:val="0"/>
        <w:snapToGrid w:val="0"/>
        <w:spacing w:before="149" w:line="560" w:lineRule="exact"/>
        <w:ind w:left="9" w:right="61" w:firstLine="478"/>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⑤观测场四周应设置不高于</w:t>
      </w:r>
      <w:r>
        <w:rPr>
          <w:rFonts w:hint="eastAsia" w:ascii="仿宋" w:hAnsi="仿宋" w:eastAsia="仿宋" w:cs="仿宋"/>
          <w:color w:val="000000" w:themeColor="text1"/>
          <w:spacing w:val="-3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1.2m</w:t>
      </w:r>
      <w:r>
        <w:rPr>
          <w:rFonts w:hint="eastAsia" w:ascii="仿宋" w:hAnsi="仿宋" w:eastAsia="仿宋" w:cs="仿宋"/>
          <w:color w:val="000000" w:themeColor="text1"/>
          <w:spacing w:val="-29"/>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的防护栏栅，栏栅条的疏密不应影响降水量观测 </w:t>
      </w:r>
      <w:r>
        <w:rPr>
          <w:rFonts w:hint="eastAsia" w:ascii="仿宋" w:hAnsi="仿宋" w:eastAsia="仿宋" w:cs="仿宋"/>
          <w:color w:val="000000" w:themeColor="text1"/>
          <w:spacing w:val="-1"/>
          <w:sz w:val="24"/>
          <w:szCs w:val="24"/>
          <w:highlight w:val="none"/>
          <w14:textFill>
            <w14:solidFill>
              <w14:schemeClr w14:val="tx1"/>
            </w14:solidFill>
          </w14:textFill>
        </w:rPr>
        <w:t>精度，多雪地区应考虑在近地面不致形成雪堆。</w:t>
      </w:r>
    </w:p>
    <w:p w14:paraId="190884F9">
      <w:pPr>
        <w:keepNext w:val="0"/>
        <w:keepLines w:val="0"/>
        <w:pageBreakBefore w:val="0"/>
        <w:widowControl/>
        <w:kinsoku/>
        <w:wordWrap/>
        <w:overflowPunct/>
        <w:topLinePunct w:val="0"/>
        <w:autoSpaceDE/>
        <w:autoSpaceDN/>
        <w:bidi w:val="0"/>
        <w:adjustRightInd w:val="0"/>
        <w:snapToGrid w:val="0"/>
        <w:spacing w:before="155" w:line="560" w:lineRule="exact"/>
        <w:ind w:left="10" w:right="61" w:firstLine="477"/>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⑥有积水的观测场，应在其周围开挖排水沟，防止场地内积水。h)观测场应设立警</w:t>
      </w:r>
      <w:r>
        <w:rPr>
          <w:rFonts w:hint="eastAsia" w:ascii="仿宋" w:hAnsi="仿宋" w:eastAsia="仿宋" w:cs="仿宋"/>
          <w:color w:val="000000" w:themeColor="text1"/>
          <w:spacing w:val="15"/>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示标志，划定保护范围。承雨器口至障碍物顶部高差的</w:t>
      </w:r>
      <w:r>
        <w:rPr>
          <w:rFonts w:hint="eastAsia" w:ascii="仿宋" w:hAnsi="仿宋" w:eastAsia="仿宋" w:cs="仿宋"/>
          <w:color w:val="000000" w:themeColor="text1"/>
          <w:spacing w:val="-48"/>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2</w:t>
      </w:r>
      <w:r>
        <w:rPr>
          <w:rFonts w:hint="eastAsia" w:ascii="仿宋" w:hAnsi="仿宋" w:eastAsia="仿宋" w:cs="仿宋"/>
          <w:color w:val="000000" w:themeColor="text1"/>
          <w:spacing w:val="-50"/>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倍距离为保</w:t>
      </w:r>
      <w:r>
        <w:rPr>
          <w:rFonts w:hint="eastAsia" w:ascii="仿宋" w:hAnsi="仿宋" w:eastAsia="仿宋" w:cs="仿宋"/>
          <w:color w:val="000000" w:themeColor="text1"/>
          <w:spacing w:val="-3"/>
          <w:sz w:val="24"/>
          <w:szCs w:val="24"/>
          <w:highlight w:val="none"/>
          <w14:textFill>
            <w14:solidFill>
              <w14:schemeClr w14:val="tx1"/>
            </w14:solidFill>
          </w14:textFill>
        </w:rPr>
        <w:t>护范围，不应有建</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筑物，不应栽种树木和高秆作物。</w:t>
      </w:r>
    </w:p>
    <w:p w14:paraId="42AD9F14">
      <w:pPr>
        <w:keepNext w:val="0"/>
        <w:keepLines w:val="0"/>
        <w:pageBreakBefore w:val="0"/>
        <w:widowControl/>
        <w:kinsoku/>
        <w:wordWrap/>
        <w:overflowPunct/>
        <w:topLinePunct w:val="0"/>
        <w:autoSpaceDE/>
        <w:autoSpaceDN/>
        <w:bidi w:val="0"/>
        <w:adjustRightInd w:val="0"/>
        <w:snapToGrid w:val="0"/>
        <w:spacing w:before="152" w:line="560" w:lineRule="exact"/>
        <w:ind w:left="11" w:right="61" w:firstLine="476"/>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2"/>
          <w:sz w:val="24"/>
          <w:szCs w:val="24"/>
          <w:highlight w:val="none"/>
          <w14:textFill>
            <w14:solidFill>
              <w14:schemeClr w14:val="tx1"/>
            </w14:solidFill>
          </w14:textFill>
        </w:rPr>
        <w:t>⑦如试验和比测需要设置多台观测仪器时，观测场面积和仪器布置等应使观测仪器</w:t>
      </w:r>
      <w:r>
        <w:rPr>
          <w:rFonts w:hint="eastAsia" w:ascii="仿宋" w:hAnsi="仿宋" w:eastAsia="仿宋" w:cs="仿宋"/>
          <w:color w:val="000000" w:themeColor="text1"/>
          <w:spacing w:val="1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之间相互不受影响，满足观测精度要求。</w:t>
      </w:r>
    </w:p>
    <w:p w14:paraId="1E168D48">
      <w:pPr>
        <w:keepNext w:val="0"/>
        <w:keepLines w:val="0"/>
        <w:pageBreakBefore w:val="0"/>
        <w:widowControl/>
        <w:kinsoku/>
        <w:wordWrap/>
        <w:overflowPunct/>
        <w:topLinePunct w:val="0"/>
        <w:autoSpaceDE/>
        <w:autoSpaceDN/>
        <w:bidi w:val="0"/>
        <w:adjustRightInd w:val="0"/>
        <w:snapToGrid w:val="0"/>
        <w:spacing w:before="154" w:line="560" w:lineRule="exact"/>
        <w:ind w:left="501"/>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14:textFill>
            <w14:solidFill>
              <w14:schemeClr w14:val="tx1"/>
            </w14:solidFill>
          </w14:textFill>
        </w:rPr>
        <w:t>（2）杆式观测场环境</w:t>
      </w:r>
    </w:p>
    <w:p w14:paraId="73667846">
      <w:pPr>
        <w:keepNext w:val="0"/>
        <w:keepLines w:val="0"/>
        <w:pageBreakBefore w:val="0"/>
        <w:widowControl/>
        <w:kinsoku/>
        <w:wordWrap/>
        <w:overflowPunct/>
        <w:topLinePunct w:val="0"/>
        <w:autoSpaceDE/>
        <w:autoSpaceDN/>
        <w:bidi w:val="0"/>
        <w:adjustRightInd w:val="0"/>
        <w:snapToGrid w:val="0"/>
        <w:spacing w:before="78" w:line="560" w:lineRule="exact"/>
        <w:ind w:left="487"/>
        <w:textAlignment w:val="auto"/>
        <w:rPr>
          <w:rFonts w:hint="eastAsia" w:ascii="仿宋" w:hAnsi="仿宋" w:eastAsia="仿宋" w:cs="仿宋"/>
          <w:color w:val="000000" w:themeColor="text1"/>
          <w:spacing w:val="-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①杆式雨量器(计)应设置在当地雨期常年盛行风</w:t>
      </w:r>
      <w:r>
        <w:rPr>
          <w:rFonts w:hint="eastAsia" w:ascii="仿宋" w:hAnsi="仿宋" w:eastAsia="仿宋" w:cs="仿宋"/>
          <w:color w:val="000000" w:themeColor="text1"/>
          <w:spacing w:val="-1"/>
          <w:sz w:val="24"/>
          <w:szCs w:val="24"/>
          <w:highlight w:val="none"/>
          <w14:textFill>
            <w14:solidFill>
              <w14:schemeClr w14:val="tx1"/>
            </w14:solidFill>
          </w14:textFill>
        </w:rPr>
        <w:t>向的障碍物的侧风区。</w:t>
      </w:r>
    </w:p>
    <w:p w14:paraId="75D20615">
      <w:pPr>
        <w:keepNext w:val="0"/>
        <w:keepLines w:val="0"/>
        <w:pageBreakBefore w:val="0"/>
        <w:widowControl/>
        <w:kinsoku/>
        <w:wordWrap/>
        <w:overflowPunct/>
        <w:topLinePunct w:val="0"/>
        <w:autoSpaceDE/>
        <w:autoSpaceDN/>
        <w:bidi w:val="0"/>
        <w:adjustRightInd w:val="0"/>
        <w:snapToGrid w:val="0"/>
        <w:spacing w:before="78" w:line="560" w:lineRule="exact"/>
        <w:ind w:left="487"/>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②在多风的高山、出山口、近海岸地区的雨量站，不宜设置</w:t>
      </w:r>
      <w:r>
        <w:rPr>
          <w:rFonts w:hint="eastAsia" w:ascii="仿宋" w:hAnsi="仿宋" w:eastAsia="仿宋" w:cs="仿宋"/>
          <w:color w:val="000000" w:themeColor="text1"/>
          <w:spacing w:val="-1"/>
          <w:sz w:val="24"/>
          <w:szCs w:val="24"/>
          <w:highlight w:val="none"/>
          <w14:textFill>
            <w14:solidFill>
              <w14:schemeClr w14:val="tx1"/>
            </w14:solidFill>
          </w14:textFill>
        </w:rPr>
        <w:t>杆式雨量器(计)。</w:t>
      </w:r>
    </w:p>
    <w:p w14:paraId="44E8922C">
      <w:pPr>
        <w:keepNext w:val="0"/>
        <w:keepLines w:val="0"/>
        <w:pageBreakBefore w:val="0"/>
        <w:widowControl/>
        <w:kinsoku/>
        <w:wordWrap/>
        <w:overflowPunct/>
        <w:topLinePunct w:val="0"/>
        <w:autoSpaceDE/>
        <w:autoSpaceDN/>
        <w:bidi w:val="0"/>
        <w:adjustRightInd w:val="0"/>
        <w:snapToGrid w:val="0"/>
        <w:spacing w:before="152" w:line="560" w:lineRule="exact"/>
        <w:ind w:left="487"/>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③杆位至障碍物边缘的距离应大于障碍物高度</w:t>
      </w:r>
      <w:r>
        <w:rPr>
          <w:rFonts w:hint="eastAsia" w:ascii="仿宋" w:hAnsi="仿宋" w:eastAsia="仿宋" w:cs="仿宋"/>
          <w:color w:val="000000" w:themeColor="text1"/>
          <w:spacing w:val="-33"/>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1.5</w:t>
      </w:r>
      <w:r>
        <w:rPr>
          <w:rFonts w:hint="eastAsia" w:ascii="仿宋" w:hAnsi="仿宋" w:eastAsia="仿宋" w:cs="仿宋"/>
          <w:color w:val="000000" w:themeColor="text1"/>
          <w:spacing w:val="-5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2"/>
          <w:sz w:val="24"/>
          <w:szCs w:val="24"/>
          <w:highlight w:val="none"/>
          <w14:textFill>
            <w14:solidFill>
              <w14:schemeClr w14:val="tx1"/>
            </w14:solidFill>
          </w14:textFill>
        </w:rPr>
        <w:t>倍，并应避开电力线路。</w:t>
      </w:r>
    </w:p>
    <w:p w14:paraId="20F10287">
      <w:pPr>
        <w:keepNext w:val="0"/>
        <w:keepLines w:val="0"/>
        <w:pageBreakBefore w:val="0"/>
        <w:widowControl/>
        <w:kinsoku/>
        <w:wordWrap/>
        <w:overflowPunct/>
        <w:topLinePunct w:val="0"/>
        <w:autoSpaceDE/>
        <w:autoSpaceDN/>
        <w:bidi w:val="0"/>
        <w:adjustRightInd w:val="0"/>
        <w:snapToGrid w:val="0"/>
        <w:spacing w:before="154" w:line="560" w:lineRule="exact"/>
        <w:ind w:left="501"/>
        <w:textAlignment w:val="auto"/>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pacing w:val="-3"/>
          <w:sz w:val="24"/>
          <w:szCs w:val="24"/>
          <w:highlight w:val="none"/>
          <w14:textFill>
            <w14:solidFill>
              <w14:schemeClr w14:val="tx1"/>
            </w14:solidFill>
          </w14:textFill>
        </w:rPr>
        <w:t>（3）房顶观测场环境</w:t>
      </w:r>
    </w:p>
    <w:p w14:paraId="6F74AE8B">
      <w:pPr>
        <w:keepNext w:val="0"/>
        <w:keepLines w:val="0"/>
        <w:pageBreakBefore w:val="0"/>
        <w:widowControl/>
        <w:kinsoku/>
        <w:wordWrap/>
        <w:overflowPunct/>
        <w:topLinePunct w:val="0"/>
        <w:autoSpaceDE/>
        <w:autoSpaceDN/>
        <w:bidi w:val="0"/>
        <w:adjustRightInd w:val="0"/>
        <w:snapToGrid w:val="0"/>
        <w:spacing w:before="150" w:line="560" w:lineRule="exact"/>
        <w:ind w:left="9" w:firstLine="479"/>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①观测场可设在与四周其他障碍物高度基本一</w:t>
      </w:r>
      <w:r>
        <w:rPr>
          <w:rFonts w:hint="eastAsia" w:ascii="仿宋" w:hAnsi="仿宋" w:eastAsia="仿宋" w:cs="仿宋"/>
          <w:color w:val="000000" w:themeColor="text1"/>
          <w:spacing w:val="-7"/>
          <w:sz w:val="24"/>
          <w:szCs w:val="24"/>
          <w:highlight w:val="none"/>
          <w14:textFill>
            <w14:solidFill>
              <w14:schemeClr w14:val="tx1"/>
            </w14:solidFill>
          </w14:textFill>
        </w:rPr>
        <w:t>致的平顶房顶上。在空旷、平坦地区，</w:t>
      </w: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独立房屋的房顶上不宜设置雨量器(计)。</w:t>
      </w:r>
    </w:p>
    <w:p w14:paraId="49AAE280">
      <w:pPr>
        <w:keepNext w:val="0"/>
        <w:keepLines w:val="0"/>
        <w:pageBreakBefore w:val="0"/>
        <w:widowControl/>
        <w:kinsoku/>
        <w:wordWrap/>
        <w:overflowPunct/>
        <w:topLinePunct w:val="0"/>
        <w:autoSpaceDE/>
        <w:autoSpaceDN/>
        <w:bidi w:val="0"/>
        <w:adjustRightInd w:val="0"/>
        <w:snapToGrid w:val="0"/>
        <w:spacing w:before="152" w:line="560" w:lineRule="exact"/>
        <w:ind w:left="487"/>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②承雨器口应高于房顶上的障碍物，至其他障碍物的最大仰角不大于</w:t>
      </w:r>
      <w:r>
        <w:rPr>
          <w:rFonts w:hint="eastAsia" w:ascii="仿宋" w:hAnsi="仿宋" w:eastAsia="仿宋" w:cs="仿宋"/>
          <w:color w:val="000000" w:themeColor="text1"/>
          <w:spacing w:val="-36"/>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30.</w:t>
      </w:r>
    </w:p>
    <w:p w14:paraId="5C27D487">
      <w:pPr>
        <w:keepNext w:val="0"/>
        <w:keepLines w:val="0"/>
        <w:pageBreakBefore w:val="0"/>
        <w:widowControl/>
        <w:kinsoku/>
        <w:wordWrap/>
        <w:overflowPunct/>
        <w:topLinePunct w:val="0"/>
        <w:autoSpaceDE/>
        <w:autoSpaceDN/>
        <w:bidi w:val="0"/>
        <w:adjustRightInd w:val="0"/>
        <w:snapToGrid w:val="0"/>
        <w:spacing w:before="154" w:line="560" w:lineRule="exact"/>
        <w:ind w:left="487"/>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③雨量器(计)至墙体和房顶上障碍物边缘的距离不小于</w:t>
      </w:r>
      <w:r>
        <w:rPr>
          <w:rFonts w:hint="eastAsia" w:ascii="仿宋" w:hAnsi="仿宋" w:eastAsia="仿宋" w:cs="仿宋"/>
          <w:color w:val="000000" w:themeColor="text1"/>
          <w:spacing w:val="-41"/>
          <w:sz w:val="24"/>
          <w:szCs w:val="24"/>
          <w:highlight w:val="none"/>
          <w14:textFill>
            <w14:solidFill>
              <w14:schemeClr w14:val="tx1"/>
            </w14:solidFill>
          </w14:textFill>
        </w:rPr>
        <w:t xml:space="preserve"> </w:t>
      </w:r>
      <w:r>
        <w:rPr>
          <w:rFonts w:hint="eastAsia" w:ascii="仿宋" w:hAnsi="仿宋" w:eastAsia="仿宋" w:cs="仿宋"/>
          <w:color w:val="000000" w:themeColor="text1"/>
          <w:spacing w:val="-1"/>
          <w:sz w:val="24"/>
          <w:szCs w:val="24"/>
          <w:highlight w:val="none"/>
          <w14:textFill>
            <w14:solidFill>
              <w14:schemeClr w14:val="tx1"/>
            </w14:solidFill>
          </w14:textFill>
        </w:rPr>
        <w:t>2m。</w:t>
      </w:r>
    </w:p>
    <w:p w14:paraId="2FFF761F">
      <w:pPr>
        <w:keepNext w:val="0"/>
        <w:keepLines w:val="0"/>
        <w:pageBreakBefore w:val="0"/>
        <w:widowControl/>
        <w:kinsoku/>
        <w:wordWrap/>
        <w:overflowPunct/>
        <w:topLinePunct w:val="0"/>
        <w:autoSpaceDE/>
        <w:autoSpaceDN/>
        <w:bidi w:val="0"/>
        <w:adjustRightInd w:val="0"/>
        <w:snapToGrid w:val="0"/>
        <w:spacing w:before="153" w:line="560" w:lineRule="exact"/>
        <w:ind w:left="487"/>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pacing w:val="-1"/>
          <w:sz w:val="24"/>
          <w:szCs w:val="24"/>
          <w:highlight w:val="none"/>
          <w14:textFill>
            <w14:solidFill>
              <w14:schemeClr w14:val="tx1"/>
            </w14:solidFill>
          </w14:textFill>
        </w:rPr>
        <w:t>④设置安全防护设施。</w:t>
      </w:r>
    </w:p>
    <w:p w14:paraId="7DE4B4B1">
      <w:pPr>
        <w:keepNext w:val="0"/>
        <w:keepLines w:val="0"/>
        <w:pageBreakBefore w:val="0"/>
        <w:widowControl/>
        <w:suppressLineNumbers w:val="0"/>
        <w:kinsoku/>
        <w:wordWrap/>
        <w:overflowPunct/>
        <w:topLinePunct w:val="0"/>
        <w:autoSpaceDE/>
        <w:autoSpaceDN/>
        <w:bidi w:val="0"/>
        <w:adjustRightInd/>
        <w:snapToGrid/>
        <w:spacing w:line="360" w:lineRule="auto"/>
        <w:ind w:firstLine="482" w:firstLineChars="200"/>
        <w:jc w:val="left"/>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★4.3自动雨量站建成后，须与县级和省级山洪灾害监测预警预报平台联网，并保障实时降雨数据能及时准确传输，供应商在投标时需作出承诺。</w:t>
      </w:r>
    </w:p>
    <w:p w14:paraId="0B0AF831">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 xml:space="preserve">4、售后服务 </w:t>
      </w:r>
    </w:p>
    <w:p w14:paraId="003A249A">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（1）免费送货上门、免费安装和调试，附安装说明书和售后服务电话。</w:t>
      </w:r>
    </w:p>
    <w:p w14:paraId="5F487FBA">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（2）产品交付使用一周内，进行上门观察检测使用情况。</w:t>
      </w:r>
    </w:p>
    <w:p w14:paraId="1DF4AF9F">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（3）在安装验收后，免费提供专业的产品养护及使用技巧培训。</w:t>
      </w:r>
    </w:p>
    <w:p w14:paraId="44653E56">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（4）产品使用期间，提供免费上门维修服务，每季度上门回访做维修保养，核查产品的质量状况，发现问题及时处理。</w:t>
      </w:r>
    </w:p>
    <w:p w14:paraId="2B2C2C86">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（5）免费保修期满前1个月内乙方应负责对产品进行一次免费全面检查，如发现潜在问题，应负责排除，保证产品正常使用。</w:t>
      </w:r>
    </w:p>
    <w:p w14:paraId="4DADD72E">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（6）乙方公司为甲方预存零配件，产品交付使用时乙方为甲方管理部门提供一定数量的零配件。</w:t>
      </w:r>
    </w:p>
    <w:p w14:paraId="7A3A1B32">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（7）在质量保证期内，任何原因造成的产品不能正常使用的情况下，乙方均应提供替代产品，以确保甲方正常办公。</w:t>
      </w:r>
    </w:p>
    <w:p w14:paraId="4296F888">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（8）供应商的报价应包含新建自动雨量站、已建老化、受损设备雨量站的站点通讯费（一年）、管理费用等一切费用。</w:t>
      </w:r>
    </w:p>
    <w:p w14:paraId="6CF115BE">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（9）在质保期内，同一缺陷经三次维修、调换后仍无法达到质量标准的，则认定该类产品均不合格，甲方有权将该类产品无条件退货、退款。由此造成的损失，全部由乙方承担。</w:t>
      </w:r>
    </w:p>
    <w:p w14:paraId="7CC711F4">
      <w:pPr>
        <w:keepNext w:val="0"/>
        <w:keepLines w:val="0"/>
        <w:pageBreakBefore w:val="0"/>
        <w:widowControl/>
        <w:suppressLineNumbers w:val="0"/>
        <w:kinsoku/>
        <w:wordWrap/>
        <w:overflowPunct/>
        <w:topLinePunct w:val="0"/>
        <w:autoSpaceDE/>
        <w:autoSpaceDN/>
        <w:bidi w:val="0"/>
        <w:adjustRightInd/>
        <w:snapToGrid/>
        <w:spacing w:line="560" w:lineRule="exact"/>
        <w:ind w:firstLine="482"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kern w:val="0"/>
          <w:sz w:val="24"/>
          <w:szCs w:val="24"/>
          <w:highlight w:val="none"/>
          <w:lang w:val="en-US" w:eastAsia="zh-CN" w:bidi="ar"/>
          <w14:textFill>
            <w14:solidFill>
              <w14:schemeClr w14:val="tx1"/>
            </w14:solidFill>
          </w14:textFill>
        </w:rPr>
        <w:t xml:space="preserve">5、质量保证期 </w:t>
      </w:r>
    </w:p>
    <w:p w14:paraId="2829339C">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自验收结束之日起不低于1年质保，质量保质期内应免费对软件进行升级服务，提供相关技术支持，证书免费授权升级。国家主管部门或者行业标准对货物本身有更高要求的，从其规定并在合同中约定，供应商亦可提报更长的质保期。在质保期内，发生的非人为损坏的设备或材料问题，均由供应商负责维修或更换（质保范围由双方在合同中约定），其所有费用均由供应商自行承担。质保期从货物经最终验收合格之日开始计算，质保期内每个季度应进行维护保养1次。</w:t>
      </w:r>
    </w:p>
    <w:p w14:paraId="02123A28">
      <w:pPr>
        <w:pStyle w:val="6"/>
        <w:keepNext w:val="0"/>
        <w:keepLines w:val="0"/>
        <w:pageBreakBefore w:val="0"/>
        <w:widowControl/>
        <w:kinsoku/>
        <w:wordWrap/>
        <w:overflowPunct/>
        <w:topLinePunct w:val="0"/>
        <w:autoSpaceDE/>
        <w:autoSpaceDN/>
        <w:bidi w:val="0"/>
        <w:spacing w:line="560" w:lineRule="exac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质量保证期内，如果证实货物是有缺陷的，包括潜在的缺陷或者使用不符合要求的材料等，中标人应立即免费维修或者更换有缺陷的货物或者部件，保证达到合同规定的技术以及性能要求。中标人在收到通知后五个工作日内没有弥补缺陷，招标人可自行采取必要的补救措施，但风险和费用由中标人承担，招标人同时保留通过法律途径进行索赔的权利。</w:t>
      </w:r>
    </w:p>
    <w:p w14:paraId="10FF6389">
      <w:pPr>
        <w:keepNext w:val="0"/>
        <w:keepLines w:val="0"/>
        <w:widowControl/>
        <w:suppressLineNumbers w:val="0"/>
        <w:jc w:val="left"/>
        <w:rPr>
          <w:rFonts w:hint="eastAsia" w:ascii="仿宋" w:hAnsi="仿宋" w:eastAsia="仿宋" w:cs="仿宋"/>
          <w:color w:val="000000" w:themeColor="text1"/>
          <w:highlight w:val="none"/>
          <w14:textFill>
            <w14:solidFill>
              <w14:schemeClr w14:val="tx1"/>
            </w14:solidFill>
          </w14:textFill>
        </w:rPr>
      </w:pPr>
    </w:p>
    <w:p w14:paraId="4C9B1F2C">
      <w:pPr>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br w:type="page"/>
      </w:r>
    </w:p>
    <w:p w14:paraId="58518574">
      <w:pPr>
        <w:pStyle w:val="2"/>
        <w:spacing w:line="360" w:lineRule="auto"/>
        <w:jc w:val="center"/>
        <w:outlineLvl w:val="0"/>
        <w:rPr>
          <w:rFonts w:hint="eastAsia"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30"/>
          <w:szCs w:val="30"/>
          <w:highlight w:val="none"/>
          <w14:textFill>
            <w14:solidFill>
              <w14:schemeClr w14:val="tx1"/>
            </w14:solidFill>
          </w14:textFill>
        </w:rPr>
        <w:t>第</w:t>
      </w:r>
      <w:r>
        <w:rPr>
          <w:rFonts w:hint="eastAsia" w:ascii="仿宋" w:hAnsi="仿宋" w:eastAsia="仿宋" w:cs="仿宋"/>
          <w:color w:val="000000" w:themeColor="text1"/>
          <w:sz w:val="30"/>
          <w:szCs w:val="30"/>
          <w:highlight w:val="none"/>
          <w:lang w:val="en-US" w:eastAsia="zh-CN"/>
          <w14:textFill>
            <w14:solidFill>
              <w14:schemeClr w14:val="tx1"/>
            </w14:solidFill>
          </w14:textFill>
        </w:rPr>
        <w:t>六</w:t>
      </w:r>
      <w:r>
        <w:rPr>
          <w:rFonts w:hint="eastAsia" w:ascii="仿宋" w:hAnsi="仿宋" w:eastAsia="仿宋" w:cs="仿宋"/>
          <w:color w:val="000000" w:themeColor="text1"/>
          <w:sz w:val="30"/>
          <w:szCs w:val="30"/>
          <w:highlight w:val="none"/>
          <w14:textFill>
            <w14:solidFill>
              <w14:schemeClr w14:val="tx1"/>
            </w14:solidFill>
          </w14:textFill>
        </w:rPr>
        <w:t xml:space="preserve">章  </w:t>
      </w:r>
      <w:bookmarkEnd w:id="137"/>
      <w:bookmarkEnd w:id="138"/>
      <w:r>
        <w:rPr>
          <w:rFonts w:hint="eastAsia" w:ascii="仿宋" w:hAnsi="仿宋" w:eastAsia="仿宋" w:cs="仿宋"/>
          <w:color w:val="000000" w:themeColor="text1"/>
          <w:sz w:val="30"/>
          <w:szCs w:val="30"/>
          <w:highlight w:val="none"/>
          <w14:textFill>
            <w14:solidFill>
              <w14:schemeClr w14:val="tx1"/>
            </w14:solidFill>
          </w14:textFill>
        </w:rPr>
        <w:t>竞争性磋商响应文件格式</w:t>
      </w:r>
      <w:bookmarkEnd w:id="139"/>
      <w:bookmarkEnd w:id="140"/>
      <w:bookmarkEnd w:id="141"/>
    </w:p>
    <w:p w14:paraId="5842DCA9">
      <w:pPr>
        <w:pStyle w:val="27"/>
        <w:spacing w:line="360" w:lineRule="auto"/>
        <w:ind w:left="0" w:leftChars="0" w:firstLine="0" w:firstLineChars="0"/>
        <w:rPr>
          <w:rFonts w:hint="eastAsia" w:ascii="仿宋" w:hAnsi="仿宋" w:eastAsia="仿宋" w:cs="仿宋"/>
          <w:color w:val="000000" w:themeColor="text1"/>
          <w:sz w:val="32"/>
          <w:szCs w:val="32"/>
          <w:highlight w:val="none"/>
          <w14:textFill>
            <w14:solidFill>
              <w14:schemeClr w14:val="tx1"/>
            </w14:solidFill>
          </w14:textFill>
        </w:rPr>
      </w:pPr>
    </w:p>
    <w:p w14:paraId="278852C1">
      <w:pPr>
        <w:pStyle w:val="27"/>
        <w:spacing w:line="360" w:lineRule="auto"/>
        <w:rPr>
          <w:rFonts w:hint="eastAsia" w:ascii="仿宋" w:hAnsi="仿宋" w:eastAsia="仿宋" w:cs="仿宋"/>
          <w:color w:val="000000" w:themeColor="text1"/>
          <w:sz w:val="32"/>
          <w:szCs w:val="32"/>
          <w:highlight w:val="none"/>
          <w14:textFill>
            <w14:solidFill>
              <w14:schemeClr w14:val="tx1"/>
            </w14:solidFill>
          </w14:textFill>
        </w:rPr>
      </w:pPr>
    </w:p>
    <w:p w14:paraId="3566AE53">
      <w:pPr>
        <w:spacing w:line="360" w:lineRule="auto"/>
        <w:jc w:val="center"/>
        <w:rPr>
          <w:rFonts w:hint="eastAsia" w:ascii="仿宋" w:hAnsi="仿宋" w:eastAsia="仿宋" w:cs="仿宋"/>
          <w:color w:val="000000" w:themeColor="text1"/>
          <w:sz w:val="36"/>
          <w:szCs w:val="36"/>
          <w:highlight w:val="none"/>
          <w14:textFill>
            <w14:solidFill>
              <w14:schemeClr w14:val="tx1"/>
            </w14:solidFill>
          </w14:textFill>
        </w:rPr>
      </w:pPr>
      <w:r>
        <w:rPr>
          <w:rFonts w:hint="eastAsia" w:ascii="仿宋" w:hAnsi="仿宋" w:eastAsia="仿宋" w:cs="仿宋"/>
          <w:color w:val="000000" w:themeColor="text1"/>
          <w:sz w:val="36"/>
          <w:szCs w:val="36"/>
          <w:highlight w:val="none"/>
          <w14:textFill>
            <w14:solidFill>
              <w14:schemeClr w14:val="tx1"/>
            </w14:solidFill>
          </w14:textFill>
        </w:rPr>
        <w:t>项目名称</w:t>
      </w:r>
    </w:p>
    <w:p w14:paraId="1F82FA2C">
      <w:pPr>
        <w:spacing w:line="360" w:lineRule="auto"/>
        <w:jc w:val="both"/>
        <w:rPr>
          <w:rFonts w:hint="eastAsia" w:ascii="仿宋" w:hAnsi="仿宋" w:eastAsia="仿宋" w:cs="仿宋"/>
          <w:b/>
          <w:bCs/>
          <w:color w:val="000000" w:themeColor="text1"/>
          <w:sz w:val="52"/>
          <w:szCs w:val="52"/>
          <w:highlight w:val="none"/>
          <w:lang w:bidi="zh-CN"/>
          <w14:textFill>
            <w14:solidFill>
              <w14:schemeClr w14:val="tx1"/>
            </w14:solidFill>
          </w14:textFill>
        </w:rPr>
      </w:pPr>
    </w:p>
    <w:p w14:paraId="7C4E2970">
      <w:pPr>
        <w:spacing w:line="360" w:lineRule="auto"/>
        <w:jc w:val="center"/>
        <w:rPr>
          <w:rFonts w:hint="eastAsia" w:ascii="仿宋" w:hAnsi="仿宋" w:eastAsia="仿宋" w:cs="仿宋"/>
          <w:b/>
          <w:bCs/>
          <w:color w:val="000000" w:themeColor="text1"/>
          <w:sz w:val="52"/>
          <w:szCs w:val="52"/>
          <w:highlight w:val="none"/>
          <w:lang w:bidi="zh-CN"/>
          <w14:textFill>
            <w14:solidFill>
              <w14:schemeClr w14:val="tx1"/>
            </w14:solidFill>
          </w14:textFill>
        </w:rPr>
      </w:pPr>
      <w:r>
        <w:rPr>
          <w:rFonts w:hint="eastAsia" w:ascii="仿宋" w:hAnsi="仿宋" w:eastAsia="仿宋" w:cs="仿宋"/>
          <w:b/>
          <w:bCs/>
          <w:color w:val="000000" w:themeColor="text1"/>
          <w:sz w:val="52"/>
          <w:szCs w:val="52"/>
          <w:highlight w:val="none"/>
          <w:lang w:bidi="zh-CN"/>
          <w14:textFill>
            <w14:solidFill>
              <w14:schemeClr w14:val="tx1"/>
            </w14:solidFill>
          </w14:textFill>
        </w:rPr>
        <w:t>竞争性磋商响应文件</w:t>
      </w:r>
    </w:p>
    <w:p w14:paraId="10AA3C37">
      <w:pPr>
        <w:spacing w:line="360" w:lineRule="auto"/>
        <w:jc w:val="center"/>
        <w:rPr>
          <w:rFonts w:hint="eastAsia" w:ascii="仿宋" w:hAnsi="仿宋" w:eastAsia="仿宋" w:cs="仿宋"/>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项目</w:t>
      </w:r>
      <w:r>
        <w:rPr>
          <w:rFonts w:hint="eastAsia" w:ascii="仿宋" w:hAnsi="仿宋" w:eastAsia="仿宋" w:cs="仿宋"/>
          <w:color w:val="000000" w:themeColor="text1"/>
          <w:sz w:val="28"/>
          <w:szCs w:val="28"/>
          <w:highlight w:val="none"/>
          <w14:textFill>
            <w14:solidFill>
              <w14:schemeClr w14:val="tx1"/>
            </w14:solidFill>
          </w14:textFill>
        </w:rPr>
        <w:t>编号：</w:t>
      </w:r>
    </w:p>
    <w:p w14:paraId="1B3ACEAD">
      <w:pPr>
        <w:spacing w:line="360" w:lineRule="auto"/>
        <w:ind w:firstLine="316" w:firstLineChars="150"/>
        <w:rPr>
          <w:rFonts w:hint="eastAsia" w:ascii="仿宋" w:hAnsi="仿宋" w:eastAsia="仿宋" w:cs="仿宋"/>
          <w:b/>
          <w:color w:val="000000" w:themeColor="text1"/>
          <w:kern w:val="2"/>
          <w:sz w:val="21"/>
          <w:szCs w:val="21"/>
          <w:highlight w:val="none"/>
          <w14:textFill>
            <w14:solidFill>
              <w14:schemeClr w14:val="tx1"/>
            </w14:solidFill>
          </w14:textFill>
        </w:rPr>
      </w:pPr>
    </w:p>
    <w:p w14:paraId="45B837FA">
      <w:pPr>
        <w:spacing w:line="360" w:lineRule="auto"/>
        <w:rPr>
          <w:rFonts w:hint="eastAsia" w:ascii="仿宋" w:hAnsi="仿宋" w:eastAsia="仿宋" w:cs="仿宋"/>
          <w:bCs/>
          <w:color w:val="000000" w:themeColor="text1"/>
          <w:szCs w:val="21"/>
          <w:highlight w:val="none"/>
          <w14:textFill>
            <w14:solidFill>
              <w14:schemeClr w14:val="tx1"/>
            </w14:solidFill>
          </w14:textFill>
        </w:rPr>
      </w:pPr>
    </w:p>
    <w:p w14:paraId="4D80A94F">
      <w:pPr>
        <w:spacing w:line="360" w:lineRule="auto"/>
        <w:ind w:firstLine="330" w:firstLineChars="150"/>
        <w:rPr>
          <w:rFonts w:hint="eastAsia" w:ascii="仿宋" w:hAnsi="仿宋" w:eastAsia="仿宋" w:cs="仿宋"/>
          <w:bCs/>
          <w:color w:val="000000" w:themeColor="text1"/>
          <w:szCs w:val="21"/>
          <w:highlight w:val="none"/>
          <w14:textFill>
            <w14:solidFill>
              <w14:schemeClr w14:val="tx1"/>
            </w14:solidFill>
          </w14:textFill>
        </w:rPr>
      </w:pPr>
    </w:p>
    <w:p w14:paraId="77B4664A">
      <w:pPr>
        <w:spacing w:after="0" w:line="360" w:lineRule="auto"/>
        <w:ind w:firstLine="480" w:firstLineChars="200"/>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8"/>
          <w:szCs w:val="28"/>
          <w:highlight w:val="none"/>
          <w14:textFill>
            <w14:solidFill>
              <w14:schemeClr w14:val="tx1"/>
            </w14:solidFill>
          </w14:textFill>
        </w:rPr>
        <w:t>：</w:t>
      </w:r>
      <w:r>
        <w:rPr>
          <w:rFonts w:hint="eastAsia" w:ascii="仿宋" w:hAnsi="仿宋" w:eastAsia="仿宋" w:cs="仿宋"/>
          <w:color w:val="000000" w:themeColor="text1"/>
          <w:sz w:val="28"/>
          <w:szCs w:val="28"/>
          <w:highlight w:val="none"/>
          <w:u w:val="single"/>
          <w14:textFill>
            <w14:solidFill>
              <w14:schemeClr w14:val="tx1"/>
            </w14:solidFill>
          </w14:textFill>
        </w:rPr>
        <w:t xml:space="preserve">                       （盖</w:t>
      </w:r>
      <w:r>
        <w:rPr>
          <w:rFonts w:hint="eastAsia" w:ascii="仿宋" w:hAnsi="仿宋" w:eastAsia="仿宋" w:cs="仿宋"/>
          <w:color w:val="000000" w:themeColor="text1"/>
          <w:sz w:val="28"/>
          <w:szCs w:val="28"/>
          <w:highlight w:val="none"/>
          <w:u w:val="single"/>
          <w:lang w:eastAsia="zh-CN"/>
          <w14:textFill>
            <w14:solidFill>
              <w14:schemeClr w14:val="tx1"/>
            </w14:solidFill>
          </w14:textFill>
        </w:rPr>
        <w:t>单位</w:t>
      </w:r>
      <w:r>
        <w:rPr>
          <w:rFonts w:hint="eastAsia" w:ascii="仿宋" w:hAnsi="仿宋" w:eastAsia="仿宋" w:cs="仿宋"/>
          <w:color w:val="000000" w:themeColor="text1"/>
          <w:sz w:val="28"/>
          <w:szCs w:val="28"/>
          <w:highlight w:val="none"/>
          <w:u w:val="single"/>
          <w14:textFill>
            <w14:solidFill>
              <w14:schemeClr w14:val="tx1"/>
            </w14:solidFill>
          </w14:textFill>
        </w:rPr>
        <w:t>章）</w:t>
      </w:r>
    </w:p>
    <w:p w14:paraId="3617373B">
      <w:pPr>
        <w:spacing w:after="0" w:line="360" w:lineRule="auto"/>
        <w:ind w:firstLine="560" w:firstLineChars="200"/>
        <w:jc w:val="left"/>
        <w:rPr>
          <w:rFonts w:hint="eastAsia" w:ascii="仿宋" w:hAnsi="仿宋" w:eastAsia="仿宋" w:cs="仿宋"/>
          <w:color w:val="000000" w:themeColor="text1"/>
          <w:sz w:val="28"/>
          <w:szCs w:val="28"/>
          <w:highlight w:val="none"/>
          <w14:textFill>
            <w14:solidFill>
              <w14:schemeClr w14:val="tx1"/>
            </w14:solidFill>
          </w14:textFill>
        </w:rPr>
      </w:pPr>
    </w:p>
    <w:p w14:paraId="3127F3C8">
      <w:pPr>
        <w:spacing w:after="0" w:line="360" w:lineRule="auto"/>
        <w:ind w:firstLine="560" w:firstLineChars="200"/>
        <w:jc w:val="left"/>
        <w:rPr>
          <w:rFonts w:hint="eastAsia" w:ascii="仿宋" w:hAnsi="仿宋" w:eastAsia="仿宋" w:cs="仿宋"/>
          <w:color w:val="000000" w:themeColor="text1"/>
          <w:sz w:val="28"/>
          <w:szCs w:val="28"/>
          <w:highlight w:val="none"/>
          <w:u w:val="singl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法定代表人或其委托代理人：</w:t>
      </w:r>
      <w:r>
        <w:rPr>
          <w:rFonts w:hint="eastAsia" w:ascii="仿宋" w:hAnsi="仿宋" w:eastAsia="仿宋" w:cs="仿宋"/>
          <w:color w:val="000000" w:themeColor="text1"/>
          <w:sz w:val="28"/>
          <w:szCs w:val="28"/>
          <w:highlight w:val="none"/>
          <w:u w:val="single"/>
          <w14:textFill>
            <w14:solidFill>
              <w14:schemeClr w14:val="tx1"/>
            </w14:solidFill>
          </w14:textFill>
        </w:rPr>
        <w:t xml:space="preserve">               （盖章或签字）</w:t>
      </w:r>
    </w:p>
    <w:p w14:paraId="2BEA0C9C">
      <w:pPr>
        <w:spacing w:after="0" w:line="360" w:lineRule="auto"/>
        <w:ind w:firstLine="560" w:firstLineChars="200"/>
        <w:jc w:val="left"/>
        <w:rPr>
          <w:rFonts w:hint="eastAsia" w:ascii="仿宋" w:hAnsi="仿宋" w:eastAsia="仿宋" w:cs="仿宋"/>
          <w:color w:val="000000" w:themeColor="text1"/>
          <w:sz w:val="28"/>
          <w:szCs w:val="28"/>
          <w:highlight w:val="none"/>
          <w14:textFill>
            <w14:solidFill>
              <w14:schemeClr w14:val="tx1"/>
            </w14:solidFill>
          </w14:textFill>
        </w:rPr>
      </w:pPr>
    </w:p>
    <w:p w14:paraId="0156DC9D">
      <w:pPr>
        <w:spacing w:after="0" w:line="360" w:lineRule="auto"/>
        <w:ind w:firstLine="560" w:firstLineChars="200"/>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 xml:space="preserve">年 </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 xml:space="preserve">月 </w:t>
      </w:r>
      <w:r>
        <w:rPr>
          <w:rFonts w:hint="eastAsia" w:ascii="仿宋" w:hAnsi="仿宋" w:eastAsia="仿宋" w:cs="仿宋"/>
          <w:color w:val="000000" w:themeColor="text1"/>
          <w:sz w:val="28"/>
          <w:szCs w:val="28"/>
          <w:highlight w:val="none"/>
          <w14:textFill>
            <w14:solidFill>
              <w14:schemeClr w14:val="tx1"/>
            </w14:solidFill>
          </w14:textFill>
        </w:rPr>
        <w:tab/>
      </w:r>
      <w:r>
        <w:rPr>
          <w:rFonts w:hint="eastAsia" w:ascii="仿宋" w:hAnsi="仿宋" w:eastAsia="仿宋" w:cs="仿宋"/>
          <w:color w:val="000000" w:themeColor="text1"/>
          <w:sz w:val="28"/>
          <w:szCs w:val="28"/>
          <w:highlight w:val="none"/>
          <w14:textFill>
            <w14:solidFill>
              <w14:schemeClr w14:val="tx1"/>
            </w14:solidFill>
          </w14:textFill>
        </w:rPr>
        <w:t>日</w:t>
      </w:r>
      <w:r>
        <w:rPr>
          <w:rFonts w:hint="eastAsia" w:ascii="仿宋" w:hAnsi="仿宋" w:eastAsia="仿宋" w:cs="仿宋"/>
          <w:color w:val="000000" w:themeColor="text1"/>
          <w:sz w:val="28"/>
          <w:szCs w:val="28"/>
          <w:highlight w:val="none"/>
          <w14:textFill>
            <w14:solidFill>
              <w14:schemeClr w14:val="tx1"/>
            </w14:solidFill>
          </w14:textFill>
        </w:rPr>
        <w:br w:type="page"/>
      </w:r>
      <w:bookmarkStart w:id="142" w:name="_Toc531966063"/>
      <w:bookmarkStart w:id="143" w:name="_Toc536534332"/>
      <w:bookmarkStart w:id="144" w:name="_Toc536534062"/>
      <w:bookmarkStart w:id="145" w:name="_Toc525741713"/>
      <w:bookmarkStart w:id="146" w:name="_Toc13299"/>
      <w:r>
        <w:rPr>
          <w:rFonts w:hint="eastAsia" w:ascii="仿宋" w:hAnsi="仿宋" w:eastAsia="仿宋" w:cs="仿宋"/>
          <w:color w:val="000000" w:themeColor="text1"/>
          <w:sz w:val="24"/>
          <w:szCs w:val="24"/>
          <w:highlight w:val="none"/>
          <w14:textFill>
            <w14:solidFill>
              <w14:schemeClr w14:val="tx1"/>
            </w14:solidFill>
          </w14:textFill>
        </w:rPr>
        <w:t>目        录</w:t>
      </w:r>
      <w:bookmarkEnd w:id="142"/>
      <w:bookmarkEnd w:id="143"/>
      <w:bookmarkEnd w:id="144"/>
      <w:bookmarkEnd w:id="145"/>
      <w:bookmarkEnd w:id="146"/>
    </w:p>
    <w:p w14:paraId="7554AEDC">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1.磋商函</w:t>
      </w:r>
    </w:p>
    <w:p w14:paraId="1DE1A4FA">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w:t>
      </w:r>
      <w:r>
        <w:rPr>
          <w:rFonts w:hint="eastAsia" w:ascii="仿宋" w:hAnsi="仿宋" w:eastAsia="仿宋" w:cs="仿宋"/>
          <w:color w:val="000000" w:themeColor="text1"/>
          <w:sz w:val="24"/>
          <w:szCs w:val="24"/>
          <w:highlight w:val="none"/>
          <w:lang w:val="en-US" w:eastAsia="zh-CN"/>
          <w14:textFill>
            <w14:solidFill>
              <w14:schemeClr w14:val="tx1"/>
            </w14:solidFill>
          </w14:textFill>
        </w:rPr>
        <w:t>磋商报价</w:t>
      </w:r>
    </w:p>
    <w:p w14:paraId="64CC42C0">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3.法定代表人身份证明书</w:t>
      </w:r>
    </w:p>
    <w:p w14:paraId="107ACD97">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4.授权委托书</w:t>
      </w:r>
    </w:p>
    <w:p w14:paraId="57F84294">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5</w:t>
      </w:r>
      <w:r>
        <w:rPr>
          <w:rFonts w:hint="eastAsia" w:ascii="仿宋" w:hAnsi="仿宋" w:eastAsia="仿宋" w:cs="仿宋"/>
          <w:color w:val="000000" w:themeColor="text1"/>
          <w:sz w:val="24"/>
          <w:szCs w:val="24"/>
          <w:highlight w:val="none"/>
          <w14:textFill>
            <w14:solidFill>
              <w14:schemeClr w14:val="tx1"/>
            </w14:solidFill>
          </w14:textFill>
        </w:rPr>
        <w:t>.资格审查资料</w:t>
      </w:r>
    </w:p>
    <w:p w14:paraId="6FA1E510">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6</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lang w:val="en-US" w:eastAsia="zh-CN"/>
          <w14:textFill>
            <w14:solidFill>
              <w14:schemeClr w14:val="tx1"/>
            </w14:solidFill>
          </w14:textFill>
        </w:rPr>
        <w:t>技术部分</w:t>
      </w:r>
    </w:p>
    <w:p w14:paraId="0C7AA3BC">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7.供应商认为需要提交的其他资料或竞争性磋商文件要求提交的其他资料</w:t>
      </w:r>
    </w:p>
    <w:p w14:paraId="7D12CB81">
      <w:pPr>
        <w:keepNext w:val="0"/>
        <w:keepLines w:val="0"/>
        <w:pageBreakBefore w:val="0"/>
        <w:widowControl/>
        <w:kinsoku/>
        <w:wordWrap/>
        <w:overflowPunct/>
        <w:topLinePunct w:val="0"/>
        <w:autoSpaceDE/>
        <w:autoSpaceDN/>
        <w:bidi w:val="0"/>
        <w:adjustRightInd w:val="0"/>
        <w:snapToGrid w:val="0"/>
        <w:spacing w:after="0" w:line="560" w:lineRule="exact"/>
        <w:ind w:firstLine="480" w:firstLineChars="200"/>
        <w:textAlignment w:val="auto"/>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8.中小企业、残疾人福利性单位、监狱企业证明文件</w:t>
      </w:r>
    </w:p>
    <w:p w14:paraId="7472672A">
      <w:pPr>
        <w:spacing w:after="0" w:line="360" w:lineRule="auto"/>
        <w:rPr>
          <w:rFonts w:hint="eastAsia" w:ascii="仿宋" w:hAnsi="仿宋" w:eastAsia="仿宋" w:cs="仿宋"/>
          <w:color w:val="000000" w:themeColor="text1"/>
          <w:sz w:val="28"/>
          <w:szCs w:val="28"/>
          <w:highlight w:val="none"/>
          <w14:textFill>
            <w14:solidFill>
              <w14:schemeClr w14:val="tx1"/>
            </w14:solidFill>
          </w14:textFill>
        </w:rPr>
      </w:pPr>
    </w:p>
    <w:p w14:paraId="5559D9F9">
      <w:pPr>
        <w:pStyle w:val="4"/>
        <w:numPr>
          <w:ilvl w:val="0"/>
          <w:numId w:val="5"/>
        </w:numPr>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147" w:name="_Toc377658032"/>
      <w:bookmarkStart w:id="148" w:name="_Toc470531294"/>
      <w:bookmarkStart w:id="149" w:name="_Toc377657302"/>
      <w:bookmarkStart w:id="150" w:name="_Toc377657823"/>
      <w:bookmarkStart w:id="151" w:name="_Toc11914"/>
      <w:bookmarkStart w:id="152" w:name="_Toc536534063"/>
      <w:bookmarkStart w:id="153" w:name="_Toc377657104"/>
      <w:bookmarkStart w:id="154" w:name="_Toc201460598"/>
      <w:bookmarkStart w:id="155" w:name="_Toc377657375"/>
      <w:bookmarkStart w:id="156" w:name="_Toc531966064"/>
      <w:bookmarkStart w:id="157" w:name="_Toc377657518"/>
      <w:bookmarkStart w:id="158" w:name="_Toc536534333"/>
      <w:bookmarkStart w:id="159" w:name="_Toc377657234"/>
      <w:r>
        <w:rPr>
          <w:rFonts w:hint="eastAsia" w:ascii="仿宋" w:hAnsi="仿宋" w:eastAsia="仿宋" w:cs="仿宋"/>
          <w:color w:val="000000" w:themeColor="text1"/>
          <w:sz w:val="28"/>
          <w:szCs w:val="28"/>
          <w:highlight w:val="none"/>
          <w14:textFill>
            <w14:solidFill>
              <w14:schemeClr w14:val="tx1"/>
            </w14:solidFill>
          </w14:textFill>
        </w:rPr>
        <w:br w:type="page"/>
      </w:r>
      <w:r>
        <w:rPr>
          <w:rFonts w:hint="eastAsia" w:ascii="仿宋" w:hAnsi="仿宋" w:eastAsia="仿宋" w:cs="仿宋"/>
          <w:color w:val="000000" w:themeColor="text1"/>
          <w:sz w:val="28"/>
          <w:szCs w:val="28"/>
          <w:highlight w:val="none"/>
          <w14:textFill>
            <w14:solidFill>
              <w14:schemeClr w14:val="tx1"/>
            </w14:solidFill>
          </w14:textFill>
        </w:rPr>
        <w:t>磋商函</w:t>
      </w:r>
      <w:bookmarkEnd w:id="147"/>
      <w:bookmarkEnd w:id="148"/>
      <w:bookmarkEnd w:id="149"/>
      <w:bookmarkEnd w:id="150"/>
      <w:bookmarkEnd w:id="151"/>
      <w:bookmarkEnd w:id="152"/>
      <w:bookmarkEnd w:id="153"/>
      <w:bookmarkEnd w:id="154"/>
      <w:bookmarkEnd w:id="155"/>
      <w:bookmarkEnd w:id="156"/>
      <w:bookmarkEnd w:id="157"/>
      <w:bookmarkEnd w:id="158"/>
      <w:bookmarkEnd w:id="159"/>
    </w:p>
    <w:p w14:paraId="4874F86B">
      <w:pPr>
        <w:keepNext w:val="0"/>
        <w:keepLines w:val="0"/>
        <w:pageBreakBefore w:val="0"/>
        <w:widowControl w:val="0"/>
        <w:kinsoku/>
        <w:wordWrap/>
        <w:overflowPunct/>
        <w:topLinePunct w:val="0"/>
        <w:bidi w:val="0"/>
        <w:snapToGrid/>
        <w:spacing w:after="0" w:line="500" w:lineRule="exact"/>
        <w:ind w:firstLine="482" w:firstLineChars="200"/>
        <w:jc w:val="both"/>
        <w:textAlignment w:val="auto"/>
        <w:rPr>
          <w:rFonts w:hint="eastAsia" w:ascii="仿宋" w:hAnsi="仿宋" w:eastAsia="仿宋" w:cs="仿宋"/>
          <w:b/>
          <w:bCs/>
          <w:color w:val="000000" w:themeColor="text1"/>
          <w:kern w:val="2"/>
          <w:sz w:val="24"/>
          <w:szCs w:val="24"/>
          <w:highlight w:val="none"/>
          <w:u w:val="single"/>
          <w14:textFill>
            <w14:solidFill>
              <w14:schemeClr w14:val="tx1"/>
            </w14:solidFill>
          </w14:textFill>
        </w:rPr>
      </w:pPr>
      <w:bookmarkStart w:id="160" w:name="_Toc531966065"/>
      <w:r>
        <w:rPr>
          <w:rFonts w:hint="eastAsia" w:ascii="仿宋" w:hAnsi="仿宋" w:eastAsia="仿宋" w:cs="仿宋"/>
          <w:b/>
          <w:bCs/>
          <w:color w:val="000000" w:themeColor="text1"/>
          <w:kern w:val="2"/>
          <w:sz w:val="24"/>
          <w:szCs w:val="24"/>
          <w:highlight w:val="none"/>
          <w14:textFill>
            <w14:solidFill>
              <w14:schemeClr w14:val="tx1"/>
            </w14:solidFill>
          </w14:textFill>
        </w:rPr>
        <w:t>致</w:t>
      </w:r>
      <w:r>
        <w:rPr>
          <w:rFonts w:hint="eastAsia" w:ascii="仿宋" w:hAnsi="仿宋" w:eastAsia="仿宋" w:cs="仿宋"/>
          <w:b/>
          <w:bCs/>
          <w:color w:val="000000" w:themeColor="text1"/>
          <w:kern w:val="2"/>
          <w:sz w:val="24"/>
          <w:szCs w:val="24"/>
          <w:highlight w:val="none"/>
          <w:lang w:eastAsia="zh-CN"/>
          <w14:textFill>
            <w14:solidFill>
              <w14:schemeClr w14:val="tx1"/>
            </w14:solidFill>
          </w14:textFill>
        </w:rPr>
        <w:t>：</w:t>
      </w:r>
      <w:r>
        <w:rPr>
          <w:rFonts w:hint="eastAsia" w:ascii="仿宋" w:hAnsi="仿宋" w:eastAsia="仿宋" w:cs="仿宋"/>
          <w:b/>
          <w:bCs/>
          <w:color w:val="000000" w:themeColor="text1"/>
          <w:kern w:val="2"/>
          <w:sz w:val="24"/>
          <w:szCs w:val="24"/>
          <w:highlight w:val="none"/>
          <w:u w:val="single"/>
          <w14:textFill>
            <w14:solidFill>
              <w14:schemeClr w14:val="tx1"/>
            </w14:solidFill>
          </w14:textFill>
        </w:rPr>
        <w:t>采购人名称</w:t>
      </w:r>
    </w:p>
    <w:p w14:paraId="6431EB93">
      <w:pPr>
        <w:keepNext w:val="0"/>
        <w:keepLines w:val="0"/>
        <w:pageBreakBefore w:val="0"/>
        <w:widowControl w:val="0"/>
        <w:kinsoku/>
        <w:wordWrap/>
        <w:overflowPunct/>
        <w:topLinePunct w:val="0"/>
        <w:bidi w:val="0"/>
        <w:snapToGrid/>
        <w:spacing w:after="0" w:line="500" w:lineRule="exact"/>
        <w:ind w:firstLine="480" w:firstLineChars="200"/>
        <w:jc w:val="both"/>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根据贵方项目编号为</w:t>
      </w:r>
      <w:r>
        <w:rPr>
          <w:rFonts w:hint="eastAsia" w:ascii="仿宋" w:hAnsi="仿宋" w:eastAsia="仿宋" w:cs="仿宋"/>
          <w:color w:val="000000" w:themeColor="text1"/>
          <w:kern w:val="2"/>
          <w:sz w:val="24"/>
          <w:szCs w:val="24"/>
          <w:highlight w:val="none"/>
          <w:u w:val="single"/>
          <w14:textFill>
            <w14:solidFill>
              <w14:schemeClr w14:val="tx1"/>
            </w14:solidFill>
          </w14:textFill>
        </w:rPr>
        <w:t>（项目编号）</w:t>
      </w:r>
      <w:r>
        <w:rPr>
          <w:rFonts w:hint="eastAsia" w:ascii="仿宋" w:hAnsi="仿宋" w:eastAsia="仿宋" w:cs="仿宋"/>
          <w:color w:val="000000" w:themeColor="text1"/>
          <w:kern w:val="2"/>
          <w:sz w:val="24"/>
          <w:szCs w:val="24"/>
          <w:highlight w:val="none"/>
          <w14:textFill>
            <w14:solidFill>
              <w14:schemeClr w14:val="tx1"/>
            </w14:solidFill>
          </w14:textFill>
        </w:rPr>
        <w:t>的</w:t>
      </w:r>
      <w:r>
        <w:rPr>
          <w:rFonts w:hint="eastAsia" w:ascii="仿宋" w:hAnsi="仿宋" w:eastAsia="仿宋" w:cs="仿宋"/>
          <w:color w:val="000000" w:themeColor="text1"/>
          <w:kern w:val="2"/>
          <w:sz w:val="24"/>
          <w:szCs w:val="24"/>
          <w:highlight w:val="none"/>
          <w:u w:val="single"/>
          <w14:textFill>
            <w14:solidFill>
              <w14:schemeClr w14:val="tx1"/>
            </w14:solidFill>
          </w14:textFill>
        </w:rPr>
        <w:t>（项目名称 ）</w:t>
      </w:r>
      <w:r>
        <w:rPr>
          <w:rFonts w:hint="eastAsia" w:ascii="仿宋" w:hAnsi="仿宋" w:eastAsia="仿宋" w:cs="仿宋"/>
          <w:color w:val="000000" w:themeColor="text1"/>
          <w:kern w:val="2"/>
          <w:sz w:val="24"/>
          <w:szCs w:val="24"/>
          <w:highlight w:val="none"/>
          <w14:textFill>
            <w14:solidFill>
              <w14:schemeClr w14:val="tx1"/>
            </w14:solidFill>
          </w14:textFill>
        </w:rPr>
        <w:t>的《竞争性磋商文件》，遵照《中华人民共和国政府采购法》等有关规定，经研究《竞争性磋商文件》的投标须知、合同条款、基础资料</w:t>
      </w:r>
      <w:r>
        <w:rPr>
          <w:rFonts w:hint="eastAsia" w:ascii="仿宋" w:hAnsi="仿宋" w:eastAsia="仿宋" w:cs="仿宋"/>
          <w:color w:val="000000" w:themeColor="text1"/>
          <w:kern w:val="2"/>
          <w:sz w:val="24"/>
          <w:szCs w:val="24"/>
          <w:highlight w:val="none"/>
          <w:lang w:eastAsia="zh-CN"/>
          <w14:textFill>
            <w14:solidFill>
              <w14:schemeClr w14:val="tx1"/>
            </w14:solidFill>
          </w14:textFill>
        </w:rPr>
        <w:t>及其他有关文件</w:t>
      </w:r>
      <w:r>
        <w:rPr>
          <w:rFonts w:hint="eastAsia" w:ascii="仿宋" w:hAnsi="仿宋" w:eastAsia="仿宋" w:cs="仿宋"/>
          <w:color w:val="000000" w:themeColor="text1"/>
          <w:kern w:val="2"/>
          <w:sz w:val="24"/>
          <w:szCs w:val="24"/>
          <w:highlight w:val="none"/>
          <w14:textFill>
            <w14:solidFill>
              <w14:schemeClr w14:val="tx1"/>
            </w14:solidFill>
          </w14:textFill>
        </w:rPr>
        <w:t>资料后提交本项目响应文件。</w:t>
      </w:r>
    </w:p>
    <w:p w14:paraId="4D59BA44">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在此，我公司郑重承诺：</w:t>
      </w:r>
    </w:p>
    <w:p w14:paraId="58D4F811">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bCs/>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我方愿意以</w:t>
      </w:r>
      <w:r>
        <w:rPr>
          <w:rFonts w:hint="eastAsia" w:ascii="仿宋" w:hAnsi="仿宋" w:eastAsia="仿宋" w:cs="仿宋"/>
          <w:color w:val="000000" w:themeColor="text1"/>
          <w:kern w:val="2"/>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14:textFill>
            <w14:solidFill>
              <w14:schemeClr w14:val="tx1"/>
            </w14:solidFill>
          </w14:textFill>
        </w:rPr>
        <w:t>元</w:t>
      </w:r>
      <w:r>
        <w:rPr>
          <w:rFonts w:hint="eastAsia" w:ascii="仿宋" w:hAnsi="仿宋" w:eastAsia="仿宋" w:cs="仿宋"/>
          <w:color w:val="000000" w:themeColor="text1"/>
          <w:kern w:val="2"/>
          <w:sz w:val="24"/>
          <w:szCs w:val="24"/>
          <w:highlight w:val="none"/>
          <w:lang w:eastAsia="zh-CN"/>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大写：人民币</w:t>
      </w:r>
      <w:r>
        <w:rPr>
          <w:rFonts w:hint="eastAsia" w:ascii="仿宋" w:hAnsi="仿宋" w:eastAsia="仿宋" w:cs="仿宋"/>
          <w:color w:val="000000" w:themeColor="text1"/>
          <w:kern w:val="2"/>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kern w:val="2"/>
          <w:sz w:val="24"/>
          <w:szCs w:val="24"/>
          <w:highlight w:val="none"/>
          <w:u w:val="none"/>
          <w:lang w:val="en-US" w:eastAsia="zh-CN"/>
          <w14:textFill>
            <w14:solidFill>
              <w14:schemeClr w14:val="tx1"/>
            </w14:solidFill>
          </w14:textFill>
        </w:rPr>
        <w:t>）</w:t>
      </w:r>
      <w:r>
        <w:rPr>
          <w:rFonts w:hint="eastAsia" w:ascii="仿宋" w:hAnsi="仿宋" w:eastAsia="仿宋" w:cs="仿宋"/>
          <w:color w:val="000000" w:themeColor="text1"/>
          <w:kern w:val="2"/>
          <w:sz w:val="24"/>
          <w:szCs w:val="24"/>
          <w:highlight w:val="none"/>
          <w14:textFill>
            <w14:solidFill>
              <w14:schemeClr w14:val="tx1"/>
            </w14:solidFill>
          </w14:textFill>
        </w:rPr>
        <w:t>作为我公司的首轮磋商报价（以最终磋商报价为准），保证按竞争性磋商文件的规定和响应文件的承诺，完成</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文山市2025年度山洪灾害防治及维修养护项目</w:t>
      </w:r>
      <w:r>
        <w:rPr>
          <w:rFonts w:hint="eastAsia" w:ascii="仿宋" w:hAnsi="仿宋" w:eastAsia="仿宋" w:cs="仿宋"/>
          <w:bCs/>
          <w:color w:val="000000" w:themeColor="text1"/>
          <w:kern w:val="2"/>
          <w:sz w:val="24"/>
          <w:szCs w:val="24"/>
          <w:highlight w:val="none"/>
          <w14:textFill>
            <w14:solidFill>
              <w14:schemeClr w14:val="tx1"/>
            </w14:solidFill>
          </w14:textFill>
        </w:rPr>
        <w:t>工作。</w:t>
      </w:r>
    </w:p>
    <w:p w14:paraId="0CAF96C1">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2.我方承诺我们的磋商报价为我公司完成本项目的真实报价。</w:t>
      </w:r>
    </w:p>
    <w:p w14:paraId="691EA0C5">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3.合同履行</w:t>
      </w:r>
      <w:r>
        <w:rPr>
          <w:rFonts w:hint="eastAsia" w:ascii="仿宋" w:hAnsi="仿宋" w:eastAsia="仿宋" w:cs="仿宋"/>
          <w:color w:val="000000" w:themeColor="text1"/>
          <w:kern w:val="2"/>
          <w:sz w:val="24"/>
          <w:szCs w:val="24"/>
          <w:highlight w:val="none"/>
          <w14:textFill>
            <w14:solidFill>
              <w14:schemeClr w14:val="tx1"/>
            </w14:solidFill>
          </w14:textFill>
        </w:rPr>
        <w:t>期限：</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14:textFill>
            <w14:solidFill>
              <w14:schemeClr w14:val="tx1"/>
            </w14:solidFill>
          </w14:textFill>
        </w:rPr>
        <w:t xml:space="preserve"> 。</w:t>
      </w:r>
    </w:p>
    <w:p w14:paraId="0FD43B80">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4</w:t>
      </w:r>
      <w:r>
        <w:rPr>
          <w:rFonts w:hint="eastAsia" w:ascii="仿宋" w:hAnsi="仿宋" w:eastAsia="仿宋" w:cs="仿宋"/>
          <w:color w:val="000000" w:themeColor="text1"/>
          <w:kern w:val="2"/>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质量要求</w:t>
      </w:r>
      <w:r>
        <w:rPr>
          <w:rFonts w:hint="eastAsia" w:ascii="仿宋" w:hAnsi="仿宋" w:eastAsia="仿宋" w:cs="仿宋"/>
          <w:color w:val="000000" w:themeColor="text1"/>
          <w:kern w:val="2"/>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14:textFill>
            <w14:solidFill>
              <w14:schemeClr w14:val="tx1"/>
            </w14:solidFill>
          </w14:textFill>
        </w:rPr>
        <w:t xml:space="preserve"> 。</w:t>
      </w:r>
    </w:p>
    <w:p w14:paraId="2088A0BF">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5</w:t>
      </w:r>
      <w:r>
        <w:rPr>
          <w:rFonts w:hint="eastAsia" w:ascii="仿宋" w:hAnsi="仿宋" w:eastAsia="仿宋" w:cs="仿宋"/>
          <w:color w:val="000000" w:themeColor="text1"/>
          <w:kern w:val="2"/>
          <w:sz w:val="24"/>
          <w:szCs w:val="24"/>
          <w:highlight w:val="none"/>
          <w14:textFill>
            <w14:solidFill>
              <w14:schemeClr w14:val="tx1"/>
            </w14:solidFill>
          </w14:textFill>
        </w:rPr>
        <w:t>.我方已详细阅读《竞争性磋商文件》，包括修改文件（如有时）及有关附件，我们完全理解并同意放弃对这方面有不明及误解的权力。</w:t>
      </w:r>
    </w:p>
    <w:p w14:paraId="2E078B95">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6</w:t>
      </w:r>
      <w:r>
        <w:rPr>
          <w:rFonts w:hint="eastAsia" w:ascii="仿宋" w:hAnsi="仿宋" w:eastAsia="仿宋" w:cs="仿宋"/>
          <w:color w:val="000000" w:themeColor="text1"/>
          <w:kern w:val="2"/>
          <w:sz w:val="24"/>
          <w:szCs w:val="24"/>
          <w:highlight w:val="none"/>
          <w14:textFill>
            <w14:solidFill>
              <w14:schemeClr w14:val="tx1"/>
            </w14:solidFill>
          </w14:textFill>
        </w:rPr>
        <w:t>.本投标有效期为自开标日起</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14:textFill>
            <w14:solidFill>
              <w14:schemeClr w14:val="tx1"/>
            </w14:solidFill>
          </w14:textFill>
        </w:rPr>
        <w:t>个日历天，我方同意所提交的响应文件在《竞争性磋商文件》的《投标须知前附表》中规定的投标有效期内有效，在此期间内如果中标，我方将受此约束。</w:t>
      </w:r>
    </w:p>
    <w:p w14:paraId="74DDC333">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7</w:t>
      </w:r>
      <w:r>
        <w:rPr>
          <w:rFonts w:hint="eastAsia" w:ascii="仿宋" w:hAnsi="仿宋" w:eastAsia="仿宋" w:cs="仿宋"/>
          <w:color w:val="000000" w:themeColor="text1"/>
          <w:kern w:val="2"/>
          <w:sz w:val="24"/>
          <w:szCs w:val="24"/>
          <w:highlight w:val="none"/>
          <w14:textFill>
            <w14:solidFill>
              <w14:schemeClr w14:val="tx1"/>
            </w14:solidFill>
          </w14:textFill>
        </w:rPr>
        <w:t>.如我方响应文件被接受，我方承诺：</w:t>
      </w:r>
    </w:p>
    <w:p w14:paraId="4B501715">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（1）在收到成交通知书后，在成交通知书规定的期限内与你方签订合同；</w:t>
      </w:r>
    </w:p>
    <w:p w14:paraId="047E5C3D">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（2）在签订合同时不向你方提出附加条件；</w:t>
      </w:r>
    </w:p>
    <w:p w14:paraId="1D93FA4B">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（3）我方将保证忠实地执行双方所签的采购合同,保证在合同履行期间严格按照响应文件及采购人的需求，完成</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文山市2025年度山洪灾害防治及维修养护项目</w:t>
      </w:r>
      <w:r>
        <w:rPr>
          <w:rFonts w:hint="eastAsia" w:ascii="仿宋" w:hAnsi="仿宋" w:eastAsia="仿宋" w:cs="仿宋"/>
          <w:bCs/>
          <w:color w:val="000000" w:themeColor="text1"/>
          <w:kern w:val="2"/>
          <w:sz w:val="24"/>
          <w:szCs w:val="24"/>
          <w:highlight w:val="none"/>
          <w14:textFill>
            <w14:solidFill>
              <w14:schemeClr w14:val="tx1"/>
            </w14:solidFill>
          </w14:textFill>
        </w:rPr>
        <w:t>工作。</w:t>
      </w:r>
    </w:p>
    <w:p w14:paraId="228719A7">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8</w:t>
      </w:r>
      <w:r>
        <w:rPr>
          <w:rFonts w:hint="eastAsia" w:ascii="仿宋" w:hAnsi="仿宋" w:eastAsia="仿宋" w:cs="仿宋"/>
          <w:color w:val="000000" w:themeColor="text1"/>
          <w:kern w:val="2"/>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14:textFill>
            <w14:solidFill>
              <w14:schemeClr w14:val="tx1"/>
            </w14:solidFill>
          </w14:textFill>
        </w:rPr>
        <w:t>（其他补充说明）。</w:t>
      </w:r>
    </w:p>
    <w:p w14:paraId="76F1D0C6">
      <w:pPr>
        <w:keepNext w:val="0"/>
        <w:keepLines w:val="0"/>
        <w:pageBreakBefore w:val="0"/>
        <w:widowControl w:val="0"/>
        <w:kinsoku/>
        <w:wordWrap/>
        <w:overflowPunct/>
        <w:topLinePunct w:val="0"/>
        <w:autoSpaceDE w:val="0"/>
        <w:autoSpaceDN w:val="0"/>
        <w:bidi w:val="0"/>
        <w:adjustRightInd w:val="0"/>
        <w:snapToGrid/>
        <w:spacing w:after="0" w:line="500" w:lineRule="exact"/>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与本次磋商有关的正式通讯地址为：</w:t>
      </w:r>
    </w:p>
    <w:p w14:paraId="5684AA20">
      <w:pPr>
        <w:keepNext w:val="0"/>
        <w:keepLines w:val="0"/>
        <w:pageBreakBefore w:val="0"/>
        <w:widowControl w:val="0"/>
        <w:kinsoku/>
        <w:wordWrap/>
        <w:overflowPunct/>
        <w:topLinePunct w:val="0"/>
        <w:autoSpaceDE w:val="0"/>
        <w:autoSpaceDN w:val="0"/>
        <w:bidi w:val="0"/>
        <w:adjustRightInd w:val="0"/>
        <w:snapToGrid/>
        <w:spacing w:after="0" w:line="500" w:lineRule="exact"/>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地址：</w:t>
      </w:r>
      <w:r>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 xml:space="preserve">   邮政编码：</w:t>
      </w:r>
      <w:r>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t xml:space="preserve">             </w:t>
      </w:r>
    </w:p>
    <w:p w14:paraId="306DBDD2">
      <w:pPr>
        <w:keepNext w:val="0"/>
        <w:keepLines w:val="0"/>
        <w:pageBreakBefore w:val="0"/>
        <w:widowControl w:val="0"/>
        <w:kinsoku/>
        <w:wordWrap/>
        <w:overflowPunct/>
        <w:topLinePunct w:val="0"/>
        <w:autoSpaceDE w:val="0"/>
        <w:autoSpaceDN w:val="0"/>
        <w:bidi w:val="0"/>
        <w:adjustRightInd w:val="0"/>
        <w:snapToGrid/>
        <w:spacing w:after="0" w:line="500" w:lineRule="exact"/>
        <w:ind w:firstLine="480" w:firstLineChars="200"/>
        <w:jc w:val="left"/>
        <w:textAlignment w:val="auto"/>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电话：</w:t>
      </w:r>
      <w:r>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 xml:space="preserve">  帐    号：</w:t>
      </w:r>
      <w:r>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 xml:space="preserve"> </w:t>
      </w:r>
    </w:p>
    <w:p w14:paraId="021445B8">
      <w:pPr>
        <w:keepNext w:val="0"/>
        <w:keepLines w:val="0"/>
        <w:pageBreakBefore w:val="0"/>
        <w:widowControl w:val="0"/>
        <w:kinsoku/>
        <w:wordWrap/>
        <w:overflowPunct/>
        <w:topLinePunct w:val="0"/>
        <w:autoSpaceDE w:val="0"/>
        <w:autoSpaceDN w:val="0"/>
        <w:bidi w:val="0"/>
        <w:adjustRightInd w:val="0"/>
        <w:snapToGrid/>
        <w:spacing w:after="0" w:line="500" w:lineRule="exact"/>
        <w:ind w:firstLine="480" w:firstLineChars="200"/>
        <w:jc w:val="left"/>
        <w:textAlignment w:val="auto"/>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开户名称：</w:t>
      </w:r>
      <w:r>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t xml:space="preserve">                       </w:t>
      </w:r>
      <w:r>
        <w:rPr>
          <w:rFonts w:hint="eastAsia" w:ascii="仿宋" w:hAnsi="仿宋" w:eastAsia="仿宋" w:cs="仿宋"/>
          <w:color w:val="000000" w:themeColor="text1"/>
          <w:kern w:val="0"/>
          <w:sz w:val="24"/>
          <w:szCs w:val="24"/>
          <w:highlight w:val="none"/>
          <w:lang w:val="en-US" w:eastAsia="zh-CN" w:bidi="ar-SA"/>
          <w14:textFill>
            <w14:solidFill>
              <w14:schemeClr w14:val="tx1"/>
            </w14:solidFill>
          </w14:textFill>
        </w:rPr>
        <w:t xml:space="preserve"> 开户银行：</w:t>
      </w:r>
      <w:r>
        <w:rPr>
          <w:rFonts w:hint="eastAsia" w:ascii="仿宋" w:hAnsi="仿宋" w:eastAsia="仿宋" w:cs="仿宋"/>
          <w:color w:val="000000" w:themeColor="text1"/>
          <w:kern w:val="0"/>
          <w:sz w:val="24"/>
          <w:szCs w:val="24"/>
          <w:highlight w:val="none"/>
          <w:u w:val="single"/>
          <w:lang w:val="en-US" w:eastAsia="zh-CN" w:bidi="ar-SA"/>
          <w14:textFill>
            <w14:solidFill>
              <w14:schemeClr w14:val="tx1"/>
            </w14:solidFill>
          </w14:textFill>
        </w:rPr>
        <w:t xml:space="preserve">                    </w:t>
      </w:r>
    </w:p>
    <w:p w14:paraId="4F7A7679">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供应商（</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盖单位公章</w:t>
      </w:r>
      <w:r>
        <w:rPr>
          <w:rFonts w:hint="eastAsia" w:ascii="仿宋" w:hAnsi="仿宋" w:eastAsia="仿宋" w:cs="仿宋"/>
          <w:color w:val="000000" w:themeColor="text1"/>
          <w:kern w:val="2"/>
          <w:sz w:val="24"/>
          <w:szCs w:val="24"/>
          <w:highlight w:val="non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p>
    <w:p w14:paraId="278E0F0A">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u w:val="singl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法定代表人或委托代理人（</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签字或盖章</w:t>
      </w:r>
      <w:r>
        <w:rPr>
          <w:rFonts w:hint="eastAsia" w:ascii="仿宋" w:hAnsi="仿宋" w:eastAsia="仿宋" w:cs="仿宋"/>
          <w:color w:val="000000" w:themeColor="text1"/>
          <w:kern w:val="2"/>
          <w:sz w:val="24"/>
          <w:szCs w:val="24"/>
          <w:highlight w:val="none"/>
          <w14:textFill>
            <w14:solidFill>
              <w14:schemeClr w14:val="tx1"/>
            </w14:solidFill>
          </w14:textFill>
        </w:rPr>
        <w:t>）：</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lang w:val="en-US" w:eastAsia="zh-CN"/>
          <w14:textFill>
            <w14:solidFill>
              <w14:schemeClr w14:val="tx1"/>
            </w14:solidFill>
          </w14:textFill>
        </w:rPr>
        <w:t xml:space="preserve"> </w:t>
      </w:r>
    </w:p>
    <w:p w14:paraId="1862B315">
      <w:pPr>
        <w:keepNext w:val="0"/>
        <w:keepLines w:val="0"/>
        <w:pageBreakBefore w:val="0"/>
        <w:widowControl w:val="0"/>
        <w:kinsoku/>
        <w:wordWrap/>
        <w:overflowPunct/>
        <w:topLinePunct w:val="0"/>
        <w:bidi w:val="0"/>
        <w:snapToGrid/>
        <w:spacing w:after="0" w:line="500" w:lineRule="exact"/>
        <w:ind w:firstLine="480" w:firstLineChars="200"/>
        <w:jc w:val="left"/>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日期：</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14:textFill>
            <w14:solidFill>
              <w14:schemeClr w14:val="tx1"/>
            </w14:solidFill>
          </w14:textFill>
        </w:rPr>
        <w:t>年</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14:textFill>
            <w14:solidFill>
              <w14:schemeClr w14:val="tx1"/>
            </w14:solidFill>
          </w14:textFill>
        </w:rPr>
        <w:t>月</w:t>
      </w:r>
      <w:r>
        <w:rPr>
          <w:rFonts w:hint="eastAsia" w:ascii="仿宋" w:hAnsi="仿宋" w:eastAsia="仿宋" w:cs="仿宋"/>
          <w:color w:val="000000" w:themeColor="text1"/>
          <w:kern w:val="2"/>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kern w:val="2"/>
          <w:sz w:val="24"/>
          <w:szCs w:val="24"/>
          <w:highlight w:val="none"/>
          <w14:textFill>
            <w14:solidFill>
              <w14:schemeClr w14:val="tx1"/>
            </w14:solidFill>
          </w14:textFill>
        </w:rPr>
        <w:t>日</w:t>
      </w:r>
    </w:p>
    <w:p w14:paraId="49BBA787">
      <w:pPr>
        <w:keepNext w:val="0"/>
        <w:keepLines w:val="0"/>
        <w:pageBreakBefore w:val="0"/>
        <w:widowControl w:val="0"/>
        <w:kinsoku/>
        <w:wordWrap/>
        <w:overflowPunct/>
        <w:topLinePunct w:val="0"/>
        <w:autoSpaceDE/>
        <w:autoSpaceDN/>
        <w:bidi w:val="0"/>
        <w:adjustRightInd/>
        <w:snapToGrid/>
        <w:spacing w:line="320" w:lineRule="exact"/>
        <w:ind w:firstLine="482" w:firstLineChars="200"/>
        <w:jc w:val="left"/>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说明：★1. 未填写本表格的供应商将不能通过符合性审查。</w:t>
      </w:r>
    </w:p>
    <w:p w14:paraId="36224DBB">
      <w:pPr>
        <w:pStyle w:val="7"/>
        <w:keepNext w:val="0"/>
        <w:keepLines w:val="0"/>
        <w:pageBreakBefore w:val="0"/>
        <w:widowControl w:val="0"/>
        <w:kinsoku/>
        <w:wordWrap/>
        <w:overflowPunct/>
        <w:topLinePunct w:val="0"/>
        <w:bidi w:val="0"/>
        <w:snapToGrid/>
        <w:ind w:firstLine="482" w:firstLineChars="200"/>
        <w:textAlignment w:val="auto"/>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   </w:t>
      </w:r>
      <w:r>
        <w:rPr>
          <w:rFonts w:hint="eastAsia" w:ascii="仿宋" w:hAnsi="仿宋" w:eastAsia="仿宋" w:cs="仿宋"/>
          <w:b/>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b/>
          <w:color w:val="000000" w:themeColor="text1"/>
          <w:sz w:val="24"/>
          <w:highlight w:val="none"/>
          <w14:textFill>
            <w14:solidFill>
              <w14:schemeClr w14:val="tx1"/>
            </w14:solidFill>
          </w14:textFill>
        </w:rPr>
        <w:t>2.本承诺函内容不得擅自修改</w:t>
      </w:r>
      <w:r>
        <w:rPr>
          <w:rFonts w:hint="eastAsia" w:ascii="仿宋" w:hAnsi="仿宋" w:eastAsia="仿宋" w:cs="仿宋"/>
          <w:b/>
          <w:color w:val="000000" w:themeColor="text1"/>
          <w:sz w:val="24"/>
          <w:highlight w:val="none"/>
          <w:lang w:eastAsia="zh-CN"/>
          <w14:textFill>
            <w14:solidFill>
              <w14:schemeClr w14:val="tx1"/>
            </w14:solidFill>
          </w14:textFill>
        </w:rPr>
        <w:t>。</w:t>
      </w:r>
    </w:p>
    <w:p w14:paraId="36FB1364">
      <w:pPr>
        <w:keepNext w:val="0"/>
        <w:keepLines w:val="0"/>
        <w:pageBreakBefore w:val="0"/>
        <w:widowControl w:val="0"/>
        <w:kinsoku/>
        <w:wordWrap/>
        <w:overflowPunct/>
        <w:topLinePunct w:val="0"/>
        <w:bidi w:val="0"/>
        <w:snapToGrid/>
        <w:spacing w:after="0" w:line="500" w:lineRule="exact"/>
        <w:ind w:firstLine="440" w:firstLineChars="200"/>
        <w:textAlignment w:val="auto"/>
        <w:rPr>
          <w:rFonts w:hint="eastAsia" w:ascii="仿宋" w:hAnsi="仿宋" w:eastAsia="仿宋" w:cs="仿宋"/>
          <w:color w:val="000000" w:themeColor="text1"/>
          <w:highlight w:val="none"/>
          <w14:textFill>
            <w14:solidFill>
              <w14:schemeClr w14:val="tx1"/>
            </w14:solidFill>
          </w14:textFill>
        </w:rPr>
        <w:sectPr>
          <w:headerReference r:id="rId16" w:type="default"/>
          <w:footerReference r:id="rId17" w:type="default"/>
          <w:pgSz w:w="11906" w:h="16838"/>
          <w:pgMar w:top="1440" w:right="1423" w:bottom="1440" w:left="1423" w:header="567" w:footer="283" w:gutter="0"/>
          <w:pgBorders>
            <w:top w:val="none" w:sz="0" w:space="0"/>
            <w:left w:val="none" w:sz="0" w:space="0"/>
            <w:bottom w:val="none" w:sz="0" w:space="0"/>
            <w:right w:val="none" w:sz="0" w:space="0"/>
          </w:pgBorders>
          <w:pgNumType w:fmt="numberInDash"/>
          <w:cols w:space="720" w:num="1"/>
          <w:titlePg/>
          <w:rtlGutter w:val="0"/>
          <w:docGrid w:type="lines" w:linePitch="312" w:charSpace="0"/>
        </w:sectPr>
      </w:pPr>
    </w:p>
    <w:bookmarkEnd w:id="160"/>
    <w:p w14:paraId="75B2EE19">
      <w:pPr>
        <w:numPr>
          <w:ilvl w:val="0"/>
          <w:numId w:val="5"/>
        </w:numPr>
        <w:adjustRightInd/>
        <w:snapToGrid/>
        <w:spacing w:after="0" w:line="360" w:lineRule="auto"/>
        <w:ind w:left="720" w:leftChars="0" w:hanging="720" w:firstLineChars="0"/>
        <w:jc w:val="center"/>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t>磋商报价</w:t>
      </w:r>
    </w:p>
    <w:p w14:paraId="3C2A38E1">
      <w:pPr>
        <w:spacing w:line="360" w:lineRule="auto"/>
        <w:jc w:val="center"/>
        <w:rPr>
          <w:rFonts w:hint="eastAsia" w:ascii="仿宋" w:hAnsi="仿宋" w:eastAsia="仿宋" w:cs="仿宋"/>
          <w:b/>
          <w:bCs w:val="0"/>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一</w:t>
      </w:r>
      <w:r>
        <w:rPr>
          <w:rFonts w:hint="eastAsia" w:ascii="仿宋" w:hAnsi="仿宋" w:eastAsia="仿宋" w:cs="仿宋"/>
          <w:b/>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bCs w:val="0"/>
          <w:color w:val="000000" w:themeColor="text1"/>
          <w:sz w:val="24"/>
          <w:szCs w:val="24"/>
          <w:highlight w:val="none"/>
          <w:lang w:val="en-US" w:eastAsia="zh-CN"/>
          <w14:textFill>
            <w14:solidFill>
              <w14:schemeClr w14:val="tx1"/>
            </w14:solidFill>
          </w14:textFill>
        </w:rPr>
        <w:t>磋商报价一览表</w:t>
      </w:r>
    </w:p>
    <w:p w14:paraId="614D517D">
      <w:pPr>
        <w:spacing w:line="360" w:lineRule="auto"/>
        <w:jc w:val="left"/>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项目名称：</w:t>
      </w:r>
    </w:p>
    <w:p w14:paraId="4564E8FA">
      <w:pPr>
        <w:spacing w:line="360" w:lineRule="auto"/>
        <w:rPr>
          <w:rFonts w:hint="eastAsia" w:ascii="仿宋" w:hAnsi="仿宋" w:eastAsia="仿宋" w:cs="仿宋"/>
          <w:bCs/>
          <w:color w:val="000000" w:themeColor="text1"/>
          <w:szCs w:val="21"/>
          <w:highlight w:val="none"/>
          <w:lang w:eastAsia="zh-CN"/>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项目编号：</w:t>
      </w:r>
    </w:p>
    <w:tbl>
      <w:tblPr>
        <w:tblStyle w:val="21"/>
        <w:tblW w:w="88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765"/>
        <w:gridCol w:w="6097"/>
      </w:tblGrid>
      <w:tr w14:paraId="7AFB2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938" w:type="dxa"/>
            <w:noWrap w:val="0"/>
            <w:vAlign w:val="center"/>
          </w:tcPr>
          <w:p w14:paraId="63FEFC0B">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序号</w:t>
            </w:r>
          </w:p>
        </w:tc>
        <w:tc>
          <w:tcPr>
            <w:tcW w:w="7862" w:type="dxa"/>
            <w:gridSpan w:val="2"/>
            <w:noWrap w:val="0"/>
            <w:vAlign w:val="center"/>
          </w:tcPr>
          <w:p w14:paraId="3A0F182E">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内容</w:t>
            </w:r>
          </w:p>
        </w:tc>
      </w:tr>
      <w:tr w14:paraId="404D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trPr>
        <w:tc>
          <w:tcPr>
            <w:tcW w:w="938" w:type="dxa"/>
            <w:vMerge w:val="restart"/>
            <w:noWrap w:val="0"/>
            <w:vAlign w:val="center"/>
          </w:tcPr>
          <w:p w14:paraId="1EBD1945">
            <w:pPr>
              <w:spacing w:line="36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1</w:t>
            </w:r>
          </w:p>
        </w:tc>
        <w:tc>
          <w:tcPr>
            <w:tcW w:w="1765" w:type="dxa"/>
            <w:vMerge w:val="restart"/>
            <w:noWrap w:val="0"/>
            <w:vAlign w:val="center"/>
          </w:tcPr>
          <w:p w14:paraId="68F7BF6B">
            <w:pPr>
              <w:spacing w:line="36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磋商报价</w:t>
            </w:r>
            <w:r>
              <w:rPr>
                <w:rFonts w:hint="eastAsia" w:ascii="仿宋" w:hAnsi="仿宋" w:eastAsia="仿宋" w:cs="仿宋"/>
                <w:color w:val="000000" w:themeColor="text1"/>
                <w:szCs w:val="21"/>
                <w:highlight w:val="none"/>
                <w:lang w:val="en-US" w:eastAsia="zh-CN"/>
                <w14:textFill>
                  <w14:solidFill>
                    <w14:schemeClr w14:val="tx1"/>
                  </w14:solidFill>
                </w14:textFill>
              </w:rPr>
              <w:t>(元）</w:t>
            </w:r>
          </w:p>
        </w:tc>
        <w:tc>
          <w:tcPr>
            <w:tcW w:w="6097" w:type="dxa"/>
            <w:noWrap w:val="0"/>
            <w:vAlign w:val="center"/>
          </w:tcPr>
          <w:p w14:paraId="2A882303">
            <w:pPr>
              <w:spacing w:line="360" w:lineRule="auto"/>
              <w:jc w:val="both"/>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大写</w:t>
            </w:r>
            <w:r>
              <w:rPr>
                <w:rFonts w:hint="eastAsia" w:ascii="仿宋" w:hAnsi="仿宋" w:eastAsia="仿宋" w:cs="仿宋"/>
                <w:color w:val="000000" w:themeColor="text1"/>
                <w:szCs w:val="21"/>
                <w:highlight w:val="none"/>
                <w:lang w:eastAsia="zh-CN"/>
                <w14:textFill>
                  <w14:solidFill>
                    <w14:schemeClr w14:val="tx1"/>
                  </w14:solidFill>
                </w14:textFill>
              </w:rPr>
              <w:t>：</w:t>
            </w:r>
          </w:p>
        </w:tc>
      </w:tr>
      <w:tr w14:paraId="066B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trPr>
        <w:tc>
          <w:tcPr>
            <w:tcW w:w="938" w:type="dxa"/>
            <w:vMerge w:val="continue"/>
            <w:noWrap w:val="0"/>
            <w:vAlign w:val="center"/>
          </w:tcPr>
          <w:p w14:paraId="6F35CACF">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1765" w:type="dxa"/>
            <w:vMerge w:val="continue"/>
            <w:noWrap w:val="0"/>
            <w:vAlign w:val="center"/>
          </w:tcPr>
          <w:p w14:paraId="128CE0C5">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c>
          <w:tcPr>
            <w:tcW w:w="6097" w:type="dxa"/>
            <w:noWrap w:val="0"/>
            <w:vAlign w:val="center"/>
          </w:tcPr>
          <w:p w14:paraId="6DE112FF">
            <w:pPr>
              <w:spacing w:line="360" w:lineRule="auto"/>
              <w:jc w:val="both"/>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小写</w:t>
            </w:r>
            <w:r>
              <w:rPr>
                <w:rFonts w:hint="eastAsia" w:ascii="仿宋" w:hAnsi="仿宋" w:eastAsia="仿宋" w:cs="仿宋"/>
                <w:color w:val="000000" w:themeColor="text1"/>
                <w:szCs w:val="21"/>
                <w:highlight w:val="none"/>
                <w:lang w:eastAsia="zh-CN"/>
                <w14:textFill>
                  <w14:solidFill>
                    <w14:schemeClr w14:val="tx1"/>
                  </w14:solidFill>
                </w14:textFill>
              </w:rPr>
              <w:t>：</w:t>
            </w:r>
          </w:p>
        </w:tc>
      </w:tr>
      <w:tr w14:paraId="4C108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 w:hRule="atLeast"/>
        </w:trPr>
        <w:tc>
          <w:tcPr>
            <w:tcW w:w="938" w:type="dxa"/>
            <w:noWrap w:val="0"/>
            <w:vAlign w:val="center"/>
          </w:tcPr>
          <w:p w14:paraId="170FAEFA">
            <w:pPr>
              <w:spacing w:line="36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2</w:t>
            </w:r>
          </w:p>
        </w:tc>
        <w:tc>
          <w:tcPr>
            <w:tcW w:w="1765" w:type="dxa"/>
            <w:noWrap w:val="0"/>
            <w:vAlign w:val="center"/>
          </w:tcPr>
          <w:p w14:paraId="3A9C7A70">
            <w:pPr>
              <w:spacing w:line="360" w:lineRule="auto"/>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合同履行期限</w:t>
            </w:r>
          </w:p>
        </w:tc>
        <w:tc>
          <w:tcPr>
            <w:tcW w:w="6097" w:type="dxa"/>
            <w:noWrap w:val="0"/>
            <w:vAlign w:val="center"/>
          </w:tcPr>
          <w:p w14:paraId="1B018917">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06B3F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38" w:type="dxa"/>
            <w:noWrap w:val="0"/>
            <w:vAlign w:val="center"/>
          </w:tcPr>
          <w:p w14:paraId="7094FE6D">
            <w:pPr>
              <w:spacing w:line="36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3</w:t>
            </w:r>
          </w:p>
        </w:tc>
        <w:tc>
          <w:tcPr>
            <w:tcW w:w="1765" w:type="dxa"/>
            <w:noWrap w:val="0"/>
            <w:vAlign w:val="center"/>
          </w:tcPr>
          <w:p w14:paraId="33BBB878">
            <w:pPr>
              <w:spacing w:line="360" w:lineRule="auto"/>
              <w:jc w:val="center"/>
              <w:rPr>
                <w:rFonts w:hint="default"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质量要求</w:t>
            </w:r>
          </w:p>
        </w:tc>
        <w:tc>
          <w:tcPr>
            <w:tcW w:w="6097" w:type="dxa"/>
            <w:noWrap w:val="0"/>
            <w:vAlign w:val="center"/>
          </w:tcPr>
          <w:p w14:paraId="6FF5A80C">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612CA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938" w:type="dxa"/>
            <w:noWrap w:val="0"/>
            <w:vAlign w:val="center"/>
          </w:tcPr>
          <w:p w14:paraId="076F380D">
            <w:pPr>
              <w:spacing w:line="360" w:lineRule="auto"/>
              <w:jc w:val="center"/>
              <w:rPr>
                <w:rFonts w:hint="eastAsia" w:ascii="仿宋" w:hAnsi="仿宋" w:eastAsia="仿宋" w:cs="仿宋"/>
                <w:color w:val="000000" w:themeColor="text1"/>
                <w:szCs w:val="21"/>
                <w:highlight w:val="none"/>
                <w:lang w:val="en-US" w:eastAsia="zh-CN"/>
                <w14:textFill>
                  <w14:solidFill>
                    <w14:schemeClr w14:val="tx1"/>
                  </w14:solidFill>
                </w14:textFill>
              </w:rPr>
            </w:pPr>
            <w:r>
              <w:rPr>
                <w:rFonts w:hint="eastAsia" w:ascii="仿宋" w:hAnsi="仿宋" w:eastAsia="仿宋" w:cs="仿宋"/>
                <w:color w:val="000000" w:themeColor="text1"/>
                <w:szCs w:val="21"/>
                <w:highlight w:val="none"/>
                <w:lang w:val="en-US" w:eastAsia="zh-CN"/>
                <w14:textFill>
                  <w14:solidFill>
                    <w14:schemeClr w14:val="tx1"/>
                  </w14:solidFill>
                </w14:textFill>
              </w:rPr>
              <w:t>4</w:t>
            </w:r>
          </w:p>
        </w:tc>
        <w:tc>
          <w:tcPr>
            <w:tcW w:w="1765" w:type="dxa"/>
            <w:noWrap w:val="0"/>
            <w:vAlign w:val="center"/>
          </w:tcPr>
          <w:p w14:paraId="0A32BB10">
            <w:pPr>
              <w:spacing w:line="360" w:lineRule="auto"/>
              <w:jc w:val="center"/>
              <w:rPr>
                <w:rFonts w:hint="eastAsia" w:ascii="仿宋" w:hAnsi="仿宋" w:eastAsia="仿宋" w:cs="仿宋"/>
                <w:color w:val="000000" w:themeColor="text1"/>
                <w:szCs w:val="21"/>
                <w:highlight w:val="none"/>
                <w:lang w:eastAsia="zh-CN"/>
                <w14:textFill>
                  <w14:solidFill>
                    <w14:schemeClr w14:val="tx1"/>
                  </w14:solidFill>
                </w14:textFill>
              </w:rPr>
            </w:pPr>
            <w:r>
              <w:rPr>
                <w:rFonts w:hint="eastAsia" w:ascii="仿宋" w:hAnsi="仿宋" w:eastAsia="仿宋" w:cs="仿宋"/>
                <w:color w:val="000000" w:themeColor="text1"/>
                <w:szCs w:val="21"/>
                <w:highlight w:val="none"/>
                <w:lang w:eastAsia="zh-CN"/>
                <w14:textFill>
                  <w14:solidFill>
                    <w14:schemeClr w14:val="tx1"/>
                  </w14:solidFill>
                </w14:textFill>
              </w:rPr>
              <w:t>备注</w:t>
            </w:r>
          </w:p>
        </w:tc>
        <w:tc>
          <w:tcPr>
            <w:tcW w:w="6097" w:type="dxa"/>
            <w:noWrap w:val="0"/>
            <w:vAlign w:val="center"/>
          </w:tcPr>
          <w:p w14:paraId="0606DF0A">
            <w:pPr>
              <w:spacing w:line="360" w:lineRule="auto"/>
              <w:jc w:val="center"/>
              <w:rPr>
                <w:rFonts w:hint="eastAsia" w:ascii="仿宋" w:hAnsi="仿宋" w:eastAsia="仿宋" w:cs="仿宋"/>
                <w:color w:val="000000" w:themeColor="text1"/>
                <w:szCs w:val="21"/>
                <w:highlight w:val="none"/>
                <w14:textFill>
                  <w14:solidFill>
                    <w14:schemeClr w14:val="tx1"/>
                  </w14:solidFill>
                </w14:textFill>
              </w:rPr>
            </w:pPr>
          </w:p>
        </w:tc>
      </w:tr>
      <w:tr w14:paraId="48A14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09" w:hRule="atLeast"/>
        </w:trPr>
        <w:tc>
          <w:tcPr>
            <w:tcW w:w="8800" w:type="dxa"/>
            <w:gridSpan w:val="3"/>
            <w:noWrap w:val="0"/>
            <w:vAlign w:val="center"/>
          </w:tcPr>
          <w:p w14:paraId="3DAFA51C">
            <w:pPr>
              <w:spacing w:line="360" w:lineRule="auto"/>
              <w:rPr>
                <w:rFonts w:hint="eastAsia" w:ascii="仿宋" w:hAnsi="仿宋" w:eastAsia="仿宋" w:cs="仿宋"/>
                <w:color w:val="000000" w:themeColor="text1"/>
                <w:szCs w:val="21"/>
                <w:highlight w:val="none"/>
                <w14:textFill>
                  <w14:solidFill>
                    <w14:schemeClr w14:val="tx1"/>
                  </w14:solidFill>
                </w14:textFill>
              </w:rPr>
            </w:pPr>
          </w:p>
          <w:p w14:paraId="5C0F2C3C">
            <w:pPr>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供应商（盖</w:t>
            </w:r>
            <w:r>
              <w:rPr>
                <w:rFonts w:hint="eastAsia" w:ascii="仿宋" w:hAnsi="仿宋" w:eastAsia="仿宋" w:cs="仿宋"/>
                <w:color w:val="000000" w:themeColor="text1"/>
                <w:szCs w:val="21"/>
                <w:highlight w:val="none"/>
                <w:lang w:eastAsia="zh-CN"/>
                <w14:textFill>
                  <w14:solidFill>
                    <w14:schemeClr w14:val="tx1"/>
                  </w14:solidFill>
                </w14:textFill>
              </w:rPr>
              <w:t>单位</w:t>
            </w:r>
            <w:r>
              <w:rPr>
                <w:rFonts w:hint="eastAsia" w:ascii="仿宋" w:hAnsi="仿宋" w:eastAsia="仿宋" w:cs="仿宋"/>
                <w:color w:val="000000" w:themeColor="text1"/>
                <w:szCs w:val="21"/>
                <w:highlight w:val="none"/>
                <w14:textFill>
                  <w14:solidFill>
                    <w14:schemeClr w14:val="tx1"/>
                  </w14:solidFill>
                </w14:textFill>
              </w:rPr>
              <w:t xml:space="preserve">章）：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 xml:space="preserve"> </w:t>
            </w:r>
          </w:p>
          <w:p w14:paraId="2F73A70B">
            <w:pPr>
              <w:spacing w:line="360" w:lineRule="auto"/>
              <w:rPr>
                <w:rFonts w:hint="eastAsia" w:ascii="仿宋" w:hAnsi="仿宋" w:eastAsia="仿宋" w:cs="仿宋"/>
                <w:color w:val="000000" w:themeColor="text1"/>
                <w:szCs w:val="21"/>
                <w:highlight w:val="none"/>
                <w:u w:val="singl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法定代表人或其委托人（盖章或签字）：</w:t>
            </w:r>
            <w:r>
              <w:rPr>
                <w:rFonts w:hint="eastAsia" w:ascii="仿宋" w:hAnsi="仿宋" w:eastAsia="仿宋" w:cs="仿宋"/>
                <w:color w:val="000000" w:themeColor="text1"/>
                <w:szCs w:val="21"/>
                <w:highlight w:val="none"/>
                <w:u w:val="single"/>
                <w14:textFill>
                  <w14:solidFill>
                    <w14:schemeClr w14:val="tx1"/>
                  </w14:solidFill>
                </w14:textFill>
              </w:rPr>
              <w:t xml:space="preserve">                                    </w:t>
            </w:r>
          </w:p>
          <w:p w14:paraId="52CC6A93">
            <w:pPr>
              <w:spacing w:line="360" w:lineRule="auto"/>
              <w:rPr>
                <w:rFonts w:hint="eastAsia" w:ascii="仿宋" w:hAnsi="仿宋" w:eastAsia="仿宋" w:cs="仿宋"/>
                <w:color w:val="000000" w:themeColor="text1"/>
                <w:szCs w:val="21"/>
                <w:highlight w:val="none"/>
                <w14:textFill>
                  <w14:solidFill>
                    <w14:schemeClr w14:val="tx1"/>
                  </w14:solidFill>
                </w14:textFill>
              </w:rPr>
            </w:pPr>
            <w:r>
              <w:rPr>
                <w:rFonts w:hint="eastAsia" w:ascii="仿宋" w:hAnsi="仿宋" w:eastAsia="仿宋" w:cs="仿宋"/>
                <w:color w:val="000000" w:themeColor="text1"/>
                <w:szCs w:val="21"/>
                <w:highlight w:val="none"/>
                <w14:textFill>
                  <w14:solidFill>
                    <w14:schemeClr w14:val="tx1"/>
                  </w14:solidFill>
                </w14:textFill>
              </w:rPr>
              <w:t>日  期：</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年</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 xml:space="preserve"> 月 </w:t>
            </w:r>
            <w:r>
              <w:rPr>
                <w:rFonts w:hint="eastAsia" w:ascii="仿宋" w:hAnsi="仿宋" w:eastAsia="仿宋" w:cs="仿宋"/>
                <w:color w:val="000000" w:themeColor="text1"/>
                <w:szCs w:val="21"/>
                <w:highlight w:val="none"/>
                <w:u w:val="single"/>
                <w14:textFill>
                  <w14:solidFill>
                    <w14:schemeClr w14:val="tx1"/>
                  </w14:solidFill>
                </w14:textFill>
              </w:rPr>
              <w:t xml:space="preserve">     </w:t>
            </w:r>
            <w:r>
              <w:rPr>
                <w:rFonts w:hint="eastAsia" w:ascii="仿宋" w:hAnsi="仿宋" w:eastAsia="仿宋" w:cs="仿宋"/>
                <w:color w:val="000000" w:themeColor="text1"/>
                <w:szCs w:val="21"/>
                <w:highlight w:val="none"/>
                <w14:textFill>
                  <w14:solidFill>
                    <w14:schemeClr w14:val="tx1"/>
                  </w14:solidFill>
                </w14:textFill>
              </w:rPr>
              <w:t>日</w:t>
            </w:r>
          </w:p>
        </w:tc>
      </w:tr>
    </w:tbl>
    <w:p w14:paraId="47D0E4D5">
      <w:pPr>
        <w:pStyle w:val="4"/>
        <w:adjustRightInd w:val="0"/>
        <w:snapToGrid w:val="0"/>
        <w:spacing w:before="120"/>
        <w:jc w:val="center"/>
        <w:rPr>
          <w:rFonts w:hint="eastAsia" w:ascii="仿宋" w:hAnsi="仿宋" w:eastAsia="仿宋" w:cs="仿宋"/>
          <w:color w:val="000000" w:themeColor="text1"/>
          <w:highlight w:val="none"/>
          <w14:textFill>
            <w14:solidFill>
              <w14:schemeClr w14:val="tx1"/>
            </w14:solidFill>
          </w14:textFill>
        </w:rPr>
      </w:pPr>
      <w:bookmarkStart w:id="161" w:name="_Toc470531298"/>
      <w:bookmarkStart w:id="162" w:name="_Toc531966067"/>
      <w:bookmarkStart w:id="163" w:name="_Toc32673"/>
      <w:r>
        <w:rPr>
          <w:rFonts w:hint="eastAsia" w:ascii="仿宋" w:hAnsi="仿宋" w:eastAsia="仿宋" w:cs="仿宋"/>
          <w:color w:val="000000" w:themeColor="text1"/>
          <w:sz w:val="28"/>
          <w:szCs w:val="28"/>
          <w:highlight w:val="none"/>
          <w:lang w:eastAsia="zh-CN"/>
          <w14:textFill>
            <w14:solidFill>
              <w14:schemeClr w14:val="tx1"/>
            </w14:solidFill>
          </w14:textFill>
        </w:rPr>
        <w:br w:type="page"/>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lang w:val="en-US" w:eastAsia="zh-CN"/>
          <w14:textFill>
            <w14:solidFill>
              <w14:schemeClr w14:val="tx1"/>
            </w14:solidFill>
          </w14:textFill>
        </w:rPr>
        <w:t>二</w:t>
      </w:r>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磋商报价明细表</w:t>
      </w:r>
    </w:p>
    <w:p w14:paraId="0E062015">
      <w:pPr>
        <w:spacing w:line="4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p>
    <w:p w14:paraId="0C0E1079">
      <w:pPr>
        <w:spacing w:line="42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项目编号：</w:t>
      </w:r>
    </w:p>
    <w:tbl>
      <w:tblPr>
        <w:tblStyle w:val="21"/>
        <w:tblW w:w="108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1376"/>
        <w:gridCol w:w="1076"/>
        <w:gridCol w:w="1436"/>
        <w:gridCol w:w="1166"/>
        <w:gridCol w:w="1936"/>
        <w:gridCol w:w="1415"/>
        <w:gridCol w:w="1441"/>
      </w:tblGrid>
      <w:tr w14:paraId="39FF0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976" w:type="dxa"/>
            <w:noWrap w:val="0"/>
            <w:vAlign w:val="center"/>
          </w:tcPr>
          <w:p w14:paraId="05212CAB">
            <w:pPr>
              <w:pStyle w:val="12"/>
              <w:jc w:val="cente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序号</w:t>
            </w:r>
          </w:p>
        </w:tc>
        <w:tc>
          <w:tcPr>
            <w:tcW w:w="1376" w:type="dxa"/>
            <w:noWrap w:val="0"/>
            <w:vAlign w:val="center"/>
          </w:tcPr>
          <w:p w14:paraId="229C1EE6">
            <w:pPr>
              <w:pStyle w:val="12"/>
              <w:jc w:val="center"/>
              <w:rPr>
                <w:rFonts w:hint="eastAsia" w:ascii="仿宋" w:hAnsi="仿宋" w:eastAsia="仿宋" w:cs="仿宋"/>
                <w:b/>
                <w:bCs/>
                <w:color w:val="000000" w:themeColor="text1"/>
                <w:spacing w:val="-2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pacing w:val="-20"/>
                <w:sz w:val="24"/>
                <w:szCs w:val="24"/>
                <w:highlight w:val="none"/>
                <w:lang w:val="en-US" w:eastAsia="zh-CN"/>
                <w14:textFill>
                  <w14:solidFill>
                    <w14:schemeClr w14:val="tx1"/>
                  </w14:solidFill>
                </w14:textFill>
              </w:rPr>
              <w:t>产品/品目</w:t>
            </w:r>
          </w:p>
        </w:tc>
        <w:tc>
          <w:tcPr>
            <w:tcW w:w="1076" w:type="dxa"/>
            <w:noWrap w:val="0"/>
            <w:vAlign w:val="center"/>
          </w:tcPr>
          <w:p w14:paraId="5FBFC30F">
            <w:pPr>
              <w:pStyle w:val="12"/>
              <w:jc w:val="center"/>
              <w:rPr>
                <w:rFonts w:hint="eastAsia" w:ascii="仿宋" w:hAnsi="仿宋" w:eastAsia="仿宋" w:cs="仿宋"/>
                <w:b/>
                <w:bCs/>
                <w:color w:val="000000" w:themeColor="text1"/>
                <w:spacing w:val="-2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数量</w:t>
            </w:r>
          </w:p>
        </w:tc>
        <w:tc>
          <w:tcPr>
            <w:tcW w:w="1436" w:type="dxa"/>
            <w:noWrap w:val="0"/>
            <w:vAlign w:val="center"/>
          </w:tcPr>
          <w:p w14:paraId="4A2EB398">
            <w:pPr>
              <w:pStyle w:val="12"/>
              <w:jc w:val="center"/>
              <w:rPr>
                <w:rFonts w:hint="eastAsia" w:ascii="仿宋" w:hAnsi="仿宋" w:eastAsia="仿宋" w:cs="仿宋"/>
                <w:b/>
                <w:bCs/>
                <w:color w:val="000000" w:themeColor="text1"/>
                <w:spacing w:val="-20"/>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生产厂家</w:t>
            </w:r>
          </w:p>
        </w:tc>
        <w:tc>
          <w:tcPr>
            <w:tcW w:w="1166" w:type="dxa"/>
            <w:noWrap w:val="0"/>
            <w:vAlign w:val="center"/>
          </w:tcPr>
          <w:p w14:paraId="41EAF568">
            <w:pPr>
              <w:pStyle w:val="12"/>
              <w:jc w:val="center"/>
              <w:rPr>
                <w:rFonts w:hint="eastAsia" w:ascii="仿宋" w:hAnsi="仿宋" w:eastAsia="仿宋" w:cs="仿宋"/>
                <w:b/>
                <w:bCs/>
                <w:color w:val="000000" w:themeColor="text1"/>
                <w:spacing w:val="-20"/>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pacing w:val="-20"/>
                <w:sz w:val="24"/>
                <w:szCs w:val="24"/>
                <w:highlight w:val="none"/>
                <w:lang w:val="en-US" w:eastAsia="zh-CN"/>
                <w14:textFill>
                  <w14:solidFill>
                    <w14:schemeClr w14:val="tx1"/>
                  </w14:solidFill>
                </w14:textFill>
              </w:rPr>
              <w:t>品牌</w:t>
            </w:r>
          </w:p>
        </w:tc>
        <w:tc>
          <w:tcPr>
            <w:tcW w:w="1936" w:type="dxa"/>
            <w:noWrap w:val="0"/>
            <w:vAlign w:val="center"/>
          </w:tcPr>
          <w:p w14:paraId="157A48A7">
            <w:pPr>
              <w:pStyle w:val="12"/>
              <w:jc w:val="cente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规格型号</w:t>
            </w:r>
          </w:p>
        </w:tc>
        <w:tc>
          <w:tcPr>
            <w:tcW w:w="1415" w:type="dxa"/>
            <w:noWrap w:val="0"/>
            <w:vAlign w:val="center"/>
          </w:tcPr>
          <w:p w14:paraId="06C43BB8">
            <w:pPr>
              <w:pStyle w:val="12"/>
              <w:ind w:left="72"/>
              <w:jc w:val="center"/>
              <w:rPr>
                <w:rFonts w:hint="eastAsia" w:ascii="仿宋" w:hAnsi="仿宋" w:eastAsia="仿宋" w:cs="仿宋"/>
                <w:b/>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单价</w:t>
            </w:r>
          </w:p>
        </w:tc>
        <w:tc>
          <w:tcPr>
            <w:tcW w:w="1441" w:type="dxa"/>
            <w:noWrap w:val="0"/>
            <w:vAlign w:val="center"/>
          </w:tcPr>
          <w:p w14:paraId="7DA706A8">
            <w:pPr>
              <w:pStyle w:val="12"/>
              <w:ind w:left="72"/>
              <w:jc w:val="center"/>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合价</w:t>
            </w:r>
          </w:p>
        </w:tc>
      </w:tr>
      <w:tr w14:paraId="479530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976" w:type="dxa"/>
            <w:noWrap w:val="0"/>
            <w:vAlign w:val="center"/>
          </w:tcPr>
          <w:p w14:paraId="6BCE4242">
            <w:pPr>
              <w:pStyle w:val="12"/>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1376" w:type="dxa"/>
            <w:noWrap w:val="0"/>
            <w:vAlign w:val="center"/>
          </w:tcPr>
          <w:p w14:paraId="6CD1ABBF">
            <w:pP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76" w:type="dxa"/>
            <w:noWrap w:val="0"/>
            <w:vAlign w:val="center"/>
          </w:tcPr>
          <w:p w14:paraId="019B7313">
            <w:pP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6" w:type="dxa"/>
            <w:noWrap w:val="0"/>
            <w:vAlign w:val="center"/>
          </w:tcPr>
          <w:p w14:paraId="317907C1">
            <w:pPr>
              <w:autoSpaceDN w:val="0"/>
              <w:spacing w:line="50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166" w:type="dxa"/>
            <w:noWrap w:val="0"/>
            <w:vAlign w:val="center"/>
          </w:tcPr>
          <w:p w14:paraId="49C922E7">
            <w:pP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936" w:type="dxa"/>
            <w:noWrap w:val="0"/>
            <w:vAlign w:val="center"/>
          </w:tcPr>
          <w:p w14:paraId="4D453C71">
            <w:pPr>
              <w:autoSpaceDN w:val="0"/>
              <w:spacing w:line="500" w:lineRule="exact"/>
              <w:jc w:val="center"/>
              <w:rPr>
                <w:rFonts w:hint="eastAsia" w:ascii="仿宋" w:hAnsi="仿宋" w:eastAsia="仿宋" w:cs="仿宋"/>
                <w:color w:val="000000" w:themeColor="text1"/>
                <w:kern w:val="0"/>
                <w:sz w:val="24"/>
                <w:szCs w:val="18"/>
                <w:highlight w:val="none"/>
                <w14:textFill>
                  <w14:solidFill>
                    <w14:schemeClr w14:val="tx1"/>
                  </w14:solidFill>
                </w14:textFill>
              </w:rPr>
            </w:pPr>
          </w:p>
        </w:tc>
        <w:tc>
          <w:tcPr>
            <w:tcW w:w="1415" w:type="dxa"/>
            <w:noWrap w:val="0"/>
            <w:vAlign w:val="center"/>
          </w:tcPr>
          <w:p w14:paraId="619AE7E5">
            <w:pPr>
              <w:pStyle w:val="12"/>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pPr>
          </w:p>
        </w:tc>
        <w:tc>
          <w:tcPr>
            <w:tcW w:w="1441" w:type="dxa"/>
            <w:noWrap w:val="0"/>
            <w:vAlign w:val="center"/>
          </w:tcPr>
          <w:p w14:paraId="5A355101">
            <w:pPr>
              <w:pStyle w:val="12"/>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pPr>
          </w:p>
        </w:tc>
      </w:tr>
      <w:tr w14:paraId="511E8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23" w:hRule="atLeast"/>
          <w:jc w:val="center"/>
        </w:trPr>
        <w:tc>
          <w:tcPr>
            <w:tcW w:w="976" w:type="dxa"/>
            <w:noWrap w:val="0"/>
            <w:vAlign w:val="center"/>
          </w:tcPr>
          <w:p w14:paraId="307136C4">
            <w:pPr>
              <w:pStyle w:val="12"/>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w:t>
            </w:r>
          </w:p>
        </w:tc>
        <w:tc>
          <w:tcPr>
            <w:tcW w:w="1376" w:type="dxa"/>
            <w:noWrap w:val="0"/>
            <w:vAlign w:val="center"/>
          </w:tcPr>
          <w:p w14:paraId="1350A2F6">
            <w:pP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76" w:type="dxa"/>
            <w:noWrap w:val="0"/>
            <w:vAlign w:val="center"/>
          </w:tcPr>
          <w:p w14:paraId="4F0C2256">
            <w:pP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436" w:type="dxa"/>
            <w:noWrap w:val="0"/>
            <w:vAlign w:val="center"/>
          </w:tcPr>
          <w:p w14:paraId="74F87C7F">
            <w:pPr>
              <w:autoSpaceDN w:val="0"/>
              <w:spacing w:line="500" w:lineRule="exact"/>
              <w:jc w:val="center"/>
              <w:rPr>
                <w:rFonts w:hint="eastAsia" w:ascii="仿宋" w:hAnsi="仿宋" w:eastAsia="仿宋" w:cs="仿宋"/>
                <w:color w:val="000000" w:themeColor="text1"/>
                <w:kern w:val="0"/>
                <w:sz w:val="24"/>
                <w:szCs w:val="18"/>
                <w:highlight w:val="none"/>
                <w14:textFill>
                  <w14:solidFill>
                    <w14:schemeClr w14:val="tx1"/>
                  </w14:solidFill>
                </w14:textFill>
              </w:rPr>
            </w:pPr>
          </w:p>
        </w:tc>
        <w:tc>
          <w:tcPr>
            <w:tcW w:w="1166" w:type="dxa"/>
            <w:noWrap w:val="0"/>
            <w:vAlign w:val="center"/>
          </w:tcPr>
          <w:p w14:paraId="708335D3">
            <w:pPr>
              <w:spacing w:line="420" w:lineRule="exact"/>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936" w:type="dxa"/>
            <w:noWrap w:val="0"/>
            <w:vAlign w:val="center"/>
          </w:tcPr>
          <w:p w14:paraId="434C4DFC">
            <w:pPr>
              <w:autoSpaceDN w:val="0"/>
              <w:spacing w:line="500" w:lineRule="exact"/>
              <w:jc w:val="center"/>
              <w:rPr>
                <w:rFonts w:hint="eastAsia" w:ascii="仿宋" w:hAnsi="仿宋" w:eastAsia="仿宋" w:cs="仿宋"/>
                <w:color w:val="000000" w:themeColor="text1"/>
                <w:kern w:val="0"/>
                <w:sz w:val="24"/>
                <w:szCs w:val="18"/>
                <w:highlight w:val="none"/>
                <w14:textFill>
                  <w14:solidFill>
                    <w14:schemeClr w14:val="tx1"/>
                  </w14:solidFill>
                </w14:textFill>
              </w:rPr>
            </w:pPr>
          </w:p>
        </w:tc>
        <w:tc>
          <w:tcPr>
            <w:tcW w:w="1415" w:type="dxa"/>
            <w:noWrap w:val="0"/>
            <w:vAlign w:val="center"/>
          </w:tcPr>
          <w:p w14:paraId="166AD740">
            <w:pPr>
              <w:pStyle w:val="12"/>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pPr>
          </w:p>
        </w:tc>
        <w:tc>
          <w:tcPr>
            <w:tcW w:w="1441" w:type="dxa"/>
            <w:noWrap w:val="0"/>
            <w:vAlign w:val="center"/>
          </w:tcPr>
          <w:p w14:paraId="7FD8BC91">
            <w:pPr>
              <w:pStyle w:val="12"/>
              <w:rPr>
                <w:rFonts w:hint="eastAsia" w:ascii="仿宋" w:hAnsi="仿宋" w:eastAsia="仿宋" w:cs="仿宋"/>
                <w:color w:val="000000" w:themeColor="text1"/>
                <w:spacing w:val="-6"/>
                <w:sz w:val="24"/>
                <w:szCs w:val="24"/>
                <w:highlight w:val="none"/>
                <w:lang w:val="en-US" w:eastAsia="zh-CN"/>
                <w14:textFill>
                  <w14:solidFill>
                    <w14:schemeClr w14:val="tx1"/>
                  </w14:solidFill>
                </w14:textFill>
              </w:rPr>
            </w:pPr>
          </w:p>
        </w:tc>
      </w:tr>
      <w:tr w14:paraId="38B71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jc w:val="center"/>
        </w:trPr>
        <w:tc>
          <w:tcPr>
            <w:tcW w:w="10822" w:type="dxa"/>
            <w:gridSpan w:val="8"/>
            <w:noWrap w:val="0"/>
            <w:vAlign w:val="center"/>
          </w:tcPr>
          <w:p w14:paraId="21EF9249">
            <w:pPr>
              <w:pStyle w:val="12"/>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磋商总报价：</w:t>
            </w:r>
          </w:p>
        </w:tc>
      </w:tr>
    </w:tbl>
    <w:p w14:paraId="346AF6BA">
      <w:pPr>
        <w:rPr>
          <w:rFonts w:hint="eastAsia" w:ascii="仿宋" w:hAnsi="仿宋" w:eastAsia="仿宋" w:cs="仿宋"/>
          <w:color w:val="000000" w:themeColor="text1"/>
          <w:sz w:val="28"/>
          <w:szCs w:val="28"/>
          <w:highlight w:val="none"/>
          <w:lang w:eastAsia="zh-CN"/>
          <w14:textFill>
            <w14:solidFill>
              <w14:schemeClr w14:val="tx1"/>
            </w14:solidFill>
          </w14:textFill>
        </w:rPr>
      </w:pPr>
    </w:p>
    <w:p w14:paraId="3F721FDC">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36AC39FD">
      <w:pPr>
        <w:pStyle w:val="4"/>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三、法定代表人身份证明</w:t>
      </w:r>
      <w:bookmarkEnd w:id="161"/>
      <w:bookmarkEnd w:id="162"/>
      <w:r>
        <w:rPr>
          <w:rFonts w:hint="eastAsia" w:ascii="仿宋" w:hAnsi="仿宋" w:eastAsia="仿宋" w:cs="仿宋"/>
          <w:color w:val="000000" w:themeColor="text1"/>
          <w:sz w:val="28"/>
          <w:szCs w:val="28"/>
          <w:highlight w:val="none"/>
          <w14:textFill>
            <w14:solidFill>
              <w14:schemeClr w14:val="tx1"/>
            </w14:solidFill>
          </w14:textFill>
        </w:rPr>
        <w:t>书</w:t>
      </w:r>
      <w:bookmarkEnd w:id="163"/>
    </w:p>
    <w:p w14:paraId="471F289D">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09F0B26D">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单位性质：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6BD13F22">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地    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3D841376">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成立时间：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日</w:t>
      </w:r>
    </w:p>
    <w:p w14:paraId="4A8D0AE5">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经营期限：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6EC54361">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姓名：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性别：</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年龄：</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职务：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2D34024B">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（供应商全称）  </w:t>
      </w:r>
      <w:r>
        <w:rPr>
          <w:rFonts w:hint="eastAsia" w:ascii="仿宋" w:hAnsi="仿宋" w:eastAsia="仿宋" w:cs="仿宋"/>
          <w:color w:val="000000" w:themeColor="text1"/>
          <w:sz w:val="24"/>
          <w:szCs w:val="24"/>
          <w:highlight w:val="none"/>
          <w14:textFill>
            <w14:solidFill>
              <w14:schemeClr w14:val="tx1"/>
            </w14:solidFill>
          </w14:textFill>
        </w:rPr>
        <w:t>的法定代表人。</w:t>
      </w:r>
    </w:p>
    <w:p w14:paraId="66E1ED6D">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特此证明。</w:t>
      </w:r>
    </w:p>
    <w:p w14:paraId="2C536A7B">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附：法定代表人身份证明</w:t>
      </w:r>
    </w:p>
    <w:tbl>
      <w:tblPr>
        <w:tblStyle w:val="21"/>
        <w:tblW w:w="764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640"/>
      </w:tblGrid>
      <w:tr w14:paraId="6287E0ED">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825" w:hRule="atLeast"/>
          <w:jc w:val="center"/>
        </w:trPr>
        <w:tc>
          <w:tcPr>
            <w:tcW w:w="7640" w:type="dxa"/>
            <w:noWrap w:val="0"/>
            <w:vAlign w:val="top"/>
          </w:tcPr>
          <w:p w14:paraId="3016B2F4">
            <w:pPr>
              <w:pStyle w:val="19"/>
              <w:adjustRightInd w:val="0"/>
              <w:snapToGrid w:val="0"/>
              <w:spacing w:before="0" w:beforeAutospacing="0" w:after="0" w:afterAutospacing="0"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法定代表人身份证复印件</w:t>
            </w:r>
          </w:p>
        </w:tc>
      </w:tr>
    </w:tbl>
    <w:p w14:paraId="790646E4">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p>
    <w:p w14:paraId="21EB3648">
      <w:pPr>
        <w:spacing w:line="360" w:lineRule="auto"/>
        <w:jc w:val="righ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供应商</w:t>
      </w:r>
      <w:r>
        <w:rPr>
          <w:rFonts w:hint="eastAsia" w:ascii="仿宋" w:hAnsi="仿宋" w:eastAsia="仿宋" w:cs="仿宋"/>
          <w:color w:val="000000" w:themeColor="text1"/>
          <w:sz w:val="24"/>
          <w:szCs w:val="24"/>
          <w:highlight w:val="none"/>
          <w:u w:val="none"/>
          <w14:textFill>
            <w14:solidFill>
              <w14:schemeClr w14:val="tx1"/>
            </w14:solidFill>
          </w14:textFill>
        </w:rPr>
        <w:t>（全称）</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（盖单位章） </w:t>
      </w:r>
    </w:p>
    <w:p w14:paraId="01240468">
      <w:pPr>
        <w:spacing w:line="360" w:lineRule="auto"/>
        <w:jc w:val="righ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bookmarkStart w:id="164" w:name="_Toc152045792"/>
      <w:bookmarkStart w:id="165" w:name="_Toc236827508"/>
      <w:bookmarkStart w:id="166" w:name="_Toc152042581"/>
      <w:bookmarkStart w:id="167" w:name="_Toc144974861"/>
      <w:r>
        <w:rPr>
          <w:rFonts w:hint="eastAsia" w:ascii="仿宋" w:hAnsi="仿宋" w:eastAsia="仿宋" w:cs="仿宋"/>
          <w:color w:val="000000" w:themeColor="text1"/>
          <w:sz w:val="24"/>
          <w:szCs w:val="24"/>
          <w:highlight w:val="none"/>
          <w14:textFill>
            <w14:solidFill>
              <w14:schemeClr w14:val="tx1"/>
            </w14:solidFill>
          </w14:textFill>
        </w:rPr>
        <w:t xml:space="preserve">           </w:t>
      </w:r>
      <w:bookmarkEnd w:id="164"/>
      <w:bookmarkEnd w:id="165"/>
      <w:bookmarkEnd w:id="166"/>
      <w:bookmarkEnd w:id="167"/>
      <w:bookmarkStart w:id="168" w:name="_Toc531966068"/>
      <w:bookmarkStart w:id="169" w:name="_Toc3432"/>
      <w:bookmarkStart w:id="170" w:name="_Toc470531299"/>
    </w:p>
    <w:p w14:paraId="34DADD2C">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03ACC2A9">
      <w:pPr>
        <w:pStyle w:val="4"/>
        <w:spacing w:line="360" w:lineRule="auto"/>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四、授权委托书</w:t>
      </w:r>
      <w:bookmarkEnd w:id="168"/>
      <w:bookmarkEnd w:id="169"/>
      <w:bookmarkEnd w:id="170"/>
    </w:p>
    <w:p w14:paraId="3EE7DAE3">
      <w:pPr>
        <w:topLinePunct/>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（姓名）  </w:t>
      </w:r>
      <w:r>
        <w:rPr>
          <w:rFonts w:hint="eastAsia" w:ascii="仿宋" w:hAnsi="仿宋" w:eastAsia="仿宋" w:cs="仿宋"/>
          <w:color w:val="000000" w:themeColor="text1"/>
          <w:sz w:val="24"/>
          <w:szCs w:val="24"/>
          <w:highlight w:val="none"/>
          <w14:textFill>
            <w14:solidFill>
              <w14:schemeClr w14:val="tx1"/>
            </w14:solidFill>
          </w14:textFill>
        </w:rPr>
        <w:t>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（供应商全称） </w:t>
      </w:r>
      <w:r>
        <w:rPr>
          <w:rFonts w:hint="eastAsia" w:ascii="仿宋" w:hAnsi="仿宋" w:eastAsia="仿宋" w:cs="仿宋"/>
          <w:color w:val="000000" w:themeColor="text1"/>
          <w:sz w:val="24"/>
          <w:szCs w:val="24"/>
          <w:highlight w:val="none"/>
          <w14:textFill>
            <w14:solidFill>
              <w14:schemeClr w14:val="tx1"/>
            </w14:solidFill>
          </w14:textFill>
        </w:rPr>
        <w:t>的法定代表人，现委托</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（姓名）   </w:t>
      </w:r>
      <w:r>
        <w:rPr>
          <w:rFonts w:hint="eastAsia" w:ascii="仿宋" w:hAnsi="仿宋" w:eastAsia="仿宋" w:cs="仿宋"/>
          <w:color w:val="000000" w:themeColor="text1"/>
          <w:sz w:val="24"/>
          <w:szCs w:val="24"/>
          <w:highlight w:val="none"/>
          <w14:textFill>
            <w14:solidFill>
              <w14:schemeClr w14:val="tx1"/>
            </w14:solidFill>
          </w14:textFill>
        </w:rPr>
        <w:t>为我方代理人。代理人根据授权，以我方名义签署、澄清、说明、补正、递交、撤回、修改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（项目名称）</w:t>
      </w:r>
      <w:r>
        <w:rPr>
          <w:rFonts w:hint="eastAsia" w:ascii="仿宋" w:hAnsi="仿宋" w:eastAsia="仿宋" w:cs="仿宋"/>
          <w:color w:val="000000" w:themeColor="text1"/>
          <w:sz w:val="24"/>
          <w:szCs w:val="24"/>
          <w:highlight w:val="none"/>
          <w14:textFill>
            <w14:solidFill>
              <w14:schemeClr w14:val="tx1"/>
            </w14:solidFill>
          </w14:textFill>
        </w:rPr>
        <w:t>磋商响应文件、签订合同和处理有关事宜，其法律后果由我方承担。</w:t>
      </w:r>
    </w:p>
    <w:p w14:paraId="679DE7D2">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委托期限：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w:t>
      </w:r>
    </w:p>
    <w:p w14:paraId="144D5ACA">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代理人无转委托权。</w:t>
      </w:r>
    </w:p>
    <w:p w14:paraId="48408775">
      <w:pPr>
        <w:spacing w:line="36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附：被授权人身份证明</w:t>
      </w:r>
    </w:p>
    <w:tbl>
      <w:tblPr>
        <w:tblStyle w:val="21"/>
        <w:tblW w:w="7960"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Layout w:type="fixed"/>
        <w:tblCellMar>
          <w:top w:w="0" w:type="dxa"/>
          <w:left w:w="108" w:type="dxa"/>
          <w:bottom w:w="0" w:type="dxa"/>
          <w:right w:w="108" w:type="dxa"/>
        </w:tblCellMar>
      </w:tblPr>
      <w:tblGrid>
        <w:gridCol w:w="7960"/>
      </w:tblGrid>
      <w:tr w14:paraId="013BE21A">
        <w:tblPrEx>
          <w:tblBorders>
            <w:top w:val="single" w:color="auto" w:sz="12" w:space="0"/>
            <w:left w:val="single" w:color="auto" w:sz="12" w:space="0"/>
            <w:bottom w:val="single" w:color="auto" w:sz="12" w:space="0"/>
            <w:right w:val="single" w:color="auto" w:sz="12" w:space="0"/>
            <w:insideH w:val="single" w:color="auto" w:sz="4" w:space="0"/>
            <w:insideV w:val="single" w:color="auto" w:sz="12" w:space="0"/>
          </w:tblBorders>
          <w:tblCellMar>
            <w:top w:w="0" w:type="dxa"/>
            <w:left w:w="108" w:type="dxa"/>
            <w:bottom w:w="0" w:type="dxa"/>
            <w:right w:w="108" w:type="dxa"/>
          </w:tblCellMar>
        </w:tblPrEx>
        <w:trPr>
          <w:trHeight w:val="2974" w:hRule="atLeast"/>
          <w:jc w:val="center"/>
        </w:trPr>
        <w:tc>
          <w:tcPr>
            <w:tcW w:w="7960" w:type="dxa"/>
            <w:noWrap w:val="0"/>
            <w:vAlign w:val="top"/>
          </w:tcPr>
          <w:p w14:paraId="4907C4C9">
            <w:pPr>
              <w:pStyle w:val="19"/>
              <w:adjustRightInd w:val="0"/>
              <w:snapToGrid w:val="0"/>
              <w:spacing w:before="0" w:beforeAutospacing="0" w:after="0" w:afterAutospacing="0" w:line="360" w:lineRule="auto"/>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委托代理人身份证复印件</w:t>
            </w:r>
          </w:p>
        </w:tc>
      </w:tr>
    </w:tbl>
    <w:p w14:paraId="2A71615A">
      <w:pPr>
        <w:spacing w:line="360" w:lineRule="auto"/>
        <w:ind w:firstLine="2640" w:firstLineChars="1100"/>
        <w:rPr>
          <w:rFonts w:hint="eastAsia" w:ascii="仿宋" w:hAnsi="仿宋" w:eastAsia="仿宋" w:cs="仿宋"/>
          <w:color w:val="000000" w:themeColor="text1"/>
          <w:sz w:val="24"/>
          <w:szCs w:val="24"/>
          <w:highlight w:val="none"/>
          <w14:textFill>
            <w14:solidFill>
              <w14:schemeClr w14:val="tx1"/>
            </w14:solidFill>
          </w14:textFill>
        </w:rPr>
      </w:pPr>
    </w:p>
    <w:p w14:paraId="2E9E0D8A">
      <w:pPr>
        <w:spacing w:line="360" w:lineRule="auto"/>
        <w:jc w:val="righ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none"/>
          <w14:textFill>
            <w14:solidFill>
              <w14:schemeClr w14:val="tx1"/>
            </w14:solidFill>
          </w14:textFill>
        </w:rPr>
        <w:t>供应商（全称）</w:t>
      </w:r>
      <w:r>
        <w:rPr>
          <w:rFonts w:hint="eastAsia" w:ascii="仿宋" w:hAnsi="仿宋" w:eastAsia="仿宋" w:cs="仿宋"/>
          <w:color w:val="000000" w:themeColor="text1"/>
          <w:sz w:val="24"/>
          <w:szCs w:val="24"/>
          <w:highlight w:val="none"/>
          <w14:textFill>
            <w14:solidFill>
              <w14:schemeClr w14:val="tx1"/>
            </w14:solidFill>
          </w14:textFill>
        </w:rPr>
        <w:t>：</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（盖单位章）            </w:t>
      </w:r>
    </w:p>
    <w:p w14:paraId="5445CFA3">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法定代表人：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（签名）            </w:t>
      </w:r>
    </w:p>
    <w:p w14:paraId="70DAF964">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身份证号码：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43E3C5CB">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委托代理人：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（签名）          </w:t>
      </w:r>
    </w:p>
    <w:p w14:paraId="4C5376A5">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身份证号码：</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7C79E2C5">
      <w:pPr>
        <w:spacing w:line="360" w:lineRule="auto"/>
        <w:ind w:firstLine="5640" w:firstLineChars="235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月</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14:paraId="7E22E390">
      <w:pPr>
        <w:spacing w:line="360" w:lineRule="auto"/>
        <w:rPr>
          <w:rFonts w:hint="eastAsia" w:ascii="仿宋" w:hAnsi="仿宋" w:eastAsia="仿宋" w:cs="仿宋"/>
          <w:color w:val="000000" w:themeColor="text1"/>
          <w:sz w:val="28"/>
          <w:szCs w:val="28"/>
          <w:highlight w:val="none"/>
          <w14:textFill>
            <w14:solidFill>
              <w14:schemeClr w14:val="tx1"/>
            </w14:solidFill>
          </w14:textFill>
        </w:rPr>
      </w:pPr>
      <w:bookmarkStart w:id="171" w:name="_Toc470531300"/>
      <w:bookmarkStart w:id="172" w:name="_Toc531966069"/>
    </w:p>
    <w:bookmarkEnd w:id="171"/>
    <w:bookmarkEnd w:id="172"/>
    <w:p w14:paraId="4FD13FF8">
      <w:pPr>
        <w:spacing w:line="360" w:lineRule="auto"/>
        <w:rPr>
          <w:rFonts w:hint="eastAsia" w:ascii="仿宋" w:hAnsi="仿宋" w:eastAsia="仿宋" w:cs="仿宋"/>
          <w:b/>
          <w:caps/>
          <w:color w:val="000000" w:themeColor="text1"/>
          <w:sz w:val="24"/>
          <w:szCs w:val="24"/>
          <w:highlight w:val="none"/>
          <w14:textFill>
            <w14:solidFill>
              <w14:schemeClr w14:val="tx1"/>
            </w14:solidFill>
          </w14:textFill>
        </w:rPr>
      </w:pPr>
    </w:p>
    <w:p w14:paraId="0A1CF711">
      <w:pPr>
        <w:rPr>
          <w:rFonts w:hint="eastAsia" w:ascii="仿宋" w:hAnsi="仿宋" w:eastAsia="仿宋" w:cs="仿宋"/>
          <w:color w:val="000000" w:themeColor="text1"/>
          <w:sz w:val="28"/>
          <w:szCs w:val="28"/>
          <w:highlight w:val="none"/>
          <w14:textFill>
            <w14:solidFill>
              <w14:schemeClr w14:val="tx1"/>
            </w14:solidFill>
          </w14:textFill>
        </w:rPr>
      </w:pPr>
      <w:bookmarkStart w:id="173" w:name="_Toc377657827"/>
      <w:bookmarkStart w:id="174" w:name="_Toc377657310"/>
      <w:bookmarkStart w:id="175" w:name="_Toc377657108"/>
      <w:bookmarkStart w:id="176" w:name="_Toc377658036"/>
      <w:bookmarkStart w:id="177" w:name="_Toc377657522"/>
      <w:bookmarkStart w:id="178" w:name="_Toc377657242"/>
      <w:bookmarkStart w:id="179" w:name="_Toc531966070"/>
      <w:bookmarkStart w:id="180" w:name="_Toc377657383"/>
      <w:bookmarkStart w:id="181" w:name="_Toc470531309"/>
      <w:bookmarkStart w:id="182" w:name="_Toc234382966"/>
      <w:r>
        <w:rPr>
          <w:rFonts w:hint="eastAsia" w:ascii="仿宋" w:hAnsi="仿宋" w:eastAsia="仿宋" w:cs="仿宋"/>
          <w:color w:val="000000" w:themeColor="text1"/>
          <w:sz w:val="28"/>
          <w:szCs w:val="28"/>
          <w:highlight w:val="none"/>
          <w14:textFill>
            <w14:solidFill>
              <w14:schemeClr w14:val="tx1"/>
            </w14:solidFill>
          </w14:textFill>
        </w:rPr>
        <w:br w:type="page"/>
      </w:r>
    </w:p>
    <w:bookmarkEnd w:id="173"/>
    <w:bookmarkEnd w:id="174"/>
    <w:bookmarkEnd w:id="175"/>
    <w:bookmarkEnd w:id="176"/>
    <w:bookmarkEnd w:id="177"/>
    <w:bookmarkEnd w:id="178"/>
    <w:bookmarkEnd w:id="179"/>
    <w:bookmarkEnd w:id="180"/>
    <w:bookmarkEnd w:id="181"/>
    <w:bookmarkEnd w:id="182"/>
    <w:p w14:paraId="7F93B17E">
      <w:pPr>
        <w:pStyle w:val="4"/>
        <w:bidi w:val="0"/>
        <w:spacing w:line="360" w:lineRule="auto"/>
        <w:jc w:val="center"/>
        <w:rPr>
          <w:rFonts w:hint="eastAsia" w:ascii="仿宋" w:hAnsi="仿宋" w:eastAsia="仿宋" w:cs="仿宋"/>
          <w:color w:val="000000" w:themeColor="text1"/>
          <w:sz w:val="28"/>
          <w:szCs w:val="36"/>
          <w:highlight w:val="none"/>
          <w14:textFill>
            <w14:solidFill>
              <w14:schemeClr w14:val="tx1"/>
            </w14:solidFill>
          </w14:textFill>
        </w:rPr>
      </w:pPr>
      <w:bookmarkStart w:id="183" w:name="_Toc26357"/>
      <w:bookmarkStart w:id="184" w:name="_Toc470531312"/>
      <w:r>
        <w:rPr>
          <w:rFonts w:hint="eastAsia" w:ascii="仿宋" w:hAnsi="仿宋" w:eastAsia="仿宋" w:cs="仿宋"/>
          <w:color w:val="000000" w:themeColor="text1"/>
          <w:sz w:val="32"/>
          <w:szCs w:val="32"/>
          <w:highlight w:val="none"/>
          <w:lang w:val="en-US" w:eastAsia="zh-CN"/>
          <w14:textFill>
            <w14:solidFill>
              <w14:schemeClr w14:val="tx1"/>
            </w14:solidFill>
          </w14:textFill>
        </w:rPr>
        <w:t>五、</w:t>
      </w:r>
      <w:bookmarkEnd w:id="183"/>
      <w:bookmarkStart w:id="185" w:name="_Toc31580"/>
      <w:r>
        <w:rPr>
          <w:rFonts w:hint="eastAsia" w:ascii="仿宋" w:hAnsi="仿宋" w:eastAsia="仿宋" w:cs="仿宋"/>
          <w:color w:val="000000" w:themeColor="text1"/>
          <w:sz w:val="28"/>
          <w:szCs w:val="36"/>
          <w:highlight w:val="none"/>
          <w14:textFill>
            <w14:solidFill>
              <w14:schemeClr w14:val="tx1"/>
            </w14:solidFill>
          </w14:textFill>
        </w:rPr>
        <w:t>资格审查资料</w:t>
      </w:r>
      <w:bookmarkEnd w:id="185"/>
    </w:p>
    <w:p w14:paraId="6AB8C13F">
      <w:pPr>
        <w:pStyle w:val="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bookmarkStart w:id="186" w:name="_Toc536534071"/>
      <w:bookmarkStart w:id="187" w:name="_Toc531966072"/>
      <w:bookmarkStart w:id="188" w:name="_Toc3600"/>
      <w:bookmarkStart w:id="189" w:name="_Toc28966"/>
      <w:bookmarkStart w:id="190" w:name="_Toc14766"/>
      <w:bookmarkStart w:id="191" w:name="_Toc30500"/>
      <w:bookmarkStart w:id="192" w:name="_Toc536534341"/>
      <w:bookmarkStart w:id="193" w:name="_Toc234382978"/>
      <w:r>
        <w:rPr>
          <w:rFonts w:hint="eastAsia" w:ascii="仿宋" w:hAnsi="仿宋" w:eastAsia="仿宋" w:cs="仿宋"/>
          <w:color w:val="000000" w:themeColor="text1"/>
          <w:sz w:val="24"/>
          <w:szCs w:val="24"/>
          <w:highlight w:val="none"/>
          <w14:textFill>
            <w14:solidFill>
              <w14:schemeClr w14:val="tx1"/>
            </w14:solidFill>
          </w14:textFill>
        </w:rPr>
        <w:t>（一）</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基本情况表</w:t>
      </w:r>
      <w:bookmarkEnd w:id="186"/>
      <w:bookmarkEnd w:id="187"/>
      <w:bookmarkEnd w:id="188"/>
      <w:bookmarkEnd w:id="189"/>
      <w:bookmarkEnd w:id="190"/>
      <w:bookmarkEnd w:id="191"/>
      <w:bookmarkEnd w:id="192"/>
      <w:bookmarkEnd w:id="193"/>
    </w:p>
    <w:tbl>
      <w:tblPr>
        <w:tblStyle w:val="21"/>
        <w:tblpPr w:leftFromText="180" w:rightFromText="180" w:vertAnchor="text" w:horzAnchor="page" w:tblpX="912" w:tblpY="2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3"/>
        <w:gridCol w:w="3153"/>
        <w:gridCol w:w="1009"/>
        <w:gridCol w:w="1701"/>
        <w:gridCol w:w="2044"/>
      </w:tblGrid>
      <w:tr w14:paraId="02047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2373" w:type="dxa"/>
            <w:noWrap w:val="0"/>
            <w:vAlign w:val="center"/>
          </w:tcPr>
          <w:p w14:paraId="698681CA">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bookmarkStart w:id="194" w:name="_Toc301186278"/>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名称：</w:t>
            </w:r>
          </w:p>
        </w:tc>
        <w:tc>
          <w:tcPr>
            <w:tcW w:w="7907" w:type="dxa"/>
            <w:gridSpan w:val="4"/>
            <w:noWrap w:val="0"/>
            <w:vAlign w:val="top"/>
          </w:tcPr>
          <w:p w14:paraId="7D218727">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2A8B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2373" w:type="dxa"/>
            <w:noWrap w:val="0"/>
            <w:vAlign w:val="center"/>
          </w:tcPr>
          <w:p w14:paraId="6DAE0935">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统一社会信用代码：</w:t>
            </w:r>
          </w:p>
        </w:tc>
        <w:tc>
          <w:tcPr>
            <w:tcW w:w="7907" w:type="dxa"/>
            <w:gridSpan w:val="4"/>
            <w:noWrap w:val="0"/>
            <w:vAlign w:val="top"/>
          </w:tcPr>
          <w:p w14:paraId="12042C99">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74611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3" w:hRule="atLeast"/>
        </w:trPr>
        <w:tc>
          <w:tcPr>
            <w:tcW w:w="2373" w:type="dxa"/>
            <w:noWrap w:val="0"/>
            <w:vAlign w:val="center"/>
          </w:tcPr>
          <w:p w14:paraId="35B76CB6">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法定代表人姓名：</w:t>
            </w:r>
          </w:p>
        </w:tc>
        <w:tc>
          <w:tcPr>
            <w:tcW w:w="7907" w:type="dxa"/>
            <w:gridSpan w:val="4"/>
            <w:noWrap w:val="0"/>
            <w:vAlign w:val="top"/>
          </w:tcPr>
          <w:p w14:paraId="5B6699F5">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3546C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2373" w:type="dxa"/>
            <w:noWrap w:val="0"/>
            <w:vAlign w:val="center"/>
          </w:tcPr>
          <w:p w14:paraId="52B5729D">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开户银行：</w:t>
            </w:r>
          </w:p>
        </w:tc>
        <w:tc>
          <w:tcPr>
            <w:tcW w:w="3153" w:type="dxa"/>
            <w:noWrap w:val="0"/>
            <w:vAlign w:val="top"/>
          </w:tcPr>
          <w:p w14:paraId="73C7461D">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1009" w:type="dxa"/>
            <w:noWrap w:val="0"/>
            <w:vAlign w:val="center"/>
          </w:tcPr>
          <w:p w14:paraId="43F7D6C7">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账号：</w:t>
            </w:r>
          </w:p>
        </w:tc>
        <w:tc>
          <w:tcPr>
            <w:tcW w:w="3745" w:type="dxa"/>
            <w:gridSpan w:val="2"/>
            <w:noWrap w:val="0"/>
            <w:vAlign w:val="top"/>
          </w:tcPr>
          <w:p w14:paraId="457854CD">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3F494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2373" w:type="dxa"/>
            <w:noWrap w:val="0"/>
            <w:vAlign w:val="center"/>
          </w:tcPr>
          <w:p w14:paraId="527A5801">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注册资金： </w:t>
            </w:r>
          </w:p>
        </w:tc>
        <w:tc>
          <w:tcPr>
            <w:tcW w:w="3153" w:type="dxa"/>
            <w:noWrap w:val="0"/>
            <w:vAlign w:val="top"/>
          </w:tcPr>
          <w:p w14:paraId="344F9B62">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2710" w:type="dxa"/>
            <w:gridSpan w:val="2"/>
            <w:noWrap w:val="0"/>
            <w:vAlign w:val="center"/>
          </w:tcPr>
          <w:p w14:paraId="68DEB9CA">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邮政编码：</w:t>
            </w:r>
          </w:p>
        </w:tc>
        <w:tc>
          <w:tcPr>
            <w:tcW w:w="2044" w:type="dxa"/>
            <w:noWrap w:val="0"/>
            <w:vAlign w:val="top"/>
          </w:tcPr>
          <w:p w14:paraId="313ADF9A">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0FE81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2373" w:type="dxa"/>
            <w:noWrap w:val="0"/>
            <w:vAlign w:val="center"/>
          </w:tcPr>
          <w:p w14:paraId="1E76633B">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公司成立日期： </w:t>
            </w:r>
          </w:p>
        </w:tc>
        <w:tc>
          <w:tcPr>
            <w:tcW w:w="3153" w:type="dxa"/>
            <w:noWrap w:val="0"/>
            <w:vAlign w:val="top"/>
          </w:tcPr>
          <w:p w14:paraId="50DAA260">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2710" w:type="dxa"/>
            <w:gridSpan w:val="2"/>
            <w:noWrap w:val="0"/>
            <w:vAlign w:val="center"/>
          </w:tcPr>
          <w:p w14:paraId="6E210446">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企业网站网址（如有）：</w:t>
            </w:r>
          </w:p>
        </w:tc>
        <w:tc>
          <w:tcPr>
            <w:tcW w:w="2044" w:type="dxa"/>
            <w:noWrap w:val="0"/>
            <w:vAlign w:val="top"/>
          </w:tcPr>
          <w:p w14:paraId="7B321C2C">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58C6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2373" w:type="dxa"/>
            <w:noWrap w:val="0"/>
            <w:vAlign w:val="center"/>
          </w:tcPr>
          <w:p w14:paraId="261D0044">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企业电话：</w:t>
            </w:r>
          </w:p>
        </w:tc>
        <w:tc>
          <w:tcPr>
            <w:tcW w:w="3153" w:type="dxa"/>
            <w:noWrap w:val="0"/>
            <w:vAlign w:val="top"/>
          </w:tcPr>
          <w:p w14:paraId="4D411AF2">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c>
          <w:tcPr>
            <w:tcW w:w="2710" w:type="dxa"/>
            <w:gridSpan w:val="2"/>
            <w:noWrap w:val="0"/>
            <w:vAlign w:val="center"/>
          </w:tcPr>
          <w:p w14:paraId="25C3FF0F">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通讯地址：</w:t>
            </w:r>
          </w:p>
        </w:tc>
        <w:tc>
          <w:tcPr>
            <w:tcW w:w="2044" w:type="dxa"/>
            <w:noWrap w:val="0"/>
            <w:vAlign w:val="top"/>
          </w:tcPr>
          <w:p w14:paraId="01215870">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22790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trPr>
        <w:tc>
          <w:tcPr>
            <w:tcW w:w="2373" w:type="dxa"/>
            <w:noWrap w:val="0"/>
            <w:vAlign w:val="center"/>
          </w:tcPr>
          <w:p w14:paraId="1E90B210">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公司简介：</w:t>
            </w:r>
          </w:p>
        </w:tc>
        <w:tc>
          <w:tcPr>
            <w:tcW w:w="7907" w:type="dxa"/>
            <w:gridSpan w:val="4"/>
            <w:noWrap w:val="0"/>
            <w:vAlign w:val="top"/>
          </w:tcPr>
          <w:p w14:paraId="6F857E80">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50350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6" w:hRule="atLeast"/>
        </w:trPr>
        <w:tc>
          <w:tcPr>
            <w:tcW w:w="2373" w:type="dxa"/>
            <w:noWrap w:val="0"/>
            <w:vAlign w:val="center"/>
          </w:tcPr>
          <w:p w14:paraId="47AFEBEC">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经营范围：</w:t>
            </w:r>
          </w:p>
        </w:tc>
        <w:tc>
          <w:tcPr>
            <w:tcW w:w="7907" w:type="dxa"/>
            <w:gridSpan w:val="4"/>
            <w:noWrap w:val="0"/>
            <w:vAlign w:val="top"/>
          </w:tcPr>
          <w:p w14:paraId="62D09C9F">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tr w14:paraId="2868A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2373" w:type="dxa"/>
            <w:noWrap w:val="0"/>
            <w:vAlign w:val="center"/>
          </w:tcPr>
          <w:p w14:paraId="30C3C1AB">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其他说明：</w:t>
            </w:r>
          </w:p>
        </w:tc>
        <w:tc>
          <w:tcPr>
            <w:tcW w:w="7907" w:type="dxa"/>
            <w:gridSpan w:val="4"/>
            <w:noWrap w:val="0"/>
            <w:vAlign w:val="top"/>
          </w:tcPr>
          <w:p w14:paraId="33115A4E">
            <w:pPr>
              <w:pStyle w:val="12"/>
              <w:spacing w:line="360" w:lineRule="auto"/>
              <w:jc w:val="center"/>
              <w:rPr>
                <w:rFonts w:hint="eastAsia" w:ascii="仿宋" w:hAnsi="仿宋" w:eastAsia="仿宋" w:cs="仿宋"/>
                <w:color w:val="000000" w:themeColor="text1"/>
                <w:sz w:val="24"/>
                <w:szCs w:val="24"/>
                <w:highlight w:val="none"/>
                <w14:textFill>
                  <w14:solidFill>
                    <w14:schemeClr w14:val="tx1"/>
                  </w14:solidFill>
                </w14:textFill>
              </w:rPr>
            </w:pPr>
          </w:p>
        </w:tc>
      </w:tr>
      <w:bookmarkEnd w:id="194"/>
    </w:tbl>
    <w:p w14:paraId="565F31D8">
      <w:pPr>
        <w:spacing w:line="360" w:lineRule="auto"/>
        <w:rPr>
          <w:rFonts w:hint="eastAsia" w:ascii="仿宋" w:hAnsi="仿宋" w:eastAsia="仿宋" w:cs="仿宋"/>
          <w:b/>
          <w:color w:val="000000" w:themeColor="text1"/>
          <w:sz w:val="24"/>
          <w:szCs w:val="24"/>
          <w:highlight w:val="none"/>
          <w14:textFill>
            <w14:solidFill>
              <w14:schemeClr w14:val="tx1"/>
            </w14:solidFill>
          </w14:textFill>
        </w:rPr>
      </w:pPr>
      <w:bookmarkStart w:id="195" w:name="_Toc234382979"/>
      <w:r>
        <w:rPr>
          <w:rFonts w:hint="eastAsia" w:ascii="仿宋" w:hAnsi="仿宋" w:eastAsia="仿宋" w:cs="仿宋"/>
          <w:b/>
          <w:caps/>
          <w:color w:val="000000" w:themeColor="text1"/>
          <w:sz w:val="24"/>
          <w:szCs w:val="24"/>
          <w:highlight w:val="none"/>
          <w14:textFill>
            <w14:solidFill>
              <w14:schemeClr w14:val="tx1"/>
            </w14:solidFill>
          </w14:textFill>
        </w:rPr>
        <w:t>注：本表</w:t>
      </w:r>
      <w:r>
        <w:rPr>
          <w:rFonts w:hint="eastAsia" w:ascii="仿宋" w:hAnsi="仿宋" w:eastAsia="仿宋" w:cs="仿宋"/>
          <w:b/>
          <w:caps/>
          <w:color w:val="000000" w:themeColor="text1"/>
          <w:sz w:val="24"/>
          <w:szCs w:val="24"/>
          <w:highlight w:val="none"/>
          <w:lang w:eastAsia="zh-CN"/>
          <w14:textFill>
            <w14:solidFill>
              <w14:schemeClr w14:val="tx1"/>
            </w14:solidFill>
          </w14:textFill>
        </w:rPr>
        <w:t>后</w:t>
      </w:r>
      <w:r>
        <w:rPr>
          <w:rFonts w:hint="eastAsia" w:ascii="仿宋" w:hAnsi="仿宋" w:eastAsia="仿宋" w:cs="仿宋"/>
          <w:b/>
          <w:caps/>
          <w:color w:val="000000" w:themeColor="text1"/>
          <w:sz w:val="24"/>
          <w:szCs w:val="24"/>
          <w:highlight w:val="none"/>
          <w14:textFill>
            <w14:solidFill>
              <w14:schemeClr w14:val="tx1"/>
            </w14:solidFill>
          </w14:textFill>
        </w:rPr>
        <w:t>应附</w:t>
      </w:r>
      <w:r>
        <w:rPr>
          <w:rFonts w:hint="eastAsia" w:ascii="仿宋" w:hAnsi="仿宋" w:eastAsia="仿宋" w:cs="仿宋"/>
          <w:b/>
          <w:caps/>
          <w:color w:val="000000" w:themeColor="text1"/>
          <w:sz w:val="24"/>
          <w:szCs w:val="24"/>
          <w:highlight w:val="none"/>
          <w:lang w:eastAsia="zh-CN"/>
          <w14:textFill>
            <w14:solidFill>
              <w14:schemeClr w14:val="tx1"/>
            </w14:solidFill>
          </w14:textFill>
        </w:rPr>
        <w:t>供应商</w:t>
      </w:r>
      <w:r>
        <w:rPr>
          <w:rFonts w:hint="eastAsia" w:ascii="仿宋" w:hAnsi="仿宋" w:eastAsia="仿宋" w:cs="仿宋"/>
          <w:b/>
          <w:caps/>
          <w:color w:val="000000" w:themeColor="text1"/>
          <w:sz w:val="24"/>
          <w:szCs w:val="24"/>
          <w:highlight w:val="none"/>
          <w14:textFill>
            <w14:solidFill>
              <w14:schemeClr w14:val="tx1"/>
            </w14:solidFill>
          </w14:textFill>
        </w:rPr>
        <w:t>有效的营业执照复印件并加盖</w:t>
      </w:r>
      <w:r>
        <w:rPr>
          <w:rFonts w:hint="eastAsia" w:ascii="仿宋" w:hAnsi="仿宋" w:eastAsia="仿宋" w:cs="仿宋"/>
          <w:b/>
          <w:caps/>
          <w:color w:val="000000" w:themeColor="text1"/>
          <w:sz w:val="24"/>
          <w:szCs w:val="24"/>
          <w:highlight w:val="none"/>
          <w:lang w:eastAsia="zh-CN"/>
          <w14:textFill>
            <w14:solidFill>
              <w14:schemeClr w14:val="tx1"/>
            </w14:solidFill>
          </w14:textFill>
        </w:rPr>
        <w:t>供应商</w:t>
      </w:r>
      <w:r>
        <w:rPr>
          <w:rFonts w:hint="eastAsia" w:ascii="仿宋" w:hAnsi="仿宋" w:eastAsia="仿宋" w:cs="仿宋"/>
          <w:b/>
          <w:caps/>
          <w:color w:val="000000" w:themeColor="text1"/>
          <w:sz w:val="24"/>
          <w:szCs w:val="24"/>
          <w:highlight w:val="none"/>
          <w14:textFill>
            <w14:solidFill>
              <w14:schemeClr w14:val="tx1"/>
            </w14:solidFill>
          </w14:textFill>
        </w:rPr>
        <w:t>公章。</w:t>
      </w:r>
    </w:p>
    <w:bookmarkEnd w:id="195"/>
    <w:p w14:paraId="588F070C">
      <w:pPr>
        <w:spacing w:line="360" w:lineRule="auto"/>
        <w:jc w:val="left"/>
        <w:rPr>
          <w:rFonts w:hint="eastAsia" w:ascii="仿宋" w:hAnsi="仿宋" w:eastAsia="仿宋" w:cs="仿宋"/>
          <w:color w:val="000000" w:themeColor="text1"/>
          <w:szCs w:val="21"/>
          <w:highlight w:val="none"/>
          <w14:textFill>
            <w14:solidFill>
              <w14:schemeClr w14:val="tx1"/>
            </w14:solidFill>
          </w14:textFill>
        </w:rPr>
      </w:pPr>
    </w:p>
    <w:p w14:paraId="3FE0DF1D">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供应商（盖</w:t>
      </w:r>
      <w:r>
        <w:rPr>
          <w:rFonts w:hint="eastAsia" w:ascii="仿宋" w:hAnsi="仿宋" w:eastAsia="仿宋" w:cs="仿宋"/>
          <w:color w:val="000000" w:themeColor="text1"/>
          <w:sz w:val="24"/>
          <w:szCs w:val="24"/>
          <w:highlight w:val="none"/>
          <w:lang w:eastAsia="zh-CN"/>
          <w14:textFill>
            <w14:solidFill>
              <w14:schemeClr w14:val="tx1"/>
            </w14:solidFill>
          </w14:textFill>
        </w:rPr>
        <w:t>单位</w:t>
      </w:r>
      <w:r>
        <w:rPr>
          <w:rFonts w:hint="eastAsia" w:ascii="仿宋" w:hAnsi="仿宋" w:eastAsia="仿宋" w:cs="仿宋"/>
          <w:color w:val="000000" w:themeColor="text1"/>
          <w:sz w:val="24"/>
          <w:szCs w:val="24"/>
          <w:highlight w:val="none"/>
          <w14:textFill>
            <w14:solidFill>
              <w14:schemeClr w14:val="tx1"/>
            </w14:solidFill>
          </w14:textFill>
        </w:rPr>
        <w:t xml:space="preserve">章）：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1E80B192">
      <w:pPr>
        <w:spacing w:line="360" w:lineRule="auto"/>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法定代表人或其委托人（盖章或签字）：</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46A8FF8D">
      <w:pPr>
        <w:spacing w:line="360" w:lineRule="auto"/>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月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14:paraId="0203210A">
      <w:pPr>
        <w:spacing w:line="360" w:lineRule="auto"/>
        <w:rPr>
          <w:rFonts w:hint="eastAsia" w:ascii="仿宋" w:hAnsi="仿宋" w:eastAsia="仿宋" w:cs="仿宋"/>
          <w:b/>
          <w:bCs/>
          <w:color w:val="000000" w:themeColor="text1"/>
          <w:sz w:val="22"/>
          <w:szCs w:val="28"/>
          <w:highlight w:val="none"/>
          <w14:textFill>
            <w14:solidFill>
              <w14:schemeClr w14:val="tx1"/>
            </w14:solidFill>
          </w14:textFill>
        </w:rPr>
      </w:pPr>
    </w:p>
    <w:p w14:paraId="0E76D288">
      <w:pPr>
        <w:rPr>
          <w:rFonts w:hint="eastAsia" w:ascii="仿宋" w:hAnsi="仿宋" w:eastAsia="仿宋" w:cs="仿宋"/>
          <w:color w:val="000000" w:themeColor="text1"/>
          <w:sz w:val="28"/>
          <w:szCs w:val="28"/>
          <w:highlight w:val="none"/>
          <w14:textFill>
            <w14:solidFill>
              <w14:schemeClr w14:val="tx1"/>
            </w14:solidFill>
          </w14:textFill>
        </w:rPr>
      </w:pPr>
      <w:bookmarkStart w:id="196" w:name="_Toc15718"/>
      <w:r>
        <w:rPr>
          <w:rFonts w:hint="eastAsia" w:ascii="仿宋" w:hAnsi="仿宋" w:eastAsia="仿宋" w:cs="仿宋"/>
          <w:color w:val="000000" w:themeColor="text1"/>
          <w:sz w:val="28"/>
          <w:szCs w:val="28"/>
          <w:highlight w:val="none"/>
          <w14:textFill>
            <w14:solidFill>
              <w14:schemeClr w14:val="tx1"/>
            </w14:solidFill>
          </w14:textFill>
        </w:rPr>
        <w:br w:type="page"/>
      </w:r>
    </w:p>
    <w:p w14:paraId="6466FD56">
      <w:pPr>
        <w:jc w:val="center"/>
        <w:rPr>
          <w:rFonts w:hint="eastAsia" w:ascii="仿宋" w:hAnsi="仿宋" w:eastAsia="仿宋" w:cs="仿宋"/>
          <w:b/>
          <w:bCs/>
          <w:color w:val="000000" w:themeColor="text1"/>
          <w:sz w:val="28"/>
          <w:szCs w:val="28"/>
          <w:highlight w:val="none"/>
          <w:lang w:val="en-US" w:eastAsia="zh-CN"/>
          <w14:textFill>
            <w14:solidFill>
              <w14:schemeClr w14:val="tx1"/>
            </w14:solidFill>
          </w14:textFill>
        </w:rPr>
      </w:pP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二</w:t>
      </w:r>
      <w:r>
        <w:rPr>
          <w:rFonts w:hint="eastAsia" w:ascii="仿宋" w:hAnsi="仿宋" w:eastAsia="仿宋" w:cs="仿宋"/>
          <w:b/>
          <w:bCs/>
          <w:color w:val="000000" w:themeColor="text1"/>
          <w:sz w:val="28"/>
          <w:szCs w:val="28"/>
          <w:highlight w:val="none"/>
          <w:lang w:eastAsia="zh-CN"/>
          <w14:textFill>
            <w14:solidFill>
              <w14:schemeClr w14:val="tx1"/>
            </w14:solidFill>
          </w14:textFill>
        </w:rPr>
        <w:t>）</w:t>
      </w: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资格审查资料</w:t>
      </w:r>
    </w:p>
    <w:p w14:paraId="3E84A2E9">
      <w:pPr>
        <w:jc w:val="cente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供应商</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根据“</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第三章 </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评审办法</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评审</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办法</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前附表</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 xml:space="preserve"> 资格性评审标准</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”要求的</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内容</w:t>
      </w:r>
      <w:r>
        <w:rPr>
          <w:rFonts w:hint="eastAsia" w:ascii="仿宋" w:hAnsi="仿宋" w:eastAsia="仿宋" w:cs="仿宋"/>
          <w:b w:val="0"/>
          <w:bCs w:val="0"/>
          <w:color w:val="000000" w:themeColor="text1"/>
          <w:sz w:val="24"/>
          <w:szCs w:val="24"/>
          <w:highlight w:val="none"/>
          <w:lang w:eastAsia="zh-CN"/>
          <w14:textFill>
            <w14:solidFill>
              <w14:schemeClr w14:val="tx1"/>
            </w14:solidFill>
          </w14:textFill>
        </w:rPr>
        <w:t>自行提供，格式自拟</w:t>
      </w:r>
      <w:r>
        <w:rPr>
          <w:rFonts w:hint="eastAsia" w:ascii="仿宋" w:hAnsi="仿宋" w:eastAsia="仿宋" w:cs="仿宋"/>
          <w:b w:val="0"/>
          <w:bCs w:val="0"/>
          <w:color w:val="000000" w:themeColor="text1"/>
          <w:sz w:val="24"/>
          <w:szCs w:val="24"/>
          <w:highlight w:val="none"/>
          <w:lang w:val="en-US" w:eastAsia="zh-CN"/>
          <w14:textFill>
            <w14:solidFill>
              <w14:schemeClr w14:val="tx1"/>
            </w14:solidFill>
          </w14:textFill>
        </w:rPr>
        <w:t>)</w:t>
      </w:r>
    </w:p>
    <w:p w14:paraId="4670B616">
      <w:pPr>
        <w:rPr>
          <w:rFonts w:hint="eastAsia" w:ascii="仿宋" w:hAnsi="仿宋" w:eastAsia="仿宋" w:cs="仿宋"/>
          <w:color w:val="000000" w:themeColor="text1"/>
          <w:sz w:val="28"/>
          <w:szCs w:val="28"/>
          <w:highlight w:val="none"/>
          <w:lang w:val="en-US" w:eastAsia="zh-CN"/>
          <w14:textFill>
            <w14:solidFill>
              <w14:schemeClr w14:val="tx1"/>
            </w14:solidFill>
          </w14:textFill>
        </w:rPr>
      </w:pPr>
    </w:p>
    <w:p w14:paraId="5D6ED94F">
      <w:pP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br w:type="page"/>
      </w:r>
    </w:p>
    <w:p w14:paraId="4D9D7794">
      <w:pPr>
        <w:pStyle w:val="4"/>
        <w:spacing w:line="360" w:lineRule="auto"/>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六</w:t>
      </w:r>
      <w:r>
        <w:rPr>
          <w:rFonts w:hint="eastAsia" w:ascii="仿宋" w:hAnsi="仿宋" w:eastAsia="仿宋" w:cs="仿宋"/>
          <w:color w:val="000000" w:themeColor="text1"/>
          <w:sz w:val="28"/>
          <w:szCs w:val="28"/>
          <w:highlight w:val="none"/>
          <w14:textFill>
            <w14:solidFill>
              <w14:schemeClr w14:val="tx1"/>
            </w14:solidFill>
          </w14:textFill>
        </w:rPr>
        <w:t>、</w:t>
      </w:r>
      <w:bookmarkEnd w:id="196"/>
      <w:r>
        <w:rPr>
          <w:rFonts w:hint="eastAsia" w:ascii="仿宋" w:hAnsi="仿宋" w:eastAsia="仿宋" w:cs="仿宋"/>
          <w:color w:val="000000" w:themeColor="text1"/>
          <w:sz w:val="28"/>
          <w:szCs w:val="28"/>
          <w:highlight w:val="none"/>
          <w:lang w:val="en-US" w:eastAsia="zh-CN"/>
          <w14:textFill>
            <w14:solidFill>
              <w14:schemeClr w14:val="tx1"/>
            </w14:solidFill>
          </w14:textFill>
        </w:rPr>
        <w:t>技术部分</w:t>
      </w:r>
    </w:p>
    <w:bookmarkEnd w:id="184"/>
    <w:p w14:paraId="0C150484">
      <w:pPr>
        <w:pStyle w:val="4"/>
        <w:adjustRightInd w:val="0"/>
        <w:snapToGrid w:val="0"/>
        <w:spacing w:before="120"/>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一</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技术规格偏离表</w:t>
      </w:r>
    </w:p>
    <w:p w14:paraId="74DF3CF1">
      <w:pPr>
        <w:pStyle w:val="12"/>
        <w:ind w:firstLine="210" w:firstLineChars="100"/>
        <w:rPr>
          <w:rFonts w:hint="eastAsia" w:ascii="仿宋" w:hAnsi="仿宋" w:eastAsia="仿宋" w:cs="仿宋"/>
          <w:color w:val="000000" w:themeColor="text1"/>
          <w:highlight w:val="none"/>
          <w14:textFill>
            <w14:solidFill>
              <w14:schemeClr w14:val="tx1"/>
            </w14:solidFill>
          </w14:textFill>
        </w:rPr>
      </w:pPr>
    </w:p>
    <w:p w14:paraId="4F0E60B6">
      <w:pPr>
        <w:pStyle w:val="12"/>
        <w:ind w:firstLine="723" w:firstLineChars="300"/>
        <w:rPr>
          <w:rFonts w:hint="eastAsia"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项目名称：         </w:t>
      </w:r>
      <w:r>
        <w:rPr>
          <w:rFonts w:hint="eastAsia" w:ascii="仿宋" w:hAnsi="仿宋" w:eastAsia="仿宋" w:cs="仿宋"/>
          <w:b/>
          <w:color w:val="000000" w:themeColor="text1"/>
          <w:sz w:val="24"/>
          <w:szCs w:val="24"/>
          <w:highlight w:val="none"/>
          <w:lang w:val="en-US" w:eastAsia="zh-CN"/>
          <w14:textFill>
            <w14:solidFill>
              <w14:schemeClr w14:val="tx1"/>
            </w14:solidFill>
          </w14:textFill>
        </w:rPr>
        <w:t>项目</w:t>
      </w:r>
      <w:r>
        <w:rPr>
          <w:rFonts w:hint="eastAsia" w:ascii="仿宋" w:hAnsi="仿宋" w:eastAsia="仿宋" w:cs="仿宋"/>
          <w:b/>
          <w:color w:val="000000" w:themeColor="text1"/>
          <w:sz w:val="24"/>
          <w:szCs w:val="24"/>
          <w:highlight w:val="none"/>
          <w14:textFill>
            <w14:solidFill>
              <w14:schemeClr w14:val="tx1"/>
            </w14:solidFill>
          </w14:textFill>
        </w:rPr>
        <w:t>编号：</w:t>
      </w:r>
    </w:p>
    <w:tbl>
      <w:tblPr>
        <w:tblStyle w:val="21"/>
        <w:tblW w:w="52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593"/>
        <w:gridCol w:w="1211"/>
        <w:gridCol w:w="2263"/>
        <w:gridCol w:w="1590"/>
        <w:gridCol w:w="2008"/>
        <w:gridCol w:w="2000"/>
      </w:tblGrid>
      <w:tr w14:paraId="76B894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295" w:hRule="atLeast"/>
        </w:trPr>
        <w:tc>
          <w:tcPr>
            <w:tcW w:w="307" w:type="pct"/>
            <w:noWrap w:val="0"/>
            <w:vAlign w:val="center"/>
          </w:tcPr>
          <w:p w14:paraId="6F91F197">
            <w:pPr>
              <w:spacing w:line="360" w:lineRule="auto"/>
              <w:jc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序号</w:t>
            </w:r>
          </w:p>
        </w:tc>
        <w:tc>
          <w:tcPr>
            <w:tcW w:w="626" w:type="pct"/>
            <w:noWrap w:val="0"/>
            <w:vAlign w:val="center"/>
          </w:tcPr>
          <w:p w14:paraId="018D6CEE">
            <w:pPr>
              <w:spacing w:line="360" w:lineRule="auto"/>
              <w:jc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产品名称</w:t>
            </w:r>
          </w:p>
        </w:tc>
        <w:tc>
          <w:tcPr>
            <w:tcW w:w="1170" w:type="pct"/>
            <w:noWrap w:val="0"/>
            <w:vAlign w:val="center"/>
          </w:tcPr>
          <w:p w14:paraId="5439A939">
            <w:pPr>
              <w:spacing w:line="360" w:lineRule="auto"/>
              <w:jc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竞争性磋商文件</w:t>
            </w:r>
            <w:r>
              <w:rPr>
                <w:rFonts w:hint="eastAsia" w:ascii="仿宋" w:hAnsi="仿宋" w:eastAsia="仿宋" w:cs="仿宋"/>
                <w:bCs/>
                <w:color w:val="000000" w:themeColor="text1"/>
                <w:sz w:val="24"/>
                <w:szCs w:val="24"/>
                <w:highlight w:val="none"/>
                <w14:textFill>
                  <w14:solidFill>
                    <w14:schemeClr w14:val="tx1"/>
                  </w14:solidFill>
                </w14:textFill>
              </w:rPr>
              <w:t>技术要求</w:t>
            </w:r>
          </w:p>
        </w:tc>
        <w:tc>
          <w:tcPr>
            <w:tcW w:w="822" w:type="pct"/>
            <w:noWrap w:val="0"/>
            <w:vAlign w:val="center"/>
          </w:tcPr>
          <w:p w14:paraId="60E7E2D8">
            <w:pPr>
              <w:spacing w:line="360" w:lineRule="auto"/>
              <w:jc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lang w:eastAsia="zh-CN"/>
                <w14:textFill>
                  <w14:solidFill>
                    <w14:schemeClr w14:val="tx1"/>
                  </w14:solidFill>
                </w14:textFill>
              </w:rPr>
              <w:t>供应商</w:t>
            </w:r>
            <w:r>
              <w:rPr>
                <w:rFonts w:hint="eastAsia" w:ascii="仿宋" w:hAnsi="仿宋" w:eastAsia="仿宋" w:cs="仿宋"/>
                <w:bCs/>
                <w:color w:val="000000" w:themeColor="text1"/>
                <w:sz w:val="24"/>
                <w:szCs w:val="24"/>
                <w:highlight w:val="none"/>
                <w14:textFill>
                  <w14:solidFill>
                    <w14:schemeClr w14:val="tx1"/>
                  </w14:solidFill>
                </w14:textFill>
              </w:rPr>
              <w:t>响应技术参数</w:t>
            </w:r>
          </w:p>
        </w:tc>
        <w:tc>
          <w:tcPr>
            <w:tcW w:w="1038" w:type="pct"/>
            <w:noWrap w:val="0"/>
            <w:vAlign w:val="center"/>
          </w:tcPr>
          <w:p w14:paraId="26369EEF">
            <w:pPr>
              <w:spacing w:line="360" w:lineRule="auto"/>
              <w:jc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偏离情况</w:t>
            </w:r>
          </w:p>
        </w:tc>
        <w:tc>
          <w:tcPr>
            <w:tcW w:w="1034" w:type="pct"/>
            <w:noWrap w:val="0"/>
            <w:vAlign w:val="center"/>
          </w:tcPr>
          <w:p w14:paraId="1347F871">
            <w:pPr>
              <w:spacing w:line="360" w:lineRule="auto"/>
              <w:jc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技术支持资料索引（所在投标文件页码及条目号等）</w:t>
            </w:r>
          </w:p>
        </w:tc>
      </w:tr>
      <w:tr w14:paraId="285470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6" w:hRule="atLeast"/>
        </w:trPr>
        <w:tc>
          <w:tcPr>
            <w:tcW w:w="307" w:type="pct"/>
            <w:noWrap w:val="0"/>
            <w:vAlign w:val="center"/>
          </w:tcPr>
          <w:p w14:paraId="49565B1B">
            <w:pPr>
              <w:spacing w:line="0" w:lineRule="atLeast"/>
              <w:jc w:val="center"/>
              <w:textAlignment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w:t>
            </w:r>
          </w:p>
        </w:tc>
        <w:tc>
          <w:tcPr>
            <w:tcW w:w="626" w:type="pct"/>
            <w:noWrap w:val="0"/>
            <w:vAlign w:val="center"/>
          </w:tcPr>
          <w:p w14:paraId="2FC03C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p>
        </w:tc>
        <w:tc>
          <w:tcPr>
            <w:tcW w:w="1170" w:type="pct"/>
            <w:noWrap w:val="0"/>
            <w:vAlign w:val="center"/>
          </w:tcPr>
          <w:p w14:paraId="2C7ED458">
            <w:pPr>
              <w:spacing w:line="0" w:lineRule="atLeast"/>
              <w:rPr>
                <w:rFonts w:hint="eastAsia" w:ascii="仿宋" w:hAnsi="仿宋" w:eastAsia="仿宋" w:cs="仿宋"/>
                <w:color w:val="000000" w:themeColor="text1"/>
                <w:sz w:val="24"/>
                <w:szCs w:val="24"/>
                <w:highlight w:val="none"/>
                <w14:textFill>
                  <w14:solidFill>
                    <w14:schemeClr w14:val="tx1"/>
                  </w14:solidFill>
                </w14:textFill>
              </w:rPr>
            </w:pPr>
          </w:p>
        </w:tc>
        <w:tc>
          <w:tcPr>
            <w:tcW w:w="822" w:type="pct"/>
            <w:noWrap w:val="0"/>
            <w:vAlign w:val="center"/>
          </w:tcPr>
          <w:p w14:paraId="4C03F199">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8" w:type="pct"/>
            <w:noWrap w:val="0"/>
            <w:vAlign w:val="top"/>
          </w:tcPr>
          <w:p w14:paraId="3195F0C4">
            <w:pPr>
              <w:numPr>
                <w:ilvl w:val="0"/>
                <w:numId w:val="0"/>
              </w:numPr>
              <w:spacing w:line="0" w:lineRule="atLeast"/>
              <w:jc w:val="both"/>
              <w:rPr>
                <w:rFonts w:hint="eastAsia" w:ascii="仿宋" w:hAnsi="仿宋" w:eastAsia="仿宋" w:cs="仿宋"/>
                <w:bCs/>
                <w:color w:val="000000" w:themeColor="text1"/>
                <w:sz w:val="24"/>
                <w:szCs w:val="24"/>
                <w:highlight w:val="none"/>
                <w:lang w:val="en-US" w:eastAsia="zh-CN"/>
                <w14:textFill>
                  <w14:solidFill>
                    <w14:schemeClr w14:val="tx1"/>
                  </w14:solidFill>
                </w14:textFill>
              </w:rPr>
            </w:pPr>
          </w:p>
        </w:tc>
        <w:tc>
          <w:tcPr>
            <w:tcW w:w="1034" w:type="pct"/>
            <w:noWrap w:val="0"/>
            <w:vAlign w:val="center"/>
          </w:tcPr>
          <w:p w14:paraId="06CF42B2">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73226F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6" w:hRule="atLeast"/>
        </w:trPr>
        <w:tc>
          <w:tcPr>
            <w:tcW w:w="307" w:type="pct"/>
            <w:noWrap w:val="0"/>
            <w:vAlign w:val="center"/>
          </w:tcPr>
          <w:p w14:paraId="1E97761A">
            <w:pPr>
              <w:spacing w:line="0" w:lineRule="atLeast"/>
              <w:jc w:val="center"/>
              <w:textAlignment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w:t>
            </w:r>
          </w:p>
        </w:tc>
        <w:tc>
          <w:tcPr>
            <w:tcW w:w="626" w:type="pct"/>
            <w:noWrap w:val="0"/>
            <w:vAlign w:val="center"/>
          </w:tcPr>
          <w:p w14:paraId="3B4576D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p>
        </w:tc>
        <w:tc>
          <w:tcPr>
            <w:tcW w:w="1170" w:type="pct"/>
            <w:noWrap w:val="0"/>
            <w:vAlign w:val="center"/>
          </w:tcPr>
          <w:p w14:paraId="1142790B">
            <w:pPr>
              <w:spacing w:line="0" w:lineRule="atLeast"/>
              <w:rPr>
                <w:rFonts w:hint="eastAsia" w:ascii="仿宋" w:hAnsi="仿宋" w:eastAsia="仿宋" w:cs="仿宋"/>
                <w:color w:val="000000" w:themeColor="text1"/>
                <w:sz w:val="24"/>
                <w:szCs w:val="24"/>
                <w:highlight w:val="none"/>
                <w14:textFill>
                  <w14:solidFill>
                    <w14:schemeClr w14:val="tx1"/>
                  </w14:solidFill>
                </w14:textFill>
              </w:rPr>
            </w:pPr>
          </w:p>
        </w:tc>
        <w:tc>
          <w:tcPr>
            <w:tcW w:w="822" w:type="pct"/>
            <w:noWrap w:val="0"/>
            <w:vAlign w:val="center"/>
          </w:tcPr>
          <w:p w14:paraId="7EDE0B52">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8" w:type="pct"/>
            <w:noWrap w:val="0"/>
            <w:vAlign w:val="top"/>
          </w:tcPr>
          <w:p w14:paraId="1A4E1AA9">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4" w:type="pct"/>
            <w:noWrap w:val="0"/>
            <w:vAlign w:val="center"/>
          </w:tcPr>
          <w:p w14:paraId="72C099D7">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57B50C2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6" w:hRule="atLeast"/>
        </w:trPr>
        <w:tc>
          <w:tcPr>
            <w:tcW w:w="307" w:type="pct"/>
            <w:noWrap w:val="0"/>
            <w:vAlign w:val="center"/>
          </w:tcPr>
          <w:p w14:paraId="45A8A1BD">
            <w:pPr>
              <w:spacing w:line="0" w:lineRule="atLeast"/>
              <w:jc w:val="center"/>
              <w:textAlignment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w:t>
            </w:r>
          </w:p>
        </w:tc>
        <w:tc>
          <w:tcPr>
            <w:tcW w:w="626" w:type="pct"/>
            <w:noWrap w:val="0"/>
            <w:vAlign w:val="center"/>
          </w:tcPr>
          <w:p w14:paraId="0B7D0B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p>
        </w:tc>
        <w:tc>
          <w:tcPr>
            <w:tcW w:w="1170" w:type="pct"/>
            <w:noWrap w:val="0"/>
            <w:vAlign w:val="center"/>
          </w:tcPr>
          <w:p w14:paraId="5C35784F">
            <w:pPr>
              <w:spacing w:line="0" w:lineRule="atLeast"/>
              <w:rPr>
                <w:rFonts w:hint="eastAsia" w:ascii="仿宋" w:hAnsi="仿宋" w:eastAsia="仿宋" w:cs="仿宋"/>
                <w:color w:val="000000" w:themeColor="text1"/>
                <w:sz w:val="24"/>
                <w:szCs w:val="24"/>
                <w:highlight w:val="none"/>
                <w14:textFill>
                  <w14:solidFill>
                    <w14:schemeClr w14:val="tx1"/>
                  </w14:solidFill>
                </w14:textFill>
              </w:rPr>
            </w:pPr>
          </w:p>
        </w:tc>
        <w:tc>
          <w:tcPr>
            <w:tcW w:w="822" w:type="pct"/>
            <w:noWrap w:val="0"/>
            <w:vAlign w:val="center"/>
          </w:tcPr>
          <w:p w14:paraId="1A269E96">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8" w:type="pct"/>
            <w:noWrap w:val="0"/>
            <w:vAlign w:val="top"/>
          </w:tcPr>
          <w:p w14:paraId="6C1A0058">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4" w:type="pct"/>
            <w:noWrap w:val="0"/>
            <w:vAlign w:val="center"/>
          </w:tcPr>
          <w:p w14:paraId="7DD62E80">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554DC16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6" w:hRule="atLeast"/>
        </w:trPr>
        <w:tc>
          <w:tcPr>
            <w:tcW w:w="307" w:type="pct"/>
            <w:noWrap w:val="0"/>
            <w:vAlign w:val="center"/>
          </w:tcPr>
          <w:p w14:paraId="57AD107C">
            <w:pPr>
              <w:spacing w:line="0" w:lineRule="atLeast"/>
              <w:jc w:val="center"/>
              <w:textAlignment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4</w:t>
            </w:r>
          </w:p>
        </w:tc>
        <w:tc>
          <w:tcPr>
            <w:tcW w:w="626" w:type="pct"/>
            <w:noWrap w:val="0"/>
            <w:vAlign w:val="center"/>
          </w:tcPr>
          <w:p w14:paraId="39E54E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p>
        </w:tc>
        <w:tc>
          <w:tcPr>
            <w:tcW w:w="1170" w:type="pct"/>
            <w:noWrap w:val="0"/>
            <w:vAlign w:val="center"/>
          </w:tcPr>
          <w:p w14:paraId="09E6A80D">
            <w:pPr>
              <w:spacing w:line="0" w:lineRule="atLeast"/>
              <w:rPr>
                <w:rFonts w:hint="eastAsia" w:ascii="仿宋" w:hAnsi="仿宋" w:eastAsia="仿宋" w:cs="仿宋"/>
                <w:color w:val="000000" w:themeColor="text1"/>
                <w:sz w:val="24"/>
                <w:szCs w:val="24"/>
                <w:highlight w:val="none"/>
                <w14:textFill>
                  <w14:solidFill>
                    <w14:schemeClr w14:val="tx1"/>
                  </w14:solidFill>
                </w14:textFill>
              </w:rPr>
            </w:pPr>
          </w:p>
        </w:tc>
        <w:tc>
          <w:tcPr>
            <w:tcW w:w="822" w:type="pct"/>
            <w:noWrap w:val="0"/>
            <w:vAlign w:val="center"/>
          </w:tcPr>
          <w:p w14:paraId="595F419B">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8" w:type="pct"/>
            <w:noWrap w:val="0"/>
            <w:vAlign w:val="top"/>
          </w:tcPr>
          <w:p w14:paraId="518A2CE5">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4" w:type="pct"/>
            <w:noWrap w:val="0"/>
            <w:vAlign w:val="center"/>
          </w:tcPr>
          <w:p w14:paraId="0BE4D72F">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3C1BFA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6" w:hRule="atLeast"/>
        </w:trPr>
        <w:tc>
          <w:tcPr>
            <w:tcW w:w="307" w:type="pct"/>
            <w:noWrap w:val="0"/>
            <w:vAlign w:val="center"/>
          </w:tcPr>
          <w:p w14:paraId="4CED02AF">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bCs/>
                <w:color w:val="000000" w:themeColor="text1"/>
                <w:sz w:val="24"/>
                <w:szCs w:val="24"/>
                <w:highlight w:val="none"/>
                <w14:textFill>
                  <w14:solidFill>
                    <w14:schemeClr w14:val="tx1"/>
                  </w14:solidFill>
                </w14:textFill>
              </w:rPr>
              <w:t>5</w:t>
            </w:r>
          </w:p>
        </w:tc>
        <w:tc>
          <w:tcPr>
            <w:tcW w:w="626" w:type="pct"/>
            <w:noWrap w:val="0"/>
            <w:vAlign w:val="center"/>
          </w:tcPr>
          <w:p w14:paraId="748F0ED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p>
        </w:tc>
        <w:tc>
          <w:tcPr>
            <w:tcW w:w="1170" w:type="pct"/>
            <w:noWrap w:val="0"/>
            <w:vAlign w:val="center"/>
          </w:tcPr>
          <w:p w14:paraId="22EDB992">
            <w:pPr>
              <w:spacing w:line="0" w:lineRule="atLeast"/>
              <w:rPr>
                <w:rFonts w:hint="eastAsia" w:ascii="仿宋" w:hAnsi="仿宋" w:eastAsia="仿宋" w:cs="仿宋"/>
                <w:color w:val="000000" w:themeColor="text1"/>
                <w:sz w:val="24"/>
                <w:szCs w:val="24"/>
                <w:highlight w:val="none"/>
                <w14:textFill>
                  <w14:solidFill>
                    <w14:schemeClr w14:val="tx1"/>
                  </w14:solidFill>
                </w14:textFill>
              </w:rPr>
            </w:pPr>
          </w:p>
        </w:tc>
        <w:tc>
          <w:tcPr>
            <w:tcW w:w="822" w:type="pct"/>
            <w:noWrap w:val="0"/>
            <w:vAlign w:val="center"/>
          </w:tcPr>
          <w:p w14:paraId="153DD72F">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8" w:type="pct"/>
            <w:noWrap w:val="0"/>
            <w:vAlign w:val="top"/>
          </w:tcPr>
          <w:p w14:paraId="20BF5B20">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4" w:type="pct"/>
            <w:noWrap w:val="0"/>
            <w:vAlign w:val="center"/>
          </w:tcPr>
          <w:p w14:paraId="2A171E4B">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r>
      <w:tr w14:paraId="407F71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6" w:hRule="atLeast"/>
        </w:trPr>
        <w:tc>
          <w:tcPr>
            <w:tcW w:w="307" w:type="pct"/>
            <w:noWrap w:val="0"/>
            <w:vAlign w:val="center"/>
          </w:tcPr>
          <w:p w14:paraId="729C5370">
            <w:pPr>
              <w:spacing w:line="0" w:lineRule="atLeast"/>
              <w:jc w:val="center"/>
              <w:rPr>
                <w:rFonts w:hint="eastAsia" w:ascii="仿宋" w:hAnsi="仿宋" w:eastAsia="仿宋" w:cs="仿宋"/>
                <w:bCs/>
                <w:color w:val="000000" w:themeColor="text1"/>
                <w:sz w:val="24"/>
                <w:szCs w:val="24"/>
                <w:highlight w:val="none"/>
                <w:lang w:val="en-US" w:eastAsia="zh-CN"/>
                <w14:textFill>
                  <w14:solidFill>
                    <w14:schemeClr w14:val="tx1"/>
                  </w14:solidFill>
                </w14:textFill>
              </w:rPr>
            </w:pPr>
            <w:r>
              <w:rPr>
                <w:rFonts w:hint="eastAsia" w:ascii="仿宋" w:hAnsi="仿宋" w:eastAsia="仿宋" w:cs="仿宋"/>
                <w:bCs/>
                <w:color w:val="000000" w:themeColor="text1"/>
                <w:sz w:val="24"/>
                <w:szCs w:val="24"/>
                <w:highlight w:val="none"/>
                <w:lang w:val="en-US" w:eastAsia="zh-CN"/>
                <w14:textFill>
                  <w14:solidFill>
                    <w14:schemeClr w14:val="tx1"/>
                  </w14:solidFill>
                </w14:textFill>
              </w:rPr>
              <w:t>...</w:t>
            </w:r>
          </w:p>
        </w:tc>
        <w:tc>
          <w:tcPr>
            <w:tcW w:w="626" w:type="pct"/>
            <w:noWrap w:val="0"/>
            <w:vAlign w:val="center"/>
          </w:tcPr>
          <w:p w14:paraId="249B3D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auto"/>
              <w:rPr>
                <w:rFonts w:hint="eastAsia" w:ascii="仿宋" w:hAnsi="仿宋" w:eastAsia="仿宋" w:cs="仿宋"/>
                <w:bCs/>
                <w:color w:val="000000" w:themeColor="text1"/>
                <w:sz w:val="24"/>
                <w:szCs w:val="24"/>
                <w:highlight w:val="none"/>
                <w14:textFill>
                  <w14:solidFill>
                    <w14:schemeClr w14:val="tx1"/>
                  </w14:solidFill>
                </w14:textFill>
              </w:rPr>
            </w:pPr>
          </w:p>
        </w:tc>
        <w:tc>
          <w:tcPr>
            <w:tcW w:w="1170" w:type="pct"/>
            <w:noWrap w:val="0"/>
            <w:vAlign w:val="center"/>
          </w:tcPr>
          <w:p w14:paraId="312ABA55">
            <w:pPr>
              <w:spacing w:line="0" w:lineRule="atLeast"/>
              <w:rPr>
                <w:rFonts w:hint="eastAsia" w:ascii="仿宋" w:hAnsi="仿宋" w:eastAsia="仿宋" w:cs="仿宋"/>
                <w:color w:val="000000" w:themeColor="text1"/>
                <w:sz w:val="24"/>
                <w:szCs w:val="24"/>
                <w:highlight w:val="none"/>
                <w14:textFill>
                  <w14:solidFill>
                    <w14:schemeClr w14:val="tx1"/>
                  </w14:solidFill>
                </w14:textFill>
              </w:rPr>
            </w:pPr>
          </w:p>
        </w:tc>
        <w:tc>
          <w:tcPr>
            <w:tcW w:w="822" w:type="pct"/>
            <w:noWrap w:val="0"/>
            <w:vAlign w:val="center"/>
          </w:tcPr>
          <w:p w14:paraId="7E21171B">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8" w:type="pct"/>
            <w:noWrap w:val="0"/>
            <w:vAlign w:val="top"/>
          </w:tcPr>
          <w:p w14:paraId="3E4FB461">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c>
          <w:tcPr>
            <w:tcW w:w="1034" w:type="pct"/>
            <w:noWrap w:val="0"/>
            <w:vAlign w:val="center"/>
          </w:tcPr>
          <w:p w14:paraId="44AE861E">
            <w:pPr>
              <w:spacing w:line="0" w:lineRule="atLeast"/>
              <w:jc w:val="center"/>
              <w:rPr>
                <w:rFonts w:hint="eastAsia" w:ascii="仿宋" w:hAnsi="仿宋" w:eastAsia="仿宋" w:cs="仿宋"/>
                <w:bCs/>
                <w:color w:val="000000" w:themeColor="text1"/>
                <w:sz w:val="24"/>
                <w:szCs w:val="24"/>
                <w:highlight w:val="none"/>
                <w14:textFill>
                  <w14:solidFill>
                    <w14:schemeClr w14:val="tx1"/>
                  </w14:solidFill>
                </w14:textFill>
              </w:rPr>
            </w:pPr>
          </w:p>
        </w:tc>
      </w:tr>
    </w:tbl>
    <w:p w14:paraId="20F8C776">
      <w:pPr>
        <w:pStyle w:val="12"/>
        <w:spacing w:line="420" w:lineRule="exact"/>
        <w:rPr>
          <w:rFonts w:hint="eastAsia"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表格填写说明：</w:t>
      </w:r>
    </w:p>
    <w:p w14:paraId="7658340C">
      <w:pPr>
        <w:pStyle w:val="12"/>
        <w:spacing w:line="420" w:lineRule="atLeast"/>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1.表格中“产品名称”及“</w:t>
      </w:r>
      <w:r>
        <w:rPr>
          <w:rFonts w:hint="eastAsia" w:ascii="仿宋" w:hAnsi="仿宋" w:eastAsia="仿宋" w:cs="仿宋"/>
          <w:color w:val="000000" w:themeColor="text1"/>
          <w:sz w:val="24"/>
          <w:szCs w:val="24"/>
          <w:highlight w:val="none"/>
          <w:lang w:eastAsia="zh-CN"/>
          <w14:textFill>
            <w14:solidFill>
              <w14:schemeClr w14:val="tx1"/>
            </w14:solidFill>
          </w14:textFill>
        </w:rPr>
        <w:t>竞争性磋商文件</w:t>
      </w:r>
      <w:r>
        <w:rPr>
          <w:rFonts w:hint="eastAsia" w:ascii="仿宋" w:hAnsi="仿宋" w:eastAsia="仿宋" w:cs="仿宋"/>
          <w:color w:val="000000" w:themeColor="text1"/>
          <w:sz w:val="24"/>
          <w:szCs w:val="24"/>
          <w:highlight w:val="none"/>
          <w14:textFill>
            <w14:solidFill>
              <w14:schemeClr w14:val="tx1"/>
            </w14:solidFill>
          </w14:textFill>
        </w:rPr>
        <w:t>技术要求”，可直接复制</w:t>
      </w:r>
      <w:r>
        <w:rPr>
          <w:rFonts w:hint="eastAsia" w:ascii="仿宋" w:hAnsi="仿宋" w:eastAsia="仿宋" w:cs="仿宋"/>
          <w:color w:val="000000" w:themeColor="text1"/>
          <w:sz w:val="24"/>
          <w:szCs w:val="24"/>
          <w:highlight w:val="none"/>
          <w:lang w:eastAsia="zh-CN"/>
          <w14:textFill>
            <w14:solidFill>
              <w14:schemeClr w14:val="tx1"/>
            </w14:solidFill>
          </w14:textFill>
        </w:rPr>
        <w:t>竞争性磋商文件</w:t>
      </w:r>
      <w:r>
        <w:rPr>
          <w:rFonts w:hint="eastAsia" w:ascii="仿宋" w:hAnsi="仿宋" w:eastAsia="仿宋" w:cs="仿宋"/>
          <w:color w:val="000000" w:themeColor="text1"/>
          <w:sz w:val="24"/>
          <w:szCs w:val="24"/>
          <w:highlight w:val="none"/>
          <w14:textFill>
            <w14:solidFill>
              <w14:schemeClr w14:val="tx1"/>
            </w14:solidFill>
          </w14:textFill>
        </w:rPr>
        <w:t>内容。</w:t>
      </w:r>
    </w:p>
    <w:p w14:paraId="02ADA295">
      <w:pPr>
        <w:pStyle w:val="12"/>
        <w:spacing w:line="420" w:lineRule="atLeast"/>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2.表格中“偏离情况”部分，</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如实填写“正偏离”“负偏离”或“无偏离”。</w:t>
      </w:r>
    </w:p>
    <w:p w14:paraId="71B90EB6">
      <w:pPr>
        <w:pStyle w:val="12"/>
        <w:spacing w:line="420" w:lineRule="atLeast"/>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3.</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须对技术参数作出全面、真实地反映。</w:t>
      </w:r>
      <w:r>
        <w:rPr>
          <w:rFonts w:hint="eastAsia" w:ascii="仿宋" w:hAnsi="仿宋" w:eastAsia="仿宋" w:cs="仿宋"/>
          <w:color w:val="000000" w:themeColor="text1"/>
          <w:sz w:val="24"/>
          <w:szCs w:val="24"/>
          <w:highlight w:val="none"/>
          <w:lang w:val="en-US" w:eastAsia="zh-CN"/>
          <w14:textFill>
            <w14:solidFill>
              <w14:schemeClr w14:val="tx1"/>
            </w14:solidFill>
          </w14:textFill>
        </w:rPr>
        <w:t>响应</w:t>
      </w:r>
      <w:r>
        <w:rPr>
          <w:rFonts w:hint="eastAsia" w:ascii="仿宋" w:hAnsi="仿宋" w:eastAsia="仿宋" w:cs="仿宋"/>
          <w:color w:val="000000" w:themeColor="text1"/>
          <w:sz w:val="24"/>
          <w:szCs w:val="24"/>
          <w:highlight w:val="none"/>
          <w14:textFill>
            <w14:solidFill>
              <w14:schemeClr w14:val="tx1"/>
            </w14:solidFill>
          </w14:textFill>
        </w:rPr>
        <w:t>文件须附相关佐证材料，技术支持资料指生产厂家公开发布的印刷资料或检测机构出具的检验报告，若生产厂家公开发布的印刷资料与检测机构出具的检验报告不一致，以检测机构出具的检验报告为准。若佐证材料参数与“</w:t>
      </w:r>
      <w:r>
        <w:rPr>
          <w:rFonts w:hint="eastAsia" w:ascii="仿宋" w:hAnsi="仿宋" w:eastAsia="仿宋" w:cs="仿宋"/>
          <w:color w:val="000000" w:themeColor="text1"/>
          <w:sz w:val="24"/>
          <w:szCs w:val="24"/>
          <w:highlight w:val="none"/>
          <w:lang w:val="zh-CN"/>
          <w14:textFill>
            <w14:solidFill>
              <w14:schemeClr w14:val="tx1"/>
            </w14:solidFill>
          </w14:textFill>
        </w:rPr>
        <w:t>技术规格偏离表</w:t>
      </w:r>
      <w:r>
        <w:rPr>
          <w:rFonts w:hint="eastAsia" w:ascii="仿宋" w:hAnsi="仿宋" w:eastAsia="仿宋" w:cs="仿宋"/>
          <w:color w:val="000000" w:themeColor="text1"/>
          <w:sz w:val="24"/>
          <w:szCs w:val="24"/>
          <w:highlight w:val="none"/>
          <w14:textFill>
            <w14:solidFill>
              <w14:schemeClr w14:val="tx1"/>
            </w14:solidFill>
          </w14:textFill>
        </w:rPr>
        <w:t>”不符，而</w:t>
      </w:r>
      <w:r>
        <w:rPr>
          <w:rFonts w:hint="eastAsia" w:ascii="仿宋" w:hAnsi="仿宋" w:eastAsia="仿宋" w:cs="仿宋"/>
          <w:color w:val="000000" w:themeColor="text1"/>
          <w:sz w:val="24"/>
          <w:szCs w:val="24"/>
          <w:highlight w:val="none"/>
          <w:lang w:eastAsia="zh-CN"/>
          <w14:textFill>
            <w14:solidFill>
              <w14:schemeClr w14:val="tx1"/>
            </w14:solidFill>
          </w14:textFill>
        </w:rPr>
        <w:t>供应商</w:t>
      </w:r>
      <w:r>
        <w:rPr>
          <w:rFonts w:hint="eastAsia" w:ascii="仿宋" w:hAnsi="仿宋" w:eastAsia="仿宋" w:cs="仿宋"/>
          <w:color w:val="000000" w:themeColor="text1"/>
          <w:sz w:val="24"/>
          <w:szCs w:val="24"/>
          <w:highlight w:val="none"/>
          <w14:textFill>
            <w14:solidFill>
              <w14:schemeClr w14:val="tx1"/>
            </w14:solidFill>
          </w14:textFill>
        </w:rPr>
        <w:t>未在投标文件中作出说明和解释的，视为不响应该条技术参数要求。</w:t>
      </w:r>
    </w:p>
    <w:p w14:paraId="689FD277">
      <w:pPr>
        <w:pStyle w:val="39"/>
        <w:spacing w:line="500" w:lineRule="exact"/>
        <w:rPr>
          <w:rFonts w:hint="eastAsia" w:ascii="仿宋" w:hAnsi="仿宋" w:eastAsia="仿宋" w:cs="仿宋"/>
          <w:color w:val="000000" w:themeColor="text1"/>
          <w:sz w:val="24"/>
          <w:szCs w:val="24"/>
          <w:highlight w:val="none"/>
          <w:shd w:val="clear" w:color="auto" w:fill="auto"/>
          <w14:textFill>
            <w14:solidFill>
              <w14:schemeClr w14:val="tx1"/>
            </w14:solidFill>
          </w14:textFill>
        </w:rPr>
      </w:pPr>
    </w:p>
    <w:p w14:paraId="5AD143BC">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供应商（盖</w:t>
      </w:r>
      <w:r>
        <w:rPr>
          <w:rFonts w:hint="eastAsia" w:ascii="仿宋" w:hAnsi="仿宋" w:eastAsia="仿宋" w:cs="仿宋"/>
          <w:color w:val="000000" w:themeColor="text1"/>
          <w:sz w:val="24"/>
          <w:szCs w:val="24"/>
          <w:highlight w:val="none"/>
          <w:lang w:eastAsia="zh-CN"/>
          <w14:textFill>
            <w14:solidFill>
              <w14:schemeClr w14:val="tx1"/>
            </w14:solidFill>
          </w14:textFill>
        </w:rPr>
        <w:t>单位</w:t>
      </w:r>
      <w:r>
        <w:rPr>
          <w:rFonts w:hint="eastAsia" w:ascii="仿宋" w:hAnsi="仿宋" w:eastAsia="仿宋" w:cs="仿宋"/>
          <w:color w:val="000000" w:themeColor="text1"/>
          <w:sz w:val="24"/>
          <w:szCs w:val="24"/>
          <w:highlight w:val="none"/>
          <w14:textFill>
            <w14:solidFill>
              <w14:schemeClr w14:val="tx1"/>
            </w14:solidFill>
          </w14:textFill>
        </w:rPr>
        <w:t xml:space="preserve">章）：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48E93B2E">
      <w:pPr>
        <w:spacing w:line="360" w:lineRule="auto"/>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法定代表人或其委托人（盖章或签字）：</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478F8783">
      <w:pPr>
        <w:spacing w:line="360" w:lineRule="auto"/>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月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14:paraId="4F4D6C26">
      <w:pPr>
        <w:rPr>
          <w:rFonts w:hint="eastAsia" w:ascii="仿宋" w:hAnsi="仿宋" w:eastAsia="仿宋" w:cs="仿宋"/>
          <w:b/>
          <w:color w:val="000000" w:themeColor="text1"/>
          <w:kern w:val="2"/>
          <w:sz w:val="24"/>
          <w:szCs w:val="24"/>
          <w:highlight w:val="none"/>
          <w14:textFill>
            <w14:solidFill>
              <w14:schemeClr w14:val="tx1"/>
            </w14:solidFill>
          </w14:textFill>
        </w:rPr>
      </w:pPr>
      <w:r>
        <w:rPr>
          <w:rFonts w:hint="eastAsia" w:ascii="仿宋" w:hAnsi="仿宋" w:eastAsia="仿宋" w:cs="仿宋"/>
          <w:b/>
          <w:color w:val="000000" w:themeColor="text1"/>
          <w:kern w:val="2"/>
          <w:sz w:val="24"/>
          <w:szCs w:val="24"/>
          <w:highlight w:val="none"/>
          <w14:textFill>
            <w14:solidFill>
              <w14:schemeClr w14:val="tx1"/>
            </w14:solidFill>
          </w14:textFill>
        </w:rPr>
        <w:br w:type="page"/>
      </w:r>
    </w:p>
    <w:p w14:paraId="292B63F6">
      <w:pPr>
        <w:keepNext w:val="0"/>
        <w:keepLines w:val="0"/>
        <w:pageBreakBefore w:val="0"/>
        <w:numPr>
          <w:ilvl w:val="0"/>
          <w:numId w:val="6"/>
        </w:numPr>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lang w:val="zh-CN"/>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供货</w:t>
      </w:r>
      <w:r>
        <w:rPr>
          <w:rFonts w:hint="eastAsia" w:ascii="仿宋" w:hAnsi="仿宋" w:eastAsia="仿宋" w:cs="仿宋"/>
          <w:color w:val="000000" w:themeColor="text1"/>
          <w:kern w:val="0"/>
          <w:sz w:val="24"/>
          <w:szCs w:val="24"/>
          <w:highlight w:val="none"/>
          <w14:textFill>
            <w14:solidFill>
              <w14:schemeClr w14:val="tx1"/>
            </w14:solidFill>
          </w14:textFill>
        </w:rPr>
        <w:t>实施</w:t>
      </w:r>
      <w:r>
        <w:rPr>
          <w:rFonts w:hint="eastAsia" w:ascii="仿宋" w:hAnsi="仿宋" w:eastAsia="仿宋" w:cs="仿宋"/>
          <w:color w:val="000000" w:themeColor="text1"/>
          <w:kern w:val="0"/>
          <w:sz w:val="24"/>
          <w:szCs w:val="24"/>
          <w:highlight w:val="none"/>
          <w:lang w:val="zh-CN"/>
          <w14:textFill>
            <w14:solidFill>
              <w14:schemeClr w14:val="tx1"/>
            </w14:solidFill>
          </w14:textFill>
        </w:rPr>
        <w:t>方案</w:t>
      </w:r>
    </w:p>
    <w:p w14:paraId="4F971458">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三</w:t>
      </w:r>
      <w:r>
        <w:rPr>
          <w:rFonts w:hint="eastAsia" w:ascii="仿宋" w:hAnsi="仿宋" w:eastAsia="仿宋" w:cs="仿宋"/>
          <w:color w:val="000000" w:themeColor="text1"/>
          <w:kern w:val="0"/>
          <w:sz w:val="24"/>
          <w:szCs w:val="24"/>
          <w:highlight w:val="none"/>
          <w:lang w:eastAsia="zh-CN"/>
          <w14:textFill>
            <w14:solidFill>
              <w14:schemeClr w14:val="tx1"/>
            </w14:solidFill>
          </w14:textFill>
        </w:rPr>
        <w:t>）</w:t>
      </w:r>
      <w:r>
        <w:rPr>
          <w:rFonts w:hint="eastAsia" w:ascii="仿宋" w:hAnsi="仿宋" w:eastAsia="仿宋" w:cs="仿宋"/>
          <w:color w:val="000000" w:themeColor="text1"/>
          <w:kern w:val="0"/>
          <w:sz w:val="24"/>
          <w:szCs w:val="24"/>
          <w:highlight w:val="none"/>
          <w14:textFill>
            <w14:solidFill>
              <w14:schemeClr w14:val="tx1"/>
            </w14:solidFill>
          </w14:textFill>
        </w:rPr>
        <w:t>产品、服务质量及保障措施</w:t>
      </w:r>
    </w:p>
    <w:p w14:paraId="52E40EDE">
      <w:pPr>
        <w:keepNext w:val="0"/>
        <w:keepLines w:val="0"/>
        <w:pageBreakBefore w:val="0"/>
        <w:kinsoku/>
        <w:wordWrap/>
        <w:overflowPunct/>
        <w:topLinePunct w:val="0"/>
        <w:autoSpaceDE/>
        <w:autoSpaceDN/>
        <w:bidi w:val="0"/>
        <w:spacing w:line="560" w:lineRule="exact"/>
        <w:textAlignment w:val="auto"/>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四</w:t>
      </w:r>
      <w:r>
        <w:rPr>
          <w:rFonts w:hint="eastAsia" w:ascii="仿宋" w:hAnsi="仿宋" w:eastAsia="仿宋" w:cs="仿宋"/>
          <w:color w:val="000000" w:themeColor="text1"/>
          <w:kern w:val="0"/>
          <w:sz w:val="24"/>
          <w:szCs w:val="24"/>
          <w:highlight w:val="none"/>
          <w14:textFill>
            <w14:solidFill>
              <w14:schemeClr w14:val="tx1"/>
            </w14:solidFill>
          </w14:textFill>
        </w:rPr>
        <w:t>）</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运行维护服务方案</w:t>
      </w:r>
    </w:p>
    <w:p w14:paraId="2FF4C5E4">
      <w:pPr>
        <w:pStyle w:val="27"/>
        <w:spacing w:line="360" w:lineRule="auto"/>
        <w:ind w:left="0" w:leftChars="0" w:firstLine="0" w:firstLineChars="0"/>
        <w:rPr>
          <w:rFonts w:hint="eastAsia" w:ascii="仿宋" w:hAnsi="仿宋" w:eastAsia="仿宋" w:cs="仿宋"/>
          <w:b/>
          <w:color w:val="000000" w:themeColor="text1"/>
          <w:kern w:val="2"/>
          <w:sz w:val="24"/>
          <w:szCs w:val="24"/>
          <w:highlight w:val="none"/>
          <w:lang w:val="en-US" w:eastAsia="zh-CN"/>
          <w14:textFill>
            <w14:solidFill>
              <w14:schemeClr w14:val="tx1"/>
            </w14:solidFill>
          </w14:textFill>
        </w:rPr>
      </w:pPr>
      <w:r>
        <w:rPr>
          <w:rFonts w:hint="eastAsia" w:ascii="仿宋" w:hAnsi="仿宋" w:eastAsia="仿宋" w:cs="仿宋"/>
          <w:b/>
          <w:color w:val="000000" w:themeColor="text1"/>
          <w:kern w:val="2"/>
          <w:sz w:val="24"/>
          <w:szCs w:val="24"/>
          <w:highlight w:val="none"/>
          <w:lang w:val="en-US" w:eastAsia="zh-CN"/>
          <w14:textFill>
            <w14:solidFill>
              <w14:schemeClr w14:val="tx1"/>
            </w14:solidFill>
          </w14:textFill>
        </w:rPr>
        <w:t xml:space="preserve">注：以上内容由供应商按照竞争性磋商文件的内容及评审办法的要求自行编制，格式自拟。 </w:t>
      </w:r>
    </w:p>
    <w:p w14:paraId="398D25DD">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4076E2DE">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7AD5BDA6">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47740C37">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26E79908">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24A004B8">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3330E024">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07E6D248">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6F60B567">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3CD6B348">
      <w:pPr>
        <w:rPr>
          <w:rFonts w:hint="eastAsia" w:ascii="仿宋" w:hAnsi="仿宋" w:eastAsia="仿宋" w:cs="仿宋"/>
          <w:b/>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b/>
          <w:color w:val="000000" w:themeColor="text1"/>
          <w:kern w:val="2"/>
          <w:sz w:val="28"/>
          <w:szCs w:val="28"/>
          <w:highlight w:val="none"/>
          <w:lang w:val="en-US" w:eastAsia="zh-CN"/>
          <w14:textFill>
            <w14:solidFill>
              <w14:schemeClr w14:val="tx1"/>
            </w14:solidFill>
          </w14:textFill>
        </w:rPr>
        <w:br w:type="page"/>
      </w:r>
    </w:p>
    <w:p w14:paraId="089C920A">
      <w:pPr>
        <w:spacing w:line="360" w:lineRule="auto"/>
        <w:jc w:val="center"/>
        <w:rPr>
          <w:rFonts w:hint="eastAsia" w:ascii="仿宋" w:hAnsi="仿宋" w:eastAsia="仿宋" w:cs="仿宋"/>
          <w:b/>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b/>
          <w:color w:val="000000" w:themeColor="text1"/>
          <w:kern w:val="2"/>
          <w:sz w:val="28"/>
          <w:szCs w:val="28"/>
          <w:highlight w:val="none"/>
          <w:lang w:val="en-US" w:eastAsia="zh-CN"/>
          <w14:textFill>
            <w14:solidFill>
              <w14:schemeClr w14:val="tx1"/>
            </w14:solidFill>
          </w14:textFill>
        </w:rPr>
        <w:t>七、供应商认为需要提交的其他资料或竞争性磋商文件要求提交的其他资料</w:t>
      </w:r>
    </w:p>
    <w:p w14:paraId="59D0C3F6">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632396D1">
      <w:pPr>
        <w:widowControl w:val="0"/>
        <w:spacing w:after="200" w:line="276" w:lineRule="auto"/>
        <w:jc w:val="center"/>
        <w:rPr>
          <w:rFonts w:hint="eastAsia" w:ascii="仿宋" w:hAnsi="仿宋" w:eastAsia="仿宋" w:cs="仿宋"/>
          <w:b/>
          <w:bCs/>
          <w:color w:val="000000" w:themeColor="text1"/>
          <w:kern w:val="2"/>
          <w:sz w:val="24"/>
          <w:szCs w:val="24"/>
          <w:highlight w:val="none"/>
          <w:lang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lang w:eastAsia="zh-CN"/>
          <w14:textFill>
            <w14:solidFill>
              <w14:schemeClr w14:val="tx1"/>
            </w14:solidFill>
          </w14:textFill>
        </w:rPr>
        <w:t>（格式及内容由投标人自拟）</w:t>
      </w:r>
    </w:p>
    <w:p w14:paraId="69E9B098">
      <w:pPr>
        <w:pStyle w:val="27"/>
        <w:spacing w:line="360" w:lineRule="auto"/>
        <w:rPr>
          <w:rFonts w:hint="eastAsia" w:ascii="仿宋" w:hAnsi="仿宋" w:eastAsia="仿宋" w:cs="仿宋"/>
          <w:b/>
          <w:color w:val="000000" w:themeColor="text1"/>
          <w:kern w:val="2"/>
          <w:sz w:val="24"/>
          <w:szCs w:val="24"/>
          <w:highlight w:val="none"/>
          <w14:textFill>
            <w14:solidFill>
              <w14:schemeClr w14:val="tx1"/>
            </w14:solidFill>
          </w14:textFill>
        </w:rPr>
      </w:pPr>
    </w:p>
    <w:p w14:paraId="177AE14B">
      <w:pPr>
        <w:rPr>
          <w:rFonts w:hint="eastAsia" w:ascii="仿宋" w:hAnsi="仿宋" w:eastAsia="仿宋" w:cs="仿宋"/>
          <w:b/>
          <w:color w:val="000000" w:themeColor="text1"/>
          <w:kern w:val="2"/>
          <w:sz w:val="24"/>
          <w:szCs w:val="24"/>
          <w:highlight w:val="none"/>
          <w:lang w:eastAsia="zh-CN"/>
          <w14:textFill>
            <w14:solidFill>
              <w14:schemeClr w14:val="tx1"/>
            </w14:solidFill>
          </w14:textFill>
        </w:rPr>
      </w:pPr>
      <w:r>
        <w:rPr>
          <w:rFonts w:hint="eastAsia" w:ascii="仿宋" w:hAnsi="仿宋" w:eastAsia="仿宋" w:cs="仿宋"/>
          <w:b/>
          <w:color w:val="000000" w:themeColor="text1"/>
          <w:kern w:val="2"/>
          <w:sz w:val="24"/>
          <w:szCs w:val="24"/>
          <w:highlight w:val="none"/>
          <w:lang w:eastAsia="zh-CN"/>
          <w14:textFill>
            <w14:solidFill>
              <w14:schemeClr w14:val="tx1"/>
            </w14:solidFill>
          </w14:textFill>
        </w:rPr>
        <w:br w:type="page"/>
      </w:r>
    </w:p>
    <w:p w14:paraId="52E94B9F">
      <w:pPr>
        <w:pStyle w:val="2"/>
        <w:numPr>
          <w:ilvl w:val="0"/>
          <w:numId w:val="7"/>
        </w:numPr>
        <w:bidi w:val="0"/>
        <w:jc w:val="center"/>
        <w:rPr>
          <w:rFonts w:hint="eastAsia" w:ascii="仿宋" w:hAnsi="仿宋" w:eastAsia="仿宋" w:cs="仿宋"/>
          <w:color w:val="000000" w:themeColor="text1"/>
          <w:sz w:val="28"/>
          <w:szCs w:val="28"/>
          <w:highlight w:val="none"/>
          <w:lang w:val="en-US" w:eastAsia="zh-CN"/>
          <w14:textFill>
            <w14:solidFill>
              <w14:schemeClr w14:val="tx1"/>
            </w14:solidFill>
          </w14:textFill>
        </w:rPr>
      </w:pPr>
      <w:bookmarkStart w:id="197" w:name="_Hlk512677492"/>
      <w:bookmarkStart w:id="198" w:name="_Toc23664"/>
      <w:bookmarkStart w:id="199" w:name="_Toc25602"/>
      <w:bookmarkStart w:id="200" w:name="_Toc234382990"/>
      <w:bookmarkStart w:id="201" w:name="_Toc531966079"/>
      <w:bookmarkStart w:id="202" w:name="_Toc10731"/>
      <w:r>
        <w:rPr>
          <w:rFonts w:hint="eastAsia" w:ascii="仿宋" w:hAnsi="仿宋" w:eastAsia="仿宋" w:cs="仿宋"/>
          <w:color w:val="000000" w:themeColor="text1"/>
          <w:sz w:val="28"/>
          <w:szCs w:val="28"/>
          <w:highlight w:val="none"/>
          <w:lang w:val="en-US" w:eastAsia="zh-CN"/>
          <w14:textFill>
            <w14:solidFill>
              <w14:schemeClr w14:val="tx1"/>
            </w14:solidFill>
          </w14:textFill>
        </w:rPr>
        <w:t>中小企业、残疾人福利性单位、监狱企业证明文件</w:t>
      </w:r>
    </w:p>
    <w:p w14:paraId="02C6F0C1">
      <w:pPr>
        <w:pStyle w:val="3"/>
        <w:numPr>
          <w:ilvl w:val="0"/>
          <w:numId w:val="0"/>
        </w:numPr>
        <w:tabs>
          <w:tab w:val="left" w:pos="600"/>
        </w:tabs>
        <w:jc w:val="center"/>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《中小企业声明函》</w:t>
      </w:r>
    </w:p>
    <w:bookmarkEnd w:id="197"/>
    <w:p w14:paraId="10EE4C39">
      <w:pPr>
        <w:widowControl/>
        <w:spacing w:line="500" w:lineRule="exact"/>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bookmarkStart w:id="203" w:name="_Toc23964"/>
      <w:r>
        <w:rPr>
          <w:rFonts w:hint="eastAsia" w:ascii="仿宋" w:hAnsi="仿宋" w:eastAsia="仿宋" w:cs="仿宋"/>
          <w:color w:val="000000" w:themeColor="text1"/>
          <w:kern w:val="0"/>
          <w:sz w:val="24"/>
          <w:highlight w:val="none"/>
          <w14:textFill>
            <w14:solidFill>
              <w14:schemeClr w14:val="tx1"/>
            </w14:solidFill>
          </w14:textFill>
        </w:rPr>
        <w:t>本公司郑重声明，根据《政府采购促进中小企业发展管理办法》（财库﹝2020﹞46 号）的规定，本公司参加</w:t>
      </w:r>
      <w:r>
        <w:rPr>
          <w:rFonts w:hint="eastAsia" w:ascii="仿宋" w:hAnsi="仿宋" w:eastAsia="仿宋" w:cs="仿宋"/>
          <w:color w:val="000000" w:themeColor="text1"/>
          <w:kern w:val="0"/>
          <w:sz w:val="24"/>
          <w:highlight w:val="none"/>
          <w:u w:val="single"/>
          <w14:textFill>
            <w14:solidFill>
              <w14:schemeClr w14:val="tx1"/>
            </w14:solidFill>
          </w14:textFill>
        </w:rPr>
        <w:t>（采购人名称）</w:t>
      </w:r>
      <w:r>
        <w:rPr>
          <w:rFonts w:hint="eastAsia" w:ascii="仿宋" w:hAnsi="仿宋" w:eastAsia="仿宋" w:cs="仿宋"/>
          <w:color w:val="000000" w:themeColor="text1"/>
          <w:kern w:val="0"/>
          <w:sz w:val="24"/>
          <w:highlight w:val="none"/>
          <w14:textFill>
            <w14:solidFill>
              <w14:schemeClr w14:val="tx1"/>
            </w14:solidFill>
          </w14:textFill>
        </w:rPr>
        <w:t>的</w:t>
      </w:r>
      <w:r>
        <w:rPr>
          <w:rFonts w:hint="eastAsia" w:ascii="仿宋" w:hAnsi="仿宋" w:eastAsia="仿宋" w:cs="仿宋"/>
          <w:color w:val="000000" w:themeColor="text1"/>
          <w:sz w:val="24"/>
          <w:highlight w:val="none"/>
          <w:u w:val="single"/>
          <w14:textFill>
            <w14:solidFill>
              <w14:schemeClr w14:val="tx1"/>
            </w14:solidFill>
          </w14:textFill>
        </w:rPr>
        <w:t>（项目名称）</w:t>
      </w:r>
      <w:r>
        <w:rPr>
          <w:rFonts w:hint="eastAsia" w:ascii="仿宋" w:hAnsi="仿宋" w:eastAsia="仿宋" w:cs="仿宋"/>
          <w:color w:val="000000" w:themeColor="text1"/>
          <w:kern w:val="0"/>
          <w:sz w:val="24"/>
          <w:highlight w:val="none"/>
          <w14:textFill>
            <w14:solidFill>
              <w14:schemeClr w14:val="tx1"/>
            </w14:solidFill>
          </w14:textFill>
        </w:rPr>
        <w:t>采购活动，提供的货物全部由符合政策要求的中小企业制造。相关企业的具体情况如下：</w:t>
      </w:r>
    </w:p>
    <w:p w14:paraId="33C59A7E">
      <w:pPr>
        <w:widowControl/>
        <w:numPr>
          <w:ilvl w:val="0"/>
          <w:numId w:val="8"/>
        </w:numPr>
        <w:spacing w:line="500" w:lineRule="exact"/>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u w:val="single"/>
          <w14:textFill>
            <w14:solidFill>
              <w14:schemeClr w14:val="tx1"/>
            </w14:solidFill>
          </w14:textFill>
        </w:rPr>
        <w:t xml:space="preserve">（标的名称） </w:t>
      </w:r>
      <w:r>
        <w:rPr>
          <w:rFonts w:hint="eastAsia" w:ascii="仿宋" w:hAnsi="仿宋" w:eastAsia="仿宋" w:cs="仿宋"/>
          <w:color w:val="000000" w:themeColor="text1"/>
          <w:kern w:val="0"/>
          <w:sz w:val="24"/>
          <w:highlight w:val="none"/>
          <w14:textFill>
            <w14:solidFill>
              <w14:schemeClr w14:val="tx1"/>
            </w14:solidFill>
          </w14:textFill>
        </w:rPr>
        <w:t>，属于</w:t>
      </w:r>
      <w:r>
        <w:rPr>
          <w:rFonts w:hint="eastAsia" w:ascii="仿宋" w:hAnsi="仿宋" w:eastAsia="仿宋" w:cs="仿宋"/>
          <w:color w:val="000000" w:themeColor="text1"/>
          <w:kern w:val="0"/>
          <w:sz w:val="24"/>
          <w:highlight w:val="none"/>
          <w:u w:val="single"/>
          <w14:textFill>
            <w14:solidFill>
              <w14:schemeClr w14:val="tx1"/>
            </w14:solidFill>
          </w14:textFill>
        </w:rPr>
        <w:t xml:space="preserve">（采购文件中明确的所属行业） </w:t>
      </w:r>
      <w:r>
        <w:rPr>
          <w:rFonts w:hint="eastAsia" w:ascii="仿宋" w:hAnsi="仿宋" w:eastAsia="仿宋" w:cs="仿宋"/>
          <w:color w:val="000000" w:themeColor="text1"/>
          <w:kern w:val="0"/>
          <w:sz w:val="24"/>
          <w:highlight w:val="none"/>
          <w14:textFill>
            <w14:solidFill>
              <w14:schemeClr w14:val="tx1"/>
            </w14:solidFill>
          </w14:textFill>
        </w:rPr>
        <w:t>行业；制造商为</w:t>
      </w:r>
      <w:r>
        <w:rPr>
          <w:rFonts w:hint="eastAsia" w:ascii="仿宋" w:hAnsi="仿宋" w:eastAsia="仿宋" w:cs="仿宋"/>
          <w:color w:val="000000" w:themeColor="text1"/>
          <w:kern w:val="0"/>
          <w:sz w:val="24"/>
          <w:highlight w:val="none"/>
          <w:u w:val="single"/>
          <w14:textFill>
            <w14:solidFill>
              <w14:schemeClr w14:val="tx1"/>
            </w14:solidFill>
          </w14:textFill>
        </w:rPr>
        <w:t>（企业名称）</w:t>
      </w:r>
      <w:r>
        <w:rPr>
          <w:rFonts w:hint="eastAsia" w:ascii="仿宋" w:hAnsi="仿宋" w:eastAsia="仿宋" w:cs="仿宋"/>
          <w:color w:val="000000" w:themeColor="text1"/>
          <w:kern w:val="0"/>
          <w:sz w:val="24"/>
          <w:highlight w:val="none"/>
          <w14:textFill>
            <w14:solidFill>
              <w14:schemeClr w14:val="tx1"/>
            </w14:solidFill>
          </w14:textFill>
        </w:rPr>
        <w:t>，从业人员人，营业收入为万元，资产总额为万元，属于</w:t>
      </w:r>
      <w:r>
        <w:rPr>
          <w:rFonts w:hint="eastAsia" w:ascii="仿宋" w:hAnsi="仿宋" w:eastAsia="仿宋" w:cs="仿宋"/>
          <w:color w:val="000000" w:themeColor="text1"/>
          <w:kern w:val="0"/>
          <w:sz w:val="24"/>
          <w:highlight w:val="none"/>
          <w:u w:val="single"/>
          <w14:textFill>
            <w14:solidFill>
              <w14:schemeClr w14:val="tx1"/>
            </w14:solidFill>
          </w14:textFill>
        </w:rPr>
        <w:t>（中型企业、小型企业、微型企业）</w:t>
      </w:r>
      <w:r>
        <w:rPr>
          <w:rFonts w:hint="eastAsia" w:ascii="仿宋" w:hAnsi="仿宋" w:eastAsia="仿宋" w:cs="仿宋"/>
          <w:color w:val="000000" w:themeColor="text1"/>
          <w:kern w:val="0"/>
          <w:sz w:val="24"/>
          <w:highlight w:val="none"/>
          <w14:textFill>
            <w14:solidFill>
              <w14:schemeClr w14:val="tx1"/>
            </w14:solidFill>
          </w14:textFill>
        </w:rPr>
        <w:t>；</w:t>
      </w:r>
    </w:p>
    <w:p w14:paraId="1D9D6E58">
      <w:pPr>
        <w:widowControl/>
        <w:numPr>
          <w:ilvl w:val="0"/>
          <w:numId w:val="8"/>
        </w:numPr>
        <w:spacing w:line="500" w:lineRule="exact"/>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u w:val="single"/>
          <w14:textFill>
            <w14:solidFill>
              <w14:schemeClr w14:val="tx1"/>
            </w14:solidFill>
          </w14:textFill>
        </w:rPr>
        <w:t xml:space="preserve">（标的名称） </w:t>
      </w:r>
      <w:r>
        <w:rPr>
          <w:rFonts w:hint="eastAsia" w:ascii="仿宋" w:hAnsi="仿宋" w:eastAsia="仿宋" w:cs="仿宋"/>
          <w:color w:val="000000" w:themeColor="text1"/>
          <w:kern w:val="0"/>
          <w:sz w:val="24"/>
          <w:highlight w:val="none"/>
          <w14:textFill>
            <w14:solidFill>
              <w14:schemeClr w14:val="tx1"/>
            </w14:solidFill>
          </w14:textFill>
        </w:rPr>
        <w:t>，属于</w:t>
      </w:r>
      <w:r>
        <w:rPr>
          <w:rFonts w:hint="eastAsia" w:ascii="仿宋" w:hAnsi="仿宋" w:eastAsia="仿宋" w:cs="仿宋"/>
          <w:color w:val="000000" w:themeColor="text1"/>
          <w:kern w:val="0"/>
          <w:sz w:val="24"/>
          <w:highlight w:val="none"/>
          <w:u w:val="single"/>
          <w14:textFill>
            <w14:solidFill>
              <w14:schemeClr w14:val="tx1"/>
            </w14:solidFill>
          </w14:textFill>
        </w:rPr>
        <w:t xml:space="preserve">（采购文件中明确的所属行业） </w:t>
      </w:r>
      <w:r>
        <w:rPr>
          <w:rFonts w:hint="eastAsia" w:ascii="仿宋" w:hAnsi="仿宋" w:eastAsia="仿宋" w:cs="仿宋"/>
          <w:color w:val="000000" w:themeColor="text1"/>
          <w:kern w:val="0"/>
          <w:sz w:val="24"/>
          <w:highlight w:val="none"/>
          <w14:textFill>
            <w14:solidFill>
              <w14:schemeClr w14:val="tx1"/>
            </w14:solidFill>
          </w14:textFill>
        </w:rPr>
        <w:t>行业；制造商为</w:t>
      </w:r>
      <w:r>
        <w:rPr>
          <w:rFonts w:hint="eastAsia" w:ascii="仿宋" w:hAnsi="仿宋" w:eastAsia="仿宋" w:cs="仿宋"/>
          <w:color w:val="000000" w:themeColor="text1"/>
          <w:kern w:val="0"/>
          <w:sz w:val="24"/>
          <w:highlight w:val="none"/>
          <w:u w:val="single"/>
          <w14:textFill>
            <w14:solidFill>
              <w14:schemeClr w14:val="tx1"/>
            </w14:solidFill>
          </w14:textFill>
        </w:rPr>
        <w:t>（企业名称）</w:t>
      </w:r>
      <w:r>
        <w:rPr>
          <w:rFonts w:hint="eastAsia" w:ascii="仿宋" w:hAnsi="仿宋" w:eastAsia="仿宋" w:cs="仿宋"/>
          <w:color w:val="000000" w:themeColor="text1"/>
          <w:kern w:val="0"/>
          <w:sz w:val="24"/>
          <w:highlight w:val="none"/>
          <w14:textFill>
            <w14:solidFill>
              <w14:schemeClr w14:val="tx1"/>
            </w14:solidFill>
          </w14:textFill>
        </w:rPr>
        <w:t>，从业人员人，营业收入为万元，资产总额为万元，属于</w:t>
      </w:r>
      <w:r>
        <w:rPr>
          <w:rFonts w:hint="eastAsia" w:ascii="仿宋" w:hAnsi="仿宋" w:eastAsia="仿宋" w:cs="仿宋"/>
          <w:color w:val="000000" w:themeColor="text1"/>
          <w:kern w:val="0"/>
          <w:sz w:val="24"/>
          <w:highlight w:val="none"/>
          <w:u w:val="single"/>
          <w14:textFill>
            <w14:solidFill>
              <w14:schemeClr w14:val="tx1"/>
            </w14:solidFill>
          </w14:textFill>
        </w:rPr>
        <w:t>（中型企业、小型企业、微型企业）</w:t>
      </w:r>
      <w:r>
        <w:rPr>
          <w:rFonts w:hint="eastAsia" w:ascii="仿宋" w:hAnsi="仿宋" w:eastAsia="仿宋" w:cs="仿宋"/>
          <w:color w:val="000000" w:themeColor="text1"/>
          <w:kern w:val="0"/>
          <w:sz w:val="24"/>
          <w:highlight w:val="none"/>
          <w14:textFill>
            <w14:solidFill>
              <w14:schemeClr w14:val="tx1"/>
            </w14:solidFill>
          </w14:textFill>
        </w:rPr>
        <w:t>；</w:t>
      </w:r>
    </w:p>
    <w:p w14:paraId="1CBC8CBB">
      <w:pPr>
        <w:widowControl/>
        <w:spacing w:line="500" w:lineRule="exact"/>
        <w:ind w:left="440" w:leftChars="2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w:t>
      </w:r>
    </w:p>
    <w:p w14:paraId="4DED747F">
      <w:pPr>
        <w:widowControl/>
        <w:spacing w:line="500" w:lineRule="exact"/>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以上企业，不属于大企业的分支机构，不存在控股股东为大企业的情形，也不存在与大企业的负责人为同一人的情形。</w:t>
      </w:r>
    </w:p>
    <w:p w14:paraId="72C34E2C">
      <w:pPr>
        <w:widowControl/>
        <w:spacing w:line="500" w:lineRule="exact"/>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 xml:space="preserve">本企业对上述声明内容的真实性负责。如有虚假，将依法承担相应责任。 </w:t>
      </w:r>
    </w:p>
    <w:p w14:paraId="38B31DEC">
      <w:pPr>
        <w:widowControl/>
        <w:spacing w:line="540" w:lineRule="exact"/>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p>
    <w:p w14:paraId="5C4A7C5B">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供应商（盖</w:t>
      </w:r>
      <w:r>
        <w:rPr>
          <w:rFonts w:hint="eastAsia" w:ascii="仿宋" w:hAnsi="仿宋" w:eastAsia="仿宋" w:cs="仿宋"/>
          <w:color w:val="000000" w:themeColor="text1"/>
          <w:sz w:val="24"/>
          <w:szCs w:val="24"/>
          <w:highlight w:val="none"/>
          <w:lang w:eastAsia="zh-CN"/>
          <w14:textFill>
            <w14:solidFill>
              <w14:schemeClr w14:val="tx1"/>
            </w14:solidFill>
          </w14:textFill>
        </w:rPr>
        <w:t>单位</w:t>
      </w:r>
      <w:r>
        <w:rPr>
          <w:rFonts w:hint="eastAsia" w:ascii="仿宋" w:hAnsi="仿宋" w:eastAsia="仿宋" w:cs="仿宋"/>
          <w:color w:val="000000" w:themeColor="text1"/>
          <w:sz w:val="24"/>
          <w:szCs w:val="24"/>
          <w:highlight w:val="none"/>
          <w14:textFill>
            <w14:solidFill>
              <w14:schemeClr w14:val="tx1"/>
            </w14:solidFill>
          </w14:textFill>
        </w:rPr>
        <w:t xml:space="preserve">章）：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17E0361C">
      <w:pPr>
        <w:spacing w:line="360" w:lineRule="auto"/>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法定代表人或其委托人（盖章或签字）：</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64C070FA">
      <w:pPr>
        <w:spacing w:line="360" w:lineRule="auto"/>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月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14:paraId="7CBF29EF">
      <w:pPr>
        <w:spacing w:line="4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注：从业人员、营业收入、资产总额填报上一年度数据，无上一年度数据的新成立企业可不填报。</w:t>
      </w:r>
    </w:p>
    <w:bookmarkEnd w:id="198"/>
    <w:bookmarkEnd w:id="199"/>
    <w:bookmarkEnd w:id="200"/>
    <w:bookmarkEnd w:id="201"/>
    <w:bookmarkEnd w:id="202"/>
    <w:bookmarkEnd w:id="203"/>
    <w:p w14:paraId="5F24E8B4">
      <w:pPr>
        <w:pStyle w:val="3"/>
        <w:numPr>
          <w:ilvl w:val="0"/>
          <w:numId w:val="0"/>
        </w:numPr>
        <w:tabs>
          <w:tab w:val="left" w:pos="600"/>
        </w:tabs>
        <w:jc w:val="center"/>
        <w:rPr>
          <w:rFonts w:hint="eastAsia" w:ascii="仿宋" w:hAnsi="仿宋" w:eastAsia="仿宋" w:cs="仿宋"/>
          <w:color w:val="000000" w:themeColor="text1"/>
          <w:sz w:val="28"/>
          <w:szCs w:val="28"/>
          <w:highlight w:val="none"/>
          <w14:textFill>
            <w14:solidFill>
              <w14:schemeClr w14:val="tx1"/>
            </w14:solidFill>
          </w14:textFill>
        </w:rPr>
      </w:pPr>
      <w:bookmarkStart w:id="204" w:name="_Toc38876424"/>
      <w:bookmarkStart w:id="205" w:name="_Toc21863"/>
      <w:r>
        <w:rPr>
          <w:rFonts w:hint="eastAsia" w:ascii="仿宋" w:hAnsi="仿宋" w:eastAsia="仿宋" w:cs="仿宋"/>
          <w:color w:val="000000" w:themeColor="text1"/>
          <w:sz w:val="28"/>
          <w:szCs w:val="28"/>
          <w:highlight w:val="none"/>
          <w:lang w:eastAsia="zh-CN"/>
          <w14:textFill>
            <w14:solidFill>
              <w14:schemeClr w14:val="tx1"/>
            </w14:solidFill>
          </w14:textFill>
        </w:rPr>
        <w:t>《</w:t>
      </w:r>
      <w:r>
        <w:rPr>
          <w:rFonts w:hint="eastAsia" w:ascii="仿宋" w:hAnsi="仿宋" w:eastAsia="仿宋" w:cs="仿宋"/>
          <w:color w:val="000000" w:themeColor="text1"/>
          <w:sz w:val="28"/>
          <w:szCs w:val="28"/>
          <w:highlight w:val="none"/>
          <w14:textFill>
            <w14:solidFill>
              <w14:schemeClr w14:val="tx1"/>
            </w14:solidFill>
          </w14:textFill>
        </w:rPr>
        <w:t>残疾人福利性单位声明函</w:t>
      </w:r>
      <w:r>
        <w:rPr>
          <w:rFonts w:hint="eastAsia" w:ascii="仿宋" w:hAnsi="仿宋" w:eastAsia="仿宋" w:cs="仿宋"/>
          <w:color w:val="000000" w:themeColor="text1"/>
          <w:sz w:val="28"/>
          <w:szCs w:val="28"/>
          <w:highlight w:val="none"/>
          <w:lang w:eastAsia="zh-CN"/>
          <w14:textFill>
            <w14:solidFill>
              <w14:schemeClr w14:val="tx1"/>
            </w14:solidFill>
          </w14:textFill>
        </w:rPr>
        <w:t>》</w:t>
      </w:r>
      <w:bookmarkEnd w:id="204"/>
      <w:bookmarkEnd w:id="205"/>
    </w:p>
    <w:p w14:paraId="6B4198D7">
      <w:pPr>
        <w:rPr>
          <w:rFonts w:hint="eastAsia" w:ascii="仿宋" w:hAnsi="仿宋" w:eastAsia="仿宋" w:cs="仿宋"/>
          <w:color w:val="000000" w:themeColor="text1"/>
          <w:sz w:val="24"/>
          <w:szCs w:val="24"/>
          <w:highlight w:val="none"/>
          <w14:textFill>
            <w14:solidFill>
              <w14:schemeClr w14:val="tx1"/>
            </w14:solidFill>
          </w14:textFill>
        </w:rPr>
      </w:pPr>
    </w:p>
    <w:p w14:paraId="7B9DC047">
      <w:pPr>
        <w:spacing w:line="48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本单位郑重声明，根据《财政部</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民政部</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中国残疾人联合会关于促进残疾人就业政府采购政策的通知》（财库〔2017〕141 号）的规定，本单位为符合条件的残疾人福利性单位，且本单位参加</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单位的</w:t>
      </w:r>
      <w:r>
        <w:rPr>
          <w:rFonts w:hint="eastAsia" w:ascii="仿宋" w:hAnsi="仿宋" w:eastAsia="仿宋" w:cs="仿宋"/>
          <w:color w:val="000000" w:themeColor="text1"/>
          <w:sz w:val="24"/>
          <w:szCs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16ABB6C1">
      <w:pPr>
        <w:spacing w:line="480" w:lineRule="auto"/>
        <w:ind w:firstLine="480" w:firstLineChars="200"/>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本单位对上述声明的真实性负责。如有虚假，将依法承担相应责任。</w:t>
      </w:r>
    </w:p>
    <w:p w14:paraId="1BA3803B">
      <w:pPr>
        <w:spacing w:line="480" w:lineRule="auto"/>
        <w:rPr>
          <w:rFonts w:hint="eastAsia" w:ascii="仿宋" w:hAnsi="仿宋" w:eastAsia="仿宋" w:cs="仿宋"/>
          <w:color w:val="000000" w:themeColor="text1"/>
          <w:sz w:val="24"/>
          <w:szCs w:val="24"/>
          <w:highlight w:val="none"/>
          <w14:textFill>
            <w14:solidFill>
              <w14:schemeClr w14:val="tx1"/>
            </w14:solidFill>
          </w14:textFill>
        </w:rPr>
      </w:pPr>
    </w:p>
    <w:p w14:paraId="427FC776">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供应商（盖</w:t>
      </w:r>
      <w:r>
        <w:rPr>
          <w:rFonts w:hint="eastAsia" w:ascii="仿宋" w:hAnsi="仿宋" w:eastAsia="仿宋" w:cs="仿宋"/>
          <w:color w:val="000000" w:themeColor="text1"/>
          <w:sz w:val="24"/>
          <w:szCs w:val="24"/>
          <w:highlight w:val="none"/>
          <w:lang w:eastAsia="zh-CN"/>
          <w14:textFill>
            <w14:solidFill>
              <w14:schemeClr w14:val="tx1"/>
            </w14:solidFill>
          </w14:textFill>
        </w:rPr>
        <w:t>单位</w:t>
      </w:r>
      <w:r>
        <w:rPr>
          <w:rFonts w:hint="eastAsia" w:ascii="仿宋" w:hAnsi="仿宋" w:eastAsia="仿宋" w:cs="仿宋"/>
          <w:color w:val="000000" w:themeColor="text1"/>
          <w:sz w:val="24"/>
          <w:szCs w:val="24"/>
          <w:highlight w:val="none"/>
          <w14:textFill>
            <w14:solidFill>
              <w14:schemeClr w14:val="tx1"/>
            </w14:solidFill>
          </w14:textFill>
        </w:rPr>
        <w:t xml:space="preserve">章）：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315AD84E">
      <w:pPr>
        <w:spacing w:line="360" w:lineRule="auto"/>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法定代表人或其委托人（盖章或签字）：</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5F9D29CD">
      <w:pPr>
        <w:spacing w:line="360" w:lineRule="auto"/>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月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14:paraId="42035812">
      <w:pPr>
        <w:pStyle w:val="36"/>
        <w:spacing w:before="743" w:after="0" w:line="360" w:lineRule="auto"/>
        <w:jc w:val="left"/>
        <w:rPr>
          <w:rFonts w:hint="eastAsia" w:ascii="仿宋" w:hAnsi="仿宋" w:eastAsia="仿宋" w:cs="仿宋"/>
          <w:b/>
          <w:bCs/>
          <w:color w:val="000000" w:themeColor="text1"/>
          <w:kern w:val="2"/>
          <w:sz w:val="24"/>
          <w:szCs w:val="24"/>
          <w:highlight w:val="none"/>
          <w:lang w:eastAsia="zh-CN"/>
          <w14:textFill>
            <w14:solidFill>
              <w14:schemeClr w14:val="tx1"/>
            </w14:solidFill>
          </w14:textFill>
        </w:rPr>
      </w:pPr>
      <w:r>
        <w:rPr>
          <w:rFonts w:hint="eastAsia" w:ascii="仿宋" w:hAnsi="仿宋" w:eastAsia="仿宋" w:cs="仿宋"/>
          <w:b/>
          <w:bCs/>
          <w:color w:val="000000" w:themeColor="text1"/>
          <w:kern w:val="2"/>
          <w:sz w:val="24"/>
          <w:szCs w:val="24"/>
          <w:highlight w:val="none"/>
          <w:lang w:eastAsia="zh-CN"/>
          <w14:textFill>
            <w14:solidFill>
              <w14:schemeClr w14:val="tx1"/>
            </w14:solidFill>
          </w14:textFill>
        </w:rPr>
        <w:t>注:</w:t>
      </w:r>
    </w:p>
    <w:p w14:paraId="24895576">
      <w:pPr>
        <w:spacing w:line="480" w:lineRule="auto"/>
        <w:ind w:firstLine="482" w:firstLineChars="200"/>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1.若为符合政策规定条件的残疾人福利性单位需填写本声明函；</w:t>
      </w:r>
    </w:p>
    <w:p w14:paraId="7D809380">
      <w:pPr>
        <w:spacing w:line="480" w:lineRule="auto"/>
        <w:ind w:firstLine="482" w:firstLineChars="200"/>
        <w:rPr>
          <w:rFonts w:hint="eastAsia" w:ascii="仿宋" w:hAnsi="仿宋" w:eastAsia="仿宋" w:cs="仿宋"/>
          <w:b/>
          <w:bCs/>
          <w:color w:val="000000" w:themeColor="text1"/>
          <w:sz w:val="24"/>
          <w:szCs w:val="24"/>
          <w:highlight w:val="none"/>
          <w:lang w:eastAsia="zh-CN"/>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2.不享受残疾人福利性单位优先政策的供应商不需填写</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p>
    <w:p w14:paraId="20945DF6">
      <w:pPr>
        <w:spacing w:line="480" w:lineRule="auto"/>
        <w:ind w:firstLine="482"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szCs w:val="24"/>
          <w:highlight w:val="none"/>
          <w:lang w:eastAsia="zh-CN"/>
          <w14:textFill>
            <w14:solidFill>
              <w14:schemeClr w14:val="tx1"/>
            </w14:solidFill>
          </w14:textFill>
        </w:rPr>
        <w:t>、</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成交</w:t>
      </w:r>
      <w:r>
        <w:rPr>
          <w:rFonts w:hint="eastAsia" w:ascii="仿宋" w:hAnsi="仿宋" w:eastAsia="仿宋" w:cs="仿宋"/>
          <w:b/>
          <w:bCs/>
          <w:color w:val="000000" w:themeColor="text1"/>
          <w:sz w:val="24"/>
          <w:szCs w:val="24"/>
          <w:highlight w:val="none"/>
          <w:lang w:eastAsia="zh-CN"/>
          <w14:textFill>
            <w14:solidFill>
              <w14:schemeClr w14:val="tx1"/>
            </w14:solidFill>
          </w14:textFill>
        </w:rPr>
        <w:t>供应商为残疾人福利性单位的，其《残疾人福利性单位声明函》将随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成交</w:t>
      </w:r>
      <w:r>
        <w:rPr>
          <w:rFonts w:hint="eastAsia" w:ascii="仿宋" w:hAnsi="仿宋" w:eastAsia="仿宋" w:cs="仿宋"/>
          <w:b/>
          <w:bCs/>
          <w:color w:val="000000" w:themeColor="text1"/>
          <w:sz w:val="24"/>
          <w:szCs w:val="24"/>
          <w:highlight w:val="none"/>
          <w:lang w:eastAsia="zh-CN"/>
          <w14:textFill>
            <w14:solidFill>
              <w14:schemeClr w14:val="tx1"/>
            </w14:solidFill>
          </w14:textFill>
        </w:rPr>
        <w:t>结果同时公告，接受社会监督。供应商提供的《残疾人福利性单位声明函》与事实不符的，依照《政府采购法》第七十七条第一款的规定追究法律责任。</w:t>
      </w:r>
    </w:p>
    <w:p w14:paraId="235F8E40">
      <w:pPr>
        <w:pStyle w:val="3"/>
        <w:numPr>
          <w:ilvl w:val="0"/>
          <w:numId w:val="0"/>
        </w:numPr>
        <w:tabs>
          <w:tab w:val="left" w:pos="600"/>
        </w:tabs>
        <w:jc w:val="center"/>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t>监狱企业证明</w:t>
      </w:r>
    </w:p>
    <w:p w14:paraId="04900DE9">
      <w:pPr>
        <w:spacing w:line="480" w:lineRule="auto"/>
        <w:ind w:firstLine="480" w:firstLineChars="200"/>
        <w:jc w:val="center"/>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（根据供应商自身情况如实提供）</w:t>
      </w:r>
    </w:p>
    <w:p w14:paraId="6B7A1075">
      <w:pPr>
        <w:spacing w:line="480" w:lineRule="auto"/>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930BABB">
      <w:pPr>
        <w:spacing w:line="480" w:lineRule="auto"/>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仿宋" w:hAnsi="仿宋" w:eastAsia="仿宋" w:cs="仿宋"/>
          <w:color w:val="000000" w:themeColor="text1"/>
          <w:sz w:val="24"/>
          <w:szCs w:val="24"/>
          <w:highlight w:val="none"/>
          <w:lang w:val="en-US" w:eastAsia="zh-CN"/>
          <w14:textFill>
            <w14:solidFill>
              <w14:schemeClr w14:val="tx1"/>
            </w14:solidFill>
          </w14:textFill>
        </w:rPr>
        <w:t>监狱企业参加政府采购活动时，应当提供由省级以上监狱管理局、戒毒管理局（含新疆生产建设兵团）出具的属于监狱企业的证明文件。</w:t>
      </w:r>
    </w:p>
    <w:p w14:paraId="41C1B29C">
      <w:pPr>
        <w:spacing w:line="480" w:lineRule="auto"/>
        <w:ind w:firstLine="480" w:firstLineChars="200"/>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698E70B8">
      <w:pPr>
        <w:pStyle w:val="17"/>
        <w:ind w:left="0" w:leftChars="0" w:firstLine="0" w:firstLineChars="0"/>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19F3E038">
      <w:pPr>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2AEB7163">
      <w:pPr>
        <w:pStyle w:val="17"/>
        <w:rPr>
          <w:rFonts w:hint="eastAsia" w:ascii="仿宋" w:hAnsi="仿宋" w:eastAsia="仿宋" w:cs="仿宋"/>
          <w:color w:val="000000" w:themeColor="text1"/>
          <w:sz w:val="24"/>
          <w:szCs w:val="24"/>
          <w:highlight w:val="none"/>
          <w:lang w:val="en-US" w:eastAsia="zh-CN"/>
          <w14:textFill>
            <w14:solidFill>
              <w14:schemeClr w14:val="tx1"/>
            </w14:solidFill>
          </w14:textFill>
        </w:rPr>
      </w:pPr>
    </w:p>
    <w:p w14:paraId="24DA74BE">
      <w:pPr>
        <w:spacing w:line="360" w:lineRule="auto"/>
        <w:jc w:val="left"/>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供应商（盖</w:t>
      </w:r>
      <w:r>
        <w:rPr>
          <w:rFonts w:hint="eastAsia" w:ascii="仿宋" w:hAnsi="仿宋" w:eastAsia="仿宋" w:cs="仿宋"/>
          <w:color w:val="000000" w:themeColor="text1"/>
          <w:sz w:val="24"/>
          <w:szCs w:val="24"/>
          <w:highlight w:val="none"/>
          <w:lang w:eastAsia="zh-CN"/>
          <w14:textFill>
            <w14:solidFill>
              <w14:schemeClr w14:val="tx1"/>
            </w14:solidFill>
          </w14:textFill>
        </w:rPr>
        <w:t>单位</w:t>
      </w:r>
      <w:r>
        <w:rPr>
          <w:rFonts w:hint="eastAsia" w:ascii="仿宋" w:hAnsi="仿宋" w:eastAsia="仿宋" w:cs="仿宋"/>
          <w:color w:val="000000" w:themeColor="text1"/>
          <w:sz w:val="24"/>
          <w:szCs w:val="24"/>
          <w:highlight w:val="none"/>
          <w14:textFill>
            <w14:solidFill>
              <w14:schemeClr w14:val="tx1"/>
            </w14:solidFill>
          </w14:textFill>
        </w:rPr>
        <w:t xml:space="preserve">章）：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w:t>
      </w:r>
    </w:p>
    <w:p w14:paraId="6EEDB42B">
      <w:pPr>
        <w:spacing w:line="360" w:lineRule="auto"/>
        <w:jc w:val="left"/>
        <w:rPr>
          <w:rFonts w:hint="eastAsia"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法定代表人或其委托人（盖章或签字）：</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p>
    <w:p w14:paraId="158FAED1">
      <w:pPr>
        <w:spacing w:line="360" w:lineRule="auto"/>
        <w:jc w:val="left"/>
        <w:rPr>
          <w:rFonts w:hint="eastAsia"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日  期：</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 月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日</w:t>
      </w:r>
    </w:p>
    <w:p w14:paraId="2827ED53">
      <w:pPr>
        <w:topLinePunct/>
        <w:spacing w:before="4" w:line="360" w:lineRule="auto"/>
        <w:rPr>
          <w:rFonts w:hint="eastAsia" w:ascii="仿宋" w:hAnsi="仿宋" w:eastAsia="仿宋" w:cs="仿宋"/>
          <w:color w:val="000000" w:themeColor="text1"/>
          <w:sz w:val="24"/>
          <w:szCs w:val="24"/>
          <w:highlight w:val="none"/>
          <w14:textFill>
            <w14:solidFill>
              <w14:schemeClr w14:val="tx1"/>
            </w14:solidFill>
          </w14:textFill>
        </w:rPr>
      </w:pPr>
    </w:p>
    <w:p w14:paraId="3A0225B6">
      <w:pPr>
        <w:spacing w:line="360" w:lineRule="auto"/>
        <w:rPr>
          <w:rFonts w:hint="eastAsia" w:ascii="仿宋" w:hAnsi="仿宋" w:eastAsia="仿宋" w:cs="仿宋"/>
          <w:color w:val="000000" w:themeColor="text1"/>
          <w:highlight w:val="none"/>
          <w:lang w:val="en-US" w:eastAsia="zh-CN"/>
          <w14:textFill>
            <w14:solidFill>
              <w14:schemeClr w14:val="tx1"/>
            </w14:solidFill>
          </w14:textFill>
        </w:rPr>
      </w:pPr>
    </w:p>
    <w:p w14:paraId="05533D6F">
      <w:pPr>
        <w:rPr>
          <w:rFonts w:hint="eastAsia" w:ascii="仿宋" w:hAnsi="仿宋" w:eastAsia="仿宋" w:cs="仿宋"/>
          <w:color w:val="000000" w:themeColor="text1"/>
          <w:highlight w:val="none"/>
          <w14:textFill>
            <w14:solidFill>
              <w14:schemeClr w14:val="tx1"/>
            </w14:solidFill>
          </w14:textFill>
        </w:rPr>
      </w:pPr>
    </w:p>
    <w:sectPr>
      <w:pgSz w:w="11911" w:h="16838"/>
      <w:pgMar w:top="1417" w:right="1417" w:bottom="1417" w:left="1417" w:header="567" w:footer="283" w:gutter="0"/>
      <w:pgNumType w:fmt="numberInDash"/>
      <w:cols w:space="720" w:num="1"/>
      <w:titlePg/>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7E78A">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pPr>
    <w:r>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t>云南省文山壮族苗族自治州文山市卧龙街道大以古社区凤凰时代F1-25号商铺</w:t>
    </w:r>
  </w:p>
  <w:p w14:paraId="57831609">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eastAsia" w:cs="Times New Roman" w:eastAsiaTheme="minorEastAsia"/>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pPr>
    <w:r>
      <w:rPr>
        <w:rFonts w:hint="eastAsia" w:cs="Times New Roman"/>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联系电话：</w:t>
    </w:r>
    <w:r>
      <w:rPr>
        <w:rFonts w:hint="eastAsia" w:cs="Times New Roman"/>
        <w:sz w:val="22"/>
        <w:szCs w:val="22"/>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0876-8841989</w:t>
    </w:r>
  </w:p>
  <w:p w14:paraId="618019BE">
    <w:pPr>
      <w:pStyle w:val="14"/>
      <w:ind w:right="360"/>
      <w:rPr>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479D89">
    <w:pPr>
      <w:keepNext w:val="0"/>
      <w:keepLines w:val="0"/>
      <w:pageBreakBefore w:val="0"/>
      <w:widowControl w:val="0"/>
      <w:kinsoku/>
      <w:wordWrap/>
      <w:overflowPunct/>
      <w:topLinePunct w:val="0"/>
      <w:autoSpaceDE/>
      <w:autoSpaceDN/>
      <w:bidi w:val="0"/>
      <w:adjustRightInd/>
      <w:snapToGrid/>
      <w:spacing w:line="600" w:lineRule="exact"/>
      <w:ind w:firstLine="440" w:firstLineChars="200"/>
      <w:textAlignment w:val="auto"/>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pPr>
    <w:r>
      <w:rPr>
        <w14:textFill>
          <w14:gradFill>
            <w14:gsLst>
              <w14:gs w14:pos="50410">
                <w14:srgbClr w14:val="FB9B36"/>
              </w14:gs>
              <w14:gs w14:pos="0">
                <w14:srgbClr w14:val="FE564D"/>
              </w14:gs>
              <w14:gs w14:pos="100000">
                <w14:srgbClr w14:val="F9CA26"/>
              </w14:gs>
            </w14:gsLst>
            <w14:lin w14:ang="5400000" w14:scaled="1"/>
          </w14:gradFill>
        </w14:textFill>
      </w:rPr>
      <mc:AlternateContent>
        <mc:Choice Requires="wps">
          <w:drawing>
            <wp:anchor distT="0" distB="0" distL="114300" distR="114300" simplePos="0" relativeHeight="251662336" behindDoc="0" locked="0" layoutInCell="1" allowOverlap="1">
              <wp:simplePos x="0" y="0"/>
              <wp:positionH relativeFrom="margin">
                <wp:posOffset>6399530</wp:posOffset>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5CCCD09">
                          <w:pPr>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03.9pt;margin-top:0pt;height:144pt;width:144pt;mso-position-horizontal-relative:margin;mso-wrap-style:none;z-index:251662336;mso-width-relative:page;mso-height-relative:page;" filled="f" stroked="f" coordsize="21600,21600" o:gfxdata="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I+/lXDVAAAACgEAAA8AAAAAAAAAAQAgAAAAIgAAAGRycy9kb3ducmV2LnhtbFBL&#10;AQIUABQAAAAIAIdO4kDhxcjPMgIAAGUEAAAOAAAAAAAAAAEAIAAAACQBAABkcnMvZTJvRG9jLnht&#10;bFBLBQYAAAAABgAGAFkBAADIBQAAAAA=&#10;">
              <v:fill on="f" focussize="0,0"/>
              <v:stroke on="f" weight="0.5pt"/>
              <v:imagedata o:title=""/>
              <o:lock v:ext="edit" aspectratio="f"/>
              <v:textbox inset="0mm,0mm,0mm,0mm" style="mso-fit-shape-to-text:t;">
                <w:txbxContent>
                  <w:p w14:paraId="55CCCD09">
                    <w:pPr>
                      <w:rPr>
                        <w:sz w:val="18"/>
                      </w:rPr>
                    </w:pPr>
                  </w:p>
                </w:txbxContent>
              </v:textbox>
            </v:shape>
          </w:pict>
        </mc:Fallback>
      </mc:AlternateContent>
    </w:r>
    <w:r>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t>云南省文山壮族苗族自治州文山市卧龙街道大以古社区凤凰时代F1-25号商铺</w:t>
    </w:r>
  </w:p>
  <w:p w14:paraId="723B4A79">
    <w:pPr>
      <w:pStyle w:val="14"/>
      <w:ind w:firstLine="420" w:firstLineChars="200"/>
    </w:pPr>
    <w:r>
      <w:rPr>
        <w:rFonts w:hint="eastAsia" w:cs="Times New Roman"/>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联系电话：</w:t>
    </w:r>
    <w:r>
      <w:rPr>
        <w:rFonts w:hint="eastAsia" w:cs="Times New Roman"/>
        <w:sz w:val="22"/>
        <w:szCs w:val="22"/>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0876-8841989</w:t>
    </w:r>
    <w:r>
      <w:rPr>
        <w:rFonts w:hint="eastAsia"/>
        <w14:textFill>
          <w14:gradFill>
            <w14:gsLst>
              <w14:gs w14:pos="50410">
                <w14:srgbClr w14:val="FB9B36"/>
              </w14:gs>
              <w14:gs w14:pos="0">
                <w14:srgbClr w14:val="FE564D"/>
              </w14:gs>
              <w14:gs w14:pos="100000">
                <w14:srgbClr w14:val="F9CA26"/>
              </w14:gs>
            </w14:gsLst>
            <w14:lin w14:ang="5400000" w14:scaled="1"/>
          </w14:gradFill>
        </w14:textFill>
      </w:rPr>
      <w:t xml:space="preserve"> </w:t>
    </w: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0474C39">
                          <w:pPr>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NJWO7QAAAABQEAAA8AAAAAAAAAAQAgAAAAIgAA&#10;AGRycy9kb3ducmV2LnhtbFBLAQIUABQAAAAIAIdO4kABX/Gy1wEAALADAAAOAAAAAAAAAAEAIAAA&#10;AB8BAABkcnMvZTJvRG9jLnhtbFBLBQYAAAAABgAGAFkBAABoBQAAAAA=&#10;">
              <v:fill on="f" focussize="0,0"/>
              <v:stroke on="f" weight="0.5pt"/>
              <v:imagedata o:title=""/>
              <o:lock v:ext="edit" aspectratio="f"/>
              <v:textbox inset="0mm,0mm,0mm,0mm" style="mso-fit-shape-to-text:t;">
                <w:txbxContent>
                  <w:p w14:paraId="70474C39">
                    <w:pPr>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55421">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pPr>
    <w:r>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t>云南省文山壮族苗族自治州文山市卧龙街道大以古社区凤凰时代F1-25号商铺</w:t>
    </w:r>
  </w:p>
  <w:p w14:paraId="4840FD70">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14:textFill>
          <w14:gradFill>
            <w14:gsLst>
              <w14:gs w14:pos="50410">
                <w14:srgbClr w14:val="FB9B36"/>
              </w14:gs>
              <w14:gs w14:pos="0">
                <w14:srgbClr w14:val="FE564D"/>
              </w14:gs>
              <w14:gs w14:pos="100000">
                <w14:srgbClr w14:val="F9CA26"/>
              </w14:gs>
            </w14:gsLst>
            <w14:lin w14:ang="5400000" w14:scaled="1"/>
          </w14:gradFill>
        </w14:textFill>
      </w:rPr>
    </w:pPr>
    <w:r>
      <w:rPr>
        <w:rFonts w:hint="eastAsia" w:cs="Times New Roman"/>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联系电话：</w:t>
    </w:r>
    <w:r>
      <w:rPr>
        <w14:textFill>
          <w14:gradFill>
            <w14:gsLst>
              <w14:gs w14:pos="50410">
                <w14:srgbClr w14:val="FB9B36"/>
              </w14:gs>
              <w14:gs w14:pos="0">
                <w14:srgbClr w14:val="FE564D"/>
              </w14:gs>
              <w14:gs w14:pos="100000">
                <w14:srgbClr w14:val="F9CA26"/>
              </w14:gs>
            </w14:gsLst>
            <w14:lin w14:ang="5400000" w14:scaled="1"/>
          </w14:gradFill>
        </w14:textFill>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00C7A35">
                          <w:pPr>
                            <w:rPr>
                              <w:sz w:val="18"/>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CzSVju0AAAAAUBAAAPAAAAAAAAAAEAIAAAACIA&#10;AABkcnMvZG93bnJldi54bWxQSwECFAAUAAAACACHTuJAeIMx+dgBAACwAwAADgAAAAAAAAABACAA&#10;AAAfAQAAZHJzL2Uyb0RvYy54bWxQSwUGAAAAAAYABgBZAQAAaQUAAAAA&#10;">
              <v:fill on="f" focussize="0,0"/>
              <v:stroke on="f" weight="0.5pt"/>
              <v:imagedata o:title=""/>
              <o:lock v:ext="edit" aspectratio="f"/>
              <v:textbox inset="0mm,0mm,0mm,0mm" style="mso-fit-shape-to-text:t;">
                <w:txbxContent>
                  <w:p w14:paraId="700C7A35">
                    <w:pPr>
                      <w:rPr>
                        <w:sz w:val="18"/>
                      </w:rPr>
                    </w:pPr>
                  </w:p>
                </w:txbxContent>
              </v:textbox>
            </v:shape>
          </w:pict>
        </mc:Fallback>
      </mc:AlternateContent>
    </w:r>
    <w:r>
      <w:rPr>
        <w:rFonts w:hint="eastAsia" w:cs="Times New Roman"/>
        <w:sz w:val="22"/>
        <w:szCs w:val="22"/>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0876-8841989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2F99BB">
    <w:pPr>
      <w:keepNext w:val="0"/>
      <w:keepLines w:val="0"/>
      <w:pageBreakBefore w:val="0"/>
      <w:widowControl w:val="0"/>
      <w:kinsoku/>
      <w:wordWrap/>
      <w:overflowPunct/>
      <w:topLinePunct w:val="0"/>
      <w:autoSpaceDE/>
      <w:autoSpaceDN/>
      <w:bidi w:val="0"/>
      <w:adjustRightInd/>
      <w:snapToGrid/>
      <w:spacing w:line="600" w:lineRule="exact"/>
      <w:ind w:firstLine="440" w:firstLineChars="200"/>
      <w:textAlignment w:val="auto"/>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pPr>
    <w:r>
      <w:rPr>
        <w:sz w:val="22"/>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79747B">
                          <w:pPr>
                            <w:pStyle w:val="14"/>
                          </w:pPr>
                          <w:r>
                            <w:fldChar w:fldCharType="begin"/>
                          </w:r>
                          <w:r>
                            <w:instrText xml:space="preserve"> PAGE  \* MERGEFORMAT </w:instrText>
                          </w:r>
                          <w:r>
                            <w:fldChar w:fldCharType="separate"/>
                          </w:r>
                          <w:r>
                            <w:t>- 2 -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679747B">
                    <w:pPr>
                      <w:pStyle w:val="14"/>
                    </w:pPr>
                    <w:r>
                      <w:fldChar w:fldCharType="begin"/>
                    </w:r>
                    <w:r>
                      <w:instrText xml:space="preserve"> PAGE  \* MERGEFORMAT </w:instrText>
                    </w:r>
                    <w:r>
                      <w:fldChar w:fldCharType="separate"/>
                    </w:r>
                    <w:r>
                      <w:t>- 2 -</w:t>
                    </w:r>
                    <w:r>
                      <w:fldChar w:fldCharType="end"/>
                    </w:r>
                  </w:p>
                </w:txbxContent>
              </v:textbox>
            </v:shape>
          </w:pict>
        </mc:Fallback>
      </mc:AlternateContent>
    </w:r>
    <w:r>
      <w:rPr>
        <w14:textFill>
          <w14:gradFill>
            <w14:gsLst>
              <w14:gs w14:pos="50410">
                <w14:srgbClr w14:val="FB9B36"/>
              </w14:gs>
              <w14:gs w14:pos="0">
                <w14:srgbClr w14:val="FE564D"/>
              </w14:gs>
              <w14:gs w14:pos="100000">
                <w14:srgbClr w14:val="F9CA26"/>
              </w14:gs>
            </w14:gsLst>
            <w14:lin w14:ang="5400000" w14:scaled="1"/>
          </w14:gradFill>
        </w14:textFill>
      </w:rPr>
      <mc:AlternateContent>
        <mc:Choice Requires="wps">
          <w:drawing>
            <wp:anchor distT="0" distB="0" distL="114300" distR="114300" simplePos="0" relativeHeight="251661312" behindDoc="0" locked="0" layoutInCell="1" allowOverlap="1">
              <wp:simplePos x="0" y="0"/>
              <wp:positionH relativeFrom="margin">
                <wp:posOffset>6399530</wp:posOffset>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50558AC">
                          <w:pPr>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503.9pt;margin-top:0pt;height:144pt;width:144pt;mso-position-horizontal-relative:margin;mso-wrap-style:none;z-index:251661312;mso-width-relative:page;mso-height-relative:page;" filled="f" stroked="f" coordsize="21600,21600" o:gfxdata="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j7+VcNUAAAAKAQAADwAAAAAAAAABACAAAAAiAAAAZHJzL2Rvd25yZXYueG1sUEsB&#10;AhQAFAAAAAgAh07iQLytsHcxAgAAZQQAAA4AAAAAAAAAAQAgAAAAJAEAAGRycy9lMm9Eb2MueG1s&#10;UEsFBgAAAAAGAAYAWQEAAMcFAAAAAA==&#10;">
              <v:fill on="f" focussize="0,0"/>
              <v:stroke on="f" weight="0.5pt"/>
              <v:imagedata o:title=""/>
              <o:lock v:ext="edit" aspectratio="f"/>
              <v:textbox inset="0mm,0mm,0mm,0mm" style="mso-fit-shape-to-text:t;">
                <w:txbxContent>
                  <w:p w14:paraId="250558AC">
                    <w:pPr>
                      <w:rPr>
                        <w:sz w:val="18"/>
                      </w:rPr>
                    </w:pPr>
                  </w:p>
                </w:txbxContent>
              </v:textbox>
            </v:shape>
          </w:pict>
        </mc:Fallback>
      </mc:AlternateContent>
    </w:r>
    <w:r>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t>云南省文山壮族苗族自治州文山市卧龙街道大以古社区凤凰时代F1-25号商铺</w:t>
    </w:r>
  </w:p>
  <w:p w14:paraId="532CD3DE">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pPr>
    <w:r>
      <w:rPr>
        <w:rFonts w:hint="eastAsia" w:cs="Times New Roman"/>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联系电话：</w:t>
    </w:r>
    <w:r>
      <w:rPr>
        <w:rFonts w:hint="eastAsia" w:cs="Times New Roman"/>
        <w:sz w:val="22"/>
        <w:szCs w:val="22"/>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0876-8841989</w:t>
    </w:r>
    <w:r>
      <w:rPr>
        <w:rFonts w:hint="eastAsia"/>
        <w14:textFill>
          <w14:gradFill>
            <w14:gsLst>
              <w14:gs w14:pos="50410">
                <w14:srgbClr w14:val="FB9B36"/>
              </w14:gs>
              <w14:gs w14:pos="0">
                <w14:srgbClr w14:val="FE564D"/>
              </w14:gs>
              <w14:gs w14:pos="100000">
                <w14:srgbClr w14:val="F9CA26"/>
              </w14:gs>
            </w14:gsLst>
            <w14:lin w14:ang="5400000" w14:scaled="1"/>
          </w14:gradFill>
        </w14:textFill>
      </w:rPr>
      <w:t xml:space="preserve">  </w:t>
    </w: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2639C">
    <w:pPr>
      <w:keepNext w:val="0"/>
      <w:keepLines w:val="0"/>
      <w:pageBreakBefore w:val="0"/>
      <w:widowControl w:val="0"/>
      <w:kinsoku/>
      <w:wordWrap/>
      <w:overflowPunct/>
      <w:topLinePunct w:val="0"/>
      <w:autoSpaceDE/>
      <w:autoSpaceDN/>
      <w:bidi w:val="0"/>
      <w:adjustRightInd/>
      <w:snapToGrid/>
      <w:spacing w:line="600" w:lineRule="exact"/>
      <w:ind w:firstLine="440" w:firstLineChars="200"/>
      <w:textAlignment w:val="auto"/>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pPr>
    <w:r>
      <w:rPr>
        <w:sz w:val="22"/>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50DA9">
                          <w:pPr>
                            <w:pStyle w:val="14"/>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AF50DA9">
                    <w:pPr>
                      <w:pStyle w:val="14"/>
                    </w:pPr>
                    <w:r>
                      <w:fldChar w:fldCharType="begin"/>
                    </w:r>
                    <w:r>
                      <w:instrText xml:space="preserve"> PAGE  \* MERGEFORMAT </w:instrText>
                    </w:r>
                    <w:r>
                      <w:fldChar w:fldCharType="separate"/>
                    </w:r>
                    <w:r>
                      <w:t>- 1 -</w:t>
                    </w:r>
                    <w:r>
                      <w:fldChar w:fldCharType="end"/>
                    </w:r>
                  </w:p>
                </w:txbxContent>
              </v:textbox>
            </v:shape>
          </w:pict>
        </mc:Fallback>
      </mc:AlternateContent>
    </w:r>
    <w:r>
      <w:rPr>
        <w:rFonts w:hint="eastAsia"/>
        <w14:textFill>
          <w14:gradFill>
            <w14:gsLst>
              <w14:gs w14:pos="50410">
                <w14:srgbClr w14:val="FB9B36"/>
              </w14:gs>
              <w14:gs w14:pos="0">
                <w14:srgbClr w14:val="FE564D"/>
              </w14:gs>
              <w14:gs w14:pos="100000">
                <w14:srgbClr w14:val="F9CA26"/>
              </w14:gs>
            </w14:gsLst>
            <w14:lin w14:ang="5400000" w14:scaled="1"/>
          </w14:gradFill>
        </w14:textFill>
      </w:rPr>
      <w:t xml:space="preserve"> </w:t>
    </w:r>
    <w:r>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t>云南省文山壮族苗族自治州文山市卧龙街道大以古社区凤凰时代F1-25号商铺</w:t>
    </w:r>
  </w:p>
  <w:p w14:paraId="527A1C30">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14:textFill>
          <w14:gradFill>
            <w14:gsLst>
              <w14:gs w14:pos="50410">
                <w14:srgbClr w14:val="FB9B36"/>
              </w14:gs>
              <w14:gs w14:pos="0">
                <w14:srgbClr w14:val="FE564D"/>
              </w14:gs>
              <w14:gs w14:pos="100000">
                <w14:srgbClr w14:val="F9CA26"/>
              </w14:gs>
            </w14:gsLst>
            <w14:lin w14:ang="5400000" w14:scaled="1"/>
          </w14:gradFill>
        </w14:textFill>
      </w:rPr>
    </w:pPr>
    <w:r>
      <w:rPr>
        <w:rFonts w:hint="eastAsia" w:cs="Times New Roman"/>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联系电话：</w:t>
    </w:r>
    <w:r>
      <w:rPr>
        <w:rFonts w:hint="eastAsia" w:cs="Times New Roman"/>
        <w:sz w:val="22"/>
        <w:szCs w:val="22"/>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0876-8841989</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365A11">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79B582">
                          <w:pPr>
                            <w:pStyle w:val="14"/>
                          </w:pPr>
                          <w:r>
                            <w:fldChar w:fldCharType="begin"/>
                          </w:r>
                          <w:r>
                            <w:instrText xml:space="preserve"> PAGE  \* MERGEFORMAT </w:instrText>
                          </w:r>
                          <w:r>
                            <w:fldChar w:fldCharType="separate"/>
                          </w:r>
                          <w:r>
                            <w:t>- 29 -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F79B582">
                    <w:pPr>
                      <w:pStyle w:val="14"/>
                    </w:pPr>
                    <w:r>
                      <w:fldChar w:fldCharType="begin"/>
                    </w:r>
                    <w:r>
                      <w:instrText xml:space="preserve"> PAGE  \* MERGEFORMAT </w:instrText>
                    </w:r>
                    <w:r>
                      <w:fldChar w:fldCharType="separate"/>
                    </w:r>
                    <w:r>
                      <w:t>- 29 -</w:t>
                    </w:r>
                    <w:r>
                      <w:fldChar w:fldCharType="end"/>
                    </w:r>
                  </w:p>
                </w:txbxContent>
              </v:textbox>
            </v:shape>
          </w:pict>
        </mc:Fallback>
      </mc:AlternateContent>
    </w:r>
    <w:r>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t>云南省文山壮族苗族自治州文山市卧龙街道大以古社区凤凰时代F1-25号商铺</w:t>
    </w:r>
  </w:p>
  <w:p w14:paraId="692BBF4D">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ascii="Times New Roman" w:hAnsi="Times New Roman" w:eastAsia="Times New Roman" w:cs="Times New Roman"/>
        <w:snapToGrid w:val="0"/>
        <w:color w:val="000000"/>
        <w:kern w:val="0"/>
        <w:sz w:val="18"/>
        <w:szCs w:val="18"/>
        <w:lang w:eastAsia="en-US"/>
        <w14:textFill>
          <w14:gradFill>
            <w14:gsLst>
              <w14:gs w14:pos="50410">
                <w14:srgbClr w14:val="FB9B36"/>
              </w14:gs>
              <w14:gs w14:pos="0">
                <w14:srgbClr w14:val="FE564D"/>
              </w14:gs>
              <w14:gs w14:pos="100000">
                <w14:srgbClr w14:val="F9CA26"/>
              </w14:gs>
            </w14:gsLst>
            <w14:lin w14:ang="5400000" w14:scaled="1"/>
          </w14:gradFill>
        </w14:textFill>
      </w:rPr>
    </w:pPr>
    <w:r>
      <w:rPr>
        <w:rFonts w:hint="eastAsia" w:cs="Times New Roman"/>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联系电话：</w:t>
    </w:r>
    <w:r>
      <w:rPr>
        <w:rFonts w:hint="eastAsia" w:cs="Times New Roman"/>
        <w:sz w:val="22"/>
        <w:szCs w:val="22"/>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0876-8841989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261676">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pPr>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12800">
                          <w:pPr>
                            <w:pStyle w:val="14"/>
                          </w:pPr>
                          <w:r>
                            <w:fldChar w:fldCharType="begin"/>
                          </w:r>
                          <w:r>
                            <w:instrText xml:space="preserve"> PAGE  \* MERGEFORMAT </w:instrText>
                          </w:r>
                          <w:r>
                            <w:fldChar w:fldCharType="separate"/>
                          </w:r>
                          <w:r>
                            <w:t>- 28 -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3712800">
                    <w:pPr>
                      <w:pStyle w:val="14"/>
                    </w:pPr>
                    <w:r>
                      <w:fldChar w:fldCharType="begin"/>
                    </w:r>
                    <w:r>
                      <w:instrText xml:space="preserve"> PAGE  \* MERGEFORMAT </w:instrText>
                    </w:r>
                    <w:r>
                      <w:fldChar w:fldCharType="separate"/>
                    </w:r>
                    <w:r>
                      <w:t>- 28 -</w:t>
                    </w:r>
                    <w:r>
                      <w:fldChar w:fldCharType="end"/>
                    </w:r>
                  </w:p>
                </w:txbxContent>
              </v:textbox>
            </v:shape>
          </w:pict>
        </mc:Fallback>
      </mc:AlternateContent>
    </w:r>
    <w:r>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t>云南省文山壮族苗族自治州文山市卧龙街道大以古社区凤凰时代F1-25号商铺</w:t>
    </w:r>
  </w:p>
  <w:p w14:paraId="7E297BDC">
    <w:pPr>
      <w:keepNext w:val="0"/>
      <w:keepLines w:val="0"/>
      <w:pageBreakBefore w:val="0"/>
      <w:widowControl w:val="0"/>
      <w:kinsoku/>
      <w:wordWrap/>
      <w:overflowPunct/>
      <w:topLinePunct w:val="0"/>
      <w:autoSpaceDE/>
      <w:autoSpaceDN/>
      <w:bidi w:val="0"/>
      <w:adjustRightInd/>
      <w:snapToGrid/>
      <w:spacing w:line="600" w:lineRule="exact"/>
      <w:textAlignment w:val="auto"/>
      <w:rPr>
        <w:rFonts w:ascii="Times New Roman" w:hAnsi="Times New Roman" w:eastAsia="宋体" w:cs="Times New Roman"/>
        <w:kern w:val="0"/>
        <w:sz w:val="18"/>
        <w:szCs w:val="20"/>
        <w:lang w:val="en-US" w:eastAsia="zh-CN" w:bidi="ar-SA"/>
      </w:rPr>
    </w:pPr>
    <w:r>
      <w:rPr>
        <w:rFonts w:hint="eastAsia" w:cs="Times New Roman"/>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联系电话：</w:t>
    </w:r>
    <w:r>
      <w:rPr>
        <w:rFonts w:hint="eastAsia" w:cs="Times New Roman"/>
        <w:sz w:val="22"/>
        <w:szCs w:val="22"/>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0876-8841989</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78812">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pPr>
    <w:r>
      <w:rPr>
        <w:sz w:val="21"/>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592153">
                          <w:pPr>
                            <w:pStyle w:val="14"/>
                          </w:pPr>
                          <w:r>
                            <w:fldChar w:fldCharType="begin"/>
                          </w:r>
                          <w:r>
                            <w:instrText xml:space="preserve"> PAGE  \* MERGEFORMAT </w:instrText>
                          </w:r>
                          <w:r>
                            <w:fldChar w:fldCharType="separate"/>
                          </w:r>
                          <w:r>
                            <w:t>- 55 -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1C592153">
                    <w:pPr>
                      <w:pStyle w:val="14"/>
                    </w:pPr>
                    <w:r>
                      <w:fldChar w:fldCharType="begin"/>
                    </w:r>
                    <w:r>
                      <w:instrText xml:space="preserve"> PAGE  \* MERGEFORMAT </w:instrText>
                    </w:r>
                    <w:r>
                      <w:fldChar w:fldCharType="separate"/>
                    </w:r>
                    <w:r>
                      <w:t>- 55 -</w:t>
                    </w:r>
                    <w:r>
                      <w:fldChar w:fldCharType="end"/>
                    </w:r>
                  </w:p>
                </w:txbxContent>
              </v:textbox>
            </v:shape>
          </w:pict>
        </mc:Fallback>
      </mc:AlternateContent>
    </w:r>
    <w:r>
      <w:rPr>
        <w:rFonts w:hint="eastAsia" w:cs="Times New Roman"/>
        <w:sz w:val="21"/>
        <w:szCs w:val="21"/>
        <w:highlight w:val="none"/>
        <w:lang w:val="zh-CN"/>
        <w14:textFill>
          <w14:gradFill>
            <w14:gsLst>
              <w14:gs w14:pos="50410">
                <w14:srgbClr w14:val="FB9B36"/>
              </w14:gs>
              <w14:gs w14:pos="0">
                <w14:srgbClr w14:val="FE564D"/>
              </w14:gs>
              <w14:gs w14:pos="100000">
                <w14:srgbClr w14:val="F9CA26"/>
              </w14:gs>
            </w14:gsLst>
            <w14:lin w14:ang="5400000" w14:scaled="1"/>
          </w14:gradFill>
        </w14:textFill>
      </w:rPr>
      <w:t>云南省文山壮族苗族自治州文山市卧龙街道大以古社区凤凰时代F1-25号商铺</w:t>
    </w:r>
  </w:p>
  <w:p w14:paraId="130117EC">
    <w:pPr>
      <w:keepNext w:val="0"/>
      <w:keepLines w:val="0"/>
      <w:pageBreakBefore w:val="0"/>
      <w:widowControl w:val="0"/>
      <w:kinsoku/>
      <w:wordWrap/>
      <w:overflowPunct/>
      <w:topLinePunct w:val="0"/>
      <w:autoSpaceDE/>
      <w:autoSpaceDN/>
      <w:bidi w:val="0"/>
      <w:adjustRightInd/>
      <w:snapToGrid/>
      <w:spacing w:line="600" w:lineRule="exact"/>
      <w:ind w:firstLine="420" w:firstLineChars="200"/>
      <w:textAlignment w:val="auto"/>
      <w:rPr>
        <w:rFonts w:ascii="Times New Roman" w:hAnsi="Times New Roman" w:eastAsia="Times New Roman" w:cs="Times New Roman"/>
        <w:sz w:val="18"/>
        <w:szCs w:val="18"/>
      </w:rPr>
    </w:pPr>
    <w:r>
      <w:rPr>
        <w:rFonts w:hint="eastAsia" w:cs="Times New Roman"/>
        <w:sz w:val="21"/>
        <w:szCs w:val="21"/>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联系电话：</w:t>
    </w:r>
    <w:r>
      <w:rPr>
        <w:rFonts w:hint="eastAsia" w:cs="Times New Roman"/>
        <w:sz w:val="22"/>
        <w:szCs w:val="22"/>
        <w:highlight w:val="none"/>
        <w:lang w:val="en-US" w:eastAsia="zh-CN"/>
        <w14:textFill>
          <w14:gradFill>
            <w14:gsLst>
              <w14:gs w14:pos="50410">
                <w14:srgbClr w14:val="FB9B36"/>
              </w14:gs>
              <w14:gs w14:pos="0">
                <w14:srgbClr w14:val="FE564D"/>
              </w14:gs>
              <w14:gs w14:pos="100000">
                <w14:srgbClr w14:val="F9CA26"/>
              </w14:gs>
            </w14:gsLst>
            <w14:lin w14:ang="5400000" w14:scaled="1"/>
          </w14:gradFill>
        </w14:textFill>
      </w:rPr>
      <w:t>0876-8841989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5C12E9">
    <w:pPr>
      <w:pBdr>
        <w:bottom w:val="none" w:color="auto" w:sz="0" w:space="0"/>
      </w:pBdr>
      <w:jc w:val="left"/>
      <w:rPr>
        <w:rFonts w:hint="eastAsia" w:cstheme="minorBidi"/>
        <w:kern w:val="2"/>
        <w:sz w:val="24"/>
        <w:szCs w:val="24"/>
        <w:u w:val="none"/>
        <w:lang w:val="en-US" w:eastAsia="zh-CN" w:bidi="ar-SA"/>
        <w14:textFill>
          <w14:gradFill>
            <w14:gsLst>
              <w14:gs w14:pos="50000">
                <w14:schemeClr w14:val="accent1"/>
              </w14:gs>
              <w14:gs w14:pos="0">
                <w14:schemeClr w14:val="accent1">
                  <w14:lumMod w14:val="25000"/>
                  <w14:lumOff w14:val="75000"/>
                </w14:schemeClr>
              </w14:gs>
              <w14:gs w14:pos="100000">
                <w14:schemeClr w14:val="accent1">
                  <w14:lumMod w14:val="85000"/>
                </w14:schemeClr>
              </w14:gs>
            </w14:gsLst>
            <w14:lin w14:ang="5400000" w14:scaled="1"/>
          </w14:gradFill>
        </w14:textFill>
      </w:rPr>
    </w:pPr>
  </w:p>
  <w:p w14:paraId="491F5B41">
    <w:pPr>
      <w:pBdr>
        <w:bottom w:val="double" w:color="auto" w:sz="8" w:space="0"/>
      </w:pBdr>
      <w:jc w:val="left"/>
      <w:rPr>
        <w:rFonts w:hint="default" w:ascii="仿宋" w:hAnsi="仿宋" w:eastAsia="仿宋" w:cs="仿宋"/>
        <w:b/>
        <w:bCs/>
        <w:kern w:val="0"/>
        <w:sz w:val="18"/>
        <w:szCs w:val="18"/>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r>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t>文山市2025年度山洪灾害防治及维修养护项目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7087E">
    <w:pPr>
      <w:pBdr>
        <w:bottom w:val="double" w:color="auto" w:sz="8" w:space="0"/>
      </w:pBdr>
      <w:jc w:val="left"/>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2A6CA78F">
    <w:pPr>
      <w:pBdr>
        <w:bottom w:val="double" w:color="auto" w:sz="8" w:space="0"/>
      </w:pBdr>
      <w:jc w:val="left"/>
      <w:rPr>
        <w:rFonts w:hint="eastAsia" w:ascii="宋体" w:hAnsi="宋体" w:eastAsia="宋体" w:cs="宋体"/>
        <w:w w:val="80"/>
        <w:sz w:val="24"/>
        <w:szCs w:val="18"/>
      </w:rPr>
    </w:pPr>
    <w:r>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t>文山市2025年度山洪灾害防治及维修养护项目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6D31FF">
    <w:pPr>
      <w:pBdr>
        <w:bottom w:val="double" w:color="auto" w:sz="8" w:space="0"/>
      </w:pBdr>
      <w:jc w:val="left"/>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5E553D9E">
    <w:pPr>
      <w:pBdr>
        <w:bottom w:val="double" w:color="auto" w:sz="8" w:space="0"/>
      </w:pBdr>
      <w:jc w:val="left"/>
    </w:pPr>
    <w:r>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t>文山市2025年度山洪灾害防治及维修养护项目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C5DCE">
    <w:pPr>
      <w:pBdr>
        <w:bottom w:val="double" w:color="auto" w:sz="8" w:space="0"/>
      </w:pBdr>
      <w:jc w:val="left"/>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1DC0B804">
    <w:pPr>
      <w:pBdr>
        <w:bottom w:val="double" w:color="auto" w:sz="8" w:space="0"/>
      </w:pBdr>
      <w:jc w:val="left"/>
      <w:rPr>
        <w:rFonts w:hint="eastAsia" w:eastAsia="微软雅黑"/>
        <w:lang w:eastAsia="zh-CN"/>
      </w:rPr>
    </w:pPr>
    <w:r>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t>文山市2025年度山洪灾害防治及维修养护项目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0E776D">
    <w:pPr>
      <w:pStyle w:val="15"/>
      <w:pBdr>
        <w:bottom w:val="double" w:color="auto" w:sz="8" w:space="1"/>
      </w:pBdr>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420C7C6D">
    <w:pPr>
      <w:pStyle w:val="15"/>
      <w:pBdr>
        <w:bottom w:val="double" w:color="auto" w:sz="8" w:space="1"/>
      </w:pBdr>
      <w:jc w:val="both"/>
      <w:rPr>
        <w:lang w:val="en-US" w:eastAsia="en-US"/>
      </w:rPr>
    </w:pPr>
    <w:r>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t>文山市2025年度山洪灾害防治及维修养护项目                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9B236">
    <w:pPr>
      <w:pStyle w:val="15"/>
      <w:pBdr>
        <w:bottom w:val="double" w:color="auto" w:sz="8" w:space="1"/>
      </w:pBdr>
      <w:jc w:val="both"/>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pPr>
  </w:p>
  <w:p w14:paraId="29898F49">
    <w:pPr>
      <w:pStyle w:val="15"/>
      <w:pBdr>
        <w:bottom w:val="double" w:color="auto" w:sz="8" w:space="1"/>
      </w:pBdr>
      <w:jc w:val="both"/>
    </w:pPr>
    <w:r>
      <w:rPr>
        <w:rFonts w:hint="eastAsia" w:ascii="仿宋" w:hAnsi="仿宋" w:eastAsia="仿宋" w:cs="仿宋"/>
        <w:color w:val="8496B0" w:themeColor="text2" w:themeTint="99"/>
        <w:sz w:val="24"/>
        <w:szCs w:val="24"/>
        <w:highlight w:val="none"/>
        <w:lang w:val="en-US" w:eastAsia="zh-CN"/>
        <w14:textFill>
          <w14:gradFill>
            <w14:gsLst>
              <w14:gs w14:pos="51300">
                <w14:srgbClr w14:val="32B0EA"/>
              </w14:gs>
              <w14:gs w14:pos="0">
                <w14:srgbClr w14:val="005F9F"/>
              </w14:gs>
              <w14:gs w14:pos="100000">
                <w14:srgbClr w14:val="ADDCE1"/>
              </w14:gs>
            </w14:gsLst>
            <w14:lin w14:ang="5400000" w14:scaled="1"/>
          </w14:gradFill>
        </w14:textFill>
      </w:rPr>
      <w:t>文山市2025年度山洪灾害防治及维修养护项目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12A7AB"/>
    <w:multiLevelType w:val="singleLevel"/>
    <w:tmpl w:val="9A12A7AB"/>
    <w:lvl w:ilvl="0" w:tentative="0">
      <w:start w:val="1"/>
      <w:numFmt w:val="decimal"/>
      <w:lvlText w:val="%1."/>
      <w:lvlJc w:val="left"/>
      <w:pPr>
        <w:tabs>
          <w:tab w:val="left" w:pos="312"/>
        </w:tabs>
      </w:pPr>
    </w:lvl>
  </w:abstractNum>
  <w:abstractNum w:abstractNumId="1">
    <w:nsid w:val="9C0BAF89"/>
    <w:multiLevelType w:val="singleLevel"/>
    <w:tmpl w:val="9C0BAF89"/>
    <w:lvl w:ilvl="0" w:tentative="0">
      <w:start w:val="8"/>
      <w:numFmt w:val="chineseCounting"/>
      <w:suff w:val="nothing"/>
      <w:lvlText w:val="%1、"/>
      <w:lvlJc w:val="left"/>
      <w:rPr>
        <w:rFonts w:hint="eastAsia"/>
      </w:rPr>
    </w:lvl>
  </w:abstractNum>
  <w:abstractNum w:abstractNumId="2">
    <w:nsid w:val="EB3E2306"/>
    <w:multiLevelType w:val="singleLevel"/>
    <w:tmpl w:val="EB3E2306"/>
    <w:lvl w:ilvl="0" w:tentative="0">
      <w:start w:val="2"/>
      <w:numFmt w:val="chineseCounting"/>
      <w:suff w:val="nothing"/>
      <w:lvlText w:val="%1、"/>
      <w:lvlJc w:val="left"/>
      <w:rPr>
        <w:rFonts w:hint="eastAsia"/>
      </w:rPr>
    </w:lvl>
  </w:abstractNum>
  <w:abstractNum w:abstractNumId="3">
    <w:nsid w:val="EDE78A16"/>
    <w:multiLevelType w:val="singleLevel"/>
    <w:tmpl w:val="EDE78A16"/>
    <w:lvl w:ilvl="0" w:tentative="0">
      <w:start w:val="1"/>
      <w:numFmt w:val="decimal"/>
      <w:suff w:val="nothing"/>
      <w:lvlText w:val="%1、"/>
      <w:lvlJc w:val="left"/>
    </w:lvl>
  </w:abstractNum>
  <w:abstractNum w:abstractNumId="4">
    <w:nsid w:val="0E21125F"/>
    <w:multiLevelType w:val="singleLevel"/>
    <w:tmpl w:val="0E21125F"/>
    <w:lvl w:ilvl="0" w:tentative="0">
      <w:start w:val="2"/>
      <w:numFmt w:val="chineseCounting"/>
      <w:suff w:val="nothing"/>
      <w:lvlText w:val="（%1）"/>
      <w:lvlJc w:val="left"/>
      <w:rPr>
        <w:rFonts w:hint="eastAsia"/>
      </w:rPr>
    </w:lvl>
  </w:abstractNum>
  <w:abstractNum w:abstractNumId="5">
    <w:nsid w:val="12DB2C5E"/>
    <w:multiLevelType w:val="singleLevel"/>
    <w:tmpl w:val="12DB2C5E"/>
    <w:lvl w:ilvl="0" w:tentative="0">
      <w:start w:val="1"/>
      <w:numFmt w:val="decimal"/>
      <w:suff w:val="space"/>
      <w:lvlText w:val="%1."/>
      <w:lvlJc w:val="left"/>
    </w:lvl>
  </w:abstractNum>
  <w:abstractNum w:abstractNumId="6">
    <w:nsid w:val="39813C4E"/>
    <w:multiLevelType w:val="multilevel"/>
    <w:tmpl w:val="39813C4E"/>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3F2A5FC5"/>
    <w:multiLevelType w:val="singleLevel"/>
    <w:tmpl w:val="3F2A5FC5"/>
    <w:lvl w:ilvl="0" w:tentative="0">
      <w:start w:val="1"/>
      <w:numFmt w:val="decimal"/>
      <w:suff w:val="nothing"/>
      <w:lvlText w:val="（%1）"/>
      <w:lvlJc w:val="left"/>
    </w:lvl>
  </w:abstractNum>
  <w:num w:numId="1">
    <w:abstractNumId w:val="7"/>
  </w:num>
  <w:num w:numId="2">
    <w:abstractNumId w:val="0"/>
  </w:num>
  <w:num w:numId="3">
    <w:abstractNumId w:val="3"/>
  </w:num>
  <w:num w:numId="4">
    <w:abstractNumId w:val="2"/>
  </w:num>
  <w:num w:numId="5">
    <w:abstractNumId w:val="6"/>
  </w:num>
  <w:num w:numId="6">
    <w:abstractNumId w:val="4"/>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hN2ZiOWU5NTBlNjVlZTRmMDMyNThlZmJkNGNmYjkifQ=="/>
  </w:docVars>
  <w:rsids>
    <w:rsidRoot w:val="6006260A"/>
    <w:rsid w:val="051756C8"/>
    <w:rsid w:val="0541763F"/>
    <w:rsid w:val="05946D18"/>
    <w:rsid w:val="06361B7E"/>
    <w:rsid w:val="08E9737B"/>
    <w:rsid w:val="0C3F6E78"/>
    <w:rsid w:val="0C67251C"/>
    <w:rsid w:val="0C937D2A"/>
    <w:rsid w:val="0DD8176C"/>
    <w:rsid w:val="0E353553"/>
    <w:rsid w:val="0E9C279A"/>
    <w:rsid w:val="0E9E4764"/>
    <w:rsid w:val="0F1D1B2D"/>
    <w:rsid w:val="0FB25F6B"/>
    <w:rsid w:val="11B75BF8"/>
    <w:rsid w:val="11C20769"/>
    <w:rsid w:val="12601EAE"/>
    <w:rsid w:val="129A63CE"/>
    <w:rsid w:val="12AA7B7B"/>
    <w:rsid w:val="139323BD"/>
    <w:rsid w:val="149003F6"/>
    <w:rsid w:val="15155054"/>
    <w:rsid w:val="153F62C9"/>
    <w:rsid w:val="15C26C81"/>
    <w:rsid w:val="167A1613"/>
    <w:rsid w:val="16BA2719"/>
    <w:rsid w:val="16DC407B"/>
    <w:rsid w:val="1875189B"/>
    <w:rsid w:val="18FC0A05"/>
    <w:rsid w:val="192B3098"/>
    <w:rsid w:val="19E0754F"/>
    <w:rsid w:val="1B3135E7"/>
    <w:rsid w:val="1CF30371"/>
    <w:rsid w:val="1D12140B"/>
    <w:rsid w:val="1D7E7C3A"/>
    <w:rsid w:val="1D7F1C04"/>
    <w:rsid w:val="1DA8115B"/>
    <w:rsid w:val="1DDE2DCF"/>
    <w:rsid w:val="1E5A0A17"/>
    <w:rsid w:val="1F120F82"/>
    <w:rsid w:val="1F196E7F"/>
    <w:rsid w:val="200477CB"/>
    <w:rsid w:val="22250FCC"/>
    <w:rsid w:val="2297598E"/>
    <w:rsid w:val="23AB4C8F"/>
    <w:rsid w:val="241B4717"/>
    <w:rsid w:val="2481372D"/>
    <w:rsid w:val="26263565"/>
    <w:rsid w:val="276A0C56"/>
    <w:rsid w:val="276E2ACE"/>
    <w:rsid w:val="27827BF6"/>
    <w:rsid w:val="297E01B4"/>
    <w:rsid w:val="2A1262DA"/>
    <w:rsid w:val="2A403FBB"/>
    <w:rsid w:val="2A5C1303"/>
    <w:rsid w:val="2B2A5CCA"/>
    <w:rsid w:val="2C037EE1"/>
    <w:rsid w:val="2C1645EA"/>
    <w:rsid w:val="2CE02E6D"/>
    <w:rsid w:val="2D07717F"/>
    <w:rsid w:val="2E2E745B"/>
    <w:rsid w:val="2F5C371B"/>
    <w:rsid w:val="2F640588"/>
    <w:rsid w:val="2FCA3FE7"/>
    <w:rsid w:val="3203092F"/>
    <w:rsid w:val="338A2728"/>
    <w:rsid w:val="33E82F8C"/>
    <w:rsid w:val="35977693"/>
    <w:rsid w:val="35D94150"/>
    <w:rsid w:val="382615EC"/>
    <w:rsid w:val="39930ABA"/>
    <w:rsid w:val="3A0E576F"/>
    <w:rsid w:val="3BBA35C8"/>
    <w:rsid w:val="3C7B3139"/>
    <w:rsid w:val="3DD04FB0"/>
    <w:rsid w:val="3F336422"/>
    <w:rsid w:val="3FEA0D08"/>
    <w:rsid w:val="42254279"/>
    <w:rsid w:val="422C1AAB"/>
    <w:rsid w:val="438F40A0"/>
    <w:rsid w:val="467A56D6"/>
    <w:rsid w:val="46CE3131"/>
    <w:rsid w:val="484F02A2"/>
    <w:rsid w:val="48D83DF3"/>
    <w:rsid w:val="48E629B4"/>
    <w:rsid w:val="4A277718"/>
    <w:rsid w:val="4A2C1887"/>
    <w:rsid w:val="4B1E3591"/>
    <w:rsid w:val="4EDD6607"/>
    <w:rsid w:val="4F400A75"/>
    <w:rsid w:val="52595FA5"/>
    <w:rsid w:val="52833022"/>
    <w:rsid w:val="53B87162"/>
    <w:rsid w:val="53CB60CB"/>
    <w:rsid w:val="546F7C38"/>
    <w:rsid w:val="54D73AF9"/>
    <w:rsid w:val="55F10BEA"/>
    <w:rsid w:val="561577C6"/>
    <w:rsid w:val="565161D5"/>
    <w:rsid w:val="57640A24"/>
    <w:rsid w:val="5A1F00CD"/>
    <w:rsid w:val="5AF14A4B"/>
    <w:rsid w:val="5B264E92"/>
    <w:rsid w:val="5BA858A7"/>
    <w:rsid w:val="5C8D118C"/>
    <w:rsid w:val="5CAF3AF1"/>
    <w:rsid w:val="5CB12E81"/>
    <w:rsid w:val="5CE13766"/>
    <w:rsid w:val="5D2E6280"/>
    <w:rsid w:val="5ED970DE"/>
    <w:rsid w:val="5F8A7340"/>
    <w:rsid w:val="6006260A"/>
    <w:rsid w:val="60501B8E"/>
    <w:rsid w:val="61750921"/>
    <w:rsid w:val="63F0603D"/>
    <w:rsid w:val="64915201"/>
    <w:rsid w:val="65404DA2"/>
    <w:rsid w:val="6598698C"/>
    <w:rsid w:val="662C1443"/>
    <w:rsid w:val="681C38A5"/>
    <w:rsid w:val="68CA77A4"/>
    <w:rsid w:val="6B32059D"/>
    <w:rsid w:val="6D6A1F10"/>
    <w:rsid w:val="6E182D60"/>
    <w:rsid w:val="6ECE7C1C"/>
    <w:rsid w:val="6ED8429D"/>
    <w:rsid w:val="6F122442"/>
    <w:rsid w:val="6F6C3363"/>
    <w:rsid w:val="705E27AE"/>
    <w:rsid w:val="70CB4D46"/>
    <w:rsid w:val="71075813"/>
    <w:rsid w:val="713C5092"/>
    <w:rsid w:val="715D3A1C"/>
    <w:rsid w:val="72944572"/>
    <w:rsid w:val="72BE7255"/>
    <w:rsid w:val="735A7977"/>
    <w:rsid w:val="73B928EF"/>
    <w:rsid w:val="73F13E37"/>
    <w:rsid w:val="74086E00"/>
    <w:rsid w:val="748D557D"/>
    <w:rsid w:val="749B7422"/>
    <w:rsid w:val="74E474F8"/>
    <w:rsid w:val="760F67F7"/>
    <w:rsid w:val="76206B93"/>
    <w:rsid w:val="767618D3"/>
    <w:rsid w:val="77226CC4"/>
    <w:rsid w:val="773D7165"/>
    <w:rsid w:val="77C11D73"/>
    <w:rsid w:val="77DA4BE2"/>
    <w:rsid w:val="7A0A36FE"/>
    <w:rsid w:val="7DC455A6"/>
    <w:rsid w:val="7EDE76AE"/>
    <w:rsid w:val="7F1430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qFormat="1"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basedOn w:val="1"/>
    <w:next w:val="1"/>
    <w:autoRedefine/>
    <w:qFormat/>
    <w:uiPriority w:val="0"/>
    <w:pPr>
      <w:keepNext/>
      <w:keepLines/>
      <w:widowControl w:val="0"/>
      <w:adjustRightInd/>
      <w:snapToGrid/>
      <w:spacing w:after="0" w:line="360" w:lineRule="auto"/>
      <w:jc w:val="both"/>
      <w:outlineLvl w:val="0"/>
    </w:pPr>
    <w:rPr>
      <w:rFonts w:ascii="Times New Roman" w:hAnsi="Times New Roman" w:eastAsia="宋体" w:cs="Times New Roman"/>
      <w:b/>
      <w:bCs/>
      <w:kern w:val="44"/>
      <w:sz w:val="32"/>
      <w:szCs w:val="44"/>
    </w:rPr>
  </w:style>
  <w:style w:type="paragraph" w:styleId="3">
    <w:name w:val="heading 2"/>
    <w:basedOn w:val="1"/>
    <w:next w:val="1"/>
    <w:autoRedefine/>
    <w:qFormat/>
    <w:uiPriority w:val="0"/>
    <w:pPr>
      <w:keepNext/>
      <w:keepLines/>
      <w:widowControl w:val="0"/>
      <w:adjustRightInd/>
      <w:snapToGrid/>
      <w:spacing w:before="260" w:after="260" w:line="413" w:lineRule="auto"/>
      <w:jc w:val="both"/>
      <w:outlineLvl w:val="1"/>
    </w:pPr>
    <w:rPr>
      <w:rFonts w:ascii="Arial" w:hAnsi="Arial" w:eastAsia="黑体" w:cs="Times New Roman"/>
      <w:b/>
      <w:bCs/>
      <w:kern w:val="2"/>
      <w:sz w:val="32"/>
      <w:szCs w:val="32"/>
    </w:rPr>
  </w:style>
  <w:style w:type="paragraph" w:styleId="4">
    <w:name w:val="heading 3"/>
    <w:basedOn w:val="1"/>
    <w:next w:val="1"/>
    <w:autoRedefine/>
    <w:qFormat/>
    <w:uiPriority w:val="0"/>
    <w:pPr>
      <w:keepNext/>
      <w:keepLines/>
      <w:widowControl w:val="0"/>
      <w:adjustRightInd/>
      <w:snapToGrid/>
      <w:spacing w:after="0" w:line="360" w:lineRule="auto"/>
      <w:jc w:val="both"/>
      <w:outlineLvl w:val="2"/>
    </w:pPr>
    <w:rPr>
      <w:rFonts w:ascii="Times New Roman" w:hAnsi="Times New Roman" w:eastAsia="宋体" w:cs="Times New Roman"/>
      <w:b/>
      <w:bCs/>
      <w:kern w:val="2"/>
      <w:sz w:val="24"/>
      <w:szCs w:val="32"/>
    </w:rPr>
  </w:style>
  <w:style w:type="paragraph" w:styleId="5">
    <w:name w:val="heading 4"/>
    <w:basedOn w:val="1"/>
    <w:next w:val="1"/>
    <w:autoRedefine/>
    <w:qFormat/>
    <w:uiPriority w:val="0"/>
    <w:pPr>
      <w:keepNext/>
      <w:keepLines/>
      <w:widowControl w:val="0"/>
      <w:adjustRightInd/>
      <w:snapToGrid/>
      <w:spacing w:after="0" w:line="360" w:lineRule="auto"/>
      <w:jc w:val="both"/>
      <w:outlineLvl w:val="3"/>
    </w:pPr>
    <w:rPr>
      <w:rFonts w:ascii="Arial" w:hAnsi="Arial" w:eastAsia="宋体" w:cs="Times New Roman"/>
      <w:b/>
      <w:bCs/>
      <w:kern w:val="2"/>
      <w:sz w:val="21"/>
      <w:szCs w:val="28"/>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6">
    <w:name w:val="Normal Indent"/>
    <w:basedOn w:val="1"/>
    <w:qFormat/>
    <w:uiPriority w:val="99"/>
    <w:pPr>
      <w:ind w:firstLine="420"/>
      <w:jc w:val="both"/>
    </w:pPr>
    <w:rPr>
      <w:rFonts w:ascii="Calibri" w:hAnsi="Calibri" w:eastAsia="仿宋_GB2312" w:cs="Times New Roman"/>
      <w:kern w:val="2"/>
      <w:sz w:val="21"/>
      <w:szCs w:val="21"/>
      <w:lang w:eastAsia="zh-CN"/>
    </w:rPr>
  </w:style>
  <w:style w:type="paragraph" w:styleId="7">
    <w:name w:val="Body Text"/>
    <w:basedOn w:val="1"/>
    <w:autoRedefine/>
    <w:qFormat/>
    <w:uiPriority w:val="0"/>
    <w:pPr>
      <w:widowControl w:val="0"/>
      <w:adjustRightInd/>
      <w:snapToGrid/>
      <w:spacing w:after="120"/>
      <w:jc w:val="both"/>
    </w:pPr>
    <w:rPr>
      <w:rFonts w:ascii="Times New Roman" w:hAnsi="Times New Roman" w:eastAsia="宋体" w:cs="Times New Roman"/>
      <w:kern w:val="2"/>
      <w:sz w:val="21"/>
      <w:szCs w:val="24"/>
    </w:rPr>
  </w:style>
  <w:style w:type="paragraph" w:styleId="8">
    <w:name w:val="Body Text Indent"/>
    <w:basedOn w:val="1"/>
    <w:next w:val="9"/>
    <w:autoRedefine/>
    <w:qFormat/>
    <w:uiPriority w:val="0"/>
    <w:pPr>
      <w:widowControl w:val="0"/>
      <w:adjustRightInd/>
      <w:snapToGrid/>
      <w:spacing w:after="0"/>
      <w:ind w:firstLine="420" w:firstLineChars="200"/>
      <w:jc w:val="both"/>
    </w:pPr>
    <w:rPr>
      <w:rFonts w:ascii="Times New Roman" w:hAnsi="Times New Roman" w:eastAsia="宋体" w:cs="Times New Roman"/>
      <w:kern w:val="2"/>
      <w:sz w:val="21"/>
      <w:szCs w:val="24"/>
    </w:rPr>
  </w:style>
  <w:style w:type="paragraph" w:styleId="9">
    <w:name w:val="Body Text First Indent 2"/>
    <w:basedOn w:val="8"/>
    <w:next w:val="10"/>
    <w:autoRedefine/>
    <w:qFormat/>
    <w:uiPriority w:val="0"/>
    <w:pPr>
      <w:autoSpaceDE/>
      <w:autoSpaceDN/>
      <w:adjustRightInd/>
      <w:ind w:leftChars="0" w:firstLine="420"/>
      <w:jc w:val="both"/>
      <w:textAlignment w:val="auto"/>
    </w:pPr>
    <w:rPr>
      <w:rFonts w:ascii="Times New Roman" w:hAnsi="Times New Roman" w:eastAsia="宋体" w:cs="Times New Roman"/>
      <w:kern w:val="2"/>
      <w:sz w:val="21"/>
      <w:szCs w:val="24"/>
    </w:rPr>
  </w:style>
  <w:style w:type="paragraph" w:styleId="10">
    <w:name w:val="Body Text First Indent"/>
    <w:basedOn w:val="7"/>
    <w:next w:val="1"/>
    <w:autoRedefine/>
    <w:qFormat/>
    <w:uiPriority w:val="0"/>
    <w:pPr>
      <w:spacing w:line="312" w:lineRule="auto"/>
      <w:ind w:firstLine="420"/>
    </w:pPr>
    <w:rPr>
      <w:rFonts w:eastAsia="仿宋_GB2312"/>
    </w:rPr>
  </w:style>
  <w:style w:type="paragraph" w:styleId="11">
    <w:name w:val="toc 5"/>
    <w:basedOn w:val="1"/>
    <w:next w:val="1"/>
    <w:unhideWhenUsed/>
    <w:qFormat/>
    <w:uiPriority w:val="39"/>
    <w:pPr>
      <w:ind w:left="840"/>
    </w:pPr>
    <w:rPr>
      <w:rFonts w:ascii="Calibri" w:hAnsi="Calibri" w:cs="Calibri"/>
      <w:sz w:val="18"/>
      <w:szCs w:val="18"/>
    </w:rPr>
  </w:style>
  <w:style w:type="paragraph" w:styleId="12">
    <w:name w:val="Plain Text"/>
    <w:basedOn w:val="1"/>
    <w:autoRedefine/>
    <w:qFormat/>
    <w:uiPriority w:val="0"/>
    <w:pPr>
      <w:widowControl w:val="0"/>
      <w:adjustRightInd/>
      <w:snapToGrid/>
      <w:spacing w:after="0"/>
      <w:jc w:val="both"/>
    </w:pPr>
    <w:rPr>
      <w:rFonts w:ascii="宋体" w:hAnsi="Courier New" w:eastAsia="宋体" w:cs="Times New Roman"/>
      <w:kern w:val="2"/>
      <w:sz w:val="21"/>
      <w:szCs w:val="20"/>
    </w:rPr>
  </w:style>
  <w:style w:type="paragraph" w:styleId="13">
    <w:name w:val="Body Text Indent 2"/>
    <w:basedOn w:val="1"/>
    <w:autoRedefine/>
    <w:qFormat/>
    <w:uiPriority w:val="0"/>
    <w:pPr>
      <w:widowControl w:val="0"/>
      <w:adjustRightInd/>
      <w:snapToGrid/>
      <w:spacing w:after="120" w:line="480" w:lineRule="auto"/>
      <w:ind w:left="420" w:leftChars="200"/>
      <w:jc w:val="both"/>
    </w:pPr>
    <w:rPr>
      <w:rFonts w:ascii="Times New Roman" w:hAnsi="Times New Roman" w:eastAsia="宋体" w:cs="Times New Roman"/>
      <w:sz w:val="20"/>
      <w:szCs w:val="24"/>
    </w:rPr>
  </w:style>
  <w:style w:type="paragraph" w:styleId="14">
    <w:name w:val="footer"/>
    <w:basedOn w:val="1"/>
    <w:autoRedefine/>
    <w:unhideWhenUsed/>
    <w:qFormat/>
    <w:uiPriority w:val="99"/>
    <w:pPr>
      <w:tabs>
        <w:tab w:val="center" w:pos="4153"/>
        <w:tab w:val="right" w:pos="8306"/>
      </w:tabs>
    </w:pPr>
    <w:rPr>
      <w:sz w:val="18"/>
      <w:szCs w:val="18"/>
    </w:rPr>
  </w:style>
  <w:style w:type="paragraph" w:styleId="15">
    <w:name w:val="header"/>
    <w:basedOn w:val="1"/>
    <w:autoRedefine/>
    <w:unhideWhenUsed/>
    <w:qFormat/>
    <w:uiPriority w:val="99"/>
    <w:pPr>
      <w:pBdr>
        <w:bottom w:val="single" w:color="auto" w:sz="6" w:space="1"/>
      </w:pBdr>
      <w:tabs>
        <w:tab w:val="center" w:pos="4153"/>
        <w:tab w:val="right" w:pos="8306"/>
      </w:tabs>
      <w:jc w:val="center"/>
    </w:pPr>
    <w:rPr>
      <w:sz w:val="18"/>
      <w:szCs w:val="18"/>
    </w:rPr>
  </w:style>
  <w:style w:type="paragraph" w:styleId="16">
    <w:name w:val="toc 1"/>
    <w:basedOn w:val="1"/>
    <w:next w:val="1"/>
    <w:autoRedefine/>
    <w:qFormat/>
    <w:uiPriority w:val="39"/>
    <w:pPr>
      <w:widowControl w:val="0"/>
      <w:tabs>
        <w:tab w:val="right" w:leader="dot" w:pos="9540"/>
      </w:tabs>
      <w:adjustRightInd/>
      <w:snapToGrid/>
      <w:spacing w:before="120" w:after="120"/>
    </w:pPr>
    <w:rPr>
      <w:rFonts w:ascii="黑体" w:hAnsi="黑体" w:eastAsia="黑体" w:cs="Times New Roman"/>
      <w:bCs/>
      <w:caps/>
      <w:kern w:val="2"/>
      <w:sz w:val="20"/>
      <w:szCs w:val="20"/>
    </w:rPr>
  </w:style>
  <w:style w:type="paragraph" w:styleId="17">
    <w:name w:val="toc 2"/>
    <w:basedOn w:val="1"/>
    <w:next w:val="1"/>
    <w:autoRedefine/>
    <w:qFormat/>
    <w:uiPriority w:val="39"/>
    <w:pPr>
      <w:widowControl w:val="0"/>
      <w:adjustRightInd/>
      <w:snapToGrid/>
      <w:spacing w:after="0"/>
      <w:ind w:left="210"/>
    </w:pPr>
    <w:rPr>
      <w:rFonts w:ascii="Times New Roman" w:hAnsi="Times New Roman" w:eastAsia="宋体" w:cs="Times New Roman"/>
      <w:smallCaps/>
      <w:kern w:val="2"/>
      <w:sz w:val="20"/>
      <w:szCs w:val="20"/>
    </w:rPr>
  </w:style>
  <w:style w:type="paragraph" w:styleId="18">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rPr>
  </w:style>
  <w:style w:type="paragraph" w:styleId="19">
    <w:name w:val="Normal (Web)"/>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styleId="20">
    <w:name w:val="Title"/>
    <w:basedOn w:val="1"/>
    <w:next w:val="1"/>
    <w:autoRedefine/>
    <w:qFormat/>
    <w:uiPriority w:val="0"/>
    <w:pPr>
      <w:widowControl w:val="0"/>
      <w:adjustRightInd/>
      <w:snapToGrid/>
      <w:spacing w:before="240" w:after="60"/>
      <w:jc w:val="center"/>
      <w:outlineLvl w:val="0"/>
    </w:pPr>
    <w:rPr>
      <w:rFonts w:ascii="Cambria" w:hAnsi="Cambria" w:eastAsia="宋体" w:cs="Cambria"/>
      <w:b/>
      <w:bCs/>
      <w:kern w:val="2"/>
      <w:sz w:val="32"/>
      <w:szCs w:val="32"/>
    </w:rPr>
  </w:style>
  <w:style w:type="table" w:styleId="22">
    <w:name w:val="Table Grid"/>
    <w:basedOn w:val="2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page number"/>
    <w:basedOn w:val="23"/>
    <w:autoRedefine/>
    <w:qFormat/>
    <w:uiPriority w:val="0"/>
    <w:rPr>
      <w:rFonts w:hint="default" w:ascii="Times New Roman" w:hAnsi="Times New Roman" w:cs="Times New Roman"/>
    </w:rPr>
  </w:style>
  <w:style w:type="character" w:styleId="25">
    <w:name w:val="Hyperlink"/>
    <w:basedOn w:val="23"/>
    <w:autoRedefine/>
    <w:qFormat/>
    <w:uiPriority w:val="99"/>
    <w:rPr>
      <w:rFonts w:hint="eastAsia" w:ascii="宋体" w:hAnsi="宋体" w:eastAsia="宋体" w:cs="宋体"/>
      <w:color w:val="0033CC"/>
      <w:sz w:val="18"/>
      <w:szCs w:val="18"/>
      <w:u w:val="none"/>
    </w:rPr>
  </w:style>
  <w:style w:type="paragraph" w:customStyle="1" w:styleId="26">
    <w:name w:val="NormalIndent"/>
    <w:basedOn w:val="1"/>
    <w:autoRedefine/>
    <w:qFormat/>
    <w:uiPriority w:val="0"/>
    <w:pPr>
      <w:ind w:firstLine="420"/>
    </w:pPr>
  </w:style>
  <w:style w:type="paragraph" w:customStyle="1" w:styleId="27">
    <w:name w:val="正文 "/>
    <w:basedOn w:val="1"/>
    <w:autoRedefine/>
    <w:qFormat/>
    <w:uiPriority w:val="0"/>
    <w:pPr>
      <w:widowControl w:val="0"/>
      <w:adjustRightInd w:val="0"/>
      <w:spacing w:line="318" w:lineRule="atLeast"/>
      <w:ind w:left="369" w:firstLine="369"/>
      <w:jc w:val="both"/>
      <w:textAlignment w:val="baseline"/>
    </w:pPr>
    <w:rPr>
      <w:rFonts w:ascii="宋体"/>
      <w:sz w:val="21"/>
      <w:szCs w:val="20"/>
    </w:rPr>
  </w:style>
  <w:style w:type="table" w:customStyle="1" w:styleId="28">
    <w:name w:val="Table Normal"/>
    <w:autoRedefine/>
    <w:unhideWhenUsed/>
    <w:qFormat/>
    <w:uiPriority w:val="2"/>
    <w:tblPr>
      <w:tblCellMar>
        <w:top w:w="0" w:type="dxa"/>
        <w:left w:w="0" w:type="dxa"/>
        <w:bottom w:w="0" w:type="dxa"/>
        <w:right w:w="0" w:type="dxa"/>
      </w:tblCellMar>
    </w:tblPr>
  </w:style>
  <w:style w:type="paragraph" w:customStyle="1" w:styleId="29">
    <w:name w:val="列出段落2"/>
    <w:basedOn w:val="1"/>
    <w:autoRedefine/>
    <w:qFormat/>
    <w:uiPriority w:val="34"/>
    <w:pPr>
      <w:widowControl w:val="0"/>
      <w:autoSpaceDE w:val="0"/>
      <w:autoSpaceDN w:val="0"/>
      <w:adjustRightInd/>
      <w:snapToGrid/>
      <w:spacing w:after="0"/>
      <w:ind w:left="761" w:hanging="424"/>
    </w:pPr>
    <w:rPr>
      <w:rFonts w:ascii="宋体" w:hAnsi="宋体" w:eastAsia="宋体" w:cs="宋体"/>
      <w:lang w:val="zh-CN" w:bidi="zh-CN"/>
    </w:rPr>
  </w:style>
  <w:style w:type="character" w:customStyle="1" w:styleId="30">
    <w:name w:val="font11"/>
    <w:basedOn w:val="23"/>
    <w:autoRedefine/>
    <w:qFormat/>
    <w:uiPriority w:val="0"/>
    <w:rPr>
      <w:rFonts w:hint="eastAsia" w:ascii="宋体" w:hAnsi="宋体" w:eastAsia="宋体" w:cs="宋体"/>
      <w:color w:val="000000"/>
      <w:sz w:val="20"/>
      <w:szCs w:val="20"/>
      <w:u w:val="none"/>
    </w:rPr>
  </w:style>
  <w:style w:type="character" w:customStyle="1" w:styleId="31">
    <w:name w:val="font51"/>
    <w:basedOn w:val="23"/>
    <w:autoRedefine/>
    <w:qFormat/>
    <w:uiPriority w:val="0"/>
    <w:rPr>
      <w:rFonts w:hint="default" w:ascii="Arial" w:hAnsi="Arial" w:cs="Arial"/>
      <w:b/>
      <w:bCs/>
      <w:color w:val="000000"/>
      <w:sz w:val="20"/>
      <w:szCs w:val="20"/>
      <w:u w:val="none"/>
    </w:rPr>
  </w:style>
  <w:style w:type="paragraph" w:customStyle="1" w:styleId="32">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33">
    <w:name w:val="Default"/>
    <w:basedOn w:val="34"/>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正文1"/>
    <w:basedOn w:val="35"/>
    <w:next w:val="1"/>
    <w:qFormat/>
    <w:uiPriority w:val="0"/>
    <w:pPr>
      <w:spacing w:after="120" w:line="360" w:lineRule="auto"/>
    </w:pPr>
    <w:rPr>
      <w:rFonts w:ascii="Arial" w:hAnsi="Arial"/>
      <w:spacing w:val="8"/>
      <w:sz w:val="24"/>
      <w:szCs w:val="20"/>
    </w:rPr>
  </w:style>
  <w:style w:type="paragraph" w:customStyle="1" w:styleId="35">
    <w:name w:val="正文2"/>
    <w:basedOn w:val="1"/>
    <w:qFormat/>
    <w:uiPriority w:val="0"/>
    <w:pPr>
      <w:widowControl/>
      <w:jc w:val="left"/>
    </w:pPr>
    <w:rPr>
      <w:kern w:val="0"/>
      <w:sz w:val="24"/>
    </w:rPr>
  </w:style>
  <w:style w:type="paragraph" w:customStyle="1" w:styleId="36">
    <w:name w:val="Normal_82"/>
    <w:qFormat/>
    <w:uiPriority w:val="0"/>
    <w:pPr>
      <w:spacing w:before="120" w:after="240"/>
      <w:jc w:val="both"/>
    </w:pPr>
    <w:rPr>
      <w:rFonts w:ascii="Calibri" w:hAnsi="Calibri" w:eastAsia="Times New Roman" w:cs="Times New Roman"/>
      <w:sz w:val="22"/>
      <w:szCs w:val="22"/>
      <w:lang w:val="en-US" w:eastAsia="en-US" w:bidi="ar-SA"/>
    </w:rPr>
  </w:style>
  <w:style w:type="paragraph" w:customStyle="1" w:styleId="37">
    <w:name w:val="Table Text"/>
    <w:basedOn w:val="1"/>
    <w:semiHidden/>
    <w:qFormat/>
    <w:uiPriority w:val="0"/>
    <w:rPr>
      <w:rFonts w:ascii="宋体" w:hAnsi="宋体" w:eastAsia="宋体" w:cs="宋体"/>
      <w:sz w:val="12"/>
      <w:szCs w:val="12"/>
      <w:lang w:val="en-US" w:eastAsia="en-US" w:bidi="ar-SA"/>
    </w:rPr>
  </w:style>
  <w:style w:type="paragraph" w:customStyle="1" w:styleId="38">
    <w:name w:val="表格文字"/>
    <w:basedOn w:val="1"/>
    <w:qFormat/>
    <w:uiPriority w:val="0"/>
    <w:pPr>
      <w:ind w:firstLine="480" w:firstLineChars="200"/>
      <w:jc w:val="center"/>
    </w:pPr>
    <w:rPr>
      <w:rFonts w:ascii="宋体" w:cs="宋体"/>
      <w:sz w:val="24"/>
      <w:szCs w:val="24"/>
    </w:rPr>
  </w:style>
  <w:style w:type="paragraph" w:customStyle="1" w:styleId="39">
    <w:name w:val="正文文本 21"/>
    <w:basedOn w:val="1"/>
    <w:qFormat/>
    <w:uiPriority w:val="0"/>
    <w:pPr>
      <w:spacing w:line="400" w:lineRule="exact"/>
    </w:pPr>
    <w:rPr>
      <w:rFonts w:ascii="宋体"/>
      <w:color w:val="FF00FF"/>
      <w:sz w:val="24"/>
      <w:shd w:val="pct10" w:color="auto" w:fill="FFFFFF"/>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2.png"/><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6.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header" Target="header5.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79</Pages>
  <Words>24538</Words>
  <Characters>26535</Characters>
  <Lines>0</Lines>
  <Paragraphs>0</Paragraphs>
  <TotalTime>16</TotalTime>
  <ScaleCrop>false</ScaleCrop>
  <LinksUpToDate>false</LinksUpToDate>
  <CharactersWithSpaces>27319</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2024-03-25T12:20:00Z</dcterms:created>
  <dc:creator>梦.微澜</dc:creator>
  <cp:lastModifiedBy>jugg</cp:lastModifiedBy>
  <dcterms:modified xsi:type="dcterms:W3CDTF">2025-05-29T09:59:39Z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00755346AC17462D9878341B227D4C28_13</vt:lpwstr>
  </property>
  <property fmtid="{D5CDD505-2E9C-101B-9397-08002B2CF9AE}" pid="4" name="KSOTemplateDocerSaveRecord">
    <vt:lpwstr>eyJoZGlkIjoiZGExN2EyMzA1YWU1ZGNhMzY0N2JjYmI0M2RlMTY1MTUiLCJ1c2VySWQiOiIxMjgyMTI2MzA5In0=</vt:lpwstr>
  </property>
</Properties>
</file>