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版本号：240830001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肿瘤全景基因检测等服务采购项目</w:t>
      </w:r>
    </w:p>
    <w:p>
      <w:pPr>
        <w:pStyle w:val="null3"/>
        <w:jc w:val="center"/>
        <w:outlineLvl w:val="2"/>
      </w:pPr>
      <w:r>
        <w:rPr>
          <w:b/>
          <w:sz w:val="28"/>
        </w:rPr>
        <w:t>采购项目编号：</w:t>
      </w:r>
      <w:r>
        <w:rPr>
          <w:b/>
          <w:sz w:val="28"/>
        </w:rPr>
        <w:t>N5101012024001744</w:t>
      </w:r>
    </w:p>
    <w:p>
      <w:pPr>
        <w:pStyle w:val="null3"/>
        <w:jc w:val="left"/>
        <w:outlineLvl w:val="2"/>
      </w:pPr>
      <w:r>
        <w:rPr>
          <w:b/>
          <w:sz w:val="28"/>
        </w:rPr>
        <w:t>成都市妇女儿童中心医院（成都市妇幼保健院、成都市妇产科医院、成都市儿童医院）</w:t>
      </w:r>
    </w:p>
    <w:p>
      <w:pPr>
        <w:pStyle w:val="null3"/>
        <w:jc w:val="center"/>
        <w:outlineLvl w:val="2"/>
      </w:pPr>
      <w:r>
        <w:rPr>
          <w:b/>
          <w:sz w:val="28"/>
        </w:rPr>
        <w:t>中航技国际经贸发展有限公司</w:t>
      </w:r>
      <w:r>
        <w:rPr>
          <w:b/>
          <w:sz w:val="28"/>
        </w:rPr>
        <w:t>共同编制</w:t>
      </w:r>
    </w:p>
    <w:p>
      <w:pPr>
        <w:pStyle w:val="null3"/>
        <w:jc w:val="center"/>
      </w:pPr>
      <w:r>
        <w:rPr/>
        <w:t>2024年09月03日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中航技国际经贸发展有限公司</w:t>
      </w:r>
      <w:r>
        <w:rPr/>
        <w:t xml:space="preserve"> （以下简称“代理机构”）受 </w:t>
      </w:r>
      <w:r>
        <w:rPr/>
        <w:t>成都市妇女儿童中心医院（成都市妇幼保健院、成都市妇产科医院、成都市儿童医院）</w:t>
      </w:r>
      <w:r>
        <w:rPr/>
        <w:t xml:space="preserve"> 委托，拟对 </w:t>
      </w:r>
      <w:r>
        <w:rPr/>
        <w:t>肿瘤全景基因检测等服务采购项目</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N5101012024001744</w:t>
      </w:r>
    </w:p>
    <w:p>
      <w:pPr>
        <w:pStyle w:val="null3"/>
        <w:jc w:val="left"/>
        <w:outlineLvl w:val="2"/>
      </w:pPr>
      <w:r>
        <w:rPr>
          <w:b/>
          <w:sz w:val="28"/>
        </w:rPr>
        <w:t>1.2.采购项目名称</w:t>
      </w:r>
      <w:r>
        <w:rPr>
          <w:b/>
          <w:sz w:val="28"/>
        </w:rPr>
        <w:t xml:space="preserve">： </w:t>
      </w:r>
      <w:r>
        <w:rPr>
          <w:b/>
          <w:sz w:val="28"/>
        </w:rPr>
        <w:t>肿瘤全景基因检测等服务采购项目</w:t>
      </w:r>
    </w:p>
    <w:p>
      <w:pPr>
        <w:pStyle w:val="null3"/>
        <w:jc w:val="left"/>
        <w:outlineLvl w:val="2"/>
      </w:pPr>
      <w:r>
        <w:rPr>
          <w:b/>
          <w:sz w:val="28"/>
        </w:rPr>
        <w:t>1.3.招标项目简介</w:t>
      </w:r>
    </w:p>
    <w:p>
      <w:pPr>
        <w:pStyle w:val="null3"/>
        <w:ind w:firstLine="480"/>
        <w:jc w:val="left"/>
      </w:pPr>
      <w:r>
        <w:rPr/>
        <w:t>本项目共1个包，拟采购成都市妇女儿童中心医院肿瘤全景基因检测等服务。</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1、供应商应具有有效的《中华人民共和国医疗机构执业许可证》（执业范围包含：医学检验）。（描述：供应商应提供有效的《中华人民共和国医疗机构执业许可证》（执业范围包含：医学检验）扫描件。）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成都市妇女儿童中心医院（成都市妇幼保健院、成都市妇产科医院、成都市儿童医院）</w:t>
      </w:r>
    </w:p>
    <w:p>
      <w:pPr>
        <w:pStyle w:val="null3"/>
        <w:ind w:firstLine="480"/>
        <w:jc w:val="left"/>
      </w:pPr>
      <w:r>
        <w:rPr/>
        <w:t xml:space="preserve"> 地址： </w:t>
      </w:r>
      <w:r>
        <w:rPr/>
        <w:t>成都市青羊区日月大道1617号</w:t>
      </w:r>
    </w:p>
    <w:p>
      <w:pPr>
        <w:pStyle w:val="null3"/>
        <w:jc w:val="left"/>
      </w:pPr>
      <w:r>
        <w:rPr/>
        <w:t xml:space="preserve"> 邮编： </w:t>
      </w:r>
      <w:r>
        <w:rPr/>
        <w:t>610000</w:t>
      </w:r>
    </w:p>
    <w:p>
      <w:pPr>
        <w:pStyle w:val="null3"/>
        <w:jc w:val="left"/>
      </w:pPr>
      <w:r>
        <w:rPr/>
        <w:t xml:space="preserve"> 联系人： </w:t>
      </w:r>
      <w:r>
        <w:rPr/>
        <w:t>袁老师</w:t>
      </w:r>
    </w:p>
    <w:p>
      <w:pPr>
        <w:pStyle w:val="null3"/>
        <w:jc w:val="left"/>
      </w:pPr>
      <w:r>
        <w:rPr/>
        <w:t xml:space="preserve"> 联系电话： </w:t>
      </w:r>
      <w:r>
        <w:rPr/>
        <w:t>028-61866155</w:t>
      </w:r>
    </w:p>
    <w:p>
      <w:pPr>
        <w:pStyle w:val="null3"/>
        <w:ind w:firstLine="480"/>
        <w:jc w:val="left"/>
      </w:pPr>
      <w:r>
        <w:rPr>
          <w:b/>
        </w:rPr>
        <w:t>代理机构</w:t>
      </w:r>
      <w:r>
        <w:rPr>
          <w:b/>
        </w:rPr>
        <w:t xml:space="preserve">： </w:t>
      </w:r>
      <w:r>
        <w:rPr>
          <w:b/>
        </w:rPr>
        <w:t>中航技国际经贸发展有限公司</w:t>
      </w:r>
    </w:p>
    <w:p>
      <w:pPr>
        <w:pStyle w:val="null3"/>
        <w:ind w:firstLine="480"/>
        <w:jc w:val="left"/>
      </w:pPr>
      <w:r>
        <w:rPr/>
        <w:t xml:space="preserve"> 地址： </w:t>
      </w:r>
      <w:r>
        <w:rPr/>
        <w:t>成都市高新区益州大道北段777号中航国际交流中心A座1501-1502、1508-1510号</w:t>
      </w:r>
    </w:p>
    <w:p>
      <w:pPr>
        <w:pStyle w:val="null3"/>
        <w:jc w:val="left"/>
      </w:pPr>
      <w:r>
        <w:rPr/>
        <w:t xml:space="preserve"> 邮编： </w:t>
      </w:r>
      <w:r>
        <w:rPr/>
        <w:t>610041</w:t>
      </w:r>
    </w:p>
    <w:p>
      <w:pPr>
        <w:pStyle w:val="null3"/>
        <w:jc w:val="left"/>
      </w:pPr>
      <w:r>
        <w:rPr/>
        <w:t xml:space="preserve"> 联系人： </w:t>
      </w:r>
      <w:r>
        <w:rPr/>
        <w:t>巫嵬伟、孙蕾</w:t>
      </w:r>
    </w:p>
    <w:p>
      <w:pPr>
        <w:pStyle w:val="null3"/>
        <w:jc w:val="left"/>
      </w:pPr>
      <w:r>
        <w:rPr/>
        <w:t xml:space="preserve"> 联系电话： </w:t>
      </w:r>
      <w:r>
        <w:rPr/>
        <w:t>028-86266522转617、608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采购包1：1,000,000.00元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四川省政府采购营商环境指标提升专项行动工作方案》中“成本+合理利润”原则，以预算金额作为计算基数，按差额定率累计法计算后下浮20%收取。差额定率累计法计算依据（费率）为：100万元以下收费1.5%，100万元-500万元收费0.8%，500万元-1000万元收费0.45%，单个项目保底收费6000元。</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成都市妇女儿童中心医院（成都市妇幼保健院、成都市妇产科医院、成都市儿童医院）</w:t>
      </w:r>
      <w:r>
        <w:rPr/>
        <w:t xml:space="preserve"> 和 </w:t>
      </w:r>
      <w:r>
        <w:rPr/>
        <w:t>中航技国际经贸发展有限公司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成都市妇女儿童中心医院（成都市妇幼保健院、成都市妇产科医院、成都市儿童医院）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中航技国际经贸发展有限公司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60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投标人提出验收申请之日</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按照本项目采购文件、中标人投标文件进行验收。</w:t>
      </w:r>
    </w:p>
    <w:p>
      <w:pPr>
        <w:pStyle w:val="null3"/>
        <w:ind w:firstLine="480"/>
        <w:jc w:val="left"/>
      </w:pPr>
      <w:r>
        <w:rPr/>
        <w:t>十、商务履约验收内容：</w:t>
      </w:r>
    </w:p>
    <w:p>
      <w:pPr>
        <w:pStyle w:val="null3"/>
        <w:ind w:firstLine="480"/>
        <w:jc w:val="left"/>
      </w:pPr>
      <w:r>
        <w:rPr/>
        <w:t>采购包1：</w:t>
      </w:r>
      <w:r>
        <w:rPr/>
        <w:t>按照本项目采购文件、中标人投标文件进行验收。</w:t>
      </w:r>
    </w:p>
    <w:p>
      <w:pPr>
        <w:pStyle w:val="null3"/>
        <w:ind w:firstLine="480"/>
        <w:jc w:val="left"/>
      </w:pPr>
      <w:r>
        <w:rPr/>
        <w:t>十一、履约验收标准：</w:t>
      </w:r>
    </w:p>
    <w:p>
      <w:pPr>
        <w:pStyle w:val="null3"/>
        <w:ind w:firstLine="480"/>
        <w:jc w:val="left"/>
      </w:pPr>
      <w:r>
        <w:rPr/>
        <w:t>采购包1：</w:t>
      </w:r>
      <w:r>
        <w:rPr/>
        <w:t>严格按照国家相关法律法规、采购文件规定的要求和响应文件以及合同约定的内容进行验收。如对质量要求和技术指标的约定标准有相互抵触或异议的事项，在采购文件与响应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成都市妇女儿童中心医院（成都市妇幼保健院、成都市妇产科医院、成都市儿童医院）</w:t>
      </w:r>
      <w:r>
        <w:rPr/>
        <w:t xml:space="preserve"> 负责答复；投标人对除采购需求外的招标文件的询问、质疑由 </w:t>
      </w:r>
      <w:r>
        <w:rPr/>
        <w:t>中航技国际经贸发展有限公司</w:t>
      </w:r>
      <w:r>
        <w:rPr/>
        <w:t xml:space="preserve"> 负责答复；投标人对采购过程、采购结果的询问、质疑由 </w:t>
      </w:r>
      <w:r>
        <w:rPr/>
        <w:t>中航技国际经贸发展有限公司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联系人：袁老师</w:t>
      </w:r>
    </w:p>
    <w:p>
      <w:pPr>
        <w:pStyle w:val="null3"/>
        <w:jc w:val="left"/>
      </w:pPr>
      <w:r>
        <w:rPr/>
        <w:t>联系电话：028-61866155</w:t>
      </w:r>
    </w:p>
    <w:p>
      <w:pPr>
        <w:pStyle w:val="null3"/>
        <w:jc w:val="left"/>
      </w:pPr>
      <w:r>
        <w:rPr/>
        <w:t>地址：成都市西三环外日月大道1617号</w:t>
      </w:r>
    </w:p>
    <w:p>
      <w:pPr>
        <w:pStyle w:val="null3"/>
        <w:jc w:val="left"/>
      </w:pPr>
      <w:r>
        <w:rPr/>
        <w:t>邮编：610000</w:t>
      </w:r>
    </w:p>
    <w:p>
      <w:pPr>
        <w:pStyle w:val="null3"/>
        <w:jc w:val="left"/>
      </w:pPr>
      <w:r>
        <w:rPr/>
        <w:t>答复主体：代理机构</w:t>
      </w:r>
    </w:p>
    <w:p>
      <w:pPr>
        <w:pStyle w:val="null3"/>
        <w:jc w:val="left"/>
      </w:pPr>
      <w:r>
        <w:rPr/>
        <w:t>联系人：巫嵬伟、孙蕾</w:t>
      </w:r>
    </w:p>
    <w:p>
      <w:pPr>
        <w:pStyle w:val="null3"/>
        <w:jc w:val="left"/>
      </w:pPr>
      <w:r>
        <w:rPr/>
        <w:t>联系电话：028-86266522转617、608</w:t>
      </w:r>
    </w:p>
    <w:p>
      <w:pPr>
        <w:pStyle w:val="null3"/>
        <w:jc w:val="left"/>
      </w:pPr>
      <w:r>
        <w:rPr/>
        <w:t>地址：成都市高新区益州大道北段777号中航国际交流中心A座1501-1502、1508-1510号</w:t>
      </w:r>
    </w:p>
    <w:p>
      <w:pPr>
        <w:pStyle w:val="null3"/>
        <w:jc w:val="left"/>
      </w:pPr>
      <w:r>
        <w:rPr/>
        <w:t>邮编：610041</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1,000,000.00</w:t>
      </w:r>
    </w:p>
    <w:p>
      <w:pPr>
        <w:pStyle w:val="null3"/>
        <w:jc w:val="left"/>
      </w:pPr>
      <w:r>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其他专业技术服务</w:t>
            </w:r>
          </w:p>
        </w:tc>
        <w:tc>
          <w:tcPr>
            <w:tcW w:type="dxa" w:w="821"/>
          </w:tcPr>
          <w:p>
            <w:pPr>
              <w:pStyle w:val="null3"/>
              <w:jc w:val="left"/>
            </w:pPr>
            <w:r>
              <w:rPr/>
              <w:t>肿瘤全景基因检测等服务</w:t>
            </w:r>
          </w:p>
        </w:tc>
        <w:tc>
          <w:tcPr>
            <w:tcW w:type="dxa" w:w="821"/>
          </w:tcPr>
          <w:p>
            <w:pPr>
              <w:pStyle w:val="null3"/>
              <w:jc w:val="right"/>
            </w:pPr>
            <w:r>
              <w:rPr/>
              <w:t>1.00（项）</w:t>
            </w:r>
          </w:p>
        </w:tc>
        <w:tc>
          <w:tcPr>
            <w:tcW w:type="dxa" w:w="821"/>
          </w:tcPr>
          <w:p>
            <w:pPr>
              <w:pStyle w:val="null3"/>
              <w:jc w:val="right"/>
            </w:pPr>
            <w:r>
              <w:rPr/>
              <w:t>1,000,000.00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肿瘤全景基因检测等服务</w:t>
            </w:r>
          </w:p>
        </w:tc>
        <w:tc>
          <w:tcPr>
            <w:tcW w:type="dxa" w:w="977"/>
          </w:tcPr>
          <w:p>
            <w:pPr>
              <w:pStyle w:val="null3"/>
              <w:jc w:val="left"/>
            </w:pPr>
            <w:r>
              <w:rPr/>
              <w:t>项</w:t>
            </w:r>
          </w:p>
        </w:tc>
        <w:tc>
          <w:tcPr>
            <w:tcW w:type="dxa" w:w="977"/>
          </w:tcPr>
          <w:p>
            <w:pPr>
              <w:pStyle w:val="null3"/>
              <w:jc w:val="left"/>
            </w:pPr>
            <w:r>
              <w:rPr/>
              <w:t>%</w:t>
            </w:r>
          </w:p>
        </w:tc>
        <w:tc>
          <w:tcPr>
            <w:tcW w:type="dxa" w:w="1466"/>
          </w:tcPr>
          <w:p>
            <w:pPr>
              <w:pStyle w:val="null3"/>
              <w:jc w:val="right"/>
            </w:pPr>
            <w:r>
              <w:rPr/>
              <w:t>100.00</w:t>
            </w:r>
          </w:p>
        </w:tc>
        <w:tc>
          <w:tcPr>
            <w:tcW w:type="dxa" w:w="977"/>
          </w:tcPr>
          <w:p>
            <w:pPr>
              <w:pStyle w:val="null3"/>
              <w:jc w:val="left"/>
            </w:pPr>
            <w:r>
              <w:rPr/>
              <w:t>百分比</w:t>
            </w:r>
          </w:p>
        </w:tc>
        <w:tc>
          <w:tcPr>
            <w:tcW w:type="dxa" w:w="1466"/>
          </w:tcPr>
          <w:p>
            <w:pPr>
              <w:pStyle w:val="null3"/>
              <w:jc w:val="left"/>
            </w:pPr>
            <w:r>
              <w:rPr/>
              <w:t>1、本项目采用统一折扣报价，在合同履约过程中成交折扣是固定不变的，供应商只允许有一个报价，任何有选择或可调整的报价将不予接受，并按无效投标处理。2、投标报价应是供应商响应采购项目要求的全部工作内容的价格体现。3、实际结算金额=（检查项目1）基准价×成交折扣×实际使用数量+（检查项目2）基准价×成交折扣×实际使用数量+……（检查项目N）基准价×成交折扣×实际使用数量。</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标的名称：肿瘤全景基因检测等服务</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项目清单</w:t>
            </w:r>
          </w:p>
        </w:tc>
        <w:tc>
          <w:tcPr>
            <w:tcW w:type="dxa" w:w="3738"/>
          </w:tcPr>
          <w:p>
            <w:pPr>
              <w:pStyle w:val="null3"/>
              <w:jc w:val="left"/>
            </w:pPr>
            <w:r>
              <w:rPr>
                <w:rFonts w:ascii="黑体" w:hAnsi="黑体" w:cs="黑体" w:eastAsia="黑体"/>
                <w:b/>
                <w:color w:val="000000"/>
                <w:sz w:val="28"/>
              </w:rPr>
              <w:t>一、项目清单</w:t>
            </w:r>
            <w:r>
              <w:rPr>
                <w:rFonts w:ascii="黑体" w:hAnsi="黑体" w:cs="黑体" w:eastAsia="黑体"/>
                <w:b/>
                <w:color w:val="000000"/>
                <w:sz w:val="28"/>
              </w:rPr>
              <w:t>（本项内容为告知项，无需供应商应答）</w:t>
            </w:r>
          </w:p>
          <w:tbl>
            <w:tblPr>
              <w:tblBorders>
                <w:top w:val="none" w:color="000000" w:sz="4"/>
                <w:left w:val="none" w:color="000000" w:sz="4"/>
                <w:bottom w:val="none" w:color="000000" w:sz="4"/>
                <w:right w:val="none" w:color="000000" w:sz="4"/>
                <w:insideH w:val="none"/>
                <w:insideV w:val="none"/>
              </w:tblBorders>
            </w:tblPr>
            <w:tblGrid>
              <w:gridCol w:w="401"/>
              <w:gridCol w:w="1713"/>
              <w:gridCol w:w="608"/>
              <w:gridCol w:w="791"/>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序号</w:t>
                  </w:r>
                </w:p>
              </w:tc>
              <w:tc>
                <w:tcPr>
                  <w:tcW w:type="dxa" w:w="1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服务项目</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数量</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单项限价</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01</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胚系</w:t>
                  </w:r>
                  <w:r>
                    <w:rPr>
                      <w:rFonts w:ascii="宋体" w:hAnsi="宋体" w:cs="宋体" w:eastAsia="宋体"/>
                      <w:color w:val="000000"/>
                      <w:sz w:val="24"/>
                    </w:rPr>
                    <w:t>+体系36基因检测（血液版）（HRR）</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据实结算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6480元/次</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02</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胚系</w:t>
                  </w:r>
                  <w:r>
                    <w:rPr>
                      <w:rFonts w:ascii="宋体" w:hAnsi="宋体" w:cs="宋体" w:eastAsia="宋体"/>
                      <w:color w:val="000000"/>
                      <w:sz w:val="24"/>
                    </w:rPr>
                    <w:t>36基因检测（HRR）</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据实结算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4680元/次</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03</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微肿瘤</w:t>
                  </w:r>
                  <w:r>
                    <w:rPr>
                      <w:rFonts w:ascii="宋体" w:hAnsi="宋体" w:cs="宋体" w:eastAsia="宋体"/>
                      <w:color w:val="000000"/>
                      <w:sz w:val="24"/>
                    </w:rPr>
                    <w:t>PTC药物敏感性检测</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据实结算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6480元/次</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04</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肿瘤全景基因检测（液体活检）</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据实结算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12600元/次</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05</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肿瘤全景基因检测（组织版）</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据实结算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宋体" w:hAnsi="宋体" w:cs="宋体" w:eastAsia="宋体"/>
                      <w:color w:val="000000"/>
                      <w:sz w:val="24"/>
                    </w:rPr>
                    <w:t>12600元/次</w:t>
                  </w:r>
                </w:p>
              </w:tc>
            </w:tr>
          </w:tbl>
          <w:p>
            <w:pPr>
              <w:pStyle w:val="null3"/>
              <w:jc w:val="left"/>
            </w:pPr>
            <w:r>
              <w:rPr>
                <w:rFonts w:ascii="宋体" w:hAnsi="宋体" w:cs="宋体" w:eastAsia="宋体"/>
                <w:b/>
                <w:color w:val="000000"/>
                <w:sz w:val="24"/>
              </w:rPr>
              <w:t>注：本项目应结合单项限价中列明的金额进行折扣报价。</w:t>
            </w:r>
          </w:p>
        </w:tc>
      </w:tr>
      <w:tr>
        <w:tc>
          <w:tcPr>
            <w:tcW w:type="dxa" w:w="831"/>
          </w:tcPr>
          <w:p>
            <w:pPr>
              <w:pStyle w:val="null3"/>
              <w:jc w:val="left"/>
            </w:pPr>
            <w:r>
              <w:rPr/>
              <w:t>2</w:t>
            </w:r>
          </w:p>
        </w:tc>
        <w:tc>
          <w:tcPr>
            <w:tcW w:type="dxa" w:w="1246"/>
          </w:tcPr>
          <w:p/>
        </w:tc>
        <w:tc>
          <w:tcPr>
            <w:tcW w:type="dxa" w:w="2492"/>
          </w:tcPr>
          <w:p>
            <w:pPr>
              <w:pStyle w:val="null3"/>
              <w:jc w:val="left"/>
            </w:pPr>
            <w:r>
              <w:rPr/>
              <w:t>服务要求（参数性质以具体内容中标注的为准）</w:t>
            </w:r>
          </w:p>
        </w:tc>
        <w:tc>
          <w:tcPr>
            <w:tcW w:type="dxa" w:w="3738"/>
          </w:tcPr>
          <w:p>
            <w:pPr>
              <w:pStyle w:val="null3"/>
              <w:jc w:val="left"/>
            </w:pPr>
            <w:r>
              <w:rPr>
                <w:rFonts w:ascii="黑体" w:hAnsi="黑体" w:cs="黑体" w:eastAsia="黑体"/>
                <w:b/>
                <w:color w:val="000000"/>
                <w:sz w:val="28"/>
              </w:rPr>
              <w:t>二、服务</w:t>
            </w:r>
            <w:r>
              <w:rPr>
                <w:rFonts w:ascii="黑体" w:hAnsi="黑体" w:cs="黑体" w:eastAsia="黑体"/>
                <w:b/>
                <w:color w:val="000000"/>
                <w:sz w:val="28"/>
              </w:rPr>
              <w:t>要求</w:t>
            </w:r>
            <w:r>
              <w:rPr>
                <w:rFonts w:ascii="黑体" w:hAnsi="黑体" w:cs="黑体" w:eastAsia="黑体"/>
                <w:b/>
                <w:color w:val="000000"/>
                <w:sz w:val="28"/>
              </w:rPr>
              <w:t>（本项要求应在服务应答表中进行应答）</w:t>
            </w:r>
          </w:p>
          <w:p>
            <w:pPr>
              <w:pStyle w:val="null3"/>
              <w:jc w:val="left"/>
            </w:pPr>
            <w:r>
              <w:rPr>
                <w:rFonts w:ascii="宋体" w:hAnsi="宋体" w:cs="宋体" w:eastAsia="宋体"/>
                <w:b/>
                <w:color w:val="000000"/>
                <w:sz w:val="24"/>
              </w:rPr>
              <w:t>1、胚系+体系36基因检测（血液版）（HRR）</w:t>
            </w:r>
          </w:p>
          <w:p>
            <w:pPr>
              <w:pStyle w:val="null3"/>
              <w:jc w:val="left"/>
            </w:pPr>
            <w:r>
              <w:rPr>
                <w:rFonts w:ascii="宋体" w:hAnsi="宋体" w:cs="宋体" w:eastAsia="宋体"/>
                <w:color w:val="000000"/>
                <w:sz w:val="24"/>
              </w:rPr>
              <w:t>1.1、★针对遗传性乳腺癌-卵巢癌综合征、林奇综合征和其他遗传性妇科肿瘤相关基因以及影响同源重组缺陷（HRD）的关键基因进行胚系水平及肿瘤组织的检测，评估与遗传性妇科肿瘤及其他肿瘤的遗传风险，同时需要评估从胚系到肿瘤组织的同源重组缺陷（HRD）及错配修复缺陷（dMMR）。</w:t>
            </w:r>
          </w:p>
          <w:p>
            <w:pPr>
              <w:pStyle w:val="null3"/>
              <w:jc w:val="left"/>
            </w:pPr>
            <w:r>
              <w:rPr>
                <w:rFonts w:ascii="宋体" w:hAnsi="宋体" w:cs="宋体" w:eastAsia="宋体"/>
                <w:color w:val="000000"/>
                <w:sz w:val="24"/>
              </w:rPr>
              <w:t>1.2、▲检测范围：共检测</w:t>
            </w:r>
            <w:r>
              <w:rPr>
                <w:rFonts w:ascii="宋体" w:hAnsi="宋体" w:cs="宋体" w:eastAsia="宋体"/>
                <w:color w:val="000000"/>
                <w:sz w:val="24"/>
              </w:rPr>
              <w:t>≥</w:t>
            </w:r>
            <w:r>
              <w:rPr>
                <w:rFonts w:ascii="宋体" w:hAnsi="宋体" w:cs="宋体" w:eastAsia="宋体"/>
                <w:color w:val="000000"/>
                <w:sz w:val="24"/>
              </w:rPr>
              <w:t>36个HRR相关基因，</w:t>
            </w:r>
            <w:r>
              <w:rPr>
                <w:rFonts w:ascii="宋体" w:hAnsi="宋体" w:cs="宋体" w:eastAsia="宋体"/>
                <w:color w:val="000000"/>
                <w:sz w:val="24"/>
              </w:rPr>
              <w:t>至少</w:t>
            </w:r>
            <w:r>
              <w:rPr>
                <w:rFonts w:ascii="宋体" w:hAnsi="宋体" w:cs="宋体" w:eastAsia="宋体"/>
                <w:color w:val="000000"/>
                <w:sz w:val="24"/>
              </w:rPr>
              <w:t>包括：</w:t>
            </w:r>
            <w:r>
              <w:rPr>
                <w:rFonts w:ascii="宋体" w:hAnsi="宋体" w:cs="宋体" w:eastAsia="宋体"/>
                <w:color w:val="000000"/>
                <w:sz w:val="24"/>
              </w:rPr>
              <w:t>BRCA相关的遗传性乳腺癌-卵巢癌综合征相关基因，林奇综合征相关基因，遗传性妇科肿瘤相关基因，同源重组修复通路关键基因，明确的遗传综合征相关基因。</w:t>
            </w:r>
          </w:p>
          <w:p>
            <w:pPr>
              <w:pStyle w:val="null3"/>
              <w:jc w:val="left"/>
            </w:pPr>
            <w:r>
              <w:rPr>
                <w:rFonts w:ascii="宋体" w:hAnsi="宋体" w:cs="宋体" w:eastAsia="宋体"/>
                <w:color w:val="000000"/>
                <w:sz w:val="24"/>
              </w:rPr>
              <w:t>1.3、样本类型：肿瘤组织+外周血。</w:t>
            </w:r>
          </w:p>
          <w:p>
            <w:pPr>
              <w:pStyle w:val="null3"/>
              <w:jc w:val="left"/>
            </w:pPr>
            <w:r>
              <w:rPr>
                <w:rFonts w:ascii="宋体" w:hAnsi="宋体" w:cs="宋体" w:eastAsia="宋体"/>
                <w:color w:val="000000"/>
                <w:sz w:val="24"/>
              </w:rPr>
              <w:t>1.4、检测方法：高通量测序。</w:t>
            </w:r>
          </w:p>
          <w:p>
            <w:pPr>
              <w:pStyle w:val="null3"/>
              <w:jc w:val="left"/>
            </w:pPr>
            <w:r>
              <w:rPr>
                <w:rFonts w:ascii="宋体" w:hAnsi="宋体" w:cs="宋体" w:eastAsia="宋体"/>
                <w:color w:val="000000"/>
                <w:sz w:val="24"/>
              </w:rPr>
              <w:t>1.5、技术参数：</w:t>
            </w:r>
          </w:p>
          <w:p>
            <w:pPr>
              <w:pStyle w:val="null3"/>
              <w:jc w:val="left"/>
            </w:pPr>
            <w:r>
              <w:rPr>
                <w:rFonts w:ascii="宋体" w:hAnsi="宋体" w:cs="宋体" w:eastAsia="宋体"/>
                <w:color w:val="000000"/>
                <w:sz w:val="24"/>
              </w:rPr>
              <w:t>（</w:t>
            </w:r>
            <w:r>
              <w:rPr>
                <w:rFonts w:ascii="宋体" w:hAnsi="宋体" w:cs="宋体" w:eastAsia="宋体"/>
                <w:color w:val="000000"/>
                <w:sz w:val="24"/>
              </w:rPr>
              <w:t>1）▲建库起始量≥200ng。</w:t>
            </w:r>
          </w:p>
          <w:p>
            <w:pPr>
              <w:pStyle w:val="null3"/>
              <w:jc w:val="left"/>
            </w:pPr>
            <w:r>
              <w:rPr>
                <w:rFonts w:ascii="宋体" w:hAnsi="宋体" w:cs="宋体" w:eastAsia="宋体"/>
                <w:color w:val="000000"/>
                <w:sz w:val="24"/>
              </w:rPr>
              <w:t>（</w:t>
            </w:r>
            <w:r>
              <w:rPr>
                <w:rFonts w:ascii="宋体" w:hAnsi="宋体" w:cs="宋体" w:eastAsia="宋体"/>
                <w:color w:val="000000"/>
                <w:sz w:val="24"/>
              </w:rPr>
              <w:t>2）▲平均测序深度≥200X。</w:t>
            </w:r>
          </w:p>
          <w:p>
            <w:pPr>
              <w:pStyle w:val="null3"/>
              <w:jc w:val="left"/>
            </w:pPr>
            <w:r>
              <w:rPr>
                <w:rFonts w:ascii="宋体" w:hAnsi="宋体" w:cs="宋体" w:eastAsia="宋体"/>
                <w:color w:val="000000"/>
                <w:sz w:val="24"/>
              </w:rPr>
              <w:t>（</w:t>
            </w:r>
            <w:r>
              <w:rPr>
                <w:rFonts w:ascii="宋体" w:hAnsi="宋体" w:cs="宋体" w:eastAsia="宋体"/>
                <w:color w:val="000000"/>
                <w:sz w:val="24"/>
              </w:rPr>
              <w:t>3）▲捕获区域大于平均深度X0.2位点比例≥90%。</w:t>
            </w:r>
          </w:p>
          <w:p>
            <w:pPr>
              <w:pStyle w:val="null3"/>
              <w:jc w:val="left"/>
            </w:pPr>
            <w:r>
              <w:rPr>
                <w:rFonts w:ascii="宋体" w:hAnsi="宋体" w:cs="宋体" w:eastAsia="宋体"/>
                <w:color w:val="000000"/>
                <w:sz w:val="24"/>
              </w:rPr>
              <w:t>（</w:t>
            </w:r>
            <w:r>
              <w:rPr>
                <w:rFonts w:ascii="宋体" w:hAnsi="宋体" w:cs="宋体" w:eastAsia="宋体"/>
                <w:color w:val="000000"/>
                <w:sz w:val="24"/>
              </w:rPr>
              <w:t>4）测序质量：Q30＞85%。</w:t>
            </w:r>
          </w:p>
          <w:p>
            <w:pPr>
              <w:pStyle w:val="null3"/>
              <w:jc w:val="left"/>
            </w:pPr>
            <w:r>
              <w:rPr>
                <w:rFonts w:ascii="宋体" w:hAnsi="宋体" w:cs="宋体" w:eastAsia="宋体"/>
                <w:color w:val="000000"/>
                <w:sz w:val="24"/>
              </w:rPr>
              <w:t>1.6、★</w:t>
            </w:r>
            <w:r>
              <w:rPr>
                <w:rFonts w:ascii="宋体" w:hAnsi="宋体" w:cs="宋体" w:eastAsia="宋体"/>
                <w:color w:val="000000"/>
                <w:sz w:val="24"/>
              </w:rPr>
              <w:t>时间要求</w:t>
            </w:r>
            <w:r>
              <w:rPr>
                <w:rFonts w:ascii="宋体" w:hAnsi="宋体" w:cs="宋体" w:eastAsia="宋体"/>
                <w:color w:val="000000"/>
                <w:sz w:val="24"/>
              </w:rPr>
              <w:t>：</w:t>
            </w:r>
          </w:p>
          <w:p>
            <w:pPr>
              <w:pStyle w:val="null3"/>
              <w:jc w:val="left"/>
            </w:pPr>
            <w:r>
              <w:rPr>
                <w:rFonts w:ascii="宋体" w:hAnsi="宋体" w:cs="宋体" w:eastAsia="宋体"/>
                <w:color w:val="000000"/>
                <w:sz w:val="24"/>
              </w:rPr>
              <w:t>（</w:t>
            </w:r>
            <w:r>
              <w:rPr>
                <w:rFonts w:ascii="宋体" w:hAnsi="宋体" w:cs="宋体" w:eastAsia="宋体"/>
                <w:color w:val="000000"/>
                <w:sz w:val="24"/>
              </w:rPr>
              <w:t>1）每周一至日，安排专人收取标本，按标本保存条件进行运输，标本控制在48小时内送达。</w:t>
            </w:r>
          </w:p>
          <w:p>
            <w:pPr>
              <w:pStyle w:val="null3"/>
              <w:jc w:val="left"/>
            </w:pPr>
            <w:r>
              <w:rPr>
                <w:rFonts w:ascii="宋体" w:hAnsi="宋体" w:cs="宋体" w:eastAsia="宋体"/>
                <w:color w:val="000000"/>
                <w:sz w:val="24"/>
              </w:rPr>
              <w:t>（</w:t>
            </w:r>
            <w:r>
              <w:rPr>
                <w:rFonts w:ascii="宋体" w:hAnsi="宋体" w:cs="宋体" w:eastAsia="宋体"/>
                <w:color w:val="000000"/>
                <w:sz w:val="24"/>
              </w:rPr>
              <w:t>2）供应商接收标本后13个工作日内出具检测报告。24小时内响应采购人针对报告提出的疑义。</w:t>
            </w:r>
          </w:p>
          <w:p>
            <w:pPr>
              <w:pStyle w:val="null3"/>
              <w:jc w:val="left"/>
            </w:pPr>
            <w:r>
              <w:rPr>
                <w:rFonts w:ascii="宋体" w:hAnsi="宋体" w:cs="宋体" w:eastAsia="宋体"/>
                <w:b/>
                <w:color w:val="000000"/>
                <w:sz w:val="24"/>
              </w:rPr>
              <w:t>2、胚系36基因检测（HRR）</w:t>
            </w:r>
          </w:p>
          <w:p>
            <w:pPr>
              <w:pStyle w:val="null3"/>
              <w:jc w:val="left"/>
            </w:pPr>
            <w:r>
              <w:rPr>
                <w:rFonts w:ascii="宋体" w:hAnsi="宋体" w:cs="宋体" w:eastAsia="宋体"/>
                <w:color w:val="000000"/>
                <w:sz w:val="24"/>
              </w:rPr>
              <w:t>2.1、★针对遗传性乳腺癌-卵巢癌综合征、林奇综合征和其他遗传性妇科肿瘤相关基因以及影响同源重组缺陷（HRD）的关键基因进行胚系水平的检测。</w:t>
            </w:r>
          </w:p>
          <w:p>
            <w:pPr>
              <w:pStyle w:val="null3"/>
              <w:jc w:val="left"/>
            </w:pPr>
            <w:r>
              <w:rPr>
                <w:rFonts w:ascii="宋体" w:hAnsi="宋体" w:cs="宋体" w:eastAsia="宋体"/>
                <w:color w:val="000000"/>
                <w:sz w:val="24"/>
              </w:rPr>
              <w:t>2.2、▲检测范围：共检测</w:t>
            </w:r>
            <w:r>
              <w:rPr>
                <w:rFonts w:ascii="宋体" w:hAnsi="宋体" w:cs="宋体" w:eastAsia="宋体"/>
                <w:color w:val="000000"/>
                <w:sz w:val="24"/>
              </w:rPr>
              <w:t>≥</w:t>
            </w:r>
            <w:r>
              <w:rPr>
                <w:rFonts w:ascii="宋体" w:hAnsi="宋体" w:cs="宋体" w:eastAsia="宋体"/>
                <w:color w:val="000000"/>
                <w:sz w:val="24"/>
              </w:rPr>
              <w:t>36个HRR相关基因，</w:t>
            </w:r>
            <w:r>
              <w:rPr>
                <w:rFonts w:ascii="宋体" w:hAnsi="宋体" w:cs="宋体" w:eastAsia="宋体"/>
                <w:color w:val="000000"/>
                <w:sz w:val="24"/>
              </w:rPr>
              <w:t>至少</w:t>
            </w:r>
            <w:r>
              <w:rPr>
                <w:rFonts w:ascii="宋体" w:hAnsi="宋体" w:cs="宋体" w:eastAsia="宋体"/>
                <w:color w:val="000000"/>
                <w:sz w:val="24"/>
              </w:rPr>
              <w:t>包括：</w:t>
            </w:r>
            <w:r>
              <w:rPr>
                <w:rFonts w:ascii="宋体" w:hAnsi="宋体" w:cs="宋体" w:eastAsia="宋体"/>
                <w:color w:val="000000"/>
                <w:sz w:val="24"/>
              </w:rPr>
              <w:t>BRCA相关的遗传性乳腺癌-卵巢癌综合征相关基因，林奇综合征相关基因，遗传性妇科肿瘤相关基因，同源重组修复通路关键基因，明确的遗传综合征相关基因。</w:t>
            </w:r>
          </w:p>
          <w:p>
            <w:pPr>
              <w:pStyle w:val="null3"/>
              <w:jc w:val="left"/>
            </w:pPr>
            <w:r>
              <w:rPr>
                <w:rFonts w:ascii="宋体" w:hAnsi="宋体" w:cs="宋体" w:eastAsia="宋体"/>
                <w:color w:val="000000"/>
                <w:sz w:val="24"/>
              </w:rPr>
              <w:t>2.3、样本类型：外周血。</w:t>
            </w:r>
          </w:p>
          <w:p>
            <w:pPr>
              <w:pStyle w:val="null3"/>
              <w:jc w:val="left"/>
            </w:pPr>
            <w:r>
              <w:rPr>
                <w:rFonts w:ascii="宋体" w:hAnsi="宋体" w:cs="宋体" w:eastAsia="宋体"/>
                <w:color w:val="000000"/>
                <w:sz w:val="24"/>
              </w:rPr>
              <w:t>2.4、检测方法：高通量测序。</w:t>
            </w:r>
          </w:p>
          <w:p>
            <w:pPr>
              <w:pStyle w:val="null3"/>
              <w:jc w:val="left"/>
            </w:pPr>
            <w:r>
              <w:rPr>
                <w:rFonts w:ascii="宋体" w:hAnsi="宋体" w:cs="宋体" w:eastAsia="宋体"/>
                <w:color w:val="000000"/>
                <w:sz w:val="24"/>
              </w:rPr>
              <w:t>2.5、技术参数：</w:t>
            </w:r>
          </w:p>
          <w:p>
            <w:pPr>
              <w:pStyle w:val="null3"/>
              <w:jc w:val="left"/>
            </w:pPr>
            <w:r>
              <w:rPr>
                <w:rFonts w:ascii="宋体" w:hAnsi="宋体" w:cs="宋体" w:eastAsia="宋体"/>
                <w:color w:val="000000"/>
                <w:sz w:val="24"/>
              </w:rPr>
              <w:t>（</w:t>
            </w:r>
            <w:r>
              <w:rPr>
                <w:rFonts w:ascii="宋体" w:hAnsi="宋体" w:cs="宋体" w:eastAsia="宋体"/>
                <w:color w:val="000000"/>
                <w:sz w:val="24"/>
              </w:rPr>
              <w:t>1）▲建库起始量≥200ng。</w:t>
            </w:r>
          </w:p>
          <w:p>
            <w:pPr>
              <w:pStyle w:val="null3"/>
              <w:jc w:val="left"/>
            </w:pPr>
            <w:r>
              <w:rPr>
                <w:rFonts w:ascii="宋体" w:hAnsi="宋体" w:cs="宋体" w:eastAsia="宋体"/>
                <w:color w:val="000000"/>
                <w:sz w:val="24"/>
              </w:rPr>
              <w:t>（</w:t>
            </w:r>
            <w:r>
              <w:rPr>
                <w:rFonts w:ascii="宋体" w:hAnsi="宋体" w:cs="宋体" w:eastAsia="宋体"/>
                <w:color w:val="000000"/>
                <w:sz w:val="24"/>
              </w:rPr>
              <w:t>2）▲平均测序深度≥200X。</w:t>
            </w:r>
          </w:p>
          <w:p>
            <w:pPr>
              <w:pStyle w:val="null3"/>
              <w:jc w:val="left"/>
            </w:pPr>
            <w:r>
              <w:rPr>
                <w:rFonts w:ascii="宋体" w:hAnsi="宋体" w:cs="宋体" w:eastAsia="宋体"/>
                <w:color w:val="000000"/>
                <w:sz w:val="24"/>
              </w:rPr>
              <w:t>（</w:t>
            </w:r>
            <w:r>
              <w:rPr>
                <w:rFonts w:ascii="宋体" w:hAnsi="宋体" w:cs="宋体" w:eastAsia="宋体"/>
                <w:color w:val="000000"/>
                <w:sz w:val="24"/>
              </w:rPr>
              <w:t>3）▲捕获区域大于平均深度X0.2位点比例≥90%。</w:t>
            </w:r>
          </w:p>
          <w:p>
            <w:pPr>
              <w:pStyle w:val="null3"/>
              <w:jc w:val="left"/>
            </w:pPr>
            <w:r>
              <w:rPr>
                <w:rFonts w:ascii="宋体" w:hAnsi="宋体" w:cs="宋体" w:eastAsia="宋体"/>
                <w:color w:val="000000"/>
                <w:sz w:val="24"/>
              </w:rPr>
              <w:t>（</w:t>
            </w:r>
            <w:r>
              <w:rPr>
                <w:rFonts w:ascii="宋体" w:hAnsi="宋体" w:cs="宋体" w:eastAsia="宋体"/>
                <w:color w:val="000000"/>
                <w:sz w:val="24"/>
              </w:rPr>
              <w:t>4）测序质量：Q30＞85%。</w:t>
            </w:r>
          </w:p>
          <w:p>
            <w:pPr>
              <w:pStyle w:val="null3"/>
              <w:jc w:val="left"/>
            </w:pPr>
            <w:r>
              <w:rPr>
                <w:rFonts w:ascii="宋体" w:hAnsi="宋体" w:cs="宋体" w:eastAsia="宋体"/>
                <w:color w:val="000000"/>
                <w:sz w:val="24"/>
              </w:rPr>
              <w:t>2.6、★</w:t>
            </w:r>
            <w:r>
              <w:rPr>
                <w:rFonts w:ascii="宋体" w:hAnsi="宋体" w:cs="宋体" w:eastAsia="宋体"/>
                <w:color w:val="000000"/>
                <w:sz w:val="24"/>
              </w:rPr>
              <w:t>时间要求</w:t>
            </w:r>
            <w:r>
              <w:rPr>
                <w:rFonts w:ascii="宋体" w:hAnsi="宋体" w:cs="宋体" w:eastAsia="宋体"/>
                <w:color w:val="000000"/>
                <w:sz w:val="24"/>
              </w:rPr>
              <w:t>：</w:t>
            </w:r>
          </w:p>
          <w:p>
            <w:pPr>
              <w:pStyle w:val="null3"/>
              <w:jc w:val="left"/>
            </w:pPr>
            <w:r>
              <w:rPr>
                <w:rFonts w:ascii="宋体" w:hAnsi="宋体" w:cs="宋体" w:eastAsia="宋体"/>
                <w:color w:val="000000"/>
                <w:sz w:val="24"/>
              </w:rPr>
              <w:t>（</w:t>
            </w:r>
            <w:r>
              <w:rPr>
                <w:rFonts w:ascii="宋体" w:hAnsi="宋体" w:cs="宋体" w:eastAsia="宋体"/>
                <w:color w:val="000000"/>
                <w:sz w:val="24"/>
              </w:rPr>
              <w:t>1）每周一至日，安排专人收取标本，按标本保存条件进行运输，标本控制在48小时内送达。</w:t>
            </w:r>
          </w:p>
          <w:p>
            <w:pPr>
              <w:pStyle w:val="null3"/>
              <w:jc w:val="left"/>
            </w:pPr>
            <w:r>
              <w:rPr>
                <w:rFonts w:ascii="宋体" w:hAnsi="宋体" w:cs="宋体" w:eastAsia="宋体"/>
                <w:color w:val="000000"/>
                <w:sz w:val="24"/>
              </w:rPr>
              <w:t>（</w:t>
            </w:r>
            <w:r>
              <w:rPr>
                <w:rFonts w:ascii="宋体" w:hAnsi="宋体" w:cs="宋体" w:eastAsia="宋体"/>
                <w:color w:val="000000"/>
                <w:sz w:val="24"/>
              </w:rPr>
              <w:t>2）供应商接收标本后13个工作日内出具检测报告。24小时内响应采购人针对报告提出的疑义。</w:t>
            </w:r>
          </w:p>
          <w:p>
            <w:pPr>
              <w:pStyle w:val="null3"/>
              <w:jc w:val="left"/>
            </w:pPr>
            <w:r>
              <w:rPr>
                <w:rFonts w:ascii="宋体" w:hAnsi="宋体" w:cs="宋体" w:eastAsia="宋体"/>
                <w:b/>
                <w:color w:val="000000"/>
                <w:sz w:val="24"/>
              </w:rPr>
              <w:t>3、微肿瘤PTC药物敏感性检测</w:t>
            </w:r>
          </w:p>
          <w:p>
            <w:pPr>
              <w:pStyle w:val="null3"/>
              <w:jc w:val="left"/>
            </w:pPr>
            <w:r>
              <w:rPr>
                <w:rFonts w:ascii="宋体" w:hAnsi="宋体" w:cs="宋体" w:eastAsia="宋体"/>
                <w:color w:val="000000"/>
                <w:sz w:val="24"/>
              </w:rPr>
              <w:t>3.1、★通过体外培养肿瘤患者的活体标本，可自组装为PTC微球模型，</w:t>
            </w:r>
            <w:r>
              <w:rPr>
                <w:rFonts w:ascii="宋体" w:hAnsi="宋体" w:cs="宋体" w:eastAsia="宋体"/>
                <w:color w:val="000000"/>
                <w:sz w:val="24"/>
              </w:rPr>
              <w:t>可还</w:t>
            </w:r>
            <w:r>
              <w:rPr>
                <w:rFonts w:ascii="宋体" w:hAnsi="宋体" w:cs="宋体" w:eastAsia="宋体"/>
                <w:color w:val="000000"/>
                <w:sz w:val="24"/>
              </w:rPr>
              <w:t>原始肿瘤组织的分子遗传学和组织病理学特性，结合微生理系统成像技术，</w:t>
            </w:r>
            <w:r>
              <w:rPr>
                <w:rFonts w:ascii="宋体" w:hAnsi="宋体" w:cs="宋体" w:eastAsia="宋体"/>
                <w:color w:val="000000"/>
                <w:sz w:val="24"/>
              </w:rPr>
              <w:t>可</w:t>
            </w:r>
            <w:r>
              <w:rPr>
                <w:rFonts w:ascii="宋体" w:hAnsi="宋体" w:cs="宋体" w:eastAsia="宋体"/>
                <w:color w:val="000000"/>
                <w:sz w:val="24"/>
              </w:rPr>
              <w:t>实现体外药物敏感性的高通量检测；药物类型覆盖化疗、靶向等；临床常见实体瘤检测结果，一致性可达</w:t>
            </w:r>
            <w:r>
              <w:rPr>
                <w:rFonts w:ascii="宋体" w:hAnsi="宋体" w:cs="宋体" w:eastAsia="宋体"/>
                <w:color w:val="000000"/>
                <w:sz w:val="24"/>
              </w:rPr>
              <w:t>90%以上，</w:t>
            </w:r>
            <w:r>
              <w:rPr>
                <w:rFonts w:ascii="宋体" w:hAnsi="宋体" w:cs="宋体" w:eastAsia="宋体"/>
                <w:color w:val="000000"/>
                <w:sz w:val="24"/>
              </w:rPr>
              <w:t>可用于</w:t>
            </w:r>
            <w:r>
              <w:rPr>
                <w:rFonts w:ascii="宋体" w:hAnsi="宋体" w:cs="宋体" w:eastAsia="宋体"/>
                <w:color w:val="000000"/>
                <w:sz w:val="24"/>
              </w:rPr>
              <w:t>指导临床用药，以</w:t>
            </w:r>
            <w:r>
              <w:rPr>
                <w:rFonts w:ascii="宋体" w:hAnsi="宋体" w:cs="宋体" w:eastAsia="宋体"/>
                <w:color w:val="000000"/>
                <w:sz w:val="24"/>
              </w:rPr>
              <w:t>及</w:t>
            </w:r>
            <w:r>
              <w:rPr>
                <w:rFonts w:ascii="宋体" w:hAnsi="宋体" w:cs="宋体" w:eastAsia="宋体"/>
                <w:color w:val="000000"/>
                <w:sz w:val="24"/>
              </w:rPr>
              <w:t>体外试验结果。</w:t>
            </w:r>
          </w:p>
          <w:p>
            <w:pPr>
              <w:pStyle w:val="null3"/>
              <w:jc w:val="left"/>
            </w:pPr>
            <w:r>
              <w:rPr>
                <w:rFonts w:ascii="宋体" w:hAnsi="宋体" w:cs="宋体" w:eastAsia="宋体"/>
                <w:color w:val="000000"/>
                <w:sz w:val="24"/>
              </w:rPr>
              <w:t>3.2、▲检测范围：针对各类临床类样本的微肿瘤细胞族药物敏感性试验服务，涉及呼吸系统、妇科肿瘤、肝胆胰肿瘤、消化道肿瘤、泌尿系统肿瘤、以及不区分瘤种的通用检测项目。</w:t>
            </w:r>
          </w:p>
          <w:p>
            <w:pPr>
              <w:pStyle w:val="null3"/>
              <w:jc w:val="left"/>
            </w:pPr>
            <w:r>
              <w:rPr>
                <w:rFonts w:ascii="宋体" w:hAnsi="宋体" w:cs="宋体" w:eastAsia="宋体"/>
                <w:color w:val="000000"/>
                <w:sz w:val="24"/>
              </w:rPr>
              <w:t>3.3、样本类型：样本类型</w:t>
            </w:r>
            <w:r>
              <w:rPr>
                <w:rFonts w:ascii="宋体" w:hAnsi="宋体" w:cs="宋体" w:eastAsia="宋体"/>
                <w:color w:val="000000"/>
                <w:sz w:val="24"/>
              </w:rPr>
              <w:t>至少包含</w:t>
            </w:r>
            <w:r>
              <w:rPr>
                <w:rFonts w:ascii="宋体" w:hAnsi="宋体" w:cs="宋体" w:eastAsia="宋体"/>
                <w:color w:val="000000"/>
                <w:sz w:val="24"/>
              </w:rPr>
              <w:t>：新鲜手术组织标本、新鲜活检组织标本、胸腹水、心包积液。</w:t>
            </w:r>
          </w:p>
          <w:p>
            <w:pPr>
              <w:pStyle w:val="null3"/>
              <w:jc w:val="left"/>
            </w:pPr>
            <w:r>
              <w:rPr>
                <w:rFonts w:ascii="宋体" w:hAnsi="宋体" w:cs="宋体" w:eastAsia="宋体"/>
                <w:color w:val="000000"/>
                <w:sz w:val="24"/>
              </w:rPr>
              <w:t>3.4、▲检测方法：肿瘤组分细胞在液体培养基中进行3D悬浮培养，在体外模拟构建肿瘤微环境，并与药物的共培养后，通过图像识别算法来评估药物对肿瘤细胞的杀伤效率，进而判断肿瘤细胞对药物的敏感性。</w:t>
            </w:r>
          </w:p>
          <w:p>
            <w:pPr>
              <w:pStyle w:val="null3"/>
              <w:jc w:val="left"/>
            </w:pPr>
            <w:r>
              <w:rPr>
                <w:rFonts w:ascii="宋体" w:hAnsi="宋体" w:cs="宋体" w:eastAsia="宋体"/>
                <w:color w:val="000000"/>
                <w:sz w:val="24"/>
              </w:rPr>
              <w:t>3.5、技术参数：</w:t>
            </w:r>
          </w:p>
          <w:p>
            <w:pPr>
              <w:pStyle w:val="null3"/>
              <w:jc w:val="left"/>
            </w:pPr>
            <w:r>
              <w:rPr>
                <w:rFonts w:ascii="宋体" w:hAnsi="宋体" w:cs="宋体" w:eastAsia="宋体"/>
                <w:color w:val="000000"/>
                <w:sz w:val="24"/>
              </w:rPr>
              <w:t>（</w:t>
            </w:r>
            <w:r>
              <w:rPr>
                <w:rFonts w:ascii="宋体" w:hAnsi="宋体" w:cs="宋体" w:eastAsia="宋体"/>
                <w:color w:val="000000"/>
                <w:sz w:val="24"/>
              </w:rPr>
              <w:t>1）▲微肿瘤细胞簇在纯液态培养基中3D培养，40—150个细胞自组装成球，微球平均直径</w:t>
            </w:r>
            <w:r>
              <w:rPr>
                <w:rFonts w:ascii="宋体" w:hAnsi="宋体" w:cs="宋体" w:eastAsia="宋体"/>
                <w:color w:val="000000"/>
                <w:sz w:val="24"/>
              </w:rPr>
              <w:t>≥</w:t>
            </w:r>
            <w:r>
              <w:rPr>
                <w:rFonts w:ascii="宋体" w:hAnsi="宋体" w:cs="宋体" w:eastAsia="宋体"/>
                <w:color w:val="000000"/>
                <w:sz w:val="24"/>
              </w:rPr>
              <w:t>40μm，微球数量</w:t>
            </w:r>
            <w:r>
              <w:rPr>
                <w:rFonts w:ascii="宋体" w:hAnsi="宋体" w:cs="宋体" w:eastAsia="宋体"/>
                <w:color w:val="000000"/>
                <w:sz w:val="24"/>
              </w:rPr>
              <w:t>≥</w:t>
            </w:r>
            <w:r>
              <w:rPr>
                <w:rFonts w:ascii="宋体" w:hAnsi="宋体" w:cs="宋体" w:eastAsia="宋体"/>
                <w:color w:val="000000"/>
                <w:sz w:val="24"/>
              </w:rPr>
              <w:t>1000个，微生物污染鉴定阴性率（细菌真菌）＞85%。</w:t>
            </w:r>
          </w:p>
          <w:p>
            <w:pPr>
              <w:pStyle w:val="null3"/>
              <w:jc w:val="left"/>
            </w:pPr>
            <w:r>
              <w:rPr>
                <w:rFonts w:ascii="宋体" w:hAnsi="宋体" w:cs="宋体" w:eastAsia="宋体"/>
                <w:color w:val="000000"/>
                <w:sz w:val="24"/>
              </w:rPr>
              <w:t>（</w:t>
            </w:r>
            <w:r>
              <w:rPr>
                <w:rFonts w:ascii="宋体" w:hAnsi="宋体" w:cs="宋体" w:eastAsia="宋体"/>
                <w:color w:val="000000"/>
                <w:sz w:val="24"/>
              </w:rPr>
              <w:t>2）▲配套微肿瘤细胞族药物敏感性试验全自动分析解读系统，</w:t>
            </w:r>
            <w:r>
              <w:rPr>
                <w:rFonts w:ascii="宋体" w:hAnsi="宋体" w:cs="宋体" w:eastAsia="宋体"/>
                <w:color w:val="000000"/>
                <w:sz w:val="24"/>
              </w:rPr>
              <w:t>可</w:t>
            </w:r>
            <w:r>
              <w:rPr>
                <w:rFonts w:ascii="宋体" w:hAnsi="宋体" w:cs="宋体" w:eastAsia="宋体"/>
                <w:color w:val="000000"/>
                <w:sz w:val="24"/>
              </w:rPr>
              <w:t>直接读取肿瘤细胞原始数据，实现报告的全自动化输出，支持对新鲜组织样本、积液样本、活检样本等样本类型的数据分析，数据库全部中文化。</w:t>
            </w:r>
          </w:p>
          <w:p>
            <w:pPr>
              <w:pStyle w:val="null3"/>
              <w:jc w:val="left"/>
            </w:pPr>
            <w:r>
              <w:rPr>
                <w:rFonts w:ascii="宋体" w:hAnsi="宋体" w:cs="宋体" w:eastAsia="宋体"/>
                <w:color w:val="000000"/>
                <w:sz w:val="24"/>
              </w:rPr>
              <w:t>（</w:t>
            </w:r>
            <w:r>
              <w:rPr>
                <w:rFonts w:ascii="宋体" w:hAnsi="宋体" w:cs="宋体" w:eastAsia="宋体"/>
                <w:color w:val="000000"/>
                <w:sz w:val="24"/>
              </w:rPr>
              <w:t>3）能够准确识别图像上肿瘤细胞，准确率</w:t>
            </w:r>
            <w:r>
              <w:rPr>
                <w:rFonts w:ascii="宋体" w:hAnsi="宋体" w:cs="宋体" w:eastAsia="宋体"/>
                <w:color w:val="000000"/>
                <w:sz w:val="24"/>
              </w:rPr>
              <w:t>≥</w:t>
            </w:r>
            <w:r>
              <w:rPr>
                <w:rFonts w:ascii="宋体" w:hAnsi="宋体" w:cs="宋体" w:eastAsia="宋体"/>
                <w:color w:val="000000"/>
                <w:sz w:val="24"/>
              </w:rPr>
              <w:t>95%。</w:t>
            </w:r>
          </w:p>
          <w:p>
            <w:pPr>
              <w:pStyle w:val="null3"/>
              <w:jc w:val="left"/>
            </w:pPr>
            <w:r>
              <w:rPr>
                <w:rFonts w:ascii="宋体" w:hAnsi="宋体" w:cs="宋体" w:eastAsia="宋体"/>
                <w:color w:val="000000"/>
                <w:sz w:val="24"/>
              </w:rPr>
              <w:t>（</w:t>
            </w:r>
            <w:r>
              <w:rPr>
                <w:rFonts w:ascii="宋体" w:hAnsi="宋体" w:cs="宋体" w:eastAsia="宋体"/>
                <w:color w:val="000000"/>
                <w:sz w:val="24"/>
              </w:rPr>
              <w:t>4）能够直接读取成像系统的图片并准确预测药物对肿瘤细胞的杀伤，预测准确率</w:t>
            </w:r>
            <w:r>
              <w:rPr>
                <w:rFonts w:ascii="宋体" w:hAnsi="宋体" w:cs="宋体" w:eastAsia="宋体"/>
                <w:color w:val="000000"/>
                <w:sz w:val="24"/>
              </w:rPr>
              <w:t>≥9</w:t>
            </w:r>
            <w:r>
              <w:rPr>
                <w:rFonts w:ascii="宋体" w:hAnsi="宋体" w:cs="宋体" w:eastAsia="宋体"/>
                <w:color w:val="000000"/>
                <w:sz w:val="24"/>
              </w:rPr>
              <w:t>5%。</w:t>
            </w:r>
          </w:p>
          <w:p>
            <w:pPr>
              <w:pStyle w:val="null3"/>
              <w:jc w:val="left"/>
            </w:pPr>
            <w:r>
              <w:rPr>
                <w:rFonts w:ascii="宋体" w:hAnsi="宋体" w:cs="宋体" w:eastAsia="宋体"/>
                <w:color w:val="000000"/>
                <w:sz w:val="24"/>
              </w:rPr>
              <w:t>3.6、★</w:t>
            </w:r>
            <w:r>
              <w:rPr>
                <w:rFonts w:ascii="宋体" w:hAnsi="宋体" w:cs="宋体" w:eastAsia="宋体"/>
                <w:color w:val="000000"/>
                <w:sz w:val="24"/>
              </w:rPr>
              <w:t>时间要求</w:t>
            </w:r>
            <w:r>
              <w:rPr>
                <w:rFonts w:ascii="宋体" w:hAnsi="宋体" w:cs="宋体" w:eastAsia="宋体"/>
                <w:color w:val="000000"/>
                <w:sz w:val="24"/>
              </w:rPr>
              <w:t>：</w:t>
            </w:r>
          </w:p>
          <w:p>
            <w:pPr>
              <w:pStyle w:val="null3"/>
              <w:jc w:val="left"/>
            </w:pPr>
            <w:r>
              <w:rPr>
                <w:rFonts w:ascii="宋体" w:hAnsi="宋体" w:cs="宋体" w:eastAsia="宋体"/>
                <w:color w:val="000000"/>
                <w:sz w:val="24"/>
              </w:rPr>
              <w:t>（</w:t>
            </w:r>
            <w:r>
              <w:rPr>
                <w:rFonts w:ascii="宋体" w:hAnsi="宋体" w:cs="宋体" w:eastAsia="宋体"/>
                <w:color w:val="000000"/>
                <w:sz w:val="24"/>
              </w:rPr>
              <w:t>1）每周一至日，安排专人收取标本，按标本保存条件进行运输，标本控制在48小时内送达。</w:t>
            </w:r>
          </w:p>
          <w:p>
            <w:pPr>
              <w:pStyle w:val="null3"/>
              <w:jc w:val="left"/>
            </w:pPr>
            <w:r>
              <w:rPr>
                <w:rFonts w:ascii="宋体" w:hAnsi="宋体" w:cs="宋体" w:eastAsia="宋体"/>
                <w:color w:val="000000"/>
                <w:sz w:val="24"/>
              </w:rPr>
              <w:t>（</w:t>
            </w:r>
            <w:r>
              <w:rPr>
                <w:rFonts w:ascii="宋体" w:hAnsi="宋体" w:cs="宋体" w:eastAsia="宋体"/>
                <w:color w:val="000000"/>
                <w:sz w:val="24"/>
              </w:rPr>
              <w:t>2）供应商接收标本后14个工作日内出具检测报告。24小时内响应采购人针对报告提出的疑义。</w:t>
            </w:r>
          </w:p>
          <w:p>
            <w:pPr>
              <w:pStyle w:val="null3"/>
              <w:jc w:val="left"/>
            </w:pPr>
            <w:r>
              <w:rPr>
                <w:rFonts w:ascii="宋体" w:hAnsi="宋体" w:cs="宋体" w:eastAsia="宋体"/>
                <w:b/>
                <w:color w:val="000000"/>
                <w:sz w:val="24"/>
              </w:rPr>
              <w:t>4、肿瘤全景基因检测（液体活检）</w:t>
            </w:r>
          </w:p>
          <w:p>
            <w:pPr>
              <w:pStyle w:val="null3"/>
              <w:jc w:val="left"/>
            </w:pPr>
            <w:r>
              <w:rPr>
                <w:rFonts w:ascii="宋体" w:hAnsi="宋体" w:cs="宋体" w:eastAsia="宋体"/>
                <w:color w:val="000000"/>
                <w:sz w:val="24"/>
              </w:rPr>
              <w:t>4.1、★覆盖实体瘤发生发展相关的1000+个基因，</w:t>
            </w:r>
            <w:r>
              <w:rPr>
                <w:rFonts w:ascii="宋体" w:hAnsi="宋体" w:cs="宋体" w:eastAsia="宋体"/>
                <w:color w:val="000000"/>
                <w:sz w:val="24"/>
              </w:rPr>
              <w:t>至少</w:t>
            </w:r>
            <w:r>
              <w:rPr>
                <w:rFonts w:ascii="宋体" w:hAnsi="宋体" w:cs="宋体" w:eastAsia="宋体"/>
                <w:color w:val="000000"/>
                <w:sz w:val="24"/>
              </w:rPr>
              <w:t>包括靶向治疗基因、免疫治疗相关标志物（</w:t>
            </w:r>
            <w:r>
              <w:rPr>
                <w:rFonts w:ascii="宋体" w:hAnsi="宋体" w:cs="宋体" w:eastAsia="宋体"/>
                <w:color w:val="000000"/>
                <w:sz w:val="24"/>
              </w:rPr>
              <w:t>TMB、MSI、MMR基因、HLA分型等）、化疗用药毒副作用指导、肿瘤遗传基因以及新生抗原预测等。</w:t>
            </w:r>
          </w:p>
          <w:p>
            <w:pPr>
              <w:pStyle w:val="null3"/>
              <w:jc w:val="left"/>
            </w:pPr>
            <w:r>
              <w:rPr>
                <w:rFonts w:ascii="宋体" w:hAnsi="宋体" w:cs="宋体" w:eastAsia="宋体"/>
                <w:color w:val="000000"/>
                <w:sz w:val="24"/>
              </w:rPr>
              <w:t>4.2、▲检测范围：共检测实体瘤发生发展相关的1000+个基因，包括：靶向用药、免疫用药、新生抗原、遗传肿瘤、原癌/抑癌及化疗放疗相关基因，全面辅助肿瘤精准诊疗。</w:t>
            </w:r>
          </w:p>
          <w:p>
            <w:pPr>
              <w:pStyle w:val="null3"/>
              <w:jc w:val="left"/>
            </w:pPr>
            <w:r>
              <w:rPr>
                <w:rFonts w:ascii="宋体" w:hAnsi="宋体" w:cs="宋体" w:eastAsia="宋体"/>
                <w:color w:val="000000"/>
                <w:sz w:val="24"/>
              </w:rPr>
              <w:t>4.3、样本类型：外周血（游离DNA保存管）。</w:t>
            </w:r>
          </w:p>
          <w:p>
            <w:pPr>
              <w:pStyle w:val="null3"/>
              <w:jc w:val="left"/>
            </w:pPr>
            <w:r>
              <w:rPr>
                <w:rFonts w:ascii="宋体" w:hAnsi="宋体" w:cs="宋体" w:eastAsia="宋体"/>
                <w:color w:val="000000"/>
                <w:sz w:val="24"/>
              </w:rPr>
              <w:t>4.4、检测方法：高通量测序。</w:t>
            </w:r>
          </w:p>
          <w:p>
            <w:pPr>
              <w:pStyle w:val="null3"/>
              <w:jc w:val="left"/>
            </w:pPr>
            <w:r>
              <w:rPr>
                <w:rFonts w:ascii="宋体" w:hAnsi="宋体" w:cs="宋体" w:eastAsia="宋体"/>
                <w:color w:val="000000"/>
                <w:sz w:val="24"/>
              </w:rPr>
              <w:t>4.5、技术参数：</w:t>
            </w:r>
          </w:p>
          <w:p>
            <w:pPr>
              <w:pStyle w:val="null3"/>
              <w:jc w:val="left"/>
            </w:pPr>
            <w:r>
              <w:rPr>
                <w:rFonts w:ascii="宋体" w:hAnsi="宋体" w:cs="宋体" w:eastAsia="宋体"/>
                <w:color w:val="000000"/>
                <w:sz w:val="24"/>
              </w:rPr>
              <w:t>（</w:t>
            </w:r>
            <w:r>
              <w:rPr>
                <w:rFonts w:ascii="宋体" w:hAnsi="宋体" w:cs="宋体" w:eastAsia="宋体"/>
                <w:color w:val="000000"/>
                <w:sz w:val="24"/>
              </w:rPr>
              <w:t>1）基于靶向捕获高通量测序技术，采用</w:t>
            </w:r>
            <w:r>
              <w:rPr>
                <w:rFonts w:ascii="宋体" w:hAnsi="宋体" w:cs="宋体" w:eastAsia="宋体"/>
                <w:color w:val="000000"/>
                <w:sz w:val="24"/>
              </w:rPr>
              <w:t>具有</w:t>
            </w:r>
            <w:r>
              <w:rPr>
                <w:rFonts w:ascii="宋体" w:hAnsi="宋体" w:cs="宋体" w:eastAsia="宋体"/>
                <w:color w:val="000000"/>
                <w:sz w:val="24"/>
              </w:rPr>
              <w:t>NMPA认证</w:t>
            </w:r>
            <w:r>
              <w:rPr>
                <w:rFonts w:ascii="宋体" w:hAnsi="宋体" w:cs="宋体" w:eastAsia="宋体"/>
                <w:color w:val="000000"/>
                <w:sz w:val="24"/>
              </w:rPr>
              <w:t>的检测设备</w:t>
            </w:r>
            <w:r>
              <w:rPr>
                <w:rFonts w:ascii="宋体" w:hAnsi="宋体" w:cs="宋体" w:eastAsia="宋体"/>
                <w:color w:val="000000"/>
                <w:sz w:val="24"/>
              </w:rPr>
              <w:t>，满足对来源于人体样本的脱氧核糖核苷酸（</w:t>
            </w:r>
            <w:r>
              <w:rPr>
                <w:rFonts w:ascii="宋体" w:hAnsi="宋体" w:cs="宋体" w:eastAsia="宋体"/>
                <w:color w:val="000000"/>
                <w:sz w:val="24"/>
              </w:rPr>
              <w:t>DNA）进行测序，以准确检测基因变异。</w:t>
            </w:r>
          </w:p>
          <w:p>
            <w:pPr>
              <w:pStyle w:val="null3"/>
              <w:jc w:val="left"/>
            </w:pPr>
            <w:r>
              <w:rPr>
                <w:rFonts w:ascii="宋体" w:hAnsi="宋体" w:cs="宋体" w:eastAsia="宋体"/>
                <w:color w:val="000000"/>
                <w:sz w:val="24"/>
              </w:rPr>
              <w:t>（</w:t>
            </w:r>
            <w:r>
              <w:rPr>
                <w:rFonts w:ascii="宋体" w:hAnsi="宋体" w:cs="宋体" w:eastAsia="宋体"/>
                <w:color w:val="000000"/>
                <w:sz w:val="24"/>
              </w:rPr>
              <w:t>2）▲检测相关基因的全编码区和上下游20bp的内含子区突变、部分基因的热点突变，以及一些重要内含子区域突变；覆盖相应基因点突变/融合/扩增等多种变异类型。</w:t>
            </w:r>
          </w:p>
          <w:p>
            <w:pPr>
              <w:pStyle w:val="null3"/>
              <w:jc w:val="left"/>
            </w:pPr>
            <w:r>
              <w:rPr>
                <w:rFonts w:ascii="宋体" w:hAnsi="宋体" w:cs="宋体" w:eastAsia="宋体"/>
                <w:color w:val="000000"/>
                <w:sz w:val="24"/>
              </w:rPr>
              <w:t>（</w:t>
            </w:r>
            <w:r>
              <w:rPr>
                <w:rFonts w:ascii="宋体" w:hAnsi="宋体" w:cs="宋体" w:eastAsia="宋体"/>
                <w:color w:val="000000"/>
                <w:sz w:val="24"/>
              </w:rPr>
              <w:t>3）▲血液标本超10000×的测序深度，检测下限</w:t>
            </w:r>
            <w:r>
              <w:rPr>
                <w:rFonts w:ascii="宋体" w:hAnsi="宋体" w:cs="宋体" w:eastAsia="宋体"/>
                <w:color w:val="000000"/>
                <w:sz w:val="24"/>
              </w:rPr>
              <w:t>≤</w:t>
            </w:r>
            <w:r>
              <w:rPr>
                <w:rFonts w:ascii="宋体" w:hAnsi="宋体" w:cs="宋体" w:eastAsia="宋体"/>
                <w:color w:val="000000"/>
                <w:sz w:val="24"/>
              </w:rPr>
              <w:t>0.5%；均满足样本中基因突变的精细化检出，且覆盖均一性均</w:t>
            </w:r>
            <w:r>
              <w:rPr>
                <w:rFonts w:ascii="宋体" w:hAnsi="宋体" w:cs="宋体" w:eastAsia="宋体"/>
                <w:color w:val="000000"/>
                <w:sz w:val="24"/>
              </w:rPr>
              <w:t>≥</w:t>
            </w:r>
            <w:r>
              <w:rPr>
                <w:rFonts w:ascii="宋体" w:hAnsi="宋体" w:cs="宋体" w:eastAsia="宋体"/>
                <w:color w:val="000000"/>
                <w:sz w:val="24"/>
              </w:rPr>
              <w:t>95%。</w:t>
            </w:r>
          </w:p>
          <w:p>
            <w:pPr>
              <w:pStyle w:val="null3"/>
              <w:jc w:val="left"/>
            </w:pPr>
            <w:r>
              <w:rPr>
                <w:rFonts w:ascii="宋体" w:hAnsi="宋体" w:cs="宋体" w:eastAsia="宋体"/>
                <w:color w:val="000000"/>
                <w:sz w:val="24"/>
              </w:rPr>
              <w:t>（</w:t>
            </w:r>
            <w:r>
              <w:rPr>
                <w:rFonts w:ascii="宋体" w:hAnsi="宋体" w:cs="宋体" w:eastAsia="宋体"/>
                <w:color w:val="000000"/>
                <w:sz w:val="24"/>
              </w:rPr>
              <w:t>4）均采用标准化结果判读，参考国内外Oncokb、CKB、ACMG以及自研database等多项数据库，并结合《二代测序临床报告解读指引》等指南及专家共识，进行标准化结果判读，多角度把控检测结果和报告解读。</w:t>
            </w:r>
          </w:p>
          <w:p>
            <w:pPr>
              <w:pStyle w:val="null3"/>
              <w:jc w:val="left"/>
            </w:pPr>
            <w:r>
              <w:rPr>
                <w:rFonts w:ascii="宋体" w:hAnsi="宋体" w:cs="宋体" w:eastAsia="宋体"/>
                <w:color w:val="000000"/>
                <w:sz w:val="24"/>
              </w:rPr>
              <w:t>4.6、★</w:t>
            </w:r>
            <w:r>
              <w:rPr>
                <w:rFonts w:ascii="宋体" w:hAnsi="宋体" w:cs="宋体" w:eastAsia="宋体"/>
                <w:color w:val="000000"/>
                <w:sz w:val="24"/>
              </w:rPr>
              <w:t>时间要求</w:t>
            </w:r>
            <w:r>
              <w:rPr>
                <w:rFonts w:ascii="宋体" w:hAnsi="宋体" w:cs="宋体" w:eastAsia="宋体"/>
                <w:color w:val="000000"/>
                <w:sz w:val="24"/>
              </w:rPr>
              <w:t>：</w:t>
            </w:r>
          </w:p>
          <w:p>
            <w:pPr>
              <w:pStyle w:val="null3"/>
              <w:jc w:val="left"/>
            </w:pPr>
            <w:r>
              <w:rPr>
                <w:rFonts w:ascii="宋体" w:hAnsi="宋体" w:cs="宋体" w:eastAsia="宋体"/>
                <w:color w:val="000000"/>
                <w:sz w:val="24"/>
              </w:rPr>
              <w:t>（</w:t>
            </w:r>
            <w:r>
              <w:rPr>
                <w:rFonts w:ascii="宋体" w:hAnsi="宋体" w:cs="宋体" w:eastAsia="宋体"/>
                <w:color w:val="000000"/>
                <w:sz w:val="24"/>
              </w:rPr>
              <w:t>1）每周一至日，安排专人收取标本，按标本保存条件进行运输，标本控制在48小时内送达。</w:t>
            </w:r>
          </w:p>
          <w:p>
            <w:pPr>
              <w:pStyle w:val="null3"/>
              <w:jc w:val="left"/>
            </w:pPr>
            <w:r>
              <w:rPr>
                <w:rFonts w:ascii="宋体" w:hAnsi="宋体" w:cs="宋体" w:eastAsia="宋体"/>
                <w:color w:val="000000"/>
                <w:sz w:val="24"/>
              </w:rPr>
              <w:t>（</w:t>
            </w:r>
            <w:r>
              <w:rPr>
                <w:rFonts w:ascii="宋体" w:hAnsi="宋体" w:cs="宋体" w:eastAsia="宋体"/>
                <w:color w:val="000000"/>
                <w:sz w:val="24"/>
              </w:rPr>
              <w:t>2）供应商接收标本后5—7个工作日内出具检测报告。24小时内响应采购人针对报告提出的疑义。</w:t>
            </w:r>
          </w:p>
          <w:p>
            <w:pPr>
              <w:pStyle w:val="null3"/>
              <w:jc w:val="left"/>
            </w:pPr>
            <w:r>
              <w:rPr>
                <w:rFonts w:ascii="宋体" w:hAnsi="宋体" w:cs="宋体" w:eastAsia="宋体"/>
                <w:b/>
                <w:color w:val="000000"/>
                <w:sz w:val="24"/>
              </w:rPr>
              <w:t>5、</w:t>
            </w:r>
            <w:r>
              <w:rPr>
                <w:rFonts w:ascii="宋体" w:hAnsi="宋体" w:cs="宋体" w:eastAsia="宋体"/>
                <w:b/>
                <w:color w:val="000000"/>
                <w:sz w:val="24"/>
              </w:rPr>
              <w:t>肿瘤全景基因检测（组织版）</w:t>
            </w:r>
          </w:p>
          <w:p>
            <w:pPr>
              <w:pStyle w:val="null3"/>
              <w:jc w:val="left"/>
            </w:pPr>
            <w:r>
              <w:rPr>
                <w:rFonts w:ascii="宋体" w:hAnsi="宋体" w:cs="宋体" w:eastAsia="宋体"/>
                <w:color w:val="000000"/>
                <w:sz w:val="24"/>
              </w:rPr>
              <w:t>5.1、★覆盖实体瘤发生发展相关的1000+个基因，</w:t>
            </w:r>
            <w:r>
              <w:rPr>
                <w:rFonts w:ascii="宋体" w:hAnsi="宋体" w:cs="宋体" w:eastAsia="宋体"/>
                <w:color w:val="000000"/>
                <w:sz w:val="24"/>
              </w:rPr>
              <w:t>至少</w:t>
            </w:r>
            <w:r>
              <w:rPr>
                <w:rFonts w:ascii="宋体" w:hAnsi="宋体" w:cs="宋体" w:eastAsia="宋体"/>
                <w:color w:val="000000"/>
                <w:sz w:val="24"/>
              </w:rPr>
              <w:t>包括靶向治疗基因、免疫治疗相关标志物（</w:t>
            </w:r>
            <w:r>
              <w:rPr>
                <w:rFonts w:ascii="宋体" w:hAnsi="宋体" w:cs="宋体" w:eastAsia="宋体"/>
                <w:color w:val="000000"/>
                <w:sz w:val="24"/>
              </w:rPr>
              <w:t>TMB、MSI、MMR基因、HLA分型等）、化疗用药毒副作用指导、肿瘤遗传基因以及新生抗原预测等。</w:t>
            </w:r>
          </w:p>
          <w:p>
            <w:pPr>
              <w:pStyle w:val="null3"/>
              <w:jc w:val="left"/>
            </w:pPr>
            <w:r>
              <w:rPr>
                <w:rFonts w:ascii="宋体" w:hAnsi="宋体" w:cs="宋体" w:eastAsia="宋体"/>
                <w:color w:val="000000"/>
                <w:sz w:val="24"/>
              </w:rPr>
              <w:t>5.2、▲检测范围：共检测实体瘤发生发展相关的1000+个基因，</w:t>
            </w:r>
            <w:r>
              <w:rPr>
                <w:rFonts w:ascii="宋体" w:hAnsi="宋体" w:cs="宋体" w:eastAsia="宋体"/>
                <w:color w:val="000000"/>
                <w:sz w:val="24"/>
              </w:rPr>
              <w:t>至少</w:t>
            </w:r>
            <w:r>
              <w:rPr>
                <w:rFonts w:ascii="宋体" w:hAnsi="宋体" w:cs="宋体" w:eastAsia="宋体"/>
                <w:color w:val="000000"/>
                <w:sz w:val="24"/>
              </w:rPr>
              <w:t>包括：靶向用药、免疫用药、新生抗原、遗传肿瘤、原癌</w:t>
            </w:r>
            <w:r>
              <w:rPr>
                <w:rFonts w:ascii="宋体" w:hAnsi="宋体" w:cs="宋体" w:eastAsia="宋体"/>
                <w:color w:val="000000"/>
                <w:sz w:val="24"/>
              </w:rPr>
              <w:t>/抑癌及化疗放疗相关基因。</w:t>
            </w:r>
          </w:p>
          <w:p>
            <w:pPr>
              <w:pStyle w:val="null3"/>
              <w:jc w:val="left"/>
            </w:pPr>
            <w:r>
              <w:rPr>
                <w:rFonts w:ascii="宋体" w:hAnsi="宋体" w:cs="宋体" w:eastAsia="宋体"/>
                <w:color w:val="000000"/>
                <w:sz w:val="24"/>
              </w:rPr>
              <w:t>5.3、样本类型：肿瘤组织+外周血。</w:t>
            </w:r>
          </w:p>
          <w:p>
            <w:pPr>
              <w:pStyle w:val="null3"/>
              <w:jc w:val="left"/>
            </w:pPr>
            <w:r>
              <w:rPr>
                <w:rFonts w:ascii="宋体" w:hAnsi="宋体" w:cs="宋体" w:eastAsia="宋体"/>
                <w:color w:val="000000"/>
                <w:sz w:val="24"/>
              </w:rPr>
              <w:t>5.4、检测方法：高通量测序。</w:t>
            </w:r>
          </w:p>
          <w:p>
            <w:pPr>
              <w:pStyle w:val="null3"/>
              <w:jc w:val="left"/>
            </w:pPr>
            <w:r>
              <w:rPr>
                <w:rFonts w:ascii="宋体" w:hAnsi="宋体" w:cs="宋体" w:eastAsia="宋体"/>
                <w:color w:val="000000"/>
                <w:sz w:val="24"/>
              </w:rPr>
              <w:t>5.5、技术参数：</w:t>
            </w:r>
          </w:p>
          <w:p>
            <w:pPr>
              <w:pStyle w:val="null3"/>
              <w:jc w:val="left"/>
            </w:pPr>
            <w:r>
              <w:rPr>
                <w:rFonts w:ascii="宋体" w:hAnsi="宋体" w:cs="宋体" w:eastAsia="宋体"/>
                <w:color w:val="000000"/>
                <w:sz w:val="24"/>
              </w:rPr>
              <w:t>（</w:t>
            </w:r>
            <w:r>
              <w:rPr>
                <w:rFonts w:ascii="宋体" w:hAnsi="宋体" w:cs="宋体" w:eastAsia="宋体"/>
                <w:color w:val="000000"/>
                <w:sz w:val="24"/>
              </w:rPr>
              <w:t>1）基于靶向捕获高通量测序技术，采用</w:t>
            </w:r>
            <w:r>
              <w:rPr>
                <w:rFonts w:ascii="宋体" w:hAnsi="宋体" w:cs="宋体" w:eastAsia="宋体"/>
                <w:color w:val="000000"/>
                <w:sz w:val="24"/>
              </w:rPr>
              <w:t>具有</w:t>
            </w:r>
            <w:r>
              <w:rPr>
                <w:rFonts w:ascii="宋体" w:hAnsi="宋体" w:cs="宋体" w:eastAsia="宋体"/>
                <w:color w:val="000000"/>
                <w:sz w:val="24"/>
              </w:rPr>
              <w:t>NMPA认证</w:t>
            </w:r>
            <w:r>
              <w:rPr>
                <w:rFonts w:ascii="宋体" w:hAnsi="宋体" w:cs="宋体" w:eastAsia="宋体"/>
                <w:color w:val="000000"/>
                <w:sz w:val="24"/>
              </w:rPr>
              <w:t>的检测设备</w:t>
            </w:r>
            <w:r>
              <w:rPr>
                <w:rFonts w:ascii="宋体" w:hAnsi="宋体" w:cs="宋体" w:eastAsia="宋体"/>
                <w:color w:val="000000"/>
                <w:sz w:val="24"/>
              </w:rPr>
              <w:t>，满足对来源于人体样本的脱氧核糖核苷酸（</w:t>
            </w:r>
            <w:r>
              <w:rPr>
                <w:rFonts w:ascii="宋体" w:hAnsi="宋体" w:cs="宋体" w:eastAsia="宋体"/>
                <w:color w:val="000000"/>
                <w:sz w:val="24"/>
              </w:rPr>
              <w:t>DNA）进行测序，以准确检测基因变异。</w:t>
            </w:r>
          </w:p>
          <w:p>
            <w:pPr>
              <w:pStyle w:val="null3"/>
              <w:jc w:val="left"/>
            </w:pPr>
            <w:r>
              <w:rPr>
                <w:rFonts w:ascii="宋体" w:hAnsi="宋体" w:cs="宋体" w:eastAsia="宋体"/>
                <w:color w:val="000000"/>
                <w:sz w:val="24"/>
              </w:rPr>
              <w:t>（</w:t>
            </w:r>
            <w:r>
              <w:rPr>
                <w:rFonts w:ascii="宋体" w:hAnsi="宋体" w:cs="宋体" w:eastAsia="宋体"/>
                <w:color w:val="000000"/>
                <w:sz w:val="24"/>
              </w:rPr>
              <w:t>2）▲检测相关基因的全编码区和上下游20bp的内含子区突变、部分基因的热点突变，以及一些重要内含子区域突变；覆盖相应基因点突变/融合/扩增等多种变异类型。</w:t>
            </w:r>
          </w:p>
          <w:p>
            <w:pPr>
              <w:pStyle w:val="null3"/>
              <w:jc w:val="left"/>
            </w:pPr>
            <w:r>
              <w:rPr>
                <w:rFonts w:ascii="宋体" w:hAnsi="宋体" w:cs="宋体" w:eastAsia="宋体"/>
                <w:color w:val="000000"/>
                <w:sz w:val="24"/>
              </w:rPr>
              <w:t>（</w:t>
            </w:r>
            <w:r>
              <w:rPr>
                <w:rFonts w:ascii="宋体" w:hAnsi="宋体" w:cs="宋体" w:eastAsia="宋体"/>
                <w:color w:val="000000"/>
                <w:sz w:val="24"/>
              </w:rPr>
              <w:t>3）▲组织标本超1000×的测序深度，检测下限</w:t>
            </w:r>
            <w:r>
              <w:rPr>
                <w:rFonts w:ascii="宋体" w:hAnsi="宋体" w:cs="宋体" w:eastAsia="宋体"/>
                <w:color w:val="000000"/>
                <w:sz w:val="24"/>
              </w:rPr>
              <w:t>≤</w:t>
            </w:r>
            <w:r>
              <w:rPr>
                <w:rFonts w:ascii="宋体" w:hAnsi="宋体" w:cs="宋体" w:eastAsia="宋体"/>
                <w:color w:val="000000"/>
                <w:sz w:val="24"/>
              </w:rPr>
              <w:t>1%；均满足样本中基因突变的精细化检出，且覆盖均一性均</w:t>
            </w:r>
            <w:r>
              <w:rPr>
                <w:rFonts w:ascii="宋体" w:hAnsi="宋体" w:cs="宋体" w:eastAsia="宋体"/>
                <w:color w:val="000000"/>
                <w:sz w:val="24"/>
              </w:rPr>
              <w:t>≥</w:t>
            </w:r>
            <w:r>
              <w:rPr>
                <w:rFonts w:ascii="宋体" w:hAnsi="宋体" w:cs="宋体" w:eastAsia="宋体"/>
                <w:color w:val="000000"/>
                <w:sz w:val="24"/>
              </w:rPr>
              <w:t>95%。</w:t>
            </w:r>
          </w:p>
          <w:p>
            <w:pPr>
              <w:pStyle w:val="null3"/>
              <w:jc w:val="left"/>
            </w:pPr>
            <w:r>
              <w:rPr>
                <w:rFonts w:ascii="宋体" w:hAnsi="宋体" w:cs="宋体" w:eastAsia="宋体"/>
                <w:color w:val="000000"/>
                <w:sz w:val="24"/>
              </w:rPr>
              <w:t>（</w:t>
            </w:r>
            <w:r>
              <w:rPr>
                <w:rFonts w:ascii="宋体" w:hAnsi="宋体" w:cs="宋体" w:eastAsia="宋体"/>
                <w:color w:val="000000"/>
                <w:sz w:val="24"/>
              </w:rPr>
              <w:t>4）均采用标准化结果判读，参考国内外Oncokb、CKB、ACMG以及自研database等多项数据库，并结合《二代测序临床报告解读指引》等指南及专家共识，进行标准化结果判读，多角度把控检测结果和报告解读。</w:t>
            </w:r>
          </w:p>
          <w:p>
            <w:pPr>
              <w:pStyle w:val="null3"/>
              <w:jc w:val="left"/>
            </w:pPr>
            <w:r>
              <w:rPr>
                <w:rFonts w:ascii="宋体" w:hAnsi="宋体" w:cs="宋体" w:eastAsia="宋体"/>
                <w:color w:val="000000"/>
                <w:sz w:val="24"/>
              </w:rPr>
              <w:t>5.6、★</w:t>
            </w:r>
            <w:r>
              <w:rPr>
                <w:rFonts w:ascii="宋体" w:hAnsi="宋体" w:cs="宋体" w:eastAsia="宋体"/>
                <w:color w:val="000000"/>
                <w:sz w:val="24"/>
              </w:rPr>
              <w:t>时间要求</w:t>
            </w:r>
            <w:r>
              <w:rPr>
                <w:rFonts w:ascii="宋体" w:hAnsi="宋体" w:cs="宋体" w:eastAsia="宋体"/>
                <w:color w:val="000000"/>
                <w:sz w:val="24"/>
              </w:rPr>
              <w:t>：</w:t>
            </w:r>
          </w:p>
          <w:p>
            <w:pPr>
              <w:pStyle w:val="null3"/>
              <w:jc w:val="left"/>
            </w:pPr>
            <w:r>
              <w:rPr>
                <w:rFonts w:ascii="宋体" w:hAnsi="宋体" w:cs="宋体" w:eastAsia="宋体"/>
                <w:color w:val="000000"/>
                <w:sz w:val="24"/>
              </w:rPr>
              <w:t>（</w:t>
            </w:r>
            <w:r>
              <w:rPr>
                <w:rFonts w:ascii="宋体" w:hAnsi="宋体" w:cs="宋体" w:eastAsia="宋体"/>
                <w:color w:val="000000"/>
                <w:sz w:val="24"/>
              </w:rPr>
              <w:t>1）每周一至日，安排专人收取标本，按标本保存条件进行运输，标本控制在48小时内送达。</w:t>
            </w:r>
          </w:p>
          <w:p>
            <w:pPr>
              <w:pStyle w:val="null3"/>
              <w:jc w:val="left"/>
            </w:pPr>
            <w:r>
              <w:rPr>
                <w:rFonts w:ascii="宋体" w:hAnsi="宋体" w:cs="宋体" w:eastAsia="宋体"/>
                <w:color w:val="000000"/>
                <w:sz w:val="24"/>
              </w:rPr>
              <w:t>（</w:t>
            </w:r>
            <w:r>
              <w:rPr>
                <w:rFonts w:ascii="宋体" w:hAnsi="宋体" w:cs="宋体" w:eastAsia="宋体"/>
                <w:color w:val="000000"/>
                <w:sz w:val="24"/>
              </w:rPr>
              <w:t>2）供应商接收标本后5—7个工作日内出具检测报告。24小时内响应采购人针对报告提出的疑义。</w:t>
            </w:r>
          </w:p>
          <w:p>
            <w:pPr>
              <w:pStyle w:val="null3"/>
              <w:jc w:val="left"/>
            </w:pPr>
            <w:r>
              <w:rPr>
                <w:rFonts w:ascii="宋体" w:hAnsi="宋体" w:cs="宋体" w:eastAsia="宋体"/>
                <w:color w:val="000000"/>
                <w:sz w:val="24"/>
              </w:rPr>
              <w:t>★</w:t>
            </w:r>
            <w:r>
              <w:rPr>
                <w:rFonts w:ascii="宋体" w:hAnsi="宋体" w:cs="宋体" w:eastAsia="宋体"/>
                <w:b/>
                <w:color w:val="000000"/>
                <w:sz w:val="24"/>
              </w:rPr>
              <w:t>6、总体要求：</w:t>
            </w:r>
            <w:r>
              <w:rPr>
                <w:rFonts w:ascii="宋体" w:hAnsi="宋体" w:cs="宋体" w:eastAsia="宋体"/>
                <w:color w:val="000000"/>
                <w:sz w:val="24"/>
              </w:rPr>
              <w:t>投标人需为本项目提供结果通知、咨询、随访及咨询服务</w:t>
            </w:r>
            <w:r>
              <w:rPr>
                <w:rFonts w:ascii="宋体" w:hAnsi="宋体" w:cs="宋体" w:eastAsia="宋体"/>
                <w:color w:val="000000"/>
                <w:sz w:val="24"/>
              </w:rPr>
              <w:t>。</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jc w:val="left"/>
            </w:pPr>
            <w:r>
              <w:rPr>
                <w:rFonts w:ascii="宋体" w:hAnsi="宋体" w:cs="宋体" w:eastAsia="宋体"/>
                <w:color w:val="000000"/>
                <w:sz w:val="24"/>
              </w:rPr>
              <w:t>1.投标人需为本项目配置服务团队；</w:t>
            </w:r>
          </w:p>
          <w:p>
            <w:pPr>
              <w:pStyle w:val="null3"/>
              <w:jc w:val="left"/>
            </w:pPr>
            <w:r>
              <w:rPr>
                <w:rFonts w:ascii="宋体" w:hAnsi="宋体" w:cs="宋体" w:eastAsia="宋体"/>
                <w:color w:val="000000"/>
                <w:sz w:val="24"/>
              </w:rPr>
              <w:t>2.投标人需根据项目需求结合自身情况，提供项目服务方案，</w:t>
            </w:r>
            <w:r>
              <w:rPr>
                <w:rFonts w:ascii="宋体" w:hAnsi="宋体" w:cs="宋体" w:eastAsia="宋体"/>
                <w:color w:val="000000"/>
                <w:sz w:val="24"/>
              </w:rPr>
              <w:t>包括：</w:t>
            </w:r>
            <w:r>
              <w:rPr>
                <w:rFonts w:ascii="宋体" w:hAnsi="宋体" w:cs="宋体" w:eastAsia="宋体"/>
                <w:color w:val="000000"/>
                <w:sz w:val="24"/>
              </w:rPr>
              <w:t>①整体服务流程；②标本接收方案（</w:t>
            </w:r>
            <w:r>
              <w:rPr>
                <w:rFonts w:ascii="宋体" w:hAnsi="宋体" w:cs="宋体" w:eastAsia="宋体"/>
                <w:color w:val="000000"/>
                <w:sz w:val="24"/>
              </w:rPr>
              <w:t>至少</w:t>
            </w:r>
            <w:r>
              <w:rPr>
                <w:rFonts w:ascii="宋体" w:hAnsi="宋体" w:cs="宋体" w:eastAsia="宋体"/>
                <w:color w:val="000000"/>
                <w:sz w:val="24"/>
              </w:rPr>
              <w:t>包括样本采集、标本收取、标本运输、样本储存）；</w:t>
            </w:r>
            <w:r>
              <w:rPr>
                <w:rFonts w:ascii="宋体" w:hAnsi="宋体" w:cs="宋体" w:eastAsia="宋体"/>
                <w:color w:val="000000"/>
                <w:sz w:val="24"/>
              </w:rPr>
              <w:t>③标准操作程序及检测工作流程；④发送检测结果报告方法；⑤出具报告时间安排；⑥检测报告质量保障措施</w:t>
            </w:r>
            <w:r>
              <w:rPr>
                <w:rFonts w:ascii="宋体" w:hAnsi="宋体" w:cs="宋体" w:eastAsia="宋体"/>
                <w:color w:val="000000"/>
                <w:sz w:val="24"/>
              </w:rPr>
              <w:t>（至少</w:t>
            </w:r>
            <w:r>
              <w:rPr>
                <w:rFonts w:ascii="宋体" w:hAnsi="宋体" w:cs="宋体" w:eastAsia="宋体"/>
                <w:color w:val="000000"/>
                <w:sz w:val="24"/>
              </w:rPr>
              <w:t>包括</w:t>
            </w:r>
            <w:r>
              <w:rPr>
                <w:rFonts w:ascii="宋体" w:hAnsi="宋体" w:cs="宋体" w:eastAsia="宋体"/>
                <w:color w:val="000000"/>
                <w:sz w:val="24"/>
              </w:rPr>
              <w:t>检测工具配备情况</w:t>
            </w:r>
            <w:r>
              <w:rPr>
                <w:rFonts w:ascii="宋体" w:hAnsi="宋体" w:cs="宋体" w:eastAsia="宋体"/>
                <w:color w:val="000000"/>
                <w:sz w:val="24"/>
              </w:rPr>
              <w:t>）</w:t>
            </w:r>
            <w:r>
              <w:rPr>
                <w:rFonts w:ascii="宋体" w:hAnsi="宋体" w:cs="宋体" w:eastAsia="宋体"/>
                <w:color w:val="000000"/>
                <w:sz w:val="24"/>
              </w:rPr>
              <w:t>；</w:t>
            </w:r>
            <w:r>
              <w:rPr>
                <w:rFonts w:ascii="宋体" w:hAnsi="宋体" w:cs="宋体" w:eastAsia="宋体"/>
                <w:color w:val="000000"/>
                <w:sz w:val="24"/>
              </w:rPr>
              <w:t>⑦应急方案（结果异议处理、报告丢失处理、标本丢失处理、医院急诊项目服务、提供特急标本优先加急特事特办服务）</w:t>
            </w:r>
            <w:r>
              <w:rPr>
                <w:rFonts w:ascii="宋体" w:hAnsi="宋体" w:cs="宋体" w:eastAsia="宋体"/>
                <w:color w:val="000000"/>
                <w:sz w:val="24"/>
              </w:rPr>
              <w:t>。</w:t>
            </w:r>
          </w:p>
          <w:p>
            <w:pPr>
              <w:pStyle w:val="null3"/>
              <w:jc w:val="left"/>
            </w:pPr>
            <w:r>
              <w:rPr>
                <w:rFonts w:ascii="宋体" w:hAnsi="宋体" w:cs="宋体" w:eastAsia="宋体"/>
                <w:color w:val="000000"/>
                <w:sz w:val="24"/>
              </w:rPr>
              <w:t>注：以上要求由投标人自拟格式编制，不用在服务应答表进行应答，评标委员会按照评分标准进行评审。</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自合同签订之日起一年。</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采购人指定地点（成都市内）。</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相关法律法规、采购文件规定的要求和响应文件以及合同约定的内容进行验收。如对质量要求和技术指标的约定标准有相互抵触或异议的事项，在采购文件与响应文件中按质量要求和技术指标比较优胜的原则确定该项的约定标准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服务费按季度核算并支付，结合检测项目成交单价及季度检测数量据实结算季度总检测费用，采购人每次付款前，成交供应商须提供合法有效完整的完税发票，达到付款条件起10日内，据实情况说明为支付当次结算的服务费用。</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采购人、供应商双方必须遵守本合同并执行合同中的各项规定，保证本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其他约定：成交供应商在服务期内，因自身原因造成采购合同终止的，因此产生的所有经济损失由成交人自行承担，如给采购人造成的经济损失的，采购人将依法追究其法律责任。【注：以上“★其他约定”为本项目实质性要求，供应商应在《商务应答表》中进行应答。】</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若为企业法人：提供三证合一或五证合一的“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4）若为自然人：提供“身份证明材料”。</w:t>
            </w:r>
          </w:p>
        </w:tc>
        <w:tc>
          <w:tcPr>
            <w:tcW w:type="dxa" w:w="1910"/>
          </w:tcPr>
          <w:p>
            <w:pPr>
              <w:pStyle w:val="null3"/>
              <w:jc w:val="left"/>
            </w:pPr>
            <w:r>
              <w:rPr/>
              <w:t>投标文件封面</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供应商应具有有效的《中华人民共和国医疗机构执业许可证》（执业范围包含：医学检验）。</w:t>
            </w:r>
          </w:p>
        </w:tc>
        <w:tc>
          <w:tcPr>
            <w:tcW w:type="dxa" w:w="3322"/>
          </w:tcPr>
          <w:p>
            <w:pPr>
              <w:pStyle w:val="null3"/>
              <w:jc w:val="left"/>
            </w:pPr>
            <w:r>
              <w:rPr/>
              <w:t>供应商应提供有效的《中华人民共和国医疗机构执业许可证》（执业范围包含：医学检验）扫描件。</w:t>
            </w:r>
          </w:p>
        </w:tc>
        <w:tc>
          <w:tcPr>
            <w:tcW w:type="dxa" w:w="1910"/>
          </w:tcPr>
          <w:p>
            <w:pPr>
              <w:pStyle w:val="null3"/>
              <w:jc w:val="left"/>
            </w:pPr>
            <w:r>
              <w:rPr/>
              <w:t>投标人应提交的相关证明材料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其他要求</w:t>
            </w:r>
          </w:p>
        </w:tc>
        <w:tc>
          <w:tcPr>
            <w:tcW w:type="dxa" w:w="3322"/>
          </w:tcPr>
          <w:p>
            <w:pPr>
              <w:pStyle w:val="null3"/>
              <w:jc w:val="left"/>
            </w:pPr>
            <w:r>
              <w:rPr/>
              <w:t>（一）投标文件的格式、语言、计量单位、报价货币、知识产权、投标有效期等符合招标文件的规定，不影响评标委员会评判； （二）投标报价符合招标文件规定的报价规定； （三）技术、商务应答内容完全响应招标文件中的实质性要求； （四）招标文件有明确要求，投标文件载明的采购项目履约时间、方式、数量与招标文件要求一致。 （五）投标文件未含有采购人不能接受的附加条件的。 （六）其他满足相关法律法规规定要求的。</w:t>
            </w:r>
          </w:p>
        </w:tc>
        <w:tc>
          <w:tcPr>
            <w:tcW w:type="dxa" w:w="1910"/>
          </w:tcPr>
          <w:p>
            <w:pPr>
              <w:pStyle w:val="null3"/>
              <w:jc w:val="left"/>
            </w:pPr>
            <w:r>
              <w:rPr/>
              <w:t>商务应答表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服务要求响应程度</w:t>
            </w:r>
          </w:p>
        </w:tc>
        <w:tc>
          <w:tcPr>
            <w:tcW w:type="dxa" w:w="2575"/>
          </w:tcPr>
          <w:p>
            <w:pPr>
              <w:pStyle w:val="null3"/>
              <w:jc w:val="left"/>
            </w:pPr>
            <w:r>
              <w:rPr/>
              <w:t>服务要求完全满足招标文件中要求的，没有负偏离的，得35分。无标识条款（共16项）技术参数不满足招标文件要求，一项扣0.5分，共计扣8分；▲条款（共18项）技术参数与招标文件要求有负偏离的，一项扣1.5分，共计扣27分；扣完为止。（★为实质性要求，一项不满足即被否决。）注：如果响应文件中的某条“▲”号条款技术参数没有按照要求提供技术支持资料的，该条技术参数在评审中将不予认定。</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项目服务方案</w:t>
            </w:r>
          </w:p>
        </w:tc>
        <w:tc>
          <w:tcPr>
            <w:tcW w:type="dxa" w:w="2575"/>
          </w:tcPr>
          <w:p>
            <w:pPr>
              <w:pStyle w:val="null3"/>
              <w:jc w:val="left"/>
            </w:pPr>
            <w:r>
              <w:rPr/>
              <w:t>根据供应商针对本项目提供的服务方案作为评审依据，包括：①整体服务流程；②标本接收方案（至少包括样本采集、标本收取、标本运输、样本储存）；③标准操作程序及检测工作流程；④发送检测结果报告方法；⑤出具报告时间安排；⑥检测报告质量保障措施（至少包括检测工具配备情况）；⑦应急方案（结果异议处理、报告丢失处理、标本丢失处理、医院急诊项目服务、提供特急标本优先加急特事特办服务）；以上内容提供完整的得28分，有一项未提供的扣4分，每有一项存在缺陷（缺陷是指不适用于本项目，内容矛盾，语句有歧义，仅有框架或标题，涉及的规范及标准错误，套用其他项目内容，任意一种情形）的扣2分，直至该项分值4分扣完为止，不提供不得分。</w:t>
            </w:r>
          </w:p>
        </w:tc>
        <w:tc>
          <w:tcPr>
            <w:tcW w:type="dxa" w:w="831"/>
          </w:tcPr>
          <w:p>
            <w:pPr>
              <w:pStyle w:val="null3"/>
              <w:jc w:val="center"/>
            </w:pPr>
            <w:r>
              <w:rPr/>
              <w:t>28.00</w:t>
            </w:r>
          </w:p>
        </w:tc>
        <w:tc>
          <w:tcPr>
            <w:tcW w:type="dxa" w:w="748"/>
          </w:tcPr>
          <w:p>
            <w:pPr>
              <w:pStyle w:val="null3"/>
              <w:jc w:val="center"/>
            </w:pPr>
            <w:r>
              <w:rPr/>
              <w:t>主观</w:t>
            </w:r>
          </w:p>
        </w:tc>
        <w:tc>
          <w:tcPr>
            <w:tcW w:type="dxa" w:w="1661"/>
          </w:tcPr>
          <w:p>
            <w:pPr>
              <w:pStyle w:val="null3"/>
              <w:jc w:val="left"/>
            </w:pPr>
            <w:r>
              <w:rPr/>
              <w:t>部分评审用表</w:t>
            </w:r>
          </w:p>
        </w:tc>
      </w:tr>
      <w:tr>
        <w:tc>
          <w:tcPr>
            <w:tcW w:type="dxa" w:w="831"/>
            <w:vMerge/>
          </w:tcPr>
          <w:p/>
        </w:tc>
        <w:tc>
          <w:tcPr>
            <w:tcW w:type="dxa" w:w="1661"/>
          </w:tcPr>
          <w:p>
            <w:pPr>
              <w:pStyle w:val="null3"/>
              <w:jc w:val="left"/>
            </w:pPr>
            <w:r>
              <w:rPr/>
              <w:t>人员</w:t>
            </w:r>
          </w:p>
        </w:tc>
        <w:tc>
          <w:tcPr>
            <w:tcW w:type="dxa" w:w="2575"/>
          </w:tcPr>
          <w:p>
            <w:pPr>
              <w:pStyle w:val="null3"/>
              <w:jc w:val="left"/>
            </w:pPr>
            <w:r>
              <w:rPr/>
              <w:t>根据供应商提供的人员配置方案进行评审（包含①日常管理；②人员配置；③岗位设置；④分工），以上内容提供完整的得18分，有一项未提供的扣4.5分，每有一项存在缺陷（缺陷是指不适用于本项目，内容矛盾，语句有歧义，仅有框架或标题，涉及的规范及标准错误，套用其他项目内容，任意一种情形）的扣2.25分，直至该项分值4.5分扣完为止，不提供不得分。</w:t>
            </w:r>
          </w:p>
        </w:tc>
        <w:tc>
          <w:tcPr>
            <w:tcW w:type="dxa" w:w="831"/>
          </w:tcPr>
          <w:p>
            <w:pPr>
              <w:pStyle w:val="null3"/>
              <w:jc w:val="center"/>
            </w:pPr>
            <w:r>
              <w:rPr/>
              <w:t>18.00</w:t>
            </w:r>
          </w:p>
        </w:tc>
        <w:tc>
          <w:tcPr>
            <w:tcW w:type="dxa" w:w="748"/>
          </w:tcPr>
          <w:p>
            <w:pPr>
              <w:pStyle w:val="null3"/>
              <w:jc w:val="center"/>
            </w:pPr>
            <w:r>
              <w:rPr/>
              <w:t>主观</w:t>
            </w:r>
          </w:p>
        </w:tc>
        <w:tc>
          <w:tcPr>
            <w:tcW w:type="dxa" w:w="1661"/>
          </w:tcPr>
          <w:p>
            <w:pPr>
              <w:pStyle w:val="null3"/>
              <w:jc w:val="left"/>
            </w:pPr>
            <w:r>
              <w:rPr/>
              <w:t>部分评审用表</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供应商自2021年1月1日（含）至递交响应文件截止日，每具有一个类似业绩的得3分，最多得9分。 类似业绩是指：至少须包含本次采购中涉及的一个检测项目。</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部分评审用表</w:t>
            </w:r>
          </w:p>
        </w:tc>
      </w:tr>
      <w:tr>
        <w:tc>
          <w:tcPr>
            <w:tcW w:type="dxa" w:w="831"/>
          </w:tcPr>
          <w:p>
            <w:pPr>
              <w:pStyle w:val="null3"/>
              <w:jc w:val="left"/>
            </w:pPr>
            <w:r>
              <w:rPr/>
              <w:t>价格分</w:t>
            </w:r>
          </w:p>
        </w:tc>
        <w:tc>
          <w:tcPr>
            <w:tcW w:type="dxa" w:w="1661"/>
          </w:tcPr>
          <w:p>
            <w:pPr>
              <w:pStyle w:val="null3"/>
              <w:jc w:val="left"/>
            </w:pPr>
            <w:r>
              <w:rPr/>
              <w:t>肿瘤全景基因检测等服务</w:t>
            </w:r>
          </w:p>
        </w:tc>
        <w:tc>
          <w:tcPr>
            <w:tcW w:type="dxa" w:w="2575"/>
          </w:tcPr>
          <w:p>
            <w:pPr>
              <w:pStyle w:val="null3"/>
              <w:jc w:val="left"/>
            </w:pPr>
            <w:r>
              <w:rPr/>
              <w:t>1.经评标委员会评审，通过资格和符合性审查，且投标报价最低的投标人的投标报价作为评标基准价。2.投标报价得分=(评标基准价／投标报价)×分值。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详见附件：报价表</w:t>
      </w:r>
    </w:p>
    <w:p>
      <w:pPr>
        <w:pStyle w:val="null3"/>
        <w:ind w:firstLine="960"/>
        <w:jc w:val="left"/>
      </w:pPr>
      <w:r>
        <w:rPr/>
        <w:t>详见附件：部分评审用表</w:t>
      </w:r>
    </w:p>
    <w:p>
      <w:pPr>
        <w:pStyle w:val="null3"/>
        <w:ind w:firstLine="960"/>
        <w:jc w:val="left"/>
      </w:pPr>
      <w:r>
        <w:rPr/>
        <w:t>详见附件：服务应答表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