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440001-2025-14684</w:t>
      </w:r>
    </w:p>
    <w:p>
      <w:pPr>
        <w:pStyle w:val="null3"/>
        <w:jc w:val="center"/>
        <w:outlineLvl w:val="3"/>
      </w:pPr>
      <w:r>
        <w:rPr>
          <w:sz w:val="24"/>
          <w:b/>
        </w:rPr>
        <w:t>采购项目编号：</w:t>
      </w:r>
      <w:r>
        <w:rPr>
          <w:sz w:val="24"/>
          <w:b/>
        </w:rPr>
        <w:t>HYGZ25ZZ01C0602</w:t>
      </w:r>
    </w:p>
    <w:p>
      <w:pPr>
        <w:pStyle w:val="null3"/>
        <w:jc w:val="center"/>
        <w:outlineLvl w:val="3"/>
      </w:pPr>
      <w:r>
        <w:rPr>
          <w:sz w:val="24"/>
          <w:b/>
        </w:rPr>
        <w:t>项目名称：</w:t>
      </w:r>
      <w:r>
        <w:rPr>
          <w:sz w:val="24"/>
          <w:b/>
        </w:rPr>
        <w:t>2025年度国家级公益林（天然林）监测评价</w:t>
      </w:r>
    </w:p>
    <w:p>
      <w:pPr>
        <w:pStyle w:val="null3"/>
        <w:jc w:val="center"/>
        <w:outlineLvl w:val="3"/>
      </w:pPr>
      <w:r>
        <w:rPr>
          <w:sz w:val="24"/>
          <w:b/>
        </w:rPr>
        <w:t>采购人：</w:t>
      </w:r>
      <w:r>
        <w:rPr>
          <w:sz w:val="24"/>
          <w:b/>
        </w:rPr>
        <w:t>广东省林业局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广东弘烨项目管理有限公司</w:t>
      </w:r>
      <w:r>
        <w:rPr/>
        <w:t>受</w:t>
      </w:r>
      <w:r>
        <w:rPr/>
        <w:t>广东省林业局</w:t>
      </w:r>
      <w:r>
        <w:rPr/>
        <w:t>的委托，采用</w:t>
      </w:r>
      <w:r>
        <w:rPr/>
        <w:t>公开招标</w:t>
      </w:r>
      <w:r>
        <w:rPr/>
        <w:t>方式组织采购</w:t>
      </w:r>
      <w:r>
        <w:rPr/>
        <w:t>2025年度国家级公益林（天然林）监测评价</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2025年度国家级公益林（天然林）监测评价</w:t>
      </w:r>
    </w:p>
    <w:p>
      <w:pPr>
        <w:pStyle w:val="null3"/>
        <w:ind w:firstLine="480"/>
      </w:pPr>
      <w:r>
        <w:rPr/>
        <w:t>采购计划编号：</w:t>
      </w:r>
      <w:r>
        <w:rPr/>
        <w:t>440001-2025-14684</w:t>
      </w:r>
    </w:p>
    <w:p>
      <w:pPr>
        <w:pStyle w:val="null3"/>
        <w:ind w:firstLine="480"/>
      </w:pPr>
      <w:r>
        <w:rPr/>
        <w:t>采购项目编号：</w:t>
      </w:r>
      <w:r>
        <w:rPr/>
        <w:t>HYGZ25ZZ01C0602</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采购包1(2025年度国家级公益林（天然林）监测评价):</w:t>
      </w:r>
    </w:p>
    <w:p>
      <w:pPr>
        <w:pStyle w:val="null3"/>
      </w:pPr>
      <w:r>
        <w:rPr/>
        <w:t>采购包预算金额：2,200,000.00元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其他林业服务</w:t>
            </w:r>
          </w:p>
        </w:tc>
        <w:tc>
          <w:tcPr>
            <w:tcW w:type="dxa" w:w="2136"/>
          </w:tcPr>
          <w:p>
            <w:pPr>
              <w:pStyle w:val="null3"/>
            </w:pPr>
            <w:r>
              <w:rPr/>
              <w:t>2025年度国家级公益林（天然林）监测评价</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合同履行期限：2025年11月30日前提交符合要求的所有成果。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采购包1（2025年度国家级公益林（天然林）监测评价）：</w:t>
      </w:r>
      <w:r>
        <w:rPr/>
        <w:t>本项目属于专门面向中小企业预留份额采购，以联合体形式预留不少于合同金额40%给中小企业。（本项目采购标的所属行业：农、林、牧、渔业） 供应商须符合以下情形之一： （1）以联合体形式参加投标（响应）的，联合体成员中至少有一方须为符合本项目主要采购标的对应行业（农、林、牧、渔业）的中小企业，中小企业承担部分须达到合同金额的40%。投标时须提供《中小企业声明函（服务）》或省级以上监狱管理局、戒毒管理局（含新疆生产建设兵团）出具的属于监狱企业的证明文件或《残疾人福利性单位声明函》。 （2）非联合体形式参加投标（响应）的，则供应商须为符合本项目主要采购标的对应行业（农、林、牧、渔业）的中小企业。投标时须提供《中小企业声明函（服务）》或省级以上监狱管理局、戒毒管理局（含新疆生产建设兵团）出具的属于监狱企业的证明文件或《残疾人福利性单位声明函》。 注1：参加投标的中小企业须为符合本项目主要采购标的对应行业（农、林、牧、渔业）政策划分标准的中小微企业，其中监狱企业、残疾人福利单位可视同小型、微型企业。 注2：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注3：联合体各方不得再单独参加或者与其他供应商另外组成联合体参加本项目的政府采购活动。 注4：《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采购包1（2025年度国家级公益林（天然林）监测评价）：</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广东省林业局</w:t>
      </w:r>
    </w:p>
    <w:p>
      <w:pPr>
        <w:pStyle w:val="null3"/>
        <w:ind w:firstLine="480"/>
      </w:pPr>
      <w:r>
        <w:rPr/>
        <w:t xml:space="preserve"> 地址：</w:t>
      </w:r>
      <w:r>
        <w:rPr/>
        <w:t>广州市荔湾区中山七路343号</w:t>
      </w:r>
    </w:p>
    <w:p>
      <w:pPr>
        <w:pStyle w:val="null3"/>
        <w:ind w:firstLine="480"/>
      </w:pPr>
      <w:r>
        <w:rPr/>
        <w:t xml:space="preserve"> 联系方式：</w:t>
      </w:r>
      <w:r>
        <w:rPr/>
        <w:t>020-81835995</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1.项目名称：2025年度国家级公益林（天然林）监测评价</w:t>
      </w:r>
    </w:p>
    <w:p>
      <w:pPr>
        <w:pStyle w:val="null3"/>
        <w:ind w:firstLine="480"/>
        <w:jc w:val="both"/>
      </w:pPr>
      <w:r>
        <w:rPr>
          <w:sz w:val="24"/>
        </w:rPr>
        <w:t>2.项目总预算：人民币2</w:t>
      </w:r>
      <w:r>
        <w:rPr>
          <w:sz w:val="24"/>
        </w:rPr>
        <w:t>,</w:t>
      </w:r>
      <w:r>
        <w:rPr>
          <w:sz w:val="24"/>
        </w:rPr>
        <w:t>200,000.00元</w:t>
      </w:r>
    </w:p>
    <w:p>
      <w:pPr>
        <w:pStyle w:val="null3"/>
        <w:ind w:firstLine="480"/>
        <w:jc w:val="both"/>
      </w:pPr>
      <w:r>
        <w:rPr>
          <w:sz w:val="24"/>
        </w:rPr>
        <w:t>3.项目内容：开展国家级公益林和天然林资源变化情况监测工作，对全省国家级公益林和天然林的数量、质量、生态状况、碳汇资源及动态变化开展技术分析和统计，开展国家级公益林和天然林生态功能重要性和生态环境敏感性评价，进行公益林和天然林保护与修复策略研究，建立公益林（天然林）碳汇数据库，探索固碳增汇策略，为谋划未来一段时期公益林发展思路，做好公益林森林质量精准提升，构建稳定的森林生态系统提出对策建议。</w:t>
      </w:r>
    </w:p>
    <w:p>
      <w:pPr>
        <w:pStyle w:val="null3"/>
      </w:pPr>
      <w:r>
        <w:rPr/>
        <w:t>采购包1（2025年度国家级公益林（天然林）监测评价）</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2025年11月30日前提交符合要求的所有成果。</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第1期为(预付款)：支付比例80%，合同签订并开具相应发票后5个工作日内，采购人向中标人拨付合同总价的80%；。</w:t>
            </w:r>
          </w:p>
          <w:p>
            <w:pPr>
              <w:pStyle w:val="null3"/>
            </w:pPr>
            <w:r>
              <w:rPr/>
              <w:t>第2期为(尾款)：支付比例20%，项目所有成果通过专家评审或审查，且将正式成果提交采购人并开具相应发票后15日内，采购人支付中标人合同总价的20%。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1期：项目成果通过专家评审或省林业局审查。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2025年度国家级公益林（天然林）监测评价</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2,200,000.00</w:t>
            </w:r>
          </w:p>
        </w:tc>
        <w:tc>
          <w:tcPr>
            <w:tcW w:type="dxa" w:w="933"/>
          </w:tcPr>
          <w:p>
            <w:pPr>
              <w:pStyle w:val="null3"/>
              <w:jc w:val="right"/>
            </w:pPr>
            <w:r>
              <w:rPr/>
              <w:t>2,200,000.00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2025年度国家级公益林（天然林）监测评价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w:t>
            </w:r>
            <w:r>
              <w:rPr>
                <w:sz w:val="24"/>
              </w:rPr>
              <w:t>工作内容</w:t>
            </w:r>
          </w:p>
          <w:p>
            <w:pPr>
              <w:pStyle w:val="null3"/>
              <w:jc w:val="left"/>
            </w:pPr>
            <w:r>
              <w:rPr>
                <w:sz w:val="24"/>
              </w:rPr>
              <w:t>1.国家级公益林资源及生态状况年度监测评价。利用国家级公益林数据库、遥感影像数据，结合样地调查，开展公益林数量与质量变化监测。</w:t>
            </w:r>
          </w:p>
          <w:p>
            <w:pPr>
              <w:pStyle w:val="null3"/>
              <w:jc w:val="left"/>
            </w:pPr>
            <w:r>
              <w:rPr>
                <w:sz w:val="24"/>
              </w:rPr>
              <w:t>（</w:t>
            </w:r>
            <w:r>
              <w:rPr>
                <w:sz w:val="24"/>
              </w:rPr>
              <w:t>1）判读勾绘公益林范围内地类变化图斑，形成遥感判读数据库，并经核实后形成年度更新数据库。</w:t>
            </w:r>
          </w:p>
          <w:p>
            <w:pPr>
              <w:pStyle w:val="null3"/>
              <w:jc w:val="left"/>
            </w:pPr>
            <w:r>
              <w:rPr>
                <w:sz w:val="24"/>
              </w:rPr>
              <w:t>（</w:t>
            </w:r>
            <w:r>
              <w:rPr>
                <w:sz w:val="24"/>
              </w:rPr>
              <w:t>2）在公益林范围内，综合利用遥感影像数据与森林资源调查数据，建立蓄积、生物量等因子变化模型，科学评价公益林质量与生态功能变化情况。客观反映公益林建设成效。</w:t>
            </w:r>
          </w:p>
          <w:p>
            <w:pPr>
              <w:pStyle w:val="null3"/>
              <w:jc w:val="both"/>
            </w:pPr>
            <w:r>
              <w:rPr>
                <w:sz w:val="24"/>
              </w:rPr>
              <w:t>（</w:t>
            </w:r>
            <w:r>
              <w:rPr>
                <w:sz w:val="24"/>
              </w:rPr>
              <w:t>3）系统开展公益林生态功能重要性和生态环境敏感性评价，开展典型区域生态系统特征分析，进行公益林保护与修复策略研究，为构建稳定的森林生态系统提出对策。</w:t>
            </w:r>
          </w:p>
        </w:tc>
      </w:tr>
      <w:tr>
        <w:tc>
          <w:tcPr>
            <w:tcW w:type="dxa" w:w="2076"/>
          </w:tcPr>
          <w:p/>
        </w:tc>
        <w:tc>
          <w:tcPr>
            <w:tcW w:type="dxa" w:w="415"/>
          </w:tcPr>
          <w:p>
            <w:pPr>
              <w:pStyle w:val="null3"/>
            </w:pPr>
            <w:r>
              <w:rPr/>
              <w:t>2</w:t>
            </w:r>
          </w:p>
        </w:tc>
        <w:tc>
          <w:tcPr>
            <w:tcW w:type="dxa" w:w="5814"/>
          </w:tcPr>
          <w:p>
            <w:pPr>
              <w:pStyle w:val="null3"/>
              <w:jc w:val="left"/>
            </w:pPr>
            <w:r>
              <w:rPr>
                <w:sz w:val="24"/>
              </w:rPr>
              <w:t>2.天然林保护修复效益监测评估</w:t>
            </w:r>
          </w:p>
          <w:p>
            <w:pPr>
              <w:pStyle w:val="null3"/>
              <w:jc w:val="left"/>
            </w:pPr>
            <w:r>
              <w:rPr>
                <w:sz w:val="24"/>
              </w:rPr>
              <w:t>（</w:t>
            </w:r>
            <w:r>
              <w:rPr>
                <w:sz w:val="24"/>
              </w:rPr>
              <w:t>1）根据天然林保护修复规划内容及完成情况，综合评价天然林资源数量、质量、结构、功能的变化情况。</w:t>
            </w:r>
          </w:p>
          <w:p>
            <w:pPr>
              <w:pStyle w:val="null3"/>
              <w:jc w:val="left"/>
            </w:pPr>
            <w:r>
              <w:rPr>
                <w:sz w:val="24"/>
              </w:rPr>
              <w:t>（</w:t>
            </w:r>
            <w:r>
              <w:rPr>
                <w:sz w:val="24"/>
              </w:rPr>
              <w:t>2）评价天然林资源生态效益、经济效益、社会效益等。</w:t>
            </w:r>
          </w:p>
          <w:p>
            <w:pPr>
              <w:pStyle w:val="null3"/>
              <w:jc w:val="left"/>
            </w:pPr>
            <w:r>
              <w:rPr>
                <w:sz w:val="24"/>
              </w:rPr>
              <w:t>（</w:t>
            </w:r>
            <w:r>
              <w:rPr>
                <w:sz w:val="24"/>
              </w:rPr>
              <w:t>3）收集天然林保护修复典型事例，总结主要经验和做法。</w:t>
            </w:r>
          </w:p>
          <w:p>
            <w:pPr>
              <w:pStyle w:val="null3"/>
              <w:jc w:val="both"/>
            </w:pPr>
            <w:r>
              <w:rPr>
                <w:sz w:val="24"/>
              </w:rPr>
              <w:t>（</w:t>
            </w:r>
            <w:r>
              <w:rPr>
                <w:sz w:val="24"/>
              </w:rPr>
              <w:t>4</w:t>
            </w:r>
            <w:r>
              <w:rPr>
                <w:sz w:val="24"/>
              </w:rPr>
              <w:t>）</w:t>
            </w:r>
            <w:r>
              <w:rPr>
                <w:sz w:val="24"/>
              </w:rPr>
              <w:t>衔接《全国天然林保护修复中长期规划》，修改完善《广东省天然林保护修复规划（</w:t>
            </w:r>
            <w:r>
              <w:rPr>
                <w:sz w:val="24"/>
              </w:rPr>
              <w:t>2021-2035年）》，编制形成《广东省天然林保护修复中长期规划》。</w:t>
            </w:r>
          </w:p>
        </w:tc>
      </w:tr>
      <w:tr>
        <w:tc>
          <w:tcPr>
            <w:tcW w:type="dxa" w:w="2076"/>
          </w:tcPr>
          <w:p/>
        </w:tc>
        <w:tc>
          <w:tcPr>
            <w:tcW w:type="dxa" w:w="415"/>
          </w:tcPr>
          <w:p>
            <w:pPr>
              <w:pStyle w:val="null3"/>
            </w:pPr>
            <w:r>
              <w:rPr/>
              <w:t>3</w:t>
            </w:r>
          </w:p>
        </w:tc>
        <w:tc>
          <w:tcPr>
            <w:tcW w:type="dxa" w:w="5814"/>
          </w:tcPr>
          <w:p>
            <w:pPr>
              <w:pStyle w:val="null3"/>
              <w:jc w:val="both"/>
            </w:pPr>
            <w:r>
              <w:rPr>
                <w:sz w:val="24"/>
              </w:rPr>
              <w:t>3.碳汇计量评估及体系构建。通过图斑、样地监测，综合分析评价公益林碳汇资源状况，包括碳储量、碳密度、碳汇的空间分布及时间变化，研建生产力、碳汇增长率模型，推进监测评价方法和手段的科技创新，实现生态公益林碳汇监测年度出数；探索生态公益林固碳增汇策略，加强资源管护、生态公益林质量精准提升和生态保护修复，为谋划未来一段时期公益林发展思路提出建议。</w:t>
            </w:r>
          </w:p>
        </w:tc>
      </w:tr>
      <w:tr>
        <w:tc>
          <w:tcPr>
            <w:tcW w:type="dxa" w:w="2076"/>
          </w:tcPr>
          <w:p/>
        </w:tc>
        <w:tc>
          <w:tcPr>
            <w:tcW w:type="dxa" w:w="415"/>
          </w:tcPr>
          <w:p>
            <w:pPr>
              <w:pStyle w:val="null3"/>
            </w:pPr>
            <w:r>
              <w:rPr/>
              <w:t>4</w:t>
            </w:r>
          </w:p>
        </w:tc>
        <w:tc>
          <w:tcPr>
            <w:tcW w:type="dxa" w:w="5814"/>
          </w:tcPr>
          <w:p>
            <w:pPr>
              <w:pStyle w:val="null3"/>
              <w:jc w:val="left"/>
            </w:pPr>
            <w:r>
              <w:rPr>
                <w:sz w:val="24"/>
              </w:rPr>
              <w:t>二</w:t>
            </w:r>
            <w:r>
              <w:rPr>
                <w:sz w:val="24"/>
              </w:rPr>
              <w:t>、工作成果</w:t>
            </w:r>
          </w:p>
          <w:p>
            <w:pPr>
              <w:pStyle w:val="null3"/>
              <w:jc w:val="left"/>
            </w:pPr>
            <w:r>
              <w:rPr>
                <w:sz w:val="24"/>
              </w:rPr>
              <w:t>完成广东省国家级公益林资源及生态状况年度监测评价、天然林保护修复效益监测评估和公益林碳汇计量评估及体系构建</w:t>
            </w:r>
            <w:r>
              <w:rPr>
                <w:sz w:val="24"/>
              </w:rPr>
              <w:t>及编制《广东省天然林保护修复中长期规划》</w:t>
            </w:r>
            <w:r>
              <w:rPr>
                <w:sz w:val="24"/>
              </w:rPr>
              <w:t>工作，中标人需开展相关调查，并按照采购人及广东省林业局的要求，提交如下资料：</w:t>
            </w:r>
          </w:p>
          <w:p>
            <w:pPr>
              <w:pStyle w:val="null3"/>
              <w:jc w:val="left"/>
            </w:pPr>
            <w:r>
              <w:rPr>
                <w:sz w:val="24"/>
              </w:rPr>
              <w:t>1.监测与评价报告（纸质版10份，电子文档1份）。</w:t>
            </w:r>
          </w:p>
          <w:p>
            <w:pPr>
              <w:pStyle w:val="null3"/>
              <w:jc w:val="left"/>
            </w:pPr>
            <w:r>
              <w:rPr>
                <w:sz w:val="24"/>
              </w:rPr>
              <w:t>（</w:t>
            </w:r>
            <w:r>
              <w:rPr>
                <w:sz w:val="24"/>
              </w:rPr>
              <w:t>1）2025年国家级公益林年度监测与评价报告；</w:t>
            </w:r>
          </w:p>
          <w:p>
            <w:pPr>
              <w:pStyle w:val="null3"/>
              <w:jc w:val="left"/>
            </w:pPr>
            <w:r>
              <w:rPr>
                <w:sz w:val="24"/>
              </w:rPr>
              <w:t>（</w:t>
            </w:r>
            <w:r>
              <w:rPr>
                <w:sz w:val="24"/>
              </w:rPr>
              <w:t>2）2025天然林保护修复效益监测评估报告；</w:t>
            </w:r>
          </w:p>
          <w:p>
            <w:pPr>
              <w:pStyle w:val="null3"/>
              <w:jc w:val="left"/>
            </w:pPr>
            <w:r>
              <w:rPr>
                <w:sz w:val="24"/>
              </w:rPr>
              <w:t>（</w:t>
            </w:r>
            <w:r>
              <w:rPr>
                <w:sz w:val="24"/>
              </w:rPr>
              <w:t>3）2025年公益林碳汇计量评估报告；</w:t>
            </w:r>
          </w:p>
          <w:p>
            <w:pPr>
              <w:pStyle w:val="null3"/>
              <w:jc w:val="left"/>
            </w:pPr>
            <w:r>
              <w:rPr>
                <w:sz w:val="24"/>
              </w:rPr>
              <w:t>（</w:t>
            </w:r>
            <w:r>
              <w:rPr>
                <w:sz w:val="24"/>
              </w:rPr>
              <w:t>4）2025年天然林碳汇计量评估报告</w:t>
            </w:r>
            <w:r>
              <w:rPr>
                <w:sz w:val="24"/>
              </w:rPr>
              <w:t>；</w:t>
            </w:r>
          </w:p>
          <w:p>
            <w:pPr>
              <w:pStyle w:val="null3"/>
              <w:jc w:val="left"/>
            </w:pPr>
            <w:r>
              <w:rPr>
                <w:sz w:val="24"/>
              </w:rPr>
              <w:t>（</w:t>
            </w:r>
            <w:r>
              <w:rPr>
                <w:sz w:val="24"/>
              </w:rPr>
              <w:t>5</w:t>
            </w:r>
            <w:r>
              <w:rPr>
                <w:sz w:val="24"/>
              </w:rPr>
              <w:t>）</w:t>
            </w:r>
            <w:r>
              <w:rPr>
                <w:sz w:val="24"/>
              </w:rPr>
              <w:t>广东省天然林保护修复中长期规划</w:t>
            </w:r>
            <w:r>
              <w:rPr>
                <w:sz w:val="24"/>
              </w:rPr>
              <w:t>。</w:t>
            </w:r>
          </w:p>
          <w:p>
            <w:pPr>
              <w:pStyle w:val="null3"/>
              <w:jc w:val="left"/>
            </w:pPr>
            <w:r>
              <w:rPr>
                <w:sz w:val="24"/>
              </w:rPr>
              <w:t>2.遥感判读变化数据（gdb，坐标系CGCS2000）。数据库制作应基于森林草原湿地荒漠化普查平台数据要求，条件成熟时实现在广东省生态公益林专题监测系统的成果表达。</w:t>
            </w:r>
          </w:p>
          <w:p>
            <w:pPr>
              <w:pStyle w:val="null3"/>
              <w:jc w:val="both"/>
            </w:pPr>
            <w:r>
              <w:rPr>
                <w:sz w:val="24"/>
              </w:rPr>
              <w:t>3.国家级公益林和天然林年度更新数据（gdb，坐标系CGCS2000）。数据库制作应基于森林草原湿地荒漠化普查平台数据要求，条件成熟时实现在广东省生态公益林专题监测系统的成果表达。</w:t>
            </w:r>
          </w:p>
        </w:tc>
      </w:tr>
      <w:tr>
        <w:tc>
          <w:tcPr>
            <w:tcW w:type="dxa" w:w="2076"/>
          </w:tcPr>
          <w:p/>
        </w:tc>
        <w:tc>
          <w:tcPr>
            <w:tcW w:type="dxa" w:w="415"/>
          </w:tcPr>
          <w:p>
            <w:pPr>
              <w:pStyle w:val="null3"/>
            </w:pPr>
            <w:r>
              <w:rPr/>
              <w:t>5</w:t>
            </w:r>
          </w:p>
        </w:tc>
        <w:tc>
          <w:tcPr>
            <w:tcW w:type="dxa" w:w="5814"/>
          </w:tcPr>
          <w:p>
            <w:pPr>
              <w:pStyle w:val="null3"/>
              <w:jc w:val="left"/>
            </w:pPr>
            <w:r>
              <w:rPr>
                <w:sz w:val="24"/>
              </w:rPr>
              <w:t>三</w:t>
            </w:r>
            <w:r>
              <w:rPr>
                <w:sz w:val="24"/>
              </w:rPr>
              <w:t>、具体要求</w:t>
            </w:r>
          </w:p>
          <w:p>
            <w:pPr>
              <w:pStyle w:val="null3"/>
              <w:jc w:val="left"/>
            </w:pPr>
            <w:r>
              <w:rPr>
                <w:sz w:val="24"/>
              </w:rPr>
              <w:t>1.总体要求。</w:t>
            </w:r>
          </w:p>
          <w:p>
            <w:pPr>
              <w:pStyle w:val="null3"/>
              <w:jc w:val="left"/>
            </w:pPr>
            <w:r>
              <w:rPr>
                <w:sz w:val="24"/>
              </w:rPr>
              <w:t>（</w:t>
            </w:r>
            <w:r>
              <w:rPr>
                <w:sz w:val="24"/>
              </w:rPr>
              <w:t>1）在广泛、深入、扎实调研的基础上，中标人依据相关技术规程编制各项材料。</w:t>
            </w:r>
          </w:p>
          <w:p>
            <w:pPr>
              <w:pStyle w:val="null3"/>
              <w:jc w:val="left"/>
            </w:pPr>
            <w:r>
              <w:rPr>
                <w:sz w:val="24"/>
              </w:rPr>
              <w:t>（</w:t>
            </w:r>
            <w:r>
              <w:rPr>
                <w:sz w:val="24"/>
              </w:rPr>
              <w:t>2）中标人须按规定的时限提交成果，并对所提交成果的科学性和真实性负责。</w:t>
            </w:r>
          </w:p>
          <w:p>
            <w:pPr>
              <w:pStyle w:val="null3"/>
              <w:jc w:val="left"/>
            </w:pPr>
            <w:r>
              <w:rPr>
                <w:sz w:val="24"/>
              </w:rPr>
              <w:t>（</w:t>
            </w:r>
            <w:r>
              <w:rPr>
                <w:sz w:val="24"/>
              </w:rPr>
              <w:t>3）遵守国家、广东省及当地法律法规并服从采购人管理的前提下实施项目活动，不参与影响地方经济社会发展的活动。</w:t>
            </w:r>
          </w:p>
          <w:p>
            <w:pPr>
              <w:pStyle w:val="null3"/>
              <w:jc w:val="left"/>
            </w:pPr>
            <w:r>
              <w:rPr>
                <w:sz w:val="24"/>
              </w:rPr>
              <w:t>（</w:t>
            </w:r>
            <w:r>
              <w:rPr>
                <w:sz w:val="24"/>
              </w:rPr>
              <w:t>4）对采购人提供的所有数据、资料有责任进行保密，不得用于本项目以外。</w:t>
            </w:r>
          </w:p>
          <w:p>
            <w:pPr>
              <w:pStyle w:val="null3"/>
              <w:jc w:val="both"/>
            </w:pPr>
            <w:r>
              <w:rPr>
                <w:sz w:val="24"/>
              </w:rPr>
              <w:t>2.编制监测和评价报告及制作数据库符合国家有关的规定、规范。提交成果满足国家林业和草原局对国家级公益林和天然林资源情况年度监测的要求。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采购机构代理服务收费标准：以项目预算金额作为计算基数；参照国家计委（计价格〔2002〕1980号）及国家发改委（发改价格〔2011〕534号）规定的收费标准实行差额定率累进法计算收取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；请各投标人在投标文件递交截止时间前按须知前附表规定的金额递交至</w:t>
      </w:r>
      <w:r>
        <w:rPr/>
        <w:t>广东弘烨项目管理有限公司</w:t>
      </w:r>
      <w:r>
        <w:rPr/>
        <w:t>，到账情况以开标时</w:t>
      </w:r>
      <w:r>
        <w:rPr/>
        <w:t>广东弘烨项目管理有限公司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度国家级公益林（天然林）监测评价)：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采购包1（2025年度国家级公益林（天然林）监测评价）：</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采购包1（2025年度国家级公益林（天然林）监测评价）：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本项目属于专门面向中小企业预留份额采购，以联合体形式预留不少于合同金额40%给中小企业。（本项目采购标的所属行业：农、林、牧、渔业） 供应商须符合以下情形之一： （1）以联合体形式参加投标（响应）的，联合体成员中至少有一方须为符合本项目主要采购标的对应行业（农、林、牧、渔业）的中小企业，中小企业承担部分须达到合同金额的40%。投标时须提供《中小企业声明函（服务）》或省级以上监狱管理局、戒毒管理局（含新疆生产建设兵团）出具的属于监狱企业的证明文件或《残疾人福利性单位声明函》。 （2）非联合体形式参加投标（响应）的，则供应商须为符合本项目主要采购标的对应行业（农、林、牧、渔业）的中小企业。投标时须提供《中小企业声明函（服务）》或省级以上监狱管理局、戒毒管理局（含新疆生产建设兵团）出具的属于监狱企业的证明文件或《残疾人福利性单位声明函》。 注1：参加投标的中小企业须为符合本项目主要采购标的对应行业（农、林、牧、渔业）政策划分标准的中小微企业，其中监狱企业、残疾人福利单位可视同小型、微型企业。 注2：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注3：联合体各方不得再单独参加或者与其他供应商另外组成联合体参加本项目的政府采购活动。 注4：《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采购包1（2025年度国家级公益林（天然林）监测评价）：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采购包1(2025年度国家级公益林（天然林）监测评价):</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对用户需求书的响应程度 (5.0分)</w:t>
            </w:r>
          </w:p>
        </w:tc>
        <w:tc>
          <w:tcPr>
            <w:tcW w:type="dxa" w:w="5076"/>
          </w:tcPr>
          <w:p>
            <w:pPr>
              <w:pStyle w:val="null3"/>
              <w:jc w:val="left"/>
            </w:pPr>
            <w:r>
              <w:rPr/>
              <w:t>根据投标人对本项目用户需求书条款的响应程度进行评审： 1、完全响应或优于采购需求条款要求的，得5分； 2、有1条负偏离，得3分； 3、有2条负偏离，得1分； 4、有3条及以上负偏离，得0分。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项目理解 (15.0分)</w:t>
            </w:r>
          </w:p>
        </w:tc>
        <w:tc>
          <w:tcPr>
            <w:tcW w:type="dxa" w:w="5076"/>
          </w:tcPr>
          <w:p>
            <w:pPr>
              <w:pStyle w:val="null3"/>
              <w:jc w:val="left"/>
            </w:pPr>
            <w:r>
              <w:rPr/>
              <w:t>根据投标人提供的项目组织实施方案，对项目理解、组织管理、项目进度等情况进行评价： 1、整体实施方案完整，可执行性强，项目理解到位，描述清晰的，切合项目实际情况，得15分； 2、整体实施方案基本完整，可执行性好，项目理解基本到位，描述基本清晰的，基本切合项目实际情况，得10分； 3、整体实施方案一般，可执行一般，项目理解基本到位，描述基本可行的，基本切合项目实际情况，得5分； 4、整体实施方案不完整，可执行性弱，项目理解不到位，描述不清晰的，部分切合项目实际情况的，得1分； 5、未提供相关内容的不得分。</w:t>
            </w:r>
          </w:p>
        </w:tc>
      </w:tr>
      <w:tr>
        <w:tc>
          <w:tcPr>
            <w:tcW w:type="dxa" w:w="922"/>
            <w:gridSpan w:val="2"/>
            <w:vMerge/>
          </w:tcPr>
          <w:p/>
        </w:tc>
        <w:tc>
          <w:tcPr>
            <w:tcW w:type="dxa" w:w="2307"/>
          </w:tcPr>
          <w:p>
            <w:pPr>
              <w:pStyle w:val="null3"/>
              <w:jc w:val="left"/>
            </w:pPr>
            <w:r>
              <w:rPr/>
              <w:t>技术方案 (15.0分)</w:t>
            </w:r>
          </w:p>
        </w:tc>
        <w:tc>
          <w:tcPr>
            <w:tcW w:type="dxa" w:w="5076"/>
          </w:tcPr>
          <w:p>
            <w:pPr>
              <w:pStyle w:val="null3"/>
              <w:jc w:val="left"/>
            </w:pPr>
            <w:r>
              <w:rPr/>
              <w:t>根据投标人的技术方案，技术准备、技术思路、工作技术框架、方法等进行评价： 1、提供的技术方案完整，技术准备充分，技术思路清晰、方法科学合理的，得15分； 2、提供的技术方案基本完整，技术准备基本充分，技术思路基本清晰、方法基本科学合理的，得10分； 3、提供的技术方案一般，技术准备一般，技术思路基本可行、方法基本科学合理的，得5分； 4、提供的技术方案不够完整，技术准备不够充分，技术思路不够清晰、方法不够科学合理的，得1分； 5、未提供相关内容阐述的不得分。</w:t>
            </w:r>
          </w:p>
        </w:tc>
      </w:tr>
      <w:tr>
        <w:tc>
          <w:tcPr>
            <w:tcW w:type="dxa" w:w="922"/>
            <w:gridSpan w:val="2"/>
            <w:vMerge/>
          </w:tcPr>
          <w:p/>
        </w:tc>
        <w:tc>
          <w:tcPr>
            <w:tcW w:type="dxa" w:w="2307"/>
          </w:tcPr>
          <w:p>
            <w:pPr>
              <w:pStyle w:val="null3"/>
              <w:jc w:val="left"/>
            </w:pPr>
            <w:r>
              <w:rPr/>
              <w:t>质量保障措施及服务承诺 (10.0分)</w:t>
            </w:r>
          </w:p>
        </w:tc>
        <w:tc>
          <w:tcPr>
            <w:tcW w:type="dxa" w:w="5076"/>
          </w:tcPr>
          <w:p>
            <w:pPr>
              <w:pStyle w:val="null3"/>
              <w:jc w:val="left"/>
            </w:pPr>
            <w:r>
              <w:rPr/>
              <w:t>根据投标人提供的质量保证措施和承诺详细程度和可行程度进行综合评价： 1、制定的措施合理、可行性强，承诺详细清晰，责任明确的，得10分； 2、制定的措施基本合理，具有一定的可行性，承诺安排基本详细，责任明确程度基本清晰，得7分； 3、制定的措施一般，可行性一般，承诺安排不太详细，责任明确程度不够清晰，得4分； 4、制定的措施合理性和可行性差的，后续服务安排不详细明确，得1分； 5、无提供不得分。</w:t>
            </w:r>
          </w:p>
        </w:tc>
      </w:tr>
      <w:tr>
        <w:tc>
          <w:tcPr>
            <w:tcW w:type="dxa" w:w="922"/>
            <w:gridSpan w:val="2"/>
            <w:vMerge/>
          </w:tcPr>
          <w:p/>
        </w:tc>
        <w:tc>
          <w:tcPr>
            <w:tcW w:type="dxa" w:w="2307"/>
          </w:tcPr>
          <w:p>
            <w:pPr>
              <w:pStyle w:val="null3"/>
              <w:jc w:val="left"/>
            </w:pPr>
            <w:r>
              <w:rPr/>
              <w:t>保密方案 (10.0分)</w:t>
            </w:r>
          </w:p>
        </w:tc>
        <w:tc>
          <w:tcPr>
            <w:tcW w:type="dxa" w:w="5076"/>
          </w:tcPr>
          <w:p>
            <w:pPr>
              <w:pStyle w:val="null3"/>
              <w:jc w:val="left"/>
            </w:pPr>
            <w:r>
              <w:rPr/>
              <w:t>根据投标人提供的保密方案是否合规、严谨、可控，能否提供保密承诺和保密岗位责任等进行评审： 1、保密方案合规、严谨、可控，提供的保密承诺和保密岗位责任完整清晰得10分； 2、保密方案基本合规、严谨、可控，提供基本的保密承诺和保密岗位责任得7分； 3、保密方案简单，提供简单的保密承诺和保密岗位责任得4分； 4、保密方案差，提供的保密承诺和保密岗位责任差得1分；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(12.0分)</w:t>
            </w:r>
          </w:p>
        </w:tc>
        <w:tc>
          <w:tcPr>
            <w:tcW w:type="dxa" w:w="5076"/>
          </w:tcPr>
          <w:p>
            <w:pPr>
              <w:pStyle w:val="null3"/>
              <w:jc w:val="left"/>
            </w:pPr>
            <w:r>
              <w:rPr/>
              <w:t>根据投标人自2022年1月1日至今（以合同签订日期为准）承担过的同类项目业绩的，每个得2分，最高得12分。 注：提供合同和中标（成交）通知书复印件并加盖公章作为评审依据，不提供不得分。</w:t>
            </w:r>
          </w:p>
        </w:tc>
      </w:tr>
      <w:tr>
        <w:tc>
          <w:tcPr>
            <w:tcW w:type="dxa" w:w="922"/>
            <w:gridSpan w:val="2"/>
            <w:vMerge/>
          </w:tcPr>
          <w:p/>
        </w:tc>
        <w:tc>
          <w:tcPr>
            <w:tcW w:type="dxa" w:w="2307"/>
          </w:tcPr>
          <w:p>
            <w:pPr>
              <w:pStyle w:val="null3"/>
              <w:jc w:val="left"/>
            </w:pPr>
            <w:r>
              <w:rPr/>
              <w:t>企业管理体系认证 (6.0分)</w:t>
            </w:r>
          </w:p>
        </w:tc>
        <w:tc>
          <w:tcPr>
            <w:tcW w:type="dxa" w:w="5076"/>
          </w:tcPr>
          <w:p>
            <w:pPr>
              <w:pStyle w:val="null3"/>
              <w:jc w:val="left"/>
            </w:pPr>
            <w:r>
              <w:rPr/>
              <w:t>投标人获得有效期内的质量管理体系认证证书、环境管理体系认证证书、职业健康安全管理体系认证证书的，每提供一项得2分，最高6分。 【注：需提供有效期内的证书复印件，并须同时提供在全国认证认可信息公共服务平台（http://cx.cnca.cn/）对体系认证证书的信息查询截图作为评审依据，已失效或撤销或暂停的不得分。以上证书如因成立时间原因未能获得证书且投标人提供书面说明的，可对应得分。】</w:t>
            </w:r>
          </w:p>
        </w:tc>
      </w:tr>
      <w:tr>
        <w:tc>
          <w:tcPr>
            <w:tcW w:type="dxa" w:w="922"/>
            <w:gridSpan w:val="2"/>
            <w:vMerge/>
          </w:tcPr>
          <w:p/>
        </w:tc>
        <w:tc>
          <w:tcPr>
            <w:tcW w:type="dxa" w:w="2307"/>
          </w:tcPr>
          <w:p>
            <w:pPr>
              <w:pStyle w:val="null3"/>
              <w:jc w:val="left"/>
            </w:pPr>
            <w:r>
              <w:rPr/>
              <w:t>项目团队 (17.0分)</w:t>
            </w:r>
          </w:p>
        </w:tc>
        <w:tc>
          <w:tcPr>
            <w:tcW w:type="dxa" w:w="5076"/>
          </w:tcPr>
          <w:p>
            <w:pPr>
              <w:pStyle w:val="null3"/>
              <w:jc w:val="left"/>
            </w:pPr>
            <w:r>
              <w:rPr/>
              <w:t>1.拟投入本项目项目负责人中具有（林学等）相关专业领域本科或本科以上学历的技术人员，并且人员具有林业类正高级职称，得3分；具有副高级职称，得2分；具有中级职称，得1分； 2.拟投入本项目技术负责人中具有（林学或者园林等）相关专业领域本科或本科以上学历的技术人员，并且人员具有副高级职称，得2分；具有中级职称，得1分； 3.拟投入本项目其他技术人员具备高级工程师每个得2分，中级工程师每个得1分，助理工程师每个得0.5分，同一人具备多项证书不可累计计算，本小项满分12分。 注：提供上述人员的学历证（如需）、职称证及社保缴纳证明（投标前近三个月内任意一个月），提供不全或未提供的不得分。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广东省林业局</w:t>
      </w:r>
      <w:r>
        <w:rPr>
          <w:sz w:val="44"/>
          <w:b/>
        </w:rPr>
        <w:t>政府采购</w:t>
      </w:r>
    </w:p>
    <w:p>
      <w:pPr>
        <w:pStyle w:val="null3"/>
        <w:jc w:val="both"/>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项目名称：　　　　　　　　　　　　　　　　　　　　　</w:t>
      </w:r>
    </w:p>
    <w:p>
      <w:pPr>
        <w:pStyle w:val="null3"/>
        <w:jc w:val="both"/>
      </w:pPr>
      <w:r>
        <w:rPr>
          <w:sz w:val="24"/>
        </w:rPr>
        <w:t>采购编号：</w:t>
      </w:r>
    </w:p>
    <w:p>
      <w:pPr>
        <w:pStyle w:val="null3"/>
        <w:ind w:firstLine="480"/>
        <w:jc w:val="both"/>
      </w:pPr>
      <w:r>
        <w:rPr>
          <w:sz w:val="24"/>
        </w:rPr>
        <w:t>根据</w:t>
      </w:r>
      <w:r>
        <w:rPr>
          <w:sz w:val="24"/>
          <w:u w:val="single"/>
        </w:rPr>
        <w:t xml:space="preserve">              </w:t>
      </w:r>
      <w:r>
        <w:rPr>
          <w:sz w:val="24"/>
          <w:u w:val="single"/>
        </w:rPr>
        <w:t>项目</w:t>
      </w:r>
      <w:r>
        <w:rPr>
          <w:sz w:val="24"/>
        </w:rPr>
        <w:t>的采购结果，按照《</w:t>
      </w:r>
      <w:r>
        <w:rPr>
          <w:sz w:val="24"/>
        </w:rPr>
        <w:t>中华人民共和国民法典</w:t>
      </w:r>
      <w:r>
        <w:rPr>
          <w:sz w:val="24"/>
        </w:rPr>
        <w:t>》的规定，</w:t>
      </w:r>
      <w:r>
        <w:rPr>
          <w:sz w:val="24"/>
        </w:rPr>
        <w:t>经双方协商，</w:t>
      </w:r>
      <w:r>
        <w:rPr>
          <w:sz w:val="24"/>
        </w:rPr>
        <w:t>本着平等互利和诚实信用的原则，</w:t>
      </w:r>
      <w:r>
        <w:rPr>
          <w:sz w:val="24"/>
        </w:rPr>
        <w:t>一致同意签订本合同如下</w:t>
      </w:r>
      <w:r>
        <w:rPr>
          <w:sz w:val="24"/>
        </w:rPr>
        <w:t>。</w:t>
      </w:r>
    </w:p>
    <w:p>
      <w:pPr>
        <w:pStyle w:val="null3"/>
        <w:jc w:val="both"/>
      </w:pPr>
      <w:r>
        <w:rPr>
          <w:sz w:val="24"/>
          <w:b/>
        </w:rPr>
        <w:t>一、</w:t>
      </w:r>
      <w:r>
        <w:rPr>
          <w:sz w:val="24"/>
          <w:b/>
        </w:rPr>
        <w:t>合同金额</w:t>
      </w:r>
    </w:p>
    <w:p>
      <w:pPr>
        <w:pStyle w:val="null3"/>
        <w:ind w:firstLine="480"/>
        <w:jc w:val="both"/>
      </w:pPr>
      <w:r>
        <w:rPr>
          <w:sz w:val="24"/>
        </w:rPr>
        <w:t>合同金额为（大写）：</w:t>
      </w:r>
      <w:r>
        <w:rPr>
          <w:sz w:val="24"/>
        </w:rPr>
        <w:t>_________________元（￥_______________元）人民币。</w:t>
      </w:r>
    </w:p>
    <w:p>
      <w:pPr>
        <w:pStyle w:val="null3"/>
        <w:jc w:val="both"/>
      </w:pPr>
      <w:r>
        <w:rPr>
          <w:sz w:val="24"/>
          <w:b/>
        </w:rPr>
        <w:t>二、工作内容</w:t>
      </w:r>
    </w:p>
    <w:p>
      <w:pPr>
        <w:pStyle w:val="null3"/>
        <w:ind w:firstLine="480"/>
        <w:jc w:val="both"/>
      </w:pPr>
      <w:r>
        <w:rPr>
          <w:sz w:val="24"/>
        </w:rPr>
        <w:t>1.国家级公益林资源及生态状况年度监测评价。利用国家级公益林数据库、遥感影像数据，结合样地调查，开展公益林数量与质量变化监测。</w:t>
      </w:r>
    </w:p>
    <w:p>
      <w:pPr>
        <w:pStyle w:val="null3"/>
        <w:ind w:firstLine="480"/>
        <w:jc w:val="both"/>
      </w:pPr>
      <w:r>
        <w:rPr>
          <w:sz w:val="24"/>
        </w:rPr>
        <w:t>（</w:t>
      </w:r>
      <w:r>
        <w:rPr>
          <w:sz w:val="24"/>
        </w:rPr>
        <w:t>1）判读勾绘公益林范围内地类变化图斑，形成遥感判读数据库，并经核实后形成年度更新数据库。</w:t>
      </w:r>
    </w:p>
    <w:p>
      <w:pPr>
        <w:pStyle w:val="null3"/>
        <w:ind w:firstLine="480"/>
        <w:jc w:val="both"/>
      </w:pPr>
      <w:r>
        <w:rPr>
          <w:sz w:val="24"/>
        </w:rPr>
        <w:t>（</w:t>
      </w:r>
      <w:r>
        <w:rPr>
          <w:sz w:val="24"/>
        </w:rPr>
        <w:t>2）在公益林范围内，综合利用遥感影像数据与森林资源调查数据，建立蓄积、生物量等因子变化模型，科学评价公益林质量与生态功能变化情况。客观反映公益林建设成效。</w:t>
      </w:r>
    </w:p>
    <w:p>
      <w:pPr>
        <w:pStyle w:val="null3"/>
        <w:ind w:firstLine="480"/>
        <w:jc w:val="both"/>
      </w:pPr>
      <w:r>
        <w:rPr>
          <w:sz w:val="24"/>
        </w:rPr>
        <w:t>（</w:t>
      </w:r>
      <w:r>
        <w:rPr>
          <w:sz w:val="24"/>
        </w:rPr>
        <w:t>3）系统开展公益林生态功能重要性和生态环境敏感性评价，开展典型区域生态系统特征分析，进行公益林保护与修复策略研究，为构建稳定的森林生态系统提出对策。</w:t>
      </w:r>
    </w:p>
    <w:p>
      <w:pPr>
        <w:pStyle w:val="null3"/>
        <w:ind w:firstLine="480"/>
        <w:jc w:val="both"/>
      </w:pPr>
      <w:r>
        <w:rPr>
          <w:sz w:val="24"/>
        </w:rPr>
        <w:t>2.天然林保护修复效益监测评估</w:t>
      </w:r>
    </w:p>
    <w:p>
      <w:pPr>
        <w:pStyle w:val="null3"/>
        <w:ind w:firstLine="480"/>
        <w:jc w:val="both"/>
      </w:pPr>
      <w:r>
        <w:rPr>
          <w:sz w:val="24"/>
        </w:rPr>
        <w:t>（</w:t>
      </w:r>
      <w:r>
        <w:rPr>
          <w:sz w:val="24"/>
        </w:rPr>
        <w:t>1）根据天然林保护修复规划内容及完成情况，综合评价天然林资源数量、质量、结构、功能的变化情况。</w:t>
      </w:r>
    </w:p>
    <w:p>
      <w:pPr>
        <w:pStyle w:val="null3"/>
        <w:ind w:firstLine="480"/>
        <w:jc w:val="both"/>
      </w:pPr>
      <w:r>
        <w:rPr>
          <w:sz w:val="24"/>
        </w:rPr>
        <w:t>（</w:t>
      </w:r>
      <w:r>
        <w:rPr>
          <w:sz w:val="24"/>
        </w:rPr>
        <w:t>2）评价天然林资源生态效益、经济效益、社会效益等。</w:t>
      </w:r>
    </w:p>
    <w:p>
      <w:pPr>
        <w:pStyle w:val="null3"/>
        <w:ind w:firstLine="480"/>
        <w:jc w:val="both"/>
      </w:pPr>
      <w:r>
        <w:rPr>
          <w:sz w:val="24"/>
        </w:rPr>
        <w:t>（</w:t>
      </w:r>
      <w:r>
        <w:rPr>
          <w:sz w:val="24"/>
        </w:rPr>
        <w:t>3）收集天然林保护修复典型事例，总结主要经验和做法。</w:t>
      </w:r>
    </w:p>
    <w:p>
      <w:pPr>
        <w:pStyle w:val="null3"/>
        <w:ind w:firstLine="480"/>
        <w:jc w:val="both"/>
      </w:pPr>
      <w:r>
        <w:rPr>
          <w:sz w:val="24"/>
        </w:rPr>
        <w:t>3.碳汇计量评估及体系构建。通过图斑、样地监测，综合分析评价公益林碳汇资源状况，包括碳储量、碳密度、碳汇的空间分布及时间变化，研建生产力、碳汇增长率模型，推进监测评价方法和手段的科技创新，实现生态公益林碳汇监测年度出数；探索生态公益林固碳增汇策略，加强资源管护、生态公益林质量精准提升和生态保护修复，为谋划未来一段时期公益林发展思路提出建议。</w:t>
      </w:r>
    </w:p>
    <w:p>
      <w:pPr>
        <w:pStyle w:val="null3"/>
        <w:ind w:firstLine="480"/>
        <w:jc w:val="both"/>
      </w:pPr>
      <w:r>
        <w:rPr>
          <w:sz w:val="24"/>
        </w:rPr>
        <w:t>4.</w:t>
      </w:r>
      <w:r>
        <w:rPr>
          <w:sz w:val="24"/>
        </w:rPr>
        <w:t>修改完善广东省天然林保护修复中长期规划。衔接《全国天然林保护修复中长期规划》，落实目标、任务、责任，修改《广东省天然林保护修复中长期规划》，并根据各单位反馈意见，进行修改完善。</w:t>
      </w:r>
    </w:p>
    <w:p>
      <w:pPr>
        <w:pStyle w:val="null3"/>
        <w:jc w:val="both"/>
      </w:pPr>
      <w:r>
        <w:rPr>
          <w:sz w:val="24"/>
          <w:b/>
        </w:rPr>
        <w:t>三、工作成果</w:t>
      </w:r>
    </w:p>
    <w:p>
      <w:pPr>
        <w:pStyle w:val="null3"/>
        <w:ind w:firstLine="480"/>
        <w:jc w:val="both"/>
      </w:pPr>
      <w:r>
        <w:rPr>
          <w:sz w:val="24"/>
        </w:rPr>
        <w:t>完成广东省国家级公益林资源及生态状况年度监测评价、天然林保护修复效益监测评估和公益林碳汇计量评估及体系构建工作，乙方需开展相关调查，并按照甲方及广东省林业局的要求，提交如下资料：</w:t>
      </w:r>
    </w:p>
    <w:p>
      <w:pPr>
        <w:pStyle w:val="null3"/>
        <w:ind w:firstLine="480"/>
        <w:jc w:val="both"/>
      </w:pPr>
      <w:r>
        <w:rPr>
          <w:sz w:val="24"/>
        </w:rPr>
        <w:t>1.监测与评价报告（纸质版10份，电子文档1份）。</w:t>
      </w:r>
    </w:p>
    <w:p>
      <w:pPr>
        <w:pStyle w:val="null3"/>
        <w:ind w:firstLine="480"/>
        <w:jc w:val="both"/>
      </w:pPr>
      <w:r>
        <w:rPr>
          <w:sz w:val="24"/>
        </w:rPr>
        <w:t>（</w:t>
      </w:r>
      <w:r>
        <w:rPr>
          <w:sz w:val="24"/>
        </w:rPr>
        <w:t>1）2025年国家级公益林年度监测与评价报告；</w:t>
      </w:r>
    </w:p>
    <w:p>
      <w:pPr>
        <w:pStyle w:val="null3"/>
        <w:ind w:firstLine="480"/>
        <w:jc w:val="both"/>
      </w:pPr>
      <w:r>
        <w:rPr>
          <w:sz w:val="24"/>
        </w:rPr>
        <w:t>（</w:t>
      </w:r>
      <w:r>
        <w:rPr>
          <w:sz w:val="24"/>
        </w:rPr>
        <w:t>2）2025天然林保护修复效益监测评估报告；</w:t>
      </w:r>
    </w:p>
    <w:p>
      <w:pPr>
        <w:pStyle w:val="null3"/>
        <w:ind w:firstLine="480"/>
        <w:jc w:val="both"/>
      </w:pPr>
      <w:r>
        <w:rPr>
          <w:sz w:val="24"/>
        </w:rPr>
        <w:t>（</w:t>
      </w:r>
      <w:r>
        <w:rPr>
          <w:sz w:val="24"/>
        </w:rPr>
        <w:t>3）2025年公益林碳汇计量评估报告；</w:t>
      </w:r>
    </w:p>
    <w:p>
      <w:pPr>
        <w:pStyle w:val="null3"/>
        <w:ind w:firstLine="480"/>
        <w:jc w:val="both"/>
      </w:pPr>
      <w:r>
        <w:rPr>
          <w:sz w:val="24"/>
        </w:rPr>
        <w:t>（</w:t>
      </w:r>
      <w:r>
        <w:rPr>
          <w:sz w:val="24"/>
        </w:rPr>
        <w:t>4）2025年天然林碳汇计量评估报告；</w:t>
      </w:r>
    </w:p>
    <w:p>
      <w:pPr>
        <w:pStyle w:val="null3"/>
        <w:ind w:firstLine="480"/>
        <w:jc w:val="both"/>
      </w:pPr>
      <w:r>
        <w:rPr>
          <w:sz w:val="24"/>
        </w:rPr>
        <w:t>（</w:t>
      </w:r>
      <w:r>
        <w:rPr>
          <w:sz w:val="24"/>
        </w:rPr>
        <w:t>5）</w:t>
      </w:r>
      <w:r>
        <w:rPr>
          <w:sz w:val="24"/>
        </w:rPr>
        <w:t>广东省天然林保护修复中长期规划</w:t>
      </w:r>
      <w:r>
        <w:rPr>
          <w:sz w:val="24"/>
        </w:rPr>
        <w:t>。</w:t>
      </w:r>
    </w:p>
    <w:p>
      <w:pPr>
        <w:pStyle w:val="null3"/>
        <w:ind w:firstLine="480"/>
        <w:jc w:val="both"/>
      </w:pPr>
      <w:r>
        <w:rPr>
          <w:sz w:val="24"/>
        </w:rPr>
        <w:t>2.遥感判读变化数据（gdb，坐标系CGCS2000）。数据库制作应基于森林草原湿地荒漠化普查平台数据要求，条件成熟时实现在广东省生态公益林专题监测系统的成果表达。</w:t>
      </w:r>
    </w:p>
    <w:p>
      <w:pPr>
        <w:pStyle w:val="null3"/>
        <w:ind w:firstLine="480"/>
        <w:jc w:val="both"/>
      </w:pPr>
      <w:r>
        <w:rPr>
          <w:sz w:val="24"/>
        </w:rPr>
        <w:t>3.国家级公益林和天然林年度更新数据（gdb，坐标系CGCS2000）。数据库制作应基于森林草原湿地荒漠化普查平台数据要求，条件成熟时实现在广东省生态公益林专题监测系统的成果表达。</w:t>
      </w:r>
    </w:p>
    <w:p>
      <w:pPr>
        <w:pStyle w:val="null3"/>
        <w:jc w:val="both"/>
      </w:pPr>
      <w:r>
        <w:rPr>
          <w:sz w:val="24"/>
          <w:b/>
        </w:rPr>
        <w:t>四、具体要求</w:t>
      </w:r>
    </w:p>
    <w:p>
      <w:pPr>
        <w:pStyle w:val="null3"/>
        <w:ind w:firstLine="480"/>
        <w:jc w:val="both"/>
      </w:pPr>
      <w:r>
        <w:rPr>
          <w:sz w:val="24"/>
        </w:rPr>
        <w:t>1.总体要求</w:t>
      </w:r>
    </w:p>
    <w:p>
      <w:pPr>
        <w:pStyle w:val="null3"/>
        <w:ind w:firstLine="480"/>
        <w:jc w:val="both"/>
      </w:pPr>
      <w:r>
        <w:rPr>
          <w:sz w:val="24"/>
        </w:rPr>
        <w:t>（</w:t>
      </w:r>
      <w:r>
        <w:rPr>
          <w:sz w:val="24"/>
        </w:rPr>
        <w:t>1）在广泛、深入、扎实调研的基础上，乙方依据相关技术规程编制各项材料。</w:t>
      </w:r>
    </w:p>
    <w:p>
      <w:pPr>
        <w:pStyle w:val="null3"/>
        <w:ind w:firstLine="480"/>
        <w:jc w:val="both"/>
      </w:pPr>
      <w:r>
        <w:rPr>
          <w:sz w:val="24"/>
        </w:rPr>
        <w:t>（</w:t>
      </w:r>
      <w:r>
        <w:rPr>
          <w:sz w:val="24"/>
        </w:rPr>
        <w:t>2）乙方须按规定的时限提交成果，并对所提交成果的科学性和真实性负责。</w:t>
      </w:r>
    </w:p>
    <w:p>
      <w:pPr>
        <w:pStyle w:val="null3"/>
        <w:ind w:firstLine="480"/>
        <w:jc w:val="both"/>
      </w:pPr>
      <w:r>
        <w:rPr>
          <w:sz w:val="24"/>
        </w:rPr>
        <w:t>（</w:t>
      </w:r>
      <w:r>
        <w:rPr>
          <w:sz w:val="24"/>
        </w:rPr>
        <w:t>3）遵守国家、广东省及当地法律法规并服从甲方管理的前提下实施项目活动，不参与影响地方经济社会发展的活动。</w:t>
      </w:r>
    </w:p>
    <w:p>
      <w:pPr>
        <w:pStyle w:val="null3"/>
        <w:ind w:firstLine="480"/>
        <w:jc w:val="both"/>
      </w:pPr>
      <w:r>
        <w:rPr>
          <w:sz w:val="24"/>
        </w:rPr>
        <w:t>（</w:t>
      </w:r>
      <w:r>
        <w:rPr>
          <w:sz w:val="24"/>
        </w:rPr>
        <w:t>4）对甲方提供的所有数据、资料有责任进行保密，不得用于本项目以外。</w:t>
      </w:r>
    </w:p>
    <w:p>
      <w:pPr>
        <w:pStyle w:val="null3"/>
        <w:ind w:firstLine="480"/>
        <w:jc w:val="both"/>
      </w:pPr>
      <w:r>
        <w:rPr>
          <w:sz w:val="24"/>
        </w:rPr>
        <w:t>2.编制监测和评价报告及制作数据库符合国家有关的规定、规范。提交成果满足国家林业和草原局对国家级公益林和天然林资源情况年度监测的要求。</w:t>
      </w:r>
    </w:p>
    <w:p>
      <w:pPr>
        <w:pStyle w:val="null3"/>
        <w:jc w:val="both"/>
      </w:pPr>
      <w:r>
        <w:rPr>
          <w:sz w:val="24"/>
          <w:b/>
        </w:rPr>
        <w:t>五、时间要求</w:t>
      </w:r>
    </w:p>
    <w:p>
      <w:pPr>
        <w:pStyle w:val="null3"/>
        <w:ind w:firstLine="480"/>
        <w:jc w:val="both"/>
      </w:pPr>
      <w:r>
        <w:rPr>
          <w:sz w:val="24"/>
        </w:rPr>
        <w:t>乙方需在</w:t>
      </w:r>
      <w:r>
        <w:rPr>
          <w:sz w:val="24"/>
        </w:rPr>
        <w:t>2025年11月30日前提交符合要求的所有成果。</w:t>
      </w:r>
    </w:p>
    <w:p>
      <w:pPr>
        <w:pStyle w:val="null3"/>
        <w:jc w:val="both"/>
      </w:pPr>
      <w:r>
        <w:rPr>
          <w:sz w:val="24"/>
          <w:b/>
        </w:rPr>
        <w:t>六、项目验收要求</w:t>
      </w:r>
    </w:p>
    <w:p>
      <w:pPr>
        <w:pStyle w:val="null3"/>
        <w:ind w:firstLine="480"/>
        <w:jc w:val="both"/>
      </w:pPr>
      <w:r>
        <w:rPr>
          <w:sz w:val="24"/>
        </w:rPr>
        <w:t>项目成果通过专家评审或省林业局审查。</w:t>
      </w:r>
    </w:p>
    <w:p>
      <w:pPr>
        <w:pStyle w:val="null3"/>
        <w:jc w:val="both"/>
      </w:pPr>
      <w:r>
        <w:rPr>
          <w:sz w:val="24"/>
          <w:b/>
        </w:rPr>
        <w:t>七、付款方式</w:t>
      </w:r>
    </w:p>
    <w:p>
      <w:pPr>
        <w:pStyle w:val="null3"/>
        <w:jc w:val="both"/>
      </w:pPr>
      <w:r>
        <w:rPr>
          <w:sz w:val="24"/>
        </w:rPr>
        <w:t>1.合同签订并开具相应发票后</w:t>
      </w:r>
      <w:r>
        <w:rPr>
          <w:sz w:val="24"/>
        </w:rPr>
        <w:t>5</w:t>
      </w:r>
      <w:r>
        <w:rPr>
          <w:sz w:val="24"/>
        </w:rPr>
        <w:t>个工作日内，</w:t>
      </w:r>
      <w:r>
        <w:rPr>
          <w:sz w:val="24"/>
        </w:rPr>
        <w:t>甲方</w:t>
      </w:r>
      <w:r>
        <w:rPr>
          <w:sz w:val="24"/>
        </w:rPr>
        <w:t>向</w:t>
      </w:r>
      <w:r>
        <w:rPr>
          <w:sz w:val="24"/>
        </w:rPr>
        <w:t>乙方</w:t>
      </w:r>
      <w:r>
        <w:rPr>
          <w:sz w:val="24"/>
        </w:rPr>
        <w:t>拨付合同总价的</w:t>
      </w:r>
      <w:r>
        <w:rPr>
          <w:sz w:val="24"/>
        </w:rPr>
        <w:t>80%；</w:t>
      </w:r>
    </w:p>
    <w:p>
      <w:pPr>
        <w:pStyle w:val="null3"/>
        <w:jc w:val="both"/>
      </w:pPr>
      <w:r>
        <w:rPr>
          <w:sz w:val="24"/>
        </w:rPr>
        <w:t>2.项目所有成果通过专家评审或审查，且将正式成果提交</w:t>
      </w:r>
      <w:r>
        <w:rPr>
          <w:sz w:val="24"/>
        </w:rPr>
        <w:t>甲方</w:t>
      </w:r>
      <w:r>
        <w:rPr>
          <w:sz w:val="24"/>
        </w:rPr>
        <w:t>并开具相应发票后</w:t>
      </w:r>
      <w:r>
        <w:rPr>
          <w:sz w:val="24"/>
        </w:rPr>
        <w:t>15</w:t>
      </w:r>
      <w:r>
        <w:rPr>
          <w:sz w:val="24"/>
        </w:rPr>
        <w:t>日</w:t>
      </w:r>
      <w:r>
        <w:rPr>
          <w:sz w:val="24"/>
        </w:rPr>
        <w:t>内，</w:t>
      </w:r>
      <w:r>
        <w:rPr>
          <w:sz w:val="24"/>
        </w:rPr>
        <w:t>甲方</w:t>
      </w:r>
      <w:r>
        <w:rPr>
          <w:sz w:val="24"/>
        </w:rPr>
        <w:t>支付</w:t>
      </w:r>
      <w:r>
        <w:rPr>
          <w:sz w:val="24"/>
        </w:rPr>
        <w:t>乙方</w:t>
      </w:r>
      <w:r>
        <w:rPr>
          <w:sz w:val="24"/>
        </w:rPr>
        <w:t>合同总价的</w:t>
      </w:r>
      <w:r>
        <w:rPr>
          <w:sz w:val="24"/>
        </w:rPr>
        <w:t>20%。</w:t>
      </w:r>
    </w:p>
    <w:p>
      <w:pPr>
        <w:pStyle w:val="null3"/>
        <w:jc w:val="both"/>
      </w:pPr>
      <w:r>
        <w:rPr>
          <w:sz w:val="24"/>
        </w:rPr>
        <w:t>注：因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jc w:val="both"/>
      </w:pPr>
      <w:r>
        <w:rPr>
          <w:sz w:val="24"/>
          <w:b/>
        </w:rPr>
        <w:t>八</w:t>
      </w:r>
      <w:r>
        <w:rPr>
          <w:sz w:val="24"/>
          <w:b/>
        </w:rPr>
        <w:t>、</w:t>
      </w:r>
      <w:r>
        <w:rPr>
          <w:sz w:val="24"/>
          <w:b/>
        </w:rPr>
        <w:t>违约责任与赔偿损失</w:t>
      </w:r>
    </w:p>
    <w:p>
      <w:pPr>
        <w:pStyle w:val="null3"/>
        <w:numPr>
          <w:ilvl w:val="0"/>
          <w:numId w:val="1"/>
        </w:numPr>
        <w:jc w:val="both"/>
      </w:pPr>
      <w:r>
        <w:rPr>
          <w:sz w:val="24"/>
        </w:rPr>
        <w:t>乙方提供的服务不符合招标文件、投标文件或本合同规定的，甲方有权拒收，并且乙方须向甲方支付本合同总价</w:t>
      </w:r>
      <w:r>
        <w:rPr>
          <w:sz w:val="24"/>
        </w:rPr>
        <w:t>5%的违约金。</w:t>
      </w:r>
    </w:p>
    <w:p>
      <w:pPr>
        <w:pStyle w:val="null3"/>
        <w:numPr>
          <w:ilvl w:val="0"/>
          <w:numId w:val="1"/>
        </w:numPr>
        <w:ind w:right="210"/>
        <w:jc w:val="both"/>
      </w:pP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numPr>
          <w:ilvl w:val="0"/>
          <w:numId w:val="1"/>
        </w:numPr>
        <w:jc w:val="both"/>
      </w:pP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numPr>
          <w:ilvl w:val="0"/>
          <w:numId w:val="1"/>
        </w:numPr>
        <w:jc w:val="both"/>
      </w:pPr>
      <w:r>
        <w:rPr>
          <w:sz w:val="24"/>
        </w:rPr>
        <w:t>其它违约责任按《</w:t>
      </w:r>
      <w:r>
        <w:rPr>
          <w:sz w:val="24"/>
        </w:rPr>
        <w:t>中华人民共和国民法典</w:t>
      </w:r>
      <w:r>
        <w:rPr>
          <w:sz w:val="24"/>
        </w:rPr>
        <w:t>》处理。</w:t>
      </w:r>
    </w:p>
    <w:p>
      <w:pPr>
        <w:pStyle w:val="null3"/>
        <w:jc w:val="both"/>
      </w:pPr>
      <w:r>
        <w:rPr>
          <w:sz w:val="24"/>
          <w:b/>
        </w:rPr>
        <w:t>九</w:t>
      </w:r>
      <w:r>
        <w:rPr>
          <w:sz w:val="24"/>
          <w:b/>
        </w:rPr>
        <w:t>、</w:t>
      </w:r>
      <w:r>
        <w:rPr>
          <w:sz w:val="24"/>
          <w:b/>
        </w:rPr>
        <w:t>争端的解决</w:t>
      </w:r>
    </w:p>
    <w:p>
      <w:pPr>
        <w:pStyle w:val="null3"/>
        <w:jc w:val="both"/>
      </w:pPr>
      <w:r>
        <w:rPr>
          <w:sz w:val="24"/>
        </w:rPr>
        <w:t xml:space="preserve">    </w:t>
      </w:r>
      <w:r>
        <w:rPr>
          <w:sz w:val="24"/>
        </w:rPr>
        <w:t>合同执行过程中发生的任何争议，如双方不能通过友好协商解决，按相关法律法规处理。</w:t>
      </w:r>
    </w:p>
    <w:p>
      <w:pPr>
        <w:pStyle w:val="null3"/>
        <w:jc w:val="both"/>
      </w:pPr>
      <w:r>
        <w:rPr>
          <w:sz w:val="24"/>
          <w:b/>
        </w:rPr>
        <w:t>十</w:t>
      </w:r>
      <w:r>
        <w:rPr>
          <w:sz w:val="24"/>
          <w:b/>
        </w:rPr>
        <w:t>、</w:t>
      </w:r>
      <w:r>
        <w:rPr>
          <w:sz w:val="24"/>
          <w:b/>
        </w:rPr>
        <w:t>不可抗力：</w:t>
      </w:r>
    </w:p>
    <w:p>
      <w:pPr>
        <w:pStyle w:val="null3"/>
        <w:jc w:val="both"/>
      </w:pPr>
      <w:r>
        <w:rPr>
          <w:sz w:val="24"/>
        </w:rPr>
        <w:t xml:space="preserve">    </w:t>
      </w: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w:t>
      </w:r>
      <w:r>
        <w:rPr>
          <w:sz w:val="24"/>
          <w:b/>
        </w:rPr>
        <w:t>、</w:t>
      </w:r>
      <w:r>
        <w:rPr>
          <w:sz w:val="24"/>
          <w:b/>
        </w:rPr>
        <w:t>税费：</w:t>
      </w:r>
    </w:p>
    <w:p>
      <w:pPr>
        <w:pStyle w:val="null3"/>
        <w:jc w:val="both"/>
      </w:pPr>
      <w:r>
        <w:rPr>
          <w:sz w:val="24"/>
        </w:rPr>
        <w:t xml:space="preserve">   </w:t>
      </w:r>
      <w:r>
        <w:rPr>
          <w:sz w:val="24"/>
        </w:rPr>
        <w:t>在中国境内、外发生的与本合同执行有关的一切税费均由乙方负担。</w:t>
      </w:r>
    </w:p>
    <w:p>
      <w:pPr>
        <w:pStyle w:val="null3"/>
        <w:jc w:val="both"/>
      </w:pPr>
      <w:r>
        <w:rPr>
          <w:sz w:val="24"/>
          <w:b/>
        </w:rPr>
        <w:t>十</w:t>
      </w:r>
      <w:r>
        <w:rPr>
          <w:sz w:val="24"/>
          <w:b/>
        </w:rPr>
        <w:t>二</w:t>
      </w:r>
      <w:r>
        <w:rPr>
          <w:sz w:val="24"/>
          <w:b/>
        </w:rPr>
        <w:t>、</w:t>
      </w:r>
      <w:r>
        <w:rPr>
          <w:sz w:val="24"/>
          <w:b/>
        </w:rPr>
        <w:t>其它</w:t>
      </w:r>
    </w:p>
    <w:p>
      <w:pPr>
        <w:pStyle w:val="null3"/>
        <w:numPr>
          <w:ilvl w:val="0"/>
          <w:numId w:val="1"/>
        </w:numPr>
        <w:jc w:val="both"/>
      </w:pPr>
      <w:r>
        <w:rPr>
          <w:sz w:val="24"/>
        </w:rPr>
        <w:t>本合同所有附件、招标文件、投标文件、中标通知书均为合同的有效组成部分，与本合同具有同等法律效力。</w:t>
      </w:r>
    </w:p>
    <w:p>
      <w:pPr>
        <w:pStyle w:val="null3"/>
        <w:numPr>
          <w:ilvl w:val="0"/>
          <w:numId w:val="1"/>
        </w:numPr>
        <w:jc w:val="both"/>
      </w:pPr>
      <w:r>
        <w:rPr>
          <w:sz w:val="24"/>
        </w:rPr>
        <w:t>在执行本合同的过程中，所有经双方签署确认的文件（包括会议纪要、补充协议、往来信函）即成为本合同的有效组成部分。</w:t>
      </w:r>
    </w:p>
    <w:p>
      <w:pPr>
        <w:pStyle w:val="null3"/>
        <w:numPr>
          <w:ilvl w:val="0"/>
          <w:numId w:val="1"/>
        </w:numPr>
        <w:jc w:val="both"/>
      </w:pPr>
      <w:r>
        <w:rPr>
          <w:sz w:val="24"/>
        </w:rPr>
        <w:t>如一方地址、电话、传真号码有变更，应在变更当日内书面通知对方，否则，应承担相应责任。</w:t>
      </w:r>
    </w:p>
    <w:p>
      <w:pPr>
        <w:pStyle w:val="null3"/>
        <w:numPr>
          <w:ilvl w:val="0"/>
          <w:numId w:val="1"/>
        </w:numPr>
        <w:jc w:val="both"/>
      </w:pPr>
      <w:r>
        <w:rPr>
          <w:sz w:val="24"/>
        </w:rPr>
        <w:t>除甲方事先书面同意外，乙方不得部分或全部转让其应履行的合同项下的义务。</w:t>
      </w:r>
    </w:p>
    <w:p>
      <w:pPr>
        <w:pStyle w:val="null3"/>
        <w:jc w:val="both"/>
      </w:pPr>
      <w:r>
        <w:rPr>
          <w:sz w:val="24"/>
          <w:b/>
        </w:rPr>
        <w:t>十</w:t>
      </w:r>
      <w:r>
        <w:rPr>
          <w:sz w:val="24"/>
          <w:b/>
        </w:rPr>
        <w:t>三</w:t>
      </w:r>
      <w:r>
        <w:rPr>
          <w:sz w:val="24"/>
          <w:b/>
        </w:rPr>
        <w:t>、</w:t>
      </w:r>
      <w:r>
        <w:rPr>
          <w:sz w:val="24"/>
          <w:b/>
        </w:rPr>
        <w:t>合同生效：</w:t>
      </w:r>
    </w:p>
    <w:p>
      <w:pPr>
        <w:pStyle w:val="null3"/>
        <w:numPr>
          <w:ilvl w:val="0"/>
          <w:numId w:val="1"/>
        </w:numPr>
        <w:jc w:val="both"/>
      </w:pPr>
      <w:r>
        <w:rPr>
          <w:sz w:val="24"/>
        </w:rPr>
        <w:t>本合同在甲乙双方法人代表或其授权代表签字盖章后生效。</w:t>
      </w:r>
    </w:p>
    <w:p>
      <w:pPr>
        <w:pStyle w:val="null3"/>
        <w:numPr>
          <w:ilvl w:val="0"/>
          <w:numId w:val="1"/>
        </w:numPr>
        <w:jc w:val="both"/>
      </w:pPr>
      <w:r>
        <w:rPr>
          <w:sz w:val="24"/>
        </w:rPr>
        <w:t>合同一式</w:t>
      </w:r>
      <w:r>
        <w:rPr>
          <w:sz w:val="21"/>
          <w:u w:val="single"/>
        </w:rPr>
        <w:t xml:space="preserve">    </w:t>
      </w:r>
      <w:r>
        <w:rPr>
          <w:sz w:val="24"/>
        </w:rPr>
        <w:t>份，甲、乙双方各执</w:t>
      </w:r>
      <w:r>
        <w:rPr>
          <w:sz w:val="21"/>
          <w:u w:val="single"/>
        </w:rPr>
        <w:t xml:space="preserve">    </w:t>
      </w:r>
      <w:r>
        <w:rPr>
          <w:sz w:val="24"/>
        </w:rPr>
        <w:t>份，采购代理机构</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440001-2025-14684</w:t>
      </w:r>
    </w:p>
    <w:p>
      <w:pPr>
        <w:pStyle w:val="null3"/>
        <w:jc w:val="center"/>
        <w:outlineLvl w:val="3"/>
      </w:pPr>
      <w:r>
        <w:rPr>
          <w:sz w:val="24"/>
          <w:b/>
        </w:rPr>
        <w:t>采购项目编号：</w:t>
      </w:r>
      <w:r>
        <w:rPr>
          <w:sz w:val="24"/>
          <w:b/>
        </w:rPr>
        <w:t>HYGZ25ZZ01C0602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2025年度国家级公益林（天然林）监测评价</w:t>
      </w:r>
      <w:r>
        <w:rPr>
          <w:u w:val="single"/>
        </w:rPr>
        <w:t>”</w:t>
      </w:r>
      <w:r>
        <w:rPr/>
        <w:t>项目的招标[采购项目编号为：</w:t>
      </w:r>
      <w:r>
        <w:rPr>
          <w:u w:val="single"/>
        </w:rPr>
        <w:t>HYGZ25ZZ01C0602</w:t>
      </w:r>
      <w:r>
        <w:rPr/>
        <w:t>]，我方愿参与投标。</w:t>
      </w:r>
    </w:p>
    <w:p>
      <w:pPr>
        <w:pStyle w:val="null3"/>
        <w:ind w:firstLine="480"/>
      </w:pPr>
      <w:r>
        <w:rPr/>
        <w:t>我方确认收到贵方提供的</w:t>
      </w:r>
      <w:r>
        <w:rPr>
          <w:u w:val="single"/>
        </w:rPr>
        <w:t>“</w:t>
      </w:r>
      <w:r>
        <w:rPr>
          <w:u w:val="single"/>
        </w:rPr>
        <w:t>2025年度国家级公益林（天然林）监测评价</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2025年度国家级公益林（天然林）监测评价</w:t>
      </w:r>
      <w:r>
        <w:rPr/>
        <w:t>”项目采购[采购项目编号为</w:t>
      </w:r>
      <w:r>
        <w:rPr/>
        <w:t>HYGZ25ZZ01C0602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2025年度国家级公益林（天然林）监测评价</w:t>
      </w:r>
      <w:r>
        <w:rPr/>
        <w:t>招标中获中标（采购项目编号：</w:t>
      </w:r>
      <w:r>
        <w:rPr/>
        <w:t>HYGZ25ZZ01C0602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广东弘烨项目管理有限公司</w:t>
      </w:r>
    </w:p>
    <w:p>
      <w:pPr>
        <w:pStyle w:val="null3"/>
        <w:ind w:firstLine="480"/>
      </w:pPr>
      <w:r>
        <w:rPr/>
        <w:t>我单位已登记并准备参与“</w:t>
      </w:r>
      <w:r>
        <w:rPr/>
        <w:t>2025年度国家级公益林（天然林）监测评价</w:t>
      </w:r>
      <w:r>
        <w:rPr/>
        <w:t>”项目（采购项目编号：</w:t>
      </w:r>
      <w:r>
        <w:rPr/>
        <w:t>HYGZ25ZZ01C0602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