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0C6" w:rsidRDefault="00C360C6" w:rsidP="00C360C6">
      <w:pPr>
        <w:spacing w:after="0" w:line="360" w:lineRule="auto"/>
        <w:ind w:firstLineChars="200" w:firstLine="482"/>
        <w:rPr>
          <w:rFonts w:ascii="仿宋" w:eastAsia="仿宋" w:hAnsi="仿宋"/>
          <w:b/>
          <w:sz w:val="24"/>
        </w:rPr>
      </w:pPr>
      <w:r>
        <w:rPr>
          <w:rFonts w:ascii="仿宋" w:eastAsia="仿宋" w:hAnsi="仿宋" w:hint="eastAsia"/>
          <w:b/>
          <w:sz w:val="24"/>
        </w:rPr>
        <w:t>前提：本章中标注“★”的条款为本项目的实质性条款，投标人不满足的，将按照无效投标处理。“▲”的条款为本次招标采购项目的重要参数，</w:t>
      </w:r>
      <w:r>
        <w:rPr>
          <w:rFonts w:ascii="仿宋" w:eastAsia="仿宋" w:hAnsi="仿宋" w:hint="eastAsia"/>
          <w:b/>
          <w:spacing w:val="-4"/>
          <w:sz w:val="24"/>
        </w:rPr>
        <w:t>负偏离按照综合评分明细表的要求扣分处理</w:t>
      </w:r>
      <w:r>
        <w:rPr>
          <w:rFonts w:ascii="仿宋" w:eastAsia="仿宋" w:hAnsi="仿宋" w:hint="eastAsia"/>
          <w:b/>
          <w:sz w:val="24"/>
        </w:rPr>
        <w:t>。</w:t>
      </w:r>
    </w:p>
    <w:p w:rsidR="00C360C6" w:rsidRDefault="00C360C6" w:rsidP="00C360C6">
      <w:pPr>
        <w:spacing w:after="0" w:line="360" w:lineRule="auto"/>
        <w:ind w:firstLineChars="200" w:firstLine="482"/>
        <w:rPr>
          <w:rFonts w:ascii="仿宋" w:eastAsia="仿宋" w:hAnsi="仿宋"/>
          <w:b/>
          <w:bCs/>
          <w:sz w:val="24"/>
        </w:rPr>
      </w:pPr>
      <w:r>
        <w:rPr>
          <w:rFonts w:ascii="仿宋" w:eastAsia="仿宋" w:hAnsi="仿宋" w:hint="eastAsia"/>
          <w:b/>
          <w:bCs/>
          <w:sz w:val="24"/>
        </w:rPr>
        <w:t>一、 项目概述</w:t>
      </w:r>
    </w:p>
    <w:p w:rsidR="00C360C6" w:rsidRDefault="00C360C6" w:rsidP="00C360C6">
      <w:pPr>
        <w:pStyle w:val="a3"/>
        <w:spacing w:after="0" w:line="360" w:lineRule="auto"/>
        <w:ind w:firstLine="464"/>
        <w:rPr>
          <w:rFonts w:ascii="仿宋" w:eastAsia="仿宋" w:hAnsi="仿宋"/>
          <w:bCs/>
          <w:sz w:val="24"/>
        </w:rPr>
      </w:pPr>
      <w:bookmarkStart w:id="0" w:name="_Toc217446095"/>
      <w:r>
        <w:rPr>
          <w:rFonts w:ascii="仿宋" w:eastAsia="仿宋" w:hAnsi="仿宋" w:hint="eastAsia"/>
          <w:spacing w:val="-4"/>
          <w:sz w:val="24"/>
        </w:rPr>
        <w:t>本项目一个包，采购眼科激光治疗仪</w:t>
      </w:r>
      <w:r>
        <w:rPr>
          <w:rFonts w:ascii="仿宋" w:eastAsia="仿宋" w:hAnsi="仿宋" w:hint="eastAsia"/>
          <w:sz w:val="24"/>
        </w:rPr>
        <w:t>一套。</w:t>
      </w:r>
    </w:p>
    <w:p w:rsidR="00C360C6" w:rsidRDefault="00C360C6" w:rsidP="00C360C6">
      <w:pPr>
        <w:spacing w:after="0" w:line="360" w:lineRule="auto"/>
        <w:ind w:firstLineChars="200" w:firstLine="482"/>
        <w:rPr>
          <w:rFonts w:ascii="仿宋" w:eastAsia="仿宋" w:hAnsi="仿宋"/>
          <w:b/>
          <w:bCs/>
          <w:sz w:val="24"/>
        </w:rPr>
      </w:pPr>
      <w:r>
        <w:rPr>
          <w:rFonts w:ascii="仿宋" w:eastAsia="仿宋" w:hAnsi="仿宋" w:hint="eastAsia"/>
          <w:b/>
          <w:bCs/>
          <w:sz w:val="24"/>
        </w:rPr>
        <w:t>二、项目清单</w:t>
      </w:r>
    </w:p>
    <w:tbl>
      <w:tblPr>
        <w:tblStyle w:val="a4"/>
        <w:tblW w:w="8394" w:type="dxa"/>
        <w:jc w:val="center"/>
        <w:tblLayout w:type="fixed"/>
        <w:tblLook w:val="04A0" w:firstRow="1" w:lastRow="0" w:firstColumn="1" w:lastColumn="0" w:noHBand="0" w:noVBand="1"/>
      </w:tblPr>
      <w:tblGrid>
        <w:gridCol w:w="696"/>
        <w:gridCol w:w="696"/>
        <w:gridCol w:w="1228"/>
        <w:gridCol w:w="900"/>
        <w:gridCol w:w="709"/>
        <w:gridCol w:w="712"/>
        <w:gridCol w:w="881"/>
        <w:gridCol w:w="910"/>
        <w:gridCol w:w="940"/>
        <w:gridCol w:w="722"/>
      </w:tblGrid>
      <w:tr w:rsidR="00C360C6" w:rsidTr="006B3E7D">
        <w:trPr>
          <w:trHeight w:val="2066"/>
          <w:jc w:val="center"/>
        </w:trPr>
        <w:tc>
          <w:tcPr>
            <w:tcW w:w="696" w:type="dxa"/>
            <w:vAlign w:val="center"/>
          </w:tcPr>
          <w:p w:rsidR="00C360C6" w:rsidRDefault="00C360C6" w:rsidP="006B3E7D">
            <w:pPr>
              <w:spacing w:after="0" w:line="360" w:lineRule="auto"/>
              <w:jc w:val="center"/>
              <w:rPr>
                <w:rFonts w:ascii="仿宋" w:eastAsia="仿宋" w:hAnsi="仿宋"/>
                <w:bCs/>
                <w:sz w:val="24"/>
              </w:rPr>
            </w:pPr>
            <w:proofErr w:type="gramStart"/>
            <w:r>
              <w:rPr>
                <w:rFonts w:ascii="仿宋" w:eastAsia="仿宋" w:hAnsi="仿宋" w:hint="eastAsia"/>
                <w:bCs/>
                <w:sz w:val="24"/>
              </w:rPr>
              <w:t>包号</w:t>
            </w:r>
            <w:proofErr w:type="gramEnd"/>
          </w:p>
        </w:tc>
        <w:tc>
          <w:tcPr>
            <w:tcW w:w="696" w:type="dxa"/>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品目号</w:t>
            </w:r>
          </w:p>
        </w:tc>
        <w:tc>
          <w:tcPr>
            <w:tcW w:w="1228" w:type="dxa"/>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标的</w:t>
            </w:r>
            <w:r>
              <w:rPr>
                <w:rFonts w:ascii="仿宋" w:eastAsia="仿宋" w:hAnsi="仿宋"/>
                <w:bCs/>
                <w:sz w:val="24"/>
              </w:rPr>
              <w:t>名称</w:t>
            </w:r>
          </w:p>
        </w:tc>
        <w:tc>
          <w:tcPr>
            <w:tcW w:w="900" w:type="dxa"/>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所属行业</w:t>
            </w:r>
          </w:p>
        </w:tc>
        <w:tc>
          <w:tcPr>
            <w:tcW w:w="709" w:type="dxa"/>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数量</w:t>
            </w:r>
          </w:p>
        </w:tc>
        <w:tc>
          <w:tcPr>
            <w:tcW w:w="712" w:type="dxa"/>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是否允许进口产品</w:t>
            </w:r>
          </w:p>
        </w:tc>
        <w:tc>
          <w:tcPr>
            <w:tcW w:w="881" w:type="dxa"/>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是否属于强制采购节能产品</w:t>
            </w:r>
          </w:p>
        </w:tc>
        <w:tc>
          <w:tcPr>
            <w:tcW w:w="910" w:type="dxa"/>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是否属于优先采购节能产品</w:t>
            </w:r>
          </w:p>
        </w:tc>
        <w:tc>
          <w:tcPr>
            <w:tcW w:w="940" w:type="dxa"/>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是否属于优先采购环境标志产品</w:t>
            </w:r>
          </w:p>
        </w:tc>
        <w:tc>
          <w:tcPr>
            <w:tcW w:w="722" w:type="dxa"/>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是否涉及核心产品</w:t>
            </w:r>
          </w:p>
        </w:tc>
      </w:tr>
      <w:tr w:rsidR="00C360C6" w:rsidTr="006B3E7D">
        <w:trPr>
          <w:trHeight w:val="478"/>
          <w:jc w:val="center"/>
        </w:trPr>
        <w:tc>
          <w:tcPr>
            <w:tcW w:w="696"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bCs/>
                <w:sz w:val="24"/>
              </w:rPr>
              <w:t>01包</w:t>
            </w:r>
          </w:p>
        </w:tc>
        <w:tc>
          <w:tcPr>
            <w:tcW w:w="696"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1-1</w:t>
            </w:r>
          </w:p>
        </w:tc>
        <w:tc>
          <w:tcPr>
            <w:tcW w:w="1228"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眼科激光治疗仪</w:t>
            </w:r>
          </w:p>
        </w:tc>
        <w:tc>
          <w:tcPr>
            <w:tcW w:w="900"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工业（制造业）</w:t>
            </w:r>
          </w:p>
        </w:tc>
        <w:tc>
          <w:tcPr>
            <w:tcW w:w="709"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1套</w:t>
            </w:r>
          </w:p>
        </w:tc>
        <w:tc>
          <w:tcPr>
            <w:tcW w:w="712"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是</w:t>
            </w:r>
          </w:p>
        </w:tc>
        <w:tc>
          <w:tcPr>
            <w:tcW w:w="881"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否</w:t>
            </w:r>
          </w:p>
        </w:tc>
        <w:tc>
          <w:tcPr>
            <w:tcW w:w="910"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否</w:t>
            </w:r>
          </w:p>
        </w:tc>
        <w:tc>
          <w:tcPr>
            <w:tcW w:w="940"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否</w:t>
            </w:r>
          </w:p>
        </w:tc>
        <w:tc>
          <w:tcPr>
            <w:tcW w:w="722" w:type="dxa"/>
            <w:vMerge w:val="restart"/>
            <w:vAlign w:val="center"/>
          </w:tcPr>
          <w:p w:rsidR="00C360C6" w:rsidRDefault="00C360C6" w:rsidP="006B3E7D">
            <w:pPr>
              <w:spacing w:after="0" w:line="360" w:lineRule="auto"/>
              <w:jc w:val="center"/>
              <w:rPr>
                <w:rFonts w:ascii="仿宋" w:eastAsia="仿宋" w:hAnsi="仿宋"/>
                <w:bCs/>
                <w:sz w:val="24"/>
              </w:rPr>
            </w:pPr>
            <w:r>
              <w:rPr>
                <w:rFonts w:ascii="仿宋" w:eastAsia="仿宋" w:hAnsi="仿宋" w:hint="eastAsia"/>
                <w:bCs/>
                <w:sz w:val="24"/>
              </w:rPr>
              <w:t>是</w:t>
            </w:r>
          </w:p>
        </w:tc>
      </w:tr>
      <w:tr w:rsidR="00C360C6" w:rsidTr="006B3E7D">
        <w:trPr>
          <w:trHeight w:val="478"/>
          <w:jc w:val="center"/>
        </w:trPr>
        <w:tc>
          <w:tcPr>
            <w:tcW w:w="696" w:type="dxa"/>
            <w:vMerge/>
            <w:vAlign w:val="center"/>
          </w:tcPr>
          <w:p w:rsidR="00C360C6" w:rsidRDefault="00C360C6" w:rsidP="006B3E7D">
            <w:pPr>
              <w:spacing w:after="0" w:line="360" w:lineRule="auto"/>
              <w:jc w:val="center"/>
              <w:rPr>
                <w:rFonts w:ascii="仿宋" w:eastAsia="仿宋" w:hAnsi="仿宋"/>
                <w:bCs/>
                <w:sz w:val="24"/>
              </w:rPr>
            </w:pPr>
          </w:p>
        </w:tc>
        <w:tc>
          <w:tcPr>
            <w:tcW w:w="696" w:type="dxa"/>
            <w:vMerge/>
            <w:vAlign w:val="center"/>
          </w:tcPr>
          <w:p w:rsidR="00C360C6" w:rsidRDefault="00C360C6" w:rsidP="006B3E7D">
            <w:pPr>
              <w:spacing w:after="0" w:line="360" w:lineRule="auto"/>
              <w:jc w:val="center"/>
              <w:rPr>
                <w:rFonts w:ascii="仿宋" w:eastAsia="仿宋" w:hAnsi="仿宋"/>
                <w:bCs/>
                <w:sz w:val="24"/>
              </w:rPr>
            </w:pPr>
          </w:p>
        </w:tc>
        <w:tc>
          <w:tcPr>
            <w:tcW w:w="1228" w:type="dxa"/>
            <w:vMerge/>
            <w:vAlign w:val="center"/>
          </w:tcPr>
          <w:p w:rsidR="00C360C6" w:rsidRDefault="00C360C6" w:rsidP="006B3E7D">
            <w:pPr>
              <w:spacing w:after="0" w:line="360" w:lineRule="auto"/>
              <w:jc w:val="center"/>
              <w:rPr>
                <w:rFonts w:ascii="仿宋" w:eastAsia="仿宋" w:hAnsi="仿宋"/>
                <w:bCs/>
                <w:sz w:val="24"/>
              </w:rPr>
            </w:pPr>
          </w:p>
        </w:tc>
        <w:tc>
          <w:tcPr>
            <w:tcW w:w="900" w:type="dxa"/>
            <w:vMerge/>
            <w:vAlign w:val="center"/>
          </w:tcPr>
          <w:p w:rsidR="00C360C6" w:rsidRDefault="00C360C6" w:rsidP="006B3E7D">
            <w:pPr>
              <w:spacing w:after="0" w:line="360" w:lineRule="auto"/>
              <w:jc w:val="center"/>
              <w:rPr>
                <w:rFonts w:ascii="仿宋" w:eastAsia="仿宋" w:hAnsi="仿宋"/>
                <w:bCs/>
                <w:sz w:val="24"/>
              </w:rPr>
            </w:pPr>
          </w:p>
        </w:tc>
        <w:tc>
          <w:tcPr>
            <w:tcW w:w="709" w:type="dxa"/>
            <w:vMerge/>
            <w:vAlign w:val="center"/>
          </w:tcPr>
          <w:p w:rsidR="00C360C6" w:rsidRDefault="00C360C6" w:rsidP="006B3E7D">
            <w:pPr>
              <w:spacing w:after="0" w:line="360" w:lineRule="auto"/>
              <w:jc w:val="center"/>
              <w:rPr>
                <w:rFonts w:ascii="仿宋" w:eastAsia="仿宋" w:hAnsi="仿宋"/>
                <w:bCs/>
                <w:sz w:val="24"/>
              </w:rPr>
            </w:pPr>
          </w:p>
        </w:tc>
        <w:tc>
          <w:tcPr>
            <w:tcW w:w="712" w:type="dxa"/>
            <w:vMerge/>
            <w:vAlign w:val="center"/>
          </w:tcPr>
          <w:p w:rsidR="00C360C6" w:rsidRDefault="00C360C6" w:rsidP="006B3E7D">
            <w:pPr>
              <w:spacing w:after="0" w:line="360" w:lineRule="auto"/>
              <w:jc w:val="center"/>
              <w:rPr>
                <w:rFonts w:ascii="仿宋" w:eastAsia="仿宋" w:hAnsi="仿宋"/>
                <w:bCs/>
                <w:sz w:val="24"/>
              </w:rPr>
            </w:pPr>
          </w:p>
        </w:tc>
        <w:tc>
          <w:tcPr>
            <w:tcW w:w="881" w:type="dxa"/>
            <w:vMerge/>
            <w:vAlign w:val="center"/>
          </w:tcPr>
          <w:p w:rsidR="00C360C6" w:rsidRDefault="00C360C6" w:rsidP="006B3E7D">
            <w:pPr>
              <w:spacing w:after="0" w:line="360" w:lineRule="auto"/>
              <w:jc w:val="center"/>
              <w:rPr>
                <w:rFonts w:ascii="仿宋" w:eastAsia="仿宋" w:hAnsi="仿宋"/>
                <w:bCs/>
                <w:sz w:val="24"/>
              </w:rPr>
            </w:pPr>
          </w:p>
        </w:tc>
        <w:tc>
          <w:tcPr>
            <w:tcW w:w="910" w:type="dxa"/>
            <w:vMerge/>
            <w:vAlign w:val="center"/>
          </w:tcPr>
          <w:p w:rsidR="00C360C6" w:rsidRDefault="00C360C6" w:rsidP="006B3E7D">
            <w:pPr>
              <w:spacing w:after="0" w:line="360" w:lineRule="auto"/>
              <w:jc w:val="center"/>
              <w:rPr>
                <w:rFonts w:ascii="仿宋" w:eastAsia="仿宋" w:hAnsi="仿宋"/>
                <w:bCs/>
                <w:sz w:val="24"/>
              </w:rPr>
            </w:pPr>
          </w:p>
        </w:tc>
        <w:tc>
          <w:tcPr>
            <w:tcW w:w="940" w:type="dxa"/>
            <w:vMerge/>
            <w:vAlign w:val="center"/>
          </w:tcPr>
          <w:p w:rsidR="00C360C6" w:rsidRDefault="00C360C6" w:rsidP="006B3E7D">
            <w:pPr>
              <w:spacing w:after="0" w:line="360" w:lineRule="auto"/>
              <w:jc w:val="center"/>
              <w:rPr>
                <w:rFonts w:ascii="仿宋" w:eastAsia="仿宋" w:hAnsi="仿宋"/>
                <w:bCs/>
                <w:sz w:val="24"/>
              </w:rPr>
            </w:pPr>
          </w:p>
        </w:tc>
        <w:tc>
          <w:tcPr>
            <w:tcW w:w="722" w:type="dxa"/>
            <w:vMerge/>
            <w:vAlign w:val="center"/>
          </w:tcPr>
          <w:p w:rsidR="00C360C6" w:rsidRDefault="00C360C6" w:rsidP="006B3E7D">
            <w:pPr>
              <w:spacing w:after="0" w:line="360" w:lineRule="auto"/>
              <w:jc w:val="center"/>
              <w:rPr>
                <w:rFonts w:ascii="仿宋" w:eastAsia="仿宋" w:hAnsi="仿宋"/>
                <w:bCs/>
                <w:sz w:val="24"/>
              </w:rPr>
            </w:pPr>
          </w:p>
        </w:tc>
      </w:tr>
    </w:tbl>
    <w:p w:rsidR="00C360C6" w:rsidRDefault="00C360C6" w:rsidP="00C360C6">
      <w:pPr>
        <w:spacing w:after="0" w:line="360" w:lineRule="auto"/>
        <w:ind w:firstLineChars="200" w:firstLine="480"/>
        <w:rPr>
          <w:rFonts w:ascii="仿宋" w:eastAsia="仿宋" w:hAnsi="仿宋"/>
          <w:b/>
          <w:bCs/>
          <w:sz w:val="24"/>
        </w:rPr>
      </w:pPr>
      <w:r>
        <w:rPr>
          <w:rFonts w:ascii="仿宋" w:eastAsia="仿宋" w:hAnsi="仿宋" w:hint="eastAsia"/>
          <w:sz w:val="24"/>
        </w:rPr>
        <w:t>★</w:t>
      </w:r>
      <w:r>
        <w:rPr>
          <w:rFonts w:ascii="仿宋" w:eastAsia="仿宋" w:hAnsi="仿宋" w:hint="eastAsia"/>
          <w:b/>
          <w:bCs/>
          <w:sz w:val="24"/>
        </w:rPr>
        <w:t>三、 商务要求</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1.交货时间：合同签订后60日内。</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2.交货地点：攀枝花市中西医结合医院。</w:t>
      </w:r>
    </w:p>
    <w:p w:rsidR="00C360C6" w:rsidRDefault="00C360C6" w:rsidP="00C360C6">
      <w:pPr>
        <w:spacing w:after="0" w:line="360" w:lineRule="auto"/>
        <w:ind w:firstLineChars="200" w:firstLine="480"/>
        <w:rPr>
          <w:rFonts w:ascii="Arial" w:eastAsia="黑体" w:hAnsi="Arial"/>
          <w:b/>
          <w:bCs/>
          <w:sz w:val="32"/>
          <w:szCs w:val="32"/>
        </w:rPr>
      </w:pPr>
      <w:r>
        <w:rPr>
          <w:rFonts w:ascii="仿宋" w:eastAsia="仿宋" w:hAnsi="仿宋" w:hint="eastAsia"/>
          <w:sz w:val="24"/>
        </w:rPr>
        <w:t>3.付款方法和条件：</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3.1支付方式：分期付款</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3.2付款条件说明：合同签订后支付合同金额的30%，验收合格后支付合同金额的60%，剩余的10%在1年以后支付。</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4.质量保修范围和保修期：</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4.1自验收合格之日起，质保期1年，质保期内中标人负责对设备保修和更换损坏的零部件（耗材，易损件及人为原因造成的损坏除外）。</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4.2质保期内中标人应免费负责设备维修及抢修，同一产品修理两次仍不能正常使用，中标人应更换同型号同规格的产品，若同型号同规格的产品停产或因生产缺货，中标人应提供不低于采购型号规格功能的产品进行替换，更换产品的质保期重新计算。</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lastRenderedPageBreak/>
        <w:t>5.履约验收：</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5.1验收交付标准和方法：按国家有关规定、招标文件的质量要求和技术指标、中标人的投标文件及承诺以及合同约定标准进行验收。其他未尽事宜将按照《财政部关于进一步加强政府采购需求和履约验收管理的指导意见》(财库(2016) 205号)规定的标准、方法和内容进行验收。</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5.2履约验收方案</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 xml:space="preserve">1）验收组织方式：自行验收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2）是否邀请本项目的其他供应商：</w:t>
      </w:r>
      <w:proofErr w:type="gramStart"/>
      <w:r>
        <w:rPr>
          <w:rFonts w:ascii="仿宋" w:eastAsia="仿宋" w:hAnsi="仿宋"/>
          <w:sz w:val="24"/>
        </w:rPr>
        <w:t>否</w:t>
      </w:r>
      <w:proofErr w:type="gramEnd"/>
      <w:r>
        <w:rPr>
          <w:rFonts w:ascii="仿宋" w:eastAsia="仿宋" w:hAnsi="仿宋"/>
          <w:sz w:val="24"/>
        </w:rPr>
        <w:t xml:space="preserve">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3）是否邀请专家：</w:t>
      </w:r>
      <w:proofErr w:type="gramStart"/>
      <w:r>
        <w:rPr>
          <w:rFonts w:ascii="仿宋" w:eastAsia="仿宋" w:hAnsi="仿宋"/>
          <w:sz w:val="24"/>
        </w:rPr>
        <w:t>否</w:t>
      </w:r>
      <w:proofErr w:type="gramEnd"/>
      <w:r>
        <w:rPr>
          <w:rFonts w:ascii="仿宋" w:eastAsia="仿宋" w:hAnsi="仿宋"/>
          <w:sz w:val="24"/>
        </w:rPr>
        <w:t xml:space="preserve">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4）是否邀请服务对象：</w:t>
      </w:r>
      <w:proofErr w:type="gramStart"/>
      <w:r>
        <w:rPr>
          <w:rFonts w:ascii="仿宋" w:eastAsia="仿宋" w:hAnsi="仿宋"/>
          <w:sz w:val="24"/>
        </w:rPr>
        <w:t>否</w:t>
      </w:r>
      <w:proofErr w:type="gramEnd"/>
      <w:r>
        <w:rPr>
          <w:rFonts w:ascii="仿宋" w:eastAsia="仿宋" w:hAnsi="仿宋"/>
          <w:sz w:val="24"/>
        </w:rPr>
        <w:t xml:space="preserve">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5）是否邀请第三方检测机构：</w:t>
      </w:r>
      <w:proofErr w:type="gramStart"/>
      <w:r>
        <w:rPr>
          <w:rFonts w:ascii="仿宋" w:eastAsia="仿宋" w:hAnsi="仿宋"/>
          <w:sz w:val="24"/>
        </w:rPr>
        <w:t>否</w:t>
      </w:r>
      <w:proofErr w:type="gramEnd"/>
      <w:r>
        <w:rPr>
          <w:rFonts w:ascii="仿宋" w:eastAsia="仿宋" w:hAnsi="仿宋"/>
          <w:sz w:val="24"/>
        </w:rPr>
        <w:t xml:space="preserve">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 xml:space="preserve">6）履约验收程序：一次性验收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 xml:space="preserve">7）履约验收时间：供应商提出验收申请之日起15日内组织验收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 xml:space="preserve">8）验收组织的其他事项：无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 xml:space="preserve">9）技术履约验收内容：按照本项目招标文件中“技术、服务要求”及中标人投标文件进行验收。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 xml:space="preserve">10）商务履约验收内容：按照本项目招标文件中“商务要求”及中标人投标文件进行验收。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11）履约验收标准：如出现未在采购文件中明确规定的，以国家或行业相关标准为准。如采购双方如对质量要求和技术指标的约定标准有相互抵触或异议的事项，由采购人在采购文件与投标文件中按质量要求和技术指标、行业标准比较优胜的原则确定该项的约定标准进行验收。如出现争议，在场验收人员无法确定的，委托第三方质检机构进行检测，检测费用由中标人垫付，最终验收标准以检测结果为准，如检测合格由采购人承担检测费用，如检测不合格由中标人承担。验收的主要依据如下:（1）国家相关的法律法规；（2）国家或行业相关标准规范；（3）本项目招标文件、</w:t>
      </w:r>
      <w:r>
        <w:rPr>
          <w:rFonts w:ascii="仿宋" w:eastAsia="仿宋" w:hAnsi="仿宋" w:hint="eastAsia"/>
          <w:sz w:val="24"/>
        </w:rPr>
        <w:t>中标人</w:t>
      </w:r>
      <w:r>
        <w:rPr>
          <w:rFonts w:ascii="仿宋" w:eastAsia="仿宋" w:hAnsi="仿宋"/>
          <w:sz w:val="24"/>
        </w:rPr>
        <w:t xml:space="preserve">投标文件；（4）项目合同及其附件；（5）其他相关文件资料。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12）履约验收其他事项：无</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6.售后服务：</w:t>
      </w:r>
    </w:p>
    <w:p w:rsidR="00C360C6" w:rsidRDefault="00C360C6" w:rsidP="00C360C6">
      <w:pPr>
        <w:pStyle w:val="a3"/>
        <w:spacing w:after="0" w:line="360" w:lineRule="auto"/>
        <w:ind w:firstLine="480"/>
        <w:rPr>
          <w:rFonts w:ascii="仿宋" w:eastAsia="仿宋" w:hAnsi="仿宋"/>
          <w:bCs/>
          <w:sz w:val="24"/>
        </w:rPr>
      </w:pPr>
      <w:r>
        <w:rPr>
          <w:rFonts w:ascii="仿宋" w:eastAsia="仿宋" w:hAnsi="仿宋" w:hint="eastAsia"/>
          <w:bCs/>
          <w:sz w:val="24"/>
        </w:rPr>
        <w:lastRenderedPageBreak/>
        <w:t>6.1中标人负责设备安装、调试。</w:t>
      </w:r>
    </w:p>
    <w:p w:rsidR="00C360C6" w:rsidRDefault="00C360C6" w:rsidP="00C360C6">
      <w:pPr>
        <w:pStyle w:val="a3"/>
        <w:spacing w:after="0" w:line="360" w:lineRule="auto"/>
        <w:ind w:firstLine="480"/>
        <w:rPr>
          <w:rFonts w:ascii="仿宋" w:eastAsia="仿宋" w:hAnsi="仿宋"/>
          <w:bCs/>
          <w:sz w:val="24"/>
        </w:rPr>
      </w:pPr>
      <w:r>
        <w:rPr>
          <w:rFonts w:ascii="仿宋" w:eastAsia="仿宋" w:hAnsi="仿宋" w:hint="eastAsia"/>
          <w:bCs/>
          <w:sz w:val="24"/>
        </w:rPr>
        <w:t>6.2货物到达生产现场后，中标人接到采购人通知后7日内到达现场组织安装、调试，达到正常运行要求，保证采购人正常使用。所需的费用包括在投标总价格中。</w:t>
      </w:r>
    </w:p>
    <w:p w:rsidR="00C360C6" w:rsidRDefault="00C360C6" w:rsidP="00C360C6">
      <w:pPr>
        <w:pStyle w:val="a3"/>
        <w:spacing w:after="0" w:line="360" w:lineRule="auto"/>
        <w:ind w:firstLine="480"/>
        <w:rPr>
          <w:rFonts w:ascii="仿宋" w:eastAsia="仿宋" w:hAnsi="仿宋"/>
          <w:bCs/>
          <w:sz w:val="24"/>
        </w:rPr>
      </w:pPr>
      <w:r>
        <w:rPr>
          <w:rFonts w:ascii="仿宋" w:eastAsia="仿宋" w:hAnsi="仿宋" w:hint="eastAsia"/>
          <w:bCs/>
          <w:sz w:val="24"/>
        </w:rPr>
        <w:t>6.3中标人应就设备的安装、调试、操作、维修、保养等对采购人维修技术人员进行培训。设备安装调试完毕后，中标人应对采购人操作人员进行现场培训，直至采购人的技术人员能独立操作，同时能完成一般常见故障的维修工作。</w:t>
      </w:r>
    </w:p>
    <w:p w:rsidR="00C360C6" w:rsidRDefault="00C360C6" w:rsidP="00C360C6">
      <w:pPr>
        <w:pStyle w:val="a3"/>
        <w:spacing w:after="0" w:line="360" w:lineRule="auto"/>
        <w:ind w:firstLine="480"/>
        <w:rPr>
          <w:rFonts w:ascii="仿宋" w:eastAsia="仿宋" w:hAnsi="仿宋"/>
          <w:bCs/>
          <w:sz w:val="24"/>
        </w:rPr>
      </w:pPr>
      <w:r>
        <w:rPr>
          <w:rFonts w:ascii="仿宋" w:eastAsia="仿宋" w:hAnsi="仿宋" w:hint="eastAsia"/>
          <w:bCs/>
          <w:sz w:val="24"/>
        </w:rPr>
        <w:t>6.4质保期外中标人继续提供服务，差旅费 (包括机票、住宿、交通费等) 和人工服务费包含在本次报价中，如需更换零配件、购买附件，按成本价收取费用。</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7.成本补偿和风险分担约定：</w:t>
      </w:r>
    </w:p>
    <w:p w:rsidR="00C360C6" w:rsidRDefault="00C360C6" w:rsidP="00C360C6">
      <w:pPr>
        <w:numPr>
          <w:ilvl w:val="0"/>
          <w:numId w:val="1"/>
        </w:numPr>
        <w:spacing w:after="0" w:line="360" w:lineRule="auto"/>
        <w:ind w:firstLineChars="200" w:firstLine="480"/>
        <w:rPr>
          <w:rFonts w:ascii="仿宋" w:eastAsia="仿宋" w:hAnsi="仿宋"/>
          <w:sz w:val="24"/>
        </w:rPr>
      </w:pPr>
      <w:r>
        <w:rPr>
          <w:rFonts w:ascii="仿宋" w:eastAsia="仿宋" w:hAnsi="仿宋" w:hint="eastAsia"/>
          <w:sz w:val="24"/>
        </w:rPr>
        <w:t xml:space="preserve">1在合同有效期内，任何一方因不可抗力事件导致不能履行合同，则合同履行期可延长，其延长期与不可抗力影响期相同。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 xml:space="preserve">7.2不可抗力事件发生后，应立即通知对方，并寄送有关权威机构出具的证明。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7.3不可抗力事件延续20天以上，双方应通过友好协商，确定是否继续履行合同。</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8.违约责任</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8</w:t>
      </w:r>
      <w:r>
        <w:rPr>
          <w:rFonts w:ascii="仿宋" w:eastAsia="仿宋" w:hAnsi="仿宋"/>
          <w:sz w:val="24"/>
        </w:rPr>
        <w:t>.1中标人未在约定的交付期限内完成交付的，每逾期一日，应按照合同金额的0.3‰向采购人支付违约金。</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8</w:t>
      </w:r>
      <w:r>
        <w:rPr>
          <w:rFonts w:ascii="仿宋" w:eastAsia="仿宋" w:hAnsi="仿宋"/>
          <w:sz w:val="24"/>
        </w:rPr>
        <w:t>.2中标人提供产品未验收合格的，从未验收合格之日起</w:t>
      </w:r>
      <w:proofErr w:type="gramStart"/>
      <w:r>
        <w:rPr>
          <w:rFonts w:ascii="仿宋" w:eastAsia="仿宋" w:hAnsi="仿宋"/>
          <w:sz w:val="24"/>
        </w:rPr>
        <w:t>至产品</w:t>
      </w:r>
      <w:proofErr w:type="gramEnd"/>
      <w:r>
        <w:rPr>
          <w:rFonts w:ascii="仿宋" w:eastAsia="仿宋" w:hAnsi="仿宋"/>
          <w:sz w:val="24"/>
        </w:rPr>
        <w:t>验收合格之日止，中标人应按照合同金额的每日0.3‰向采购人支付违约金。</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8</w:t>
      </w:r>
      <w:r>
        <w:rPr>
          <w:rFonts w:ascii="仿宋" w:eastAsia="仿宋" w:hAnsi="仿宋"/>
          <w:sz w:val="24"/>
        </w:rPr>
        <w:t>.3中标人应严格履行合同约定，不得擅自解除和变更合同。若因中标人擅自解除或变更合同造成采购人经济损失的，中标人应支付合同金额20%的违约金。</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 xml:space="preserve">9.解决争议的方法: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sz w:val="24"/>
        </w:rPr>
        <w:t>9</w:t>
      </w:r>
      <w:r>
        <w:rPr>
          <w:rFonts w:ascii="仿宋" w:eastAsia="仿宋" w:hAnsi="仿宋" w:hint="eastAsia"/>
          <w:sz w:val="24"/>
        </w:rPr>
        <w:t>.1因合同引起的或与本合同有关的任何争议，由双方当事人协商解决:也可以向有关部门申请调解。协商或调解不成，当事人可依照有关法律规定将争议向人民法院起诉。</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9.2纠纷受理法院: 四川省攀枝花市</w:t>
      </w:r>
      <w:r>
        <w:rPr>
          <w:rFonts w:ascii="仿宋" w:eastAsia="仿宋" w:hAnsi="仿宋"/>
          <w:sz w:val="24"/>
        </w:rPr>
        <w:t>人民法院。</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9.</w:t>
      </w:r>
      <w:r>
        <w:rPr>
          <w:rFonts w:ascii="仿宋" w:eastAsia="仿宋" w:hAnsi="仿宋"/>
          <w:sz w:val="24"/>
        </w:rPr>
        <w:t>3上述过程发生的费用(诉讼费、保全费、胜诉方律师代理费等)由败诉方</w:t>
      </w:r>
      <w:r>
        <w:rPr>
          <w:rFonts w:ascii="仿宋" w:eastAsia="仿宋" w:hAnsi="仿宋"/>
          <w:sz w:val="24"/>
        </w:rPr>
        <w:lastRenderedPageBreak/>
        <w:t xml:space="preserve">承担。 </w:t>
      </w:r>
    </w:p>
    <w:p w:rsidR="00C360C6" w:rsidRDefault="00C360C6" w:rsidP="00C360C6">
      <w:pPr>
        <w:spacing w:after="0" w:line="360" w:lineRule="auto"/>
        <w:ind w:firstLineChars="200" w:firstLine="480"/>
        <w:rPr>
          <w:rFonts w:ascii="仿宋" w:eastAsia="仿宋" w:hAnsi="仿宋"/>
          <w:sz w:val="24"/>
        </w:rPr>
      </w:pPr>
      <w:r>
        <w:rPr>
          <w:rFonts w:ascii="仿宋" w:eastAsia="仿宋" w:hAnsi="仿宋" w:hint="eastAsia"/>
          <w:sz w:val="24"/>
        </w:rPr>
        <w:t>9.</w:t>
      </w:r>
      <w:r>
        <w:rPr>
          <w:rFonts w:ascii="仿宋" w:eastAsia="仿宋" w:hAnsi="仿宋"/>
          <w:sz w:val="24"/>
        </w:rPr>
        <w:t>4在进行法院审理期间，除提交法院审理的事项外，合同仍应继续履行。</w:t>
      </w:r>
    </w:p>
    <w:p w:rsidR="00C360C6" w:rsidRDefault="00C360C6" w:rsidP="00C360C6">
      <w:pPr>
        <w:numPr>
          <w:ilvl w:val="0"/>
          <w:numId w:val="2"/>
        </w:numPr>
        <w:spacing w:beforeLines="50" w:before="156" w:afterLines="50" w:after="156" w:line="360" w:lineRule="auto"/>
        <w:ind w:firstLineChars="200" w:firstLine="482"/>
        <w:rPr>
          <w:rFonts w:ascii="仿宋" w:eastAsia="仿宋" w:hAnsi="仿宋"/>
          <w:b/>
          <w:bCs/>
          <w:sz w:val="24"/>
        </w:rPr>
      </w:pPr>
      <w:r>
        <w:rPr>
          <w:rFonts w:ascii="仿宋" w:eastAsia="仿宋" w:hAnsi="仿宋" w:hint="eastAsia"/>
          <w:b/>
          <w:bCs/>
          <w:sz w:val="24"/>
        </w:rPr>
        <w:t>技术、服务要求</w:t>
      </w:r>
    </w:p>
    <w:p w:rsidR="00C360C6" w:rsidRDefault="00C360C6" w:rsidP="00C360C6">
      <w:pPr>
        <w:pStyle w:val="a5"/>
        <w:autoSpaceDE w:val="0"/>
        <w:autoSpaceDN w:val="0"/>
        <w:adjustRightInd w:val="0"/>
        <w:spacing w:after="0" w:line="360" w:lineRule="auto"/>
        <w:ind w:firstLine="482"/>
        <w:jc w:val="left"/>
        <w:rPr>
          <w:rFonts w:ascii="仿宋" w:eastAsia="仿宋" w:hAnsi="仿宋" w:cs="仿宋"/>
          <w:b/>
          <w:kern w:val="0"/>
          <w:sz w:val="24"/>
        </w:rPr>
      </w:pPr>
      <w:r>
        <w:rPr>
          <w:rFonts w:ascii="仿宋" w:eastAsia="仿宋" w:hAnsi="仿宋" w:cs="仿宋" w:hint="eastAsia"/>
          <w:b/>
          <w:kern w:val="0"/>
          <w:sz w:val="24"/>
        </w:rPr>
        <w:t>（一）激光技术要求：</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1.无需适配器，激光和裂隙灯</w:t>
      </w:r>
      <w:proofErr w:type="gramStart"/>
      <w:r>
        <w:rPr>
          <w:rFonts w:ascii="仿宋" w:eastAsia="仿宋" w:hAnsi="仿宋" w:cs="仿宋" w:hint="eastAsia"/>
          <w:kern w:val="0"/>
          <w:sz w:val="24"/>
        </w:rPr>
        <w:t>一</w:t>
      </w:r>
      <w:proofErr w:type="gramEnd"/>
      <w:r>
        <w:rPr>
          <w:rFonts w:ascii="仿宋" w:eastAsia="仿宋" w:hAnsi="仿宋" w:cs="仿宋" w:hint="eastAsia"/>
          <w:kern w:val="0"/>
          <w:sz w:val="24"/>
        </w:rPr>
        <w:t>体式设计。</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2.裂隙灯：与激光主机同一品牌。</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3.激光波长：1064nm。</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▲4.模式：超高斯。</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5.爆破能量：空气中≥2.5mJ。</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6.脉冲间隔：</w:t>
      </w:r>
      <w:r>
        <w:rPr>
          <w:rFonts w:hint="eastAsia"/>
        </w:rPr>
        <w:t>＜</w:t>
      </w:r>
      <w:r>
        <w:rPr>
          <w:rFonts w:ascii="仿宋" w:eastAsia="仿宋" w:hAnsi="仿宋" w:cs="仿宋" w:hint="eastAsia"/>
          <w:kern w:val="0"/>
          <w:sz w:val="24"/>
        </w:rPr>
        <w:t>4ns。</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▲7.最大激光能量：标准下单脉冲≥10mJ，双脉冲≥23mJ，三脉冲≥35mJ</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8.能量级别：≥22级，低能量时细微式调节。</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9.脉冲重复频率：≤2.5HZ。</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10.聚集光斑大小：空气中≤10um。</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11.入射角：≥16°。</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▲12.瞄准光：波长670nm；能量5uw-150uw ；四点聚集系统。</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 xml:space="preserve"> 13.爆破点位移：前移150um，0um，后移150um。</w:t>
      </w:r>
    </w:p>
    <w:p w:rsidR="00C360C6" w:rsidRDefault="00C360C6" w:rsidP="00C360C6">
      <w:pPr>
        <w:autoSpaceDE w:val="0"/>
        <w:autoSpaceDN w:val="0"/>
        <w:adjustRightInd w:val="0"/>
        <w:spacing w:after="0" w:line="360" w:lineRule="auto"/>
        <w:ind w:firstLineChars="200" w:firstLine="482"/>
        <w:jc w:val="left"/>
        <w:rPr>
          <w:rFonts w:ascii="仿宋" w:eastAsia="仿宋" w:hAnsi="仿宋" w:cs="仿宋"/>
          <w:b/>
          <w:kern w:val="0"/>
          <w:sz w:val="24"/>
        </w:rPr>
      </w:pPr>
      <w:r>
        <w:rPr>
          <w:rFonts w:ascii="仿宋" w:eastAsia="仿宋" w:hAnsi="仿宋" w:cs="仿宋" w:hint="eastAsia"/>
          <w:b/>
          <w:kern w:val="0"/>
          <w:sz w:val="24"/>
        </w:rPr>
        <w:t>（二）裂隙灯要求：</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▲1.放大倍率：在10X目镜下5X、8X、12X、20X、32X。</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2.镜筒：f=140mm平行式镜筒，瞳距55mm-78mm可调。</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3.高出瞳接目镜：适合带镜者，±8.00D的屈光补偿。</w:t>
      </w:r>
    </w:p>
    <w:p w:rsidR="00C360C6" w:rsidRDefault="00C360C6" w:rsidP="00C360C6">
      <w:pPr>
        <w:autoSpaceDE w:val="0"/>
        <w:autoSpaceDN w:val="0"/>
        <w:adjustRightInd w:val="0"/>
        <w:spacing w:after="0" w:line="360" w:lineRule="auto"/>
        <w:ind w:firstLineChars="200" w:firstLine="480"/>
        <w:jc w:val="left"/>
        <w:rPr>
          <w:rFonts w:ascii="仿宋" w:eastAsia="仿宋" w:hAnsi="仿宋" w:cs="仿宋"/>
          <w:kern w:val="0"/>
          <w:sz w:val="24"/>
        </w:rPr>
      </w:pPr>
      <w:r>
        <w:rPr>
          <w:rFonts w:ascii="仿宋" w:eastAsia="仿宋" w:hAnsi="仿宋" w:cs="仿宋" w:hint="eastAsia"/>
          <w:kern w:val="0"/>
          <w:sz w:val="24"/>
        </w:rPr>
        <w:t>4.裂隙调节：裂隙宽度0-14mm连续可调，裂隙长度1/3/5/9/14mm可调。</w:t>
      </w:r>
    </w:p>
    <w:bookmarkEnd w:id="0"/>
    <w:p w:rsidR="00C360C6" w:rsidRDefault="00C360C6" w:rsidP="00C360C6">
      <w:pPr>
        <w:spacing w:after="0" w:line="360" w:lineRule="auto"/>
        <w:ind w:firstLineChars="200" w:firstLine="482"/>
        <w:rPr>
          <w:rFonts w:ascii="仿宋" w:eastAsia="仿宋" w:hAnsi="仿宋"/>
          <w:b/>
          <w:bCs/>
          <w:sz w:val="24"/>
        </w:rPr>
      </w:pPr>
      <w:r>
        <w:rPr>
          <w:rFonts w:ascii="仿宋" w:eastAsia="仿宋" w:hAnsi="仿宋" w:cs="仿宋" w:hint="eastAsia"/>
          <w:b/>
          <w:bCs/>
          <w:sz w:val="24"/>
        </w:rPr>
        <w:t>五、其他要求</w:t>
      </w:r>
    </w:p>
    <w:p w:rsidR="00C360C6" w:rsidRDefault="00C360C6" w:rsidP="00C360C6">
      <w:pPr>
        <w:pStyle w:val="a3"/>
        <w:spacing w:after="0" w:line="360" w:lineRule="auto"/>
        <w:ind w:firstLineChars="100" w:firstLine="360"/>
        <w:rPr>
          <w:rFonts w:ascii="仿宋" w:eastAsia="仿宋" w:hAnsi="仿宋"/>
          <w:bCs/>
          <w:sz w:val="24"/>
        </w:rPr>
      </w:pPr>
      <w:r>
        <w:rPr>
          <w:rFonts w:ascii="仿宋" w:eastAsia="仿宋" w:hAnsi="仿宋" w:hint="eastAsia"/>
          <w:sz w:val="36"/>
          <w:szCs w:val="36"/>
        </w:rPr>
        <w:br w:type="page"/>
      </w:r>
      <w:r>
        <w:rPr>
          <w:rFonts w:ascii="仿宋" w:eastAsia="仿宋" w:hAnsi="仿宋"/>
          <w:bCs/>
          <w:sz w:val="24"/>
        </w:rPr>
        <w:lastRenderedPageBreak/>
        <w:t>1、</w:t>
      </w:r>
      <w:r>
        <w:rPr>
          <w:rFonts w:ascii="仿宋" w:eastAsia="仿宋" w:hAnsi="仿宋" w:hint="eastAsia"/>
          <w:bCs/>
          <w:sz w:val="24"/>
        </w:rPr>
        <w:t>投标人</w:t>
      </w:r>
      <w:r>
        <w:rPr>
          <w:rFonts w:ascii="仿宋" w:eastAsia="仿宋" w:hAnsi="仿宋"/>
          <w:bCs/>
          <w:sz w:val="24"/>
        </w:rPr>
        <w:t>需根据项目实际需求提供售后服务方案，内容包含但不限于：1.响应时间、2.服务措施、3.应急方案、4.售后服务网点、5.售后人员配置、6.培训方案等。</w:t>
      </w:r>
    </w:p>
    <w:p w:rsidR="00C77C5B" w:rsidRPr="00C360C6" w:rsidRDefault="00C360C6" w:rsidP="00C360C6">
      <w:pPr>
        <w:pStyle w:val="a3"/>
        <w:spacing w:after="0" w:line="360" w:lineRule="auto"/>
        <w:ind w:firstLineChars="100" w:firstLine="240"/>
        <w:rPr>
          <w:rFonts w:ascii="仿宋" w:eastAsia="仿宋" w:hAnsi="仿宋"/>
          <w:bCs/>
          <w:sz w:val="24"/>
        </w:rPr>
      </w:pPr>
      <w:r>
        <w:rPr>
          <w:rFonts w:ascii="仿宋" w:eastAsia="仿宋" w:hAnsi="仿宋"/>
          <w:bCs/>
          <w:sz w:val="24"/>
        </w:rPr>
        <w:t>2、</w:t>
      </w:r>
      <w:r>
        <w:rPr>
          <w:rFonts w:ascii="仿宋" w:eastAsia="仿宋" w:hAnsi="仿宋" w:hint="eastAsia"/>
          <w:bCs/>
          <w:sz w:val="24"/>
        </w:rPr>
        <w:t>投标人</w:t>
      </w:r>
      <w:r>
        <w:rPr>
          <w:rFonts w:ascii="仿宋" w:eastAsia="仿宋" w:hAnsi="仿宋"/>
          <w:bCs/>
          <w:sz w:val="24"/>
        </w:rPr>
        <w:t>需根据项目实际需求提供项目实施方案，内容包含但不限于：</w:t>
      </w:r>
      <w:r>
        <w:rPr>
          <w:rFonts w:ascii="仿宋" w:eastAsia="仿宋" w:hAnsi="仿宋" w:hint="eastAsia"/>
          <w:bCs/>
          <w:sz w:val="24"/>
        </w:rPr>
        <w:t>1.运输及安装方案；2.质量保障方案;3.货源组织方案等</w:t>
      </w:r>
      <w:r>
        <w:rPr>
          <w:rFonts w:ascii="仿宋" w:eastAsia="仿宋" w:hAnsi="仿宋"/>
          <w:bCs/>
          <w:sz w:val="24"/>
        </w:rPr>
        <w:t>。</w:t>
      </w:r>
      <w:bookmarkStart w:id="1" w:name="_GoBack"/>
      <w:bookmarkEnd w:id="1"/>
    </w:p>
    <w:sectPr w:rsidR="00C77C5B" w:rsidRPr="00C360C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951F1"/>
    <w:multiLevelType w:val="singleLevel"/>
    <w:tmpl w:val="297951F1"/>
    <w:lvl w:ilvl="0">
      <w:start w:val="4"/>
      <w:numFmt w:val="chineseCounting"/>
      <w:suff w:val="nothing"/>
      <w:lvlText w:val="%1、"/>
      <w:lvlJc w:val="left"/>
      <w:rPr>
        <w:rFonts w:hint="eastAsia"/>
      </w:rPr>
    </w:lvl>
  </w:abstractNum>
  <w:abstractNum w:abstractNumId="1">
    <w:nsid w:val="6785DF2D"/>
    <w:multiLevelType w:val="singleLevel"/>
    <w:tmpl w:val="6785DF2D"/>
    <w:lvl w:ilvl="0">
      <w:start w:val="7"/>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0C6"/>
    <w:rsid w:val="00C360C6"/>
    <w:rsid w:val="00C77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0C6"/>
    <w:pPr>
      <w:widowControl w:val="0"/>
      <w:spacing w:after="160" w:line="259" w:lineRule="auto"/>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C360C6"/>
    <w:pPr>
      <w:ind w:firstLineChars="200" w:firstLine="200"/>
    </w:pPr>
  </w:style>
  <w:style w:type="table" w:styleId="a4">
    <w:name w:val="Table Grid"/>
    <w:basedOn w:val="a1"/>
    <w:qFormat/>
    <w:rsid w:val="00C360C6"/>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99"/>
    <w:unhideWhenUsed/>
    <w:qFormat/>
    <w:rsid w:val="00C360C6"/>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60C6"/>
    <w:pPr>
      <w:widowControl w:val="0"/>
      <w:spacing w:after="160" w:line="259" w:lineRule="auto"/>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rsid w:val="00C360C6"/>
    <w:pPr>
      <w:ind w:firstLineChars="200" w:firstLine="200"/>
    </w:pPr>
  </w:style>
  <w:style w:type="table" w:styleId="a4">
    <w:name w:val="Table Grid"/>
    <w:basedOn w:val="a1"/>
    <w:qFormat/>
    <w:rsid w:val="00C360C6"/>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99"/>
    <w:unhideWhenUsed/>
    <w:qFormat/>
    <w:rsid w:val="00C360C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395</Words>
  <Characters>2255</Characters>
  <Application>Microsoft Office Word</Application>
  <DocSecurity>0</DocSecurity>
  <Lines>18</Lines>
  <Paragraphs>5</Paragraphs>
  <ScaleCrop>false</ScaleCrop>
  <Company>Microsoft</Company>
  <LinksUpToDate>false</LinksUpToDate>
  <CharactersWithSpaces>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cp:revision>
  <dcterms:created xsi:type="dcterms:W3CDTF">2024-07-26T05:10:00Z</dcterms:created>
  <dcterms:modified xsi:type="dcterms:W3CDTF">2024-07-26T05:10:00Z</dcterms:modified>
</cp:coreProperties>
</file>