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版本号：N510001202600175520260701001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电力系统自动化实验教学项目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N5100012026001755</w:t>
      </w:r>
    </w:p>
    <w:p>
      <w:pPr>
        <w:pStyle w:val="null3"/>
        <w:jc w:val="left"/>
        <w:outlineLvl w:val="2"/>
      </w:pPr>
      <w:r>
        <w:rPr>
          <w:rFonts w:ascii="仿宋_GB2312" w:hAnsi="仿宋_GB2312" w:cs="仿宋_GB2312" w:eastAsia="仿宋_GB2312"/>
          <w:sz w:val="28"/>
          <w:b/>
        </w:rPr>
        <w:t>四川轻化工大学</w:t>
      </w:r>
    </w:p>
    <w:p>
      <w:pPr>
        <w:pStyle w:val="null3"/>
        <w:jc w:val="center"/>
        <w:outlineLvl w:val="2"/>
      </w:pPr>
      <w:r>
        <w:rPr>
          <w:rFonts w:ascii="仿宋_GB2312" w:hAnsi="仿宋_GB2312" w:cs="仿宋_GB2312" w:eastAsia="仿宋_GB2312"/>
          <w:sz w:val="28"/>
          <w:b/>
        </w:rPr>
        <w:t>四川德海工程项目管理咨询有限公司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四川德海工程项目管理咨询有限公司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四川轻化工大学</w:t>
      </w:r>
      <w:r>
        <w:rPr>
          <w:rFonts w:ascii="仿宋_GB2312" w:hAnsi="仿宋_GB2312" w:cs="仿宋_GB2312" w:eastAsia="仿宋_GB2312"/>
        </w:rPr>
        <w:t xml:space="preserve"> 委托，拟对 </w:t>
      </w:r>
      <w:r>
        <w:rPr>
          <w:rFonts w:ascii="仿宋_GB2312" w:hAnsi="仿宋_GB2312" w:cs="仿宋_GB2312" w:eastAsia="仿宋_GB2312"/>
        </w:rPr>
        <w:t>电力系统自动化实验教学项目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N5100012026001755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电力系统自动化实验教学项目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学院电气工程及其自动化专业实验室所持有的实验设备多为十余年前采购，历经长久使用及校区搬迁等多种因素已经日渐老旧。电气专业的专业实验涉及到高电压、大电流的特殊环境，对实验设备的安全性能、稳定性能有较高的要求；考虑到为保护本专业实验教学师生人身安全和实验安全，为保障本专业正常教育教学的进行，为提升专业特色，为进一步与时代前沿技术接轨，特申请此项目，以更新电气专业部分已经超出使用年限的教学类仪器设备，完善专业建设基础。本项目属于高校科研仪器设备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四川轻化工大学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自贡市自流井区汇兴路519号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0813-5505560</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四川德海工程项目管理咨询有限公司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四川省自贡市沿滩区沿滩新城锦城大道417号（君豪御园外围商铺）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0813-8336899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采购包1：345,000.00元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代理服务费收费标准：代理服务费按成交金额的0.7%收取，若计算后不足3000.00元的，按3000.00元收取。代理服务费缴纳账户： 公司名称：四川德海工程项目管理咨询有限公司 开 户 行：自贡农村商业银行股份有限公司汇东支行 账 户 号：1022 0120 0000 02691 行 号：3146 5500 0015 咨询电话：0813-8336886</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四川轻化工大学</w:t>
      </w:r>
      <w:r>
        <w:rPr>
          <w:rFonts w:ascii="仿宋_GB2312" w:hAnsi="仿宋_GB2312" w:cs="仿宋_GB2312" w:eastAsia="仿宋_GB2312"/>
        </w:rPr>
        <w:t xml:space="preserve"> 和 </w:t>
      </w:r>
      <w:r>
        <w:rPr>
          <w:rFonts w:ascii="仿宋_GB2312" w:hAnsi="仿宋_GB2312" w:cs="仿宋_GB2312" w:eastAsia="仿宋_GB2312"/>
        </w:rPr>
        <w:t>四川德海工程项目管理咨询有限公司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四川轻化工大学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四川德海工程项目管理咨询有限公司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中标人提出验收申请之日起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对投标人提供的货物完整性、功能性以及其他商务内容进行验收。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按招标文件、中标供应商投标文件应答参数、投标人提供的货物实际功能参数及双方合同约定进行验收。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按招标文件、中标供应商投标文件应答内容及双方合同约定进行验收。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招标文件的质量要求和技术指标、中标供应商的投标文件及承诺与合同约定标准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四川轻化工大学</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四川德海工程项目管理咨询有限公司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四川德海工程项目管理咨询有限公司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联系人：朱女士</w:t>
      </w:r>
    </w:p>
    <w:p>
      <w:pPr>
        <w:pStyle w:val="null3"/>
        <w:jc w:val="left"/>
      </w:pPr>
      <w:r>
        <w:rPr>
          <w:rFonts w:ascii="仿宋_GB2312" w:hAnsi="仿宋_GB2312" w:cs="仿宋_GB2312" w:eastAsia="仿宋_GB2312"/>
        </w:rPr>
        <w:t>联系电话：0813-8336899</w:t>
      </w:r>
    </w:p>
    <w:p>
      <w:pPr>
        <w:pStyle w:val="null3"/>
        <w:jc w:val="left"/>
      </w:pPr>
      <w:r>
        <w:rPr>
          <w:rFonts w:ascii="仿宋_GB2312" w:hAnsi="仿宋_GB2312" w:cs="仿宋_GB2312" w:eastAsia="仿宋_GB2312"/>
        </w:rPr>
        <w:t>地址：四川省自贡市沿滩区沿滩新城锦城大道417号（君豪御园外围商铺）</w:t>
      </w:r>
    </w:p>
    <w:p>
      <w:pPr>
        <w:pStyle w:val="null3"/>
        <w:jc w:val="left"/>
      </w:pPr>
      <w:r>
        <w:rPr>
          <w:rFonts w:ascii="仿宋_GB2312" w:hAnsi="仿宋_GB2312" w:cs="仿宋_GB2312" w:eastAsia="仿宋_GB2312"/>
        </w:rPr>
        <w:t>邮编：643030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345,000.00</w:t>
      </w:r>
    </w:p>
    <w:p>
      <w:pPr>
        <w:pStyle w:val="null3"/>
        <w:jc w:val="left"/>
      </w:pPr>
      <w:r>
        <w:rPr>
          <w:rFonts w:ascii="仿宋_GB2312" w:hAnsi="仿宋_GB2312" w:cs="仿宋_GB2312" w:eastAsia="仿宋_GB2312"/>
        </w:rPr>
        <w:t>采购包最高限价（元）: 345,000.00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A02102100 教学仪器</w:t>
            </w:r>
          </w:p>
        </w:tc>
        <w:tc>
          <w:tcPr>
            <w:tcW w:type="dxa" w:w="821"/>
          </w:tcPr>
          <w:p>
            <w:pPr>
              <w:pStyle w:val="null3"/>
              <w:jc w:val="left"/>
            </w:pPr>
            <w:r>
              <w:rPr>
                <w:rFonts w:ascii="仿宋_GB2312" w:hAnsi="仿宋_GB2312" w:cs="仿宋_GB2312" w:eastAsia="仿宋_GB2312"/>
              </w:rPr>
              <w:t>电力系统自动化实验平台</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345,000.00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电力系统自动化实验平台</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345,000.00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A02102100 教学仪器</w:t>
            </w:r>
          </w:p>
        </w:tc>
        <w:tc>
          <w:tcPr>
            <w:tcW w:type="dxa" w:w="2492"/>
          </w:tcPr>
          <w:p>
            <w:pPr>
              <w:pStyle w:val="null3"/>
              <w:jc w:val="left"/>
            </w:pPr>
            <w:r>
              <w:rPr>
                <w:rFonts w:ascii="仿宋_GB2312" w:hAnsi="仿宋_GB2312" w:cs="仿宋_GB2312" w:eastAsia="仿宋_GB2312"/>
              </w:rPr>
              <w:t>电力系统自动化实验平台</w:t>
            </w:r>
          </w:p>
        </w:tc>
        <w:tc>
          <w:tcPr>
            <w:tcW w:type="dxa" w:w="2492"/>
          </w:tcPr>
          <w:p>
            <w:pPr>
              <w:pStyle w:val="null3"/>
              <w:jc w:val="left"/>
            </w:pPr>
            <w:r>
              <w:rPr>
                <w:rFonts w:ascii="仿宋_GB2312" w:hAnsi="仿宋_GB2312" w:cs="仿宋_GB2312" w:eastAsia="仿宋_GB2312"/>
              </w:rPr>
              <w:t>电力系统自动化实验平台</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标的名称：电力系统自动化实验平台</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1"/>
              </w:rPr>
              <w:t>★1、整体功能要求：</w:t>
            </w:r>
          </w:p>
          <w:p>
            <w:pPr>
              <w:pStyle w:val="null3"/>
              <w:jc w:val="both"/>
            </w:pPr>
            <w:r>
              <w:rPr>
                <w:rFonts w:ascii="仿宋_GB2312" w:hAnsi="仿宋_GB2312" w:cs="仿宋_GB2312" w:eastAsia="仿宋_GB2312"/>
                <w:sz w:val="21"/>
              </w:rPr>
              <w:t>实验台严格按照实际电力系统自动化现场原型建模（单机—无穷大系统）；实验台所有运行参数学生都能够在操作台面板上的工控触摸屏电脑查看并进行控制操作；为了能够完成《电力系统自动化》等相关课程实验，实验台至少应配置有调速、励磁、同期、保护、PSS2A/2B、智能控制、负载等硬件系统；以及学生实验操作、实验报告动态记录及生成、实验操作全过程记录、电力系统模型设计等软件系统，软硬件构成一套完整体的电力系统综合自动化实验操作平台。</w:t>
            </w:r>
          </w:p>
          <w:p>
            <w:pPr>
              <w:pStyle w:val="null3"/>
              <w:jc w:val="both"/>
            </w:pPr>
            <w:r>
              <w:rPr>
                <w:rFonts w:ascii="仿宋_GB2312" w:hAnsi="仿宋_GB2312" w:cs="仿宋_GB2312" w:eastAsia="仿宋_GB2312"/>
                <w:sz w:val="21"/>
              </w:rPr>
              <w:t>2、主实验操作台：</w:t>
            </w:r>
          </w:p>
          <w:p>
            <w:pPr>
              <w:pStyle w:val="null3"/>
              <w:jc w:val="both"/>
            </w:pPr>
            <w:r>
              <w:rPr>
                <w:rFonts w:ascii="仿宋_GB2312" w:hAnsi="仿宋_GB2312" w:cs="仿宋_GB2312" w:eastAsia="仿宋_GB2312"/>
                <w:sz w:val="21"/>
              </w:rPr>
              <w:t>1）输入电源：三相四线(或三相五线 AC 380V±10% 50Hz)；整机容量：＜3kVA、5A；</w:t>
            </w:r>
          </w:p>
          <w:p>
            <w:pPr>
              <w:pStyle w:val="null3"/>
              <w:jc w:val="both"/>
            </w:pPr>
            <w:r>
              <w:rPr>
                <w:rFonts w:ascii="仿宋_GB2312" w:hAnsi="仿宋_GB2312" w:cs="仿宋_GB2312" w:eastAsia="仿宋_GB2312"/>
                <w:sz w:val="21"/>
              </w:rPr>
              <w:t>2）实验操作台：柜体钢板厚度≥1.2mm，柜体底部带有万向轮及固定装置，柜内配有两组检修灯及行程开关以方便日后检修之用。</w:t>
            </w:r>
          </w:p>
          <w:p>
            <w:pPr>
              <w:pStyle w:val="null3"/>
              <w:jc w:val="both"/>
            </w:pPr>
            <w:r>
              <w:rPr>
                <w:rFonts w:ascii="仿宋_GB2312" w:hAnsi="仿宋_GB2312" w:cs="仿宋_GB2312" w:eastAsia="仿宋_GB2312"/>
                <w:sz w:val="21"/>
              </w:rPr>
              <w:t>★3、同轴机组平台：</w:t>
            </w:r>
          </w:p>
          <w:p>
            <w:pPr>
              <w:pStyle w:val="null3"/>
              <w:jc w:val="both"/>
            </w:pPr>
            <w:r>
              <w:rPr>
                <w:rFonts w:ascii="仿宋_GB2312" w:hAnsi="仿宋_GB2312" w:cs="仿宋_GB2312" w:eastAsia="仿宋_GB2312"/>
                <w:sz w:val="21"/>
              </w:rPr>
              <w:t>1）直流电动机：额定功率≥2.2kW，额定电压（UN）=220V，额定转速（nN）=1500r/min；</w:t>
            </w:r>
          </w:p>
          <w:p>
            <w:pPr>
              <w:pStyle w:val="null3"/>
              <w:jc w:val="both"/>
            </w:pPr>
            <w:r>
              <w:rPr>
                <w:rFonts w:ascii="仿宋_GB2312" w:hAnsi="仿宋_GB2312" w:cs="仿宋_GB2312" w:eastAsia="仿宋_GB2312"/>
                <w:sz w:val="21"/>
              </w:rPr>
              <w:t>2）三相同步发电机：额定功率≥2.5kVA,功率因数（cosφ）=0.8，额定电压（UN）=400V，额定转速（nN）=1500r/min；</w:t>
            </w:r>
          </w:p>
          <w:p>
            <w:pPr>
              <w:pStyle w:val="null3"/>
              <w:jc w:val="both"/>
            </w:pPr>
            <w:r>
              <w:rPr>
                <w:rFonts w:ascii="仿宋_GB2312" w:hAnsi="仿宋_GB2312" w:cs="仿宋_GB2312" w:eastAsia="仿宋_GB2312"/>
                <w:sz w:val="21"/>
              </w:rPr>
              <w:t>3）机组平台应配有光电编码器测速装置及测功角指示盘。</w:t>
            </w:r>
          </w:p>
          <w:p>
            <w:pPr>
              <w:pStyle w:val="null3"/>
              <w:jc w:val="both"/>
            </w:pPr>
            <w:r>
              <w:rPr>
                <w:rFonts w:ascii="仿宋_GB2312" w:hAnsi="仿宋_GB2312" w:cs="仿宋_GB2312" w:eastAsia="仿宋_GB2312"/>
                <w:sz w:val="21"/>
              </w:rPr>
              <w:t>★4、模拟输电线路：</w:t>
            </w:r>
          </w:p>
          <w:p>
            <w:pPr>
              <w:pStyle w:val="null3"/>
              <w:jc w:val="both"/>
            </w:pPr>
            <w:r>
              <w:rPr>
                <w:rFonts w:ascii="仿宋_GB2312" w:hAnsi="仿宋_GB2312" w:cs="仿宋_GB2312" w:eastAsia="仿宋_GB2312"/>
                <w:sz w:val="21"/>
              </w:rPr>
              <w:t>1）采用双回路远距离输电线路模型，每回路分两段，并设中间开关站，使发电机与系统之间可构成四种不同联络阻抗，便于学生实验分析比较；</w:t>
            </w:r>
          </w:p>
          <w:p>
            <w:pPr>
              <w:pStyle w:val="null3"/>
              <w:jc w:val="both"/>
            </w:pPr>
            <w:r>
              <w:rPr>
                <w:rFonts w:ascii="仿宋_GB2312" w:hAnsi="仿宋_GB2312" w:cs="仿宋_GB2312" w:eastAsia="仿宋_GB2312"/>
                <w:sz w:val="21"/>
              </w:rPr>
              <w:t>2）四条输电线路全部采用电抗器来模拟，并且电抗器在短路时不饱和。</w:t>
            </w:r>
          </w:p>
          <w:p>
            <w:pPr>
              <w:pStyle w:val="null3"/>
              <w:jc w:val="both"/>
            </w:pPr>
            <w:r>
              <w:rPr>
                <w:rFonts w:ascii="仿宋_GB2312" w:hAnsi="仿宋_GB2312" w:cs="仿宋_GB2312" w:eastAsia="仿宋_GB2312"/>
                <w:sz w:val="21"/>
              </w:rPr>
              <w:t>5、模拟原动机调速系统：</w:t>
            </w:r>
          </w:p>
          <w:p>
            <w:pPr>
              <w:pStyle w:val="null3"/>
              <w:jc w:val="both"/>
            </w:pPr>
            <w:r>
              <w:rPr>
                <w:rFonts w:ascii="仿宋_GB2312" w:hAnsi="仿宋_GB2312" w:cs="仿宋_GB2312" w:eastAsia="仿宋_GB2312"/>
                <w:sz w:val="21"/>
              </w:rPr>
              <w:t>1）具有模拟调节、微机手动调节、微机自动调节功能；</w:t>
            </w:r>
          </w:p>
          <w:p>
            <w:pPr>
              <w:pStyle w:val="null3"/>
              <w:jc w:val="both"/>
            </w:pPr>
            <w:r>
              <w:rPr>
                <w:rFonts w:ascii="仿宋_GB2312" w:hAnsi="仿宋_GB2312" w:cs="仿宋_GB2312" w:eastAsia="仿宋_GB2312"/>
                <w:sz w:val="21"/>
              </w:rPr>
              <w:t>2）具有恒功率、恒频、恒电枢电流、恒控制角等方式调节功能；</w:t>
            </w:r>
          </w:p>
          <w:p>
            <w:pPr>
              <w:pStyle w:val="null3"/>
              <w:jc w:val="both"/>
            </w:pPr>
            <w:r>
              <w:rPr>
                <w:rFonts w:ascii="仿宋_GB2312" w:hAnsi="仿宋_GB2312" w:cs="仿宋_GB2312" w:eastAsia="仿宋_GB2312"/>
                <w:sz w:val="21"/>
              </w:rPr>
              <w:t>3）测量转速精度≤0.2%、功角精度≤1%；</w:t>
            </w:r>
          </w:p>
          <w:p>
            <w:pPr>
              <w:pStyle w:val="null3"/>
              <w:jc w:val="both"/>
            </w:pPr>
            <w:r>
              <w:rPr>
                <w:rFonts w:ascii="仿宋_GB2312" w:hAnsi="仿宋_GB2312" w:cs="仿宋_GB2312" w:eastAsia="仿宋_GB2312"/>
                <w:sz w:val="21"/>
              </w:rPr>
              <w:t>▲4）采用≤13寸彩色触摸屏显示，方便学生查看及实验操作；具有包含转速、频率、电枢电压、电枢电流等实时运行波形显示（可全屏、缩小、平移、查看任意一点的坐标数据）、录波保存、打印功能；</w:t>
            </w:r>
          </w:p>
          <w:p>
            <w:pPr>
              <w:pStyle w:val="null3"/>
              <w:jc w:val="both"/>
            </w:pPr>
            <w:r>
              <w:rPr>
                <w:rFonts w:ascii="仿宋_GB2312" w:hAnsi="仿宋_GB2312" w:cs="仿宋_GB2312" w:eastAsia="仿宋_GB2312"/>
                <w:sz w:val="21"/>
              </w:rPr>
              <w:t>▲5）原动机调速功能区不仅具有触摸屏操作方式还具有真实按键操作方式：至少应包括模拟调节电位器、合分闸按钮、微机/模拟切换开关、自动/手动切换开关、开停机按钮、增减速按钮等；（投标文件中提供满足上述功能的照片）</w:t>
            </w:r>
          </w:p>
          <w:p>
            <w:pPr>
              <w:pStyle w:val="null3"/>
              <w:jc w:val="both"/>
            </w:pPr>
            <w:r>
              <w:rPr>
                <w:rFonts w:ascii="仿宋_GB2312" w:hAnsi="仿宋_GB2312" w:cs="仿宋_GB2312" w:eastAsia="仿宋_GB2312"/>
                <w:sz w:val="21"/>
              </w:rPr>
              <w:t>6、微机励磁调节系统：</w:t>
            </w:r>
          </w:p>
          <w:p>
            <w:pPr>
              <w:pStyle w:val="null3"/>
              <w:jc w:val="both"/>
            </w:pPr>
            <w:r>
              <w:rPr>
                <w:rFonts w:ascii="仿宋_GB2312" w:hAnsi="仿宋_GB2312" w:cs="仿宋_GB2312" w:eastAsia="仿宋_GB2312"/>
                <w:sz w:val="21"/>
              </w:rPr>
              <w:t>★1）采用工业级标准，主要由双路电源、信号指示电路板、输入/输出电路板、主控电路板、脉冲功放电路板及全铝合金机箱组成；CPU电路板主芯片采用32位浮点型数字信号处理器（DSP主频≥150MHz）；</w:t>
            </w:r>
          </w:p>
          <w:p>
            <w:pPr>
              <w:pStyle w:val="null3"/>
              <w:jc w:val="both"/>
            </w:pPr>
            <w:r>
              <w:rPr>
                <w:rFonts w:ascii="仿宋_GB2312" w:hAnsi="仿宋_GB2312" w:cs="仿宋_GB2312" w:eastAsia="仿宋_GB2312"/>
                <w:sz w:val="21"/>
              </w:rPr>
              <w:t>★2）采用PID+PSS2A/2B控制方式，标准IEEE Type PSS2A/2B 双输入电力系统稳定器模型；</w:t>
            </w:r>
          </w:p>
          <w:p>
            <w:pPr>
              <w:pStyle w:val="null3"/>
              <w:jc w:val="both"/>
            </w:pPr>
            <w:r>
              <w:rPr>
                <w:rFonts w:ascii="仿宋_GB2312" w:hAnsi="仿宋_GB2312" w:cs="仿宋_GB2312" w:eastAsia="仿宋_GB2312"/>
                <w:sz w:val="21"/>
              </w:rPr>
              <w:t>★3）励磁电源运行方式：至少应包含手动、自并励、它励等；励磁控制方式：至少包含恒压、恒励磁电流、恒功率因数、恒控制角等；励磁三相全控桥输出波形（它励恒控制角）；</w:t>
            </w:r>
          </w:p>
          <w:p>
            <w:pPr>
              <w:pStyle w:val="null3"/>
              <w:jc w:val="both"/>
            </w:pPr>
            <w:r>
              <w:rPr>
                <w:rFonts w:ascii="仿宋_GB2312" w:hAnsi="仿宋_GB2312" w:cs="仿宋_GB2312" w:eastAsia="仿宋_GB2312"/>
                <w:sz w:val="21"/>
              </w:rPr>
              <w:t>4）励磁系统控制方式：PID+PSS2A.P、PI、PID试验、控制参数调整试验并观察励磁波形；</w:t>
            </w:r>
          </w:p>
          <w:p>
            <w:pPr>
              <w:pStyle w:val="null3"/>
              <w:jc w:val="both"/>
            </w:pPr>
            <w:r>
              <w:rPr>
                <w:rFonts w:ascii="仿宋_GB2312" w:hAnsi="仿宋_GB2312" w:cs="仿宋_GB2312" w:eastAsia="仿宋_GB2312"/>
                <w:sz w:val="21"/>
              </w:rPr>
              <w:t>5）励磁控制器具有白噪声输入接口和励磁传递函数控制量输出D/A接口，能实现PID+PSS2A/2B传函相频特性和幅频特性分析和控制参数辨识；</w:t>
            </w:r>
          </w:p>
          <w:p>
            <w:pPr>
              <w:pStyle w:val="null3"/>
              <w:jc w:val="both"/>
            </w:pPr>
            <w:r>
              <w:rPr>
                <w:rFonts w:ascii="仿宋_GB2312" w:hAnsi="仿宋_GB2312" w:cs="仿宋_GB2312" w:eastAsia="仿宋_GB2312"/>
                <w:sz w:val="21"/>
              </w:rPr>
              <w:t>▲6）装置主界面能够显示的参数内容至少应包括：机端电压、励磁电流、有功功率、无功功率、机组频率、电压给定Ug、调变电压、同步相差、励磁电流AC、励磁电流给定Ig、仪变电压、控制角ai、励磁电流DC、无功功率给定Qg、系统电压、控制角ak等；（投标文件中提供满足上述要求的照片）</w:t>
            </w:r>
          </w:p>
          <w:p>
            <w:pPr>
              <w:pStyle w:val="null3"/>
              <w:jc w:val="both"/>
            </w:pPr>
            <w:r>
              <w:rPr>
                <w:rFonts w:ascii="仿宋_GB2312" w:hAnsi="仿宋_GB2312" w:cs="仿宋_GB2312" w:eastAsia="仿宋_GB2312"/>
                <w:sz w:val="21"/>
              </w:rPr>
              <w:t>▲7）装置运行参数能够显示的内容至少包括：发电机频率F、调变电压、电压给定Ug、发电机电压Uf、仪变电压、励磁电流给定、有功功率P、系统电压、无功功率给定、无功功率Q、基准电压Ub、功率因数给定、无功下限Q-、定子电流A、控制角ai等；（投标文件中提供满足上述要求的照片）</w:t>
            </w:r>
          </w:p>
          <w:p>
            <w:pPr>
              <w:pStyle w:val="null3"/>
              <w:jc w:val="both"/>
            </w:pPr>
            <w:r>
              <w:rPr>
                <w:rFonts w:ascii="仿宋_GB2312" w:hAnsi="仿宋_GB2312" w:cs="仿宋_GB2312" w:eastAsia="仿宋_GB2312"/>
                <w:sz w:val="21"/>
              </w:rPr>
              <w:t>▲8）装置控制参数能够显示的内容至少包括：隔直时间常数、功率校正系数SIN、功率校正系数COS、电功率积分时间常数、电功率积分补偿系统、相位补偿超前时间常数T1、相位补偿滞后时间常数T2、PSS输出限幅、PSS增益等；（投标文件中提供满足上述要求的照片）</w:t>
            </w:r>
          </w:p>
          <w:p>
            <w:pPr>
              <w:pStyle w:val="null3"/>
              <w:jc w:val="both"/>
            </w:pPr>
            <w:r>
              <w:rPr>
                <w:rFonts w:ascii="仿宋_GB2312" w:hAnsi="仿宋_GB2312" w:cs="仿宋_GB2312" w:eastAsia="仿宋_GB2312"/>
                <w:sz w:val="21"/>
              </w:rPr>
              <w:t>▲9）装置具有开关量显示的内容包括：并网、甩负荷、暂态、正序、异常、调变断线、仪变断线、PT断线、IL测量异常、起励允许、手动起励、灭磁状态、伏赫限制、延时过励、瞬时过励、过励保护、无功过载、欠励限制、功柜故障、三相不对称等；（投标文件中提供满足上述要求的照片）</w:t>
            </w:r>
          </w:p>
          <w:p>
            <w:pPr>
              <w:pStyle w:val="null3"/>
              <w:jc w:val="both"/>
            </w:pPr>
            <w:r>
              <w:rPr>
                <w:rFonts w:ascii="仿宋_GB2312" w:hAnsi="仿宋_GB2312" w:cs="仿宋_GB2312" w:eastAsia="仿宋_GB2312"/>
                <w:sz w:val="21"/>
              </w:rPr>
              <w:t>▲10）采用≥13英寸彩色触摸屏显示，方便学生查看及实验操作；装置至少应包含发电机电压、发电机电流、有功功率、无功功率、视在功率等实时运行波形显示（可全屏、缩小、平移、任意一点的坐标数据）、录波保存、打印功能；（投标文件中提供满足上述要求的照片）</w:t>
            </w:r>
          </w:p>
          <w:p>
            <w:pPr>
              <w:pStyle w:val="null3"/>
              <w:jc w:val="both"/>
            </w:pPr>
            <w:r>
              <w:rPr>
                <w:rFonts w:ascii="仿宋_GB2312" w:hAnsi="仿宋_GB2312" w:cs="仿宋_GB2312" w:eastAsia="仿宋_GB2312"/>
                <w:sz w:val="21"/>
              </w:rPr>
              <w:t>▲11）发电机励磁功能区不仅具有触摸屏操作方式还应具有实际按键操作方式：至少应包括手动调节电位器、恒UF/恒IL/恒Q/恒α操作按钮、合分闸按钮、自励/他励切换开关、自动/手动切换开关、开停机按钮、增减磁按钮、灭磁投/退切换开关、PSS投/退切换开关、PSS白噪声输入P+/P-插孔、PSS传函DA输出D+/D-插孔、信号发电器等；（投标文件中提供满足上述要求的照片）</w:t>
            </w:r>
          </w:p>
          <w:p>
            <w:pPr>
              <w:pStyle w:val="null3"/>
              <w:jc w:val="both"/>
            </w:pPr>
            <w:r>
              <w:rPr>
                <w:rFonts w:ascii="仿宋_GB2312" w:hAnsi="仿宋_GB2312" w:cs="仿宋_GB2312" w:eastAsia="仿宋_GB2312"/>
                <w:sz w:val="21"/>
              </w:rPr>
              <w:t>7、微机准同期并网系统：</w:t>
            </w:r>
          </w:p>
          <w:p>
            <w:pPr>
              <w:pStyle w:val="null3"/>
              <w:jc w:val="both"/>
            </w:pPr>
            <w:r>
              <w:rPr>
                <w:rFonts w:ascii="仿宋_GB2312" w:hAnsi="仿宋_GB2312" w:cs="仿宋_GB2312" w:eastAsia="仿宋_GB2312"/>
                <w:sz w:val="21"/>
              </w:rPr>
              <w:t>1）具有压差、频差、相位差整定功能；</w:t>
            </w:r>
          </w:p>
          <w:p>
            <w:pPr>
              <w:pStyle w:val="null3"/>
              <w:jc w:val="both"/>
            </w:pPr>
            <w:r>
              <w:rPr>
                <w:rFonts w:ascii="仿宋_GB2312" w:hAnsi="仿宋_GB2312" w:cs="仿宋_GB2312" w:eastAsia="仿宋_GB2312"/>
                <w:sz w:val="21"/>
              </w:rPr>
              <w:t>2）实时显示同期点机侧和系统侧电压差、频率差、相角差波形；</w:t>
            </w:r>
          </w:p>
          <w:p>
            <w:pPr>
              <w:pStyle w:val="null3"/>
              <w:jc w:val="both"/>
            </w:pPr>
            <w:r>
              <w:rPr>
                <w:rFonts w:ascii="仿宋_GB2312" w:hAnsi="仿宋_GB2312" w:cs="仿宋_GB2312" w:eastAsia="仿宋_GB2312"/>
                <w:sz w:val="21"/>
              </w:rPr>
              <w:t>3）发电机侧电压幅值、相位关系；</w:t>
            </w:r>
          </w:p>
          <w:p>
            <w:pPr>
              <w:pStyle w:val="null3"/>
              <w:jc w:val="both"/>
            </w:pPr>
            <w:r>
              <w:rPr>
                <w:rFonts w:ascii="仿宋_GB2312" w:hAnsi="仿宋_GB2312" w:cs="仿宋_GB2312" w:eastAsia="仿宋_GB2312"/>
                <w:sz w:val="21"/>
              </w:rPr>
              <w:t>4）能够测定压差、频差、相差；</w:t>
            </w:r>
          </w:p>
          <w:p>
            <w:pPr>
              <w:pStyle w:val="null3"/>
              <w:jc w:val="both"/>
            </w:pPr>
            <w:r>
              <w:rPr>
                <w:rFonts w:ascii="仿宋_GB2312" w:hAnsi="仿宋_GB2312" w:cs="仿宋_GB2312" w:eastAsia="仿宋_GB2312"/>
                <w:sz w:val="21"/>
              </w:rPr>
              <w:t>▲5）采用≥13英寸彩色触摸屏显示；模块至少包含机侧、系统侧电压和频率等实时运行波形显示（可全屏、缩小、平移、查看任意一点的坐标数据）、录波保存、打印功能；（投标文件中提供满足上述功能的照片）</w:t>
            </w:r>
          </w:p>
          <w:p>
            <w:pPr>
              <w:pStyle w:val="null3"/>
              <w:jc w:val="both"/>
            </w:pPr>
            <w:r>
              <w:rPr>
                <w:rFonts w:ascii="仿宋_GB2312" w:hAnsi="仿宋_GB2312" w:cs="仿宋_GB2312" w:eastAsia="仿宋_GB2312"/>
                <w:sz w:val="21"/>
              </w:rPr>
              <w:t>▲6）同期并网功能区不仅具有触摸屏操作方式还具有真实按键操作方式：至少应包括手动/自动切换开关、发电机侧电压波形UF/UFN插孔、电网侧电压波形US/USN插孔等；（投标文件中提供满足上述功能的照片）</w:t>
            </w:r>
          </w:p>
          <w:p>
            <w:pPr>
              <w:pStyle w:val="null3"/>
              <w:jc w:val="both"/>
            </w:pPr>
            <w:r>
              <w:rPr>
                <w:rFonts w:ascii="仿宋_GB2312" w:hAnsi="仿宋_GB2312" w:cs="仿宋_GB2312" w:eastAsia="仿宋_GB2312"/>
                <w:sz w:val="21"/>
              </w:rPr>
              <w:t>8、微机保护及故障模拟：</w:t>
            </w:r>
          </w:p>
          <w:p>
            <w:pPr>
              <w:pStyle w:val="null3"/>
              <w:jc w:val="both"/>
            </w:pPr>
            <w:r>
              <w:rPr>
                <w:rFonts w:ascii="仿宋_GB2312" w:hAnsi="仿宋_GB2312" w:cs="仿宋_GB2312" w:eastAsia="仿宋_GB2312"/>
                <w:sz w:val="21"/>
              </w:rPr>
              <w:t>1）至少应具备输电线路保护、发电机过流保护、低电压保护、过电压保护、频率保护、负序过流保护、零序过流保护、自动重合闸功能等功能；具有RS485总线串行通信接口，具有双以太网通信接口，支持网络103、MODBUS TCP通信规约；</w:t>
            </w:r>
          </w:p>
          <w:p>
            <w:pPr>
              <w:pStyle w:val="null3"/>
              <w:jc w:val="both"/>
            </w:pPr>
            <w:r>
              <w:rPr>
                <w:rFonts w:ascii="仿宋_GB2312" w:hAnsi="仿宋_GB2312" w:cs="仿宋_GB2312" w:eastAsia="仿宋_GB2312"/>
                <w:sz w:val="21"/>
              </w:rPr>
              <w:t>▲2）配套保护动作逻辑框图软件：学生可编辑，软件以图形化的方式实时直观地展示出来，可以稳定运行在Windows操作系统平台下；（投标文件中提供动作全过程的照片）</w:t>
            </w:r>
          </w:p>
          <w:p>
            <w:pPr>
              <w:pStyle w:val="null3"/>
              <w:jc w:val="both"/>
            </w:pPr>
            <w:r>
              <w:rPr>
                <w:rFonts w:ascii="仿宋_GB2312" w:hAnsi="仿宋_GB2312" w:cs="仿宋_GB2312" w:eastAsia="仿宋_GB2312"/>
                <w:sz w:val="21"/>
              </w:rPr>
              <w:t>3）采用≥13英寸彩色触摸屏显示；</w:t>
            </w:r>
          </w:p>
          <w:p>
            <w:pPr>
              <w:pStyle w:val="null3"/>
              <w:jc w:val="both"/>
            </w:pPr>
            <w:r>
              <w:rPr>
                <w:rFonts w:ascii="仿宋_GB2312" w:hAnsi="仿宋_GB2312" w:cs="仿宋_GB2312" w:eastAsia="仿宋_GB2312"/>
                <w:sz w:val="21"/>
              </w:rPr>
              <w:t>▲4）微机保护及故障模拟区不仅具有触摸屏操作方式还应具有真实按键操作方式：至少应包括发电机/线路切换开关、A相/B相/C相/N相/短路操作按钮等；（投标文件中提供满足上述功能的照片）</w:t>
            </w:r>
          </w:p>
          <w:p>
            <w:pPr>
              <w:pStyle w:val="null3"/>
              <w:jc w:val="both"/>
            </w:pPr>
            <w:r>
              <w:rPr>
                <w:rFonts w:ascii="仿宋_GB2312" w:hAnsi="仿宋_GB2312" w:cs="仿宋_GB2312" w:eastAsia="仿宋_GB2312"/>
                <w:sz w:val="21"/>
              </w:rPr>
              <w:t>9、电力系统稳定器PSS2A/2B装置：</w:t>
            </w:r>
          </w:p>
          <w:p>
            <w:pPr>
              <w:pStyle w:val="null3"/>
              <w:jc w:val="both"/>
            </w:pPr>
            <w:r>
              <w:rPr>
                <w:rFonts w:ascii="仿宋_GB2312" w:hAnsi="仿宋_GB2312" w:cs="仿宋_GB2312" w:eastAsia="仿宋_GB2312"/>
                <w:sz w:val="21"/>
              </w:rPr>
              <w:t>1）采用标准IEEE Type PSS双输入电力系统稳定器模型，能够进行PSS在系统运行中的抑制震荡作用试验；</w:t>
            </w:r>
          </w:p>
          <w:p>
            <w:pPr>
              <w:pStyle w:val="null3"/>
              <w:jc w:val="both"/>
            </w:pPr>
            <w:r>
              <w:rPr>
                <w:rFonts w:ascii="仿宋_GB2312" w:hAnsi="仿宋_GB2312" w:cs="仿宋_GB2312" w:eastAsia="仿宋_GB2312"/>
                <w:sz w:val="21"/>
              </w:rPr>
              <w:t>▲2）具有白噪声输入接口和励磁传递函数控制量输出D/A硬件接口，能实现PID+PSS2A/2B传函相频特性和幅频特性分析和控制参数辨识；（投标文件中提供满足要求的功能截图或检测报告的佐证文件）</w:t>
            </w:r>
          </w:p>
          <w:p>
            <w:pPr>
              <w:pStyle w:val="null3"/>
              <w:jc w:val="both"/>
            </w:pPr>
            <w:r>
              <w:rPr>
                <w:rFonts w:ascii="仿宋_GB2312" w:hAnsi="仿宋_GB2312" w:cs="仿宋_GB2312" w:eastAsia="仿宋_GB2312"/>
                <w:sz w:val="21"/>
              </w:rPr>
              <w:t>3）模拟量输出接口可以输出PSS传函每级控制量波形；</w:t>
            </w:r>
          </w:p>
          <w:p>
            <w:pPr>
              <w:pStyle w:val="null3"/>
              <w:jc w:val="both"/>
            </w:pPr>
            <w:r>
              <w:rPr>
                <w:rFonts w:ascii="仿宋_GB2312" w:hAnsi="仿宋_GB2312" w:cs="仿宋_GB2312" w:eastAsia="仿宋_GB2312"/>
                <w:sz w:val="21"/>
              </w:rPr>
              <w:t>4）单回路负荷试验（PSS投入能增加线路最大输送功率）；</w:t>
            </w:r>
          </w:p>
          <w:p>
            <w:pPr>
              <w:pStyle w:val="null3"/>
              <w:jc w:val="both"/>
            </w:pPr>
            <w:r>
              <w:rPr>
                <w:rFonts w:ascii="仿宋_GB2312" w:hAnsi="仿宋_GB2312" w:cs="仿宋_GB2312" w:eastAsia="仿宋_GB2312"/>
                <w:sz w:val="21"/>
              </w:rPr>
              <w:t>▲5）提供以表格的形式显示PSS2A/2B装置至少十个子模块和涉及到的整定参数；（投标文件中提供满足要求的功能截图或检测报告的佐证文件）</w:t>
            </w:r>
          </w:p>
          <w:p>
            <w:pPr>
              <w:pStyle w:val="null3"/>
              <w:jc w:val="both"/>
            </w:pPr>
            <w:r>
              <w:rPr>
                <w:rFonts w:ascii="仿宋_GB2312" w:hAnsi="仿宋_GB2312" w:cs="仿宋_GB2312" w:eastAsia="仿宋_GB2312"/>
                <w:sz w:val="21"/>
              </w:rPr>
              <w:t>★10、智能控制装置：</w:t>
            </w:r>
          </w:p>
          <w:p>
            <w:pPr>
              <w:pStyle w:val="null3"/>
              <w:jc w:val="both"/>
            </w:pPr>
            <w:r>
              <w:rPr>
                <w:rFonts w:ascii="仿宋_GB2312" w:hAnsi="仿宋_GB2312" w:cs="仿宋_GB2312" w:eastAsia="仿宋_GB2312"/>
                <w:sz w:val="21"/>
              </w:rPr>
              <w:t>1）采用6路触发脉冲锁相技术，输出信号线性度高无死区，具备输入缺相保护、过热保护、浪涌保护等功能；</w:t>
            </w:r>
          </w:p>
          <w:p>
            <w:pPr>
              <w:pStyle w:val="null3"/>
              <w:jc w:val="both"/>
            </w:pPr>
            <w:r>
              <w:rPr>
                <w:rFonts w:ascii="仿宋_GB2312" w:hAnsi="仿宋_GB2312" w:cs="仿宋_GB2312" w:eastAsia="仿宋_GB2312"/>
                <w:sz w:val="21"/>
              </w:rPr>
              <w:t>2）功率≥3kW，智能控制模式支持手动控制和自动控制。</w:t>
            </w:r>
          </w:p>
          <w:p>
            <w:pPr>
              <w:pStyle w:val="null3"/>
              <w:jc w:val="both"/>
            </w:pPr>
            <w:r>
              <w:rPr>
                <w:rFonts w:ascii="仿宋_GB2312" w:hAnsi="仿宋_GB2312" w:cs="仿宋_GB2312" w:eastAsia="仿宋_GB2312"/>
                <w:sz w:val="21"/>
              </w:rPr>
              <w:t>11、变压器：</w:t>
            </w:r>
          </w:p>
          <w:p>
            <w:pPr>
              <w:pStyle w:val="null3"/>
              <w:jc w:val="both"/>
            </w:pPr>
            <w:r>
              <w:rPr>
                <w:rFonts w:ascii="仿宋_GB2312" w:hAnsi="仿宋_GB2312" w:cs="仿宋_GB2312" w:eastAsia="仿宋_GB2312"/>
                <w:sz w:val="21"/>
              </w:rPr>
              <w:t>容量≥0.5kVA；Δ∕Y-11接法；变比：380/80V。</w:t>
            </w:r>
          </w:p>
          <w:p>
            <w:pPr>
              <w:pStyle w:val="null3"/>
              <w:jc w:val="both"/>
            </w:pPr>
            <w:r>
              <w:rPr>
                <w:rFonts w:ascii="仿宋_GB2312" w:hAnsi="仿宋_GB2312" w:cs="仿宋_GB2312" w:eastAsia="仿宋_GB2312"/>
                <w:sz w:val="21"/>
              </w:rPr>
              <w:t>12、电抗器技术参数：</w:t>
            </w:r>
          </w:p>
          <w:p>
            <w:pPr>
              <w:pStyle w:val="null3"/>
              <w:jc w:val="both"/>
            </w:pPr>
            <w:r>
              <w:rPr>
                <w:rFonts w:ascii="仿宋_GB2312" w:hAnsi="仿宋_GB2312" w:cs="仿宋_GB2312" w:eastAsia="仿宋_GB2312"/>
                <w:sz w:val="21"/>
              </w:rPr>
              <w:t>1）交流 40W，4A 六个；2）交流 20W，4A 六个；3）交流 10W，4A 一个；4）交流 12W，4A 一个；5）交流 25W，4A 三个；6）直流平波电抗器DCL-12.5A DC220V一个。</w:t>
            </w:r>
          </w:p>
          <w:p>
            <w:pPr>
              <w:pStyle w:val="null3"/>
              <w:jc w:val="both"/>
            </w:pPr>
            <w:r>
              <w:rPr>
                <w:rFonts w:ascii="仿宋_GB2312" w:hAnsi="仿宋_GB2312" w:cs="仿宋_GB2312" w:eastAsia="仿宋_GB2312"/>
                <w:sz w:val="21"/>
              </w:rPr>
              <w:t>13、电压互感器：0.4kV/0.1kV，容量：30VA，三相，每相10VA 三组；电流互感器：10A/5A，2.5VA；0.66kV，≥十二个。</w:t>
            </w:r>
          </w:p>
          <w:p>
            <w:pPr>
              <w:pStyle w:val="null3"/>
              <w:jc w:val="both"/>
            </w:pPr>
            <w:r>
              <w:rPr>
                <w:rFonts w:ascii="仿宋_GB2312" w:hAnsi="仿宋_GB2312" w:cs="仿宋_GB2312" w:eastAsia="仿宋_GB2312"/>
                <w:sz w:val="21"/>
              </w:rPr>
              <w:t>★14、实验台至少应具有的计量仪表：</w:t>
            </w:r>
          </w:p>
          <w:p>
            <w:pPr>
              <w:pStyle w:val="null3"/>
              <w:jc w:val="both"/>
            </w:pPr>
            <w:r>
              <w:rPr>
                <w:rFonts w:ascii="仿宋_GB2312" w:hAnsi="仿宋_GB2312" w:cs="仿宋_GB2312" w:eastAsia="仿宋_GB2312"/>
                <w:sz w:val="21"/>
              </w:rPr>
              <w:t>1）数字式多功能表 四块：三相四线，电压变比：380V/100V，电流变比10A/5A，带RS485通讯功能；</w:t>
            </w:r>
          </w:p>
          <w:p>
            <w:pPr>
              <w:pStyle w:val="null3"/>
              <w:jc w:val="both"/>
            </w:pPr>
            <w:r>
              <w:rPr>
                <w:rFonts w:ascii="仿宋_GB2312" w:hAnsi="仿宋_GB2312" w:cs="仿宋_GB2312" w:eastAsia="仿宋_GB2312"/>
                <w:sz w:val="21"/>
              </w:rPr>
              <w:t>2）直流电压表，0～250V，1.5级，指针式，一块；</w:t>
            </w:r>
          </w:p>
          <w:p>
            <w:pPr>
              <w:pStyle w:val="null3"/>
              <w:jc w:val="both"/>
            </w:pPr>
            <w:r>
              <w:rPr>
                <w:rFonts w:ascii="仿宋_GB2312" w:hAnsi="仿宋_GB2312" w:cs="仿宋_GB2312" w:eastAsia="仿宋_GB2312"/>
                <w:sz w:val="21"/>
              </w:rPr>
              <w:t>3）直流电压表，0～100V,1.5级，指针式，一块；</w:t>
            </w:r>
          </w:p>
          <w:p>
            <w:pPr>
              <w:pStyle w:val="null3"/>
              <w:jc w:val="both"/>
            </w:pPr>
            <w:r>
              <w:rPr>
                <w:rFonts w:ascii="仿宋_GB2312" w:hAnsi="仿宋_GB2312" w:cs="仿宋_GB2312" w:eastAsia="仿宋_GB2312"/>
                <w:sz w:val="21"/>
              </w:rPr>
              <w:t>4）直流电流表，0～3A，1.5级，指针式，一块；</w:t>
            </w:r>
          </w:p>
          <w:p>
            <w:pPr>
              <w:pStyle w:val="null3"/>
              <w:jc w:val="both"/>
            </w:pPr>
            <w:r>
              <w:rPr>
                <w:rFonts w:ascii="仿宋_GB2312" w:hAnsi="仿宋_GB2312" w:cs="仿宋_GB2312" w:eastAsia="仿宋_GB2312"/>
                <w:sz w:val="21"/>
              </w:rPr>
              <w:t>5）直流电流表，0～10A，1.5级，指针式，一块；</w:t>
            </w:r>
          </w:p>
          <w:p>
            <w:pPr>
              <w:pStyle w:val="null3"/>
              <w:jc w:val="both"/>
            </w:pPr>
            <w:r>
              <w:rPr>
                <w:rFonts w:ascii="仿宋_GB2312" w:hAnsi="仿宋_GB2312" w:cs="仿宋_GB2312" w:eastAsia="仿宋_GB2312"/>
                <w:sz w:val="21"/>
              </w:rPr>
              <w:t>6）直流电流表，0～15A，外接15A/75mV分流器，1.5级，指针式，一块；</w:t>
            </w:r>
          </w:p>
          <w:p>
            <w:pPr>
              <w:pStyle w:val="null3"/>
              <w:jc w:val="both"/>
            </w:pPr>
            <w:r>
              <w:rPr>
                <w:rFonts w:ascii="仿宋_GB2312" w:hAnsi="仿宋_GB2312" w:cs="仿宋_GB2312" w:eastAsia="仿宋_GB2312"/>
                <w:sz w:val="21"/>
              </w:rPr>
              <w:t>7）同期表：100V，一块。</w:t>
            </w:r>
          </w:p>
          <w:p>
            <w:pPr>
              <w:pStyle w:val="null3"/>
              <w:jc w:val="both"/>
            </w:pPr>
            <w:r>
              <w:rPr>
                <w:rFonts w:ascii="仿宋_GB2312" w:hAnsi="仿宋_GB2312" w:cs="仿宋_GB2312" w:eastAsia="仿宋_GB2312"/>
                <w:sz w:val="21"/>
              </w:rPr>
              <w:t>15、模拟无穷大电源系统：将交流380V市电经≤5kVA的三相自耦调压器，通过输电线路与实验用的同步发电机构成“单机—无穷大”的电力系统。</w:t>
            </w:r>
          </w:p>
          <w:p>
            <w:pPr>
              <w:pStyle w:val="null3"/>
              <w:jc w:val="both"/>
            </w:pPr>
            <w:r>
              <w:rPr>
                <w:rFonts w:ascii="仿宋_GB2312" w:hAnsi="仿宋_GB2312" w:cs="仿宋_GB2312" w:eastAsia="仿宋_GB2312"/>
                <w:sz w:val="21"/>
              </w:rPr>
              <w:t>16、可编程控制器：</w:t>
            </w:r>
          </w:p>
          <w:p>
            <w:pPr>
              <w:pStyle w:val="null3"/>
              <w:jc w:val="both"/>
            </w:pPr>
            <w:r>
              <w:rPr>
                <w:rFonts w:ascii="仿宋_GB2312" w:hAnsi="仿宋_GB2312" w:cs="仿宋_GB2312" w:eastAsia="仿宋_GB2312"/>
                <w:sz w:val="21"/>
              </w:rPr>
              <w:t>1）AC/DC继电器，机载I/O：≥24个 24V DC数字输入，≥16个2A继电器数字输出，内存≥48Kbyte，RS485接口，RJ45以太网接口，传输速率不低于100Mbit/s；</w:t>
            </w:r>
          </w:p>
          <w:p>
            <w:pPr>
              <w:pStyle w:val="null3"/>
              <w:jc w:val="both"/>
            </w:pPr>
            <w:r>
              <w:rPr>
                <w:rFonts w:ascii="仿宋_GB2312" w:hAnsi="仿宋_GB2312" w:cs="仿宋_GB2312" w:eastAsia="仿宋_GB2312"/>
                <w:sz w:val="21"/>
              </w:rPr>
              <w:t>2）配套模拟量采集模块及控制程序。</w:t>
            </w:r>
          </w:p>
          <w:p>
            <w:pPr>
              <w:pStyle w:val="null3"/>
              <w:jc w:val="both"/>
            </w:pPr>
            <w:r>
              <w:rPr>
                <w:rFonts w:ascii="仿宋_GB2312" w:hAnsi="仿宋_GB2312" w:cs="仿宋_GB2312" w:eastAsia="仿宋_GB2312"/>
                <w:sz w:val="21"/>
              </w:rPr>
              <w:t>17、配套负载：≥三个150Ω及六个75Ω的负载；</w:t>
            </w:r>
          </w:p>
          <w:p>
            <w:pPr>
              <w:pStyle w:val="null3"/>
              <w:jc w:val="both"/>
            </w:pPr>
            <w:r>
              <w:rPr>
                <w:rFonts w:ascii="仿宋_GB2312" w:hAnsi="仿宋_GB2312" w:cs="仿宋_GB2312" w:eastAsia="仿宋_GB2312"/>
                <w:sz w:val="21"/>
              </w:rPr>
              <w:t>18、全过程记录功能模块软件：</w:t>
            </w:r>
          </w:p>
          <w:p>
            <w:pPr>
              <w:pStyle w:val="null3"/>
              <w:jc w:val="both"/>
            </w:pPr>
            <w:r>
              <w:rPr>
                <w:rFonts w:ascii="仿宋_GB2312" w:hAnsi="仿宋_GB2312" w:cs="仿宋_GB2312" w:eastAsia="仿宋_GB2312"/>
                <w:sz w:val="21"/>
              </w:rPr>
              <w:t>1）记录功能模块软件，具备权限管理功能，用户可以自主设置登录的身份和登录信息，至少包括学生学号、姓名、班级等信息；</w:t>
            </w:r>
          </w:p>
          <w:p>
            <w:pPr>
              <w:pStyle w:val="null3"/>
              <w:jc w:val="both"/>
            </w:pPr>
            <w:r>
              <w:rPr>
                <w:rFonts w:ascii="仿宋_GB2312" w:hAnsi="仿宋_GB2312" w:cs="仿宋_GB2312" w:eastAsia="仿宋_GB2312"/>
                <w:sz w:val="21"/>
              </w:rPr>
              <w:t>▲2）具有完善的学生操作全过程动态记录功能，实验人员在启动记录功能后，系统将自动记录的实验人员的实验操作过程，记录内容及实时运行数据；并均以列表的形式展示，列表展示信息应包括记录信息序号、记录信息时间、记录信息内容等；同时，为便于记录数据信息的检索、查询、保存，具备按时间段为查询条件进行记录信息检索功能、记录信息删除功能和记录信息导出保存为Excel文档的功能；（投标文件中提供实时运行界面照片）</w:t>
            </w:r>
          </w:p>
          <w:p>
            <w:pPr>
              <w:pStyle w:val="null3"/>
              <w:jc w:val="both"/>
            </w:pPr>
            <w:r>
              <w:rPr>
                <w:rFonts w:ascii="仿宋_GB2312" w:hAnsi="仿宋_GB2312" w:cs="仿宋_GB2312" w:eastAsia="仿宋_GB2312"/>
                <w:sz w:val="21"/>
              </w:rPr>
              <w:t>19、实验报告动态记录及生成软件：</w:t>
            </w:r>
          </w:p>
          <w:p>
            <w:pPr>
              <w:pStyle w:val="null3"/>
              <w:jc w:val="both"/>
            </w:pPr>
            <w:r>
              <w:rPr>
                <w:rFonts w:ascii="仿宋_GB2312" w:hAnsi="仿宋_GB2312" w:cs="仿宋_GB2312" w:eastAsia="仿宋_GB2312"/>
                <w:sz w:val="21"/>
              </w:rPr>
              <w:t>1）至少包括学生学号、姓名、班级、实验名称等信息内容；</w:t>
            </w:r>
          </w:p>
          <w:p>
            <w:pPr>
              <w:pStyle w:val="null3"/>
              <w:jc w:val="both"/>
            </w:pPr>
            <w:r>
              <w:rPr>
                <w:rFonts w:ascii="仿宋_GB2312" w:hAnsi="仿宋_GB2312" w:cs="仿宋_GB2312" w:eastAsia="仿宋_GB2312"/>
                <w:sz w:val="21"/>
              </w:rPr>
              <w:t>▲2）学生针对具体实验时的操作步骤、表格中的实验数据记录、实验波形都能实时同步自动记录并填充到实验报告表格中；实验报告能够导出为PDF格式并可以打印每一份学生实验报告并进行评价；（投标文件中提供满足上述功能的照片）</w:t>
            </w:r>
          </w:p>
          <w:p>
            <w:pPr>
              <w:pStyle w:val="null3"/>
              <w:jc w:val="both"/>
            </w:pPr>
            <w:r>
              <w:rPr>
                <w:rFonts w:ascii="仿宋_GB2312" w:hAnsi="仿宋_GB2312" w:cs="仿宋_GB2312" w:eastAsia="仿宋_GB2312"/>
                <w:sz w:val="21"/>
              </w:rPr>
              <w:t>20、学生实验操作软件：</w:t>
            </w:r>
          </w:p>
          <w:p>
            <w:pPr>
              <w:pStyle w:val="null3"/>
              <w:jc w:val="both"/>
            </w:pPr>
            <w:r>
              <w:rPr>
                <w:rFonts w:ascii="仿宋_GB2312" w:hAnsi="仿宋_GB2312" w:cs="仿宋_GB2312" w:eastAsia="仿宋_GB2312"/>
                <w:sz w:val="21"/>
              </w:rPr>
              <w:t>★1）可以稳定运行于Windows操作系统平台下，具备权限管理功能，用户可以自主设置登录的身份和登录信息；学生可以通过工控触摸屏电脑中的操作软件选择所需要的实验内容，实验操控软件具有一次主接线图、运行参数、波形显示等功能；能够对调速、励磁、同期、保护功能模块画面进行灵活切换操作，并且对各个模块单元进行各种参数显示、修改、调节、录波等操作；2）具有一键开停机功能，数据远传，电网无人值守功能；远方设置P、Q闭环调节，可模拟功率自动调节功能。</w:t>
            </w:r>
          </w:p>
          <w:p>
            <w:pPr>
              <w:pStyle w:val="null3"/>
              <w:jc w:val="both"/>
            </w:pPr>
            <w:r>
              <w:rPr>
                <w:rFonts w:ascii="仿宋_GB2312" w:hAnsi="仿宋_GB2312" w:cs="仿宋_GB2312" w:eastAsia="仿宋_GB2312"/>
                <w:sz w:val="21"/>
              </w:rPr>
              <w:t>▲3）具有水电站发电全过程模式演示功能：能够演示水电站高中低不同水位与发电功率调整的逻辑关系；配置有功功率和无功功率增减的指示，可以观察发电机调整时的功率反馈。（投标文件中提供至少高、中、低3种水位状态下实时运行的真实界面截图）</w:t>
            </w:r>
          </w:p>
          <w:p>
            <w:pPr>
              <w:pStyle w:val="null3"/>
              <w:jc w:val="both"/>
            </w:pPr>
            <w:r>
              <w:rPr>
                <w:rFonts w:ascii="仿宋_GB2312" w:hAnsi="仿宋_GB2312" w:cs="仿宋_GB2312" w:eastAsia="仿宋_GB2312"/>
                <w:sz w:val="21"/>
              </w:rPr>
              <w:t>▲21、电力系统模型设计软件：</w:t>
            </w:r>
          </w:p>
          <w:p>
            <w:pPr>
              <w:pStyle w:val="null3"/>
              <w:jc w:val="both"/>
            </w:pPr>
            <w:r>
              <w:rPr>
                <w:rFonts w:ascii="仿宋_GB2312" w:hAnsi="仿宋_GB2312" w:cs="仿宋_GB2312" w:eastAsia="仿宋_GB2312"/>
                <w:sz w:val="21"/>
              </w:rPr>
              <w:t>学生可以对电力系统相关设备进行自主选型，至少包括发电机、变压器、输电线路、电动机及负载等，系统会自动校验并对不合理的参数进行提示，同时，软件会根据参数计算稳态的相关数据和进行序网图分析、计算并演示暂态计算的全过程，强化学生对电力系统分析基础知识的掌握；（投标文件中提供满足上述功能的照片）</w:t>
            </w:r>
          </w:p>
          <w:p>
            <w:pPr>
              <w:pStyle w:val="null3"/>
              <w:jc w:val="both"/>
            </w:pPr>
            <w:r>
              <w:rPr>
                <w:rFonts w:ascii="仿宋_GB2312" w:hAnsi="仿宋_GB2312" w:cs="仿宋_GB2312" w:eastAsia="仿宋_GB2312"/>
                <w:sz w:val="21"/>
              </w:rPr>
              <w:t>★22、能够完成的实验项目：</w:t>
            </w:r>
          </w:p>
          <w:p>
            <w:pPr>
              <w:pStyle w:val="null3"/>
              <w:jc w:val="both"/>
            </w:pPr>
            <w:r>
              <w:rPr>
                <w:rFonts w:ascii="仿宋_GB2312" w:hAnsi="仿宋_GB2312" w:cs="仿宋_GB2312" w:eastAsia="仿宋_GB2312"/>
                <w:sz w:val="21"/>
              </w:rPr>
              <w:t>22.1原动机调速控制实验；</w:t>
            </w:r>
          </w:p>
          <w:p>
            <w:pPr>
              <w:pStyle w:val="null3"/>
              <w:jc w:val="both"/>
            </w:pPr>
            <w:r>
              <w:rPr>
                <w:rFonts w:ascii="仿宋_GB2312" w:hAnsi="仿宋_GB2312" w:cs="仿宋_GB2312" w:eastAsia="仿宋_GB2312"/>
                <w:sz w:val="21"/>
              </w:rPr>
              <w:t>22.2同步发电机微机励磁实验；</w:t>
            </w:r>
          </w:p>
          <w:p>
            <w:pPr>
              <w:pStyle w:val="null3"/>
              <w:jc w:val="both"/>
            </w:pPr>
            <w:r>
              <w:rPr>
                <w:rFonts w:ascii="仿宋_GB2312" w:hAnsi="仿宋_GB2312" w:cs="仿宋_GB2312" w:eastAsia="仿宋_GB2312"/>
                <w:sz w:val="21"/>
              </w:rPr>
              <w:t>22.3电力系统功率特性和功率极限实验；</w:t>
            </w:r>
          </w:p>
          <w:p>
            <w:pPr>
              <w:pStyle w:val="null3"/>
              <w:jc w:val="both"/>
            </w:pPr>
            <w:r>
              <w:rPr>
                <w:rFonts w:ascii="仿宋_GB2312" w:hAnsi="仿宋_GB2312" w:cs="仿宋_GB2312" w:eastAsia="仿宋_GB2312"/>
                <w:sz w:val="21"/>
              </w:rPr>
              <w:t>22.4同步发电机准同期并列实验；</w:t>
            </w:r>
          </w:p>
          <w:p>
            <w:pPr>
              <w:pStyle w:val="null3"/>
              <w:jc w:val="both"/>
            </w:pPr>
            <w:r>
              <w:rPr>
                <w:rFonts w:ascii="仿宋_GB2312" w:hAnsi="仿宋_GB2312" w:cs="仿宋_GB2312" w:eastAsia="仿宋_GB2312"/>
                <w:sz w:val="21"/>
              </w:rPr>
              <w:t>22.5同步发电机的运行实验；</w:t>
            </w:r>
          </w:p>
          <w:p>
            <w:pPr>
              <w:pStyle w:val="null3"/>
              <w:jc w:val="both"/>
            </w:pPr>
            <w:r>
              <w:rPr>
                <w:rFonts w:ascii="仿宋_GB2312" w:hAnsi="仿宋_GB2312" w:cs="仿宋_GB2312" w:eastAsia="仿宋_GB2312"/>
                <w:sz w:val="21"/>
              </w:rPr>
              <w:t>22.6单机带负荷实验；</w:t>
            </w:r>
          </w:p>
          <w:p>
            <w:pPr>
              <w:pStyle w:val="null3"/>
              <w:jc w:val="both"/>
            </w:pPr>
            <w:r>
              <w:rPr>
                <w:rFonts w:ascii="仿宋_GB2312" w:hAnsi="仿宋_GB2312" w:cs="仿宋_GB2312" w:eastAsia="仿宋_GB2312"/>
                <w:sz w:val="21"/>
              </w:rPr>
              <w:t>22.7 PSS投入实验；</w:t>
            </w:r>
          </w:p>
          <w:p>
            <w:pPr>
              <w:pStyle w:val="null3"/>
              <w:jc w:val="both"/>
            </w:pPr>
            <w:r>
              <w:rPr>
                <w:rFonts w:ascii="仿宋_GB2312" w:hAnsi="仿宋_GB2312" w:cs="仿宋_GB2312" w:eastAsia="仿宋_GB2312"/>
                <w:sz w:val="21"/>
              </w:rPr>
              <w:t>22.8电力系统稳态分析实验；</w:t>
            </w:r>
          </w:p>
          <w:p>
            <w:pPr>
              <w:pStyle w:val="null3"/>
              <w:jc w:val="both"/>
            </w:pPr>
            <w:r>
              <w:rPr>
                <w:rFonts w:ascii="仿宋_GB2312" w:hAnsi="仿宋_GB2312" w:cs="仿宋_GB2312" w:eastAsia="仿宋_GB2312"/>
                <w:sz w:val="21"/>
              </w:rPr>
              <w:t>22.9电力系统暂态分析实验；</w:t>
            </w:r>
          </w:p>
          <w:p>
            <w:pPr>
              <w:pStyle w:val="null3"/>
              <w:jc w:val="both"/>
            </w:pPr>
            <w:r>
              <w:rPr>
                <w:rFonts w:ascii="仿宋_GB2312" w:hAnsi="仿宋_GB2312" w:cs="仿宋_GB2312" w:eastAsia="仿宋_GB2312"/>
                <w:sz w:val="21"/>
              </w:rPr>
              <w:t>22.10水电站发电模式演示实验；</w:t>
            </w:r>
          </w:p>
          <w:p>
            <w:pPr>
              <w:pStyle w:val="null3"/>
              <w:jc w:val="both"/>
            </w:pPr>
            <w:r>
              <w:rPr>
                <w:rFonts w:ascii="仿宋_GB2312" w:hAnsi="仿宋_GB2312" w:cs="仿宋_GB2312" w:eastAsia="仿宋_GB2312"/>
                <w:sz w:val="21"/>
              </w:rPr>
              <w:t>22.11电力系统模型设计实验；</w:t>
            </w:r>
          </w:p>
          <w:p>
            <w:pPr>
              <w:pStyle w:val="null3"/>
              <w:jc w:val="both"/>
            </w:pPr>
            <w:r>
              <w:rPr>
                <w:rFonts w:ascii="仿宋_GB2312" w:hAnsi="仿宋_GB2312" w:cs="仿宋_GB2312" w:eastAsia="仿宋_GB2312"/>
                <w:sz w:val="21"/>
              </w:rPr>
              <w:t>22.12学生实验报告动态记录及生成实验；</w:t>
            </w:r>
          </w:p>
          <w:p>
            <w:pPr>
              <w:pStyle w:val="null3"/>
              <w:jc w:val="left"/>
            </w:pPr>
            <w:r>
              <w:rPr>
                <w:rFonts w:ascii="仿宋_GB2312" w:hAnsi="仿宋_GB2312" w:cs="仿宋_GB2312" w:eastAsia="仿宋_GB2312"/>
                <w:sz w:val="21"/>
              </w:rPr>
              <w:t>22.13学生操作全过程动态记录及考核实验。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自合同签订之日起60日</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四川轻化工大学宜宾校区</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付款进度安排，全部货物安装调试完毕并验收合格，采购人接到供应商通知、供应商出具的合法、有效、完整的全额增值税专用发票后，达到付款条件后10个工作日内，支付合同金额的100%。若遇采购人寒暑假、财务扎账、财政性资金结转等原因，付款时间可作适当顺延，达到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号）、《政府采购需求管理办法（财库〔2021〕22号）》、《四川轻化工大学采购项目验收管理办法（川轻化〔2020〕11号）》以及采购文件的要求、中标（成交）供应商的投标（响应）文件及承诺与合同约定的标准进行验收。</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 2.在保修期内所发现的缺陷，甲方应以书面形式通知乙方。 3.乙方收到通知后，应在 15 日内免费维修或更换有缺陷的货物或部件。 4.在保修期内，如果货物的质量或规格与合同不符，或证实货物是有缺陷的，包括潜在的缺陷或使用不符合要求的材料等，甲方可以根据违约责任第一条规定以书面形式追究乙方的违约责任。 5.乙方在约定的时间内未能弥补缺陷，甲方可采取必要的补救措施，但其风险和费用将由乙方承担，甲方根据合同约定对乙方行使的其他权利不受影响。 6.本项目质保期为10年。</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 1.质量瑕疵的违约责任 乙方提供的产品不符合合同约定的质量标准或存在产品质量缺陷，甲方有权要求乙方及时修理、重作、更换，并承担由此给甲方造成的损失。修理、重作、更换的具体要求为： 1.1货物不符合约定的，甲方有权要求乙方在15日内免费修理、更换或重作，并承担因此产生的费用及损失。 1.2 逾期未完成整改的，甲方可解除合同，并要求乙方赔偿直接损失。 2.迟延交货的违约责任 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 2.2.如果乙方没有按照合同规定的时间交货和提供相关服务，甲方有权从货款中扣除误期赔偿费而不影响合同项下的其他补救方法，赔偿费的计算方法为：未经同意逾期交货的，乙方按日支付逾期交货部分货款万分之三的违约金，累计总额不超过该部分货款的10%；逾期超过30日，甲方有权解除合同，乙方应退还全部已收款，并支付合同总价10%的违约金。 3.权利瑕疵责任 如货物存在知识产权等权利瑕疵导致甲方无法使用或被追责，乙方应退还全部款项，支付合同总价10%的违约金，并赔偿甲方全部实际损失（包括律师费、行政处罚等）。 4.迟延支付的违约责任 甲方存在迟延支付乙方合同款项的，应当支付逾期付款利息，计算方法为：甲方应在验收合格后10个工作日内完成付款，最迟不得超过60日。乙方应在甲方付款前向甲方开具合法有效的增值税专用发票，因乙方未及时提供发票导致付款延迟的，甲方不承担违约责任。甲方逾期付款的，应自逾期之日（最迟支付日）起，按日向乙方支付逾期付款金额万分之三的违约金，违约金总额不超过逾期付款金额的10%。 5.违法分包、转包的违约责任 乙方将项目转包、违法分包的，甲方可以解除合同，并要求乙方承担如下违约责任： 5.1退还甲方已支付的全部款项； 5.2支付合同总价10%的违约金； 5.3赔偿甲方因此遭受的实际损失（包括但不限于重新采购费用、审计整改成本、第三方索赔及律师费）。 解决争议的方法： 1.因本合同及合同有关事项发生的争议，由甲乙双方友好协商解决。协商不成时，可以向有关组织申请调解。合同一方或双方不愿调解或调解不成的，可以通过仲裁或诉讼的方式解决争议。 2.选择仲裁的，应在甲方所在地仲裁机构及仲裁地；通过诉讼方式解决的，向甲方所在地人民法院提请诉讼，但管辖法院的约定不得违反级别管辖和专属管辖的规定。 3.如甲乙双方有争议的事项不影响合同其他部分的履行，在争议解决期间，合同其他部分应当继续履行。</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一、供应商根据本项目提供的实施方案 (设计方案、服务方案)内容包含但不限于以下内容：①供货计划及供货流程 ②设备安装、调试方案 ③设备安装、调试进度计划及保证措施、安装调试人员安排计划 ④质量保证措施。（以上仅作为评分因素，供应商未完全满足仅按要求进行扣分，不影响其响应文件有效性） 二、供应商根据本项目提供的售后服务方案及售后服务能力内容包含但不限于以下内容：①售后服务人员配置方案及分工（提供人员清单及分工）； ②现场服务支持能力（包含不限于售后服务电话、售后服务网点、响应时效与实施地点的导航截图）； ③售后巡检方案； ④紧急维修措施； ⑤保修服务承诺。（以上仅作为评分因素，供应商未完全满足仅按要求进行扣分，不影响其响应文件有效性） 三、投标人提供2023年1月1日起至投标（响应）文件提交截止时间前】（以合同签订时间为准）的类似业绩。（以上仅作为评分因素，供应商未完全满足仅按要求进行扣分，不影响其响应文件有效性） 四、其它未尽事宜双方合同中约定。 五、除招标文件另有规定外，若出现有关法律、法规和规章有强制性规定但磋商文件未列明的情形，则磋商小组和响应人应按照有关法律、法规和规章强制性规定执行。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投标人需在项目电子化交易系统中按要求填写《投标（响应）函》完成承诺并进行电子签章，并提供以下证明材料： ①投标人若为企业法人：提供“统一社会信用代码营业执照”原件原色电子件；未换证的提供“营业执照、税务登记证、组织机构代码证或三证合一的营业执照原件原色【影印件】或【扫描件】。 ②投标人若为事业法人：提供“统一社会信用代码法人登记证书”原件原色电子件；未换证的提供“事业法人登记证书、组织机构代码证”原件原色【影印件】或【扫描件】。 ③投标人若为其他组织：提供“对应主管部门颁发的准许执业证明文件或营业执照”原件原色【影印件】或【扫描件】。 ④投标人若为自然人：提供有效的“身份证明材料”【影印件】或【扫描件】；身份证明材料包括在有效期内的居民身份证或户口本或军官证或护照等。</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本项目属于不专门面向中小企业采购。</w:t>
            </w:r>
          </w:p>
        </w:tc>
        <w:tc>
          <w:tcPr>
            <w:tcW w:type="dxa" w:w="3322"/>
          </w:tcPr>
          <w:p>
            <w:pPr>
              <w:pStyle w:val="null3"/>
              <w:jc w:val="left"/>
            </w:pPr>
            <w:r>
              <w:rPr>
                <w:rFonts w:ascii="仿宋_GB2312" w:hAnsi="仿宋_GB2312" w:cs="仿宋_GB2312" w:eastAsia="仿宋_GB2312"/>
              </w:rPr>
              <w:t>对小型和微型企业（包括监狱企业或残疾人福利性单位）生产制造的产品（或者提供的工程、服务项目）的价格给予15%扣除，用扣除后的价格参与评审。</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技术要求</w:t>
            </w:r>
          </w:p>
        </w:tc>
        <w:tc>
          <w:tcPr>
            <w:tcW w:type="dxa" w:w="3322"/>
          </w:tcPr>
          <w:p>
            <w:pPr>
              <w:pStyle w:val="null3"/>
              <w:jc w:val="left"/>
            </w:pPr>
            <w:r>
              <w:rPr>
                <w:rFonts w:ascii="仿宋_GB2312" w:hAnsi="仿宋_GB2312" w:cs="仿宋_GB2312" w:eastAsia="仿宋_GB2312"/>
              </w:rPr>
              <w:t>第三章 技术、服务及其他要求3.2.技术要求</w:t>
            </w:r>
          </w:p>
        </w:tc>
        <w:tc>
          <w:tcPr>
            <w:tcW w:type="dxa" w:w="1661"/>
          </w:tcPr>
          <w:p>
            <w:pPr>
              <w:pStyle w:val="null3"/>
              <w:jc w:val="left"/>
            </w:pPr>
            <w:r>
              <w:rPr>
                <w:rFonts w:ascii="仿宋_GB2312" w:hAnsi="仿宋_GB2312" w:cs="仿宋_GB2312" w:eastAsia="仿宋_GB2312"/>
              </w:rPr>
              <w:t>产品技术参数响应表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服务要求</w:t>
            </w:r>
          </w:p>
        </w:tc>
        <w:tc>
          <w:tcPr>
            <w:tcW w:type="dxa" w:w="3322"/>
          </w:tcPr>
          <w:p>
            <w:pPr>
              <w:pStyle w:val="null3"/>
              <w:jc w:val="left"/>
            </w:pPr>
            <w:r>
              <w:rPr>
                <w:rFonts w:ascii="仿宋_GB2312" w:hAnsi="仿宋_GB2312" w:cs="仿宋_GB2312" w:eastAsia="仿宋_GB2312"/>
              </w:rPr>
              <w:t>第三章 技术、服务及其他要求3.3.服务要求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是否满足招标文件的实质性要求。</w:t>
            </w:r>
          </w:p>
        </w:tc>
        <w:tc>
          <w:tcPr>
            <w:tcW w:type="dxa" w:w="3322"/>
          </w:tcPr>
          <w:p>
            <w:pPr>
              <w:pStyle w:val="null3"/>
              <w:jc w:val="left"/>
            </w:pPr>
            <w:r>
              <w:rPr>
                <w:rFonts w:ascii="仿宋_GB2312" w:hAnsi="仿宋_GB2312" w:cs="仿宋_GB2312" w:eastAsia="仿宋_GB2312"/>
              </w:rPr>
              <w:t>报价不符合招标文件规定的采购预算金额或限价或其他报价规定的，作无效投标处理。不满足招标文件规定的其他实质性内容的，作无效投标处理。</w:t>
            </w:r>
          </w:p>
        </w:tc>
        <w:tc>
          <w:tcPr>
            <w:tcW w:type="dxa" w:w="1661"/>
          </w:tcPr>
          <w:p>
            <w:pPr>
              <w:pStyle w:val="null3"/>
              <w:jc w:val="left"/>
            </w:pPr>
            <w:r>
              <w:rPr>
                <w:rFonts w:ascii="仿宋_GB2312" w:hAnsi="仿宋_GB2312" w:cs="仿宋_GB2312" w:eastAsia="仿宋_GB2312"/>
              </w:rPr>
              <w:t>投标人应提交的相关证明材料,报价表,投标（响应）函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投标人对招标文件的技术参数进行逐条响应，完全响应、没有负偏离得40分。 （1）重要技术参数（18条）得分=投标人完全满足重要技术参数的数量÷重要技术参数的总数量×27分； （2）一般技术参数条款得分=投标人满足一般技术参数的数量÷一般技术参数的总数量×13分； 注： 1）带“★”的实质性要求不参与评分，投标人须完全满足，否则做无效投标处理；重要技术参数为标注“▲”的条款；一般技术参数为未标注“▲”、“★”的条款； 2）针对投标产品的“▲”号条款，投标人须按照参数后说明提供相应证明材料；如果投标产品中的某条“▲”号条款技术参数没有按照要求提供技术支持资料的，该条技术参数在评审中将不予认定并作扣分处理。 3）无子项的要求，按该项扣分； 4）有子项的要求，按最末级的子项扣分； 5）若重要技术参数或一般技术参数评分后有小数，按四舍五入法保留小数点后两位。</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产品技术参数响应表</w:t>
            </w:r>
          </w:p>
        </w:tc>
      </w:tr>
      <w:tr>
        <w:tc>
          <w:tcPr>
            <w:tcW w:type="dxa" w:w="831"/>
            <w:vMerge/>
          </w:tcPr>
          <w:p/>
        </w:tc>
        <w:tc>
          <w:tcPr>
            <w:tcW w:type="dxa" w:w="1661"/>
          </w:tcPr>
          <w:p>
            <w:pPr>
              <w:pStyle w:val="null3"/>
              <w:jc w:val="left"/>
            </w:pPr>
            <w:r>
              <w:rPr>
                <w:rFonts w:ascii="仿宋_GB2312" w:hAnsi="仿宋_GB2312" w:cs="仿宋_GB2312" w:eastAsia="仿宋_GB2312"/>
              </w:rPr>
              <w:t>实施方案 (设计方案、服务方案)</w:t>
            </w:r>
          </w:p>
        </w:tc>
        <w:tc>
          <w:tcPr>
            <w:tcW w:type="dxa" w:w="2575"/>
          </w:tcPr>
          <w:p>
            <w:pPr>
              <w:pStyle w:val="null3"/>
              <w:jc w:val="left"/>
            </w:pPr>
            <w:r>
              <w:rPr>
                <w:rFonts w:ascii="仿宋_GB2312" w:hAnsi="仿宋_GB2312" w:cs="仿宋_GB2312" w:eastAsia="仿宋_GB2312"/>
              </w:rPr>
              <w:t>根据供应商提供的项目实施方案进行评审: ①供货计划及供货流程 ②设备安装、调试方案 ③设备安装、调试进度计划及保证措施、安装调试人员安排计划 ④质量保证措施。 以上4项内容，每提供一项2.5分，最多得10分。 以上内容中每有一处脱离实际或缺陷或错误等因素的扣1.25分，扣完为止。 注：每有一处脱离实际或缺陷或错误等因素是指项目名称、服务内容及要求、实施地点、涉及的规范、标准与本项目要求不一致；技术环节漏缺项；实施操作流程漏缺项；套用其他项目方案或引用的标准错误或失时或存在与本项目无关的内容；方案内容与项目实际需求相违背；人员设置与本项目无关等任一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评审细则及标准证明材料.docx</w:t>
            </w:r>
          </w:p>
        </w:tc>
      </w:tr>
      <w:tr>
        <w:tc>
          <w:tcPr>
            <w:tcW w:type="dxa" w:w="831"/>
            <w:vMerge/>
          </w:tcPr>
          <w:p/>
        </w:tc>
        <w:tc>
          <w:tcPr>
            <w:tcW w:type="dxa" w:w="1661"/>
          </w:tcPr>
          <w:p>
            <w:pPr>
              <w:pStyle w:val="null3"/>
              <w:jc w:val="left"/>
            </w:pPr>
            <w:r>
              <w:rPr>
                <w:rFonts w:ascii="仿宋_GB2312" w:hAnsi="仿宋_GB2312" w:cs="仿宋_GB2312" w:eastAsia="仿宋_GB2312"/>
              </w:rPr>
              <w:t>售后服务方案及售后服务能力</w:t>
            </w:r>
          </w:p>
        </w:tc>
        <w:tc>
          <w:tcPr>
            <w:tcW w:type="dxa" w:w="2575"/>
          </w:tcPr>
          <w:p>
            <w:pPr>
              <w:pStyle w:val="null3"/>
              <w:jc w:val="left"/>
            </w:pPr>
            <w:r>
              <w:rPr>
                <w:rFonts w:ascii="仿宋_GB2312" w:hAnsi="仿宋_GB2312" w:cs="仿宋_GB2312" w:eastAsia="仿宋_GB2312"/>
              </w:rPr>
              <w:t>投标人针对本项目制定售后服务方案，方案至少包含： ①售后服务人员配置方案及分工（提供人员清单及分工）； ②现场服务支持能力（包含不限于售后服务电话、售后服务网点、响应时效与实施地点的导航截图）； ③售后巡检方案； ④紧急维修措施； ⑤保修服务承诺。 以上5项内容，每提供一项3分，最多得15分。 以上内容中每有一处脱离实际或缺陷或错误等因素的扣0.5分，扣完为止。 注：每有一处脱离实际或缺陷或错误等因素是指项目名称、服务内容及要求、实施地点、涉及的规范、标准与本项目要求不一致；技术环节漏缺项；实施操作流程漏缺项；套用其他项目方案或引用的标准错误或失时或存在与本项目无关的内容；方案内容与项目实际需求相违背；人员设置与本项目无关等任一一种情形。</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评审细则及标准证明材料.docx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投标人提供近三年【近三年是指自2023年1月1日起至投标（响应）文件提交截止时间前】（以合同签订时间为准）的类似本项目合同业绩，每提供一个得 2.5 分，最多得5分，未提供不得分。 注1：投标（响应）时提供合同全本影印件并加盖供应商公章。</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评审细则及标准证明材料.docx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15.00%</w:t>
            </w:r>
          </w:p>
        </w:tc>
        <w:tc>
          <w:tcPr>
            <w:tcW w:type="dxa" w:w="1661"/>
          </w:tcPr>
          <w:p>
            <w:pPr>
              <w:pStyle w:val="null3"/>
              <w:jc w:val="left"/>
            </w:pPr>
            <w:r>
              <w:rPr>
                <w:rFonts w:ascii="仿宋_GB2312" w:hAnsi="仿宋_GB2312" w:cs="仿宋_GB2312" w:eastAsia="仿宋_GB2312"/>
              </w:rPr>
              <w:t>价格扣除计算公式：评审价=响应报价×（1-15%）；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 xml:space="preserve"> 本项目授权评标委员会在评标报告确定的中标候选人名单中按顺序直接确定1名中标人，确认后代理机构在四川政府采购网发布中标公告，同时向中标人发出中标通知书。</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详见附件：评审细则及标准证明材料.docx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pPr>
      <w:r>
        <w:rPr>
          <w:rFonts w:ascii="仿宋_GB2312" w:hAnsi="仿宋_GB2312" w:cs="仿宋_GB2312" w:eastAsia="仿宋_GB2312"/>
        </w:rPr>
        <w:t>详见附件：四川轻化工大学货物采购合同模板.docx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