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97A1E4">
      <w:pPr>
        <w:pStyle w:val="2"/>
        <w:keepNext w:val="0"/>
        <w:keepLines w:val="0"/>
        <w:widowControl/>
        <w:suppressLineNumbers w:val="0"/>
        <w:jc w:val="center"/>
      </w:pPr>
      <w:r>
        <w:t>实质性响应一览表</w:t>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55"/>
        <w:gridCol w:w="8079"/>
        <w:gridCol w:w="630"/>
        <w:gridCol w:w="356"/>
      </w:tblGrid>
      <w:tr w14:paraId="1FAB2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6" w:space="0"/>
              <w:left w:val="single" w:color="CCCCCC" w:sz="6" w:space="0"/>
              <w:bottom w:val="single" w:color="CCCCCC" w:sz="6" w:space="0"/>
              <w:right w:val="single" w:color="CCCCCC" w:sz="6" w:space="0"/>
            </w:tcBorders>
            <w:shd w:val="clear" w:color="auto" w:fill="F5F5F5"/>
            <w:tcMar>
              <w:top w:w="30" w:type="dxa"/>
              <w:left w:w="30" w:type="dxa"/>
              <w:bottom w:w="30" w:type="dxa"/>
              <w:right w:w="30" w:type="dxa"/>
            </w:tcMar>
            <w:vAlign w:val="center"/>
          </w:tcPr>
          <w:p w14:paraId="70BCFD89">
            <w:pPr>
              <w:keepNext w:val="0"/>
              <w:keepLines w:val="0"/>
              <w:widowControl/>
              <w:suppressLineNumbers w:val="0"/>
              <w:wordWrap w:val="0"/>
              <w:jc w:val="center"/>
              <w:rPr>
                <w:b/>
                <w:bCs/>
              </w:rPr>
            </w:pPr>
            <w:r>
              <w:rPr>
                <w:rFonts w:ascii="宋体" w:hAnsi="宋体" w:eastAsia="宋体" w:cs="宋体"/>
                <w:b/>
                <w:bCs/>
                <w:kern w:val="0"/>
                <w:sz w:val="24"/>
                <w:szCs w:val="24"/>
                <w:lang w:val="en-US" w:eastAsia="zh-CN" w:bidi="ar"/>
              </w:rPr>
              <w:t>序号</w:t>
            </w:r>
          </w:p>
        </w:tc>
        <w:tc>
          <w:tcPr>
            <w:tcW w:w="0" w:type="auto"/>
            <w:tcBorders>
              <w:top w:val="single" w:color="CCCCCC" w:sz="6" w:space="0"/>
              <w:left w:val="single" w:color="CCCCCC" w:sz="6" w:space="0"/>
              <w:bottom w:val="single" w:color="CCCCCC" w:sz="6" w:space="0"/>
              <w:right w:val="single" w:color="CCCCCC" w:sz="6" w:space="0"/>
            </w:tcBorders>
            <w:shd w:val="clear" w:color="auto" w:fill="F5F5F5"/>
            <w:tcMar>
              <w:top w:w="30" w:type="dxa"/>
              <w:left w:w="30" w:type="dxa"/>
              <w:bottom w:w="30" w:type="dxa"/>
              <w:right w:w="30" w:type="dxa"/>
            </w:tcMar>
            <w:vAlign w:val="center"/>
          </w:tcPr>
          <w:p w14:paraId="19F0FC8E">
            <w:pPr>
              <w:keepNext w:val="0"/>
              <w:keepLines w:val="0"/>
              <w:widowControl/>
              <w:suppressLineNumbers w:val="0"/>
              <w:wordWrap w:val="0"/>
              <w:jc w:val="center"/>
              <w:rPr>
                <w:b/>
                <w:bCs/>
              </w:rPr>
            </w:pPr>
            <w:r>
              <w:rPr>
                <w:rFonts w:ascii="宋体" w:hAnsi="宋体" w:eastAsia="宋体" w:cs="宋体"/>
                <w:b/>
                <w:bCs/>
                <w:kern w:val="0"/>
                <w:sz w:val="24"/>
                <w:szCs w:val="24"/>
                <w:lang w:val="en-US" w:eastAsia="zh-CN" w:bidi="ar"/>
              </w:rPr>
              <w:t>实质性响应条款</w:t>
            </w:r>
          </w:p>
        </w:tc>
        <w:tc>
          <w:tcPr>
            <w:tcW w:w="0" w:type="auto"/>
            <w:tcBorders>
              <w:top w:val="single" w:color="CCCCCC" w:sz="6" w:space="0"/>
              <w:left w:val="single" w:color="CCCCCC" w:sz="6" w:space="0"/>
              <w:bottom w:val="single" w:color="CCCCCC" w:sz="6" w:space="0"/>
              <w:right w:val="single" w:color="CCCCCC" w:sz="6" w:space="0"/>
            </w:tcBorders>
            <w:shd w:val="clear" w:color="auto" w:fill="F5F5F5"/>
            <w:tcMar>
              <w:top w:w="30" w:type="dxa"/>
              <w:left w:w="30" w:type="dxa"/>
              <w:bottom w:w="30" w:type="dxa"/>
              <w:right w:w="30" w:type="dxa"/>
            </w:tcMar>
            <w:vAlign w:val="center"/>
          </w:tcPr>
          <w:p w14:paraId="425F8E73">
            <w:pPr>
              <w:keepNext w:val="0"/>
              <w:keepLines w:val="0"/>
              <w:widowControl/>
              <w:suppressLineNumbers w:val="0"/>
              <w:wordWrap w:val="0"/>
              <w:jc w:val="center"/>
              <w:rPr>
                <w:b/>
                <w:bCs/>
              </w:rPr>
            </w:pPr>
            <w:r>
              <w:rPr>
                <w:rFonts w:ascii="宋体" w:hAnsi="宋体" w:eastAsia="宋体" w:cs="宋体"/>
                <w:b/>
                <w:bCs/>
                <w:kern w:val="0"/>
                <w:sz w:val="24"/>
                <w:szCs w:val="24"/>
                <w:lang w:val="en-US" w:eastAsia="zh-CN" w:bidi="ar"/>
              </w:rPr>
              <w:t>投标人响应情况</w:t>
            </w:r>
          </w:p>
        </w:tc>
        <w:tc>
          <w:tcPr>
            <w:tcW w:w="0" w:type="auto"/>
            <w:tcBorders>
              <w:top w:val="single" w:color="CCCCCC" w:sz="6" w:space="0"/>
              <w:left w:val="single" w:color="CCCCCC" w:sz="6" w:space="0"/>
              <w:bottom w:val="single" w:color="CCCCCC" w:sz="6" w:space="0"/>
              <w:right w:val="single" w:color="CCCCCC" w:sz="6" w:space="0"/>
            </w:tcBorders>
            <w:shd w:val="clear" w:color="auto" w:fill="F5F5F5"/>
            <w:tcMar>
              <w:top w:w="30" w:type="dxa"/>
              <w:left w:w="30" w:type="dxa"/>
              <w:bottom w:w="30" w:type="dxa"/>
              <w:right w:w="30" w:type="dxa"/>
            </w:tcMar>
            <w:vAlign w:val="center"/>
          </w:tcPr>
          <w:p w14:paraId="02399FC7">
            <w:pPr>
              <w:keepNext w:val="0"/>
              <w:keepLines w:val="0"/>
              <w:widowControl/>
              <w:suppressLineNumbers w:val="0"/>
              <w:wordWrap w:val="0"/>
              <w:jc w:val="center"/>
              <w:rPr>
                <w:b/>
                <w:bCs/>
              </w:rPr>
            </w:pPr>
            <w:r>
              <w:rPr>
                <w:rFonts w:ascii="宋体" w:hAnsi="宋体" w:eastAsia="宋体" w:cs="宋体"/>
                <w:b/>
                <w:bCs/>
                <w:kern w:val="0"/>
                <w:sz w:val="24"/>
                <w:szCs w:val="24"/>
                <w:lang w:val="en-US" w:eastAsia="zh-CN" w:bidi="ar"/>
              </w:rPr>
              <w:t>差异</w:t>
            </w:r>
          </w:p>
        </w:tc>
      </w:tr>
      <w:tr w14:paraId="2C996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6B506030">
            <w:pPr>
              <w:keepNext w:val="0"/>
              <w:keepLines w:val="0"/>
              <w:widowControl/>
              <w:suppressLineNumbers w:val="0"/>
              <w:wordWrap w:val="0"/>
              <w:jc w:val="center"/>
            </w:pPr>
            <w:r>
              <w:rPr>
                <w:rFonts w:ascii="宋体" w:hAnsi="宋体" w:eastAsia="宋体" w:cs="宋体"/>
                <w:kern w:val="0"/>
                <w:sz w:val="24"/>
                <w:szCs w:val="24"/>
                <w:lang w:val="en-US" w:eastAsia="zh-CN" w:bidi="ar"/>
              </w:rPr>
              <w:t>1</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614CACC6">
            <w:pPr>
              <w:keepNext w:val="0"/>
              <w:keepLines w:val="0"/>
              <w:widowControl/>
              <w:suppressLineNumbers w:val="0"/>
              <w:wordWrap w:val="0"/>
              <w:jc w:val="center"/>
            </w:pPr>
            <w:r>
              <w:rPr>
                <w:rFonts w:ascii="宋体" w:hAnsi="宋体" w:eastAsia="宋体" w:cs="宋体"/>
                <w:kern w:val="0"/>
                <w:sz w:val="24"/>
                <w:szCs w:val="24"/>
                <w:lang w:val="en-US" w:eastAsia="zh-CN" w:bidi="ar"/>
              </w:rPr>
              <w:t>★投标人报出统一的投标折扣（单位：%）。投标折扣必须为固定报价，不接受区间报价（如80%-90%），0＜投标折扣≤100％。</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02EC8707">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3F926D01">
            <w:pPr>
              <w:jc w:val="center"/>
              <w:rPr>
                <w:rFonts w:hint="eastAsia" w:ascii="宋体"/>
                <w:sz w:val="24"/>
                <w:szCs w:val="24"/>
              </w:rPr>
            </w:pPr>
          </w:p>
        </w:tc>
      </w:tr>
      <w:tr w14:paraId="46DDB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29CB00A7">
            <w:pPr>
              <w:keepNext w:val="0"/>
              <w:keepLines w:val="0"/>
              <w:widowControl/>
              <w:suppressLineNumbers w:val="0"/>
              <w:wordWrap w:val="0"/>
              <w:jc w:val="center"/>
            </w:pPr>
            <w:r>
              <w:rPr>
                <w:rFonts w:ascii="宋体" w:hAnsi="宋体" w:eastAsia="宋体" w:cs="宋体"/>
                <w:kern w:val="0"/>
                <w:sz w:val="24"/>
                <w:szCs w:val="24"/>
                <w:lang w:val="en-US" w:eastAsia="zh-CN" w:bidi="ar"/>
              </w:rPr>
              <w:t>2</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4835BA7C">
            <w:pPr>
              <w:keepNext w:val="0"/>
              <w:keepLines w:val="0"/>
              <w:widowControl/>
              <w:suppressLineNumbers w:val="0"/>
              <w:wordWrap w:val="0"/>
              <w:jc w:val="center"/>
            </w:pPr>
            <w:r>
              <w:rPr>
                <w:rFonts w:ascii="宋体" w:hAnsi="宋体" w:eastAsia="宋体" w:cs="宋体"/>
                <w:kern w:val="0"/>
                <w:sz w:val="24"/>
                <w:szCs w:val="24"/>
                <w:lang w:val="en-US" w:eastAsia="zh-CN" w:bidi="ar"/>
              </w:rPr>
              <w:t>★中标人应按照《中华人民共和国劳动法》的相关规定发放工资，服务人员工资不得低于广州市企业职工最低工资标准（工资不含按国家规定中标人必须支付的社会保险及其他应付费用）。</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2AD8C3E1">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38351714">
            <w:pPr>
              <w:jc w:val="center"/>
              <w:rPr>
                <w:rFonts w:hint="eastAsia" w:ascii="宋体"/>
                <w:sz w:val="24"/>
                <w:szCs w:val="24"/>
              </w:rPr>
            </w:pPr>
          </w:p>
        </w:tc>
      </w:tr>
      <w:tr w14:paraId="0AE3D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084AC079">
            <w:pPr>
              <w:keepNext w:val="0"/>
              <w:keepLines w:val="0"/>
              <w:widowControl/>
              <w:suppressLineNumbers w:val="0"/>
              <w:wordWrap w:val="0"/>
              <w:jc w:val="center"/>
            </w:pPr>
            <w:r>
              <w:rPr>
                <w:rFonts w:ascii="宋体" w:hAnsi="宋体" w:eastAsia="宋体" w:cs="宋体"/>
                <w:kern w:val="0"/>
                <w:sz w:val="24"/>
                <w:szCs w:val="24"/>
                <w:lang w:val="en-US" w:eastAsia="zh-CN" w:bidi="ar"/>
              </w:rPr>
              <w:t>3</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2B73AE89">
            <w:pPr>
              <w:keepNext w:val="0"/>
              <w:keepLines w:val="0"/>
              <w:widowControl/>
              <w:suppressLineNumbers w:val="0"/>
              <w:wordWrap w:val="0"/>
              <w:jc w:val="center"/>
            </w:pPr>
            <w:r>
              <w:rPr>
                <w:rFonts w:ascii="宋体" w:hAnsi="宋体" w:eastAsia="宋体" w:cs="宋体"/>
                <w:kern w:val="0"/>
                <w:sz w:val="24"/>
                <w:szCs w:val="24"/>
                <w:lang w:val="en-US" w:eastAsia="zh-CN" w:bidi="ar"/>
              </w:rPr>
              <w:t>★中标人应按照《中华人民共和国社会保险法》和《住房公积金管理条例》的相关规定，支付国家规定必须购买的社会保险费用和缴存住房公积金。</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54322BC8">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5AB24938">
            <w:pPr>
              <w:jc w:val="center"/>
              <w:rPr>
                <w:rFonts w:hint="eastAsia" w:ascii="宋体"/>
                <w:sz w:val="24"/>
                <w:szCs w:val="24"/>
              </w:rPr>
            </w:pPr>
          </w:p>
        </w:tc>
      </w:tr>
      <w:tr w14:paraId="3BEED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19DBA94D">
            <w:pPr>
              <w:keepNext w:val="0"/>
              <w:keepLines w:val="0"/>
              <w:widowControl/>
              <w:suppressLineNumbers w:val="0"/>
              <w:wordWrap w:val="0"/>
              <w:jc w:val="center"/>
            </w:pPr>
            <w:r>
              <w:rPr>
                <w:rFonts w:ascii="宋体" w:hAnsi="宋体" w:eastAsia="宋体" w:cs="宋体"/>
                <w:kern w:val="0"/>
                <w:sz w:val="24"/>
                <w:szCs w:val="24"/>
                <w:lang w:val="en-US" w:eastAsia="zh-CN" w:bidi="ar"/>
              </w:rPr>
              <w:t>4</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71CF8A83">
            <w:pPr>
              <w:keepNext w:val="0"/>
              <w:keepLines w:val="0"/>
              <w:widowControl/>
              <w:suppressLineNumbers w:val="0"/>
              <w:wordWrap w:val="0"/>
              <w:jc w:val="center"/>
            </w:pPr>
            <w:r>
              <w:rPr>
                <w:rFonts w:ascii="宋体" w:hAnsi="宋体" w:eastAsia="宋体" w:cs="宋体"/>
                <w:kern w:val="0"/>
                <w:sz w:val="24"/>
                <w:szCs w:val="24"/>
                <w:lang w:val="en-US" w:eastAsia="zh-CN" w:bidi="ar"/>
              </w:rPr>
              <w:t>★派出服务保安员（含保安队长）须经过岗前培训并考取《保安员证》，持证率须达100%，投标时提供承诺函。</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6EEBC9B0">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2600C678">
            <w:pPr>
              <w:jc w:val="center"/>
              <w:rPr>
                <w:rFonts w:hint="eastAsia" w:ascii="宋体"/>
                <w:sz w:val="24"/>
                <w:szCs w:val="24"/>
              </w:rPr>
            </w:pPr>
          </w:p>
        </w:tc>
      </w:tr>
      <w:tr w14:paraId="5DE93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8" w:hRule="atLeast"/>
        </w:trPr>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137BB1B7">
            <w:pPr>
              <w:keepNext w:val="0"/>
              <w:keepLines w:val="0"/>
              <w:widowControl/>
              <w:suppressLineNumbers w:val="0"/>
              <w:wordWrap w:val="0"/>
              <w:jc w:val="center"/>
            </w:pPr>
            <w:r>
              <w:rPr>
                <w:rFonts w:ascii="宋体" w:hAnsi="宋体" w:eastAsia="宋体" w:cs="宋体"/>
                <w:kern w:val="0"/>
                <w:sz w:val="24"/>
                <w:szCs w:val="24"/>
                <w:lang w:val="en-US" w:eastAsia="zh-CN" w:bidi="ar"/>
              </w:rPr>
              <w:t>5</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490E1DF2">
            <w:pPr>
              <w:keepNext w:val="0"/>
              <w:keepLines w:val="0"/>
              <w:widowControl/>
              <w:suppressLineNumbers w:val="0"/>
              <w:wordWrap w:val="0"/>
              <w:jc w:val="center"/>
            </w:pPr>
            <w:r>
              <w:rPr>
                <w:rFonts w:ascii="宋体" w:hAnsi="宋体" w:eastAsia="宋体" w:cs="宋体"/>
                <w:kern w:val="0"/>
                <w:sz w:val="24"/>
                <w:szCs w:val="24"/>
                <w:lang w:val="en-US" w:eastAsia="zh-CN" w:bidi="ar"/>
              </w:rPr>
              <w:t>★天河区是广州市经济发展的中坚力量，良好的投资环境和社会秩序是发展的保障，同时，天河区是广州市交通运输枢纽（有火车东站和东站客运站、天河客运站）、外来人员和流动人员较多、是广州市金融和商业繁华核心地段。区内重大节日、大型群众性活动多，人流密集，且服务区域为重点安保单位，各类突发事件具有不确定性、突然性，处置须及时，中标人应具有普通水马数量不少于5000个（含5000个）[说明：须同时提供购销合同、购买发票、付款凭证或租赁合同(含交付凭证)，租赁合同有效期必须在合同执行有效期内，如因投标人在投标前未能取得相关购买合同或租赁合同等上述证明材料的，须承诺中标后签合同前3日内向采购人提供上述证明（提供承诺函，格式自拟）]，普通水马的规格均为1.5米×1.3米，并安排足够的人力和车辆，保证严格按照采购人方案的时间节点要求进行水马运输、安装和撤离；突发事件发生时中标人须在接到通知后1小时内完成对重点区域的围蔽。</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332C5972">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6E8AA912">
            <w:pPr>
              <w:jc w:val="center"/>
              <w:rPr>
                <w:rFonts w:hint="eastAsia" w:ascii="宋体"/>
                <w:sz w:val="24"/>
                <w:szCs w:val="24"/>
              </w:rPr>
            </w:pPr>
          </w:p>
        </w:tc>
      </w:tr>
      <w:tr w14:paraId="5FB02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7A3BD96A">
            <w:pPr>
              <w:keepNext w:val="0"/>
              <w:keepLines w:val="0"/>
              <w:widowControl/>
              <w:suppressLineNumbers w:val="0"/>
              <w:wordWrap w:val="0"/>
              <w:jc w:val="center"/>
            </w:pPr>
            <w:r>
              <w:rPr>
                <w:rFonts w:ascii="宋体" w:hAnsi="宋体" w:eastAsia="宋体" w:cs="宋体"/>
                <w:kern w:val="0"/>
                <w:sz w:val="24"/>
                <w:szCs w:val="24"/>
                <w:lang w:val="en-US" w:eastAsia="zh-CN" w:bidi="ar"/>
              </w:rPr>
              <w:t>6</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6BC7FD1F">
            <w:pPr>
              <w:keepNext w:val="0"/>
              <w:keepLines w:val="0"/>
              <w:widowControl/>
              <w:suppressLineNumbers w:val="0"/>
              <w:wordWrap w:val="0"/>
              <w:jc w:val="center"/>
            </w:pPr>
            <w:r>
              <w:rPr>
                <w:rFonts w:ascii="宋体" w:hAnsi="宋体" w:eastAsia="宋体" w:cs="宋体"/>
                <w:kern w:val="0"/>
                <w:sz w:val="24"/>
                <w:szCs w:val="24"/>
                <w:lang w:val="en-US" w:eastAsia="zh-CN" w:bidi="ar"/>
              </w:rPr>
              <w:t>★本项目主要现场人员是指：项目总负责人、项目主管（5人）。投标人需承诺主要现场人员是投标人员工（提供承诺函，承诺函中需要包含主要现场人员的岗位名称，格式自拟）并提供劳动合同和投标截止日之前六个月以内任意月份为主要现场人员缴纳社会保险（至少包括养老、失业和工伤）的证明材料；因有政策另外规定，允许投标人不需为主要现场人员统一缴纳社会保险的，除需要提供养老、医疗[含生育保险]、失业、工伤等任一社会保险缴纳证明外，还需提供相关政策文件作为佐证材料。</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1F6FEF67">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68AF94BD">
            <w:pPr>
              <w:jc w:val="center"/>
              <w:rPr>
                <w:rFonts w:hint="eastAsia" w:ascii="宋体"/>
                <w:sz w:val="24"/>
                <w:szCs w:val="24"/>
              </w:rPr>
            </w:pPr>
          </w:p>
        </w:tc>
      </w:tr>
      <w:tr w14:paraId="25F18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0C451CF2">
            <w:pPr>
              <w:keepNext w:val="0"/>
              <w:keepLines w:val="0"/>
              <w:widowControl/>
              <w:suppressLineNumbers w:val="0"/>
              <w:wordWrap w:val="0"/>
              <w:jc w:val="center"/>
            </w:pPr>
            <w:r>
              <w:rPr>
                <w:rFonts w:ascii="宋体" w:hAnsi="宋体" w:eastAsia="宋体" w:cs="宋体"/>
                <w:kern w:val="0"/>
                <w:sz w:val="24"/>
                <w:szCs w:val="24"/>
                <w:lang w:val="en-US" w:eastAsia="zh-CN" w:bidi="ar"/>
              </w:rPr>
              <w:t>7</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37752525">
            <w:pPr>
              <w:keepNext w:val="0"/>
              <w:keepLines w:val="0"/>
              <w:widowControl/>
              <w:suppressLineNumbers w:val="0"/>
              <w:wordWrap w:val="0"/>
              <w:jc w:val="center"/>
            </w:pPr>
            <w:r>
              <w:rPr>
                <w:rFonts w:ascii="宋体" w:hAnsi="宋体" w:eastAsia="宋体" w:cs="宋体"/>
                <w:kern w:val="0"/>
                <w:sz w:val="24"/>
                <w:szCs w:val="24"/>
                <w:lang w:val="en-US" w:eastAsia="zh-CN" w:bidi="ar"/>
              </w:rPr>
              <w:t>★应急响应时间要求：各护卫点遇突发性事件，中标人必须在接到指令后30分钟内按照采购人提出需要的保安力量安排保安员到达指定地点支援；第一部分各项活动安保期间遇突发性事件以及采购人临时开展的突发事件处置时，中标人必须在接到指令后15分钟内按照采购人提出需要的保安力量安排保安员到达指定地点支援，未按规定时间到达指定地点或支援的保安力量不足的都将被视为无效响应。中标人中标后必须提出书面承诺函，对实际工作中无法满足上述要求的，按照当次服务费用的标准赔偿相应违约金（例如当次出动人次需要30000元，则采购人不支付当次费用，中标人还需赔偿采购人30000元），超过3次不能满足的，采购人有权上报监管部门，申请终止合同。</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066B957A">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35CD06AF">
            <w:pPr>
              <w:jc w:val="center"/>
              <w:rPr>
                <w:rFonts w:hint="eastAsia" w:ascii="宋体"/>
                <w:sz w:val="24"/>
                <w:szCs w:val="24"/>
              </w:rPr>
            </w:pPr>
          </w:p>
        </w:tc>
      </w:tr>
      <w:tr w14:paraId="6B5D2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6187B1F2">
            <w:pPr>
              <w:keepNext w:val="0"/>
              <w:keepLines w:val="0"/>
              <w:widowControl/>
              <w:suppressLineNumbers w:val="0"/>
              <w:wordWrap w:val="0"/>
              <w:jc w:val="center"/>
            </w:pPr>
            <w:r>
              <w:rPr>
                <w:rFonts w:ascii="宋体" w:hAnsi="宋体" w:eastAsia="宋体" w:cs="宋体"/>
                <w:kern w:val="0"/>
                <w:sz w:val="24"/>
                <w:szCs w:val="24"/>
                <w:lang w:val="en-US" w:eastAsia="zh-CN" w:bidi="ar"/>
              </w:rPr>
              <w:t>8</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190F97CB">
            <w:pPr>
              <w:keepNext w:val="0"/>
              <w:keepLines w:val="0"/>
              <w:widowControl/>
              <w:suppressLineNumbers w:val="0"/>
              <w:wordWrap w:val="0"/>
              <w:jc w:val="center"/>
            </w:pPr>
            <w:r>
              <w:rPr>
                <w:rFonts w:ascii="宋体" w:hAnsi="宋体" w:eastAsia="宋体" w:cs="宋体"/>
                <w:kern w:val="0"/>
                <w:sz w:val="24"/>
                <w:szCs w:val="24"/>
                <w:lang w:val="en-US" w:eastAsia="zh-CN" w:bidi="ar"/>
              </w:rPr>
              <w:t>★具有15辆以上七座或以上车辆，确保发生突发事件时，足够运输应急人员和装备。为确保交通运输畅顺，要求上述车辆拥有采购人属地牌照（1.自有车辆须提供机动车行驶证扫描件；2.租赁车辆须提供租赁合同、交付凭证及车辆行驶证扫描件（租赁合同有效期必须在合同执行有效期内）；3.如因投标人在投标前未能上述取得相关设备的购买合同或租赁合同等，须承诺中标后签合同前3日内向采购人提供上述证明材料（提供承诺函，格式自拟）。）</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215C902B">
            <w:pPr>
              <w:jc w:val="center"/>
              <w:rPr>
                <w:rFonts w:hint="eastAsia" w:ascii="宋体"/>
                <w:sz w:val="24"/>
                <w:szCs w:val="24"/>
              </w:rPr>
            </w:pP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30" w:type="dxa"/>
              <w:left w:w="30" w:type="dxa"/>
              <w:bottom w:w="30" w:type="dxa"/>
              <w:right w:w="30" w:type="dxa"/>
            </w:tcMar>
            <w:vAlign w:val="center"/>
          </w:tcPr>
          <w:p w14:paraId="19AE654D">
            <w:pPr>
              <w:jc w:val="center"/>
              <w:rPr>
                <w:rFonts w:hint="eastAsia" w:ascii="宋体"/>
                <w:sz w:val="24"/>
                <w:szCs w:val="24"/>
              </w:rPr>
            </w:pPr>
          </w:p>
        </w:tc>
      </w:tr>
    </w:tbl>
    <w:p w14:paraId="7E51DDD7">
      <w:pPr>
        <w:keepNext w:val="0"/>
        <w:keepLines w:val="0"/>
        <w:widowControl/>
        <w:suppressLineNumbers w:val="0"/>
      </w:pPr>
      <w:r>
        <w:rPr>
          <w:sz w:val="24"/>
          <w:szCs w:val="24"/>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537AAD35">
      <w:pPr>
        <w:pStyle w:val="3"/>
        <w:keepNext w:val="0"/>
        <w:keepLines w:val="0"/>
        <w:widowControl/>
        <w:suppressLineNumbers w:val="0"/>
      </w:pPr>
      <w:r>
        <w:rPr>
          <w:rStyle w:val="6"/>
        </w:rPr>
        <w:t>说明：</w:t>
      </w:r>
    </w:p>
    <w:p w14:paraId="688C48B2">
      <w:pPr>
        <w:keepNext w:val="0"/>
        <w:keepLines w:val="0"/>
        <w:widowControl/>
        <w:numPr>
          <w:ilvl w:val="0"/>
          <w:numId w:val="1"/>
        </w:numPr>
        <w:suppressLineNumbers w:val="0"/>
        <w:spacing w:before="0" w:beforeAutospacing="1" w:after="0" w:afterAutospacing="1"/>
        <w:ind w:left="720" w:hanging="360"/>
      </w:pPr>
      <w:r>
        <w:t>实质性响应条款一览表后续内容请根据第二章采购需求★号条款详细列举,若有不一致以第二章采购需求为准</w:t>
      </w:r>
    </w:p>
    <w:p w14:paraId="1D235459">
      <w:pPr>
        <w:keepNext w:val="0"/>
        <w:keepLines w:val="0"/>
        <w:widowControl/>
        <w:numPr>
          <w:ilvl w:val="0"/>
          <w:numId w:val="1"/>
        </w:numPr>
        <w:suppressLineNumbers w:val="0"/>
        <w:spacing w:before="0" w:beforeAutospacing="1" w:after="0" w:afterAutospacing="1"/>
        <w:ind w:left="720" w:hanging="360"/>
      </w:pPr>
      <w:r>
        <w:t>本表所列条款必须一一予以响应，“投标人响应情况”一栏应填写具体的响应内容，有差异的要具体说明。</w:t>
      </w:r>
    </w:p>
    <w:p w14:paraId="2DE6FE8C">
      <w:pPr>
        <w:keepNext w:val="0"/>
        <w:keepLines w:val="0"/>
        <w:widowControl/>
        <w:numPr>
          <w:ilvl w:val="0"/>
          <w:numId w:val="1"/>
        </w:numPr>
        <w:suppressLineNumbers w:val="0"/>
        <w:spacing w:before="0" w:beforeAutospacing="1" w:after="0" w:afterAutospacing="1"/>
        <w:ind w:left="720" w:hanging="360"/>
      </w:pPr>
      <w:r>
        <w:t>请投标人认真填写本表内容，如填写错误</w:t>
      </w:r>
      <w:bookmarkStart w:id="0" w:name="_GoBack"/>
      <w:bookmarkEnd w:id="0"/>
      <w:r>
        <w:t>将可能导致投标无效。</w:t>
      </w:r>
    </w:p>
    <w:sectPr>
      <w:pgSz w:w="12240" w:h="15840"/>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compat>
    <w:doNotExpandShiftReturn/>
    <w:useFELayout/>
    <w:splitPgBreakAndParaMark/>
    <w:compatSetting w:name="compatibilityMode" w:uri="http://schemas.microsoft.com/office/word" w:val="12"/>
  </w:compat>
  <w:rsids>
    <w:rsidRoot w:val="00000000"/>
    <w:rsid w:val="0B776284"/>
    <w:rsid w:val="496170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1521</Words>
  <Characters>1556</Characters>
  <TotalTime>0</TotalTime>
  <ScaleCrop>false</ScaleCrop>
  <LinksUpToDate>false</LinksUpToDate>
  <CharactersWithSpaces>1556</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2026-08-06T08:46:00Z</dcterms:created>
  <dc:creator>Administrator</dc:creator>
  <cp:lastModifiedBy>方青</cp:lastModifiedBy>
  <dcterms:modified xsi:type="dcterms:W3CDTF">2026-08-06T08:48:34Z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eyJoZGlkIjoiMTY5MzA2NDQwMTQ1YTY1NmRmNzQyNWUyODRiYjM1ZGUiLCJ1c2VySWQiOiIxNzU4NTAzNjYwIn0=</vt:lpwstr>
  </property>
  <property fmtid="{D5CDD505-2E9C-101B-9397-08002B2CF9AE}" pid="3" name="KSOProductBuildVer">
    <vt:lpwstr>2052-12.1.0.23125</vt:lpwstr>
  </property>
  <property fmtid="{D5CDD505-2E9C-101B-9397-08002B2CF9AE}" pid="4" name="ICV">
    <vt:lpwstr>08FF5CE468D84120BEF6629D2A50ADAF_12</vt:lpwstr>
  </property>
</Properties>
</file>