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440001-2026-29126</w:t>
      </w:r>
    </w:p>
    <w:p>
      <w:pPr>
        <w:pStyle w:val="null3"/>
        <w:jc w:val="center"/>
        <w:outlineLvl w:val="3"/>
      </w:pPr>
      <w:r>
        <w:rPr>
          <w:sz w:val="24"/>
          <w:b/>
        </w:rPr>
        <w:t>采购项目编号：</w:t>
      </w:r>
      <w:r>
        <w:rPr>
          <w:sz w:val="24"/>
          <w:b/>
        </w:rPr>
        <w:t>GPCGD261156HG215J</w:t>
      </w:r>
    </w:p>
    <w:p>
      <w:pPr>
        <w:pStyle w:val="null3"/>
        <w:jc w:val="center"/>
        <w:outlineLvl w:val="3"/>
      </w:pPr>
      <w:r>
        <w:rPr>
          <w:sz w:val="24"/>
          <w:b/>
        </w:rPr>
        <w:t>项目名称：</w:t>
      </w:r>
      <w:r>
        <w:rPr>
          <w:sz w:val="24"/>
          <w:b/>
        </w:rPr>
        <w:t>广东女子职业技术学院非遗学院（艺术楼一楼102-110室）改造</w:t>
      </w:r>
    </w:p>
    <w:p>
      <w:pPr>
        <w:pStyle w:val="null3"/>
        <w:jc w:val="center"/>
        <w:outlineLvl w:val="3"/>
      </w:pPr>
      <w:r>
        <w:rPr>
          <w:sz w:val="24"/>
          <w:b/>
        </w:rPr>
        <w:t>采购人：</w:t>
      </w:r>
      <w:r>
        <w:rPr>
          <w:sz w:val="24"/>
          <w:b/>
        </w:rPr>
        <w:t>广东女子职业技术学院</w:t>
      </w:r>
    </w:p>
    <w:p>
      <w:pPr>
        <w:pStyle w:val="null3"/>
        <w:jc w:val="center"/>
        <w:outlineLvl w:val="3"/>
      </w:pPr>
      <w:r>
        <w:rPr>
          <w:sz w:val="24"/>
          <w:b/>
        </w:rPr>
        <w:t>采购代理机构：</w:t>
      </w:r>
      <w:r>
        <w:rPr>
          <w:sz w:val="24"/>
          <w:b/>
        </w:rPr>
        <w:t>广东省政府采购中心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广东省政府采购中心</w:t>
      </w:r>
      <w:r>
        <w:rPr/>
        <w:t>受</w:t>
      </w:r>
      <w:r>
        <w:rPr/>
        <w:t>广东女子职业技术学院</w:t>
      </w:r>
      <w:r>
        <w:rPr/>
        <w:t>的委托，采用</w:t>
      </w:r>
      <w:r>
        <w:rPr/>
        <w:t>公开招标</w:t>
      </w:r>
      <w:r>
        <w:rPr/>
        <w:t>方式组织采购</w:t>
      </w:r>
      <w:r>
        <w:rPr/>
        <w:t>广东女子职业技术学院非遗学院（艺术楼一楼102-110室）改造</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广东女子职业技术学院非遗学院（艺术楼一楼102-110室）改造</w:t>
      </w:r>
    </w:p>
    <w:p>
      <w:pPr>
        <w:pStyle w:val="null3"/>
        <w:ind w:firstLine="480"/>
      </w:pPr>
      <w:r>
        <w:rPr/>
        <w:t>采购计划编号：</w:t>
      </w:r>
      <w:r>
        <w:rPr/>
        <w:t>440001-2026-29126</w:t>
      </w:r>
    </w:p>
    <w:p>
      <w:pPr>
        <w:pStyle w:val="null3"/>
        <w:ind w:firstLine="480"/>
      </w:pPr>
      <w:r>
        <w:rPr/>
        <w:t>采购项目编号：</w:t>
      </w:r>
      <w:r>
        <w:rPr/>
        <w:t>GPCGD261156HG215J</w:t>
      </w:r>
    </w:p>
    <w:p>
      <w:pPr>
        <w:pStyle w:val="null3"/>
        <w:ind w:firstLine="480"/>
      </w:pPr>
      <w:r>
        <w:rPr/>
        <w:t>采购方式：</w:t>
      </w:r>
      <w:r>
        <w:rPr/>
        <w:t>公开招标</w:t>
      </w:r>
    </w:p>
    <w:p>
      <w:pPr>
        <w:pStyle w:val="null3"/>
        <w:ind w:firstLine="480"/>
      </w:pPr>
      <w:r>
        <w:rPr/>
        <w:t>预算金额：</w:t>
      </w:r>
      <w:r>
        <w:rPr/>
        <w:t>944,779.20</w:t>
      </w:r>
      <w:r>
        <w:rPr/>
        <w:t>元</w:t>
      </w:r>
    </w:p>
    <w:p>
      <w:pPr>
        <w:pStyle w:val="null3"/>
        <w:outlineLvl w:val="3"/>
      </w:pPr>
      <w:r>
        <w:rPr>
          <w:sz w:val="24"/>
          <w:b/>
        </w:rPr>
        <w:t>2.项目内容及需求情况（采购项目技术规格、参数及要求）</w:t>
      </w:r>
    </w:p>
    <w:p>
      <w:pPr>
        <w:pStyle w:val="null3"/>
      </w:pPr>
      <w:r>
        <w:rPr/>
        <w:t>采购包1(广东女子职业技术学院非遗学院（艺术楼一楼102-110室）改造):</w:t>
      </w:r>
    </w:p>
    <w:p>
      <w:pPr>
        <w:pStyle w:val="null3"/>
      </w:pPr>
      <w:r>
        <w:rPr/>
        <w:t>采购包预算金额：944,779.20元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LED 显示屏</w:t>
            </w:r>
          </w:p>
        </w:tc>
        <w:tc>
          <w:tcPr>
            <w:tcW w:type="dxa" w:w="2052"/>
          </w:tcPr>
          <w:p>
            <w:pPr>
              <w:pStyle w:val="null3"/>
            </w:pPr>
            <w:r>
              <w:rPr/>
              <w:t>LED显示屏</w:t>
            </w:r>
          </w:p>
        </w:tc>
        <w:tc>
          <w:tcPr>
            <w:tcW w:type="dxa" w:w="977"/>
          </w:tcPr>
          <w:p>
            <w:pPr>
              <w:pStyle w:val="null3"/>
            </w:pPr>
            <w:r>
              <w:rPr/>
              <w:t>18.43(平方米)</w:t>
            </w:r>
          </w:p>
        </w:tc>
        <w:tc>
          <w:tcPr>
            <w:tcW w:type="dxa" w:w="977"/>
          </w:tcPr>
          <w:p>
            <w:pPr>
              <w:pStyle w:val="null3"/>
            </w:pPr>
            <w:r>
              <w:rPr/>
              <w:t>详见第二章</w:t>
            </w:r>
          </w:p>
        </w:tc>
        <w:tc>
          <w:tcPr>
            <w:tcW w:type="dxa" w:w="977"/>
          </w:tcPr>
          <w:p>
            <w:pPr>
              <w:pStyle w:val="null3"/>
            </w:pPr>
            <w:r>
              <w:rPr/>
              <w:t>127,180.80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电源插座和转换器</w:t>
            </w:r>
          </w:p>
        </w:tc>
        <w:tc>
          <w:tcPr>
            <w:tcW w:type="dxa" w:w="2052"/>
          </w:tcPr>
          <w:p>
            <w:pPr>
              <w:pStyle w:val="null3"/>
            </w:pPr>
            <w:r>
              <w:rPr/>
              <w:t>开关电源</w:t>
            </w:r>
          </w:p>
        </w:tc>
        <w:tc>
          <w:tcPr>
            <w:tcW w:type="dxa" w:w="977"/>
          </w:tcPr>
          <w:p>
            <w:pPr>
              <w:pStyle w:val="null3"/>
            </w:pPr>
            <w:r>
              <w:rPr/>
              <w:t>60.00(台)</w:t>
            </w:r>
          </w:p>
        </w:tc>
        <w:tc>
          <w:tcPr>
            <w:tcW w:type="dxa" w:w="977"/>
          </w:tcPr>
          <w:p>
            <w:pPr>
              <w:pStyle w:val="null3"/>
            </w:pPr>
            <w:r>
              <w:rPr/>
              <w:t>详见第二章</w:t>
            </w:r>
          </w:p>
        </w:tc>
        <w:tc>
          <w:tcPr>
            <w:tcW w:type="dxa" w:w="977"/>
          </w:tcPr>
          <w:p>
            <w:pPr>
              <w:pStyle w:val="null3"/>
            </w:pPr>
            <w:r>
              <w:rPr/>
              <w:t>5,400.00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电源插座和转换器</w:t>
            </w:r>
          </w:p>
        </w:tc>
        <w:tc>
          <w:tcPr>
            <w:tcW w:type="dxa" w:w="2052"/>
          </w:tcPr>
          <w:p>
            <w:pPr>
              <w:pStyle w:val="null3"/>
            </w:pPr>
            <w:r>
              <w:rPr/>
              <w:t>接收卡</w:t>
            </w:r>
          </w:p>
        </w:tc>
        <w:tc>
          <w:tcPr>
            <w:tcW w:type="dxa" w:w="977"/>
          </w:tcPr>
          <w:p>
            <w:pPr>
              <w:pStyle w:val="null3"/>
            </w:pPr>
            <w:r>
              <w:rPr/>
              <w:t>54.00(张)</w:t>
            </w:r>
          </w:p>
        </w:tc>
        <w:tc>
          <w:tcPr>
            <w:tcW w:type="dxa" w:w="977"/>
          </w:tcPr>
          <w:p>
            <w:pPr>
              <w:pStyle w:val="null3"/>
            </w:pPr>
            <w:r>
              <w:rPr/>
              <w:t>详见第二章</w:t>
            </w:r>
          </w:p>
        </w:tc>
        <w:tc>
          <w:tcPr>
            <w:tcW w:type="dxa" w:w="977"/>
          </w:tcPr>
          <w:p>
            <w:pPr>
              <w:pStyle w:val="null3"/>
            </w:pPr>
            <w:r>
              <w:rPr/>
              <w:t>7,020.00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终端控制器</w:t>
            </w:r>
          </w:p>
        </w:tc>
        <w:tc>
          <w:tcPr>
            <w:tcW w:type="dxa" w:w="2052"/>
          </w:tcPr>
          <w:p>
            <w:pPr>
              <w:pStyle w:val="null3"/>
            </w:pPr>
            <w:r>
              <w:rPr/>
              <w:t>LED视频控制器</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8,000.00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其他计算机软件</w:t>
            </w:r>
          </w:p>
        </w:tc>
        <w:tc>
          <w:tcPr>
            <w:tcW w:type="dxa" w:w="2052"/>
          </w:tcPr>
          <w:p>
            <w:pPr>
              <w:pStyle w:val="null3"/>
            </w:pPr>
            <w:r>
              <w:rPr/>
              <w:t>控制软件</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3,000.00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其他电源设备</w:t>
            </w:r>
          </w:p>
        </w:tc>
        <w:tc>
          <w:tcPr>
            <w:tcW w:type="dxa" w:w="2052"/>
          </w:tcPr>
          <w:p>
            <w:pPr>
              <w:pStyle w:val="null3"/>
            </w:pPr>
            <w:r>
              <w:rPr/>
              <w:t>智能电源管理中心</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7,500.00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其他服务</w:t>
            </w:r>
          </w:p>
        </w:tc>
        <w:tc>
          <w:tcPr>
            <w:tcW w:type="dxa" w:w="2052"/>
          </w:tcPr>
          <w:p>
            <w:pPr>
              <w:pStyle w:val="null3"/>
            </w:pPr>
            <w:r>
              <w:rPr/>
              <w:t>钢结构及装饰 安装、调试及培训</w:t>
            </w:r>
          </w:p>
        </w:tc>
        <w:tc>
          <w:tcPr>
            <w:tcW w:type="dxa" w:w="977"/>
          </w:tcPr>
          <w:p>
            <w:pPr>
              <w:pStyle w:val="null3"/>
            </w:pPr>
            <w:r>
              <w:rPr/>
              <w:t>18.43(平方米)</w:t>
            </w:r>
          </w:p>
        </w:tc>
        <w:tc>
          <w:tcPr>
            <w:tcW w:type="dxa" w:w="977"/>
          </w:tcPr>
          <w:p>
            <w:pPr>
              <w:pStyle w:val="null3"/>
            </w:pPr>
            <w:r>
              <w:rPr/>
              <w:t>详见第二章</w:t>
            </w:r>
          </w:p>
        </w:tc>
        <w:tc>
          <w:tcPr>
            <w:tcW w:type="dxa" w:w="977"/>
          </w:tcPr>
          <w:p>
            <w:pPr>
              <w:pStyle w:val="null3"/>
            </w:pPr>
            <w:r>
              <w:rPr/>
              <w:t>22,118.40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绝缘电线和电缆</w:t>
            </w:r>
          </w:p>
        </w:tc>
        <w:tc>
          <w:tcPr>
            <w:tcW w:type="dxa" w:w="2052"/>
          </w:tcPr>
          <w:p>
            <w:pPr>
              <w:pStyle w:val="null3"/>
            </w:pPr>
            <w:r>
              <w:rPr/>
              <w:t>模组线材</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5,000.00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绝缘电线和电缆</w:t>
            </w:r>
          </w:p>
        </w:tc>
        <w:tc>
          <w:tcPr>
            <w:tcW w:type="dxa" w:w="2052"/>
          </w:tcPr>
          <w:p>
            <w:pPr>
              <w:pStyle w:val="null3"/>
            </w:pPr>
            <w:r>
              <w:rPr/>
              <w:t>线材及辅材</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7,500.00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电源插座和转换器</w:t>
            </w:r>
          </w:p>
        </w:tc>
        <w:tc>
          <w:tcPr>
            <w:tcW w:type="dxa" w:w="2052"/>
          </w:tcPr>
          <w:p>
            <w:pPr>
              <w:pStyle w:val="null3"/>
            </w:pPr>
            <w:r>
              <w:rPr/>
              <w:t>备品备件</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4,000.00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绝缘电线和电缆</w:t>
            </w:r>
          </w:p>
        </w:tc>
        <w:tc>
          <w:tcPr>
            <w:tcW w:type="dxa" w:w="2052"/>
          </w:tcPr>
          <w:p>
            <w:pPr>
              <w:pStyle w:val="null3"/>
            </w:pPr>
            <w:r>
              <w:rPr/>
              <w:t>动力电源线</w:t>
            </w:r>
          </w:p>
        </w:tc>
        <w:tc>
          <w:tcPr>
            <w:tcW w:type="dxa" w:w="977"/>
          </w:tcPr>
          <w:p>
            <w:pPr>
              <w:pStyle w:val="null3"/>
            </w:pPr>
            <w:r>
              <w:rPr/>
              <w:t>30.00(米)</w:t>
            </w:r>
          </w:p>
        </w:tc>
        <w:tc>
          <w:tcPr>
            <w:tcW w:type="dxa" w:w="977"/>
          </w:tcPr>
          <w:p>
            <w:pPr>
              <w:pStyle w:val="null3"/>
            </w:pPr>
            <w:r>
              <w:rPr/>
              <w:t>详见第二章</w:t>
            </w:r>
          </w:p>
        </w:tc>
        <w:tc>
          <w:tcPr>
            <w:tcW w:type="dxa" w:w="977"/>
          </w:tcPr>
          <w:p>
            <w:pPr>
              <w:pStyle w:val="null3"/>
            </w:pPr>
            <w:r>
              <w:rPr/>
              <w:t>1,500.00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图形工作站</w:t>
            </w:r>
          </w:p>
        </w:tc>
        <w:tc>
          <w:tcPr>
            <w:tcW w:type="dxa" w:w="2052"/>
          </w:tcPr>
          <w:p>
            <w:pPr>
              <w:pStyle w:val="null3"/>
            </w:pPr>
            <w:r>
              <w:rPr/>
              <w:t>LED屏控制工作站</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7,300.00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音频功率放大器设备（功放设备）</w:t>
            </w:r>
          </w:p>
        </w:tc>
        <w:tc>
          <w:tcPr>
            <w:tcW w:type="dxa" w:w="2052"/>
          </w:tcPr>
          <w:p>
            <w:pPr>
              <w:pStyle w:val="null3"/>
            </w:pPr>
            <w:r>
              <w:rPr/>
              <w:t>智能红外无线功放</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3,000.00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话筒设备</w:t>
            </w:r>
          </w:p>
        </w:tc>
        <w:tc>
          <w:tcPr>
            <w:tcW w:type="dxa" w:w="2052"/>
          </w:tcPr>
          <w:p>
            <w:pPr>
              <w:pStyle w:val="null3"/>
            </w:pPr>
            <w:r>
              <w:rPr/>
              <w:t>红外线传感器</w:t>
            </w:r>
          </w:p>
        </w:tc>
        <w:tc>
          <w:tcPr>
            <w:tcW w:type="dxa" w:w="977"/>
          </w:tcPr>
          <w:p>
            <w:pPr>
              <w:pStyle w:val="null3"/>
            </w:pPr>
            <w:r>
              <w:rPr/>
              <w:t>2.00(个)</w:t>
            </w:r>
          </w:p>
        </w:tc>
        <w:tc>
          <w:tcPr>
            <w:tcW w:type="dxa" w:w="977"/>
          </w:tcPr>
          <w:p>
            <w:pPr>
              <w:pStyle w:val="null3"/>
            </w:pPr>
            <w:r>
              <w:rPr/>
              <w:t>详见第二章</w:t>
            </w:r>
          </w:p>
        </w:tc>
        <w:tc>
          <w:tcPr>
            <w:tcW w:type="dxa" w:w="977"/>
          </w:tcPr>
          <w:p>
            <w:pPr>
              <w:pStyle w:val="null3"/>
            </w:pPr>
            <w:r>
              <w:rPr/>
              <w:t>1,360.00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话筒设备</w:t>
            </w:r>
          </w:p>
        </w:tc>
        <w:tc>
          <w:tcPr>
            <w:tcW w:type="dxa" w:w="2052"/>
          </w:tcPr>
          <w:p>
            <w:pPr>
              <w:pStyle w:val="null3"/>
            </w:pPr>
            <w:r>
              <w:rPr/>
              <w:t>红外线话筒</w:t>
            </w:r>
          </w:p>
        </w:tc>
        <w:tc>
          <w:tcPr>
            <w:tcW w:type="dxa" w:w="977"/>
          </w:tcPr>
          <w:p>
            <w:pPr>
              <w:pStyle w:val="null3"/>
            </w:pPr>
            <w:r>
              <w:rPr/>
              <w:t>2.00(支)</w:t>
            </w:r>
          </w:p>
        </w:tc>
        <w:tc>
          <w:tcPr>
            <w:tcW w:type="dxa" w:w="977"/>
          </w:tcPr>
          <w:p>
            <w:pPr>
              <w:pStyle w:val="null3"/>
            </w:pPr>
            <w:r>
              <w:rPr/>
              <w:t>详见第二章</w:t>
            </w:r>
          </w:p>
        </w:tc>
        <w:tc>
          <w:tcPr>
            <w:tcW w:type="dxa" w:w="977"/>
          </w:tcPr>
          <w:p>
            <w:pPr>
              <w:pStyle w:val="null3"/>
            </w:pPr>
            <w:r>
              <w:rPr/>
              <w:t>1,200.00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话筒设备</w:t>
            </w:r>
          </w:p>
        </w:tc>
        <w:tc>
          <w:tcPr>
            <w:tcW w:type="dxa" w:w="2052"/>
          </w:tcPr>
          <w:p>
            <w:pPr>
              <w:pStyle w:val="null3"/>
            </w:pPr>
            <w:r>
              <w:rPr/>
              <w:t>组合式双路充电座</w:t>
            </w:r>
          </w:p>
        </w:tc>
        <w:tc>
          <w:tcPr>
            <w:tcW w:type="dxa" w:w="977"/>
          </w:tcPr>
          <w:p>
            <w:pPr>
              <w:pStyle w:val="null3"/>
            </w:pPr>
            <w:r>
              <w:rPr/>
              <w:t>1.00(个)</w:t>
            </w:r>
          </w:p>
        </w:tc>
        <w:tc>
          <w:tcPr>
            <w:tcW w:type="dxa" w:w="977"/>
          </w:tcPr>
          <w:p>
            <w:pPr>
              <w:pStyle w:val="null3"/>
            </w:pPr>
            <w:r>
              <w:rPr/>
              <w:t>详见第二章</w:t>
            </w:r>
          </w:p>
        </w:tc>
        <w:tc>
          <w:tcPr>
            <w:tcW w:type="dxa" w:w="977"/>
          </w:tcPr>
          <w:p>
            <w:pPr>
              <w:pStyle w:val="null3"/>
            </w:pPr>
            <w:r>
              <w:rPr/>
              <w:t>600.00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音箱</w:t>
            </w:r>
          </w:p>
        </w:tc>
        <w:tc>
          <w:tcPr>
            <w:tcW w:type="dxa" w:w="2052"/>
          </w:tcPr>
          <w:p>
            <w:pPr>
              <w:pStyle w:val="null3"/>
            </w:pPr>
            <w:r>
              <w:rPr/>
              <w:t>音柱</w:t>
            </w:r>
          </w:p>
        </w:tc>
        <w:tc>
          <w:tcPr>
            <w:tcW w:type="dxa" w:w="977"/>
          </w:tcPr>
          <w:p>
            <w:pPr>
              <w:pStyle w:val="null3"/>
            </w:pPr>
            <w:r>
              <w:rPr/>
              <w:t>4.00(只)</w:t>
            </w:r>
          </w:p>
        </w:tc>
        <w:tc>
          <w:tcPr>
            <w:tcW w:type="dxa" w:w="977"/>
          </w:tcPr>
          <w:p>
            <w:pPr>
              <w:pStyle w:val="null3"/>
            </w:pPr>
            <w:r>
              <w:rPr/>
              <w:t>详见第二章</w:t>
            </w:r>
          </w:p>
        </w:tc>
        <w:tc>
          <w:tcPr>
            <w:tcW w:type="dxa" w:w="977"/>
          </w:tcPr>
          <w:p>
            <w:pPr>
              <w:pStyle w:val="null3"/>
            </w:pPr>
            <w:r>
              <w:rPr/>
              <w:t>7,200.00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交换设备</w:t>
            </w:r>
          </w:p>
        </w:tc>
        <w:tc>
          <w:tcPr>
            <w:tcW w:type="dxa" w:w="2052"/>
          </w:tcPr>
          <w:p>
            <w:pPr>
              <w:pStyle w:val="null3"/>
            </w:pPr>
            <w:r>
              <w:rPr/>
              <w:t>交换设备</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1,100.00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机柜</w:t>
            </w:r>
          </w:p>
        </w:tc>
        <w:tc>
          <w:tcPr>
            <w:tcW w:type="dxa" w:w="2052"/>
          </w:tcPr>
          <w:p>
            <w:pPr>
              <w:pStyle w:val="null3"/>
            </w:pPr>
            <w:r>
              <w:rPr/>
              <w:t>机柜</w:t>
            </w:r>
          </w:p>
        </w:tc>
        <w:tc>
          <w:tcPr>
            <w:tcW w:type="dxa" w:w="977"/>
          </w:tcPr>
          <w:p>
            <w:pPr>
              <w:pStyle w:val="null3"/>
            </w:pPr>
            <w:r>
              <w:rPr/>
              <w:t>1.00(个)</w:t>
            </w:r>
          </w:p>
        </w:tc>
        <w:tc>
          <w:tcPr>
            <w:tcW w:type="dxa" w:w="977"/>
          </w:tcPr>
          <w:p>
            <w:pPr>
              <w:pStyle w:val="null3"/>
            </w:pPr>
            <w:r>
              <w:rPr/>
              <w:t>详见第二章</w:t>
            </w:r>
          </w:p>
        </w:tc>
        <w:tc>
          <w:tcPr>
            <w:tcW w:type="dxa" w:w="977"/>
          </w:tcPr>
          <w:p>
            <w:pPr>
              <w:pStyle w:val="null3"/>
            </w:pPr>
            <w:r>
              <w:rPr/>
              <w:t>1,650.00</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图形工作站</w:t>
            </w:r>
          </w:p>
        </w:tc>
        <w:tc>
          <w:tcPr>
            <w:tcW w:type="dxa" w:w="2052"/>
          </w:tcPr>
          <w:p>
            <w:pPr>
              <w:pStyle w:val="null3"/>
            </w:pPr>
            <w:r>
              <w:rPr/>
              <w:t>视频工作站</w:t>
            </w:r>
          </w:p>
        </w:tc>
        <w:tc>
          <w:tcPr>
            <w:tcW w:type="dxa" w:w="977"/>
          </w:tcPr>
          <w:p>
            <w:pPr>
              <w:pStyle w:val="null3"/>
            </w:pPr>
            <w:r>
              <w:rPr/>
              <w:t>6.00(套)</w:t>
            </w:r>
          </w:p>
        </w:tc>
        <w:tc>
          <w:tcPr>
            <w:tcW w:type="dxa" w:w="977"/>
          </w:tcPr>
          <w:p>
            <w:pPr>
              <w:pStyle w:val="null3"/>
            </w:pPr>
            <w:r>
              <w:rPr/>
              <w:t>详见第二章</w:t>
            </w:r>
          </w:p>
        </w:tc>
        <w:tc>
          <w:tcPr>
            <w:tcW w:type="dxa" w:w="977"/>
          </w:tcPr>
          <w:p>
            <w:pPr>
              <w:pStyle w:val="null3"/>
            </w:pPr>
            <w:r>
              <w:rPr/>
              <w:t>144,000.00</w:t>
            </w:r>
          </w:p>
        </w:tc>
        <w:tc>
          <w:tcPr>
            <w:tcW w:type="dxa" w:w="977"/>
          </w:tcPr>
          <w:p>
            <w:pPr>
              <w:pStyle w:val="null3"/>
            </w:pPr>
            <w:r>
              <w:rPr/>
              <w:t>否</w:t>
            </w:r>
          </w:p>
        </w:tc>
      </w:tr>
      <w:tr>
        <w:tc>
          <w:tcPr>
            <w:tcW w:type="dxa" w:w="977"/>
          </w:tcPr>
          <w:p>
            <w:pPr>
              <w:pStyle w:val="null3"/>
            </w:pPr>
            <w:r>
              <w:rPr/>
              <w:t>1-21</w:t>
            </w:r>
          </w:p>
        </w:tc>
        <w:tc>
          <w:tcPr>
            <w:tcW w:type="dxa" w:w="1368"/>
          </w:tcPr>
          <w:p>
            <w:pPr>
              <w:pStyle w:val="null3"/>
            </w:pPr>
            <w:r>
              <w:rPr/>
              <w:t>教学仪器</w:t>
            </w:r>
          </w:p>
        </w:tc>
        <w:tc>
          <w:tcPr>
            <w:tcW w:type="dxa" w:w="2052"/>
          </w:tcPr>
          <w:p>
            <w:pPr>
              <w:pStyle w:val="null3"/>
            </w:pPr>
            <w:r>
              <w:rPr/>
              <w:t>实践教学录播系统</w:t>
            </w:r>
          </w:p>
        </w:tc>
        <w:tc>
          <w:tcPr>
            <w:tcW w:type="dxa" w:w="977"/>
          </w:tcPr>
          <w:p>
            <w:pPr>
              <w:pStyle w:val="null3"/>
            </w:pPr>
            <w:r>
              <w:rPr/>
              <w:t>2.00(套)</w:t>
            </w:r>
          </w:p>
        </w:tc>
        <w:tc>
          <w:tcPr>
            <w:tcW w:type="dxa" w:w="977"/>
          </w:tcPr>
          <w:p>
            <w:pPr>
              <w:pStyle w:val="null3"/>
            </w:pPr>
            <w:r>
              <w:rPr/>
              <w:t>详见第二章</w:t>
            </w:r>
          </w:p>
        </w:tc>
        <w:tc>
          <w:tcPr>
            <w:tcW w:type="dxa" w:w="977"/>
          </w:tcPr>
          <w:p>
            <w:pPr>
              <w:pStyle w:val="null3"/>
            </w:pPr>
            <w:r>
              <w:rPr/>
              <w:t>11,200.00</w:t>
            </w:r>
          </w:p>
        </w:tc>
        <w:tc>
          <w:tcPr>
            <w:tcW w:type="dxa" w:w="977"/>
          </w:tcPr>
          <w:p>
            <w:pPr>
              <w:pStyle w:val="null3"/>
            </w:pPr>
            <w:r>
              <w:rPr/>
              <w:t>否</w:t>
            </w:r>
          </w:p>
        </w:tc>
      </w:tr>
      <w:tr>
        <w:tc>
          <w:tcPr>
            <w:tcW w:type="dxa" w:w="977"/>
          </w:tcPr>
          <w:p>
            <w:pPr>
              <w:pStyle w:val="null3"/>
            </w:pPr>
            <w:r>
              <w:rPr/>
              <w:t>1-22</w:t>
            </w:r>
          </w:p>
        </w:tc>
        <w:tc>
          <w:tcPr>
            <w:tcW w:type="dxa" w:w="1368"/>
          </w:tcPr>
          <w:p>
            <w:pPr>
              <w:pStyle w:val="null3"/>
            </w:pPr>
            <w:r>
              <w:rPr/>
              <w:t>其他柜类</w:t>
            </w:r>
          </w:p>
        </w:tc>
        <w:tc>
          <w:tcPr>
            <w:tcW w:type="dxa" w:w="2052"/>
          </w:tcPr>
          <w:p>
            <w:pPr>
              <w:pStyle w:val="null3"/>
            </w:pPr>
            <w:r>
              <w:rPr/>
              <w:t>定制柜</w:t>
            </w:r>
          </w:p>
        </w:tc>
        <w:tc>
          <w:tcPr>
            <w:tcW w:type="dxa" w:w="977"/>
          </w:tcPr>
          <w:p>
            <w:pPr>
              <w:pStyle w:val="null3"/>
            </w:pPr>
            <w:r>
              <w:rPr/>
              <w:t>54.00(米)</w:t>
            </w:r>
          </w:p>
        </w:tc>
        <w:tc>
          <w:tcPr>
            <w:tcW w:type="dxa" w:w="977"/>
          </w:tcPr>
          <w:p>
            <w:pPr>
              <w:pStyle w:val="null3"/>
            </w:pPr>
            <w:r>
              <w:rPr/>
              <w:t>详见第二章</w:t>
            </w:r>
          </w:p>
        </w:tc>
        <w:tc>
          <w:tcPr>
            <w:tcW w:type="dxa" w:w="977"/>
          </w:tcPr>
          <w:p>
            <w:pPr>
              <w:pStyle w:val="null3"/>
            </w:pPr>
            <w:r>
              <w:rPr/>
              <w:t>81,000.00</w:t>
            </w:r>
          </w:p>
        </w:tc>
        <w:tc>
          <w:tcPr>
            <w:tcW w:type="dxa" w:w="977"/>
          </w:tcPr>
          <w:p>
            <w:pPr>
              <w:pStyle w:val="null3"/>
            </w:pPr>
            <w:r>
              <w:rPr/>
              <w:t>否</w:t>
            </w:r>
          </w:p>
        </w:tc>
      </w:tr>
      <w:tr>
        <w:tc>
          <w:tcPr>
            <w:tcW w:type="dxa" w:w="977"/>
          </w:tcPr>
          <w:p>
            <w:pPr>
              <w:pStyle w:val="null3"/>
            </w:pPr>
            <w:r>
              <w:rPr/>
              <w:t>1-23</w:t>
            </w:r>
          </w:p>
        </w:tc>
        <w:tc>
          <w:tcPr>
            <w:tcW w:type="dxa" w:w="1368"/>
          </w:tcPr>
          <w:p>
            <w:pPr>
              <w:pStyle w:val="null3"/>
            </w:pPr>
            <w:r>
              <w:rPr/>
              <w:t>木质架类</w:t>
            </w:r>
          </w:p>
        </w:tc>
        <w:tc>
          <w:tcPr>
            <w:tcW w:type="dxa" w:w="2052"/>
          </w:tcPr>
          <w:p>
            <w:pPr>
              <w:pStyle w:val="null3"/>
            </w:pPr>
            <w:r>
              <w:rPr/>
              <w:t>木质洞洞板</w:t>
            </w:r>
          </w:p>
        </w:tc>
        <w:tc>
          <w:tcPr>
            <w:tcW w:type="dxa" w:w="977"/>
          </w:tcPr>
          <w:p>
            <w:pPr>
              <w:pStyle w:val="null3"/>
            </w:pPr>
            <w:r>
              <w:rPr/>
              <w:t>81.00(平方米)</w:t>
            </w:r>
          </w:p>
        </w:tc>
        <w:tc>
          <w:tcPr>
            <w:tcW w:type="dxa" w:w="977"/>
          </w:tcPr>
          <w:p>
            <w:pPr>
              <w:pStyle w:val="null3"/>
            </w:pPr>
            <w:r>
              <w:rPr/>
              <w:t>详见第二章</w:t>
            </w:r>
          </w:p>
        </w:tc>
        <w:tc>
          <w:tcPr>
            <w:tcW w:type="dxa" w:w="977"/>
          </w:tcPr>
          <w:p>
            <w:pPr>
              <w:pStyle w:val="null3"/>
            </w:pPr>
            <w:r>
              <w:rPr/>
              <w:t>89,100.00</w:t>
            </w:r>
          </w:p>
        </w:tc>
        <w:tc>
          <w:tcPr>
            <w:tcW w:type="dxa" w:w="977"/>
          </w:tcPr>
          <w:p>
            <w:pPr>
              <w:pStyle w:val="null3"/>
            </w:pPr>
            <w:r>
              <w:rPr/>
              <w:t>否</w:t>
            </w:r>
          </w:p>
        </w:tc>
      </w:tr>
      <w:tr>
        <w:tc>
          <w:tcPr>
            <w:tcW w:type="dxa" w:w="977"/>
          </w:tcPr>
          <w:p>
            <w:pPr>
              <w:pStyle w:val="null3"/>
            </w:pPr>
            <w:r>
              <w:rPr/>
              <w:t>1-24</w:t>
            </w:r>
          </w:p>
        </w:tc>
        <w:tc>
          <w:tcPr>
            <w:tcW w:type="dxa" w:w="1368"/>
          </w:tcPr>
          <w:p>
            <w:pPr>
              <w:pStyle w:val="null3"/>
            </w:pPr>
            <w:r>
              <w:rPr/>
              <w:t>其他架类</w:t>
            </w:r>
          </w:p>
        </w:tc>
        <w:tc>
          <w:tcPr>
            <w:tcW w:type="dxa" w:w="2052"/>
          </w:tcPr>
          <w:p>
            <w:pPr>
              <w:pStyle w:val="null3"/>
            </w:pPr>
            <w:r>
              <w:rPr/>
              <w:t>定制书架</w:t>
            </w:r>
          </w:p>
        </w:tc>
        <w:tc>
          <w:tcPr>
            <w:tcW w:type="dxa" w:w="977"/>
          </w:tcPr>
          <w:p>
            <w:pPr>
              <w:pStyle w:val="null3"/>
            </w:pPr>
            <w:r>
              <w:rPr/>
              <w:t>144.90(平方米)</w:t>
            </w:r>
          </w:p>
        </w:tc>
        <w:tc>
          <w:tcPr>
            <w:tcW w:type="dxa" w:w="977"/>
          </w:tcPr>
          <w:p>
            <w:pPr>
              <w:pStyle w:val="null3"/>
            </w:pPr>
            <w:r>
              <w:rPr/>
              <w:t>详见第二章</w:t>
            </w:r>
          </w:p>
        </w:tc>
        <w:tc>
          <w:tcPr>
            <w:tcW w:type="dxa" w:w="977"/>
          </w:tcPr>
          <w:p>
            <w:pPr>
              <w:pStyle w:val="null3"/>
            </w:pPr>
            <w:r>
              <w:rPr/>
              <w:t>217,350.00</w:t>
            </w:r>
          </w:p>
        </w:tc>
        <w:tc>
          <w:tcPr>
            <w:tcW w:type="dxa" w:w="977"/>
          </w:tcPr>
          <w:p>
            <w:pPr>
              <w:pStyle w:val="null3"/>
            </w:pPr>
            <w:r>
              <w:rPr/>
              <w:t>否</w:t>
            </w:r>
          </w:p>
        </w:tc>
      </w:tr>
      <w:tr>
        <w:tc>
          <w:tcPr>
            <w:tcW w:type="dxa" w:w="977"/>
          </w:tcPr>
          <w:p>
            <w:pPr>
              <w:pStyle w:val="null3"/>
            </w:pPr>
            <w:r>
              <w:rPr/>
              <w:t>1-25</w:t>
            </w:r>
          </w:p>
        </w:tc>
        <w:tc>
          <w:tcPr>
            <w:tcW w:type="dxa" w:w="1368"/>
          </w:tcPr>
          <w:p>
            <w:pPr>
              <w:pStyle w:val="null3"/>
            </w:pPr>
            <w:r>
              <w:rPr/>
              <w:t>教学、实验用桌</w:t>
            </w:r>
          </w:p>
        </w:tc>
        <w:tc>
          <w:tcPr>
            <w:tcW w:type="dxa" w:w="2052"/>
          </w:tcPr>
          <w:p>
            <w:pPr>
              <w:pStyle w:val="null3"/>
            </w:pPr>
            <w:r>
              <w:rPr/>
              <w:t>六人桌椅</w:t>
            </w:r>
          </w:p>
        </w:tc>
        <w:tc>
          <w:tcPr>
            <w:tcW w:type="dxa" w:w="977"/>
          </w:tcPr>
          <w:p>
            <w:pPr>
              <w:pStyle w:val="null3"/>
            </w:pPr>
            <w:r>
              <w:rPr/>
              <w:t>25.00(套)</w:t>
            </w:r>
          </w:p>
        </w:tc>
        <w:tc>
          <w:tcPr>
            <w:tcW w:type="dxa" w:w="977"/>
          </w:tcPr>
          <w:p>
            <w:pPr>
              <w:pStyle w:val="null3"/>
            </w:pPr>
            <w:r>
              <w:rPr/>
              <w:t>详见第二章</w:t>
            </w:r>
          </w:p>
        </w:tc>
        <w:tc>
          <w:tcPr>
            <w:tcW w:type="dxa" w:w="977"/>
          </w:tcPr>
          <w:p>
            <w:pPr>
              <w:pStyle w:val="null3"/>
            </w:pPr>
            <w:r>
              <w:rPr/>
              <w:t>112,500.00</w:t>
            </w:r>
          </w:p>
        </w:tc>
        <w:tc>
          <w:tcPr>
            <w:tcW w:type="dxa" w:w="977"/>
          </w:tcPr>
          <w:p>
            <w:pPr>
              <w:pStyle w:val="null3"/>
            </w:pPr>
            <w:r>
              <w:rPr/>
              <w:t>否</w:t>
            </w:r>
          </w:p>
        </w:tc>
      </w:tr>
      <w:tr>
        <w:tc>
          <w:tcPr>
            <w:tcW w:type="dxa" w:w="977"/>
          </w:tcPr>
          <w:p>
            <w:pPr>
              <w:pStyle w:val="null3"/>
            </w:pPr>
            <w:r>
              <w:rPr/>
              <w:t>1-26</w:t>
            </w:r>
          </w:p>
        </w:tc>
        <w:tc>
          <w:tcPr>
            <w:tcW w:type="dxa" w:w="1368"/>
          </w:tcPr>
          <w:p>
            <w:pPr>
              <w:pStyle w:val="null3"/>
            </w:pPr>
            <w:r>
              <w:rPr/>
              <w:t>会议桌</w:t>
            </w:r>
          </w:p>
        </w:tc>
        <w:tc>
          <w:tcPr>
            <w:tcW w:type="dxa" w:w="2052"/>
          </w:tcPr>
          <w:p>
            <w:pPr>
              <w:pStyle w:val="null3"/>
            </w:pPr>
            <w:r>
              <w:rPr/>
              <w:t>会议室桌椅</w:t>
            </w:r>
          </w:p>
        </w:tc>
        <w:tc>
          <w:tcPr>
            <w:tcW w:type="dxa" w:w="977"/>
          </w:tcPr>
          <w:p>
            <w:pPr>
              <w:pStyle w:val="null3"/>
            </w:pPr>
            <w:r>
              <w:rPr/>
              <w:t>20.00(套)</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1-27</w:t>
            </w:r>
          </w:p>
        </w:tc>
        <w:tc>
          <w:tcPr>
            <w:tcW w:type="dxa" w:w="1368"/>
          </w:tcPr>
          <w:p>
            <w:pPr>
              <w:pStyle w:val="null3"/>
            </w:pPr>
            <w:r>
              <w:rPr/>
              <w:t>其他沙发类</w:t>
            </w:r>
          </w:p>
        </w:tc>
        <w:tc>
          <w:tcPr>
            <w:tcW w:type="dxa" w:w="2052"/>
          </w:tcPr>
          <w:p>
            <w:pPr>
              <w:pStyle w:val="null3"/>
            </w:pPr>
            <w:r>
              <w:rPr/>
              <w:t>定制沙发</w:t>
            </w:r>
          </w:p>
        </w:tc>
        <w:tc>
          <w:tcPr>
            <w:tcW w:type="dxa" w:w="977"/>
          </w:tcPr>
          <w:p>
            <w:pPr>
              <w:pStyle w:val="null3"/>
            </w:pPr>
            <w:r>
              <w:rPr/>
              <w:t>3.00(套)</w:t>
            </w:r>
          </w:p>
        </w:tc>
        <w:tc>
          <w:tcPr>
            <w:tcW w:type="dxa" w:w="977"/>
          </w:tcPr>
          <w:p>
            <w:pPr>
              <w:pStyle w:val="null3"/>
            </w:pPr>
            <w:r>
              <w:rPr/>
              <w:t>详见第二章</w:t>
            </w:r>
          </w:p>
        </w:tc>
        <w:tc>
          <w:tcPr>
            <w:tcW w:type="dxa" w:w="977"/>
          </w:tcPr>
          <w:p>
            <w:pPr>
              <w:pStyle w:val="null3"/>
            </w:pPr>
            <w:r>
              <w:rPr/>
              <w:t>18,000.00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LED 显示屏</w:t>
            </w:r>
          </w:p>
        </w:tc>
        <w:tc>
          <w:tcPr>
            <w:tcW w:type="dxa" w:w="2076"/>
          </w:tcPr>
          <w:p>
            <w:pPr>
              <w:pStyle w:val="null3"/>
              <w:jc w:val="left"/>
            </w:pPr>
            <w:r>
              <w:rPr/>
              <w:t>LED显示屏</w:t>
            </w:r>
          </w:p>
        </w:tc>
        <w:tc>
          <w:tcPr>
            <w:tcW w:type="dxa" w:w="2076"/>
          </w:tcPr>
          <w:p>
            <w:pPr>
              <w:pStyle w:val="null3"/>
              <w:jc w:val="left"/>
            </w:pPr>
            <w:r>
              <w:rPr/>
              <w:t>LED显示屏</w:t>
            </w:r>
          </w:p>
        </w:tc>
      </w:tr>
      <w:tr>
        <w:tc>
          <w:tcPr>
            <w:tcW w:type="dxa" w:w="2076"/>
          </w:tcPr>
          <w:p>
            <w:pPr>
              <w:pStyle w:val="null3"/>
              <w:jc w:val="center"/>
            </w:pPr>
            <w:r>
              <w:rPr/>
              <w:t>2</w:t>
            </w:r>
          </w:p>
        </w:tc>
        <w:tc>
          <w:tcPr>
            <w:tcW w:type="dxa" w:w="2076"/>
          </w:tcPr>
          <w:p>
            <w:pPr>
              <w:pStyle w:val="null3"/>
              <w:jc w:val="left"/>
            </w:pPr>
            <w:r>
              <w:rPr/>
              <w:t>电源插座和转换器</w:t>
            </w:r>
          </w:p>
        </w:tc>
        <w:tc>
          <w:tcPr>
            <w:tcW w:type="dxa" w:w="2076"/>
          </w:tcPr>
          <w:p>
            <w:pPr>
              <w:pStyle w:val="null3"/>
              <w:jc w:val="left"/>
            </w:pPr>
            <w:r>
              <w:rPr/>
              <w:t>开关电源</w:t>
            </w:r>
          </w:p>
        </w:tc>
        <w:tc>
          <w:tcPr>
            <w:tcW w:type="dxa" w:w="2076"/>
          </w:tcPr>
          <w:p>
            <w:pPr>
              <w:pStyle w:val="null3"/>
              <w:jc w:val="left"/>
            </w:pPr>
            <w:r>
              <w:rPr/>
              <w:t>开关电源</w:t>
            </w:r>
          </w:p>
        </w:tc>
      </w:tr>
      <w:tr>
        <w:tc>
          <w:tcPr>
            <w:tcW w:type="dxa" w:w="2076"/>
          </w:tcPr>
          <w:p>
            <w:pPr>
              <w:pStyle w:val="null3"/>
              <w:jc w:val="center"/>
            </w:pPr>
            <w:r>
              <w:rPr/>
              <w:t>3</w:t>
            </w:r>
          </w:p>
        </w:tc>
        <w:tc>
          <w:tcPr>
            <w:tcW w:type="dxa" w:w="2076"/>
          </w:tcPr>
          <w:p>
            <w:pPr>
              <w:pStyle w:val="null3"/>
              <w:jc w:val="left"/>
            </w:pPr>
            <w:r>
              <w:rPr/>
              <w:t>电源插座和转换器</w:t>
            </w:r>
          </w:p>
        </w:tc>
        <w:tc>
          <w:tcPr>
            <w:tcW w:type="dxa" w:w="2076"/>
          </w:tcPr>
          <w:p>
            <w:pPr>
              <w:pStyle w:val="null3"/>
              <w:jc w:val="left"/>
            </w:pPr>
            <w:r>
              <w:rPr/>
              <w:t>接收卡</w:t>
            </w:r>
          </w:p>
        </w:tc>
        <w:tc>
          <w:tcPr>
            <w:tcW w:type="dxa" w:w="2076"/>
          </w:tcPr>
          <w:p>
            <w:pPr>
              <w:pStyle w:val="null3"/>
              <w:jc w:val="left"/>
            </w:pPr>
            <w:r>
              <w:rPr/>
              <w:t>接收卡</w:t>
            </w:r>
          </w:p>
        </w:tc>
      </w:tr>
      <w:tr>
        <w:tc>
          <w:tcPr>
            <w:tcW w:type="dxa" w:w="2076"/>
          </w:tcPr>
          <w:p>
            <w:pPr>
              <w:pStyle w:val="null3"/>
              <w:jc w:val="center"/>
            </w:pPr>
            <w:r>
              <w:rPr/>
              <w:t>4</w:t>
            </w:r>
          </w:p>
        </w:tc>
        <w:tc>
          <w:tcPr>
            <w:tcW w:type="dxa" w:w="2076"/>
          </w:tcPr>
          <w:p>
            <w:pPr>
              <w:pStyle w:val="null3"/>
              <w:jc w:val="left"/>
            </w:pPr>
            <w:r>
              <w:rPr/>
              <w:t>终端控制器</w:t>
            </w:r>
          </w:p>
        </w:tc>
        <w:tc>
          <w:tcPr>
            <w:tcW w:type="dxa" w:w="2076"/>
          </w:tcPr>
          <w:p>
            <w:pPr>
              <w:pStyle w:val="null3"/>
              <w:jc w:val="left"/>
            </w:pPr>
            <w:r>
              <w:rPr/>
              <w:t>LED视频控制器</w:t>
            </w:r>
          </w:p>
        </w:tc>
        <w:tc>
          <w:tcPr>
            <w:tcW w:type="dxa" w:w="2076"/>
          </w:tcPr>
          <w:p>
            <w:pPr>
              <w:pStyle w:val="null3"/>
              <w:jc w:val="left"/>
            </w:pPr>
            <w:r>
              <w:rPr/>
              <w:t>LED视频控制器</w:t>
            </w:r>
          </w:p>
        </w:tc>
      </w:tr>
      <w:tr>
        <w:tc>
          <w:tcPr>
            <w:tcW w:type="dxa" w:w="2076"/>
          </w:tcPr>
          <w:p>
            <w:pPr>
              <w:pStyle w:val="null3"/>
              <w:jc w:val="center"/>
            </w:pPr>
            <w:r>
              <w:rPr/>
              <w:t>5</w:t>
            </w:r>
          </w:p>
        </w:tc>
        <w:tc>
          <w:tcPr>
            <w:tcW w:type="dxa" w:w="2076"/>
          </w:tcPr>
          <w:p>
            <w:pPr>
              <w:pStyle w:val="null3"/>
              <w:jc w:val="left"/>
            </w:pPr>
            <w:r>
              <w:rPr/>
              <w:t>其他电源设备</w:t>
            </w:r>
          </w:p>
        </w:tc>
        <w:tc>
          <w:tcPr>
            <w:tcW w:type="dxa" w:w="2076"/>
          </w:tcPr>
          <w:p>
            <w:pPr>
              <w:pStyle w:val="null3"/>
              <w:jc w:val="left"/>
            </w:pPr>
            <w:r>
              <w:rPr/>
              <w:t>智能电源管理中心</w:t>
            </w:r>
          </w:p>
        </w:tc>
        <w:tc>
          <w:tcPr>
            <w:tcW w:type="dxa" w:w="2076"/>
          </w:tcPr>
          <w:p>
            <w:pPr>
              <w:pStyle w:val="null3"/>
              <w:jc w:val="left"/>
            </w:pPr>
            <w:r>
              <w:rPr/>
              <w:t>智能电源管理中心</w:t>
            </w:r>
          </w:p>
        </w:tc>
      </w:tr>
      <w:tr>
        <w:tc>
          <w:tcPr>
            <w:tcW w:type="dxa" w:w="2076"/>
          </w:tcPr>
          <w:p>
            <w:pPr>
              <w:pStyle w:val="null3"/>
              <w:jc w:val="center"/>
            </w:pPr>
            <w:r>
              <w:rPr/>
              <w:t>6</w:t>
            </w:r>
          </w:p>
        </w:tc>
        <w:tc>
          <w:tcPr>
            <w:tcW w:type="dxa" w:w="2076"/>
          </w:tcPr>
          <w:p>
            <w:pPr>
              <w:pStyle w:val="null3"/>
              <w:jc w:val="left"/>
            </w:pPr>
            <w:r>
              <w:rPr/>
              <w:t>绝缘电线和电缆</w:t>
            </w:r>
          </w:p>
        </w:tc>
        <w:tc>
          <w:tcPr>
            <w:tcW w:type="dxa" w:w="2076"/>
          </w:tcPr>
          <w:p>
            <w:pPr>
              <w:pStyle w:val="null3"/>
              <w:jc w:val="left"/>
            </w:pPr>
            <w:r>
              <w:rPr/>
              <w:t>模组线材</w:t>
            </w:r>
          </w:p>
        </w:tc>
        <w:tc>
          <w:tcPr>
            <w:tcW w:type="dxa" w:w="2076"/>
          </w:tcPr>
          <w:p>
            <w:pPr>
              <w:pStyle w:val="null3"/>
              <w:jc w:val="left"/>
            </w:pPr>
            <w:r>
              <w:rPr/>
              <w:t>模组线材</w:t>
            </w:r>
          </w:p>
        </w:tc>
      </w:tr>
      <w:tr>
        <w:tc>
          <w:tcPr>
            <w:tcW w:type="dxa" w:w="2076"/>
          </w:tcPr>
          <w:p>
            <w:pPr>
              <w:pStyle w:val="null3"/>
              <w:jc w:val="center"/>
            </w:pPr>
            <w:r>
              <w:rPr/>
              <w:t>7</w:t>
            </w:r>
          </w:p>
        </w:tc>
        <w:tc>
          <w:tcPr>
            <w:tcW w:type="dxa" w:w="2076"/>
          </w:tcPr>
          <w:p>
            <w:pPr>
              <w:pStyle w:val="null3"/>
              <w:jc w:val="left"/>
            </w:pPr>
            <w:r>
              <w:rPr/>
              <w:t>绝缘电线和电缆</w:t>
            </w:r>
          </w:p>
        </w:tc>
        <w:tc>
          <w:tcPr>
            <w:tcW w:type="dxa" w:w="2076"/>
          </w:tcPr>
          <w:p>
            <w:pPr>
              <w:pStyle w:val="null3"/>
              <w:jc w:val="left"/>
            </w:pPr>
            <w:r>
              <w:rPr/>
              <w:t>线材及辅材</w:t>
            </w:r>
          </w:p>
        </w:tc>
        <w:tc>
          <w:tcPr>
            <w:tcW w:type="dxa" w:w="2076"/>
          </w:tcPr>
          <w:p>
            <w:pPr>
              <w:pStyle w:val="null3"/>
              <w:jc w:val="left"/>
            </w:pPr>
            <w:r>
              <w:rPr/>
              <w:t>线材及辅材</w:t>
            </w:r>
          </w:p>
        </w:tc>
      </w:tr>
      <w:tr>
        <w:tc>
          <w:tcPr>
            <w:tcW w:type="dxa" w:w="2076"/>
          </w:tcPr>
          <w:p>
            <w:pPr>
              <w:pStyle w:val="null3"/>
              <w:jc w:val="center"/>
            </w:pPr>
            <w:r>
              <w:rPr/>
              <w:t>8</w:t>
            </w:r>
          </w:p>
        </w:tc>
        <w:tc>
          <w:tcPr>
            <w:tcW w:type="dxa" w:w="2076"/>
          </w:tcPr>
          <w:p>
            <w:pPr>
              <w:pStyle w:val="null3"/>
              <w:jc w:val="left"/>
            </w:pPr>
            <w:r>
              <w:rPr/>
              <w:t>电源插座和转换器</w:t>
            </w:r>
          </w:p>
        </w:tc>
        <w:tc>
          <w:tcPr>
            <w:tcW w:type="dxa" w:w="2076"/>
          </w:tcPr>
          <w:p>
            <w:pPr>
              <w:pStyle w:val="null3"/>
              <w:jc w:val="left"/>
            </w:pPr>
            <w:r>
              <w:rPr/>
              <w:t>备品备件</w:t>
            </w:r>
          </w:p>
        </w:tc>
        <w:tc>
          <w:tcPr>
            <w:tcW w:type="dxa" w:w="2076"/>
          </w:tcPr>
          <w:p>
            <w:pPr>
              <w:pStyle w:val="null3"/>
              <w:jc w:val="left"/>
            </w:pPr>
            <w:r>
              <w:rPr/>
              <w:t>备品备件</w:t>
            </w:r>
          </w:p>
        </w:tc>
      </w:tr>
      <w:tr>
        <w:tc>
          <w:tcPr>
            <w:tcW w:type="dxa" w:w="2076"/>
          </w:tcPr>
          <w:p>
            <w:pPr>
              <w:pStyle w:val="null3"/>
              <w:jc w:val="center"/>
            </w:pPr>
            <w:r>
              <w:rPr/>
              <w:t>9</w:t>
            </w:r>
          </w:p>
        </w:tc>
        <w:tc>
          <w:tcPr>
            <w:tcW w:type="dxa" w:w="2076"/>
          </w:tcPr>
          <w:p>
            <w:pPr>
              <w:pStyle w:val="null3"/>
              <w:jc w:val="left"/>
            </w:pPr>
            <w:r>
              <w:rPr/>
              <w:t>绝缘电线和电缆</w:t>
            </w:r>
          </w:p>
        </w:tc>
        <w:tc>
          <w:tcPr>
            <w:tcW w:type="dxa" w:w="2076"/>
          </w:tcPr>
          <w:p>
            <w:pPr>
              <w:pStyle w:val="null3"/>
              <w:jc w:val="left"/>
            </w:pPr>
            <w:r>
              <w:rPr/>
              <w:t>动力电源线</w:t>
            </w:r>
          </w:p>
        </w:tc>
        <w:tc>
          <w:tcPr>
            <w:tcW w:type="dxa" w:w="2076"/>
          </w:tcPr>
          <w:p>
            <w:pPr>
              <w:pStyle w:val="null3"/>
              <w:jc w:val="left"/>
            </w:pPr>
            <w:r>
              <w:rPr/>
              <w:t>动力电源线</w:t>
            </w:r>
          </w:p>
        </w:tc>
      </w:tr>
      <w:tr>
        <w:tc>
          <w:tcPr>
            <w:tcW w:type="dxa" w:w="2076"/>
          </w:tcPr>
          <w:p>
            <w:pPr>
              <w:pStyle w:val="null3"/>
              <w:jc w:val="center"/>
            </w:pPr>
            <w:r>
              <w:rPr/>
              <w:t>10</w:t>
            </w:r>
          </w:p>
        </w:tc>
        <w:tc>
          <w:tcPr>
            <w:tcW w:type="dxa" w:w="2076"/>
          </w:tcPr>
          <w:p>
            <w:pPr>
              <w:pStyle w:val="null3"/>
              <w:jc w:val="left"/>
            </w:pPr>
            <w:r>
              <w:rPr/>
              <w:t>图形工作站</w:t>
            </w:r>
          </w:p>
        </w:tc>
        <w:tc>
          <w:tcPr>
            <w:tcW w:type="dxa" w:w="2076"/>
          </w:tcPr>
          <w:p>
            <w:pPr>
              <w:pStyle w:val="null3"/>
              <w:jc w:val="left"/>
            </w:pPr>
            <w:r>
              <w:rPr/>
              <w:t>LED屏控制工作站</w:t>
            </w:r>
          </w:p>
        </w:tc>
        <w:tc>
          <w:tcPr>
            <w:tcW w:type="dxa" w:w="2076"/>
          </w:tcPr>
          <w:p>
            <w:pPr>
              <w:pStyle w:val="null3"/>
              <w:jc w:val="left"/>
            </w:pPr>
            <w:r>
              <w:rPr/>
              <w:t>LED屏控制工作站</w:t>
            </w:r>
          </w:p>
        </w:tc>
      </w:tr>
      <w:tr>
        <w:tc>
          <w:tcPr>
            <w:tcW w:type="dxa" w:w="2076"/>
          </w:tcPr>
          <w:p>
            <w:pPr>
              <w:pStyle w:val="null3"/>
              <w:jc w:val="center"/>
            </w:pPr>
            <w:r>
              <w:rPr/>
              <w:t>11</w:t>
            </w:r>
          </w:p>
        </w:tc>
        <w:tc>
          <w:tcPr>
            <w:tcW w:type="dxa" w:w="2076"/>
          </w:tcPr>
          <w:p>
            <w:pPr>
              <w:pStyle w:val="null3"/>
              <w:jc w:val="left"/>
            </w:pPr>
            <w:r>
              <w:rPr/>
              <w:t>音频功率放大器设备（功放设备）</w:t>
            </w:r>
          </w:p>
        </w:tc>
        <w:tc>
          <w:tcPr>
            <w:tcW w:type="dxa" w:w="2076"/>
          </w:tcPr>
          <w:p>
            <w:pPr>
              <w:pStyle w:val="null3"/>
              <w:jc w:val="left"/>
            </w:pPr>
            <w:r>
              <w:rPr/>
              <w:t>智能红外无线功放</w:t>
            </w:r>
          </w:p>
        </w:tc>
        <w:tc>
          <w:tcPr>
            <w:tcW w:type="dxa" w:w="2076"/>
          </w:tcPr>
          <w:p>
            <w:pPr>
              <w:pStyle w:val="null3"/>
              <w:jc w:val="left"/>
            </w:pPr>
            <w:r>
              <w:rPr/>
              <w:t>智能红外无线功放</w:t>
            </w:r>
          </w:p>
        </w:tc>
      </w:tr>
      <w:tr>
        <w:tc>
          <w:tcPr>
            <w:tcW w:type="dxa" w:w="2076"/>
          </w:tcPr>
          <w:p>
            <w:pPr>
              <w:pStyle w:val="null3"/>
              <w:jc w:val="center"/>
            </w:pPr>
            <w:r>
              <w:rPr/>
              <w:t>12</w:t>
            </w:r>
          </w:p>
        </w:tc>
        <w:tc>
          <w:tcPr>
            <w:tcW w:type="dxa" w:w="2076"/>
          </w:tcPr>
          <w:p>
            <w:pPr>
              <w:pStyle w:val="null3"/>
              <w:jc w:val="left"/>
            </w:pPr>
            <w:r>
              <w:rPr/>
              <w:t>话筒设备</w:t>
            </w:r>
          </w:p>
        </w:tc>
        <w:tc>
          <w:tcPr>
            <w:tcW w:type="dxa" w:w="2076"/>
          </w:tcPr>
          <w:p>
            <w:pPr>
              <w:pStyle w:val="null3"/>
              <w:jc w:val="left"/>
            </w:pPr>
            <w:r>
              <w:rPr/>
              <w:t>红外线传感器</w:t>
            </w:r>
          </w:p>
        </w:tc>
        <w:tc>
          <w:tcPr>
            <w:tcW w:type="dxa" w:w="2076"/>
          </w:tcPr>
          <w:p>
            <w:pPr>
              <w:pStyle w:val="null3"/>
              <w:jc w:val="left"/>
            </w:pPr>
            <w:r>
              <w:rPr/>
              <w:t>红外线传感器</w:t>
            </w:r>
          </w:p>
        </w:tc>
      </w:tr>
      <w:tr>
        <w:tc>
          <w:tcPr>
            <w:tcW w:type="dxa" w:w="2076"/>
          </w:tcPr>
          <w:p>
            <w:pPr>
              <w:pStyle w:val="null3"/>
              <w:jc w:val="center"/>
            </w:pPr>
            <w:r>
              <w:rPr/>
              <w:t>13</w:t>
            </w:r>
          </w:p>
        </w:tc>
        <w:tc>
          <w:tcPr>
            <w:tcW w:type="dxa" w:w="2076"/>
          </w:tcPr>
          <w:p>
            <w:pPr>
              <w:pStyle w:val="null3"/>
              <w:jc w:val="left"/>
            </w:pPr>
            <w:r>
              <w:rPr/>
              <w:t>话筒设备</w:t>
            </w:r>
          </w:p>
        </w:tc>
        <w:tc>
          <w:tcPr>
            <w:tcW w:type="dxa" w:w="2076"/>
          </w:tcPr>
          <w:p>
            <w:pPr>
              <w:pStyle w:val="null3"/>
              <w:jc w:val="left"/>
            </w:pPr>
            <w:r>
              <w:rPr/>
              <w:t>红外线话筒</w:t>
            </w:r>
          </w:p>
        </w:tc>
        <w:tc>
          <w:tcPr>
            <w:tcW w:type="dxa" w:w="2076"/>
          </w:tcPr>
          <w:p>
            <w:pPr>
              <w:pStyle w:val="null3"/>
              <w:jc w:val="left"/>
            </w:pPr>
            <w:r>
              <w:rPr/>
              <w:t>红外线话筒</w:t>
            </w:r>
          </w:p>
        </w:tc>
      </w:tr>
      <w:tr>
        <w:tc>
          <w:tcPr>
            <w:tcW w:type="dxa" w:w="2076"/>
          </w:tcPr>
          <w:p>
            <w:pPr>
              <w:pStyle w:val="null3"/>
              <w:jc w:val="center"/>
            </w:pPr>
            <w:r>
              <w:rPr/>
              <w:t>14</w:t>
            </w:r>
          </w:p>
        </w:tc>
        <w:tc>
          <w:tcPr>
            <w:tcW w:type="dxa" w:w="2076"/>
          </w:tcPr>
          <w:p>
            <w:pPr>
              <w:pStyle w:val="null3"/>
              <w:jc w:val="left"/>
            </w:pPr>
            <w:r>
              <w:rPr/>
              <w:t>话筒设备</w:t>
            </w:r>
          </w:p>
        </w:tc>
        <w:tc>
          <w:tcPr>
            <w:tcW w:type="dxa" w:w="2076"/>
          </w:tcPr>
          <w:p>
            <w:pPr>
              <w:pStyle w:val="null3"/>
              <w:jc w:val="left"/>
            </w:pPr>
            <w:r>
              <w:rPr/>
              <w:t>组合式双路充电座</w:t>
            </w:r>
          </w:p>
        </w:tc>
        <w:tc>
          <w:tcPr>
            <w:tcW w:type="dxa" w:w="2076"/>
          </w:tcPr>
          <w:p>
            <w:pPr>
              <w:pStyle w:val="null3"/>
              <w:jc w:val="left"/>
            </w:pPr>
            <w:r>
              <w:rPr/>
              <w:t>组合式双路充电座</w:t>
            </w:r>
          </w:p>
        </w:tc>
      </w:tr>
      <w:tr>
        <w:tc>
          <w:tcPr>
            <w:tcW w:type="dxa" w:w="2076"/>
          </w:tcPr>
          <w:p>
            <w:pPr>
              <w:pStyle w:val="null3"/>
              <w:jc w:val="center"/>
            </w:pPr>
            <w:r>
              <w:rPr/>
              <w:t>15</w:t>
            </w:r>
          </w:p>
        </w:tc>
        <w:tc>
          <w:tcPr>
            <w:tcW w:type="dxa" w:w="2076"/>
          </w:tcPr>
          <w:p>
            <w:pPr>
              <w:pStyle w:val="null3"/>
              <w:jc w:val="left"/>
            </w:pPr>
            <w:r>
              <w:rPr/>
              <w:t>音箱</w:t>
            </w:r>
          </w:p>
        </w:tc>
        <w:tc>
          <w:tcPr>
            <w:tcW w:type="dxa" w:w="2076"/>
          </w:tcPr>
          <w:p>
            <w:pPr>
              <w:pStyle w:val="null3"/>
              <w:jc w:val="left"/>
            </w:pPr>
            <w:r>
              <w:rPr/>
              <w:t>音柱</w:t>
            </w:r>
          </w:p>
        </w:tc>
        <w:tc>
          <w:tcPr>
            <w:tcW w:type="dxa" w:w="2076"/>
          </w:tcPr>
          <w:p>
            <w:pPr>
              <w:pStyle w:val="null3"/>
              <w:jc w:val="left"/>
            </w:pPr>
            <w:r>
              <w:rPr/>
              <w:t>音柱</w:t>
            </w:r>
          </w:p>
        </w:tc>
      </w:tr>
      <w:tr>
        <w:tc>
          <w:tcPr>
            <w:tcW w:type="dxa" w:w="2076"/>
          </w:tcPr>
          <w:p>
            <w:pPr>
              <w:pStyle w:val="null3"/>
              <w:jc w:val="center"/>
            </w:pPr>
            <w:r>
              <w:rPr/>
              <w:t>16</w:t>
            </w:r>
          </w:p>
        </w:tc>
        <w:tc>
          <w:tcPr>
            <w:tcW w:type="dxa" w:w="2076"/>
          </w:tcPr>
          <w:p>
            <w:pPr>
              <w:pStyle w:val="null3"/>
              <w:jc w:val="left"/>
            </w:pPr>
            <w:r>
              <w:rPr/>
              <w:t>交换设备</w:t>
            </w:r>
          </w:p>
        </w:tc>
        <w:tc>
          <w:tcPr>
            <w:tcW w:type="dxa" w:w="2076"/>
          </w:tcPr>
          <w:p>
            <w:pPr>
              <w:pStyle w:val="null3"/>
              <w:jc w:val="left"/>
            </w:pPr>
            <w:r>
              <w:rPr/>
              <w:t>交换设备</w:t>
            </w:r>
          </w:p>
        </w:tc>
        <w:tc>
          <w:tcPr>
            <w:tcW w:type="dxa" w:w="2076"/>
          </w:tcPr>
          <w:p>
            <w:pPr>
              <w:pStyle w:val="null3"/>
              <w:jc w:val="left"/>
            </w:pPr>
            <w:r>
              <w:rPr/>
              <w:t>交换设备</w:t>
            </w:r>
          </w:p>
        </w:tc>
      </w:tr>
      <w:tr>
        <w:tc>
          <w:tcPr>
            <w:tcW w:type="dxa" w:w="2076"/>
          </w:tcPr>
          <w:p>
            <w:pPr>
              <w:pStyle w:val="null3"/>
              <w:jc w:val="center"/>
            </w:pPr>
            <w:r>
              <w:rPr/>
              <w:t>17</w:t>
            </w:r>
          </w:p>
        </w:tc>
        <w:tc>
          <w:tcPr>
            <w:tcW w:type="dxa" w:w="2076"/>
          </w:tcPr>
          <w:p>
            <w:pPr>
              <w:pStyle w:val="null3"/>
              <w:jc w:val="left"/>
            </w:pPr>
            <w:r>
              <w:rPr/>
              <w:t>机柜</w:t>
            </w:r>
          </w:p>
        </w:tc>
        <w:tc>
          <w:tcPr>
            <w:tcW w:type="dxa" w:w="2076"/>
          </w:tcPr>
          <w:p>
            <w:pPr>
              <w:pStyle w:val="null3"/>
              <w:jc w:val="left"/>
            </w:pPr>
            <w:r>
              <w:rPr/>
              <w:t>机柜</w:t>
            </w:r>
          </w:p>
        </w:tc>
        <w:tc>
          <w:tcPr>
            <w:tcW w:type="dxa" w:w="2076"/>
          </w:tcPr>
          <w:p>
            <w:pPr>
              <w:pStyle w:val="null3"/>
              <w:jc w:val="left"/>
            </w:pPr>
            <w:r>
              <w:rPr/>
              <w:t>机柜</w:t>
            </w:r>
          </w:p>
        </w:tc>
      </w:tr>
      <w:tr>
        <w:tc>
          <w:tcPr>
            <w:tcW w:type="dxa" w:w="2076"/>
          </w:tcPr>
          <w:p>
            <w:pPr>
              <w:pStyle w:val="null3"/>
              <w:jc w:val="center"/>
            </w:pPr>
            <w:r>
              <w:rPr/>
              <w:t>18</w:t>
            </w:r>
          </w:p>
        </w:tc>
        <w:tc>
          <w:tcPr>
            <w:tcW w:type="dxa" w:w="2076"/>
          </w:tcPr>
          <w:p>
            <w:pPr>
              <w:pStyle w:val="null3"/>
              <w:jc w:val="left"/>
            </w:pPr>
            <w:r>
              <w:rPr/>
              <w:t>图形工作站</w:t>
            </w:r>
          </w:p>
        </w:tc>
        <w:tc>
          <w:tcPr>
            <w:tcW w:type="dxa" w:w="2076"/>
          </w:tcPr>
          <w:p>
            <w:pPr>
              <w:pStyle w:val="null3"/>
              <w:jc w:val="left"/>
            </w:pPr>
            <w:r>
              <w:rPr/>
              <w:t>视频工作站</w:t>
            </w:r>
          </w:p>
        </w:tc>
        <w:tc>
          <w:tcPr>
            <w:tcW w:type="dxa" w:w="2076"/>
          </w:tcPr>
          <w:p>
            <w:pPr>
              <w:pStyle w:val="null3"/>
              <w:jc w:val="left"/>
            </w:pPr>
            <w:r>
              <w:rPr/>
              <w:t>视频工作站</w:t>
            </w:r>
          </w:p>
        </w:tc>
      </w:tr>
      <w:tr>
        <w:tc>
          <w:tcPr>
            <w:tcW w:type="dxa" w:w="2076"/>
          </w:tcPr>
          <w:p>
            <w:pPr>
              <w:pStyle w:val="null3"/>
              <w:jc w:val="center"/>
            </w:pPr>
            <w:r>
              <w:rPr/>
              <w:t>19</w:t>
            </w:r>
          </w:p>
        </w:tc>
        <w:tc>
          <w:tcPr>
            <w:tcW w:type="dxa" w:w="2076"/>
          </w:tcPr>
          <w:p>
            <w:pPr>
              <w:pStyle w:val="null3"/>
              <w:jc w:val="left"/>
            </w:pPr>
            <w:r>
              <w:rPr/>
              <w:t>教学仪器</w:t>
            </w:r>
          </w:p>
        </w:tc>
        <w:tc>
          <w:tcPr>
            <w:tcW w:type="dxa" w:w="2076"/>
          </w:tcPr>
          <w:p>
            <w:pPr>
              <w:pStyle w:val="null3"/>
              <w:jc w:val="left"/>
            </w:pPr>
            <w:r>
              <w:rPr/>
              <w:t>实践教学录播系统</w:t>
            </w:r>
          </w:p>
        </w:tc>
        <w:tc>
          <w:tcPr>
            <w:tcW w:type="dxa" w:w="2076"/>
          </w:tcPr>
          <w:p>
            <w:pPr>
              <w:pStyle w:val="null3"/>
              <w:jc w:val="left"/>
            </w:pPr>
            <w:r>
              <w:rPr/>
              <w:t>实践教学录播系统</w:t>
            </w:r>
          </w:p>
        </w:tc>
      </w:tr>
      <w:tr>
        <w:tc>
          <w:tcPr>
            <w:tcW w:type="dxa" w:w="2076"/>
          </w:tcPr>
          <w:p>
            <w:pPr>
              <w:pStyle w:val="null3"/>
              <w:jc w:val="center"/>
            </w:pPr>
            <w:r>
              <w:rPr/>
              <w:t>20</w:t>
            </w:r>
          </w:p>
        </w:tc>
        <w:tc>
          <w:tcPr>
            <w:tcW w:type="dxa" w:w="2076"/>
          </w:tcPr>
          <w:p>
            <w:pPr>
              <w:pStyle w:val="null3"/>
              <w:jc w:val="left"/>
            </w:pPr>
            <w:r>
              <w:rPr/>
              <w:t>其他柜类</w:t>
            </w:r>
          </w:p>
        </w:tc>
        <w:tc>
          <w:tcPr>
            <w:tcW w:type="dxa" w:w="2076"/>
          </w:tcPr>
          <w:p>
            <w:pPr>
              <w:pStyle w:val="null3"/>
              <w:jc w:val="left"/>
            </w:pPr>
            <w:r>
              <w:rPr/>
              <w:t>定制柜</w:t>
            </w:r>
          </w:p>
        </w:tc>
        <w:tc>
          <w:tcPr>
            <w:tcW w:type="dxa" w:w="2076"/>
          </w:tcPr>
          <w:p>
            <w:pPr>
              <w:pStyle w:val="null3"/>
              <w:jc w:val="left"/>
            </w:pPr>
            <w:r>
              <w:rPr/>
              <w:t>定制柜</w:t>
            </w:r>
          </w:p>
        </w:tc>
      </w:tr>
      <w:tr>
        <w:tc>
          <w:tcPr>
            <w:tcW w:type="dxa" w:w="2076"/>
          </w:tcPr>
          <w:p>
            <w:pPr>
              <w:pStyle w:val="null3"/>
              <w:jc w:val="center"/>
            </w:pPr>
            <w:r>
              <w:rPr/>
              <w:t>21</w:t>
            </w:r>
          </w:p>
        </w:tc>
        <w:tc>
          <w:tcPr>
            <w:tcW w:type="dxa" w:w="2076"/>
          </w:tcPr>
          <w:p>
            <w:pPr>
              <w:pStyle w:val="null3"/>
              <w:jc w:val="left"/>
            </w:pPr>
            <w:r>
              <w:rPr/>
              <w:t>木质架类</w:t>
            </w:r>
          </w:p>
        </w:tc>
        <w:tc>
          <w:tcPr>
            <w:tcW w:type="dxa" w:w="2076"/>
          </w:tcPr>
          <w:p>
            <w:pPr>
              <w:pStyle w:val="null3"/>
              <w:jc w:val="left"/>
            </w:pPr>
            <w:r>
              <w:rPr/>
              <w:t>木质洞洞板</w:t>
            </w:r>
          </w:p>
        </w:tc>
        <w:tc>
          <w:tcPr>
            <w:tcW w:type="dxa" w:w="2076"/>
          </w:tcPr>
          <w:p>
            <w:pPr>
              <w:pStyle w:val="null3"/>
              <w:jc w:val="left"/>
            </w:pPr>
            <w:r>
              <w:rPr/>
              <w:t>木质洞洞板</w:t>
            </w:r>
          </w:p>
        </w:tc>
      </w:tr>
      <w:tr>
        <w:tc>
          <w:tcPr>
            <w:tcW w:type="dxa" w:w="2076"/>
          </w:tcPr>
          <w:p>
            <w:pPr>
              <w:pStyle w:val="null3"/>
              <w:jc w:val="center"/>
            </w:pPr>
            <w:r>
              <w:rPr/>
              <w:t>22</w:t>
            </w:r>
          </w:p>
        </w:tc>
        <w:tc>
          <w:tcPr>
            <w:tcW w:type="dxa" w:w="2076"/>
          </w:tcPr>
          <w:p>
            <w:pPr>
              <w:pStyle w:val="null3"/>
              <w:jc w:val="left"/>
            </w:pPr>
            <w:r>
              <w:rPr/>
              <w:t>其他架类</w:t>
            </w:r>
          </w:p>
        </w:tc>
        <w:tc>
          <w:tcPr>
            <w:tcW w:type="dxa" w:w="2076"/>
          </w:tcPr>
          <w:p>
            <w:pPr>
              <w:pStyle w:val="null3"/>
              <w:jc w:val="left"/>
            </w:pPr>
            <w:r>
              <w:rPr/>
              <w:t>定制书架</w:t>
            </w:r>
          </w:p>
        </w:tc>
        <w:tc>
          <w:tcPr>
            <w:tcW w:type="dxa" w:w="2076"/>
          </w:tcPr>
          <w:p>
            <w:pPr>
              <w:pStyle w:val="null3"/>
              <w:jc w:val="left"/>
            </w:pPr>
            <w:r>
              <w:rPr/>
              <w:t>定制书架</w:t>
            </w:r>
          </w:p>
        </w:tc>
      </w:tr>
      <w:tr>
        <w:tc>
          <w:tcPr>
            <w:tcW w:type="dxa" w:w="2076"/>
          </w:tcPr>
          <w:p>
            <w:pPr>
              <w:pStyle w:val="null3"/>
              <w:jc w:val="center"/>
            </w:pPr>
            <w:r>
              <w:rPr/>
              <w:t>23</w:t>
            </w:r>
          </w:p>
        </w:tc>
        <w:tc>
          <w:tcPr>
            <w:tcW w:type="dxa" w:w="2076"/>
          </w:tcPr>
          <w:p>
            <w:pPr>
              <w:pStyle w:val="null3"/>
              <w:jc w:val="left"/>
            </w:pPr>
            <w:r>
              <w:rPr/>
              <w:t>教学、实验用桌</w:t>
            </w:r>
          </w:p>
        </w:tc>
        <w:tc>
          <w:tcPr>
            <w:tcW w:type="dxa" w:w="2076"/>
          </w:tcPr>
          <w:p>
            <w:pPr>
              <w:pStyle w:val="null3"/>
              <w:jc w:val="left"/>
            </w:pPr>
            <w:r>
              <w:rPr/>
              <w:t>六人桌椅</w:t>
            </w:r>
          </w:p>
        </w:tc>
        <w:tc>
          <w:tcPr>
            <w:tcW w:type="dxa" w:w="2076"/>
          </w:tcPr>
          <w:p>
            <w:pPr>
              <w:pStyle w:val="null3"/>
              <w:jc w:val="left"/>
            </w:pPr>
            <w:r>
              <w:rPr/>
              <w:t>六人桌椅</w:t>
            </w:r>
          </w:p>
        </w:tc>
      </w:tr>
      <w:tr>
        <w:tc>
          <w:tcPr>
            <w:tcW w:type="dxa" w:w="2076"/>
          </w:tcPr>
          <w:p>
            <w:pPr>
              <w:pStyle w:val="null3"/>
              <w:jc w:val="center"/>
            </w:pPr>
            <w:r>
              <w:rPr/>
              <w:t>24</w:t>
            </w:r>
          </w:p>
        </w:tc>
        <w:tc>
          <w:tcPr>
            <w:tcW w:type="dxa" w:w="2076"/>
          </w:tcPr>
          <w:p>
            <w:pPr>
              <w:pStyle w:val="null3"/>
              <w:jc w:val="left"/>
            </w:pPr>
            <w:r>
              <w:rPr/>
              <w:t>会议桌</w:t>
            </w:r>
          </w:p>
        </w:tc>
        <w:tc>
          <w:tcPr>
            <w:tcW w:type="dxa" w:w="2076"/>
          </w:tcPr>
          <w:p>
            <w:pPr>
              <w:pStyle w:val="null3"/>
              <w:jc w:val="left"/>
            </w:pPr>
            <w:r>
              <w:rPr/>
              <w:t>会议室桌椅</w:t>
            </w:r>
          </w:p>
        </w:tc>
        <w:tc>
          <w:tcPr>
            <w:tcW w:type="dxa" w:w="2076"/>
          </w:tcPr>
          <w:p>
            <w:pPr>
              <w:pStyle w:val="null3"/>
              <w:jc w:val="left"/>
            </w:pPr>
            <w:r>
              <w:rPr/>
              <w:t>会议室桌椅</w:t>
            </w:r>
          </w:p>
        </w:tc>
      </w:tr>
      <w:tr>
        <w:tc>
          <w:tcPr>
            <w:tcW w:type="dxa" w:w="2076"/>
          </w:tcPr>
          <w:p>
            <w:pPr>
              <w:pStyle w:val="null3"/>
              <w:jc w:val="center"/>
            </w:pPr>
            <w:r>
              <w:rPr/>
              <w:t>25</w:t>
            </w:r>
          </w:p>
        </w:tc>
        <w:tc>
          <w:tcPr>
            <w:tcW w:type="dxa" w:w="2076"/>
          </w:tcPr>
          <w:p>
            <w:pPr>
              <w:pStyle w:val="null3"/>
              <w:jc w:val="left"/>
            </w:pPr>
            <w:r>
              <w:rPr/>
              <w:t>其他沙发类</w:t>
            </w:r>
          </w:p>
        </w:tc>
        <w:tc>
          <w:tcPr>
            <w:tcW w:type="dxa" w:w="2076"/>
          </w:tcPr>
          <w:p>
            <w:pPr>
              <w:pStyle w:val="null3"/>
              <w:jc w:val="left"/>
            </w:pPr>
            <w:r>
              <w:rPr/>
              <w:t>定制沙发</w:t>
            </w:r>
          </w:p>
        </w:tc>
        <w:tc>
          <w:tcPr>
            <w:tcW w:type="dxa" w:w="2076"/>
          </w:tcPr>
          <w:p>
            <w:pPr>
              <w:pStyle w:val="null3"/>
              <w:jc w:val="left"/>
            </w:pPr>
            <w:r>
              <w:rPr/>
              <w:t>定制沙发</w:t>
            </w:r>
          </w:p>
        </w:tc>
      </w:tr>
    </w:tbl>
    <w:p>
      <w:pPr>
        <w:pStyle w:val="null3"/>
      </w:pPr>
      <w:r>
        <w:rPr/>
        <w:t>本采购包不接受联合体投标</w:t>
      </w:r>
    </w:p>
    <w:p>
      <w:pPr>
        <w:pStyle w:val="null3"/>
      </w:pPr>
      <w:r>
        <w:rPr/>
        <w:t>合同分包：不允许合同分包</w:t>
      </w:r>
    </w:p>
    <w:p>
      <w:pPr>
        <w:pStyle w:val="null3"/>
      </w:pPr>
      <w:r>
        <w:rPr/>
        <w:t>合同履行期限：详见用户需求书。</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复印件。分支机构投标的，须提供总公司和分公司营业执照复印件，总公司出具给分支机构的授权书。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①或②证明材料：①提供2025年度经会计师事务所出具且标注验证码的财务审计报告。该报告须按照《关于加强审计报告查验工作的通知》（财会〔2023〕15 号）要求，在财政部注册会计师行业统一监管平台（http：//acc.mof.gov.cn）完成报备并取得全国统一验证码。②同时提供a.基本开户行出具的资信证明，b.《基本存款账号信息》或《开户许可证》）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采购包1（广东女子职业技术学院非遗学院（艺术楼一楼102-110室）改造）：</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广东女子职业技术学院</w:t>
      </w:r>
    </w:p>
    <w:p>
      <w:pPr>
        <w:pStyle w:val="null3"/>
        <w:ind w:firstLine="480"/>
      </w:pPr>
      <w:r>
        <w:rPr/>
        <w:t xml:space="preserve"> 地址：</w:t>
      </w:r>
      <w:r>
        <w:rPr/>
        <w:t>广州市番禺区市莲路南浦村段2号</w:t>
      </w:r>
    </w:p>
    <w:p>
      <w:pPr>
        <w:pStyle w:val="null3"/>
        <w:ind w:firstLine="480"/>
      </w:pPr>
      <w:r>
        <w:rPr/>
        <w:t xml:space="preserve"> 联系方式：</w:t>
      </w:r>
      <w:r>
        <w:rPr/>
        <w:t>020-34557041</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020-83186821（邮箱：gpcgd_zhaol@gd.gov.cn）</w:t>
      </w:r>
    </w:p>
    <w:p>
      <w:pPr>
        <w:pStyle w:val="null3"/>
        <w:outlineLvl w:val="3"/>
      </w:pPr>
      <w:r>
        <w:rPr>
          <w:sz w:val="24"/>
          <w:b/>
        </w:rPr>
        <w:t xml:space="preserve"> 3.项目联系方式</w:t>
      </w:r>
    </w:p>
    <w:p>
      <w:pPr>
        <w:pStyle w:val="null3"/>
        <w:ind w:firstLine="480"/>
      </w:pPr>
      <w:r>
        <w:rPr/>
        <w:t xml:space="preserve"> 项目联系人：</w:t>
      </w:r>
      <w:r>
        <w:rPr/>
        <w:t>赵工</w:t>
      </w:r>
    </w:p>
    <w:p>
      <w:pPr>
        <w:pStyle w:val="null3"/>
        <w:ind w:firstLine="480"/>
      </w:pPr>
      <w:r>
        <w:rPr/>
        <w:t xml:space="preserve"> 电话：</w:t>
      </w:r>
      <w:r>
        <w:rPr/>
        <w:t>020-83186821（邮箱：gpcgd_zhaol@gd.gov.cn）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项目须知</w:t>
      </w:r>
    </w:p>
    <w:p>
      <w:pPr>
        <w:pStyle w:val="null3"/>
        <w:ind w:firstLine="422"/>
      </w:pPr>
      <w:r>
        <w:rPr>
          <w:sz w:val="21"/>
          <w:b/>
        </w:rPr>
        <w:t>1</w:t>
      </w:r>
      <w:r>
        <w:rPr>
          <w:sz w:val="21"/>
          <w:b/>
        </w:rPr>
        <w:t>、采购文件中带“★”的条款为本次采购的重要要求，供应商必须全部满足或响应，只要不满足任一带“★”的条款，将被认定为无效投标（响应）。采购文件中带“▲”(如有)的条款为本次采购较为重要的要求，供应商无法满足或响应时，将影响其评审分值。</w:t>
      </w:r>
    </w:p>
    <w:p>
      <w:pPr>
        <w:pStyle w:val="null3"/>
        <w:ind w:firstLine="422"/>
      </w:pPr>
      <w:r>
        <w:rPr>
          <w:sz w:val="21"/>
          <w:b/>
        </w:rPr>
        <w:t>2</w:t>
      </w:r>
      <w:r>
        <w:rPr>
          <w:sz w:val="21"/>
          <w:b/>
        </w:rPr>
        <w:t>、本需求涉及的各项规范、标准，如国家和行业有最新的修改版或停用的，则按最新规定执行。</w:t>
      </w:r>
    </w:p>
    <w:p>
      <w:pPr>
        <w:pStyle w:val="null3"/>
        <w:ind w:firstLine="422"/>
      </w:pPr>
      <w:r>
        <w:rPr>
          <w:sz w:val="21"/>
          <w:b/>
        </w:rPr>
        <w:t>3</w:t>
      </w:r>
      <w:r>
        <w:rPr>
          <w:sz w:val="21"/>
          <w:b/>
        </w:rPr>
        <w:t>、采购文件所要求的证书、资质等材料，如有有效期限制的，供应商所提供的资质、证书等材料均应处于有效期内，否则按无效材料处理。</w:t>
      </w:r>
    </w:p>
    <w:p>
      <w:pPr>
        <w:pStyle w:val="null3"/>
        <w:ind w:firstLine="422"/>
      </w:pPr>
      <w:r>
        <w:rPr>
          <w:sz w:val="21"/>
          <w:b/>
        </w:rPr>
        <w:t>★4、供应商须保证，如中标（成交），投标（响应）文件所提供的材料，如果有效期（包括需要年审、继续教育等完成后才能执业的行政许可、人员证书等情形）未能覆盖项目（包组）合同履行期的，将提前按规定办理延期手续，确保合同顺利履行。（提供承诺，可参照“投标（响应）文件格式”中《承诺函》格式）</w:t>
      </w:r>
    </w:p>
    <w:p>
      <w:pPr>
        <w:pStyle w:val="null3"/>
        <w:ind w:firstLine="422"/>
      </w:pPr>
      <w:r>
        <w:rPr>
          <w:sz w:val="21"/>
          <w:b/>
        </w:rPr>
        <w:t>★5、供应商须承诺所投设备在投标（响应）时均已符合国家强制性要求。（提供承诺，可参照“投标（响应）文件格式”中《承诺函》格式）。</w:t>
      </w:r>
    </w:p>
    <w:p>
      <w:pPr>
        <w:pStyle w:val="null3"/>
        <w:ind w:firstLine="422"/>
      </w:pPr>
      <w:r>
        <w:rPr>
          <w:sz w:val="21"/>
          <w:b/>
        </w:rPr>
        <w:t>★6、本项目采购产品如涉及《中华人民共和国实施强制性产品认证的产品目录》的产品，</w:t>
      </w:r>
      <w:r>
        <w:rPr>
          <w:sz w:val="20"/>
          <w:b/>
        </w:rPr>
        <w:t>具体为：LED屏控制工作站的配套显示屏、视频工作站的配套显示屏。</w:t>
      </w:r>
      <w:r>
        <w:rPr>
          <w:sz w:val="21"/>
          <w:b/>
        </w:rPr>
        <w:t>在验收时须出具CCC认证证书复印件（如实施自我声明程序的，则提供自我声明相关材料（提供在http://cx.cnca.cn/查询的产品的证书编号及查询结果截图）），并在产品外部施加认证标志作为验收依据之一。（投标时提供承诺，可参照“投标（响应）文件格式”中《承诺函》格式）。</w:t>
      </w:r>
    </w:p>
    <w:p>
      <w:pPr>
        <w:pStyle w:val="null3"/>
        <w:ind w:firstLine="422"/>
      </w:pPr>
      <w:r>
        <w:rPr>
          <w:sz w:val="21"/>
          <w:b/>
        </w:rPr>
        <w:t>★7、LED屏控制工作站的配套显示屏、视频工作站的配套显示屏须具备国家确定的认证机构出具的、处于有效期之内的节能产品认证，供应商在验收时须出具节能产品认证证书（认证标准须符合《节能产品政府采购品目清单》中对应产品所依据的标准）。投标时提供承诺，可参照“投标（响应）文件格式”中《承诺函》格式。</w:t>
      </w:r>
    </w:p>
    <w:p>
      <w:pPr>
        <w:pStyle w:val="null3"/>
        <w:ind w:firstLine="422"/>
      </w:pPr>
      <w:r>
        <w:rPr>
          <w:sz w:val="21"/>
          <w:b/>
        </w:rPr>
        <w:t>★8、本项目不允许合同分包。如供应商在投标/响应文件中未出现《分包协议意向书》，则视为未采取合同分包。</w:t>
      </w:r>
    </w:p>
    <w:p>
      <w:pPr>
        <w:pStyle w:val="null3"/>
        <w:ind w:firstLine="413"/>
        <w:jc w:val="both"/>
      </w:pPr>
      <w:r>
        <w:rPr>
          <w:sz w:val="21"/>
          <w:b/>
        </w:rPr>
        <w:t>★9、如本项目（包组）涉及到《中华人民共和国实行能源效率标识的产品目录（2026年版）》内产品的，须严格执行《国家发展改革委 市场监管总局关于印发〈中华人民共和国实行能源效率标识的产品目录（2026年版）〉及相关实施规则的通知》（发改环资规〔2026〕550 号）规定。（投标（响应）时提供承诺）。</w:t>
      </w:r>
    </w:p>
    <w:p>
      <w:pPr>
        <w:pStyle w:val="null3"/>
        <w:ind w:firstLine="413"/>
      </w:pPr>
      <w:r>
        <w:rPr>
          <w:sz w:val="21"/>
          <w:b/>
        </w:rPr>
        <w:t>★10、本项目（包组）严禁采购《关于在政府采购活动中对有关美国企业采取相关措施的通知》（财库〔2026〕10 号） 通知附件所列 46 家美国企业（不包括在华美资企业）生产的产品。供应商须提供加盖公章的书面承诺函，承诺所投全部产品、后期扩容配套设备（如有）、运维替换备件（如有）均不包含上述受限产品。</w:t>
      </w:r>
    </w:p>
    <w:p>
      <w:pPr>
        <w:pStyle w:val="null3"/>
        <w:ind w:firstLine="413"/>
        <w:jc w:val="both"/>
      </w:pPr>
      <w:r>
        <w:rPr>
          <w:sz w:val="21"/>
          <w:b/>
        </w:rPr>
        <w:t>评审时发现所投产品违反上述规定的，将按无效投标（响应）处理。中标（成交）后查实存在违规采购情形，采购人有权解除合同，并上报财政监管部门处理。</w:t>
      </w:r>
    </w:p>
    <w:p>
      <w:pPr>
        <w:pStyle w:val="null3"/>
        <w:ind w:firstLine="413"/>
        <w:jc w:val="both"/>
      </w:pPr>
      <w:r>
        <w:rPr>
          <w:sz w:val="21"/>
          <w:b/>
        </w:rPr>
        <w:t>11</w:t>
      </w:r>
      <w:r>
        <w:rPr>
          <w:sz w:val="21"/>
          <w:b/>
        </w:rPr>
        <w:t>、异常低价审查</w:t>
      </w:r>
    </w:p>
    <w:p>
      <w:pPr>
        <w:pStyle w:val="null3"/>
        <w:ind w:firstLine="420"/>
      </w:pPr>
      <w:r>
        <w:rPr>
          <w:sz w:val="21"/>
        </w:rPr>
        <w:t>（一）如供应商异常低价报价，评标委员会（评审小组）将启动异常低价投标（响应）审查，要求相关供应商在评审现场合理的时间内提供书面说明及必要的证明材料，对投标（响应）价格作出解释。供应商应在评标（审）现场合理的时间内提供书面说明。如供应商为厂家的，则对主要材料采购价格、人工费用、厂房（办公场地）费用、设备折旧、包装、运输、售后服务、税金、利润、代理服务费等各项费用组成的报价进行分析说明。如供应商为代理商或经销商的，则对设备采购价格、人工费用、办公场地费用、包装、运输、售后服务、税金、利润、代理服务费等各项费用组成的报价进行分析说明。分析说明须逐一提供佐证材料，包括但不限于：①设备的采购合同，或主要材料的采购合同；②人员工资明细表及银行工资转帐凭证；③自有厂房（或办公场所）的提供房产证明，租赁厂房（或办公场所）的提供租赁合同及发票，委托生产的提供委托生产合同；④生产设备购置合同或租赁合同或委托生产合同。⑤以往同类产品的合同及中标（成交）通知书（或交易发票）。</w:t>
      </w:r>
    </w:p>
    <w:p>
      <w:pPr>
        <w:pStyle w:val="null3"/>
        <w:ind w:firstLine="420"/>
      </w:pPr>
      <w:r>
        <w:rPr>
          <w:sz w:val="21"/>
        </w:rPr>
        <w:t>注：上述罗列的费用，如实际并未发生，则无须提供对应的成本分析及证明材料，但供应商应提供说明。</w:t>
      </w:r>
    </w:p>
    <w:p>
      <w:pPr>
        <w:pStyle w:val="null3"/>
        <w:ind w:firstLine="405"/>
        <w:jc w:val="both"/>
      </w:pPr>
      <w:r>
        <w:rPr>
          <w:sz w:val="21"/>
        </w:rPr>
        <w:t>（二）评审中出现下列情形之一的，评标委员会（评审小组）应当启动异常低价投标（响应）审查程序：　</w:t>
      </w:r>
    </w:p>
    <w:p>
      <w:pPr>
        <w:pStyle w:val="null3"/>
        <w:ind w:firstLine="420"/>
      </w:pPr>
      <w:r>
        <w:rPr>
          <w:sz w:val="21"/>
        </w:rPr>
        <w:t>1.</w:t>
      </w:r>
      <w:r>
        <w:rPr>
          <w:sz w:val="21"/>
        </w:rPr>
        <w:t>投标（响应）报价低于全部通过符合性审查供应商投标（响应）报价平均值50%的，即投标（响应）报价&lt;全部通过符合性审查供应商投标（响应）报价平均值×50%；</w:t>
      </w:r>
    </w:p>
    <w:p>
      <w:pPr>
        <w:pStyle w:val="null3"/>
        <w:ind w:firstLine="420"/>
      </w:pPr>
      <w:r>
        <w:rPr>
          <w:sz w:val="21"/>
        </w:rPr>
        <w:t>2.</w:t>
      </w:r>
      <w:r>
        <w:rPr>
          <w:sz w:val="21"/>
        </w:rPr>
        <w:t>投标（响应）报价低于通过符合性审查的次低报价供应商投标（响应）报价50%的，即投标（响应）报价&lt;通过符合性审查的次低报价供应商投标（响应）报价×50%；</w:t>
      </w:r>
    </w:p>
    <w:p>
      <w:pPr>
        <w:pStyle w:val="null3"/>
        <w:ind w:firstLine="420"/>
      </w:pPr>
      <w:r>
        <w:rPr>
          <w:sz w:val="21"/>
        </w:rPr>
        <w:t>3.</w:t>
      </w:r>
      <w:r>
        <w:rPr>
          <w:sz w:val="21"/>
        </w:rPr>
        <w:t>投标（响应）报价低于采购项目最高限价45%的，即投标（响应）报价&lt;采购项目最高限价×45%；</w:t>
      </w:r>
    </w:p>
    <w:p>
      <w:pPr>
        <w:pStyle w:val="null3"/>
        <w:ind w:firstLine="420"/>
      </w:pPr>
      <w:r>
        <w:rPr>
          <w:sz w:val="21"/>
        </w:rPr>
        <w:t>4.</w:t>
      </w:r>
      <w:r>
        <w:rPr>
          <w:sz w:val="21"/>
        </w:rPr>
        <w:t>评审委员会基于专业判断，认为供应商报价过低，有可能影响产品质量或者不能诚信履约的其他情形。</w:t>
      </w:r>
    </w:p>
    <w:p>
      <w:pPr>
        <w:pStyle w:val="null3"/>
        <w:ind w:firstLine="420"/>
      </w:pPr>
      <w:r>
        <w:rPr>
          <w:sz w:val="21"/>
        </w:rPr>
        <w:t>上述1-3项数值的计算，如涉及到总价、单价的，则精确到“分”并四舍五入；涉及费率计算的，则精准到小数点后二位，第三位四舍五入。如按上述原则计算后数值为123.456元，则按123.46取值；计算后数值为87.654%，则按87.65%取值。</w:t>
      </w:r>
    </w:p>
    <w:p>
      <w:pPr>
        <w:pStyle w:val="null3"/>
        <w:ind w:firstLine="420"/>
      </w:pPr>
      <w:r>
        <w:rPr>
          <w:sz w:val="21"/>
        </w:rPr>
        <w:t>被启动异常低价审查的供应商，如果不提供书面说明、证明材料，或者提供的书面说明、证明材料不能证明其报价合理性的，应当将其作为无效投标（响应）处理。通过异常低价审查的不足3家，不得进入详细评审。</w:t>
      </w:r>
    </w:p>
    <w:p>
      <w:pPr>
        <w:pStyle w:val="null3"/>
        <w:ind w:firstLine="420"/>
      </w:pPr>
      <w:r>
        <w:rPr/>
        <w:t xml:space="preserve"> </w:t>
      </w:r>
    </w:p>
    <w:p>
      <w:pPr>
        <w:pStyle w:val="null3"/>
        <w:jc w:val="center"/>
      </w:pPr>
      <w:r>
        <w:rPr>
          <w:sz w:val="32"/>
          <w:b/>
        </w:rPr>
        <w:t>用户需求书</w:t>
      </w:r>
    </w:p>
    <w:p>
      <w:pPr>
        <w:pStyle w:val="null3"/>
        <w:spacing w:before="150"/>
        <w:ind w:left="420"/>
      </w:pPr>
      <w:r>
        <w:rPr>
          <w:sz w:val="21"/>
          <w:b/>
        </w:rPr>
        <w:t>一、</w:t>
      </w:r>
      <w:r>
        <w:rPr>
          <w:sz w:val="21"/>
          <w:b/>
        </w:rPr>
        <w:t>项目基本概况</w:t>
      </w:r>
    </w:p>
    <w:p>
      <w:pPr>
        <w:pStyle w:val="null3"/>
        <w:ind w:firstLine="420"/>
        <w:jc w:val="left"/>
      </w:pPr>
      <w:r>
        <w:rPr>
          <w:sz w:val="21"/>
          <w:shd w:fill="FFFFFF" w:val="clear"/>
        </w:rPr>
        <w:t>聚焦女性非遗传承人才培养，以女校教育特色为核心，打造集</w:t>
      </w:r>
      <w:r>
        <w:rPr>
          <w:sz w:val="21"/>
          <w:shd w:fill="FFFFFF" w:val="clear"/>
        </w:rPr>
        <w:t>“非遗技艺传承、数字化创新研发、文化传播与社会服务”于一体的综合性非遗学院。依托国家级、省级非遗大师资源，联动动漫、数媒、服装、文创等专业，构建"传统工艺+现代科技+女性创意"的特色发展模式。</w:t>
      </w:r>
    </w:p>
    <w:p>
      <w:pPr>
        <w:pStyle w:val="null3"/>
        <w:ind w:firstLine="420"/>
        <w:jc w:val="left"/>
      </w:pPr>
      <w:r>
        <w:rPr>
          <w:sz w:val="21"/>
          <w:shd w:fill="FFFFFF" w:val="clear"/>
        </w:rPr>
        <w:t>项目建设的必要性：</w:t>
      </w:r>
    </w:p>
    <w:p>
      <w:pPr>
        <w:pStyle w:val="null3"/>
        <w:ind w:firstLine="480"/>
        <w:jc w:val="left"/>
      </w:pPr>
      <w:r>
        <w:rPr>
          <w:sz w:val="21"/>
          <w:shd w:fill="FFFFFF" w:val="clear"/>
        </w:rPr>
        <w:t>1、现有5个非遗项目（珠绣、剪纸、广绣、麟狮舞、茶艺），由于入驻学校的时间不同，先后分布在教学楼和艺术楼的不同楼层空间，不便于统一管理。</w:t>
      </w:r>
    </w:p>
    <w:p>
      <w:pPr>
        <w:pStyle w:val="null3"/>
        <w:ind w:firstLine="420"/>
        <w:jc w:val="left"/>
      </w:pPr>
      <w:r>
        <w:rPr>
          <w:sz w:val="21"/>
          <w:shd w:fill="FFFFFF" w:val="clear"/>
        </w:rPr>
        <w:t>2、现有5个非遗项目，因不同二级学院引进入驻，在非遗项目入驻、过程管理和考核等方面存在差异性，不利于非遗技艺人才的规范化培养。</w:t>
      </w:r>
    </w:p>
    <w:p>
      <w:pPr>
        <w:pStyle w:val="null3"/>
        <w:ind w:firstLine="420"/>
        <w:jc w:val="left"/>
      </w:pPr>
      <w:r>
        <w:rPr>
          <w:sz w:val="21"/>
          <w:shd w:fill="FFFFFF" w:val="clear"/>
        </w:rPr>
        <w:t>3、拟将现有5个非遗项目整体搬迁到艺术楼一楼，并新增香云纱非遗项目。打造集“非遗技艺传承、非遗数字化研发、文化传播与社会服务”于一体的综合性非遗学院。</w:t>
      </w:r>
    </w:p>
    <w:p>
      <w:pPr>
        <w:pStyle w:val="null3"/>
        <w:ind w:firstLine="420"/>
        <w:jc w:val="both"/>
      </w:pPr>
      <w:r>
        <w:rPr>
          <w:sz w:val="21"/>
        </w:rPr>
        <w:t>本项目的主要任务：</w:t>
      </w:r>
      <w:r>
        <w:rPr>
          <w:sz w:val="21"/>
        </w:rPr>
        <w:t>LED显示屏及其组件、音响话筒设备和视频工作站等；统一定制桌椅家具、柜子、书架和墙面作品挂架。</w:t>
      </w:r>
    </w:p>
    <w:p>
      <w:pPr>
        <w:pStyle w:val="null3"/>
        <w:spacing w:before="150"/>
        <w:ind w:left="420"/>
      </w:pPr>
      <w:r>
        <w:rPr>
          <w:sz w:val="21"/>
          <w:b/>
        </w:rPr>
        <w:t>二、</w:t>
      </w:r>
      <w:r>
        <w:rPr>
          <w:sz w:val="21"/>
          <w:b/>
        </w:rPr>
        <w:t>采购项目清单</w:t>
      </w:r>
    </w:p>
    <w:p>
      <w:pPr>
        <w:pStyle w:val="null3"/>
        <w:ind w:firstLine="422"/>
        <w:jc w:val="both"/>
      </w:pPr>
      <w:r>
        <w:rPr>
          <w:sz w:val="21"/>
          <w:b/>
        </w:rPr>
        <w:t>（一）采购项目一览表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4159"/>
        <w:gridCol w:w="1534"/>
        <w:gridCol w:w="2584"/>
      </w:tblGrid>
      <w:tr>
        <w:tc>
          <w:tcPr>
            <w:tcW w:type="dxa" w:w="4159"/>
            <w:tcBorders>
              <w:top w:val="single" w:color="000000" w:sz="8"/>
              <w:left w:val="single" w:color="000000" w:sz="8"/>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rPr>
              <w:t>采购内容</w:t>
            </w:r>
          </w:p>
        </w:tc>
        <w:tc>
          <w:tcPr>
            <w:tcW w:type="dxa" w:w="1534"/>
            <w:tcBorders>
              <w:top w:val="single" w:color="000000" w:sz="8"/>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sz w:val="21"/>
                <w:b/>
              </w:rPr>
              <w:t>数量</w:t>
            </w:r>
          </w:p>
        </w:tc>
        <w:tc>
          <w:tcPr>
            <w:tcW w:type="dxa" w:w="2584"/>
            <w:tcBorders>
              <w:top w:val="single" w:color="000000" w:sz="8"/>
              <w:left w:val="none" w:color="000000" w:sz="4"/>
              <w:bottom w:val="single" w:color="000000" w:sz="4"/>
              <w:right w:val="single" w:color="000000" w:sz="8"/>
            </w:tcBorders>
            <w:shd w:fill="D0CECE"/>
            <w:tcMar>
              <w:top w:type="dxa" w:w="0"/>
              <w:left w:type="dxa" w:w="105"/>
              <w:bottom w:type="dxa" w:w="0"/>
              <w:right w:type="dxa" w:w="105"/>
            </w:tcMar>
            <w:vAlign w:val="top"/>
          </w:tcPr>
          <w:p>
            <w:pPr>
              <w:pStyle w:val="null3"/>
              <w:jc w:val="center"/>
            </w:pPr>
            <w:r>
              <w:rPr>
                <w:sz w:val="21"/>
                <w:b/>
              </w:rPr>
              <w:t>最高限价</w:t>
            </w:r>
          </w:p>
          <w:p>
            <w:pPr>
              <w:pStyle w:val="null3"/>
              <w:jc w:val="center"/>
            </w:pPr>
            <w:r>
              <w:rPr>
                <w:sz w:val="21"/>
                <w:b/>
              </w:rPr>
              <w:t>（人民币</w:t>
            </w:r>
            <w:r>
              <w:rPr>
                <w:sz w:val="21"/>
                <w:b/>
              </w:rPr>
              <w:t>元）</w:t>
            </w:r>
          </w:p>
        </w:tc>
      </w:tr>
      <w:tr>
        <w:tc>
          <w:tcPr>
            <w:tcW w:type="dxa" w:w="4159"/>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spacing w:before="150"/>
            </w:pPr>
            <w:r>
              <w:rPr>
                <w:sz w:val="21"/>
                <w:b/>
              </w:rPr>
              <w:t>内容：</w:t>
            </w:r>
            <w:r>
              <w:rPr>
                <w:sz w:val="21"/>
              </w:rPr>
              <w:t>LED显示屏及其组件、音响话筒设备和视频工作站等；统一定制桌椅家具、柜子、书架和墙面作品挂架。（参考非遗学院整体设计方案）</w:t>
            </w:r>
          </w:p>
        </w:tc>
        <w:tc>
          <w:tcPr>
            <w:tcW w:type="dxa" w:w="1534"/>
            <w:tcBorders>
              <w:top w:val="non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spacing w:before="150"/>
              <w:jc w:val="center"/>
            </w:pPr>
            <w:r>
              <w:rPr>
                <w:sz w:val="21"/>
              </w:rPr>
              <w:t>1批</w:t>
            </w:r>
          </w:p>
        </w:tc>
        <w:tc>
          <w:tcPr>
            <w:tcW w:type="dxa" w:w="258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150"/>
              <w:jc w:val="center"/>
            </w:pPr>
            <w:r>
              <w:rPr>
                <w:sz w:val="21"/>
              </w:rPr>
              <w:t>944779.2元</w:t>
            </w:r>
          </w:p>
        </w:tc>
      </w:tr>
    </w:tbl>
    <w:p>
      <w:pPr>
        <w:pStyle w:val="null3"/>
        <w:spacing w:before="150"/>
        <w:ind w:firstLine="422"/>
      </w:pPr>
      <w:r>
        <w:rPr>
          <w:sz w:val="21"/>
          <w:b/>
        </w:rPr>
        <w:t>（二）采购项目清单</w:t>
      </w:r>
    </w:p>
    <w:p>
      <w:pPr>
        <w:pStyle w:val="null3"/>
        <w:spacing w:before="150"/>
        <w:ind w:firstLine="422"/>
      </w:pPr>
      <w:r>
        <w:rPr>
          <w:sz w:val="21"/>
          <w:b/>
        </w:rPr>
        <w:t>本项目核心产品：</w:t>
      </w:r>
      <w:r>
        <w:rPr>
          <w:sz w:val="21"/>
          <w:b/>
        </w:rPr>
        <w:t>LED显示屏</w:t>
      </w:r>
    </w:p>
    <w:tbl>
      <w:tblPr>
        <w:tblW w:w="0" w:type="auto"/>
        <w:tblBorders>
          <w:top w:val="none" w:color="000000" w:sz="4"/>
          <w:left w:val="none" w:color="000000" w:sz="4"/>
          <w:bottom w:val="none" w:color="000000" w:sz="4"/>
          <w:right w:val="none" w:color="000000" w:sz="4"/>
          <w:insideH w:val="none"/>
          <w:insideV w:val="none"/>
        </w:tblBorders>
      </w:tblPr>
      <w:tblGrid>
        <w:gridCol w:w="783"/>
        <w:gridCol w:w="2326"/>
        <w:gridCol w:w="1294"/>
        <w:gridCol w:w="1301"/>
        <w:gridCol w:w="1301"/>
        <w:gridCol w:w="1301"/>
      </w:tblGrid>
      <w:tr>
        <w:tc>
          <w:tcPr>
            <w:tcW w:type="dxa" w:w="783"/>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序号</w:t>
            </w:r>
          </w:p>
        </w:tc>
        <w:tc>
          <w:tcPr>
            <w:tcW w:type="dxa" w:w="232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采购标的</w:t>
            </w:r>
          </w:p>
        </w:tc>
        <w:tc>
          <w:tcPr>
            <w:tcW w:type="dxa" w:w="129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1301"/>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分项预算单价（元）</w:t>
            </w:r>
          </w:p>
        </w:tc>
        <w:tc>
          <w:tcPr>
            <w:tcW w:type="dxa" w:w="1301"/>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分项预算总价（元）</w:t>
            </w:r>
          </w:p>
        </w:tc>
        <w:tc>
          <w:tcPr>
            <w:tcW w:type="dxa" w:w="1301"/>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所属行业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LED显示屏</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18.432m2</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127180.80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开关电源</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60台</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接收卡</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54张</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7020.00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LED视频控制器</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控制软件</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软件和信息技术服务业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智能电源管理中心</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钢结构及装饰</w:t>
            </w:r>
            <w:r>
              <w:br/>
            </w:r>
            <w:r>
              <w:rPr>
                <w:sz w:val="21"/>
              </w:rPr>
              <w:t>安装、调试及培训</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18.432m</w:t>
            </w:r>
            <w:r>
              <w:rPr>
                <w:sz w:val="21"/>
                <w:vertAlign w:val="superscript"/>
                <w:shd w:fill="FFFFFF" w:val="clear"/>
              </w:rPr>
              <w:t>2</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22118.40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模组线材</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线材及辅材</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备品备件</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1批</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动力电源线</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30m</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LED屏控制工作站</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智能红外无线功放</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1台</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红外线传感器</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红外线话筒</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2支</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组合式双路充电座</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音柱</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4只</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交换设备</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1台</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机柜</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1个</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视频工作站</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6套</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144000.00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实践教学录播系统</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2套</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定制柜</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54m</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81000.00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木质洞洞板</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81m</w:t>
            </w:r>
            <w:r>
              <w:rPr>
                <w:sz w:val="21"/>
                <w:vertAlign w:val="superscript"/>
                <w:shd w:fill="FFFFFF" w:val="clear"/>
              </w:rPr>
              <w:t>2</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89100.00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定制书架</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144.9m</w:t>
            </w:r>
            <w:r>
              <w:rPr>
                <w:sz w:val="21"/>
                <w:vertAlign w:val="superscript"/>
                <w:shd w:fill="FFFFFF" w:val="clear"/>
              </w:rPr>
              <w:t>2</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217350.00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六人桌椅</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25套</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112500.00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会议室桌椅</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20套</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定制沙发</w:t>
            </w:r>
          </w:p>
        </w:tc>
        <w:tc>
          <w:tcPr>
            <w:tcW w:type="dxa" w:w="1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3套</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18000.00</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bl>
    <w:p>
      <w:pPr>
        <w:pStyle w:val="null3"/>
      </w:pPr>
      <w:r>
        <w:rPr/>
        <w:t xml:space="preserve"> </w:t>
      </w:r>
    </w:p>
    <w:p>
      <w:pPr>
        <w:pStyle w:val="null3"/>
      </w:pPr>
      <w:r>
        <w:rPr/>
        <w:t xml:space="preserve"> </w:t>
      </w:r>
    </w:p>
    <w:p>
      <w:pPr>
        <w:pStyle w:val="null3"/>
        <w:spacing w:before="150"/>
        <w:ind w:firstLine="422"/>
      </w:pPr>
      <w:r>
        <w:rPr>
          <w:sz w:val="21"/>
          <w:b/>
        </w:rPr>
        <w:t>（三）技术规格要求</w:t>
      </w:r>
    </w:p>
    <w:tbl>
      <w:tblPr>
        <w:tblW w:w="0" w:type="auto"/>
        <w:tblBorders>
          <w:top w:val="none" w:color="000000" w:sz="4"/>
          <w:left w:val="none" w:color="000000" w:sz="4"/>
          <w:bottom w:val="none" w:color="000000" w:sz="4"/>
          <w:right w:val="none" w:color="000000" w:sz="4"/>
          <w:insideH w:val="none"/>
          <w:insideV w:val="none"/>
        </w:tblBorders>
      </w:tblPr>
      <w:tblGrid>
        <w:gridCol w:w="655"/>
        <w:gridCol w:w="1244"/>
        <w:gridCol w:w="1030"/>
        <w:gridCol w:w="5377"/>
      </w:tblGrid>
      <w:tr>
        <w:tc>
          <w:tcPr>
            <w:tcW w:type="dxa" w:w="830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r>
              <w:rPr>
                <w:sz w:val="21"/>
                <w:b/>
              </w:rPr>
              <w:t>LED显示屏、墙面高清全彩屏及其组件、音响设备、视频工作站、家具定制</w:t>
            </w:r>
          </w:p>
        </w:tc>
      </w:tr>
      <w:tr>
        <w:tc>
          <w:tcPr>
            <w:tcW w:type="dxa" w:w="655"/>
            <w:tcBorders>
              <w:top w:val="non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序号</w:t>
            </w:r>
          </w:p>
        </w:tc>
        <w:tc>
          <w:tcPr>
            <w:tcW w:type="dxa" w:w="124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采购标的</w:t>
            </w:r>
          </w:p>
        </w:tc>
        <w:tc>
          <w:tcPr>
            <w:tcW w:type="dxa" w:w="103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5377"/>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规格及描述</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LED显示屏</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18.432m2</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1、采用SMD表贴三合一封装,点间距≤1.86mm,模组尺寸：320*160mm,单元像素分辨率：172*86点,显示分辨率：3096*1720；</w:t>
            </w:r>
          </w:p>
          <w:p>
            <w:pPr>
              <w:pStyle w:val="null3"/>
              <w:jc w:val="left"/>
            </w:pPr>
            <w:r>
              <w:rPr>
                <w:sz w:val="21"/>
                <w:shd w:fill="FFFFFF" w:val="clear"/>
              </w:rPr>
              <w:t>▲2、白平衡亮度：0-800cd/㎡可调；为保障显示屏亮度，需具备提高发光二极管亮度的发光芯片技术（提供以下2种证明材料之一：①提供第三方检测机构或实验室出具的检测报告复印件并加盖投标人公章；②提供产品制造商官网相应功能截图或产品制造商官网产品技术白皮书该功能证明截图，同时提供官网链接地址。）；</w:t>
            </w:r>
          </w:p>
          <w:p>
            <w:pPr>
              <w:pStyle w:val="null3"/>
              <w:jc w:val="left"/>
            </w:pPr>
            <w:r>
              <w:rPr>
                <w:sz w:val="21"/>
                <w:shd w:fill="FFFFFF" w:val="clear"/>
              </w:rPr>
              <w:t>3、色温调节范围：2000—15000K可调；</w:t>
            </w:r>
          </w:p>
          <w:p>
            <w:pPr>
              <w:pStyle w:val="null3"/>
              <w:jc w:val="left"/>
            </w:pPr>
            <w:r>
              <w:rPr>
                <w:sz w:val="21"/>
                <w:shd w:fill="FFFFFF" w:val="clear"/>
              </w:rPr>
              <w:t>▲4、可视角度：水平视角：≥175°，垂直视角：≥175°；需具备可调节角度的LED显示屏及其角度调节装置的技术（提供以下2种证明材料之一：①提供第三方检测机构或实验室出具的检测报告复印件并加盖投标人公章；②提供产品制造商官网相应功能截图或产品制造商官网产品技术白皮书该功能证明截图，同时提供官网链接地址。）；</w:t>
            </w:r>
          </w:p>
          <w:p>
            <w:pPr>
              <w:pStyle w:val="null3"/>
              <w:jc w:val="left"/>
            </w:pPr>
            <w:r>
              <w:rPr>
                <w:sz w:val="21"/>
                <w:shd w:fill="FFFFFF" w:val="clear"/>
              </w:rPr>
              <w:t>▲5、为防止出现串亮、残影现象，LED屏幕具有消隐功能的LED显示屏控制电路（提供以下2种证明材料之一：①提供第三方检测机构或实验室出具的检测报告复印件并加盖投标人公章；②提供产品制造商官网相应功能截图或产品制造商官网产品技术白皮书该功能证明截图，同时提供官网链接地址。）；</w:t>
            </w:r>
          </w:p>
          <w:p>
            <w:pPr>
              <w:pStyle w:val="null3"/>
              <w:jc w:val="left"/>
            </w:pPr>
            <w:r>
              <w:rPr>
                <w:sz w:val="21"/>
                <w:shd w:fill="FFFFFF" w:val="clear"/>
              </w:rPr>
              <w:t>▲6、LED屏幕需具备快速定位角度调节装置及一种新型防松脱装置技术（提供功能截图佐证）；</w:t>
            </w:r>
          </w:p>
          <w:p>
            <w:pPr>
              <w:pStyle w:val="null3"/>
              <w:jc w:val="left"/>
            </w:pPr>
            <w:r>
              <w:rPr>
                <w:sz w:val="21"/>
                <w:shd w:fill="FFFFFF" w:val="clear"/>
              </w:rPr>
              <w:t>▲7、LED需具备主动升压方式的节能型LED显示屏的节能技术（提供以下2种证明材料之一：①提供第三方检测机构或实验室出具的检测报告复印件并加盖投标人公章；②提供产品制造商官网相应功能截图或产品制造商官网产品技术白皮书该功能证明截图，同时提供官网链接地址。）；</w:t>
            </w:r>
          </w:p>
          <w:p>
            <w:pPr>
              <w:pStyle w:val="null3"/>
              <w:jc w:val="left"/>
            </w:pPr>
            <w:r>
              <w:rPr>
                <w:sz w:val="21"/>
                <w:shd w:fill="FFFFFF" w:val="clear"/>
              </w:rPr>
              <w:t>8、为确保LED屏幕长时间观看效果，LED屏幕应具备采用并行读取方式实现高灰度高刷新率的显示控制结构技术；</w:t>
            </w:r>
          </w:p>
          <w:p>
            <w:pPr>
              <w:pStyle w:val="null3"/>
              <w:jc w:val="left"/>
            </w:pPr>
            <w:r>
              <w:rPr>
                <w:sz w:val="21"/>
                <w:shd w:fill="FFFFFF" w:val="clear"/>
              </w:rPr>
              <w:t>9、对比度：≥10000：1；像素中心距偏差：±0.01mm(0.01%)；</w:t>
            </w:r>
          </w:p>
          <w:p>
            <w:pPr>
              <w:pStyle w:val="null3"/>
              <w:jc w:val="left"/>
            </w:pPr>
            <w:r>
              <w:rPr>
                <w:sz w:val="21"/>
                <w:shd w:fill="FFFFFF" w:val="clear"/>
              </w:rPr>
              <w:t>10、亮度均匀性：≥99.2%，LMG＜3%；</w:t>
            </w:r>
          </w:p>
          <w:p>
            <w:pPr>
              <w:pStyle w:val="null3"/>
              <w:jc w:val="left"/>
            </w:pPr>
            <w:r>
              <w:rPr>
                <w:sz w:val="21"/>
                <w:shd w:fill="FFFFFF" w:val="clear"/>
              </w:rPr>
              <w:t>11、色度均匀性：±0.0001Cx，Cy之内；</w:t>
            </w:r>
          </w:p>
          <w:p>
            <w:pPr>
              <w:pStyle w:val="null3"/>
              <w:jc w:val="left"/>
            </w:pPr>
            <w:r>
              <w:rPr>
                <w:sz w:val="21"/>
                <w:shd w:fill="FFFFFF" w:val="clear"/>
              </w:rPr>
              <w:t>12、响应时间：纳秒级，急速响应不拖尾、无鬼影；</w:t>
            </w:r>
          </w:p>
          <w:p>
            <w:pPr>
              <w:pStyle w:val="null3"/>
              <w:jc w:val="left"/>
            </w:pPr>
            <w:r>
              <w:rPr>
                <w:sz w:val="21"/>
                <w:shd w:fill="FFFFFF" w:val="clear"/>
              </w:rPr>
              <w:t>13、NTSC色域覆盖率：≥120%；</w:t>
            </w:r>
          </w:p>
          <w:p>
            <w:pPr>
              <w:pStyle w:val="null3"/>
              <w:jc w:val="left"/>
            </w:pPr>
            <w:r>
              <w:rPr>
                <w:sz w:val="21"/>
                <w:shd w:fill="FFFFFF" w:val="clear"/>
              </w:rPr>
              <w:t>14、平整度：≤0.05mm；单元拼缝间隙：模组间/箱体间的拼缝与间隙≤0.05mm；</w:t>
            </w:r>
          </w:p>
          <w:p>
            <w:pPr>
              <w:pStyle w:val="null3"/>
              <w:jc w:val="left"/>
            </w:pPr>
            <w:r>
              <w:rPr>
                <w:sz w:val="21"/>
                <w:shd w:fill="FFFFFF" w:val="clear"/>
              </w:rPr>
              <w:t xml:space="preserve">15、刷新率：≥3840Hz，支持 0-9600Hz  可调；支持通过配套控制软件自定义刷新率设置选项， 播放时画面流畅，无水波纹现象，画面无频闪线及晃动；帧率为60Hz，亮度在30%时，刷新率达到7680Hz；                                   </w:t>
            </w:r>
          </w:p>
          <w:p>
            <w:pPr>
              <w:pStyle w:val="null3"/>
              <w:jc w:val="left"/>
            </w:pPr>
            <w:r>
              <w:rPr>
                <w:sz w:val="21"/>
                <w:shd w:fill="FFFFFF" w:val="clear"/>
              </w:rPr>
              <w:t xml:space="preserve">16、模组间/箱体间相对错位、段差值：≤0.01mm，CPK≥0.1；                                          </w:t>
            </w:r>
          </w:p>
          <w:p>
            <w:pPr>
              <w:pStyle w:val="null3"/>
              <w:jc w:val="left"/>
            </w:pPr>
            <w:r>
              <w:rPr>
                <w:sz w:val="21"/>
                <w:shd w:fill="FFFFFF" w:val="clear"/>
              </w:rPr>
              <w:t>17、低亮高灰特性：具备低亮高灰的图像处理技术，在 0-100%的亮度条件下，灰度 8-32bit自适应调整；亮度100%时，灰度≥24bit；亮度 80%时，灰度≥20bit；亮度 50%时，灰度≥20bit；亮度 20%时，灰度≥18bit ，亮度 10% 时，灰度≥14bit且刷新率≥3840Hz（低灰情况下，仍然能保持高刷新率及灰度，灰阶过渡平滑，无马赛克、无图像细节损失）；</w:t>
            </w:r>
          </w:p>
          <w:p>
            <w:pPr>
              <w:pStyle w:val="null3"/>
              <w:jc w:val="left"/>
            </w:pPr>
            <w:r>
              <w:rPr>
                <w:sz w:val="21"/>
                <w:shd w:fill="FFFFFF" w:val="clear"/>
              </w:rPr>
              <w:t xml:space="preserve">18、采用MWFRFT多层多参数智慧调节技术处理技术，打破传统单层WFRFT结构模式扩展为多层MWFRFT结构，提升大屏低灰刷新不足引起的闪烁问题；                                                </w:t>
            </w:r>
          </w:p>
          <w:p>
            <w:pPr>
              <w:pStyle w:val="null3"/>
              <w:jc w:val="left"/>
            </w:pPr>
            <w:r>
              <w:rPr>
                <w:sz w:val="21"/>
                <w:shd w:fill="FFFFFF" w:val="clear"/>
              </w:rPr>
              <w:t xml:space="preserve">19、像素失控率：LED 显示屏整屏/区域的像素失控率≤1/10000000，盲点率≤1/10000000 ，无连续失控点和常亮点,符合SJ/T11141-2017标准C级；     </w:t>
            </w:r>
          </w:p>
          <w:p>
            <w:pPr>
              <w:pStyle w:val="null3"/>
              <w:jc w:val="left"/>
            </w:pPr>
            <w:r>
              <w:rPr>
                <w:sz w:val="21"/>
                <w:shd w:fill="FFFFFF" w:val="clear"/>
              </w:rPr>
              <w:t>20、拍照等级：≥14Bit；</w:t>
            </w:r>
          </w:p>
          <w:p>
            <w:pPr>
              <w:pStyle w:val="null3"/>
              <w:jc w:val="left"/>
            </w:pPr>
            <w:r>
              <w:rPr>
                <w:sz w:val="21"/>
                <w:shd w:fill="FFFFFF" w:val="clear"/>
              </w:rPr>
              <w:t xml:space="preserve">21、换帧频率（Hz）：支持信号源 50Hz、60Hz、96Hz、120Hz、144Hz、240Hz帧频处理 ，支持24Hz-120Hz，24Hz-240Hz帧频处理，支持 3D显示应用；     </w:t>
            </w:r>
          </w:p>
          <w:p>
            <w:pPr>
              <w:pStyle w:val="null3"/>
              <w:jc w:val="left"/>
            </w:pPr>
            <w:r>
              <w:rPr>
                <w:sz w:val="21"/>
                <w:shd w:fill="FFFFFF" w:val="clear"/>
              </w:rPr>
              <w:t>22、抗扰度测试：符合 GB/T17626.2 、GB/T 9254.2-2021 标准对设备静电放电抗扰度测试的要求，运行稳定，不受电源端子传导干扰、不受射频电磁场辐射干扰、不受射频场感应传导干扰依据 GB/T14598.9-2015  标准对配电柜电气干扰实验干扰要求，施加过程中受试设备的保护、命令与控制、测量、人机接口和可视报警及数据通信，功能都正常工作。对配电柜面板等人手容易接触的非金属部分给与≥10KV放电电压，金属部分给与≥8KV放电电压，每次试电≥正负极性放电次数≥10次，产品无异常；</w:t>
            </w:r>
          </w:p>
          <w:p>
            <w:pPr>
              <w:pStyle w:val="null3"/>
              <w:jc w:val="left"/>
            </w:pPr>
            <w:r>
              <w:rPr>
                <w:sz w:val="21"/>
                <w:shd w:fill="FFFFFF" w:val="clear"/>
              </w:rPr>
              <w:t>23、消除蓝光伤害：符合 GB/T 20145、EN62471、EN IEC 62471-7:2023、GB/Z 39942-2021等灯和灯系统的光生物安全性，200mm测试距离、11mrad视场测试条件下，蓝光危害辐亮度≤8.52e-01，辐亮度无危害标准，无≤460nm 短波蓝光，波长400-460nm 蓝光辐亮度（光强度、LB）≤0.013W.m-2.sr-1(W/㎡ •nm)（W/(m2*sr)），蓝光辐射能量≤10%，视网膜热危害值≤10W/(m²sr)，符合A级，属于无害级别；</w:t>
            </w:r>
          </w:p>
          <w:p>
            <w:pPr>
              <w:pStyle w:val="null3"/>
              <w:jc w:val="left"/>
            </w:pPr>
            <w:r>
              <w:rPr>
                <w:sz w:val="21"/>
                <w:shd w:fill="FFFFFF" w:val="clear"/>
              </w:rPr>
              <w:t>24、稳定性：支持7×24H连续工作，产品在正常工作条件下，连续工作30天×24H（720H），不出现电气、机械或软件的故障；</w:t>
            </w:r>
          </w:p>
          <w:p>
            <w:pPr>
              <w:pStyle w:val="null3"/>
              <w:jc w:val="left"/>
            </w:pPr>
            <w:r>
              <w:rPr>
                <w:sz w:val="21"/>
                <w:shd w:fill="FFFFFF" w:val="clear"/>
              </w:rPr>
              <w:t>25、亮度衰减率：亮度衰减率（工作 3 年）≤1%，1000Hr 后，外观正常，实验数据如下：R/G/B 光衰分别为98.3%/96.2%/94.6%；</w:t>
            </w:r>
          </w:p>
          <w:p>
            <w:pPr>
              <w:pStyle w:val="null3"/>
              <w:jc w:val="left"/>
            </w:pPr>
            <w:r>
              <w:rPr>
                <w:sz w:val="21"/>
                <w:shd w:fill="FFFFFF" w:val="clear"/>
              </w:rPr>
              <w:t>▲26、观看舒适度：人眼视觉舒适度 (VICO)指数低于 2.0，满足基本无疲劳感评价等级为1级要求。LED 显示屏类视觉健康综合五星等级，视觉健康舒适度等级为 S 级，去除100%紫外线，消除 90%摩尔纹（提供以下2种证明材料之一：①提供第三方检测机构或实验室出具的检测报告复印件并加盖投标人公章；②提供产品制造商官网相应功能截图或产品制造商官网产品技术白皮书该功能证明截图，同时提供官网链接地址。）；</w:t>
            </w:r>
          </w:p>
          <w:p>
            <w:pPr>
              <w:pStyle w:val="null3"/>
              <w:jc w:val="left"/>
            </w:pPr>
            <w:r>
              <w:rPr>
                <w:sz w:val="21"/>
                <w:shd w:fill="FFFFFF" w:val="clear"/>
              </w:rPr>
              <w:t xml:space="preserve">27、HDR高动态范围图像显示：全系统支持 HDR 2.0/3.0标准，支持 HDR10，支持标准 PQGamma 曲线（多种 Gamma校正），支持高动态范围图像显示满足地图类信息高精显示，LED显示屏具有优秀的色彩显示能力，通过实施规则CESI-PC-0D74中 HDR3.0的要求支持显示更多的动态范围，BOTF曲线拟合度在 0.5-1.5 区间；   </w:t>
            </w:r>
          </w:p>
          <w:p>
            <w:pPr>
              <w:pStyle w:val="null3"/>
              <w:jc w:val="left"/>
            </w:pPr>
            <w:r>
              <w:rPr>
                <w:sz w:val="21"/>
                <w:shd w:fill="FFFFFF" w:val="clear"/>
              </w:rPr>
              <w:t xml:space="preserve">28、LED屏幕符合GB/T24021-2024LED显示单元环境（II型）产品认证；                    </w:t>
            </w:r>
            <w:r>
              <w:rPr>
                <w:sz w:val="21"/>
                <w:shd w:fill="FFFFFF" w:val="clear"/>
              </w:rPr>
              <w:t>29、为防止出现串亮、残影现象，LED屏幕应采用具有消隐功能的LED显示屏控制电路技术；</w:t>
            </w:r>
          </w:p>
          <w:p>
            <w:pPr>
              <w:pStyle w:val="null3"/>
              <w:jc w:val="left"/>
            </w:pPr>
            <w:r>
              <w:rPr>
                <w:sz w:val="21"/>
                <w:shd w:fill="FFFFFF" w:val="clear"/>
              </w:rPr>
              <w:t>30、LED屏幕通过冷热冲击，电压暂降，短时中断，盐雾，抗振，抗UV紫外线，电磁辐射class B及防火阻燃等国家标准测试；</w:t>
            </w:r>
          </w:p>
          <w:p>
            <w:pPr>
              <w:pStyle w:val="null3"/>
              <w:jc w:val="left"/>
            </w:pPr>
            <w:r>
              <w:rPr>
                <w:sz w:val="21"/>
                <w:shd w:fill="FFFFFF" w:val="clear"/>
              </w:rPr>
              <w:t>31、LED屏幕应满足复杂电磁环境下的防护要求，电磁脉冲辐射后，闪屏或黑屏时间不超过1s，且能自动恢复工作，并通过电磁脉冲辐射敏感度试验；</w:t>
            </w:r>
          </w:p>
          <w:p>
            <w:pPr>
              <w:pStyle w:val="null3"/>
              <w:jc w:val="left"/>
            </w:pPr>
            <w:r>
              <w:rPr>
                <w:sz w:val="21"/>
                <w:shd w:fill="FFFFFF" w:val="clear"/>
              </w:rPr>
              <w:t>32、LED屏幕应满足电源线传导发射（CE102），电源线传导敏感度（CS101），电缆束注入传导敏感度（CS114），电缆束注入脉冲激励传导敏感度（CS115），电缆和电源线阻尼正弦瞬态传导敏感度（CS116），电场辐射发射（RE102）,电场辐射敏感度（RS103）的防护要求，符合GJB151B－2013标准，7项检测符合标准要求；</w:t>
            </w:r>
          </w:p>
          <w:p>
            <w:pPr>
              <w:pStyle w:val="null3"/>
              <w:jc w:val="left"/>
            </w:pPr>
            <w:r>
              <w:rPr>
                <w:sz w:val="21"/>
                <w:shd w:fill="FFFFFF" w:val="clear"/>
              </w:rPr>
              <w:t>▲33、具备图像智能化增强处理技术系统；具备高光效长寿命驱动参数智能系统；具备蓝光护眼多重过滤保护系统(提供以下2种证明材料之一：①提供第三方检测机构或实验室出具的检测报告复印件并加盖投标人公章；②提供产品制造商官网相应功能截图或产品制造商官网产品技术白皮书该功能证明截图，同时提供官网链接地址。)；</w:t>
            </w:r>
          </w:p>
          <w:p>
            <w:pPr>
              <w:pStyle w:val="null3"/>
              <w:jc w:val="left"/>
            </w:pPr>
            <w:r>
              <w:rPr>
                <w:sz w:val="21"/>
                <w:shd w:fill="FFFFFF" w:val="clear"/>
              </w:rPr>
              <w:t>33、LED屏幕符合HDR3.0的要求；</w:t>
            </w:r>
          </w:p>
          <w:p>
            <w:pPr>
              <w:pStyle w:val="null3"/>
              <w:jc w:val="left"/>
            </w:pPr>
            <w:r>
              <w:rPr>
                <w:sz w:val="21"/>
                <w:shd w:fill="FFFFFF" w:val="clear"/>
              </w:rPr>
              <w:t>34、LED屏幕符合8K超高清显示的要求；</w:t>
            </w:r>
          </w:p>
          <w:p>
            <w:pPr>
              <w:pStyle w:val="null3"/>
              <w:jc w:val="left"/>
            </w:pPr>
            <w:r>
              <w:rPr>
                <w:sz w:val="21"/>
                <w:shd w:fill="FFFFFF" w:val="clear"/>
              </w:rPr>
              <w:t>35、噪声：静音工作：在温度 25℃、湿度 40%RH 、大气压力 100.2Kpa 条件时，LED显示屏工作状态下要求距离产品四周的 1m处最大噪声声压≤3db；</w:t>
            </w:r>
          </w:p>
          <w:p>
            <w:pPr>
              <w:pStyle w:val="null3"/>
              <w:jc w:val="left"/>
            </w:pPr>
            <w:r>
              <w:rPr>
                <w:sz w:val="21"/>
                <w:shd w:fill="FFFFFF" w:val="clear"/>
              </w:rPr>
              <w:t>36、防反光：反光率≤2%；</w:t>
            </w:r>
          </w:p>
          <w:p>
            <w:pPr>
              <w:pStyle w:val="null3"/>
              <w:jc w:val="left"/>
            </w:pPr>
            <w:r>
              <w:rPr>
                <w:sz w:val="21"/>
                <w:shd w:fill="FFFFFF" w:val="clear"/>
              </w:rPr>
              <w:t>37、光生物安全：符合GB/T 20145-2006 /IEC 62471:2006标准的光生物安全及蓝光危害评估检测的无危害类要求（豁免级），具备防蓝光护眼模式。</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开关电源</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60台</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1、5V，40A，200W；</w:t>
            </w:r>
          </w:p>
          <w:p>
            <w:pPr>
              <w:pStyle w:val="null3"/>
              <w:jc w:val="left"/>
            </w:pPr>
            <w:r>
              <w:rPr>
                <w:sz w:val="21"/>
                <w:shd w:fill="FFFFFF" w:val="clear"/>
              </w:rPr>
              <w:t>2、90~264 VAC输入；</w:t>
            </w:r>
          </w:p>
          <w:p>
            <w:pPr>
              <w:pStyle w:val="null3"/>
              <w:jc w:val="left"/>
            </w:pPr>
            <w:r>
              <w:rPr>
                <w:sz w:val="21"/>
                <w:shd w:fill="FFFFFF" w:val="clear"/>
              </w:rPr>
              <w:t>3、保护功能：输出短路/过载保护，宽的工作温度范围（-40℃~65℃）；</w:t>
            </w:r>
          </w:p>
          <w:p>
            <w:pPr>
              <w:pStyle w:val="null3"/>
              <w:jc w:val="left"/>
            </w:pPr>
            <w:r>
              <w:rPr>
                <w:sz w:val="21"/>
                <w:shd w:fill="FFFFFF" w:val="clear"/>
              </w:rPr>
              <w:t>4、100%满载老化测试，高效率，长寿命和高可靠性；</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接收卡</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54张</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1、16组数据输出，支持1-64扫模组，256*256，常规32扫模组128*512；</w:t>
            </w:r>
            <w:r>
              <w:br/>
            </w:r>
            <w:r>
              <w:rPr>
                <w:sz w:val="21"/>
                <w:shd w:fill="FFFFFF" w:val="clear"/>
              </w:rPr>
              <w:t>2、HUB-75接口*8；</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LED视频控制器</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1、支持≥3840*2160@30Hz分辨率输入，带载≥780万像素点，带视频处理器功能，视频源任意切换、任意缩放；</w:t>
            </w:r>
            <w:r>
              <w:br/>
            </w:r>
            <w:r>
              <w:rPr>
                <w:sz w:val="21"/>
                <w:shd w:fill="FFFFFF" w:val="clear"/>
              </w:rPr>
              <w:t>2、支持三画面显示，画面任意漫游；</w:t>
            </w:r>
            <w:r>
              <w:br/>
            </w:r>
            <w:r>
              <w:rPr>
                <w:sz w:val="21"/>
                <w:shd w:fill="FFFFFF" w:val="clear"/>
              </w:rPr>
              <w:t>3、视频接口不少于1×DP1.1，1×HDMI1.3，4×DVI；</w:t>
            </w:r>
            <w:r>
              <w:br/>
            </w:r>
            <w:r>
              <w:rPr>
                <w:sz w:val="21"/>
                <w:shd w:fill="FFFFFF" w:val="clear"/>
              </w:rPr>
              <w:t>4、通过网线同步传输；</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控制软件</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1、专用控制软件，支持全屏亮度统一调节、支持硬件工作状态监测、支持配置文件回读、可选支持单元箱体温度监测、供电电压检测等；</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智能电源管理中心</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一、智慧电源管理中心，搭载云端场景引擎与定时策略，可远程和本机顺序</w:t>
            </w:r>
            <w:r>
              <w:rPr>
                <w:sz w:val="21"/>
                <w:shd w:fill="FFFFFF" w:val="clear"/>
              </w:rPr>
              <w:t>/独立开关、实时监测每路电流/功率/温度，智能告警并自动断电。具备局域网/物联网双网控制，触控屏支持本地操作。为声光电视讯系统、数据中心等重要场所提供主动式电源保障管理中枢。</w:t>
            </w:r>
          </w:p>
          <w:p>
            <w:pPr>
              <w:pStyle w:val="null3"/>
              <w:jc w:val="left"/>
            </w:pPr>
            <w:r>
              <w:rPr>
                <w:sz w:val="21"/>
                <w:shd w:fill="FFFFFF" w:val="clear"/>
              </w:rPr>
              <w:t>二、</w:t>
            </w:r>
            <w:r>
              <w:rPr>
                <w:sz w:val="21"/>
                <w:shd w:fill="FFFFFF" w:val="clear"/>
              </w:rPr>
              <w:t>智慧安全供电架构</w:t>
            </w:r>
          </w:p>
          <w:p>
            <w:pPr>
              <w:pStyle w:val="null3"/>
              <w:jc w:val="left"/>
            </w:pPr>
            <w:r>
              <w:rPr>
                <w:sz w:val="21"/>
                <w:shd w:fill="FFFFFF" w:val="clear"/>
              </w:rPr>
              <w:t>2.1电源输入：三相五线制AC380V(±10%)，50/60Hz与单相AC220V(±10%)，50/60Hz，多种输入方式选择，具备全球主流电力环境自适应。</w:t>
            </w:r>
          </w:p>
          <w:p>
            <w:pPr>
              <w:pStyle w:val="null3"/>
              <w:jc w:val="left"/>
            </w:pPr>
            <w:r>
              <w:rPr>
                <w:sz w:val="21"/>
                <w:shd w:fill="FFFFFF" w:val="clear"/>
              </w:rPr>
              <w:t>2.2电源输出：不少于12路独立可控通道，每路输出额定电压 AC220V ±10%，单通道负载能力达≥4kW，整机最大带载功率48kW，满足中大型演出、数据中心、会议集成等高功率用电管控场景。</w:t>
            </w:r>
          </w:p>
          <w:p>
            <w:pPr>
              <w:pStyle w:val="null3"/>
              <w:jc w:val="left"/>
            </w:pPr>
            <w:r>
              <w:rPr>
                <w:sz w:val="21"/>
                <w:shd w:fill="FFFFFF" w:val="clear"/>
              </w:rPr>
              <w:t>2.3智能短路与过载保护：每路输出独立配备液压电磁式 20A 断路器，具备过载保护与瞬时短路切断能力。</w:t>
            </w:r>
          </w:p>
          <w:p>
            <w:pPr>
              <w:pStyle w:val="null3"/>
              <w:jc w:val="left"/>
            </w:pPr>
            <w:r>
              <w:rPr>
                <w:sz w:val="21"/>
                <w:shd w:fill="FFFFFF" w:val="clear"/>
              </w:rPr>
              <w:t>▲2.4控制模式:具备独立物理紧急按键，支持本地触屏、应急物理按键两种手动控制时序开关模式，两种控制方式完全独立、互不依赖、互不影响。(提供以下2种证明材料之一：①提供第三方检测机构或实验室出具的检测报告复印件并加盖投标人公章；②提供产品制造商官网相应功能截图或产品制造商官网产品技术白皮书该功能证明截图，同时提供官网链接地址。)</w:t>
            </w:r>
          </w:p>
          <w:p>
            <w:pPr>
              <w:pStyle w:val="null3"/>
              <w:jc w:val="left"/>
            </w:pPr>
            <w:r>
              <w:rPr>
                <w:sz w:val="21"/>
                <w:shd w:fill="FFFFFF" w:val="clear"/>
              </w:rPr>
              <w:t>三、物联网平台远程智控</w:t>
            </w:r>
          </w:p>
          <w:p>
            <w:pPr>
              <w:pStyle w:val="null3"/>
              <w:jc w:val="left"/>
            </w:pPr>
            <w:r>
              <w:rPr>
                <w:sz w:val="21"/>
                <w:shd w:fill="FFFFFF" w:val="clear"/>
              </w:rPr>
              <w:t>3.1一键时序调度：平台端可远程对设备≥12路通道进行一键式顺序、逆序、自定义顺序控制及每路独立开关操作，也可远程触发≥12路输出通道的批量开关动作，适用于系统启动、关机等标准化流程。</w:t>
            </w:r>
          </w:p>
          <w:p>
            <w:pPr>
              <w:pStyle w:val="null3"/>
              <w:jc w:val="left"/>
            </w:pPr>
            <w:r>
              <w:rPr>
                <w:sz w:val="21"/>
                <w:shd w:fill="FFFFFF" w:val="clear"/>
              </w:rPr>
              <w:t>▲3.2三相综合监测：平台端实时监测设备三相输入电压、电流、温度以及设备湿度、累计运行时长、总用电量、总功率。（提供功能截图佐证）</w:t>
            </w:r>
          </w:p>
          <w:p>
            <w:pPr>
              <w:pStyle w:val="null3"/>
              <w:jc w:val="left"/>
            </w:pPr>
            <w:r>
              <w:rPr>
                <w:sz w:val="21"/>
                <w:shd w:fill="FFFFFF" w:val="clear"/>
              </w:rPr>
              <w:t>▲3.3通道级精细化感知：平台端实时监测每路输出通道的实时电流、功率、异常状态、运行时长、自定义备注信息（提供功能截图佐证）</w:t>
            </w:r>
          </w:p>
          <w:p>
            <w:pPr>
              <w:pStyle w:val="null3"/>
              <w:jc w:val="left"/>
            </w:pPr>
            <w:r>
              <w:rPr>
                <w:sz w:val="21"/>
                <w:shd w:fill="FFFFFF" w:val="clear"/>
              </w:rPr>
              <w:t>3.4智能告警与主动通知：平台端具备输入过压/欠压、温度超限、每路电流/功率超阈值等事件。可分级设定告警动作（仅通知 / 通知+断电）。</w:t>
            </w:r>
          </w:p>
          <w:p>
            <w:pPr>
              <w:pStyle w:val="null3"/>
              <w:jc w:val="left"/>
            </w:pPr>
            <w:r>
              <w:rPr>
                <w:sz w:val="21"/>
                <w:shd w:fill="FFFFFF" w:val="clear"/>
              </w:rPr>
              <w:t>▲3.5云端告警聚合：所有告警自动上传至物联网平台，通过手机App和电脑Web端实时推送告警设备名称、场所、时间、详情及告警次数，方便管理员快速掌握所有设备维护情况。（提供功能截图佐证）</w:t>
            </w:r>
          </w:p>
          <w:p>
            <w:pPr>
              <w:pStyle w:val="null3"/>
              <w:jc w:val="left"/>
            </w:pPr>
            <w:r>
              <w:rPr>
                <w:sz w:val="21"/>
                <w:shd w:fill="FFFFFF" w:val="clear"/>
              </w:rPr>
              <w:t>3.6场景自动化引擎：电源管理平台端具备手动场景、自动场景、条件场景三类任务设置，可自定义执行日期、周期（周/月/单次），能够实时查看执行的场景名称、创建时间、执行操作和结果，实现无人值守状态下的设备联动控制。</w:t>
            </w:r>
          </w:p>
          <w:p>
            <w:pPr>
              <w:pStyle w:val="null3"/>
              <w:jc w:val="left"/>
            </w:pPr>
            <w:r>
              <w:rPr>
                <w:sz w:val="21"/>
                <w:shd w:fill="FFFFFF" w:val="clear"/>
              </w:rPr>
              <w:t>▲3.7精细化定时策略：平台端可针对任意通道组合，独立设置定时开关任务，具备重复周期（每天/工作日/自定义）与无限循环模式。（提供功能截图佐证）</w:t>
            </w:r>
          </w:p>
          <w:p>
            <w:pPr>
              <w:pStyle w:val="null3"/>
              <w:jc w:val="left"/>
            </w:pPr>
            <w:r>
              <w:rPr>
                <w:sz w:val="21"/>
                <w:shd w:fill="FFFFFF" w:val="clear"/>
              </w:rPr>
              <w:t>3.8全场景日志审计：平台端自动记录场景名称、创建时间、执行结果，为运维审计与故障回溯提供可溯源轨迹。</w:t>
            </w:r>
          </w:p>
          <w:p>
            <w:pPr>
              <w:pStyle w:val="null3"/>
              <w:jc w:val="left"/>
            </w:pPr>
            <w:r>
              <w:rPr>
                <w:sz w:val="21"/>
                <w:shd w:fill="FFFFFF" w:val="clear"/>
              </w:rPr>
              <w:t>3.9系统链路拓补图：电源管理平台端联动其他设备形成系统化链路拓补图，直观展示各设备之间连接情况，快速确认设备之间是否存在故障断联。（提供演示视频进行佐证）</w:t>
            </w:r>
          </w:p>
          <w:p>
            <w:pPr>
              <w:pStyle w:val="null3"/>
              <w:jc w:val="left"/>
            </w:pPr>
            <w:r>
              <w:rPr>
                <w:sz w:val="21"/>
                <w:shd w:fill="FFFFFF" w:val="clear"/>
              </w:rPr>
              <w:t>3.10功率趋势分析：平台端自动生成功率走势图，能够查看各个通道在24小时内的功率使用情况，帮助识别设备老化、负荷异常、峰值规律，为扩容或节能提供数据支撑。（提供演示视频进行佐证）</w:t>
            </w:r>
          </w:p>
          <w:p>
            <w:pPr>
              <w:pStyle w:val="null3"/>
              <w:jc w:val="left"/>
            </w:pPr>
            <w:r>
              <w:rPr>
                <w:sz w:val="21"/>
                <w:shd w:fill="FFFFFF" w:val="clear"/>
              </w:rPr>
              <w:t>四、本机智慧交互</w:t>
            </w:r>
          </w:p>
          <w:p>
            <w:pPr>
              <w:pStyle w:val="null3"/>
              <w:jc w:val="left"/>
            </w:pPr>
            <w:r>
              <w:rPr>
                <w:sz w:val="21"/>
                <w:shd w:fill="FFFFFF" w:val="clear"/>
              </w:rPr>
              <w:t>4.1工业级触控中枢：4.3 英寸 IPS 电容触摸屏，实时呈现设备状态、日期时间、三相电压状态，以及12路输出电压、电流、功率、状态、温度等信息。具备屏幕锁与显示亮度无极调节，适应强光、暗场等多种工程环境。</w:t>
            </w:r>
          </w:p>
          <w:p>
            <w:pPr>
              <w:pStyle w:val="null3"/>
              <w:jc w:val="left"/>
            </w:pPr>
            <w:r>
              <w:rPr>
                <w:sz w:val="21"/>
                <w:shd w:fill="FFFFFF" w:val="clear"/>
              </w:rPr>
              <w:t>4.2本机定时任务：无需联网即可在设备端新增定时任务，自定义任务名称、开关动作、执行周期（单次/循环）、执行通道顺序，保障离线场景下的自动化能力。（提供演示视频进行佐证）</w:t>
            </w:r>
          </w:p>
          <w:p>
            <w:pPr>
              <w:pStyle w:val="null3"/>
              <w:jc w:val="left"/>
            </w:pPr>
            <w:r>
              <w:rPr>
                <w:sz w:val="21"/>
                <w:shd w:fill="FFFFFF" w:val="clear"/>
              </w:rPr>
              <w:t>4.3本机电气安全设置：直接在设备端设置过压/欠压/温度/每路过流阈值，并查看每一路的告警状态，实现本地化闭环管理。（提供演示视频进行佐证）</w:t>
            </w:r>
          </w:p>
          <w:p>
            <w:pPr>
              <w:pStyle w:val="null3"/>
              <w:jc w:val="left"/>
            </w:pPr>
            <w:r>
              <w:rPr>
                <w:sz w:val="21"/>
                <w:shd w:fill="FFFFFF" w:val="clear"/>
              </w:rPr>
              <w:t>4.4远程操作使能开关：设备端可物理开启/关闭远程控制功能，有效防止云端误操作或网络攻击导致的意外断电，保障关键负载的绝对可控性。</w:t>
            </w:r>
          </w:p>
          <w:p>
            <w:pPr>
              <w:pStyle w:val="null3"/>
              <w:jc w:val="left"/>
            </w:pPr>
            <w:r>
              <w:rPr>
                <w:sz w:val="21"/>
                <w:shd w:fill="FFFFFF" w:val="clear"/>
              </w:rPr>
              <w:t>4.5本机优先原则：本地触控操作与平台指令实时同步，当网络中断时，本机定时任务与安全保护策略仍可独立正常运行，确保系统高可用性，避免因网络问题影响设备运行。</w:t>
            </w:r>
          </w:p>
          <w:p>
            <w:pPr>
              <w:pStyle w:val="null3"/>
              <w:jc w:val="left"/>
            </w:pPr>
            <w:r>
              <w:rPr>
                <w:sz w:val="21"/>
                <w:shd w:fill="FFFFFF" w:val="clear"/>
              </w:rPr>
              <w:t>五、工业互联与开放集成</w:t>
            </w:r>
          </w:p>
          <w:p>
            <w:pPr>
              <w:pStyle w:val="null3"/>
              <w:jc w:val="left"/>
            </w:pPr>
            <w:r>
              <w:rPr>
                <w:sz w:val="21"/>
                <w:shd w:fill="FFFFFF" w:val="clear"/>
              </w:rPr>
              <w:t>5.1 DMX512专业照明协议：可进行设备端进行地址码配置，能够接收DMX512信号控制每一路通道开关，无缝融入舞台、演播厅、剧场等专业灯光系统。</w:t>
            </w:r>
          </w:p>
          <w:p>
            <w:pPr>
              <w:pStyle w:val="null3"/>
              <w:jc w:val="left"/>
            </w:pPr>
            <w:r>
              <w:rPr>
                <w:sz w:val="21"/>
                <w:shd w:fill="FFFFFF" w:val="clear"/>
              </w:rPr>
              <w:t>5.2 RS485串口中控集成：具有标准RS485端子，能够接收RS485信号控制每一路通道开关，实现对接现场智能化系统统一调度。</w:t>
            </w:r>
          </w:p>
          <w:p>
            <w:pPr>
              <w:pStyle w:val="null3"/>
              <w:jc w:val="left"/>
            </w:pPr>
            <w:r>
              <w:rPr>
                <w:sz w:val="21"/>
                <w:shd w:fill="FFFFFF" w:val="clear"/>
              </w:rPr>
              <w:t>5.3双模式网络控制：内置RJ45以太网接口，具备局域网本地直管与物联网云平台远程管控双模式并行，并可通过网络进行固件远程升级（OTA），持续获取功能迭代。</w:t>
            </w:r>
          </w:p>
          <w:p>
            <w:pPr>
              <w:pStyle w:val="null3"/>
              <w:jc w:val="left"/>
            </w:pPr>
            <w:r>
              <w:rPr>
                <w:sz w:val="21"/>
                <w:shd w:fill="FFFFFF" w:val="clear"/>
              </w:rPr>
              <w:t>5.4本机云端双备份: 本地触控操作与平台指令实时同步，当网络中断时，本机定时任务与电气设置仍可独立正常运行。</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钢结构及装饰</w:t>
            </w:r>
            <w:r>
              <w:br/>
            </w:r>
            <w:r>
              <w:rPr>
                <w:sz w:val="21"/>
              </w:rPr>
              <w:t>安装、调试及培训</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18.432m</w:t>
            </w:r>
            <w:r>
              <w:rPr>
                <w:sz w:val="21"/>
                <w:vertAlign w:val="superscript"/>
                <w:shd w:fill="FFFFFF" w:val="clear"/>
              </w:rPr>
              <w:t>2</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1）用于固定结构显示屏</w:t>
            </w:r>
            <w:r>
              <w:br/>
            </w:r>
            <w:r>
              <w:rPr>
                <w:sz w:val="21"/>
                <w:shd w:fill="FFFFFF" w:val="clear"/>
              </w:rPr>
              <w:t>2）屏体装饰包边</w:t>
            </w:r>
            <w:r>
              <w:br/>
            </w:r>
            <w:r>
              <w:rPr>
                <w:sz w:val="21"/>
                <w:shd w:fill="FFFFFF" w:val="clear"/>
              </w:rPr>
              <w:t>3）屏体安装、调试及培训</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模组线材</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1.电源线：≥RVV3*2.5电源线；（电源-电源）</w:t>
            </w:r>
            <w:r>
              <w:br/>
            </w:r>
            <w:r>
              <w:rPr>
                <w:sz w:val="21"/>
                <w:shd w:fill="FFFFFF" w:val="clear"/>
              </w:rPr>
              <w:t xml:space="preserve">2.网线：超5类室内网线，≥0.5mm无氧铜，PVC护套，阻燃等级CM，灰色。（LED信号控制器-LED信号控制器） </w:t>
            </w:r>
          </w:p>
          <w:p>
            <w:pPr>
              <w:pStyle w:val="null3"/>
              <w:jc w:val="left"/>
            </w:pPr>
            <w:r>
              <w:rPr>
                <w:sz w:val="21"/>
                <w:shd w:fill="FFFFFF" w:val="clear"/>
              </w:rPr>
              <w:t>3.16P排线</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线材及辅材</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1.电源线：≥RVV3*2.5电源线；</w:t>
            </w:r>
            <w:r>
              <w:br/>
            </w:r>
            <w:r>
              <w:rPr>
                <w:sz w:val="21"/>
                <w:shd w:fill="FFFFFF" w:val="clear"/>
              </w:rPr>
              <w:t>2.网线：超5类室内网线，≥0.5mm无氧铜，PVC护套，阻燃等级CM，灰色。</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备品备件</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1批</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包含不少于</w:t>
            </w:r>
            <w:r>
              <w:rPr>
                <w:sz w:val="21"/>
                <w:shd w:fill="FFFFFF" w:val="clear"/>
              </w:rPr>
              <w:t>8块模组、4台开关电源、4台接收卡、安装吸盘等</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动力电源线</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30m</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1、标称截面：≥YJV4X10+1X6mm²</w:t>
            </w:r>
            <w:r>
              <w:br/>
            </w:r>
            <w:r>
              <w:rPr>
                <w:sz w:val="21"/>
                <w:shd w:fill="FFFFFF" w:val="clear"/>
              </w:rPr>
              <w:t>2、允许载流量：≥60A（环境温度25℃，距离100m以内）</w:t>
            </w:r>
            <w:r>
              <w:br/>
            </w:r>
            <w:r>
              <w:rPr>
                <w:sz w:val="21"/>
                <w:shd w:fill="FFFFFF" w:val="clear"/>
              </w:rPr>
              <w:t>3、允许载荷量：≥31.6Kw（环境温度25℃，距离100m以内）</w:t>
            </w:r>
            <w:r>
              <w:br/>
            </w:r>
            <w:r>
              <w:rPr>
                <w:sz w:val="21"/>
                <w:shd w:fill="FFFFFF" w:val="clear"/>
              </w:rPr>
              <w:t>4、穿管允许载荷量：≥25.28Kw（穿管打八折，高温打九折）</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LED屏控制工作站</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注：供应商在投标时出具关于所提供的工作站是否满足采购文件要求的承诺函的，承诺满足的视为相关产品符合要求。（下列指标应逐项响应，投标时提交承诺，可参照投标文件格式中《承诺函》格式）</w:t>
            </w:r>
          </w:p>
          <w:p>
            <w:pPr>
              <w:pStyle w:val="null3"/>
              <w:jc w:val="left"/>
            </w:pPr>
            <w:r>
              <w:rPr>
                <w:sz w:val="21"/>
                <w:shd w:fill="FFFFFF" w:val="clear"/>
              </w:rPr>
              <w:t>★1. CPU信息：要求内核数量≥10,最大睿频频率≥4.9 GHz,末级缓存容量≥20 MB,线程数≥10,热设计功耗≥65W ,内存的最高速率≥Up to DDR5 6400 MT/s,通道数≥2,位宽64位。</w:t>
            </w:r>
          </w:p>
          <w:p>
            <w:pPr>
              <w:pStyle w:val="null3"/>
              <w:jc w:val="left"/>
            </w:pPr>
            <w:r>
              <w:rPr>
                <w:sz w:val="21"/>
                <w:shd w:fill="FFFFFF" w:val="clear"/>
              </w:rPr>
              <w:t>★2.内存配置容量：≧16GB；</w:t>
            </w:r>
          </w:p>
          <w:p>
            <w:pPr>
              <w:pStyle w:val="null3"/>
              <w:jc w:val="left"/>
            </w:pPr>
            <w:r>
              <w:rPr>
                <w:sz w:val="21"/>
                <w:shd w:fill="FFFFFF" w:val="clear"/>
              </w:rPr>
              <w:t>★3.内存类型：DDR5；</w:t>
            </w:r>
          </w:p>
          <w:p>
            <w:pPr>
              <w:pStyle w:val="null3"/>
              <w:jc w:val="left"/>
            </w:pPr>
            <w:r>
              <w:rPr>
                <w:sz w:val="21"/>
                <w:shd w:fill="FFFFFF" w:val="clear"/>
              </w:rPr>
              <w:t>★4.内存条配置数量（板载内存不涉及）：≧1</w:t>
            </w:r>
          </w:p>
          <w:p>
            <w:pPr>
              <w:pStyle w:val="null3"/>
              <w:jc w:val="left"/>
            </w:pPr>
            <w:r>
              <w:rPr>
                <w:sz w:val="21"/>
                <w:shd w:fill="FFFFFF" w:val="clear"/>
              </w:rPr>
              <w:t>★5.主板集成模块：集成资源扩展模块、计算处理模块、音频扩展模块等,芯片组不低于W880；</w:t>
            </w:r>
          </w:p>
          <w:p>
            <w:pPr>
              <w:pStyle w:val="null3"/>
              <w:jc w:val="left"/>
            </w:pPr>
            <w:r>
              <w:rPr>
                <w:sz w:val="21"/>
                <w:shd w:fill="FFFFFF" w:val="clear"/>
              </w:rPr>
              <w:t>★6.主板支持的CPU和内存情况：支持的CPU与供应商提供的CPU相匹配，1颗；支持DDR5 48GB内存，4个DIMM插槽；</w:t>
            </w:r>
          </w:p>
          <w:p>
            <w:pPr>
              <w:pStyle w:val="null3"/>
              <w:jc w:val="left"/>
            </w:pPr>
            <w:r>
              <w:rPr>
                <w:sz w:val="21"/>
                <w:shd w:fill="FFFFFF" w:val="clear"/>
              </w:rPr>
              <w:t>★7.主板内置PCIe 插槽数量：不少于1个PCIe 5 x16；1个PCIe 4 x4；</w:t>
            </w:r>
          </w:p>
          <w:p>
            <w:pPr>
              <w:pStyle w:val="null3"/>
              <w:jc w:val="left"/>
            </w:pPr>
            <w:r>
              <w:rPr>
                <w:sz w:val="21"/>
                <w:shd w:fill="FFFFFF" w:val="clear"/>
              </w:rPr>
              <w:t>★8.特殊孔位及接口：前置：2个USB Type-C 20Gbps信率端口；4个USB Type-A 10Gbps信率端口；1个耳机/麦克风组合插孔； 后置：2个USB Type-A 10Gbps信率端口；2个DisplayPort 1.4；1个RJ-45；1个音频输入/输出端口；3个USB Type-A 480Mbps信率端口；</w:t>
            </w:r>
          </w:p>
          <w:p>
            <w:pPr>
              <w:pStyle w:val="null3"/>
              <w:jc w:val="left"/>
            </w:pPr>
            <w:r>
              <w:rPr>
                <w:sz w:val="21"/>
                <w:shd w:fill="FFFFFF" w:val="clear"/>
              </w:rPr>
              <w:t>★9.主板其他内置接口：1个M.2 2280 PCIe 5 x4；2个M.2 2280 PCIe 4 x4；1个用于WLAN的M.2 2230；</w:t>
            </w:r>
          </w:p>
          <w:p>
            <w:pPr>
              <w:pStyle w:val="null3"/>
              <w:jc w:val="left"/>
            </w:pPr>
            <w:r>
              <w:rPr>
                <w:sz w:val="21"/>
                <w:shd w:fill="FFFFFF" w:val="clear"/>
              </w:rPr>
              <w:t>★10．单内存插槽最大可支持容量（板载内存不涉及）：≧48GB；</w:t>
            </w:r>
          </w:p>
          <w:p>
            <w:pPr>
              <w:pStyle w:val="null3"/>
              <w:jc w:val="left"/>
            </w:pPr>
            <w:r>
              <w:rPr>
                <w:sz w:val="21"/>
                <w:shd w:fill="FFFFFF" w:val="clear"/>
              </w:rPr>
              <w:t>★11.内存插槽满配时提供的最高内存总容量：≧192GB；</w:t>
            </w:r>
          </w:p>
          <w:p>
            <w:pPr>
              <w:pStyle w:val="null3"/>
              <w:jc w:val="left"/>
            </w:pPr>
            <w:r>
              <w:rPr>
                <w:sz w:val="21"/>
                <w:shd w:fill="FFFFFF" w:val="clear"/>
              </w:rPr>
              <w:t>★12.固态盘数量：≧1个；</w:t>
            </w:r>
          </w:p>
          <w:p>
            <w:pPr>
              <w:pStyle w:val="null3"/>
              <w:jc w:val="left"/>
            </w:pPr>
            <w:r>
              <w:rPr>
                <w:sz w:val="21"/>
                <w:shd w:fill="FFFFFF" w:val="clear"/>
              </w:rPr>
              <w:t>★13.固态存储容量：≧512GB；</w:t>
            </w:r>
          </w:p>
          <w:p>
            <w:pPr>
              <w:pStyle w:val="null3"/>
              <w:jc w:val="left"/>
            </w:pPr>
            <w:r>
              <w:rPr>
                <w:sz w:val="21"/>
                <w:shd w:fill="FFFFFF" w:val="clear"/>
              </w:rPr>
              <w:t>★14.机械硬盘数量：不配置；</w:t>
            </w:r>
          </w:p>
          <w:p>
            <w:pPr>
              <w:pStyle w:val="null3"/>
              <w:jc w:val="left"/>
            </w:pPr>
            <w:r>
              <w:rPr>
                <w:sz w:val="21"/>
                <w:shd w:fill="FFFFFF" w:val="clear"/>
              </w:rPr>
              <w:t>★15.机械硬盘总容量：不适用；</w:t>
            </w:r>
          </w:p>
          <w:p>
            <w:pPr>
              <w:pStyle w:val="null3"/>
              <w:jc w:val="left"/>
            </w:pPr>
            <w:r>
              <w:rPr>
                <w:sz w:val="21"/>
                <w:shd w:fill="FFFFFF" w:val="clear"/>
              </w:rPr>
              <w:t>★16机械硬盘转速：不适用；</w:t>
            </w:r>
          </w:p>
          <w:p>
            <w:pPr>
              <w:pStyle w:val="null3"/>
              <w:jc w:val="left"/>
            </w:pPr>
            <w:r>
              <w:rPr>
                <w:sz w:val="21"/>
                <w:shd w:fill="FFFFFF" w:val="clear"/>
              </w:rPr>
              <w:t>★17.机械硬盘接口协议：不适用；</w:t>
            </w:r>
          </w:p>
          <w:p>
            <w:pPr>
              <w:pStyle w:val="null3"/>
              <w:jc w:val="left"/>
            </w:pPr>
            <w:r>
              <w:rPr>
                <w:sz w:val="21"/>
                <w:shd w:fill="FFFFFF" w:val="clear"/>
              </w:rPr>
              <w:t>★18.机械硬盘形态：不适用；</w:t>
            </w:r>
          </w:p>
          <w:p>
            <w:pPr>
              <w:pStyle w:val="null3"/>
              <w:jc w:val="left"/>
            </w:pPr>
            <w:r>
              <w:rPr>
                <w:sz w:val="21"/>
                <w:shd w:fill="FFFFFF" w:val="clear"/>
              </w:rPr>
              <w:t>★19.固态存储接口协议：PCIe/NVMe/M.2 等类型接口 协议；</w:t>
            </w:r>
          </w:p>
          <w:p>
            <w:pPr>
              <w:pStyle w:val="null3"/>
              <w:jc w:val="left"/>
            </w:pPr>
            <w:r>
              <w:rPr>
                <w:sz w:val="21"/>
                <w:shd w:fill="FFFFFF" w:val="clear"/>
              </w:rPr>
              <w:t>★20.固态存储形态：采用插卡形态，插卡形态符合M.2标准尺寸和接口定义；</w:t>
            </w:r>
          </w:p>
          <w:p>
            <w:pPr>
              <w:pStyle w:val="null3"/>
              <w:jc w:val="left"/>
            </w:pPr>
            <w:r>
              <w:rPr>
                <w:sz w:val="21"/>
                <w:shd w:fill="FFFFFF" w:val="clear"/>
              </w:rPr>
              <w:t>★21存储设备扩展盘位：预留扩展固态硬盘及机械硬盘位；</w:t>
            </w:r>
          </w:p>
          <w:p>
            <w:pPr>
              <w:pStyle w:val="null3"/>
              <w:jc w:val="left"/>
            </w:pPr>
            <w:r>
              <w:rPr>
                <w:sz w:val="21"/>
                <w:shd w:fill="FFFFFF" w:val="clear"/>
              </w:rPr>
              <w:t>★22.存储设备其他参数要求：</w:t>
            </w:r>
          </w:p>
          <w:p>
            <w:pPr>
              <w:pStyle w:val="null3"/>
              <w:jc w:val="left"/>
            </w:pPr>
            <w:r>
              <w:rPr>
                <w:sz w:val="21"/>
                <w:shd w:fill="FFFFFF" w:val="clear"/>
              </w:rPr>
              <w:t>a）固态盘应符合 SJ/T 11654 相关规定；</w:t>
            </w:r>
          </w:p>
          <w:p>
            <w:pPr>
              <w:pStyle w:val="null3"/>
              <w:jc w:val="left"/>
            </w:pPr>
            <w:r>
              <w:rPr>
                <w:sz w:val="21"/>
                <w:shd w:fill="FFFFFF" w:val="clear"/>
              </w:rPr>
              <w:t>b）机械硬盘准备时间应不大于30s； 侧面固定螺丝孔数量可为4孔；工作状态环境温度应满足5℃~55℃；</w:t>
            </w:r>
          </w:p>
          <w:p>
            <w:pPr>
              <w:pStyle w:val="null3"/>
              <w:jc w:val="left"/>
            </w:pPr>
            <w:r>
              <w:rPr>
                <w:sz w:val="21"/>
                <w:shd w:fill="FFFFFF" w:val="clear"/>
              </w:rPr>
              <w:t>c)其它参数应符合 GB/T 12628 的相关规定；</w:t>
            </w:r>
          </w:p>
          <w:p>
            <w:pPr>
              <w:pStyle w:val="null3"/>
              <w:jc w:val="left"/>
            </w:pPr>
            <w:r>
              <w:rPr>
                <w:sz w:val="21"/>
                <w:shd w:fill="FFFFFF" w:val="clear"/>
              </w:rPr>
              <w:t>★23.显卡类型：独立显卡；</w:t>
            </w:r>
          </w:p>
          <w:p>
            <w:pPr>
              <w:pStyle w:val="null3"/>
              <w:jc w:val="left"/>
            </w:pPr>
            <w:r>
              <w:rPr>
                <w:sz w:val="21"/>
                <w:shd w:fill="FFFFFF" w:val="clear"/>
              </w:rPr>
              <w:t>★24.独立显卡显存类型：GDDR6；</w:t>
            </w:r>
          </w:p>
          <w:p>
            <w:pPr>
              <w:pStyle w:val="null3"/>
              <w:jc w:val="left"/>
            </w:pPr>
            <w:r>
              <w:rPr>
                <w:sz w:val="21"/>
                <w:shd w:fill="FFFFFF" w:val="clear"/>
              </w:rPr>
              <w:t>★25.独立显卡显存位宽：显存位宽≧64位；</w:t>
            </w:r>
          </w:p>
          <w:p>
            <w:pPr>
              <w:pStyle w:val="null3"/>
              <w:jc w:val="left"/>
            </w:pPr>
            <w:r>
              <w:rPr>
                <w:sz w:val="21"/>
                <w:shd w:fill="FFFFFF" w:val="clear"/>
              </w:rPr>
              <w:t>★26.独立显卡显存容量：显存容量≧4GB；</w:t>
            </w:r>
          </w:p>
          <w:p>
            <w:pPr>
              <w:pStyle w:val="null3"/>
              <w:jc w:val="left"/>
            </w:pPr>
            <w:r>
              <w:rPr>
                <w:sz w:val="21"/>
                <w:shd w:fill="FFFFFF" w:val="clear"/>
              </w:rPr>
              <w:t>★27.独立显卡接口协议：PCIE 4.0；</w:t>
            </w:r>
          </w:p>
          <w:p>
            <w:pPr>
              <w:pStyle w:val="null3"/>
              <w:jc w:val="left"/>
            </w:pPr>
            <w:r>
              <w:rPr>
                <w:sz w:val="21"/>
                <w:shd w:fill="FFFFFF" w:val="clear"/>
              </w:rPr>
              <w:t>★28.显示屏屏占比：≧80%；</w:t>
            </w:r>
          </w:p>
          <w:p>
            <w:pPr>
              <w:pStyle w:val="null3"/>
              <w:jc w:val="left"/>
            </w:pPr>
            <w:r>
              <w:rPr>
                <w:sz w:val="21"/>
                <w:shd w:fill="FFFFFF" w:val="clear"/>
              </w:rPr>
              <w:t>★29.显示屏分辨率：1920*1080；</w:t>
            </w:r>
          </w:p>
          <w:p>
            <w:pPr>
              <w:pStyle w:val="null3"/>
              <w:jc w:val="left"/>
            </w:pPr>
            <w:r>
              <w:rPr>
                <w:sz w:val="21"/>
                <w:shd w:fill="FFFFFF" w:val="clear"/>
              </w:rPr>
              <w:t>★30.显示屏像素密度：≧93 ppi/0.27 x 0.27mm；</w:t>
            </w:r>
          </w:p>
          <w:p>
            <w:pPr>
              <w:pStyle w:val="null3"/>
              <w:jc w:val="left"/>
            </w:pPr>
            <w:r>
              <w:rPr>
                <w:sz w:val="21"/>
                <w:shd w:fill="FFFFFF" w:val="clear"/>
              </w:rPr>
              <w:t>★31.显示屏可视角度：水平≥178°；</w:t>
            </w:r>
          </w:p>
          <w:p>
            <w:pPr>
              <w:pStyle w:val="null3"/>
              <w:jc w:val="left"/>
            </w:pPr>
            <w:r>
              <w:rPr>
                <w:sz w:val="21"/>
                <w:shd w:fill="FFFFFF" w:val="clear"/>
              </w:rPr>
              <w:t>★32.显示屏尺寸 ：≧23.8英寸；</w:t>
            </w:r>
          </w:p>
          <w:p>
            <w:pPr>
              <w:pStyle w:val="null3"/>
              <w:jc w:val="left"/>
            </w:pPr>
            <w:r>
              <w:rPr>
                <w:sz w:val="21"/>
                <w:shd w:fill="FFFFFF" w:val="clear"/>
              </w:rPr>
              <w:t>★33.显示屏屏幕比例：16:9；</w:t>
            </w:r>
          </w:p>
          <w:p>
            <w:pPr>
              <w:pStyle w:val="null3"/>
              <w:jc w:val="left"/>
            </w:pPr>
            <w:r>
              <w:rPr>
                <w:sz w:val="21"/>
                <w:shd w:fill="FFFFFF" w:val="clear"/>
              </w:rPr>
              <w:t>★34.显示器外观颜色：黑色；</w:t>
            </w:r>
          </w:p>
          <w:p>
            <w:pPr>
              <w:pStyle w:val="null3"/>
              <w:jc w:val="left"/>
            </w:pPr>
            <w:r>
              <w:rPr>
                <w:sz w:val="21"/>
                <w:shd w:fill="FFFFFF" w:val="clear"/>
              </w:rPr>
              <w:t>★35.显示屏防蓝光：支持防蓝光模式；</w:t>
            </w:r>
          </w:p>
          <w:p>
            <w:pPr>
              <w:pStyle w:val="null3"/>
              <w:jc w:val="left"/>
            </w:pPr>
            <w:r>
              <w:rPr>
                <w:sz w:val="21"/>
                <w:shd w:fill="FFFFFF" w:val="clear"/>
              </w:rPr>
              <w:t>★36.显示屏低频闪：不闪屏；</w:t>
            </w:r>
          </w:p>
          <w:p>
            <w:pPr>
              <w:pStyle w:val="null3"/>
              <w:jc w:val="left"/>
            </w:pPr>
            <w:r>
              <w:rPr>
                <w:sz w:val="21"/>
                <w:shd w:fill="FFFFFF" w:val="clear"/>
              </w:rPr>
              <w:t>★37.显示屏防炫目：显示屏镜面反射率≤10%；</w:t>
            </w:r>
          </w:p>
          <w:p>
            <w:pPr>
              <w:pStyle w:val="null3"/>
              <w:jc w:val="left"/>
            </w:pPr>
            <w:r>
              <w:rPr>
                <w:sz w:val="21"/>
                <w:shd w:fill="FFFFFF" w:val="clear"/>
              </w:rPr>
              <w:t>★38.鼠标数量：1个；</w:t>
            </w:r>
          </w:p>
          <w:p>
            <w:pPr>
              <w:pStyle w:val="null3"/>
              <w:jc w:val="left"/>
            </w:pPr>
            <w:r>
              <w:rPr>
                <w:sz w:val="21"/>
                <w:shd w:fill="FFFFFF" w:val="clear"/>
              </w:rPr>
              <w:t>★39.键盘数量：1个；</w:t>
            </w:r>
          </w:p>
          <w:p>
            <w:pPr>
              <w:pStyle w:val="null3"/>
              <w:jc w:val="left"/>
            </w:pPr>
            <w:r>
              <w:rPr>
                <w:sz w:val="21"/>
                <w:shd w:fill="FFFFFF" w:val="clear"/>
              </w:rPr>
              <w:t>★40.键盘按键数目：104 键；</w:t>
            </w:r>
          </w:p>
          <w:p>
            <w:pPr>
              <w:pStyle w:val="null3"/>
              <w:jc w:val="left"/>
            </w:pPr>
            <w:r>
              <w:rPr>
                <w:sz w:val="21"/>
                <w:shd w:fill="FFFFFF" w:val="clear"/>
              </w:rPr>
              <w:t>★41.键盘连接方式：USB有线；</w:t>
            </w:r>
          </w:p>
          <w:p>
            <w:pPr>
              <w:pStyle w:val="null3"/>
              <w:jc w:val="left"/>
            </w:pPr>
            <w:r>
              <w:rPr>
                <w:sz w:val="21"/>
                <w:shd w:fill="FFFFFF" w:val="clear"/>
              </w:rPr>
              <w:t>★42.键盘键程：2.3mm ~ 4.0mm；</w:t>
            </w:r>
          </w:p>
          <w:p>
            <w:pPr>
              <w:pStyle w:val="null3"/>
              <w:jc w:val="left"/>
            </w:pPr>
            <w:r>
              <w:rPr>
                <w:sz w:val="21"/>
                <w:shd w:fill="FFFFFF" w:val="clear"/>
              </w:rPr>
              <w:t>★43.键盘按键压力：按键压力应在 0.54 N±0.14N；</w:t>
            </w:r>
          </w:p>
          <w:p>
            <w:pPr>
              <w:pStyle w:val="null3"/>
              <w:jc w:val="left"/>
            </w:pPr>
            <w:r>
              <w:rPr>
                <w:sz w:val="21"/>
                <w:shd w:fill="FFFFFF" w:val="clear"/>
              </w:rPr>
              <w:t>★44.有线键盘连接线：≥1.5 米；</w:t>
            </w:r>
          </w:p>
          <w:p>
            <w:pPr>
              <w:pStyle w:val="null3"/>
              <w:jc w:val="left"/>
            </w:pPr>
            <w:r>
              <w:rPr>
                <w:sz w:val="21"/>
                <w:shd w:fill="FFFFFF" w:val="clear"/>
              </w:rPr>
              <w:t>★45.键盘颜色：黑色商务色系；</w:t>
            </w:r>
          </w:p>
          <w:p>
            <w:pPr>
              <w:pStyle w:val="null3"/>
              <w:jc w:val="left"/>
            </w:pPr>
            <w:r>
              <w:rPr>
                <w:sz w:val="21"/>
                <w:shd w:fill="FFFFFF" w:val="clear"/>
              </w:rPr>
              <w:t>★46.键盘其他要求：键盘外观结构、连接方式、主要功能、安全、电磁兼容性、可靠性应符合 GB/T14081 的相关规定；</w:t>
            </w:r>
          </w:p>
          <w:p>
            <w:pPr>
              <w:pStyle w:val="null3"/>
              <w:jc w:val="left"/>
            </w:pPr>
            <w:r>
              <w:rPr>
                <w:sz w:val="21"/>
                <w:shd w:fill="FFFFFF" w:val="clear"/>
              </w:rPr>
              <w:t>★47.鼠标连接方式：有线；</w:t>
            </w:r>
          </w:p>
          <w:p>
            <w:pPr>
              <w:pStyle w:val="null3"/>
              <w:jc w:val="left"/>
            </w:pPr>
            <w:r>
              <w:rPr>
                <w:sz w:val="21"/>
                <w:shd w:fill="FFFFFF" w:val="clear"/>
              </w:rPr>
              <w:t>★48.有线鼠标连接线：1.5米；</w:t>
            </w:r>
          </w:p>
          <w:p>
            <w:pPr>
              <w:pStyle w:val="null3"/>
              <w:jc w:val="left"/>
            </w:pPr>
            <w:r>
              <w:rPr>
                <w:sz w:val="21"/>
                <w:shd w:fill="FFFFFF" w:val="clear"/>
              </w:rPr>
              <w:t>★49.鼠标DPI 分辨率：800；</w:t>
            </w:r>
          </w:p>
          <w:p>
            <w:pPr>
              <w:pStyle w:val="null3"/>
              <w:jc w:val="left"/>
            </w:pPr>
            <w:r>
              <w:rPr>
                <w:sz w:val="21"/>
                <w:shd w:fill="FFFFFF" w:val="clear"/>
              </w:rPr>
              <w:t>★50.鼠标颜色：黑色；</w:t>
            </w:r>
          </w:p>
          <w:p>
            <w:pPr>
              <w:pStyle w:val="null3"/>
              <w:jc w:val="left"/>
            </w:pPr>
            <w:r>
              <w:rPr>
                <w:sz w:val="21"/>
                <w:shd w:fill="FFFFFF" w:val="clear"/>
              </w:rPr>
              <w:t>★51.鼠标其他要求：符合 GB/T 26245 的相关规定；</w:t>
            </w:r>
          </w:p>
          <w:p>
            <w:pPr>
              <w:pStyle w:val="null3"/>
              <w:jc w:val="left"/>
            </w:pPr>
            <w:r>
              <w:rPr>
                <w:sz w:val="21"/>
                <w:shd w:fill="FFFFFF" w:val="clear"/>
              </w:rPr>
              <w:t>★52.内置光驱：支持内置光驱，此次不配置；</w:t>
            </w:r>
          </w:p>
          <w:p>
            <w:pPr>
              <w:pStyle w:val="null3"/>
              <w:jc w:val="left"/>
            </w:pPr>
            <w:r>
              <w:rPr>
                <w:sz w:val="21"/>
                <w:shd w:fill="FFFFFF" w:val="clear"/>
              </w:rPr>
              <w:t>★53.有线网卡数量：1；</w:t>
            </w:r>
          </w:p>
          <w:p>
            <w:pPr>
              <w:pStyle w:val="null3"/>
              <w:jc w:val="left"/>
            </w:pPr>
            <w:r>
              <w:rPr>
                <w:sz w:val="21"/>
                <w:shd w:fill="FFFFFF" w:val="clear"/>
              </w:rPr>
              <w:t>★54.USB 接口数量：≧11，机箱前板至少包括：2个USB Type-C 20Gbps信率端口；4个USB Type-A 10Gbps信率端口,后面板提供不少于：2个USB Type-A 10Gbps信率端口；3个USB Type-A 480Mbps信率端口；</w:t>
            </w:r>
          </w:p>
          <w:p>
            <w:pPr>
              <w:pStyle w:val="null3"/>
              <w:jc w:val="left"/>
            </w:pPr>
            <w:r>
              <w:rPr>
                <w:sz w:val="21"/>
                <w:shd w:fill="FFFFFF" w:val="clear"/>
              </w:rPr>
              <w:t>★55.USB母座接口要求：机箱前面板4个专用USB母座 A型接口孔位和1个通用 C 型 USB 母座接口孔位，采用纵向排列；</w:t>
            </w:r>
          </w:p>
          <w:p>
            <w:pPr>
              <w:pStyle w:val="null3"/>
              <w:jc w:val="left"/>
            </w:pPr>
            <w:r>
              <w:rPr>
                <w:sz w:val="21"/>
                <w:shd w:fill="FFFFFF" w:val="clear"/>
              </w:rPr>
              <w:t>★56.视频接口数量：≧2；</w:t>
            </w:r>
          </w:p>
          <w:p>
            <w:pPr>
              <w:pStyle w:val="null3"/>
              <w:jc w:val="left"/>
            </w:pPr>
            <w:r>
              <w:rPr>
                <w:sz w:val="21"/>
                <w:shd w:fill="FFFFFF" w:val="clear"/>
              </w:rPr>
              <w:t>★57.音频接口数量：≥2；</w:t>
            </w:r>
          </w:p>
          <w:p>
            <w:pPr>
              <w:pStyle w:val="null3"/>
              <w:jc w:val="left"/>
            </w:pPr>
            <w:r>
              <w:rPr>
                <w:sz w:val="21"/>
                <w:shd w:fill="FFFFFF" w:val="clear"/>
              </w:rPr>
              <w:t>★58．整机外观：</w:t>
            </w:r>
          </w:p>
          <w:p>
            <w:pPr>
              <w:pStyle w:val="null3"/>
              <w:jc w:val="left"/>
            </w:pPr>
            <w:r>
              <w:rPr>
                <w:sz w:val="21"/>
                <w:shd w:fill="FFFFFF" w:val="clear"/>
              </w:rPr>
              <w:t>a) 产品表面不应有凹痕、划伤、裂缝、变形和污染等。表面涂层均匀，不应起泡、龟裂、脱落和磨损，金属零部件无锈蚀及其它机械损伤；</w:t>
            </w:r>
          </w:p>
          <w:p>
            <w:pPr>
              <w:pStyle w:val="null3"/>
              <w:jc w:val="left"/>
            </w:pPr>
            <w:r>
              <w:rPr>
                <w:sz w:val="21"/>
                <w:shd w:fill="FFFFFF" w:val="clear"/>
              </w:rPr>
              <w:t>b) 产品表面说明功能的文字、符号、标志，应清晰、端正、牢固；</w:t>
            </w:r>
          </w:p>
          <w:p>
            <w:pPr>
              <w:pStyle w:val="null3"/>
              <w:jc w:val="left"/>
            </w:pPr>
            <w:r>
              <w:rPr>
                <w:sz w:val="21"/>
                <w:shd w:fill="FFFFFF" w:val="clear"/>
              </w:rPr>
              <w:t>c) 宜在产品显著位置提供运行状态指示功能，并由生产厂商提供详细参数。</w:t>
            </w:r>
          </w:p>
          <w:p>
            <w:pPr>
              <w:pStyle w:val="null3"/>
              <w:jc w:val="left"/>
            </w:pPr>
            <w:r>
              <w:rPr>
                <w:sz w:val="21"/>
                <w:shd w:fill="FFFFFF" w:val="clear"/>
              </w:rPr>
              <w:t>★59.整机结构：</w:t>
            </w:r>
          </w:p>
          <w:p>
            <w:pPr>
              <w:pStyle w:val="null3"/>
              <w:jc w:val="left"/>
            </w:pPr>
            <w:r>
              <w:rPr>
                <w:sz w:val="21"/>
                <w:shd w:fill="FFFFFF" w:val="clear"/>
              </w:rPr>
              <w:t>a) 机箱应符合 GB/T 4208、GB/T 26246的相关规定；</w:t>
            </w:r>
          </w:p>
          <w:p>
            <w:pPr>
              <w:pStyle w:val="null3"/>
              <w:jc w:val="left"/>
            </w:pPr>
            <w:r>
              <w:rPr>
                <w:sz w:val="21"/>
                <w:shd w:fill="FFFFFF" w:val="clear"/>
              </w:rPr>
              <w:t>b) 产品内部结构应符合通用部件的安装需要；</w:t>
            </w:r>
          </w:p>
          <w:p>
            <w:pPr>
              <w:pStyle w:val="null3"/>
              <w:jc w:val="left"/>
            </w:pPr>
            <w:r>
              <w:rPr>
                <w:sz w:val="21"/>
                <w:shd w:fill="FFFFFF" w:val="clear"/>
              </w:rPr>
              <w:t>c) 所有输入输出接口应符合相关国家或行业标准；</w:t>
            </w:r>
          </w:p>
          <w:p>
            <w:pPr>
              <w:pStyle w:val="null3"/>
              <w:jc w:val="left"/>
            </w:pPr>
            <w:r>
              <w:rPr>
                <w:sz w:val="21"/>
                <w:shd w:fill="FFFFFF" w:val="clear"/>
              </w:rPr>
              <w:t>d) 产品零部件应紧固无松动，可插拔部件应可靠连接，开关、按钮和其它控制部件应灵活可靠，布局应方便使用；</w:t>
            </w:r>
          </w:p>
          <w:p>
            <w:pPr>
              <w:pStyle w:val="null3"/>
              <w:jc w:val="left"/>
            </w:pPr>
            <w:r>
              <w:rPr>
                <w:sz w:val="21"/>
                <w:shd w:fill="FFFFFF" w:val="clear"/>
              </w:rPr>
              <w:t>e) 所有 I/O 连接器及需插接线缆的部位应预留用户操作空间，方便插拔解锁与插拔线缆；</w:t>
            </w:r>
          </w:p>
          <w:p>
            <w:pPr>
              <w:pStyle w:val="null3"/>
              <w:jc w:val="left"/>
            </w:pPr>
            <w:r>
              <w:rPr>
                <w:sz w:val="21"/>
                <w:shd w:fill="FFFFFF" w:val="clear"/>
              </w:rPr>
              <w:t>f) 可插拔板卡插槽部位应预留安装、拆卸或更换板卡空间；</w:t>
            </w:r>
          </w:p>
          <w:p>
            <w:pPr>
              <w:pStyle w:val="null3"/>
              <w:jc w:val="left"/>
            </w:pPr>
            <w:r>
              <w:rPr>
                <w:sz w:val="21"/>
                <w:shd w:fill="FFFFFF" w:val="clear"/>
              </w:rPr>
              <w:t>g) 拆装可能接触到的金属剪口或金属尖角部位应做防划伤处理，以保证安全；</w:t>
            </w:r>
          </w:p>
          <w:p>
            <w:pPr>
              <w:pStyle w:val="null3"/>
              <w:jc w:val="left"/>
            </w:pPr>
            <w:r>
              <w:rPr>
                <w:sz w:val="21"/>
                <w:shd w:fill="FFFFFF" w:val="clear"/>
              </w:rPr>
              <w:t>h) 整机内部走线应规整，固线结构和位置要合理可靠并做防割线处理，需便于理线和插拔操作，走线应不影响系统各主要部件组装和拆卸；</w:t>
            </w:r>
          </w:p>
          <w:p>
            <w:pPr>
              <w:pStyle w:val="null3"/>
              <w:jc w:val="left"/>
            </w:pPr>
            <w:r>
              <w:rPr>
                <w:sz w:val="21"/>
                <w:shd w:fill="FFFFFF" w:val="clear"/>
              </w:rPr>
              <w:t>i) 如需通过孔走线，过线孔应做防割线处理；</w:t>
            </w:r>
          </w:p>
          <w:p>
            <w:pPr>
              <w:pStyle w:val="null3"/>
              <w:jc w:val="left"/>
            </w:pPr>
            <w:r>
              <w:rPr>
                <w:sz w:val="21"/>
                <w:shd w:fill="FFFFFF" w:val="clear"/>
              </w:rPr>
              <w:t>j) 各插头位置和插拔方向应合理，应做到插拔无障碍设计，具备防呆设计，有效避免误操作；</w:t>
            </w:r>
          </w:p>
          <w:p>
            <w:pPr>
              <w:pStyle w:val="null3"/>
              <w:jc w:val="left"/>
            </w:pPr>
            <w:r>
              <w:rPr>
                <w:sz w:val="21"/>
                <w:shd w:fill="FFFFFF" w:val="clear"/>
              </w:rPr>
              <w:t>k) 各主要部件拆装无障碍，使用常规工具拆装，无特殊拆装工具需求；</w:t>
            </w:r>
          </w:p>
          <w:p>
            <w:pPr>
              <w:pStyle w:val="null3"/>
              <w:jc w:val="left"/>
            </w:pPr>
            <w:r>
              <w:rPr>
                <w:sz w:val="21"/>
                <w:shd w:fill="FFFFFF" w:val="clear"/>
              </w:rPr>
              <w:t>l) 各主要部件拆装步骤要少，各自拆装需避免相互干扰；</w:t>
            </w:r>
          </w:p>
          <w:p>
            <w:pPr>
              <w:pStyle w:val="null3"/>
              <w:jc w:val="left"/>
            </w:pPr>
            <w:r>
              <w:rPr>
                <w:sz w:val="21"/>
                <w:shd w:fill="FFFFFF" w:val="clear"/>
              </w:rPr>
              <w:t>m) 对于整机或零部件外表面为高亮面的，应粘贴保护膜，保护膜需粘贴牢固，运输、组装等过程不易脱落，撕下无残留；</w:t>
            </w:r>
          </w:p>
          <w:p>
            <w:pPr>
              <w:pStyle w:val="null3"/>
              <w:jc w:val="left"/>
            </w:pPr>
            <w:r>
              <w:rPr>
                <w:sz w:val="21"/>
                <w:shd w:fill="FFFFFF" w:val="clear"/>
              </w:rPr>
              <w:t>n) 其它要求应符合 GB/T 9813.1 的相关规定</w:t>
            </w:r>
          </w:p>
          <w:p>
            <w:pPr>
              <w:pStyle w:val="null3"/>
              <w:jc w:val="left"/>
            </w:pPr>
            <w:r>
              <w:rPr>
                <w:sz w:val="21"/>
                <w:shd w:fill="FFFFFF" w:val="clear"/>
              </w:rPr>
              <w:t>★60.机箱防护要求：机箱应符合 GB/T 4208 中 IP20 防护要求；</w:t>
            </w:r>
          </w:p>
          <w:p>
            <w:pPr>
              <w:pStyle w:val="null3"/>
              <w:jc w:val="left"/>
            </w:pPr>
            <w:r>
              <w:rPr>
                <w:sz w:val="21"/>
                <w:shd w:fill="FFFFFF" w:val="clear"/>
              </w:rPr>
              <w:t>★61.整机噪音：产品工作在空闲状态下，产品的声功率级应不超过 4.5 Bel；</w:t>
            </w:r>
          </w:p>
          <w:p>
            <w:pPr>
              <w:pStyle w:val="null3"/>
              <w:jc w:val="left"/>
            </w:pPr>
            <w:r>
              <w:rPr>
                <w:sz w:val="21"/>
                <w:shd w:fill="FFFFFF" w:val="clear"/>
              </w:rPr>
              <w:t>★62.整机散热在环境温度25℃及处理器满载情况下，产品表面温度应符合下列要求：</w:t>
            </w:r>
          </w:p>
          <w:p>
            <w:pPr>
              <w:pStyle w:val="null3"/>
              <w:jc w:val="left"/>
            </w:pPr>
            <w:r>
              <w:rPr>
                <w:sz w:val="21"/>
                <w:shd w:fill="FFFFFF" w:val="clear"/>
              </w:rPr>
              <w:t>a) 出风口在机箱后面板情况下，出风口温度不高于 55℃；</w:t>
            </w:r>
          </w:p>
          <w:p>
            <w:pPr>
              <w:pStyle w:val="null3"/>
              <w:jc w:val="left"/>
            </w:pPr>
            <w:r>
              <w:rPr>
                <w:sz w:val="21"/>
                <w:shd w:fill="FFFFFF" w:val="clear"/>
              </w:rPr>
              <w:t>b) 可触及面温度小于 45℃；</w:t>
            </w:r>
          </w:p>
          <w:p>
            <w:pPr>
              <w:pStyle w:val="null3"/>
              <w:jc w:val="left"/>
            </w:pPr>
            <w:r>
              <w:rPr>
                <w:sz w:val="21"/>
                <w:shd w:fill="FFFFFF" w:val="clear"/>
              </w:rPr>
              <w:t>c) 显示器表面温度：显示屏温度不高于 38℃，显示屏上下灯带位置温度（如涉及）不高于 40℃，出风口温度不高于 45℃。</w:t>
            </w:r>
          </w:p>
          <w:p>
            <w:pPr>
              <w:pStyle w:val="null3"/>
              <w:jc w:val="left"/>
            </w:pPr>
            <w:r>
              <w:rPr>
                <w:sz w:val="21"/>
                <w:shd w:fill="FFFFFF" w:val="clear"/>
              </w:rPr>
              <w:t>★63.整机能效限定值：产品能效限定值达到 GB 28380-2012标准中能效等级 2 级及以上；</w:t>
            </w:r>
          </w:p>
          <w:p>
            <w:pPr>
              <w:pStyle w:val="null3"/>
              <w:jc w:val="left"/>
            </w:pPr>
            <w:r>
              <w:rPr>
                <w:sz w:val="21"/>
                <w:shd w:fill="FFFFFF" w:val="clear"/>
              </w:rPr>
              <w:t>★64.机身材质：金属；</w:t>
            </w:r>
          </w:p>
          <w:p>
            <w:pPr>
              <w:pStyle w:val="null3"/>
              <w:jc w:val="left"/>
            </w:pPr>
            <w:r>
              <w:rPr>
                <w:sz w:val="21"/>
                <w:shd w:fill="FFFFFF" w:val="clear"/>
              </w:rPr>
              <w:t>★65.机身颜色：黑色；</w:t>
            </w:r>
          </w:p>
          <w:p>
            <w:pPr>
              <w:pStyle w:val="null3"/>
              <w:jc w:val="left"/>
            </w:pPr>
            <w:r>
              <w:rPr>
                <w:sz w:val="21"/>
                <w:shd w:fill="FFFFFF" w:val="clear"/>
              </w:rPr>
              <w:t>★66.机箱尺寸容量：≤10升；</w:t>
            </w:r>
          </w:p>
          <w:p>
            <w:pPr>
              <w:pStyle w:val="null3"/>
              <w:jc w:val="left"/>
            </w:pPr>
            <w:r>
              <w:rPr>
                <w:sz w:val="21"/>
                <w:shd w:fill="FFFFFF" w:val="clear"/>
              </w:rPr>
              <w:t>★68.CPU 物理核数：≧10；</w:t>
            </w:r>
          </w:p>
          <w:p>
            <w:pPr>
              <w:pStyle w:val="null3"/>
              <w:jc w:val="left"/>
            </w:pPr>
            <w:r>
              <w:rPr>
                <w:sz w:val="21"/>
                <w:shd w:fill="FFFFFF" w:val="clear"/>
              </w:rPr>
              <w:t>★69.CPU 最大睿频频率主频：≧4.9GHz；</w:t>
            </w:r>
          </w:p>
          <w:p>
            <w:pPr>
              <w:pStyle w:val="null3"/>
              <w:jc w:val="left"/>
            </w:pPr>
            <w:r>
              <w:rPr>
                <w:sz w:val="21"/>
                <w:shd w:fill="FFFFFF" w:val="clear"/>
              </w:rPr>
              <w:t>★70.CPU 末级缓存容量：≧20MB；</w:t>
            </w:r>
          </w:p>
          <w:p>
            <w:pPr>
              <w:pStyle w:val="null3"/>
              <w:jc w:val="left"/>
            </w:pPr>
            <w:r>
              <w:rPr>
                <w:sz w:val="21"/>
                <w:shd w:fill="FFFFFF" w:val="clear"/>
              </w:rPr>
              <w:t>★71.CPU 支持的内存最高速率：≧5600MT/s；</w:t>
            </w:r>
          </w:p>
          <w:p>
            <w:pPr>
              <w:pStyle w:val="null3"/>
              <w:jc w:val="left"/>
            </w:pPr>
            <w:r>
              <w:rPr>
                <w:sz w:val="21"/>
                <w:shd w:fill="FFFFFF" w:val="clear"/>
              </w:rPr>
              <w:t>★72.内存读写速率：≧4800 MT/s；</w:t>
            </w:r>
          </w:p>
          <w:p>
            <w:pPr>
              <w:pStyle w:val="null3"/>
              <w:jc w:val="left"/>
            </w:pPr>
            <w:r>
              <w:rPr>
                <w:sz w:val="21"/>
                <w:shd w:fill="FFFFFF" w:val="clear"/>
              </w:rPr>
              <w:t>★73.显示分辨率：不低于7680 x 4320；</w:t>
            </w:r>
          </w:p>
          <w:p>
            <w:pPr>
              <w:pStyle w:val="null3"/>
              <w:jc w:val="left"/>
            </w:pPr>
            <w:r>
              <w:rPr>
                <w:sz w:val="21"/>
                <w:shd w:fill="FFFFFF" w:val="clear"/>
              </w:rPr>
              <w:t>★74.显卡显示芯片核心频率 ≧:1417MHz；</w:t>
            </w:r>
          </w:p>
          <w:p>
            <w:pPr>
              <w:pStyle w:val="null3"/>
              <w:jc w:val="left"/>
            </w:pPr>
            <w:r>
              <w:rPr>
                <w:sz w:val="21"/>
                <w:shd w:fill="FFFFFF" w:val="clear"/>
              </w:rPr>
              <w:t>★75.显存等效频率：≧12G bps；</w:t>
            </w:r>
          </w:p>
          <w:p>
            <w:pPr>
              <w:pStyle w:val="null3"/>
              <w:jc w:val="left"/>
            </w:pPr>
            <w:r>
              <w:rPr>
                <w:sz w:val="21"/>
                <w:shd w:fill="FFFFFF" w:val="clear"/>
              </w:rPr>
              <w:t>★76.显卡可支持多屏同时显示数量 ≧4，分辨率应不低于 3840 x 2160；</w:t>
            </w:r>
          </w:p>
          <w:p>
            <w:pPr>
              <w:pStyle w:val="null3"/>
              <w:jc w:val="left"/>
            </w:pPr>
            <w:r>
              <w:rPr>
                <w:sz w:val="21"/>
                <w:shd w:fill="FFFFFF" w:val="clear"/>
              </w:rPr>
              <w:t>★77.显示屏刷新率：≧100Hz；</w:t>
            </w:r>
          </w:p>
          <w:p>
            <w:pPr>
              <w:pStyle w:val="null3"/>
              <w:jc w:val="left"/>
            </w:pPr>
            <w:r>
              <w:rPr>
                <w:sz w:val="21"/>
                <w:shd w:fill="FFFFFF" w:val="clear"/>
              </w:rPr>
              <w:t>★78.显示屏位深：≧8位；</w:t>
            </w:r>
          </w:p>
          <w:p>
            <w:pPr>
              <w:pStyle w:val="null3"/>
              <w:jc w:val="left"/>
            </w:pPr>
            <w:r>
              <w:rPr>
                <w:sz w:val="21"/>
                <w:shd w:fill="FFFFFF" w:val="clear"/>
              </w:rPr>
              <w:t>★79.显示屏色域：≧72% NTSC；</w:t>
            </w:r>
          </w:p>
          <w:p>
            <w:pPr>
              <w:pStyle w:val="null3"/>
              <w:jc w:val="left"/>
            </w:pPr>
            <w:r>
              <w:rPr>
                <w:sz w:val="21"/>
                <w:shd w:fill="FFFFFF" w:val="clear"/>
              </w:rPr>
              <w:t>★80.显示屏响应时间：≦5ms；</w:t>
            </w:r>
          </w:p>
          <w:p>
            <w:pPr>
              <w:pStyle w:val="null3"/>
              <w:jc w:val="left"/>
            </w:pPr>
            <w:r>
              <w:rPr>
                <w:sz w:val="21"/>
                <w:shd w:fill="FFFFFF" w:val="clear"/>
              </w:rPr>
              <w:t>★81.显示屏亮度：不低于250尼特；</w:t>
            </w:r>
          </w:p>
          <w:p>
            <w:pPr>
              <w:pStyle w:val="null3"/>
              <w:jc w:val="left"/>
            </w:pPr>
            <w:r>
              <w:rPr>
                <w:sz w:val="21"/>
                <w:shd w:fill="FFFFFF" w:val="clear"/>
              </w:rPr>
              <w:t>★82.显示屏亮度一致性：≧70%；</w:t>
            </w:r>
          </w:p>
          <w:p>
            <w:pPr>
              <w:pStyle w:val="null3"/>
              <w:jc w:val="left"/>
            </w:pPr>
            <w:r>
              <w:rPr>
                <w:sz w:val="21"/>
                <w:shd w:fill="FFFFFF" w:val="clear"/>
              </w:rPr>
              <w:t>★83.显示屏对比度 ≧3000:1；</w:t>
            </w:r>
          </w:p>
          <w:p>
            <w:pPr>
              <w:pStyle w:val="null3"/>
              <w:jc w:val="left"/>
            </w:pPr>
            <w:r>
              <w:rPr>
                <w:sz w:val="21"/>
                <w:shd w:fill="FFFFFF" w:val="clear"/>
              </w:rPr>
              <w:t>★84.显示屏其他参数：其它参数应符合 SJ/T 11292 的相关规定；</w:t>
            </w:r>
          </w:p>
          <w:p>
            <w:pPr>
              <w:pStyle w:val="null3"/>
              <w:jc w:val="left"/>
            </w:pPr>
            <w:r>
              <w:rPr>
                <w:sz w:val="21"/>
                <w:shd w:fill="FFFFFF" w:val="clear"/>
              </w:rPr>
              <w:t>★85.有线网卡速率：最高速率不低于 1000Mbps，支持 10Mbps、100Mbps、1000Mbps 速率自适应；</w:t>
            </w:r>
          </w:p>
          <w:p>
            <w:pPr>
              <w:pStyle w:val="null3"/>
              <w:jc w:val="left"/>
            </w:pPr>
            <w:r>
              <w:rPr>
                <w:sz w:val="21"/>
                <w:shd w:fill="FFFFFF" w:val="clear"/>
              </w:rPr>
              <w:t>★86.内存扩展接口(板载内存不涉及)：≧4；</w:t>
            </w:r>
          </w:p>
          <w:p>
            <w:pPr>
              <w:pStyle w:val="null3"/>
              <w:jc w:val="left"/>
            </w:pPr>
            <w:r>
              <w:rPr>
                <w:sz w:val="21"/>
                <w:shd w:fill="FFFFFF" w:val="clear"/>
              </w:rPr>
              <w:t>★87.存储扩展接口 (板载存储不涉及)：支持存储设备扩展接口≥2 个，如 SATA3.0、M.2 等接口类型；</w:t>
            </w:r>
          </w:p>
          <w:p>
            <w:pPr>
              <w:pStyle w:val="null3"/>
              <w:jc w:val="left"/>
            </w:pPr>
            <w:r>
              <w:rPr>
                <w:sz w:val="21"/>
                <w:shd w:fill="FFFFFF" w:val="clear"/>
              </w:rPr>
              <w:t>★88.主板USB 瞬间过流保护：支持瞬间过流保护功能；</w:t>
            </w:r>
          </w:p>
          <w:p>
            <w:pPr>
              <w:pStyle w:val="null3"/>
              <w:jc w:val="left"/>
            </w:pPr>
            <w:r>
              <w:rPr>
                <w:sz w:val="21"/>
                <w:shd w:fill="FFFFFF" w:val="clear"/>
              </w:rPr>
              <w:t>★89.主板防静电保护：支持防静电保护功能；</w:t>
            </w:r>
          </w:p>
          <w:p>
            <w:pPr>
              <w:pStyle w:val="null3"/>
              <w:jc w:val="left"/>
            </w:pPr>
            <w:r>
              <w:rPr>
                <w:sz w:val="21"/>
                <w:shd w:fill="FFFFFF" w:val="clear"/>
              </w:rPr>
              <w:t>★90.I/O 接口功能：提供不少于11个usb接口，2个音频接口，及2个视频输出接口等原生态接口；</w:t>
            </w:r>
          </w:p>
          <w:p>
            <w:pPr>
              <w:pStyle w:val="null3"/>
              <w:jc w:val="left"/>
            </w:pPr>
            <w:r>
              <w:rPr>
                <w:sz w:val="21"/>
                <w:shd w:fill="FFFFFF" w:val="clear"/>
              </w:rPr>
              <w:t>★91.显卡外接显示接口：提供不少于4个mDP输出；</w:t>
            </w:r>
          </w:p>
          <w:p>
            <w:pPr>
              <w:pStyle w:val="null3"/>
              <w:jc w:val="left"/>
            </w:pPr>
            <w:r>
              <w:rPr>
                <w:sz w:val="21"/>
                <w:shd w:fill="FFFFFF" w:val="clear"/>
              </w:rPr>
              <w:t>★92.显示器接口：提供VGA+HDMI接口，并提供和主机显卡外接显示接口项相匹配的线缆或转接配件；</w:t>
            </w:r>
          </w:p>
          <w:p>
            <w:pPr>
              <w:pStyle w:val="null3"/>
              <w:jc w:val="left"/>
            </w:pPr>
            <w:r>
              <w:rPr>
                <w:sz w:val="21"/>
                <w:shd w:fill="FFFFFF" w:val="clear"/>
              </w:rPr>
              <w:t>★93.显示器支架：显示器应提供显示器支架；</w:t>
            </w:r>
          </w:p>
          <w:p>
            <w:pPr>
              <w:pStyle w:val="null3"/>
              <w:jc w:val="left"/>
            </w:pPr>
            <w:r>
              <w:rPr>
                <w:sz w:val="21"/>
                <w:shd w:fill="FFFFFF" w:val="clear"/>
              </w:rPr>
              <w:t>★94.显示器参数调节：</w:t>
            </w:r>
          </w:p>
          <w:p>
            <w:pPr>
              <w:pStyle w:val="null3"/>
              <w:jc w:val="left"/>
            </w:pPr>
            <w:r>
              <w:rPr>
                <w:sz w:val="21"/>
                <w:shd w:fill="FFFFFF" w:val="clear"/>
              </w:rPr>
              <w:t>a) 提供 OSD 选单按钮用于调节色彩、模式等；</w:t>
            </w:r>
          </w:p>
          <w:p>
            <w:pPr>
              <w:pStyle w:val="null3"/>
              <w:jc w:val="left"/>
            </w:pPr>
            <w:r>
              <w:rPr>
                <w:sz w:val="21"/>
                <w:shd w:fill="FFFFFF" w:val="clear"/>
              </w:rPr>
              <w:t>b) 支持色温、亮度、对比度调节；</w:t>
            </w:r>
          </w:p>
          <w:p>
            <w:pPr>
              <w:pStyle w:val="null3"/>
              <w:jc w:val="left"/>
            </w:pPr>
            <w:r>
              <w:rPr>
                <w:sz w:val="21"/>
                <w:shd w:fill="FFFFFF" w:val="clear"/>
              </w:rPr>
              <w:t>★95.存储功能：内部SATA及M.2 PCIE存储；</w:t>
            </w:r>
          </w:p>
          <w:p>
            <w:pPr>
              <w:pStyle w:val="null3"/>
              <w:jc w:val="left"/>
            </w:pPr>
            <w:r>
              <w:rPr>
                <w:sz w:val="21"/>
                <w:shd w:fill="FFFFFF" w:val="clear"/>
              </w:rPr>
              <w:t>★96.网络功能：</w:t>
            </w:r>
          </w:p>
          <w:p>
            <w:pPr>
              <w:pStyle w:val="null3"/>
              <w:jc w:val="left"/>
            </w:pPr>
            <w:r>
              <w:rPr>
                <w:sz w:val="21"/>
                <w:shd w:fill="FFFFFF" w:val="clear"/>
              </w:rPr>
              <w:t>a)支持网络连接、网络开启/关闭功能；</w:t>
            </w:r>
          </w:p>
          <w:p>
            <w:pPr>
              <w:pStyle w:val="null3"/>
              <w:jc w:val="left"/>
            </w:pPr>
            <w:r>
              <w:rPr>
                <w:sz w:val="21"/>
                <w:shd w:fill="FFFFFF" w:val="clear"/>
              </w:rPr>
              <w:t>b)支持访问网络和数据交换功能；</w:t>
            </w:r>
          </w:p>
          <w:p>
            <w:pPr>
              <w:pStyle w:val="null3"/>
              <w:jc w:val="left"/>
            </w:pPr>
            <w:r>
              <w:rPr>
                <w:sz w:val="21"/>
                <w:shd w:fill="FFFFFF" w:val="clear"/>
              </w:rPr>
              <w:t>★97.数据传输：支持持数据传输能力，并提供数据流量和异常日志记录功能；</w:t>
            </w:r>
          </w:p>
          <w:p>
            <w:pPr>
              <w:pStyle w:val="null3"/>
              <w:jc w:val="left"/>
            </w:pPr>
            <w:r>
              <w:rPr>
                <w:sz w:val="21"/>
                <w:shd w:fill="FFFFFF" w:val="clear"/>
              </w:rPr>
              <w:t>★98.有线网卡接口类型：支持RJ45 接口；</w:t>
            </w:r>
          </w:p>
          <w:p>
            <w:pPr>
              <w:pStyle w:val="null3"/>
              <w:jc w:val="left"/>
            </w:pPr>
            <w:r>
              <w:rPr>
                <w:sz w:val="21"/>
                <w:shd w:fill="FFFFFF" w:val="clear"/>
              </w:rPr>
              <w:t>★99.音频接口类型：支持3.5mm孔径3段式或 4 段式接口；</w:t>
            </w:r>
          </w:p>
          <w:p>
            <w:pPr>
              <w:pStyle w:val="null3"/>
              <w:jc w:val="left"/>
            </w:pPr>
            <w:r>
              <w:rPr>
                <w:sz w:val="21"/>
                <w:shd w:fill="FFFFFF" w:val="clear"/>
              </w:rPr>
              <w:t>★100.视频接口类型：至少支持 DP显示接口；</w:t>
            </w:r>
          </w:p>
          <w:p>
            <w:pPr>
              <w:pStyle w:val="null3"/>
              <w:jc w:val="left"/>
            </w:pPr>
            <w:r>
              <w:rPr>
                <w:sz w:val="21"/>
                <w:shd w:fill="FFFFFF" w:val="clear"/>
              </w:rPr>
              <w:t>★101.HDMI、DP、 Type-C 显示接口要求：2个 DP显示接口，支持音频和视频同步输出；</w:t>
            </w:r>
          </w:p>
          <w:p>
            <w:pPr>
              <w:pStyle w:val="null3"/>
              <w:jc w:val="left"/>
            </w:pPr>
            <w:r>
              <w:rPr>
                <w:sz w:val="21"/>
                <w:shd w:fill="FFFFFF" w:val="clear"/>
              </w:rPr>
              <w:t>★102.电源线适配能力：电源适配器电线组件应符合GB/T</w:t>
            </w:r>
          </w:p>
          <w:p>
            <w:pPr>
              <w:pStyle w:val="null3"/>
              <w:jc w:val="left"/>
            </w:pPr>
            <w:r>
              <w:rPr>
                <w:sz w:val="21"/>
                <w:shd w:fill="FFFFFF" w:val="clear"/>
              </w:rPr>
              <w:t>15934 的要求，可拆线的插头和连接器可以不做要求；</w:t>
            </w:r>
          </w:p>
          <w:p>
            <w:pPr>
              <w:pStyle w:val="null3"/>
              <w:jc w:val="left"/>
            </w:pPr>
            <w:r>
              <w:rPr>
                <w:sz w:val="21"/>
                <w:shd w:fill="FFFFFF" w:val="clear"/>
              </w:rPr>
              <w:t>★103.中文信息处理要求：符合 GB 18030 的相关规定；</w:t>
            </w:r>
          </w:p>
          <w:p>
            <w:pPr>
              <w:pStyle w:val="null3"/>
              <w:jc w:val="left"/>
            </w:pPr>
            <w:r>
              <w:rPr>
                <w:sz w:val="21"/>
                <w:shd w:fill="FFFFFF" w:val="clear"/>
              </w:rPr>
              <w:t>★104.操作系统备份及还原功能：支持操作系统备份及还原功能；</w:t>
            </w:r>
          </w:p>
          <w:p>
            <w:pPr>
              <w:pStyle w:val="null3"/>
              <w:jc w:val="left"/>
            </w:pPr>
            <w:r>
              <w:rPr>
                <w:sz w:val="21"/>
                <w:shd w:fill="FFFFFF" w:val="clear"/>
              </w:rPr>
              <w:t>★105.固件备份还原能力：支持备份及还原固件的功能；</w:t>
            </w:r>
          </w:p>
          <w:p>
            <w:pPr>
              <w:pStyle w:val="null3"/>
              <w:jc w:val="left"/>
            </w:pPr>
            <w:r>
              <w:rPr>
                <w:sz w:val="21"/>
                <w:shd w:fill="FFFFFF" w:val="clear"/>
              </w:rPr>
              <w:t>★106．操作系统及驱动升级：支持通过网络、闪存盘等方式对操作系统、驱动进行升级；</w:t>
            </w:r>
          </w:p>
          <w:p>
            <w:pPr>
              <w:pStyle w:val="null3"/>
              <w:jc w:val="left"/>
            </w:pPr>
            <w:r>
              <w:rPr>
                <w:sz w:val="21"/>
                <w:shd w:fill="FFFFFF" w:val="clear"/>
              </w:rPr>
              <w:t>★107.BIOS支持关闭通讯接口：支持BIOS 关闭以太网及 USB 接口功能；</w:t>
            </w:r>
          </w:p>
          <w:p>
            <w:pPr>
              <w:pStyle w:val="null3"/>
              <w:jc w:val="left"/>
            </w:pPr>
            <w:r>
              <w:rPr>
                <w:sz w:val="21"/>
                <w:shd w:fill="FFFFFF" w:val="clear"/>
              </w:rPr>
              <w:t>★108.固件查看信息：支持查看固件版本、内存信息、主板信息、处理器信息和系统时间信息等功能；</w:t>
            </w:r>
          </w:p>
          <w:p>
            <w:pPr>
              <w:pStyle w:val="null3"/>
              <w:jc w:val="left"/>
            </w:pPr>
            <w:r>
              <w:rPr>
                <w:sz w:val="21"/>
                <w:shd w:fill="FFFFFF" w:val="clear"/>
              </w:rPr>
              <w:t>★109.固件设置启动顺序：支持设置启动顺序功能，并按照设置的启动顺序启动；</w:t>
            </w:r>
          </w:p>
          <w:p>
            <w:pPr>
              <w:pStyle w:val="null3"/>
              <w:jc w:val="left"/>
            </w:pPr>
            <w:r>
              <w:rPr>
                <w:sz w:val="21"/>
                <w:shd w:fill="FFFFFF" w:val="clear"/>
              </w:rPr>
              <w:t>★110.固件设置口令：支持设置口令、修改口令、验证口令功能；</w:t>
            </w:r>
          </w:p>
          <w:p>
            <w:pPr>
              <w:pStyle w:val="null3"/>
              <w:jc w:val="left"/>
            </w:pPr>
            <w:r>
              <w:rPr>
                <w:sz w:val="21"/>
                <w:shd w:fill="FFFFFF" w:val="clear"/>
              </w:rPr>
              <w:t>★111.固件设置网络引导：支持网络引导启动和关闭功能；</w:t>
            </w:r>
          </w:p>
          <w:p>
            <w:pPr>
              <w:pStyle w:val="null3"/>
              <w:jc w:val="left"/>
            </w:pPr>
            <w:r>
              <w:rPr>
                <w:sz w:val="21"/>
                <w:shd w:fill="FFFFFF" w:val="clear"/>
              </w:rPr>
              <w:t>★112.固态存储寿命：TBW≧80TB；</w:t>
            </w:r>
          </w:p>
          <w:p>
            <w:pPr>
              <w:pStyle w:val="null3"/>
              <w:jc w:val="left"/>
            </w:pPr>
            <w:r>
              <w:rPr>
                <w:sz w:val="21"/>
                <w:shd w:fill="FFFFFF" w:val="clear"/>
              </w:rPr>
              <w:t>★113.机械硬盘寿命：通电时间≧5万小时；</w:t>
            </w:r>
          </w:p>
          <w:p>
            <w:pPr>
              <w:pStyle w:val="null3"/>
              <w:jc w:val="left"/>
            </w:pPr>
            <w:r>
              <w:rPr>
                <w:sz w:val="21"/>
                <w:shd w:fill="FFFFFF" w:val="clear"/>
              </w:rPr>
              <w:t>★114.显示屏屏幕失效点：符合GB/T 9813.2的标准要求；</w:t>
            </w:r>
          </w:p>
          <w:p>
            <w:pPr>
              <w:pStyle w:val="null3"/>
              <w:jc w:val="left"/>
            </w:pPr>
            <w:r>
              <w:rPr>
                <w:sz w:val="21"/>
                <w:shd w:fill="FFFFFF" w:val="clear"/>
              </w:rPr>
              <w:t>★115.键盘按键寿命：≥1000 万次；</w:t>
            </w:r>
          </w:p>
          <w:p>
            <w:pPr>
              <w:pStyle w:val="null3"/>
              <w:jc w:val="left"/>
            </w:pPr>
            <w:r>
              <w:rPr>
                <w:sz w:val="21"/>
                <w:shd w:fill="FFFFFF" w:val="clear"/>
              </w:rPr>
              <w:t>★116.鼠标按键寿命：≥500 万次；</w:t>
            </w:r>
          </w:p>
          <w:p>
            <w:pPr>
              <w:pStyle w:val="null3"/>
              <w:jc w:val="left"/>
            </w:pPr>
            <w:r>
              <w:rPr>
                <w:sz w:val="21"/>
                <w:shd w:fill="FFFFFF" w:val="clear"/>
              </w:rPr>
              <w:t>★117.键盘鼠标线材寿命：键盘鼠标所用线材经±60°弯折不低于 3000 次，功能、外观完好；</w:t>
            </w:r>
          </w:p>
          <w:p>
            <w:pPr>
              <w:pStyle w:val="null3"/>
              <w:jc w:val="left"/>
            </w:pPr>
            <w:r>
              <w:rPr>
                <w:sz w:val="21"/>
                <w:shd w:fill="FFFFFF" w:val="clear"/>
              </w:rPr>
              <w:t>★118.风扇寿命：≧4万小时；</w:t>
            </w:r>
          </w:p>
          <w:p>
            <w:pPr>
              <w:pStyle w:val="null3"/>
              <w:jc w:val="left"/>
            </w:pPr>
            <w:r>
              <w:rPr>
                <w:sz w:val="21"/>
                <w:shd w:fill="FFFFFF" w:val="clear"/>
              </w:rPr>
              <w:t>★119.整机可靠性要求：</w:t>
            </w:r>
          </w:p>
          <w:p>
            <w:pPr>
              <w:pStyle w:val="null3"/>
              <w:jc w:val="left"/>
            </w:pPr>
            <w:r>
              <w:rPr>
                <w:sz w:val="21"/>
                <w:shd w:fill="FFFFFF" w:val="clear"/>
              </w:rPr>
              <w:t>1）电磁兼容性要求的抗扰度：符合 GB/T 9254.2 的规定；</w:t>
            </w:r>
          </w:p>
          <w:p>
            <w:pPr>
              <w:pStyle w:val="null3"/>
              <w:jc w:val="left"/>
            </w:pPr>
            <w:r>
              <w:rPr>
                <w:sz w:val="21"/>
                <w:shd w:fill="FFFFFF" w:val="clear"/>
              </w:rPr>
              <w:t>2）环境条件要求的气候环境适应性：符合 GB/T 9813.1 中规定；</w:t>
            </w:r>
          </w:p>
          <w:p>
            <w:pPr>
              <w:pStyle w:val="null3"/>
              <w:jc w:val="left"/>
            </w:pPr>
            <w:r>
              <w:rPr>
                <w:sz w:val="21"/>
                <w:shd w:fill="FFFFFF" w:val="clear"/>
              </w:rPr>
              <w:t>3）环境条件要求的振动适应性：符合 GB/T 9813.1 中规定；</w:t>
            </w:r>
          </w:p>
          <w:p>
            <w:pPr>
              <w:pStyle w:val="null3"/>
              <w:jc w:val="left"/>
            </w:pPr>
            <w:r>
              <w:rPr>
                <w:sz w:val="21"/>
                <w:shd w:fill="FFFFFF" w:val="clear"/>
              </w:rPr>
              <w:t>4）环境条件要求的冲击适应性：符合 GB/T 9813.1 中规定；</w:t>
            </w:r>
          </w:p>
          <w:p>
            <w:pPr>
              <w:pStyle w:val="null3"/>
              <w:jc w:val="left"/>
            </w:pPr>
            <w:r>
              <w:rPr>
                <w:sz w:val="21"/>
                <w:shd w:fill="FFFFFF" w:val="clear"/>
              </w:rPr>
              <w:t>5）环境条件要求的碰撞适应性：符合 GB/T 9813.1 中规定；</w:t>
            </w:r>
          </w:p>
          <w:p>
            <w:pPr>
              <w:pStyle w:val="null3"/>
              <w:jc w:val="left"/>
            </w:pPr>
            <w:r>
              <w:rPr>
                <w:sz w:val="21"/>
                <w:shd w:fill="FFFFFF" w:val="clear"/>
              </w:rPr>
              <w:t>6）环境条件要求的运输包装件跌落适应性：符合 GB/T 9813.1 中规定；</w:t>
            </w:r>
          </w:p>
          <w:p>
            <w:pPr>
              <w:pStyle w:val="null3"/>
              <w:jc w:val="left"/>
            </w:pPr>
            <w:r>
              <w:rPr>
                <w:sz w:val="21"/>
                <w:shd w:fill="FFFFFF" w:val="clear"/>
              </w:rPr>
              <w:t>7）MTBF 测试：MTBF(m1)≥3 万小时；</w:t>
            </w:r>
          </w:p>
          <w:p>
            <w:pPr>
              <w:pStyle w:val="null3"/>
              <w:jc w:val="left"/>
            </w:pPr>
            <w:r>
              <w:rPr>
                <w:sz w:val="21"/>
                <w:shd w:fill="FFFFFF" w:val="clear"/>
              </w:rPr>
              <w:t>★120.兼容要求：</w:t>
            </w:r>
          </w:p>
          <w:p>
            <w:pPr>
              <w:pStyle w:val="null3"/>
              <w:jc w:val="left"/>
            </w:pPr>
            <w:r>
              <w:rPr>
                <w:sz w:val="21"/>
                <w:shd w:fill="FFFFFF" w:val="clear"/>
              </w:rPr>
              <w:t>1）常用软件兼容：应支持流式软件、版式软件、浏览器、邮件客户端、解压软件、多媒体、图形图像处理等常用软件；</w:t>
            </w:r>
          </w:p>
          <w:p>
            <w:pPr>
              <w:pStyle w:val="null3"/>
              <w:jc w:val="left"/>
            </w:pPr>
            <w:r>
              <w:rPr>
                <w:sz w:val="21"/>
                <w:shd w:fill="FFFFFF" w:val="clear"/>
              </w:rPr>
              <w:t>2）数据库兼容：兼容 3 个及以上厂商的数据库产品是；</w:t>
            </w:r>
          </w:p>
          <w:p>
            <w:pPr>
              <w:pStyle w:val="null3"/>
              <w:jc w:val="left"/>
            </w:pPr>
            <w:r>
              <w:rPr>
                <w:sz w:val="21"/>
                <w:shd w:fill="FFFFFF" w:val="clear"/>
              </w:rPr>
              <w:t>3）中间件兼容：兼容 3 个及以上厂商中间件产品是；</w:t>
            </w:r>
          </w:p>
          <w:p>
            <w:pPr>
              <w:pStyle w:val="null3"/>
              <w:jc w:val="left"/>
            </w:pPr>
            <w:r>
              <w:rPr>
                <w:sz w:val="21"/>
                <w:shd w:fill="FFFFFF" w:val="clear"/>
              </w:rPr>
              <w:t>4）平台软件兼容：兼容 3 个及以上厂商云计算及大数据平台；</w:t>
            </w:r>
          </w:p>
          <w:p>
            <w:pPr>
              <w:pStyle w:val="null3"/>
              <w:jc w:val="left"/>
            </w:pPr>
            <w:r>
              <w:rPr>
                <w:sz w:val="21"/>
                <w:shd w:fill="FFFFFF" w:val="clear"/>
              </w:rPr>
              <w:t>★121.标志、包装、运输和贮存：符合 GB/T 9813.1 和商品包装政府采购需求标准的相关规定；</w:t>
            </w:r>
          </w:p>
          <w:p>
            <w:pPr>
              <w:pStyle w:val="null3"/>
              <w:jc w:val="left"/>
            </w:pPr>
            <w:r>
              <w:rPr>
                <w:sz w:val="21"/>
                <w:shd w:fill="FFFFFF" w:val="clear"/>
              </w:rPr>
              <w:t>★122.配置检查工具：提供经自检测试工具；</w:t>
            </w:r>
          </w:p>
          <w:p>
            <w:pPr>
              <w:pStyle w:val="null3"/>
              <w:jc w:val="left"/>
            </w:pPr>
            <w:r>
              <w:rPr>
                <w:sz w:val="21"/>
                <w:shd w:fill="FFFFFF" w:val="clear"/>
              </w:rPr>
              <w:t>★123.服务响应：</w:t>
            </w:r>
          </w:p>
          <w:p>
            <w:pPr>
              <w:pStyle w:val="null3"/>
              <w:jc w:val="left"/>
            </w:pPr>
            <w:r>
              <w:rPr>
                <w:sz w:val="21"/>
                <w:shd w:fill="FFFFFF" w:val="clear"/>
              </w:rPr>
              <w:t>a）提供产品 3 年维保及上门服务（满足同城4 小时、异地12 小时响应要求）；</w:t>
            </w:r>
          </w:p>
          <w:p>
            <w:pPr>
              <w:pStyle w:val="null3"/>
              <w:jc w:val="left"/>
            </w:pPr>
            <w:r>
              <w:rPr>
                <w:sz w:val="21"/>
                <w:shd w:fill="FFFFFF" w:val="clear"/>
              </w:rPr>
              <w:t>b）提供政企专线 7*24 在线服务；</w:t>
            </w:r>
          </w:p>
          <w:p>
            <w:pPr>
              <w:pStyle w:val="null3"/>
              <w:jc w:val="left"/>
            </w:pPr>
            <w:r>
              <w:rPr>
                <w:sz w:val="21"/>
                <w:shd w:fill="FFFFFF" w:val="clear"/>
              </w:rPr>
              <w:t>c）中标供应商承诺提供原厂售后服务；</w:t>
            </w:r>
          </w:p>
          <w:p>
            <w:pPr>
              <w:pStyle w:val="null3"/>
              <w:jc w:val="left"/>
            </w:pPr>
            <w:r>
              <w:rPr>
                <w:sz w:val="21"/>
                <w:shd w:fill="FFFFFF" w:val="clear"/>
              </w:rPr>
              <w:t>★124.服务周期：支持产品延保≥5 年 ，提供每年延保服务报价，提供备件服务能力≥6 年（自购买之日起）；</w:t>
            </w:r>
          </w:p>
          <w:p>
            <w:pPr>
              <w:pStyle w:val="null3"/>
              <w:jc w:val="left"/>
            </w:pPr>
            <w:r>
              <w:rPr>
                <w:sz w:val="21"/>
                <w:shd w:fill="FFFFFF" w:val="clear"/>
              </w:rPr>
              <w:t>★125.预装操作系统：预装的操作系统符合《操作系统政府采购需求标准》中加*指标要求；</w:t>
            </w:r>
          </w:p>
          <w:p>
            <w:pPr>
              <w:pStyle w:val="null3"/>
              <w:jc w:val="left"/>
            </w:pPr>
            <w:r>
              <w:rPr>
                <w:sz w:val="21"/>
                <w:shd w:fill="FFFFFF" w:val="clear"/>
              </w:rPr>
              <w:t>★126.培训服务：提供培训材料、产品手册、培训视频等培训相关内容；</w:t>
            </w:r>
          </w:p>
          <w:p>
            <w:pPr>
              <w:pStyle w:val="null3"/>
              <w:jc w:val="left"/>
            </w:pPr>
            <w:r>
              <w:rPr>
                <w:sz w:val="21"/>
                <w:shd w:fill="FFFFFF" w:val="clear"/>
              </w:rPr>
              <w:t>★127.典型问题解决手册：提供典型问题解决说明文档或视频；</w:t>
            </w:r>
          </w:p>
          <w:p>
            <w:pPr>
              <w:pStyle w:val="null3"/>
              <w:jc w:val="left"/>
            </w:pPr>
            <w:r>
              <w:rPr>
                <w:sz w:val="21"/>
                <w:shd w:fill="FFFFFF" w:val="clear"/>
              </w:rPr>
              <w:t>★128.厂家升级软件与扩容服务：提供上门升级部件/软件的增值服务；</w:t>
            </w:r>
          </w:p>
          <w:p>
            <w:pPr>
              <w:pStyle w:val="null3"/>
              <w:jc w:val="left"/>
            </w:pPr>
            <w:r>
              <w:rPr>
                <w:sz w:val="21"/>
                <w:shd w:fill="FFFFFF" w:val="clear"/>
              </w:rPr>
              <w:t>★129.整机质量服务要求：免费服务周期(含换件和维修)应不小于3年；</w:t>
            </w:r>
          </w:p>
          <w:p>
            <w:pPr>
              <w:pStyle w:val="null3"/>
              <w:jc w:val="left"/>
            </w:pPr>
            <w:r>
              <w:rPr>
                <w:sz w:val="21"/>
                <w:shd w:fill="FFFFFF" w:val="clear"/>
              </w:rPr>
              <w:t>★130.合格证书要求：提供产品合格证；</w:t>
            </w:r>
          </w:p>
          <w:p>
            <w:pPr>
              <w:pStyle w:val="null3"/>
              <w:jc w:val="left"/>
            </w:pPr>
            <w:r>
              <w:rPr>
                <w:sz w:val="21"/>
                <w:shd w:fill="FFFFFF" w:val="clear"/>
              </w:rPr>
              <w:t>★131.开箱组装/使用指导要求：提供组装视频；</w:t>
            </w:r>
          </w:p>
          <w:p>
            <w:pPr>
              <w:pStyle w:val="null3"/>
              <w:jc w:val="left"/>
            </w:pPr>
            <w:r>
              <w:rPr>
                <w:sz w:val="21"/>
                <w:shd w:fill="FFFFFF" w:val="clear"/>
              </w:rPr>
              <w:t>★132.驱动下载服务要求：提供驱动光盘或下载方式；</w:t>
            </w:r>
          </w:p>
          <w:p>
            <w:pPr>
              <w:pStyle w:val="null3"/>
              <w:jc w:val="left"/>
            </w:pPr>
            <w:r>
              <w:rPr>
                <w:sz w:val="21"/>
                <w:shd w:fill="FFFFFF" w:val="clear"/>
              </w:rPr>
              <w:t>★133.兼容适配软件下载服务要求：提供兼容适配软件下载渠道（光盘、网站）；</w:t>
            </w:r>
          </w:p>
          <w:p>
            <w:pPr>
              <w:pStyle w:val="null3"/>
              <w:jc w:val="left"/>
            </w:pPr>
            <w:r>
              <w:rPr>
                <w:sz w:val="21"/>
                <w:shd w:fill="FFFFFF" w:val="clear"/>
              </w:rPr>
              <w:t>★134.产品部件保障：</w:t>
            </w:r>
          </w:p>
          <w:p>
            <w:pPr>
              <w:pStyle w:val="null3"/>
              <w:jc w:val="left"/>
            </w:pPr>
            <w:r>
              <w:rPr>
                <w:sz w:val="21"/>
                <w:shd w:fill="FFFFFF" w:val="clear"/>
              </w:rPr>
              <w:t>a）保障产品主要部件提供6年的备件服务能力(自购买之日起)，或提供可兼容原设备的升级换代产品；</w:t>
            </w:r>
          </w:p>
          <w:p>
            <w:pPr>
              <w:pStyle w:val="null3"/>
              <w:jc w:val="left"/>
            </w:pPr>
            <w:r>
              <w:rPr>
                <w:sz w:val="21"/>
                <w:shd w:fill="FFFFFF" w:val="clear"/>
              </w:rPr>
              <w:t>b）供应商交付设备必须为设备产商原厂全新整装出货，整体包装在运抵用户安装地点前不能拆封，保修状态可以通过主机序列号直接在厂家官网或者400/800等免费技术服务热线直接查询，设备配置、部件的保修情况，保修期限必须与投标配置完全一致。</w:t>
            </w:r>
          </w:p>
          <w:p>
            <w:pPr>
              <w:pStyle w:val="null3"/>
              <w:jc w:val="left"/>
            </w:pPr>
            <w:r>
              <w:rPr>
                <w:sz w:val="21"/>
                <w:shd w:fill="FFFFFF" w:val="clear"/>
              </w:rPr>
              <w:t>★135.供应链质量：</w:t>
            </w:r>
          </w:p>
          <w:p>
            <w:pPr>
              <w:pStyle w:val="null3"/>
              <w:jc w:val="left"/>
            </w:pPr>
            <w:r>
              <w:rPr>
                <w:sz w:val="21"/>
                <w:shd w:fill="FFFFFF" w:val="clear"/>
              </w:rPr>
              <w:t>1）抗干扰性：当产品部件出现供应风险时，供应商应通知采购人并提供风险应对方案确保产品的服务保障；</w:t>
            </w:r>
          </w:p>
          <w:p>
            <w:pPr>
              <w:pStyle w:val="null3"/>
              <w:jc w:val="left"/>
            </w:pPr>
            <w:r>
              <w:rPr>
                <w:sz w:val="21"/>
                <w:shd w:fill="FFFFFF" w:val="clear"/>
              </w:rPr>
              <w:t>2）供应能力证明：供应商提供供应链稳定承诺书，确保产品的部件在产品服务周期内稳定供货；</w:t>
            </w:r>
          </w:p>
          <w:p>
            <w:pPr>
              <w:pStyle w:val="null3"/>
              <w:jc w:val="left"/>
            </w:pPr>
            <w:r>
              <w:rPr>
                <w:sz w:val="21"/>
                <w:shd w:fill="FFFFFF" w:val="clear"/>
              </w:rPr>
              <w:t>★136.关键部件安全要求：不适用；</w:t>
            </w:r>
          </w:p>
          <w:p>
            <w:pPr>
              <w:pStyle w:val="null3"/>
              <w:jc w:val="left"/>
            </w:pPr>
            <w:r>
              <w:rPr>
                <w:sz w:val="21"/>
                <w:shd w:fill="FFFFFF" w:val="clear"/>
              </w:rPr>
              <w:t>★137.整机安全性要求：</w:t>
            </w:r>
          </w:p>
          <w:p>
            <w:pPr>
              <w:pStyle w:val="null3"/>
              <w:jc w:val="left"/>
            </w:pPr>
            <w:r>
              <w:rPr>
                <w:sz w:val="21"/>
                <w:shd w:fill="FFFFFF" w:val="clear"/>
              </w:rPr>
              <w:t>1）密码算法实现：不适用</w:t>
            </w:r>
          </w:p>
          <w:p>
            <w:pPr>
              <w:pStyle w:val="null3"/>
              <w:jc w:val="left"/>
            </w:pPr>
            <w:r>
              <w:rPr>
                <w:sz w:val="21"/>
                <w:shd w:fill="FFFFFF" w:val="clear"/>
              </w:rPr>
              <w:t>2）信息安全基本要求：</w:t>
            </w:r>
          </w:p>
          <w:p>
            <w:pPr>
              <w:pStyle w:val="null3"/>
              <w:jc w:val="left"/>
            </w:pPr>
            <w:r>
              <w:rPr>
                <w:sz w:val="21"/>
                <w:shd w:fill="FFFFFF" w:val="clear"/>
              </w:rPr>
              <w:t>a) 应符合 GB/T 39276 的 5.2 的规定；</w:t>
            </w:r>
          </w:p>
          <w:p>
            <w:pPr>
              <w:pStyle w:val="null3"/>
              <w:jc w:val="left"/>
            </w:pPr>
            <w:r>
              <w:rPr>
                <w:sz w:val="21"/>
                <w:shd w:fill="FFFFFF" w:val="clear"/>
              </w:rPr>
              <w:t>b) 生产厂商应建立漏洞跟踪表，保证 产品版本涉及到的漏洞(如驱动程序等)可查看；</w:t>
            </w:r>
          </w:p>
          <w:p>
            <w:pPr>
              <w:pStyle w:val="null3"/>
              <w:jc w:val="left"/>
            </w:pPr>
            <w:r>
              <w:rPr>
                <w:sz w:val="21"/>
                <w:shd w:fill="FFFFFF" w:val="clear"/>
              </w:rPr>
              <w:t>c) 产品不得包含已知的恶意代码或漏洞，不存在未声明的指令、功能、接口。</w:t>
            </w:r>
          </w:p>
          <w:p>
            <w:pPr>
              <w:pStyle w:val="null3"/>
              <w:jc w:val="left"/>
            </w:pPr>
            <w:r>
              <w:rPr>
                <w:sz w:val="21"/>
                <w:shd w:fill="FFFFFF" w:val="clear"/>
              </w:rPr>
              <w:t>3）固件安全启动：支持固件安全启动功能，固件启动过程中只有通过启动校验才能正常启动；</w:t>
            </w:r>
          </w:p>
          <w:p>
            <w:pPr>
              <w:pStyle w:val="null3"/>
              <w:jc w:val="left"/>
            </w:pPr>
            <w:r>
              <w:rPr>
                <w:sz w:val="21"/>
                <w:shd w:fill="FFFFFF" w:val="clear"/>
              </w:rPr>
              <w:t>4）限用物质的限量要求：符合 GB/T 26572 中规定；</w:t>
            </w:r>
          </w:p>
          <w:p>
            <w:pPr>
              <w:pStyle w:val="null3"/>
              <w:jc w:val="left"/>
            </w:pPr>
            <w:r>
              <w:rPr>
                <w:sz w:val="21"/>
                <w:shd w:fill="FFFFFF" w:val="clear"/>
              </w:rPr>
              <w:t>▲138.性能调优：提供中文版性能优化软件：有优化Maya、3Ds Max的选项，超过100个主流CG/DCC/CAD/CAE/GIS应用，提供满足此项功能承诺函；</w:t>
            </w:r>
          </w:p>
          <w:p>
            <w:pPr>
              <w:pStyle w:val="null3"/>
              <w:jc w:val="left"/>
            </w:pPr>
            <w:r>
              <w:rPr>
                <w:sz w:val="21"/>
                <w:shd w:fill="FFFFFF" w:val="clear"/>
              </w:rPr>
              <w:t>139.软件支持</w:t>
            </w:r>
          </w:p>
          <w:p>
            <w:pPr>
              <w:pStyle w:val="null3"/>
              <w:jc w:val="left"/>
            </w:pPr>
            <w:r>
              <w:rPr>
                <w:sz w:val="21"/>
                <w:shd w:fill="FFFFFF" w:val="clear"/>
              </w:rPr>
              <w:t>支持开放应用工具：提供原厂预装的</w:t>
            </w:r>
            <w:r>
              <w:rPr>
                <w:sz w:val="21"/>
                <w:shd w:fill="FFFFFF" w:val="clear"/>
              </w:rPr>
              <w:t>TensorFlow,Keras,Pytorch,Scikit-leam,XGBoost Python2&amp;3.R&amp;RStudio. RAPIDS cuML&amp;cuDF. Docker, Miniconda, CUDA. NVIDIA GFX Driver, GlT, VisualStudio Code,Pycharm等算法开发应用工具。费用包含在报价内。需承诺中标后提供原厂安装说明文档和视频安装教程。</w:t>
            </w:r>
            <w:r>
              <w:br/>
            </w:r>
            <w:r>
              <w:rPr>
                <w:sz w:val="21"/>
                <w:shd w:fill="FFFFFF" w:val="clear"/>
              </w:rPr>
              <w:t>140、优选服务：不少于三年质保</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智能红外无线功放</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1台</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1.集成：D类数字功放，红外线无线接收模块，反馈抑制模块于一体</w:t>
            </w:r>
          </w:p>
          <w:p>
            <w:pPr>
              <w:pStyle w:val="null3"/>
              <w:jc w:val="left"/>
            </w:pPr>
            <w:r>
              <w:rPr>
                <w:sz w:val="21"/>
                <w:shd w:fill="FFFFFF" w:val="clear"/>
              </w:rPr>
              <w:t>2.采用红外光线进行音频传输，可在室外阳光环境下工作，不串频，无干扰。</w:t>
            </w:r>
          </w:p>
          <w:p>
            <w:pPr>
              <w:pStyle w:val="null3"/>
              <w:jc w:val="left"/>
            </w:pPr>
            <w:r>
              <w:rPr>
                <w:sz w:val="21"/>
                <w:shd w:fill="FFFFFF" w:val="clear"/>
              </w:rPr>
              <w:t>▲3.频道组数≥3通道，支持两支红外无线话筒和一支红外翻页笔同时使用。提供以下2种证明材料之一：①提供第三方检测机构或实验室出具的检测报告复印件并加盖投标人公章；②提供产品制造商官网相应功能截图或产品制造商官网产品技术白皮书该功能证明截图，同时提供官网链接地址。</w:t>
            </w:r>
          </w:p>
          <w:p>
            <w:pPr>
              <w:pStyle w:val="null3"/>
              <w:jc w:val="left"/>
            </w:pPr>
            <w:r>
              <w:rPr>
                <w:sz w:val="21"/>
                <w:shd w:fill="FFFFFF" w:val="clear"/>
              </w:rPr>
              <w:t>4.红外传输接口≥RJ45网口×2，可支持4个红外传感器，最长传输距离≥70米</w:t>
            </w:r>
          </w:p>
          <w:p>
            <w:pPr>
              <w:pStyle w:val="null3"/>
              <w:jc w:val="left"/>
            </w:pPr>
            <w:r>
              <w:rPr>
                <w:sz w:val="21"/>
                <w:shd w:fill="FFFFFF" w:val="clear"/>
              </w:rPr>
              <w:t>▲5.线路输入接口≥2组；有线话筒输入接口≥2个（其中1个自带48V幻象供电）；USB数字声卡接口≥1个；USB接口≥2个（可连接多媒体设备以及具备充电功能可以连接充电座使用）；混音输出接口≥2个；话筒独立输出接口≥1个；音箱接线端口≥4组。（提供以下2种证明材料之一：①提供第三方检测机构或实验室出具的检测报告复印件并加盖投标人公章；②提供产品制造商官网相应功能截图或产品制造商官网产品技术白皮书该功能证明截图，同时提供官网链接地址。）</w:t>
            </w:r>
          </w:p>
          <w:p>
            <w:pPr>
              <w:pStyle w:val="null3"/>
              <w:jc w:val="left"/>
            </w:pPr>
            <w:r>
              <w:rPr>
                <w:sz w:val="21"/>
                <w:shd w:fill="FFFFFF" w:val="clear"/>
              </w:rPr>
              <w:t>▲6.前面板配备每个红外通道音量物理旋钮、每个线路输入音量物理旋钮、数字声卡输入音量物理旋钮、有线话筒输入音量物理旋钮、高低音调节物理旋钮，具备参数存储按钮，恢复出厂值按钮。（提供以下2种证明材料之一：①提供第三方检测机构或实验室出具的检测报告复印件并加盖投标人公章；②提供产品制造商官网相应功能截图或产品制造商官网产品技术白皮书该功能证明截图，同时提供官网链接地址。）</w:t>
            </w:r>
          </w:p>
          <w:p>
            <w:pPr>
              <w:pStyle w:val="null3"/>
              <w:jc w:val="left"/>
            </w:pPr>
            <w:r>
              <w:rPr>
                <w:sz w:val="21"/>
                <w:shd w:fill="FFFFFF" w:val="clear"/>
              </w:rPr>
              <w:t>7.支持RS232中控，实现每路音量调节，高低音调节，参数储存/恢复，电源开关，通过第三方中控实现摄像机联动等控制。</w:t>
            </w:r>
          </w:p>
          <w:p>
            <w:pPr>
              <w:pStyle w:val="null3"/>
              <w:jc w:val="left"/>
            </w:pPr>
            <w:r>
              <w:rPr>
                <w:sz w:val="21"/>
                <w:shd w:fill="FFFFFF" w:val="clear"/>
              </w:rPr>
              <w:t>8. 前面板配置中文屏幕，及时反馈设备状态。</w:t>
            </w:r>
          </w:p>
          <w:p>
            <w:pPr>
              <w:pStyle w:val="null3"/>
              <w:jc w:val="left"/>
            </w:pPr>
            <w:r>
              <w:rPr>
                <w:sz w:val="21"/>
                <w:shd w:fill="FFFFFF" w:val="clear"/>
              </w:rPr>
              <w:t>9. 频率响应：50Hz~20KHz ±3dB</w:t>
            </w:r>
          </w:p>
          <w:p>
            <w:pPr>
              <w:pStyle w:val="null3"/>
              <w:jc w:val="left"/>
            </w:pPr>
            <w:r>
              <w:rPr>
                <w:sz w:val="21"/>
                <w:shd w:fill="FFFFFF" w:val="clear"/>
              </w:rPr>
              <w:t>10. 失真：≤0.05%</w:t>
            </w:r>
          </w:p>
          <w:p>
            <w:pPr>
              <w:pStyle w:val="null3"/>
              <w:jc w:val="left"/>
            </w:pPr>
            <w:r>
              <w:rPr>
                <w:sz w:val="21"/>
                <w:shd w:fill="FFFFFF" w:val="clear"/>
              </w:rPr>
              <w:t>11. 信噪比≥78dB(MIC ),  ≥80dB(LINE),  ≥100dB(IR MIC)（A计权）</w:t>
            </w:r>
          </w:p>
          <w:p>
            <w:pPr>
              <w:pStyle w:val="null3"/>
              <w:jc w:val="left"/>
            </w:pPr>
            <w:r>
              <w:rPr>
                <w:sz w:val="21"/>
                <w:shd w:fill="FFFFFF" w:val="clear"/>
              </w:rPr>
              <w:t>12.动态范围：≥100dB</w:t>
            </w:r>
          </w:p>
          <w:p>
            <w:pPr>
              <w:pStyle w:val="null3"/>
              <w:jc w:val="left"/>
            </w:pPr>
            <w:r>
              <w:rPr>
                <w:sz w:val="21"/>
                <w:shd w:fill="FFFFFF" w:val="clear"/>
              </w:rPr>
              <w:t>13. RF载波稳定性:±0.005% (-10℃-40℃)</w:t>
            </w:r>
          </w:p>
          <w:p>
            <w:pPr>
              <w:pStyle w:val="null3"/>
              <w:jc w:val="left"/>
            </w:pPr>
            <w:r>
              <w:rPr>
                <w:sz w:val="21"/>
                <w:shd w:fill="FFFFFF" w:val="clear"/>
              </w:rPr>
              <w:t>14. 额定输出功率:≥（4Ω）2×130W</w:t>
            </w:r>
          </w:p>
          <w:p>
            <w:pPr>
              <w:pStyle w:val="null3"/>
              <w:jc w:val="left"/>
            </w:pPr>
            <w:r>
              <w:rPr>
                <w:sz w:val="21"/>
                <w:shd w:fill="FFFFFF" w:val="clear"/>
              </w:rPr>
              <w:t>15. 输入灵敏度:20mV(MIC )：≥700mV(LINE)</w:t>
            </w:r>
          </w:p>
          <w:p>
            <w:pPr>
              <w:pStyle w:val="null3"/>
              <w:jc w:val="left"/>
            </w:pPr>
            <w:r>
              <w:rPr>
                <w:sz w:val="21"/>
                <w:shd w:fill="FFFFFF" w:val="clear"/>
              </w:rPr>
              <w:t>16. 输入阻抗:22KΩ (MIC )：≤390Ω(LINE)</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红外线传感器</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接收管：超广角多阵列式红外线接收管≥24颗，（提供以下2种证明材料之一：①提供第三方检测机构或实验室出具的检测报告复印件并加盖投标人公章；②提供产品制造商官网相应功能截图或产品制造商官网产品技术白皮书该功能证明截图，同时提供官网链接地址。）</w:t>
            </w:r>
            <w:r>
              <w:br/>
            </w:r>
            <w:r>
              <w:rPr>
                <w:sz w:val="21"/>
                <w:shd w:fill="FFFFFF" w:val="clear"/>
              </w:rPr>
              <w:t>2.信号线：超五类网线</w:t>
            </w:r>
            <w:r>
              <w:br/>
            </w:r>
            <w:r>
              <w:rPr>
                <w:sz w:val="21"/>
                <w:shd w:fill="FFFFFF" w:val="clear"/>
              </w:rPr>
              <w:t>3.同时支持3个或以上红外通道传输（同时支持3支或以上红外线话筒稳定传输）。</w:t>
            </w:r>
            <w:r>
              <w:br/>
            </w:r>
            <w:r>
              <w:rPr>
                <w:sz w:val="21"/>
                <w:shd w:fill="FFFFFF" w:val="clear"/>
              </w:rPr>
              <w:t>4.接口：RJ45网络接口。</w:t>
            </w:r>
            <w:r>
              <w:br/>
            </w:r>
            <w:r>
              <w:rPr>
                <w:sz w:val="21"/>
                <w:shd w:fill="FFFFFF" w:val="clear"/>
              </w:rPr>
              <w:t>5.尺寸规格：≥( Φ)115mm X (H)46mm</w:t>
            </w:r>
            <w:r>
              <w:br/>
            </w:r>
            <w:r>
              <w:rPr>
                <w:sz w:val="21"/>
                <w:shd w:fill="FFFFFF" w:val="clear"/>
              </w:rPr>
              <w:t>6.标配一体化磁吸式支架，安装更快捷。</w:t>
            </w:r>
            <w:r>
              <w:br/>
            </w:r>
            <w:r>
              <w:rPr>
                <w:sz w:val="21"/>
                <w:shd w:fill="FFFFFF" w:val="clear"/>
              </w:rPr>
              <w:t>▲7.接收半径：≥26m(直线无遮挡)，（提供以下2种证明材料之一：①提供第三方检测机构或实验室出具的检测报告复印件并加盖投标人公章；②提供产品制造商官网相应功能截图或产品制造商官网产品技术白皮书该功能证明截图，同时提供官网链接地址。 ）</w:t>
            </w:r>
            <w:r>
              <w:br/>
            </w:r>
            <w:r>
              <w:rPr>
                <w:sz w:val="21"/>
                <w:shd w:fill="FFFFFF" w:val="clear"/>
              </w:rPr>
              <w:t>8.红外线波长：≥850nm</w:t>
            </w:r>
            <w:r>
              <w:br/>
            </w:r>
            <w:r>
              <w:rPr>
                <w:sz w:val="21"/>
                <w:shd w:fill="FFFFFF" w:val="clear"/>
              </w:rPr>
              <w:t>9.覆盖角度：≥360°</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红外线话筒</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2支</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1.无线传输制式：红外线(波长850nm)，高灵敏度红外线发射管≥6颗。</w:t>
            </w:r>
            <w:r>
              <w:br/>
            </w:r>
            <w:r>
              <w:rPr>
                <w:sz w:val="21"/>
                <w:shd w:fill="FFFFFF" w:val="clear"/>
              </w:rPr>
              <w:t>2.拾音传感器：电容式驻极体音头ECM。</w:t>
            </w:r>
            <w:r>
              <w:br/>
            </w:r>
            <w:r>
              <w:rPr>
                <w:sz w:val="21"/>
                <w:shd w:fill="FFFFFF" w:val="clear"/>
              </w:rPr>
              <w:t>3.通道调节：双通道设计，可自由调节通道。</w:t>
            </w:r>
            <w:r>
              <w:br/>
            </w:r>
            <w:r>
              <w:rPr>
                <w:sz w:val="21"/>
                <w:shd w:fill="FFFFFF" w:val="clear"/>
              </w:rPr>
              <w:t>4.电池工作时间≥6小时。</w:t>
            </w:r>
            <w:r>
              <w:br/>
            </w:r>
            <w:r>
              <w:rPr>
                <w:sz w:val="21"/>
                <w:shd w:fill="FFFFFF" w:val="clear"/>
              </w:rPr>
              <w:t>▲5.电池：1节AA （3.7V）可充电可拆卸可自行更换锂电池。（提供以下2种证明材料之一：①提供第三方检测机构或实验室出具的检测报告复印件并加盖投标人公章；②提供产品制造商官网相应功能截图或产品制造商官网产品技术白皮书该功能证明截图，同时提供官网链接地址。 ）</w:t>
            </w:r>
            <w:r>
              <w:br/>
            </w:r>
            <w:r>
              <w:rPr>
                <w:sz w:val="21"/>
                <w:shd w:fill="FFFFFF" w:val="clear"/>
              </w:rPr>
              <w:t>6.充电方式：支持直插式磁吸桌面充电器充电。即话筒尾部安装环形磁吸充电金属片，话筒旋转360°，任意角度都可充电。</w:t>
            </w:r>
            <w:r>
              <w:br/>
            </w:r>
            <w:r>
              <w:rPr>
                <w:sz w:val="21"/>
                <w:shd w:fill="FFFFFF" w:val="clear"/>
              </w:rPr>
              <w:t>7.话筒具备防止电池短路设计，即：无法将电池反装入话筒内，且在任何电池短路的情况下都不会对设备造成损坏。</w:t>
            </w:r>
            <w:r>
              <w:br/>
            </w:r>
            <w:r>
              <w:rPr>
                <w:sz w:val="21"/>
                <w:shd w:fill="FFFFFF" w:val="clear"/>
              </w:rPr>
              <w:t>8.采用手持式圆柱体形状设计，管体管身全部采用铝合金材质，并具备防滚跌落设计。</w:t>
            </w:r>
            <w:r>
              <w:br/>
            </w:r>
            <w:r>
              <w:rPr>
                <w:sz w:val="21"/>
                <w:shd w:fill="FFFFFF" w:val="clear"/>
              </w:rPr>
              <w:t>▲9.话筒静置2秒后自动断开红外发射和声音采集，拿取时自动打开红外发射并正常工作。（提供以下2种证明材料之一：①提供第三方检测机构或实验室出具的检测报告复印件并加盖投标人公章；②提供产品制造商官网相应功能截图或产品制造商官网产品技术白皮书该功能证明截图，同时提供官网链接地址。 ）</w:t>
            </w:r>
            <w:r>
              <w:br/>
            </w:r>
            <w:r>
              <w:rPr>
                <w:sz w:val="21"/>
                <w:shd w:fill="FFFFFF" w:val="clear"/>
              </w:rPr>
              <w:t>10. 兼容性：兼容同品牌红外线全系列接收设备。</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组合式双路充电座</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 标配两个充电位，支持不同形状话筒（颈挂式、手持式）。同时支持桌面放置、嵌入式安装方式，且所有设备可以互换充电位充电。（提供以下2种证明材料之一：①提供第三方检测机构或实验室出具的检测报告复印件并加盖投标人公章；②提供产品制造商官网相应功能截图或产品制造商官网产品技术白皮书该功能证明截图，同时提供官网链接地址。 ）</w:t>
            </w:r>
            <w:r>
              <w:br/>
            </w:r>
            <w:r>
              <w:rPr>
                <w:sz w:val="21"/>
                <w:shd w:fill="FFFFFF" w:val="clear"/>
              </w:rPr>
              <w:t>2.充电保护：对不关话筒的情况下可以自动断开内部电路并进行充电。</w:t>
            </w:r>
            <w:r>
              <w:br/>
            </w:r>
            <w:r>
              <w:rPr>
                <w:sz w:val="21"/>
                <w:shd w:fill="FFFFFF" w:val="clear"/>
              </w:rPr>
              <w:t>3.充电指示：可根据充电指示灯判断充电情况。</w:t>
            </w:r>
            <w:r>
              <w:br/>
            </w:r>
            <w:r>
              <w:rPr>
                <w:sz w:val="21"/>
                <w:shd w:fill="FFFFFF" w:val="clear"/>
              </w:rPr>
              <w:t>4.电池识别保护：能自动识别是否是充电电池，检测到非充电电池会自动断电保护。</w:t>
            </w:r>
            <w:r>
              <w:br/>
            </w:r>
            <w:r>
              <w:rPr>
                <w:sz w:val="21"/>
                <w:shd w:fill="FFFFFF" w:val="clear"/>
              </w:rPr>
              <w:t>▲5.同时具备Type-C接口和4P凤凰插口，且都支持供电和RS-232控制协议，通过中控接口反馈充电状态，发送控制指令。（提供以下2种证明材料之一：①提供第三方检测机构或实验室出具的检测报告复印件并加盖投标人公章；②提供产品制造商官网相应功能截图或产品制造商官网产品技术白皮书该功能证明截图，同时提供官网链接地址。）</w:t>
            </w:r>
            <w:r>
              <w:br/>
            </w:r>
            <w:r>
              <w:rPr>
                <w:sz w:val="21"/>
                <w:shd w:fill="FFFFFF" w:val="clear"/>
              </w:rPr>
              <w:t>6. 充电电压电流：DC5V,500mA。</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音柱</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4只</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 箱体材料： 铝合金一次成型，坚固耐用。</w:t>
            </w:r>
            <w:r>
              <w:br/>
            </w:r>
            <w:r>
              <w:rPr>
                <w:sz w:val="21"/>
                <w:shd w:fill="FFFFFF" w:val="clear"/>
              </w:rPr>
              <w:t>2. 喇叭单元：2个4寸高性能铁氧体驱动单元。</w:t>
            </w:r>
            <w:r>
              <w:br/>
            </w:r>
            <w:r>
              <w:rPr>
                <w:sz w:val="21"/>
                <w:shd w:fill="FFFFFF" w:val="clear"/>
              </w:rPr>
              <w:t>3. 外观工艺：喷砂工艺。</w:t>
            </w:r>
            <w:r>
              <w:br/>
            </w:r>
            <w:r>
              <w:rPr>
                <w:sz w:val="21"/>
                <w:shd w:fill="FFFFFF" w:val="clear"/>
              </w:rPr>
              <w:t>4. 阻抗：≤8Ω；</w:t>
            </w:r>
            <w:r>
              <w:br/>
            </w:r>
            <w:r>
              <w:rPr>
                <w:sz w:val="21"/>
                <w:shd w:fill="FFFFFF" w:val="clear"/>
              </w:rPr>
              <w:t>5. 功率：额定≥80W，峰值≥160W</w:t>
            </w:r>
            <w:r>
              <w:br/>
            </w:r>
            <w:r>
              <w:rPr>
                <w:sz w:val="21"/>
                <w:shd w:fill="FFFFFF" w:val="clear"/>
              </w:rPr>
              <w:t>6. 灵敏度（1W/1m）：≥90dB；</w:t>
            </w:r>
            <w:r>
              <w:br/>
            </w:r>
            <w:r>
              <w:rPr>
                <w:sz w:val="21"/>
                <w:shd w:fill="FFFFFF" w:val="clear"/>
              </w:rPr>
              <w:t>7. 最大声压级（1W/1m）：≥108dB；</w:t>
            </w:r>
            <w:r>
              <w:br/>
            </w:r>
            <w:r>
              <w:rPr>
                <w:sz w:val="21"/>
                <w:shd w:fill="FFFFFF" w:val="clear"/>
              </w:rPr>
              <w:t>8. 频率响应：100Hz~18kHz（±3dB）</w:t>
            </w:r>
            <w:r>
              <w:br/>
            </w:r>
            <w:r>
              <w:rPr>
                <w:sz w:val="21"/>
                <w:shd w:fill="FFFFFF" w:val="clear"/>
              </w:rPr>
              <w:t xml:space="preserve">9. 扩散角度：垂直≥40°，水平≥90°； </w:t>
            </w:r>
            <w:r>
              <w:br/>
            </w:r>
            <w:r>
              <w:rPr>
                <w:sz w:val="21"/>
                <w:shd w:fill="FFFFFF" w:val="clear"/>
              </w:rPr>
              <w:t>10.尺寸mm（高×宽×深）：≥475×147×150</w:t>
            </w:r>
            <w:r>
              <w:br/>
            </w:r>
            <w:r>
              <w:rPr>
                <w:sz w:val="21"/>
                <w:shd w:fill="FFFFFF" w:val="clear"/>
              </w:rPr>
              <w:t>11. 产品净重kg：≥4</w:t>
            </w:r>
            <w:r>
              <w:br/>
            </w:r>
            <w:r>
              <w:rPr>
                <w:sz w:val="21"/>
                <w:shd w:fill="FFFFFF" w:val="clear"/>
              </w:rPr>
              <w:t>12.标配垂直水平可调壁挂支架。</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交换设备</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1台</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1.交换容量：≥36Gbps</w:t>
            </w:r>
          </w:p>
          <w:p>
            <w:pPr>
              <w:pStyle w:val="null3"/>
              <w:jc w:val="left"/>
            </w:pPr>
            <w:r>
              <w:rPr>
                <w:sz w:val="21"/>
                <w:shd w:fill="FFFFFF" w:val="clear"/>
              </w:rPr>
              <w:t>2.包转发率：≥26.78Mpps</w:t>
            </w:r>
          </w:p>
          <w:p>
            <w:pPr>
              <w:pStyle w:val="null3"/>
              <w:jc w:val="left"/>
            </w:pPr>
            <w:r>
              <w:rPr>
                <w:sz w:val="21"/>
                <w:shd w:fill="FFFFFF" w:val="clear"/>
              </w:rPr>
              <w:t>3.下行端口：16个10/100/1000BASE-T以太网端口</w:t>
            </w:r>
          </w:p>
          <w:p>
            <w:pPr>
              <w:pStyle w:val="null3"/>
              <w:jc w:val="left"/>
            </w:pPr>
            <w:r>
              <w:rPr>
                <w:sz w:val="21"/>
                <w:shd w:fill="FFFFFF" w:val="clear"/>
              </w:rPr>
              <w:t>4.上行端口：16个10/100/1000BASE-T以太网端口</w:t>
            </w:r>
          </w:p>
          <w:p>
            <w:pPr>
              <w:pStyle w:val="null3"/>
              <w:jc w:val="left"/>
            </w:pPr>
            <w:r>
              <w:rPr>
                <w:sz w:val="21"/>
                <w:shd w:fill="FFFFFF" w:val="clear"/>
              </w:rPr>
              <w:t>5.MAC地址表：8KMAC</w:t>
            </w:r>
          </w:p>
          <w:p>
            <w:pPr>
              <w:pStyle w:val="null3"/>
              <w:jc w:val="left"/>
            </w:pPr>
            <w:r>
              <w:rPr>
                <w:sz w:val="21"/>
                <w:shd w:fill="FFFFFF" w:val="clear"/>
              </w:rPr>
              <w:t>6.外形尺寸mm：≥320x210x43.6(宽x深x高)</w:t>
            </w:r>
          </w:p>
          <w:p>
            <w:pPr>
              <w:pStyle w:val="null3"/>
              <w:jc w:val="left"/>
            </w:pPr>
            <w:r>
              <w:rPr>
                <w:sz w:val="21"/>
                <w:shd w:fill="FFFFFF" w:val="clear"/>
              </w:rPr>
              <w:t>7.输入电压：100V AC-240V AC;50/60Hz</w:t>
            </w:r>
          </w:p>
          <w:p>
            <w:pPr>
              <w:pStyle w:val="null3"/>
              <w:jc w:val="left"/>
            </w:pPr>
            <w:r>
              <w:rPr>
                <w:sz w:val="21"/>
                <w:shd w:fill="FFFFFF" w:val="clear"/>
              </w:rPr>
              <w:t>8.最大功耗：≥12W</w:t>
            </w:r>
          </w:p>
          <w:p>
            <w:pPr>
              <w:pStyle w:val="null3"/>
              <w:jc w:val="left"/>
            </w:pPr>
            <w:r>
              <w:rPr>
                <w:sz w:val="21"/>
                <w:shd w:fill="FFFFFF" w:val="clear"/>
              </w:rPr>
              <w:t>9.工作温度：0°C~40°C</w:t>
            </w:r>
          </w:p>
          <w:p>
            <w:pPr>
              <w:pStyle w:val="null3"/>
              <w:jc w:val="left"/>
            </w:pPr>
            <w:r>
              <w:rPr>
                <w:sz w:val="21"/>
                <w:shd w:fill="FFFFFF" w:val="clear"/>
              </w:rPr>
              <w:t>10.工作湿度：5%~95%</w:t>
            </w:r>
          </w:p>
          <w:p>
            <w:pPr>
              <w:pStyle w:val="null3"/>
              <w:jc w:val="left"/>
            </w:pPr>
            <w:r>
              <w:rPr>
                <w:sz w:val="21"/>
                <w:shd w:fill="FFFFFF" w:val="clear"/>
              </w:rPr>
              <w:t>11.业务口防雷：+6kV</w:t>
            </w:r>
          </w:p>
          <w:p>
            <w:pPr>
              <w:pStyle w:val="null3"/>
              <w:jc w:val="left"/>
            </w:pPr>
            <w:r>
              <w:rPr>
                <w:sz w:val="21"/>
                <w:shd w:fill="FFFFFF" w:val="clear"/>
              </w:rPr>
              <w:t>12.散热方式：无风扇，自然散热</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机柜</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1个</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规格</w:t>
            </w:r>
            <w:r>
              <w:rPr>
                <w:sz w:val="21"/>
                <w:shd w:fill="FFFFFF" w:val="clear"/>
              </w:rPr>
              <w:t>≥600*600*1400mm/27U，钢化玻璃前门，冷轧钢板后门，快开侧门，机柜含不少于2个风扇，1块层板，1个10A8位PDU电源排插，20套螺丝，4个支脚，4个脚轮。</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视频工作站</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6套</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shd w:fill="FFFFFF" w:val="clear"/>
              </w:rPr>
              <w:t>注：供应商在投标时出具关于所提供的工作站是否满足采购文件要求的承诺函的，承诺满足的视为相关产品符合要求。（下列指标应逐项响应，投标时提交承诺，可参照投标文件格式中《承诺函》格式）</w:t>
            </w:r>
          </w:p>
          <w:p>
            <w:pPr>
              <w:pStyle w:val="null3"/>
              <w:jc w:val="left"/>
            </w:pPr>
            <w:r>
              <w:rPr>
                <w:sz w:val="21"/>
                <w:shd w:fill="FFFFFF" w:val="clear"/>
              </w:rPr>
              <w:t>★1. CPU信息：要求内核数量≥24,基本频率≥2.5 GHz,末级缓存容量≥36MB,线程数≥24,热设计功耗≥65W ,内存的最高速率≥Up to DDR5 5600 MT/s,通道数≥2,位宽64位；</w:t>
            </w:r>
          </w:p>
          <w:p>
            <w:pPr>
              <w:pStyle w:val="null3"/>
              <w:jc w:val="left"/>
            </w:pPr>
            <w:r>
              <w:rPr>
                <w:sz w:val="21"/>
                <w:shd w:fill="FFFFFF" w:val="clear"/>
              </w:rPr>
              <w:t>★2.内存配置容量：≧32GB；</w:t>
            </w:r>
          </w:p>
          <w:p>
            <w:pPr>
              <w:pStyle w:val="null3"/>
              <w:jc w:val="left"/>
            </w:pPr>
            <w:r>
              <w:rPr>
                <w:sz w:val="21"/>
                <w:shd w:fill="FFFFFF" w:val="clear"/>
              </w:rPr>
              <w:t>★3.内存类型：DDR5；</w:t>
            </w:r>
          </w:p>
          <w:p>
            <w:pPr>
              <w:pStyle w:val="null3"/>
              <w:jc w:val="left"/>
            </w:pPr>
            <w:r>
              <w:rPr>
                <w:sz w:val="21"/>
                <w:shd w:fill="FFFFFF" w:val="clear"/>
              </w:rPr>
              <w:t>★4.内存条配置数量（板载内存不涉及）：≧1</w:t>
            </w:r>
          </w:p>
          <w:p>
            <w:pPr>
              <w:pStyle w:val="null3"/>
              <w:jc w:val="left"/>
            </w:pPr>
            <w:r>
              <w:rPr>
                <w:sz w:val="21"/>
                <w:shd w:fill="FFFFFF" w:val="clear"/>
              </w:rPr>
              <w:t>★5.主板集成模块：集成资源扩展模块、计算处理模块、音频扩展模块等,要求PCI Express 通道数的最大值不低于20；</w:t>
            </w:r>
          </w:p>
          <w:p>
            <w:pPr>
              <w:pStyle w:val="null3"/>
              <w:jc w:val="left"/>
            </w:pPr>
            <w:r>
              <w:rPr>
                <w:sz w:val="21"/>
                <w:shd w:fill="FFFFFF" w:val="clear"/>
              </w:rPr>
              <w:t>★6.主板支持的CPU和内存情况：支持的CPU与供应商提供的CPU相匹配，1颗；支持DDR5 32GB内存，4个DIMM插槽；</w:t>
            </w:r>
          </w:p>
          <w:p>
            <w:pPr>
              <w:pStyle w:val="null3"/>
              <w:jc w:val="left"/>
            </w:pPr>
            <w:r>
              <w:rPr>
                <w:sz w:val="21"/>
                <w:shd w:fill="FFFFFF" w:val="clear"/>
              </w:rPr>
              <w:t>★7.主板内置PCIe 插槽数量：不少于2个 PCIe 3 x1; 1个 PCIe 5 x16; 1个 PCIe 4 x16；</w:t>
            </w:r>
          </w:p>
          <w:p>
            <w:pPr>
              <w:pStyle w:val="null3"/>
              <w:jc w:val="left"/>
            </w:pPr>
            <w:r>
              <w:rPr>
                <w:sz w:val="21"/>
                <w:shd w:fill="FFFFFF" w:val="clear"/>
              </w:rPr>
              <w:t>★8.特殊孔位及接口：前置不少于4 个 SuperSpeed USB Type-A 10Gbps 信率端口；1 个通用二合一音频插孔；2 个 USB-C 20Gbps 信率端口；后置不少于：1 个音频输出/输入接口；1 个 RJ-45；2 个 DisplayPort 1.4；2 个 SuperSpeed USB Type-A 5Gbps 信率端口；3 个 USB Type-A 480Mbps 信率端口；</w:t>
            </w:r>
          </w:p>
          <w:p>
            <w:pPr>
              <w:pStyle w:val="null3"/>
              <w:jc w:val="left"/>
            </w:pPr>
            <w:r>
              <w:rPr>
                <w:sz w:val="21"/>
                <w:shd w:fill="FFFFFF" w:val="clear"/>
              </w:rPr>
              <w:t>★9.主板其他内置接口：3 个用于 NVMe 的 M.2 2280 PCIe 4 X4；1 个用于 WLAN 的 M.2 2230 PCIe 3 X1；</w:t>
            </w:r>
          </w:p>
          <w:p>
            <w:pPr>
              <w:pStyle w:val="null3"/>
              <w:jc w:val="left"/>
            </w:pPr>
            <w:r>
              <w:rPr>
                <w:sz w:val="21"/>
                <w:shd w:fill="FFFFFF" w:val="clear"/>
              </w:rPr>
              <w:t>★10．单内存插槽最大可支持容量（板载内存不涉及）：≧32GB；</w:t>
            </w:r>
          </w:p>
          <w:p>
            <w:pPr>
              <w:pStyle w:val="null3"/>
              <w:jc w:val="left"/>
            </w:pPr>
            <w:r>
              <w:rPr>
                <w:sz w:val="21"/>
                <w:shd w:fill="FFFFFF" w:val="clear"/>
              </w:rPr>
              <w:t>★11.内存插槽满配时提供的最高内存总容量：≧128GB；</w:t>
            </w:r>
          </w:p>
          <w:p>
            <w:pPr>
              <w:pStyle w:val="null3"/>
              <w:jc w:val="left"/>
            </w:pPr>
            <w:r>
              <w:rPr>
                <w:sz w:val="21"/>
                <w:shd w:fill="FFFFFF" w:val="clear"/>
              </w:rPr>
              <w:t>★12.固态盘数量：≧1个；</w:t>
            </w:r>
          </w:p>
          <w:p>
            <w:pPr>
              <w:pStyle w:val="null3"/>
              <w:jc w:val="left"/>
            </w:pPr>
            <w:r>
              <w:rPr>
                <w:sz w:val="21"/>
                <w:shd w:fill="FFFFFF" w:val="clear"/>
              </w:rPr>
              <w:t>★13.固态存储容量：≧1TB；</w:t>
            </w:r>
          </w:p>
          <w:p>
            <w:pPr>
              <w:pStyle w:val="null3"/>
              <w:jc w:val="left"/>
            </w:pPr>
            <w:r>
              <w:rPr>
                <w:sz w:val="21"/>
                <w:shd w:fill="FFFFFF" w:val="clear"/>
              </w:rPr>
              <w:t>★14.机械硬盘数量：可支持2个，本次不配置；</w:t>
            </w:r>
          </w:p>
          <w:p>
            <w:pPr>
              <w:pStyle w:val="null3"/>
              <w:jc w:val="left"/>
            </w:pPr>
            <w:r>
              <w:rPr>
                <w:sz w:val="21"/>
                <w:shd w:fill="FFFFFF" w:val="clear"/>
              </w:rPr>
              <w:t>★15.机械硬盘总容量：0TB；</w:t>
            </w:r>
          </w:p>
          <w:p>
            <w:pPr>
              <w:pStyle w:val="null3"/>
              <w:jc w:val="left"/>
            </w:pPr>
            <w:r>
              <w:rPr>
                <w:sz w:val="21"/>
                <w:shd w:fill="FFFFFF" w:val="clear"/>
              </w:rPr>
              <w:t>★16机械硬盘转速：≧7200RPM；</w:t>
            </w:r>
          </w:p>
          <w:p>
            <w:pPr>
              <w:pStyle w:val="null3"/>
              <w:jc w:val="left"/>
            </w:pPr>
            <w:r>
              <w:rPr>
                <w:sz w:val="21"/>
                <w:shd w:fill="FFFFFF" w:val="clear"/>
              </w:rPr>
              <w:t>★17.机械硬盘接口协议：SATA；</w:t>
            </w:r>
          </w:p>
          <w:p>
            <w:pPr>
              <w:pStyle w:val="null3"/>
              <w:jc w:val="left"/>
            </w:pPr>
            <w:r>
              <w:rPr>
                <w:sz w:val="21"/>
                <w:shd w:fill="FFFFFF" w:val="clear"/>
              </w:rPr>
              <w:t>★18.机械硬盘形态：3.5寸；</w:t>
            </w:r>
          </w:p>
          <w:p>
            <w:pPr>
              <w:pStyle w:val="null3"/>
              <w:jc w:val="left"/>
            </w:pPr>
            <w:r>
              <w:rPr>
                <w:sz w:val="21"/>
                <w:shd w:fill="FFFFFF" w:val="clear"/>
              </w:rPr>
              <w:t>★19.固态存储接口协议：PCIe/NVMe/M.2 等类型接口 协议；</w:t>
            </w:r>
          </w:p>
          <w:p>
            <w:pPr>
              <w:pStyle w:val="null3"/>
              <w:jc w:val="left"/>
            </w:pPr>
            <w:r>
              <w:rPr>
                <w:sz w:val="21"/>
                <w:shd w:fill="FFFFFF" w:val="clear"/>
              </w:rPr>
              <w:t>★20.固态存储形态：采用插卡形态，插卡形态符合M.2标准尺寸和接口定义；</w:t>
            </w:r>
          </w:p>
          <w:p>
            <w:pPr>
              <w:pStyle w:val="null3"/>
              <w:jc w:val="left"/>
            </w:pPr>
            <w:r>
              <w:rPr>
                <w:sz w:val="21"/>
                <w:shd w:fill="FFFFFF" w:val="clear"/>
              </w:rPr>
              <w:t>★21存储设备扩展盘位：预留扩展固态硬盘及机械硬盘位；</w:t>
            </w:r>
          </w:p>
          <w:p>
            <w:pPr>
              <w:pStyle w:val="null3"/>
              <w:jc w:val="left"/>
            </w:pPr>
            <w:r>
              <w:rPr>
                <w:sz w:val="21"/>
                <w:shd w:fill="FFFFFF" w:val="clear"/>
              </w:rPr>
              <w:t>★22.存储设备其他参数要求：</w:t>
            </w:r>
          </w:p>
          <w:p>
            <w:pPr>
              <w:pStyle w:val="null3"/>
              <w:jc w:val="left"/>
            </w:pPr>
            <w:r>
              <w:rPr>
                <w:sz w:val="21"/>
                <w:shd w:fill="FFFFFF" w:val="clear"/>
              </w:rPr>
              <w:t>a）固态盘应符合 SJ/T 11654 相关规定；</w:t>
            </w:r>
          </w:p>
          <w:p>
            <w:pPr>
              <w:pStyle w:val="null3"/>
              <w:jc w:val="left"/>
            </w:pPr>
            <w:r>
              <w:rPr>
                <w:sz w:val="21"/>
                <w:shd w:fill="FFFFFF" w:val="clear"/>
              </w:rPr>
              <w:t>b）机械硬盘准备时间应不大于30s； 侧面固定螺丝孔数量可为4孔；工作状态环境温度应满足5℃~55℃；</w:t>
            </w:r>
          </w:p>
          <w:p>
            <w:pPr>
              <w:pStyle w:val="null3"/>
              <w:jc w:val="left"/>
            </w:pPr>
            <w:r>
              <w:rPr>
                <w:sz w:val="21"/>
                <w:shd w:fill="FFFFFF" w:val="clear"/>
              </w:rPr>
              <w:t>c)其它参数应符合 GB/T 12628 的相关规定；</w:t>
            </w:r>
          </w:p>
          <w:p>
            <w:pPr>
              <w:pStyle w:val="null3"/>
              <w:jc w:val="left"/>
            </w:pPr>
            <w:r>
              <w:rPr>
                <w:sz w:val="21"/>
                <w:shd w:fill="FFFFFF" w:val="clear"/>
              </w:rPr>
              <w:t>★23.显卡类型：独立显卡；</w:t>
            </w:r>
          </w:p>
          <w:p>
            <w:pPr>
              <w:pStyle w:val="null3"/>
              <w:jc w:val="left"/>
            </w:pPr>
            <w:r>
              <w:rPr>
                <w:sz w:val="21"/>
                <w:shd w:fill="FFFFFF" w:val="clear"/>
              </w:rPr>
              <w:t>★24.独立显卡显存类型：GDDR6；</w:t>
            </w:r>
          </w:p>
          <w:p>
            <w:pPr>
              <w:pStyle w:val="null3"/>
              <w:jc w:val="left"/>
            </w:pPr>
            <w:r>
              <w:rPr>
                <w:sz w:val="21"/>
                <w:shd w:fill="FFFFFF" w:val="clear"/>
              </w:rPr>
              <w:t>★25.独立显卡显存位宽：显存位宽≧128位；</w:t>
            </w:r>
          </w:p>
          <w:p>
            <w:pPr>
              <w:pStyle w:val="null3"/>
              <w:jc w:val="left"/>
            </w:pPr>
            <w:r>
              <w:rPr>
                <w:sz w:val="21"/>
                <w:shd w:fill="FFFFFF" w:val="clear"/>
              </w:rPr>
              <w:t>★26.独立显卡显存容量：显存容量≧8GB；</w:t>
            </w:r>
          </w:p>
          <w:p>
            <w:pPr>
              <w:pStyle w:val="null3"/>
              <w:jc w:val="left"/>
            </w:pPr>
            <w:r>
              <w:rPr>
                <w:sz w:val="21"/>
                <w:shd w:fill="FFFFFF" w:val="clear"/>
              </w:rPr>
              <w:t>★27.独立显卡接口协议：PCIE 4.0；</w:t>
            </w:r>
          </w:p>
          <w:p>
            <w:pPr>
              <w:pStyle w:val="null3"/>
              <w:jc w:val="left"/>
            </w:pPr>
            <w:r>
              <w:rPr>
                <w:sz w:val="21"/>
                <w:shd w:fill="FFFFFF" w:val="clear"/>
              </w:rPr>
              <w:t>★28.显示屏屏占比：≧80%；</w:t>
            </w:r>
          </w:p>
          <w:p>
            <w:pPr>
              <w:pStyle w:val="null3"/>
              <w:jc w:val="left"/>
            </w:pPr>
            <w:r>
              <w:rPr>
                <w:sz w:val="21"/>
                <w:shd w:fill="FFFFFF" w:val="clear"/>
              </w:rPr>
              <w:t>★29.显示屏分辨率：1920*1080；</w:t>
            </w:r>
          </w:p>
          <w:p>
            <w:pPr>
              <w:pStyle w:val="null3"/>
              <w:jc w:val="left"/>
            </w:pPr>
            <w:r>
              <w:rPr>
                <w:sz w:val="21"/>
                <w:shd w:fill="FFFFFF" w:val="clear"/>
              </w:rPr>
              <w:t>★30.显示屏像素密度：≧93 ppi/0.27 x 0.27mm；</w:t>
            </w:r>
          </w:p>
          <w:p>
            <w:pPr>
              <w:pStyle w:val="null3"/>
              <w:jc w:val="left"/>
            </w:pPr>
            <w:r>
              <w:rPr>
                <w:sz w:val="21"/>
                <w:shd w:fill="FFFFFF" w:val="clear"/>
              </w:rPr>
              <w:t>★31.显示屏可视角度：水平≥178°；</w:t>
            </w:r>
          </w:p>
          <w:p>
            <w:pPr>
              <w:pStyle w:val="null3"/>
              <w:jc w:val="left"/>
            </w:pPr>
            <w:r>
              <w:rPr>
                <w:sz w:val="21"/>
                <w:shd w:fill="FFFFFF" w:val="clear"/>
              </w:rPr>
              <w:t>★32.显示屏尺寸 ：≧23.8英寸；</w:t>
            </w:r>
          </w:p>
          <w:p>
            <w:pPr>
              <w:pStyle w:val="null3"/>
              <w:jc w:val="left"/>
            </w:pPr>
            <w:r>
              <w:rPr>
                <w:sz w:val="21"/>
                <w:shd w:fill="FFFFFF" w:val="clear"/>
              </w:rPr>
              <w:t>★33.显示屏屏幕比例：16:9；</w:t>
            </w:r>
          </w:p>
          <w:p>
            <w:pPr>
              <w:pStyle w:val="null3"/>
              <w:jc w:val="left"/>
            </w:pPr>
            <w:r>
              <w:rPr>
                <w:sz w:val="21"/>
                <w:shd w:fill="FFFFFF" w:val="clear"/>
              </w:rPr>
              <w:t>★34.显示器外观颜色：黑色；</w:t>
            </w:r>
          </w:p>
          <w:p>
            <w:pPr>
              <w:pStyle w:val="null3"/>
              <w:jc w:val="left"/>
            </w:pPr>
            <w:r>
              <w:rPr>
                <w:sz w:val="21"/>
                <w:shd w:fill="FFFFFF" w:val="clear"/>
              </w:rPr>
              <w:t>★35.显示屏防蓝光：支持防蓝光模式；</w:t>
            </w:r>
          </w:p>
          <w:p>
            <w:pPr>
              <w:pStyle w:val="null3"/>
              <w:jc w:val="left"/>
            </w:pPr>
            <w:r>
              <w:rPr>
                <w:sz w:val="21"/>
                <w:shd w:fill="FFFFFF" w:val="clear"/>
              </w:rPr>
              <w:t>★36.显示屏低频闪：不闪屏；</w:t>
            </w:r>
          </w:p>
          <w:p>
            <w:pPr>
              <w:pStyle w:val="null3"/>
              <w:jc w:val="left"/>
            </w:pPr>
            <w:r>
              <w:rPr>
                <w:sz w:val="21"/>
                <w:shd w:fill="FFFFFF" w:val="clear"/>
              </w:rPr>
              <w:t>★37.显示屏防炫目：显示屏镜面反射率≤10%；</w:t>
            </w:r>
          </w:p>
          <w:p>
            <w:pPr>
              <w:pStyle w:val="null3"/>
              <w:jc w:val="left"/>
            </w:pPr>
            <w:r>
              <w:rPr>
                <w:sz w:val="21"/>
                <w:shd w:fill="FFFFFF" w:val="clear"/>
              </w:rPr>
              <w:t>★38.鼠标数量：1个；</w:t>
            </w:r>
          </w:p>
          <w:p>
            <w:pPr>
              <w:pStyle w:val="null3"/>
              <w:jc w:val="left"/>
            </w:pPr>
            <w:r>
              <w:rPr>
                <w:sz w:val="21"/>
                <w:shd w:fill="FFFFFF" w:val="clear"/>
              </w:rPr>
              <w:t>★39.键盘数量：1个；</w:t>
            </w:r>
          </w:p>
          <w:p>
            <w:pPr>
              <w:pStyle w:val="null3"/>
              <w:jc w:val="left"/>
            </w:pPr>
            <w:r>
              <w:rPr>
                <w:sz w:val="21"/>
                <w:shd w:fill="FFFFFF" w:val="clear"/>
              </w:rPr>
              <w:t>★40.键盘按键数目：104 键；</w:t>
            </w:r>
          </w:p>
          <w:p>
            <w:pPr>
              <w:pStyle w:val="null3"/>
              <w:jc w:val="left"/>
            </w:pPr>
            <w:r>
              <w:rPr>
                <w:sz w:val="21"/>
                <w:shd w:fill="FFFFFF" w:val="clear"/>
              </w:rPr>
              <w:t>★41.键盘连接方式：USB有线；</w:t>
            </w:r>
          </w:p>
          <w:p>
            <w:pPr>
              <w:pStyle w:val="null3"/>
              <w:jc w:val="left"/>
            </w:pPr>
            <w:r>
              <w:rPr>
                <w:sz w:val="21"/>
                <w:shd w:fill="FFFFFF" w:val="clear"/>
              </w:rPr>
              <w:t>★42.键盘键程：2.3mm ~ 4.0mm；</w:t>
            </w:r>
          </w:p>
          <w:p>
            <w:pPr>
              <w:pStyle w:val="null3"/>
              <w:jc w:val="left"/>
            </w:pPr>
            <w:r>
              <w:rPr>
                <w:sz w:val="21"/>
                <w:shd w:fill="FFFFFF" w:val="clear"/>
              </w:rPr>
              <w:t>★43.键盘按键压力：按键压力应在 0.54 N±0.14N；</w:t>
            </w:r>
          </w:p>
          <w:p>
            <w:pPr>
              <w:pStyle w:val="null3"/>
              <w:jc w:val="left"/>
            </w:pPr>
            <w:r>
              <w:rPr>
                <w:sz w:val="21"/>
                <w:shd w:fill="FFFFFF" w:val="clear"/>
              </w:rPr>
              <w:t>★44.有线键盘连接线：≥1.5 米；</w:t>
            </w:r>
          </w:p>
          <w:p>
            <w:pPr>
              <w:pStyle w:val="null3"/>
              <w:jc w:val="left"/>
            </w:pPr>
            <w:r>
              <w:rPr>
                <w:sz w:val="21"/>
                <w:shd w:fill="FFFFFF" w:val="clear"/>
              </w:rPr>
              <w:t>★45.键盘颜色：黑色商务色系；</w:t>
            </w:r>
          </w:p>
          <w:p>
            <w:pPr>
              <w:pStyle w:val="null3"/>
              <w:jc w:val="left"/>
            </w:pPr>
            <w:r>
              <w:rPr>
                <w:sz w:val="21"/>
                <w:shd w:fill="FFFFFF" w:val="clear"/>
              </w:rPr>
              <w:t>★46.键盘其他要求：键盘外观结构、连接方式、主要功能、安全、电磁兼容性、可靠性应符合 GB/T14081 的相关规定；</w:t>
            </w:r>
          </w:p>
          <w:p>
            <w:pPr>
              <w:pStyle w:val="null3"/>
              <w:jc w:val="left"/>
            </w:pPr>
            <w:r>
              <w:rPr>
                <w:sz w:val="21"/>
                <w:shd w:fill="FFFFFF" w:val="clear"/>
              </w:rPr>
              <w:t>★47.鼠标连接方式：有线；</w:t>
            </w:r>
          </w:p>
          <w:p>
            <w:pPr>
              <w:pStyle w:val="null3"/>
              <w:jc w:val="left"/>
            </w:pPr>
            <w:r>
              <w:rPr>
                <w:sz w:val="21"/>
                <w:shd w:fill="FFFFFF" w:val="clear"/>
              </w:rPr>
              <w:t>★48.有线鼠标连接线：1.5米；</w:t>
            </w:r>
          </w:p>
          <w:p>
            <w:pPr>
              <w:pStyle w:val="null3"/>
              <w:jc w:val="left"/>
            </w:pPr>
            <w:r>
              <w:rPr>
                <w:sz w:val="21"/>
                <w:shd w:fill="FFFFFF" w:val="clear"/>
              </w:rPr>
              <w:t>★49.鼠标DPI 分辨率：800；</w:t>
            </w:r>
          </w:p>
          <w:p>
            <w:pPr>
              <w:pStyle w:val="null3"/>
              <w:jc w:val="left"/>
            </w:pPr>
            <w:r>
              <w:rPr>
                <w:sz w:val="21"/>
                <w:shd w:fill="FFFFFF" w:val="clear"/>
              </w:rPr>
              <w:t>★50.鼠标颜色：黑色；</w:t>
            </w:r>
          </w:p>
          <w:p>
            <w:pPr>
              <w:pStyle w:val="null3"/>
              <w:jc w:val="left"/>
            </w:pPr>
            <w:r>
              <w:rPr>
                <w:sz w:val="21"/>
                <w:shd w:fill="FFFFFF" w:val="clear"/>
              </w:rPr>
              <w:t>★51.鼠标其他要求：符合 GB/T 26245 的相关规定；</w:t>
            </w:r>
          </w:p>
          <w:p>
            <w:pPr>
              <w:pStyle w:val="null3"/>
              <w:jc w:val="left"/>
            </w:pPr>
            <w:r>
              <w:rPr>
                <w:sz w:val="21"/>
                <w:shd w:fill="FFFFFF" w:val="clear"/>
              </w:rPr>
              <w:t>★52.内置光驱：支持内置光驱，此次不配置；</w:t>
            </w:r>
          </w:p>
          <w:p>
            <w:pPr>
              <w:pStyle w:val="null3"/>
              <w:jc w:val="left"/>
            </w:pPr>
            <w:r>
              <w:rPr>
                <w:sz w:val="21"/>
                <w:shd w:fill="FFFFFF" w:val="clear"/>
              </w:rPr>
              <w:t>★53.有线网卡数量：1；</w:t>
            </w:r>
          </w:p>
          <w:p>
            <w:pPr>
              <w:pStyle w:val="null3"/>
              <w:jc w:val="left"/>
            </w:pPr>
            <w:r>
              <w:rPr>
                <w:sz w:val="21"/>
                <w:shd w:fill="FFFFFF" w:val="clear"/>
              </w:rPr>
              <w:t>★54.USB 接口数量：≧10，机箱前板至少包括 4 个 USB3.0 TYPE-A及2个TYPE-C,后面板提供2 个 SuperSpeed USB Type-A 5Gbps 信率端口；3 个 USB Type-A 480Mbps 信率端口；</w:t>
            </w:r>
          </w:p>
          <w:p>
            <w:pPr>
              <w:pStyle w:val="null3"/>
              <w:jc w:val="left"/>
            </w:pPr>
            <w:r>
              <w:rPr>
                <w:sz w:val="21"/>
                <w:shd w:fill="FFFFFF" w:val="clear"/>
              </w:rPr>
              <w:t>★55.USB母座接口要求：机箱前面板4个专用USB母座 A型接口孔位和 1 个通用 C 型 USB 母座接口孔位，采用纵向排列；</w:t>
            </w:r>
          </w:p>
          <w:p>
            <w:pPr>
              <w:pStyle w:val="null3"/>
              <w:jc w:val="left"/>
            </w:pPr>
            <w:r>
              <w:rPr>
                <w:sz w:val="21"/>
                <w:shd w:fill="FFFFFF" w:val="clear"/>
              </w:rPr>
              <w:t>★56.视频接口数量：≧3；</w:t>
            </w:r>
          </w:p>
          <w:p>
            <w:pPr>
              <w:pStyle w:val="null3"/>
              <w:jc w:val="left"/>
            </w:pPr>
            <w:r>
              <w:rPr>
                <w:sz w:val="21"/>
                <w:shd w:fill="FFFFFF" w:val="clear"/>
              </w:rPr>
              <w:t>★57.音频接口数量：2；</w:t>
            </w:r>
          </w:p>
          <w:p>
            <w:pPr>
              <w:pStyle w:val="null3"/>
              <w:jc w:val="left"/>
            </w:pPr>
            <w:r>
              <w:rPr>
                <w:sz w:val="21"/>
                <w:shd w:fill="FFFFFF" w:val="clear"/>
              </w:rPr>
              <w:t>★58．整机外观：</w:t>
            </w:r>
          </w:p>
          <w:p>
            <w:pPr>
              <w:pStyle w:val="null3"/>
              <w:jc w:val="left"/>
            </w:pPr>
            <w:r>
              <w:rPr>
                <w:sz w:val="21"/>
                <w:shd w:fill="FFFFFF" w:val="clear"/>
              </w:rPr>
              <w:t>a) 产品表面不应有凹痕、划伤、裂缝、变形和污染等。表面涂层均匀，不应起泡、龟裂、脱落和磨损，金属零部件无锈蚀及其它机械损伤；</w:t>
            </w:r>
          </w:p>
          <w:p>
            <w:pPr>
              <w:pStyle w:val="null3"/>
              <w:jc w:val="left"/>
            </w:pPr>
            <w:r>
              <w:rPr>
                <w:sz w:val="21"/>
                <w:shd w:fill="FFFFFF" w:val="clear"/>
              </w:rPr>
              <w:t>b) 产品表面说明功能的文字、符号、标志，应清晰、端正、牢固；</w:t>
            </w:r>
          </w:p>
          <w:p>
            <w:pPr>
              <w:pStyle w:val="null3"/>
              <w:jc w:val="left"/>
            </w:pPr>
            <w:r>
              <w:rPr>
                <w:sz w:val="21"/>
                <w:shd w:fill="FFFFFF" w:val="clear"/>
              </w:rPr>
              <w:t>c) 宜在产品显著位置提供运行状态指示功能，并由生产厂商提供详细参数。</w:t>
            </w:r>
          </w:p>
          <w:p>
            <w:pPr>
              <w:pStyle w:val="null3"/>
              <w:jc w:val="left"/>
            </w:pPr>
            <w:r>
              <w:rPr>
                <w:sz w:val="21"/>
                <w:shd w:fill="FFFFFF" w:val="clear"/>
              </w:rPr>
              <w:t>★59.整机结构：</w:t>
            </w:r>
          </w:p>
          <w:p>
            <w:pPr>
              <w:pStyle w:val="null3"/>
              <w:jc w:val="left"/>
            </w:pPr>
            <w:r>
              <w:rPr>
                <w:sz w:val="21"/>
                <w:shd w:fill="FFFFFF" w:val="clear"/>
              </w:rPr>
              <w:t>a) 机箱应符合 GB/T 4208、GB/T 26246的相关规定；</w:t>
            </w:r>
          </w:p>
          <w:p>
            <w:pPr>
              <w:pStyle w:val="null3"/>
              <w:jc w:val="left"/>
            </w:pPr>
            <w:r>
              <w:rPr>
                <w:sz w:val="21"/>
                <w:shd w:fill="FFFFFF" w:val="clear"/>
              </w:rPr>
              <w:t>b) 产品内部结构应符合通用部件的安装需要；</w:t>
            </w:r>
          </w:p>
          <w:p>
            <w:pPr>
              <w:pStyle w:val="null3"/>
              <w:jc w:val="left"/>
            </w:pPr>
            <w:r>
              <w:rPr>
                <w:sz w:val="21"/>
                <w:shd w:fill="FFFFFF" w:val="clear"/>
              </w:rPr>
              <w:t>c) 所有输入输出接口应符合相关国家或行业标准；</w:t>
            </w:r>
          </w:p>
          <w:p>
            <w:pPr>
              <w:pStyle w:val="null3"/>
              <w:jc w:val="left"/>
            </w:pPr>
            <w:r>
              <w:rPr>
                <w:sz w:val="21"/>
                <w:shd w:fill="FFFFFF" w:val="clear"/>
              </w:rPr>
              <w:t>d) 产品零部件应紧固无松动，可插拔部件应可靠连接，开关、按钮和其它控制部件应灵活可靠，布局应方便使用；</w:t>
            </w:r>
          </w:p>
          <w:p>
            <w:pPr>
              <w:pStyle w:val="null3"/>
              <w:jc w:val="left"/>
            </w:pPr>
            <w:r>
              <w:rPr>
                <w:sz w:val="21"/>
                <w:shd w:fill="FFFFFF" w:val="clear"/>
              </w:rPr>
              <w:t>e) 所有 I/O 连接器及需插接线缆的部位应预留用户操作空间，方便插拔解锁与插拔线缆；</w:t>
            </w:r>
          </w:p>
          <w:p>
            <w:pPr>
              <w:pStyle w:val="null3"/>
              <w:jc w:val="left"/>
            </w:pPr>
            <w:r>
              <w:rPr>
                <w:sz w:val="21"/>
                <w:shd w:fill="FFFFFF" w:val="clear"/>
              </w:rPr>
              <w:t>f) 可插拔板卡插槽部位应预留安装、拆卸或更换板卡空间；</w:t>
            </w:r>
          </w:p>
          <w:p>
            <w:pPr>
              <w:pStyle w:val="null3"/>
              <w:jc w:val="left"/>
            </w:pPr>
            <w:r>
              <w:rPr>
                <w:sz w:val="21"/>
                <w:shd w:fill="FFFFFF" w:val="clear"/>
              </w:rPr>
              <w:t>g) 拆装可能接触到的金属剪口或金属尖角部位应做防划伤处理，以保证安全；</w:t>
            </w:r>
          </w:p>
          <w:p>
            <w:pPr>
              <w:pStyle w:val="null3"/>
              <w:jc w:val="left"/>
            </w:pPr>
            <w:r>
              <w:rPr>
                <w:sz w:val="21"/>
                <w:shd w:fill="FFFFFF" w:val="clear"/>
              </w:rPr>
              <w:t>h) 整机内部走线应规整，固线结构和位置要合理可靠并做防割线处理，需便于理线和插拔操作，走线应不影响系统各主要部件组装和拆卸；</w:t>
            </w:r>
          </w:p>
          <w:p>
            <w:pPr>
              <w:pStyle w:val="null3"/>
              <w:jc w:val="left"/>
            </w:pPr>
            <w:r>
              <w:rPr>
                <w:sz w:val="21"/>
                <w:shd w:fill="FFFFFF" w:val="clear"/>
              </w:rPr>
              <w:t>i) 如需通过孔走线，过线孔应做防割线处理；</w:t>
            </w:r>
          </w:p>
          <w:p>
            <w:pPr>
              <w:pStyle w:val="null3"/>
              <w:jc w:val="left"/>
            </w:pPr>
            <w:r>
              <w:rPr>
                <w:sz w:val="21"/>
                <w:shd w:fill="FFFFFF" w:val="clear"/>
              </w:rPr>
              <w:t>j) 各插头位置和插拔方向应合理，应做到插拔无障碍设计，具备防呆设计，有效避免误操作；</w:t>
            </w:r>
          </w:p>
          <w:p>
            <w:pPr>
              <w:pStyle w:val="null3"/>
              <w:jc w:val="left"/>
            </w:pPr>
            <w:r>
              <w:rPr>
                <w:sz w:val="21"/>
                <w:shd w:fill="FFFFFF" w:val="clear"/>
              </w:rPr>
              <w:t>k) 各主要部件拆装无障碍，使用常规工具拆装，无特殊拆装工具需求；</w:t>
            </w:r>
          </w:p>
          <w:p>
            <w:pPr>
              <w:pStyle w:val="null3"/>
              <w:jc w:val="left"/>
            </w:pPr>
            <w:r>
              <w:rPr>
                <w:sz w:val="21"/>
                <w:shd w:fill="FFFFFF" w:val="clear"/>
              </w:rPr>
              <w:t>l) 各主要部件拆装步骤要少，各自拆装需避免相互干扰；</w:t>
            </w:r>
          </w:p>
          <w:p>
            <w:pPr>
              <w:pStyle w:val="null3"/>
              <w:jc w:val="left"/>
            </w:pPr>
            <w:r>
              <w:rPr>
                <w:sz w:val="21"/>
                <w:shd w:fill="FFFFFF" w:val="clear"/>
              </w:rPr>
              <w:t>m) 对于整机或零部件外表面为高亮面的，应粘贴保护膜，保护膜需粘贴牢固，运输、组装等过程不易脱落，撕下无残留；</w:t>
            </w:r>
          </w:p>
          <w:p>
            <w:pPr>
              <w:pStyle w:val="null3"/>
              <w:jc w:val="left"/>
            </w:pPr>
            <w:r>
              <w:rPr>
                <w:sz w:val="21"/>
                <w:shd w:fill="FFFFFF" w:val="clear"/>
              </w:rPr>
              <w:t>n) 其它要求应符合 GB/T 9813.1 的相关规定</w:t>
            </w:r>
          </w:p>
          <w:p>
            <w:pPr>
              <w:pStyle w:val="null3"/>
              <w:jc w:val="left"/>
            </w:pPr>
            <w:r>
              <w:rPr>
                <w:sz w:val="21"/>
                <w:shd w:fill="FFFFFF" w:val="clear"/>
              </w:rPr>
              <w:t>★60.机箱防护要求：机箱应符合 GB/T 4208 中 IP20 防护要求；</w:t>
            </w:r>
          </w:p>
          <w:p>
            <w:pPr>
              <w:pStyle w:val="null3"/>
              <w:jc w:val="left"/>
            </w:pPr>
            <w:r>
              <w:rPr>
                <w:sz w:val="21"/>
                <w:shd w:fill="FFFFFF" w:val="clear"/>
              </w:rPr>
              <w:t>★61.整机噪音：产品工作在空闲状态下，产品的声功率级应不超过 4.5 Bel；</w:t>
            </w:r>
          </w:p>
          <w:p>
            <w:pPr>
              <w:pStyle w:val="null3"/>
              <w:jc w:val="left"/>
            </w:pPr>
            <w:r>
              <w:rPr>
                <w:sz w:val="21"/>
                <w:shd w:fill="FFFFFF" w:val="clear"/>
              </w:rPr>
              <w:t>★62.整机散热在环境温度25℃及处理器满载情况下，产品表面温度应符合下列要求：</w:t>
            </w:r>
          </w:p>
          <w:p>
            <w:pPr>
              <w:pStyle w:val="null3"/>
              <w:jc w:val="left"/>
            </w:pPr>
            <w:r>
              <w:rPr>
                <w:sz w:val="21"/>
                <w:shd w:fill="FFFFFF" w:val="clear"/>
              </w:rPr>
              <w:t>a) 出风口在机箱后面板情况下，出风口温度不高于 55℃；</w:t>
            </w:r>
          </w:p>
          <w:p>
            <w:pPr>
              <w:pStyle w:val="null3"/>
              <w:jc w:val="left"/>
            </w:pPr>
            <w:r>
              <w:rPr>
                <w:sz w:val="21"/>
                <w:shd w:fill="FFFFFF" w:val="clear"/>
              </w:rPr>
              <w:t>b) 可触及面温度小于 45℃；</w:t>
            </w:r>
          </w:p>
          <w:p>
            <w:pPr>
              <w:pStyle w:val="null3"/>
              <w:jc w:val="left"/>
            </w:pPr>
            <w:r>
              <w:rPr>
                <w:sz w:val="21"/>
                <w:shd w:fill="FFFFFF" w:val="clear"/>
              </w:rPr>
              <w:t>c) 显示器表面温度：显示屏温度不高于 38℃，显示屏上下灯带位置温度（如涉及）不高于 40℃，出风口温度不高于 45℃。</w:t>
            </w:r>
          </w:p>
          <w:p>
            <w:pPr>
              <w:pStyle w:val="null3"/>
              <w:jc w:val="left"/>
            </w:pPr>
            <w:r>
              <w:rPr>
                <w:sz w:val="21"/>
                <w:shd w:fill="FFFFFF" w:val="clear"/>
              </w:rPr>
              <w:t>★63.整机能效限定值：产品能效限定值达到 GB 28380-2012标准中能效等级 2 级及以上；</w:t>
            </w:r>
          </w:p>
          <w:p>
            <w:pPr>
              <w:pStyle w:val="null3"/>
              <w:jc w:val="left"/>
            </w:pPr>
            <w:r>
              <w:rPr>
                <w:sz w:val="21"/>
                <w:shd w:fill="FFFFFF" w:val="clear"/>
              </w:rPr>
              <w:t>★64.机身材质：金属；</w:t>
            </w:r>
          </w:p>
          <w:p>
            <w:pPr>
              <w:pStyle w:val="null3"/>
              <w:jc w:val="left"/>
            </w:pPr>
            <w:r>
              <w:rPr>
                <w:sz w:val="21"/>
                <w:shd w:fill="FFFFFF" w:val="clear"/>
              </w:rPr>
              <w:t>★65.机身颜色：黑色；</w:t>
            </w:r>
          </w:p>
          <w:p>
            <w:pPr>
              <w:pStyle w:val="null3"/>
              <w:jc w:val="left"/>
            </w:pPr>
            <w:r>
              <w:rPr>
                <w:sz w:val="21"/>
                <w:shd w:fill="FFFFFF" w:val="clear"/>
              </w:rPr>
              <w:t>★66.机箱尺寸容量：不大于17升；</w:t>
            </w:r>
          </w:p>
          <w:p>
            <w:pPr>
              <w:pStyle w:val="null3"/>
              <w:jc w:val="left"/>
            </w:pPr>
            <w:r>
              <w:rPr>
                <w:sz w:val="21"/>
                <w:shd w:fill="FFFFFF" w:val="clear"/>
              </w:rPr>
              <w:t>★68.CPU 物理核数：≧24；</w:t>
            </w:r>
          </w:p>
          <w:p>
            <w:pPr>
              <w:pStyle w:val="null3"/>
              <w:jc w:val="left"/>
            </w:pPr>
            <w:r>
              <w:rPr>
                <w:sz w:val="21"/>
                <w:shd w:fill="FFFFFF" w:val="clear"/>
              </w:rPr>
              <w:t>★69.CPU 最大睿频频率主频：≧5.4GHz；</w:t>
            </w:r>
          </w:p>
          <w:p>
            <w:pPr>
              <w:pStyle w:val="null3"/>
              <w:jc w:val="left"/>
            </w:pPr>
            <w:r>
              <w:rPr>
                <w:sz w:val="21"/>
                <w:shd w:fill="FFFFFF" w:val="clear"/>
              </w:rPr>
              <w:t>★70.CPU 末级缓存容量：≧36MB；</w:t>
            </w:r>
          </w:p>
          <w:p>
            <w:pPr>
              <w:pStyle w:val="null3"/>
              <w:jc w:val="left"/>
            </w:pPr>
            <w:r>
              <w:rPr>
                <w:sz w:val="21"/>
                <w:shd w:fill="FFFFFF" w:val="clear"/>
              </w:rPr>
              <w:t>★71.CPU 支持的内存最高速率：≧6400MT/s；</w:t>
            </w:r>
          </w:p>
          <w:p>
            <w:pPr>
              <w:pStyle w:val="null3"/>
              <w:jc w:val="left"/>
            </w:pPr>
            <w:r>
              <w:rPr>
                <w:sz w:val="21"/>
                <w:shd w:fill="FFFFFF" w:val="clear"/>
              </w:rPr>
              <w:t>★72.内存读写速率：≧4800 MT/s；</w:t>
            </w:r>
          </w:p>
          <w:p>
            <w:pPr>
              <w:pStyle w:val="null3"/>
              <w:jc w:val="left"/>
            </w:pPr>
            <w:r>
              <w:rPr>
                <w:sz w:val="21"/>
                <w:shd w:fill="FFFFFF" w:val="clear"/>
              </w:rPr>
              <w:t>★73.显示分辨率：不低于3840 x 2160；</w:t>
            </w:r>
          </w:p>
          <w:p>
            <w:pPr>
              <w:pStyle w:val="null3"/>
              <w:jc w:val="left"/>
            </w:pPr>
            <w:r>
              <w:rPr>
                <w:sz w:val="21"/>
                <w:shd w:fill="FFFFFF" w:val="clear"/>
              </w:rPr>
              <w:t>★74.显卡显示芯片核心频率 ≧:2280MHz；</w:t>
            </w:r>
          </w:p>
          <w:p>
            <w:pPr>
              <w:pStyle w:val="null3"/>
              <w:jc w:val="left"/>
            </w:pPr>
            <w:r>
              <w:rPr>
                <w:sz w:val="21"/>
                <w:shd w:fill="FFFFFF" w:val="clear"/>
              </w:rPr>
              <w:t>★75.显存等效频率：≧28000MHz；</w:t>
            </w:r>
          </w:p>
          <w:p>
            <w:pPr>
              <w:pStyle w:val="null3"/>
              <w:jc w:val="left"/>
            </w:pPr>
            <w:r>
              <w:rPr>
                <w:sz w:val="21"/>
                <w:shd w:fill="FFFFFF" w:val="clear"/>
              </w:rPr>
              <w:t>★76.显卡可支持多屏同时显示数量 ≧4，分辨率应不低于 3840 x 2160；</w:t>
            </w:r>
          </w:p>
          <w:p>
            <w:pPr>
              <w:pStyle w:val="null3"/>
              <w:jc w:val="left"/>
            </w:pPr>
            <w:r>
              <w:rPr>
                <w:sz w:val="21"/>
                <w:shd w:fill="FFFFFF" w:val="clear"/>
              </w:rPr>
              <w:t>★77.显示屏刷新率：≧100Hz；</w:t>
            </w:r>
          </w:p>
          <w:p>
            <w:pPr>
              <w:pStyle w:val="null3"/>
              <w:jc w:val="left"/>
            </w:pPr>
            <w:r>
              <w:rPr>
                <w:sz w:val="21"/>
                <w:shd w:fill="FFFFFF" w:val="clear"/>
              </w:rPr>
              <w:t>★78.显示屏位深：≧8位；</w:t>
            </w:r>
          </w:p>
          <w:p>
            <w:pPr>
              <w:pStyle w:val="null3"/>
              <w:jc w:val="left"/>
            </w:pPr>
            <w:r>
              <w:rPr>
                <w:sz w:val="21"/>
                <w:shd w:fill="FFFFFF" w:val="clear"/>
              </w:rPr>
              <w:t>★79.显示屏色域：≧72% NTSC；</w:t>
            </w:r>
          </w:p>
          <w:p>
            <w:pPr>
              <w:pStyle w:val="null3"/>
              <w:jc w:val="left"/>
            </w:pPr>
            <w:r>
              <w:rPr>
                <w:sz w:val="21"/>
                <w:shd w:fill="FFFFFF" w:val="clear"/>
              </w:rPr>
              <w:t>★80.显示屏响应时间：≦5ms；</w:t>
            </w:r>
          </w:p>
          <w:p>
            <w:pPr>
              <w:pStyle w:val="null3"/>
              <w:jc w:val="left"/>
            </w:pPr>
            <w:r>
              <w:rPr>
                <w:sz w:val="21"/>
                <w:shd w:fill="FFFFFF" w:val="clear"/>
              </w:rPr>
              <w:t>★81.显示屏亮度：不低于250尼特；</w:t>
            </w:r>
          </w:p>
          <w:p>
            <w:pPr>
              <w:pStyle w:val="null3"/>
              <w:jc w:val="left"/>
            </w:pPr>
            <w:r>
              <w:rPr>
                <w:sz w:val="21"/>
                <w:shd w:fill="FFFFFF" w:val="clear"/>
              </w:rPr>
              <w:t>★82.显示屏亮度一致性：≧70%；</w:t>
            </w:r>
          </w:p>
          <w:p>
            <w:pPr>
              <w:pStyle w:val="null3"/>
              <w:jc w:val="left"/>
            </w:pPr>
            <w:r>
              <w:rPr>
                <w:sz w:val="21"/>
                <w:shd w:fill="FFFFFF" w:val="clear"/>
              </w:rPr>
              <w:t>★83.显示屏对比度 ≧1000:1；</w:t>
            </w:r>
          </w:p>
          <w:p>
            <w:pPr>
              <w:pStyle w:val="null3"/>
              <w:jc w:val="left"/>
            </w:pPr>
            <w:r>
              <w:rPr>
                <w:sz w:val="21"/>
                <w:shd w:fill="FFFFFF" w:val="clear"/>
              </w:rPr>
              <w:t>★84.显示屏其他参数：其它参数应符合 SJ/T 11292 的相关规定；</w:t>
            </w:r>
          </w:p>
          <w:p>
            <w:pPr>
              <w:pStyle w:val="null3"/>
              <w:jc w:val="left"/>
            </w:pPr>
            <w:r>
              <w:rPr>
                <w:sz w:val="21"/>
                <w:shd w:fill="FFFFFF" w:val="clear"/>
              </w:rPr>
              <w:t>★85.有线网卡速率：最高速率不低于 1000Mbps，支持 10Mbps、100Mbps、1000Mbps 速率自适应；</w:t>
            </w:r>
          </w:p>
          <w:p>
            <w:pPr>
              <w:pStyle w:val="null3"/>
              <w:jc w:val="left"/>
            </w:pPr>
            <w:r>
              <w:rPr>
                <w:sz w:val="21"/>
                <w:shd w:fill="FFFFFF" w:val="clear"/>
              </w:rPr>
              <w:t>★86.内存扩展接口(板载内存不涉及)：≧4；</w:t>
            </w:r>
          </w:p>
          <w:p>
            <w:pPr>
              <w:pStyle w:val="null3"/>
              <w:jc w:val="left"/>
            </w:pPr>
            <w:r>
              <w:rPr>
                <w:sz w:val="21"/>
                <w:shd w:fill="FFFFFF" w:val="clear"/>
              </w:rPr>
              <w:t>★87.存储扩展接口 (板载存储不涉及)：支持存储设备扩展接口≥2 个，如 SATA3.0、M.2 等接口类型；</w:t>
            </w:r>
          </w:p>
          <w:p>
            <w:pPr>
              <w:pStyle w:val="null3"/>
              <w:jc w:val="left"/>
            </w:pPr>
            <w:r>
              <w:rPr>
                <w:sz w:val="21"/>
                <w:shd w:fill="FFFFFF" w:val="clear"/>
              </w:rPr>
              <w:t>★88.主板USB 瞬间过流保护：支持瞬间过流保护功能；</w:t>
            </w:r>
          </w:p>
          <w:p>
            <w:pPr>
              <w:pStyle w:val="null3"/>
              <w:jc w:val="left"/>
            </w:pPr>
            <w:r>
              <w:rPr>
                <w:sz w:val="21"/>
                <w:shd w:fill="FFFFFF" w:val="clear"/>
              </w:rPr>
              <w:t>★89.主板防静电保护：支持防静电保护功能；</w:t>
            </w:r>
          </w:p>
          <w:p>
            <w:pPr>
              <w:pStyle w:val="null3"/>
              <w:jc w:val="left"/>
            </w:pPr>
            <w:r>
              <w:rPr>
                <w:sz w:val="21"/>
                <w:shd w:fill="FFFFFF" w:val="clear"/>
              </w:rPr>
              <w:t>★90.I/O 接口功能：提供不少于11个usb接口，2个音频接口，及3个视频输出接口等原生态接口；</w:t>
            </w:r>
          </w:p>
          <w:p>
            <w:pPr>
              <w:pStyle w:val="null3"/>
              <w:jc w:val="left"/>
            </w:pPr>
            <w:r>
              <w:rPr>
                <w:sz w:val="21"/>
                <w:shd w:fill="FFFFFF" w:val="clear"/>
              </w:rPr>
              <w:t>★91.显卡外接显示接口：提供不少于3个DP+1个HDMI输出；</w:t>
            </w:r>
          </w:p>
          <w:p>
            <w:pPr>
              <w:pStyle w:val="null3"/>
              <w:jc w:val="left"/>
            </w:pPr>
            <w:r>
              <w:rPr>
                <w:sz w:val="21"/>
                <w:shd w:fill="FFFFFF" w:val="clear"/>
              </w:rPr>
              <w:t>★92.显示器接口：提供DP+HDMI接口，并提供和主机匹配线缆；</w:t>
            </w:r>
          </w:p>
          <w:p>
            <w:pPr>
              <w:pStyle w:val="null3"/>
              <w:jc w:val="left"/>
            </w:pPr>
            <w:r>
              <w:rPr>
                <w:sz w:val="21"/>
                <w:shd w:fill="FFFFFF" w:val="clear"/>
              </w:rPr>
              <w:t>★93.显示器支架：显示器应提供显示器支架；</w:t>
            </w:r>
          </w:p>
          <w:p>
            <w:pPr>
              <w:pStyle w:val="null3"/>
              <w:jc w:val="left"/>
            </w:pPr>
            <w:r>
              <w:rPr>
                <w:sz w:val="21"/>
                <w:shd w:fill="FFFFFF" w:val="clear"/>
              </w:rPr>
              <w:t>★94.显示器参数调节：</w:t>
            </w:r>
          </w:p>
          <w:p>
            <w:pPr>
              <w:pStyle w:val="null3"/>
              <w:jc w:val="left"/>
            </w:pPr>
            <w:r>
              <w:rPr>
                <w:sz w:val="21"/>
                <w:shd w:fill="FFFFFF" w:val="clear"/>
              </w:rPr>
              <w:t>a) 提供 OSD 选单按钮用于调节色彩、模式等；</w:t>
            </w:r>
          </w:p>
          <w:p>
            <w:pPr>
              <w:pStyle w:val="null3"/>
              <w:jc w:val="left"/>
            </w:pPr>
            <w:r>
              <w:rPr>
                <w:sz w:val="21"/>
                <w:shd w:fill="FFFFFF" w:val="clear"/>
              </w:rPr>
              <w:t>b) 支持色温、亮度、对比度调节；</w:t>
            </w:r>
          </w:p>
          <w:p>
            <w:pPr>
              <w:pStyle w:val="null3"/>
              <w:jc w:val="left"/>
            </w:pPr>
            <w:r>
              <w:rPr>
                <w:sz w:val="21"/>
                <w:shd w:fill="FFFFFF" w:val="clear"/>
              </w:rPr>
              <w:t>★95.存储功能：内部SATA及M.2 PCIE存储；</w:t>
            </w:r>
          </w:p>
          <w:p>
            <w:pPr>
              <w:pStyle w:val="null3"/>
              <w:jc w:val="left"/>
            </w:pPr>
            <w:r>
              <w:rPr>
                <w:sz w:val="21"/>
                <w:shd w:fill="FFFFFF" w:val="clear"/>
              </w:rPr>
              <w:t>★96.网络功能：</w:t>
            </w:r>
          </w:p>
          <w:p>
            <w:pPr>
              <w:pStyle w:val="null3"/>
              <w:jc w:val="left"/>
            </w:pPr>
            <w:r>
              <w:rPr>
                <w:sz w:val="21"/>
                <w:shd w:fill="FFFFFF" w:val="clear"/>
              </w:rPr>
              <w:t>a)支持网络连接、网络开启/关闭功能；</w:t>
            </w:r>
          </w:p>
          <w:p>
            <w:pPr>
              <w:pStyle w:val="null3"/>
              <w:jc w:val="left"/>
            </w:pPr>
            <w:r>
              <w:rPr>
                <w:sz w:val="21"/>
                <w:shd w:fill="FFFFFF" w:val="clear"/>
              </w:rPr>
              <w:t>b)支持访问网络和数据交换功能；</w:t>
            </w:r>
          </w:p>
          <w:p>
            <w:pPr>
              <w:pStyle w:val="null3"/>
              <w:jc w:val="left"/>
            </w:pPr>
            <w:r>
              <w:rPr>
                <w:sz w:val="21"/>
                <w:shd w:fill="FFFFFF" w:val="clear"/>
              </w:rPr>
              <w:t>★97.数据传输：支持持数据传输能力，并提供数据流量和异常日志记录功能；</w:t>
            </w:r>
          </w:p>
          <w:p>
            <w:pPr>
              <w:pStyle w:val="null3"/>
              <w:jc w:val="left"/>
            </w:pPr>
            <w:r>
              <w:rPr>
                <w:sz w:val="21"/>
                <w:shd w:fill="FFFFFF" w:val="clear"/>
              </w:rPr>
              <w:t>★98.有线网卡接口类型：支持RJ45 接口；</w:t>
            </w:r>
          </w:p>
          <w:p>
            <w:pPr>
              <w:pStyle w:val="null3"/>
              <w:jc w:val="left"/>
            </w:pPr>
            <w:r>
              <w:rPr>
                <w:sz w:val="21"/>
                <w:shd w:fill="FFFFFF" w:val="clear"/>
              </w:rPr>
              <w:t>★99.音频接口类型：支持3.5mm孔径3段式或 4 段式接口；</w:t>
            </w:r>
          </w:p>
          <w:p>
            <w:pPr>
              <w:pStyle w:val="null3"/>
              <w:jc w:val="left"/>
            </w:pPr>
            <w:r>
              <w:rPr>
                <w:sz w:val="21"/>
                <w:shd w:fill="FFFFFF" w:val="clear"/>
              </w:rPr>
              <w:t>★100.视频接口类型：至少支持 DP显示接口；</w:t>
            </w:r>
          </w:p>
          <w:p>
            <w:pPr>
              <w:pStyle w:val="null3"/>
              <w:jc w:val="left"/>
            </w:pPr>
            <w:r>
              <w:rPr>
                <w:sz w:val="21"/>
                <w:shd w:fill="FFFFFF" w:val="clear"/>
              </w:rPr>
              <w:t>★101.HDMI、DP、 Type-C 显示接口要求：1个HDMI及2个 DP显示接口，支持音频和视频同步输出；</w:t>
            </w:r>
          </w:p>
          <w:p>
            <w:pPr>
              <w:pStyle w:val="null3"/>
              <w:jc w:val="left"/>
            </w:pPr>
            <w:r>
              <w:rPr>
                <w:sz w:val="21"/>
                <w:shd w:fill="FFFFFF" w:val="clear"/>
              </w:rPr>
              <w:t>★102.电源线适配能力：电源适配器电线组件应符合GB/T</w:t>
            </w:r>
          </w:p>
          <w:p>
            <w:pPr>
              <w:pStyle w:val="null3"/>
              <w:jc w:val="left"/>
            </w:pPr>
            <w:r>
              <w:rPr>
                <w:sz w:val="21"/>
                <w:shd w:fill="FFFFFF" w:val="clear"/>
              </w:rPr>
              <w:t>15934 的要求，可拆线的插头和连接器可以不做要求；</w:t>
            </w:r>
          </w:p>
          <w:p>
            <w:pPr>
              <w:pStyle w:val="null3"/>
              <w:jc w:val="left"/>
            </w:pPr>
            <w:r>
              <w:rPr>
                <w:sz w:val="21"/>
                <w:shd w:fill="FFFFFF" w:val="clear"/>
              </w:rPr>
              <w:t>★103.中文信息处理要求：符合 GB 18030 的相关规定；</w:t>
            </w:r>
          </w:p>
          <w:p>
            <w:pPr>
              <w:pStyle w:val="null3"/>
              <w:jc w:val="left"/>
            </w:pPr>
            <w:r>
              <w:rPr>
                <w:sz w:val="21"/>
                <w:shd w:fill="FFFFFF" w:val="clear"/>
              </w:rPr>
              <w:t>★104.操作系统备份及还原功能：支持操作系统备份及还原功能；</w:t>
            </w:r>
          </w:p>
          <w:p>
            <w:pPr>
              <w:pStyle w:val="null3"/>
              <w:jc w:val="left"/>
            </w:pPr>
            <w:r>
              <w:rPr>
                <w:sz w:val="21"/>
                <w:shd w:fill="FFFFFF" w:val="clear"/>
              </w:rPr>
              <w:t>★105.固件备份还原能力：原厂主板集成硬盘保护模块，具备网络同传、硬盘保护、断点续传等功能，不接受外加硬件及软件方式实现；</w:t>
            </w:r>
          </w:p>
          <w:p>
            <w:pPr>
              <w:pStyle w:val="null3"/>
              <w:jc w:val="left"/>
            </w:pPr>
            <w:r>
              <w:rPr>
                <w:sz w:val="21"/>
                <w:shd w:fill="FFFFFF" w:val="clear"/>
              </w:rPr>
              <w:t>★106．操作系统及驱动升级：支持通过网络、闪存盘等方式对操作系统、驱动进行升级；</w:t>
            </w:r>
          </w:p>
          <w:p>
            <w:pPr>
              <w:pStyle w:val="null3"/>
              <w:jc w:val="left"/>
            </w:pPr>
            <w:r>
              <w:rPr>
                <w:sz w:val="21"/>
                <w:shd w:fill="FFFFFF" w:val="clear"/>
              </w:rPr>
              <w:t>★107.BIOS支持关闭通讯接口：支持BIOS 关闭以太网及 USB 接口功能；</w:t>
            </w:r>
          </w:p>
          <w:p>
            <w:pPr>
              <w:pStyle w:val="null3"/>
              <w:jc w:val="left"/>
            </w:pPr>
            <w:r>
              <w:rPr>
                <w:sz w:val="21"/>
                <w:shd w:fill="FFFFFF" w:val="clear"/>
              </w:rPr>
              <w:t>★108.固件查看信息：支持查看固件版本、内存信息、主板信息、处理器信息和系统时间信息等功能；</w:t>
            </w:r>
          </w:p>
          <w:p>
            <w:pPr>
              <w:pStyle w:val="null3"/>
              <w:jc w:val="left"/>
            </w:pPr>
            <w:r>
              <w:rPr>
                <w:sz w:val="21"/>
                <w:shd w:fill="FFFFFF" w:val="clear"/>
              </w:rPr>
              <w:t>★109.固件设置启动顺序：支持设置启动顺序功能，并按照设置的启动顺序启动；</w:t>
            </w:r>
          </w:p>
          <w:p>
            <w:pPr>
              <w:pStyle w:val="null3"/>
              <w:jc w:val="left"/>
            </w:pPr>
            <w:r>
              <w:rPr>
                <w:sz w:val="21"/>
                <w:shd w:fill="FFFFFF" w:val="clear"/>
              </w:rPr>
              <w:t>★110.固件设置口令：支持设置口令、修改口令、验证口令功能；</w:t>
            </w:r>
          </w:p>
          <w:p>
            <w:pPr>
              <w:pStyle w:val="null3"/>
              <w:jc w:val="left"/>
            </w:pPr>
            <w:r>
              <w:rPr>
                <w:sz w:val="21"/>
                <w:shd w:fill="FFFFFF" w:val="clear"/>
              </w:rPr>
              <w:t>★111.固件设置网络引导：支持网络引导启动和关闭功能；</w:t>
            </w:r>
          </w:p>
          <w:p>
            <w:pPr>
              <w:pStyle w:val="null3"/>
              <w:jc w:val="left"/>
            </w:pPr>
            <w:r>
              <w:rPr>
                <w:sz w:val="21"/>
                <w:shd w:fill="FFFFFF" w:val="clear"/>
              </w:rPr>
              <w:t>★112.固态存储寿命：TBW≧80TB；</w:t>
            </w:r>
          </w:p>
          <w:p>
            <w:pPr>
              <w:pStyle w:val="null3"/>
              <w:jc w:val="left"/>
            </w:pPr>
            <w:r>
              <w:rPr>
                <w:sz w:val="21"/>
                <w:shd w:fill="FFFFFF" w:val="clear"/>
              </w:rPr>
              <w:t>★113.机械硬盘寿命：通电时间≧5万小时；</w:t>
            </w:r>
          </w:p>
          <w:p>
            <w:pPr>
              <w:pStyle w:val="null3"/>
              <w:jc w:val="left"/>
            </w:pPr>
            <w:r>
              <w:rPr>
                <w:sz w:val="21"/>
                <w:shd w:fill="FFFFFF" w:val="clear"/>
              </w:rPr>
              <w:t>★114.显示屏屏幕失效点：符合GB/T 9813.2的标准要求；</w:t>
            </w:r>
          </w:p>
          <w:p>
            <w:pPr>
              <w:pStyle w:val="null3"/>
              <w:jc w:val="left"/>
            </w:pPr>
            <w:r>
              <w:rPr>
                <w:sz w:val="21"/>
                <w:shd w:fill="FFFFFF" w:val="clear"/>
              </w:rPr>
              <w:t>★115.键盘按键寿命：≥1000 万次；</w:t>
            </w:r>
          </w:p>
          <w:p>
            <w:pPr>
              <w:pStyle w:val="null3"/>
              <w:jc w:val="left"/>
            </w:pPr>
            <w:r>
              <w:rPr>
                <w:sz w:val="21"/>
                <w:shd w:fill="FFFFFF" w:val="clear"/>
              </w:rPr>
              <w:t>★116.鼠标按键寿命：≥500 万次；</w:t>
            </w:r>
          </w:p>
          <w:p>
            <w:pPr>
              <w:pStyle w:val="null3"/>
              <w:jc w:val="left"/>
            </w:pPr>
            <w:r>
              <w:rPr>
                <w:sz w:val="21"/>
                <w:shd w:fill="FFFFFF" w:val="clear"/>
              </w:rPr>
              <w:t>★117.键盘鼠标线材寿命：键盘鼠标所用线材经±60°弯折不低于 3000 次，功能、外观完好；</w:t>
            </w:r>
          </w:p>
          <w:p>
            <w:pPr>
              <w:pStyle w:val="null3"/>
              <w:jc w:val="left"/>
            </w:pPr>
            <w:r>
              <w:rPr>
                <w:sz w:val="21"/>
                <w:shd w:fill="FFFFFF" w:val="clear"/>
              </w:rPr>
              <w:t>★118.风扇寿命：≧4万小时；</w:t>
            </w:r>
          </w:p>
          <w:p>
            <w:pPr>
              <w:pStyle w:val="null3"/>
              <w:jc w:val="left"/>
            </w:pPr>
            <w:r>
              <w:rPr>
                <w:sz w:val="21"/>
                <w:shd w:fill="FFFFFF" w:val="clear"/>
              </w:rPr>
              <w:t>★119.整机可靠性要求：</w:t>
            </w:r>
          </w:p>
          <w:p>
            <w:pPr>
              <w:pStyle w:val="null3"/>
              <w:jc w:val="left"/>
            </w:pPr>
            <w:r>
              <w:rPr>
                <w:sz w:val="21"/>
                <w:shd w:fill="FFFFFF" w:val="clear"/>
              </w:rPr>
              <w:t>1）电磁兼容性要求的抗扰度：符合 GB/T 9254.2 的规定；</w:t>
            </w:r>
          </w:p>
          <w:p>
            <w:pPr>
              <w:pStyle w:val="null3"/>
              <w:jc w:val="left"/>
            </w:pPr>
            <w:r>
              <w:rPr>
                <w:sz w:val="21"/>
                <w:shd w:fill="FFFFFF" w:val="clear"/>
              </w:rPr>
              <w:t>2）环境条件要求的气候环境适应性：符合 GB/T 9813.1 中规定；</w:t>
            </w:r>
          </w:p>
          <w:p>
            <w:pPr>
              <w:pStyle w:val="null3"/>
              <w:jc w:val="left"/>
            </w:pPr>
            <w:r>
              <w:rPr>
                <w:sz w:val="21"/>
                <w:shd w:fill="FFFFFF" w:val="clear"/>
              </w:rPr>
              <w:t>3）环境条件要求的振动适应性：符合 GB/T 9813.1 中规定；</w:t>
            </w:r>
          </w:p>
          <w:p>
            <w:pPr>
              <w:pStyle w:val="null3"/>
              <w:jc w:val="left"/>
            </w:pPr>
            <w:r>
              <w:rPr>
                <w:sz w:val="21"/>
                <w:shd w:fill="FFFFFF" w:val="clear"/>
              </w:rPr>
              <w:t>4）环境条件要求的冲击适应性：符合 GB/T 9813.1 中规定；</w:t>
            </w:r>
          </w:p>
          <w:p>
            <w:pPr>
              <w:pStyle w:val="null3"/>
              <w:jc w:val="left"/>
            </w:pPr>
            <w:r>
              <w:rPr>
                <w:sz w:val="21"/>
                <w:shd w:fill="FFFFFF" w:val="clear"/>
              </w:rPr>
              <w:t>5）环境条件要求的碰撞适应性：符合 GB/T 9813.1 中规定；</w:t>
            </w:r>
          </w:p>
          <w:p>
            <w:pPr>
              <w:pStyle w:val="null3"/>
              <w:jc w:val="left"/>
            </w:pPr>
            <w:r>
              <w:rPr>
                <w:sz w:val="21"/>
                <w:shd w:fill="FFFFFF" w:val="clear"/>
              </w:rPr>
              <w:t>6）环境条件要求的运输包装件跌落适应性：符合 GB/T 9813.1 中规定；</w:t>
            </w:r>
          </w:p>
          <w:p>
            <w:pPr>
              <w:pStyle w:val="null3"/>
              <w:jc w:val="left"/>
            </w:pPr>
            <w:r>
              <w:rPr>
                <w:sz w:val="21"/>
                <w:shd w:fill="FFFFFF" w:val="clear"/>
              </w:rPr>
              <w:t>7）MTBF 测试：MTBF(m1)≥3 万小时；</w:t>
            </w:r>
          </w:p>
          <w:p>
            <w:pPr>
              <w:pStyle w:val="null3"/>
              <w:jc w:val="left"/>
            </w:pPr>
            <w:r>
              <w:rPr>
                <w:sz w:val="21"/>
                <w:shd w:fill="FFFFFF" w:val="clear"/>
              </w:rPr>
              <w:t>★120.兼容要求：</w:t>
            </w:r>
          </w:p>
          <w:p>
            <w:pPr>
              <w:pStyle w:val="null3"/>
              <w:jc w:val="left"/>
            </w:pPr>
            <w:r>
              <w:rPr>
                <w:sz w:val="21"/>
                <w:shd w:fill="FFFFFF" w:val="clear"/>
              </w:rPr>
              <w:t>1）常用软件兼容：应支持流式软件、版式软件、浏览器、邮件客户端、解压软件、多媒体、图形图像处理等常用软件；</w:t>
            </w:r>
          </w:p>
          <w:p>
            <w:pPr>
              <w:pStyle w:val="null3"/>
              <w:jc w:val="left"/>
            </w:pPr>
            <w:r>
              <w:rPr>
                <w:sz w:val="21"/>
                <w:shd w:fill="FFFFFF" w:val="clear"/>
              </w:rPr>
              <w:t>2）数据库兼容：兼容 3 个及以上厂商的数据库产品是；</w:t>
            </w:r>
          </w:p>
          <w:p>
            <w:pPr>
              <w:pStyle w:val="null3"/>
              <w:jc w:val="left"/>
            </w:pPr>
            <w:r>
              <w:rPr>
                <w:sz w:val="21"/>
                <w:shd w:fill="FFFFFF" w:val="clear"/>
              </w:rPr>
              <w:t>3）中间件兼容：兼容 3 个及以上厂商中间件产品是；</w:t>
            </w:r>
          </w:p>
          <w:p>
            <w:pPr>
              <w:pStyle w:val="null3"/>
              <w:jc w:val="left"/>
            </w:pPr>
            <w:r>
              <w:rPr>
                <w:sz w:val="21"/>
                <w:shd w:fill="FFFFFF" w:val="clear"/>
              </w:rPr>
              <w:t>4）平台软件兼容：兼容 3 个及以上厂商云计算及大数据平台；</w:t>
            </w:r>
          </w:p>
          <w:p>
            <w:pPr>
              <w:pStyle w:val="null3"/>
              <w:jc w:val="left"/>
            </w:pPr>
            <w:r>
              <w:rPr>
                <w:sz w:val="21"/>
                <w:shd w:fill="FFFFFF" w:val="clear"/>
              </w:rPr>
              <w:t>★121.标志、包装、运输和贮存：符合 GB/T 9813.1 和商品包装政府采购需求标准的相关规定；</w:t>
            </w:r>
          </w:p>
          <w:p>
            <w:pPr>
              <w:pStyle w:val="null3"/>
              <w:jc w:val="left"/>
            </w:pPr>
            <w:r>
              <w:rPr>
                <w:sz w:val="21"/>
                <w:shd w:fill="FFFFFF" w:val="clear"/>
              </w:rPr>
              <w:t>★122.配置检查工具：提供经自检测试工具；</w:t>
            </w:r>
          </w:p>
          <w:p>
            <w:pPr>
              <w:pStyle w:val="null3"/>
              <w:jc w:val="left"/>
            </w:pPr>
            <w:r>
              <w:rPr>
                <w:sz w:val="21"/>
                <w:shd w:fill="FFFFFF" w:val="clear"/>
              </w:rPr>
              <w:t>★123.服务响应：</w:t>
            </w:r>
          </w:p>
          <w:p>
            <w:pPr>
              <w:pStyle w:val="null3"/>
              <w:jc w:val="left"/>
            </w:pPr>
            <w:r>
              <w:rPr>
                <w:sz w:val="21"/>
                <w:shd w:fill="FFFFFF" w:val="clear"/>
              </w:rPr>
              <w:t>a）提供产品 3 年维保及上门服务（满足同城4 小时、异地12 小时响应要求）；</w:t>
            </w:r>
          </w:p>
          <w:p>
            <w:pPr>
              <w:pStyle w:val="null3"/>
              <w:jc w:val="left"/>
            </w:pPr>
            <w:r>
              <w:rPr>
                <w:sz w:val="21"/>
                <w:shd w:fill="FFFFFF" w:val="clear"/>
              </w:rPr>
              <w:t>b）提供政企专线 7*24 在线服务；</w:t>
            </w:r>
          </w:p>
          <w:p>
            <w:pPr>
              <w:pStyle w:val="null3"/>
              <w:jc w:val="left"/>
            </w:pPr>
            <w:r>
              <w:rPr>
                <w:sz w:val="21"/>
                <w:shd w:fill="FFFFFF" w:val="clear"/>
              </w:rPr>
              <w:t>c）中标供应商在供货时需提供设备厂商针对此采购项目出具的售后服务承诺函</w:t>
            </w:r>
          </w:p>
          <w:p>
            <w:pPr>
              <w:pStyle w:val="null3"/>
              <w:jc w:val="left"/>
            </w:pPr>
            <w:r>
              <w:rPr>
                <w:sz w:val="21"/>
                <w:shd w:fill="FFFFFF" w:val="clear"/>
              </w:rPr>
              <w:t>★124.服务周期：支持产品延保≥5 年 ，提供每年延保服务报价，提供备件服务能力≥6 年（自购买之日起）；</w:t>
            </w:r>
          </w:p>
          <w:p>
            <w:pPr>
              <w:pStyle w:val="null3"/>
              <w:jc w:val="left"/>
            </w:pPr>
            <w:r>
              <w:rPr>
                <w:sz w:val="21"/>
                <w:shd w:fill="FFFFFF" w:val="clear"/>
              </w:rPr>
              <w:t>★125.预装操作系统：预装的操作系统符合《操作系统政府采购需求标准》中加*指标要求；</w:t>
            </w:r>
          </w:p>
          <w:p>
            <w:pPr>
              <w:pStyle w:val="null3"/>
              <w:jc w:val="left"/>
            </w:pPr>
            <w:r>
              <w:rPr>
                <w:sz w:val="21"/>
                <w:shd w:fill="FFFFFF" w:val="clear"/>
              </w:rPr>
              <w:t>★126.培训服务：提供培训材料、产品手册、培训视频等培训相关内容；</w:t>
            </w:r>
          </w:p>
          <w:p>
            <w:pPr>
              <w:pStyle w:val="null3"/>
              <w:jc w:val="left"/>
            </w:pPr>
            <w:r>
              <w:rPr>
                <w:sz w:val="21"/>
                <w:shd w:fill="FFFFFF" w:val="clear"/>
              </w:rPr>
              <w:t>★127.典型问题解决手册：提供典型问题解决说明文档或视频；</w:t>
            </w:r>
          </w:p>
          <w:p>
            <w:pPr>
              <w:pStyle w:val="null3"/>
              <w:jc w:val="left"/>
            </w:pPr>
            <w:r>
              <w:rPr>
                <w:sz w:val="21"/>
                <w:shd w:fill="FFFFFF" w:val="clear"/>
              </w:rPr>
              <w:t>★128.厂家升级软件与扩容服务：提供上门升级部件/软件的增值服务；</w:t>
            </w:r>
          </w:p>
          <w:p>
            <w:pPr>
              <w:pStyle w:val="null3"/>
              <w:jc w:val="left"/>
            </w:pPr>
            <w:r>
              <w:rPr>
                <w:sz w:val="21"/>
                <w:shd w:fill="FFFFFF" w:val="clear"/>
              </w:rPr>
              <w:t>★129.整机质量服务要求：免费服务周期(含换件和维修)应不小于3年；</w:t>
            </w:r>
          </w:p>
          <w:p>
            <w:pPr>
              <w:pStyle w:val="null3"/>
              <w:jc w:val="left"/>
            </w:pPr>
            <w:r>
              <w:rPr>
                <w:sz w:val="21"/>
                <w:shd w:fill="FFFFFF" w:val="clear"/>
              </w:rPr>
              <w:t>★130.合格证书要求：提供产品合格证；</w:t>
            </w:r>
          </w:p>
          <w:p>
            <w:pPr>
              <w:pStyle w:val="null3"/>
              <w:jc w:val="left"/>
            </w:pPr>
            <w:r>
              <w:rPr>
                <w:sz w:val="21"/>
                <w:shd w:fill="FFFFFF" w:val="clear"/>
              </w:rPr>
              <w:t>★131.开箱组装/使用指导要求：提供组装视频；</w:t>
            </w:r>
          </w:p>
          <w:p>
            <w:pPr>
              <w:pStyle w:val="null3"/>
              <w:jc w:val="left"/>
            </w:pPr>
            <w:r>
              <w:rPr>
                <w:sz w:val="21"/>
                <w:shd w:fill="FFFFFF" w:val="clear"/>
              </w:rPr>
              <w:t>★132.驱动下载服务要求：提供驱动光盘或下载方式；</w:t>
            </w:r>
          </w:p>
          <w:p>
            <w:pPr>
              <w:pStyle w:val="null3"/>
              <w:jc w:val="left"/>
            </w:pPr>
            <w:r>
              <w:rPr>
                <w:sz w:val="21"/>
                <w:shd w:fill="FFFFFF" w:val="clear"/>
              </w:rPr>
              <w:t>★133.兼容适配软件下载服务要求：提供兼容适配软件下载渠道（光盘、网站）；</w:t>
            </w:r>
          </w:p>
          <w:p>
            <w:pPr>
              <w:pStyle w:val="null3"/>
              <w:jc w:val="left"/>
            </w:pPr>
            <w:r>
              <w:rPr>
                <w:sz w:val="21"/>
                <w:shd w:fill="FFFFFF" w:val="clear"/>
              </w:rPr>
              <w:t>★134.产品部件保障：</w:t>
            </w:r>
          </w:p>
          <w:p>
            <w:pPr>
              <w:pStyle w:val="null3"/>
              <w:jc w:val="left"/>
            </w:pPr>
            <w:r>
              <w:rPr>
                <w:sz w:val="21"/>
                <w:shd w:fill="FFFFFF" w:val="clear"/>
              </w:rPr>
              <w:t>a）保障产品主要部件提供6年的备件服务能力(自购买之日起)，或提供可兼容原设备的升级换代产品；</w:t>
            </w:r>
          </w:p>
          <w:p>
            <w:pPr>
              <w:pStyle w:val="null3"/>
              <w:jc w:val="left"/>
            </w:pPr>
            <w:r>
              <w:rPr>
                <w:sz w:val="21"/>
                <w:shd w:fill="FFFFFF" w:val="clear"/>
              </w:rPr>
              <w:t>b）供应商交付设备必须为设备产商原厂全新整装出货，整体包装在运抵用户安装地点前不能拆封，保修状态可以通过主机序列号直接在厂家官网或者400/800等免费技术服务热线直接查询，设备配置、部件的保修情况，保修期限必须与投标配置完全一致。</w:t>
            </w:r>
          </w:p>
          <w:p>
            <w:pPr>
              <w:pStyle w:val="null3"/>
              <w:jc w:val="left"/>
            </w:pPr>
            <w:r>
              <w:rPr>
                <w:sz w:val="21"/>
                <w:shd w:fill="FFFFFF" w:val="clear"/>
              </w:rPr>
              <w:t>★135.供应链质量：</w:t>
            </w:r>
          </w:p>
          <w:p>
            <w:pPr>
              <w:pStyle w:val="null3"/>
              <w:jc w:val="left"/>
            </w:pPr>
            <w:r>
              <w:rPr>
                <w:sz w:val="21"/>
                <w:shd w:fill="FFFFFF" w:val="clear"/>
              </w:rPr>
              <w:t>1）抗干扰性：当产品部件出现供应风险时，供应商应通知采购人并提供风险应对方案确保产品的服务保障；</w:t>
            </w:r>
          </w:p>
          <w:p>
            <w:pPr>
              <w:pStyle w:val="null3"/>
              <w:jc w:val="left"/>
            </w:pPr>
            <w:r>
              <w:rPr>
                <w:sz w:val="21"/>
                <w:shd w:fill="FFFFFF" w:val="clear"/>
              </w:rPr>
              <w:t>2）供应能力证明：供应商提供供应链稳定承诺书，确保产品的部件在产品服务周期内稳定供货；</w:t>
            </w:r>
          </w:p>
          <w:p>
            <w:pPr>
              <w:pStyle w:val="null3"/>
              <w:jc w:val="left"/>
            </w:pPr>
            <w:r>
              <w:rPr>
                <w:sz w:val="21"/>
                <w:shd w:fill="FFFFFF" w:val="clear"/>
              </w:rPr>
              <w:t>★136.关键部件安全要求：不适用；</w:t>
            </w:r>
          </w:p>
          <w:p>
            <w:pPr>
              <w:pStyle w:val="null3"/>
              <w:jc w:val="left"/>
            </w:pPr>
            <w:r>
              <w:rPr>
                <w:sz w:val="21"/>
                <w:shd w:fill="FFFFFF" w:val="clear"/>
              </w:rPr>
              <w:t>★137.整机安全性要求：</w:t>
            </w:r>
          </w:p>
          <w:p>
            <w:pPr>
              <w:pStyle w:val="null3"/>
              <w:jc w:val="left"/>
            </w:pPr>
            <w:r>
              <w:rPr>
                <w:sz w:val="21"/>
                <w:shd w:fill="FFFFFF" w:val="clear"/>
              </w:rPr>
              <w:t>1）密码算法实现：不适用</w:t>
            </w:r>
          </w:p>
          <w:p>
            <w:pPr>
              <w:pStyle w:val="null3"/>
              <w:jc w:val="left"/>
            </w:pPr>
            <w:r>
              <w:rPr>
                <w:sz w:val="21"/>
                <w:shd w:fill="FFFFFF" w:val="clear"/>
              </w:rPr>
              <w:t>2）信息安全基本要求：</w:t>
            </w:r>
          </w:p>
          <w:p>
            <w:pPr>
              <w:pStyle w:val="null3"/>
              <w:jc w:val="left"/>
            </w:pPr>
            <w:r>
              <w:rPr>
                <w:sz w:val="21"/>
                <w:shd w:fill="FFFFFF" w:val="clear"/>
              </w:rPr>
              <w:t>a) 应符合 GB/T 39276 的 5.2 的规定；</w:t>
            </w:r>
          </w:p>
          <w:p>
            <w:pPr>
              <w:pStyle w:val="null3"/>
              <w:jc w:val="left"/>
            </w:pPr>
            <w:r>
              <w:rPr>
                <w:sz w:val="21"/>
                <w:shd w:fill="FFFFFF" w:val="clear"/>
              </w:rPr>
              <w:t>b) 生产厂商应建立漏洞跟踪表，保证 产品版本涉及到的漏洞(如驱动程序等)可查看；</w:t>
            </w:r>
          </w:p>
          <w:p>
            <w:pPr>
              <w:pStyle w:val="null3"/>
              <w:jc w:val="left"/>
            </w:pPr>
            <w:r>
              <w:rPr>
                <w:sz w:val="21"/>
                <w:shd w:fill="FFFFFF" w:val="clear"/>
              </w:rPr>
              <w:t>c) 产品不得包含已知的恶意代码或漏洞，不存在未声明的指令、功能、接口。</w:t>
            </w:r>
          </w:p>
          <w:p>
            <w:pPr>
              <w:pStyle w:val="null3"/>
              <w:jc w:val="left"/>
            </w:pPr>
            <w:r>
              <w:rPr>
                <w:sz w:val="21"/>
                <w:shd w:fill="FFFFFF" w:val="clear"/>
              </w:rPr>
              <w:t>3）固件安全启动：支持固件安全启动功能，固件启动过程中只有通过启动校验才能正常启动；</w:t>
            </w:r>
          </w:p>
          <w:p>
            <w:pPr>
              <w:pStyle w:val="null3"/>
              <w:jc w:val="left"/>
            </w:pPr>
            <w:r>
              <w:rPr>
                <w:sz w:val="21"/>
                <w:shd w:fill="FFFFFF" w:val="clear"/>
              </w:rPr>
              <w:t>4）限用物质的限量要求：符合 GB/T 26572 中规定；</w:t>
            </w:r>
          </w:p>
          <w:p>
            <w:pPr>
              <w:pStyle w:val="null3"/>
              <w:jc w:val="left"/>
            </w:pPr>
            <w:r>
              <w:rPr>
                <w:sz w:val="21"/>
                <w:shd w:fill="FFFFFF" w:val="clear"/>
              </w:rPr>
              <w:t>▲138.性能调优：提供中文版性能优化软件：有优化Maya、3Ds Max的选项，超过100个主流CG/DCC/CAD/CAE/GIS应用，提供满足此项功能承诺函；</w:t>
            </w:r>
          </w:p>
          <w:p>
            <w:pPr>
              <w:pStyle w:val="null3"/>
              <w:jc w:val="left"/>
            </w:pPr>
            <w:r>
              <w:rPr>
                <w:sz w:val="21"/>
                <w:shd w:fill="FFFFFF" w:val="clear"/>
              </w:rPr>
              <w:t>139.软件支持</w:t>
            </w:r>
          </w:p>
          <w:p>
            <w:pPr>
              <w:pStyle w:val="null3"/>
              <w:jc w:val="left"/>
            </w:pPr>
            <w:r>
              <w:rPr>
                <w:sz w:val="21"/>
                <w:shd w:fill="FFFFFF" w:val="clear"/>
              </w:rPr>
              <w:t>支持开放应用工具：提供原厂预装的</w:t>
            </w:r>
            <w:r>
              <w:rPr>
                <w:sz w:val="21"/>
                <w:shd w:fill="FFFFFF" w:val="clear"/>
              </w:rPr>
              <w:t>TensorFlow,Keras,Pytorch,Scikit-leam,XGBoost Python2&amp;3.R&amp;RStudio. RAPIDS cuML&amp;cuDF. Docker, Miniconda, CUDA. NVIDIA GFX Driver, GlT, VisualStudio Code,Pycharm等算法开发应用工具。费用包含在报价内。需承诺中标后提供原厂安装说明文档和视频安装教程。</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实践教学录播系统</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2套</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▲1、支持笔记本、一体机、台式机等设备同时无线接入观看实物展示；同时连接设备数量不低于5个。（投标文件中提供该参数的功能截图）</w:t>
            </w:r>
            <w:r>
              <w:br/>
            </w:r>
            <w:r>
              <w:rPr>
                <w:sz w:val="21"/>
                <w:shd w:fill="FFFFFF" w:val="clear"/>
              </w:rPr>
              <w:t>2、支持对比教学，支持2、4、6、8屏进行对比，可对比实时视频画面、本地图片，图片可以进行左转、右转、缩放、标注等</w:t>
            </w:r>
            <w:r>
              <w:br/>
            </w:r>
            <w:r>
              <w:rPr>
                <w:sz w:val="21"/>
                <w:shd w:fill="FFFFFF" w:val="clear"/>
              </w:rPr>
              <w:t>3、支持自动对焦，聚焦时间短，画面稳定、更清晰。</w:t>
            </w:r>
            <w:r>
              <w:br/>
            </w:r>
            <w:r>
              <w:rPr>
                <w:sz w:val="21"/>
                <w:shd w:fill="FFFFFF" w:val="clear"/>
              </w:rPr>
              <w:t>4、支持一体机或电脑使用本软件时，不影响一体机或电脑与外部网络连接。</w:t>
            </w:r>
            <w:r>
              <w:br/>
            </w:r>
            <w:r>
              <w:rPr>
                <w:sz w:val="21"/>
                <w:shd w:fill="FFFFFF" w:val="clear"/>
              </w:rPr>
              <w:t>5、支持MACOS系统的使用，其中MACOS运行的教学软件，支持实时视频展示、图片任意角度旋转、图片缩放、图片拍照、实时音视频录制等教学功能。</w:t>
            </w:r>
            <w:r>
              <w:br/>
            </w:r>
            <w:r>
              <w:rPr>
                <w:sz w:val="21"/>
                <w:shd w:fill="FFFFFF" w:val="clear"/>
              </w:rPr>
              <w:t>6、支持在统信操作系统和龙芯3A4000平台上顺利安装使用、运行良好。</w:t>
            </w:r>
            <w:r>
              <w:br/>
            </w:r>
            <w:r>
              <w:rPr>
                <w:sz w:val="21"/>
                <w:shd w:fill="FFFFFF" w:val="clear"/>
              </w:rPr>
              <w:t>7、支持电子白板讲解批注功能，可以画线、手写、黑板擦，可鼠标滚动缩放。可以随时拍照、录像，对展示和批注内容保存。</w:t>
            </w:r>
            <w:r>
              <w:br/>
            </w:r>
            <w:r>
              <w:rPr>
                <w:sz w:val="21"/>
                <w:shd w:fill="FFFFFF" w:val="clear"/>
              </w:rPr>
              <w:t>8、支持电脑屏幕、实物展示的视频录制，支持一键切换桌面和实物展示画面录制成同一个MP4视频文件。</w:t>
            </w:r>
            <w:r>
              <w:br/>
            </w:r>
            <w:r>
              <w:rPr>
                <w:sz w:val="21"/>
                <w:shd w:fill="FFFFFF" w:val="clear"/>
              </w:rPr>
              <w:t>▲9、无线支持多场景微课录制，包括实物展示、分屏对比、电脑屏幕、PPT等内容一次录制成同一个MP4格式的视频文件，无须二次转换格式。（投标文件中提供该参数的功能截图）</w:t>
            </w:r>
            <w:r>
              <w:br/>
            </w:r>
            <w:r>
              <w:rPr>
                <w:sz w:val="21"/>
                <w:shd w:fill="FFFFFF" w:val="clear"/>
              </w:rPr>
              <w:t>10、可设置实际大小、合适大小、锁定、缩放、左转、右转、对焦、拍照、录像等功能，以满足多种场景下使用和不同老师的教学习惯</w:t>
            </w:r>
            <w:r>
              <w:br/>
            </w:r>
            <w:r>
              <w:rPr>
                <w:sz w:val="21"/>
                <w:shd w:fill="FFFFFF" w:val="clear"/>
              </w:rPr>
              <w:t>11、资料库文件按图片及视频分类存储，做到有效管理</w:t>
            </w:r>
            <w:r>
              <w:br/>
            </w:r>
            <w:r>
              <w:rPr>
                <w:sz w:val="21"/>
                <w:shd w:fill="FFFFFF" w:val="clear"/>
              </w:rPr>
              <w:t>12.双软件：含智慧课堂互动教学系统软件和微课宝视频编辑软件。</w:t>
            </w:r>
            <w:r>
              <w:br/>
            </w:r>
            <w:r>
              <w:rPr>
                <w:sz w:val="21"/>
                <w:shd w:fill="FFFFFF" w:val="clear"/>
              </w:rPr>
              <w:t>13.支持微课编辑功能：可以对录制的微课添加片头、片尾、水印、字幕等；</w:t>
            </w:r>
            <w:r>
              <w:br/>
            </w:r>
            <w:r>
              <w:rPr>
                <w:sz w:val="21"/>
                <w:shd w:fill="FFFFFF" w:val="clear"/>
              </w:rPr>
              <w:t>14.可以对微课任意位置的视频剪切，且剪切后的画面可恢复。也可以对微课任意位置的音频配音，且配音后原音频可恢复。对编辑后微课一键生成视频文档。</w:t>
            </w:r>
            <w:r>
              <w:br/>
            </w:r>
            <w:r>
              <w:rPr>
                <w:sz w:val="21"/>
                <w:shd w:fill="FFFFFF" w:val="clear"/>
              </w:rPr>
              <w:t>▲15.支持片头、片尾和水印模板自定义管理，支持片头、片尾、水印自定义文字大小、颜色、透明度，并可通过拖动鼠标来改变文字位置和大小。定义的模板可自动显示有视频编辑模块中。（投标文件中提供该参数的功能截图）</w:t>
            </w:r>
            <w:r>
              <w:br/>
            </w:r>
            <w:r>
              <w:rPr>
                <w:sz w:val="21"/>
                <w:shd w:fill="FFFFFF" w:val="clear"/>
              </w:rPr>
              <w:t>16.支持内容分类管理，系统自动按照图片、视频等分类存档，微课视频按生成的日期自动归档，可以对图片、视频分类查看，微课视频可在类目下按日期查看，方便文件管理和查找。</w:t>
            </w:r>
            <w:r>
              <w:br/>
            </w:r>
            <w:r>
              <w:rPr>
                <w:sz w:val="21"/>
                <w:shd w:fill="FFFFFF" w:val="clear"/>
              </w:rPr>
              <w:t>17.支持图片编辑：可以对图片进行亮度、对比度、饱合度、智能裁边、剪裁、左转、右转、垂直翻转、水平翻转、灰度、黑白、反相、浮雕、锐化等处理。</w:t>
            </w:r>
            <w:r>
              <w:br/>
            </w:r>
            <w:r>
              <w:rPr>
                <w:sz w:val="21"/>
                <w:shd w:fill="FFFFFF" w:val="clear"/>
              </w:rPr>
              <w:t>18.像素：800万自动对焦（分辨率3264*2448）；</w:t>
            </w:r>
            <w:r>
              <w:br/>
            </w:r>
            <w:r>
              <w:rPr>
                <w:sz w:val="21"/>
                <w:shd w:fill="FFFFFF" w:val="clear"/>
              </w:rPr>
              <w:t>19.帧数：无线720P和1080P不低于25帧/秒；</w:t>
            </w:r>
            <w:r>
              <w:br/>
            </w:r>
            <w:r>
              <w:rPr>
                <w:sz w:val="21"/>
                <w:shd w:fill="FFFFFF" w:val="clear"/>
              </w:rPr>
              <w:t>20.最大拍摄幅面：最大拍摄幅面A2，最短拍摄距离8cm</w:t>
            </w:r>
            <w:r>
              <w:br/>
            </w:r>
            <w:r>
              <w:rPr>
                <w:sz w:val="21"/>
                <w:shd w:fill="FFFFFF" w:val="clear"/>
              </w:rPr>
              <w:t>▲21.万向软管式设计，任意方向可调。可以微距显示（拍摄清楚线路板IC型号）也可以拍摄超大A2幅面(拍摄大场景实训）。（投标文件中提供该参数的功能截图）</w:t>
            </w:r>
            <w:r>
              <w:br/>
            </w:r>
            <w:r>
              <w:rPr>
                <w:sz w:val="21"/>
                <w:shd w:fill="FFFFFF" w:val="clear"/>
              </w:rPr>
              <w:t>▲22.插拔式底座双用，底座和机身可分离，分离后产品可以夹于桌边。（投标文件中提供该参数的功能截图）</w:t>
            </w:r>
            <w:r>
              <w:br/>
            </w:r>
            <w:r>
              <w:rPr>
                <w:sz w:val="21"/>
                <w:shd w:fill="FFFFFF" w:val="clear"/>
              </w:rPr>
              <w:t>23.图片格式JPG,BMP,PNG,GIF,TIF，，视频格式MP4</w:t>
            </w:r>
            <w:r>
              <w:br/>
            </w:r>
            <w:r>
              <w:rPr>
                <w:sz w:val="21"/>
                <w:shd w:fill="FFFFFF" w:val="clear"/>
              </w:rPr>
              <w:t>24. 连接方式：5G无线传输,自动连接</w:t>
            </w:r>
            <w:r>
              <w:br/>
            </w:r>
            <w:r>
              <w:rPr>
                <w:sz w:val="21"/>
                <w:shd w:fill="FFFFFF" w:val="clear"/>
              </w:rPr>
              <w:t>25.光源：自然光、LED灯补光</w:t>
            </w:r>
            <w:r>
              <w:br/>
            </w:r>
            <w:r>
              <w:rPr>
                <w:sz w:val="21"/>
                <w:shd w:fill="FFFFFF" w:val="clear"/>
              </w:rPr>
              <w:t>26.支架参数</w:t>
            </w:r>
            <w:r>
              <w:br/>
            </w:r>
            <w:r>
              <w:rPr>
                <w:sz w:val="21"/>
                <w:shd w:fill="FFFFFF" w:val="clear"/>
              </w:rPr>
              <w:t>节数：</w:t>
            </w:r>
            <w:r>
              <w:rPr>
                <w:sz w:val="21"/>
                <w:shd w:fill="FFFFFF" w:val="clear"/>
              </w:rPr>
              <w:t>≥4节</w:t>
            </w:r>
            <w:r>
              <w:br/>
            </w:r>
            <w:r>
              <w:rPr>
                <w:sz w:val="21"/>
                <w:shd w:fill="FFFFFF" w:val="clear"/>
              </w:rPr>
              <w:t>自重：</w:t>
            </w:r>
            <w:r>
              <w:rPr>
                <w:sz w:val="21"/>
                <w:shd w:fill="FFFFFF" w:val="clear"/>
              </w:rPr>
              <w:t>≥1KG</w:t>
            </w:r>
            <w:r>
              <w:br/>
            </w:r>
            <w:r>
              <w:rPr>
                <w:sz w:val="21"/>
                <w:shd w:fill="FFFFFF" w:val="clear"/>
              </w:rPr>
              <w:t>承重：</w:t>
            </w:r>
            <w:r>
              <w:rPr>
                <w:sz w:val="21"/>
                <w:shd w:fill="FFFFFF" w:val="clear"/>
              </w:rPr>
              <w:t>≥8KG</w:t>
            </w:r>
            <w:r>
              <w:br/>
            </w:r>
            <w:r>
              <w:rPr>
                <w:sz w:val="21"/>
                <w:shd w:fill="FFFFFF" w:val="clear"/>
              </w:rPr>
              <w:t>材质：铝合金</w:t>
            </w:r>
            <w:r>
              <w:br/>
            </w:r>
            <w:r>
              <w:rPr>
                <w:sz w:val="21"/>
                <w:shd w:fill="FFFFFF" w:val="clear"/>
              </w:rPr>
              <w:t>高度：</w:t>
            </w:r>
            <w:r>
              <w:rPr>
                <w:sz w:val="21"/>
                <w:shd w:fill="FFFFFF" w:val="clear"/>
              </w:rPr>
              <w:t>52-158CM</w:t>
            </w:r>
            <w:r>
              <w:br/>
            </w:r>
            <w:r>
              <w:rPr>
                <w:sz w:val="21"/>
                <w:shd w:fill="FFFFFF" w:val="clear"/>
              </w:rPr>
              <w:t>管径：</w:t>
            </w:r>
            <w:r>
              <w:rPr>
                <w:sz w:val="21"/>
                <w:shd w:fill="FFFFFF" w:val="clear"/>
              </w:rPr>
              <w:t>18.5-32.5MM</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定制柜</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54m</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1.整体要求：根据各工作室室内空间尺寸，现场实测深化定制，整体风格统一、简洁实用；</w:t>
            </w:r>
          </w:p>
          <w:p>
            <w:pPr>
              <w:pStyle w:val="null3"/>
              <w:jc w:val="left"/>
            </w:pPr>
            <w:r>
              <w:rPr>
                <w:sz w:val="21"/>
                <w:shd w:fill="FFFFFF" w:val="clear"/>
              </w:rPr>
              <w:t>2.柜体尺寸：高度800~850mm，深度450~500mm（按各工作室功能微调），长度按各室需求（茶艺工作室约9m，剪纸工作室约7m，香云纱工作室约2m，文创工作室约9m，麟狮工作室约9m，广绣工作室约9m，珠绣工作室约9m）；</w:t>
            </w:r>
          </w:p>
          <w:p>
            <w:pPr>
              <w:pStyle w:val="null3"/>
              <w:jc w:val="left"/>
            </w:pPr>
            <w:r>
              <w:rPr>
                <w:sz w:val="21"/>
                <w:shd w:fill="FFFFFF" w:val="clear"/>
              </w:rPr>
              <w:t>3.柜体基材：采用E1级及以上优质环保板材，甲醛释放量达标，防潮、耐磨、抗变形、承重力强；</w:t>
            </w:r>
          </w:p>
          <w:p>
            <w:pPr>
              <w:pStyle w:val="null3"/>
              <w:jc w:val="left"/>
            </w:pPr>
            <w:r>
              <w:rPr>
                <w:sz w:val="21"/>
                <w:shd w:fill="FFFFFF" w:val="clear"/>
              </w:rPr>
              <w:t>4.板材厚度：侧板≥20mm，层板≥20mm，背板≥10mm，保证整体结构稳固；</w:t>
            </w:r>
          </w:p>
          <w:p>
            <w:pPr>
              <w:pStyle w:val="null3"/>
              <w:jc w:val="left"/>
            </w:pPr>
            <w:r>
              <w:rPr>
                <w:sz w:val="21"/>
                <w:shd w:fill="FFFFFF" w:val="clear"/>
              </w:rPr>
              <w:t>5.台面材质：优质环保免漆台面，耐磨、耐刮、易清洁、防水防污；</w:t>
            </w:r>
          </w:p>
          <w:p>
            <w:pPr>
              <w:pStyle w:val="null3"/>
              <w:jc w:val="left"/>
            </w:pPr>
            <w:r>
              <w:rPr>
                <w:sz w:val="21"/>
                <w:shd w:fill="FFFFFF" w:val="clear"/>
              </w:rPr>
              <w:t>6.柜门面板：同色系环保饰面板，平整无变形，封边严密、无开胶、无毛刺；</w:t>
            </w:r>
          </w:p>
          <w:p>
            <w:pPr>
              <w:pStyle w:val="null3"/>
              <w:jc w:val="left"/>
            </w:pPr>
            <w:r>
              <w:rPr>
                <w:sz w:val="21"/>
                <w:shd w:fill="FFFFFF" w:val="clear"/>
              </w:rPr>
              <w:t>7.封边工艺：全自动热熔封边，厚度≥1.5mm，光滑圆润，防潮耐用；</w:t>
            </w:r>
          </w:p>
          <w:p>
            <w:pPr>
              <w:pStyle w:val="null3"/>
              <w:jc w:val="left"/>
            </w:pPr>
            <w:r>
              <w:rPr>
                <w:sz w:val="21"/>
                <w:shd w:fill="FFFFFF" w:val="clear"/>
              </w:rPr>
              <w:t>8.内部结构：合理设置层板、储物空间，层板可调节，结构稳固，承重均匀；</w:t>
            </w:r>
          </w:p>
          <w:p>
            <w:pPr>
              <w:pStyle w:val="null3"/>
              <w:jc w:val="left"/>
            </w:pPr>
            <w:r>
              <w:rPr>
                <w:sz w:val="21"/>
                <w:shd w:fill="FFFFFF" w:val="clear"/>
              </w:rPr>
              <w:t>9.五金配件：铰链、滑轨，开会顺畅、静音、耐用；</w:t>
            </w:r>
          </w:p>
          <w:p>
            <w:pPr>
              <w:pStyle w:val="null3"/>
              <w:jc w:val="left"/>
            </w:pPr>
            <w:r>
              <w:rPr>
                <w:sz w:val="21"/>
                <w:shd w:fill="FFFFFF" w:val="clear"/>
              </w:rPr>
              <w:t>10.做工要求：</w:t>
            </w:r>
            <w:r>
              <w:rPr>
                <w:sz w:val="21"/>
              </w:rPr>
              <w:t>接缝严密、缝隙均匀；柜体横平竖直，无松动、无晃动、无异味。</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木质洞洞板</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81m</w:t>
            </w:r>
            <w:r>
              <w:rPr>
                <w:sz w:val="21"/>
                <w:vertAlign w:val="superscript"/>
                <w:shd w:fill="FFFFFF" w:val="clear"/>
              </w:rPr>
              <w:t>2</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1.根据室内空间尺寸现场定制，墙面安装。</w:t>
            </w:r>
          </w:p>
          <w:p>
            <w:pPr>
              <w:pStyle w:val="null3"/>
              <w:jc w:val="left"/>
            </w:pPr>
            <w:r>
              <w:rPr>
                <w:sz w:val="21"/>
                <w:shd w:fill="FFFFFF" w:val="clear"/>
              </w:rPr>
              <w:t>2.各室面积：茶艺 13.5㎡、剪纸 10.5㎡、香云纱 3㎡、文创 13.5㎡、麟狮 13.5㎡、广绣 13.5㎡、珠绣 13.5㎡。</w:t>
            </w:r>
          </w:p>
          <w:p>
            <w:pPr>
              <w:pStyle w:val="null3"/>
              <w:jc w:val="left"/>
            </w:pPr>
            <w:r>
              <w:rPr>
                <w:sz w:val="21"/>
                <w:shd w:fill="FFFFFF" w:val="clear"/>
              </w:rPr>
              <w:t>3.材质：实木多层板 / 松木，厚度≥15mm。</w:t>
            </w:r>
          </w:p>
          <w:p>
            <w:pPr>
              <w:pStyle w:val="null3"/>
              <w:jc w:val="left"/>
            </w:pPr>
            <w:r>
              <w:rPr>
                <w:sz w:val="21"/>
                <w:shd w:fill="FFFFFF" w:val="clear"/>
              </w:rPr>
              <w:t>4.数控打孔，排列均匀，无崩边。</w:t>
            </w:r>
          </w:p>
          <w:p>
            <w:pPr>
              <w:pStyle w:val="null3"/>
              <w:jc w:val="left"/>
            </w:pPr>
            <w:r>
              <w:rPr>
                <w:sz w:val="21"/>
                <w:shd w:fill="FFFFFF" w:val="clear"/>
              </w:rPr>
              <w:t>5.表面环保清漆 / 木蜡油，防潮耐磨。</w:t>
            </w:r>
          </w:p>
          <w:p>
            <w:pPr>
              <w:pStyle w:val="null3"/>
              <w:jc w:val="left"/>
            </w:pPr>
            <w:r>
              <w:rPr>
                <w:sz w:val="21"/>
                <w:shd w:fill="FFFFFF" w:val="clear"/>
              </w:rPr>
              <w:t>6.安装牢固、水平垂直、整体美观。</w:t>
            </w:r>
          </w:p>
          <w:p>
            <w:pPr>
              <w:pStyle w:val="null3"/>
              <w:jc w:val="left"/>
            </w:pPr>
            <w:r>
              <w:rPr>
                <w:sz w:val="21"/>
                <w:shd w:fill="FFFFFF" w:val="clear"/>
              </w:rPr>
              <w:t>7.所有材料符合国家环保及质量标准。</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定制书架</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144.9m</w:t>
            </w:r>
            <w:r>
              <w:rPr>
                <w:sz w:val="21"/>
                <w:vertAlign w:val="superscript"/>
                <w:shd w:fill="FFFFFF" w:val="clear"/>
              </w:rPr>
              <w:t>2</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1.整体要求：根据各工作室室内空间尺寸，现场实测深化定制，整体风格统一、简洁实用；</w:t>
            </w:r>
          </w:p>
          <w:p>
            <w:pPr>
              <w:pStyle w:val="null3"/>
              <w:jc w:val="left"/>
            </w:pPr>
            <w:r>
              <w:rPr>
                <w:sz w:val="21"/>
                <w:shd w:fill="FFFFFF" w:val="clear"/>
              </w:rPr>
              <w:t>2.书架尺寸：高度2.2~2.3m，深度0.35~0.4m，长度按各室需求微调（茶艺工作室约20.7㎡，剪纸工作室约20.7㎡，香云纱工作室20.7㎡，文创工作室约20.7㎡，麟狮工作室约20.7㎡，广绣工作室约20.7㎡，珠绣工作室约20.7㎡）；</w:t>
            </w:r>
          </w:p>
          <w:p>
            <w:pPr>
              <w:pStyle w:val="null3"/>
              <w:jc w:val="left"/>
            </w:pPr>
            <w:r>
              <w:rPr>
                <w:sz w:val="21"/>
                <w:shd w:fill="FFFFFF" w:val="clear"/>
              </w:rPr>
              <w:t>3.结构形式：开放式格架/带柜门组合式，层板可按需设计为固定或可调节，分格合理，满足书籍、资料、作品陈列；</w:t>
            </w:r>
          </w:p>
          <w:p>
            <w:pPr>
              <w:pStyle w:val="null3"/>
              <w:jc w:val="left"/>
            </w:pPr>
            <w:r>
              <w:rPr>
                <w:sz w:val="21"/>
                <w:shd w:fill="FFFFFF" w:val="clear"/>
              </w:rPr>
              <w:t>4.柜体基材：采用E1级及以上优质环保板材，甲醛释放量达标，防潮、耐磨、抗变形、承重力强；</w:t>
            </w:r>
          </w:p>
          <w:p>
            <w:pPr>
              <w:pStyle w:val="null3"/>
              <w:jc w:val="left"/>
            </w:pPr>
            <w:r>
              <w:rPr>
                <w:sz w:val="21"/>
                <w:shd w:fill="FFFFFF" w:val="clear"/>
              </w:rPr>
              <w:t>5.板材厚度：侧板≥20mm，层板≥20mm，背板≥10mm，保证整体结构稳固；</w:t>
            </w:r>
          </w:p>
          <w:p>
            <w:pPr>
              <w:pStyle w:val="null3"/>
              <w:jc w:val="left"/>
            </w:pPr>
            <w:r>
              <w:rPr>
                <w:sz w:val="21"/>
                <w:shd w:fill="FFFFFF" w:val="clear"/>
              </w:rPr>
              <w:t>6.台面材质：优质环保免漆台面，耐磨、耐刮、易清洁、防水防污；</w:t>
            </w:r>
          </w:p>
          <w:p>
            <w:pPr>
              <w:pStyle w:val="null3"/>
              <w:jc w:val="left"/>
            </w:pPr>
            <w:r>
              <w:rPr>
                <w:sz w:val="21"/>
                <w:shd w:fill="FFFFFF" w:val="clear"/>
              </w:rPr>
              <w:t>7.柜门面板：同色系环保饰面板，平整无变形，封边严密、无开胶、无毛刺；</w:t>
            </w:r>
          </w:p>
          <w:p>
            <w:pPr>
              <w:pStyle w:val="null3"/>
              <w:jc w:val="left"/>
            </w:pPr>
            <w:r>
              <w:rPr>
                <w:sz w:val="21"/>
                <w:shd w:fill="FFFFFF" w:val="clear"/>
              </w:rPr>
              <w:t>8.封边工艺：全自动热熔封边，厚度≥1.5mm，光滑圆润，防潮耐用；</w:t>
            </w:r>
          </w:p>
          <w:p>
            <w:pPr>
              <w:pStyle w:val="null3"/>
              <w:jc w:val="left"/>
            </w:pPr>
            <w:r>
              <w:rPr>
                <w:sz w:val="21"/>
                <w:shd w:fill="FFFFFF" w:val="clear"/>
              </w:rPr>
              <w:t>9.内部结构：合理设置层板、储物空间，层板可调节，结构稳固，承重均匀；</w:t>
            </w:r>
          </w:p>
          <w:p>
            <w:pPr>
              <w:pStyle w:val="null3"/>
              <w:jc w:val="left"/>
            </w:pPr>
            <w:r>
              <w:rPr>
                <w:sz w:val="21"/>
                <w:shd w:fill="FFFFFF" w:val="clear"/>
              </w:rPr>
              <w:t>10.五金配件：铰链、滑轨，开会顺畅、静音、耐用；</w:t>
            </w:r>
          </w:p>
          <w:p>
            <w:pPr>
              <w:pStyle w:val="null3"/>
              <w:jc w:val="left"/>
            </w:pPr>
            <w:r>
              <w:rPr>
                <w:sz w:val="21"/>
                <w:shd w:fill="FFFFFF" w:val="clear"/>
              </w:rPr>
              <w:t>11.做工要求：</w:t>
            </w:r>
            <w:r>
              <w:rPr>
                <w:sz w:val="21"/>
              </w:rPr>
              <w:t>接缝严密、缝隙均匀；柜体横平竖直，无松动、无晃动、无异味。</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六人桌椅</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25套</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1、产品名称：原木（橡木）桌椅组合，1桌配6椅成套供货；</w:t>
            </w:r>
          </w:p>
          <w:p>
            <w:pPr>
              <w:pStyle w:val="null3"/>
              <w:jc w:val="left"/>
            </w:pPr>
            <w:r>
              <w:rPr>
                <w:sz w:val="21"/>
                <w:shd w:fill="FFFFFF" w:val="clear"/>
              </w:rPr>
              <w:t>2、规格尺寸：桌子≥长 180cm× 高 76cm× 宽 80cm，椅子与桌子配套适配；</w:t>
            </w:r>
          </w:p>
          <w:p>
            <w:pPr>
              <w:pStyle w:val="null3"/>
              <w:jc w:val="left"/>
            </w:pPr>
            <w:r>
              <w:rPr>
                <w:sz w:val="21"/>
                <w:shd w:fill="FFFFFF" w:val="clear"/>
              </w:rPr>
              <w:t>3、数量要求：桌子 25 张，椅子 150 张；</w:t>
            </w:r>
          </w:p>
          <w:p>
            <w:pPr>
              <w:pStyle w:val="null3"/>
              <w:jc w:val="left"/>
            </w:pPr>
            <w:r>
              <w:rPr>
                <w:sz w:val="21"/>
                <w:shd w:fill="FFFFFF" w:val="clear"/>
              </w:rPr>
              <w:t>4、材质要求：主体采用真实橡木（非橡胶木 / 仿橡木），木材含水率 8%～12%，五金为防锈碳钢 / 不锈钢；</w:t>
            </w:r>
          </w:p>
          <w:p>
            <w:pPr>
              <w:pStyle w:val="null3"/>
              <w:jc w:val="left"/>
            </w:pPr>
            <w:r>
              <w:rPr>
                <w:sz w:val="21"/>
                <w:shd w:fill="FFFFFF" w:val="clear"/>
              </w:rPr>
              <w:t>5、工艺要求：榫卯 + 五金加固，桌面承重≥150kg / 张，椅子承重≥120kg / 把，打磨精细无毛刺；</w:t>
            </w:r>
          </w:p>
          <w:p>
            <w:pPr>
              <w:pStyle w:val="null3"/>
              <w:jc w:val="left"/>
            </w:pPr>
            <w:r>
              <w:rPr>
                <w:sz w:val="21"/>
                <w:shd w:fill="FFFFFF" w:val="clear"/>
              </w:rPr>
              <w:t>6、表面处理：环保木蜡油 / 哑光清漆，符合 GB 18581-2020 标准，耐刮擦、易清洁；</w:t>
            </w:r>
          </w:p>
          <w:p>
            <w:pPr>
              <w:pStyle w:val="null3"/>
              <w:jc w:val="left"/>
            </w:pPr>
            <w:r>
              <w:rPr>
                <w:sz w:val="21"/>
                <w:shd w:fill="FFFFFF" w:val="clear"/>
              </w:rPr>
              <w:t>7、外观要求：新中式风格，与效果图一致，线条流畅、结构稳固、无晃动异响；</w:t>
            </w:r>
          </w:p>
          <w:p>
            <w:pPr>
              <w:pStyle w:val="null3"/>
              <w:jc w:val="left"/>
            </w:pPr>
            <w:r>
              <w:rPr>
                <w:sz w:val="21"/>
                <w:shd w:fill="FFFFFF" w:val="clear"/>
              </w:rPr>
              <w:t>8、安装要求：现场组装摆放整齐，桌脚椅脚平稳贴合地面，成品保护到位；</w:t>
            </w:r>
          </w:p>
          <w:p>
            <w:pPr>
              <w:pStyle w:val="null3"/>
              <w:jc w:val="left"/>
            </w:pPr>
            <w:r>
              <w:rPr>
                <w:sz w:val="21"/>
                <w:shd w:fill="FFFFFF" w:val="clear"/>
              </w:rPr>
              <w:t>9、环保要求：符合国家环保标准。</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会议室桌椅</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20套</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实木桌面、钢架结构、可折叠椅子：长</w:t>
            </w:r>
            <w:r>
              <w:rPr>
                <w:sz w:val="21"/>
                <w:shd w:fill="FFFFFF" w:val="clear"/>
              </w:rPr>
              <w:t>≥240cm，高≥76cm，宽≥50cm；桌子和椅子配套，一张桌子配4张靠背椅子；共计20张桌子，80张靠背椅子；</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定制沙发</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shd w:fill="FFFFFF" w:val="clear"/>
              </w:rPr>
              <w:t>3套</w:t>
            </w:r>
          </w:p>
        </w:tc>
        <w:tc>
          <w:tcPr>
            <w:tcW w:type="dxa" w:w="5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shd w:fill="FFFFFF" w:val="clear"/>
              </w:rPr>
              <w:t>定制接待沙发</w:t>
            </w:r>
            <w:r>
              <w:rPr>
                <w:sz w:val="21"/>
                <w:shd w:fill="FFFFFF" w:val="clear"/>
              </w:rPr>
              <w:t>3套：长≥80cm，高≥90cm，宽80cm；沙发和茶几配套，一套沙发2张椅子椅1张茶几；共计6张沙发椅，3张茶几。</w:t>
            </w:r>
          </w:p>
        </w:tc>
      </w:tr>
    </w:tbl>
    <w:p>
      <w:pPr>
        <w:pStyle w:val="null3"/>
      </w:pPr>
      <w:r>
        <w:rPr/>
        <w:t xml:space="preserve"> </w:t>
      </w:r>
    </w:p>
    <w:p>
      <w:pPr>
        <w:pStyle w:val="null3"/>
      </w:pPr>
      <w:r>
        <w:rPr/>
        <w:t xml:space="preserve"> </w:t>
      </w:r>
    </w:p>
    <w:p>
      <w:pPr>
        <w:pStyle w:val="null3"/>
        <w:spacing w:before="120"/>
        <w:ind w:left="420"/>
        <w:jc w:val="both"/>
      </w:pPr>
      <w:r>
        <w:rPr>
          <w:sz w:val="21"/>
          <w:b/>
        </w:rPr>
        <w:t>三、   商务要求</w:t>
      </w:r>
    </w:p>
    <w:p>
      <w:pPr>
        <w:pStyle w:val="null3"/>
        <w:spacing w:before="120"/>
        <w:ind w:left="420"/>
        <w:jc w:val="both"/>
      </w:pPr>
      <w:r>
        <w:rPr>
          <w:sz w:val="21"/>
        </w:rPr>
        <w:t>(一)    质量要求</w:t>
      </w:r>
    </w:p>
    <w:p>
      <w:pPr>
        <w:pStyle w:val="null3"/>
        <w:ind w:left="285"/>
        <w:jc w:val="both"/>
      </w:pPr>
      <w:r>
        <w:rPr>
          <w:sz w:val="21"/>
        </w:rPr>
        <w:t>1. 执行的标准：执行与本项目所采购内容相关的国家标准、行业标准、地方标准及其他相关标准、规范。</w:t>
      </w:r>
    </w:p>
    <w:p>
      <w:pPr>
        <w:pStyle w:val="null3"/>
        <w:ind w:left="285"/>
        <w:jc w:val="both"/>
      </w:pPr>
      <w:r>
        <w:rPr>
          <w:sz w:val="21"/>
        </w:rPr>
        <w:t xml:space="preserve">2. </w:t>
      </w:r>
      <w:r>
        <w:rPr>
          <w:sz w:val="21"/>
        </w:rPr>
        <w:t>供应商</w:t>
      </w:r>
      <w:r>
        <w:rPr>
          <w:sz w:val="21"/>
        </w:rPr>
        <w:t>提供的物品须是全新，表面无划伤、无碰撞，并且符合所采购内容相关的国家标准、行业标准、地方标准及其他相关标准、规范。供应商需随设备装箱提供制造厂的设备检验、测试报告、设备检验合格证书、质量保证书和保修书等证明文件。</w:t>
      </w:r>
    </w:p>
    <w:p>
      <w:pPr>
        <w:pStyle w:val="null3"/>
        <w:ind w:left="285"/>
        <w:jc w:val="both"/>
      </w:pPr>
      <w:r>
        <w:rPr>
          <w:sz w:val="21"/>
        </w:rPr>
        <w:t xml:space="preserve">3. </w:t>
      </w:r>
      <w:r>
        <w:rPr>
          <w:sz w:val="21"/>
        </w:rPr>
        <w:t>供应商</w:t>
      </w:r>
      <w:r>
        <w:rPr>
          <w:sz w:val="21"/>
        </w:rPr>
        <w:t>应对投标设备列明其品牌、型号、制造商名称、产地、技术参数、功能介绍和使用说明。</w:t>
      </w:r>
    </w:p>
    <w:p>
      <w:pPr>
        <w:pStyle w:val="null3"/>
        <w:spacing w:before="120"/>
        <w:ind w:left="420"/>
        <w:jc w:val="both"/>
      </w:pPr>
      <w:r>
        <w:rPr>
          <w:sz w:val="21"/>
        </w:rPr>
        <w:t>(二)    报价要求</w:t>
      </w:r>
    </w:p>
    <w:p>
      <w:pPr>
        <w:pStyle w:val="null3"/>
        <w:ind w:firstLine="420"/>
        <w:jc w:val="both"/>
      </w:pPr>
      <w:r>
        <w:rPr>
          <w:sz w:val="21"/>
        </w:rPr>
        <w:t>项目</w:t>
      </w:r>
      <w:r>
        <w:rPr>
          <w:sz w:val="21"/>
        </w:rPr>
        <w:t>总报价包括完成本项目的成本、利润、运费、税金、全部设备的技术设计、运输、安装调试、人员培训、售后服务、原设备的拆除及办理费用等履行本项目合同所属的一切费用。</w:t>
      </w:r>
    </w:p>
    <w:p>
      <w:pPr>
        <w:pStyle w:val="null3"/>
        <w:spacing w:before="120"/>
        <w:ind w:left="420"/>
        <w:jc w:val="both"/>
      </w:pPr>
      <w:r>
        <w:rPr>
          <w:sz w:val="21"/>
        </w:rPr>
        <w:t>(三)    售后服务</w:t>
      </w:r>
    </w:p>
    <w:p>
      <w:pPr>
        <w:pStyle w:val="null3"/>
        <w:ind w:firstLine="420"/>
        <w:jc w:val="both"/>
      </w:pPr>
      <w:r>
        <w:rPr>
          <w:sz w:val="21"/>
        </w:rPr>
        <w:t>1.</w:t>
      </w:r>
      <w:r>
        <w:rPr>
          <w:sz w:val="21"/>
        </w:rPr>
        <w:t>除</w:t>
      </w:r>
      <w:r>
        <w:rPr>
          <w:sz w:val="21"/>
          <w:b/>
        </w:rPr>
        <w:t>LED屏控制工作站、视频工作站需提供</w:t>
      </w:r>
      <w:r>
        <w:rPr>
          <w:sz w:val="21"/>
          <w:shd w:fill="FFFFFF" w:val="clear"/>
        </w:rPr>
        <w:t>服务周期(含换件和维修)不小于3年</w:t>
      </w:r>
      <w:r>
        <w:rPr>
          <w:sz w:val="21"/>
        </w:rPr>
        <w:t>以外（费用包含在报价内），中标人对提供的其他所有设备均需提供不少于2年的整机保修服务，费用包含在报价内。</w:t>
      </w:r>
    </w:p>
    <w:p>
      <w:pPr>
        <w:pStyle w:val="null3"/>
        <w:ind w:firstLine="420"/>
        <w:jc w:val="both"/>
      </w:pPr>
      <w:r>
        <w:rPr>
          <w:sz w:val="21"/>
        </w:rPr>
        <w:t>2.</w:t>
      </w:r>
      <w:r>
        <w:rPr>
          <w:sz w:val="21"/>
        </w:rPr>
        <w:t>服务内容：在保修期内，</w:t>
      </w:r>
      <w:r>
        <w:rPr>
          <w:sz w:val="21"/>
        </w:rPr>
        <w:t>供应商</w:t>
      </w:r>
      <w:r>
        <w:rPr>
          <w:sz w:val="21"/>
        </w:rPr>
        <w:t>负责对全部货物进行维护和升级，费用包含在报价内。</w:t>
      </w:r>
    </w:p>
    <w:p>
      <w:pPr>
        <w:pStyle w:val="null3"/>
        <w:ind w:firstLine="420"/>
        <w:jc w:val="both"/>
      </w:pPr>
      <w:r>
        <w:rPr>
          <w:sz w:val="21"/>
        </w:rPr>
        <w:t>3.</w:t>
      </w:r>
      <w:r>
        <w:rPr>
          <w:sz w:val="21"/>
        </w:rPr>
        <w:t>设备故障的现场响应时间：</w:t>
      </w:r>
      <w:r>
        <w:rPr>
          <w:sz w:val="21"/>
        </w:rPr>
        <w:t>供应商</w:t>
      </w:r>
      <w:r>
        <w:rPr>
          <w:sz w:val="21"/>
        </w:rPr>
        <w:t>需提供7×24小时的响应。工作时间（正常工作日：8:00-18:00）故障响应时间不超过0.5小时，到达现场时间不超过2小时；非工作期间故障响应时间不超过1小时，到达现场时间不超过3小时。</w:t>
      </w:r>
    </w:p>
    <w:p>
      <w:pPr>
        <w:pStyle w:val="null3"/>
        <w:ind w:firstLine="420"/>
        <w:jc w:val="both"/>
      </w:pPr>
      <w:r>
        <w:rPr>
          <w:sz w:val="21"/>
        </w:rPr>
        <w:t>4.</w:t>
      </w:r>
      <w:r>
        <w:rPr>
          <w:sz w:val="21"/>
        </w:rPr>
        <w:t>本项目关键设备需要提供备件服务，当设备出现故障时且在检修半小时后仍无法排除，须在2小时内提供不低于故障设备规格型号档次的备用设备供项目单位使用，直至故障设备修复。由此产生的一切费用均由</w:t>
      </w:r>
      <w:r>
        <w:rPr>
          <w:sz w:val="21"/>
        </w:rPr>
        <w:t>供应商</w:t>
      </w:r>
      <w:r>
        <w:rPr>
          <w:sz w:val="21"/>
        </w:rPr>
        <w:t>承担。</w:t>
      </w:r>
    </w:p>
    <w:p>
      <w:pPr>
        <w:pStyle w:val="null3"/>
        <w:spacing w:before="120"/>
        <w:ind w:left="420"/>
        <w:jc w:val="both"/>
      </w:pPr>
      <w:r>
        <w:rPr>
          <w:sz w:val="21"/>
        </w:rPr>
        <w:t>(四)    交货时间和地点</w:t>
      </w:r>
    </w:p>
    <w:p>
      <w:pPr>
        <w:pStyle w:val="null3"/>
        <w:ind w:firstLine="420"/>
        <w:jc w:val="both"/>
      </w:pPr>
      <w:r>
        <w:rPr>
          <w:sz w:val="21"/>
        </w:rPr>
        <w:t xml:space="preserve">1. </w:t>
      </w:r>
      <w:r>
        <w:rPr>
          <w:sz w:val="21"/>
        </w:rPr>
        <w:t>交货时间：合同签订后45天内完成供货、安装、调试、交付使用。</w:t>
      </w:r>
    </w:p>
    <w:p>
      <w:pPr>
        <w:pStyle w:val="null3"/>
        <w:ind w:firstLine="420"/>
        <w:jc w:val="both"/>
      </w:pPr>
      <w:r>
        <w:rPr>
          <w:sz w:val="21"/>
        </w:rPr>
        <w:t xml:space="preserve">2. </w:t>
      </w:r>
      <w:r>
        <w:rPr>
          <w:sz w:val="21"/>
        </w:rPr>
        <w:t>交货地点：采购人指定地点。</w:t>
      </w:r>
    </w:p>
    <w:p>
      <w:pPr>
        <w:pStyle w:val="null3"/>
        <w:spacing w:before="120"/>
        <w:ind w:left="420"/>
        <w:jc w:val="both"/>
      </w:pPr>
      <w:r>
        <w:rPr>
          <w:sz w:val="21"/>
        </w:rPr>
        <w:t>(五)    安装调试</w:t>
      </w:r>
    </w:p>
    <w:p>
      <w:pPr>
        <w:pStyle w:val="null3"/>
        <w:ind w:firstLine="420"/>
        <w:jc w:val="both"/>
      </w:pPr>
      <w:r>
        <w:rPr>
          <w:sz w:val="21"/>
        </w:rPr>
        <w:t>设备的拆箱、安装、通电、调试等项工作由</w:t>
      </w:r>
      <w:r>
        <w:rPr>
          <w:sz w:val="21"/>
        </w:rPr>
        <w:t>供应商</w:t>
      </w:r>
      <w:r>
        <w:rPr>
          <w:sz w:val="21"/>
        </w:rPr>
        <w:t>负责，所有设备均须由</w:t>
      </w:r>
      <w:r>
        <w:rPr>
          <w:sz w:val="21"/>
        </w:rPr>
        <w:t>供应商</w:t>
      </w:r>
      <w:r>
        <w:rPr>
          <w:sz w:val="21"/>
        </w:rPr>
        <w:t>送货上门并安装调试。原实训室、机房的设备拆装、搬离到指定地方由</w:t>
      </w:r>
      <w:r>
        <w:rPr>
          <w:sz w:val="21"/>
        </w:rPr>
        <w:t>供应商</w:t>
      </w:r>
      <w:r>
        <w:rPr>
          <w:sz w:val="21"/>
        </w:rPr>
        <w:t>负责，采购人不再支付任何费用。</w:t>
      </w:r>
    </w:p>
    <w:p>
      <w:pPr>
        <w:pStyle w:val="null3"/>
        <w:spacing w:before="120"/>
        <w:ind w:left="420"/>
        <w:jc w:val="both"/>
      </w:pPr>
      <w:r>
        <w:rPr>
          <w:sz w:val="21"/>
        </w:rPr>
        <w:t>(六)    项目团队</w:t>
      </w:r>
    </w:p>
    <w:p>
      <w:pPr>
        <w:pStyle w:val="null3"/>
        <w:ind w:firstLine="420"/>
        <w:jc w:val="both"/>
      </w:pPr>
      <w:r>
        <w:rPr>
          <w:sz w:val="21"/>
        </w:rPr>
        <w:t>供应商</w:t>
      </w:r>
      <w:r>
        <w:rPr>
          <w:sz w:val="21"/>
        </w:rPr>
        <w:t>在合同签订后，要成立由项目经理负责的、多名人员参与的项目实施团队，负责供货质量计划和供货组织设计，包括供货进度计划和供货方案。根据招标人各相关业务部门的要求按时上报有关报表、资料、严格管理，精心施工，确保工程进度计划的实现。</w:t>
      </w:r>
    </w:p>
    <w:p>
      <w:pPr>
        <w:pStyle w:val="null3"/>
        <w:spacing w:before="120"/>
        <w:ind w:left="420"/>
        <w:jc w:val="both"/>
      </w:pPr>
      <w:r>
        <w:rPr>
          <w:sz w:val="21"/>
        </w:rPr>
        <w:t>(七)    验收要求</w:t>
      </w:r>
    </w:p>
    <w:p>
      <w:pPr>
        <w:pStyle w:val="null3"/>
        <w:ind w:firstLine="420"/>
        <w:jc w:val="both"/>
      </w:pPr>
      <w:r>
        <w:rPr>
          <w:sz w:val="21"/>
        </w:rPr>
        <w:t>供应商履约后，采购人收到供应商验收申请后7日内组织履约验收：</w:t>
      </w:r>
    </w:p>
    <w:p>
      <w:pPr>
        <w:pStyle w:val="null3"/>
        <w:ind w:firstLine="420"/>
        <w:jc w:val="both"/>
      </w:pPr>
      <w:r>
        <w:rPr>
          <w:sz w:val="21"/>
        </w:rPr>
        <w:t>1.</w:t>
      </w:r>
      <w:r>
        <w:rPr>
          <w:sz w:val="21"/>
        </w:rPr>
        <w:t>交付验收标准依次序对照适用标准为：①符合中华人民共和国国家安全质量标准、环保标准或行业标准；②符合招标文件和响应承诺中采购人认可的合理最佳配置、参数及各项要求；③货物来源国官方标准。</w:t>
      </w:r>
    </w:p>
    <w:p>
      <w:pPr>
        <w:pStyle w:val="null3"/>
        <w:ind w:firstLine="420"/>
        <w:jc w:val="both"/>
      </w:pPr>
      <w:r>
        <w:rPr>
          <w:sz w:val="21"/>
        </w:rPr>
        <w:t>3.</w:t>
      </w:r>
      <w:r>
        <w:rPr>
          <w:sz w:val="21"/>
        </w:rPr>
        <w:t>货物为原厂商未启封全新包装，具出厂合格证，序列号、包装箱号与出厂批号一致，并可追索查阅。所有随设备的附件需齐全。</w:t>
      </w:r>
    </w:p>
    <w:p>
      <w:pPr>
        <w:pStyle w:val="null3"/>
        <w:ind w:firstLine="420"/>
        <w:jc w:val="both"/>
      </w:pPr>
      <w:r>
        <w:rPr>
          <w:sz w:val="21"/>
        </w:rPr>
        <w:t>4.</w:t>
      </w:r>
      <w:r>
        <w:rPr>
          <w:sz w:val="21"/>
        </w:rPr>
        <w:t>供应商应将关键主机设备的用户手册、保修手册、有关单证资料及配备件、随机工具等交付给采购人，使用操作及安全须知等重要资料应附有中文说明。</w:t>
      </w:r>
    </w:p>
    <w:p>
      <w:pPr>
        <w:pStyle w:val="null3"/>
        <w:ind w:firstLine="420"/>
        <w:jc w:val="both"/>
      </w:pPr>
      <w:r>
        <w:rPr>
          <w:sz w:val="21"/>
        </w:rPr>
        <w:t>5.</w:t>
      </w:r>
      <w:r>
        <w:rPr>
          <w:sz w:val="21"/>
        </w:rPr>
        <w:t>采购人组成验收小组按国家有关规定、规范进行验收，必要时邀请相关的专业人员或机构参与验收。因货物质量问题发生争议时，由本地质量技术监督部门鉴定。货物符合质量技术标准的，鉴定费由采购人承担；否则鉴定费由供应商承担。</w:t>
      </w:r>
    </w:p>
    <w:p>
      <w:pPr>
        <w:pStyle w:val="null3"/>
        <w:ind w:firstLine="420"/>
        <w:jc w:val="both"/>
      </w:pPr>
      <w:r>
        <w:rPr>
          <w:sz w:val="21"/>
        </w:rPr>
        <w:t>6.</w:t>
      </w:r>
      <w:r>
        <w:rPr>
          <w:sz w:val="21"/>
        </w:rPr>
        <w:t>货到现场，采购人对供应商所交货物进行清点签收，并签署签收单，物品灭失风险自签收后转移到采购人。</w:t>
      </w:r>
    </w:p>
    <w:p>
      <w:pPr>
        <w:pStyle w:val="null3"/>
        <w:spacing w:before="120"/>
        <w:ind w:left="420"/>
        <w:jc w:val="both"/>
      </w:pPr>
      <w:r>
        <w:rPr>
          <w:sz w:val="21"/>
        </w:rPr>
        <w:t>(八)    付款方式：</w:t>
      </w:r>
    </w:p>
    <w:p>
      <w:pPr>
        <w:pStyle w:val="null3"/>
        <w:ind w:firstLine="420"/>
        <w:jc w:val="left"/>
      </w:pPr>
      <w:r>
        <w:rPr>
          <w:sz w:val="21"/>
        </w:rPr>
        <w:t>1.</w:t>
      </w:r>
      <w:r>
        <w:rPr>
          <w:sz w:val="21"/>
        </w:rPr>
        <w:t>供应商</w:t>
      </w:r>
      <w:r>
        <w:rPr>
          <w:sz w:val="21"/>
        </w:rPr>
        <w:t>应在收到中标通知书后7个工作日内，向采购人通过银行转账方式或</w:t>
      </w:r>
      <w:r>
        <w:rPr>
          <w:sz w:val="21"/>
        </w:rPr>
        <w:t>支票、汇票、本票、保函等非现金形式</w:t>
      </w:r>
      <w:r>
        <w:rPr>
          <w:sz w:val="21"/>
        </w:rPr>
        <w:t>提交合同金额的5%作为履约保证金，并完成合同签订手续。</w:t>
      </w:r>
    </w:p>
    <w:p>
      <w:pPr>
        <w:pStyle w:val="null3"/>
        <w:ind w:firstLine="420"/>
        <w:jc w:val="both"/>
      </w:pPr>
      <w:r>
        <w:rPr>
          <w:sz w:val="21"/>
        </w:rPr>
        <w:t>2.</w:t>
      </w:r>
      <w:r>
        <w:rPr>
          <w:sz w:val="21"/>
        </w:rPr>
        <w:t>采购人与供应商签订合同，采购相关款项由采购人按合同支付，供应商向采购人开具合法票据，采购人应当自收到发票后10个工作日内将资金支付。</w:t>
      </w:r>
    </w:p>
    <w:p>
      <w:pPr>
        <w:pStyle w:val="null3"/>
        <w:ind w:firstLine="420"/>
        <w:jc w:val="both"/>
      </w:pPr>
      <w:r>
        <w:rPr>
          <w:sz w:val="21"/>
        </w:rPr>
        <w:t>3.</w:t>
      </w:r>
      <w:r>
        <w:rPr>
          <w:sz w:val="21"/>
        </w:rPr>
        <w:t>项目完成验收后，采购人在收到供应商提交相关支付材料后根据学校财务支付流程按上述第2点的流程办理支付合同总价100%的手续。供应商需在项目质保期内正常履行合同义务，由此产生的一切费用均由供应商自行承担。。</w:t>
      </w:r>
    </w:p>
    <w:p>
      <w:pPr>
        <w:pStyle w:val="null3"/>
        <w:ind w:firstLine="420"/>
        <w:jc w:val="both"/>
      </w:pPr>
      <w:r>
        <w:rPr>
          <w:sz w:val="21"/>
        </w:rPr>
        <w:t>4.</w:t>
      </w:r>
      <w:r>
        <w:rPr>
          <w:sz w:val="21"/>
        </w:rPr>
        <w:t>如中标供应商为中小企业，则合同签订后10个工作日内采购人在收到供应商提交的相关支付材料后根据学校财务支付流程按上述第2点的流程办理支付合同总价30%的预付款。项目完成验收后，采购人在收到供应商提交相关支付材料后，根据学校财务支付流程按上述第2点的流程办理支付合同总价70%的手续。供应商需在项目质保期内正常履行合同义务，由此产生的一切费用均由供应商自行承担。</w:t>
      </w:r>
    </w:p>
    <w:p>
      <w:pPr>
        <w:pStyle w:val="null3"/>
        <w:ind w:firstLine="420"/>
        <w:jc w:val="both"/>
      </w:pPr>
      <w:r>
        <w:rPr>
          <w:sz w:val="21"/>
        </w:rPr>
        <w:t xml:space="preserve">5. </w:t>
      </w:r>
      <w:r>
        <w:rPr>
          <w:sz w:val="21"/>
        </w:rPr>
        <w:t>履约保证金在验收合格后如无重大质量问题，</w:t>
      </w:r>
      <w:r>
        <w:rPr>
          <w:sz w:val="21"/>
        </w:rPr>
        <w:t>由供应商提出申请后，</w:t>
      </w:r>
      <w:r>
        <w:rPr>
          <w:sz w:val="21"/>
        </w:rPr>
        <w:t>在10个工作日内由采购人直接无息支付给</w:t>
      </w:r>
      <w:r>
        <w:rPr>
          <w:sz w:val="21"/>
        </w:rPr>
        <w:t>供应商</w:t>
      </w:r>
      <w:r>
        <w:rPr>
          <w:sz w:val="21"/>
        </w:rPr>
        <w:t>。</w:t>
      </w:r>
    </w:p>
    <w:p>
      <w:pPr>
        <w:pStyle w:val="null3"/>
        <w:ind w:firstLine="420"/>
        <w:jc w:val="both"/>
      </w:pPr>
      <w:r>
        <w:rPr>
          <w:sz w:val="21"/>
        </w:rPr>
        <w:t>6.</w:t>
      </w:r>
      <w:r>
        <w:rPr>
          <w:sz w:val="21"/>
        </w:rPr>
        <w:t>履约保证金不予退还的情形： 1）拒绝履行合同义务的； 2）履约验收不合格经整改后仍未合格的。</w:t>
      </w:r>
    </w:p>
    <w:p>
      <w:pPr>
        <w:pStyle w:val="null3"/>
        <w:jc w:val="left"/>
      </w:pPr>
      <w:r>
        <w:rPr>
          <w:sz w:val="21"/>
          <w:b/>
        </w:rPr>
        <w:t>四、视频演示要求</w:t>
      </w:r>
    </w:p>
    <w:p>
      <w:pPr>
        <w:pStyle w:val="null3"/>
        <w:ind w:firstLine="420"/>
        <w:jc w:val="left"/>
      </w:pPr>
      <w:r>
        <w:rPr>
          <w:sz w:val="21"/>
        </w:rPr>
        <w:t>1</w:t>
      </w:r>
      <w:r>
        <w:rPr>
          <w:sz w:val="21"/>
        </w:rPr>
        <w:t>、</w:t>
      </w:r>
      <w:r>
        <w:rPr>
          <w:sz w:val="21"/>
        </w:rPr>
        <w:t>视频演示的方式：本项目所有要求提供视频演示的功能，均需进行内容录播视频演示（刻录成光盘或</w:t>
      </w:r>
      <w:r>
        <w:rPr>
          <w:sz w:val="21"/>
        </w:rPr>
        <w:t>U</w:t>
      </w:r>
      <w:r>
        <w:rPr>
          <w:sz w:val="21"/>
        </w:rPr>
        <w:t>盘介质密封提交，封装上标注：项目名称、项目编号、投标人名称、包组号）；</w:t>
      </w:r>
    </w:p>
    <w:p>
      <w:pPr>
        <w:pStyle w:val="null3"/>
        <w:ind w:firstLine="420"/>
        <w:jc w:val="left"/>
      </w:pPr>
      <w:r>
        <w:rPr>
          <w:sz w:val="21"/>
        </w:rPr>
        <w:t>2</w:t>
      </w:r>
      <w:r>
        <w:rPr>
          <w:sz w:val="21"/>
        </w:rPr>
        <w:t>、</w:t>
      </w:r>
      <w:r>
        <w:rPr>
          <w:sz w:val="21"/>
        </w:rPr>
        <w:t>投标人提供真实产品的功能视频演示录像；要求采用所投标软件（如有）或硬件产品（如有）真实型号拍摄的演示视频，演示视频片头需拍摄演示实物型号且演示实物型号与所投产品型号必须一致。如采用</w:t>
      </w:r>
      <w:r>
        <w:rPr>
          <w:sz w:val="21"/>
        </w:rPr>
        <w:t>PPT</w:t>
      </w:r>
      <w:r>
        <w:rPr>
          <w:sz w:val="21"/>
        </w:rPr>
        <w:t>、图片等非所投真实产品进行演示或不参与演示的均不得分</w:t>
      </w:r>
      <w:r>
        <w:rPr>
          <w:sz w:val="21"/>
        </w:rPr>
        <w:t>。</w:t>
      </w:r>
    </w:p>
    <w:p>
      <w:pPr>
        <w:pStyle w:val="null3"/>
        <w:ind w:firstLine="420"/>
        <w:jc w:val="left"/>
      </w:pPr>
      <w:r>
        <w:rPr>
          <w:sz w:val="21"/>
        </w:rPr>
        <w:t>3</w:t>
      </w:r>
      <w:r>
        <w:rPr>
          <w:sz w:val="21"/>
        </w:rPr>
        <w:t>、</w:t>
      </w:r>
      <w:r>
        <w:rPr>
          <w:sz w:val="21"/>
        </w:rPr>
        <w:t>演示内容展现要求：以所投产品实物演示。在光盘（</w:t>
      </w:r>
      <w:r>
        <w:rPr>
          <w:sz w:val="21"/>
        </w:rPr>
        <w:t>U</w:t>
      </w:r>
      <w:r>
        <w:rPr>
          <w:sz w:val="21"/>
        </w:rPr>
        <w:t>盘）的文件中，应同时提供演示各功能点在视频中的时间节点（以</w:t>
      </w:r>
      <w:r>
        <w:rPr>
          <w:sz w:val="21"/>
        </w:rPr>
        <w:t>word</w:t>
      </w:r>
      <w:r>
        <w:rPr>
          <w:sz w:val="21"/>
        </w:rPr>
        <w:t>文档形式提供，格式如下：“序号×，演示内容：×××……，演示时间：</w:t>
      </w:r>
      <w:r>
        <w:rPr>
          <w:sz w:val="21"/>
        </w:rPr>
        <w:t>03:21</w:t>
      </w:r>
      <w:r>
        <w:rPr>
          <w:sz w:val="21"/>
        </w:rPr>
        <w:t>”，以此类推）。录像视频中，对于正在展现的操作内容，应以不遮挡演示内容的字幕形式标出。</w:t>
      </w:r>
    </w:p>
    <w:p>
      <w:pPr>
        <w:pStyle w:val="null3"/>
        <w:ind w:left="315" w:firstLine="105"/>
        <w:jc w:val="left"/>
      </w:pPr>
      <w:r>
        <w:rPr>
          <w:sz w:val="21"/>
        </w:rPr>
        <w:t>4</w:t>
      </w:r>
      <w:r>
        <w:rPr>
          <w:sz w:val="21"/>
        </w:rPr>
        <w:t>、</w:t>
      </w:r>
      <w:r>
        <w:rPr>
          <w:sz w:val="21"/>
        </w:rPr>
        <w:t>视频演示的时间：所有演示内容合并在一个演示视频中，演示最长不超过</w:t>
      </w:r>
      <w:r>
        <w:rPr>
          <w:sz w:val="21"/>
        </w:rPr>
        <w:t>15</w:t>
      </w:r>
      <w:r>
        <w:rPr>
          <w:sz w:val="21"/>
        </w:rPr>
        <w:t>分钟。</w:t>
      </w:r>
    </w:p>
    <w:p>
      <w:pPr>
        <w:pStyle w:val="null3"/>
        <w:ind w:firstLine="420"/>
        <w:jc w:val="left"/>
      </w:pPr>
      <w:r>
        <w:rPr>
          <w:sz w:val="21"/>
        </w:rPr>
        <w:t>5</w:t>
      </w:r>
      <w:r>
        <w:rPr>
          <w:sz w:val="21"/>
        </w:rPr>
        <w:t>、</w:t>
      </w:r>
      <w:r>
        <w:rPr>
          <w:sz w:val="21"/>
        </w:rPr>
        <w:t>视频格式要求：视频分辨率应不低于</w:t>
      </w:r>
      <w:r>
        <w:rPr>
          <w:sz w:val="21"/>
        </w:rPr>
        <w:t>720p</w:t>
      </w:r>
      <w:r>
        <w:rPr>
          <w:sz w:val="21"/>
        </w:rPr>
        <w:t>，演示视频应为</w:t>
      </w:r>
      <w:r>
        <w:rPr>
          <w:sz w:val="21"/>
        </w:rPr>
        <w:t>mp4</w:t>
      </w:r>
      <w:r>
        <w:rPr>
          <w:sz w:val="21"/>
        </w:rPr>
        <w:t>、</w:t>
      </w:r>
      <w:r>
        <w:rPr>
          <w:sz w:val="21"/>
        </w:rPr>
        <w:t>mov</w:t>
      </w:r>
      <w:r>
        <w:rPr>
          <w:sz w:val="21"/>
        </w:rPr>
        <w:t>、</w:t>
      </w:r>
      <w:r>
        <w:rPr>
          <w:sz w:val="21"/>
        </w:rPr>
        <w:t>avi</w:t>
      </w:r>
      <w:r>
        <w:rPr>
          <w:sz w:val="21"/>
        </w:rPr>
        <w:t>等</w:t>
      </w:r>
      <w:r>
        <w:rPr>
          <w:sz w:val="21"/>
        </w:rPr>
        <w:t>Windows10</w:t>
      </w:r>
      <w:r>
        <w:rPr>
          <w:sz w:val="21"/>
        </w:rPr>
        <w:t>政府版操作系统播放器默认兼容格式，因非上述通用格式或供应商自身其他原因造成视频无法播放或因分辨率过低导致演示效果不清晰的，后果由供应商自行承担。</w:t>
      </w:r>
    </w:p>
    <w:p>
      <w:pPr>
        <w:pStyle w:val="null3"/>
        <w:ind w:firstLine="420"/>
        <w:jc w:val="left"/>
      </w:pPr>
      <w:r>
        <w:rPr>
          <w:sz w:val="21"/>
        </w:rPr>
        <w:t>6</w:t>
      </w:r>
      <w:r>
        <w:rPr>
          <w:sz w:val="21"/>
        </w:rPr>
        <w:t>、递交演示视频时间：投标文件递交截止时间前30分钟内（截止时间详见采购公告），供应商委派专人现场递交。为避免邮寄产生的风险，本项目不接收邮寄、快递递交演示视频。</w:t>
      </w:r>
    </w:p>
    <w:p>
      <w:pPr>
        <w:pStyle w:val="null3"/>
        <w:ind w:firstLine="420"/>
        <w:jc w:val="left"/>
      </w:pPr>
      <w:r>
        <w:rPr>
          <w:sz w:val="21"/>
        </w:rPr>
        <w:t>7</w:t>
      </w:r>
      <w:r>
        <w:rPr>
          <w:sz w:val="21"/>
        </w:rPr>
        <w:t>、递交演示视频地点：广州市越秀区越华路112号珠江国际大厦三楼（具体位置按前台工作人员指引）。</w:t>
      </w:r>
    </w:p>
    <w:p>
      <w:pPr>
        <w:pStyle w:val="null3"/>
        <w:ind w:firstLine="420"/>
        <w:jc w:val="left"/>
      </w:pPr>
      <w:r>
        <w:rPr>
          <w:sz w:val="21"/>
        </w:rPr>
        <w:t>8</w:t>
      </w:r>
      <w:r>
        <w:rPr>
          <w:sz w:val="21"/>
        </w:rPr>
        <w:t>、视频演示顺序，按照广东政府采购智慧云平台生成的“投标人签到表”顺序播放。</w:t>
      </w:r>
    </w:p>
    <w:p>
      <w:pPr>
        <w:pStyle w:val="null3"/>
        <w:ind w:left="315" w:firstLine="105"/>
        <w:jc w:val="left"/>
      </w:pPr>
      <w:r>
        <w:rPr>
          <w:sz w:val="21"/>
        </w:rPr>
        <w:t>9</w:t>
      </w:r>
      <w:r>
        <w:rPr>
          <w:sz w:val="21"/>
        </w:rPr>
        <w:t>、智能电源管理中心演示内容如下：</w:t>
      </w:r>
    </w:p>
    <w:p>
      <w:pPr>
        <w:pStyle w:val="null3"/>
        <w:ind w:firstLine="420"/>
        <w:jc w:val="left"/>
      </w:pPr>
      <w:r>
        <w:rPr>
          <w:sz w:val="21"/>
        </w:rPr>
        <w:t>（1）系统链路拓补图：电源管理平台端联动其他设备形成系统化链路拓补图，直观展示各设备之间连接情况，快速确认设备之间是否存在故障断联。（提供演示视频进行佐证）</w:t>
      </w:r>
    </w:p>
    <w:p>
      <w:pPr>
        <w:pStyle w:val="null3"/>
        <w:ind w:firstLine="420"/>
        <w:jc w:val="left"/>
      </w:pPr>
      <w:r>
        <w:rPr>
          <w:sz w:val="21"/>
        </w:rPr>
        <w:t>（2）功率趋势分析：平台端自动生成功率走势图，能够查看各个通道在24小时内的功率使用情况，帮助识别设备老化、负荷异常、峰值规律，为扩容或节能提供数据支撑。（提供演示视频进行佐证）</w:t>
      </w:r>
    </w:p>
    <w:p>
      <w:pPr>
        <w:pStyle w:val="null3"/>
        <w:ind w:firstLine="420"/>
        <w:jc w:val="left"/>
      </w:pPr>
      <w:r>
        <w:rPr>
          <w:sz w:val="21"/>
        </w:rPr>
        <w:t>（3）本机定时任务：无需联网即可在设备端新增定时任务，自定义任务名称、开关动作、执行周期（单次/循环）、执行通道顺序，保障离线场景下的自动化能力。（提供演示视频进行佐证）</w:t>
      </w:r>
    </w:p>
    <w:p>
      <w:pPr>
        <w:pStyle w:val="null3"/>
        <w:ind w:firstLine="420"/>
        <w:jc w:val="left"/>
      </w:pPr>
      <w:r>
        <w:rPr>
          <w:sz w:val="21"/>
        </w:rPr>
        <w:t>（4）本机电气安全设置：直接在设备端设置过压/欠压/温度/每路过流阈值，并查看每一路的告警状态，实现本地化闭环管理。（提供演示视频进行佐证）</w:t>
      </w:r>
    </w:p>
    <w:p>
      <w:pPr>
        <w:pStyle w:val="null3"/>
      </w:pPr>
      <w:r>
        <w:rPr/>
        <w:t xml:space="preserve"> </w:t>
      </w:r>
    </w:p>
    <w:p>
      <w:pPr>
        <w:pStyle w:val="null3"/>
        <w:ind w:left="105" w:firstLine="632"/>
        <w:jc w:val="both"/>
      </w:pPr>
      <w:r>
        <w:rPr>
          <w:sz w:val="21"/>
          <w:b/>
          <w:shd w:fill="FFFFFF" w:val="clear"/>
        </w:rPr>
        <w:t>附件</w:t>
      </w:r>
      <w:r>
        <w:rPr>
          <w:sz w:val="21"/>
          <w:b/>
          <w:shd w:fill="FFFFFF" w:val="clear"/>
        </w:rPr>
        <w:t>1</w:t>
      </w:r>
    </w:p>
    <w:p>
      <w:pPr>
        <w:pStyle w:val="null3"/>
        <w:ind w:left="825"/>
        <w:jc w:val="center"/>
      </w:pPr>
      <w:r>
        <w:rPr>
          <w:sz w:val="21"/>
          <w:shd w:fill="FFFFFF" w:val="clear"/>
        </w:rPr>
        <w:t>《关于本国产品政策的说明》</w:t>
      </w:r>
    </w:p>
    <w:p>
      <w:pPr>
        <w:pStyle w:val="null3"/>
        <w:ind w:left="105" w:firstLine="632"/>
        <w:jc w:val="both"/>
      </w:pPr>
      <w:r>
        <w:rPr>
          <w:sz w:val="21"/>
          <w:shd w:fill="FFFFFF" w:val="clear"/>
        </w:rPr>
        <w:t>1.</w:t>
      </w:r>
      <w:r>
        <w:rPr>
          <w:sz w:val="21"/>
          <w:shd w:fill="FFFFFF" w:val="clear"/>
        </w:rPr>
        <w:t>在中国境内生产的组件成本占比、关键组件及关键工序相关要求实施前，供应商所提供的产品在中国境内生产，即在中华人民共和国关境内实现从原材料、组件到产品的属性改变，视同本国产品。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ind w:firstLine="420"/>
      </w:pPr>
      <w:r>
        <w:rPr>
          <w:sz w:val="21"/>
          <w:color w:val="000000"/>
          <w:shd w:fill="FFFFFF" w:val="clear"/>
        </w:rPr>
        <w:t>注：</w:t>
      </w:r>
    </w:p>
    <w:p>
      <w:pPr>
        <w:pStyle w:val="null3"/>
        <w:ind w:firstLine="420"/>
      </w:pPr>
      <w:r>
        <w:rPr>
          <w:sz w:val="21"/>
          <w:color w:val="000000"/>
          <w:shd w:fill="FFFFFF" w:val="clear"/>
        </w:rPr>
        <w:t>（</w:t>
      </w:r>
      <w:r>
        <w:rPr>
          <w:sz w:val="21"/>
          <w:color w:val="000000"/>
          <w:shd w:fill="FFFFFF" w:val="clear"/>
        </w:rPr>
        <w:t>1</w:t>
      </w:r>
      <w:r>
        <w:rPr>
          <w:sz w:val="21"/>
          <w:color w:val="000000"/>
          <w:shd w:fill="FFFFFF" w:val="clear"/>
        </w:rPr>
        <w:t>）属性改变是指经过制造、加工或者组装等工序，产生完全不同于原材料、组件的新产品，并具有新的名称和特征（用途）。</w:t>
      </w:r>
    </w:p>
    <w:p>
      <w:pPr>
        <w:pStyle w:val="null3"/>
        <w:ind w:firstLine="420"/>
      </w:pPr>
      <w:r>
        <w:rPr>
          <w:sz w:val="21"/>
          <w:color w:val="000000"/>
          <w:shd w:fill="FFFFFF" w:val="clear"/>
        </w:rPr>
        <w:t>（</w:t>
      </w:r>
      <w:r>
        <w:rPr>
          <w:sz w:val="21"/>
          <w:color w:val="000000"/>
          <w:shd w:fill="FFFFFF" w:val="clear"/>
        </w:rPr>
        <w:t>2</w:t>
      </w:r>
      <w:r>
        <w:rPr>
          <w:sz w:val="21"/>
          <w:color w:val="000000"/>
          <w:shd w:fill="FFFFFF" w:val="clear"/>
        </w:rPr>
        <w:t>）属性改变不包括以下细微操作：</w:t>
      </w:r>
    </w:p>
    <w:p>
      <w:pPr>
        <w:pStyle w:val="null3"/>
        <w:ind w:firstLine="420"/>
      </w:pPr>
      <w:r>
        <w:rPr>
          <w:sz w:val="21"/>
          <w:color w:val="000000"/>
          <w:shd w:fill="FFFFFF" w:val="clear"/>
        </w:rPr>
        <w:t>①为确保产品在运输或者储存期间保持某种状态而进行的操作；</w:t>
      </w:r>
    </w:p>
    <w:p>
      <w:pPr>
        <w:pStyle w:val="null3"/>
        <w:ind w:firstLine="420"/>
      </w:pPr>
      <w:r>
        <w:rPr>
          <w:sz w:val="21"/>
          <w:color w:val="000000"/>
          <w:shd w:fill="FFFFFF" w:val="clear"/>
        </w:rPr>
        <w:t>②为产品运输或者销售进行的包装或者展示；</w:t>
      </w:r>
    </w:p>
    <w:p>
      <w:pPr>
        <w:pStyle w:val="null3"/>
        <w:ind w:firstLine="420"/>
      </w:pPr>
      <w:r>
        <w:rPr>
          <w:sz w:val="21"/>
          <w:color w:val="000000"/>
          <w:shd w:fill="FFFFFF" w:val="clear"/>
        </w:rPr>
        <w:t>③在产品或者其包装上粘贴或者印刷品牌、标志、标识以及其他用于区别的标记；</w:t>
      </w:r>
    </w:p>
    <w:p>
      <w:pPr>
        <w:pStyle w:val="null3"/>
        <w:ind w:firstLine="420"/>
      </w:pPr>
      <w:r>
        <w:rPr>
          <w:sz w:val="21"/>
          <w:color w:val="000000"/>
          <w:shd w:fill="FFFFFF" w:val="clear"/>
        </w:rPr>
        <w:t>④简单的上漆、磨光和分装；</w:t>
      </w:r>
    </w:p>
    <w:p>
      <w:pPr>
        <w:pStyle w:val="null3"/>
        <w:ind w:firstLine="420"/>
      </w:pPr>
      <w:r>
        <w:rPr>
          <w:sz w:val="21"/>
          <w:color w:val="000000"/>
          <w:shd w:fill="FFFFFF" w:val="clear"/>
        </w:rPr>
        <w:t>⑤其他不属于属性改变的情形。</w:t>
      </w:r>
    </w:p>
    <w:p>
      <w:pPr>
        <w:pStyle w:val="null3"/>
        <w:ind w:firstLine="420"/>
      </w:pPr>
      <w:r>
        <w:rPr>
          <w:sz w:val="21"/>
          <w:color w:val="000000"/>
          <w:shd w:fill="FFFFFF" w:val="clear"/>
        </w:rPr>
        <w:t>2.</w:t>
      </w:r>
      <w:r>
        <w:rPr>
          <w:sz w:val="21"/>
          <w:color w:val="000000"/>
          <w:shd w:fill="FFFFFF" w:val="clear"/>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20"/>
      </w:pPr>
      <w:r>
        <w:rPr>
          <w:sz w:val="21"/>
          <w:color w:val="000000"/>
          <w:shd w:fill="FFFFFF" w:val="clear"/>
        </w:rPr>
        <w:t>3.</w:t>
      </w:r>
      <w:r>
        <w:rPr>
          <w:sz w:val="21"/>
          <w:color w:val="000000"/>
          <w:shd w:fill="FFFFFF" w:val="clear"/>
        </w:rPr>
        <w:t>当采购项目或采购包的采购标的仅包含单一产品时，政府采购活动中既有本国产品又有非本国产品参与竞争的，依法对本国产品给予价格评审优惠，对本国产品的报价给予</w:t>
      </w:r>
      <w:r>
        <w:rPr>
          <w:sz w:val="21"/>
          <w:color w:val="000000"/>
          <w:shd w:fill="FFFFFF" w:val="clear"/>
        </w:rPr>
        <w:t>20%</w:t>
      </w:r>
      <w:r>
        <w:rPr>
          <w:sz w:val="21"/>
          <w:color w:val="000000"/>
          <w:shd w:fill="FFFFFF" w:val="clear"/>
        </w:rPr>
        <w:t>的价格扣除，用扣除后的价格参与评审。当采购项目或者采购包的采购标的中含有多种产品，供应商为该采购项目或者采购包提供的符合本国产品标准的产品成本之和占该供应商提供的全部产品成本之和的比例达到</w:t>
      </w:r>
      <w:r>
        <w:rPr>
          <w:sz w:val="21"/>
          <w:color w:val="000000"/>
          <w:shd w:fill="FFFFFF" w:val="clear"/>
        </w:rPr>
        <w:t>80%</w:t>
      </w:r>
      <w:r>
        <w:rPr>
          <w:sz w:val="21"/>
          <w:color w:val="000000"/>
          <w:shd w:fill="FFFFFF" w:val="clear"/>
        </w:rPr>
        <w:t>以上时，且供应商在投标（响应）文件中对此作出承诺的，则依法对该供应商提供的全部产品给予价格评审优惠，即对该供应商提供的全部产品的总报价给予</w:t>
      </w:r>
      <w:r>
        <w:rPr>
          <w:sz w:val="21"/>
          <w:color w:val="000000"/>
          <w:shd w:fill="FFFFFF" w:val="clear"/>
        </w:rPr>
        <w:t>20%</w:t>
      </w:r>
      <w:r>
        <w:rPr>
          <w:sz w:val="21"/>
          <w:color w:val="000000"/>
          <w:shd w:fill="FFFFFF" w:val="clear"/>
        </w:rPr>
        <w:t>的价格扣除，用扣除后的价格参与评审。当采购项目或者采购包中含有多种产品，供应商为该采购项目或者采购包提供的符合本国产品标准的产品成本之和占该供应商提供的全部产品成本之和的比例未达到</w:t>
      </w:r>
      <w:r>
        <w:rPr>
          <w:sz w:val="21"/>
          <w:color w:val="000000"/>
          <w:shd w:fill="FFFFFF" w:val="clear"/>
        </w:rPr>
        <w:t>80%</w:t>
      </w:r>
      <w:r>
        <w:rPr>
          <w:sz w:val="21"/>
          <w:color w:val="000000"/>
          <w:shd w:fill="FFFFFF" w:val="clear"/>
        </w:rPr>
        <w:t>时，对该供应商提供的全部产品均不给予上述价格评审优惠。全部产品是指货物或服务采购项目或采购包中包含的全部货物、服务产品。</w:t>
      </w:r>
    </w:p>
    <w:p>
      <w:pPr>
        <w:pStyle w:val="null3"/>
        <w:ind w:firstLine="420"/>
      </w:pPr>
      <w:r>
        <w:rPr>
          <w:sz w:val="21"/>
          <w:color w:val="000000"/>
          <w:shd w:fill="FFFFFF" w:val="clear"/>
        </w:rPr>
        <w:t>4.</w:t>
      </w:r>
      <w:r>
        <w:rPr>
          <w:sz w:val="21"/>
          <w:color w:val="000000"/>
          <w:shd w:fill="FFFFFF" w:val="clear"/>
        </w:rPr>
        <w:t>供应商所投产品如符合本国产品政策的，请供应商填写《关于符合本国产品标准的声明函》。如属于多种产品的项目或采购包，还须填写《关于本国产品成本比例承诺函》。</w:t>
      </w:r>
    </w:p>
    <w:p>
      <w:pPr>
        <w:pStyle w:val="null3"/>
        <w:ind w:left="105" w:firstLine="632"/>
        <w:jc w:val="both"/>
      </w:pPr>
      <w:r>
        <w:rPr>
          <w:sz w:val="21"/>
          <w:shd w:fill="FFFFFF" w:val="clear"/>
        </w:rPr>
        <w:t>5.</w:t>
      </w:r>
      <w:r>
        <w:rPr>
          <w:sz w:val="21"/>
          <w:shd w:fill="FFFFFF" w:val="clear"/>
        </w:rPr>
        <w:t>在中国境内生产的组件成本占比相关要求实施前，《关于符合本国产品标准的声明函》“规定比例”栏可不填写；在产品的关键组件要求实施前，“关键组件”可不填写；在产品的关键工序要求实施前，“关键工序”栏可不填。</w:t>
      </w:r>
    </w:p>
    <w:p>
      <w:pPr>
        <w:pStyle w:val="null3"/>
      </w:pPr>
      <w:r>
        <w:rPr/>
        <w:t xml:space="preserve"> </w:t>
      </w:r>
    </w:p>
    <w:p>
      <w:pPr>
        <w:pStyle w:val="null3"/>
      </w:pPr>
      <w:r>
        <w:rPr>
          <w:sz w:val="20"/>
          <w:b/>
        </w:rPr>
        <w:t>附件</w:t>
      </w:r>
      <w:r>
        <w:rPr>
          <w:sz w:val="20"/>
          <w:b/>
        </w:rPr>
        <w:t>2</w:t>
      </w:r>
      <w:r>
        <w:rPr>
          <w:sz w:val="20"/>
          <w:b/>
        </w:rPr>
        <w:t>：节能环保政策适用性说明</w:t>
      </w:r>
    </w:p>
    <w:p>
      <w:pPr>
        <w:pStyle w:val="null3"/>
      </w:pPr>
      <w:r>
        <w:rPr>
          <w:sz w:val="21"/>
        </w:rPr>
        <w:t>《节能环保政策适用性说明》</w:t>
      </w:r>
    </w:p>
    <w:p>
      <w:pPr>
        <w:pStyle w:val="null3"/>
        <w:ind w:firstLine="420"/>
        <w:jc w:val="both"/>
      </w:pPr>
      <w:r>
        <w:rPr>
          <w:sz w:val="21"/>
        </w:rPr>
        <w:t>填写注意事项：</w:t>
      </w:r>
    </w:p>
    <w:p>
      <w:pPr>
        <w:pStyle w:val="null3"/>
        <w:ind w:firstLine="420"/>
        <w:jc w:val="left"/>
      </w:pPr>
      <w:r>
        <w:rPr>
          <w:sz w:val="21"/>
        </w:rPr>
        <w:t>1</w:t>
      </w:r>
      <w:r>
        <w:rPr>
          <w:sz w:val="21"/>
        </w:rPr>
        <w:t>、供应商所投的产品，符合节能产品、环境标志产品政策要求的，按以下格式填写。</w:t>
      </w:r>
    </w:p>
    <w:p>
      <w:pPr>
        <w:pStyle w:val="null3"/>
        <w:ind w:firstLine="420"/>
        <w:jc w:val="left"/>
      </w:pPr>
      <w:r>
        <w:rPr>
          <w:sz w:val="21"/>
        </w:rPr>
        <w:t>2</w:t>
      </w:r>
      <w:r>
        <w:rPr>
          <w:sz w:val="21"/>
        </w:rPr>
        <w:t>、供应商所响应的产品须是《节能产品政府采购品目清单》、《环境标志产品政府采购品目清单》内的产品，该产品由国家确定的认证机构颁发处于有效期内的认证证书（如认证证书上有体现认证产品型号的，则所投产品型号须与认证证书的产品型号一致。认证标准须符合《清单》中对应产品所依据的标准），才视为符合节能产品、环境标志产品政策要求。</w:t>
      </w:r>
    </w:p>
    <w:p>
      <w:pPr>
        <w:pStyle w:val="null3"/>
        <w:ind w:firstLine="420"/>
        <w:jc w:val="both"/>
      </w:pPr>
      <w:r>
        <w:rPr>
          <w:sz w:val="21"/>
        </w:rPr>
        <w:t>3</w:t>
      </w:r>
      <w:r>
        <w:rPr>
          <w:sz w:val="21"/>
        </w:rPr>
        <w:t>、节能产品包括节水产品。</w:t>
      </w:r>
    </w:p>
    <w:p>
      <w:pPr>
        <w:pStyle w:val="null3"/>
        <w:ind w:firstLine="420"/>
        <w:jc w:val="left"/>
      </w:pPr>
      <w:r>
        <w:rPr>
          <w:sz w:val="21"/>
        </w:rPr>
        <w:t>4</w:t>
      </w:r>
      <w:r>
        <w:rPr>
          <w:sz w:val="21"/>
        </w:rPr>
        <w:t>、在《财政部</w:t>
      </w:r>
      <w:r>
        <w:rPr>
          <w:sz w:val="21"/>
        </w:rPr>
        <w:t>发展改革委</w:t>
      </w:r>
      <w:r>
        <w:rPr>
          <w:sz w:val="21"/>
        </w:rPr>
        <w:t>生态环境部</w:t>
      </w:r>
      <w:r>
        <w:rPr>
          <w:sz w:val="21"/>
        </w:rPr>
        <w:t>市场监管总局关于调整优化节能产品、环境标志产品政府采购执行机制的通知》（财库〔</w:t>
      </w:r>
      <w:r>
        <w:rPr>
          <w:sz w:val="21"/>
        </w:rPr>
        <w:t>2019</w:t>
      </w:r>
      <w:r>
        <w:rPr>
          <w:sz w:val="21"/>
        </w:rPr>
        <w:t>〕</w:t>
      </w:r>
      <w:r>
        <w:rPr>
          <w:sz w:val="21"/>
        </w:rPr>
        <w:t>9</w:t>
      </w:r>
      <w:r>
        <w:rPr>
          <w:sz w:val="21"/>
        </w:rPr>
        <w:t>号）中可查询节能产品、环境标志产品政府采购政策。</w:t>
      </w:r>
    </w:p>
    <w:p>
      <w:pPr>
        <w:pStyle w:val="null3"/>
        <w:ind w:firstLine="420"/>
        <w:jc w:val="left"/>
      </w:pPr>
      <w:r>
        <w:rPr>
          <w:sz w:val="21"/>
        </w:rPr>
        <w:t>查询网址：</w:t>
      </w:r>
      <w:r>
        <w:rPr>
          <w:sz w:val="21"/>
        </w:rPr>
        <w:t>http://www.ccgp.gov.cn/zcfg/mof/201902/t20190213_11628855.htm</w:t>
      </w:r>
      <w:r>
        <w:rPr>
          <w:sz w:val="21"/>
        </w:rPr>
        <w:t>。</w:t>
      </w:r>
    </w:p>
    <w:p>
      <w:pPr>
        <w:pStyle w:val="null3"/>
        <w:ind w:firstLine="420"/>
        <w:jc w:val="both"/>
      </w:pPr>
      <w:r>
        <w:rPr>
          <w:sz w:val="21"/>
        </w:rPr>
        <w:t>5</w:t>
      </w:r>
      <w:r>
        <w:rPr>
          <w:sz w:val="21"/>
        </w:rPr>
        <w:t>、在《关于印发环境标志产品政府采购品目清单的通知》（财库〔</w:t>
      </w:r>
      <w:r>
        <w:rPr>
          <w:sz w:val="21"/>
        </w:rPr>
        <w:t>2019</w:t>
      </w:r>
      <w:r>
        <w:rPr>
          <w:sz w:val="21"/>
        </w:rPr>
        <w:t>〕</w:t>
      </w:r>
      <w:r>
        <w:rPr>
          <w:sz w:val="21"/>
        </w:rPr>
        <w:t>18</w:t>
      </w:r>
      <w:r>
        <w:rPr>
          <w:sz w:val="21"/>
        </w:rPr>
        <w:t>号）、《关于印发节能产品政府采购品目清单的通知》（财库〔</w:t>
      </w:r>
      <w:r>
        <w:rPr>
          <w:sz w:val="21"/>
        </w:rPr>
        <w:t>2019</w:t>
      </w:r>
      <w:r>
        <w:rPr>
          <w:sz w:val="21"/>
        </w:rPr>
        <w:t>〕</w:t>
      </w:r>
      <w:r>
        <w:rPr>
          <w:sz w:val="21"/>
        </w:rPr>
        <w:t>19</w:t>
      </w:r>
      <w:r>
        <w:rPr>
          <w:sz w:val="21"/>
        </w:rPr>
        <w:t>号）中可以查到对应的清单目录。国家确定的认证机构可在《市场监管总局关于发布参与实施政府采购节能产品、环境标志产品认证机构名录的公告》（</w:t>
      </w:r>
      <w:r>
        <w:rPr>
          <w:sz w:val="21"/>
        </w:rPr>
        <w:t>2019</w:t>
      </w:r>
      <w:r>
        <w:rPr>
          <w:sz w:val="21"/>
        </w:rPr>
        <w:t>年第</w:t>
      </w:r>
      <w:r>
        <w:rPr>
          <w:sz w:val="21"/>
        </w:rPr>
        <w:t>16</w:t>
      </w:r>
      <w:r>
        <w:rPr>
          <w:sz w:val="21"/>
        </w:rPr>
        <w:t>号）中查询。</w:t>
      </w:r>
    </w:p>
    <w:p>
      <w:pPr>
        <w:pStyle w:val="null3"/>
        <w:ind w:firstLine="479"/>
        <w:jc w:val="both"/>
      </w:pPr>
      <w:r>
        <w:rPr>
          <w:sz w:val="21"/>
          <w:shd w:fill="FFFFFF" w:val="clear"/>
        </w:rPr>
        <w:t>查询网址：</w:t>
      </w:r>
      <w:r>
        <w:rPr>
          <w:sz w:val="21"/>
          <w:shd w:fill="FFFFFF" w:val="clear"/>
        </w:rPr>
        <w:t>http://www.ccgp.gov.cn/zcfg/mof/201903/t20190330_11833800.htm</w:t>
      </w:r>
    </w:p>
    <w:p>
      <w:pPr>
        <w:pStyle w:val="null3"/>
        <w:ind w:firstLine="479"/>
        <w:jc w:val="both"/>
      </w:pPr>
      <w:r>
        <w:rPr>
          <w:sz w:val="21"/>
          <w:shd w:fill="FFFFFF" w:val="clear"/>
        </w:rPr>
        <w:t>http://www.ccgp.gov.cn/zcfg/mof/201904/t20190403_11849836.htm</w:t>
      </w:r>
    </w:p>
    <w:p>
      <w:pPr>
        <w:pStyle w:val="null3"/>
        <w:ind w:firstLine="479"/>
        <w:jc w:val="both"/>
      </w:pPr>
      <w:r>
        <w:rPr>
          <w:sz w:val="21"/>
          <w:shd w:fill="FFFFFF" w:val="clear"/>
        </w:rPr>
        <w:t>http://www.ccgp.gov.cn/zcfg/bwfile/201904/t20190403_11853998.htm</w:t>
      </w:r>
    </w:p>
    <w:p>
      <w:pPr>
        <w:pStyle w:val="null3"/>
        <w:ind w:firstLine="479"/>
        <w:jc w:val="both"/>
      </w:pPr>
      <w:r>
        <w:rPr>
          <w:sz w:val="21"/>
          <w:shd w:fill="FFFFFF" w:val="clear"/>
        </w:rPr>
        <w:t>6</w:t>
      </w:r>
      <w:r>
        <w:rPr>
          <w:sz w:val="21"/>
          <w:shd w:fill="FFFFFF" w:val="clear"/>
        </w:rPr>
        <w:t>、因投标（响应）格式中《政策适用性说明》无法满足项目（包组）填写需要，如涉及符合政策要求的节能产品、环境标志产品，请供应商按需求附件《节能环保政策适用性说明》的格式进行填写。</w:t>
      </w:r>
    </w:p>
    <w:p>
      <w:pPr>
        <w:pStyle w:val="null3"/>
        <w:ind w:firstLine="420"/>
        <w:jc w:val="left"/>
      </w:pPr>
      <w:r>
        <w:rPr>
          <w:sz w:val="21"/>
          <w:shd w:fill="FFFFFF" w:val="clear"/>
        </w:rPr>
        <w:t>7</w:t>
      </w:r>
      <w:r>
        <w:rPr>
          <w:sz w:val="21"/>
          <w:shd w:fill="FFFFFF" w:val="clear"/>
        </w:rPr>
        <w:t>、《节能环保政策适用性说明》的货物名称、产品型号与《分项报价表》（如工程项目，则为《工程量清单》）的货物名称、型号不一致的，以《分项报价表》或《工程量清单》的货物名称、型号为准。</w:t>
      </w:r>
    </w:p>
    <w:p>
      <w:pPr>
        <w:pStyle w:val="null3"/>
        <w:ind w:firstLine="420"/>
        <w:jc w:val="left"/>
      </w:pPr>
      <w:r>
        <w:rPr>
          <w:sz w:val="21"/>
          <w:shd w:fill="FFFFFF" w:val="clear"/>
        </w:rPr>
        <w:t xml:space="preserve">8. </w:t>
      </w:r>
      <w:r>
        <w:rPr>
          <w:sz w:val="21"/>
          <w:shd w:fill="FFFFFF" w:val="clear"/>
        </w:rPr>
        <w:t>请供应商提供所投产品的节能（水）产品认证证书或环境标志产品认证证书。</w:t>
      </w:r>
    </w:p>
    <w:p>
      <w:pPr>
        <w:pStyle w:val="null3"/>
        <w:ind w:left="360"/>
        <w:jc w:val="both"/>
      </w:pPr>
      <w:r>
        <w:rPr>
          <w:sz w:val="21"/>
          <w:shd w:fill="FFFFFF" w:val="clear"/>
        </w:rPr>
        <w:t xml:space="preserve">  </w:t>
      </w:r>
      <w:r>
        <w:rPr>
          <w:sz w:val="21"/>
          <w:shd w:fill="FFFFFF" w:val="clear"/>
        </w:rPr>
        <w:t>节能产品说明：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37"/>
        <w:gridCol w:w="612"/>
        <w:gridCol w:w="612"/>
        <w:gridCol w:w="1137"/>
        <w:gridCol w:w="699"/>
        <w:gridCol w:w="612"/>
        <w:gridCol w:w="699"/>
        <w:gridCol w:w="525"/>
        <w:gridCol w:w="787"/>
        <w:gridCol w:w="962"/>
        <w:gridCol w:w="1224"/>
      </w:tblGrid>
      <w:tr>
        <w:tc>
          <w:tcPr>
            <w:tcW w:type="dxa" w:w="437"/>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序号</w:t>
            </w:r>
          </w:p>
        </w:tc>
        <w:tc>
          <w:tcPr>
            <w:tcW w:type="dxa" w:w="61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产品名称</w:t>
            </w:r>
          </w:p>
          <w:p>
            <w:pPr>
              <w:pStyle w:val="null3"/>
              <w:spacing w:after="165"/>
              <w:jc w:val="center"/>
            </w:pPr>
          </w:p>
        </w:tc>
        <w:tc>
          <w:tcPr>
            <w:tcW w:type="dxa" w:w="61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对应《节能产品政府采购品目清单》的品目序号</w:t>
            </w:r>
          </w:p>
        </w:tc>
        <w:tc>
          <w:tcPr>
            <w:tcW w:type="dxa" w:w="1137"/>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对应《分项报价表》序号</w:t>
            </w:r>
          </w:p>
          <w:p>
            <w:pPr>
              <w:pStyle w:val="null3"/>
              <w:spacing w:after="165"/>
              <w:jc w:val="center"/>
            </w:pPr>
            <w:r>
              <w:rPr>
                <w:sz w:val="15"/>
              </w:rPr>
              <w:t>（如为工程项目，则填写工程量清单表格名称及对应的序号）</w:t>
            </w:r>
          </w:p>
        </w:tc>
        <w:tc>
          <w:tcPr>
            <w:tcW w:type="dxa" w:w="699"/>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产品品牌</w:t>
            </w:r>
          </w:p>
          <w:p>
            <w:pPr>
              <w:pStyle w:val="null3"/>
              <w:spacing w:after="165"/>
              <w:jc w:val="center"/>
            </w:pPr>
            <w:r>
              <w:rPr>
                <w:sz w:val="15"/>
              </w:rPr>
              <w:t>（如有）</w:t>
            </w:r>
          </w:p>
        </w:tc>
        <w:tc>
          <w:tcPr>
            <w:tcW w:type="dxa" w:w="61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所投产品型号</w:t>
            </w:r>
          </w:p>
        </w:tc>
        <w:tc>
          <w:tcPr>
            <w:tcW w:type="dxa" w:w="699"/>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认证证书上的认证产品型号（如有）</w:t>
            </w:r>
          </w:p>
          <w:p>
            <w:pPr>
              <w:pStyle w:val="null3"/>
              <w:spacing w:after="165"/>
              <w:jc w:val="center"/>
            </w:pPr>
          </w:p>
        </w:tc>
        <w:tc>
          <w:tcPr>
            <w:tcW w:type="dxa" w:w="525"/>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认证证书所在页码</w:t>
            </w:r>
          </w:p>
        </w:tc>
        <w:tc>
          <w:tcPr>
            <w:tcW w:type="dxa" w:w="787"/>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both"/>
            </w:pPr>
            <w:r>
              <w:rPr>
                <w:sz w:val="15"/>
              </w:rPr>
              <w:t>《节能产品政府采购品目清单》所依据的标准</w:t>
            </w:r>
          </w:p>
        </w:tc>
        <w:tc>
          <w:tcPr>
            <w:tcW w:type="dxa" w:w="96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both"/>
            </w:pPr>
            <w:r>
              <w:rPr>
                <w:sz w:val="15"/>
              </w:rPr>
              <w:t>认证证书上的认证标准</w:t>
            </w:r>
          </w:p>
        </w:tc>
        <w:tc>
          <w:tcPr>
            <w:tcW w:type="dxa" w:w="1224"/>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产品报价（元）</w:t>
            </w:r>
          </w:p>
          <w:p>
            <w:pPr>
              <w:pStyle w:val="null3"/>
              <w:spacing w:after="165"/>
              <w:jc w:val="center"/>
            </w:pPr>
          </w:p>
        </w:tc>
      </w:tr>
      <w:tr>
        <w:tc>
          <w:tcPr>
            <w:tcW w:type="dxa" w:w="8306"/>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（一）强制节能产品（即</w:t>
            </w:r>
            <w:r>
              <w:rPr>
                <w:sz w:val="21"/>
              </w:rPr>
              <w:t>《节能产品政府采购品目清单》中标注“★”的产品</w:t>
            </w:r>
            <w:r>
              <w:rPr>
                <w:sz w:val="21"/>
              </w:rPr>
              <w:t>）</w:t>
            </w: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1</w:t>
            </w: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24"/>
            <w:vMerge w:val="restart"/>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8"/>
              </w:rPr>
              <w:t>强制节能产品，不享受价格扣除或技术加分，故此处无须填报价格</w:t>
            </w: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2</w:t>
            </w: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24"/>
            <w:vMerge/>
            <w:tcBorders>
              <w:top w:val="none" w:color="000000" w:sz="4"/>
              <w:left w:val="none" w:color="000000" w:sz="4"/>
              <w:bottom w:val="single" w:color="000000" w:sz="4"/>
              <w:right w:val="single" w:color="000000" w:sz="4"/>
            </w:tcBorders>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3</w:t>
            </w: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24"/>
            <w:vMerge/>
            <w:tcBorders>
              <w:top w:val="none" w:color="000000" w:sz="4"/>
              <w:left w:val="none" w:color="000000" w:sz="4"/>
              <w:bottom w:val="single" w:color="000000" w:sz="4"/>
              <w:right w:val="single" w:color="000000" w:sz="4"/>
            </w:tcBorders>
          </w:tcPr>
          <w:p/>
        </w:tc>
      </w:tr>
      <w:tr>
        <w:tc>
          <w:tcPr>
            <w:tcW w:type="dxa" w:w="8306"/>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（二）优先采购节能产品（即</w:t>
            </w:r>
            <w:r>
              <w:rPr>
                <w:sz w:val="21"/>
              </w:rPr>
              <w:t>《节能产品政府采购品目清单》中未标注“★”的产品</w:t>
            </w:r>
            <w:r>
              <w:rPr>
                <w:sz w:val="21"/>
              </w:rPr>
              <w:t>）</w:t>
            </w: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1</w:t>
            </w: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2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2</w:t>
            </w: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2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3</w:t>
            </w: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2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808"/>
            <w:gridSpan w:val="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优先节能产品价格合计</w:t>
            </w:r>
          </w:p>
        </w:tc>
        <w:tc>
          <w:tcPr>
            <w:tcW w:type="dxa" w:w="3498"/>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r>
    </w:tbl>
    <w:p>
      <w:pPr>
        <w:pStyle w:val="null3"/>
        <w:jc w:val="right"/>
      </w:pPr>
      <w:r>
        <w:rPr>
          <w:sz w:val="21"/>
          <w:shd w:fill="FFFFFF" w:val="clear"/>
        </w:rPr>
        <w:t>供应商名称（盖章）：__________________</w:t>
      </w:r>
    </w:p>
    <w:p>
      <w:pPr>
        <w:pStyle w:val="null3"/>
        <w:spacing w:after="165"/>
        <w:ind w:firstLine="480"/>
        <w:jc w:val="right"/>
      </w:pPr>
      <w:r>
        <w:rPr>
          <w:sz w:val="21"/>
          <w:shd w:fill="FFFFFF" w:val="clear"/>
        </w:rPr>
        <w:t>日期：年月日</w:t>
      </w:r>
    </w:p>
    <w:p>
      <w:pPr>
        <w:pStyle w:val="null3"/>
      </w:pPr>
      <w:r>
        <w:rPr>
          <w:sz w:val="21"/>
          <w:shd w:fill="FFFFFF" w:val="clear"/>
        </w:rPr>
        <w:t>环境标志产品说明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37"/>
        <w:gridCol w:w="306"/>
        <w:gridCol w:w="306"/>
        <w:gridCol w:w="787"/>
        <w:gridCol w:w="962"/>
        <w:gridCol w:w="700"/>
        <w:gridCol w:w="437"/>
        <w:gridCol w:w="612"/>
        <w:gridCol w:w="700"/>
        <w:gridCol w:w="962"/>
        <w:gridCol w:w="1050"/>
        <w:gridCol w:w="962"/>
      </w:tblGrid>
      <w:tr>
        <w:tc>
          <w:tcPr>
            <w:tcW w:type="dxa" w:w="437"/>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序号</w:t>
            </w:r>
          </w:p>
        </w:tc>
        <w:tc>
          <w:tcPr>
            <w:tcW w:type="dxa" w:w="612"/>
            <w:gridSpan w:val="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产品名称</w:t>
            </w:r>
          </w:p>
        </w:tc>
        <w:tc>
          <w:tcPr>
            <w:tcW w:type="dxa" w:w="78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75"/>
              <w:jc w:val="left"/>
            </w:pPr>
            <w:r>
              <w:rPr>
                <w:sz w:val="15"/>
              </w:rPr>
              <w:t>对应《环境标志产品政府采购品目清单》的品目序号</w:t>
            </w:r>
          </w:p>
          <w:p>
            <w:pPr>
              <w:pStyle w:val="null3"/>
              <w:spacing w:after="165"/>
              <w:jc w:val="left"/>
            </w:pPr>
          </w:p>
        </w:tc>
        <w:tc>
          <w:tcPr>
            <w:tcW w:type="dxa" w:w="96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对应《分项报价表》序号</w:t>
            </w:r>
          </w:p>
          <w:p>
            <w:pPr>
              <w:pStyle w:val="null3"/>
              <w:spacing w:after="165"/>
              <w:jc w:val="left"/>
            </w:pPr>
            <w:r>
              <w:rPr>
                <w:sz w:val="15"/>
              </w:rPr>
              <w:t>（如为工程项目，则填写工程量清单表格名称及对应的序号）</w:t>
            </w:r>
          </w:p>
        </w:tc>
        <w:tc>
          <w:tcPr>
            <w:tcW w:type="dxa" w:w="70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认证证书所在页码</w:t>
            </w:r>
          </w:p>
        </w:tc>
        <w:tc>
          <w:tcPr>
            <w:tcW w:type="dxa" w:w="437"/>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产品品牌（如有）</w:t>
            </w:r>
          </w:p>
        </w:tc>
        <w:tc>
          <w:tcPr>
            <w:tcW w:type="dxa" w:w="61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所投产品型号</w:t>
            </w:r>
          </w:p>
        </w:tc>
        <w:tc>
          <w:tcPr>
            <w:tcW w:type="dxa" w:w="70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认证证书上的认证产品型号（如有）</w:t>
            </w:r>
          </w:p>
          <w:p>
            <w:pPr>
              <w:pStyle w:val="null3"/>
              <w:spacing w:after="165"/>
              <w:jc w:val="center"/>
            </w:pPr>
          </w:p>
        </w:tc>
        <w:tc>
          <w:tcPr>
            <w:tcW w:type="dxa" w:w="96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《环境标志产品政府采购品目清单》所依据的标准</w:t>
            </w:r>
          </w:p>
        </w:tc>
        <w:tc>
          <w:tcPr>
            <w:tcW w:type="dxa" w:w="105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认证证书上的认证标准</w:t>
            </w:r>
          </w:p>
        </w:tc>
        <w:tc>
          <w:tcPr>
            <w:tcW w:type="dxa" w:w="96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ind w:firstLine="225"/>
              <w:jc w:val="left"/>
            </w:pPr>
            <w:r>
              <w:rPr>
                <w:sz w:val="15"/>
              </w:rPr>
              <w:t>产品报价（元）</w:t>
            </w:r>
          </w:p>
          <w:p>
            <w:pPr>
              <w:pStyle w:val="null3"/>
              <w:spacing w:after="165"/>
              <w:jc w:val="left"/>
            </w:p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1</w:t>
            </w:r>
          </w:p>
        </w:tc>
        <w:tc>
          <w:tcPr>
            <w:tcW w:type="dxa" w:w="612"/>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4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5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2</w:t>
            </w:r>
          </w:p>
        </w:tc>
        <w:tc>
          <w:tcPr>
            <w:tcW w:type="dxa" w:w="612"/>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4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5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3</w:t>
            </w:r>
          </w:p>
        </w:tc>
        <w:tc>
          <w:tcPr>
            <w:tcW w:type="dxa" w:w="612"/>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4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5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743"/>
            <w:gridSpan w:val="2"/>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tc>
        <w:tc>
          <w:tcPr>
            <w:tcW w:type="dxa" w:w="2755"/>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环境标志产品价格合计</w:t>
            </w:r>
          </w:p>
        </w:tc>
        <w:tc>
          <w:tcPr>
            <w:tcW w:type="dxa" w:w="4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5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7"/>
            <w:tcBorders>
              <w:top w:val="none" w:color="000000" w:sz="4"/>
              <w:left w:val="none" w:color="000000" w:sz="4"/>
              <w:bottom w:val="none" w:color="000000" w:sz="4"/>
              <w:right w:val="none" w:color="000000" w:sz="4"/>
            </w:tcBorders>
            <w:shd w:fill="FFFFFF"/>
          </w:tcPr>
          <w:p>
            <w:pPr>
              <w:pStyle w:val="null3"/>
            </w:pPr>
            <w:r>
              <w:rPr/>
              <w:t xml:space="preserve"> </w:t>
            </w:r>
          </w:p>
        </w:tc>
        <w:tc>
          <w:tcPr>
            <w:tcW w:type="dxa" w:w="306"/>
            <w:tcBorders>
              <w:top w:val="none" w:color="000000" w:sz="4"/>
              <w:left w:val="none" w:color="000000" w:sz="4"/>
              <w:bottom w:val="none" w:color="000000" w:sz="4"/>
              <w:right w:val="none" w:color="000000" w:sz="4"/>
            </w:tcBorders>
            <w:shd w:fill="FFFFFF"/>
          </w:tcPr>
          <w:p>
            <w:pPr>
              <w:pStyle w:val="null3"/>
            </w:pPr>
            <w:r>
              <w:rPr/>
              <w:t xml:space="preserve"> </w:t>
            </w:r>
          </w:p>
        </w:tc>
        <w:tc>
          <w:tcPr>
            <w:tcW w:type="dxa" w:w="306"/>
            <w:tcBorders>
              <w:top w:val="none" w:color="000000" w:sz="4"/>
              <w:left w:val="none" w:color="000000" w:sz="4"/>
              <w:bottom w:val="none" w:color="000000" w:sz="4"/>
              <w:right w:val="none" w:color="000000" w:sz="4"/>
            </w:tcBorders>
            <w:shd w:fill="FFFFFF"/>
          </w:tcPr>
          <w:p>
            <w:pPr>
              <w:pStyle w:val="null3"/>
            </w:pPr>
            <w:r>
              <w:rPr/>
              <w:t xml:space="preserve"> </w:t>
            </w:r>
          </w:p>
        </w:tc>
        <w:tc>
          <w:tcPr>
            <w:tcW w:type="dxa" w:w="787"/>
            <w:tcBorders>
              <w:top w:val="none" w:color="000000" w:sz="4"/>
              <w:left w:val="none" w:color="000000" w:sz="4"/>
              <w:bottom w:val="none" w:color="000000" w:sz="4"/>
              <w:right w:val="none" w:color="000000" w:sz="4"/>
            </w:tcBorders>
            <w:shd w:fill="FFFFFF"/>
          </w:tcPr>
          <w:p>
            <w:pPr>
              <w:pStyle w:val="null3"/>
            </w:pPr>
            <w:r>
              <w:rPr/>
              <w:t xml:space="preserve"> </w:t>
            </w:r>
          </w:p>
        </w:tc>
        <w:tc>
          <w:tcPr>
            <w:tcW w:type="dxa" w:w="962"/>
            <w:tcBorders>
              <w:top w:val="none" w:color="000000" w:sz="4"/>
              <w:left w:val="none" w:color="000000" w:sz="4"/>
              <w:bottom w:val="none" w:color="000000" w:sz="4"/>
              <w:right w:val="none" w:color="000000" w:sz="4"/>
            </w:tcBorders>
            <w:shd w:fill="FFFFFF"/>
          </w:tcPr>
          <w:p>
            <w:pPr>
              <w:pStyle w:val="null3"/>
            </w:pPr>
            <w:r>
              <w:rPr/>
              <w:t xml:space="preserve"> </w:t>
            </w:r>
          </w:p>
        </w:tc>
        <w:tc>
          <w:tcPr>
            <w:tcW w:type="dxa" w:w="700"/>
            <w:tcBorders>
              <w:top w:val="none" w:color="000000" w:sz="4"/>
              <w:left w:val="none" w:color="000000" w:sz="4"/>
              <w:bottom w:val="none" w:color="000000" w:sz="4"/>
              <w:right w:val="none" w:color="000000" w:sz="4"/>
            </w:tcBorders>
            <w:shd w:fill="FFFFFF"/>
          </w:tcPr>
          <w:p>
            <w:pPr>
              <w:pStyle w:val="null3"/>
            </w:pPr>
            <w:r>
              <w:rPr/>
              <w:t xml:space="preserve"> </w:t>
            </w:r>
          </w:p>
        </w:tc>
        <w:tc>
          <w:tcPr>
            <w:tcW w:type="dxa" w:w="437"/>
            <w:tcBorders>
              <w:top w:val="none" w:color="000000" w:sz="4"/>
              <w:left w:val="none" w:color="000000" w:sz="4"/>
              <w:bottom w:val="none" w:color="000000" w:sz="4"/>
              <w:right w:val="none" w:color="000000" w:sz="4"/>
            </w:tcBorders>
            <w:shd w:fill="FFFFFF"/>
          </w:tcPr>
          <w:p>
            <w:pPr>
              <w:pStyle w:val="null3"/>
            </w:pPr>
            <w:r>
              <w:rPr/>
              <w:t xml:space="preserve"> </w:t>
            </w:r>
          </w:p>
        </w:tc>
        <w:tc>
          <w:tcPr>
            <w:tcW w:type="dxa" w:w="612"/>
            <w:tcBorders>
              <w:top w:val="none" w:color="000000" w:sz="4"/>
              <w:left w:val="none" w:color="000000" w:sz="4"/>
              <w:bottom w:val="none" w:color="000000" w:sz="4"/>
              <w:right w:val="none" w:color="000000" w:sz="4"/>
            </w:tcBorders>
            <w:shd w:fill="FFFFFF"/>
          </w:tcPr>
          <w:p>
            <w:pPr>
              <w:pStyle w:val="null3"/>
            </w:pPr>
            <w:r>
              <w:rPr/>
              <w:t xml:space="preserve"> </w:t>
            </w:r>
          </w:p>
        </w:tc>
        <w:tc>
          <w:tcPr>
            <w:tcW w:type="dxa" w:w="700"/>
            <w:tcBorders>
              <w:top w:val="none" w:color="000000" w:sz="4"/>
              <w:left w:val="none" w:color="000000" w:sz="4"/>
              <w:bottom w:val="none" w:color="000000" w:sz="4"/>
              <w:right w:val="none" w:color="000000" w:sz="4"/>
            </w:tcBorders>
            <w:shd w:fill="FFFFFF"/>
          </w:tcPr>
          <w:p>
            <w:pPr>
              <w:pStyle w:val="null3"/>
            </w:pPr>
            <w:r>
              <w:rPr/>
              <w:t xml:space="preserve"> </w:t>
            </w:r>
          </w:p>
        </w:tc>
        <w:tc>
          <w:tcPr>
            <w:tcW w:type="dxa" w:w="962"/>
            <w:tcBorders>
              <w:top w:val="none" w:color="000000" w:sz="4"/>
              <w:left w:val="none" w:color="000000" w:sz="4"/>
              <w:bottom w:val="none" w:color="000000" w:sz="4"/>
              <w:right w:val="none" w:color="000000" w:sz="4"/>
            </w:tcBorders>
            <w:shd w:fill="FFFFFF"/>
          </w:tcPr>
          <w:p>
            <w:pPr>
              <w:pStyle w:val="null3"/>
            </w:pPr>
            <w:r>
              <w:rPr/>
              <w:t xml:space="preserve"> </w:t>
            </w:r>
          </w:p>
        </w:tc>
        <w:tc>
          <w:tcPr>
            <w:tcW w:type="dxa" w:w="1050"/>
            <w:tcBorders>
              <w:top w:val="none" w:color="000000" w:sz="4"/>
              <w:left w:val="none" w:color="000000" w:sz="4"/>
              <w:bottom w:val="none" w:color="000000" w:sz="4"/>
              <w:right w:val="none" w:color="000000" w:sz="4"/>
            </w:tcBorders>
            <w:shd w:fill="FFFFFF"/>
          </w:tcPr>
          <w:p>
            <w:pPr>
              <w:pStyle w:val="null3"/>
            </w:pPr>
            <w:r>
              <w:rPr/>
              <w:t xml:space="preserve"> </w:t>
            </w:r>
          </w:p>
        </w:tc>
        <w:tc>
          <w:tcPr>
            <w:tcW w:type="dxa" w:w="962"/>
            <w:tcBorders>
              <w:top w:val="none" w:color="000000" w:sz="4"/>
              <w:left w:val="none" w:color="000000" w:sz="4"/>
              <w:bottom w:val="none" w:color="000000" w:sz="4"/>
              <w:right w:val="none" w:color="000000" w:sz="4"/>
            </w:tcBorders>
            <w:shd w:fill="FFFFFF"/>
          </w:tcPr>
          <w:p>
            <w:pPr>
              <w:pStyle w:val="null3"/>
            </w:pPr>
            <w:r>
              <w:rPr/>
              <w:t xml:space="preserve"> </w:t>
            </w:r>
          </w:p>
        </w:tc>
      </w:tr>
    </w:tbl>
    <w:p>
      <w:pPr>
        <w:pStyle w:val="null3"/>
        <w:spacing w:after="165"/>
        <w:ind w:firstLine="480"/>
        <w:jc w:val="right"/>
      </w:pPr>
      <w:r>
        <w:rPr>
          <w:sz w:val="21"/>
          <w:shd w:fill="FFFFFF" w:val="clear"/>
        </w:rPr>
        <w:t>供应商名称（盖章）：__________________</w:t>
      </w:r>
    </w:p>
    <w:p>
      <w:pPr>
        <w:pStyle w:val="null3"/>
        <w:spacing w:after="165"/>
        <w:ind w:firstLine="480"/>
        <w:jc w:val="center"/>
      </w:pPr>
      <w:r>
        <w:rPr>
          <w:sz w:val="21"/>
          <w:shd w:fill="FFFFFF" w:val="clear"/>
        </w:rPr>
        <w:t xml:space="preserve">                                                                     </w:t>
      </w:r>
      <w:r>
        <w:rPr>
          <w:sz w:val="21"/>
          <w:shd w:fill="FFFFFF" w:val="clear"/>
        </w:rPr>
        <w:t>日期：年月日</w:t>
      </w:r>
    </w:p>
    <w:p>
      <w:pPr>
        <w:pStyle w:val="null3"/>
        <w:spacing w:after="165"/>
        <w:ind w:firstLine="480"/>
        <w:jc w:val="right"/>
      </w:pPr>
      <w:r>
        <w:rPr/>
        <w:t xml:space="preserve"> </w:t>
      </w:r>
    </w:p>
    <w:p>
      <w:pPr>
        <w:pStyle w:val="null3"/>
      </w:pPr>
      <w:r>
        <w:rPr>
          <w:sz w:val="21"/>
          <w:b/>
        </w:rPr>
        <w:t>附件</w:t>
      </w:r>
      <w:r>
        <w:rPr>
          <w:sz w:val="21"/>
          <w:b/>
        </w:rPr>
        <w:t>3</w:t>
      </w:r>
      <w:r>
        <w:rPr>
          <w:sz w:val="21"/>
          <w:b/>
        </w:rPr>
        <w:t>：业绩及业绩评价</w:t>
      </w:r>
    </w:p>
    <w:tbl>
      <w:tblPr>
        <w:tblW w:w="0" w:type="auto"/>
        <w:tblBorders>
          <w:top w:val="none" w:color="000000" w:sz="4"/>
          <w:left w:val="none" w:color="000000" w:sz="4"/>
          <w:bottom w:val="none" w:color="000000" w:sz="4"/>
          <w:right w:val="none" w:color="000000" w:sz="4"/>
          <w:insideH w:val="none"/>
          <w:insideV w:val="none"/>
        </w:tblBorders>
      </w:tblPr>
      <w:tblGrid>
        <w:gridCol w:w="1102"/>
        <w:gridCol w:w="2373"/>
        <w:gridCol w:w="2034"/>
        <w:gridCol w:w="2797"/>
      </w:tblGrid>
      <w:tr>
        <w:tc>
          <w:tcPr>
            <w:tcW w:type="dxa" w:w="110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3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合同名称</w:t>
            </w:r>
          </w:p>
        </w:tc>
        <w:tc>
          <w:tcPr>
            <w:tcW w:type="dxa" w:w="20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合同页码</w:t>
            </w:r>
          </w:p>
        </w:tc>
        <w:tc>
          <w:tcPr>
            <w:tcW w:type="dxa" w:w="27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对应的评价页码</w:t>
            </w: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pPr>
      <w:r>
        <w:rPr>
          <w:sz w:val="21"/>
          <w:b/>
        </w:rPr>
        <w:t>附件</w:t>
      </w:r>
      <w:r>
        <w:rPr>
          <w:sz w:val="21"/>
          <w:b/>
        </w:rPr>
        <w:t>4: (</w:t>
      </w:r>
      <w:r>
        <w:rPr>
          <w:sz w:val="21"/>
          <w:b/>
        </w:rPr>
        <w:t>对于采购需求写明“提供承诺”</w:t>
      </w:r>
      <w:r>
        <w:rPr>
          <w:sz w:val="21"/>
          <w:b/>
        </w:rPr>
        <w:t>的条款，供应商可参照以下格式提供承诺</w:t>
      </w:r>
      <w:r>
        <w:rPr>
          <w:sz w:val="21"/>
          <w:b/>
        </w:rPr>
        <w:t>)</w:t>
      </w:r>
    </w:p>
    <w:p>
      <w:pPr>
        <w:pStyle w:val="null3"/>
        <w:ind w:firstLine="422"/>
        <w:jc w:val="center"/>
      </w:pPr>
      <w:r>
        <w:rPr>
          <w:sz w:val="21"/>
          <w:b/>
        </w:rPr>
        <w:t>承诺函</w:t>
      </w:r>
    </w:p>
    <w:p>
      <w:pPr>
        <w:pStyle w:val="null3"/>
        <w:ind w:firstLine="420"/>
        <w:jc w:val="center"/>
      </w:pPr>
      <w:r>
        <w:rPr>
          <w:sz w:val="21"/>
        </w:rPr>
        <w:t>致：</w:t>
      </w:r>
      <w:r>
        <w:rPr>
          <w:sz w:val="21"/>
        </w:rPr>
        <w:t>（</w:t>
      </w:r>
      <w:r>
        <w:rPr>
          <w:sz w:val="21"/>
          <w:b/>
          <w:u w:val="single"/>
        </w:rPr>
        <w:t>采购人名称）</w:t>
      </w:r>
    </w:p>
    <w:p>
      <w:pPr>
        <w:pStyle w:val="null3"/>
        <w:ind w:firstLine="420"/>
        <w:jc w:val="both"/>
      </w:pPr>
      <w:r>
        <w:rPr>
          <w:sz w:val="21"/>
        </w:rPr>
        <w:t>对于项目（项目编号：</w:t>
      </w:r>
      <w:r>
        <w:rPr>
          <w:sz w:val="20"/>
        </w:rPr>
        <w:t xml:space="preserve">         </w:t>
      </w:r>
      <w:r>
        <w:rPr>
          <w:sz w:val="21"/>
        </w:rPr>
        <w:t>），我方郑重承诺如下：</w:t>
      </w:r>
    </w:p>
    <w:p>
      <w:pPr>
        <w:pStyle w:val="null3"/>
        <w:ind w:firstLine="420"/>
        <w:jc w:val="both"/>
      </w:pPr>
      <w:r>
        <w:rPr>
          <w:sz w:val="21"/>
        </w:rPr>
        <w:t>如中标</w:t>
      </w:r>
      <w:r>
        <w:rPr>
          <w:sz w:val="21"/>
        </w:rPr>
        <w:t>/</w:t>
      </w:r>
      <w:r>
        <w:rPr>
          <w:sz w:val="21"/>
        </w:rPr>
        <w:t>成交，我方承诺严格落实采购文件以下条款：</w:t>
      </w:r>
      <w:r>
        <w:rPr>
          <w:sz w:val="21"/>
        </w:rPr>
        <w:t>(</w:t>
      </w:r>
      <w:r>
        <w:rPr>
          <w:sz w:val="21"/>
        </w:rPr>
        <w:t>建议复制采购文件相关条款原文</w:t>
      </w:r>
      <w:r>
        <w:rPr>
          <w:sz w:val="21"/>
        </w:rPr>
        <w:t>)</w:t>
      </w:r>
    </w:p>
    <w:p>
      <w:pPr>
        <w:pStyle w:val="null3"/>
        <w:ind w:firstLine="405"/>
        <w:jc w:val="both"/>
      </w:pPr>
      <w:r>
        <w:rPr>
          <w:sz w:val="21"/>
        </w:rPr>
        <w:t>（一）星号条款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（二）三角号条款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（三）非星号、非三角号条款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特此承诺。</w:t>
      </w:r>
    </w:p>
    <w:p>
      <w:pPr>
        <w:pStyle w:val="null3"/>
        <w:ind w:firstLine="405"/>
        <w:jc w:val="both"/>
      </w:pPr>
      <w:r>
        <w:rPr>
          <w:sz w:val="21"/>
        </w:rPr>
        <w:t>供应商名称（盖章）：</w:t>
      </w:r>
    </w:p>
    <w:p>
      <w:pPr>
        <w:pStyle w:val="null3"/>
        <w:ind w:firstLine="3885"/>
        <w:jc w:val="both"/>
      </w:pPr>
      <w:r>
        <w:rPr>
          <w:sz w:val="21"/>
        </w:rPr>
        <w:t>日期：</w:t>
      </w:r>
      <w:r>
        <w:rPr>
          <w:sz w:val="20"/>
        </w:rPr>
        <w:t xml:space="preserve">   </w:t>
      </w:r>
      <w:r>
        <w:rPr>
          <w:sz w:val="21"/>
        </w:rPr>
        <w:t>年</w:t>
      </w:r>
      <w:r>
        <w:rPr>
          <w:sz w:val="20"/>
        </w:rPr>
        <w:t xml:space="preserve">   </w:t>
      </w:r>
      <w:r>
        <w:rPr>
          <w:sz w:val="21"/>
        </w:rPr>
        <w:t>月</w:t>
      </w:r>
      <w:r>
        <w:rPr>
          <w:sz w:val="20"/>
        </w:rPr>
        <w:t xml:space="preserve">   </w:t>
      </w:r>
      <w:r>
        <w:rPr>
          <w:sz w:val="21"/>
        </w:rPr>
        <w:t>日</w:t>
      </w:r>
    </w:p>
    <w:p>
      <w:pPr>
        <w:pStyle w:val="null3"/>
        <w:ind w:firstLine="3885"/>
        <w:jc w:val="both"/>
      </w:pPr>
      <w:r>
        <w:rPr/>
        <w:t xml:space="preserve"> </w:t>
      </w:r>
    </w:p>
    <w:p>
      <w:pPr>
        <w:pStyle w:val="null3"/>
      </w:pPr>
      <w:r>
        <w:rPr/>
        <w:t>采购包1（广东女子职业技术学院非遗学院（艺术楼一楼102-110室）改造）</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合同签订后45天内完成供货、安装、调试、交付使用。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1期：详见用户需求书。</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账号：中标后由采购人提供</w:t>
            </w:r>
          </w:p>
          <w:p>
            <w:pPr>
              <w:pStyle w:val="null3"/>
            </w:pPr>
            <w:r>
              <w:rPr/>
              <w:t>户名：中标后由采购人提供</w:t>
            </w:r>
          </w:p>
          <w:p>
            <w:pPr>
              <w:pStyle w:val="null3"/>
            </w:pPr>
            <w:r>
              <w:rPr/>
              <w:t>开户行：中标后由采购人提供</w:t>
            </w:r>
          </w:p>
          <w:p>
            <w:pPr>
              <w:pStyle w:val="null3"/>
            </w:pPr>
            <w:r>
              <w:rPr/>
              <w:t>支票提交方式：中标后由采购人提供</w:t>
            </w:r>
          </w:p>
          <w:p>
            <w:pPr>
              <w:pStyle w:val="null3"/>
            </w:pPr>
            <w:r>
              <w:rPr/>
              <w:t>汇票、本票提交方式：中标后由采购人提供</w:t>
            </w:r>
          </w:p>
          <w:p>
            <w:pPr>
              <w:pStyle w:val="null3"/>
            </w:pPr>
            <w:r>
              <w:rPr/>
              <w:t>说明：详见用户需求书。</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LED 显示屏</w:t>
            </w:r>
          </w:p>
        </w:tc>
        <w:tc>
          <w:tcPr>
            <w:tcW w:type="dxa" w:w="831"/>
          </w:tcPr>
          <w:p>
            <w:pPr>
              <w:pStyle w:val="null3"/>
              <w:jc w:val="left"/>
            </w:pPr>
            <w:r>
              <w:rPr/>
              <w:t>LED显示屏</w:t>
            </w:r>
          </w:p>
        </w:tc>
        <w:tc>
          <w:tcPr>
            <w:tcW w:type="dxa" w:w="831"/>
          </w:tcPr>
          <w:p>
            <w:pPr>
              <w:pStyle w:val="null3"/>
              <w:jc w:val="left"/>
            </w:pPr>
            <w:r>
              <w:rPr/>
              <w:t>平方米</w:t>
            </w:r>
          </w:p>
        </w:tc>
        <w:tc>
          <w:tcPr>
            <w:tcW w:type="dxa" w:w="831"/>
          </w:tcPr>
          <w:p>
            <w:pPr>
              <w:pStyle w:val="null3"/>
              <w:jc w:val="right"/>
            </w:pPr>
            <w:r>
              <w:rPr/>
              <w:t>18.43</w:t>
            </w:r>
          </w:p>
        </w:tc>
        <w:tc>
          <w:tcPr>
            <w:tcW w:type="dxa" w:w="831"/>
          </w:tcPr>
          <w:p>
            <w:pPr>
              <w:pStyle w:val="null3"/>
              <w:jc w:val="right"/>
            </w:pPr>
            <w:r>
              <w:rPr/>
              <w:t>6,900.00</w:t>
            </w:r>
          </w:p>
        </w:tc>
        <w:tc>
          <w:tcPr>
            <w:tcW w:type="dxa" w:w="831"/>
          </w:tcPr>
          <w:p>
            <w:pPr>
              <w:pStyle w:val="null3"/>
              <w:jc w:val="right"/>
            </w:pPr>
            <w:r>
              <w:rPr/>
              <w:t>127,180.80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电源插座和转换器</w:t>
            </w:r>
          </w:p>
        </w:tc>
        <w:tc>
          <w:tcPr>
            <w:tcW w:type="dxa" w:w="831"/>
          </w:tcPr>
          <w:p>
            <w:pPr>
              <w:pStyle w:val="null3"/>
              <w:jc w:val="left"/>
            </w:pPr>
            <w:r>
              <w:rPr/>
              <w:t>开关电源</w:t>
            </w:r>
          </w:p>
        </w:tc>
        <w:tc>
          <w:tcPr>
            <w:tcW w:type="dxa" w:w="831"/>
          </w:tcPr>
          <w:p>
            <w:pPr>
              <w:pStyle w:val="null3"/>
              <w:jc w:val="left"/>
            </w:pPr>
            <w:r>
              <w:rPr/>
              <w:t>台</w:t>
            </w:r>
          </w:p>
        </w:tc>
        <w:tc>
          <w:tcPr>
            <w:tcW w:type="dxa" w:w="831"/>
          </w:tcPr>
          <w:p>
            <w:pPr>
              <w:pStyle w:val="null3"/>
              <w:jc w:val="right"/>
            </w:pPr>
            <w:r>
              <w:rPr/>
              <w:t>60.00</w:t>
            </w:r>
          </w:p>
        </w:tc>
        <w:tc>
          <w:tcPr>
            <w:tcW w:type="dxa" w:w="831"/>
          </w:tcPr>
          <w:p>
            <w:pPr>
              <w:pStyle w:val="null3"/>
              <w:jc w:val="right"/>
            </w:pPr>
            <w:r>
              <w:rPr/>
              <w:t>90.00</w:t>
            </w:r>
          </w:p>
        </w:tc>
        <w:tc>
          <w:tcPr>
            <w:tcW w:type="dxa" w:w="831"/>
          </w:tcPr>
          <w:p>
            <w:pPr>
              <w:pStyle w:val="null3"/>
              <w:jc w:val="right"/>
            </w:pPr>
            <w:r>
              <w:rPr/>
              <w:t>5,400.00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电源插座和转换器</w:t>
            </w:r>
          </w:p>
        </w:tc>
        <w:tc>
          <w:tcPr>
            <w:tcW w:type="dxa" w:w="831"/>
          </w:tcPr>
          <w:p>
            <w:pPr>
              <w:pStyle w:val="null3"/>
              <w:jc w:val="left"/>
            </w:pPr>
            <w:r>
              <w:rPr/>
              <w:t>接收卡</w:t>
            </w:r>
          </w:p>
        </w:tc>
        <w:tc>
          <w:tcPr>
            <w:tcW w:type="dxa" w:w="831"/>
          </w:tcPr>
          <w:p>
            <w:pPr>
              <w:pStyle w:val="null3"/>
              <w:jc w:val="left"/>
            </w:pPr>
            <w:r>
              <w:rPr/>
              <w:t>张</w:t>
            </w:r>
          </w:p>
        </w:tc>
        <w:tc>
          <w:tcPr>
            <w:tcW w:type="dxa" w:w="831"/>
          </w:tcPr>
          <w:p>
            <w:pPr>
              <w:pStyle w:val="null3"/>
              <w:jc w:val="right"/>
            </w:pPr>
            <w:r>
              <w:rPr/>
              <w:t>54.00</w:t>
            </w:r>
          </w:p>
        </w:tc>
        <w:tc>
          <w:tcPr>
            <w:tcW w:type="dxa" w:w="831"/>
          </w:tcPr>
          <w:p>
            <w:pPr>
              <w:pStyle w:val="null3"/>
              <w:jc w:val="right"/>
            </w:pPr>
            <w:r>
              <w:rPr/>
              <w:t>130.00</w:t>
            </w:r>
          </w:p>
        </w:tc>
        <w:tc>
          <w:tcPr>
            <w:tcW w:type="dxa" w:w="831"/>
          </w:tcPr>
          <w:p>
            <w:pPr>
              <w:pStyle w:val="null3"/>
              <w:jc w:val="right"/>
            </w:pPr>
            <w:r>
              <w:rPr/>
              <w:t>7,020.00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终端控制器</w:t>
            </w:r>
          </w:p>
        </w:tc>
        <w:tc>
          <w:tcPr>
            <w:tcW w:type="dxa" w:w="831"/>
          </w:tcPr>
          <w:p>
            <w:pPr>
              <w:pStyle w:val="null3"/>
              <w:jc w:val="left"/>
            </w:pPr>
            <w:r>
              <w:rPr/>
              <w:t>LED视频控制器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8,000.00</w:t>
            </w:r>
          </w:p>
        </w:tc>
        <w:tc>
          <w:tcPr>
            <w:tcW w:type="dxa" w:w="831"/>
          </w:tcPr>
          <w:p>
            <w:pPr>
              <w:pStyle w:val="null3"/>
              <w:jc w:val="right"/>
            </w:pPr>
            <w:r>
              <w:rPr/>
              <w:t>8,000.00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其他计算机软件</w:t>
            </w:r>
          </w:p>
        </w:tc>
        <w:tc>
          <w:tcPr>
            <w:tcW w:type="dxa" w:w="831"/>
          </w:tcPr>
          <w:p>
            <w:pPr>
              <w:pStyle w:val="null3"/>
              <w:jc w:val="left"/>
            </w:pPr>
            <w:r>
              <w:rPr/>
              <w:t>控制软件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w:t>
            </w:r>
          </w:p>
        </w:tc>
        <w:tc>
          <w:tcPr>
            <w:tcW w:type="dxa" w:w="831"/>
          </w:tcPr>
          <w:p>
            <w:pPr>
              <w:pStyle w:val="null3"/>
              <w:jc w:val="right"/>
            </w:pPr>
            <w:r>
              <w:rPr/>
              <w:t>3,000.00</w:t>
            </w:r>
          </w:p>
        </w:tc>
        <w:tc>
          <w:tcPr>
            <w:tcW w:type="dxa" w:w="831"/>
          </w:tcPr>
          <w:p>
            <w:pPr>
              <w:pStyle w:val="null3"/>
            </w:pPr>
            <w:r>
              <w:rPr/>
              <w:t>软件和信息技术服务业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其他电源设备</w:t>
            </w:r>
          </w:p>
        </w:tc>
        <w:tc>
          <w:tcPr>
            <w:tcW w:type="dxa" w:w="831"/>
          </w:tcPr>
          <w:p>
            <w:pPr>
              <w:pStyle w:val="null3"/>
              <w:jc w:val="left"/>
            </w:pPr>
            <w:r>
              <w:rPr/>
              <w:t>智能电源管理中心</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7,500.00</w:t>
            </w:r>
          </w:p>
        </w:tc>
        <w:tc>
          <w:tcPr>
            <w:tcW w:type="dxa" w:w="831"/>
          </w:tcPr>
          <w:p>
            <w:pPr>
              <w:pStyle w:val="null3"/>
              <w:jc w:val="right"/>
            </w:pPr>
            <w:r>
              <w:rPr/>
              <w:t>7,500.00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其他服务</w:t>
            </w:r>
          </w:p>
        </w:tc>
        <w:tc>
          <w:tcPr>
            <w:tcW w:type="dxa" w:w="831"/>
          </w:tcPr>
          <w:p>
            <w:pPr>
              <w:pStyle w:val="null3"/>
              <w:jc w:val="left"/>
            </w:pPr>
            <w:r>
              <w:rPr/>
              <w:t>钢结构及装饰 安装、调试及培训</w:t>
            </w:r>
          </w:p>
        </w:tc>
        <w:tc>
          <w:tcPr>
            <w:tcW w:type="dxa" w:w="831"/>
          </w:tcPr>
          <w:p>
            <w:pPr>
              <w:pStyle w:val="null3"/>
              <w:jc w:val="left"/>
            </w:pPr>
            <w:r>
              <w:rPr/>
              <w:t>平方米</w:t>
            </w:r>
          </w:p>
        </w:tc>
        <w:tc>
          <w:tcPr>
            <w:tcW w:type="dxa" w:w="831"/>
          </w:tcPr>
          <w:p>
            <w:pPr>
              <w:pStyle w:val="null3"/>
              <w:jc w:val="right"/>
            </w:pPr>
            <w:r>
              <w:rPr/>
              <w:t>18.43</w:t>
            </w:r>
          </w:p>
        </w:tc>
        <w:tc>
          <w:tcPr>
            <w:tcW w:type="dxa" w:w="831"/>
          </w:tcPr>
          <w:p>
            <w:pPr>
              <w:pStyle w:val="null3"/>
              <w:jc w:val="right"/>
            </w:pPr>
            <w:r>
              <w:rPr/>
              <w:t>1,200.00</w:t>
            </w:r>
          </w:p>
        </w:tc>
        <w:tc>
          <w:tcPr>
            <w:tcW w:type="dxa" w:w="831"/>
          </w:tcPr>
          <w:p>
            <w:pPr>
              <w:pStyle w:val="null3"/>
              <w:jc w:val="right"/>
            </w:pPr>
            <w:r>
              <w:rPr/>
              <w:t>22,118.40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绝缘电线和电缆</w:t>
            </w:r>
          </w:p>
        </w:tc>
        <w:tc>
          <w:tcPr>
            <w:tcW w:type="dxa" w:w="831"/>
          </w:tcPr>
          <w:p>
            <w:pPr>
              <w:pStyle w:val="null3"/>
              <w:jc w:val="left"/>
            </w:pPr>
            <w:r>
              <w:rPr/>
              <w:t>模组线材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绝缘电线和电缆</w:t>
            </w:r>
          </w:p>
        </w:tc>
        <w:tc>
          <w:tcPr>
            <w:tcW w:type="dxa" w:w="831"/>
          </w:tcPr>
          <w:p>
            <w:pPr>
              <w:pStyle w:val="null3"/>
              <w:jc w:val="left"/>
            </w:pPr>
            <w:r>
              <w:rPr/>
              <w:t>线材及辅材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7,500.00</w:t>
            </w:r>
          </w:p>
        </w:tc>
        <w:tc>
          <w:tcPr>
            <w:tcW w:type="dxa" w:w="831"/>
          </w:tcPr>
          <w:p>
            <w:pPr>
              <w:pStyle w:val="null3"/>
              <w:jc w:val="right"/>
            </w:pPr>
            <w:r>
              <w:rPr/>
              <w:t>7,500.00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电源插座和转换器</w:t>
            </w:r>
          </w:p>
        </w:tc>
        <w:tc>
          <w:tcPr>
            <w:tcW w:type="dxa" w:w="831"/>
          </w:tcPr>
          <w:p>
            <w:pPr>
              <w:pStyle w:val="null3"/>
              <w:jc w:val="left"/>
            </w:pPr>
            <w:r>
              <w:rPr/>
              <w:t>备品备件</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4,000.00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绝缘电线和电缆</w:t>
            </w:r>
          </w:p>
        </w:tc>
        <w:tc>
          <w:tcPr>
            <w:tcW w:type="dxa" w:w="831"/>
          </w:tcPr>
          <w:p>
            <w:pPr>
              <w:pStyle w:val="null3"/>
              <w:jc w:val="left"/>
            </w:pPr>
            <w:r>
              <w:rPr/>
              <w:t>动力电源线</w:t>
            </w:r>
          </w:p>
        </w:tc>
        <w:tc>
          <w:tcPr>
            <w:tcW w:type="dxa" w:w="831"/>
          </w:tcPr>
          <w:p>
            <w:pPr>
              <w:pStyle w:val="null3"/>
              <w:jc w:val="left"/>
            </w:pPr>
            <w:r>
              <w:rPr/>
              <w:t>米</w:t>
            </w:r>
          </w:p>
        </w:tc>
        <w:tc>
          <w:tcPr>
            <w:tcW w:type="dxa" w:w="831"/>
          </w:tcPr>
          <w:p>
            <w:pPr>
              <w:pStyle w:val="null3"/>
              <w:jc w:val="right"/>
            </w:pPr>
            <w:r>
              <w:rPr/>
              <w:t>30.00</w:t>
            </w:r>
          </w:p>
        </w:tc>
        <w:tc>
          <w:tcPr>
            <w:tcW w:type="dxa" w:w="831"/>
          </w:tcPr>
          <w:p>
            <w:pPr>
              <w:pStyle w:val="null3"/>
              <w:jc w:val="right"/>
            </w:pPr>
            <w:r>
              <w:rPr/>
              <w:t>50.00</w:t>
            </w:r>
          </w:p>
        </w:tc>
        <w:tc>
          <w:tcPr>
            <w:tcW w:type="dxa" w:w="831"/>
          </w:tcPr>
          <w:p>
            <w:pPr>
              <w:pStyle w:val="null3"/>
              <w:jc w:val="right"/>
            </w:pPr>
            <w:r>
              <w:rPr/>
              <w:t>1,500.00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图形工作站</w:t>
            </w:r>
          </w:p>
        </w:tc>
        <w:tc>
          <w:tcPr>
            <w:tcW w:type="dxa" w:w="831"/>
          </w:tcPr>
          <w:p>
            <w:pPr>
              <w:pStyle w:val="null3"/>
              <w:jc w:val="left"/>
            </w:pPr>
            <w:r>
              <w:rPr/>
              <w:t>LED屏控制工作站</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7,300.00</w:t>
            </w:r>
          </w:p>
        </w:tc>
        <w:tc>
          <w:tcPr>
            <w:tcW w:type="dxa" w:w="831"/>
          </w:tcPr>
          <w:p>
            <w:pPr>
              <w:pStyle w:val="null3"/>
              <w:jc w:val="right"/>
            </w:pPr>
            <w:r>
              <w:rPr/>
              <w:t>7,300.00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音频功率放大器设备（功放设备）</w:t>
            </w:r>
          </w:p>
        </w:tc>
        <w:tc>
          <w:tcPr>
            <w:tcW w:type="dxa" w:w="831"/>
          </w:tcPr>
          <w:p>
            <w:pPr>
              <w:pStyle w:val="null3"/>
              <w:jc w:val="left"/>
            </w:pPr>
            <w:r>
              <w:rPr/>
              <w:t>智能红外无线功放</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w:t>
            </w:r>
          </w:p>
        </w:tc>
        <w:tc>
          <w:tcPr>
            <w:tcW w:type="dxa" w:w="831"/>
          </w:tcPr>
          <w:p>
            <w:pPr>
              <w:pStyle w:val="null3"/>
              <w:jc w:val="right"/>
            </w:pPr>
            <w:r>
              <w:rPr/>
              <w:t>3,000.00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话筒设备</w:t>
            </w:r>
          </w:p>
        </w:tc>
        <w:tc>
          <w:tcPr>
            <w:tcW w:type="dxa" w:w="831"/>
          </w:tcPr>
          <w:p>
            <w:pPr>
              <w:pStyle w:val="null3"/>
              <w:jc w:val="left"/>
            </w:pPr>
            <w:r>
              <w:rPr/>
              <w:t>红外线传感器</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680.00</w:t>
            </w:r>
          </w:p>
        </w:tc>
        <w:tc>
          <w:tcPr>
            <w:tcW w:type="dxa" w:w="831"/>
          </w:tcPr>
          <w:p>
            <w:pPr>
              <w:pStyle w:val="null3"/>
              <w:jc w:val="right"/>
            </w:pPr>
            <w:r>
              <w:rPr/>
              <w:t>1,360.00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话筒设备</w:t>
            </w:r>
          </w:p>
        </w:tc>
        <w:tc>
          <w:tcPr>
            <w:tcW w:type="dxa" w:w="831"/>
          </w:tcPr>
          <w:p>
            <w:pPr>
              <w:pStyle w:val="null3"/>
              <w:jc w:val="left"/>
            </w:pPr>
            <w:r>
              <w:rPr/>
              <w:t>红外线话筒</w:t>
            </w:r>
          </w:p>
        </w:tc>
        <w:tc>
          <w:tcPr>
            <w:tcW w:type="dxa" w:w="831"/>
          </w:tcPr>
          <w:p>
            <w:pPr>
              <w:pStyle w:val="null3"/>
              <w:jc w:val="left"/>
            </w:pPr>
            <w:r>
              <w:rPr/>
              <w:t>支</w:t>
            </w:r>
          </w:p>
        </w:tc>
        <w:tc>
          <w:tcPr>
            <w:tcW w:type="dxa" w:w="831"/>
          </w:tcPr>
          <w:p>
            <w:pPr>
              <w:pStyle w:val="null3"/>
              <w:jc w:val="right"/>
            </w:pPr>
            <w:r>
              <w:rPr/>
              <w:t>2.00</w:t>
            </w:r>
          </w:p>
        </w:tc>
        <w:tc>
          <w:tcPr>
            <w:tcW w:type="dxa" w:w="831"/>
          </w:tcPr>
          <w:p>
            <w:pPr>
              <w:pStyle w:val="null3"/>
              <w:jc w:val="right"/>
            </w:pPr>
            <w:r>
              <w:rPr/>
              <w:t>600.00</w:t>
            </w:r>
          </w:p>
        </w:tc>
        <w:tc>
          <w:tcPr>
            <w:tcW w:type="dxa" w:w="831"/>
          </w:tcPr>
          <w:p>
            <w:pPr>
              <w:pStyle w:val="null3"/>
              <w:jc w:val="right"/>
            </w:pPr>
            <w:r>
              <w:rPr/>
              <w:t>1,200.00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话筒设备</w:t>
            </w:r>
          </w:p>
        </w:tc>
        <w:tc>
          <w:tcPr>
            <w:tcW w:type="dxa" w:w="831"/>
          </w:tcPr>
          <w:p>
            <w:pPr>
              <w:pStyle w:val="null3"/>
              <w:jc w:val="left"/>
            </w:pPr>
            <w:r>
              <w:rPr/>
              <w:t>组合式双路充电座</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600.00</w:t>
            </w:r>
          </w:p>
        </w:tc>
        <w:tc>
          <w:tcPr>
            <w:tcW w:type="dxa" w:w="831"/>
          </w:tcPr>
          <w:p>
            <w:pPr>
              <w:pStyle w:val="null3"/>
              <w:jc w:val="right"/>
            </w:pPr>
            <w:r>
              <w:rPr/>
              <w:t>600.00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音箱</w:t>
            </w:r>
          </w:p>
        </w:tc>
        <w:tc>
          <w:tcPr>
            <w:tcW w:type="dxa" w:w="831"/>
          </w:tcPr>
          <w:p>
            <w:pPr>
              <w:pStyle w:val="null3"/>
              <w:jc w:val="left"/>
            </w:pPr>
            <w:r>
              <w:rPr/>
              <w:t>音柱</w:t>
            </w:r>
          </w:p>
        </w:tc>
        <w:tc>
          <w:tcPr>
            <w:tcW w:type="dxa" w:w="831"/>
          </w:tcPr>
          <w:p>
            <w:pPr>
              <w:pStyle w:val="null3"/>
              <w:jc w:val="left"/>
            </w:pPr>
            <w:r>
              <w:rPr/>
              <w:t>只</w:t>
            </w:r>
          </w:p>
        </w:tc>
        <w:tc>
          <w:tcPr>
            <w:tcW w:type="dxa" w:w="831"/>
          </w:tcPr>
          <w:p>
            <w:pPr>
              <w:pStyle w:val="null3"/>
              <w:jc w:val="right"/>
            </w:pPr>
            <w:r>
              <w:rPr/>
              <w:t>4.00</w:t>
            </w:r>
          </w:p>
        </w:tc>
        <w:tc>
          <w:tcPr>
            <w:tcW w:type="dxa" w:w="831"/>
          </w:tcPr>
          <w:p>
            <w:pPr>
              <w:pStyle w:val="null3"/>
              <w:jc w:val="right"/>
            </w:pPr>
            <w:r>
              <w:rPr/>
              <w:t>1,800.00</w:t>
            </w:r>
          </w:p>
        </w:tc>
        <w:tc>
          <w:tcPr>
            <w:tcW w:type="dxa" w:w="831"/>
          </w:tcPr>
          <w:p>
            <w:pPr>
              <w:pStyle w:val="null3"/>
              <w:jc w:val="right"/>
            </w:pPr>
            <w:r>
              <w:rPr/>
              <w:t>7,200.00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交换设备</w:t>
            </w:r>
          </w:p>
        </w:tc>
        <w:tc>
          <w:tcPr>
            <w:tcW w:type="dxa" w:w="831"/>
          </w:tcPr>
          <w:p>
            <w:pPr>
              <w:pStyle w:val="null3"/>
              <w:jc w:val="left"/>
            </w:pPr>
            <w:r>
              <w:rPr/>
              <w:t>交换设备</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1,100.00</w:t>
            </w:r>
          </w:p>
        </w:tc>
        <w:tc>
          <w:tcPr>
            <w:tcW w:type="dxa" w:w="831"/>
          </w:tcPr>
          <w:p>
            <w:pPr>
              <w:pStyle w:val="null3"/>
              <w:jc w:val="right"/>
            </w:pPr>
            <w:r>
              <w:rPr/>
              <w:t>1,100.00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机柜</w:t>
            </w:r>
          </w:p>
        </w:tc>
        <w:tc>
          <w:tcPr>
            <w:tcW w:type="dxa" w:w="831"/>
          </w:tcPr>
          <w:p>
            <w:pPr>
              <w:pStyle w:val="null3"/>
              <w:jc w:val="left"/>
            </w:pPr>
            <w:r>
              <w:rPr/>
              <w:t>机柜</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1,650.00</w:t>
            </w:r>
          </w:p>
        </w:tc>
        <w:tc>
          <w:tcPr>
            <w:tcW w:type="dxa" w:w="831"/>
          </w:tcPr>
          <w:p>
            <w:pPr>
              <w:pStyle w:val="null3"/>
              <w:jc w:val="right"/>
            </w:pPr>
            <w:r>
              <w:rPr/>
              <w:t>1,650.00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图形工作站</w:t>
            </w:r>
          </w:p>
        </w:tc>
        <w:tc>
          <w:tcPr>
            <w:tcW w:type="dxa" w:w="831"/>
          </w:tcPr>
          <w:p>
            <w:pPr>
              <w:pStyle w:val="null3"/>
              <w:jc w:val="left"/>
            </w:pPr>
            <w:r>
              <w:rPr/>
              <w:t>视频工作站</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24,000.00</w:t>
            </w:r>
          </w:p>
        </w:tc>
        <w:tc>
          <w:tcPr>
            <w:tcW w:type="dxa" w:w="831"/>
          </w:tcPr>
          <w:p>
            <w:pPr>
              <w:pStyle w:val="null3"/>
              <w:jc w:val="right"/>
            </w:pPr>
            <w:r>
              <w:rPr/>
              <w:t>144,000.00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教学仪器</w:t>
            </w:r>
          </w:p>
        </w:tc>
        <w:tc>
          <w:tcPr>
            <w:tcW w:type="dxa" w:w="831"/>
          </w:tcPr>
          <w:p>
            <w:pPr>
              <w:pStyle w:val="null3"/>
              <w:jc w:val="left"/>
            </w:pPr>
            <w:r>
              <w:rPr/>
              <w:t>实践教学录播系统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5,600.00</w:t>
            </w:r>
          </w:p>
        </w:tc>
        <w:tc>
          <w:tcPr>
            <w:tcW w:type="dxa" w:w="831"/>
          </w:tcPr>
          <w:p>
            <w:pPr>
              <w:pStyle w:val="null3"/>
              <w:jc w:val="right"/>
            </w:pPr>
            <w:r>
              <w:rPr/>
              <w:t>11,200.00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其他柜类</w:t>
            </w:r>
          </w:p>
        </w:tc>
        <w:tc>
          <w:tcPr>
            <w:tcW w:type="dxa" w:w="831"/>
          </w:tcPr>
          <w:p>
            <w:pPr>
              <w:pStyle w:val="null3"/>
              <w:jc w:val="left"/>
            </w:pPr>
            <w:r>
              <w:rPr/>
              <w:t>定制柜</w:t>
            </w:r>
          </w:p>
        </w:tc>
        <w:tc>
          <w:tcPr>
            <w:tcW w:type="dxa" w:w="831"/>
          </w:tcPr>
          <w:p>
            <w:pPr>
              <w:pStyle w:val="null3"/>
              <w:jc w:val="left"/>
            </w:pPr>
            <w:r>
              <w:rPr/>
              <w:t>米</w:t>
            </w:r>
          </w:p>
        </w:tc>
        <w:tc>
          <w:tcPr>
            <w:tcW w:type="dxa" w:w="831"/>
          </w:tcPr>
          <w:p>
            <w:pPr>
              <w:pStyle w:val="null3"/>
              <w:jc w:val="right"/>
            </w:pPr>
            <w:r>
              <w:rPr/>
              <w:t>54.00</w:t>
            </w:r>
          </w:p>
        </w:tc>
        <w:tc>
          <w:tcPr>
            <w:tcW w:type="dxa" w:w="831"/>
          </w:tcPr>
          <w:p>
            <w:pPr>
              <w:pStyle w:val="null3"/>
              <w:jc w:val="right"/>
            </w:pPr>
            <w:r>
              <w:rPr/>
              <w:t>1,500.00</w:t>
            </w:r>
          </w:p>
        </w:tc>
        <w:tc>
          <w:tcPr>
            <w:tcW w:type="dxa" w:w="831"/>
          </w:tcPr>
          <w:p>
            <w:pPr>
              <w:pStyle w:val="null3"/>
              <w:jc w:val="right"/>
            </w:pPr>
            <w:r>
              <w:rPr/>
              <w:t>81,000.00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木质架类</w:t>
            </w:r>
          </w:p>
        </w:tc>
        <w:tc>
          <w:tcPr>
            <w:tcW w:type="dxa" w:w="831"/>
          </w:tcPr>
          <w:p>
            <w:pPr>
              <w:pStyle w:val="null3"/>
              <w:jc w:val="left"/>
            </w:pPr>
            <w:r>
              <w:rPr/>
              <w:t>木质洞洞板</w:t>
            </w:r>
          </w:p>
        </w:tc>
        <w:tc>
          <w:tcPr>
            <w:tcW w:type="dxa" w:w="831"/>
          </w:tcPr>
          <w:p>
            <w:pPr>
              <w:pStyle w:val="null3"/>
              <w:jc w:val="left"/>
            </w:pPr>
            <w:r>
              <w:rPr/>
              <w:t>平方米</w:t>
            </w:r>
          </w:p>
        </w:tc>
        <w:tc>
          <w:tcPr>
            <w:tcW w:type="dxa" w:w="831"/>
          </w:tcPr>
          <w:p>
            <w:pPr>
              <w:pStyle w:val="null3"/>
              <w:jc w:val="right"/>
            </w:pPr>
            <w:r>
              <w:rPr/>
              <w:t>81.00</w:t>
            </w:r>
          </w:p>
        </w:tc>
        <w:tc>
          <w:tcPr>
            <w:tcW w:type="dxa" w:w="831"/>
          </w:tcPr>
          <w:p>
            <w:pPr>
              <w:pStyle w:val="null3"/>
              <w:jc w:val="right"/>
            </w:pPr>
            <w:r>
              <w:rPr/>
              <w:t>1,100.00</w:t>
            </w:r>
          </w:p>
        </w:tc>
        <w:tc>
          <w:tcPr>
            <w:tcW w:type="dxa" w:w="831"/>
          </w:tcPr>
          <w:p>
            <w:pPr>
              <w:pStyle w:val="null3"/>
              <w:jc w:val="right"/>
            </w:pPr>
            <w:r>
              <w:rPr/>
              <w:t>89,100.00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其他架类</w:t>
            </w:r>
          </w:p>
        </w:tc>
        <w:tc>
          <w:tcPr>
            <w:tcW w:type="dxa" w:w="831"/>
          </w:tcPr>
          <w:p>
            <w:pPr>
              <w:pStyle w:val="null3"/>
              <w:jc w:val="left"/>
            </w:pPr>
            <w:r>
              <w:rPr/>
              <w:t>定制书架</w:t>
            </w:r>
          </w:p>
        </w:tc>
        <w:tc>
          <w:tcPr>
            <w:tcW w:type="dxa" w:w="831"/>
          </w:tcPr>
          <w:p>
            <w:pPr>
              <w:pStyle w:val="null3"/>
              <w:jc w:val="left"/>
            </w:pPr>
            <w:r>
              <w:rPr/>
              <w:t>平方米</w:t>
            </w:r>
          </w:p>
        </w:tc>
        <w:tc>
          <w:tcPr>
            <w:tcW w:type="dxa" w:w="831"/>
          </w:tcPr>
          <w:p>
            <w:pPr>
              <w:pStyle w:val="null3"/>
              <w:jc w:val="right"/>
            </w:pPr>
            <w:r>
              <w:rPr/>
              <w:t>144.90</w:t>
            </w:r>
          </w:p>
        </w:tc>
        <w:tc>
          <w:tcPr>
            <w:tcW w:type="dxa" w:w="831"/>
          </w:tcPr>
          <w:p>
            <w:pPr>
              <w:pStyle w:val="null3"/>
              <w:jc w:val="right"/>
            </w:pPr>
            <w:r>
              <w:rPr/>
              <w:t>1,500.00</w:t>
            </w:r>
          </w:p>
        </w:tc>
        <w:tc>
          <w:tcPr>
            <w:tcW w:type="dxa" w:w="831"/>
          </w:tcPr>
          <w:p>
            <w:pPr>
              <w:pStyle w:val="null3"/>
              <w:jc w:val="right"/>
            </w:pPr>
            <w:r>
              <w:rPr/>
              <w:t>217,350.00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教学、实验用桌</w:t>
            </w:r>
          </w:p>
        </w:tc>
        <w:tc>
          <w:tcPr>
            <w:tcW w:type="dxa" w:w="831"/>
          </w:tcPr>
          <w:p>
            <w:pPr>
              <w:pStyle w:val="null3"/>
              <w:jc w:val="left"/>
            </w:pPr>
            <w:r>
              <w:rPr/>
              <w:t>六人桌椅</w:t>
            </w:r>
          </w:p>
        </w:tc>
        <w:tc>
          <w:tcPr>
            <w:tcW w:type="dxa" w:w="831"/>
          </w:tcPr>
          <w:p>
            <w:pPr>
              <w:pStyle w:val="null3"/>
              <w:jc w:val="left"/>
            </w:pPr>
            <w:r>
              <w:rPr/>
              <w:t>套</w:t>
            </w:r>
          </w:p>
        </w:tc>
        <w:tc>
          <w:tcPr>
            <w:tcW w:type="dxa" w:w="831"/>
          </w:tcPr>
          <w:p>
            <w:pPr>
              <w:pStyle w:val="null3"/>
              <w:jc w:val="right"/>
            </w:pPr>
            <w:r>
              <w:rPr/>
              <w:t>25.00</w:t>
            </w:r>
          </w:p>
        </w:tc>
        <w:tc>
          <w:tcPr>
            <w:tcW w:type="dxa" w:w="831"/>
          </w:tcPr>
          <w:p>
            <w:pPr>
              <w:pStyle w:val="null3"/>
              <w:jc w:val="right"/>
            </w:pPr>
            <w:r>
              <w:rPr/>
              <w:t>4,500.00</w:t>
            </w:r>
          </w:p>
        </w:tc>
        <w:tc>
          <w:tcPr>
            <w:tcW w:type="dxa" w:w="831"/>
          </w:tcPr>
          <w:p>
            <w:pPr>
              <w:pStyle w:val="null3"/>
              <w:jc w:val="right"/>
            </w:pPr>
            <w:r>
              <w:rPr/>
              <w:t>112,500.00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会议桌</w:t>
            </w:r>
          </w:p>
        </w:tc>
        <w:tc>
          <w:tcPr>
            <w:tcW w:type="dxa" w:w="831"/>
          </w:tcPr>
          <w:p>
            <w:pPr>
              <w:pStyle w:val="null3"/>
              <w:jc w:val="left"/>
            </w:pPr>
            <w:r>
              <w:rPr/>
              <w:t>会议室桌椅</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jc w:val="right"/>
            </w:pPr>
            <w:r>
              <w:rPr/>
              <w:t>2,500.00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其他沙发类</w:t>
            </w:r>
          </w:p>
        </w:tc>
        <w:tc>
          <w:tcPr>
            <w:tcW w:type="dxa" w:w="831"/>
          </w:tcPr>
          <w:p>
            <w:pPr>
              <w:pStyle w:val="null3"/>
              <w:jc w:val="left"/>
            </w:pPr>
            <w:r>
              <w:rPr/>
              <w:t>定制沙发</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6,000.00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详见附表二十七</w:t>
            </w:r>
          </w:p>
        </w:tc>
      </w:tr>
    </w:tbl>
    <w:p>
      <w:pPr>
        <w:pStyle w:val="null3"/>
      </w:pPr>
      <w:r>
        <w:rPr>
          <w:b/>
        </w:rPr>
        <w:t>附表</w:t>
      </w:r>
      <w:r>
        <w:rPr>
          <w:b/>
        </w:rPr>
        <w:t>一</w:t>
      </w:r>
      <w:r>
        <w:rPr>
          <w:b/>
        </w:rPr>
        <w:t>：</w:t>
      </w:r>
      <w:r>
        <w:rPr>
          <w:b/>
        </w:rPr>
        <w:t>LED显示屏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开关电源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接收卡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LED视频控制器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控制软件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智能电源管理中心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钢结构及装饰 安装、调试及培训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模组线材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线材及辅材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备品备件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动力电源线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LED屏控制工作站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智能红外无线功放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红外线传感器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红外线话筒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组合式双路充电座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音柱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交换设备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机柜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视频工作站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实践教学录播系统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定制柜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木质洞洞板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定制书架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六人桌椅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会议室桌椅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定制沙发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广东女子职业技术学院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由采购人委托中标（成交）供应商支付采购代理费，中标（成交）价须包含采购代理费。采购代理费按照中标（成交）总金额以差额定率累进法（详见委托代理协议或广东省政府采购中心网http://gpcgd.gd.gov.cn/公告）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广州市越秀区越华路112号珠江国际大厦3楼质管科</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女子职业技术学院非遗学院（艺术楼一楼102-110室）改造)：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采购包1（广东女子职业技术学院非遗学院（艺术楼一楼102-110室）改造）：</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 所投产品均由小微企业生产且使用该小微企业商号或者注册商标，报价给予C1的价格扣除，即：评标价＝核实价－核实价×C1；（C1的取值为10%） 2） 本条款所称小型或微型企业应当符合以下条件：符合小型或微型企业划分标准，提供本企业制造的货物或者提供其他小型或微型企业制造的货物； 3） 符合中小企业扶持政策的供应商应提交《中小企业声明函（货物）》，否则评审时不能享受相应的价格扣除； 4）监狱企业视同小型、微型企业，享受评审中价格扣除的政府采购政策。监狱企业参加政府采购活动时，应当提供由省级以上监狱管理局、戒毒管理局(含新疆生产建设兵团)出具的属于监狱企业的证明文件； 5）残疾人福利单位视同小型、微型企业，享受评审中价格扣除的政府采购政策。残疾人福利单位参加政府采购活动时，应当提供《残疾人福利性单位声明函》； 6）符合中小企业划分标准的个体工商户，在政府采购活动中视同中小企业； 7）本文件所称中小企业，是指在中华人民共和国境内依法设立，依据国务院批准的中小企业划分标准确定的中型企业、小型企业和微型企业，但与大企业的负责人为同一人，或者与大企业存在直接控股、管理关系的除外。</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采购包1（广东女子职业技术学院非遗学院（艺术楼一楼102-110室）改造）：</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①或②证明材料：①提供2025年度经会计师事务所出具且标注验证码的财务审计报告。该报告须按照《关于加强审计报告查验工作的通知》（财会〔2023〕15 号）要求，在财政部注册会计师行业统一监管平台（http：//acc.mof.gov.cn）完成报备并取得全国统一验证码。②同时提供a.基本开户行出具的资信证明，b.《基本存款账号信息》或《开户许可证》）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采购包1（广东女子职业技术学院非遗学院（艺术楼一楼102-110室）改造）：</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投标（报价）总金额是固定价且是唯一的</w:t>
            </w:r>
          </w:p>
        </w:tc>
        <w:tc>
          <w:tcPr>
            <w:tcW w:type="dxa" w:w="4238"/>
          </w:tcPr>
          <w:p>
            <w:pPr>
              <w:pStyle w:val="null3"/>
            </w:pPr>
            <w:r>
              <w:rPr/>
              <w:t>投标（报价）总金额是固定价且是唯一的，未超过本项目采购预算。</w:t>
            </w:r>
          </w:p>
        </w:tc>
      </w:tr>
      <w:tr>
        <w:tc>
          <w:tcPr>
            <w:tcW w:type="dxa" w:w="890"/>
          </w:tcPr>
          <w:p>
            <w:pPr>
              <w:pStyle w:val="null3"/>
            </w:pPr>
            <w:r>
              <w:rPr/>
              <w:t>2</w:t>
            </w:r>
          </w:p>
        </w:tc>
        <w:tc>
          <w:tcPr>
            <w:tcW w:type="dxa" w:w="3178"/>
          </w:tcPr>
          <w:p>
            <w:pPr>
              <w:pStyle w:val="null3"/>
            </w:pPr>
            <w:r>
              <w:rPr/>
              <w:t>报价漏项</w:t>
            </w:r>
          </w:p>
        </w:tc>
        <w:tc>
          <w:tcPr>
            <w:tcW w:type="dxa" w:w="4238"/>
          </w:tcPr>
          <w:p>
            <w:pPr>
              <w:pStyle w:val="null3"/>
            </w:pPr>
            <w:r>
              <w:rPr/>
              <w:t>对标的没有报价漏项。</w:t>
            </w:r>
          </w:p>
        </w:tc>
      </w:tr>
      <w:tr>
        <w:tc>
          <w:tcPr>
            <w:tcW w:type="dxa" w:w="890"/>
          </w:tcPr>
          <w:p>
            <w:pPr>
              <w:pStyle w:val="null3"/>
            </w:pPr>
            <w:r>
              <w:rPr/>
              <w:t>3</w:t>
            </w:r>
          </w:p>
        </w:tc>
        <w:tc>
          <w:tcPr>
            <w:tcW w:type="dxa" w:w="3178"/>
          </w:tcPr>
          <w:p>
            <w:pPr>
              <w:pStyle w:val="null3"/>
            </w:pPr>
            <w:r>
              <w:rPr/>
              <w:t>进口产品</w:t>
            </w:r>
          </w:p>
        </w:tc>
        <w:tc>
          <w:tcPr>
            <w:tcW w:type="dxa" w:w="4238"/>
          </w:tcPr>
          <w:p>
            <w:pPr>
              <w:pStyle w:val="null3"/>
            </w:pPr>
            <w:r>
              <w:rPr/>
              <w:t>未以进口产品投标。</w:t>
            </w:r>
          </w:p>
        </w:tc>
      </w:tr>
      <w:tr>
        <w:tc>
          <w:tcPr>
            <w:tcW w:type="dxa" w:w="890"/>
          </w:tcPr>
          <w:p>
            <w:pPr>
              <w:pStyle w:val="null3"/>
            </w:pPr>
            <w:r>
              <w:rPr/>
              <w:t>4</w:t>
            </w:r>
          </w:p>
        </w:tc>
        <w:tc>
          <w:tcPr>
            <w:tcW w:type="dxa" w:w="3178"/>
          </w:tcPr>
          <w:p>
            <w:pPr>
              <w:pStyle w:val="null3"/>
            </w:pPr>
            <w:r>
              <w:rPr/>
              <w:t>提交投标函</w:t>
            </w:r>
          </w:p>
        </w:tc>
        <w:tc>
          <w:tcPr>
            <w:tcW w:type="dxa" w:w="4238"/>
          </w:tcPr>
          <w:p>
            <w:pPr>
              <w:pStyle w:val="null3"/>
            </w:pPr>
            <w:r>
              <w:rPr/>
              <w:t>提交投标函。投标函按规定格式填写，内容完整。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10</w:t>
            </w:r>
          </w:p>
        </w:tc>
        <w:tc>
          <w:tcPr>
            <w:tcW w:type="dxa" w:w="3178"/>
          </w:tcPr>
          <w:p>
            <w:pPr>
              <w:pStyle w:val="null3"/>
            </w:pPr>
            <w:r>
              <w:rPr/>
              <w:t>联合体</w:t>
            </w:r>
          </w:p>
        </w:tc>
        <w:tc>
          <w:tcPr>
            <w:tcW w:type="dxa" w:w="4238"/>
          </w:tcPr>
          <w:p>
            <w:pPr>
              <w:pStyle w:val="null3"/>
            </w:pPr>
            <w:r>
              <w:rPr/>
              <w:t>未以联合体形式投标。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采购包1(广东女子职业技术学院非遗学院（艺术楼一楼102-110室）改造):</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技术响应程度（一） (25.2分)</w:t>
            </w:r>
          </w:p>
        </w:tc>
        <w:tc>
          <w:tcPr>
            <w:tcW w:type="dxa" w:w="5076"/>
          </w:tcPr>
          <w:p>
            <w:pPr>
              <w:pStyle w:val="null3"/>
              <w:jc w:val="left"/>
            </w:pPr>
            <w:r>
              <w:rPr/>
              <w:t>采购项目清单及技术规格要求中，“▲”项为重要条款，共28项，每有一项满足要求得0.9分，最高得25.2分。 /注： /1.技术参数按《技术和服务要求响应表》进行填写。 /2.采购需求书对于技术参数有要求提供证明材料的，还须按要求提供证明材料，否则对应项不得分。为方便评审，建议在证明材料能体现技术参数处进行标识（如增加红色方框并写明对应的参数名称或参数序号）。</w:t>
            </w:r>
          </w:p>
        </w:tc>
      </w:tr>
      <w:tr>
        <w:tc>
          <w:tcPr>
            <w:tcW w:type="dxa" w:w="922"/>
            <w:gridSpan w:val="2"/>
            <w:vMerge/>
          </w:tcPr>
          <w:p/>
        </w:tc>
        <w:tc>
          <w:tcPr>
            <w:tcW w:type="dxa" w:w="2307"/>
          </w:tcPr>
          <w:p>
            <w:pPr>
              <w:pStyle w:val="null3"/>
              <w:jc w:val="left"/>
            </w:pPr>
            <w:r>
              <w:rPr/>
              <w:t>技术响应程度（二） (8.1分)</w:t>
            </w:r>
          </w:p>
        </w:tc>
        <w:tc>
          <w:tcPr>
            <w:tcW w:type="dxa" w:w="5076"/>
          </w:tcPr>
          <w:p>
            <w:pPr>
              <w:pStyle w:val="null3"/>
              <w:jc w:val="left"/>
            </w:pPr>
            <w:r>
              <w:rPr/>
              <w:t>采购项目清单及技术规格要求中，技术参数中非“▲”、非“★”号和非演示项为一般参数，单项产品的一般技术参数全部满足或优于得0.3分，只要单项产品中有一条（或以上）一般技术参数负偏离，则对应产品不得分。共27项产品，本项最高得8.1分。 /注：1.技术参数按《技术和服务要求响应表》进行填写。 /2.采购需求书对于技术参数有要求提供证明材料的，还须按要求提供证明材料，否则对应项不得分。为方便评审，建议在证明材料能体现技术参数处进行标识（如增加红色方框并写明对应的参数名称或参数序号）。</w:t>
            </w:r>
          </w:p>
        </w:tc>
      </w:tr>
      <w:tr>
        <w:tc>
          <w:tcPr>
            <w:tcW w:type="dxa" w:w="922"/>
            <w:gridSpan w:val="2"/>
            <w:vMerge/>
          </w:tcPr>
          <w:p/>
        </w:tc>
        <w:tc>
          <w:tcPr>
            <w:tcW w:type="dxa" w:w="2307"/>
          </w:tcPr>
          <w:p>
            <w:pPr>
              <w:pStyle w:val="null3"/>
              <w:jc w:val="left"/>
            </w:pPr>
            <w:r>
              <w:rPr/>
              <w:t>演示响应情况 (10.0分)</w:t>
            </w:r>
          </w:p>
        </w:tc>
        <w:tc>
          <w:tcPr>
            <w:tcW w:type="dxa" w:w="5076"/>
          </w:tcPr>
          <w:p>
            <w:pPr>
              <w:pStyle w:val="null3"/>
              <w:jc w:val="left"/>
            </w:pPr>
            <w:r>
              <w:rPr/>
              <w:t>根据各投标人所投产品对采购文件中“智能电源管理中心设备”的响应情况进行评审： /演示内容： /1.系统链路拓补图：电源管理平台端联动其他设备形成系统化链路拓补图，直观展示各设备之间连接情况，快速确认设备之间是否存在故障断联。（提供演示视频进行佐证） /2.功率趋势分析：平台端自动生成功率走势图，能够查看各个通道在24小时内的功率使用情况，帮助识别设备老化、负荷异常、峰值规律，为扩容或节能提供数据支撑。（提供演示视频进行佐证） 3.本机定时任务：无需联网即可在设备端新增定时任务，自定义任务名称、开关动作、执行周期（单次/循环）、执行通道顺序，保障离线场景下的自动化能力。（提供演示视频进行佐证） /4.本机电气安全设置：直接在设备端设置过压/欠压/温度/每路过流阈值，并查看每一路的告警状态，实现本地化闭环管理。（提供演示视频进行佐证） /注：每演示一项完全满足要求得2.5分，不演示或演示不成功，对应项得0分。每投标人演示时长不超过15分钟。</w:t>
            </w:r>
          </w:p>
        </w:tc>
      </w:tr>
      <w:tr>
        <w:tc>
          <w:tcPr>
            <w:tcW w:type="dxa" w:w="922"/>
            <w:gridSpan w:val="2"/>
            <w:vMerge/>
          </w:tcPr>
          <w:p/>
        </w:tc>
        <w:tc>
          <w:tcPr>
            <w:tcW w:type="dxa" w:w="2307"/>
          </w:tcPr>
          <w:p>
            <w:pPr>
              <w:pStyle w:val="null3"/>
              <w:jc w:val="left"/>
            </w:pPr>
            <w:r>
              <w:rPr/>
              <w:t>整体实施方案 (6.7分)</w:t>
            </w:r>
          </w:p>
        </w:tc>
        <w:tc>
          <w:tcPr>
            <w:tcW w:type="dxa" w:w="5076"/>
          </w:tcPr>
          <w:p>
            <w:pPr>
              <w:pStyle w:val="null3"/>
              <w:jc w:val="left"/>
            </w:pPr>
            <w:r>
              <w:rPr/>
              <w:t>根据用户需求中“质量要求”、“安装调试”的相关要求，对投标人提供的服务方案进行评审： /1、方案完全满足且优于项目需求，得6.7分； /2、方案完全满足项目需求，得5分； /3、方案不完全满足项目需求，得2分； /4、不提供相关方案的，不得分。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(3.0分)</w:t>
            </w:r>
          </w:p>
        </w:tc>
        <w:tc>
          <w:tcPr>
            <w:tcW w:type="dxa" w:w="5076"/>
          </w:tcPr>
          <w:p>
            <w:pPr>
              <w:pStyle w:val="null3"/>
              <w:jc w:val="left"/>
            </w:pPr>
            <w:r>
              <w:rPr/>
              <w:t>自2023年1月1日至今（以合同签订时间为准），投标人具有教学实训设备或信息化设备类业绩，每提供一个得1.5分，最高得3分。 / 备注：提供同类项目业绩合同关键页扫描件（包括项目名称、合同标的、双方签约时间、双方盖章签字页）与验收合格报告扫描件。未提供或提供的材料无法认定的对应项不得分。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根据用户需求中“售后服务”的相关要求，对投标人提供的服务方案进行评审： /1、方案完全满足且优于项目需求，得6分； /2、方案完全满足项目需求，得5分； /3、方案不完全满足项目需求，得2分； /4、不提供相关方案的，不得分。</w:t>
            </w:r>
          </w:p>
        </w:tc>
      </w:tr>
      <w:tr>
        <w:tc>
          <w:tcPr>
            <w:tcW w:type="dxa" w:w="922"/>
            <w:gridSpan w:val="2"/>
            <w:vMerge/>
          </w:tcPr>
          <w:p/>
        </w:tc>
        <w:tc>
          <w:tcPr>
            <w:tcW w:type="dxa" w:w="2307"/>
          </w:tcPr>
          <w:p>
            <w:pPr>
              <w:pStyle w:val="null3"/>
              <w:jc w:val="left"/>
            </w:pPr>
            <w:r>
              <w:rPr/>
              <w:t>节能环保产品 (1.0分)</w:t>
            </w:r>
          </w:p>
        </w:tc>
        <w:tc>
          <w:tcPr>
            <w:tcW w:type="dxa" w:w="5076"/>
          </w:tcPr>
          <w:p>
            <w:pPr>
              <w:pStyle w:val="null3"/>
              <w:jc w:val="left"/>
            </w:pPr>
            <w:r>
              <w:rPr/>
              <w:t>供应商所响应产品属于《节能产品政府采购品目清单》（下简称《清单》）优先采购范围(即清单中非标注星号的产品)或《环境标志产品政府采购品目清单》（下简称《清单》）范围的，且获得国家确定的认证机构颁发的处于有效期内的节能（节水）产品认证证书或环境标志产品认证证书的（如认证证书上有体现认证产品型号的，则所投产品型号须与认证证书的产品型号一致。认证标准须符合《清单》中对应产品所依据的标准）。每有一个产品符合上述条件得1分，本项最高得分1分。 /注：为避免漏评，请供应商按需求附件《节能环保政策适用性说明》规定的格式进行填写及提交认证证书，并留意其中的“填写注意事项”。</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上述（1）-（3）项数值的计算，如涉及到总价、单价的，则精确到“分”并四舍五入；涉及费率计算的，则精准到小数点后二位，第三位四舍五入。如按上述原则计算后数值为123.456元，则按123.46取值；计算后数值为87.654%，则按87.65%取值。 被启动异常低价审查的供应商，如果不提供书面说明、证明材料，或者提供的书面说明、证明材料不能证明其报价合理性的，应当将其作为无效投标（响应）处理。通过异常低价审查的不足3家，不得进入详细评审。如供应商异常低价报价，评标委员会（评审小组）将启动异常低价投标（响应）审查，要求相关供应商在评审现场合理的时间内提供书面说明及必要的证明材料，对投标（响应）价格作出解释。供应商应在评标（审）现场合理的时间内提供书面说明。如供应商为厂家的，则对主要材料采购价格、人工费用、厂房（办公场地）费用、设备折旧、包装、运输、售后服务、税金、利润、代理服务费等各项费用组成的报价进行分析说明。如供应商为代理商或经销商的，则对设备采购价格、人工费用、办公场地费用、包装、运输、售后服务、税金、利润、代理服务费等各项费用组成的报价进行分析说明。分析说明须逐一提供佐证材料，包括但不限于：①设备的采购合同，或主要材料的采购合同；②人员工资明细表及银行工资转帐凭证；③自有厂房（或办公场所）的提供房产证明，租赁厂房（或办公场所）的提供租赁合同及发票，委托生产的提供委托生产合同；④生产设备购置合同或租赁合同或委托生产合同。⑤以往同类产品的合同及中标（成交）通知书（或交易发票）。 注：上述罗列的费用，如实际并未发生，则无须提供对应的成本分析及证明材料，但供应商应提供说明。</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440001-2026-29126</w:t>
      </w:r>
    </w:p>
    <w:p>
      <w:pPr>
        <w:pStyle w:val="null3"/>
        <w:jc w:val="center"/>
        <w:outlineLvl w:val="3"/>
      </w:pPr>
      <w:r>
        <w:rPr>
          <w:sz w:val="24"/>
          <w:b/>
        </w:rPr>
        <w:t>采购项目编号：</w:t>
      </w:r>
      <w:r>
        <w:rPr>
          <w:sz w:val="24"/>
          <w:b/>
        </w:rPr>
        <w:t>GPCGD261156HG215J</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广东女子职业技术学院非遗学院（艺术楼一楼102-110室）改造</w:t>
      </w:r>
      <w:r>
        <w:rPr>
          <w:u w:val="single"/>
        </w:rPr>
        <w:t>”</w:t>
      </w:r>
      <w:r>
        <w:rPr/>
        <w:t>项目的招标[采购项目编号为：</w:t>
      </w:r>
      <w:r>
        <w:rPr>
          <w:u w:val="single"/>
        </w:rPr>
        <w:t>GPCGD261156HG215J</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广东女子职业技术学院非遗学院（艺术楼一楼102-110室）改造</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广东女子职业技术学院非遗学院（艺术楼一楼102-110室）改造</w:t>
      </w:r>
      <w:r>
        <w:rPr/>
        <w:t>”项目采购[采购项目编号为</w:t>
      </w:r>
      <w:r>
        <w:rPr/>
        <w:t>GPCGD261156HG215J</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广东女子职业技术学院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广东女子职业技术学院非遗学院（艺术楼一楼102-110室）改造</w:t>
      </w:r>
      <w:r>
        <w:rPr/>
        <w:t>招标中获中标（采购项目编号：</w:t>
      </w:r>
      <w:r>
        <w:rPr/>
        <w:t>GPCGD261156HG215J</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广东女子职业技术学院非遗学院（艺术楼一楼102-110室）改造</w:t>
      </w:r>
      <w:r>
        <w:rPr/>
        <w:t>”项目（采购项目编号：</w:t>
      </w:r>
      <w:r>
        <w:rPr/>
        <w:t>GPCGD261156HG215J</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