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版本号：240719002</w:t>
      </w:r>
    </w:p>
    <w:p>
      <w:pPr>
        <w:pStyle w:val="null3"/>
        <w:jc w:val="left"/>
        <w:outlineLvl w:val="0"/>
      </w:pPr>
      <w:r>
        <w:rPr>
          <w:b/>
          <w:sz w:val="48"/>
        </w:rPr>
        <w:t>竞 争 性 磋 商 文 件</w:t>
      </w:r>
    </w:p>
    <w:p>
      <w:pPr>
        <w:pStyle w:val="null3"/>
        <w:jc w:val="center"/>
        <w:outlineLvl w:val="0"/>
      </w:pPr>
      <w:r>
        <w:rPr>
          <w:b/>
          <w:sz w:val="48"/>
        </w:rPr>
        <w:t>（工程类）</w:t>
      </w:r>
    </w:p>
    <w:p>
      <w:pPr>
        <w:pStyle w:val="null3"/>
        <w:jc w:val="left"/>
        <w:outlineLvl w:val="2"/>
      </w:pPr>
      <w:r>
        <w:rPr>
          <w:b/>
          <w:sz w:val="28"/>
        </w:rPr>
        <w:t>采购项目名称：</w:t>
      </w:r>
      <w:r>
        <w:rPr>
          <w:b/>
          <w:sz w:val="28"/>
        </w:rPr>
        <w:t>第一住院大楼及精神医学门诊楼公共卫生间改造项目（二次）</w:t>
      </w:r>
    </w:p>
    <w:p>
      <w:pPr>
        <w:pStyle w:val="null3"/>
        <w:jc w:val="center"/>
        <w:outlineLvl w:val="2"/>
      </w:pPr>
      <w:r>
        <w:rPr>
          <w:b/>
          <w:sz w:val="28"/>
        </w:rPr>
        <w:t>采购项目编号：</w:t>
      </w:r>
      <w:r>
        <w:rPr>
          <w:b/>
          <w:sz w:val="28"/>
        </w:rPr>
        <w:t>N5109012024000115</w:t>
      </w:r>
    </w:p>
    <w:p>
      <w:pPr>
        <w:pStyle w:val="null3"/>
        <w:jc w:val="left"/>
        <w:outlineLvl w:val="2"/>
      </w:pPr>
      <w:r>
        <w:rPr>
          <w:b/>
          <w:sz w:val="28"/>
        </w:rPr>
        <w:t>遂宁市民康医院</w:t>
      </w:r>
    </w:p>
    <w:p>
      <w:pPr>
        <w:pStyle w:val="null3"/>
        <w:jc w:val="center"/>
        <w:outlineLvl w:val="2"/>
      </w:pPr>
      <w:r>
        <w:rPr>
          <w:b/>
          <w:sz w:val="28"/>
        </w:rPr>
        <w:t>遂宁市政府采购中心</w:t>
      </w:r>
      <w:r>
        <w:rPr>
          <w:b/>
          <w:sz w:val="28"/>
        </w:rPr>
        <w:t>共同编制</w:t>
      </w:r>
    </w:p>
    <w:p>
      <w:pPr>
        <w:pStyle w:val="null3"/>
        <w:jc w:val="center"/>
      </w:pPr>
      <w:r>
        <w:rPr/>
        <w:t>2024年06月24日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遂宁市政府采购中心</w:t>
      </w:r>
      <w:r>
        <w:rPr/>
        <w:t xml:space="preserve"> （以下简称“代理机构”）受 </w:t>
      </w:r>
      <w:r>
        <w:rPr/>
        <w:t>遂宁市民康医院</w:t>
      </w:r>
      <w:r>
        <w:rPr/>
        <w:t xml:space="preserve"> 委托，拟对 </w:t>
      </w:r>
      <w:r>
        <w:rPr/>
        <w:t>第一住院大楼及精神医学门诊楼公共卫生间改造项目（二次）</w:t>
      </w:r>
      <w:r>
        <w:rPr/>
        <w:t xml:space="preserve"> 采用竞争性磋商采购方式进行采购，兹邀请符合资格条件的供应商参加磋商，本项目为四川省</w:t>
      </w:r>
      <w:r>
        <w:rPr/>
        <w:t>遂宁市市本级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N5109012024000115</w:t>
      </w:r>
    </w:p>
    <w:p>
      <w:pPr>
        <w:pStyle w:val="null3"/>
        <w:jc w:val="left"/>
        <w:outlineLvl w:val="2"/>
      </w:pPr>
      <w:r>
        <w:rPr>
          <w:b/>
          <w:sz w:val="28"/>
        </w:rPr>
        <w:t>1.2.采购项目名称</w:t>
      </w:r>
      <w:r>
        <w:rPr>
          <w:b/>
          <w:sz w:val="28"/>
        </w:rPr>
        <w:t xml:space="preserve">： </w:t>
      </w:r>
      <w:r>
        <w:rPr>
          <w:b/>
          <w:sz w:val="28"/>
        </w:rPr>
        <w:t>第一住院大楼及精神医学门诊楼公共卫生间改造项目（二次）</w:t>
      </w:r>
    </w:p>
    <w:p>
      <w:pPr>
        <w:pStyle w:val="null3"/>
        <w:jc w:val="left"/>
        <w:outlineLvl w:val="2"/>
      </w:pPr>
      <w:r>
        <w:rPr>
          <w:b/>
          <w:sz w:val="28"/>
        </w:rPr>
        <w:t>1.3.磋商项目简介</w:t>
      </w:r>
    </w:p>
    <w:p>
      <w:pPr>
        <w:pStyle w:val="null3"/>
        <w:ind w:firstLine="480"/>
        <w:jc w:val="left"/>
      </w:pPr>
      <w:r>
        <w:rPr/>
        <w:t>/</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本项目以供应商库随机抽取方式邀请供应商参加磋商。</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供应商承诺取得本项目成交资格且注册地不在四川省行政区域内的，应当在政府采购合同签订前向采购人提交在有效期内的四川省住房和城乡建设厅官网已公开的入川信息网页截图。（提供承诺函，格式自拟））</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详见邀请书</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遂宁市民康医院</w:t>
      </w:r>
    </w:p>
    <w:p>
      <w:pPr>
        <w:pStyle w:val="null3"/>
        <w:ind w:firstLine="480"/>
        <w:jc w:val="left"/>
      </w:pPr>
      <w:r>
        <w:rPr/>
        <w:t xml:space="preserve"> 地址： </w:t>
      </w:r>
      <w:r>
        <w:rPr/>
        <w:t>遂宁市国开区西宁大道199号</w:t>
      </w:r>
    </w:p>
    <w:p>
      <w:pPr>
        <w:pStyle w:val="null3"/>
        <w:jc w:val="left"/>
      </w:pPr>
      <w:r>
        <w:rPr/>
        <w:t xml:space="preserve"> 邮编： </w:t>
      </w:r>
      <w:r>
        <w:rPr/>
        <w:t>629000</w:t>
      </w:r>
    </w:p>
    <w:p>
      <w:pPr>
        <w:pStyle w:val="null3"/>
        <w:jc w:val="left"/>
      </w:pPr>
      <w:r>
        <w:rPr/>
        <w:t xml:space="preserve"> 联系人： </w:t>
      </w:r>
      <w:r>
        <w:rPr/>
        <w:t>熊老师</w:t>
      </w:r>
    </w:p>
    <w:p>
      <w:pPr>
        <w:pStyle w:val="null3"/>
        <w:jc w:val="left"/>
      </w:pPr>
      <w:r>
        <w:rPr/>
        <w:t xml:space="preserve"> 联系电话： </w:t>
      </w:r>
      <w:r>
        <w:rPr/>
        <w:t>0825-2623203</w:t>
      </w:r>
    </w:p>
    <w:p>
      <w:pPr>
        <w:pStyle w:val="null3"/>
        <w:ind w:firstLine="480"/>
        <w:jc w:val="left"/>
        <w:outlineLvl w:val="3"/>
      </w:pPr>
      <w:r>
        <w:rPr>
          <w:b/>
          <w:sz w:val="24"/>
        </w:rPr>
        <w:t>代理机构</w:t>
      </w:r>
      <w:r>
        <w:rPr>
          <w:b/>
          <w:sz w:val="24"/>
        </w:rPr>
        <w:t xml:space="preserve">： </w:t>
      </w:r>
      <w:r>
        <w:rPr>
          <w:b/>
          <w:sz w:val="24"/>
        </w:rPr>
        <w:t>遂宁市政府采购中心</w:t>
      </w:r>
    </w:p>
    <w:p>
      <w:pPr>
        <w:pStyle w:val="null3"/>
        <w:ind w:firstLine="480"/>
        <w:jc w:val="left"/>
      </w:pPr>
      <w:r>
        <w:rPr/>
        <w:t xml:space="preserve"> 地址： </w:t>
      </w:r>
      <w:r>
        <w:rPr/>
        <w:t>四川省遂宁市船山区遂宁市东升路38号5号花瓣四楼</w:t>
      </w:r>
    </w:p>
    <w:p>
      <w:pPr>
        <w:pStyle w:val="null3"/>
        <w:jc w:val="left"/>
      </w:pPr>
      <w:r>
        <w:rPr/>
        <w:t xml:space="preserve"> 邮编： </w:t>
      </w:r>
      <w:r>
        <w:rPr/>
        <w:t>629000</w:t>
      </w:r>
    </w:p>
    <w:p>
      <w:pPr>
        <w:pStyle w:val="null3"/>
        <w:jc w:val="left"/>
      </w:pPr>
      <w:r>
        <w:rPr/>
        <w:t xml:space="preserve"> 联系人： </w:t>
      </w:r>
      <w:r>
        <w:rPr/>
        <w:t>冉女士</w:t>
      </w:r>
    </w:p>
    <w:p>
      <w:pPr>
        <w:pStyle w:val="null3"/>
        <w:jc w:val="left"/>
      </w:pPr>
      <w:r>
        <w:rPr/>
        <w:t xml:space="preserve"> 联系电话： </w:t>
      </w:r>
      <w:r>
        <w:rPr/>
        <w:t xml:space="preserve"> 采购文件：0825-2210159 开评标：0825-2321971、2315070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采购包1：1,413,000.18元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120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遂宁市民康医院</w:t>
      </w:r>
      <w:r>
        <w:rPr/>
        <w:t xml:space="preserve"> 和 </w:t>
      </w:r>
      <w:r>
        <w:rPr/>
        <w:t>遂宁市政府采购中心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遂宁市民康医院</w:t>
      </w:r>
      <w:r>
        <w:rPr/>
        <w:t xml:space="preserve"> 。</w:t>
      </w:r>
    </w:p>
    <w:p>
      <w:pPr>
        <w:pStyle w:val="null3"/>
        <w:ind w:firstLine="480"/>
        <w:jc w:val="left"/>
      </w:pPr>
      <w:r>
        <w:rPr/>
        <w:t xml:space="preserve">二、“供应商”是指按照 </w:t>
      </w:r>
      <w:r>
        <w:rPr/>
        <w:t>邀请书</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遂宁市政府采购中心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（四）磋商文件已明确各单位工程规费金额并要求按此金额填报而供应商填报错误或未填报的，或供应商未按相关计价规定计取规费的；</w:t>
      </w:r>
    </w:p>
    <w:p>
      <w:pPr>
        <w:pStyle w:val="null3"/>
        <w:ind w:firstLine="480"/>
        <w:jc w:val="left"/>
      </w:pPr>
      <w:r>
        <w:rPr/>
        <w:t>（五）磋商文件若已明确创优质工程奖补偿奖励费金额并要求按此金额填报而供应商填报错误或未填报的；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（十）单价、合价或总价，不论其大写金额或小写金额均只能有一个，否则，作无效响应处理。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按照技术参数与性能指标及相关标准要求执行</w:t>
      </w:r>
    </w:p>
    <w:p>
      <w:pPr>
        <w:pStyle w:val="null3"/>
        <w:ind w:firstLine="480"/>
        <w:jc w:val="left"/>
      </w:pPr>
      <w:r>
        <w:rPr/>
        <w:t>十、商务履约验收内容：</w:t>
      </w:r>
    </w:p>
    <w:p>
      <w:pPr>
        <w:pStyle w:val="null3"/>
        <w:ind w:firstLine="480"/>
        <w:jc w:val="left"/>
      </w:pPr>
      <w:r>
        <w:rPr/>
        <w:t>采购包1：</w:t>
      </w:r>
      <w:r>
        <w:rPr/>
        <w:t>按照技术参数与性能指标及相关标准要求执行</w:t>
      </w:r>
    </w:p>
    <w:p>
      <w:pPr>
        <w:pStyle w:val="null3"/>
        <w:ind w:firstLine="480"/>
        <w:jc w:val="left"/>
      </w:pPr>
      <w:r>
        <w:rPr/>
        <w:t>十一、履约验收标准：</w:t>
      </w:r>
    </w:p>
    <w:p>
      <w:pPr>
        <w:pStyle w:val="null3"/>
        <w:ind w:firstLine="480"/>
        <w:jc w:val="left"/>
      </w:pPr>
      <w:r>
        <w:rPr/>
        <w:t>采购包1：</w:t>
      </w:r>
      <w:r>
        <w:rPr/>
        <w:t>按照《政府采购需求管理办法》（财库〔2021〕22号）的要求以及磋商文件、成交供应商的响应文件进行验收。</w:t>
      </w:r>
    </w:p>
    <w:p>
      <w:pPr>
        <w:pStyle w:val="null3"/>
        <w:ind w:firstLine="480"/>
        <w:jc w:val="left"/>
      </w:pPr>
      <w:r>
        <w:rPr/>
        <w:t>十二、履约验收其他事项：</w:t>
      </w:r>
    </w:p>
    <w:p>
      <w:pPr>
        <w:pStyle w:val="null3"/>
        <w:ind w:firstLine="480"/>
        <w:jc w:val="left"/>
      </w:pPr>
      <w:r>
        <w:rPr/>
        <w:t>采购包1：</w:t>
      </w:r>
      <w:r>
        <w:rPr/>
        <w:t>无</w:t>
      </w:r>
    </w:p>
    <w:p>
      <w:pPr>
        <w:pStyle w:val="null3"/>
        <w:ind w:firstLine="480"/>
        <w:jc w:val="left"/>
      </w:pPr>
      <w:r>
        <w:rPr/>
        <w:t>一、交付竣工验收的工程，必须符合规定的工程质量标准，有完整的工程技术经济资料和经签署的工程保修书，并具备国家规定的其他竣工条件。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二、验收结果合格的，采购人应向成交供应商出具履约验收报告，成交供应商凭验收报告办理相关手续。</w:t>
      </w:r>
    </w:p>
    <w:p>
      <w:pPr>
        <w:pStyle w:val="null3"/>
        <w:ind w:firstLine="480"/>
        <w:jc w:val="left"/>
      </w:pPr>
      <w:r>
        <w:rPr/>
        <w:t>三、验收结果不合格的，履约保证金将不予退还，给采购人造成的损失超过履约保证金数额的，还应当对超过部分予以赔偿；没有提交履约保证金的，应当对采购人的损失承担赔偿责任。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遂宁市民康医院</w:t>
      </w:r>
      <w:r>
        <w:rPr/>
        <w:t xml:space="preserve"> 负责答复；供应商对除采购需求外的磋商文件的询问、质疑由 </w:t>
      </w:r>
      <w:r>
        <w:rPr/>
        <w:t>遂宁市政府采购中心</w:t>
      </w:r>
      <w:r>
        <w:rPr/>
        <w:t xml:space="preserve"> 负责答复；供应商对采购过程、采购结果的询问、质疑由 </w:t>
      </w:r>
      <w:r>
        <w:rPr/>
        <w:t>遂宁市政府采购中心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联系人：邓女士（除采购需求外的采购文件、采购过程、采购结果的内容）</w:t>
      </w:r>
    </w:p>
    <w:p>
      <w:pPr>
        <w:pStyle w:val="null3"/>
        <w:jc w:val="left"/>
      </w:pPr>
      <w:r>
        <w:rPr/>
        <w:t>联系电话：0825-2316623</w:t>
      </w:r>
    </w:p>
    <w:p>
      <w:pPr>
        <w:pStyle w:val="null3"/>
        <w:jc w:val="left"/>
      </w:pPr>
      <w:r>
        <w:rPr/>
        <w:t>地址：遂宁市河东市民中心5号花瓣4楼5416-2室</w:t>
      </w:r>
    </w:p>
    <w:p>
      <w:pPr>
        <w:pStyle w:val="null3"/>
        <w:jc w:val="left"/>
      </w:pPr>
      <w:r>
        <w:rPr/>
        <w:t>邮编：629000</w:t>
      </w:r>
    </w:p>
    <w:p>
      <w:pPr>
        <w:pStyle w:val="null3"/>
        <w:jc w:val="left"/>
      </w:pPr>
      <w:r>
        <w:rPr/>
        <w:t>答复主体：采购人</w:t>
      </w:r>
    </w:p>
    <w:p>
      <w:pPr>
        <w:pStyle w:val="null3"/>
        <w:jc w:val="left"/>
      </w:pPr>
      <w:r>
        <w:rPr/>
        <w:t>联系人：熊女士（采购文件中采购需求内容含：技术、服务、商务及其他要求、评分细则等）</w:t>
      </w:r>
    </w:p>
    <w:p>
      <w:pPr>
        <w:pStyle w:val="null3"/>
        <w:jc w:val="left"/>
      </w:pPr>
      <w:r>
        <w:rPr/>
        <w:t>联系电话： 0825-2623203</w:t>
      </w:r>
    </w:p>
    <w:p>
      <w:pPr>
        <w:pStyle w:val="null3"/>
        <w:jc w:val="left"/>
      </w:pPr>
      <w:r>
        <w:rPr/>
        <w:t>地址：遂宁市国开区西宁大道199号</w:t>
      </w:r>
    </w:p>
    <w:p>
      <w:pPr>
        <w:pStyle w:val="null3"/>
        <w:jc w:val="left"/>
      </w:pPr>
      <w:r>
        <w:rPr/>
        <w:t>邮编：629000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第一住院大楼及精神医学门诊楼的公共卫生间进行维修改造</w:t>
      </w:r>
    </w:p>
    <w:p>
      <w:pPr>
        <w:pStyle w:val="null3"/>
        <w:jc w:val="left"/>
        <w:outlineLvl w:val="2"/>
      </w:pPr>
      <w:r>
        <w:rPr>
          <w:b/>
          <w:sz w:val="28"/>
        </w:rPr>
        <w:t>3.2.采购内容</w:t>
      </w:r>
    </w:p>
    <w:p>
      <w:pPr>
        <w:pStyle w:val="null3"/>
        <w:jc w:val="left"/>
      </w:pPr>
      <w:r>
        <w:rPr/>
        <w:t>采购包1：</w:t>
      </w:r>
    </w:p>
    <w:p>
      <w:pPr>
        <w:pStyle w:val="null3"/>
        <w:jc w:val="left"/>
      </w:pPr>
      <w:r>
        <w:rPr/>
        <w:t>采购包预算金额（元）: 1,413,000.18</w:t>
      </w:r>
    </w:p>
    <w:p>
      <w:pPr>
        <w:pStyle w:val="null3"/>
        <w:jc w:val="left"/>
      </w:pPr>
      <w:r>
        <w:rPr/>
        <w:t>采购包最高限价（元）: 1,413,000.18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修缮工程</w:t>
            </w:r>
          </w:p>
        </w:tc>
        <w:tc>
          <w:tcPr>
            <w:tcW w:type="dxa" w:w="821"/>
          </w:tcPr>
          <w:p>
            <w:pPr>
              <w:pStyle w:val="null3"/>
              <w:jc w:val="left"/>
            </w:pPr>
            <w:r>
              <w:rPr/>
              <w:t>公共卫生间改造</w:t>
            </w:r>
          </w:p>
        </w:tc>
        <w:tc>
          <w:tcPr>
            <w:tcW w:type="dxa" w:w="821"/>
          </w:tcPr>
          <w:p>
            <w:pPr>
              <w:pStyle w:val="null3"/>
              <w:jc w:val="right"/>
            </w:pPr>
            <w:r>
              <w:rPr/>
              <w:t>1.00（项）</w:t>
            </w:r>
          </w:p>
        </w:tc>
        <w:tc>
          <w:tcPr>
            <w:tcW w:type="dxa" w:w="821"/>
          </w:tcPr>
          <w:p>
            <w:pPr>
              <w:pStyle w:val="null3"/>
              <w:jc w:val="right"/>
            </w:pPr>
            <w:r>
              <w:rPr/>
              <w:t>1,413,000.18</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第一住院大楼及精神医学门诊楼公共卫生间改造项目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1,413,000.18</w:t>
            </w:r>
          </w:p>
        </w:tc>
        <w:tc>
          <w:tcPr>
            <w:tcW w:type="dxa" w:w="977"/>
          </w:tcPr>
          <w:p>
            <w:pPr>
              <w:pStyle w:val="null3"/>
              <w:jc w:val="left"/>
            </w:pPr>
            <w:r>
              <w:rPr/>
              <w:t>总价</w:t>
            </w:r>
          </w:p>
        </w:tc>
        <w:tc>
          <w:tcPr>
            <w:tcW w:type="dxa" w:w="1661"/>
          </w:tcPr>
          <w:p>
            <w:pPr>
              <w:pStyle w:val="null3"/>
              <w:jc w:val="left"/>
            </w:pPr>
            <w:r>
              <w:rPr/>
              <w:t>无</w:t>
            </w:r>
          </w:p>
        </w:tc>
      </w:tr>
    </w:tbl>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修缮工程</w:t>
            </w:r>
          </w:p>
        </w:tc>
        <w:tc>
          <w:tcPr>
            <w:tcW w:type="dxa" w:w="2492"/>
          </w:tcPr>
          <w:p>
            <w:pPr>
              <w:pStyle w:val="null3"/>
              <w:jc w:val="left"/>
            </w:pPr>
            <w:r>
              <w:rPr/>
              <w:t>公共卫生间改造</w:t>
            </w:r>
          </w:p>
        </w:tc>
        <w:tc>
          <w:tcPr>
            <w:tcW w:type="dxa" w:w="2492"/>
          </w:tcPr>
          <w:p>
            <w:pPr>
              <w:pStyle w:val="null3"/>
              <w:jc w:val="left"/>
            </w:pPr>
            <w:r>
              <w:rPr/>
              <w:t>详见采购文件附件《节能环保清单》</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修缮工程</w:t>
            </w:r>
          </w:p>
        </w:tc>
        <w:tc>
          <w:tcPr>
            <w:tcW w:type="dxa" w:w="2492"/>
          </w:tcPr>
          <w:p>
            <w:pPr>
              <w:pStyle w:val="null3"/>
              <w:jc w:val="left"/>
            </w:pPr>
            <w:r>
              <w:rPr/>
              <w:t>公共卫生间改造</w:t>
            </w:r>
          </w:p>
        </w:tc>
        <w:tc>
          <w:tcPr>
            <w:tcW w:type="dxa" w:w="2492"/>
          </w:tcPr>
          <w:p>
            <w:pPr>
              <w:pStyle w:val="null3"/>
              <w:jc w:val="left"/>
            </w:pPr>
            <w:r>
              <w:rPr/>
              <w:t>详见采购文件附件《节能环保清单》</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修缮工程</w:t>
            </w:r>
          </w:p>
        </w:tc>
        <w:tc>
          <w:tcPr>
            <w:tcW w:type="dxa" w:w="2492"/>
          </w:tcPr>
          <w:p>
            <w:pPr>
              <w:pStyle w:val="null3"/>
              <w:jc w:val="left"/>
            </w:pPr>
            <w:r>
              <w:rPr/>
              <w:t>公共卫生间改造</w:t>
            </w:r>
          </w:p>
        </w:tc>
        <w:tc>
          <w:tcPr>
            <w:tcW w:type="dxa" w:w="2492"/>
          </w:tcPr>
          <w:p>
            <w:pPr>
              <w:pStyle w:val="null3"/>
              <w:jc w:val="left"/>
            </w:pPr>
            <w:r>
              <w:rPr/>
              <w:t>详见采购文件附件《节能环保清单》</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标的名称：公共卫生间改造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spacing w:before="105" w:after="105"/>
              <w:ind w:firstLine="420"/>
              <w:jc w:val="both"/>
            </w:pPr>
            <w:r>
              <w:rPr>
                <w:rFonts w:ascii="宋体" w:hAnsi="宋体" w:cs="宋体" w:eastAsia="宋体"/>
                <w:sz w:val="24"/>
              </w:rPr>
              <w:t>一、项目概况</w:t>
            </w:r>
          </w:p>
          <w:p>
            <w:pPr>
              <w:pStyle w:val="null3"/>
              <w:spacing w:before="105" w:after="105"/>
              <w:ind w:firstLine="420"/>
              <w:jc w:val="both"/>
            </w:pPr>
            <w:r>
              <w:rPr>
                <w:rFonts w:ascii="宋体" w:hAnsi="宋体" w:cs="宋体" w:eastAsia="宋体"/>
                <w:sz w:val="24"/>
              </w:rPr>
              <w:t>1、项目名称：</w:t>
            </w:r>
            <w:r>
              <w:rPr>
                <w:rFonts w:ascii="calibri" w:hAnsi="calibri" w:cs="calibri" w:eastAsia="calibri"/>
                <w:b/>
                <w:sz w:val="24"/>
              </w:rPr>
              <w:t>第一住院大楼及精神医学门诊楼公共卫生间改造项目（二次）</w:t>
            </w:r>
            <w:r>
              <w:rPr>
                <w:rFonts w:ascii="宋体" w:hAnsi="宋体" w:cs="宋体" w:eastAsia="宋体"/>
                <w:sz w:val="24"/>
              </w:rPr>
              <w:t>。</w:t>
            </w:r>
          </w:p>
          <w:p>
            <w:pPr>
              <w:pStyle w:val="null3"/>
              <w:spacing w:before="105" w:after="105"/>
              <w:ind w:firstLine="420"/>
              <w:jc w:val="both"/>
            </w:pPr>
            <w:r>
              <w:rPr>
                <w:rFonts w:ascii="宋体" w:hAnsi="宋体" w:cs="宋体" w:eastAsia="宋体"/>
                <w:sz w:val="24"/>
              </w:rPr>
              <w:t>2、预算金额：1413000.18元。</w:t>
            </w:r>
          </w:p>
          <w:p>
            <w:pPr>
              <w:pStyle w:val="null3"/>
              <w:spacing w:before="105" w:after="105"/>
              <w:ind w:firstLine="420"/>
              <w:jc w:val="both"/>
            </w:pPr>
            <w:r>
              <w:rPr>
                <w:rFonts w:ascii="宋体" w:hAnsi="宋体" w:cs="宋体" w:eastAsia="宋体"/>
                <w:sz w:val="24"/>
              </w:rPr>
              <w:t>3、最高限价：1413000.18元。供应商的采购包响应报价高于最高限价的，其响应文件将按无效处理。</w:t>
            </w:r>
          </w:p>
          <w:p>
            <w:pPr>
              <w:pStyle w:val="null3"/>
              <w:spacing w:before="105" w:after="105"/>
              <w:ind w:firstLine="420"/>
              <w:jc w:val="both"/>
            </w:pPr>
            <w:r>
              <w:rPr>
                <w:rFonts w:ascii="宋体" w:hAnsi="宋体" w:cs="宋体" w:eastAsia="宋体"/>
                <w:sz w:val="24"/>
              </w:rPr>
              <w:t>4、工程内容及规模：以工程量清单及施工图所示范围为准。</w:t>
            </w:r>
          </w:p>
          <w:p>
            <w:pPr>
              <w:pStyle w:val="null3"/>
              <w:spacing w:before="105" w:after="105"/>
              <w:ind w:firstLine="420"/>
              <w:jc w:val="both"/>
            </w:pPr>
            <w:r>
              <w:rPr>
                <w:rFonts w:ascii="宋体" w:hAnsi="宋体" w:cs="宋体" w:eastAsia="宋体"/>
                <w:sz w:val="24"/>
              </w:rPr>
              <w:t>5、建设主要内容：第一住院大楼及精神医学门诊楼的公共卫生间进行维修，涉及总面积约1000㎡。</w:t>
            </w:r>
          </w:p>
        </w:tc>
      </w:tr>
      <w:tr>
        <w:tc>
          <w:tcPr>
            <w:tcW w:type="dxa" w:w="2769"/>
          </w:tcPr>
          <w:p>
            <w:pPr>
              <w:pStyle w:val="null3"/>
              <w:jc w:val="left"/>
            </w:pPr>
            <w:r>
              <w:rPr/>
              <w:t>2</w:t>
            </w:r>
          </w:p>
        </w:tc>
        <w:tc>
          <w:tcPr>
            <w:tcW w:type="dxa" w:w="2769"/>
          </w:tcPr>
          <w:p/>
        </w:tc>
        <w:tc>
          <w:tcPr>
            <w:tcW w:type="dxa" w:w="2769"/>
          </w:tcPr>
          <w:p>
            <w:pPr>
              <w:pStyle w:val="null3"/>
              <w:spacing w:before="105" w:after="300"/>
              <w:jc w:val="left"/>
              <w:outlineLvl w:val="1"/>
            </w:pPr>
            <w:r>
              <w:rPr>
                <w:rFonts w:ascii="宋体" w:hAnsi="宋体" w:cs="宋体" w:eastAsia="宋体"/>
                <w:b/>
                <w:sz w:val="24"/>
              </w:rPr>
              <w:t>二、</w:t>
            </w:r>
            <w:r>
              <w:rPr>
                <w:rFonts w:ascii="宋体" w:hAnsi="宋体" w:cs="宋体" w:eastAsia="宋体"/>
                <w:b/>
                <w:sz w:val="24"/>
              </w:rPr>
              <w:t xml:space="preserve"> 技术、服务、合同条款要求</w:t>
            </w:r>
          </w:p>
          <w:tbl>
            <w:tblPr>
              <w:tblBorders>
                <w:top w:val="none" w:color="000000" w:sz="4"/>
                <w:left w:val="none" w:color="000000" w:sz="4"/>
                <w:bottom w:val="none" w:color="000000" w:sz="4"/>
                <w:right w:val="none" w:color="000000" w:sz="4"/>
                <w:insideH w:val="none"/>
                <w:insideV w:val="none"/>
              </w:tblBorders>
            </w:tblPr>
            <w:tblGrid>
              <w:gridCol w:w="256"/>
              <w:gridCol w:w="716"/>
              <w:gridCol w:w="1574"/>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jc w:val="both"/>
                  </w:pPr>
                  <w:r>
                    <w:rPr>
                      <w:rFonts w:ascii="宋体" w:hAnsi="宋体" w:cs="宋体" w:eastAsia="宋体"/>
                      <w:sz w:val="24"/>
                    </w:rPr>
                    <w:t>序号</w:t>
                  </w:r>
                </w:p>
              </w:tc>
              <w:tc>
                <w:tcPr>
                  <w:tcW w:type="dxa" w:w="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项目</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要求</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1</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4"/>
                    </w:rPr>
                    <w:t>项目负责人（项目经理）</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left"/>
                  </w:pPr>
                  <w:r>
                    <w:rPr>
                      <w:rFonts w:ascii="宋体" w:hAnsi="宋体" w:cs="宋体" w:eastAsia="宋体"/>
                      <w:sz w:val="24"/>
                    </w:rPr>
                    <w:t>姓名：</w:t>
                  </w:r>
                </w:p>
                <w:p>
                  <w:pPr>
                    <w:pStyle w:val="null3"/>
                    <w:spacing w:before="105" w:after="105"/>
                    <w:ind w:right="15"/>
                    <w:jc w:val="left"/>
                  </w:pPr>
                  <w:r>
                    <w:rPr>
                      <w:rFonts w:ascii="宋体" w:hAnsi="宋体" w:cs="宋体" w:eastAsia="宋体"/>
                      <w:sz w:val="24"/>
                    </w:rPr>
                    <w:t>注：供应商拟派项目负责人（项目经理）须与在省政府采购一体化平台提供的人员一致</w:t>
                  </w:r>
                  <w:r>
                    <w:rPr>
                      <w:rFonts w:ascii="宋体" w:hAnsi="宋体" w:cs="宋体" w:eastAsia="宋体"/>
                      <w:sz w:val="24"/>
                    </w:rPr>
                    <w:t>.</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2</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宋体" w:hAnsi="宋体" w:cs="宋体" w:eastAsia="宋体"/>
                      <w:sz w:val="24"/>
                    </w:rPr>
                    <w:t>技术负责人</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left"/>
                  </w:pPr>
                  <w:r>
                    <w:rPr>
                      <w:rFonts w:ascii="宋体" w:hAnsi="宋体" w:cs="宋体" w:eastAsia="宋体"/>
                      <w:sz w:val="24"/>
                    </w:rPr>
                    <w:t>姓名：</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3</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工期</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90" w:firstLine="420"/>
                    <w:jc w:val="both"/>
                  </w:pPr>
                  <w:r>
                    <w:rPr>
                      <w:rFonts w:ascii="宋体" w:hAnsi="宋体" w:cs="宋体" w:eastAsia="宋体"/>
                      <w:sz w:val="24"/>
                    </w:rPr>
                    <w:t>合同签订生效后</w:t>
                  </w:r>
                  <w:r>
                    <w:rPr>
                      <w:rFonts w:ascii="宋体" w:hAnsi="宋体" w:cs="宋体" w:eastAsia="宋体"/>
                      <w:sz w:val="24"/>
                    </w:rPr>
                    <w:t>240</w:t>
                  </w:r>
                  <w:r>
                    <w:rPr>
                      <w:rFonts w:ascii="宋体" w:hAnsi="宋体" w:cs="宋体" w:eastAsia="宋体"/>
                      <w:sz w:val="24"/>
                    </w:rPr>
                    <w:t>日历天内完工</w:t>
                  </w:r>
                  <w:r>
                    <w:rPr>
                      <w:rFonts w:ascii="宋体" w:hAnsi="宋体" w:cs="宋体" w:eastAsia="宋体"/>
                      <w:sz w:val="24"/>
                    </w:rPr>
                    <w:t>。</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4</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缺陷责任期</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u w:val="single"/>
                    </w:rPr>
                    <w:t>24</w:t>
                  </w:r>
                  <w:r>
                    <w:rPr>
                      <w:rFonts w:ascii="宋体" w:hAnsi="宋体" w:cs="宋体" w:eastAsia="宋体"/>
                      <w:sz w:val="24"/>
                    </w:rPr>
                    <w:t>个月</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5</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分包</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不允许</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6</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价格调整</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宋体" w:hAnsi="宋体" w:cs="宋体" w:eastAsia="宋体"/>
                      <w:sz w:val="24"/>
                    </w:rPr>
                    <w:t>不调整</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7</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jc w:val="center"/>
                  </w:pPr>
                  <w:r>
                    <w:rPr>
                      <w:rFonts w:ascii="宋体" w:hAnsi="宋体" w:cs="宋体" w:eastAsia="宋体"/>
                      <w:sz w:val="24"/>
                    </w:rPr>
                    <w:t>履约保证金</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宋体" w:hAnsi="宋体" w:cs="宋体" w:eastAsia="宋体"/>
                      <w:sz w:val="24"/>
                    </w:rPr>
                    <w:t>本项目</w:t>
                  </w:r>
                  <w:r>
                    <w:rPr>
                      <w:rFonts w:ascii="宋体" w:hAnsi="宋体" w:cs="宋体" w:eastAsia="宋体"/>
                      <w:sz w:val="24"/>
                    </w:rPr>
                    <w:t>不收取</w:t>
                  </w:r>
                  <w:r>
                    <w:rPr>
                      <w:rFonts w:ascii="宋体" w:hAnsi="宋体" w:cs="宋体" w:eastAsia="宋体"/>
                      <w:sz w:val="24"/>
                    </w:rPr>
                    <w:t>履约保证金。</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8</w:t>
                  </w:r>
                </w:p>
              </w:tc>
              <w:tc>
                <w:tcPr>
                  <w:tcW w:type="dxa" w:w="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15" w:firstLine="420"/>
                    <w:jc w:val="center"/>
                  </w:pPr>
                  <w:r>
                    <w:rPr>
                      <w:rFonts w:ascii="宋体" w:hAnsi="宋体" w:cs="宋体" w:eastAsia="宋体"/>
                      <w:sz w:val="24"/>
                    </w:rPr>
                    <w:t>付款方式</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宋体" w:hAnsi="宋体" w:cs="宋体" w:eastAsia="宋体"/>
                      <w:sz w:val="24"/>
                    </w:rPr>
                    <w:t>分</w:t>
                  </w:r>
                  <w:r>
                    <w:rPr>
                      <w:rFonts w:ascii="calibri" w:hAnsi="calibri" w:cs="calibri" w:eastAsia="calibri"/>
                      <w:sz w:val="24"/>
                    </w:rPr>
                    <w:t>4</w:t>
                  </w:r>
                  <w:r>
                    <w:rPr>
                      <w:rFonts w:ascii="宋体" w:hAnsi="宋体" w:cs="宋体" w:eastAsia="宋体"/>
                      <w:sz w:val="24"/>
                    </w:rPr>
                    <w:t>次付款：</w:t>
                  </w:r>
                </w:p>
                <w:p>
                  <w:pPr>
                    <w:pStyle w:val="null3"/>
                    <w:jc w:val="left"/>
                  </w:pPr>
                  <w:r>
                    <w:rPr>
                      <w:rFonts w:ascii="&quot;times new roman&quot;" w:hAnsi="&quot;times new roman&quot;" w:cs="&quot;times new roman&quot;" w:eastAsia="&quot;times new roman&quot;"/>
                      <w:sz w:val="24"/>
                    </w:rPr>
                    <w:t>1、合同签订后，达到付款条件起10日内，据实情况说明为：支付合同总金额的20%；</w:t>
                  </w:r>
                </w:p>
                <w:p>
                  <w:pPr>
                    <w:pStyle w:val="null3"/>
                    <w:jc w:val="left"/>
                  </w:pPr>
                  <w:r>
                    <w:rPr>
                      <w:rFonts w:ascii="&quot;times new roman&quot;" w:hAnsi="&quot;times new roman&quot;" w:cs="&quot;times new roman&quot;" w:eastAsia="&quot;times new roman&quot;"/>
                      <w:sz w:val="24"/>
                    </w:rPr>
                    <w:t>2、 竣工验收合格后，达到付款条件起10日内，据实情况说明为：支付合同总金额的60%；</w:t>
                  </w:r>
                </w:p>
                <w:p>
                  <w:pPr>
                    <w:pStyle w:val="null3"/>
                    <w:jc w:val="left"/>
                  </w:pPr>
                  <w:r>
                    <w:rPr>
                      <w:rFonts w:ascii="&quot;times new roman&quot;" w:hAnsi="&quot;times new roman&quot;" w:cs="&quot;times new roman&quot;" w:eastAsia="&quot;times new roman&quot;"/>
                      <w:sz w:val="24"/>
                    </w:rPr>
                    <w:t>3、结算审计完成后，达到付款条件起10日内，据实情况说明为：支付结算审计总金额的17%；</w:t>
                  </w:r>
                </w:p>
                <w:p>
                  <w:pPr>
                    <w:pStyle w:val="null3"/>
                    <w:jc w:val="left"/>
                  </w:pPr>
                  <w:r>
                    <w:rPr>
                      <w:rFonts w:ascii="&quot;times new roman&quot;" w:hAnsi="&quot;times new roman&quot;" w:cs="&quot;times new roman&quot;" w:eastAsia="&quot;times new roman&quot;"/>
                      <w:sz w:val="24"/>
                    </w:rPr>
                    <w:t>4、缺陷责任期结束，达到付款条件起10日内，据实情况说明为：支付结算审计总金额的3%。</w:t>
                  </w:r>
                </w:p>
              </w:tc>
            </w:tr>
          </w:tbl>
          <w:p>
            <w:pPr>
              <w:pStyle w:val="null3"/>
              <w:jc w:val="left"/>
            </w:pPr>
            <w:r>
              <w:rPr/>
              <w:t xml:space="preserve"> </w:t>
            </w:r>
          </w:p>
          <w:p>
            <w:pPr>
              <w:pStyle w:val="null3"/>
              <w:jc w:val="left"/>
            </w:pPr>
          </w:p>
        </w:tc>
      </w:tr>
      <w:tr>
        <w:tc>
          <w:tcPr>
            <w:tcW w:type="dxa" w:w="2769"/>
          </w:tcPr>
          <w:p>
            <w:pPr>
              <w:pStyle w:val="null3"/>
              <w:jc w:val="left"/>
            </w:pPr>
            <w:r>
              <w:rPr/>
              <w:t>3</w:t>
            </w:r>
          </w:p>
        </w:tc>
        <w:tc>
          <w:tcPr>
            <w:tcW w:type="dxa" w:w="2769"/>
          </w:tcPr>
          <w:p/>
        </w:tc>
        <w:tc>
          <w:tcPr>
            <w:tcW w:type="dxa" w:w="2769"/>
          </w:tcPr>
          <w:p>
            <w:pPr>
              <w:pStyle w:val="null3"/>
              <w:jc w:val="left"/>
            </w:pPr>
            <w:r>
              <w:rPr>
                <w:sz w:val="24"/>
              </w:rPr>
              <w:t>（一）工程质量、材料、施工等要求</w:t>
            </w:r>
            <w:r>
              <w:br/>
            </w:r>
            <w:r>
              <w:rPr>
                <w:sz w:val="24"/>
              </w:rPr>
              <w:t xml:space="preserve"> 1．质量要求：按采购人相关要求进行施工，达到或超过国家规范和相关质量要求。</w:t>
            </w:r>
            <w:r>
              <w:br/>
            </w:r>
            <w:r>
              <w:rPr>
                <w:sz w:val="24"/>
              </w:rPr>
              <w:t xml:space="preserve"> 2．材料要求：工程使用的材料必须满足符合国家标准、行业标准，如出现材料使用不合格，采购人有权责令更换，并追究相关损失。</w:t>
            </w:r>
            <w:r>
              <w:br/>
            </w:r>
            <w:r>
              <w:rPr>
                <w:sz w:val="24"/>
              </w:rPr>
              <w:t xml:space="preserve"> 3．施工安全：在履行本项目合同义务过程中，所发生的一切安全事故概由供应商承担，采购人不承担任何安全责任。</w:t>
            </w:r>
          </w:p>
        </w:tc>
      </w:tr>
      <w:tr>
        <w:tc>
          <w:tcPr>
            <w:tcW w:type="dxa" w:w="2769"/>
          </w:tcPr>
          <w:p>
            <w:pPr>
              <w:pStyle w:val="null3"/>
              <w:jc w:val="left"/>
            </w:pPr>
            <w:r>
              <w:rPr/>
              <w:t>4</w:t>
            </w:r>
          </w:p>
        </w:tc>
        <w:tc>
          <w:tcPr>
            <w:tcW w:type="dxa" w:w="2769"/>
          </w:tcPr>
          <w:p/>
        </w:tc>
        <w:tc>
          <w:tcPr>
            <w:tcW w:type="dxa" w:w="2769"/>
          </w:tcPr>
          <w:p>
            <w:pPr>
              <w:pStyle w:val="null3"/>
              <w:jc w:val="left"/>
            </w:pPr>
            <w:r>
              <w:rPr>
                <w:sz w:val="24"/>
              </w:rPr>
              <w:t>（二）成交人施工时必须按施工图组织施工，符合现行施工规范及验收标准。</w:t>
            </w:r>
          </w:p>
          <w:p>
            <w:pPr>
              <w:pStyle w:val="null3"/>
              <w:jc w:val="left"/>
              <w:outlineLvl w:val="1"/>
            </w:pPr>
            <w:r>
              <w:rPr>
                <w:b/>
                <w:sz w:val="24"/>
              </w:rPr>
              <w:t>★1．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p>
            <w:pPr>
              <w:pStyle w:val="null3"/>
              <w:jc w:val="left"/>
            </w:pPr>
            <w:r>
              <w:rPr>
                <w:b/>
                <w:sz w:val="24"/>
              </w:rPr>
              <w:t>★2．供应商针对本项目的施工，必须达到国家及行业现行技术规范标准，符合国家及行业验收合格标准。</w:t>
            </w:r>
          </w:p>
        </w:tc>
      </w:tr>
      <w:tr>
        <w:tc>
          <w:tcPr>
            <w:tcW w:type="dxa" w:w="2769"/>
          </w:tcPr>
          <w:p>
            <w:pPr>
              <w:pStyle w:val="null3"/>
              <w:jc w:val="left"/>
            </w:pPr>
            <w:r>
              <w:rPr/>
              <w:t>5</w:t>
            </w:r>
          </w:p>
        </w:tc>
        <w:tc>
          <w:tcPr>
            <w:tcW w:type="dxa" w:w="2769"/>
          </w:tcPr>
          <w:p>
            <w:pPr>
              <w:pStyle w:val="null3"/>
              <w:jc w:val="left"/>
            </w:pPr>
            <w:r>
              <w:rPr/>
              <w:t>★</w:t>
            </w:r>
          </w:p>
        </w:tc>
        <w:tc>
          <w:tcPr>
            <w:tcW w:type="dxa" w:w="2769"/>
          </w:tcPr>
          <w:p>
            <w:pPr>
              <w:pStyle w:val="null3"/>
              <w:jc w:val="left"/>
            </w:pPr>
            <w:r>
              <w:rPr>
                <w:sz w:val="24"/>
              </w:rPr>
              <w:t>三、</w:t>
            </w:r>
            <w:r>
              <w:rPr>
                <w:b/>
                <w:sz w:val="24"/>
              </w:rPr>
              <w:t>报价要求：</w:t>
            </w:r>
            <w:r>
              <w:rPr>
                <w:b/>
                <w:sz w:val="24"/>
              </w:rPr>
              <w:t>本项目报价形式为：总价。具</w:t>
            </w:r>
            <w:r>
              <w:rPr>
                <w:b/>
                <w:sz w:val="24"/>
              </w:rPr>
              <w:t>体详见</w:t>
            </w:r>
            <w:r>
              <w:rPr>
                <w:b/>
                <w:sz w:val="24"/>
              </w:rPr>
              <w:t>2.4.5.响应报价。</w:t>
            </w:r>
          </w:p>
        </w:tc>
      </w:tr>
      <w:tr>
        <w:tc>
          <w:tcPr>
            <w:tcW w:type="dxa" w:w="2769"/>
          </w:tcPr>
          <w:p>
            <w:pPr>
              <w:pStyle w:val="null3"/>
              <w:jc w:val="left"/>
            </w:pPr>
            <w:r>
              <w:rPr/>
              <w:t>6</w:t>
            </w:r>
          </w:p>
        </w:tc>
        <w:tc>
          <w:tcPr>
            <w:tcW w:type="dxa" w:w="2769"/>
          </w:tcPr>
          <w:p>
            <w:pPr>
              <w:pStyle w:val="null3"/>
              <w:jc w:val="left"/>
            </w:pPr>
            <w:r>
              <w:rPr/>
              <w:t>★</w:t>
            </w:r>
          </w:p>
        </w:tc>
        <w:tc>
          <w:tcPr>
            <w:tcW w:type="dxa" w:w="2769"/>
          </w:tcPr>
          <w:p>
            <w:pPr>
              <w:pStyle w:val="null3"/>
              <w:jc w:val="left"/>
            </w:pPr>
            <w:r>
              <w:rPr>
                <w:sz w:val="24"/>
              </w:rPr>
              <w:t>工程量清单（请见附件）</w:t>
            </w:r>
          </w:p>
        </w:tc>
      </w:tr>
      <w:tr>
        <w:tc>
          <w:tcPr>
            <w:tcW w:type="dxa" w:w="2769"/>
          </w:tcPr>
          <w:p>
            <w:pPr>
              <w:pStyle w:val="null3"/>
              <w:jc w:val="left"/>
            </w:pPr>
            <w:r>
              <w:rPr/>
              <w:t>7</w:t>
            </w:r>
          </w:p>
        </w:tc>
        <w:tc>
          <w:tcPr>
            <w:tcW w:type="dxa" w:w="2769"/>
          </w:tcPr>
          <w:p/>
        </w:tc>
        <w:tc>
          <w:tcPr>
            <w:tcW w:type="dxa" w:w="2769"/>
          </w:tcPr>
          <w:p>
            <w:pPr>
              <w:pStyle w:val="null3"/>
              <w:jc w:val="left"/>
            </w:pPr>
            <w:r>
              <w:rPr>
                <w:sz w:val="24"/>
              </w:rPr>
              <w:t>施工图纸（请见附件）</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针对本项目的其他技术服务要求</w:t>
            </w:r>
          </w:p>
        </w:tc>
        <w:tc>
          <w:tcPr>
            <w:tcW w:type="dxa" w:w="2076"/>
          </w:tcPr>
          <w:p>
            <w:pPr>
              <w:pStyle w:val="null3"/>
              <w:jc w:val="left"/>
            </w:pPr>
            <w:r>
              <w:rPr/>
              <w:t>1．供应商应按照采购人出具施工图纸进行施工。</w:t>
            </w:r>
            <w:r>
              <w:br/>
            </w:r>
            <w:r>
              <w:rPr/>
              <w:t xml:space="preserve"> 2．工程建设规范、标准及行业的有关规定：</w:t>
            </w:r>
            <w:r>
              <w:br/>
            </w:r>
            <w:r>
              <w:rPr/>
              <w:t xml:space="preserve"> （1）本项目遵守设计文件中明确的技术标准和规范。</w:t>
            </w:r>
            <w:r>
              <w:br/>
            </w:r>
            <w:r>
              <w:rPr/>
              <w:t xml:space="preserve"> （2）执行国家现行的施工、质量检测及验收规范。</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施工工期</w:t>
            </w:r>
          </w:p>
        </w:tc>
        <w:tc>
          <w:tcPr>
            <w:tcW w:type="dxa" w:w="2076"/>
          </w:tcPr>
          <w:p>
            <w:pPr>
              <w:pStyle w:val="null3"/>
              <w:jc w:val="left"/>
            </w:pPr>
            <w:r>
              <w:rPr/>
              <w:t>自合同签订之日起240日</w:t>
            </w:r>
          </w:p>
        </w:tc>
      </w:tr>
      <w:tr>
        <w:tc>
          <w:tcPr>
            <w:tcW w:type="dxa" w:w="2076"/>
          </w:tcPr>
          <w:p>
            <w:pPr>
              <w:pStyle w:val="null3"/>
              <w:jc w:val="left"/>
            </w:pPr>
            <w:r>
              <w:rPr/>
              <w:t>2</w:t>
            </w:r>
          </w:p>
        </w:tc>
        <w:tc>
          <w:tcPr>
            <w:tcW w:type="dxa" w:w="2076"/>
          </w:tcPr>
          <w:p/>
        </w:tc>
        <w:tc>
          <w:tcPr>
            <w:tcW w:type="dxa" w:w="2076"/>
          </w:tcPr>
          <w:p>
            <w:pPr>
              <w:pStyle w:val="null3"/>
              <w:jc w:val="left"/>
            </w:pPr>
            <w:r>
              <w:rPr/>
              <w:t>施工地点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1、合同签订后，达到付款条件起10日内，据实情况说明为：支付合同总金额的20%；</w:t>
            </w:r>
          </w:p>
          <w:p>
            <w:pPr>
              <w:pStyle w:val="null3"/>
              <w:jc w:val="left"/>
            </w:pPr>
            <w:r>
              <w:rPr/>
              <w:t>2、 竣工验收合格后，达到付款条件起10日内，据实情况说明为：支付合同总金额的60%；</w:t>
            </w:r>
          </w:p>
          <w:p>
            <w:pPr>
              <w:pStyle w:val="null3"/>
              <w:jc w:val="left"/>
            </w:pPr>
            <w:r>
              <w:rPr/>
              <w:t>3、结算审计完成后，达到付款条件起10日内，据实情况说明为：支付结算审计总金额的17%；</w:t>
            </w:r>
          </w:p>
          <w:p>
            <w:pPr>
              <w:pStyle w:val="null3"/>
              <w:jc w:val="left"/>
            </w:pPr>
            <w:r>
              <w:rPr/>
              <w:t>4、缺陷责任期结束，达到付款条件起10日内，据实情况说明为：支付结算审计总金额的3%。</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按照《政府采购需求管理办法》（财库〔2021〕22号）的要求以及磋商文件、成交供应商的响应文件进行验收；</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合同中约定</w:t>
            </w:r>
          </w:p>
        </w:tc>
      </w:tr>
    </w:tbl>
    <w:p>
      <w:pPr>
        <w:pStyle w:val="null3"/>
        <w:jc w:val="left"/>
        <w:outlineLvl w:val="2"/>
      </w:pPr>
      <w:r>
        <w:rPr>
          <w:b/>
          <w:sz w:val="28"/>
        </w:rPr>
        <w:t>3.5.其他要求</w:t>
      </w:r>
    </w:p>
    <w:p>
      <w:pPr>
        <w:pStyle w:val="null3"/>
        <w:ind w:firstLine="480"/>
        <w:jc w:val="left"/>
      </w:pPr>
      <w:r>
        <w:rPr/>
        <w:t>后续服务： 1．在规定的质量保修期内，供应商应对由于工艺、材料和安装等缺陷等造成的损失和故障负责； 2．质保期按照行业规定执行，质保期内出现质量问题，乙方在接到通知后4小时内响应到场，12小时内完成维修或更换，并承担修理调换的费用； 3．供应商须提供服务电话和维修人员名单（加盖公章）； 4．承诺保修时间、保修期内的保修内容与范围、维修响应时间等。</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rFonts w:ascii="宋体" w:hAnsi="宋体" w:cs="宋体" w:eastAsia="宋体"/>
          <w:color w:val="333333"/>
          <w:sz w:val="24"/>
        </w:rPr>
        <w:t>本项目第三章</w:t>
      </w:r>
      <w:r>
        <w:rPr>
          <w:rFonts w:ascii="宋体" w:hAnsi="宋体" w:cs="宋体" w:eastAsia="宋体"/>
          <w:color w:val="333333"/>
          <w:sz w:val="24"/>
        </w:rPr>
        <w:t>“磋商项目技术、服务及其他要求”中内容均为可实质性变动的内容。</w:t>
      </w:r>
    </w:p>
    <w:p>
      <w:pPr>
        <w:pStyle w:val="null3"/>
        <w:ind w:firstLine="480"/>
        <w:jc w:val="left"/>
      </w:pPr>
      <w:r>
        <w:rPr/>
        <w:t>二、第七章“拟签订采购合同文本”：</w:t>
      </w:r>
    </w:p>
    <w:p>
      <w:pPr>
        <w:pStyle w:val="null3"/>
        <w:ind w:firstLine="480"/>
        <w:jc w:val="left"/>
      </w:pPr>
      <w:r>
        <w:rPr>
          <w:rFonts w:ascii="宋体" w:hAnsi="宋体" w:cs="宋体" w:eastAsia="宋体"/>
          <w:color w:val="333333"/>
          <w:sz w:val="24"/>
        </w:rPr>
        <w:t>本项目第七章</w:t>
      </w:r>
      <w:r>
        <w:rPr>
          <w:rFonts w:ascii="宋体" w:hAnsi="宋体" w:cs="宋体" w:eastAsia="宋体"/>
          <w:color w:val="333333"/>
          <w:sz w:val="24"/>
        </w:rPr>
        <w:t>“拟签订采购合同文本”中内容均为可实质性变动的内容。</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t>注：工程量清单不属于磋商过程中可以实质性变动的内容。</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 xml:space="preserve"> 七、磋商文件规定的供应商资格条件与随机抽取设置的或邀请书中载明的供应商资格条件不一致的；</w:t>
      </w:r>
    </w:p>
    <w:p>
      <w:pPr>
        <w:pStyle w:val="null3"/>
        <w:jc w:val="left"/>
      </w:pPr>
      <w:r>
        <w:rPr/>
        <w:t xml:space="preserve"> 八、磋商文件有违反国家其他有关强制性规定的情形。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项目管理机构组成表 投标人（供应商）提供的其他证明材料 投标（响应）函 主要人员简历表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投标人（供应商）提供的其他证明材料 投标（响应）函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供应商承诺取得本项目成交资格且注册地不在四川省行政区域内的，应当在政府采购合同签订前向采购人提交在有效期内的四川省住房和城乡建设厅官网已公开的入川信息网页截图。（提供承诺函，格式自拟）</w:t>
            </w:r>
          </w:p>
        </w:tc>
        <w:tc>
          <w:tcPr>
            <w:tcW w:type="dxa" w:w="1910"/>
          </w:tcPr>
          <w:p>
            <w:pPr>
              <w:pStyle w:val="null3"/>
              <w:jc w:val="left"/>
            </w:pPr>
            <w:r>
              <w:rPr/>
              <w:t>投标人（供应商）提供的其他证明材料 投标（响应）函</w:t>
            </w:r>
          </w:p>
        </w:tc>
      </w:tr>
    </w:tbl>
    <w:p>
      <w:pPr>
        <w:pStyle w:val="null3"/>
        <w:jc w:val="left"/>
        <w:outlineLvl w:val="3"/>
      </w:pPr>
      <w:r>
        <w:rPr>
          <w:b/>
          <w:sz w:val="24"/>
        </w:rPr>
        <w:t>5.3.4.符合性审查★</w:t>
      </w:r>
    </w:p>
    <w:p>
      <w:pPr>
        <w:pStyle w:val="null3"/>
        <w:ind w:firstLine="480"/>
        <w:jc w:val="left"/>
      </w:pPr>
      <w:r>
        <w:rPr/>
        <w:t>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jc w:val="left"/>
      </w:pPr>
      <w:r>
        <w:rPr/>
        <w:t>二、磋商小组应对供应商已标价工程量清单进行算术性复核，如果出现下列不一致的，按以下原则进行修正：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jc w:val="left"/>
      </w:pPr>
      <w:r>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t>三、在符合性审查过程中，如果出现磋商小组成员意见不一致的情况，按照少数服从多数的原则确定，但不得违背政府采购基本原则和磋商文件规定。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供应商无需单独提供材料进行响应，只需承诺严格遵守并执行的相关实质性要求。（提供承诺函，格式自拟） 注：该项实质性要求不包含第三章中可实质性变动的实质性要求。</w:t>
            </w:r>
          </w:p>
        </w:tc>
        <w:tc>
          <w:tcPr>
            <w:tcW w:type="dxa" w:w="1910"/>
          </w:tcPr>
          <w:p>
            <w:pPr>
              <w:pStyle w:val="null3"/>
              <w:jc w:val="left"/>
            </w:pPr>
            <w:r>
              <w:rPr/>
              <w:t>投标人（供应商）提供的其他证明材料</w:t>
            </w:r>
          </w:p>
        </w:tc>
      </w:tr>
      <w:tr>
        <w:tc>
          <w:tcPr>
            <w:tcW w:type="dxa" w:w="581"/>
          </w:tcPr>
          <w:p>
            <w:pPr>
              <w:pStyle w:val="null3"/>
              <w:jc w:val="center"/>
            </w:pPr>
            <w:r>
              <w:rPr/>
              <w:t>2</w:t>
            </w:r>
          </w:p>
        </w:tc>
        <w:tc>
          <w:tcPr>
            <w:tcW w:type="dxa" w:w="2492"/>
          </w:tcPr>
          <w:p>
            <w:pPr>
              <w:pStyle w:val="null3"/>
              <w:jc w:val="left"/>
            </w:pPr>
            <w:r>
              <w:rPr/>
              <w:t xml:space="preserve"> 技术、服务及其他要求</w:t>
            </w:r>
          </w:p>
        </w:tc>
        <w:tc>
          <w:tcPr>
            <w:tcW w:type="dxa" w:w="3322"/>
          </w:tcPr>
          <w:p>
            <w:pPr>
              <w:pStyle w:val="null3"/>
              <w:jc w:val="left"/>
            </w:pPr>
            <w:r>
              <w:rPr/>
              <w:t>根据采购文件中项目技术、服务、商务及其他要求结合响应文件进行评审</w:t>
            </w:r>
          </w:p>
        </w:tc>
        <w:tc>
          <w:tcPr>
            <w:tcW w:type="dxa" w:w="1910"/>
          </w:tcPr>
          <w:p>
            <w:pPr>
              <w:pStyle w:val="null3"/>
              <w:jc w:val="left"/>
            </w:pPr>
            <w:r>
              <w:rPr/>
              <w:t>报价一览表 项目管理机构组成表 报价明细表 强制、优先采购产品承诺函 技术服务合同条款及其他商务要求应答表 投标人（供应商）提供的其他证明材料 企业资质信息表 主要人员简历表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（五）供应商最后报价采用总价进行报价，报出价格不得超过首次报价。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w:t>
      </w:r>
      <w:r>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个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outlineLvl w:val="3"/>
      </w:pPr>
      <w:r>
        <w:rPr>
          <w:b/>
          <w:sz w:val="24"/>
        </w:rPr>
        <w:t>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施工组织设计</w:t>
            </w:r>
          </w:p>
        </w:tc>
        <w:tc>
          <w:tcPr>
            <w:tcW w:type="dxa" w:w="2575"/>
          </w:tcPr>
          <w:p>
            <w:pPr>
              <w:pStyle w:val="null3"/>
              <w:jc w:val="left"/>
            </w:pPr>
            <w:r>
              <w:rPr/>
              <w:t>供应商提供的针对本项目的施工组织设计方案包含： 1、进度计划（10分），包含但不限于：（1）工期目标、（2）工期进度安排、（3）工期组织保证措施、（4）工期技术保证措施、（5）进度网络图及逻辑关系等。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 2、质量保证措施（10分），包含但不限于：（1）质量目标、（2）质量管理体系、（3）质量管理制度、（4）质量控制措施、（5）工程质量通病防治措施等。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 3、安全保证措施（10分），包含但不限于：（1）安全目标、（2）安全管理体系、（3）安全教育培训、（4）安全管理措施、（5）安全事故应急预案等。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 4、资源配置计划（10分），包含但不限于：（1）机械进退场计划，（2）人员进退场计划，（3）材料进退场计划，（4）工料机配备计划表，（5）资源配备斜率图。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 5、环保文明措施（10分），包含但不限于：（1）环境管理体系、（2）环境管理制度、（3）环境控制措施、（4）文明施工制度、（5）施工现场文明施工措施等。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 6、应急预案（10分），包含但不限于：（1）应急组织机构及职责、（2）预防应急机制（3）应急响应（4）应急保障（5）监督管理等。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 7、施工工艺内容（10分），包含但不限于：（1）施工管理机构、（2）各分部分项工程施工方案和技术措施、（3）施工总平面图、（4）临时用电施工方案、（5）冬雨季施工措施等。方案内容全面、措施完善、针对性强的得10分，每缺少一项扣2分，每一项有缺陷扣1分，扣完为止（缺陷指：存在项目名称错误、地点区域错误、内容与本项目需求无关、方案内容矛盾或表述前后不一致、仅有框架或标题、适用的标准(方法)错误、明显复制其他项目内容等任意一种情形的）</w:t>
            </w:r>
          </w:p>
        </w:tc>
        <w:tc>
          <w:tcPr>
            <w:tcW w:type="dxa" w:w="831"/>
          </w:tcPr>
          <w:p>
            <w:pPr>
              <w:pStyle w:val="null3"/>
              <w:jc w:val="center"/>
            </w:pPr>
            <w:r>
              <w:rPr/>
              <w:t>70.00</w:t>
            </w:r>
          </w:p>
        </w:tc>
        <w:tc>
          <w:tcPr>
            <w:tcW w:type="dxa" w:w="748"/>
          </w:tcPr>
          <w:p>
            <w:pPr>
              <w:pStyle w:val="null3"/>
              <w:jc w:val="center"/>
            </w:pPr>
            <w:r>
              <w:rPr/>
              <w:t>主观</w:t>
            </w:r>
          </w:p>
        </w:tc>
        <w:tc>
          <w:tcPr>
            <w:tcW w:type="dxa" w:w="1661"/>
          </w:tcPr>
          <w:p>
            <w:pPr>
              <w:pStyle w:val="null3"/>
              <w:jc w:val="left"/>
            </w:pPr>
            <w:r>
              <w:rPr/>
              <w:t>投标人（供应商）提供的其他证明材料</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供应商具有一个类似项目业绩的得6分，在此基础上每增加1个加5分，最多得16分。（供应商提供合同或中标（成交）通知书复印件并加盖公章。）</w:t>
            </w:r>
          </w:p>
        </w:tc>
        <w:tc>
          <w:tcPr>
            <w:tcW w:type="dxa" w:w="831"/>
          </w:tcPr>
          <w:p>
            <w:pPr>
              <w:pStyle w:val="null3"/>
              <w:jc w:val="center"/>
            </w:pPr>
            <w:r>
              <w:rPr/>
              <w:t>16.00</w:t>
            </w:r>
          </w:p>
        </w:tc>
        <w:tc>
          <w:tcPr>
            <w:tcW w:type="dxa" w:w="748"/>
          </w:tcPr>
          <w:p>
            <w:pPr>
              <w:pStyle w:val="null3"/>
              <w:jc w:val="center"/>
            </w:pPr>
            <w:r>
              <w:rPr/>
              <w:t>客观</w:t>
            </w:r>
          </w:p>
        </w:tc>
        <w:tc>
          <w:tcPr>
            <w:tcW w:type="dxa" w:w="1661"/>
          </w:tcPr>
          <w:p>
            <w:pPr>
              <w:pStyle w:val="null3"/>
              <w:jc w:val="left"/>
            </w:pPr>
            <w:r>
              <w:rPr/>
              <w:t>供应商类似项目业绩一览表</w:t>
            </w:r>
          </w:p>
          <w:p>
            <w:pPr>
              <w:pStyle w:val="null3"/>
              <w:jc w:val="left"/>
            </w:pPr>
            <w:r>
              <w:rPr/>
              <w:t>投标人（供应商）提供的其他证明材料</w:t>
            </w:r>
          </w:p>
        </w:tc>
      </w:tr>
      <w:tr>
        <w:tc>
          <w:tcPr>
            <w:tcW w:type="dxa" w:w="831"/>
            <w:vMerge/>
          </w:tcPr>
          <w:p/>
        </w:tc>
        <w:tc>
          <w:tcPr>
            <w:tcW w:type="dxa" w:w="1661"/>
          </w:tcPr>
          <w:p>
            <w:pPr>
              <w:pStyle w:val="null3"/>
              <w:jc w:val="left"/>
            </w:pPr>
            <w:r>
              <w:rPr/>
              <w:t>优先采购节能、环境标志产品</w:t>
            </w:r>
          </w:p>
        </w:tc>
        <w:tc>
          <w:tcPr>
            <w:tcW w:type="dxa" w:w="2575"/>
          </w:tcPr>
          <w:p>
            <w:pPr>
              <w:pStyle w:val="null3"/>
              <w:jc w:val="left"/>
            </w:pPr>
            <w:r>
              <w:rPr/>
              <w:t>供应商所响应的产品中每有一项属于节能产品政府采购品目清单中优先采购范围的得0.5分；每有一项属于环境标志产品政府采购品目清单中优先采购范围的得0.5分；本项共4分。 说明： 1、可重复计分； 2、本项目采购的产品中属于节能产品或环境标志产品政府采购品目清单中强制采购范围的，不属于本项评分范围。 3、（1）响应产品属于《节能产品政府采购品目清单》中优先采购的产品，供应商提供由国家确定的认证机构出具的、处于有效期之内的节能产品认证证书的承诺，可以享受优先采购政策。（2）响应产品属于《环境标志产品政府采购品目清单》中的产品，供应商提供由国家确定的认证机构出具的、处于有效期之内的环境标志产品认证证书的承诺，可以享受优先采购政策。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强制、优先采购产品承诺函</w:t>
            </w:r>
          </w:p>
        </w:tc>
      </w:tr>
      <w:tr>
        <w:tc>
          <w:tcPr>
            <w:tcW w:type="dxa" w:w="831"/>
          </w:tcPr>
          <w:p>
            <w:pPr>
              <w:pStyle w:val="null3"/>
              <w:jc w:val="left"/>
            </w:pPr>
            <w:r>
              <w:rPr/>
              <w:t>价格分</w:t>
            </w:r>
          </w:p>
        </w:tc>
        <w:tc>
          <w:tcPr>
            <w:tcW w:type="dxa" w:w="1661"/>
          </w:tcPr>
          <w:p>
            <w:pPr>
              <w:pStyle w:val="null3"/>
              <w:jc w:val="left"/>
            </w:pPr>
            <w:r>
              <w:rPr/>
              <w:t>合同包一</w:t>
            </w:r>
          </w:p>
        </w:tc>
        <w:tc>
          <w:tcPr>
            <w:tcW w:type="dxa" w:w="2575"/>
          </w:tcPr>
          <w:p>
            <w:pPr>
              <w:pStyle w:val="null3"/>
              <w:jc w:val="left"/>
            </w:pPr>
            <w:r>
              <w:rPr/>
              <w:t>1、评审价格=响应报价。2、经价格调整后的评审价格=响应报价×（1-价格调整比例）3、基准价=经价格调整后评审价格的最低值。4、经磋商小组评审，通过资格和符合性审查，且响应报价最低的供应商的响应报价作为评审基准价。5、响应报价得分=(评审基准价／响应报价)×分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淋浴器。</w:t>
            </w:r>
          </w:p>
        </w:tc>
        <w:tc>
          <w:tcPr>
            <w:tcW w:type="dxa" w:w="2955"/>
          </w:tcPr>
          <w:p>
            <w:pPr>
              <w:pStyle w:val="null3"/>
              <w:jc w:val="left"/>
            </w:pPr>
            <w:r>
              <w:rPr/>
              <w:t>强制、优先采购产品承诺函</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 xml:space="preserve">延时自闭式水嘴 DN15、蹲式大便器、坐式大便器、小便器、水嘴 DN15、600X600防滑地砖、SBS改性沥青防水卷材、C15混凝土、粘结剂、600*300墙砖、白水泥、瓷砖勾缝剂、聚合物水泥基复合防水防水材料防水层、成品塑料隔断、塑钢门、矿棉板面层、腻子粉、白色乳胶漆、水泥 32.5、彩釉地砖 600×600、弹性体改性沥青防水卷材 PY I 3mm、改性沥青嵌缝油膏、SBS改性沥青涂料、干粉型粘结剂、乳胶漆底漆、乳胶漆面漆、腻子胶、聚合物改性水泥基防水灰浆、冷水PP-R管 DN15、冷水PP-R管管件 DN15、冷水PP-R管 DN20、冷水PP-R管管件 DN20、冷水PP-R管 DN25、冷水PP-R管管件 DN25、冷水PP-R管 DN32、冷水PP-R管管件 DN32、冷水PP-R管 DN40、冷水PP-R管管件 DN40、热水供水PP-R管DN40、热水供水PP-R管管件 DN40、热水供水PP-R管 DN25、热水供水PP-R管管件 DN25、热水供水PP-R管 DN32、热水供水PP-R管管件 DN32、PVC-U塑料排水管 DN100、PVC-U塑料排水管 DN100管件、PVC-U塑料排水管 DN50、PVC-U塑料排水管 DN50管件、热水供水PP-R管 DN65、室内塑料给水管热熔管件 DN65、PVC-U塑料排水管 DN150、PVC-U塑料排水管 DN150管件、热水供水PP-R管DN50、热水供水PP-R管管件 DN50。 </w:t>
            </w:r>
          </w:p>
        </w:tc>
        <w:tc>
          <w:tcPr>
            <w:tcW w:type="dxa" w:w="2955"/>
          </w:tcPr>
          <w:p>
            <w:pPr>
              <w:pStyle w:val="null3"/>
              <w:jc w:val="left"/>
            </w:pPr>
            <w:r>
              <w:rPr/>
              <w:t>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一、评审结束后，代理机构在评审结束之日起2个工作日内将磋商报告及有关资料送交采购人。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三、根据采购人确定的成交供应商，代理机构在四川政府采购网发布成交结果公告，同时向成交供应商发出成交通知书。</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详见附件：报价一览表</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详见附件：技术服务合同条款及其他商务要求应答表</w:t>
      </w:r>
    </w:p>
    <w:p>
      <w:pPr>
        <w:pStyle w:val="null3"/>
        <w:ind w:firstLine="960"/>
        <w:jc w:val="left"/>
      </w:pPr>
      <w:r>
        <w:rPr/>
        <w:t>详见附件：项目管理机构组成表</w:t>
      </w:r>
    </w:p>
    <w:p>
      <w:pPr>
        <w:pStyle w:val="null3"/>
        <w:ind w:firstLine="960"/>
        <w:jc w:val="left"/>
      </w:pPr>
      <w:r>
        <w:rPr/>
        <w:t>详见附件：强制、优先采购产品承诺函</w:t>
      </w:r>
    </w:p>
    <w:p>
      <w:pPr>
        <w:pStyle w:val="null3"/>
        <w:ind w:firstLine="960"/>
        <w:jc w:val="left"/>
      </w:pPr>
      <w:r>
        <w:rPr/>
        <w:t>详见附件：企业资质信息表</w:t>
      </w:r>
    </w:p>
    <w:p>
      <w:pPr>
        <w:pStyle w:val="null3"/>
        <w:ind w:firstLine="960"/>
        <w:jc w:val="left"/>
      </w:pPr>
      <w:r>
        <w:rPr/>
        <w:t>详见附件：供应商类似项目业绩一览表</w:t>
      </w:r>
    </w:p>
    <w:p>
      <w:pPr>
        <w:pStyle w:val="null3"/>
        <w:ind w:firstLine="960"/>
        <w:jc w:val="left"/>
      </w:pPr>
      <w:r>
        <w:rPr/>
        <w:t>详见附件：主要人员简历表</w:t>
      </w:r>
    </w:p>
    <w:p>
      <w:pPr>
        <w:pStyle w:val="null3"/>
        <w:ind w:firstLine="960"/>
        <w:jc w:val="left"/>
      </w:pPr>
      <w:r>
        <w:rPr/>
        <w:t>详见附件：投标人（供应商）提供的其他证明材料</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《磋商文件》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