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版本号：N510001202500184720250922001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行政效能监察系统运维(二次)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N5100012025001847</w:t>
      </w:r>
    </w:p>
    <w:p>
      <w:pPr>
        <w:pStyle w:val="null3"/>
        <w:jc w:val="left"/>
        <w:outlineLvl w:val="2"/>
      </w:pPr>
      <w:r>
        <w:rPr>
          <w:rFonts w:ascii="仿宋_GB2312" w:hAnsi="仿宋_GB2312" w:cs="仿宋_GB2312" w:eastAsia="仿宋_GB2312"/>
          <w:sz w:val="28"/>
          <w:b/>
        </w:rPr>
        <w:t>四川省政府政务服务和公共资源交易服务中心</w:t>
      </w:r>
    </w:p>
    <w:p>
      <w:pPr>
        <w:pStyle w:val="null3"/>
        <w:jc w:val="center"/>
        <w:outlineLvl w:val="2"/>
      </w:pPr>
      <w:r>
        <w:rPr>
          <w:rFonts w:ascii="仿宋_GB2312" w:hAnsi="仿宋_GB2312" w:cs="仿宋_GB2312" w:eastAsia="仿宋_GB2312"/>
          <w:sz w:val="28"/>
          <w:b/>
        </w:rPr>
        <w:t>四川省政府采购中心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四川省政府采购中心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委托，拟对 </w:t>
      </w:r>
      <w:r>
        <w:rPr>
          <w:rFonts w:ascii="仿宋_GB2312" w:hAnsi="仿宋_GB2312" w:cs="仿宋_GB2312" w:eastAsia="仿宋_GB2312"/>
        </w:rPr>
        <w:t>行政效能监察系统运维(二次)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N5100012025001847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行政效能监察系统运维(二次)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目前，我省已经建立了完善的五级政务服务体系，包括省、市、县、乡、村各级政务服务机构。在省、市、县级，政府设立了政务服务中心，在乡镇（街道）级别则设立了便民服务中心，同时具备条件的村（社区）也建立了便民服务站，这些服务中心为企业和群众提供了集中统一、规范便民的办事服务场所。为了加强对政务服务过程的监督和管理，省、市、县政务服务大厅和乡镇（街道）便民服务中心按照统一要求和规范安装视频监控摄像头，以监督窗口工作人员的审批行为，确保服务过程的公正和规范。这些视频监控设备通过四川省行政效能视频监察系统进行汇聚、统一调度和管理。为了保障四川省行政效能视频监察系统的安全、稳定和高效运行，需要依靠专业的系统运维支撑服务。根据实际需求进行视频接入汇聚，定期组织开展巡检巡查，及时处理平台运维故障等异常问题，以确保系统长期稳定运行，为四川省行政效能视频监察系统提供安全可靠保障同时，为了保障四川省行政效能视频监察系统稳定、可靠、高效的运行，按照国家网络安全等级保护系列标准要求，需要对四川省行政效能视频监察系统进行网络安全等级保护三级测评，测评内容包括：信息系统技术安全性测评及信息系统管理安全性测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1、具有相关网络安全等级保护测评服务证书。（描述：提供相关网络安全等级保护测评服务证书扫描件，加盖公章。）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四川省政府政务服务和公共资源交易服务中心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028-86953169</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四川省成都市青羊区顺城大街222号或鼓楼南街101号（丰德成达中心10层）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文件编制：028-61323090；开、评标：028-61323020（15）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120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和 </w:t>
      </w:r>
      <w:r>
        <w:rPr>
          <w:rFonts w:ascii="仿宋_GB2312" w:hAnsi="仿宋_GB2312" w:cs="仿宋_GB2312" w:eastAsia="仿宋_GB2312"/>
        </w:rPr>
        <w:t>四川省政府采购中心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四川省政府采购中心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按照《财政部关于进一步加强政府采购需求和履约验收管理的指导意见》（财库〔2016〕205号）和《政府采购需求管理办法》（财库〔2021〕22号）的要求及国家行业主管部门规定的标准、方法和内容组织验收。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四川省政府政务服务和公共资源交易服务中心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四川省政府采购中心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联系电话：028-86953169</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邮编：610031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联系人：邹老师</w:t>
      </w:r>
    </w:p>
    <w:p>
      <w:pPr>
        <w:pStyle w:val="null3"/>
        <w:jc w:val="left"/>
      </w:pPr>
      <w:r>
        <w:rPr>
          <w:rFonts w:ascii="仿宋_GB2312" w:hAnsi="仿宋_GB2312" w:cs="仿宋_GB2312" w:eastAsia="仿宋_GB2312"/>
        </w:rPr>
        <w:t>联系电话：028-86007328</w:t>
      </w:r>
    </w:p>
    <w:p>
      <w:pPr>
        <w:pStyle w:val="null3"/>
        <w:jc w:val="left"/>
      </w:pPr>
      <w:r>
        <w:rPr>
          <w:rFonts w:ascii="仿宋_GB2312" w:hAnsi="仿宋_GB2312" w:cs="仿宋_GB2312" w:eastAsia="仿宋_GB2312"/>
        </w:rPr>
        <w:t>地址：四川省成都市青羊区顺城大街222号或鼓楼南街101号（丰德成达中心10层）</w:t>
      </w:r>
    </w:p>
    <w:p>
      <w:pPr>
        <w:pStyle w:val="null3"/>
        <w:jc w:val="left"/>
      </w:pPr>
      <w:r>
        <w:rPr>
          <w:rFonts w:ascii="仿宋_GB2312" w:hAnsi="仿宋_GB2312" w:cs="仿宋_GB2312" w:eastAsia="仿宋_GB2312"/>
        </w:rPr>
        <w:t>邮编：610017</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w:t>
      </w:r>
    </w:p>
    <w:p>
      <w:pPr>
        <w:pStyle w:val="null3"/>
        <w:jc w:val="left"/>
      </w:pPr>
      <w:r>
        <w:rPr>
          <w:rFonts w:ascii="仿宋_GB2312" w:hAnsi="仿宋_GB2312" w:cs="仿宋_GB2312" w:eastAsia="仿宋_GB2312"/>
        </w:rPr>
        <w:t>采购包最高限价（元）: 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C16070300 软件运维服务</w:t>
            </w:r>
          </w:p>
        </w:tc>
        <w:tc>
          <w:tcPr>
            <w:tcW w:type="dxa" w:w="821"/>
          </w:tcPr>
          <w:p>
            <w:pPr>
              <w:pStyle w:val="null3"/>
              <w:jc w:val="left"/>
            </w:pPr>
            <w:r>
              <w:rPr>
                <w:rFonts w:ascii="仿宋_GB2312" w:hAnsi="仿宋_GB2312" w:cs="仿宋_GB2312" w:eastAsia="仿宋_GB2312"/>
              </w:rPr>
              <w:t>行政效能监察系统等保</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行政效能监察系统等保</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标的名称：行政效能监察系统等保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一、总</w:t>
            </w:r>
            <w:r>
              <w:rPr>
                <w:rFonts w:ascii="仿宋_GB2312" w:hAnsi="仿宋_GB2312" w:cs="仿宋_GB2312" w:eastAsia="仿宋_GB2312"/>
                <w:sz w:val="24"/>
              </w:rPr>
              <w:t>体要求</w:t>
            </w:r>
          </w:p>
          <w:tbl>
            <w:tblPr>
              <w:tblBorders>
                <w:top w:val="none" w:color="000000" w:sz="4"/>
                <w:left w:val="none" w:color="000000" w:sz="4"/>
                <w:bottom w:val="none" w:color="000000" w:sz="4"/>
                <w:right w:val="none" w:color="000000" w:sz="4"/>
                <w:insideH w:val="none"/>
                <w:insideV w:val="none"/>
              </w:tblBorders>
            </w:tblPr>
            <w:tblGrid>
              <w:gridCol w:w="574"/>
              <w:gridCol w:w="3523"/>
              <w:gridCol w:w="1486"/>
            </w:tblGrid>
            <w:tr>
              <w:tc>
                <w:tcPr>
                  <w:tcW w:type="dxa" w:w="5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5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测评</w:t>
                  </w:r>
                  <w:r>
                    <w:rPr>
                      <w:rFonts w:ascii="仿宋_GB2312" w:hAnsi="仿宋_GB2312" w:cs="仿宋_GB2312" w:eastAsia="仿宋_GB2312"/>
                      <w:sz w:val="24"/>
                    </w:rPr>
                    <w:t>系统名称</w:t>
                  </w:r>
                </w:p>
              </w:tc>
              <w:tc>
                <w:tcPr>
                  <w:tcW w:type="dxa" w:w="1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安全等级要求</w:t>
                  </w:r>
                </w:p>
              </w:tc>
            </w:tr>
            <w:tr>
              <w:tc>
                <w:tcPr>
                  <w:tcW w:type="dxa" w:w="5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5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四川省行政效能视频监察系统</w:t>
                  </w:r>
                </w:p>
              </w:tc>
              <w:tc>
                <w:tcPr>
                  <w:tcW w:type="dxa" w:w="1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三级</w:t>
                  </w:r>
                </w:p>
              </w:tc>
            </w:tr>
          </w:tbl>
          <w:p>
            <w:pPr>
              <w:pStyle w:val="null3"/>
              <w:jc w:val="both"/>
            </w:pPr>
            <w:r>
              <w:rPr>
                <w:rFonts w:ascii="仿宋_GB2312" w:hAnsi="仿宋_GB2312" w:cs="仿宋_GB2312" w:eastAsia="仿宋_GB2312"/>
                <w:sz w:val="24"/>
              </w:rPr>
              <w:t>测评过程中主要依据的标准：</w:t>
            </w:r>
          </w:p>
          <w:p>
            <w:pPr>
              <w:pStyle w:val="null3"/>
              <w:ind w:firstLine="480"/>
              <w:jc w:val="both"/>
            </w:pPr>
            <w:r>
              <w:rPr>
                <w:rFonts w:ascii="仿宋_GB2312" w:hAnsi="仿宋_GB2312" w:cs="仿宋_GB2312" w:eastAsia="仿宋_GB2312"/>
                <w:sz w:val="24"/>
              </w:rPr>
              <w:t>GB/T 22239-2019:《信息安全技术网络安全等级保护基本要求》</w:t>
            </w:r>
          </w:p>
          <w:p>
            <w:pPr>
              <w:pStyle w:val="null3"/>
              <w:ind w:firstLine="480"/>
              <w:jc w:val="both"/>
            </w:pPr>
            <w:r>
              <w:rPr>
                <w:rFonts w:ascii="仿宋_GB2312" w:hAnsi="仿宋_GB2312" w:cs="仿宋_GB2312" w:eastAsia="仿宋_GB2312"/>
                <w:sz w:val="24"/>
              </w:rPr>
              <w:t>GB/T 28448-2019:《信息安全技术网络安全等级保护测评要求》</w:t>
            </w:r>
          </w:p>
          <w:p>
            <w:pPr>
              <w:pStyle w:val="null3"/>
              <w:ind w:firstLine="480"/>
              <w:jc w:val="both"/>
            </w:pPr>
            <w:r>
              <w:rPr>
                <w:rFonts w:ascii="仿宋_GB2312" w:hAnsi="仿宋_GB2312" w:cs="仿宋_GB2312" w:eastAsia="仿宋_GB2312"/>
                <w:sz w:val="24"/>
              </w:rPr>
              <w:t>测评过程中主要参考的标准：</w:t>
            </w:r>
          </w:p>
          <w:p>
            <w:pPr>
              <w:pStyle w:val="null3"/>
              <w:ind w:firstLine="480"/>
              <w:jc w:val="both"/>
            </w:pPr>
            <w:r>
              <w:rPr>
                <w:rFonts w:ascii="仿宋_GB2312" w:hAnsi="仿宋_GB2312" w:cs="仿宋_GB2312" w:eastAsia="仿宋_GB2312"/>
                <w:sz w:val="24"/>
              </w:rPr>
              <w:t>GB/T 28449-2018:《信息安全技术网络安全等级保护测评过程指南》</w:t>
            </w:r>
          </w:p>
          <w:p>
            <w:pPr>
              <w:pStyle w:val="null3"/>
              <w:ind w:firstLine="480"/>
              <w:jc w:val="both"/>
            </w:pPr>
            <w:r>
              <w:rPr>
                <w:rFonts w:ascii="仿宋_GB2312" w:hAnsi="仿宋_GB2312" w:cs="仿宋_GB2312" w:eastAsia="仿宋_GB2312"/>
                <w:sz w:val="24"/>
              </w:rPr>
              <w:t>GB 17859-1999：《计算机信息系统 安全保护等级划分准则》</w:t>
            </w:r>
          </w:p>
          <w:p>
            <w:pPr>
              <w:pStyle w:val="null3"/>
              <w:ind w:firstLine="480"/>
              <w:jc w:val="both"/>
            </w:pPr>
            <w:r>
              <w:rPr>
                <w:rFonts w:ascii="仿宋_GB2312" w:hAnsi="仿宋_GB2312" w:cs="仿宋_GB2312" w:eastAsia="仿宋_GB2312"/>
                <w:sz w:val="24"/>
              </w:rPr>
              <w:t>GB/T 20984-2022：《信息安全技术 信息安全风险评估方法》</w:t>
            </w:r>
          </w:p>
          <w:p>
            <w:pPr>
              <w:pStyle w:val="null3"/>
              <w:ind w:firstLine="480"/>
              <w:jc w:val="both"/>
            </w:pPr>
            <w:r>
              <w:rPr>
                <w:rFonts w:ascii="仿宋_GB2312" w:hAnsi="仿宋_GB2312" w:cs="仿宋_GB2312" w:eastAsia="仿宋_GB2312"/>
                <w:sz w:val="24"/>
              </w:rPr>
              <w:t>若涉及标准更新参考其最新标准</w:t>
            </w:r>
          </w:p>
          <w:p>
            <w:pPr>
              <w:pStyle w:val="null3"/>
              <w:ind w:firstLine="480"/>
              <w:jc w:val="both"/>
            </w:pPr>
            <w:r>
              <w:rPr>
                <w:rFonts w:ascii="仿宋_GB2312" w:hAnsi="仿宋_GB2312" w:cs="仿宋_GB2312" w:eastAsia="仿宋_GB2312"/>
                <w:sz w:val="24"/>
              </w:rPr>
              <w:t>具体内容包括：</w:t>
            </w:r>
          </w:p>
          <w:p>
            <w:pPr>
              <w:pStyle w:val="null3"/>
              <w:ind w:firstLine="480"/>
              <w:jc w:val="both"/>
            </w:pPr>
            <w:r>
              <w:rPr>
                <w:rFonts w:ascii="仿宋_GB2312" w:hAnsi="仿宋_GB2312" w:cs="仿宋_GB2312" w:eastAsia="仿宋_GB2312"/>
                <w:sz w:val="24"/>
              </w:rPr>
              <w:t>1、对四川省政府政务服务和公共资源交易服务中心</w:t>
            </w:r>
            <w:r>
              <w:rPr>
                <w:rFonts w:ascii="仿宋_GB2312" w:hAnsi="仿宋_GB2312" w:cs="仿宋_GB2312" w:eastAsia="仿宋_GB2312"/>
                <w:sz w:val="24"/>
              </w:rPr>
              <w:t>行政效能视频监察系统</w:t>
            </w:r>
            <w:r>
              <w:rPr>
                <w:rFonts w:ascii="仿宋_GB2312" w:hAnsi="仿宋_GB2312" w:cs="仿宋_GB2312" w:eastAsia="仿宋_GB2312"/>
                <w:sz w:val="24"/>
              </w:rPr>
              <w:t>的安全物理环境、安全通信网络、安全区域边界、安全计算环境、安全管理中心、安全管理制度、安全管理机构、安全管理人员、安全建设管理、安全运维管理共10个层面通过访谈、检查、测评等方法进行初测评，找出差距、安全漏洞和隐患并分析其风险，制订出整改建议报告。</w:t>
            </w:r>
          </w:p>
          <w:p>
            <w:pPr>
              <w:pStyle w:val="null3"/>
              <w:ind w:firstLine="480"/>
              <w:jc w:val="both"/>
            </w:pPr>
            <w:r>
              <w:rPr>
                <w:rFonts w:ascii="仿宋_GB2312" w:hAnsi="仿宋_GB2312" w:cs="仿宋_GB2312" w:eastAsia="仿宋_GB2312"/>
                <w:sz w:val="24"/>
              </w:rPr>
              <w:t>2、按照国家网络安全等级保护系列标准，及初测评的整改意见协助</w:t>
            </w:r>
            <w:r>
              <w:rPr>
                <w:rFonts w:ascii="仿宋_GB2312" w:hAnsi="仿宋_GB2312" w:cs="仿宋_GB2312" w:eastAsia="仿宋_GB2312"/>
                <w:sz w:val="24"/>
              </w:rPr>
              <w:t>被测评单位</w:t>
            </w:r>
            <w:r>
              <w:rPr>
                <w:rFonts w:ascii="仿宋_GB2312" w:hAnsi="仿宋_GB2312" w:cs="仿宋_GB2312" w:eastAsia="仿宋_GB2312"/>
                <w:sz w:val="24"/>
              </w:rPr>
              <w:t>完成被测信息系统技术方面的安全修复、系统加固等工作。</w:t>
            </w:r>
          </w:p>
          <w:p>
            <w:pPr>
              <w:pStyle w:val="null3"/>
              <w:spacing w:after="120"/>
              <w:ind w:firstLine="480"/>
              <w:jc w:val="both"/>
            </w:pPr>
            <w:r>
              <w:rPr>
                <w:rFonts w:ascii="仿宋_GB2312" w:hAnsi="仿宋_GB2312" w:cs="仿宋_GB2312" w:eastAsia="仿宋_GB2312"/>
                <w:sz w:val="24"/>
              </w:rPr>
              <w:t>3、对经过整改后的信息系统进行回归测评，正式形成《网络安全等级保护测评报告》，确保已定级系统达到网络安全等级保护的相关要求，通过公安机关的审核认可并提供证明材料。</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b/>
              </w:rPr>
              <w:t>二、具体技术要求：</w:t>
            </w:r>
          </w:p>
          <w:p>
            <w:pPr>
              <w:pStyle w:val="null3"/>
              <w:ind w:firstLine="424"/>
              <w:jc w:val="both"/>
            </w:pPr>
            <w:r>
              <w:rPr>
                <w:rFonts w:ascii="仿宋_GB2312" w:hAnsi="仿宋_GB2312" w:cs="仿宋_GB2312" w:eastAsia="仿宋_GB2312"/>
                <w:sz w:val="24"/>
              </w:rPr>
              <w:t>（一）信息系统技术安全测评</w:t>
            </w:r>
          </w:p>
          <w:p>
            <w:pPr>
              <w:pStyle w:val="null3"/>
              <w:ind w:firstLine="664"/>
              <w:jc w:val="both"/>
            </w:pPr>
            <w:r>
              <w:rPr>
                <w:rFonts w:ascii="仿宋_GB2312" w:hAnsi="仿宋_GB2312" w:cs="仿宋_GB2312" w:eastAsia="仿宋_GB2312"/>
                <w:sz w:val="24"/>
              </w:rPr>
              <w:t>1.安全物理环境测评</w:t>
            </w:r>
          </w:p>
          <w:p>
            <w:pPr>
              <w:pStyle w:val="null3"/>
              <w:ind w:firstLine="664"/>
              <w:jc w:val="both"/>
            </w:pPr>
            <w:r>
              <w:rPr>
                <w:rFonts w:ascii="仿宋_GB2312" w:hAnsi="仿宋_GB2312" w:cs="仿宋_GB2312" w:eastAsia="仿宋_GB2312"/>
                <w:sz w:val="24"/>
              </w:rPr>
              <w:t>安全物理环境测评应当包含：安全物理环境测评：物理位置选择、物理访问控制、防盗窃和防破坏、防雷击、防火、防水和防潮、防静电、温湿度控制、电力供应、电磁防护等方面。</w:t>
            </w:r>
          </w:p>
          <w:p>
            <w:pPr>
              <w:pStyle w:val="null3"/>
              <w:ind w:firstLine="664"/>
              <w:jc w:val="both"/>
            </w:pPr>
            <w:r>
              <w:rPr>
                <w:rFonts w:ascii="仿宋_GB2312" w:hAnsi="仿宋_GB2312" w:cs="仿宋_GB2312" w:eastAsia="仿宋_GB2312"/>
                <w:sz w:val="24"/>
              </w:rPr>
              <w:t>2.安全通信网络测评</w:t>
            </w:r>
          </w:p>
          <w:p>
            <w:pPr>
              <w:pStyle w:val="null3"/>
              <w:ind w:firstLine="664"/>
              <w:jc w:val="both"/>
            </w:pPr>
            <w:r>
              <w:rPr>
                <w:rFonts w:ascii="仿宋_GB2312" w:hAnsi="仿宋_GB2312" w:cs="仿宋_GB2312" w:eastAsia="仿宋_GB2312"/>
                <w:sz w:val="24"/>
              </w:rPr>
              <w:t>安全通信网络测评应当包含：网络架构、通信传输、可信验证等方面。</w:t>
            </w:r>
          </w:p>
          <w:p>
            <w:pPr>
              <w:pStyle w:val="null3"/>
              <w:ind w:firstLine="664"/>
              <w:jc w:val="both"/>
            </w:pPr>
            <w:r>
              <w:rPr>
                <w:rFonts w:ascii="仿宋_GB2312" w:hAnsi="仿宋_GB2312" w:cs="仿宋_GB2312" w:eastAsia="仿宋_GB2312"/>
                <w:sz w:val="24"/>
              </w:rPr>
              <w:t>3.安全区域边界测评</w:t>
            </w:r>
          </w:p>
          <w:p>
            <w:pPr>
              <w:pStyle w:val="null3"/>
              <w:ind w:firstLine="664"/>
              <w:jc w:val="both"/>
            </w:pPr>
            <w:r>
              <w:rPr>
                <w:rFonts w:ascii="仿宋_GB2312" w:hAnsi="仿宋_GB2312" w:cs="仿宋_GB2312" w:eastAsia="仿宋_GB2312"/>
                <w:sz w:val="24"/>
              </w:rPr>
              <w:t>安全区域边界测评应当包含：边界防护、访问控制、入侵防范、恶意代码和垃圾邮件防范、安全审计、可信验证等方面。</w:t>
            </w:r>
          </w:p>
          <w:p>
            <w:pPr>
              <w:pStyle w:val="null3"/>
              <w:ind w:firstLine="664"/>
              <w:jc w:val="both"/>
            </w:pPr>
            <w:r>
              <w:rPr>
                <w:rFonts w:ascii="仿宋_GB2312" w:hAnsi="仿宋_GB2312" w:cs="仿宋_GB2312" w:eastAsia="仿宋_GB2312"/>
                <w:sz w:val="24"/>
              </w:rPr>
              <w:t>4.安全计算环境测评</w:t>
            </w:r>
          </w:p>
          <w:p>
            <w:pPr>
              <w:pStyle w:val="null3"/>
              <w:ind w:firstLine="664"/>
              <w:jc w:val="both"/>
            </w:pPr>
            <w:r>
              <w:rPr>
                <w:rFonts w:ascii="仿宋_GB2312" w:hAnsi="仿宋_GB2312" w:cs="仿宋_GB2312" w:eastAsia="仿宋_GB2312"/>
                <w:sz w:val="24"/>
              </w:rPr>
              <w:t>安全计算环境测评应当包含：身份鉴别、访问控制、安全审计、入侵防范、恶意代码防范、可信验证、数据完整性、数据保密性、数据备份恢复、剩余信息保护、个人信息保护等方面。</w:t>
            </w:r>
          </w:p>
          <w:p>
            <w:pPr>
              <w:pStyle w:val="null3"/>
              <w:ind w:firstLine="664"/>
              <w:jc w:val="both"/>
            </w:pPr>
            <w:r>
              <w:rPr>
                <w:rFonts w:ascii="仿宋_GB2312" w:hAnsi="仿宋_GB2312" w:cs="仿宋_GB2312" w:eastAsia="仿宋_GB2312"/>
                <w:sz w:val="24"/>
              </w:rPr>
              <w:t>5.安全管理中心测评</w:t>
            </w:r>
          </w:p>
          <w:p>
            <w:pPr>
              <w:pStyle w:val="null3"/>
              <w:ind w:firstLine="664"/>
              <w:jc w:val="both"/>
            </w:pPr>
            <w:r>
              <w:rPr>
                <w:rFonts w:ascii="仿宋_GB2312" w:hAnsi="仿宋_GB2312" w:cs="仿宋_GB2312" w:eastAsia="仿宋_GB2312"/>
                <w:sz w:val="24"/>
              </w:rPr>
              <w:t>安全管理中心测评应当包含：安全管理中心测评：系统管理、审计管理、安全管理、集中管控等方面。</w:t>
            </w:r>
          </w:p>
          <w:p>
            <w:pPr>
              <w:pStyle w:val="null3"/>
              <w:ind w:firstLine="424"/>
              <w:jc w:val="both"/>
            </w:pPr>
            <w:r>
              <w:rPr>
                <w:rFonts w:ascii="仿宋_GB2312" w:hAnsi="仿宋_GB2312" w:cs="仿宋_GB2312" w:eastAsia="仿宋_GB2312"/>
                <w:sz w:val="24"/>
              </w:rPr>
              <w:t>（二）信息系统管理安全测评</w:t>
            </w:r>
          </w:p>
          <w:p>
            <w:pPr>
              <w:pStyle w:val="null3"/>
              <w:ind w:firstLine="664"/>
              <w:jc w:val="both"/>
            </w:pPr>
            <w:r>
              <w:rPr>
                <w:rFonts w:ascii="仿宋_GB2312" w:hAnsi="仿宋_GB2312" w:cs="仿宋_GB2312" w:eastAsia="仿宋_GB2312"/>
                <w:sz w:val="24"/>
              </w:rPr>
              <w:t>1.安全管理制度测评</w:t>
            </w:r>
          </w:p>
          <w:p>
            <w:pPr>
              <w:pStyle w:val="null3"/>
              <w:ind w:firstLine="664"/>
              <w:jc w:val="both"/>
            </w:pPr>
            <w:r>
              <w:rPr>
                <w:rFonts w:ascii="仿宋_GB2312" w:hAnsi="仿宋_GB2312" w:cs="仿宋_GB2312" w:eastAsia="仿宋_GB2312"/>
                <w:sz w:val="24"/>
              </w:rPr>
              <w:t>安全管理制度测评应当包含：安全策略、管理制度、制定和发布、评审和修订等方面。</w:t>
            </w:r>
          </w:p>
          <w:p>
            <w:pPr>
              <w:pStyle w:val="null3"/>
              <w:ind w:firstLine="664"/>
              <w:jc w:val="both"/>
            </w:pPr>
            <w:r>
              <w:rPr>
                <w:rFonts w:ascii="仿宋_GB2312" w:hAnsi="仿宋_GB2312" w:cs="仿宋_GB2312" w:eastAsia="仿宋_GB2312"/>
                <w:sz w:val="24"/>
              </w:rPr>
              <w:t>2.安全管理机构测评</w:t>
            </w:r>
          </w:p>
          <w:p>
            <w:pPr>
              <w:pStyle w:val="null3"/>
              <w:ind w:firstLine="664"/>
              <w:jc w:val="both"/>
            </w:pPr>
            <w:r>
              <w:rPr>
                <w:rFonts w:ascii="仿宋_GB2312" w:hAnsi="仿宋_GB2312" w:cs="仿宋_GB2312" w:eastAsia="仿宋_GB2312"/>
                <w:sz w:val="24"/>
              </w:rPr>
              <w:t>安全管理机构测评应当包含：岗位设置、人员配备、授权和审批、沟通和合作、审核和检查等方面。</w:t>
            </w:r>
          </w:p>
          <w:p>
            <w:pPr>
              <w:pStyle w:val="null3"/>
              <w:ind w:firstLine="664"/>
              <w:jc w:val="both"/>
            </w:pPr>
            <w:r>
              <w:rPr>
                <w:rFonts w:ascii="仿宋_GB2312" w:hAnsi="仿宋_GB2312" w:cs="仿宋_GB2312" w:eastAsia="仿宋_GB2312"/>
                <w:sz w:val="24"/>
              </w:rPr>
              <w:t>3.安全管理人员测评</w:t>
            </w:r>
          </w:p>
          <w:p>
            <w:pPr>
              <w:pStyle w:val="null3"/>
              <w:ind w:firstLine="664"/>
              <w:jc w:val="both"/>
            </w:pPr>
            <w:r>
              <w:rPr>
                <w:rFonts w:ascii="仿宋_GB2312" w:hAnsi="仿宋_GB2312" w:cs="仿宋_GB2312" w:eastAsia="仿宋_GB2312"/>
                <w:sz w:val="24"/>
              </w:rPr>
              <w:t>安全管理人员测评应当包含：人员录用、人员离岗、安全意识教育和培训、外部人员访问管理等方面。</w:t>
            </w:r>
          </w:p>
          <w:p>
            <w:pPr>
              <w:pStyle w:val="null3"/>
              <w:ind w:firstLine="664"/>
              <w:jc w:val="both"/>
            </w:pPr>
            <w:r>
              <w:rPr>
                <w:rFonts w:ascii="仿宋_GB2312" w:hAnsi="仿宋_GB2312" w:cs="仿宋_GB2312" w:eastAsia="仿宋_GB2312"/>
                <w:sz w:val="24"/>
              </w:rPr>
              <w:t>4.安全建设管理测评</w:t>
            </w:r>
          </w:p>
          <w:p>
            <w:pPr>
              <w:pStyle w:val="null3"/>
              <w:ind w:firstLine="664"/>
              <w:jc w:val="both"/>
            </w:pPr>
            <w:r>
              <w:rPr>
                <w:rFonts w:ascii="仿宋_GB2312" w:hAnsi="仿宋_GB2312" w:cs="仿宋_GB2312" w:eastAsia="仿宋_GB2312"/>
                <w:sz w:val="24"/>
              </w:rPr>
              <w:t>安全建设管理测评应当包含：系统定级和备案、安全方案设计、产品采购和使用、自行软件开发、外包软件开发、工程实施、测试验收、系统交付、等级测评、服务供应商选择等方面。</w:t>
            </w:r>
          </w:p>
          <w:p>
            <w:pPr>
              <w:pStyle w:val="null3"/>
              <w:ind w:firstLine="664"/>
              <w:jc w:val="both"/>
            </w:pPr>
            <w:r>
              <w:rPr>
                <w:rFonts w:ascii="仿宋_GB2312" w:hAnsi="仿宋_GB2312" w:cs="仿宋_GB2312" w:eastAsia="仿宋_GB2312"/>
                <w:sz w:val="24"/>
              </w:rPr>
              <w:t>5.安全运维管理测评</w:t>
            </w:r>
          </w:p>
          <w:p>
            <w:pPr>
              <w:pStyle w:val="null3"/>
              <w:ind w:firstLine="664"/>
              <w:jc w:val="both"/>
            </w:pPr>
            <w:r>
              <w:rPr>
                <w:rFonts w:ascii="仿宋_GB2312" w:hAnsi="仿宋_GB2312" w:cs="仿宋_GB2312" w:eastAsia="仿宋_GB2312"/>
                <w:sz w:val="24"/>
              </w:rPr>
              <w:t>安全运维管理测评应当包含：环境管理、资产管理、介质管理、设备维护管理、漏洞和风险管理、网络和系统安全管理、恶意代码防范管理、配置管理、密码管理、变更管理、备份与恢复管理、安全事件处置、应急预案管理、外包运维管理等方面。</w:t>
            </w:r>
          </w:p>
          <w:p>
            <w:pPr>
              <w:pStyle w:val="null3"/>
              <w:ind w:firstLine="424"/>
              <w:jc w:val="both"/>
            </w:pPr>
            <w:r>
              <w:rPr>
                <w:rFonts w:ascii="仿宋_GB2312" w:hAnsi="仿宋_GB2312" w:cs="仿宋_GB2312" w:eastAsia="仿宋_GB2312"/>
                <w:sz w:val="24"/>
              </w:rPr>
              <w:t>（三）风险分析和评价</w:t>
            </w:r>
          </w:p>
          <w:p>
            <w:pPr>
              <w:pStyle w:val="null3"/>
              <w:ind w:firstLine="664"/>
              <w:jc w:val="both"/>
            </w:pPr>
            <w:r>
              <w:rPr>
                <w:rFonts w:ascii="仿宋_GB2312" w:hAnsi="仿宋_GB2312" w:cs="仿宋_GB2312" w:eastAsia="仿宋_GB2312"/>
                <w:sz w:val="24"/>
              </w:rPr>
              <w:t>依据信息安全技术、信息安全风险评估规范，针对被测系统采用风险分析方法，分析信息系统测评结果中存在的安全问题可能对信息系统安全造成的影响，并给出发现的安全问题以及风险分析及评价情况。</w:t>
            </w:r>
          </w:p>
          <w:p>
            <w:pPr>
              <w:pStyle w:val="null3"/>
              <w:ind w:firstLine="424"/>
              <w:jc w:val="both"/>
            </w:pPr>
            <w:r>
              <w:rPr>
                <w:rFonts w:ascii="仿宋_GB2312" w:hAnsi="仿宋_GB2312" w:cs="仿宋_GB2312" w:eastAsia="仿宋_GB2312"/>
                <w:sz w:val="24"/>
              </w:rPr>
              <w:t>（四）安全漏洞扫描</w:t>
            </w:r>
          </w:p>
          <w:p>
            <w:pPr>
              <w:pStyle w:val="null3"/>
              <w:ind w:firstLine="664"/>
              <w:jc w:val="both"/>
            </w:pPr>
            <w:r>
              <w:rPr>
                <w:rFonts w:ascii="仿宋_GB2312" w:hAnsi="仿宋_GB2312" w:cs="仿宋_GB2312" w:eastAsia="仿宋_GB2312"/>
                <w:sz w:val="24"/>
              </w:rPr>
              <w:t>安全漏洞扫描应当依据网络安全等级保护相关标准对被测系统的应用安全漏洞、主机安全漏洞、数据库安全漏洞三个内容进行测评。</w:t>
            </w:r>
          </w:p>
          <w:p>
            <w:pPr>
              <w:pStyle w:val="null3"/>
              <w:ind w:firstLine="482"/>
              <w:jc w:val="both"/>
            </w:pPr>
            <w:r>
              <w:rPr>
                <w:rFonts w:ascii="仿宋_GB2312" w:hAnsi="仿宋_GB2312" w:cs="仿宋_GB2312" w:eastAsia="仿宋_GB2312"/>
                <w:sz w:val="24"/>
                <w:b/>
              </w:rPr>
              <w:t>三、实施和保障方案</w:t>
            </w:r>
          </w:p>
          <w:p>
            <w:pPr>
              <w:pStyle w:val="null3"/>
              <w:ind w:firstLine="480"/>
              <w:jc w:val="both"/>
            </w:pPr>
            <w:r>
              <w:rPr>
                <w:rFonts w:ascii="仿宋_GB2312" w:hAnsi="仿宋_GB2312" w:cs="仿宋_GB2312" w:eastAsia="仿宋_GB2312"/>
                <w:sz w:val="24"/>
              </w:rPr>
              <w:t>（一）项目进度要求</w:t>
            </w:r>
          </w:p>
          <w:p>
            <w:pPr>
              <w:pStyle w:val="null3"/>
              <w:ind w:firstLine="480"/>
              <w:jc w:val="both"/>
            </w:pPr>
            <w:r>
              <w:rPr>
                <w:rFonts w:ascii="仿宋_GB2312" w:hAnsi="仿宋_GB2312" w:cs="仿宋_GB2312" w:eastAsia="仿宋_GB2312"/>
                <w:sz w:val="24"/>
              </w:rPr>
              <w:t>本项目测评实施要求同步实施、重点先行、阶段性成果展现相结合。</w:t>
            </w:r>
          </w:p>
          <w:p>
            <w:pPr>
              <w:pStyle w:val="null3"/>
              <w:ind w:firstLine="480"/>
              <w:jc w:val="both"/>
            </w:pPr>
            <w:r>
              <w:rPr>
                <w:rFonts w:ascii="仿宋_GB2312" w:hAnsi="仿宋_GB2312" w:cs="仿宋_GB2312" w:eastAsia="仿宋_GB2312"/>
                <w:sz w:val="24"/>
              </w:rPr>
              <w:t>具体实现进度要求如下：</w:t>
            </w:r>
          </w:p>
          <w:p>
            <w:pPr>
              <w:pStyle w:val="null3"/>
              <w:ind w:firstLine="480"/>
              <w:jc w:val="both"/>
            </w:pPr>
            <w:r>
              <w:rPr>
                <w:rFonts w:ascii="仿宋_GB2312" w:hAnsi="仿宋_GB2312" w:cs="仿宋_GB2312" w:eastAsia="仿宋_GB2312"/>
                <w:sz w:val="24"/>
              </w:rPr>
              <w:t>本次信息系统安全等级保护测评服务工作分为：测评准备、方案编制、现场测评、问题整改、回归测评、报告编制等几个阶段。</w:t>
            </w:r>
          </w:p>
          <w:p>
            <w:pPr>
              <w:pStyle w:val="null3"/>
              <w:ind w:firstLine="480"/>
              <w:jc w:val="both"/>
            </w:pPr>
            <w:r>
              <w:rPr>
                <w:rFonts w:ascii="仿宋_GB2312" w:hAnsi="仿宋_GB2312" w:cs="仿宋_GB2312" w:eastAsia="仿宋_GB2312"/>
                <w:sz w:val="24"/>
              </w:rPr>
              <w:t>（1）第一阶段：</w:t>
            </w:r>
          </w:p>
          <w:p>
            <w:pPr>
              <w:pStyle w:val="null3"/>
              <w:ind w:firstLine="480"/>
              <w:jc w:val="both"/>
            </w:pPr>
            <w:r>
              <w:rPr>
                <w:rFonts w:ascii="仿宋_GB2312" w:hAnsi="仿宋_GB2312" w:cs="仿宋_GB2312" w:eastAsia="仿宋_GB2312"/>
                <w:sz w:val="24"/>
              </w:rPr>
              <w:t>组建项目组，制定网络安全等级保护测评项目计划书、测评实施方案以及人员安全培训计划，并提交四川省政府政务服务和公共资源交易服务中心审核。</w:t>
            </w:r>
          </w:p>
          <w:p>
            <w:pPr>
              <w:pStyle w:val="null3"/>
              <w:ind w:firstLine="480"/>
              <w:jc w:val="both"/>
            </w:pPr>
            <w:r>
              <w:rPr>
                <w:rFonts w:ascii="仿宋_GB2312" w:hAnsi="仿宋_GB2312" w:cs="仿宋_GB2312" w:eastAsia="仿宋_GB2312"/>
                <w:sz w:val="24"/>
              </w:rPr>
              <w:t>（2）第二阶段：</w:t>
            </w:r>
          </w:p>
          <w:p>
            <w:pPr>
              <w:pStyle w:val="null3"/>
              <w:ind w:firstLine="480"/>
              <w:jc w:val="both"/>
            </w:pPr>
            <w:r>
              <w:rPr>
                <w:rFonts w:ascii="仿宋_GB2312" w:hAnsi="仿宋_GB2312" w:cs="仿宋_GB2312" w:eastAsia="仿宋_GB2312"/>
                <w:sz w:val="24"/>
              </w:rPr>
              <w:t>进行现场测评，同时对四川省政府政务服务和公共资源交易服务中心信息安全相关管理和技术人员进行安全技术培训。初次测评完成后，提交初评的整改意见报告。</w:t>
            </w:r>
          </w:p>
          <w:p>
            <w:pPr>
              <w:pStyle w:val="null3"/>
              <w:ind w:firstLine="480"/>
              <w:jc w:val="both"/>
            </w:pPr>
            <w:r>
              <w:rPr>
                <w:rFonts w:ascii="仿宋_GB2312" w:hAnsi="仿宋_GB2312" w:cs="仿宋_GB2312" w:eastAsia="仿宋_GB2312"/>
                <w:sz w:val="24"/>
              </w:rPr>
              <w:t>（3）第三阶段：</w:t>
            </w:r>
          </w:p>
          <w:p>
            <w:pPr>
              <w:pStyle w:val="null3"/>
              <w:ind w:firstLine="480"/>
              <w:jc w:val="both"/>
            </w:pPr>
            <w:r>
              <w:rPr>
                <w:rFonts w:ascii="仿宋_GB2312" w:hAnsi="仿宋_GB2312" w:cs="仿宋_GB2312" w:eastAsia="仿宋_GB2312"/>
                <w:sz w:val="24"/>
              </w:rPr>
              <w:t>协助四川省政府政务服务和公共资源交易服务中心针对测评过程中发现的安全问题进行技术整改加固工作，并进行整改后的回归测评。</w:t>
            </w:r>
          </w:p>
          <w:p>
            <w:pPr>
              <w:pStyle w:val="null3"/>
              <w:ind w:firstLine="480"/>
              <w:jc w:val="both"/>
            </w:pPr>
            <w:r>
              <w:rPr>
                <w:rFonts w:ascii="仿宋_GB2312" w:hAnsi="仿宋_GB2312" w:cs="仿宋_GB2312" w:eastAsia="仿宋_GB2312"/>
                <w:sz w:val="24"/>
              </w:rPr>
              <w:t>（4）第四阶段：</w:t>
            </w:r>
          </w:p>
          <w:p>
            <w:pPr>
              <w:pStyle w:val="null3"/>
              <w:ind w:firstLine="480"/>
              <w:jc w:val="both"/>
            </w:pPr>
            <w:r>
              <w:rPr>
                <w:rFonts w:ascii="仿宋_GB2312" w:hAnsi="仿宋_GB2312" w:cs="仿宋_GB2312" w:eastAsia="仿宋_GB2312"/>
                <w:sz w:val="24"/>
              </w:rPr>
              <w:t>整理测评结果，向四川省政府政务服务和公共资源交易服务中心提交被测系统网络安全等级保护测评报告以及相应文档。</w:t>
            </w:r>
          </w:p>
          <w:p>
            <w:pPr>
              <w:pStyle w:val="null3"/>
              <w:ind w:firstLine="480"/>
              <w:jc w:val="both"/>
            </w:pPr>
            <w:r>
              <w:rPr>
                <w:rFonts w:ascii="仿宋_GB2312" w:hAnsi="仿宋_GB2312" w:cs="仿宋_GB2312" w:eastAsia="仿宋_GB2312"/>
                <w:sz w:val="24"/>
              </w:rPr>
              <w:t>（二）项目实施要求</w:t>
            </w:r>
          </w:p>
          <w:p>
            <w:pPr>
              <w:pStyle w:val="null3"/>
              <w:ind w:firstLine="480"/>
              <w:jc w:val="both"/>
            </w:pPr>
            <w:r>
              <w:rPr>
                <w:rFonts w:ascii="仿宋_GB2312" w:hAnsi="仿宋_GB2312" w:cs="仿宋_GB2312" w:eastAsia="仿宋_GB2312"/>
                <w:sz w:val="24"/>
              </w:rPr>
              <w:t>依据国家各项相关标准法规和四川省政府政务服务和公共资源交易服务中心现有的规范、制度，同时结合项目实际需要，对网络安全等级保护项目工作中的测评（包括测评范围、测评方法等）、整改（包括整改方法、范围等）过程中，所需的产品、技术、制度、流程、建设要求和实施规范等方面，提供咨询、测评、整改建议以及整个建设过程的监督和管理等服务。所提供的整体方案需包括技术方案和实施方案。技术方案包括整体流程、技术方法和服务方案设计等，需要对每项技术方法的应用位置进行详细描述，对系统进行详细的测评，发现系统不足，明确安全风险隐患和差距，提出整改意见，协助四川省政府政务服务和公共资源交易服务中心信息安全管理人员进行整改；实施方案包括人员组织、时间安排、阶段性文档提交、验收标准、质量保证和风险规避措施等，需要明确每项工作的时间安排、操作时间和操作人员。</w:t>
            </w:r>
            <w:r>
              <w:rPr>
                <w:rFonts w:ascii="仿宋_GB2312" w:hAnsi="仿宋_GB2312" w:cs="仿宋_GB2312" w:eastAsia="仿宋_GB2312"/>
                <w:sz w:val="24"/>
              </w:rPr>
              <w:t>供应商</w:t>
            </w:r>
            <w:r>
              <w:rPr>
                <w:rFonts w:ascii="仿宋_GB2312" w:hAnsi="仿宋_GB2312" w:cs="仿宋_GB2312" w:eastAsia="仿宋_GB2312"/>
                <w:sz w:val="24"/>
              </w:rPr>
              <w:t>负责提供的服务内容应包括以下各项：</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服务提供商</w:t>
            </w:r>
            <w:r>
              <w:rPr>
                <w:rFonts w:ascii="仿宋_GB2312" w:hAnsi="仿宋_GB2312" w:cs="仿宋_GB2312" w:eastAsia="仿宋_GB2312"/>
                <w:sz w:val="24"/>
              </w:rPr>
              <w:t>在网络安全等级保护测评和风险评估前应制定详细的技术方案，包括网络安全等级保护测评项目计划书、测评实施方案以及人员安全培训计划等，并提交四川省政府政务服务和公共资源交易服务中心审核。</w:t>
            </w:r>
          </w:p>
          <w:p>
            <w:pPr>
              <w:pStyle w:val="null3"/>
              <w:ind w:firstLine="480"/>
              <w:jc w:val="both"/>
            </w:pPr>
            <w:r>
              <w:rPr>
                <w:rFonts w:ascii="仿宋_GB2312" w:hAnsi="仿宋_GB2312" w:cs="仿宋_GB2312" w:eastAsia="仿宋_GB2312"/>
                <w:sz w:val="24"/>
              </w:rPr>
              <w:t>2、网络安全等级保护测评包括但不限于以下对象：网络结构、网络服务、主机系统、存储备份系统、数据库、中间件、应用系统、数据安全、安全系统、系统安全策略等。</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服务提供商</w:t>
            </w:r>
            <w:r>
              <w:rPr>
                <w:rFonts w:ascii="仿宋_GB2312" w:hAnsi="仿宋_GB2312" w:cs="仿宋_GB2312" w:eastAsia="仿宋_GB2312"/>
                <w:sz w:val="24"/>
              </w:rPr>
              <w:t>应描述网络安全等级保护测评服务的技术方案，包括准备工作、技术措施、人员安排、时间进度、可能对系统造成的影响等。</w:t>
            </w:r>
          </w:p>
          <w:p>
            <w:pPr>
              <w:pStyle w:val="null3"/>
              <w:ind w:firstLine="480"/>
              <w:jc w:val="both"/>
            </w:pPr>
            <w:r>
              <w:rPr>
                <w:rFonts w:ascii="仿宋_GB2312" w:hAnsi="仿宋_GB2312" w:cs="仿宋_GB2312" w:eastAsia="仿宋_GB2312"/>
                <w:sz w:val="24"/>
              </w:rPr>
              <w:t>4、网络安全等级保护测评工作应尽量选择在非业务繁忙时段进行，将对被测系统可能带来的影响减至最小。</w:t>
            </w:r>
          </w:p>
          <w:p>
            <w:pPr>
              <w:pStyle w:val="null3"/>
              <w:ind w:firstLine="480"/>
              <w:jc w:val="both"/>
            </w:pPr>
            <w:r>
              <w:rPr>
                <w:rFonts w:ascii="仿宋_GB2312" w:hAnsi="仿宋_GB2312" w:cs="仿宋_GB2312" w:eastAsia="仿宋_GB2312"/>
                <w:sz w:val="24"/>
              </w:rPr>
              <w:t>★5、服务提供商应书面承诺能够积极与四川省政府政务服务和公共资源交易服务中心协作，共同完成本项目的网络安全等级保护测评工作，项目实施过程中出现问题不得互相推诿，双方应主动进行沟通，并及时解决问题，确保项目顺利实施。【供应商在投标时提供针对第5点的承诺函并加盖供应商公章，格式自拟】</w:t>
            </w:r>
          </w:p>
          <w:p>
            <w:pPr>
              <w:pStyle w:val="null3"/>
              <w:ind w:firstLine="480"/>
              <w:jc w:val="both"/>
            </w:pPr>
            <w:r>
              <w:rPr>
                <w:rFonts w:ascii="仿宋_GB2312" w:hAnsi="仿宋_GB2312" w:cs="仿宋_GB2312" w:eastAsia="仿宋_GB2312"/>
                <w:sz w:val="24"/>
              </w:rPr>
              <w:t>（三）项目管理要求</w:t>
            </w:r>
          </w:p>
          <w:p>
            <w:pPr>
              <w:pStyle w:val="null3"/>
              <w:ind w:firstLine="480"/>
              <w:jc w:val="both"/>
            </w:pPr>
            <w:r>
              <w:rPr>
                <w:rFonts w:ascii="仿宋_GB2312" w:hAnsi="仿宋_GB2312" w:cs="仿宋_GB2312" w:eastAsia="仿宋_GB2312"/>
                <w:sz w:val="24"/>
              </w:rPr>
              <w:t>对项目进行科学严格的管理，通过系统计划、有序组织、科学指导和有效控制，促进项目全面顺利实施，</w:t>
            </w:r>
            <w:r>
              <w:rPr>
                <w:rFonts w:ascii="仿宋_GB2312" w:hAnsi="仿宋_GB2312" w:cs="仿宋_GB2312" w:eastAsia="仿宋_GB2312"/>
                <w:sz w:val="24"/>
              </w:rPr>
              <w:t>供应商</w:t>
            </w:r>
            <w:r>
              <w:rPr>
                <w:rFonts w:ascii="仿宋_GB2312" w:hAnsi="仿宋_GB2312" w:cs="仿宋_GB2312" w:eastAsia="仿宋_GB2312"/>
                <w:sz w:val="24"/>
              </w:rPr>
              <w:t>必须提供完整的项目管理方案，项目的方案设计与具体实施应满足以下原则：</w:t>
            </w:r>
          </w:p>
          <w:p>
            <w:pPr>
              <w:pStyle w:val="null3"/>
              <w:ind w:firstLine="480"/>
              <w:jc w:val="both"/>
            </w:pPr>
            <w:r>
              <w:rPr>
                <w:rFonts w:ascii="仿宋_GB2312" w:hAnsi="仿宋_GB2312" w:cs="仿宋_GB2312" w:eastAsia="仿宋_GB2312"/>
                <w:sz w:val="24"/>
              </w:rPr>
              <w:t>1、最小影响原则：工作应尽可能小的影响系统和网络的正常运行，不能对网络的运行和业务的正常运行产生显著影响（包括系统性能明显下降、网络拥塞、服务中断）；</w:t>
            </w:r>
          </w:p>
          <w:p>
            <w:pPr>
              <w:pStyle w:val="null3"/>
              <w:ind w:firstLine="480"/>
              <w:jc w:val="both"/>
            </w:pPr>
            <w:r>
              <w:rPr>
                <w:rFonts w:ascii="仿宋_GB2312" w:hAnsi="仿宋_GB2312" w:cs="仿宋_GB2312" w:eastAsia="仿宋_GB2312"/>
                <w:sz w:val="24"/>
              </w:rPr>
              <w:t>2、标准性原则：服务方案的设计与实施应依据国家网络安全等级保护</w:t>
            </w:r>
            <w:r>
              <w:rPr>
                <w:rFonts w:ascii="仿宋_GB2312" w:hAnsi="仿宋_GB2312" w:cs="仿宋_GB2312" w:eastAsia="仿宋_GB2312"/>
                <w:sz w:val="24"/>
              </w:rPr>
              <w:t>最新</w:t>
            </w:r>
            <w:r>
              <w:rPr>
                <w:rFonts w:ascii="仿宋_GB2312" w:hAnsi="仿宋_GB2312" w:cs="仿宋_GB2312" w:eastAsia="仿宋_GB2312"/>
                <w:sz w:val="24"/>
              </w:rPr>
              <w:t>系列标准进行；</w:t>
            </w:r>
          </w:p>
          <w:p>
            <w:pPr>
              <w:pStyle w:val="null3"/>
              <w:ind w:firstLine="480"/>
              <w:jc w:val="both"/>
            </w:pPr>
            <w:r>
              <w:rPr>
                <w:rFonts w:ascii="仿宋_GB2312" w:hAnsi="仿宋_GB2312" w:cs="仿宋_GB2312" w:eastAsia="仿宋_GB2312"/>
                <w:sz w:val="24"/>
              </w:rPr>
              <w:t>3、规范性原则：</w:t>
            </w:r>
            <w:r>
              <w:rPr>
                <w:rFonts w:ascii="仿宋_GB2312" w:hAnsi="仿宋_GB2312" w:cs="仿宋_GB2312" w:eastAsia="仿宋_GB2312"/>
                <w:sz w:val="24"/>
              </w:rPr>
              <w:t>服务提供商</w:t>
            </w:r>
            <w:r>
              <w:rPr>
                <w:rFonts w:ascii="仿宋_GB2312" w:hAnsi="仿宋_GB2312" w:cs="仿宋_GB2312" w:eastAsia="仿宋_GB2312"/>
                <w:sz w:val="24"/>
              </w:rPr>
              <w:t>工作中的过程和文档，应具有较好的规范性，便于项目的跟踪和控制；</w:t>
            </w:r>
          </w:p>
          <w:p>
            <w:pPr>
              <w:pStyle w:val="null3"/>
              <w:ind w:firstLine="480"/>
              <w:jc w:val="both"/>
            </w:pPr>
            <w:r>
              <w:rPr>
                <w:rFonts w:ascii="仿宋_GB2312" w:hAnsi="仿宋_GB2312" w:cs="仿宋_GB2312" w:eastAsia="仿宋_GB2312"/>
                <w:sz w:val="24"/>
              </w:rPr>
              <w:t>4、可控性原则：方法和过程要在双方认可的范围之内，安全服务的进度要按照进度表安排实施，保证四川省政府政务服务和公共资源交易服务中心对于服务工作的可控性；</w:t>
            </w:r>
          </w:p>
          <w:p>
            <w:pPr>
              <w:pStyle w:val="null3"/>
              <w:ind w:firstLine="480"/>
              <w:jc w:val="both"/>
            </w:pPr>
            <w:r>
              <w:rPr>
                <w:rFonts w:ascii="仿宋_GB2312" w:hAnsi="仿宋_GB2312" w:cs="仿宋_GB2312" w:eastAsia="仿宋_GB2312"/>
                <w:sz w:val="24"/>
              </w:rPr>
              <w:t>5、整体性原则：评估内容应当整体全面，包括安全涉及的各个层面，避免由于遗漏造成未来的安全隐患；</w:t>
            </w:r>
          </w:p>
          <w:p>
            <w:pPr>
              <w:pStyle w:val="null3"/>
              <w:ind w:firstLine="480"/>
              <w:jc w:val="both"/>
            </w:pPr>
            <w:r>
              <w:rPr>
                <w:rFonts w:ascii="仿宋_GB2312" w:hAnsi="仿宋_GB2312" w:cs="仿宋_GB2312" w:eastAsia="仿宋_GB2312"/>
                <w:sz w:val="24"/>
              </w:rPr>
              <w:t>6、保密原则：对过程数据和结果数据严格保密，未经授权不得泄露给任何单位和个人，不得利用此数据进行任何侵害招标人的行为，否则四川省政府政务服务和公共资源交易服务中心有权追究</w:t>
            </w:r>
            <w:r>
              <w:rPr>
                <w:rFonts w:ascii="仿宋_GB2312" w:hAnsi="仿宋_GB2312" w:cs="仿宋_GB2312" w:eastAsia="仿宋_GB2312"/>
                <w:sz w:val="24"/>
              </w:rPr>
              <w:t>服务提供商</w:t>
            </w:r>
            <w:r>
              <w:rPr>
                <w:rFonts w:ascii="仿宋_GB2312" w:hAnsi="仿宋_GB2312" w:cs="仿宋_GB2312" w:eastAsia="仿宋_GB2312"/>
                <w:sz w:val="24"/>
              </w:rPr>
              <w:t>的责任。</w:t>
            </w:r>
          </w:p>
          <w:p>
            <w:pPr>
              <w:pStyle w:val="null3"/>
              <w:ind w:firstLine="480"/>
              <w:jc w:val="both"/>
            </w:pPr>
            <w:r>
              <w:rPr>
                <w:rFonts w:ascii="仿宋_GB2312" w:hAnsi="仿宋_GB2312" w:cs="仿宋_GB2312" w:eastAsia="仿宋_GB2312"/>
                <w:sz w:val="24"/>
              </w:rPr>
              <w:t>（四）服务保障与承诺</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服务提供商</w:t>
            </w:r>
            <w:r>
              <w:rPr>
                <w:rFonts w:ascii="仿宋_GB2312" w:hAnsi="仿宋_GB2312" w:cs="仿宋_GB2312" w:eastAsia="仿宋_GB2312"/>
                <w:sz w:val="24"/>
              </w:rPr>
              <w:t>应严格按照测评人员执业守则，按照国家相关法规、规范、标准及制定的测评方案、项目计划书、实施细则进行测评，在保证质量、安全的前提下，确保在项目规定的期限内按期完成。</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服务提供商</w:t>
            </w:r>
            <w:r>
              <w:rPr>
                <w:rFonts w:ascii="仿宋_GB2312" w:hAnsi="仿宋_GB2312" w:cs="仿宋_GB2312" w:eastAsia="仿宋_GB2312"/>
                <w:sz w:val="24"/>
              </w:rPr>
              <w:t>应协助、配合四川省政府政务服务和公共资源交易服务中心与上级监管部门、公安机关的沟通协调。在测评过程中和测评完成后，协助、配合四川省政府政务服务和公共资源交易服务中心进行相关的信息系统安全整改，确保已定级系统达到等级保护的相关要求，并通过上级监管部门和公安机关的审核验收。</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服务提供商</w:t>
            </w:r>
            <w:r>
              <w:rPr>
                <w:rFonts w:ascii="仿宋_GB2312" w:hAnsi="仿宋_GB2312" w:cs="仿宋_GB2312" w:eastAsia="仿宋_GB2312"/>
                <w:sz w:val="24"/>
              </w:rPr>
              <w:t>应在项目期内向四川省政府政务服务和公共资源交易服务中心提供7*24小时电话咨询服务，必要时上门服务。跟踪网络安全等级保护的最新发展情况，及时告之四川省政府政务服务和公共资源交易服务中心，提供相应解决方案及建议，协助其持续符合信息系统网络安全等级保护工作的要求。</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服务提供商</w:t>
            </w:r>
            <w:r>
              <w:rPr>
                <w:rFonts w:ascii="仿宋_GB2312" w:hAnsi="仿宋_GB2312" w:cs="仿宋_GB2312" w:eastAsia="仿宋_GB2312"/>
                <w:sz w:val="24"/>
              </w:rPr>
              <w:t>应在项目实施过程中，对四川省政府政务服务和公共资源交易服务中心相关人员进行安全方面的技术培训，明确项目实施的思路、方案、技术路线，提升技术人员的安全意识，可以独立的对网络安全等级保护的国家安全政策和法规进行把握，了解测评整改手段，掌握测评整改方法。</w:t>
            </w:r>
          </w:p>
          <w:p>
            <w:pPr>
              <w:pStyle w:val="null3"/>
              <w:spacing w:after="120"/>
              <w:ind w:firstLine="480"/>
              <w:jc w:val="both"/>
            </w:pPr>
            <w:r>
              <w:rPr>
                <w:rFonts w:ascii="仿宋_GB2312" w:hAnsi="仿宋_GB2312" w:cs="仿宋_GB2312" w:eastAsia="仿宋_GB2312"/>
                <w:sz w:val="24"/>
              </w:rPr>
              <w:t>5、</w:t>
            </w:r>
            <w:r>
              <w:rPr>
                <w:rFonts w:ascii="仿宋_GB2312" w:hAnsi="仿宋_GB2312" w:cs="仿宋_GB2312" w:eastAsia="仿宋_GB2312"/>
                <w:sz w:val="24"/>
              </w:rPr>
              <w:t>服务提供商</w:t>
            </w:r>
            <w:r>
              <w:rPr>
                <w:rFonts w:ascii="仿宋_GB2312" w:hAnsi="仿宋_GB2312" w:cs="仿宋_GB2312" w:eastAsia="仿宋_GB2312"/>
                <w:sz w:val="24"/>
              </w:rPr>
              <w:t>应在项目开始前，与四川省政府政务服务和公共资源交易服务中心签订保密协议，严格遵守法律法规，对四川省政府政务服务和公共资源交易服务中心商业秘密、系统风险信息、项目实施内容及成果信息进行严格保密，未经四川省政府政务服务和公共资源交易服务中心同意，严禁将上述内容与任何第三方透露或用于其他商业用途，并承担由此产生的一切损失。</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rPr>
              <w:t>四、售后服务要求</w:t>
            </w:r>
          </w:p>
          <w:p>
            <w:pPr>
              <w:pStyle w:val="null3"/>
              <w:spacing w:after="120"/>
              <w:ind w:firstLine="480"/>
              <w:jc w:val="both"/>
            </w:pPr>
            <w:r>
              <w:rPr>
                <w:rFonts w:ascii="仿宋_GB2312" w:hAnsi="仿宋_GB2312" w:cs="仿宋_GB2312" w:eastAsia="仿宋_GB2312"/>
                <w:sz w:val="24"/>
              </w:rPr>
              <w:t>1、提供网络安全等级保护测评相关的优化、整改方案，并协助四川省政府政务服务和公共资源交易服务中心完成被测系统的整改加固。</w:t>
            </w:r>
          </w:p>
          <w:p>
            <w:pPr>
              <w:pStyle w:val="null3"/>
              <w:jc w:val="both"/>
            </w:pPr>
            <w:r>
              <w:rPr>
                <w:rFonts w:ascii="仿宋_GB2312" w:hAnsi="仿宋_GB2312" w:cs="仿宋_GB2312" w:eastAsia="仿宋_GB2312"/>
                <w:sz w:val="24"/>
              </w:rPr>
              <w:t xml:space="preserve">    2、提供7×24小时电话咨询服务，必要时，工作日2小时内上门服务，非工作日4小时内上门服务。</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合同管理安排</w:t>
            </w:r>
          </w:p>
        </w:tc>
        <w:tc>
          <w:tcPr>
            <w:tcW w:type="dxa" w:w="5814"/>
          </w:tcPr>
          <w:p>
            <w:pPr>
              <w:pStyle w:val="null3"/>
              <w:jc w:val="left"/>
            </w:pPr>
            <w:r>
              <w:rPr>
                <w:rFonts w:ascii="仿宋_GB2312" w:hAnsi="仿宋_GB2312" w:cs="仿宋_GB2312" w:eastAsia="仿宋_GB2312"/>
              </w:rPr>
              <w:t>成本补偿和风险分担约定：项目要求供应商所报金额为固定总价，由于市场价格波动或其他因素而导致的成本增加及其他相关风险等均由供应商自行承担并考虑在报价中，本项目成交后实施过程中不再调整价格。由于供应商使用设备、使用技术以及组织管理水平等自身原因造成费用增加的，应由供应商全部承担。因不可抗力因素，造成影响合同价款的，各自损失各自承担。</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成都市青羊区鼓楼南街101号丰德成达中心</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1.供应商在验收准备完成后通知采购人，双方按照约定的方式对中标人服务工作的成果进行验收，验收合格出具验收报告； 2.验收标准：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 3.项目验收结果合格的，办理后续手续；验收结果不合格且拒不整改的，将不予支付采购资金，还可能上报本项目同级财政部门按照政府采购法律法规给予行政处罚或者以失信行为记入诚信档案。 4.其他未尽事宜应严格按照《财政部关于进一步加强政府采购需求和履约验收管理的指导意见》(财库〔2016〕205号)及招标文件执行。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1、合同签订并收到乙方开具的发票，达到付款条件起15日内，支付合同总金额的60.00%</w:t>
            </w:r>
          </w:p>
          <w:p>
            <w:pPr>
              <w:pStyle w:val="null3"/>
              <w:jc w:val="left"/>
            </w:pPr>
            <w:r>
              <w:rPr>
                <w:rFonts w:ascii="仿宋_GB2312" w:hAnsi="仿宋_GB2312" w:cs="仿宋_GB2312" w:eastAsia="仿宋_GB2312"/>
              </w:rPr>
              <w:t>2、提交最终的《网络安全等级保护测评》，且项目验收合格，达到付款条件起15日内，支付合同总金额的40.00%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1.如因乙方工作人员在履行职务过程中的疏忽、失职、过错等故意或者过失原因给甲方造成损失或侵害，包括但不限于甲方本身的财产损失、由此而导致的甲方对任何第三方的法律责任等，乙方对此均应承担全部的赔偿责任。 2.乙方逾期未完成的，每逾期一日，按应付合同服务费的万分之一向甲方支付违约金，逾期超过30日仍未完成的，甲方有权解除合同，乙方还应向甲方支付合同服务费5%的违约金。 3.乙方未按合同约定履行或履行不符合合同要求的，乙方应按甲方要求进行整改，如整改后仍不达标的，甲方有权解除合同，乙方还应向甲方支付合同服务费5% 的违约金。 4.违约责任包括但不限于支付违约金、赔偿损失以及因追责发生的诉讼费、律师费、保全费、公证费等。 5.变更、中止或者终止合同，有过错的一方应当承担赔偿责任，双方都有过错的，各自承担相应的责任。 ②解决争议的方法：合同履行期间，双方发生争议的应协商解决，协商无法达成一致的，双方均可向成都仲裁委员会提起仲裁解决。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与评审因素相关的要求：一、供应商针对本项目提供项目实施方案，包括：①人员组织；②时间安排；③阶段性文档提交、验收标准、质量保证和风险规避措施；④测评实施方案；⑤应急响应方案；⑥售后服务方案。二、实施人员能力：一、项目总测评师： 总测评师具有 （1）高级工程师证书（产品质量检验专业）； （2）信息安全等级测评师证书（高级）； （3）商用密码应用安全性评估人员测评能力考核成绩合格证书； （4）渗透测试高级工程师证书； （5）ISMS审核员注册证书。 二、项目测评工程师（不含项目总测评师）： （1）信息安全等级测评师证书（中级及以上）证书。 （2）测评工程师具有服务认证审查员证书。 （3）测评工程师具有高级工程师职称（电子信息工程专业）证书。三、综合实力：1.供应商具有中国合格评定国家认可委员会检验机构认可证书（CNAS）（认可范围包含网络安全等级保护测评）。 2.供应商具有信息安全风险评估资质证书。四、业绩：供应商2022年1月1 日（含1日）以来（即自2022 年1月1日起至本项目投标截止之日止）具有类似项目履约业绩。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关于财务会计制度的证明材料｛注：供应商根据自身情况选择提供其中任意一项：</w:t>
              <w:br/>
              <w:t>（1）可提供近两年（2023年或2024年）任一年度经审计的财务报告（包含审计报告和审计报告中所涉及的财务报表和报表附注）。</w:t>
              <w:br/>
              <w:t>（2）可提供近两年（2023年或2024年）任一年度供应商完整的全套财务报表（应当包括资产负债表、利润表、现金流量表）。</w:t>
              <w:br/>
              <w:t>（3）可提供截至响应文件提交截止日一年内银行出具的资信证明。</w:t>
              <w:br/>
              <w:t>（4）供应商注册时间截至响应文件提交截止日不足一年的，也可提供在工商管理部门备案的公司章程。</w:t>
              <w:br/>
              <w:t>（5）供应商为个体工商户或自然人时，可提供《投标（响应）函》完成承诺并进行电子签章。}</w:t>
            </w:r>
          </w:p>
        </w:tc>
        <w:tc>
          <w:tcPr>
            <w:tcW w:type="dxa" w:w="1910"/>
          </w:tcPr>
          <w:p>
            <w:pPr>
              <w:pStyle w:val="null3"/>
              <w:jc w:val="left"/>
            </w:pPr>
            <w:r>
              <w:rPr>
                <w:rFonts w:ascii="仿宋_GB2312" w:hAnsi="仿宋_GB2312" w:cs="仿宋_GB2312" w:eastAsia="仿宋_GB2312"/>
              </w:rPr>
              <w:t>投标人应提交的相关证明材料,投标（响应）函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具有相关网络安全等级保护测评服务证书。</w:t>
            </w:r>
          </w:p>
        </w:tc>
        <w:tc>
          <w:tcPr>
            <w:tcW w:type="dxa" w:w="3322"/>
          </w:tcPr>
          <w:p>
            <w:pPr>
              <w:pStyle w:val="null3"/>
              <w:jc w:val="left"/>
            </w:pPr>
            <w:r>
              <w:rPr>
                <w:rFonts w:ascii="仿宋_GB2312" w:hAnsi="仿宋_GB2312" w:cs="仿宋_GB2312" w:eastAsia="仿宋_GB2312"/>
              </w:rPr>
              <w:t>提供相关网络安全等级保护测评服务证书扫描件，加盖公章。</w:t>
            </w:r>
          </w:p>
        </w:tc>
        <w:tc>
          <w:tcPr>
            <w:tcW w:type="dxa" w:w="1910"/>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供应商需针对采购文件的要求，进行响应或提供相关材料。</w:t>
            </w:r>
          </w:p>
        </w:tc>
        <w:tc>
          <w:tcPr>
            <w:tcW w:type="dxa" w:w="1910"/>
          </w:tcPr>
          <w:p>
            <w:pPr>
              <w:pStyle w:val="null3"/>
              <w:jc w:val="left"/>
            </w:pPr>
            <w:r>
              <w:rPr>
                <w:rFonts w:ascii="仿宋_GB2312" w:hAnsi="仿宋_GB2312" w:cs="仿宋_GB2312" w:eastAsia="仿宋_GB2312"/>
              </w:rPr>
              <w:t>投标人应提交的相关证明材料,服务应答表,报价表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评标分值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关联投标文件格式文本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项目实施方案，包括：①人员组织；②时间安排；③阶段性文档提交、验收标准、质量保证和风险规避措施；④测评实施方案；⑤应急响应方案；⑥售后服务方案。内容完整且无缺陷的得30分，每有一项内容缺失扣5分，每有一项缺陷（缺陷是指项目名称错误，地点区域错误，内容与本项目无关，仅有框架或标题，涉及的规范及标准错误中的任意一种情形。）扣1分，该项5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实施人员能力</w:t>
            </w:r>
          </w:p>
        </w:tc>
        <w:tc>
          <w:tcPr>
            <w:tcW w:type="dxa" w:w="2575"/>
          </w:tcPr>
          <w:p>
            <w:pPr>
              <w:pStyle w:val="null3"/>
              <w:jc w:val="left"/>
            </w:pPr>
            <w:r>
              <w:rPr>
                <w:rFonts w:ascii="仿宋_GB2312" w:hAnsi="仿宋_GB2312" w:cs="仿宋_GB2312" w:eastAsia="仿宋_GB2312"/>
              </w:rPr>
              <w:t>一、项目总测评师（15分）： 总测评师具有 （1）高级工程师证书（产品质量检验专业）； （2）信息安全等级测评师证书（高级）； （3）商用密码应用安全性评估人员测评能力考核成绩合格证书； （4）渗透测试高级工程师证书； （5）ISMS审核员注册证书，每具备一个得3分，最高得15分；没有的得0分。 二、项目测评工程师（不含项目总测评师）（15分）： （1）信息安全等级测评师证书（中级及以上）证书，每有一个得1分，最多得5分；没有的得0分。 （2）测评工程师具有服务认证审查员证书，每有一个得2分，最多得4分；没有的得0分。 （3）测评工程师具有高级工程师职称（电子信息工程专业）证书，每有一个得2分，最多得6分；没有的得0分。 注：1.同一人有多个证书可以重复计分。 2.提供人员证书扫描件并加盖供应商公章。</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主要人员简历表..docx</w:t>
            </w:r>
          </w:p>
        </w:tc>
      </w:tr>
      <w:tr>
        <w:tc>
          <w:tcPr>
            <w:tcW w:type="dxa" w:w="831"/>
            <w:vMerge/>
          </w:tcPr>
          <w:p/>
        </w:tc>
        <w:tc>
          <w:tcPr>
            <w:tcW w:type="dxa" w:w="1661"/>
          </w:tcPr>
          <w:p>
            <w:pPr>
              <w:pStyle w:val="null3"/>
              <w:jc w:val="left"/>
            </w:pPr>
            <w:r>
              <w:rPr>
                <w:rFonts w:ascii="仿宋_GB2312" w:hAnsi="仿宋_GB2312" w:cs="仿宋_GB2312" w:eastAsia="仿宋_GB2312"/>
              </w:rPr>
              <w:t>综合实力</w:t>
            </w:r>
          </w:p>
        </w:tc>
        <w:tc>
          <w:tcPr>
            <w:tcW w:type="dxa" w:w="2575"/>
          </w:tcPr>
          <w:p>
            <w:pPr>
              <w:pStyle w:val="null3"/>
              <w:jc w:val="left"/>
            </w:pPr>
            <w:r>
              <w:rPr>
                <w:rFonts w:ascii="仿宋_GB2312" w:hAnsi="仿宋_GB2312" w:cs="仿宋_GB2312" w:eastAsia="仿宋_GB2312"/>
              </w:rPr>
              <w:t>1.供应商具有中国合格评定国家认可委员会检验机构认可证书（CNAS）（认可范围包含网络安全等级保护测评）的得10分；没有的得0分。 2.供应商具有信息安全风险评估资质证书得10分；没有的得0分。 注：提供有效的证书扫描件并加盖供应商公章。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供应商2022年1月1 日（含1日）以来（即自2022 年1月1日起至本项目投标截止之日止）具有类似项目履约业绩，每提供一个得2分，最高得10分。 注：（1）类似项目是指网络安全等级保护测评项目. （2）提供合同或中标/成交通知书扫描件，并加盖供应商公章。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1.满足招标文件要求且最后有效报价最低的投标人的价格为基准价，其价格分为10分。 其它投标人报价得分按以下公式计算：报价得分=(评标基准价／投标报价)×10%×100。 2.对小型和微型企业（含监狱企业、残疾人福利性单位）的报价给予10%的扣除，用扣除后的价格参与评审。 3、评分的取值按四舍五入法，保留小数点后两位。</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关联投标文件格式文本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关联投标文件格式文本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详见附件：主要人员简历表..docx</w:t>
      </w:r>
    </w:p>
    <w:p>
      <w:pPr>
        <w:pStyle w:val="null3"/>
        <w:ind w:firstLine="960"/>
        <w:jc w:val="left"/>
      </w:pPr>
      <w:r>
        <w:rPr>
          <w:rFonts w:ascii="仿宋_GB2312" w:hAnsi="仿宋_GB2312" w:cs="仿宋_GB2312" w:eastAsia="仿宋_GB2312"/>
        </w:rPr>
        <w:t>详见附件：类似项目业绩一览表.docx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《采购文件》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