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60BF7D">
      <w:pPr>
        <w:rPr>
          <w:rFonts w:ascii="宋体" w:hAnsi="宋体"/>
          <w:color w:val="000000" w:themeColor="text1"/>
          <w:sz w:val="32"/>
          <w:szCs w:val="32"/>
          <w:highlight w:val="none"/>
          <w14:textFill>
            <w14:solidFill>
              <w14:schemeClr w14:val="tx1"/>
            </w14:solidFill>
          </w14:textFill>
        </w:rPr>
      </w:pPr>
    </w:p>
    <w:p w14:paraId="289AFE3B">
      <w:pPr>
        <w:rPr>
          <w:rFonts w:ascii="宋体" w:hAnsi="宋体"/>
          <w:color w:val="000000" w:themeColor="text1"/>
          <w:sz w:val="32"/>
          <w:szCs w:val="32"/>
          <w:highlight w:val="none"/>
          <w14:textFill>
            <w14:solidFill>
              <w14:schemeClr w14:val="tx1"/>
            </w14:solidFill>
          </w14:textFill>
        </w:rPr>
      </w:pPr>
    </w:p>
    <w:p w14:paraId="3494C354">
      <w:pPr>
        <w:pStyle w:val="46"/>
        <w:ind w:left="0" w:leftChars="0" w:firstLine="0"/>
        <w:rPr>
          <w:rFonts w:ascii="宋体" w:hAnsi="宋体"/>
          <w:color w:val="000000" w:themeColor="text1"/>
          <w:highlight w:val="none"/>
          <w14:textFill>
            <w14:solidFill>
              <w14:schemeClr w14:val="tx1"/>
            </w14:solidFill>
          </w14:textFill>
        </w:rPr>
      </w:pPr>
    </w:p>
    <w:p w14:paraId="4D0E0CF7">
      <w:pPr>
        <w:pStyle w:val="46"/>
        <w:ind w:left="0" w:leftChars="0" w:firstLine="0"/>
        <w:rPr>
          <w:rFonts w:ascii="宋体" w:hAnsi="宋体"/>
          <w:color w:val="000000" w:themeColor="text1"/>
          <w:highlight w:val="none"/>
          <w14:textFill>
            <w14:solidFill>
              <w14:schemeClr w14:val="tx1"/>
            </w14:solidFill>
          </w14:textFill>
        </w:rPr>
      </w:pPr>
    </w:p>
    <w:p w14:paraId="0B652F8E">
      <w:pPr>
        <w:pStyle w:val="87"/>
        <w:ind w:firstLine="0" w:firstLineChars="0"/>
        <w:rPr>
          <w:rFonts w:ascii="宋体" w:hAnsi="宋体"/>
          <w:color w:val="000000" w:themeColor="text1"/>
          <w:highlight w:val="none"/>
          <w14:textFill>
            <w14:solidFill>
              <w14:schemeClr w14:val="tx1"/>
            </w14:solidFill>
          </w14:textFill>
        </w:rPr>
      </w:pPr>
    </w:p>
    <w:p w14:paraId="083EDB5F">
      <w:pPr>
        <w:pStyle w:val="26"/>
        <w:jc w:val="center"/>
        <w:rPr>
          <w:rFonts w:hAnsi="宋体"/>
          <w:b/>
          <w:bCs/>
          <w:color w:val="000000" w:themeColor="text1"/>
          <w:sz w:val="84"/>
          <w:szCs w:val="84"/>
          <w:highlight w:val="none"/>
          <w14:textFill>
            <w14:solidFill>
              <w14:schemeClr w14:val="tx1"/>
            </w14:solidFill>
          </w14:textFill>
        </w:rPr>
      </w:pPr>
      <w:r>
        <w:rPr>
          <w:rFonts w:hint="eastAsia" w:hAnsi="宋体"/>
          <w:b/>
          <w:color w:val="000000" w:themeColor="text1"/>
          <w:sz w:val="84"/>
          <w:szCs w:val="84"/>
          <w:highlight w:val="none"/>
          <w14:textFill>
            <w14:solidFill>
              <w14:schemeClr w14:val="tx1"/>
            </w14:solidFill>
          </w14:textFill>
        </w:rPr>
        <w:t>政府采购</w:t>
      </w:r>
    </w:p>
    <w:p w14:paraId="7F74266E">
      <w:pPr>
        <w:pStyle w:val="26"/>
        <w:adjustRightInd w:val="0"/>
        <w:snapToGrid w:val="0"/>
        <w:spacing w:line="360" w:lineRule="auto"/>
        <w:jc w:val="center"/>
        <w:rPr>
          <w:rFonts w:hAnsi="宋体"/>
          <w:b/>
          <w:color w:val="000000" w:themeColor="text1"/>
          <w:sz w:val="84"/>
          <w:szCs w:val="84"/>
          <w:highlight w:val="none"/>
          <w14:textFill>
            <w14:solidFill>
              <w14:schemeClr w14:val="tx1"/>
            </w14:solidFill>
          </w14:textFill>
        </w:rPr>
      </w:pPr>
      <w:r>
        <w:rPr>
          <w:rFonts w:hint="eastAsia" w:hAnsi="宋体"/>
          <w:b/>
          <w:color w:val="000000" w:themeColor="text1"/>
          <w:sz w:val="84"/>
          <w:szCs w:val="84"/>
          <w:highlight w:val="none"/>
          <w14:textFill>
            <w14:solidFill>
              <w14:schemeClr w14:val="tx1"/>
            </w14:solidFill>
          </w14:textFill>
        </w:rPr>
        <w:t>竞争性磋商文件</w:t>
      </w:r>
    </w:p>
    <w:p w14:paraId="3E33095F">
      <w:pPr>
        <w:spacing w:line="360" w:lineRule="auto"/>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p>
    <w:p w14:paraId="083056E9">
      <w:pPr>
        <w:spacing w:line="360" w:lineRule="auto"/>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p>
    <w:p w14:paraId="706B62B0">
      <w:pPr>
        <w:spacing w:line="360" w:lineRule="auto"/>
        <w:jc w:val="center"/>
        <w:rPr>
          <w:rFonts w:ascii="宋体" w:hAnsi="宋体"/>
          <w:color w:val="000000" w:themeColor="text1"/>
          <w:sz w:val="32"/>
          <w:szCs w:val="32"/>
          <w:highlight w:val="none"/>
          <w14:textFill>
            <w14:solidFill>
              <w14:schemeClr w14:val="tx1"/>
            </w14:solidFill>
          </w14:textFill>
        </w:rPr>
      </w:pPr>
    </w:p>
    <w:p w14:paraId="1392B247">
      <w:pPr>
        <w:ind w:left="840" w:leftChars="400"/>
        <w:rPr>
          <w:rFonts w:hint="eastAsia" w:ascii="宋体" w:hAnsi="宋体" w:eastAsia="宋体"/>
          <w:color w:val="000000" w:themeColor="text1"/>
          <w:sz w:val="32"/>
          <w:szCs w:val="32"/>
          <w:highlight w:val="none"/>
          <w:lang w:eastAsia="zh-CN"/>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采购项目名称：</w:t>
      </w:r>
      <w:r>
        <w:rPr>
          <w:rFonts w:hint="eastAsia" w:ascii="宋体" w:hAnsi="宋体"/>
          <w:color w:val="000000" w:themeColor="text1"/>
          <w:sz w:val="32"/>
          <w:szCs w:val="32"/>
          <w:highlight w:val="none"/>
          <w:lang w:eastAsia="zh-CN"/>
          <w14:textFill>
            <w14:solidFill>
              <w14:schemeClr w14:val="tx1"/>
            </w14:solidFill>
          </w14:textFill>
        </w:rPr>
        <w:t>中南大学湘雅医院开福院区防水维修工程（第二次）</w:t>
      </w:r>
    </w:p>
    <w:p w14:paraId="0FC3D748">
      <w:pPr>
        <w:ind w:left="840" w:leftChars="400"/>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采   购   人：中南大学湘雅医院             </w:t>
      </w:r>
    </w:p>
    <w:p w14:paraId="2CC1847D">
      <w:pPr>
        <w:ind w:left="840" w:leftChars="400"/>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委托代理编号：</w:t>
      </w:r>
      <w:r>
        <w:rPr>
          <w:rFonts w:hint="eastAsia" w:ascii="宋体" w:hAnsi="宋体"/>
          <w:color w:val="000000" w:themeColor="text1"/>
          <w:sz w:val="32"/>
          <w:szCs w:val="32"/>
          <w:highlight w:val="none"/>
          <w:lang w:eastAsia="zh-CN"/>
          <w14:textFill>
            <w14:solidFill>
              <w14:schemeClr w14:val="tx1"/>
            </w14:solidFill>
          </w14:textFill>
        </w:rPr>
        <w:t>JYZX-ZB-HN-2024-00182</w:t>
      </w:r>
      <w:r>
        <w:rPr>
          <w:rFonts w:hint="eastAsia" w:ascii="宋体" w:hAnsi="宋体"/>
          <w:color w:val="000000" w:themeColor="text1"/>
          <w:sz w:val="32"/>
          <w:szCs w:val="32"/>
          <w:highlight w:val="none"/>
          <w14:textFill>
            <w14:solidFill>
              <w14:schemeClr w14:val="tx1"/>
            </w14:solidFill>
          </w14:textFill>
        </w:rPr>
        <w:t xml:space="preserve">         </w:t>
      </w:r>
    </w:p>
    <w:p w14:paraId="71CC15C0">
      <w:pPr>
        <w:ind w:left="840" w:leftChars="400"/>
        <w:rPr>
          <w:rFonts w:hint="eastAsia" w:ascii="宋体" w:hAnsi="宋体" w:eastAsia="宋体"/>
          <w:color w:val="000000" w:themeColor="text1"/>
          <w:sz w:val="32"/>
          <w:szCs w:val="32"/>
          <w:highlight w:val="none"/>
          <w:lang w:eastAsia="zh-CN"/>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医院项目编号：</w:t>
      </w:r>
      <w:r>
        <w:rPr>
          <w:rFonts w:hint="eastAsia" w:ascii="宋体" w:hAnsi="宋体"/>
          <w:color w:val="000000" w:themeColor="text1"/>
          <w:sz w:val="32"/>
          <w:szCs w:val="32"/>
          <w:highlight w:val="none"/>
          <w:lang w:eastAsia="zh-CN"/>
          <w14:textFill>
            <w14:solidFill>
              <w14:schemeClr w14:val="tx1"/>
            </w14:solidFill>
          </w14:textFill>
        </w:rPr>
        <w:t>2024X0222</w:t>
      </w:r>
    </w:p>
    <w:p w14:paraId="3CFEE7AC">
      <w:pPr>
        <w:ind w:left="840" w:leftChars="400"/>
        <w:rPr>
          <w:rFonts w:ascii="宋体" w:hAnsi="宋体"/>
          <w:color w:val="000000" w:themeColor="text1"/>
          <w:sz w:val="32"/>
          <w:szCs w:val="32"/>
          <w:highlight w:val="none"/>
          <w:u w:val="singl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采购代理机构：建银工程咨询有限责任公司       </w:t>
      </w:r>
    </w:p>
    <w:p w14:paraId="2994D67C">
      <w:pPr>
        <w:pStyle w:val="26"/>
        <w:adjustRightInd w:val="0"/>
        <w:snapToGrid w:val="0"/>
        <w:spacing w:line="360" w:lineRule="auto"/>
        <w:jc w:val="center"/>
        <w:rPr>
          <w:rFonts w:hAnsi="宋体"/>
          <w:b/>
          <w:color w:val="000000" w:themeColor="text1"/>
          <w:sz w:val="32"/>
          <w:highlight w:val="none"/>
          <w14:textFill>
            <w14:solidFill>
              <w14:schemeClr w14:val="tx1"/>
            </w14:solidFill>
          </w14:textFill>
        </w:rPr>
      </w:pPr>
    </w:p>
    <w:p w14:paraId="28C51075">
      <w:pPr>
        <w:pStyle w:val="26"/>
        <w:adjustRightInd w:val="0"/>
        <w:snapToGrid w:val="0"/>
        <w:spacing w:line="360" w:lineRule="auto"/>
        <w:jc w:val="center"/>
        <w:rPr>
          <w:rFonts w:hAnsi="宋体"/>
          <w:b/>
          <w:bCs/>
          <w:color w:val="000000" w:themeColor="text1"/>
          <w:spacing w:val="160"/>
          <w:sz w:val="24"/>
          <w:szCs w:val="24"/>
          <w:highlight w:val="none"/>
          <w14:textFill>
            <w14:solidFill>
              <w14:schemeClr w14:val="tx1"/>
            </w14:solidFill>
          </w14:textFill>
        </w:rPr>
      </w:pPr>
      <w:r>
        <w:rPr>
          <w:rFonts w:hint="eastAsia" w:hAnsi="宋体"/>
          <w:b/>
          <w:bCs/>
          <w:color w:val="000000" w:themeColor="text1"/>
          <w:sz w:val="36"/>
          <w:szCs w:val="36"/>
          <w:highlight w:val="none"/>
          <w14:textFill>
            <w14:solidFill>
              <w14:schemeClr w14:val="tx1"/>
            </w14:solidFill>
          </w14:textFill>
        </w:rPr>
        <w:t xml:space="preserve">  二〇二四年</w:t>
      </w:r>
      <w:r>
        <w:rPr>
          <w:rFonts w:hint="eastAsia" w:hAnsi="宋体"/>
          <w:b/>
          <w:bCs/>
          <w:color w:val="000000" w:themeColor="text1"/>
          <w:sz w:val="36"/>
          <w:szCs w:val="36"/>
          <w:highlight w:val="none"/>
          <w:lang w:val="en-US" w:eastAsia="zh-CN"/>
          <w14:textFill>
            <w14:solidFill>
              <w14:schemeClr w14:val="tx1"/>
            </w14:solidFill>
          </w14:textFill>
        </w:rPr>
        <w:t>十二</w:t>
      </w:r>
      <w:r>
        <w:rPr>
          <w:rFonts w:hint="eastAsia" w:hAnsi="宋体"/>
          <w:b/>
          <w:bCs/>
          <w:color w:val="000000" w:themeColor="text1"/>
          <w:sz w:val="36"/>
          <w:szCs w:val="36"/>
          <w:highlight w:val="none"/>
          <w14:textFill>
            <w14:solidFill>
              <w14:schemeClr w14:val="tx1"/>
            </w14:solidFill>
          </w14:textFill>
        </w:rPr>
        <w:t>月</w:t>
      </w:r>
    </w:p>
    <w:p w14:paraId="60B36B68">
      <w:pPr>
        <w:pStyle w:val="26"/>
        <w:adjustRightInd w:val="0"/>
        <w:snapToGrid w:val="0"/>
        <w:spacing w:line="460" w:lineRule="exact"/>
        <w:jc w:val="center"/>
        <w:rPr>
          <w:rFonts w:hAnsi="宋体" w:cs="宋体"/>
          <w:b/>
          <w:bCs/>
          <w:color w:val="000000" w:themeColor="text1"/>
          <w:spacing w:val="160"/>
          <w:sz w:val="36"/>
          <w:szCs w:val="36"/>
          <w:highlight w:val="none"/>
          <w14:textFill>
            <w14:solidFill>
              <w14:schemeClr w14:val="tx1"/>
            </w14:solidFill>
          </w14:textFill>
        </w:rPr>
        <w:sectPr>
          <w:headerReference r:id="rId4" w:type="first"/>
          <w:headerReference r:id="rId3" w:type="default"/>
          <w:pgSz w:w="11906" w:h="16838"/>
          <w:pgMar w:top="1361" w:right="1361" w:bottom="1361" w:left="1361" w:header="851" w:footer="992" w:gutter="0"/>
          <w:pgNumType w:start="0"/>
          <w:cols w:space="720" w:num="1"/>
          <w:titlePg/>
          <w:docGrid w:type="lines" w:linePitch="312" w:charSpace="0"/>
        </w:sectPr>
      </w:pPr>
    </w:p>
    <w:p w14:paraId="05A4FA22">
      <w:pPr>
        <w:pStyle w:val="26"/>
        <w:adjustRightInd w:val="0"/>
        <w:snapToGrid w:val="0"/>
        <w:spacing w:line="460" w:lineRule="exact"/>
        <w:jc w:val="center"/>
        <w:rPr>
          <w:rFonts w:hAnsi="宋体" w:cs="宋体"/>
          <w:b/>
          <w:bCs/>
          <w:color w:val="000000" w:themeColor="text1"/>
          <w:spacing w:val="160"/>
          <w:sz w:val="36"/>
          <w:szCs w:val="36"/>
          <w:highlight w:val="none"/>
          <w14:textFill>
            <w14:solidFill>
              <w14:schemeClr w14:val="tx1"/>
            </w14:solidFill>
          </w14:textFill>
        </w:rPr>
      </w:pPr>
    </w:p>
    <w:p w14:paraId="26F7D1A3">
      <w:pPr>
        <w:pStyle w:val="26"/>
        <w:adjustRightInd w:val="0"/>
        <w:snapToGrid w:val="0"/>
        <w:spacing w:line="460" w:lineRule="exact"/>
        <w:jc w:val="center"/>
        <w:rPr>
          <w:rFonts w:hAnsi="宋体"/>
          <w:color w:val="000000" w:themeColor="text1"/>
          <w:spacing w:val="160"/>
          <w:sz w:val="36"/>
          <w:szCs w:val="36"/>
          <w:highlight w:val="none"/>
          <w14:textFill>
            <w14:solidFill>
              <w14:schemeClr w14:val="tx1"/>
            </w14:solidFill>
          </w14:textFill>
        </w:rPr>
      </w:pPr>
      <w:r>
        <w:rPr>
          <w:rFonts w:hint="eastAsia" w:hAnsi="宋体" w:cs="宋体"/>
          <w:b/>
          <w:bCs/>
          <w:color w:val="000000" w:themeColor="text1"/>
          <w:spacing w:val="160"/>
          <w:sz w:val="36"/>
          <w:szCs w:val="36"/>
          <w:highlight w:val="none"/>
          <w14:textFill>
            <w14:solidFill>
              <w14:schemeClr w14:val="tx1"/>
            </w14:solidFill>
          </w14:textFill>
        </w:rPr>
        <w:t>目录</w:t>
      </w:r>
    </w:p>
    <w:p w14:paraId="600A32B2">
      <w:pPr>
        <w:pStyle w:val="26"/>
        <w:adjustRightInd w:val="0"/>
        <w:snapToGrid w:val="0"/>
        <w:spacing w:line="460" w:lineRule="exact"/>
        <w:ind w:left="1058" w:leftChars="504"/>
        <w:rPr>
          <w:rFonts w:hAnsi="宋体"/>
          <w:b/>
          <w:color w:val="000000" w:themeColor="text1"/>
          <w:sz w:val="24"/>
          <w:szCs w:val="24"/>
          <w:highlight w:val="none"/>
          <w14:textFill>
            <w14:solidFill>
              <w14:schemeClr w14:val="tx1"/>
            </w14:solidFill>
          </w14:textFill>
        </w:rPr>
      </w:pPr>
    </w:p>
    <w:p w14:paraId="65434D59">
      <w:pPr>
        <w:pStyle w:val="26"/>
        <w:adjustRightInd w:val="0"/>
        <w:snapToGrid w:val="0"/>
        <w:spacing w:line="460" w:lineRule="exact"/>
        <w:ind w:left="1058" w:leftChars="504"/>
        <w:rPr>
          <w:rFonts w:hAnsi="宋体"/>
          <w:b/>
          <w:color w:val="000000" w:themeColor="text1"/>
          <w:sz w:val="24"/>
          <w:szCs w:val="24"/>
          <w:highlight w:val="none"/>
          <w14:textFill>
            <w14:solidFill>
              <w14:schemeClr w14:val="tx1"/>
            </w14:solidFill>
          </w14:textFill>
        </w:rPr>
      </w:pPr>
    </w:p>
    <w:p w14:paraId="5BE665AC">
      <w:pPr>
        <w:pStyle w:val="26"/>
        <w:adjustRightInd w:val="0"/>
        <w:snapToGrid w:val="0"/>
        <w:spacing w:line="460" w:lineRule="exact"/>
        <w:ind w:left="1058" w:leftChars="504"/>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第一章  磋商邀请</w:t>
      </w:r>
    </w:p>
    <w:p w14:paraId="6D8119C2">
      <w:pPr>
        <w:pStyle w:val="26"/>
        <w:adjustRightInd w:val="0"/>
        <w:snapToGrid w:val="0"/>
        <w:spacing w:line="460" w:lineRule="exact"/>
        <w:ind w:left="1058" w:leftChars="504"/>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第二章  磋商须知</w:t>
      </w:r>
    </w:p>
    <w:p w14:paraId="5C27A85F">
      <w:pPr>
        <w:tabs>
          <w:tab w:val="left" w:pos="1440"/>
        </w:tabs>
        <w:adjustRightInd w:val="0"/>
        <w:snapToGrid w:val="0"/>
        <w:spacing w:line="460" w:lineRule="exact"/>
        <w:ind w:left="1058" w:leftChars="504"/>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磋商须知前附表</w:t>
      </w:r>
    </w:p>
    <w:p w14:paraId="52464E55">
      <w:pPr>
        <w:tabs>
          <w:tab w:val="left" w:pos="1440"/>
        </w:tabs>
        <w:adjustRightInd w:val="0"/>
        <w:snapToGrid w:val="0"/>
        <w:spacing w:line="460" w:lineRule="exact"/>
        <w:ind w:left="1058" w:leftChars="504"/>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磋商须知正文</w:t>
      </w:r>
    </w:p>
    <w:p w14:paraId="232BECD6">
      <w:pPr>
        <w:tabs>
          <w:tab w:val="left" w:pos="1440"/>
        </w:tabs>
        <w:adjustRightInd w:val="0"/>
        <w:snapToGrid w:val="0"/>
        <w:spacing w:line="460" w:lineRule="exact"/>
        <w:ind w:left="1058" w:leftChars="504"/>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一、说明</w:t>
      </w:r>
    </w:p>
    <w:p w14:paraId="56D76FA9">
      <w:pPr>
        <w:tabs>
          <w:tab w:val="left" w:pos="1440"/>
        </w:tabs>
        <w:adjustRightInd w:val="0"/>
        <w:snapToGrid w:val="0"/>
        <w:spacing w:line="460" w:lineRule="exact"/>
        <w:ind w:left="1058" w:leftChars="504"/>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w:t>
      </w:r>
      <w:r>
        <w:rPr>
          <w:rFonts w:hint="eastAsia" w:ascii="宋体" w:hAnsi="宋体"/>
          <w:bCs/>
          <w:color w:val="000000" w:themeColor="text1"/>
          <w:szCs w:val="21"/>
          <w:highlight w:val="none"/>
          <w14:textFill>
            <w14:solidFill>
              <w14:schemeClr w14:val="tx1"/>
            </w14:solidFill>
          </w14:textFill>
        </w:rPr>
        <w:t>磋商</w:t>
      </w:r>
      <w:r>
        <w:rPr>
          <w:rFonts w:hint="eastAsia" w:ascii="宋体" w:hAnsi="宋体"/>
          <w:color w:val="000000" w:themeColor="text1"/>
          <w:szCs w:val="21"/>
          <w:highlight w:val="none"/>
          <w14:textFill>
            <w14:solidFill>
              <w14:schemeClr w14:val="tx1"/>
            </w14:solidFill>
          </w14:textFill>
        </w:rPr>
        <w:t>文件</w:t>
      </w:r>
    </w:p>
    <w:p w14:paraId="383BA0B0">
      <w:pPr>
        <w:adjustRightInd w:val="0"/>
        <w:snapToGrid w:val="0"/>
        <w:spacing w:line="460" w:lineRule="exact"/>
        <w:ind w:left="1058" w:leftChars="504"/>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三、响应文件</w:t>
      </w:r>
    </w:p>
    <w:p w14:paraId="7BC52133">
      <w:pPr>
        <w:adjustRightInd w:val="0"/>
        <w:snapToGrid w:val="0"/>
        <w:spacing w:line="460" w:lineRule="exact"/>
        <w:ind w:left="1058" w:leftChars="504"/>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四、响应文件的递交</w:t>
      </w:r>
    </w:p>
    <w:p w14:paraId="6E5180E5">
      <w:pPr>
        <w:adjustRightInd w:val="0"/>
        <w:snapToGrid w:val="0"/>
        <w:spacing w:line="460" w:lineRule="exact"/>
        <w:ind w:left="1058" w:leftChars="504"/>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五、</w:t>
      </w:r>
      <w:r>
        <w:rPr>
          <w:rFonts w:hint="eastAsia" w:ascii="宋体" w:hAnsi="宋体"/>
          <w:color w:val="000000" w:themeColor="text1"/>
          <w:szCs w:val="21"/>
          <w:highlight w:val="none"/>
          <w14:textFill>
            <w14:solidFill>
              <w14:schemeClr w14:val="tx1"/>
            </w14:solidFill>
          </w14:textFill>
        </w:rPr>
        <w:t>响应文件</w:t>
      </w:r>
      <w:r>
        <w:rPr>
          <w:rFonts w:hint="eastAsia" w:ascii="宋体" w:hAnsi="宋体"/>
          <w:bCs/>
          <w:color w:val="000000" w:themeColor="text1"/>
          <w:szCs w:val="21"/>
          <w:highlight w:val="none"/>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磋商与评审</w:t>
      </w:r>
    </w:p>
    <w:p w14:paraId="5460C066">
      <w:pPr>
        <w:adjustRightInd w:val="0"/>
        <w:snapToGrid w:val="0"/>
        <w:spacing w:line="460" w:lineRule="exact"/>
        <w:ind w:left="1058" w:leftChars="504"/>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六、成交结果信息公布与授予合同</w:t>
      </w:r>
    </w:p>
    <w:p w14:paraId="5227034D">
      <w:pPr>
        <w:adjustRightInd w:val="0"/>
        <w:snapToGrid w:val="0"/>
        <w:spacing w:line="460" w:lineRule="exact"/>
        <w:ind w:left="1058" w:leftChars="504"/>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七、其他规定</w:t>
      </w:r>
    </w:p>
    <w:p w14:paraId="41FB7095">
      <w:pPr>
        <w:adjustRightInd w:val="0"/>
        <w:snapToGrid w:val="0"/>
        <w:spacing w:line="460" w:lineRule="exact"/>
        <w:ind w:left="1058" w:leftChars="504"/>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第三章  政府采购合同格式</w:t>
      </w:r>
    </w:p>
    <w:p w14:paraId="5933C12E">
      <w:pPr>
        <w:adjustRightInd w:val="0"/>
        <w:snapToGrid w:val="0"/>
        <w:spacing w:line="460" w:lineRule="exact"/>
        <w:ind w:left="1058" w:leftChars="504"/>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第四章  采购需求</w:t>
      </w:r>
    </w:p>
    <w:p w14:paraId="4620D78E">
      <w:pPr>
        <w:pStyle w:val="26"/>
        <w:adjustRightInd w:val="0"/>
        <w:snapToGrid w:val="0"/>
        <w:spacing w:line="460" w:lineRule="exact"/>
        <w:ind w:left="1058" w:leftChars="504"/>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第五章  </w:t>
      </w:r>
      <w:r>
        <w:rPr>
          <w:rFonts w:hint="eastAsia" w:hAnsi="宋体"/>
          <w:b/>
          <w:color w:val="000000" w:themeColor="text1"/>
          <w:sz w:val="24"/>
          <w:highlight w:val="none"/>
          <w14:textFill>
            <w14:solidFill>
              <w14:schemeClr w14:val="tx1"/>
            </w14:solidFill>
          </w14:textFill>
        </w:rPr>
        <w:t>响应文件组成</w:t>
      </w:r>
    </w:p>
    <w:p w14:paraId="2BCB158C">
      <w:pPr>
        <w:spacing w:line="460" w:lineRule="exact"/>
        <w:jc w:val="center"/>
        <w:outlineLvl w:val="0"/>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r>
      <w:r>
        <w:rPr>
          <w:rFonts w:hint="eastAsia" w:ascii="宋体" w:hAnsi="宋体"/>
          <w:b/>
          <w:color w:val="000000" w:themeColor="text1"/>
          <w:sz w:val="32"/>
          <w:szCs w:val="32"/>
          <w:highlight w:val="none"/>
          <w14:textFill>
            <w14:solidFill>
              <w14:schemeClr w14:val="tx1"/>
            </w14:solidFill>
          </w14:textFill>
        </w:rPr>
        <w:t>第一章  磋商邀请</w:t>
      </w:r>
    </w:p>
    <w:p w14:paraId="21DD5DC6">
      <w:pPr>
        <w:widowControl/>
        <w:spacing w:before="50"/>
        <w:ind w:left="50" w:firstLine="409" w:firstLineChars="195"/>
        <w:jc w:val="left"/>
        <w:rPr>
          <w:rFonts w:ascii="宋体" w:hAnsi="宋体" w:cs="宋体"/>
          <w:color w:val="000000" w:themeColor="text1"/>
          <w:kern w:val="0"/>
          <w:szCs w:val="21"/>
          <w:highlight w:val="none"/>
          <w:lang w:bidi="ar"/>
          <w14:textFill>
            <w14:solidFill>
              <w14:schemeClr w14:val="tx1"/>
            </w14:solidFill>
          </w14:textFill>
        </w:rPr>
      </w:pPr>
    </w:p>
    <w:p w14:paraId="1BCDC480">
      <w:pPr>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受中南大学湘雅医院</w:t>
      </w:r>
      <w:r>
        <w:rPr>
          <w:rFonts w:hint="eastAsia" w:ascii="宋体" w:hAnsi="宋体" w:cs="宋体"/>
          <w:color w:val="000000" w:themeColor="text1"/>
          <w:highlight w:val="none"/>
          <w14:textFill>
            <w14:solidFill>
              <w14:schemeClr w14:val="tx1"/>
            </w14:solidFill>
          </w14:textFill>
        </w:rPr>
        <w:t>的委托，现对中南大学湘雅医院的</w:t>
      </w:r>
      <w:r>
        <w:rPr>
          <w:rFonts w:hint="eastAsia" w:ascii="宋体" w:hAnsi="宋体" w:cs="宋体"/>
          <w:color w:val="000000" w:themeColor="text1"/>
          <w:kern w:val="0"/>
          <w:szCs w:val="21"/>
          <w:highlight w:val="none"/>
          <w:lang w:eastAsia="zh-CN" w:bidi="ar"/>
          <w14:textFill>
            <w14:solidFill>
              <w14:schemeClr w14:val="tx1"/>
            </w14:solidFill>
          </w14:textFill>
        </w:rPr>
        <w:t>中南大学湘雅医院开福院区防水维修工程（第二次）</w:t>
      </w:r>
      <w:r>
        <w:rPr>
          <w:rFonts w:hint="eastAsia" w:ascii="宋体" w:hAnsi="宋体" w:cs="宋体"/>
          <w:color w:val="000000" w:themeColor="text1"/>
          <w:highlight w:val="none"/>
          <w14:textFill>
            <w14:solidFill>
              <w14:schemeClr w14:val="tx1"/>
            </w14:solidFill>
          </w14:textFill>
        </w:rPr>
        <w:t>进行竞争性磋商采购，现采用发布公告方式，邀请符合资格条件的供应商参与竞争性磋商采购活动。</w:t>
      </w:r>
    </w:p>
    <w:p w14:paraId="3B4371B2">
      <w:pPr>
        <w:pStyle w:val="5"/>
        <w:keepNext w:val="0"/>
        <w:keepLines w:val="0"/>
        <w:widowControl/>
        <w:spacing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一、采购项目基本概况</w:t>
      </w:r>
    </w:p>
    <w:p w14:paraId="368B9B7D">
      <w:pPr>
        <w:widowControl/>
        <w:spacing w:before="50"/>
        <w:ind w:left="50" w:firstLine="200"/>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项目名称：</w:t>
      </w:r>
      <w:r>
        <w:rPr>
          <w:rFonts w:hint="eastAsia" w:ascii="宋体" w:hAnsi="宋体" w:cs="宋体"/>
          <w:color w:val="000000" w:themeColor="text1"/>
          <w:kern w:val="0"/>
          <w:szCs w:val="21"/>
          <w:highlight w:val="none"/>
          <w:lang w:eastAsia="zh-CN" w:bidi="ar"/>
          <w14:textFill>
            <w14:solidFill>
              <w14:schemeClr w14:val="tx1"/>
            </w14:solidFill>
          </w14:textFill>
        </w:rPr>
        <w:t>中南大学湘雅医院开福院区防水维修工程（第二次）</w:t>
      </w:r>
    </w:p>
    <w:p w14:paraId="28059833">
      <w:pPr>
        <w:widowControl/>
        <w:spacing w:before="50"/>
        <w:ind w:left="50" w:firstLine="200"/>
        <w:jc w:val="left"/>
        <w:rPr>
          <w:rFonts w:hint="eastAsia" w:ascii="宋体" w:hAnsi="宋体" w:eastAsia="宋体" w:cs="宋体"/>
          <w:color w:val="000000" w:themeColor="text1"/>
          <w:kern w:val="0"/>
          <w:szCs w:val="21"/>
          <w:highlight w:val="none"/>
          <w:lang w:eastAsia="zh-CN"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采购代理编号：</w:t>
      </w:r>
      <w:r>
        <w:rPr>
          <w:rFonts w:hint="eastAsia" w:ascii="宋体" w:hAnsi="宋体" w:cs="宋体"/>
          <w:color w:val="000000" w:themeColor="text1"/>
          <w:kern w:val="0"/>
          <w:szCs w:val="21"/>
          <w:highlight w:val="none"/>
          <w:lang w:eastAsia="zh-CN" w:bidi="ar"/>
          <w14:textFill>
            <w14:solidFill>
              <w14:schemeClr w14:val="tx1"/>
            </w14:solidFill>
          </w14:textFill>
        </w:rPr>
        <w:t>JYZX-ZB-HN-2024-00182</w:t>
      </w:r>
    </w:p>
    <w:p w14:paraId="1DF6FCDE">
      <w:pPr>
        <w:widowControl/>
        <w:spacing w:before="50"/>
        <w:ind w:left="50" w:firstLine="200"/>
        <w:jc w:val="left"/>
        <w:rPr>
          <w:rFonts w:hint="eastAsia" w:ascii="宋体" w:hAnsi="宋体" w:eastAsia="宋体" w:cs="宋体"/>
          <w:color w:val="000000" w:themeColor="text1"/>
          <w:kern w:val="0"/>
          <w:szCs w:val="21"/>
          <w:highlight w:val="none"/>
          <w:lang w:eastAsia="zh-CN"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医院项目编号：</w:t>
      </w:r>
      <w:r>
        <w:rPr>
          <w:rFonts w:hint="eastAsia" w:ascii="宋体" w:hAnsi="宋体" w:cs="宋体"/>
          <w:color w:val="000000" w:themeColor="text1"/>
          <w:kern w:val="0"/>
          <w:szCs w:val="21"/>
          <w:highlight w:val="none"/>
          <w:lang w:eastAsia="zh-CN" w:bidi="ar"/>
          <w14:textFill>
            <w14:solidFill>
              <w14:schemeClr w14:val="tx1"/>
            </w14:solidFill>
          </w14:textFill>
        </w:rPr>
        <w:t>2024X0222</w:t>
      </w:r>
    </w:p>
    <w:p w14:paraId="3D4EF37A">
      <w:pPr>
        <w:widowControl/>
        <w:spacing w:before="50"/>
        <w:ind w:left="50" w:firstLine="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项目负责人：董征</w:t>
      </w:r>
    </w:p>
    <w:p w14:paraId="680D787F">
      <w:pPr>
        <w:widowControl/>
        <w:spacing w:before="50"/>
        <w:ind w:left="50" w:firstLine="200"/>
        <w:jc w:val="left"/>
        <w:rPr>
          <w:rFonts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联系电话：</w:t>
      </w:r>
      <w:r>
        <w:rPr>
          <w:rFonts w:ascii="宋体" w:hAnsi="宋体" w:cs="宋体"/>
          <w:color w:val="000000" w:themeColor="text1"/>
          <w:kern w:val="0"/>
          <w:szCs w:val="21"/>
          <w:highlight w:val="none"/>
          <w:lang w:bidi="ar"/>
          <w14:textFill>
            <w14:solidFill>
              <w14:schemeClr w14:val="tx1"/>
            </w14:solidFill>
          </w14:textFill>
        </w:rPr>
        <w:t>0731-84418163</w:t>
      </w:r>
    </w:p>
    <w:p w14:paraId="281B03A3">
      <w:pPr>
        <w:widowControl/>
        <w:spacing w:before="50"/>
        <w:ind w:left="50" w:firstLine="200"/>
        <w:jc w:val="left"/>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工期总日历天数：120日历天</w:t>
      </w:r>
    </w:p>
    <w:p w14:paraId="337D12DE">
      <w:pPr>
        <w:widowControl/>
        <w:spacing w:before="50"/>
        <w:ind w:left="50" w:firstLine="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采购方式：竞争性磋商</w:t>
      </w:r>
    </w:p>
    <w:p w14:paraId="486E92FF">
      <w:pPr>
        <w:widowControl/>
        <w:spacing w:before="50"/>
        <w:ind w:left="50" w:firstLine="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采购预算：</w:t>
      </w:r>
      <w:r>
        <w:rPr>
          <w:rFonts w:hint="eastAsia"/>
          <w:color w:val="000000" w:themeColor="text1"/>
          <w:highlight w:val="none"/>
          <w:lang w:eastAsia="zh-CN"/>
          <w14:textFill>
            <w14:solidFill>
              <w14:schemeClr w14:val="tx1"/>
            </w14:solidFill>
          </w14:textFill>
        </w:rPr>
        <w:t>1,118,500.00</w:t>
      </w:r>
      <w:r>
        <w:rPr>
          <w:rFonts w:hint="eastAsia" w:ascii="宋体" w:hAnsi="宋体" w:cs="宋体"/>
          <w:color w:val="000000" w:themeColor="text1"/>
          <w:kern w:val="0"/>
          <w:szCs w:val="21"/>
          <w:highlight w:val="none"/>
          <w:lang w:bidi="ar"/>
          <w14:textFill>
            <w14:solidFill>
              <w14:schemeClr w14:val="tx1"/>
            </w14:solidFill>
          </w14:textFill>
        </w:rPr>
        <w:t>元</w:t>
      </w:r>
    </w:p>
    <w:p w14:paraId="1DDDD898">
      <w:pPr>
        <w:widowControl/>
        <w:spacing w:before="50"/>
        <w:ind w:left="50" w:firstLine="200"/>
        <w:jc w:val="left"/>
        <w:rPr>
          <w:rFonts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采购项目内容与数量：</w:t>
      </w:r>
    </w:p>
    <w:p w14:paraId="1529CA61">
      <w:pPr>
        <w:widowControl/>
        <w:spacing w:before="50"/>
        <w:ind w:left="50" w:firstLine="200"/>
        <w:jc w:val="left"/>
        <w:rPr>
          <w:rFonts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分包：</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34"/>
        <w:gridCol w:w="3134"/>
        <w:gridCol w:w="3132"/>
      </w:tblGrid>
      <w:tr w14:paraId="337C6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667" w:type="pct"/>
            <w:vAlign w:val="center"/>
          </w:tcPr>
          <w:p w14:paraId="24C0B2C5">
            <w:pPr>
              <w:keepNext w:val="0"/>
              <w:keepLines w:val="0"/>
              <w:suppressLineNumbers w:val="0"/>
              <w:spacing w:before="0" w:beforeAutospacing="0" w:after="0" w:afterAutospacing="0"/>
              <w:ind w:left="0" w:right="0"/>
              <w:jc w:val="center"/>
              <w:rPr>
                <w:rFonts w:hint="default"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包名</w:t>
            </w:r>
          </w:p>
        </w:tc>
        <w:tc>
          <w:tcPr>
            <w:tcW w:w="1667" w:type="pct"/>
            <w:vAlign w:val="center"/>
          </w:tcPr>
          <w:p w14:paraId="009DEF9F">
            <w:pPr>
              <w:keepNext w:val="0"/>
              <w:keepLines w:val="0"/>
              <w:suppressLineNumbers w:val="0"/>
              <w:spacing w:before="0" w:beforeAutospacing="0" w:after="0" w:afterAutospacing="0"/>
              <w:ind w:left="0" w:right="0"/>
              <w:jc w:val="center"/>
              <w:rPr>
                <w:rFonts w:hint="default"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预算金额（元）</w:t>
            </w:r>
          </w:p>
        </w:tc>
        <w:tc>
          <w:tcPr>
            <w:tcW w:w="1667" w:type="pct"/>
            <w:vAlign w:val="center"/>
          </w:tcPr>
          <w:p w14:paraId="1590B8CB">
            <w:pPr>
              <w:keepNext w:val="0"/>
              <w:keepLines w:val="0"/>
              <w:suppressLineNumbers w:val="0"/>
              <w:spacing w:before="0" w:beforeAutospacing="0" w:after="0" w:afterAutospacing="0"/>
              <w:ind w:left="0" w:right="0"/>
              <w:jc w:val="center"/>
              <w:rPr>
                <w:rFonts w:hint="default"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最高限价（元）</w:t>
            </w:r>
          </w:p>
        </w:tc>
      </w:tr>
      <w:tr w14:paraId="3A48E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667" w:type="pct"/>
            <w:vAlign w:val="center"/>
          </w:tcPr>
          <w:p w14:paraId="1C9F0799">
            <w:pPr>
              <w:keepNext w:val="0"/>
              <w:keepLines w:val="0"/>
              <w:suppressLineNumbers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p>
        </w:tc>
        <w:tc>
          <w:tcPr>
            <w:tcW w:w="1667" w:type="pct"/>
            <w:vAlign w:val="center"/>
          </w:tcPr>
          <w:p w14:paraId="71831556">
            <w:pPr>
              <w:keepNext w:val="0"/>
              <w:keepLines w:val="0"/>
              <w:suppressLineNumbers w:val="0"/>
              <w:spacing w:before="0" w:beforeAutospacing="0" w:after="0" w:afterAutospacing="0"/>
              <w:ind w:left="0" w:right="0"/>
              <w:jc w:val="center"/>
              <w:rPr>
                <w:rFonts w:hint="eastAsia" w:ascii="宋体" w:hAnsi="宋体"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1,118,500.00</w:t>
            </w:r>
          </w:p>
        </w:tc>
        <w:tc>
          <w:tcPr>
            <w:tcW w:w="1667" w:type="pct"/>
            <w:vAlign w:val="center"/>
          </w:tcPr>
          <w:p w14:paraId="7E69CF4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1,118,500.00</w:t>
            </w:r>
          </w:p>
        </w:tc>
      </w:tr>
    </w:tbl>
    <w:p w14:paraId="63CDE6FA">
      <w:pPr>
        <w:widowControl/>
        <w:spacing w:before="50"/>
        <w:ind w:left="50" w:firstLine="200"/>
        <w:jc w:val="left"/>
        <w:rPr>
          <w:rFonts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包详情：</w:t>
      </w:r>
    </w:p>
    <w:tbl>
      <w:tblPr>
        <w:tblStyle w:val="47"/>
        <w:tblW w:w="5000"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4"/>
        <w:gridCol w:w="2534"/>
        <w:gridCol w:w="3194"/>
        <w:gridCol w:w="1278"/>
        <w:gridCol w:w="1300"/>
      </w:tblGrid>
      <w:tr w14:paraId="026017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2" w:type="pct"/>
            <w:vAlign w:val="center"/>
          </w:tcPr>
          <w:p w14:paraId="6669BBBA">
            <w:pPr>
              <w:keepNext w:val="0"/>
              <w:keepLines w:val="0"/>
              <w:suppressLineNumbers w:val="0"/>
              <w:spacing w:before="156" w:beforeLines="50" w:beforeAutospacing="0" w:after="156" w:afterLines="50" w:afterAutospacing="0" w:line="280" w:lineRule="exact"/>
              <w:ind w:left="0" w:right="0"/>
              <w:jc w:val="center"/>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包名</w:t>
            </w:r>
          </w:p>
        </w:tc>
        <w:tc>
          <w:tcPr>
            <w:tcW w:w="1348" w:type="pct"/>
            <w:vAlign w:val="center"/>
          </w:tcPr>
          <w:p w14:paraId="5DBAF213">
            <w:pPr>
              <w:keepNext w:val="0"/>
              <w:keepLines w:val="0"/>
              <w:suppressLineNumbers w:val="0"/>
              <w:spacing w:before="156" w:beforeLines="50" w:beforeAutospacing="0" w:after="156" w:afterLines="50" w:afterAutospacing="0" w:line="280" w:lineRule="exact"/>
              <w:ind w:left="0" w:right="0"/>
              <w:jc w:val="center"/>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标的名称</w:t>
            </w:r>
          </w:p>
        </w:tc>
        <w:tc>
          <w:tcPr>
            <w:tcW w:w="1699" w:type="pct"/>
            <w:vAlign w:val="center"/>
          </w:tcPr>
          <w:p w14:paraId="61CB1FA9">
            <w:pPr>
              <w:keepNext w:val="0"/>
              <w:keepLines w:val="0"/>
              <w:suppressLineNumbers w:val="0"/>
              <w:spacing w:before="156" w:beforeLines="50" w:beforeAutospacing="0" w:after="156" w:afterLines="50" w:afterAutospacing="0" w:line="280" w:lineRule="exact"/>
              <w:ind w:left="0" w:right="63" w:rightChars="30"/>
              <w:jc w:val="center"/>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简要技术要求</w:t>
            </w:r>
          </w:p>
        </w:tc>
        <w:tc>
          <w:tcPr>
            <w:tcW w:w="680" w:type="pct"/>
            <w:vAlign w:val="center"/>
          </w:tcPr>
          <w:p w14:paraId="0A3BCC02">
            <w:pPr>
              <w:keepNext w:val="0"/>
              <w:keepLines w:val="0"/>
              <w:suppressLineNumbers w:val="0"/>
              <w:spacing w:before="156" w:beforeLines="50" w:beforeAutospacing="0" w:after="156" w:afterLines="50" w:afterAutospacing="0" w:line="280" w:lineRule="exact"/>
              <w:ind w:left="0" w:right="63" w:rightChars="30"/>
              <w:jc w:val="center"/>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数量</w:t>
            </w:r>
          </w:p>
        </w:tc>
        <w:tc>
          <w:tcPr>
            <w:tcW w:w="692" w:type="pct"/>
            <w:vAlign w:val="center"/>
          </w:tcPr>
          <w:p w14:paraId="4D9ED6CF">
            <w:pPr>
              <w:keepNext w:val="0"/>
              <w:keepLines w:val="0"/>
              <w:suppressLineNumbers w:val="0"/>
              <w:spacing w:before="156" w:beforeLines="50" w:beforeAutospacing="0" w:after="156" w:afterLines="50" w:afterAutospacing="0" w:line="280" w:lineRule="exact"/>
              <w:ind w:left="0" w:right="0"/>
              <w:jc w:val="center"/>
              <w:rPr>
                <w:rFonts w:hint="default"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单位</w:t>
            </w:r>
          </w:p>
        </w:tc>
      </w:tr>
      <w:tr w14:paraId="2F0E5F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2" w:type="pct"/>
            <w:vAlign w:val="center"/>
          </w:tcPr>
          <w:p w14:paraId="417F9144">
            <w:pPr>
              <w:keepNext w:val="0"/>
              <w:keepLines w:val="0"/>
              <w:suppressLineNumbers w:val="0"/>
              <w:spacing w:before="156" w:beforeLines="50" w:beforeAutospacing="0" w:after="156" w:afterLines="50" w:afterAutospacing="0" w:line="320" w:lineRule="exact"/>
              <w:ind w:left="0" w:right="0"/>
              <w:jc w:val="center"/>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1348" w:type="pct"/>
            <w:vAlign w:val="center"/>
          </w:tcPr>
          <w:p w14:paraId="57F61EF0">
            <w:pPr>
              <w:keepNext w:val="0"/>
              <w:keepLines w:val="0"/>
              <w:suppressLineNumbers w:val="0"/>
              <w:spacing w:before="156" w:beforeLines="50" w:beforeAutospacing="0" w:after="156" w:afterLines="50" w:afterAutospacing="0" w:line="320" w:lineRule="exact"/>
              <w:ind w:left="0" w:right="0"/>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中南大学湘雅医院开福院区防水维修工程（第二次）</w:t>
            </w:r>
          </w:p>
        </w:tc>
        <w:tc>
          <w:tcPr>
            <w:tcW w:w="1699" w:type="pct"/>
            <w:vAlign w:val="center"/>
          </w:tcPr>
          <w:p w14:paraId="27677486">
            <w:pPr>
              <w:keepNext w:val="0"/>
              <w:keepLines w:val="0"/>
              <w:suppressLineNumbers w:val="0"/>
              <w:spacing w:before="156" w:beforeLines="50" w:beforeAutospacing="0" w:after="156" w:afterLines="50" w:afterAutospacing="0" w:line="320" w:lineRule="exact"/>
              <w:ind w:left="0" w:right="0"/>
              <w:jc w:val="center"/>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详见竞争性磋商文件</w:t>
            </w:r>
          </w:p>
        </w:tc>
        <w:tc>
          <w:tcPr>
            <w:tcW w:w="680" w:type="pct"/>
            <w:vAlign w:val="center"/>
          </w:tcPr>
          <w:p w14:paraId="7F2C060F">
            <w:pPr>
              <w:keepNext w:val="0"/>
              <w:keepLines w:val="0"/>
              <w:suppressLineNumbers w:val="0"/>
              <w:spacing w:before="156" w:beforeLines="50" w:beforeAutospacing="0" w:after="156" w:afterLines="50" w:afterAutospacing="0" w:line="320" w:lineRule="exact"/>
              <w:ind w:left="0" w:right="0"/>
              <w:jc w:val="center"/>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692" w:type="pct"/>
            <w:vAlign w:val="center"/>
          </w:tcPr>
          <w:p w14:paraId="518AE072">
            <w:pPr>
              <w:keepNext w:val="0"/>
              <w:keepLines w:val="0"/>
              <w:suppressLineNumbers w:val="0"/>
              <w:spacing w:before="156" w:beforeLines="50" w:beforeAutospacing="0" w:after="156" w:afterLines="50" w:afterAutospacing="0" w:line="320" w:lineRule="exact"/>
              <w:ind w:left="0" w:right="0"/>
              <w:jc w:val="center"/>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w:t>
            </w:r>
          </w:p>
        </w:tc>
      </w:tr>
    </w:tbl>
    <w:p w14:paraId="3518AFC6">
      <w:pPr>
        <w:adjustRightInd w:val="0"/>
        <w:snapToGrid w:val="0"/>
        <w:spacing w:line="360" w:lineRule="auto"/>
        <w:ind w:firstLine="422" w:firstLineChars="200"/>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1、采购项目需要落实的政府采购政策</w:t>
      </w:r>
      <w:r>
        <w:rPr>
          <w:rFonts w:hint="eastAsia" w:ascii="宋体" w:hAnsi="宋体"/>
          <w:color w:val="000000" w:themeColor="text1"/>
          <w:szCs w:val="21"/>
          <w:highlight w:val="none"/>
          <w14:textFill>
            <w14:solidFill>
              <w14:schemeClr w14:val="tx1"/>
            </w14:solidFill>
          </w14:textFill>
        </w:rPr>
        <w:t>：</w:t>
      </w:r>
    </w:p>
    <w:p w14:paraId="77C38427">
      <w:pP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（1）□强制采购：列入财政部、国家发展改革委发布的《节能产品政府采购品目清单》且属于应当强制采购的节能产品品目 </w:t>
      </w:r>
    </w:p>
    <w:p w14:paraId="10F241F4">
      <w:pP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（2）□优先采购：政府采购鼓励采购节能环保产品、政府采购支持两型产品 </w:t>
      </w:r>
    </w:p>
    <w:p w14:paraId="4F530219">
      <w:pP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（3）□价格评审优惠：政府采购促进中小企业发展（包括政府采购支持监狱企业发展、政府采购促进残疾人就业） </w:t>
      </w:r>
    </w:p>
    <w:p w14:paraId="047D88D8">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   2、采购进口产品</w:t>
      </w:r>
      <w:r>
        <w:rPr>
          <w:rFonts w:hint="eastAsia" w:ascii="宋体" w:hAnsi="宋体"/>
          <w:color w:val="000000" w:themeColor="text1"/>
          <w:szCs w:val="21"/>
          <w:highlight w:val="none"/>
          <w14:textFill>
            <w14:solidFill>
              <w14:schemeClr w14:val="tx1"/>
            </w14:solidFill>
          </w14:textFill>
        </w:rPr>
        <w:t>：本项目</w:t>
      </w:r>
      <w:r>
        <w:rPr>
          <w:rFonts w:hint="eastAsia" w:ascii="宋体" w:hAnsi="宋体"/>
          <w:color w:val="000000" w:themeColor="text1"/>
          <w:szCs w:val="21"/>
          <w:highlight w:val="none"/>
          <w:u w:val="single"/>
          <w14:textFill>
            <w14:solidFill>
              <w14:schemeClr w14:val="tx1"/>
            </w14:solidFill>
          </w14:textFill>
        </w:rPr>
        <w:t xml:space="preserve"> 拒绝 </w:t>
      </w:r>
      <w:r>
        <w:rPr>
          <w:rFonts w:hint="eastAsia" w:ascii="宋体" w:hAnsi="宋体"/>
          <w:color w:val="000000" w:themeColor="text1"/>
          <w:szCs w:val="21"/>
          <w:highlight w:val="none"/>
          <w14:textFill>
            <w14:solidFill>
              <w14:schemeClr w14:val="tx1"/>
            </w14:solidFill>
          </w14:textFill>
        </w:rPr>
        <w:t>（接受或拒绝）进口产品投标。</w:t>
      </w:r>
    </w:p>
    <w:p w14:paraId="233A4C04">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3、预留采购份额：</w:t>
      </w:r>
      <w:r>
        <w:rPr>
          <w:rFonts w:hint="eastAsia" w:ascii="宋体" w:hAnsi="宋体" w:cs="宋体"/>
          <w:color w:val="000000" w:themeColor="text1"/>
          <w:szCs w:val="21"/>
          <w:highlight w:val="none"/>
          <w14:textFill>
            <w14:solidFill>
              <w14:schemeClr w14:val="tx1"/>
            </w14:solidFill>
          </w14:textFill>
        </w:rPr>
        <w:t>本项目为</w:t>
      </w:r>
      <w:r>
        <w:rPr>
          <w:rFonts w:hint="eastAsia" w:ascii="宋体" w:hAnsi="宋体" w:cs="宋体"/>
          <w:color w:val="000000" w:themeColor="text1"/>
          <w:szCs w:val="21"/>
          <w:highlight w:val="none"/>
          <w:u w:val="single"/>
          <w14:textFill>
            <w14:solidFill>
              <w14:schemeClr w14:val="tx1"/>
            </w14:solidFill>
          </w14:textFill>
        </w:rPr>
        <w:t>专门</w:t>
      </w:r>
      <w:r>
        <w:rPr>
          <w:rFonts w:hint="eastAsia" w:ascii="宋体" w:hAnsi="宋体" w:cs="宋体"/>
          <w:color w:val="000000" w:themeColor="text1"/>
          <w:szCs w:val="21"/>
          <w:highlight w:val="none"/>
          <w14:textFill>
            <w14:solidFill>
              <w14:schemeClr w14:val="tx1"/>
            </w14:solidFill>
          </w14:textFill>
        </w:rPr>
        <w:t>面向中小企业采购（专门面向中小企业或小型、微型企业采购）。</w:t>
      </w:r>
    </w:p>
    <w:p w14:paraId="127929B9">
      <w:pPr>
        <w:pStyle w:val="5"/>
        <w:keepNext w:val="0"/>
        <w:keepLines w:val="0"/>
        <w:widowControl/>
        <w:spacing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二、供应商的资格要求</w:t>
      </w:r>
    </w:p>
    <w:p w14:paraId="348D7F0F">
      <w:pP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2.1供应商的基本资格条件：应当符合《政府采购法》第二十二条第一款的规定，即：</w:t>
      </w:r>
    </w:p>
    <w:p w14:paraId="4B43ABA8">
      <w:pP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（1）具有独立承担民事责任的能力；</w:t>
      </w:r>
    </w:p>
    <w:p w14:paraId="7D5439E5">
      <w:pP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（2）具有良好的商业信誉和健全的财务会计制度；</w:t>
      </w:r>
    </w:p>
    <w:p w14:paraId="07B335C9">
      <w:pP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（3）具有履行合同所必需的设备和专业技术能力；</w:t>
      </w:r>
    </w:p>
    <w:p w14:paraId="5703B1C5">
      <w:pP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（4）有依法缴纳税收和社会保障资金的良好记录。</w:t>
      </w:r>
    </w:p>
    <w:p w14:paraId="203FA9E7">
      <w:pP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（5）参加政府采购活动前三年内，在经营活动中没有重大违法记录。</w:t>
      </w:r>
    </w:p>
    <w:p w14:paraId="34FA6569">
      <w:pP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（6）法律、行政法规规定的其他条件。</w:t>
      </w:r>
    </w:p>
    <w:p w14:paraId="46DBAC33">
      <w:pPr>
        <w:pStyle w:val="14"/>
        <w:spacing w:line="360" w:lineRule="auto"/>
        <w:ind w:firstLine="420" w:firstLineChars="200"/>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注：符合法定条件的</w:t>
      </w:r>
      <w:r>
        <w:rPr>
          <w:rFonts w:ascii="宋体" w:hAnsi="宋体" w:eastAsia="宋体" w:cs="宋体"/>
          <w:color w:val="000000" w:themeColor="text1"/>
          <w:kern w:val="2"/>
          <w:sz w:val="21"/>
          <w:szCs w:val="21"/>
          <w:highlight w:val="none"/>
          <w14:textFill>
            <w14:solidFill>
              <w14:schemeClr w14:val="tx1"/>
            </w14:solidFill>
          </w14:textFill>
        </w:rPr>
        <w:t>供应商凭《湖南省政府采购供应商资格承诺函》参与政府采购活动，无需提供财务状况、缴纳税收和社会保障资金等</w:t>
      </w:r>
      <w:r>
        <w:rPr>
          <w:rFonts w:hint="eastAsia" w:ascii="宋体" w:hAnsi="宋体" w:eastAsia="宋体" w:cs="宋体"/>
          <w:color w:val="000000" w:themeColor="text1"/>
          <w:kern w:val="2"/>
          <w:sz w:val="21"/>
          <w:szCs w:val="21"/>
          <w:highlight w:val="none"/>
          <w14:textFill>
            <w14:solidFill>
              <w14:schemeClr w14:val="tx1"/>
            </w14:solidFill>
          </w14:textFill>
        </w:rPr>
        <w:t>基本</w:t>
      </w:r>
      <w:r>
        <w:rPr>
          <w:rFonts w:ascii="宋体" w:hAnsi="宋体" w:eastAsia="宋体" w:cs="宋体"/>
          <w:color w:val="000000" w:themeColor="text1"/>
          <w:kern w:val="2"/>
          <w:sz w:val="21"/>
          <w:szCs w:val="21"/>
          <w:highlight w:val="none"/>
          <w14:textFill>
            <w14:solidFill>
              <w14:schemeClr w14:val="tx1"/>
            </w14:solidFill>
          </w14:textFill>
        </w:rPr>
        <w:t>资格证明材料。</w:t>
      </w:r>
    </w:p>
    <w:p w14:paraId="5D3C988D">
      <w:pPr>
        <w:adjustRightInd w:val="0"/>
        <w:snapToGrid w:val="0"/>
        <w:spacing w:line="360" w:lineRule="auto"/>
        <w:ind w:firstLine="420" w:firstLineChars="200"/>
        <w:jc w:val="left"/>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w:t>
      </w:r>
      <w:r>
        <w:rPr>
          <w:rFonts w:hint="eastAsia" w:ascii="宋体" w:hAnsi="宋体"/>
          <w:b/>
          <w:bCs/>
          <w:color w:val="000000" w:themeColor="text1"/>
          <w:szCs w:val="21"/>
          <w:highlight w:val="none"/>
          <w14:textFill>
            <w14:solidFill>
              <w14:schemeClr w14:val="tx1"/>
            </w14:solidFill>
          </w14:textFill>
        </w:rPr>
        <w:t>供应商特定资格条件：</w:t>
      </w:r>
      <w:r>
        <w:rPr>
          <w:rFonts w:hint="eastAsia" w:ascii="宋体" w:hAnsi="宋体"/>
          <w:b/>
          <w:bCs/>
          <w:color w:val="000000" w:themeColor="text1"/>
          <w:szCs w:val="21"/>
          <w:highlight w:val="none"/>
          <w:lang w:val="en-US" w:eastAsia="zh-CN"/>
          <w14:textFill>
            <w14:solidFill>
              <w14:schemeClr w14:val="tx1"/>
            </w14:solidFill>
          </w14:textFill>
        </w:rPr>
        <w:t>/</w:t>
      </w:r>
    </w:p>
    <w:p w14:paraId="4557AA83">
      <w:pPr>
        <w:pStyle w:val="14"/>
        <w:spacing w:line="360" w:lineRule="auto"/>
        <w:ind w:firstLine="420" w:firstLineChars="200"/>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2.3单位负责人为同一人或者存在直接控股、管理关系的不同供应商，不得参加同一合同项下的政府采购活动。</w:t>
      </w:r>
    </w:p>
    <w:p w14:paraId="68C86F3E">
      <w:pPr>
        <w:pStyle w:val="14"/>
        <w:spacing w:line="360" w:lineRule="auto"/>
        <w:ind w:firstLine="420" w:firstLineChars="200"/>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2.4为本采购项目提供整体设计、规范编制或者项目管理、监理、检测等服务的，不得再参加此项目的其他招标采购活动。</w:t>
      </w:r>
    </w:p>
    <w:p w14:paraId="7EC2DE3E">
      <w:pP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2.5列入失信被执行人、重大税收违法案件当事人名单，列入政府采购严重违法失信行为记录名单的，拒绝其参与政府采购活动。</w:t>
      </w:r>
    </w:p>
    <w:p w14:paraId="38D51CEC">
      <w:pPr>
        <w:adjustRightInd w:val="0"/>
        <w:snapToGrid w:val="0"/>
        <w:spacing w:line="360" w:lineRule="auto"/>
        <w:ind w:firstLine="420" w:firstLineChars="200"/>
        <w:jc w:val="left"/>
        <w:rPr>
          <w:rFonts w:ascii="宋体" w:hAnsi="宋体" w:cs="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2.6本次招标</w:t>
      </w:r>
      <w:r>
        <w:rPr>
          <w:rFonts w:hint="eastAsia" w:ascii="宋体" w:hAnsi="宋体"/>
          <w:color w:val="000000" w:themeColor="text1"/>
          <w:szCs w:val="21"/>
          <w:highlight w:val="none"/>
          <w:u w:val="single"/>
          <w14:textFill>
            <w14:solidFill>
              <w14:schemeClr w14:val="tx1"/>
            </w14:solidFill>
          </w14:textFill>
        </w:rPr>
        <w:t xml:space="preserve"> 不接受 </w:t>
      </w:r>
      <w:r>
        <w:rPr>
          <w:rFonts w:hint="eastAsia" w:ascii="宋体" w:hAnsi="宋体"/>
          <w:color w:val="000000" w:themeColor="text1"/>
          <w:szCs w:val="21"/>
          <w:highlight w:val="none"/>
          <w14:textFill>
            <w14:solidFill>
              <w14:schemeClr w14:val="tx1"/>
            </w14:solidFill>
          </w14:textFill>
        </w:rPr>
        <w:t>联合体形式投标。</w:t>
      </w:r>
    </w:p>
    <w:p w14:paraId="06DD0C30">
      <w:pPr>
        <w:spacing w:line="360" w:lineRule="auto"/>
        <w:ind w:firstLine="420" w:firstLineChars="200"/>
        <w:rPr>
          <w:rFonts w:ascii="宋体" w:hAnsi="宋体" w:cs="宋体"/>
          <w:color w:val="000000" w:themeColor="text1"/>
          <w:szCs w:val="21"/>
          <w:highlight w:val="none"/>
          <w:lang w:bidi="ar"/>
          <w14:textFill>
            <w14:solidFill>
              <w14:schemeClr w14:val="tx1"/>
            </w14:solidFill>
          </w14:textFill>
        </w:rPr>
      </w:pPr>
      <w:r>
        <w:rPr>
          <w:rFonts w:hint="eastAsia" w:ascii="宋体" w:hAnsi="宋体"/>
          <w:color w:val="000000" w:themeColor="text1"/>
          <w:highlight w:val="none"/>
          <w14:textFill>
            <w14:solidFill>
              <w14:schemeClr w14:val="tx1"/>
            </w14:solidFill>
          </w14:textFill>
        </w:rPr>
        <w:t>注：供应商具有实行了“三证合一”登记制度改革的新证，视同为持有工商营业执照、组织机构代码证和税务登记证，符合基本资格条件的相关条款；供应商具有实行了“五证合一”等级制度改革的新政，视同持有工商营业执照、组织机构代码证、税务登记证、社会保险登记证和统计登记证，符合基本资格条件的相关条款。</w:t>
      </w:r>
    </w:p>
    <w:p w14:paraId="1E349179">
      <w:pPr>
        <w:pStyle w:val="5"/>
        <w:keepNext w:val="0"/>
        <w:keepLines w:val="0"/>
        <w:widowControl/>
        <w:spacing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三、获取磋商文件的时间、地点及方式</w:t>
      </w:r>
    </w:p>
    <w:p w14:paraId="76A4B33D">
      <w:pPr>
        <w:spacing w:before="156" w:beforeLines="50" w:after="156" w:afterLines="50" w:line="46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 有意参加响应者，请于</w:t>
      </w:r>
      <w:r>
        <w:rPr>
          <w:rFonts w:hint="eastAsia" w:ascii="宋体" w:hAnsi="宋体" w:cs="宋体"/>
          <w:b/>
          <w:bCs/>
          <w:color w:val="000000" w:themeColor="text1"/>
          <w:highlight w:val="none"/>
          <w14:textFill>
            <w14:solidFill>
              <w14:schemeClr w14:val="tx1"/>
            </w14:solidFill>
          </w14:textFill>
        </w:rPr>
        <w:t>202</w:t>
      </w:r>
      <w:r>
        <w:rPr>
          <w:rFonts w:ascii="宋体" w:hAnsi="宋体" w:cs="宋体"/>
          <w:b/>
          <w:bCs/>
          <w:color w:val="000000" w:themeColor="text1"/>
          <w:highlight w:val="none"/>
          <w14:textFill>
            <w14:solidFill>
              <w14:schemeClr w14:val="tx1"/>
            </w14:solidFill>
          </w14:textFill>
        </w:rPr>
        <w:t>4</w:t>
      </w:r>
      <w:r>
        <w:rPr>
          <w:rFonts w:hint="eastAsia" w:ascii="宋体" w:hAnsi="宋体" w:cs="宋体"/>
          <w:b/>
          <w:bCs/>
          <w:color w:val="000000" w:themeColor="text1"/>
          <w:highlight w:val="none"/>
          <w14:textFill>
            <w14:solidFill>
              <w14:schemeClr w14:val="tx1"/>
            </w14:solidFill>
          </w14:textFill>
        </w:rPr>
        <w:t>年</w:t>
      </w:r>
      <w:r>
        <w:rPr>
          <w:rFonts w:hint="eastAsia" w:ascii="宋体" w:hAnsi="宋体" w:cs="宋体"/>
          <w:b/>
          <w:bCs/>
          <w:color w:val="000000" w:themeColor="text1"/>
          <w:highlight w:val="none"/>
          <w:lang w:val="en-US" w:eastAsia="zh-CN"/>
          <w14:textFill>
            <w14:solidFill>
              <w14:schemeClr w14:val="tx1"/>
            </w14:solidFill>
          </w14:textFill>
        </w:rPr>
        <w:t>12</w:t>
      </w:r>
      <w:r>
        <w:rPr>
          <w:rFonts w:hint="eastAsia" w:ascii="宋体" w:hAnsi="宋体" w:cs="宋体"/>
          <w:b/>
          <w:bCs/>
          <w:color w:val="000000" w:themeColor="text1"/>
          <w:highlight w:val="none"/>
          <w14:textFill>
            <w14:solidFill>
              <w14:schemeClr w14:val="tx1"/>
            </w14:solidFill>
          </w14:textFill>
        </w:rPr>
        <w:t>月</w:t>
      </w:r>
      <w:r>
        <w:rPr>
          <w:rFonts w:hint="eastAsia" w:ascii="宋体" w:hAnsi="宋体" w:cs="宋体"/>
          <w:b/>
          <w:bCs/>
          <w:color w:val="000000" w:themeColor="text1"/>
          <w:highlight w:val="none"/>
          <w:lang w:val="en-US" w:eastAsia="zh-CN"/>
          <w14:textFill>
            <w14:solidFill>
              <w14:schemeClr w14:val="tx1"/>
            </w14:solidFill>
          </w14:textFill>
        </w:rPr>
        <w:t>16</w:t>
      </w:r>
      <w:r>
        <w:rPr>
          <w:rFonts w:hint="eastAsia" w:ascii="宋体" w:hAnsi="宋体" w:cs="宋体"/>
          <w:b/>
          <w:bCs/>
          <w:color w:val="000000" w:themeColor="text1"/>
          <w:highlight w:val="none"/>
          <w14:textFill>
            <w14:solidFill>
              <w14:schemeClr w14:val="tx1"/>
            </w14:solidFill>
          </w14:textFill>
        </w:rPr>
        <w:t>日起至202</w:t>
      </w:r>
      <w:r>
        <w:rPr>
          <w:rFonts w:ascii="宋体" w:hAnsi="宋体" w:cs="宋体"/>
          <w:b/>
          <w:bCs/>
          <w:color w:val="000000" w:themeColor="text1"/>
          <w:highlight w:val="none"/>
          <w14:textFill>
            <w14:solidFill>
              <w14:schemeClr w14:val="tx1"/>
            </w14:solidFill>
          </w14:textFill>
        </w:rPr>
        <w:t>4</w:t>
      </w:r>
      <w:r>
        <w:rPr>
          <w:rFonts w:hint="eastAsia" w:ascii="宋体" w:hAnsi="宋体" w:cs="宋体"/>
          <w:b/>
          <w:bCs/>
          <w:color w:val="000000" w:themeColor="text1"/>
          <w:highlight w:val="none"/>
          <w14:textFill>
            <w14:solidFill>
              <w14:schemeClr w14:val="tx1"/>
            </w14:solidFill>
          </w14:textFill>
        </w:rPr>
        <w:t>年</w:t>
      </w:r>
      <w:r>
        <w:rPr>
          <w:rFonts w:hint="eastAsia" w:ascii="宋体" w:hAnsi="宋体" w:cs="宋体"/>
          <w:b/>
          <w:bCs/>
          <w:color w:val="000000" w:themeColor="text1"/>
          <w:highlight w:val="none"/>
          <w:lang w:val="en-US" w:eastAsia="zh-CN"/>
          <w14:textFill>
            <w14:solidFill>
              <w14:schemeClr w14:val="tx1"/>
            </w14:solidFill>
          </w14:textFill>
        </w:rPr>
        <w:t>12</w:t>
      </w:r>
      <w:r>
        <w:rPr>
          <w:rFonts w:hint="eastAsia" w:ascii="宋体" w:hAnsi="宋体" w:cs="宋体"/>
          <w:b/>
          <w:bCs/>
          <w:color w:val="000000" w:themeColor="text1"/>
          <w:highlight w:val="none"/>
          <w14:textFill>
            <w14:solidFill>
              <w14:schemeClr w14:val="tx1"/>
            </w14:solidFill>
          </w14:textFill>
        </w:rPr>
        <w:t>月</w:t>
      </w:r>
      <w:r>
        <w:rPr>
          <w:rFonts w:hint="eastAsia" w:ascii="宋体" w:hAnsi="宋体" w:cs="宋体"/>
          <w:b/>
          <w:bCs/>
          <w:color w:val="000000" w:themeColor="text1"/>
          <w:highlight w:val="none"/>
          <w:lang w:val="en-US" w:eastAsia="zh-CN"/>
          <w14:textFill>
            <w14:solidFill>
              <w14:schemeClr w14:val="tx1"/>
            </w14:solidFill>
          </w14:textFill>
        </w:rPr>
        <w:t>23</w:t>
      </w:r>
      <w:r>
        <w:rPr>
          <w:rFonts w:hint="eastAsia" w:ascii="宋体" w:hAnsi="宋体" w:cs="宋体"/>
          <w:b/>
          <w:bCs/>
          <w:color w:val="000000" w:themeColor="text1"/>
          <w:highlight w:val="none"/>
          <w14:textFill>
            <w14:solidFill>
              <w14:schemeClr w14:val="tx1"/>
            </w14:solidFill>
          </w14:textFill>
        </w:rPr>
        <w:t>日</w:t>
      </w:r>
      <w:r>
        <w:rPr>
          <w:rFonts w:hint="eastAsia" w:ascii="宋体" w:hAnsi="宋体" w:cs="宋体"/>
          <w:color w:val="000000" w:themeColor="text1"/>
          <w:highlight w:val="none"/>
          <w14:textFill>
            <w14:solidFill>
              <w14:schemeClr w14:val="tx1"/>
            </w14:solidFill>
          </w14:textFill>
        </w:rPr>
        <w:t>止，每日上午8：</w:t>
      </w:r>
      <w:r>
        <w:rPr>
          <w:rFonts w:ascii="宋体" w:hAnsi="宋体" w:cs="宋体"/>
          <w:color w:val="000000" w:themeColor="text1"/>
          <w:highlight w:val="none"/>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0时至12：00时，下午14：00时至17：</w:t>
      </w:r>
      <w:r>
        <w:rPr>
          <w:rFonts w:ascii="宋体" w:hAnsi="宋体" w:cs="宋体"/>
          <w:color w:val="000000" w:themeColor="text1"/>
          <w:highlight w:val="none"/>
          <w14:textFill>
            <w14:solidFill>
              <w14:schemeClr w14:val="tx1"/>
            </w14:solidFill>
          </w14:textFill>
        </w:rPr>
        <w:t>0</w:t>
      </w:r>
      <w:r>
        <w:rPr>
          <w:rFonts w:hint="eastAsia" w:ascii="宋体" w:hAnsi="宋体" w:cs="宋体"/>
          <w:color w:val="000000" w:themeColor="text1"/>
          <w:highlight w:val="none"/>
          <w14:textFill>
            <w14:solidFill>
              <w14:schemeClr w14:val="tx1"/>
            </w14:solidFill>
          </w14:textFill>
        </w:rPr>
        <w:t>0时(北京时间)，双休日及节假日除外，在建银工程咨询有限责任公司（长沙市芙蓉区建湘路46号凤凰大厦</w:t>
      </w:r>
      <w:r>
        <w:rPr>
          <w:rFonts w:ascii="宋体" w:hAnsi="宋体" w:cs="宋体"/>
          <w:color w:val="000000" w:themeColor="text1"/>
          <w:highlight w:val="none"/>
          <w14:textFill>
            <w14:solidFill>
              <w14:schemeClr w14:val="tx1"/>
            </w14:solidFill>
          </w14:textFill>
        </w:rPr>
        <w:t>204</w:t>
      </w:r>
      <w:r>
        <w:rPr>
          <w:rFonts w:hint="eastAsia" w:ascii="宋体" w:hAnsi="宋体" w:cs="宋体"/>
          <w:color w:val="000000" w:themeColor="text1"/>
          <w:highlight w:val="none"/>
          <w14:textFill>
            <w14:solidFill>
              <w14:schemeClr w14:val="tx1"/>
            </w14:solidFill>
          </w14:textFill>
        </w:rPr>
        <w:t>室）购买磋商文件。获取磋商文件的材料要求：法定代表人身份证明或授权委托书(附法定代表人身份证明)、个人身份证原件。获取磋商文件的方式：指定地点获取。如需邮购招标文件的请将以上资料扫描件及联系人电话发送至：jyzxhn@163.com并联系：0731-84418192。</w:t>
      </w:r>
    </w:p>
    <w:p w14:paraId="615225A2">
      <w:pPr>
        <w:spacing w:before="156" w:beforeLines="50" w:after="156" w:afterLines="50" w:line="460" w:lineRule="exact"/>
        <w:ind w:firstLine="420" w:firstLineChars="200"/>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 竞争性磋商文件每套售价</w:t>
      </w:r>
      <w:r>
        <w:rPr>
          <w:rFonts w:ascii="宋体" w:hAnsi="宋体" w:cs="宋体"/>
          <w:b/>
          <w:bCs/>
          <w:color w:val="000000" w:themeColor="text1"/>
          <w:highlight w:val="none"/>
          <w14:textFill>
            <w14:solidFill>
              <w14:schemeClr w14:val="tx1"/>
            </w14:solidFill>
          </w14:textFill>
        </w:rPr>
        <w:t>400</w:t>
      </w:r>
      <w:r>
        <w:rPr>
          <w:rFonts w:hint="eastAsia" w:ascii="宋体" w:hAnsi="宋体" w:cs="宋体"/>
          <w:color w:val="000000" w:themeColor="text1"/>
          <w:highlight w:val="none"/>
          <w14:textFill>
            <w14:solidFill>
              <w14:schemeClr w14:val="tx1"/>
            </w14:solidFill>
          </w14:textFill>
        </w:rPr>
        <w:t>元，售后不退。</w:t>
      </w:r>
    </w:p>
    <w:p w14:paraId="779C0742">
      <w:pPr>
        <w:pStyle w:val="5"/>
        <w:keepNext w:val="0"/>
        <w:keepLines w:val="0"/>
        <w:widowControl/>
        <w:spacing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四、响应文件提交的截止时间、开启时间及地点</w:t>
      </w:r>
    </w:p>
    <w:p w14:paraId="11301C9C">
      <w:pPr>
        <w:spacing w:before="156" w:beforeLines="50" w:after="156" w:afterLines="50" w:line="46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4.1首次响应文件的提交截止时间：</w:t>
      </w:r>
      <w:r>
        <w:rPr>
          <w:rFonts w:hint="eastAsia" w:ascii="宋体" w:hAnsi="宋体" w:cs="宋体"/>
          <w:b/>
          <w:bCs/>
          <w:color w:val="000000" w:themeColor="text1"/>
          <w:highlight w:val="none"/>
          <w14:textFill>
            <w14:solidFill>
              <w14:schemeClr w14:val="tx1"/>
            </w14:solidFill>
          </w14:textFill>
        </w:rPr>
        <w:t>202</w:t>
      </w:r>
      <w:r>
        <w:rPr>
          <w:rFonts w:hint="eastAsia" w:ascii="宋体" w:hAnsi="宋体" w:cs="宋体"/>
          <w:b/>
          <w:bCs/>
          <w:color w:val="000000" w:themeColor="text1"/>
          <w:highlight w:val="none"/>
          <w:lang w:val="en-US" w:eastAsia="zh-CN"/>
          <w14:textFill>
            <w14:solidFill>
              <w14:schemeClr w14:val="tx1"/>
            </w14:solidFill>
          </w14:textFill>
        </w:rPr>
        <w:t>5</w:t>
      </w:r>
      <w:r>
        <w:rPr>
          <w:rFonts w:hint="eastAsia" w:ascii="宋体" w:hAnsi="宋体" w:cs="宋体"/>
          <w:b/>
          <w:bCs/>
          <w:color w:val="000000" w:themeColor="text1"/>
          <w:highlight w:val="none"/>
          <w14:textFill>
            <w14:solidFill>
              <w14:schemeClr w14:val="tx1"/>
            </w14:solidFill>
          </w14:textFill>
        </w:rPr>
        <w:t>年</w:t>
      </w:r>
      <w:r>
        <w:rPr>
          <w:rFonts w:hint="eastAsia" w:ascii="宋体" w:hAnsi="宋体" w:cs="宋体"/>
          <w:b/>
          <w:bCs/>
          <w:color w:val="000000" w:themeColor="text1"/>
          <w:highlight w:val="none"/>
          <w:lang w:val="en-US" w:eastAsia="zh-CN"/>
          <w14:textFill>
            <w14:solidFill>
              <w14:schemeClr w14:val="tx1"/>
            </w14:solidFill>
          </w14:textFill>
        </w:rPr>
        <w:t>1</w:t>
      </w:r>
      <w:r>
        <w:rPr>
          <w:rFonts w:hint="eastAsia" w:ascii="宋体" w:hAnsi="宋体" w:cs="宋体"/>
          <w:b/>
          <w:bCs/>
          <w:color w:val="000000" w:themeColor="text1"/>
          <w:highlight w:val="none"/>
          <w14:textFill>
            <w14:solidFill>
              <w14:schemeClr w14:val="tx1"/>
            </w14:solidFill>
          </w14:textFill>
        </w:rPr>
        <w:t>月</w:t>
      </w:r>
      <w:r>
        <w:rPr>
          <w:rFonts w:hint="eastAsia" w:ascii="宋体" w:hAnsi="宋体" w:cs="宋体"/>
          <w:b/>
          <w:bCs/>
          <w:color w:val="000000" w:themeColor="text1"/>
          <w:highlight w:val="none"/>
          <w:lang w:val="en-US" w:eastAsia="zh-CN"/>
          <w14:textFill>
            <w14:solidFill>
              <w14:schemeClr w14:val="tx1"/>
            </w14:solidFill>
          </w14:textFill>
        </w:rPr>
        <w:t>2</w:t>
      </w:r>
      <w:r>
        <w:rPr>
          <w:rFonts w:hint="eastAsia" w:ascii="宋体" w:hAnsi="宋体" w:cs="宋体"/>
          <w:b/>
          <w:bCs/>
          <w:color w:val="000000" w:themeColor="text1"/>
          <w:highlight w:val="none"/>
          <w14:textFill>
            <w14:solidFill>
              <w14:schemeClr w14:val="tx1"/>
            </w14:solidFill>
          </w14:textFill>
        </w:rPr>
        <w:t>日</w:t>
      </w:r>
      <w:r>
        <w:rPr>
          <w:rFonts w:ascii="宋体" w:hAnsi="宋体" w:cs="宋体"/>
          <w:b/>
          <w:bCs/>
          <w:color w:val="000000" w:themeColor="text1"/>
          <w:highlight w:val="none"/>
          <w14:textFill>
            <w14:solidFill>
              <w14:schemeClr w14:val="tx1"/>
            </w14:solidFill>
          </w14:textFill>
        </w:rPr>
        <w:t>09</w:t>
      </w:r>
      <w:r>
        <w:rPr>
          <w:rFonts w:hint="eastAsia" w:ascii="宋体" w:hAnsi="宋体" w:cs="宋体"/>
          <w:b/>
          <w:bCs/>
          <w:color w:val="000000" w:themeColor="text1"/>
          <w:highlight w:val="none"/>
          <w14:textFill>
            <w14:solidFill>
              <w14:schemeClr w14:val="tx1"/>
            </w14:solidFill>
          </w14:textFill>
        </w:rPr>
        <w:t>时3</w:t>
      </w:r>
      <w:r>
        <w:rPr>
          <w:rFonts w:ascii="宋体" w:hAnsi="宋体" w:cs="宋体"/>
          <w:b/>
          <w:bCs/>
          <w:color w:val="000000" w:themeColor="text1"/>
          <w:highlight w:val="none"/>
          <w14:textFill>
            <w14:solidFill>
              <w14:schemeClr w14:val="tx1"/>
            </w14:solidFill>
          </w14:textFill>
        </w:rPr>
        <w:t>0</w:t>
      </w:r>
      <w:r>
        <w:rPr>
          <w:rFonts w:hint="eastAsia" w:ascii="宋体" w:hAnsi="宋体" w:cs="宋体"/>
          <w:b/>
          <w:bCs/>
          <w:color w:val="000000" w:themeColor="text1"/>
          <w:highlight w:val="none"/>
          <w14:textFill>
            <w14:solidFill>
              <w14:schemeClr w14:val="tx1"/>
            </w14:solidFill>
          </w14:textFill>
        </w:rPr>
        <w:t>分</w:t>
      </w:r>
      <w:r>
        <w:rPr>
          <w:rFonts w:hint="eastAsia" w:ascii="宋体" w:hAnsi="宋体" w:cs="宋体"/>
          <w:color w:val="000000" w:themeColor="text1"/>
          <w:highlight w:val="none"/>
          <w14:textFill>
            <w14:solidFill>
              <w14:schemeClr w14:val="tx1"/>
            </w14:solidFill>
          </w14:textFill>
        </w:rPr>
        <w:t>（北京时间），在截止时间后送达的响应文件为无效文件，采购人、采购代理机构或者磋商小组将拒收。</w:t>
      </w:r>
    </w:p>
    <w:p w14:paraId="707458DD">
      <w:pPr>
        <w:spacing w:before="156" w:beforeLines="50" w:after="156" w:afterLines="50" w:line="46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首次响应文件的开启地点：建银工程咨询有限责任公司一楼会议室（长沙市芙蓉区建湘路46号凤凰大厦1楼）。</w:t>
      </w:r>
    </w:p>
    <w:p w14:paraId="334FA2E4">
      <w:pPr>
        <w:pStyle w:val="5"/>
        <w:keepNext w:val="0"/>
        <w:keepLines w:val="0"/>
        <w:widowControl/>
        <w:numPr>
          <w:ilvl w:val="0"/>
          <w:numId w:val="1"/>
        </w:numPr>
        <w:spacing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公告期限</w:t>
      </w:r>
    </w:p>
    <w:p w14:paraId="0C611A2C">
      <w:pPr>
        <w:pStyle w:val="14"/>
        <w:spacing w:line="360" w:lineRule="auto"/>
        <w:ind w:firstLine="420" w:firstLineChars="200"/>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5.1本招标公告在中国政府采购网（http://www.ccgp.gov.cn/）、中国招标投标公共服务平台、中南大学湘雅医院官网发布。公告期限从本招标公告发布之日起5个工作日。</w:t>
      </w:r>
    </w:p>
    <w:p w14:paraId="165542C0">
      <w:pPr>
        <w:pStyle w:val="14"/>
        <w:spacing w:line="360" w:lineRule="auto"/>
        <w:ind w:firstLine="420" w:firstLineChars="200"/>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5.2在其他媒体发布的招标公告，公告内容以本招标公告指定媒体发布的公告为准；公告期限自本招标公告指定媒体最先发布公告之日起算。</w:t>
      </w:r>
    </w:p>
    <w:p w14:paraId="6E65EBEC">
      <w:pPr>
        <w:pStyle w:val="5"/>
        <w:keepNext w:val="0"/>
        <w:keepLines w:val="0"/>
        <w:widowControl/>
        <w:numPr>
          <w:ilvl w:val="0"/>
          <w:numId w:val="1"/>
        </w:numPr>
        <w:spacing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疑问及质疑</w:t>
      </w:r>
    </w:p>
    <w:p w14:paraId="6DC58AE9">
      <w:pPr>
        <w:spacing w:before="156" w:beforeLines="50" w:after="156" w:afterLines="50" w:line="32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6.1潜在供应商对政府采购活动事项如有疑问的，可以向采购人或采购代理机构提出询问。采购人或采购代理机构将在3个工作日内作出答复。</w:t>
      </w:r>
    </w:p>
    <w:p w14:paraId="3037B985">
      <w:pPr>
        <w:spacing w:before="156" w:beforeLines="50" w:after="156" w:afterLines="50" w:line="32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6.2潜在供应商认为竞争性磋商文件或邀请公告使自己的合法权益受到损害的，可以在收到竞争性磋商文件之日或邀请公告期限届满之日起7个工作日内，以书面形式向采购人、采购代理机构提出质疑。</w:t>
      </w:r>
    </w:p>
    <w:p w14:paraId="787E1616">
      <w:pPr>
        <w:pStyle w:val="5"/>
        <w:keepNext w:val="0"/>
        <w:keepLines w:val="0"/>
        <w:widowControl/>
        <w:spacing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七、采购项目联系人姓名和电话</w:t>
      </w:r>
    </w:p>
    <w:p w14:paraId="42B4EA54">
      <w:pPr>
        <w:adjustRightInd w:val="0"/>
        <w:snapToGrid w:val="0"/>
        <w:spacing w:line="420" w:lineRule="exact"/>
        <w:ind w:firstLine="411" w:firstLineChars="196"/>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1、采购项目</w:t>
      </w:r>
    </w:p>
    <w:p w14:paraId="0EBC0074">
      <w:pPr>
        <w:adjustRightInd w:val="0"/>
        <w:snapToGrid w:val="0"/>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联系人姓名：杨桃、董征  电话：</w:t>
      </w:r>
      <w:r>
        <w:rPr>
          <w:rFonts w:ascii="宋体" w:hAnsi="宋体"/>
          <w:color w:val="000000" w:themeColor="text1"/>
          <w:szCs w:val="21"/>
          <w:highlight w:val="none"/>
          <w14:textFill>
            <w14:solidFill>
              <w14:schemeClr w14:val="tx1"/>
            </w14:solidFill>
          </w14:textFill>
        </w:rPr>
        <w:t>0731-84418163</w:t>
      </w:r>
      <w:r>
        <w:rPr>
          <w:rFonts w:hint="eastAsia" w:ascii="宋体" w:hAnsi="宋体"/>
          <w:color w:val="000000" w:themeColor="text1"/>
          <w:szCs w:val="21"/>
          <w:highlight w:val="none"/>
          <w14:textFill>
            <w14:solidFill>
              <w14:schemeClr w14:val="tx1"/>
            </w14:solidFill>
          </w14:textFill>
        </w:rPr>
        <w:t xml:space="preserve">                            </w:t>
      </w:r>
    </w:p>
    <w:p w14:paraId="772A6CF4">
      <w:pPr>
        <w:adjustRightInd w:val="0"/>
        <w:snapToGrid w:val="0"/>
        <w:spacing w:line="420" w:lineRule="exact"/>
        <w:ind w:firstLine="411" w:firstLineChars="196"/>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2、采购人</w:t>
      </w:r>
    </w:p>
    <w:p w14:paraId="6ACC0A75">
      <w:pPr>
        <w:adjustRightInd w:val="0"/>
        <w:snapToGrid w:val="0"/>
        <w:spacing w:line="420" w:lineRule="exact"/>
        <w:ind w:firstLine="411" w:firstLineChars="196"/>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称：中南大学湘雅医院                            </w:t>
      </w:r>
    </w:p>
    <w:p w14:paraId="33672D86">
      <w:pPr>
        <w:adjustRightInd w:val="0"/>
        <w:snapToGrid w:val="0"/>
        <w:spacing w:line="420" w:lineRule="exact"/>
        <w:ind w:firstLine="411" w:firstLineChars="196"/>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址：湖南省长沙市湘雅路87号 </w:t>
      </w:r>
    </w:p>
    <w:p w14:paraId="7527EA27">
      <w:pPr>
        <w:adjustRightInd w:val="0"/>
        <w:snapToGrid w:val="0"/>
        <w:spacing w:line="420" w:lineRule="exact"/>
        <w:ind w:firstLine="411" w:firstLineChars="19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szCs w:val="21"/>
          <w:highlight w:val="none"/>
          <w:lang w:val="en-US" w:eastAsia="zh-CN"/>
          <w14:textFill>
            <w14:solidFill>
              <w14:schemeClr w14:val="tx1"/>
            </w14:solidFill>
          </w14:textFill>
        </w:rPr>
        <w:t>杨</w:t>
      </w:r>
      <w:r>
        <w:rPr>
          <w:rFonts w:hint="eastAsia" w:ascii="宋体" w:hAnsi="宋体" w:cs="宋体"/>
          <w:color w:val="000000" w:themeColor="text1"/>
          <w:szCs w:val="21"/>
          <w:highlight w:val="none"/>
          <w14:textFill>
            <w14:solidFill>
              <w14:schemeClr w14:val="tx1"/>
            </w14:solidFill>
          </w14:textFill>
        </w:rPr>
        <w:t xml:space="preserve">老师                   </w:t>
      </w:r>
    </w:p>
    <w:p w14:paraId="084407FE">
      <w:pPr>
        <w:adjustRightInd w:val="0"/>
        <w:snapToGrid w:val="0"/>
        <w:spacing w:line="420" w:lineRule="exact"/>
        <w:ind w:firstLine="411" w:firstLineChars="19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话：0731-89752083</w:t>
      </w:r>
    </w:p>
    <w:p w14:paraId="45B3042D">
      <w:pPr>
        <w:adjustRightInd w:val="0"/>
        <w:snapToGrid w:val="0"/>
        <w:spacing w:line="420" w:lineRule="exact"/>
        <w:ind w:firstLine="411" w:firstLineChars="196"/>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3、采购代理机构</w:t>
      </w:r>
    </w:p>
    <w:p w14:paraId="06E780B2">
      <w:pPr>
        <w:adjustRightInd w:val="0"/>
        <w:snapToGrid w:val="0"/>
        <w:spacing w:line="420" w:lineRule="exact"/>
        <w:ind w:firstLine="411" w:firstLineChars="196"/>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名  称：</w:t>
      </w:r>
      <w:bookmarkStart w:id="0" w:name="OLE_LINK5"/>
      <w:r>
        <w:rPr>
          <w:rFonts w:hint="eastAsia" w:ascii="宋体" w:hAnsi="宋体"/>
          <w:color w:val="000000" w:themeColor="text1"/>
          <w:szCs w:val="21"/>
          <w:highlight w:val="none"/>
          <w14:textFill>
            <w14:solidFill>
              <w14:schemeClr w14:val="tx1"/>
            </w14:solidFill>
          </w14:textFill>
        </w:rPr>
        <w:t>建银工程咨询有限责任公司</w:t>
      </w:r>
    </w:p>
    <w:bookmarkEnd w:id="0"/>
    <w:p w14:paraId="5DE310D3">
      <w:pPr>
        <w:adjustRightInd w:val="0"/>
        <w:snapToGrid w:val="0"/>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  址：长沙市芙蓉区建湘路46号凤凰大厦1楼</w:t>
      </w:r>
    </w:p>
    <w:p w14:paraId="65A2F2EA">
      <w:pPr>
        <w:adjustRightInd w:val="0"/>
        <w:snapToGrid w:val="0"/>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联系人：杨桃、董征                    </w:t>
      </w:r>
    </w:p>
    <w:p w14:paraId="301AF5D0">
      <w:pPr>
        <w:adjustRightInd w:val="0"/>
        <w:snapToGrid w:val="0"/>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  话：</w:t>
      </w:r>
      <w:r>
        <w:rPr>
          <w:rFonts w:ascii="宋体" w:hAnsi="宋体"/>
          <w:color w:val="000000" w:themeColor="text1"/>
          <w:szCs w:val="21"/>
          <w:highlight w:val="none"/>
          <w14:textFill>
            <w14:solidFill>
              <w14:schemeClr w14:val="tx1"/>
            </w14:solidFill>
          </w14:textFill>
        </w:rPr>
        <w:t>0731-84418163</w:t>
      </w:r>
    </w:p>
    <w:p w14:paraId="57B4AD5E">
      <w:pPr>
        <w:adjustRightInd w:val="0"/>
        <w:snapToGrid w:val="0"/>
        <w:spacing w:line="42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电子邮箱：jyzxhn</w:t>
      </w:r>
      <w:r>
        <w:rPr>
          <w:color w:val="000000" w:themeColor="text1"/>
          <w:szCs w:val="21"/>
          <w:highlight w:val="none"/>
          <w14:textFill>
            <w14:solidFill>
              <w14:schemeClr w14:val="tx1"/>
            </w14:solidFill>
          </w14:textFill>
        </w:rPr>
        <w:t>@163.</w:t>
      </w:r>
      <w:r>
        <w:rPr>
          <w:rFonts w:hint="eastAsia"/>
          <w:color w:val="000000" w:themeColor="text1"/>
          <w:szCs w:val="21"/>
          <w:highlight w:val="none"/>
          <w14:textFill>
            <w14:solidFill>
              <w14:schemeClr w14:val="tx1"/>
            </w14:solidFill>
          </w14:textFill>
        </w:rPr>
        <w:t>com</w:t>
      </w:r>
    </w:p>
    <w:p w14:paraId="0853D7BF">
      <w:pPr>
        <w:pStyle w:val="5"/>
        <w:keepNext w:val="0"/>
        <w:keepLines w:val="0"/>
        <w:widowControl/>
        <w:spacing w:line="24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八、其它补充事宜</w:t>
      </w:r>
    </w:p>
    <w:p w14:paraId="0323D8F8">
      <w:pPr>
        <w:adjustRightInd w:val="0"/>
        <w:snapToGrid w:val="0"/>
        <w:spacing w:line="42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1、投标保证金 </w:t>
      </w:r>
    </w:p>
    <w:p w14:paraId="145F126F">
      <w:pPr>
        <w:adjustRightInd w:val="0"/>
        <w:snapToGrid w:val="0"/>
        <w:spacing w:line="42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开户名称：建银工程咨询有限责任公司湖南分公司</w:t>
      </w:r>
    </w:p>
    <w:p w14:paraId="186D1DF1">
      <w:pPr>
        <w:adjustRightInd w:val="0"/>
        <w:snapToGrid w:val="0"/>
        <w:spacing w:line="42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 户 行：中国建设银行股份有限公司湖南省分行营业部</w:t>
      </w:r>
    </w:p>
    <w:p w14:paraId="43B6DD2E">
      <w:pPr>
        <w:adjustRightInd w:val="0"/>
        <w:snapToGrid w:val="0"/>
        <w:spacing w:line="42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银行账号：430501 863636 000003 64</w:t>
      </w:r>
    </w:p>
    <w:p w14:paraId="4DD1A441">
      <w:pPr>
        <w:adjustRightInd w:val="0"/>
        <w:snapToGrid w:val="0"/>
        <w:spacing w:line="42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招标文件款缴纳账户：</w:t>
      </w:r>
    </w:p>
    <w:p w14:paraId="70900D6C">
      <w:pPr>
        <w:adjustRightInd w:val="0"/>
        <w:snapToGrid w:val="0"/>
        <w:spacing w:line="42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户名：建银工程咨询有限责任公司湖南分公司</w:t>
      </w:r>
    </w:p>
    <w:p w14:paraId="36B08FDB">
      <w:pPr>
        <w:adjustRightInd w:val="0"/>
        <w:snapToGrid w:val="0"/>
        <w:spacing w:line="42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开户行：中国建设银行股份有限公司湖南省分行营业部</w:t>
      </w:r>
    </w:p>
    <w:p w14:paraId="49CFDB6A">
      <w:pPr>
        <w:adjustRightInd w:val="0"/>
        <w:snapToGrid w:val="0"/>
        <w:spacing w:line="42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帐号：43050186363600000352</w:t>
      </w:r>
    </w:p>
    <w:p w14:paraId="69D5AAF5">
      <w:pPr>
        <w:adjustRightInd w:val="0"/>
        <w:snapToGrid w:val="0"/>
        <w:spacing w:line="42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财务部联系人、电话: </w:t>
      </w:r>
    </w:p>
    <w:p w14:paraId="7084CB9B">
      <w:pPr>
        <w:adjustRightInd w:val="0"/>
        <w:snapToGrid w:val="0"/>
        <w:spacing w:line="42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财务部联系人：张樱</w:t>
      </w:r>
    </w:p>
    <w:p w14:paraId="1A2FB65A">
      <w:pPr>
        <w:adjustRightInd w:val="0"/>
        <w:snapToGrid w:val="0"/>
        <w:spacing w:line="42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财务电话：0731-84418192</w:t>
      </w:r>
    </w:p>
    <w:p w14:paraId="70B03261">
      <w:pPr>
        <w:adjustRightInd w:val="0"/>
        <w:snapToGrid w:val="0"/>
        <w:spacing w:line="420" w:lineRule="exact"/>
        <w:ind w:firstLine="420" w:firstLineChars="200"/>
        <w:jc w:val="left"/>
        <w:rPr>
          <w:rFonts w:ascii="宋体" w:hAnsi="宋体"/>
          <w:color w:val="000000" w:themeColor="text1"/>
          <w:szCs w:val="21"/>
          <w:highlight w:val="none"/>
          <w:u w:val="single"/>
          <w14:textFill>
            <w14:solidFill>
              <w14:schemeClr w14:val="tx1"/>
            </w14:solidFill>
          </w14:textFill>
        </w:rPr>
      </w:pPr>
    </w:p>
    <w:p w14:paraId="3AF9BE81">
      <w:pPr>
        <w:pStyle w:val="26"/>
        <w:spacing w:line="460" w:lineRule="exact"/>
        <w:jc w:val="center"/>
        <w:outlineLvl w:val="0"/>
        <w:rPr>
          <w:rFonts w:hAnsi="宋体"/>
          <w:b/>
          <w:color w:val="000000" w:themeColor="text1"/>
          <w:sz w:val="32"/>
          <w:szCs w:val="32"/>
          <w:highlight w:val="none"/>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br w:type="page"/>
      </w:r>
      <w:r>
        <w:rPr>
          <w:rFonts w:hint="eastAsia" w:hAnsi="宋体"/>
          <w:b/>
          <w:color w:val="000000" w:themeColor="text1"/>
          <w:sz w:val="32"/>
          <w:szCs w:val="32"/>
          <w:highlight w:val="none"/>
          <w14:textFill>
            <w14:solidFill>
              <w14:schemeClr w14:val="tx1"/>
            </w14:solidFill>
          </w14:textFill>
        </w:rPr>
        <w:t>第二章 磋商须知</w:t>
      </w:r>
    </w:p>
    <w:p w14:paraId="1EB7F9F8">
      <w:pPr>
        <w:pStyle w:val="26"/>
        <w:spacing w:line="460" w:lineRule="exact"/>
        <w:jc w:val="center"/>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磋商须知前附表</w:t>
      </w:r>
    </w:p>
    <w:tbl>
      <w:tblPr>
        <w:tblStyle w:val="47"/>
        <w:tblW w:w="915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47"/>
        <w:gridCol w:w="1666"/>
        <w:gridCol w:w="5837"/>
      </w:tblGrid>
      <w:tr w14:paraId="1D001F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1647" w:type="dxa"/>
            <w:vAlign w:val="center"/>
          </w:tcPr>
          <w:p w14:paraId="666B4F22">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条款号</w:t>
            </w:r>
          </w:p>
        </w:tc>
        <w:tc>
          <w:tcPr>
            <w:tcW w:w="1666" w:type="dxa"/>
            <w:vAlign w:val="center"/>
          </w:tcPr>
          <w:p w14:paraId="67CAEBEA">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条款名称</w:t>
            </w:r>
          </w:p>
        </w:tc>
        <w:tc>
          <w:tcPr>
            <w:tcW w:w="5837" w:type="dxa"/>
            <w:vAlign w:val="center"/>
          </w:tcPr>
          <w:p w14:paraId="28FEADBB">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编列内容规定</w:t>
            </w:r>
          </w:p>
        </w:tc>
      </w:tr>
      <w:tr w14:paraId="7D7FC5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6" w:hRule="atLeast"/>
          <w:jc w:val="center"/>
        </w:trPr>
        <w:tc>
          <w:tcPr>
            <w:tcW w:w="9150" w:type="dxa"/>
            <w:gridSpan w:val="3"/>
            <w:vAlign w:val="center"/>
          </w:tcPr>
          <w:p w14:paraId="6B713B21">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一、说明</w:t>
            </w:r>
          </w:p>
        </w:tc>
      </w:tr>
      <w:tr w14:paraId="59A77B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4A0BDD01">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第二章第1.1款</w:t>
            </w:r>
          </w:p>
        </w:tc>
        <w:tc>
          <w:tcPr>
            <w:tcW w:w="1666" w:type="dxa"/>
            <w:vAlign w:val="center"/>
          </w:tcPr>
          <w:p w14:paraId="1E24122D">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采购项目</w:t>
            </w:r>
          </w:p>
        </w:tc>
        <w:tc>
          <w:tcPr>
            <w:tcW w:w="5837" w:type="dxa"/>
            <w:vAlign w:val="center"/>
          </w:tcPr>
          <w:p w14:paraId="58D5120C">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中南大学湘雅医院开福院区防水维修工程（第二次）</w:t>
            </w:r>
          </w:p>
        </w:tc>
      </w:tr>
      <w:tr w14:paraId="688700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6189C44B">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第二章第2.1款</w:t>
            </w:r>
          </w:p>
        </w:tc>
        <w:tc>
          <w:tcPr>
            <w:tcW w:w="1666" w:type="dxa"/>
            <w:vAlign w:val="center"/>
          </w:tcPr>
          <w:p w14:paraId="75FCA495">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采购人</w:t>
            </w:r>
          </w:p>
        </w:tc>
        <w:tc>
          <w:tcPr>
            <w:tcW w:w="5837" w:type="dxa"/>
            <w:vAlign w:val="center"/>
          </w:tcPr>
          <w:p w14:paraId="4BF0B2CC">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名  称：中南大学湘雅医院</w:t>
            </w:r>
          </w:p>
          <w:p w14:paraId="67C4306E">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14:textFill>
                  <w14:solidFill>
                    <w14:schemeClr w14:val="tx1"/>
                  </w14:solidFill>
                </w14:textFill>
              </w:rPr>
              <w:t>湖南省长沙市湘雅路87号</w:t>
            </w:r>
          </w:p>
          <w:p w14:paraId="4F49EB51">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szCs w:val="21"/>
                <w:highlight w:val="none"/>
                <w:lang w:val="en-US" w:eastAsia="zh-CN"/>
                <w14:textFill>
                  <w14:solidFill>
                    <w14:schemeClr w14:val="tx1"/>
                  </w14:solidFill>
                </w14:textFill>
              </w:rPr>
              <w:t>杨</w:t>
            </w:r>
            <w:r>
              <w:rPr>
                <w:rFonts w:hint="eastAsia" w:ascii="宋体" w:hAnsi="宋体" w:cs="宋体"/>
                <w:color w:val="000000" w:themeColor="text1"/>
                <w:szCs w:val="21"/>
                <w:highlight w:val="none"/>
                <w14:textFill>
                  <w14:solidFill>
                    <w14:schemeClr w14:val="tx1"/>
                  </w14:solidFill>
                </w14:textFill>
              </w:rPr>
              <w:t xml:space="preserve">老师                   </w:t>
            </w:r>
          </w:p>
          <w:p w14:paraId="0C73BC45">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话：0731-89752083</w:t>
            </w:r>
          </w:p>
        </w:tc>
      </w:tr>
      <w:tr w14:paraId="672F03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318DAA29">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第二章第2.2款</w:t>
            </w:r>
          </w:p>
        </w:tc>
        <w:tc>
          <w:tcPr>
            <w:tcW w:w="1666" w:type="dxa"/>
            <w:vAlign w:val="center"/>
          </w:tcPr>
          <w:p w14:paraId="40F318FE">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采购代理机构</w:t>
            </w:r>
          </w:p>
        </w:tc>
        <w:tc>
          <w:tcPr>
            <w:tcW w:w="5837" w:type="dxa"/>
            <w:vAlign w:val="center"/>
          </w:tcPr>
          <w:p w14:paraId="0D6C448E">
            <w:pPr>
              <w:keepNext w:val="0"/>
              <w:keepLines w:val="0"/>
              <w:suppressLineNumbers w:val="0"/>
              <w:adjustRightInd w:val="0"/>
              <w:snapToGrid w:val="0"/>
              <w:spacing w:before="0" w:beforeAutospacing="0" w:after="0" w:afterAutospacing="0" w:line="360" w:lineRule="auto"/>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名  称：建银工程咨询有限责任公司</w:t>
            </w:r>
          </w:p>
          <w:p w14:paraId="2374486B">
            <w:pPr>
              <w:keepNext w:val="0"/>
              <w:keepLines w:val="0"/>
              <w:suppressLineNumbers w:val="0"/>
              <w:adjustRightInd w:val="0"/>
              <w:snapToGrid w:val="0"/>
              <w:spacing w:before="0" w:beforeAutospacing="0" w:after="0" w:afterAutospacing="0" w:line="360" w:lineRule="auto"/>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  址：长沙市芙蓉区建湘路46号凤凰大厦1楼</w:t>
            </w:r>
          </w:p>
          <w:p w14:paraId="5A28CD02">
            <w:pPr>
              <w:keepNext w:val="0"/>
              <w:keepLines w:val="0"/>
              <w:suppressLineNumbers w:val="0"/>
              <w:adjustRightInd w:val="0"/>
              <w:snapToGrid w:val="0"/>
              <w:spacing w:before="0" w:beforeAutospacing="0" w:after="0" w:afterAutospacing="0" w:line="360" w:lineRule="auto"/>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  话：</w:t>
            </w:r>
            <w:r>
              <w:rPr>
                <w:rFonts w:hint="default" w:ascii="宋体" w:hAnsi="宋体" w:cs="宋体"/>
                <w:color w:val="000000" w:themeColor="text1"/>
                <w:highlight w:val="none"/>
                <w14:textFill>
                  <w14:solidFill>
                    <w14:schemeClr w14:val="tx1"/>
                  </w14:solidFill>
                </w14:textFill>
              </w:rPr>
              <w:t>0731-84418163</w:t>
            </w:r>
          </w:p>
          <w:p w14:paraId="52BA975E">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联系人：杨桃、董征</w:t>
            </w:r>
          </w:p>
        </w:tc>
      </w:tr>
      <w:tr w14:paraId="177EF5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2" w:hRule="atLeast"/>
          <w:jc w:val="center"/>
        </w:trPr>
        <w:tc>
          <w:tcPr>
            <w:tcW w:w="1647" w:type="dxa"/>
            <w:vAlign w:val="center"/>
          </w:tcPr>
          <w:p w14:paraId="57B2CEF3">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第二章第2.3款</w:t>
            </w:r>
          </w:p>
        </w:tc>
        <w:tc>
          <w:tcPr>
            <w:tcW w:w="1666" w:type="dxa"/>
            <w:vAlign w:val="center"/>
          </w:tcPr>
          <w:p w14:paraId="315F667C">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供应商的</w:t>
            </w:r>
            <w:r>
              <w:rPr>
                <w:rFonts w:hint="eastAsia" w:ascii="宋体" w:hAnsi="宋体"/>
                <w:color w:val="000000" w:themeColor="text1"/>
                <w:szCs w:val="21"/>
                <w:highlight w:val="none"/>
                <w14:textFill>
                  <w14:solidFill>
                    <w14:schemeClr w14:val="tx1"/>
                  </w14:solidFill>
                </w14:textFill>
              </w:rPr>
              <w:t>邀请方式</w:t>
            </w:r>
          </w:p>
        </w:tc>
        <w:tc>
          <w:tcPr>
            <w:tcW w:w="5837" w:type="dxa"/>
            <w:vAlign w:val="center"/>
          </w:tcPr>
          <w:p w14:paraId="6DAF871F">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发布公告</w:t>
            </w:r>
          </w:p>
          <w:p w14:paraId="6C051B33">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从省级以上财政部门建立的供应商库中随机抽取</w:t>
            </w:r>
          </w:p>
          <w:p w14:paraId="46DC8748">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采购人和评审专家分别书面推荐的方式</w:t>
            </w:r>
          </w:p>
        </w:tc>
      </w:tr>
      <w:tr w14:paraId="3EF89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jc w:val="center"/>
        </w:trPr>
        <w:tc>
          <w:tcPr>
            <w:tcW w:w="1647" w:type="dxa"/>
            <w:vAlign w:val="center"/>
          </w:tcPr>
          <w:p w14:paraId="31F278BF">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第二章第3.1款</w:t>
            </w:r>
          </w:p>
        </w:tc>
        <w:tc>
          <w:tcPr>
            <w:tcW w:w="1666" w:type="dxa"/>
            <w:vAlign w:val="center"/>
          </w:tcPr>
          <w:p w14:paraId="63FAF51E">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资格</w:t>
            </w:r>
          </w:p>
          <w:p w14:paraId="6F3583EF">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条件</w:t>
            </w:r>
          </w:p>
        </w:tc>
        <w:tc>
          <w:tcPr>
            <w:tcW w:w="5837" w:type="dxa"/>
            <w:vAlign w:val="center"/>
          </w:tcPr>
          <w:p w14:paraId="3190242C">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1、供应商的基本资格条件：应当符合《政府采购法》第二十二条第一款的规定，即：</w:t>
            </w:r>
          </w:p>
          <w:p w14:paraId="4B4D2C67">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（1）具有独立承担民事责任的能力；</w:t>
            </w:r>
          </w:p>
          <w:p w14:paraId="43F99154">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（2）具有良好的商业信誉和健全的财务会计制度；</w:t>
            </w:r>
          </w:p>
          <w:p w14:paraId="5DCB1B81">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（3）具有履行合同所必需的设备和专业技术能力；</w:t>
            </w:r>
          </w:p>
          <w:p w14:paraId="71967A23">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（4）有依法缴纳税收和社会保障资金的良好记录。</w:t>
            </w:r>
          </w:p>
          <w:p w14:paraId="774993F8">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（5）参加政府采购活动前三年内，在经营活动中没有重大违法记录。</w:t>
            </w:r>
          </w:p>
          <w:p w14:paraId="45C62F5E">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（6）法律、行政法规规定的其他条件。</w:t>
            </w:r>
          </w:p>
          <w:p w14:paraId="2E4C8DBD">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注：符合法定条件的供应商凭《湖南省政府采购供应商资格承诺函》参与政府采购活动，无需提供财务状况、缴纳税收和社会保障资金等基本资格证明材料。</w:t>
            </w:r>
          </w:p>
          <w:p w14:paraId="433E6B9B">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w:t>
            </w:r>
            <w:r>
              <w:rPr>
                <w:rFonts w:hint="eastAsia" w:ascii="宋体" w:hAnsi="宋体"/>
                <w:b/>
                <w:bCs/>
                <w:color w:val="000000" w:themeColor="text1"/>
                <w:highlight w:val="none"/>
                <w14:textFill>
                  <w14:solidFill>
                    <w14:schemeClr w14:val="tx1"/>
                  </w14:solidFill>
                </w14:textFill>
              </w:rPr>
              <w:t>供应商特定资格条件：见第一章。</w:t>
            </w:r>
          </w:p>
          <w:p w14:paraId="6AC5D8E6">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3、单位负责人为同一人或者存在直接控股、管理关系的不同供应商，不得参加同一合同项下的政府采购活动。</w:t>
            </w:r>
          </w:p>
          <w:p w14:paraId="639EFF27">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4、为本采购项目提供整体设计、规范编制或者项目管理、监理、检测等服务的，不得再参加此项目的其他招标采购活动。</w:t>
            </w:r>
          </w:p>
          <w:p w14:paraId="6FAC111D">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5、列入失信被执行人、重大税收违法案件当事人名单，列入政府采购严重违法失信行为记录名单的，拒绝其参与政府采购活动。</w:t>
            </w:r>
          </w:p>
          <w:p w14:paraId="3C237540">
            <w:pPr>
              <w:keepNext w:val="0"/>
              <w:keepLines w:val="0"/>
              <w:suppressLineNumbers w:val="0"/>
              <w:adjustRightInd w:val="0"/>
              <w:snapToGrid w:val="0"/>
              <w:spacing w:before="0" w:beforeAutospacing="0" w:after="0" w:afterAutospacing="0" w:line="360" w:lineRule="auto"/>
              <w:ind w:left="0" w:right="0"/>
              <w:rPr>
                <w:rFonts w:hint="default" w:ascii="宋体" w:hAnsi="宋体" w:cs="宋体"/>
                <w:b/>
                <w:bCs/>
                <w:color w:val="000000" w:themeColor="text1"/>
                <w:kern w:val="0"/>
                <w:szCs w:val="21"/>
                <w:highlight w:val="none"/>
                <w14:textFill>
                  <w14:solidFill>
                    <w14:schemeClr w14:val="tx1"/>
                  </w14:solidFill>
                </w14:textFill>
              </w:rPr>
            </w:pPr>
            <w:r>
              <w:rPr>
                <w:rFonts w:hint="default" w:ascii="宋体" w:hAnsi="宋体" w:cs="宋体"/>
                <w:b/>
                <w:bCs/>
                <w:color w:val="000000" w:themeColor="text1"/>
                <w:kern w:val="0"/>
                <w:szCs w:val="21"/>
                <w:highlight w:val="none"/>
                <w14:textFill>
                  <w14:solidFill>
                    <w14:schemeClr w14:val="tx1"/>
                  </w14:solidFill>
                </w14:textFill>
              </w:rPr>
              <w:t>6</w:t>
            </w:r>
            <w:r>
              <w:rPr>
                <w:rFonts w:hint="eastAsia" w:ascii="宋体" w:hAnsi="宋体" w:cs="宋体"/>
                <w:b/>
                <w:bCs/>
                <w:color w:val="000000" w:themeColor="text1"/>
                <w:kern w:val="0"/>
                <w:szCs w:val="21"/>
                <w:highlight w:val="none"/>
                <w14:textFill>
                  <w14:solidFill>
                    <w14:schemeClr w14:val="tx1"/>
                  </w14:solidFill>
                </w14:textFill>
              </w:rPr>
              <w:t>、供应商有下列情形之一的，视为无效投标（★）：</w:t>
            </w:r>
          </w:p>
          <w:p w14:paraId="1F6F48BC">
            <w:pPr>
              <w:keepNext w:val="0"/>
              <w:keepLines w:val="0"/>
              <w:suppressLineNumbers w:val="0"/>
              <w:adjustRightInd w:val="0"/>
              <w:snapToGrid w:val="0"/>
              <w:spacing w:before="0" w:beforeAutospacing="0" w:after="0" w:afterAutospacing="0" w:line="360" w:lineRule="auto"/>
              <w:ind w:left="0" w:right="0"/>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（1）有一项资格证明文件未提交的；</w:t>
            </w:r>
          </w:p>
          <w:p w14:paraId="5516C39F">
            <w:pPr>
              <w:keepNext w:val="0"/>
              <w:keepLines w:val="0"/>
              <w:suppressLineNumbers w:val="0"/>
              <w:adjustRightInd w:val="0"/>
              <w:snapToGrid w:val="0"/>
              <w:spacing w:before="0" w:beforeAutospacing="0" w:after="0" w:afterAutospacing="0" w:line="360" w:lineRule="auto"/>
              <w:ind w:left="0" w:right="0"/>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（2）提供不符合要求或虚假资格证明文件的；</w:t>
            </w:r>
          </w:p>
          <w:p w14:paraId="6D9CECA4">
            <w:pPr>
              <w:keepNext w:val="0"/>
              <w:keepLines w:val="0"/>
              <w:suppressLineNumbers w:val="0"/>
              <w:adjustRightInd w:val="0"/>
              <w:snapToGrid w:val="0"/>
              <w:spacing w:before="0" w:beforeAutospacing="0" w:after="0" w:afterAutospacing="0" w:line="360" w:lineRule="auto"/>
              <w:ind w:left="0" w:right="0"/>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（3）资格证明文件过了有效期的；</w:t>
            </w:r>
          </w:p>
          <w:p w14:paraId="14FEFCAA">
            <w:pPr>
              <w:keepNext w:val="0"/>
              <w:keepLines w:val="0"/>
              <w:suppressLineNumbers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（4）资格证明文件复印件未加盖供应商公章的。</w:t>
            </w:r>
          </w:p>
        </w:tc>
      </w:tr>
      <w:tr w14:paraId="46305D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647" w:type="dxa"/>
            <w:vAlign w:val="center"/>
          </w:tcPr>
          <w:p w14:paraId="6B56BF00">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第二章第6.1款</w:t>
            </w:r>
          </w:p>
        </w:tc>
        <w:tc>
          <w:tcPr>
            <w:tcW w:w="1666" w:type="dxa"/>
            <w:vAlign w:val="center"/>
          </w:tcPr>
          <w:p w14:paraId="2057D5F5">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联合体形式</w:t>
            </w:r>
          </w:p>
        </w:tc>
        <w:tc>
          <w:tcPr>
            <w:tcW w:w="5837" w:type="dxa"/>
            <w:vAlign w:val="center"/>
          </w:tcPr>
          <w:p w14:paraId="40306259">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不接受</w:t>
            </w:r>
          </w:p>
          <w:p w14:paraId="7CBE4A3E">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接受</w:t>
            </w:r>
          </w:p>
        </w:tc>
      </w:tr>
      <w:tr w14:paraId="361510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47" w:type="dxa"/>
            <w:vAlign w:val="center"/>
          </w:tcPr>
          <w:p w14:paraId="125FAF17">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第二章第6.2款</w:t>
            </w:r>
          </w:p>
        </w:tc>
        <w:tc>
          <w:tcPr>
            <w:tcW w:w="1666" w:type="dxa"/>
            <w:vAlign w:val="center"/>
          </w:tcPr>
          <w:p w14:paraId="58A6EE66">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对联合体各方的要求</w:t>
            </w:r>
          </w:p>
        </w:tc>
        <w:tc>
          <w:tcPr>
            <w:tcW w:w="5837" w:type="dxa"/>
            <w:vAlign w:val="center"/>
          </w:tcPr>
          <w:p w14:paraId="4725752E">
            <w:pPr>
              <w:pStyle w:val="43"/>
              <w:keepNext w:val="0"/>
              <w:keepLines w:val="0"/>
              <w:suppressLineNumbers w:val="0"/>
              <w:spacing w:before="0" w:beforeAutospacing="0" w:after="0" w:afterAutospacing="0" w:line="360" w:lineRule="auto"/>
              <w:ind w:left="45" w:right="45"/>
              <w:rPr>
                <w:rFonts w:hint="default" w:cs="Times New Roman"/>
                <w:color w:val="000000" w:themeColor="text1"/>
                <w:kern w:val="2"/>
                <w:sz w:val="21"/>
                <w:szCs w:val="21"/>
                <w:highlight w:val="none"/>
                <w14:textFill>
                  <w14:solidFill>
                    <w14:schemeClr w14:val="tx1"/>
                  </w14:solidFill>
                </w14:textFill>
              </w:rPr>
            </w:pPr>
            <w:r>
              <w:rPr>
                <w:rFonts w:hint="eastAsia" w:cs="Times New Roman"/>
                <w:color w:val="000000" w:themeColor="text1"/>
                <w:kern w:val="2"/>
                <w:sz w:val="21"/>
                <w:szCs w:val="21"/>
                <w:highlight w:val="none"/>
                <w14:textFill>
                  <w14:solidFill>
                    <w14:schemeClr w14:val="tx1"/>
                  </w14:solidFill>
                </w14:textFill>
              </w:rPr>
              <w:t>无</w:t>
            </w:r>
          </w:p>
        </w:tc>
      </w:tr>
      <w:tr w14:paraId="18FB95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647" w:type="dxa"/>
            <w:vAlign w:val="center"/>
          </w:tcPr>
          <w:p w14:paraId="58E32FDB">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第二章第7.1款</w:t>
            </w:r>
          </w:p>
        </w:tc>
        <w:tc>
          <w:tcPr>
            <w:tcW w:w="1666" w:type="dxa"/>
            <w:vAlign w:val="center"/>
          </w:tcPr>
          <w:p w14:paraId="4099327C">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bookmarkStart w:id="1" w:name="OLE_LINK1"/>
            <w:r>
              <w:rPr>
                <w:rFonts w:hint="eastAsia" w:ascii="宋体" w:hAnsi="宋体"/>
                <w:color w:val="000000" w:themeColor="text1"/>
                <w:szCs w:val="21"/>
                <w:highlight w:val="none"/>
                <w14:textFill>
                  <w14:solidFill>
                    <w14:schemeClr w14:val="tx1"/>
                  </w14:solidFill>
                </w14:textFill>
              </w:rPr>
              <w:t>现场勘察</w:t>
            </w:r>
            <w:bookmarkEnd w:id="1"/>
          </w:p>
        </w:tc>
        <w:tc>
          <w:tcPr>
            <w:tcW w:w="5837" w:type="dxa"/>
            <w:vAlign w:val="center"/>
          </w:tcPr>
          <w:p w14:paraId="3482724C">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采购人不组织，建议投标人前来踏勘，踏勘地址：中南大学湘雅医院</w:t>
            </w:r>
          </w:p>
          <w:p w14:paraId="7A2D4AF3">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采购人组织，时间：</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；地点：</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w:t>
            </w:r>
          </w:p>
        </w:tc>
      </w:tr>
      <w:tr w14:paraId="763AEB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647" w:type="dxa"/>
            <w:vAlign w:val="center"/>
          </w:tcPr>
          <w:p w14:paraId="2B2E920E">
            <w:pPr>
              <w:keepNext w:val="0"/>
              <w:keepLines w:val="0"/>
              <w:suppressLineNumbers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第二章第8.1款</w:t>
            </w:r>
          </w:p>
        </w:tc>
        <w:tc>
          <w:tcPr>
            <w:tcW w:w="1666" w:type="dxa"/>
            <w:vAlign w:val="center"/>
          </w:tcPr>
          <w:p w14:paraId="17BC35C6">
            <w:pPr>
              <w:keepNext w:val="0"/>
              <w:keepLines w:val="0"/>
              <w:suppressLineNumbers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采购进口产品</w:t>
            </w:r>
          </w:p>
        </w:tc>
        <w:tc>
          <w:tcPr>
            <w:tcW w:w="5837" w:type="dxa"/>
            <w:vAlign w:val="center"/>
          </w:tcPr>
          <w:p w14:paraId="4377F702">
            <w:pPr>
              <w:keepNext w:val="0"/>
              <w:keepLines w:val="0"/>
              <w:suppressLineNumbers w:val="0"/>
              <w:adjustRightInd w:val="0"/>
              <w:snapToGrid w:val="0"/>
              <w:spacing w:before="0" w:beforeAutospacing="0" w:after="0" w:afterAutospacing="0" w:line="360" w:lineRule="auto"/>
              <w:ind w:left="0" w:right="0"/>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0"/>
                <w:highlight w:val="non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本项目拒绝采购进口产品</w:t>
            </w:r>
          </w:p>
          <w:p w14:paraId="1A8A2A91">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本项目已经财政部门审核同意购买进口产品</w:t>
            </w:r>
          </w:p>
        </w:tc>
      </w:tr>
      <w:tr w14:paraId="00F123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3" w:hRule="atLeast"/>
          <w:jc w:val="center"/>
        </w:trPr>
        <w:tc>
          <w:tcPr>
            <w:tcW w:w="1647" w:type="dxa"/>
            <w:vAlign w:val="center"/>
          </w:tcPr>
          <w:p w14:paraId="4BE7D5D9">
            <w:pPr>
              <w:keepNext w:val="0"/>
              <w:keepLines w:val="0"/>
              <w:suppressLineNumbers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第二章第9.1款</w:t>
            </w:r>
          </w:p>
        </w:tc>
        <w:tc>
          <w:tcPr>
            <w:tcW w:w="1666" w:type="dxa"/>
            <w:vAlign w:val="center"/>
          </w:tcPr>
          <w:p w14:paraId="341AD8D6">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政府采购强制采购</w:t>
            </w:r>
          </w:p>
        </w:tc>
        <w:tc>
          <w:tcPr>
            <w:tcW w:w="5837" w:type="dxa"/>
            <w:vAlign w:val="center"/>
          </w:tcPr>
          <w:p w14:paraId="57DF0B23">
            <w:pPr>
              <w:keepNext w:val="0"/>
              <w:keepLines w:val="0"/>
              <w:suppressLineNumbers w:val="0"/>
              <w:adjustRightInd w:val="0"/>
              <w:snapToGrid w:val="0"/>
              <w:spacing w:before="0" w:beforeAutospacing="0" w:after="0" w:afterAutospacing="0" w:line="400" w:lineRule="exact"/>
              <w:ind w:left="0" w:right="0"/>
              <w:jc w:val="left"/>
              <w:rPr>
                <w:rFonts w:hint="default"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0"/>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否</w:t>
            </w:r>
          </w:p>
          <w:p w14:paraId="52F5D533">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□是，采购《节能产品政府采购清单》内标记★符号的节能产品。</w:t>
            </w:r>
          </w:p>
        </w:tc>
      </w:tr>
      <w:tr w14:paraId="3312B9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1647" w:type="dxa"/>
            <w:tcBorders>
              <w:bottom w:val="single" w:color="auto" w:sz="4" w:space="0"/>
            </w:tcBorders>
            <w:vAlign w:val="center"/>
          </w:tcPr>
          <w:p w14:paraId="24ABFA58">
            <w:pPr>
              <w:keepNext w:val="0"/>
              <w:keepLines w:val="0"/>
              <w:suppressLineNumbers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第二章第9.2款</w:t>
            </w:r>
          </w:p>
        </w:tc>
        <w:tc>
          <w:tcPr>
            <w:tcW w:w="1666" w:type="dxa"/>
            <w:vAlign w:val="center"/>
          </w:tcPr>
          <w:p w14:paraId="4B762E6A">
            <w:pPr>
              <w:keepNext w:val="0"/>
              <w:keepLines w:val="0"/>
              <w:suppressLineNumbers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政府采购优先采购：</w:t>
            </w:r>
          </w:p>
        </w:tc>
        <w:tc>
          <w:tcPr>
            <w:tcW w:w="5837" w:type="dxa"/>
            <w:vAlign w:val="center"/>
          </w:tcPr>
          <w:p w14:paraId="71F35705">
            <w:pPr>
              <w:keepNext w:val="0"/>
              <w:keepLines w:val="0"/>
              <w:suppressLineNumbers w:val="0"/>
              <w:adjustRightInd w:val="0"/>
              <w:snapToGrid w:val="0"/>
              <w:spacing w:before="0" w:beforeAutospacing="0" w:after="0" w:afterAutospacing="0" w:line="360" w:lineRule="auto"/>
              <w:ind w:left="0" w:right="0"/>
              <w:rPr>
                <w:rFonts w:hint="default" w:ascii="宋体" w:hAnsi="宋体" w:cs="宋体"/>
                <w:b/>
                <w:color w:val="000000" w:themeColor="text1"/>
                <w:kern w:val="0"/>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本项目专门面向中小微企业采购：</w:t>
            </w:r>
            <w:r>
              <w:rPr>
                <w:rFonts w:hint="eastAsia" w:ascii="宋体" w:hAnsi="宋体" w:cs="宋体"/>
                <w:b/>
                <w:color w:val="000000" w:themeColor="text1"/>
                <w:kern w:val="0"/>
                <w:szCs w:val="21"/>
                <w:highlight w:val="none"/>
                <w14:textFill>
                  <w14:solidFill>
                    <w14:schemeClr w14:val="tx1"/>
                  </w14:solidFill>
                </w14:textFill>
              </w:rPr>
              <w:t>关于政府采购促进中小企业发展相关规定：本项目为专门面向中小微企业采购项目，各供应商应按政府采购促进中小企业发展相关规定及采购文件的响应文件组成中的“《中小企业声明函》”格式填写并在响应文件中提供《中小企业声明函》，否则视为无效响应。</w:t>
            </w:r>
          </w:p>
          <w:p w14:paraId="754E5EE1">
            <w:pPr>
              <w:keepNext w:val="0"/>
              <w:keepLines w:val="0"/>
              <w:suppressLineNumbers w:val="0"/>
              <w:adjustRightInd w:val="0"/>
              <w:snapToGrid w:val="0"/>
              <w:spacing w:before="0" w:beforeAutospacing="0" w:after="0" w:afterAutospacing="0" w:line="360" w:lineRule="auto"/>
              <w:ind w:left="0" w:right="0"/>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根据《政府采购促进中小企业发展管理办法》（财库（2020）46号）的规定，本项目为专门面向中小微企业采购项目，不再执行价格评审优惠的扶持政策。</w:t>
            </w:r>
          </w:p>
          <w:p w14:paraId="5D9932C7">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、根据工信部统计局发改委财政部《中小企业划型标准规定</w:t>
            </w:r>
          </w:p>
          <w:p w14:paraId="7549EA00">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（工信部联企业〔2011〕300 号），本项目采购标的的对应</w:t>
            </w:r>
          </w:p>
          <w:p w14:paraId="3147F2A2">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的中小企业划分标准所属行业为：建筑业</w:t>
            </w:r>
          </w:p>
          <w:p w14:paraId="01B170E0">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、残疾人福利性单位、监狱企业视同小型、微型企业，享受评审中价格扣除等促进中小企业发展的政府采购政策。</w:t>
            </w:r>
          </w:p>
          <w:p w14:paraId="42C6AD0B">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注：监狱企业参加政府采购活动时，应当提供由省级以上监狱管理局、戒毒管理局(含新疆生产建设兵团)出具的属于监狱企业的证明文件</w:t>
            </w:r>
          </w:p>
        </w:tc>
      </w:tr>
      <w:tr w14:paraId="67E35C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1647" w:type="dxa"/>
            <w:vMerge w:val="restart"/>
            <w:tcBorders>
              <w:top w:val="single" w:color="auto" w:sz="4" w:space="0"/>
            </w:tcBorders>
            <w:vAlign w:val="center"/>
          </w:tcPr>
          <w:p w14:paraId="4B279907">
            <w:pPr>
              <w:keepNext w:val="0"/>
              <w:keepLines w:val="0"/>
              <w:suppressLineNumbers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第二章第9.6款</w:t>
            </w:r>
          </w:p>
        </w:tc>
        <w:tc>
          <w:tcPr>
            <w:tcW w:w="1666" w:type="dxa"/>
            <w:tcBorders>
              <w:top w:val="single" w:color="auto" w:sz="4" w:space="0"/>
              <w:bottom w:val="single" w:color="auto" w:sz="4" w:space="0"/>
            </w:tcBorders>
            <w:vAlign w:val="center"/>
          </w:tcPr>
          <w:p w14:paraId="3F50605D">
            <w:pPr>
              <w:keepNext w:val="0"/>
              <w:keepLines w:val="0"/>
              <w:suppressLineNumbers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政府采购支持中小企业融资</w:t>
            </w:r>
          </w:p>
        </w:tc>
        <w:tc>
          <w:tcPr>
            <w:tcW w:w="5837" w:type="dxa"/>
            <w:tcBorders>
              <w:top w:val="single" w:color="auto" w:sz="4" w:space="0"/>
              <w:bottom w:val="single" w:color="auto" w:sz="4" w:space="0"/>
            </w:tcBorders>
          </w:tcPr>
          <w:p w14:paraId="662918C4">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有融资需求的，可登陆中国湖南政府采购网查询。</w:t>
            </w:r>
          </w:p>
        </w:tc>
      </w:tr>
      <w:tr w14:paraId="5C9078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4" w:hRule="atLeast"/>
          <w:jc w:val="center"/>
        </w:trPr>
        <w:tc>
          <w:tcPr>
            <w:tcW w:w="1647" w:type="dxa"/>
            <w:vMerge w:val="continue"/>
            <w:vAlign w:val="center"/>
          </w:tcPr>
          <w:p w14:paraId="4BD255C6">
            <w:pPr>
              <w:keepNext w:val="0"/>
              <w:keepLines w:val="0"/>
              <w:suppressLineNumbers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p>
        </w:tc>
        <w:tc>
          <w:tcPr>
            <w:tcW w:w="1666" w:type="dxa"/>
            <w:vAlign w:val="center"/>
          </w:tcPr>
          <w:p w14:paraId="09B20336">
            <w:pPr>
              <w:keepNext w:val="0"/>
              <w:keepLines w:val="0"/>
              <w:suppressLineNumbers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政府采购信用担保</w:t>
            </w:r>
          </w:p>
        </w:tc>
        <w:tc>
          <w:tcPr>
            <w:tcW w:w="5837" w:type="dxa"/>
            <w:vAlign w:val="center"/>
          </w:tcPr>
          <w:p w14:paraId="12026D43">
            <w:pPr>
              <w:keepNext w:val="0"/>
              <w:keepLines w:val="0"/>
              <w:suppressLineNumbers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有履约担保或融资担保需求的，可登陆中国湖南政府采购网查询。</w:t>
            </w:r>
          </w:p>
        </w:tc>
      </w:tr>
      <w:tr w14:paraId="0C58F5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7" w:hRule="atLeast"/>
          <w:jc w:val="center"/>
        </w:trPr>
        <w:tc>
          <w:tcPr>
            <w:tcW w:w="9150" w:type="dxa"/>
            <w:gridSpan w:val="3"/>
            <w:vAlign w:val="center"/>
          </w:tcPr>
          <w:p w14:paraId="7FBCBB9D">
            <w:pPr>
              <w:keepNext w:val="0"/>
              <w:keepLines w:val="0"/>
              <w:suppressLineNumbers w:val="0"/>
              <w:adjustRightInd w:val="0"/>
              <w:snapToGrid w:val="0"/>
              <w:spacing w:before="0" w:beforeAutospacing="0" w:after="0" w:afterAutospacing="0" w:line="360" w:lineRule="auto"/>
              <w:ind w:left="0" w:right="0"/>
              <w:rPr>
                <w:rFonts w:hint="default"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二、磋商文件</w:t>
            </w:r>
          </w:p>
        </w:tc>
      </w:tr>
      <w:tr w14:paraId="0E46FC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647" w:type="dxa"/>
            <w:vAlign w:val="center"/>
          </w:tcPr>
          <w:p w14:paraId="2C29E7FC">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0AE5C36F">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第10.2款</w:t>
            </w:r>
          </w:p>
        </w:tc>
        <w:tc>
          <w:tcPr>
            <w:tcW w:w="1666" w:type="dxa"/>
            <w:vAlign w:val="center"/>
          </w:tcPr>
          <w:p w14:paraId="11F7E7BB">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磋商文件的可能实质性变动内容</w:t>
            </w:r>
          </w:p>
        </w:tc>
        <w:tc>
          <w:tcPr>
            <w:tcW w:w="5837" w:type="dxa"/>
            <w:vAlign w:val="center"/>
          </w:tcPr>
          <w:p w14:paraId="52967680">
            <w:pPr>
              <w:keepNext w:val="0"/>
              <w:keepLines w:val="0"/>
              <w:suppressLineNumbers w:val="0"/>
              <w:adjustRightInd w:val="0"/>
              <w:snapToGrid w:val="0"/>
              <w:spacing w:before="0" w:beforeAutospacing="0" w:after="0" w:afterAutospacing="0" w:line="360" w:lineRule="auto"/>
              <w:ind w:left="0" w:right="0"/>
              <w:jc w:val="left"/>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采购需求，实质性变动内容为磋商文件的组成部分，实质性变动内容与磋商文件不一致时，以实质性变动内容为准。</w:t>
            </w:r>
          </w:p>
        </w:tc>
      </w:tr>
      <w:tr w14:paraId="6DD30D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5" w:hRule="atLeast"/>
          <w:jc w:val="center"/>
        </w:trPr>
        <w:tc>
          <w:tcPr>
            <w:tcW w:w="1647" w:type="dxa"/>
            <w:vAlign w:val="center"/>
          </w:tcPr>
          <w:p w14:paraId="190D37A9">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4BD84D6D">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第11.1款</w:t>
            </w:r>
          </w:p>
        </w:tc>
        <w:tc>
          <w:tcPr>
            <w:tcW w:w="1666" w:type="dxa"/>
            <w:vAlign w:val="center"/>
          </w:tcPr>
          <w:p w14:paraId="6F120F49">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提供磋商</w:t>
            </w:r>
          </w:p>
          <w:p w14:paraId="52E324C0">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文件期限</w:t>
            </w:r>
          </w:p>
        </w:tc>
        <w:tc>
          <w:tcPr>
            <w:tcW w:w="5837" w:type="dxa"/>
            <w:vAlign w:val="center"/>
          </w:tcPr>
          <w:p w14:paraId="194CC030">
            <w:pPr>
              <w:keepNext w:val="0"/>
              <w:keepLines w:val="0"/>
              <w:suppressLineNumbers w:val="0"/>
              <w:adjustRightInd w:val="0"/>
              <w:snapToGrid w:val="0"/>
              <w:spacing w:before="0" w:beforeAutospacing="0" w:after="0" w:afterAutospacing="0" w:line="360" w:lineRule="auto"/>
              <w:ind w:left="0" w:right="0"/>
              <w:jc w:val="left"/>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见第一章磋商邀请。</w:t>
            </w:r>
          </w:p>
        </w:tc>
      </w:tr>
      <w:tr w14:paraId="3DA26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647" w:type="dxa"/>
            <w:vAlign w:val="center"/>
          </w:tcPr>
          <w:p w14:paraId="61BDE652">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090C95FA">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第11.2款</w:t>
            </w:r>
          </w:p>
        </w:tc>
        <w:tc>
          <w:tcPr>
            <w:tcW w:w="1666" w:type="dxa"/>
            <w:vAlign w:val="center"/>
          </w:tcPr>
          <w:p w14:paraId="57201471">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领取或购买磋商文件时应</w:t>
            </w:r>
          </w:p>
          <w:p w14:paraId="4C334472">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提供的资料</w:t>
            </w:r>
          </w:p>
        </w:tc>
        <w:tc>
          <w:tcPr>
            <w:tcW w:w="5837" w:type="dxa"/>
            <w:vAlign w:val="center"/>
          </w:tcPr>
          <w:p w14:paraId="36751599">
            <w:pPr>
              <w:keepNext w:val="0"/>
              <w:keepLines w:val="0"/>
              <w:suppressLineNumbers w:val="0"/>
              <w:adjustRightInd w:val="0"/>
              <w:snapToGrid w:val="0"/>
              <w:spacing w:before="0" w:beforeAutospacing="0" w:after="0" w:afterAutospacing="0" w:line="360" w:lineRule="auto"/>
              <w:ind w:left="0" w:right="0"/>
              <w:jc w:val="left"/>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见第一章磋商邀请。</w:t>
            </w:r>
          </w:p>
        </w:tc>
      </w:tr>
      <w:tr w14:paraId="3A73C1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647" w:type="dxa"/>
            <w:vAlign w:val="center"/>
          </w:tcPr>
          <w:p w14:paraId="06B05364">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2FE1D06C">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第12.1款</w:t>
            </w:r>
          </w:p>
        </w:tc>
        <w:tc>
          <w:tcPr>
            <w:tcW w:w="1666" w:type="dxa"/>
            <w:vAlign w:val="center"/>
          </w:tcPr>
          <w:p w14:paraId="7245D3CF">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提交首次</w:t>
            </w:r>
          </w:p>
          <w:p w14:paraId="1BE58977">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响应文件的</w:t>
            </w:r>
          </w:p>
          <w:p w14:paraId="05523FAF">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截止时间</w:t>
            </w:r>
          </w:p>
        </w:tc>
        <w:tc>
          <w:tcPr>
            <w:tcW w:w="5837" w:type="dxa"/>
            <w:vAlign w:val="center"/>
          </w:tcPr>
          <w:p w14:paraId="76854A62">
            <w:pPr>
              <w:keepNext w:val="0"/>
              <w:keepLines w:val="0"/>
              <w:suppressLineNumbers w:val="0"/>
              <w:adjustRightInd w:val="0"/>
              <w:snapToGrid w:val="0"/>
              <w:spacing w:before="0" w:beforeAutospacing="0" w:after="0" w:afterAutospacing="0" w:line="360" w:lineRule="auto"/>
              <w:ind w:left="0" w:right="0"/>
              <w:jc w:val="left"/>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见第一章磋商邀请。</w:t>
            </w:r>
          </w:p>
        </w:tc>
      </w:tr>
      <w:tr w14:paraId="42E692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9150" w:type="dxa"/>
            <w:gridSpan w:val="3"/>
            <w:vAlign w:val="center"/>
          </w:tcPr>
          <w:p w14:paraId="46FB5FEA">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三、响应文件的编写</w:t>
            </w:r>
          </w:p>
        </w:tc>
      </w:tr>
      <w:tr w14:paraId="795692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9" w:hRule="atLeast"/>
          <w:jc w:val="center"/>
        </w:trPr>
        <w:tc>
          <w:tcPr>
            <w:tcW w:w="1647" w:type="dxa"/>
            <w:vAlign w:val="center"/>
          </w:tcPr>
          <w:p w14:paraId="366ABAEE">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4610A8E5">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第16.4款</w:t>
            </w:r>
          </w:p>
        </w:tc>
        <w:tc>
          <w:tcPr>
            <w:tcW w:w="1666" w:type="dxa"/>
            <w:vAlign w:val="center"/>
          </w:tcPr>
          <w:p w14:paraId="4F6D6782">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采购项目预算</w:t>
            </w:r>
          </w:p>
        </w:tc>
        <w:tc>
          <w:tcPr>
            <w:tcW w:w="5837" w:type="dxa"/>
            <w:vAlign w:val="center"/>
          </w:tcPr>
          <w:p w14:paraId="60709BE8">
            <w:pPr>
              <w:pStyle w:val="216"/>
              <w:keepNext w:val="0"/>
              <w:keepLines w:val="0"/>
              <w:suppressLineNumbers w:val="0"/>
              <w:spacing w:before="0" w:beforeAutospacing="0" w:after="0" w:afterAutospacing="0" w:line="360" w:lineRule="auto"/>
              <w:ind w:left="0" w:right="0" w:firstLine="0" w:firstLineChars="0"/>
              <w:jc w:val="left"/>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最高限价：</w:t>
            </w:r>
            <w:r>
              <w:rPr>
                <w:rFonts w:hint="eastAsia"/>
                <w:color w:val="000000" w:themeColor="text1"/>
                <w:highlight w:val="none"/>
                <w:lang w:eastAsia="zh-CN"/>
                <w14:textFill>
                  <w14:solidFill>
                    <w14:schemeClr w14:val="tx1"/>
                  </w14:solidFill>
                </w14:textFill>
              </w:rPr>
              <w:t>1,118,500.00</w:t>
            </w:r>
            <w:r>
              <w:rPr>
                <w:rFonts w:hint="eastAsia" w:ascii="宋体" w:hAnsi="宋体" w:cs="宋体"/>
                <w:color w:val="000000" w:themeColor="text1"/>
                <w:szCs w:val="21"/>
                <w:highlight w:val="none"/>
                <w14:textFill>
                  <w14:solidFill>
                    <w14:schemeClr w14:val="tx1"/>
                  </w14:solidFill>
                </w14:textFill>
              </w:rPr>
              <w:t>元</w:t>
            </w:r>
          </w:p>
        </w:tc>
      </w:tr>
      <w:tr w14:paraId="4D2F45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8" w:hRule="atLeast"/>
          <w:jc w:val="center"/>
        </w:trPr>
        <w:tc>
          <w:tcPr>
            <w:tcW w:w="1647" w:type="dxa"/>
            <w:vAlign w:val="center"/>
          </w:tcPr>
          <w:p w14:paraId="6CC07A50">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65C35BAC">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第18.1款</w:t>
            </w:r>
          </w:p>
        </w:tc>
        <w:tc>
          <w:tcPr>
            <w:tcW w:w="1666" w:type="dxa"/>
            <w:vAlign w:val="center"/>
          </w:tcPr>
          <w:p w14:paraId="7ACFCF57">
            <w:pPr>
              <w:keepNext w:val="0"/>
              <w:keepLines w:val="0"/>
              <w:suppressLineNumbers w:val="0"/>
              <w:adjustRightInd w:val="0"/>
              <w:snapToGrid w:val="0"/>
              <w:spacing w:before="0" w:beforeAutospacing="0" w:after="0" w:afterAutospacing="0" w:line="360" w:lineRule="auto"/>
              <w:ind w:left="-533" w:leftChars="-254" w:right="0" w:firstLine="533" w:firstLineChars="254"/>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磋商保证金</w:t>
            </w:r>
          </w:p>
        </w:tc>
        <w:tc>
          <w:tcPr>
            <w:tcW w:w="5837" w:type="dxa"/>
            <w:vAlign w:val="center"/>
          </w:tcPr>
          <w:p w14:paraId="776B2269">
            <w:pPr>
              <w:keepNext w:val="0"/>
              <w:keepLines w:val="0"/>
              <w:suppressLineNumbers w:val="0"/>
              <w:spacing w:before="0" w:beforeAutospacing="0" w:after="0" w:afterAutospacing="0" w:line="380" w:lineRule="atLeast"/>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□不要求提供</w:t>
            </w:r>
          </w:p>
          <w:p w14:paraId="7168FFB9">
            <w:pPr>
              <w:keepNext w:val="0"/>
              <w:keepLines w:val="0"/>
              <w:suppressLineNumbers w:val="0"/>
              <w:spacing w:before="0" w:beforeAutospacing="0" w:after="0" w:afterAutospacing="0" w:line="380" w:lineRule="atLeast"/>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sym w:font="Wingdings 2" w:char="F052"/>
            </w:r>
            <w:r>
              <w:rPr>
                <w:rFonts w:hint="eastAsia" w:ascii="宋体" w:hAnsi="宋体" w:cs="宋体"/>
                <w:color w:val="000000" w:themeColor="text1"/>
                <w:highlight w:val="none"/>
                <w14:textFill>
                  <w14:solidFill>
                    <w14:schemeClr w14:val="tx1"/>
                  </w14:solidFill>
                </w14:textFill>
              </w:rPr>
              <w:t>要求提供</w:t>
            </w:r>
          </w:p>
          <w:p w14:paraId="1F8C10E6">
            <w:pPr>
              <w:keepNext w:val="0"/>
              <w:keepLines w:val="0"/>
              <w:suppressLineNumbers w:val="0"/>
              <w:spacing w:before="0" w:beforeAutospacing="0" w:after="0" w:afterAutospacing="0" w:line="380" w:lineRule="atLeast"/>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1.形式：</w:t>
            </w:r>
            <w:r>
              <w:rPr>
                <w:rFonts w:hint="eastAsia" w:ascii="宋体" w:hAnsi="宋体" w:cs="宋体"/>
                <w:color w:val="000000" w:themeColor="text1"/>
                <w:highlight w:val="none"/>
                <w14:textFill>
                  <w14:solidFill>
                    <w14:schemeClr w14:val="tx1"/>
                  </w14:solidFill>
                </w14:textFill>
              </w:rPr>
              <w:sym w:font="Wingdings 2" w:char="F052"/>
            </w:r>
            <w:r>
              <w:rPr>
                <w:rFonts w:hint="eastAsia" w:ascii="宋体" w:hAnsi="宋体" w:cs="宋体"/>
                <w:color w:val="000000" w:themeColor="text1"/>
                <w:highlight w:val="none"/>
                <w14:textFill>
                  <w14:solidFill>
                    <w14:schemeClr w14:val="tx1"/>
                  </w14:solidFill>
                </w14:textFill>
              </w:rPr>
              <w:t>现金</w:t>
            </w:r>
            <w:r>
              <w:rPr>
                <w:rFonts w:hint="eastAsia" w:ascii="宋体" w:hAnsi="宋体" w:cs="宋体"/>
                <w:color w:val="000000" w:themeColor="text1"/>
                <w:highlight w:val="none"/>
                <w14:textFill>
                  <w14:solidFill>
                    <w14:schemeClr w14:val="tx1"/>
                  </w14:solidFill>
                </w14:textFill>
              </w:rPr>
              <w:sym w:font="Wingdings 2" w:char="F052"/>
            </w:r>
            <w:r>
              <w:rPr>
                <w:rFonts w:hint="eastAsia" w:ascii="宋体" w:hAnsi="宋体" w:cs="宋体"/>
                <w:color w:val="000000" w:themeColor="text1"/>
                <w:highlight w:val="none"/>
                <w14:textFill>
                  <w14:solidFill>
                    <w14:schemeClr w14:val="tx1"/>
                  </w14:solidFill>
                </w14:textFill>
              </w:rPr>
              <w:t>保函：金融机构、担保机构出具的保函</w:t>
            </w:r>
          </w:p>
          <w:p w14:paraId="289DD784">
            <w:pPr>
              <w:keepNext w:val="0"/>
              <w:keepLines w:val="0"/>
              <w:suppressLineNumbers w:val="0"/>
              <w:spacing w:before="0" w:beforeAutospacing="0" w:after="0" w:afterAutospacing="0" w:line="380" w:lineRule="atLeast"/>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2.保证金数额：</w:t>
            </w:r>
            <w:r>
              <w:rPr>
                <w:rFonts w:hint="eastAsia" w:ascii="宋体" w:hAnsi="宋体" w:cs="宋体"/>
                <w:b/>
                <w:bCs/>
                <w:color w:val="000000" w:themeColor="text1"/>
                <w:highlight w:val="none"/>
                <w14:textFill>
                  <w14:solidFill>
                    <w14:schemeClr w14:val="tx1"/>
                  </w14:solidFill>
                </w14:textFill>
              </w:rPr>
              <w:t>人民币壹万圆整（￥</w:t>
            </w:r>
            <w:r>
              <w:rPr>
                <w:rFonts w:hint="default" w:ascii="宋体" w:hAnsi="宋体" w:cs="宋体"/>
                <w:b/>
                <w:bCs/>
                <w:color w:val="000000" w:themeColor="text1"/>
                <w:highlight w:val="none"/>
                <w14:textFill>
                  <w14:solidFill>
                    <w14:schemeClr w14:val="tx1"/>
                  </w14:solidFill>
                </w14:textFill>
              </w:rPr>
              <w:t>10000</w:t>
            </w:r>
            <w:r>
              <w:rPr>
                <w:rFonts w:hint="eastAsia" w:ascii="宋体" w:hAnsi="宋体" w:cs="宋体"/>
                <w:b/>
                <w:bCs/>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w:t>
            </w:r>
          </w:p>
          <w:p w14:paraId="01C469C0">
            <w:pPr>
              <w:keepNext w:val="0"/>
              <w:keepLines w:val="0"/>
              <w:suppressLineNumbers w:val="0"/>
              <w:spacing w:before="0" w:beforeAutospacing="0" w:after="0" w:afterAutospacing="0" w:line="380" w:lineRule="atLeast"/>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3.提交方式：</w:t>
            </w:r>
          </w:p>
          <w:p w14:paraId="5BEEE3D6">
            <w:pPr>
              <w:keepNext w:val="0"/>
              <w:keepLines w:val="0"/>
              <w:suppressLineNumbers w:val="0"/>
              <w:spacing w:before="0" w:beforeAutospacing="0" w:after="0" w:afterAutospacing="0" w:line="380" w:lineRule="atLeast"/>
              <w:ind w:left="-103" w:leftChars="-49" w:right="0" w:firstLine="422" w:firstLineChars="201"/>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（1）采用现金的，在</w:t>
            </w:r>
            <w:r>
              <w:rPr>
                <w:rFonts w:hint="eastAsia" w:ascii="宋体" w:hAnsi="宋体" w:cs="宋体"/>
                <w:b/>
                <w:color w:val="000000" w:themeColor="text1"/>
                <w:szCs w:val="21"/>
                <w:highlight w:val="none"/>
                <w14:textFill>
                  <w14:solidFill>
                    <w14:schemeClr w14:val="tx1"/>
                  </w14:solidFill>
                </w14:textFill>
              </w:rPr>
              <w:t>投标截止时间前</w:t>
            </w:r>
            <w:r>
              <w:rPr>
                <w:rFonts w:hint="eastAsia" w:ascii="宋体" w:hAnsi="宋体" w:cs="宋体"/>
                <w:color w:val="000000" w:themeColor="text1"/>
                <w:highlight w:val="none"/>
                <w14:textFill>
                  <w14:solidFill>
                    <w14:schemeClr w14:val="tx1"/>
                  </w14:solidFill>
                </w14:textFill>
              </w:rPr>
              <w:t>（含），由供应商通过其基本账户转账到达如下账户：</w:t>
            </w:r>
          </w:p>
          <w:p w14:paraId="4E1E1BCA">
            <w:pPr>
              <w:keepNext w:val="0"/>
              <w:keepLines w:val="0"/>
              <w:suppressLineNumbers w:val="0"/>
              <w:adjustRightInd w:val="0"/>
              <w:snapToGrid w:val="0"/>
              <w:spacing w:before="0" w:beforeAutospacing="0" w:after="0" w:afterAutospacing="0" w:line="420" w:lineRule="exact"/>
              <w:ind w:left="0" w:right="0" w:firstLine="420" w:firstLineChars="200"/>
              <w:jc w:val="left"/>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开户名称：</w:t>
            </w:r>
            <w:r>
              <w:rPr>
                <w:rFonts w:hint="eastAsia" w:ascii="宋体" w:hAnsi="宋体"/>
                <w:color w:val="000000" w:themeColor="text1"/>
                <w:szCs w:val="21"/>
                <w:highlight w:val="none"/>
                <w:u w:val="single"/>
                <w14:textFill>
                  <w14:solidFill>
                    <w14:schemeClr w14:val="tx1"/>
                  </w14:solidFill>
                </w14:textFill>
              </w:rPr>
              <w:t>建银工程咨询有限责任公司湖南分公司</w:t>
            </w:r>
          </w:p>
          <w:p w14:paraId="5CD066C0">
            <w:pPr>
              <w:keepNext w:val="0"/>
              <w:keepLines w:val="0"/>
              <w:suppressLineNumbers w:val="0"/>
              <w:adjustRightInd w:val="0"/>
              <w:snapToGrid w:val="0"/>
              <w:spacing w:before="0" w:beforeAutospacing="0" w:after="0" w:afterAutospacing="0" w:line="420" w:lineRule="exact"/>
              <w:ind w:left="0" w:right="0" w:firstLine="420" w:firstLineChars="200"/>
              <w:jc w:val="left"/>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w:t>
            </w:r>
            <w:r>
              <w:rPr>
                <w:rFonts w:hint="default"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户</w:t>
            </w:r>
            <w:r>
              <w:rPr>
                <w:rFonts w:hint="default"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行：</w:t>
            </w:r>
            <w:r>
              <w:rPr>
                <w:rFonts w:hint="eastAsia" w:ascii="宋体" w:hAnsi="宋体"/>
                <w:color w:val="000000" w:themeColor="text1"/>
                <w:szCs w:val="21"/>
                <w:highlight w:val="none"/>
                <w:u w:val="single"/>
                <w14:textFill>
                  <w14:solidFill>
                    <w14:schemeClr w14:val="tx1"/>
                  </w14:solidFill>
                </w14:textFill>
              </w:rPr>
              <w:t>中国建设银行股份有限公司湖南省分行营业部</w:t>
            </w:r>
          </w:p>
          <w:p w14:paraId="2AFF9760">
            <w:pPr>
              <w:keepNext w:val="0"/>
              <w:keepLines w:val="0"/>
              <w:suppressLineNumbers w:val="0"/>
              <w:adjustRightInd w:val="0"/>
              <w:snapToGrid w:val="0"/>
              <w:spacing w:before="0" w:beforeAutospacing="0" w:after="0" w:afterAutospacing="0" w:line="420" w:lineRule="exact"/>
              <w:ind w:left="0" w:right="0" w:firstLine="420" w:firstLineChars="200"/>
              <w:jc w:val="left"/>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银行账号：</w:t>
            </w:r>
            <w:r>
              <w:rPr>
                <w:rFonts w:hint="default" w:ascii="宋体" w:hAnsi="宋体"/>
                <w:color w:val="000000" w:themeColor="text1"/>
                <w:szCs w:val="21"/>
                <w:highlight w:val="none"/>
                <w:u w:val="single"/>
                <w14:textFill>
                  <w14:solidFill>
                    <w14:schemeClr w14:val="tx1"/>
                  </w14:solidFill>
                </w14:textFill>
              </w:rPr>
              <w:t>430501 863636 000003 64</w:t>
            </w:r>
          </w:p>
          <w:p w14:paraId="7DE8767A">
            <w:pPr>
              <w:keepNext w:val="0"/>
              <w:keepLines w:val="0"/>
              <w:suppressLineNumbers w:val="0"/>
              <w:spacing w:before="0" w:beforeAutospacing="0" w:after="0" w:afterAutospacing="0" w:line="380" w:lineRule="atLeast"/>
              <w:ind w:left="0" w:right="0"/>
              <w:rPr>
                <w:rFonts w:hint="default"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.其他：</w:t>
            </w:r>
          </w:p>
          <w:p w14:paraId="76BBC955">
            <w:pPr>
              <w:keepNext w:val="0"/>
              <w:keepLines w:val="0"/>
              <w:suppressLineNumbers w:val="0"/>
              <w:spacing w:before="0" w:beforeAutospacing="0" w:after="0" w:afterAutospacing="0" w:line="380" w:lineRule="atLeast"/>
              <w:ind w:left="0" w:right="0"/>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供应商采用银行转账、银行电汇、银行汇票方式提交投标保证金的，应以供应商自身名义通过其基本账户一次性足额提交到专用账户,具体户名、开户银行、账号等信息见上述：</w:t>
            </w:r>
          </w:p>
        </w:tc>
      </w:tr>
      <w:tr w14:paraId="1744D2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09D547A4">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7FA9181B">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第19.1款</w:t>
            </w:r>
          </w:p>
        </w:tc>
        <w:tc>
          <w:tcPr>
            <w:tcW w:w="1666" w:type="dxa"/>
            <w:vAlign w:val="center"/>
          </w:tcPr>
          <w:p w14:paraId="447ADA93">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响应文件</w:t>
            </w:r>
          </w:p>
          <w:p w14:paraId="21B2CBD6">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有效期</w:t>
            </w:r>
          </w:p>
        </w:tc>
        <w:tc>
          <w:tcPr>
            <w:tcW w:w="5837" w:type="dxa"/>
            <w:vAlign w:val="center"/>
          </w:tcPr>
          <w:p w14:paraId="45DC9E81">
            <w:pPr>
              <w:keepNext w:val="0"/>
              <w:keepLines w:val="0"/>
              <w:suppressLineNumbers w:val="0"/>
              <w:adjustRightInd w:val="0"/>
              <w:snapToGrid w:val="0"/>
              <w:spacing w:before="0" w:beforeAutospacing="0" w:after="0" w:afterAutospacing="0" w:line="360" w:lineRule="auto"/>
              <w:ind w:left="0" w:right="0"/>
              <w:rPr>
                <w:rFonts w:hint="default"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90 </w:t>
            </w:r>
            <w:r>
              <w:rPr>
                <w:rFonts w:hint="eastAsia" w:ascii="宋体" w:hAnsi="宋体"/>
                <w:color w:val="000000" w:themeColor="text1"/>
                <w:szCs w:val="21"/>
                <w:highlight w:val="none"/>
                <w14:textFill>
                  <w14:solidFill>
                    <w14:schemeClr w14:val="tx1"/>
                  </w14:solidFill>
                </w14:textFill>
              </w:rPr>
              <w:t>日（日历日）</w:t>
            </w:r>
          </w:p>
        </w:tc>
      </w:tr>
      <w:tr w14:paraId="76F2E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385C8C0A">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4463BE3A">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第20.1款</w:t>
            </w:r>
          </w:p>
        </w:tc>
        <w:tc>
          <w:tcPr>
            <w:tcW w:w="1666" w:type="dxa"/>
            <w:vAlign w:val="center"/>
          </w:tcPr>
          <w:p w14:paraId="0994D522">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响应</w:t>
            </w:r>
            <w:r>
              <w:rPr>
                <w:rFonts w:hint="eastAsia" w:ascii="宋体" w:hAnsi="宋体"/>
                <w:color w:val="000000" w:themeColor="text1"/>
                <w:szCs w:val="21"/>
                <w:highlight w:val="none"/>
                <w14:textFill>
                  <w14:solidFill>
                    <w14:schemeClr w14:val="tx1"/>
                  </w14:solidFill>
                </w14:textFill>
              </w:rPr>
              <w:t>文件副本及电子文件</w:t>
            </w:r>
          </w:p>
          <w:p w14:paraId="79FF4B7C">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份数</w:t>
            </w:r>
          </w:p>
        </w:tc>
        <w:tc>
          <w:tcPr>
            <w:tcW w:w="5837" w:type="dxa"/>
            <w:vAlign w:val="center"/>
          </w:tcPr>
          <w:p w14:paraId="47865177">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正本1份，副本2份，</w:t>
            </w:r>
            <w:r>
              <w:rPr>
                <w:rFonts w:hint="eastAsia" w:ascii="宋体" w:hAnsi="宋体" w:cs="宋体"/>
                <w:b/>
                <w:color w:val="000000" w:themeColor="text1"/>
                <w:szCs w:val="21"/>
                <w:highlight w:val="none"/>
                <w14:textFill>
                  <w14:solidFill>
                    <w14:schemeClr w14:val="tx1"/>
                  </w14:solidFill>
                </w14:textFill>
              </w:rPr>
              <w:t>电子版文档1份（U盘，word版本及纸质版正本已签字、盖章的彩色扫描件）</w:t>
            </w:r>
            <w:r>
              <w:rPr>
                <w:rFonts w:hint="eastAsia" w:ascii="宋体" w:hAnsi="宋体" w:cs="宋体"/>
                <w:color w:val="000000" w:themeColor="text1"/>
                <w:szCs w:val="21"/>
                <w:highlight w:val="none"/>
                <w14:textFill>
                  <w14:solidFill>
                    <w14:schemeClr w14:val="tx1"/>
                  </w14:solidFill>
                </w14:textFill>
              </w:rPr>
              <w:t>，并在响应文件封面上明确写明“正本”或“副本”，正本和副本内容如不一致，以正本为准。响应文件的正本与副本均应装订成册（胶装），不得采用活页夹。电子版文件在响应文件递交时一并提交。</w:t>
            </w:r>
          </w:p>
        </w:tc>
      </w:tr>
      <w:tr w14:paraId="668224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0" w:hRule="atLeast"/>
          <w:jc w:val="center"/>
        </w:trPr>
        <w:tc>
          <w:tcPr>
            <w:tcW w:w="9150" w:type="dxa"/>
            <w:gridSpan w:val="3"/>
            <w:vAlign w:val="center"/>
          </w:tcPr>
          <w:p w14:paraId="10A8DF15">
            <w:pPr>
              <w:keepNext w:val="0"/>
              <w:keepLines w:val="0"/>
              <w:suppressLineNumbers w:val="0"/>
              <w:adjustRightInd w:val="0"/>
              <w:snapToGrid w:val="0"/>
              <w:spacing w:before="0" w:beforeAutospacing="0" w:after="0" w:afterAutospacing="0" w:line="360" w:lineRule="auto"/>
              <w:ind w:left="0" w:right="0"/>
              <w:rPr>
                <w:rFonts w:hint="default" w:ascii="宋体" w:hAnsi="宋体"/>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四、响应文件的递交</w:t>
            </w:r>
          </w:p>
        </w:tc>
      </w:tr>
      <w:tr w14:paraId="39750E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62" w:hRule="atLeast"/>
          <w:jc w:val="center"/>
        </w:trPr>
        <w:tc>
          <w:tcPr>
            <w:tcW w:w="1647" w:type="dxa"/>
            <w:vAlign w:val="center"/>
          </w:tcPr>
          <w:p w14:paraId="264C1242">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5746C05A">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第21.1款</w:t>
            </w:r>
          </w:p>
        </w:tc>
        <w:tc>
          <w:tcPr>
            <w:tcW w:w="1666" w:type="dxa"/>
            <w:vAlign w:val="center"/>
          </w:tcPr>
          <w:p w14:paraId="0018F617">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响应文件密封</w:t>
            </w:r>
          </w:p>
        </w:tc>
        <w:tc>
          <w:tcPr>
            <w:tcW w:w="5837" w:type="dxa"/>
            <w:vAlign w:val="center"/>
          </w:tcPr>
          <w:p w14:paraId="70DAB3B4">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响应文件应密封包装，加贴封条，并在封套的封口处盖投标人单位公章或者由法定代表人或委托代理人签字。</w:t>
            </w:r>
          </w:p>
        </w:tc>
      </w:tr>
      <w:tr w14:paraId="70406F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95" w:hRule="atLeast"/>
          <w:jc w:val="center"/>
        </w:trPr>
        <w:tc>
          <w:tcPr>
            <w:tcW w:w="1647" w:type="dxa"/>
            <w:vAlign w:val="center"/>
          </w:tcPr>
          <w:p w14:paraId="7272621B">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1A278F2D">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第21.2款</w:t>
            </w:r>
          </w:p>
        </w:tc>
        <w:tc>
          <w:tcPr>
            <w:tcW w:w="1666" w:type="dxa"/>
            <w:vAlign w:val="center"/>
          </w:tcPr>
          <w:p w14:paraId="58CEE9D2">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封套上应载明的信息</w:t>
            </w:r>
          </w:p>
        </w:tc>
        <w:tc>
          <w:tcPr>
            <w:tcW w:w="5837" w:type="dxa"/>
            <w:vAlign w:val="center"/>
          </w:tcPr>
          <w:p w14:paraId="75A181B5">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（项目名称）响应文件</w:t>
            </w:r>
          </w:p>
          <w:p w14:paraId="14627E88">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委托代理编号：</w:t>
            </w:r>
            <w:r>
              <w:rPr>
                <w:rFonts w:hint="eastAsia" w:ascii="宋体" w:hAnsi="宋体"/>
                <w:color w:val="000000" w:themeColor="text1"/>
                <w:szCs w:val="21"/>
                <w:highlight w:val="none"/>
                <w:u w:val="single"/>
                <w14:textFill>
                  <w14:solidFill>
                    <w14:schemeClr w14:val="tx1"/>
                  </w14:solidFill>
                </w14:textFill>
              </w:rPr>
              <w:t xml:space="preserve">                 </w:t>
            </w:r>
          </w:p>
          <w:p w14:paraId="3ACA2A88">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供应商名称：</w:t>
            </w:r>
            <w:r>
              <w:rPr>
                <w:rFonts w:hint="eastAsia" w:ascii="宋体" w:hAnsi="宋体"/>
                <w:color w:val="000000" w:themeColor="text1"/>
                <w:szCs w:val="21"/>
                <w:highlight w:val="none"/>
                <w:u w:val="single"/>
                <w14:textFill>
                  <w14:solidFill>
                    <w14:schemeClr w14:val="tx1"/>
                  </w14:solidFill>
                </w14:textFill>
              </w:rPr>
              <w:t xml:space="preserve">                   </w:t>
            </w:r>
          </w:p>
          <w:p w14:paraId="2A2E6DA6">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时</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分（北京时间）之前不得启封</w:t>
            </w:r>
          </w:p>
        </w:tc>
      </w:tr>
      <w:tr w14:paraId="6736D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3" w:hRule="atLeast"/>
          <w:jc w:val="center"/>
        </w:trPr>
        <w:tc>
          <w:tcPr>
            <w:tcW w:w="1647" w:type="dxa"/>
            <w:vAlign w:val="center"/>
          </w:tcPr>
          <w:p w14:paraId="29DAE17C">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74595BA8">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第23.1款</w:t>
            </w:r>
          </w:p>
        </w:tc>
        <w:tc>
          <w:tcPr>
            <w:tcW w:w="1666" w:type="dxa"/>
            <w:vAlign w:val="center"/>
          </w:tcPr>
          <w:p w14:paraId="036863B6">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响应文件的递交地点</w:t>
            </w:r>
          </w:p>
        </w:tc>
        <w:tc>
          <w:tcPr>
            <w:tcW w:w="5837" w:type="dxa"/>
            <w:vAlign w:val="center"/>
          </w:tcPr>
          <w:p w14:paraId="46AC50B4">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见第一章</w:t>
            </w:r>
          </w:p>
        </w:tc>
      </w:tr>
      <w:tr w14:paraId="774C75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jc w:val="center"/>
        </w:trPr>
        <w:tc>
          <w:tcPr>
            <w:tcW w:w="9150" w:type="dxa"/>
            <w:gridSpan w:val="3"/>
            <w:vAlign w:val="center"/>
          </w:tcPr>
          <w:p w14:paraId="5D080952">
            <w:pPr>
              <w:keepNext w:val="0"/>
              <w:keepLines w:val="0"/>
              <w:suppressLineNumbers w:val="0"/>
              <w:adjustRightInd w:val="0"/>
              <w:snapToGrid w:val="0"/>
              <w:spacing w:before="0" w:beforeAutospacing="0" w:after="0" w:afterAutospacing="0" w:line="360" w:lineRule="auto"/>
              <w:ind w:left="0" w:right="0"/>
              <w:rPr>
                <w:rFonts w:hint="default"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五、响应文件的磋商与评审</w:t>
            </w:r>
          </w:p>
        </w:tc>
      </w:tr>
      <w:tr w14:paraId="13BEFE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3F0E84F1">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67B6131B">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第30.2款</w:t>
            </w:r>
          </w:p>
        </w:tc>
        <w:tc>
          <w:tcPr>
            <w:tcW w:w="1666" w:type="dxa"/>
            <w:vAlign w:val="center"/>
          </w:tcPr>
          <w:p w14:paraId="69F3BED6">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评审因素和标准</w:t>
            </w:r>
          </w:p>
        </w:tc>
        <w:tc>
          <w:tcPr>
            <w:tcW w:w="5837" w:type="dxa"/>
            <w:vAlign w:val="center"/>
          </w:tcPr>
          <w:p w14:paraId="06346752">
            <w:pPr>
              <w:keepNext w:val="0"/>
              <w:keepLines w:val="0"/>
              <w:suppressLineNumbers w:val="0"/>
              <w:adjustRightInd w:val="0"/>
              <w:snapToGrid w:val="0"/>
              <w:spacing w:before="0" w:beforeAutospacing="0" w:after="0" w:afterAutospacing="0" w:line="360" w:lineRule="auto"/>
              <w:ind w:left="0" w:right="0"/>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详见附页</w:t>
            </w:r>
            <w:r>
              <w:rPr>
                <w:rFonts w:hint="default" w:ascii="宋体" w:hAnsi="宋体"/>
                <w:bCs/>
                <w:color w:val="000000" w:themeColor="text1"/>
                <w:szCs w:val="21"/>
                <w:highlight w:val="none"/>
                <w14:textFill>
                  <w14:solidFill>
                    <w14:schemeClr w14:val="tx1"/>
                  </w14:solidFill>
                </w14:textFill>
              </w:rPr>
              <w:t>1</w:t>
            </w:r>
          </w:p>
        </w:tc>
      </w:tr>
      <w:tr w14:paraId="194956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478132EF">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4036229A">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第30.3款</w:t>
            </w:r>
          </w:p>
        </w:tc>
        <w:tc>
          <w:tcPr>
            <w:tcW w:w="1666" w:type="dxa"/>
            <w:vAlign w:val="center"/>
          </w:tcPr>
          <w:p w14:paraId="2124B792">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最后报价</w:t>
            </w:r>
            <w:r>
              <w:rPr>
                <w:rFonts w:hint="eastAsia" w:ascii="宋体" w:hAnsi="宋体"/>
                <w:color w:val="000000" w:themeColor="text1"/>
                <w:szCs w:val="21"/>
                <w:highlight w:val="none"/>
                <w14:textFill>
                  <w14:solidFill>
                    <w14:schemeClr w14:val="tx1"/>
                  </w14:solidFill>
                </w14:textFill>
              </w:rPr>
              <w:t>调整</w:t>
            </w:r>
          </w:p>
        </w:tc>
        <w:tc>
          <w:tcPr>
            <w:tcW w:w="5837" w:type="dxa"/>
            <w:vAlign w:val="center"/>
          </w:tcPr>
          <w:p w14:paraId="19E57A94">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政府采购支持中小企业发展：</w:t>
            </w:r>
            <w:r>
              <w:rPr>
                <w:rFonts w:hint="eastAsia" w:ascii="宋体" w:hAnsi="宋体"/>
                <w:color w:val="000000" w:themeColor="text1"/>
                <w:szCs w:val="21"/>
                <w:highlight w:val="none"/>
                <w14:textFill>
                  <w14:solidFill>
                    <w14:schemeClr w14:val="tx1"/>
                  </w14:solidFill>
                </w14:textFill>
              </w:rPr>
              <w:t>小型或微型企业，</w:t>
            </w:r>
            <w:r>
              <w:rPr>
                <w:rFonts w:hint="eastAsia" w:ascii="宋体" w:hAnsi="宋体" w:cs="宋体"/>
                <w:color w:val="000000" w:themeColor="text1"/>
                <w:kern w:val="0"/>
                <w:szCs w:val="21"/>
                <w:highlight w:val="none"/>
                <w14:textFill>
                  <w14:solidFill>
                    <w14:schemeClr w14:val="tx1"/>
                  </w14:solidFill>
                </w14:textFill>
              </w:rPr>
              <w:t>最后报价</w:t>
            </w:r>
            <w:r>
              <w:rPr>
                <w:rFonts w:hint="eastAsia" w:ascii="宋体" w:hAnsi="宋体"/>
                <w:color w:val="000000" w:themeColor="text1"/>
                <w:szCs w:val="21"/>
                <w:highlight w:val="none"/>
                <w14:textFill>
                  <w14:solidFill>
                    <w14:schemeClr w14:val="tx1"/>
                  </w14:solidFill>
                </w14:textFill>
              </w:rPr>
              <w:t>扣除比例为</w:t>
            </w:r>
            <w:r>
              <w:rPr>
                <w:rFonts w:hint="default" w:ascii="宋体" w:hAnsi="宋体"/>
                <w:color w:val="000000" w:themeColor="text1"/>
                <w:szCs w:val="21"/>
                <w:highlight w:val="none"/>
                <w:u w:val="singl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％；联合体参与磋商的，最后报价扣除比例为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%。评审时，用扣除后的最后承诺计算价格分。</w:t>
            </w:r>
          </w:p>
        </w:tc>
      </w:tr>
      <w:tr w14:paraId="1A8249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522CE0A5">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5AB4B5FF">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第30.5款</w:t>
            </w:r>
          </w:p>
        </w:tc>
        <w:tc>
          <w:tcPr>
            <w:tcW w:w="1666" w:type="dxa"/>
            <w:vAlign w:val="center"/>
          </w:tcPr>
          <w:p w14:paraId="6062FF31">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技术、商务、价格</w:t>
            </w:r>
            <w:r>
              <w:rPr>
                <w:rFonts w:hint="eastAsia" w:ascii="宋体" w:hAnsi="宋体" w:cs="宋体"/>
                <w:color w:val="000000" w:themeColor="text1"/>
                <w:kern w:val="0"/>
                <w:szCs w:val="21"/>
                <w:highlight w:val="none"/>
                <w14:textFill>
                  <w14:solidFill>
                    <w14:schemeClr w14:val="tx1"/>
                  </w14:solidFill>
                </w14:textFill>
              </w:rPr>
              <w:t>得分或总得分</w:t>
            </w:r>
            <w:r>
              <w:rPr>
                <w:rFonts w:hint="eastAsia" w:ascii="宋体" w:hAnsi="宋体"/>
                <w:color w:val="000000" w:themeColor="text1"/>
                <w:szCs w:val="21"/>
                <w:highlight w:val="none"/>
                <w14:textFill>
                  <w14:solidFill>
                    <w14:schemeClr w14:val="tx1"/>
                  </w14:solidFill>
                </w14:textFill>
              </w:rPr>
              <w:t>调整</w:t>
            </w:r>
          </w:p>
        </w:tc>
        <w:tc>
          <w:tcPr>
            <w:tcW w:w="5837" w:type="dxa"/>
            <w:vAlign w:val="center"/>
          </w:tcPr>
          <w:p w14:paraId="144FA2A3">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符合第二章第9</w:t>
            </w:r>
            <w:r>
              <w:rPr>
                <w:rFonts w:hint="default"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1款规定，按第二章第31.6款规定及本款分值调整：</w:t>
            </w:r>
          </w:p>
          <w:p w14:paraId="1F47AF77">
            <w:pPr>
              <w:keepNext w:val="0"/>
              <w:keepLines w:val="0"/>
              <w:numPr>
                <w:ilvl w:val="0"/>
                <w:numId w:val="2"/>
              </w:numPr>
              <w:suppressLineNumbers w:val="0"/>
              <w:adjustRightInd w:val="0"/>
              <w:snapToGrid w:val="0"/>
              <w:spacing w:before="0" w:beforeAutospacing="0" w:after="0" w:afterAutospacing="0" w:line="360" w:lineRule="auto"/>
              <w:ind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节能产品：</w:t>
            </w:r>
          </w:p>
          <w:p w14:paraId="294B93C7">
            <w:pPr>
              <w:keepNext w:val="0"/>
              <w:keepLines w:val="0"/>
              <w:suppressLineNumbers w:val="0"/>
              <w:adjustRightInd w:val="0"/>
              <w:snapToGrid w:val="0"/>
              <w:spacing w:before="0" w:beforeAutospacing="0" w:after="0" w:afterAutospacing="0" w:line="360" w:lineRule="auto"/>
              <w:ind w:left="0" w:right="0" w:firstLine="105" w:firstLineChars="5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技术加分＝技术分值×加分比例（比例见前附表第38.1项,下同）×（节能产品最后报价÷最后总报价）；</w:t>
            </w:r>
          </w:p>
          <w:p w14:paraId="51CFCF27">
            <w:pPr>
              <w:keepNext w:val="0"/>
              <w:keepLines w:val="0"/>
              <w:suppressLineNumbers w:val="0"/>
              <w:adjustRightInd w:val="0"/>
              <w:snapToGrid w:val="0"/>
              <w:spacing w:before="0" w:beforeAutospacing="0" w:after="0" w:afterAutospacing="0" w:line="360" w:lineRule="auto"/>
              <w:ind w:left="315" w:leftChars="50" w:right="0" w:hanging="210" w:hangingChars="10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价格加分＝价格分值×加分比例×（节能产品最后报价÷最</w:t>
            </w:r>
          </w:p>
          <w:p w14:paraId="217FEB2E">
            <w:pPr>
              <w:keepNext w:val="0"/>
              <w:keepLines w:val="0"/>
              <w:suppressLineNumbers w:val="0"/>
              <w:adjustRightInd w:val="0"/>
              <w:snapToGrid w:val="0"/>
              <w:spacing w:before="0" w:beforeAutospacing="0" w:after="0" w:afterAutospacing="0" w:line="360" w:lineRule="auto"/>
              <w:ind w:left="315" w:leftChars="50" w:right="0" w:hanging="210" w:hangingChars="10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后总报价）。</w:t>
            </w:r>
          </w:p>
          <w:p w14:paraId="54E798E3">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2、环境标志产品：</w:t>
            </w:r>
          </w:p>
          <w:p w14:paraId="7AA824B1">
            <w:pPr>
              <w:keepNext w:val="0"/>
              <w:keepLines w:val="0"/>
              <w:suppressLineNumbers w:val="0"/>
              <w:adjustRightInd w:val="0"/>
              <w:snapToGrid w:val="0"/>
              <w:spacing w:before="0" w:beforeAutospacing="0" w:after="0" w:afterAutospacing="0" w:line="360" w:lineRule="auto"/>
              <w:ind w:left="0" w:right="0" w:firstLine="105" w:firstLineChars="5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技术加分＝技术分值×加分比例×（环境标志产品最后报价÷最后总报价）；</w:t>
            </w:r>
          </w:p>
          <w:p w14:paraId="7AD43E97">
            <w:pPr>
              <w:keepNext w:val="0"/>
              <w:keepLines w:val="0"/>
              <w:suppressLineNumbers w:val="0"/>
              <w:adjustRightInd w:val="0"/>
              <w:snapToGrid w:val="0"/>
              <w:spacing w:before="0" w:beforeAutospacing="0" w:after="0" w:afterAutospacing="0" w:line="360" w:lineRule="auto"/>
              <w:ind w:left="315" w:leftChars="50" w:right="0" w:hanging="210" w:hangingChars="10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价格加分＝价格分值×加分比例×（环境标志产品最后报价</w:t>
            </w:r>
          </w:p>
          <w:p w14:paraId="26C438FD">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÷最后总报价）。</w:t>
            </w:r>
          </w:p>
          <w:p w14:paraId="4D42CFFB">
            <w:pPr>
              <w:keepNext w:val="0"/>
              <w:keepLines w:val="0"/>
              <w:suppressLineNumbers w:val="0"/>
              <w:adjustRightInd w:val="0"/>
              <w:snapToGrid w:val="0"/>
              <w:spacing w:before="0" w:beforeAutospacing="0" w:after="0" w:afterAutospacing="0" w:line="360" w:lineRule="auto"/>
              <w:ind w:left="210" w:right="0" w:hanging="210" w:hangingChars="10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3、两型产品：</w:t>
            </w:r>
          </w:p>
          <w:p w14:paraId="1092EDC7">
            <w:pPr>
              <w:keepNext w:val="0"/>
              <w:keepLines w:val="0"/>
              <w:suppressLineNumbers w:val="0"/>
              <w:adjustRightInd w:val="0"/>
              <w:snapToGrid w:val="0"/>
              <w:spacing w:before="0" w:beforeAutospacing="0" w:after="0" w:afterAutospacing="0" w:line="360" w:lineRule="auto"/>
              <w:ind w:left="0" w:right="0" w:firstLine="105" w:firstLineChars="5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商务加分＝商务分值×加分比例×（两型产品最后报价÷最后总报价）；</w:t>
            </w:r>
          </w:p>
          <w:p w14:paraId="0E679F2A">
            <w:pPr>
              <w:keepNext w:val="0"/>
              <w:keepLines w:val="0"/>
              <w:suppressLineNumbers w:val="0"/>
              <w:adjustRightInd w:val="0"/>
              <w:snapToGrid w:val="0"/>
              <w:spacing w:before="0" w:beforeAutospacing="0" w:after="0" w:afterAutospacing="0" w:line="360" w:lineRule="auto"/>
              <w:ind w:left="0" w:right="0" w:firstLine="105" w:firstLineChars="5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技术加分＝技术分值×加分比例×（两型产品最后报价÷最后总报价）；</w:t>
            </w:r>
          </w:p>
          <w:p w14:paraId="05EC9CDA">
            <w:pPr>
              <w:keepNext w:val="0"/>
              <w:keepLines w:val="0"/>
              <w:suppressLineNumbers w:val="0"/>
              <w:adjustRightInd w:val="0"/>
              <w:snapToGrid w:val="0"/>
              <w:spacing w:before="0" w:beforeAutospacing="0" w:after="0" w:afterAutospacing="0" w:line="360" w:lineRule="auto"/>
              <w:ind w:left="315" w:leftChars="50" w:right="0" w:hanging="210" w:hangingChars="10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价格加分＝价格分值×加分比例×（两型产品最后报价÷最</w:t>
            </w:r>
          </w:p>
          <w:p w14:paraId="0AE7BA44">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后总报价）。</w:t>
            </w:r>
          </w:p>
        </w:tc>
      </w:tr>
      <w:tr w14:paraId="0B9422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1FD90014">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7CE0AC5C">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第30.6款</w:t>
            </w:r>
          </w:p>
        </w:tc>
        <w:tc>
          <w:tcPr>
            <w:tcW w:w="1666" w:type="dxa"/>
            <w:vAlign w:val="center"/>
          </w:tcPr>
          <w:p w14:paraId="2DB92D61">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多处或部分获得政府采购政策优惠的计算方法（本项目不适用）</w:t>
            </w:r>
          </w:p>
        </w:tc>
        <w:tc>
          <w:tcPr>
            <w:tcW w:w="5837" w:type="dxa"/>
            <w:vAlign w:val="center"/>
          </w:tcPr>
          <w:p w14:paraId="097D889D">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1、符合政府采购优先采购政策的，产品只能享受节能产品、环境标志产品、两型产品等产品优惠中的一项(由供应商在响应文件中选择并填报政策功能编码，评审时进行加分)。</w:t>
            </w:r>
          </w:p>
          <w:p w14:paraId="3574B809">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2、供应商享受支持中小企业发展政策优惠的，可以与同时享受节能产品、环境标志产品、两型产品等产品优惠中的一项累加。</w:t>
            </w:r>
          </w:p>
          <w:p w14:paraId="3B022883">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3、同一项目中部分产品属于优先采购政策的，评审时只对该部分产品的报价实行价格扣除或加分（按该部分产品的报价占总报价的百分比调整）。</w:t>
            </w:r>
          </w:p>
        </w:tc>
      </w:tr>
      <w:tr w14:paraId="22A3CB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9150" w:type="dxa"/>
            <w:gridSpan w:val="3"/>
            <w:vAlign w:val="center"/>
          </w:tcPr>
          <w:p w14:paraId="339FD080">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六、成交结果信息公布与授予合同</w:t>
            </w:r>
          </w:p>
        </w:tc>
      </w:tr>
      <w:tr w14:paraId="46C264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269D4BAA">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4315DB73">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第36.1款</w:t>
            </w:r>
          </w:p>
        </w:tc>
        <w:tc>
          <w:tcPr>
            <w:tcW w:w="1666" w:type="dxa"/>
            <w:vAlign w:val="center"/>
          </w:tcPr>
          <w:p w14:paraId="4BE987A6">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指定的媒体</w:t>
            </w:r>
          </w:p>
        </w:tc>
        <w:tc>
          <w:tcPr>
            <w:tcW w:w="5837" w:type="dxa"/>
            <w:vAlign w:val="center"/>
          </w:tcPr>
          <w:p w14:paraId="17475297">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中国政府采购网、中国招标投标公共服务平台、中南大学湘雅医院官网</w:t>
            </w:r>
          </w:p>
        </w:tc>
      </w:tr>
      <w:tr w14:paraId="5286B2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0E405389">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2E528B22">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第38.3款</w:t>
            </w:r>
          </w:p>
        </w:tc>
        <w:tc>
          <w:tcPr>
            <w:tcW w:w="1666" w:type="dxa"/>
            <w:vAlign w:val="center"/>
          </w:tcPr>
          <w:p w14:paraId="082396BD">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履约担保</w:t>
            </w:r>
          </w:p>
        </w:tc>
        <w:tc>
          <w:tcPr>
            <w:tcW w:w="5837" w:type="dxa"/>
            <w:vAlign w:val="center"/>
          </w:tcPr>
          <w:p w14:paraId="34E4F0A6">
            <w:pPr>
              <w:pStyle w:val="2"/>
              <w:keepNext w:val="0"/>
              <w:keepLines w:val="0"/>
              <w:suppressLineNumbers w:val="0"/>
              <w:adjustRightInd w:val="0"/>
              <w:snapToGrid w:val="0"/>
              <w:spacing w:before="0" w:beforeAutospacing="0" w:afterAutospacing="0" w:line="360" w:lineRule="auto"/>
              <w:ind w:left="0" w:right="0"/>
              <w:rPr>
                <w:rFonts w:hint="default"/>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w:t>
            </w:r>
          </w:p>
          <w:p w14:paraId="0599671C">
            <w:pPr>
              <w:pStyle w:val="2"/>
              <w:keepNext w:val="0"/>
              <w:keepLines w:val="0"/>
              <w:suppressLineNumbers w:val="0"/>
              <w:spacing w:before="0" w:beforeAutospacing="0" w:afterAutospacing="0"/>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担保金额：</w:t>
            </w:r>
            <w:r>
              <w:rPr>
                <w:rFonts w:hint="eastAsia"/>
                <w:color w:val="000000" w:themeColor="text1"/>
                <w:sz w:val="21"/>
                <w:szCs w:val="21"/>
                <w:highlight w:val="none"/>
                <w:u w:val="single"/>
                <w:lang w:val="en-US" w:eastAsia="zh-CN"/>
                <w14:textFill>
                  <w14:solidFill>
                    <w14:schemeClr w14:val="tx1"/>
                  </w14:solidFill>
                </w14:textFill>
              </w:rPr>
              <w:t>合同金额的10%</w:t>
            </w:r>
          </w:p>
          <w:p w14:paraId="57EE9359">
            <w:pPr>
              <w:pStyle w:val="2"/>
              <w:keepNext w:val="0"/>
              <w:keepLines w:val="0"/>
              <w:suppressLineNumbers w:val="0"/>
              <w:spacing w:before="0" w:beforeAutospacing="0" w:afterAutospacing="0"/>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担保形式：</w:t>
            </w:r>
            <w:r>
              <w:rPr>
                <w:rFonts w:hint="eastAsia"/>
                <w:color w:val="000000" w:themeColor="text1"/>
                <w:sz w:val="21"/>
                <w:szCs w:val="21"/>
                <w:highlight w:val="none"/>
                <w:u w:val="single"/>
                <w:lang w:val="en-US" w:eastAsia="zh-CN"/>
                <w14:textFill>
                  <w14:solidFill>
                    <w14:schemeClr w14:val="tx1"/>
                  </w14:solidFill>
                </w14:textFill>
              </w:rPr>
              <w:t>银行转账或银行保函</w:t>
            </w:r>
            <w:r>
              <w:rPr>
                <w:rFonts w:hint="eastAsia" w:ascii="宋体" w:hAnsi="宋体"/>
                <w:color w:val="000000" w:themeColor="text1"/>
                <w:szCs w:val="21"/>
                <w:highlight w:val="none"/>
                <w14:textFill>
                  <w14:solidFill>
                    <w14:schemeClr w14:val="tx1"/>
                  </w14:solidFill>
                </w14:textFill>
              </w:rPr>
              <w:t>提交时间：合同签订前</w:t>
            </w:r>
          </w:p>
          <w:p w14:paraId="7CA43C0D">
            <w:pPr>
              <w:pStyle w:val="2"/>
              <w:keepNext w:val="0"/>
              <w:keepLines w:val="0"/>
              <w:suppressLineNumbers w:val="0"/>
              <w:spacing w:before="0" w:beforeAutospacing="0" w:afterAutospacing="0"/>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担保期限：履约担保期限以乙方提交给甲方的日期为起始日期，至项目验收合格。</w:t>
            </w:r>
          </w:p>
          <w:p w14:paraId="077737E0">
            <w:pPr>
              <w:pStyle w:val="2"/>
              <w:keepNext w:val="0"/>
              <w:keepLines w:val="0"/>
              <w:suppressLineNumbers w:val="0"/>
              <w:spacing w:before="0" w:beforeAutospacing="0" w:afterAutospacing="0"/>
              <w:ind w:left="0" w:right="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其它要求：履约担保到期后，</w:t>
            </w:r>
            <w:r>
              <w:rPr>
                <w:rFonts w:hint="eastAsia" w:ascii="宋体" w:hAnsi="宋体"/>
                <w:color w:val="000000" w:themeColor="text1"/>
                <w:szCs w:val="21"/>
                <w:highlight w:val="none"/>
                <w14:textFill>
                  <w14:solidFill>
                    <w14:schemeClr w14:val="tx1"/>
                  </w14:solidFill>
                </w14:textFill>
              </w:rPr>
              <w:t>乙方</w:t>
            </w:r>
            <w:r>
              <w:rPr>
                <w:rFonts w:hint="eastAsia" w:ascii="宋体" w:hAnsi="宋体" w:cs="宋体"/>
                <w:color w:val="000000" w:themeColor="text1"/>
                <w:szCs w:val="21"/>
                <w:highlight w:val="none"/>
                <w14:textFill>
                  <w14:solidFill>
                    <w14:schemeClr w14:val="tx1"/>
                  </w14:solidFill>
                </w14:textFill>
              </w:rPr>
              <w:t>无违约行为的，甲方退还履约担保给乙方（不支付利息）。乙方有违约行为的，甲方从乙方履约担保中或结算款中扣除违约金。</w:t>
            </w:r>
          </w:p>
        </w:tc>
      </w:tr>
      <w:tr w14:paraId="55C7A9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4" w:hRule="atLeast"/>
          <w:jc w:val="center"/>
        </w:trPr>
        <w:tc>
          <w:tcPr>
            <w:tcW w:w="9150" w:type="dxa"/>
            <w:gridSpan w:val="3"/>
            <w:vAlign w:val="center"/>
          </w:tcPr>
          <w:p w14:paraId="21A8B49A">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七、其他规定</w:t>
            </w:r>
          </w:p>
        </w:tc>
      </w:tr>
      <w:tr w14:paraId="79E1C8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78629E62">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770667EA">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第40.1款</w:t>
            </w:r>
          </w:p>
        </w:tc>
        <w:tc>
          <w:tcPr>
            <w:tcW w:w="1666" w:type="dxa"/>
            <w:vAlign w:val="center"/>
          </w:tcPr>
          <w:p w14:paraId="0E45E9EB">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采购代理</w:t>
            </w:r>
          </w:p>
          <w:p w14:paraId="13CB424E">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服务费</w:t>
            </w:r>
          </w:p>
        </w:tc>
        <w:tc>
          <w:tcPr>
            <w:tcW w:w="5837" w:type="dxa"/>
            <w:vAlign w:val="center"/>
          </w:tcPr>
          <w:p w14:paraId="692A13B5">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采购代理机构按协议约定向中标人收取代理服务费。收费标准为：《招标代理服务收费管理暂行办法》计价格[2002]1980号文工程类的8</w:t>
            </w:r>
            <w:r>
              <w:rPr>
                <w:rFonts w:hint="default" w:ascii="宋体" w:hAnsi="宋体"/>
                <w:color w:val="000000" w:themeColor="text1"/>
                <w:szCs w:val="21"/>
                <w:highlight w:val="none"/>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w:t>
            </w:r>
          </w:p>
        </w:tc>
      </w:tr>
      <w:tr w14:paraId="4B1809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4E914809">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7640EA65">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第41.1款</w:t>
            </w:r>
          </w:p>
        </w:tc>
        <w:tc>
          <w:tcPr>
            <w:tcW w:w="1666" w:type="dxa"/>
            <w:vAlign w:val="center"/>
          </w:tcPr>
          <w:p w14:paraId="75B862B6">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其他规定</w:t>
            </w:r>
          </w:p>
        </w:tc>
        <w:tc>
          <w:tcPr>
            <w:tcW w:w="5837" w:type="dxa"/>
            <w:vAlign w:val="center"/>
          </w:tcPr>
          <w:p w14:paraId="43159CFE">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联合体成员存在不良信用记录的，视同联合体存在不良信用记录。</w:t>
            </w:r>
          </w:p>
        </w:tc>
      </w:tr>
      <w:tr w14:paraId="5F5BFD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2E28197B">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38FE13E3">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第41.2款</w:t>
            </w:r>
          </w:p>
        </w:tc>
        <w:tc>
          <w:tcPr>
            <w:tcW w:w="1666" w:type="dxa"/>
            <w:vAlign w:val="center"/>
          </w:tcPr>
          <w:p w14:paraId="5BFE342E">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法律、法规、规章和省级以上财政部门规定的其他内容</w:t>
            </w:r>
          </w:p>
        </w:tc>
        <w:tc>
          <w:tcPr>
            <w:tcW w:w="5837" w:type="dxa"/>
            <w:vAlign w:val="center"/>
          </w:tcPr>
          <w:p w14:paraId="44B44DE0">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1、供应商有下列情形之一的，视为无效投标或响应（★）：</w:t>
            </w:r>
          </w:p>
          <w:p w14:paraId="0A7E7543">
            <w:pPr>
              <w:keepNext w:val="0"/>
              <w:keepLines w:val="0"/>
              <w:suppressLineNumbers w:val="0"/>
              <w:adjustRightInd w:val="0"/>
              <w:snapToGrid w:val="0"/>
              <w:spacing w:before="0" w:beforeAutospacing="0" w:after="0" w:afterAutospacing="0" w:line="360" w:lineRule="auto"/>
              <w:ind w:left="0" w:right="0" w:firstLine="420" w:firstLineChars="20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（1）有一项资格证明文件未提交的；</w:t>
            </w:r>
          </w:p>
          <w:p w14:paraId="68F083E2">
            <w:pPr>
              <w:keepNext w:val="0"/>
              <w:keepLines w:val="0"/>
              <w:suppressLineNumbers w:val="0"/>
              <w:adjustRightInd w:val="0"/>
              <w:snapToGrid w:val="0"/>
              <w:spacing w:before="0" w:beforeAutospacing="0" w:after="0" w:afterAutospacing="0" w:line="360" w:lineRule="auto"/>
              <w:ind w:left="0" w:right="0" w:firstLine="420" w:firstLineChars="20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（2）提供不符合要求或虚假资格证明文件的；</w:t>
            </w:r>
          </w:p>
          <w:p w14:paraId="134F0ECF">
            <w:pPr>
              <w:keepNext w:val="0"/>
              <w:keepLines w:val="0"/>
              <w:suppressLineNumbers w:val="0"/>
              <w:adjustRightInd w:val="0"/>
              <w:snapToGrid w:val="0"/>
              <w:spacing w:before="0" w:beforeAutospacing="0" w:after="0" w:afterAutospacing="0" w:line="360" w:lineRule="auto"/>
              <w:ind w:left="0" w:right="0" w:firstLine="420" w:firstLineChars="20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（3）资格证明文件过了有效期的；</w:t>
            </w:r>
          </w:p>
          <w:p w14:paraId="6CC3F9ED">
            <w:pPr>
              <w:keepNext w:val="0"/>
              <w:keepLines w:val="0"/>
              <w:suppressLineNumbers w:val="0"/>
              <w:adjustRightInd w:val="0"/>
              <w:snapToGrid w:val="0"/>
              <w:spacing w:before="0" w:beforeAutospacing="0" w:after="0" w:afterAutospacing="0" w:line="360" w:lineRule="auto"/>
              <w:ind w:left="0" w:right="0" w:firstLine="420" w:firstLineChars="20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（4）资格证明文件的复印件未加盖供应商公章的。</w:t>
            </w:r>
          </w:p>
          <w:p w14:paraId="7F6DFD85">
            <w:pPr>
              <w:keepNext w:val="0"/>
              <w:keepLines w:val="0"/>
              <w:suppressLineNumbers w:val="0"/>
              <w:adjustRightInd w:val="0"/>
              <w:snapToGrid w:val="0"/>
              <w:spacing w:before="0" w:beforeAutospacing="0" w:after="0" w:afterAutospacing="0" w:line="360" w:lineRule="auto"/>
              <w:ind w:left="0" w:right="0" w:firstLine="420" w:firstLineChars="20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（5）响应文件中所有法定代表人和委托代理人的签字必须为亲笔签名，否则为无效投标（响应）。</w:t>
            </w:r>
          </w:p>
          <w:p w14:paraId="356BBE1D">
            <w:pPr>
              <w:pStyle w:val="26"/>
              <w:keepNext w:val="0"/>
              <w:keepLines w:val="0"/>
              <w:suppressLineNumbers w:val="0"/>
              <w:adjustRightInd w:val="0"/>
              <w:snapToGrid w:val="0"/>
              <w:spacing w:before="0" w:beforeAutospacing="0" w:after="0" w:afterAutospacing="0" w:line="360" w:lineRule="auto"/>
              <w:ind w:left="0" w:right="0" w:firstLine="420" w:firstLineChars="200"/>
              <w:rPr>
                <w:rFonts w:hint="default"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（6）磋商须知内容中视为无效投标（响应）的条款。</w:t>
            </w:r>
          </w:p>
        </w:tc>
      </w:tr>
      <w:tr w14:paraId="2EC2F4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647" w:type="dxa"/>
            <w:vAlign w:val="center"/>
          </w:tcPr>
          <w:p w14:paraId="40989CD4">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14:paraId="0DD0BC79">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第41.3款</w:t>
            </w:r>
          </w:p>
        </w:tc>
        <w:tc>
          <w:tcPr>
            <w:tcW w:w="1666" w:type="dxa"/>
            <w:vAlign w:val="center"/>
          </w:tcPr>
          <w:p w14:paraId="13AB9CA5">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w:t>
            </w:r>
          </w:p>
        </w:tc>
        <w:tc>
          <w:tcPr>
            <w:tcW w:w="5837" w:type="dxa"/>
            <w:vAlign w:val="center"/>
          </w:tcPr>
          <w:p w14:paraId="7D30D5A3">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据相关文件要求，对列入失信被执行人、重大税收违法案件当事人名单、政府采购严重违法失信行为记录名单及其他不符合《中华人民共和国政府采购法》第二十二条规定条件的供应商，应当拒绝其参与政府采购活动。</w:t>
            </w:r>
          </w:p>
          <w:p w14:paraId="1512EB2D">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DC3B5B">
            <w:pPr>
              <w:keepNext w:val="0"/>
              <w:keepLines w:val="0"/>
              <w:suppressLineNumbers w:val="0"/>
              <w:wordWrap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1、信用信息查询的查询渠道：“信用中国”网站（www.creditchina.gov.cn）、中国政府采购网（www.ccgp.gov.cn）、信用湖南网（www.hncredit.gov.cn）。</w:t>
            </w:r>
          </w:p>
          <w:p w14:paraId="135856BC">
            <w:pPr>
              <w:keepNext w:val="0"/>
              <w:keepLines w:val="0"/>
              <w:suppressLineNumbers w:val="0"/>
              <w:wordWrap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2、信用信息查询的截止时点：至本项目投标截止时间止。</w:t>
            </w:r>
          </w:p>
          <w:p w14:paraId="3EC3898A">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3、信用信息查询记录的具体方式：由采购人或采购代理机构在规定的查询渠道进行查询。</w:t>
            </w:r>
          </w:p>
          <w:p w14:paraId="1684D4FA">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4、信用信息查询记录证据留存的具体方式：查询记录的网上打印件。</w:t>
            </w:r>
          </w:p>
          <w:p w14:paraId="58CCC974">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5、信用信息的使用规则：留存备查。</w:t>
            </w:r>
          </w:p>
        </w:tc>
      </w:tr>
    </w:tbl>
    <w:p w14:paraId="0772F75A">
      <w:pPr>
        <w:adjustRightInd w:val="0"/>
        <w:snapToGrid w:val="0"/>
        <w:spacing w:line="460" w:lineRule="exact"/>
        <w:ind w:right="23" w:rightChars="11"/>
        <w:rPr>
          <w:rFonts w:ascii="宋体" w:hAnsi="宋体"/>
          <w:b/>
          <w:bCs/>
          <w:color w:val="000000" w:themeColor="text1"/>
          <w:szCs w:val="21"/>
          <w:highlight w:val="none"/>
          <w14:textFill>
            <w14:solidFill>
              <w14:schemeClr w14:val="tx1"/>
            </w14:solidFill>
          </w14:textFill>
        </w:rPr>
      </w:pPr>
    </w:p>
    <w:p w14:paraId="7C9266B1">
      <w:pPr>
        <w:adjustRightInd w:val="0"/>
        <w:snapToGrid w:val="0"/>
        <w:spacing w:line="460" w:lineRule="exact"/>
        <w:ind w:right="23" w:rightChars="11"/>
        <w:rPr>
          <w:rFonts w:ascii="宋体" w:hAnsi="宋体"/>
          <w:b/>
          <w:bCs/>
          <w:color w:val="000000" w:themeColor="text1"/>
          <w:szCs w:val="21"/>
          <w:highlight w:val="none"/>
          <w14:textFill>
            <w14:solidFill>
              <w14:schemeClr w14:val="tx1"/>
            </w14:solidFill>
          </w14:textFill>
        </w:rPr>
      </w:pPr>
    </w:p>
    <w:p w14:paraId="068C4C34">
      <w:pPr>
        <w:adjustRightInd w:val="0"/>
        <w:snapToGrid w:val="0"/>
        <w:spacing w:line="460" w:lineRule="exact"/>
        <w:ind w:right="23" w:rightChars="11"/>
        <w:rPr>
          <w:rFonts w:ascii="宋体" w:hAnsi="宋体"/>
          <w:b/>
          <w:bCs/>
          <w:color w:val="000000" w:themeColor="text1"/>
          <w:szCs w:val="21"/>
          <w:highlight w:val="none"/>
          <w14:textFill>
            <w14:solidFill>
              <w14:schemeClr w14:val="tx1"/>
            </w14:solidFill>
          </w14:textFill>
        </w:rPr>
      </w:pPr>
    </w:p>
    <w:p w14:paraId="2978E7EA">
      <w:pPr>
        <w:pStyle w:val="3"/>
        <w:jc w:val="left"/>
        <w:rPr>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ascii="宋体" w:hAnsi="宋体" w:cs="宋体"/>
          <w:color w:val="000000" w:themeColor="text1"/>
          <w:kern w:val="0"/>
          <w:szCs w:val="2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附页</w:t>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评审因素和标准</w:t>
      </w:r>
    </w:p>
    <w:p w14:paraId="31161DE4">
      <w:pPr>
        <w:snapToGrid w:val="0"/>
        <w:spacing w:line="360" w:lineRule="auto"/>
        <w:jc w:val="center"/>
        <w:textAlignment w:val="baseline"/>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评审因素和标准</w:t>
      </w:r>
    </w:p>
    <w:tbl>
      <w:tblPr>
        <w:tblStyle w:val="47"/>
        <w:tblW w:w="543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40"/>
        <w:gridCol w:w="1387"/>
        <w:gridCol w:w="1054"/>
        <w:gridCol w:w="968"/>
        <w:gridCol w:w="5855"/>
      </w:tblGrid>
      <w:tr w14:paraId="3B381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8" w:hRule="exact"/>
          <w:jc w:val="center"/>
        </w:trPr>
        <w:tc>
          <w:tcPr>
            <w:tcW w:w="5000" w:type="pct"/>
            <w:gridSpan w:val="5"/>
            <w:tcMar>
              <w:left w:w="0" w:type="dxa"/>
              <w:right w:w="0" w:type="dxa"/>
            </w:tcMar>
          </w:tcPr>
          <w:p w14:paraId="1F587C74">
            <w:pPr>
              <w:keepNext w:val="0"/>
              <w:keepLines w:val="0"/>
              <w:suppressLineNumbers w:val="0"/>
              <w:adjustRightInd w:val="0"/>
              <w:snapToGrid w:val="0"/>
              <w:spacing w:before="0" w:beforeAutospacing="0" w:after="0" w:afterAutospacing="0" w:line="300" w:lineRule="exact"/>
              <w:ind w:left="628" w:leftChars="1" w:right="0" w:hanging="626" w:hangingChars="297"/>
              <w:jc w:val="center"/>
              <w:rPr>
                <w:rFonts w:hint="default"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评审因素及分值</w:t>
            </w:r>
          </w:p>
        </w:tc>
      </w:tr>
      <w:tr w14:paraId="55568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6" w:hRule="exact"/>
          <w:jc w:val="center"/>
        </w:trPr>
        <w:tc>
          <w:tcPr>
            <w:tcW w:w="2074" w:type="pct"/>
            <w:gridSpan w:val="4"/>
            <w:tcMar>
              <w:left w:w="0" w:type="dxa"/>
              <w:right w:w="0" w:type="dxa"/>
            </w:tcMar>
          </w:tcPr>
          <w:p w14:paraId="506BBE1B">
            <w:pPr>
              <w:keepNext w:val="0"/>
              <w:keepLines w:val="0"/>
              <w:suppressLineNumbers w:val="0"/>
              <w:adjustRightInd w:val="0"/>
              <w:snapToGrid w:val="0"/>
              <w:spacing w:before="0" w:beforeAutospacing="0" w:after="0" w:afterAutospacing="0" w:line="300" w:lineRule="exact"/>
              <w:ind w:left="628" w:leftChars="1" w:right="0" w:hanging="626" w:hangingChars="297"/>
              <w:jc w:val="center"/>
              <w:rPr>
                <w:rFonts w:hint="default"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评审因素</w:t>
            </w:r>
          </w:p>
        </w:tc>
        <w:tc>
          <w:tcPr>
            <w:tcW w:w="2925" w:type="pct"/>
            <w:tcMar>
              <w:left w:w="0" w:type="dxa"/>
              <w:right w:w="0" w:type="dxa"/>
            </w:tcMar>
          </w:tcPr>
          <w:p w14:paraId="1F8E1ED6">
            <w:pPr>
              <w:keepNext w:val="0"/>
              <w:keepLines w:val="0"/>
              <w:suppressLineNumbers w:val="0"/>
              <w:adjustRightInd w:val="0"/>
              <w:snapToGrid w:val="0"/>
              <w:spacing w:before="0" w:beforeAutospacing="0" w:after="0" w:afterAutospacing="0" w:line="300" w:lineRule="exact"/>
              <w:ind w:left="628" w:leftChars="1" w:right="0" w:hanging="626" w:hangingChars="297"/>
              <w:jc w:val="center"/>
              <w:rPr>
                <w:rFonts w:hint="default"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分值</w:t>
            </w:r>
          </w:p>
        </w:tc>
      </w:tr>
      <w:tr w14:paraId="10BE4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exact"/>
          <w:jc w:val="center"/>
        </w:trPr>
        <w:tc>
          <w:tcPr>
            <w:tcW w:w="2074" w:type="pct"/>
            <w:gridSpan w:val="4"/>
            <w:tcMar>
              <w:left w:w="0" w:type="dxa"/>
              <w:right w:w="0" w:type="dxa"/>
            </w:tcMar>
          </w:tcPr>
          <w:p w14:paraId="591A46A2">
            <w:pPr>
              <w:keepNext w:val="0"/>
              <w:keepLines w:val="0"/>
              <w:suppressLineNumbers w:val="0"/>
              <w:adjustRightInd w:val="0"/>
              <w:snapToGrid w:val="0"/>
              <w:spacing w:before="0" w:beforeAutospacing="0" w:after="0" w:afterAutospacing="0" w:line="300" w:lineRule="exact"/>
              <w:ind w:left="628" w:leftChars="1" w:right="0" w:hanging="626" w:hangingChars="297"/>
              <w:jc w:val="center"/>
              <w:rPr>
                <w:rFonts w:hint="default"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技术部分</w:t>
            </w:r>
          </w:p>
        </w:tc>
        <w:tc>
          <w:tcPr>
            <w:tcW w:w="2925" w:type="pct"/>
            <w:tcMar>
              <w:left w:w="0" w:type="dxa"/>
              <w:right w:w="0" w:type="dxa"/>
            </w:tcMar>
          </w:tcPr>
          <w:p w14:paraId="48DA2486">
            <w:pPr>
              <w:keepNext w:val="0"/>
              <w:keepLines w:val="0"/>
              <w:suppressLineNumbers w:val="0"/>
              <w:adjustRightInd w:val="0"/>
              <w:snapToGrid w:val="0"/>
              <w:spacing w:before="0" w:beforeAutospacing="0" w:after="0" w:afterAutospacing="0" w:line="300" w:lineRule="exact"/>
              <w:ind w:left="628" w:leftChars="1" w:right="0" w:hanging="626" w:hangingChars="297"/>
              <w:jc w:val="center"/>
              <w:rPr>
                <w:rFonts w:hint="default"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40</w:t>
            </w:r>
          </w:p>
        </w:tc>
      </w:tr>
      <w:tr w14:paraId="5CE7C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3" w:hRule="exact"/>
          <w:jc w:val="center"/>
        </w:trPr>
        <w:tc>
          <w:tcPr>
            <w:tcW w:w="2074" w:type="pct"/>
            <w:gridSpan w:val="4"/>
            <w:tcMar>
              <w:left w:w="0" w:type="dxa"/>
              <w:right w:w="0" w:type="dxa"/>
            </w:tcMar>
          </w:tcPr>
          <w:p w14:paraId="7E116970">
            <w:pPr>
              <w:keepNext w:val="0"/>
              <w:keepLines w:val="0"/>
              <w:suppressLineNumbers w:val="0"/>
              <w:adjustRightInd w:val="0"/>
              <w:snapToGrid w:val="0"/>
              <w:spacing w:before="0" w:beforeAutospacing="0" w:after="0" w:afterAutospacing="0" w:line="300" w:lineRule="exact"/>
              <w:ind w:left="628" w:leftChars="1" w:right="0" w:hanging="626" w:hangingChars="297"/>
              <w:jc w:val="center"/>
              <w:rPr>
                <w:rFonts w:hint="default"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商务部分</w:t>
            </w:r>
          </w:p>
        </w:tc>
        <w:tc>
          <w:tcPr>
            <w:tcW w:w="2925" w:type="pct"/>
            <w:tcMar>
              <w:left w:w="0" w:type="dxa"/>
              <w:right w:w="0" w:type="dxa"/>
            </w:tcMar>
          </w:tcPr>
          <w:p w14:paraId="69CD019F">
            <w:pPr>
              <w:keepNext w:val="0"/>
              <w:keepLines w:val="0"/>
              <w:suppressLineNumbers w:val="0"/>
              <w:adjustRightInd w:val="0"/>
              <w:snapToGrid w:val="0"/>
              <w:spacing w:before="0" w:beforeAutospacing="0" w:after="0" w:afterAutospacing="0" w:line="300" w:lineRule="exact"/>
              <w:ind w:left="628" w:leftChars="1" w:right="0" w:hanging="626" w:hangingChars="297"/>
              <w:jc w:val="center"/>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20</w:t>
            </w:r>
          </w:p>
        </w:tc>
      </w:tr>
      <w:tr w14:paraId="4CC85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4" w:hRule="exact"/>
          <w:jc w:val="center"/>
        </w:trPr>
        <w:tc>
          <w:tcPr>
            <w:tcW w:w="2074" w:type="pct"/>
            <w:gridSpan w:val="4"/>
            <w:tcMar>
              <w:left w:w="0" w:type="dxa"/>
              <w:right w:w="0" w:type="dxa"/>
            </w:tcMar>
          </w:tcPr>
          <w:p w14:paraId="3F44D5E4">
            <w:pPr>
              <w:keepNext w:val="0"/>
              <w:keepLines w:val="0"/>
              <w:suppressLineNumbers w:val="0"/>
              <w:adjustRightInd w:val="0"/>
              <w:snapToGrid w:val="0"/>
              <w:spacing w:before="0" w:beforeAutospacing="0" w:after="0" w:afterAutospacing="0" w:line="300" w:lineRule="exact"/>
              <w:ind w:left="628" w:leftChars="1" w:right="0" w:hanging="626" w:hangingChars="297"/>
              <w:jc w:val="center"/>
              <w:rPr>
                <w:rFonts w:hint="default"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投标报价</w:t>
            </w:r>
          </w:p>
        </w:tc>
        <w:tc>
          <w:tcPr>
            <w:tcW w:w="2925" w:type="pct"/>
            <w:tcMar>
              <w:left w:w="0" w:type="dxa"/>
              <w:right w:w="0" w:type="dxa"/>
            </w:tcMar>
          </w:tcPr>
          <w:p w14:paraId="1818E360">
            <w:pPr>
              <w:keepNext w:val="0"/>
              <w:keepLines w:val="0"/>
              <w:suppressLineNumbers w:val="0"/>
              <w:adjustRightInd w:val="0"/>
              <w:snapToGrid w:val="0"/>
              <w:spacing w:before="0" w:beforeAutospacing="0" w:after="0" w:afterAutospacing="0" w:line="300" w:lineRule="exact"/>
              <w:ind w:left="628" w:leftChars="1" w:right="0" w:hanging="626" w:hangingChars="297"/>
              <w:jc w:val="center"/>
              <w:rPr>
                <w:rFonts w:hint="default"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40</w:t>
            </w:r>
          </w:p>
        </w:tc>
      </w:tr>
      <w:tr w14:paraId="3DC0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1063" w:type="pct"/>
            <w:gridSpan w:val="2"/>
            <w:noWrap w:val="0"/>
            <w:vAlign w:val="center"/>
          </w:tcPr>
          <w:p w14:paraId="73B8BD8B">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b/>
                <w:color w:val="000000" w:themeColor="text1"/>
                <w:szCs w:val="21"/>
                <w:highlight w:val="none"/>
                <w14:textFill>
                  <w14:solidFill>
                    <w14:schemeClr w14:val="tx1"/>
                  </w14:solidFill>
                </w14:textFill>
              </w:rPr>
              <w:t>评审因素</w:t>
            </w:r>
          </w:p>
        </w:tc>
        <w:tc>
          <w:tcPr>
            <w:tcW w:w="527" w:type="pct"/>
            <w:noWrap w:val="0"/>
            <w:vAlign w:val="center"/>
          </w:tcPr>
          <w:p w14:paraId="3DDBA03F">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b/>
                <w:color w:val="000000" w:themeColor="text1"/>
                <w:szCs w:val="21"/>
                <w:highlight w:val="none"/>
                <w14:textFill>
                  <w14:solidFill>
                    <w14:schemeClr w14:val="tx1"/>
                  </w14:solidFill>
                </w14:textFill>
              </w:rPr>
            </w:pPr>
            <w:r>
              <w:rPr>
                <w:rFonts w:hint="eastAsia" w:ascii="宋体" w:hAnsi="Times New Roman" w:eastAsia="宋体" w:cs="Times New Roman"/>
                <w:b/>
                <w:color w:val="000000" w:themeColor="text1"/>
                <w:szCs w:val="21"/>
                <w:highlight w:val="none"/>
                <w14:textFill>
                  <w14:solidFill>
                    <w14:schemeClr w14:val="tx1"/>
                  </w14:solidFill>
                </w14:textFill>
              </w:rPr>
              <w:t>分值</w:t>
            </w:r>
          </w:p>
        </w:tc>
        <w:tc>
          <w:tcPr>
            <w:tcW w:w="3409" w:type="pct"/>
            <w:gridSpan w:val="2"/>
            <w:noWrap w:val="0"/>
            <w:vAlign w:val="center"/>
          </w:tcPr>
          <w:p w14:paraId="69837C2A">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b/>
                <w:color w:val="000000" w:themeColor="text1"/>
                <w:szCs w:val="21"/>
                <w:highlight w:val="none"/>
                <w14:textFill>
                  <w14:solidFill>
                    <w14:schemeClr w14:val="tx1"/>
                  </w14:solidFill>
                </w14:textFill>
              </w:rPr>
            </w:pPr>
            <w:r>
              <w:rPr>
                <w:rFonts w:hint="eastAsia" w:ascii="宋体" w:hAnsi="Times New Roman" w:eastAsia="宋体" w:cs="Times New Roman"/>
                <w:b/>
                <w:color w:val="000000" w:themeColor="text1"/>
                <w:szCs w:val="21"/>
                <w:highlight w:val="none"/>
                <w14:textFill>
                  <w14:solidFill>
                    <w14:schemeClr w14:val="tx1"/>
                  </w14:solidFill>
                </w14:textFill>
              </w:rPr>
              <w:t>评分标准</w:t>
            </w:r>
          </w:p>
        </w:tc>
      </w:tr>
      <w:tr w14:paraId="7987B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70" w:type="pct"/>
            <w:noWrap w:val="0"/>
            <w:vAlign w:val="center"/>
          </w:tcPr>
          <w:p w14:paraId="33109338">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highlight w:val="none"/>
                <w14:textFill>
                  <w14:solidFill>
                    <w14:schemeClr w14:val="tx1"/>
                  </w14:solidFill>
                </w14:textFill>
              </w:rPr>
            </w:pPr>
            <w:r>
              <w:rPr>
                <w:rFonts w:hint="eastAsia" w:ascii="宋体" w:hAnsi="Times New Roman" w:eastAsia="宋体" w:cs="Times New Roman"/>
                <w:color w:val="000000" w:themeColor="text1"/>
                <w:highlight w:val="none"/>
                <w14:textFill>
                  <w14:solidFill>
                    <w14:schemeClr w14:val="tx1"/>
                  </w14:solidFill>
                </w14:textFill>
              </w:rPr>
              <w:t>价格</w:t>
            </w:r>
          </w:p>
          <w:p w14:paraId="73E0BCB8">
            <w:pPr>
              <w:keepNext w:val="0"/>
              <w:keepLines w:val="0"/>
              <w:widowControl w:val="0"/>
              <w:suppressLineNumbers w:val="0"/>
              <w:tabs>
                <w:tab w:val="right" w:leader="dot" w:pos="8302"/>
              </w:tabs>
              <w:adjustRightInd w:val="0"/>
              <w:snapToGrid w:val="0"/>
              <w:spacing w:before="0" w:beforeAutospacing="0" w:after="0" w:afterAutospacing="0" w:line="360" w:lineRule="auto"/>
              <w:ind w:left="0" w:leftChars="0" w:right="0"/>
              <w:jc w:val="center"/>
              <w:rPr>
                <w:rFonts w:hint="default" w:ascii="宋体" w:hAnsi="Times New Roman"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宋体" w:cs="Times New Roman"/>
                <w:color w:val="000000" w:themeColor="text1"/>
                <w:kern w:val="2"/>
                <w:sz w:val="21"/>
                <w:szCs w:val="21"/>
                <w:highlight w:val="none"/>
                <w:lang w:val="en-US" w:eastAsia="zh-CN" w:bidi="ar-SA"/>
                <w14:textFill>
                  <w14:solidFill>
                    <w14:schemeClr w14:val="tx1"/>
                  </w14:solidFill>
                </w14:textFill>
              </w:rPr>
              <w:t>40</w:t>
            </w:r>
            <w:r>
              <w:rPr>
                <w:rFonts w:hint="eastAsia" w:ascii="宋体" w:hAnsi="Times New Roman" w:eastAsia="宋体" w:cs="Times New Roman"/>
                <w:color w:val="000000" w:themeColor="text1"/>
                <w:kern w:val="2"/>
                <w:sz w:val="21"/>
                <w:szCs w:val="21"/>
                <w:highlight w:val="none"/>
                <w:lang w:val="en-US" w:eastAsia="zh-CN" w:bidi="ar-SA"/>
                <w14:textFill>
                  <w14:solidFill>
                    <w14:schemeClr w14:val="tx1"/>
                  </w14:solidFill>
                </w14:textFill>
              </w:rPr>
              <w:t>分</w:t>
            </w:r>
          </w:p>
        </w:tc>
        <w:tc>
          <w:tcPr>
            <w:tcW w:w="692" w:type="pct"/>
            <w:noWrap w:val="0"/>
            <w:vAlign w:val="center"/>
          </w:tcPr>
          <w:p w14:paraId="66DFBD7A">
            <w:pPr>
              <w:keepNext w:val="0"/>
              <w:keepLines w:val="0"/>
              <w:suppressLineNumbers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投标报价</w:t>
            </w:r>
          </w:p>
        </w:tc>
        <w:tc>
          <w:tcPr>
            <w:tcW w:w="527" w:type="pct"/>
            <w:noWrap w:val="0"/>
            <w:vAlign w:val="center"/>
          </w:tcPr>
          <w:p w14:paraId="5BFE7F6F">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cs="Times New Roman"/>
                <w:color w:val="000000" w:themeColor="text1"/>
                <w:szCs w:val="21"/>
                <w:highlight w:val="none"/>
                <w:lang w:val="en-US" w:eastAsia="zh-CN"/>
                <w14:textFill>
                  <w14:solidFill>
                    <w14:schemeClr w14:val="tx1"/>
                  </w14:solidFill>
                </w14:textFill>
              </w:rPr>
              <w:t>40</w:t>
            </w:r>
          </w:p>
        </w:tc>
        <w:tc>
          <w:tcPr>
            <w:tcW w:w="3409" w:type="pct"/>
            <w:gridSpan w:val="2"/>
            <w:noWrap w:val="0"/>
            <w:vAlign w:val="center"/>
          </w:tcPr>
          <w:p w14:paraId="744BC1A7">
            <w:pPr>
              <w:keepNext w:val="0"/>
              <w:keepLines w:val="0"/>
              <w:suppressLineNumbers w:val="0"/>
              <w:tabs>
                <w:tab w:val="left" w:pos="840"/>
              </w:tabs>
              <w:snapToGrid w:val="0"/>
              <w:spacing w:before="0" w:beforeAutospacing="0" w:after="0" w:afterAutospacing="0" w:line="360" w:lineRule="auto"/>
              <w:ind w:left="0" w:right="0"/>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以经评委会一致认定满足磋商文件要求且经评审后投标价格最低的投标报价为评标基准价，其价格得分计</w:t>
            </w:r>
            <w:r>
              <w:rPr>
                <w:rFonts w:hint="eastAsia" w:ascii="宋体" w:cs="Times New Roman"/>
                <w:color w:val="000000" w:themeColor="text1"/>
                <w:szCs w:val="21"/>
                <w:highlight w:val="none"/>
                <w:lang w:val="en-US" w:eastAsia="zh-CN"/>
                <w14:textFill>
                  <w14:solidFill>
                    <w14:schemeClr w14:val="tx1"/>
                  </w14:solidFill>
                </w14:textFill>
              </w:rPr>
              <w:t>40</w:t>
            </w:r>
            <w:r>
              <w:rPr>
                <w:rFonts w:hint="eastAsia" w:ascii="宋体" w:hAnsi="Times New Roman" w:eastAsia="宋体" w:cs="Times New Roman"/>
                <w:color w:val="000000" w:themeColor="text1"/>
                <w:szCs w:val="21"/>
                <w:highlight w:val="none"/>
                <w14:textFill>
                  <w14:solidFill>
                    <w14:schemeClr w14:val="tx1"/>
                  </w14:solidFill>
                </w14:textFill>
              </w:rPr>
              <w:t>分。其他</w:t>
            </w:r>
            <w:r>
              <w:rPr>
                <w:rFonts w:hint="eastAsia" w:ascii="宋体" w:hAnsi="Times New Roman" w:eastAsia="宋体" w:cs="Times New Roman"/>
                <w:color w:val="000000" w:themeColor="text1"/>
                <w:szCs w:val="21"/>
                <w:highlight w:val="none"/>
                <w:lang w:eastAsia="zh-CN"/>
                <w14:textFill>
                  <w14:solidFill>
                    <w14:schemeClr w14:val="tx1"/>
                  </w14:solidFill>
                </w14:textFill>
              </w:rPr>
              <w:t>投标供应商</w:t>
            </w:r>
            <w:r>
              <w:rPr>
                <w:rFonts w:hint="eastAsia" w:ascii="宋体" w:hAnsi="Times New Roman" w:eastAsia="宋体" w:cs="Times New Roman"/>
                <w:color w:val="000000" w:themeColor="text1"/>
                <w:szCs w:val="21"/>
                <w:highlight w:val="none"/>
                <w14:textFill>
                  <w14:solidFill>
                    <w14:schemeClr w14:val="tx1"/>
                  </w14:solidFill>
                </w14:textFill>
              </w:rPr>
              <w:t>的价格得分统一按公式计算：报价得分＝（评标基准价÷投标报价）×投标报价分值。</w:t>
            </w:r>
          </w:p>
          <w:p w14:paraId="4296AAB8">
            <w:pPr>
              <w:keepNext w:val="0"/>
              <w:keepLines w:val="0"/>
              <w:suppressLineNumbers w:val="0"/>
              <w:tabs>
                <w:tab w:val="left" w:pos="840"/>
              </w:tabs>
              <w:snapToGrid w:val="0"/>
              <w:spacing w:before="0" w:beforeAutospacing="0" w:after="0" w:afterAutospacing="0" w:line="360" w:lineRule="auto"/>
              <w:ind w:left="0" w:right="0"/>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Times New Roman" w:eastAsia="宋体" w:cs="Times New Roman"/>
                <w:color w:val="000000" w:themeColor="text1"/>
                <w:szCs w:val="21"/>
                <w:highlight w:val="none"/>
                <w:lang w:val="en-US" w:eastAsia="zh-CN"/>
                <w14:textFill>
                  <w14:solidFill>
                    <w14:schemeClr w14:val="tx1"/>
                  </w14:solidFill>
                </w14:textFill>
              </w:rPr>
              <w:t>评标委员会认为投标供应商的报价明显低于其他通过资格审查投标供应商的报价，有可能影响工程质量或者合同履行的，应当要求投标供应商在合理的时间内以书面形式澄清或说明。投标供应商不能说明报价合理性的，由评标委员会认定该投标供应商以影响合同履约的异常低价竞标，按无效报价处理。</w:t>
            </w:r>
          </w:p>
        </w:tc>
      </w:tr>
      <w:tr w14:paraId="6A1B0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370" w:type="pct"/>
            <w:vMerge w:val="restart"/>
            <w:noWrap w:val="0"/>
            <w:vAlign w:val="center"/>
          </w:tcPr>
          <w:p w14:paraId="7BFB6A3B">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技术</w:t>
            </w:r>
          </w:p>
          <w:p w14:paraId="64888D23">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lang w:val="en-US" w:eastAsia="zh-CN"/>
                <w14:textFill>
                  <w14:solidFill>
                    <w14:schemeClr w14:val="tx1"/>
                  </w14:solidFill>
                </w14:textFill>
              </w:rPr>
              <w:t>40</w:t>
            </w:r>
            <w:r>
              <w:rPr>
                <w:rFonts w:hint="eastAsia" w:ascii="宋体" w:hAnsi="Times New Roman" w:eastAsia="宋体" w:cs="Times New Roman"/>
                <w:color w:val="000000" w:themeColor="text1"/>
                <w:szCs w:val="21"/>
                <w:highlight w:val="none"/>
                <w14:textFill>
                  <w14:solidFill>
                    <w14:schemeClr w14:val="tx1"/>
                  </w14:solidFill>
                </w14:textFill>
              </w:rPr>
              <w:t>分</w:t>
            </w:r>
          </w:p>
        </w:tc>
        <w:tc>
          <w:tcPr>
            <w:tcW w:w="692" w:type="pct"/>
            <w:noWrap w:val="0"/>
            <w:vAlign w:val="center"/>
          </w:tcPr>
          <w:p w14:paraId="51B486EE">
            <w:pPr>
              <w:keepNext w:val="0"/>
              <w:keepLines w:val="0"/>
              <w:suppressLineNumbers w:val="0"/>
              <w:snapToGrid w:val="0"/>
              <w:spacing w:before="0" w:beforeAutospacing="0" w:after="0" w:afterAutospacing="0" w:line="360" w:lineRule="auto"/>
              <w:ind w:left="0" w:right="0"/>
              <w:jc w:val="center"/>
              <w:rPr>
                <w:rFonts w:hint="eastAsia" w:ascii="宋体"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施工方案与技术措施</w:t>
            </w:r>
          </w:p>
        </w:tc>
        <w:tc>
          <w:tcPr>
            <w:tcW w:w="527" w:type="pct"/>
            <w:noWrap w:val="0"/>
            <w:vAlign w:val="center"/>
          </w:tcPr>
          <w:p w14:paraId="10D1C1A0">
            <w:pPr>
              <w:keepNext w:val="0"/>
              <w:keepLines w:val="0"/>
              <w:suppressLineNumbers w:val="0"/>
              <w:snapToGrid w:val="0"/>
              <w:spacing w:before="0" w:beforeAutospacing="0" w:after="0" w:afterAutospacing="0" w:line="360" w:lineRule="auto"/>
              <w:ind w:left="0" w:right="0"/>
              <w:jc w:val="center"/>
              <w:rPr>
                <w:rFonts w:hint="eastAsia" w:ascii="宋体"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cs="Times New Roman"/>
                <w:color w:val="000000" w:themeColor="text1"/>
                <w:szCs w:val="21"/>
                <w:highlight w:val="none"/>
                <w:lang w:val="en-US" w:eastAsia="zh-CN"/>
                <w14:textFill>
                  <w14:solidFill>
                    <w14:schemeClr w14:val="tx1"/>
                  </w14:solidFill>
                </w14:textFill>
              </w:rPr>
              <w:t>14</w:t>
            </w:r>
          </w:p>
        </w:tc>
        <w:tc>
          <w:tcPr>
            <w:tcW w:w="3409" w:type="pct"/>
            <w:gridSpan w:val="2"/>
            <w:noWrap w:val="0"/>
            <w:vAlign w:val="top"/>
          </w:tcPr>
          <w:p w14:paraId="4DF019C6">
            <w:pPr>
              <w:keepNext w:val="0"/>
              <w:keepLines w:val="0"/>
              <w:suppressLineNumbers w:val="0"/>
              <w:snapToGrid w:val="0"/>
              <w:spacing w:before="0" w:beforeAutospacing="0" w:after="0" w:afterAutospacing="0" w:line="360" w:lineRule="auto"/>
              <w:ind w:left="0" w:right="0"/>
              <w:jc w:val="left"/>
              <w:rPr>
                <w:rFonts w:hint="eastAsia" w:ascii="宋体"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包括</w:t>
            </w:r>
            <w:r>
              <w:rPr>
                <w:rFonts w:hint="eastAsia" w:ascii="宋体" w:hAnsi="宋体" w:eastAsia="宋体" w:cs="宋体"/>
                <w:color w:val="000000" w:themeColor="text1"/>
                <w:kern w:val="0"/>
                <w:szCs w:val="21"/>
                <w:highlight w:val="none"/>
                <w14:textFill>
                  <w14:solidFill>
                    <w14:schemeClr w14:val="tx1"/>
                  </w14:solidFill>
                </w14:textFill>
              </w:rPr>
              <w:t>施工顺序、施工工艺、作业方法、作业流程、操作要领</w:t>
            </w:r>
            <w:r>
              <w:rPr>
                <w:rFonts w:hint="eastAsia" w:ascii="宋体" w:hAnsi="宋体" w:eastAsia="宋体" w:cs="宋体"/>
                <w:color w:val="000000" w:themeColor="text1"/>
                <w:kern w:val="0"/>
                <w:szCs w:val="21"/>
                <w:highlight w:val="none"/>
                <w:lang w:val="en-US" w:eastAsia="zh-CN"/>
                <w14:textFill>
                  <w14:solidFill>
                    <w14:schemeClr w14:val="tx1"/>
                  </w14:solidFill>
                </w14:textFill>
              </w:rPr>
              <w:t>等，方案</w:t>
            </w:r>
            <w:r>
              <w:rPr>
                <w:rFonts w:hint="eastAsia" w:ascii="宋体" w:hAnsi="宋体" w:eastAsia="宋体" w:cs="宋体"/>
                <w:color w:val="000000" w:themeColor="text1"/>
                <w:kern w:val="0"/>
                <w:szCs w:val="21"/>
                <w:highlight w:val="none"/>
                <w14:textFill>
                  <w14:solidFill>
                    <w14:schemeClr w14:val="tx1"/>
                  </w14:solidFill>
                </w14:textFill>
              </w:rPr>
              <w:t>阐述合理、</w:t>
            </w:r>
            <w:r>
              <w:rPr>
                <w:rFonts w:hint="eastAsia" w:ascii="宋体" w:hAnsi="宋体" w:eastAsia="宋体" w:cs="宋体"/>
                <w:color w:val="000000" w:themeColor="text1"/>
                <w:kern w:val="0"/>
                <w:szCs w:val="21"/>
                <w:highlight w:val="none"/>
                <w:lang w:val="en-US" w:eastAsia="zh-CN"/>
                <w14:textFill>
                  <w14:solidFill>
                    <w14:schemeClr w14:val="tx1"/>
                  </w14:solidFill>
                </w14:textFill>
              </w:rPr>
              <w:t>技术措施得力、</w:t>
            </w:r>
            <w:r>
              <w:rPr>
                <w:rFonts w:hint="eastAsia" w:ascii="宋体" w:hAnsi="宋体" w:eastAsia="宋体" w:cs="宋体"/>
                <w:color w:val="000000" w:themeColor="text1"/>
                <w:kern w:val="0"/>
                <w:szCs w:val="21"/>
                <w:highlight w:val="none"/>
                <w14:textFill>
                  <w14:solidFill>
                    <w14:schemeClr w14:val="tx1"/>
                  </w14:solidFill>
                </w14:textFill>
              </w:rPr>
              <w:t>操作性</w:t>
            </w:r>
            <w:r>
              <w:rPr>
                <w:rFonts w:hint="eastAsia" w:ascii="宋体" w:hAnsi="宋体" w:eastAsia="宋体" w:cs="宋体"/>
                <w:color w:val="000000" w:themeColor="text1"/>
                <w:kern w:val="0"/>
                <w:szCs w:val="21"/>
                <w:highlight w:val="none"/>
                <w:lang w:val="en-US" w:eastAsia="zh-CN"/>
                <w14:textFill>
                  <w14:solidFill>
                    <w14:schemeClr w14:val="tx1"/>
                  </w14:solidFill>
                </w14:textFill>
              </w:rPr>
              <w:t>强</w:t>
            </w:r>
            <w:r>
              <w:rPr>
                <w:rFonts w:hint="eastAsia" w:ascii="宋体" w:hAnsi="宋体" w:eastAsia="宋体" w:cs="宋体"/>
                <w:color w:val="000000" w:themeColor="text1"/>
                <w:kern w:val="0"/>
                <w:szCs w:val="21"/>
                <w:highlight w:val="none"/>
                <w14:textFill>
                  <w14:solidFill>
                    <w14:schemeClr w14:val="tx1"/>
                  </w14:solidFill>
                </w14:textFill>
              </w:rPr>
              <w:t>的计</w:t>
            </w:r>
            <w:r>
              <w:rPr>
                <w:rFonts w:hint="eastAsia" w:ascii="宋体" w:hAnsi="宋体" w:cs="宋体"/>
                <w:color w:val="000000" w:themeColor="text1"/>
                <w:kern w:val="0"/>
                <w:szCs w:val="21"/>
                <w:highlight w:val="none"/>
                <w:lang w:val="en-US" w:eastAsia="zh-CN"/>
                <w14:textFill>
                  <w14:solidFill>
                    <w14:schemeClr w14:val="tx1"/>
                  </w14:solidFill>
                </w14:textFill>
              </w:rPr>
              <w:t>14</w:t>
            </w:r>
            <w:r>
              <w:rPr>
                <w:rFonts w:hint="eastAsia" w:ascii="宋体" w:hAnsi="宋体" w:eastAsia="宋体" w:cs="宋体"/>
                <w:color w:val="000000" w:themeColor="text1"/>
                <w:kern w:val="0"/>
                <w:szCs w:val="21"/>
                <w:highlight w:val="none"/>
                <w14:textFill>
                  <w14:solidFill>
                    <w14:schemeClr w14:val="tx1"/>
                  </w14:solidFill>
                </w14:textFill>
              </w:rPr>
              <w:t>分，</w:t>
            </w:r>
            <w:r>
              <w:rPr>
                <w:rFonts w:hint="eastAsia" w:ascii="宋体" w:hAnsi="宋体" w:eastAsia="宋体" w:cs="宋体"/>
                <w:color w:val="000000" w:themeColor="text1"/>
                <w:szCs w:val="21"/>
                <w:highlight w:val="none"/>
                <w14:textFill>
                  <w14:solidFill>
                    <w14:schemeClr w14:val="tx1"/>
                  </w14:solidFill>
                </w14:textFill>
              </w:rPr>
              <w:t>有缺漏项每处扣</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分，方案内容</w:t>
            </w:r>
            <w:r>
              <w:rPr>
                <w:rFonts w:hint="eastAsia" w:ascii="宋体" w:hAnsi="宋体" w:eastAsia="宋体" w:cs="宋体"/>
                <w:color w:val="000000" w:themeColor="text1"/>
                <w:kern w:val="0"/>
                <w:szCs w:val="21"/>
                <w:highlight w:val="none"/>
                <w:lang w:val="zh-CN"/>
                <w14:textFill>
                  <w14:solidFill>
                    <w14:schemeClr w14:val="tx1"/>
                  </w14:solidFill>
                </w14:textFill>
              </w:rPr>
              <w:t>欠全面或不够详细或欠合理的每处扣</w:t>
            </w:r>
            <w:r>
              <w:rPr>
                <w:rFonts w:hint="eastAsia" w:ascii="宋体" w:hAnsi="宋体" w:eastAsia="宋体" w:cs="宋体"/>
                <w:color w:val="000000" w:themeColor="text1"/>
                <w:kern w:val="0"/>
                <w:szCs w:val="21"/>
                <w:highlight w:val="none"/>
                <w:lang w:val="en-US" w:eastAsia="zh-CN"/>
                <w14:textFill>
                  <w14:solidFill>
                    <w14:schemeClr w14:val="tx1"/>
                  </w14:solidFill>
                </w14:textFill>
              </w:rPr>
              <w:t>1</w:t>
            </w:r>
            <w:r>
              <w:rPr>
                <w:rFonts w:hint="eastAsia" w:ascii="宋体" w:hAnsi="宋体" w:eastAsia="宋体" w:cs="宋体"/>
                <w:color w:val="000000" w:themeColor="text1"/>
                <w:kern w:val="0"/>
                <w:szCs w:val="21"/>
                <w:highlight w:val="none"/>
                <w:lang w:val="zh-CN"/>
                <w14:textFill>
                  <w14:solidFill>
                    <w14:schemeClr w14:val="tx1"/>
                  </w14:solidFill>
                </w14:textFill>
              </w:rPr>
              <w:t>分，</w:t>
            </w:r>
            <w:r>
              <w:rPr>
                <w:rFonts w:hint="eastAsia" w:ascii="宋体" w:hAnsi="宋体" w:eastAsia="宋体" w:cs="宋体"/>
                <w:color w:val="000000" w:themeColor="text1"/>
                <w:szCs w:val="21"/>
                <w:highlight w:val="none"/>
                <w14:textFill>
                  <w14:solidFill>
                    <w14:schemeClr w14:val="tx1"/>
                  </w14:solidFill>
                </w14:textFill>
              </w:rPr>
              <w:t>扣完为止。未提供方案的计0分。</w:t>
            </w:r>
          </w:p>
        </w:tc>
      </w:tr>
      <w:tr w14:paraId="599E1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70" w:type="pct"/>
            <w:vMerge w:val="continue"/>
            <w:noWrap w:val="0"/>
            <w:vAlign w:val="center"/>
          </w:tcPr>
          <w:p w14:paraId="0C2EA573">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p>
        </w:tc>
        <w:tc>
          <w:tcPr>
            <w:tcW w:w="692" w:type="pct"/>
            <w:noWrap w:val="0"/>
            <w:vAlign w:val="center"/>
          </w:tcPr>
          <w:p w14:paraId="645CCAEC">
            <w:pPr>
              <w:keepNext w:val="0"/>
              <w:keepLines w:val="0"/>
              <w:suppressLineNumbers w:val="0"/>
              <w:snapToGrid w:val="0"/>
              <w:spacing w:before="0" w:beforeAutospacing="0" w:after="0" w:afterAutospacing="0" w:line="360" w:lineRule="auto"/>
              <w:ind w:left="0" w:right="0"/>
              <w:jc w:val="center"/>
              <w:rPr>
                <w:rFonts w:hint="eastAsia" w:ascii="宋体" w:hAnsi="Times New Roman" w:eastAsia="宋体" w:cs="Times New Roman"/>
                <w:color w:val="000000" w:themeColor="text1"/>
                <w:szCs w:val="21"/>
                <w:highlight w:val="none"/>
                <w:lang w:eastAsia="zh-CN"/>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工程进度计划与</w:t>
            </w:r>
            <w:r>
              <w:rPr>
                <w:rFonts w:hint="eastAsia" w:ascii="宋体" w:hAnsi="Times New Roman" w:eastAsia="宋体" w:cs="Times New Roman"/>
                <w:color w:val="000000" w:themeColor="text1"/>
                <w:szCs w:val="21"/>
                <w:highlight w:val="none"/>
                <w:lang w:eastAsia="zh-CN"/>
                <w14:textFill>
                  <w14:solidFill>
                    <w14:schemeClr w14:val="tx1"/>
                  </w14:solidFill>
                </w14:textFill>
              </w:rPr>
              <w:t>保障措施</w:t>
            </w:r>
          </w:p>
        </w:tc>
        <w:tc>
          <w:tcPr>
            <w:tcW w:w="527" w:type="pct"/>
            <w:noWrap w:val="0"/>
            <w:vAlign w:val="center"/>
          </w:tcPr>
          <w:p w14:paraId="2C3E27E7">
            <w:pPr>
              <w:keepNext w:val="0"/>
              <w:keepLines w:val="0"/>
              <w:suppressLineNumbers w:val="0"/>
              <w:snapToGrid w:val="0"/>
              <w:spacing w:before="0" w:beforeAutospacing="0" w:after="0" w:afterAutospacing="0" w:line="360" w:lineRule="auto"/>
              <w:ind w:left="0" w:right="0"/>
              <w:jc w:val="center"/>
              <w:rPr>
                <w:rFonts w:hint="eastAsia" w:ascii="宋体" w:hAnsi="Times New Roman" w:eastAsia="宋体" w:cs="Times New Roman"/>
                <w:color w:val="000000" w:themeColor="text1"/>
                <w:szCs w:val="21"/>
                <w:highlight w:val="none"/>
                <w:lang w:eastAsia="zh-CN"/>
                <w14:textFill>
                  <w14:solidFill>
                    <w14:schemeClr w14:val="tx1"/>
                  </w14:solidFill>
                </w14:textFill>
              </w:rPr>
            </w:pPr>
            <w:r>
              <w:rPr>
                <w:rFonts w:hint="eastAsia" w:ascii="宋体" w:cs="Times New Roman"/>
                <w:color w:val="000000" w:themeColor="text1"/>
                <w:szCs w:val="21"/>
                <w:highlight w:val="none"/>
                <w:lang w:val="en-US" w:eastAsia="zh-CN"/>
                <w14:textFill>
                  <w14:solidFill>
                    <w14:schemeClr w14:val="tx1"/>
                  </w14:solidFill>
                </w14:textFill>
              </w:rPr>
              <w:t>4</w:t>
            </w:r>
          </w:p>
        </w:tc>
        <w:tc>
          <w:tcPr>
            <w:tcW w:w="3409" w:type="pct"/>
            <w:gridSpan w:val="2"/>
            <w:noWrap w:val="0"/>
            <w:vAlign w:val="top"/>
          </w:tcPr>
          <w:p w14:paraId="742566A7">
            <w:pPr>
              <w:keepNext w:val="0"/>
              <w:keepLines w:val="0"/>
              <w:suppressLineNumbers w:val="0"/>
              <w:snapToGrid w:val="0"/>
              <w:spacing w:before="0" w:beforeAutospacing="0" w:after="0" w:afterAutospacing="0" w:line="360" w:lineRule="auto"/>
              <w:ind w:left="0" w:right="0"/>
              <w:jc w:val="left"/>
              <w:rPr>
                <w:rFonts w:hint="default" w:ascii="宋体"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包括总工期和节点工期</w:t>
            </w:r>
            <w:r>
              <w:rPr>
                <w:rFonts w:hint="eastAsia" w:ascii="宋体" w:hAnsi="宋体" w:eastAsia="宋体" w:cs="宋体"/>
                <w:color w:val="000000" w:themeColor="text1"/>
                <w:kern w:val="0"/>
                <w:szCs w:val="21"/>
                <w:highlight w:val="none"/>
                <w14:textFill>
                  <w14:solidFill>
                    <w14:schemeClr w14:val="tx1"/>
                  </w14:solidFill>
                </w14:textFill>
              </w:rPr>
              <w:t>、关键线路、控制性工程以及重难点工程的分析</w:t>
            </w:r>
            <w:r>
              <w:rPr>
                <w:rFonts w:hint="eastAsia" w:ascii="宋体" w:hAnsi="宋体" w:eastAsia="宋体" w:cs="宋体"/>
                <w:color w:val="000000" w:themeColor="text1"/>
                <w:kern w:val="0"/>
                <w:szCs w:val="21"/>
                <w:highlight w:val="none"/>
                <w:lang w:eastAsia="zh-CN"/>
                <w14:textFill>
                  <w14:solidFill>
                    <w14:schemeClr w14:val="tx1"/>
                  </w14:solidFill>
                </w14:textFill>
              </w:rPr>
              <w:t>、</w:t>
            </w:r>
            <w:r>
              <w:rPr>
                <w:rFonts w:hint="eastAsia" w:ascii="宋体" w:hAnsi="宋体" w:eastAsia="宋体" w:cs="宋体"/>
                <w:color w:val="000000" w:themeColor="text1"/>
                <w:kern w:val="0"/>
                <w:szCs w:val="21"/>
                <w:highlight w:val="none"/>
                <w:lang w:val="en-US" w:eastAsia="zh-CN"/>
                <w14:textFill>
                  <w14:solidFill>
                    <w14:schemeClr w14:val="tx1"/>
                  </w14:solidFill>
                </w14:textFill>
              </w:rPr>
              <w:t>工期保障措施等</w:t>
            </w:r>
            <w:r>
              <w:rPr>
                <w:rFonts w:hint="eastAsia" w:ascii="宋体" w:hAnsi="宋体" w:eastAsia="宋体" w:cs="宋体"/>
                <w:color w:val="000000" w:themeColor="text1"/>
                <w:kern w:val="0"/>
                <w:szCs w:val="21"/>
                <w:highlight w:val="none"/>
                <w:lang w:eastAsia="zh-CN"/>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符合</w:t>
            </w:r>
            <w:r>
              <w:rPr>
                <w:rFonts w:hint="eastAsia" w:ascii="宋体" w:hAnsi="宋体" w:eastAsia="宋体" w:cs="宋体"/>
                <w:color w:val="000000" w:themeColor="text1"/>
                <w:kern w:val="0"/>
                <w:szCs w:val="21"/>
                <w:highlight w:val="none"/>
                <w:lang w:val="en-US" w:eastAsia="zh-CN"/>
                <w14:textFill>
                  <w14:solidFill>
                    <w14:schemeClr w14:val="tx1"/>
                  </w14:solidFill>
                </w14:textFill>
              </w:rPr>
              <w:t>项目</w:t>
            </w:r>
            <w:r>
              <w:rPr>
                <w:rFonts w:hint="eastAsia" w:ascii="宋体" w:hAnsi="宋体" w:eastAsia="宋体" w:cs="宋体"/>
                <w:color w:val="000000" w:themeColor="text1"/>
                <w:kern w:val="0"/>
                <w:szCs w:val="21"/>
                <w:highlight w:val="none"/>
                <w14:textFill>
                  <w14:solidFill>
                    <w14:schemeClr w14:val="tx1"/>
                  </w14:solidFill>
                </w14:textFill>
              </w:rPr>
              <w:t>工期要求，工期</w:t>
            </w:r>
            <w:r>
              <w:rPr>
                <w:rFonts w:hint="eastAsia" w:ascii="宋体" w:hAnsi="宋体" w:eastAsia="宋体" w:cs="宋体"/>
                <w:color w:val="000000" w:themeColor="text1"/>
                <w:kern w:val="0"/>
                <w:szCs w:val="21"/>
                <w:highlight w:val="none"/>
                <w:lang w:val="en-US" w:eastAsia="zh-CN"/>
                <w14:textFill>
                  <w14:solidFill>
                    <w14:schemeClr w14:val="tx1"/>
                  </w14:solidFill>
                </w14:textFill>
              </w:rPr>
              <w:t>保障</w:t>
            </w:r>
            <w:r>
              <w:rPr>
                <w:rFonts w:hint="eastAsia" w:ascii="宋体" w:hAnsi="宋体" w:eastAsia="宋体" w:cs="宋体"/>
                <w:color w:val="000000" w:themeColor="text1"/>
                <w:kern w:val="0"/>
                <w:szCs w:val="21"/>
                <w:highlight w:val="none"/>
                <w14:textFill>
                  <w14:solidFill>
                    <w14:schemeClr w14:val="tx1"/>
                  </w14:solidFill>
                </w14:textFill>
              </w:rPr>
              <w:t>措施得力、操作性</w:t>
            </w:r>
            <w:r>
              <w:rPr>
                <w:rFonts w:hint="eastAsia" w:ascii="宋体" w:hAnsi="宋体" w:eastAsia="宋体" w:cs="宋体"/>
                <w:color w:val="000000" w:themeColor="text1"/>
                <w:kern w:val="0"/>
                <w:szCs w:val="21"/>
                <w:highlight w:val="none"/>
                <w:lang w:val="en-US" w:eastAsia="zh-CN"/>
                <w14:textFill>
                  <w14:solidFill>
                    <w14:schemeClr w14:val="tx1"/>
                  </w14:solidFill>
                </w14:textFill>
              </w:rPr>
              <w:t>强</w:t>
            </w:r>
            <w:r>
              <w:rPr>
                <w:rFonts w:hint="eastAsia" w:ascii="宋体" w:hAnsi="宋体" w:eastAsia="宋体" w:cs="宋体"/>
                <w:color w:val="000000" w:themeColor="text1"/>
                <w:kern w:val="0"/>
                <w:szCs w:val="21"/>
                <w:highlight w:val="none"/>
                <w14:textFill>
                  <w14:solidFill>
                    <w14:schemeClr w14:val="tx1"/>
                  </w14:solidFill>
                </w14:textFill>
              </w:rPr>
              <w:t>的计</w:t>
            </w:r>
            <w:r>
              <w:rPr>
                <w:rFonts w:hint="eastAsia" w:ascii="宋体" w:hAnsi="宋体" w:cs="宋体"/>
                <w:color w:val="000000" w:themeColor="text1"/>
                <w:kern w:val="0"/>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Cs w:val="21"/>
                <w:highlight w:val="none"/>
                <w14:textFill>
                  <w14:solidFill>
                    <w14:schemeClr w14:val="tx1"/>
                  </w14:solidFill>
                </w14:textFill>
              </w:rPr>
              <w:t>分，</w:t>
            </w:r>
            <w:r>
              <w:rPr>
                <w:rFonts w:hint="eastAsia" w:ascii="宋体" w:hAnsi="宋体" w:eastAsia="宋体" w:cs="宋体"/>
                <w:color w:val="000000" w:themeColor="text1"/>
                <w:szCs w:val="21"/>
                <w:highlight w:val="none"/>
                <w14:textFill>
                  <w14:solidFill>
                    <w14:schemeClr w14:val="tx1"/>
                  </w14:solidFill>
                </w14:textFill>
              </w:rPr>
              <w:t>有缺漏项每处扣</w:t>
            </w:r>
            <w:r>
              <w:rPr>
                <w:rFonts w:hint="default"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分，内容</w:t>
            </w:r>
            <w:r>
              <w:rPr>
                <w:rFonts w:hint="eastAsia" w:ascii="宋体" w:hAnsi="宋体" w:eastAsia="宋体" w:cs="宋体"/>
                <w:color w:val="000000" w:themeColor="text1"/>
                <w:kern w:val="0"/>
                <w:szCs w:val="21"/>
                <w:highlight w:val="none"/>
                <w:lang w:val="zh-CN"/>
                <w14:textFill>
                  <w14:solidFill>
                    <w14:schemeClr w14:val="tx1"/>
                  </w14:solidFill>
                </w14:textFill>
              </w:rPr>
              <w:t>欠全面或不够详细或欠合理的每处扣</w:t>
            </w:r>
            <w:r>
              <w:rPr>
                <w:rFonts w:hint="default" w:ascii="宋体" w:hAnsi="宋体" w:eastAsia="宋体" w:cs="宋体"/>
                <w:color w:val="000000" w:themeColor="text1"/>
                <w:kern w:val="0"/>
                <w:szCs w:val="21"/>
                <w:highlight w:val="none"/>
                <w14:textFill>
                  <w14:solidFill>
                    <w14:schemeClr w14:val="tx1"/>
                  </w14:solidFill>
                </w14:textFill>
              </w:rPr>
              <w:t>1</w:t>
            </w:r>
            <w:r>
              <w:rPr>
                <w:rFonts w:hint="eastAsia" w:ascii="宋体" w:hAnsi="宋体" w:eastAsia="宋体" w:cs="宋体"/>
                <w:color w:val="000000" w:themeColor="text1"/>
                <w:kern w:val="0"/>
                <w:szCs w:val="21"/>
                <w:highlight w:val="none"/>
                <w:lang w:val="zh-CN"/>
                <w14:textFill>
                  <w14:solidFill>
                    <w14:schemeClr w14:val="tx1"/>
                  </w14:solidFill>
                </w14:textFill>
              </w:rPr>
              <w:t>分，</w:t>
            </w:r>
            <w:r>
              <w:rPr>
                <w:rFonts w:hint="eastAsia" w:ascii="宋体" w:hAnsi="宋体" w:eastAsia="宋体" w:cs="宋体"/>
                <w:color w:val="000000" w:themeColor="text1"/>
                <w:szCs w:val="21"/>
                <w:highlight w:val="none"/>
                <w14:textFill>
                  <w14:solidFill>
                    <w14:schemeClr w14:val="tx1"/>
                  </w14:solidFill>
                </w14:textFill>
              </w:rPr>
              <w:t>扣完为止。未提供方案的计0分。</w:t>
            </w:r>
          </w:p>
        </w:tc>
      </w:tr>
      <w:tr w14:paraId="1B0C0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70" w:type="pct"/>
            <w:vMerge w:val="continue"/>
            <w:noWrap w:val="0"/>
            <w:vAlign w:val="center"/>
          </w:tcPr>
          <w:p w14:paraId="339428C6">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p>
        </w:tc>
        <w:tc>
          <w:tcPr>
            <w:tcW w:w="692" w:type="pct"/>
            <w:noWrap w:val="0"/>
            <w:vAlign w:val="center"/>
          </w:tcPr>
          <w:p w14:paraId="02FB88E0">
            <w:pPr>
              <w:keepNext w:val="0"/>
              <w:keepLines w:val="0"/>
              <w:suppressLineNumbers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质量管理体系与措施</w:t>
            </w:r>
          </w:p>
        </w:tc>
        <w:tc>
          <w:tcPr>
            <w:tcW w:w="527" w:type="pct"/>
            <w:noWrap w:val="0"/>
            <w:vAlign w:val="center"/>
          </w:tcPr>
          <w:p w14:paraId="3A0616C8">
            <w:pPr>
              <w:keepNext w:val="0"/>
              <w:keepLines w:val="0"/>
              <w:suppressLineNumbers w:val="0"/>
              <w:snapToGrid w:val="0"/>
              <w:spacing w:before="0" w:beforeAutospacing="0" w:after="0" w:afterAutospacing="0" w:line="360" w:lineRule="auto"/>
              <w:ind w:left="0" w:right="0"/>
              <w:jc w:val="center"/>
              <w:rPr>
                <w:rFonts w:hint="eastAsia" w:ascii="宋体" w:hAnsi="Times New Roman" w:eastAsia="宋体" w:cs="Times New Roman"/>
                <w:color w:val="000000" w:themeColor="text1"/>
                <w:szCs w:val="21"/>
                <w:highlight w:val="none"/>
                <w:lang w:eastAsia="zh-CN"/>
                <w14:textFill>
                  <w14:solidFill>
                    <w14:schemeClr w14:val="tx1"/>
                  </w14:solidFill>
                </w14:textFill>
              </w:rPr>
            </w:pPr>
            <w:r>
              <w:rPr>
                <w:rFonts w:hint="eastAsia" w:ascii="宋体" w:cs="Times New Roman"/>
                <w:color w:val="000000" w:themeColor="text1"/>
                <w:szCs w:val="21"/>
                <w:highlight w:val="none"/>
                <w:lang w:val="en-US" w:eastAsia="zh-CN"/>
                <w14:textFill>
                  <w14:solidFill>
                    <w14:schemeClr w14:val="tx1"/>
                  </w14:solidFill>
                </w14:textFill>
              </w:rPr>
              <w:t>4</w:t>
            </w:r>
          </w:p>
        </w:tc>
        <w:tc>
          <w:tcPr>
            <w:tcW w:w="3409" w:type="pct"/>
            <w:gridSpan w:val="2"/>
            <w:noWrap w:val="0"/>
            <w:vAlign w:val="top"/>
          </w:tcPr>
          <w:p w14:paraId="012C0472">
            <w:pPr>
              <w:keepNext w:val="0"/>
              <w:keepLines w:val="0"/>
              <w:suppressLineNumbers w:val="0"/>
              <w:snapToGrid w:val="0"/>
              <w:spacing w:before="0" w:beforeAutospacing="0" w:after="0" w:afterAutospacing="0" w:line="360" w:lineRule="auto"/>
              <w:ind w:left="0" w:right="0"/>
              <w:jc w:val="left"/>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包括质量目标、管理制度、职责分工、</w:t>
            </w:r>
            <w:r>
              <w:rPr>
                <w:rFonts w:hint="eastAsia" w:ascii="Times New Roman" w:hAnsi="Times New Roman" w:eastAsia="宋体" w:cs="Times New Roman"/>
                <w:color w:val="000000" w:themeColor="text1"/>
                <w:spacing w:val="8"/>
                <w:highlight w:val="none"/>
                <w:lang w:val="en-US" w:eastAsia="zh-CN"/>
                <w14:textFill>
                  <w14:solidFill>
                    <w14:schemeClr w14:val="tx1"/>
                  </w14:solidFill>
                </w14:textFill>
              </w:rPr>
              <w:t>质量管理</w:t>
            </w:r>
            <w:r>
              <w:rPr>
                <w:rFonts w:hint="default" w:ascii="Times New Roman" w:hAnsi="Times New Roman" w:eastAsia="宋体" w:cs="Times New Roman"/>
                <w:color w:val="000000" w:themeColor="text1"/>
                <w:spacing w:val="8"/>
                <w:highlight w:val="none"/>
                <w14:textFill>
                  <w14:solidFill>
                    <w14:schemeClr w14:val="tx1"/>
                  </w14:solidFill>
                </w14:textFill>
              </w:rPr>
              <w:t>措施</w:t>
            </w:r>
            <w:r>
              <w:rPr>
                <w:rFonts w:hint="eastAsia" w:ascii="Times New Roman" w:hAnsi="Times New Roman" w:eastAsia="宋体" w:cs="Times New Roman"/>
                <w:color w:val="000000" w:themeColor="text1"/>
                <w:spacing w:val="8"/>
                <w:highlight w:val="none"/>
                <w:lang w:val="en-US" w:eastAsia="zh-CN"/>
                <w14:textFill>
                  <w14:solidFill>
                    <w14:schemeClr w14:val="tx1"/>
                  </w14:solidFill>
                </w14:textFill>
              </w:rPr>
              <w:t>等，</w:t>
            </w:r>
            <w:r>
              <w:rPr>
                <w:rFonts w:hint="eastAsia" w:ascii="宋体" w:hAnsi="宋体" w:eastAsia="宋体" w:cs="宋体"/>
                <w:color w:val="000000" w:themeColor="text1"/>
                <w:kern w:val="0"/>
                <w:szCs w:val="21"/>
                <w:highlight w:val="none"/>
                <w14:textFill>
                  <w14:solidFill>
                    <w14:schemeClr w14:val="tx1"/>
                  </w14:solidFill>
                </w14:textFill>
              </w:rPr>
              <w:t>质量管理体系阐述合理、可行，</w:t>
            </w:r>
            <w:r>
              <w:rPr>
                <w:rFonts w:hint="eastAsia" w:ascii="宋体" w:hAnsi="宋体" w:eastAsia="宋体" w:cs="宋体"/>
                <w:color w:val="000000" w:themeColor="text1"/>
                <w:kern w:val="0"/>
                <w:szCs w:val="21"/>
                <w:highlight w:val="none"/>
                <w:lang w:val="en-US" w:eastAsia="zh-CN"/>
                <w14:textFill>
                  <w14:solidFill>
                    <w14:schemeClr w14:val="tx1"/>
                  </w14:solidFill>
                </w14:textFill>
              </w:rPr>
              <w:t>管理</w:t>
            </w:r>
            <w:r>
              <w:rPr>
                <w:rFonts w:hint="eastAsia" w:ascii="宋体" w:hAnsi="宋体" w:eastAsia="宋体" w:cs="宋体"/>
                <w:color w:val="000000" w:themeColor="text1"/>
                <w:kern w:val="0"/>
                <w:szCs w:val="21"/>
                <w:highlight w:val="none"/>
                <w14:textFill>
                  <w14:solidFill>
                    <w14:schemeClr w14:val="tx1"/>
                  </w14:solidFill>
                </w14:textFill>
              </w:rPr>
              <w:t>措施得力、操作性</w:t>
            </w:r>
            <w:r>
              <w:rPr>
                <w:rFonts w:hint="eastAsia" w:ascii="宋体" w:hAnsi="宋体" w:eastAsia="宋体" w:cs="宋体"/>
                <w:color w:val="000000" w:themeColor="text1"/>
                <w:kern w:val="0"/>
                <w:szCs w:val="21"/>
                <w:highlight w:val="none"/>
                <w:lang w:val="en-US" w:eastAsia="zh-CN"/>
                <w14:textFill>
                  <w14:solidFill>
                    <w14:schemeClr w14:val="tx1"/>
                  </w14:solidFill>
                </w14:textFill>
              </w:rPr>
              <w:t>强</w:t>
            </w:r>
            <w:r>
              <w:rPr>
                <w:rFonts w:hint="eastAsia" w:ascii="宋体" w:hAnsi="宋体" w:eastAsia="宋体" w:cs="宋体"/>
                <w:color w:val="000000" w:themeColor="text1"/>
                <w:kern w:val="0"/>
                <w:szCs w:val="21"/>
                <w:highlight w:val="none"/>
                <w14:textFill>
                  <w14:solidFill>
                    <w14:schemeClr w14:val="tx1"/>
                  </w14:solidFill>
                </w14:textFill>
              </w:rPr>
              <w:t>的计</w:t>
            </w:r>
            <w:r>
              <w:rPr>
                <w:rFonts w:hint="eastAsia" w:ascii="宋体" w:hAnsi="宋体" w:cs="宋体"/>
                <w:color w:val="000000" w:themeColor="text1"/>
                <w:kern w:val="0"/>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Cs w:val="21"/>
                <w:highlight w:val="none"/>
                <w14:textFill>
                  <w14:solidFill>
                    <w14:schemeClr w14:val="tx1"/>
                  </w14:solidFill>
                </w14:textFill>
              </w:rPr>
              <w:t>分，</w:t>
            </w:r>
            <w:r>
              <w:rPr>
                <w:rFonts w:hint="eastAsia" w:ascii="宋体" w:hAnsi="宋体" w:eastAsia="宋体" w:cs="宋体"/>
                <w:color w:val="000000" w:themeColor="text1"/>
                <w:szCs w:val="21"/>
                <w:highlight w:val="none"/>
                <w14:textFill>
                  <w14:solidFill>
                    <w14:schemeClr w14:val="tx1"/>
                  </w14:solidFill>
                </w14:textFill>
              </w:rPr>
              <w:t>有缺漏项每处扣2分，内容</w:t>
            </w:r>
            <w:r>
              <w:rPr>
                <w:rFonts w:hint="eastAsia" w:ascii="宋体" w:hAnsi="宋体" w:eastAsia="宋体" w:cs="宋体"/>
                <w:color w:val="000000" w:themeColor="text1"/>
                <w:kern w:val="0"/>
                <w:szCs w:val="21"/>
                <w:highlight w:val="none"/>
                <w:lang w:val="zh-CN"/>
                <w14:textFill>
                  <w14:solidFill>
                    <w14:schemeClr w14:val="tx1"/>
                  </w14:solidFill>
                </w14:textFill>
              </w:rPr>
              <w:t>欠全面或不够详细或欠合理的每处扣</w:t>
            </w:r>
            <w:r>
              <w:rPr>
                <w:rFonts w:hint="eastAsia" w:ascii="宋体" w:hAnsi="宋体" w:eastAsia="宋体" w:cs="宋体"/>
                <w:color w:val="000000" w:themeColor="text1"/>
                <w:kern w:val="0"/>
                <w:szCs w:val="21"/>
                <w:highlight w:val="none"/>
                <w14:textFill>
                  <w14:solidFill>
                    <w14:schemeClr w14:val="tx1"/>
                  </w14:solidFill>
                </w14:textFill>
              </w:rPr>
              <w:t>1</w:t>
            </w:r>
            <w:r>
              <w:rPr>
                <w:rFonts w:hint="eastAsia" w:ascii="宋体" w:hAnsi="宋体" w:eastAsia="宋体" w:cs="宋体"/>
                <w:color w:val="000000" w:themeColor="text1"/>
                <w:kern w:val="0"/>
                <w:szCs w:val="21"/>
                <w:highlight w:val="none"/>
                <w:lang w:val="zh-CN"/>
                <w14:textFill>
                  <w14:solidFill>
                    <w14:schemeClr w14:val="tx1"/>
                  </w14:solidFill>
                </w14:textFill>
              </w:rPr>
              <w:t>分，</w:t>
            </w:r>
            <w:r>
              <w:rPr>
                <w:rFonts w:hint="eastAsia" w:ascii="宋体" w:hAnsi="宋体" w:eastAsia="宋体" w:cs="宋体"/>
                <w:color w:val="000000" w:themeColor="text1"/>
                <w:szCs w:val="21"/>
                <w:highlight w:val="none"/>
                <w14:textFill>
                  <w14:solidFill>
                    <w14:schemeClr w14:val="tx1"/>
                  </w14:solidFill>
                </w14:textFill>
              </w:rPr>
              <w:t>扣完为止。未提供方案的计0分。</w:t>
            </w:r>
          </w:p>
        </w:tc>
      </w:tr>
      <w:tr w14:paraId="45B9B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70" w:type="pct"/>
            <w:vMerge w:val="continue"/>
            <w:noWrap w:val="0"/>
            <w:vAlign w:val="center"/>
          </w:tcPr>
          <w:p w14:paraId="4A9E696C">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p>
        </w:tc>
        <w:tc>
          <w:tcPr>
            <w:tcW w:w="692" w:type="pct"/>
            <w:noWrap w:val="0"/>
            <w:vAlign w:val="center"/>
          </w:tcPr>
          <w:p w14:paraId="00FD0371">
            <w:pPr>
              <w:keepNext w:val="0"/>
              <w:keepLines w:val="0"/>
              <w:suppressLineNumbers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安全管理体系与措施</w:t>
            </w:r>
          </w:p>
        </w:tc>
        <w:tc>
          <w:tcPr>
            <w:tcW w:w="527" w:type="pct"/>
            <w:noWrap w:val="0"/>
            <w:vAlign w:val="center"/>
          </w:tcPr>
          <w:p w14:paraId="48458EAF">
            <w:pPr>
              <w:keepNext w:val="0"/>
              <w:keepLines w:val="0"/>
              <w:suppressLineNumbers w:val="0"/>
              <w:snapToGrid w:val="0"/>
              <w:spacing w:before="0" w:beforeAutospacing="0" w:after="0" w:afterAutospacing="0" w:line="360" w:lineRule="auto"/>
              <w:ind w:left="0" w:right="0"/>
              <w:jc w:val="center"/>
              <w:rPr>
                <w:rFonts w:hint="eastAsia" w:ascii="宋体" w:hAnsi="Times New Roman" w:eastAsia="宋体" w:cs="Times New Roman"/>
                <w:color w:val="000000" w:themeColor="text1"/>
                <w:szCs w:val="21"/>
                <w:highlight w:val="none"/>
                <w:lang w:eastAsia="zh-CN"/>
                <w14:textFill>
                  <w14:solidFill>
                    <w14:schemeClr w14:val="tx1"/>
                  </w14:solidFill>
                </w14:textFill>
              </w:rPr>
            </w:pPr>
            <w:r>
              <w:rPr>
                <w:rFonts w:hint="eastAsia" w:ascii="宋体" w:cs="Times New Roman"/>
                <w:color w:val="000000" w:themeColor="text1"/>
                <w:szCs w:val="21"/>
                <w:highlight w:val="none"/>
                <w:lang w:val="en-US" w:eastAsia="zh-CN"/>
                <w14:textFill>
                  <w14:solidFill>
                    <w14:schemeClr w14:val="tx1"/>
                  </w14:solidFill>
                </w14:textFill>
              </w:rPr>
              <w:t>4</w:t>
            </w:r>
          </w:p>
        </w:tc>
        <w:tc>
          <w:tcPr>
            <w:tcW w:w="3409" w:type="pct"/>
            <w:gridSpan w:val="2"/>
            <w:noWrap w:val="0"/>
            <w:vAlign w:val="top"/>
          </w:tcPr>
          <w:p w14:paraId="46E5C907">
            <w:pPr>
              <w:keepNext w:val="0"/>
              <w:keepLines w:val="0"/>
              <w:suppressLineNumbers w:val="0"/>
              <w:snapToGrid w:val="0"/>
              <w:spacing w:before="0" w:beforeAutospacing="0" w:after="0" w:afterAutospacing="0" w:line="360" w:lineRule="auto"/>
              <w:ind w:left="0" w:right="0"/>
              <w:jc w:val="left"/>
              <w:rPr>
                <w:rFonts w:hint="default" w:ascii="宋体"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包括安全目标、管理制度、职责分工、安全管理和应急处置措施等，</w:t>
            </w:r>
            <w:r>
              <w:rPr>
                <w:rFonts w:hint="eastAsia" w:ascii="宋体" w:hAnsi="宋体" w:eastAsia="宋体" w:cs="宋体"/>
                <w:color w:val="000000" w:themeColor="text1"/>
                <w:kern w:val="0"/>
                <w:szCs w:val="21"/>
                <w:highlight w:val="none"/>
                <w14:textFill>
                  <w14:solidFill>
                    <w14:schemeClr w14:val="tx1"/>
                  </w14:solidFill>
                </w14:textFill>
              </w:rPr>
              <w:t>安全管理体系分析得当、针对可能出现的风险采取预防和应急处置措施得力、操作性</w:t>
            </w:r>
            <w:r>
              <w:rPr>
                <w:rFonts w:hint="eastAsia" w:ascii="宋体" w:hAnsi="宋体" w:eastAsia="宋体" w:cs="宋体"/>
                <w:color w:val="000000" w:themeColor="text1"/>
                <w:kern w:val="0"/>
                <w:szCs w:val="21"/>
                <w:highlight w:val="none"/>
                <w:lang w:val="en-US" w:eastAsia="zh-CN"/>
                <w14:textFill>
                  <w14:solidFill>
                    <w14:schemeClr w14:val="tx1"/>
                  </w14:solidFill>
                </w14:textFill>
              </w:rPr>
              <w:t>强</w:t>
            </w:r>
            <w:r>
              <w:rPr>
                <w:rFonts w:hint="eastAsia" w:ascii="宋体" w:hAnsi="宋体" w:eastAsia="宋体" w:cs="宋体"/>
                <w:color w:val="000000" w:themeColor="text1"/>
                <w:kern w:val="0"/>
                <w:szCs w:val="21"/>
                <w:highlight w:val="none"/>
                <w14:textFill>
                  <w14:solidFill>
                    <w14:schemeClr w14:val="tx1"/>
                  </w14:solidFill>
                </w14:textFill>
              </w:rPr>
              <w:t>的计</w:t>
            </w:r>
            <w:r>
              <w:rPr>
                <w:rFonts w:hint="eastAsia" w:ascii="宋体" w:hAnsi="宋体" w:cs="宋体"/>
                <w:color w:val="000000" w:themeColor="text1"/>
                <w:kern w:val="0"/>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Cs w:val="21"/>
                <w:highlight w:val="none"/>
                <w14:textFill>
                  <w14:solidFill>
                    <w14:schemeClr w14:val="tx1"/>
                  </w14:solidFill>
                </w14:textFill>
              </w:rPr>
              <w:t>分，</w:t>
            </w:r>
            <w:r>
              <w:rPr>
                <w:rFonts w:hint="eastAsia" w:ascii="宋体" w:hAnsi="宋体" w:eastAsia="宋体" w:cs="宋体"/>
                <w:color w:val="000000" w:themeColor="text1"/>
                <w:szCs w:val="21"/>
                <w:highlight w:val="none"/>
                <w14:textFill>
                  <w14:solidFill>
                    <w14:schemeClr w14:val="tx1"/>
                  </w14:solidFill>
                </w14:textFill>
              </w:rPr>
              <w:t>有缺漏项每处扣</w:t>
            </w:r>
            <w:r>
              <w:rPr>
                <w:rFonts w:hint="default"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分，内容</w:t>
            </w:r>
            <w:r>
              <w:rPr>
                <w:rFonts w:hint="eastAsia" w:ascii="宋体" w:hAnsi="宋体" w:eastAsia="宋体" w:cs="宋体"/>
                <w:color w:val="000000" w:themeColor="text1"/>
                <w:kern w:val="0"/>
                <w:szCs w:val="21"/>
                <w:highlight w:val="none"/>
                <w:lang w:val="zh-CN"/>
                <w14:textFill>
                  <w14:solidFill>
                    <w14:schemeClr w14:val="tx1"/>
                  </w14:solidFill>
                </w14:textFill>
              </w:rPr>
              <w:t>欠全面或不够详细或欠合理的每处扣</w:t>
            </w:r>
            <w:r>
              <w:rPr>
                <w:rFonts w:hint="default" w:ascii="宋体" w:hAnsi="宋体" w:eastAsia="宋体" w:cs="宋体"/>
                <w:color w:val="000000" w:themeColor="text1"/>
                <w:kern w:val="0"/>
                <w:szCs w:val="21"/>
                <w:highlight w:val="none"/>
                <w14:textFill>
                  <w14:solidFill>
                    <w14:schemeClr w14:val="tx1"/>
                  </w14:solidFill>
                </w14:textFill>
              </w:rPr>
              <w:t>1</w:t>
            </w:r>
            <w:r>
              <w:rPr>
                <w:rFonts w:hint="eastAsia" w:ascii="宋体" w:hAnsi="宋体" w:eastAsia="宋体" w:cs="宋体"/>
                <w:color w:val="000000" w:themeColor="text1"/>
                <w:kern w:val="0"/>
                <w:szCs w:val="21"/>
                <w:highlight w:val="none"/>
                <w:lang w:val="zh-CN"/>
                <w14:textFill>
                  <w14:solidFill>
                    <w14:schemeClr w14:val="tx1"/>
                  </w14:solidFill>
                </w14:textFill>
              </w:rPr>
              <w:t>分，</w:t>
            </w:r>
            <w:r>
              <w:rPr>
                <w:rFonts w:hint="eastAsia" w:ascii="宋体" w:hAnsi="宋体" w:eastAsia="宋体" w:cs="宋体"/>
                <w:color w:val="000000" w:themeColor="text1"/>
                <w:szCs w:val="21"/>
                <w:highlight w:val="none"/>
                <w14:textFill>
                  <w14:solidFill>
                    <w14:schemeClr w14:val="tx1"/>
                  </w14:solidFill>
                </w14:textFill>
              </w:rPr>
              <w:t>扣完为止。未提供方案的计0分。</w:t>
            </w:r>
          </w:p>
        </w:tc>
      </w:tr>
      <w:tr w14:paraId="5C652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70" w:type="pct"/>
            <w:vMerge w:val="continue"/>
            <w:noWrap w:val="0"/>
            <w:vAlign w:val="center"/>
          </w:tcPr>
          <w:p w14:paraId="75E38226">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p>
        </w:tc>
        <w:tc>
          <w:tcPr>
            <w:tcW w:w="692" w:type="pct"/>
            <w:noWrap w:val="0"/>
            <w:vAlign w:val="center"/>
          </w:tcPr>
          <w:p w14:paraId="55FC4F1C">
            <w:pPr>
              <w:keepNext w:val="0"/>
              <w:keepLines w:val="0"/>
              <w:suppressLineNumbers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环境保护管理体系与措施</w:t>
            </w:r>
          </w:p>
        </w:tc>
        <w:tc>
          <w:tcPr>
            <w:tcW w:w="527" w:type="pct"/>
            <w:noWrap w:val="0"/>
            <w:vAlign w:val="center"/>
          </w:tcPr>
          <w:p w14:paraId="0E346EB7">
            <w:pPr>
              <w:keepNext w:val="0"/>
              <w:keepLines w:val="0"/>
              <w:suppressLineNumbers w:val="0"/>
              <w:snapToGrid w:val="0"/>
              <w:spacing w:before="0" w:beforeAutospacing="0" w:after="0" w:afterAutospacing="0" w:line="360" w:lineRule="auto"/>
              <w:ind w:left="0" w:right="0"/>
              <w:jc w:val="center"/>
              <w:rPr>
                <w:rFonts w:hint="eastAsia" w:ascii="宋体" w:hAnsi="Times New Roman" w:eastAsia="宋体" w:cs="Times New Roman"/>
                <w:color w:val="000000" w:themeColor="text1"/>
                <w:szCs w:val="21"/>
                <w:highlight w:val="none"/>
                <w:lang w:eastAsia="zh-CN"/>
                <w14:textFill>
                  <w14:solidFill>
                    <w14:schemeClr w14:val="tx1"/>
                  </w14:solidFill>
                </w14:textFill>
              </w:rPr>
            </w:pPr>
            <w:r>
              <w:rPr>
                <w:rFonts w:hint="eastAsia" w:ascii="宋体" w:hAnsi="Times New Roman" w:eastAsia="宋体" w:cs="Times New Roman"/>
                <w:color w:val="000000" w:themeColor="text1"/>
                <w:szCs w:val="21"/>
                <w:highlight w:val="none"/>
                <w:lang w:val="en-US" w:eastAsia="zh-CN"/>
                <w14:textFill>
                  <w14:solidFill>
                    <w14:schemeClr w14:val="tx1"/>
                  </w14:solidFill>
                </w14:textFill>
              </w:rPr>
              <w:t>3</w:t>
            </w:r>
          </w:p>
        </w:tc>
        <w:tc>
          <w:tcPr>
            <w:tcW w:w="3409" w:type="pct"/>
            <w:gridSpan w:val="2"/>
            <w:noWrap w:val="0"/>
            <w:vAlign w:val="top"/>
          </w:tcPr>
          <w:p w14:paraId="46B3F057">
            <w:pPr>
              <w:keepNext w:val="0"/>
              <w:keepLines w:val="0"/>
              <w:suppressLineNumbers w:val="0"/>
              <w:snapToGrid w:val="0"/>
              <w:spacing w:before="0" w:beforeAutospacing="0" w:after="0" w:afterAutospacing="0" w:line="360" w:lineRule="auto"/>
              <w:ind w:left="0" w:right="0"/>
              <w:jc w:val="left"/>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包括环境管理目标、管理制度、职责分工、</w:t>
            </w:r>
            <w:r>
              <w:rPr>
                <w:rFonts w:hint="eastAsia" w:ascii="宋体" w:hAnsi="Times New Roman" w:eastAsia="宋体" w:cs="Times New Roman"/>
                <w:color w:val="000000" w:themeColor="text1"/>
                <w:szCs w:val="21"/>
                <w:highlight w:val="none"/>
                <w14:textFill>
                  <w14:solidFill>
                    <w14:schemeClr w14:val="tx1"/>
                  </w14:solidFill>
                </w14:textFill>
              </w:rPr>
              <w:t>环境保护管理</w:t>
            </w:r>
            <w:r>
              <w:rPr>
                <w:rFonts w:hint="eastAsia" w:ascii="宋体" w:hAnsi="Times New Roman" w:eastAsia="宋体" w:cs="Times New Roman"/>
                <w:color w:val="000000" w:themeColor="text1"/>
                <w:szCs w:val="21"/>
                <w:highlight w:val="none"/>
                <w:lang w:val="en-US" w:eastAsia="zh-CN"/>
                <w14:textFill>
                  <w14:solidFill>
                    <w14:schemeClr w14:val="tx1"/>
                  </w14:solidFill>
                </w14:textFill>
              </w:rPr>
              <w:t>和应急处理措施</w:t>
            </w:r>
            <w:r>
              <w:rPr>
                <w:rFonts w:hint="eastAsia" w:ascii="宋体" w:hAnsi="宋体" w:eastAsia="宋体" w:cs="宋体"/>
                <w:color w:val="000000" w:themeColor="text1"/>
                <w:kern w:val="0"/>
                <w:szCs w:val="21"/>
                <w:highlight w:val="none"/>
                <w14:textFill>
                  <w14:solidFill>
                    <w14:schemeClr w14:val="tx1"/>
                  </w14:solidFill>
                </w14:textFill>
              </w:rPr>
              <w:t>等，</w:t>
            </w:r>
            <w:r>
              <w:rPr>
                <w:rFonts w:hint="eastAsia" w:ascii="宋体" w:hAnsi="Times New Roman" w:eastAsia="宋体" w:cs="Times New Roman"/>
                <w:color w:val="000000" w:themeColor="text1"/>
                <w:szCs w:val="21"/>
                <w:highlight w:val="none"/>
                <w14:textFill>
                  <w14:solidFill>
                    <w14:schemeClr w14:val="tx1"/>
                  </w14:solidFill>
                </w14:textFill>
              </w:rPr>
              <w:t>环境保护管理体系</w:t>
            </w:r>
            <w:r>
              <w:rPr>
                <w:rFonts w:hint="eastAsia" w:ascii="宋体" w:hAnsi="宋体" w:eastAsia="宋体" w:cs="宋体"/>
                <w:color w:val="000000" w:themeColor="text1"/>
                <w:kern w:val="0"/>
                <w:szCs w:val="21"/>
                <w:highlight w:val="none"/>
                <w14:textFill>
                  <w14:solidFill>
                    <w14:schemeClr w14:val="tx1"/>
                  </w14:solidFill>
                </w14:textFill>
              </w:rPr>
              <w:t>表述全面且方案完善、措施合理，且具有可行性的计</w:t>
            </w:r>
            <w:r>
              <w:rPr>
                <w:rFonts w:hint="eastAsia" w:ascii="宋体" w:hAnsi="宋体" w:eastAsia="宋体" w:cs="宋体"/>
                <w:color w:val="000000" w:themeColor="text1"/>
                <w:kern w:val="0"/>
                <w:szCs w:val="21"/>
                <w:highlight w:val="none"/>
                <w:lang w:val="en-US" w:eastAsia="zh-CN"/>
                <w14:textFill>
                  <w14:solidFill>
                    <w14:schemeClr w14:val="tx1"/>
                  </w14:solidFill>
                </w14:textFill>
              </w:rPr>
              <w:t>3</w:t>
            </w:r>
            <w:r>
              <w:rPr>
                <w:rFonts w:hint="eastAsia" w:ascii="宋体" w:hAnsi="宋体" w:eastAsia="宋体" w:cs="宋体"/>
                <w:color w:val="000000" w:themeColor="text1"/>
                <w:kern w:val="0"/>
                <w:szCs w:val="21"/>
                <w:highlight w:val="none"/>
                <w14:textFill>
                  <w14:solidFill>
                    <w14:schemeClr w14:val="tx1"/>
                  </w14:solidFill>
                </w14:textFill>
              </w:rPr>
              <w:t>分，</w:t>
            </w:r>
            <w:r>
              <w:rPr>
                <w:rFonts w:hint="eastAsia" w:ascii="宋体" w:hAnsi="宋体" w:eastAsia="宋体" w:cs="宋体"/>
                <w:color w:val="000000" w:themeColor="text1"/>
                <w:szCs w:val="21"/>
                <w:highlight w:val="none"/>
                <w14:textFill>
                  <w14:solidFill>
                    <w14:schemeClr w14:val="tx1"/>
                  </w14:solidFill>
                </w14:textFill>
              </w:rPr>
              <w:t>有缺漏项每处扣1分，内容</w:t>
            </w:r>
            <w:r>
              <w:rPr>
                <w:rFonts w:hint="eastAsia" w:ascii="宋体" w:hAnsi="宋体" w:eastAsia="宋体" w:cs="宋体"/>
                <w:color w:val="000000" w:themeColor="text1"/>
                <w:kern w:val="0"/>
                <w:szCs w:val="21"/>
                <w:highlight w:val="none"/>
                <w:lang w:val="zh-CN"/>
                <w14:textFill>
                  <w14:solidFill>
                    <w14:schemeClr w14:val="tx1"/>
                  </w14:solidFill>
                </w14:textFill>
              </w:rPr>
              <w:t>欠全面或不够详细或欠合理的每处扣</w:t>
            </w:r>
            <w:r>
              <w:rPr>
                <w:rFonts w:hint="eastAsia" w:ascii="宋体" w:hAnsi="宋体" w:eastAsia="宋体" w:cs="宋体"/>
                <w:color w:val="000000" w:themeColor="text1"/>
                <w:kern w:val="0"/>
                <w:szCs w:val="21"/>
                <w:highlight w:val="none"/>
                <w:lang w:val="en-US" w:eastAsia="zh-CN"/>
                <w14:textFill>
                  <w14:solidFill>
                    <w14:schemeClr w14:val="tx1"/>
                  </w14:solidFill>
                </w14:textFill>
              </w:rPr>
              <w:t>0.5</w:t>
            </w:r>
            <w:r>
              <w:rPr>
                <w:rFonts w:hint="eastAsia" w:ascii="宋体" w:hAnsi="宋体" w:eastAsia="宋体" w:cs="宋体"/>
                <w:color w:val="000000" w:themeColor="text1"/>
                <w:kern w:val="0"/>
                <w:szCs w:val="21"/>
                <w:highlight w:val="none"/>
                <w:lang w:val="zh-CN"/>
                <w14:textFill>
                  <w14:solidFill>
                    <w14:schemeClr w14:val="tx1"/>
                  </w14:solidFill>
                </w14:textFill>
              </w:rPr>
              <w:t>分，</w:t>
            </w:r>
            <w:r>
              <w:rPr>
                <w:rFonts w:hint="eastAsia" w:ascii="宋体" w:hAnsi="宋体" w:eastAsia="宋体" w:cs="宋体"/>
                <w:color w:val="000000" w:themeColor="text1"/>
                <w:szCs w:val="21"/>
                <w:highlight w:val="none"/>
                <w14:textFill>
                  <w14:solidFill>
                    <w14:schemeClr w14:val="tx1"/>
                  </w14:solidFill>
                </w14:textFill>
              </w:rPr>
              <w:t>扣完为止。未提供方案的计0分。</w:t>
            </w:r>
          </w:p>
        </w:tc>
      </w:tr>
      <w:tr w14:paraId="19496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370" w:type="pct"/>
            <w:vMerge w:val="continue"/>
            <w:noWrap w:val="0"/>
            <w:vAlign w:val="center"/>
          </w:tcPr>
          <w:p w14:paraId="4F320A95">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p>
        </w:tc>
        <w:tc>
          <w:tcPr>
            <w:tcW w:w="692" w:type="pct"/>
            <w:noWrap w:val="0"/>
            <w:vAlign w:val="center"/>
          </w:tcPr>
          <w:p w14:paraId="1FBEECE8">
            <w:pPr>
              <w:keepNext w:val="0"/>
              <w:keepLines w:val="0"/>
              <w:suppressLineNumbers w:val="0"/>
              <w:snapToGrid w:val="0"/>
              <w:spacing w:before="0" w:beforeAutospacing="0" w:after="0" w:afterAutospacing="0" w:line="360" w:lineRule="auto"/>
              <w:ind w:left="0" w:right="0"/>
              <w:jc w:val="center"/>
              <w:rPr>
                <w:rFonts w:hint="eastAsia" w:ascii="宋体"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组织与协调</w:t>
            </w:r>
          </w:p>
        </w:tc>
        <w:tc>
          <w:tcPr>
            <w:tcW w:w="527" w:type="pct"/>
            <w:noWrap w:val="0"/>
            <w:vAlign w:val="center"/>
          </w:tcPr>
          <w:p w14:paraId="4607F6A3">
            <w:pPr>
              <w:keepNext w:val="0"/>
              <w:keepLines w:val="0"/>
              <w:widowControl w:val="0"/>
              <w:suppressLineNumbers w:val="0"/>
              <w:spacing w:before="65" w:beforeAutospacing="0" w:after="0" w:afterAutospacing="0" w:line="278" w:lineRule="auto"/>
              <w:ind w:left="157" w:leftChars="0" w:right="152" w:rightChars="0" w:firstLine="3"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5</w:t>
            </w:r>
          </w:p>
        </w:tc>
        <w:tc>
          <w:tcPr>
            <w:tcW w:w="3409" w:type="pct"/>
            <w:gridSpan w:val="2"/>
            <w:noWrap w:val="0"/>
            <w:vAlign w:val="top"/>
          </w:tcPr>
          <w:p w14:paraId="48D09229">
            <w:pPr>
              <w:keepNext w:val="0"/>
              <w:keepLines w:val="0"/>
              <w:widowControl w:val="0"/>
              <w:suppressLineNumbers w:val="0"/>
              <w:spacing w:before="65" w:beforeAutospacing="0" w:after="0" w:afterAutospacing="0" w:line="278" w:lineRule="auto"/>
              <w:ind w:left="0" w:right="152" w:rightChars="0"/>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kern w:val="2"/>
                <w:sz w:val="21"/>
                <w:szCs w:val="21"/>
                <w:highlight w:val="none"/>
                <w:lang w:val="en-US" w:eastAsia="zh-CN" w:bidi="ar-SA"/>
                <w14:textFill>
                  <w14:solidFill>
                    <w14:schemeClr w14:val="tx1"/>
                  </w14:solidFill>
                </w14:textFill>
              </w:rPr>
              <w:t>在项目所在地能组织协调各方关系，迅速推进项目建设的进度并确保建设单位各部门、各科室能正常有序运行，包括组织与协调原则、组织与协调工作方法、 组织与协调的管理措施、风险管理等，</w:t>
            </w:r>
            <w:r>
              <w:rPr>
                <w:rFonts w:hint="eastAsia" w:ascii="宋体" w:hAnsi="宋体" w:eastAsia="宋体" w:cs="宋体"/>
                <w:color w:val="000000" w:themeColor="text1"/>
                <w:kern w:val="0"/>
                <w:sz w:val="21"/>
                <w:szCs w:val="21"/>
                <w:highlight w:val="none"/>
                <w:lang w:val="en-US" w:eastAsia="en-US" w:bidi="ar-SA"/>
                <w14:textFill>
                  <w14:solidFill>
                    <w14:schemeClr w14:val="tx1"/>
                  </w14:solidFill>
                </w14:textFill>
              </w:rPr>
              <w:t>方案完善、措施合理，且具有可行性的计</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5</w:t>
            </w:r>
            <w:r>
              <w:rPr>
                <w:rFonts w:hint="eastAsia" w:ascii="宋体" w:hAnsi="宋体" w:eastAsia="宋体" w:cs="宋体"/>
                <w:color w:val="000000" w:themeColor="text1"/>
                <w:kern w:val="0"/>
                <w:sz w:val="21"/>
                <w:szCs w:val="21"/>
                <w:highlight w:val="none"/>
                <w:lang w:val="en-US" w:eastAsia="en-US" w:bidi="ar-SA"/>
                <w14:textFill>
                  <w14:solidFill>
                    <w14:schemeClr w14:val="tx1"/>
                  </w14:solidFill>
                </w14:textFill>
              </w:rPr>
              <w:t>分，</w:t>
            </w: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有缺漏项每处扣</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w:t>
            </w: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分，内容</w:t>
            </w:r>
            <w:r>
              <w:rPr>
                <w:rFonts w:hint="eastAsia" w:ascii="宋体" w:hAnsi="宋体" w:eastAsia="宋体" w:cs="宋体"/>
                <w:color w:val="000000" w:themeColor="text1"/>
                <w:kern w:val="0"/>
                <w:sz w:val="21"/>
                <w:szCs w:val="21"/>
                <w:highlight w:val="none"/>
                <w:lang w:val="zh-CN" w:eastAsia="en-US" w:bidi="ar-SA"/>
                <w14:textFill>
                  <w14:solidFill>
                    <w14:schemeClr w14:val="tx1"/>
                  </w14:solidFill>
                </w14:textFill>
              </w:rPr>
              <w:t>欠全面或不够详细或欠合理的每处扣</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0.5</w:t>
            </w:r>
            <w:r>
              <w:rPr>
                <w:rFonts w:hint="eastAsia" w:ascii="宋体" w:hAnsi="宋体" w:eastAsia="宋体" w:cs="宋体"/>
                <w:color w:val="000000" w:themeColor="text1"/>
                <w:kern w:val="0"/>
                <w:sz w:val="21"/>
                <w:szCs w:val="21"/>
                <w:highlight w:val="none"/>
                <w:lang w:val="zh-CN" w:eastAsia="en-US" w:bidi="ar-SA"/>
                <w14:textFill>
                  <w14:solidFill>
                    <w14:schemeClr w14:val="tx1"/>
                  </w14:solidFill>
                </w14:textFill>
              </w:rPr>
              <w:t>分，</w:t>
            </w: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扣完为止。未提供方案的计0分。</w:t>
            </w:r>
          </w:p>
        </w:tc>
      </w:tr>
      <w:tr w14:paraId="144DA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70" w:type="pct"/>
            <w:vMerge w:val="continue"/>
            <w:noWrap w:val="0"/>
            <w:vAlign w:val="center"/>
          </w:tcPr>
          <w:p w14:paraId="47B4159F">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p>
        </w:tc>
        <w:tc>
          <w:tcPr>
            <w:tcW w:w="692" w:type="pct"/>
            <w:noWrap w:val="0"/>
            <w:vAlign w:val="center"/>
          </w:tcPr>
          <w:p w14:paraId="7AAE8BE7">
            <w:pPr>
              <w:keepNext w:val="0"/>
              <w:keepLines w:val="0"/>
              <w:suppressLineNumbers w:val="0"/>
              <w:snapToGrid w:val="0"/>
              <w:spacing w:before="0" w:beforeAutospacing="0" w:after="0" w:afterAutospacing="0" w:line="360" w:lineRule="auto"/>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资源配备计划</w:t>
            </w:r>
          </w:p>
        </w:tc>
        <w:tc>
          <w:tcPr>
            <w:tcW w:w="527" w:type="pct"/>
            <w:noWrap w:val="0"/>
            <w:vAlign w:val="center"/>
          </w:tcPr>
          <w:p w14:paraId="093E59A5">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3409" w:type="pct"/>
            <w:gridSpan w:val="2"/>
            <w:noWrap w:val="0"/>
            <w:vAlign w:val="center"/>
          </w:tcPr>
          <w:p w14:paraId="37A33407">
            <w:pPr>
              <w:keepNext w:val="0"/>
              <w:keepLines w:val="0"/>
              <w:suppressLineNumbers w:val="0"/>
              <w:snapToGrid w:val="0"/>
              <w:spacing w:before="0" w:beforeAutospacing="0" w:after="0" w:afterAutospacing="0" w:line="360" w:lineRule="auto"/>
              <w:ind w:left="0" w:right="0"/>
              <w:jc w:val="left"/>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依据项目</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实际</w:t>
            </w:r>
            <w:r>
              <w:rPr>
                <w:rFonts w:hint="eastAsia" w:ascii="宋体" w:hAnsi="宋体" w:eastAsia="宋体" w:cs="宋体"/>
                <w:color w:val="000000" w:themeColor="text1"/>
                <w:kern w:val="0"/>
                <w:sz w:val="21"/>
                <w:szCs w:val="21"/>
                <w:highlight w:val="none"/>
                <w14:textFill>
                  <w14:solidFill>
                    <w14:schemeClr w14:val="tx1"/>
                  </w14:solidFill>
                </w14:textFill>
              </w:rPr>
              <w:t>情况,拟投入本项目的</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材料、设备、工器具、</w:t>
            </w:r>
            <w:r>
              <w:rPr>
                <w:rFonts w:hint="eastAsia" w:ascii="宋体" w:hAnsi="宋体" w:eastAsia="宋体" w:cs="宋体"/>
                <w:color w:val="000000" w:themeColor="text1"/>
                <w:kern w:val="0"/>
                <w:sz w:val="21"/>
                <w:szCs w:val="21"/>
                <w:highlight w:val="none"/>
                <w14:textFill>
                  <w14:solidFill>
                    <w14:schemeClr w14:val="tx1"/>
                  </w14:solidFill>
                </w14:textFill>
              </w:rPr>
              <w:t>人员等</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资源配备</w:t>
            </w:r>
            <w:r>
              <w:rPr>
                <w:rFonts w:hint="eastAsia" w:ascii="宋体" w:hAnsi="宋体" w:eastAsia="宋体" w:cs="宋体"/>
                <w:color w:val="000000" w:themeColor="text1"/>
                <w:kern w:val="0"/>
                <w:sz w:val="21"/>
                <w:szCs w:val="21"/>
                <w:highlight w:val="none"/>
                <w14:textFill>
                  <w14:solidFill>
                    <w14:schemeClr w14:val="tx1"/>
                  </w14:solidFill>
                </w14:textFill>
              </w:rPr>
              <w:t>方法与措施合理，且具有可行性的计</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14:textFill>
                  <w14:solidFill>
                    <w14:schemeClr w14:val="tx1"/>
                  </w14:solidFill>
                </w14:textFill>
              </w:rPr>
              <w:t>分，</w:t>
            </w:r>
            <w:r>
              <w:rPr>
                <w:rFonts w:hint="eastAsia" w:ascii="宋体" w:hAnsi="宋体" w:eastAsia="宋体" w:cs="宋体"/>
                <w:color w:val="000000" w:themeColor="text1"/>
                <w:sz w:val="21"/>
                <w:szCs w:val="21"/>
                <w:highlight w:val="none"/>
                <w14:textFill>
                  <w14:solidFill>
                    <w14:schemeClr w14:val="tx1"/>
                  </w14:solidFill>
                </w14:textFill>
              </w:rPr>
              <w:t>有缺漏项每处扣</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分，方案内容</w:t>
            </w:r>
            <w:r>
              <w:rPr>
                <w:rFonts w:hint="eastAsia" w:ascii="宋体" w:hAnsi="宋体" w:eastAsia="宋体" w:cs="宋体"/>
                <w:color w:val="000000" w:themeColor="text1"/>
                <w:kern w:val="0"/>
                <w:sz w:val="21"/>
                <w:szCs w:val="21"/>
                <w:highlight w:val="none"/>
                <w:lang w:val="zh-CN"/>
                <w14:textFill>
                  <w14:solidFill>
                    <w14:schemeClr w14:val="tx1"/>
                  </w14:solidFill>
                </w14:textFill>
              </w:rPr>
              <w:t>欠全面或不够详细或欠合理的每处扣</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0.5</w:t>
            </w:r>
            <w:r>
              <w:rPr>
                <w:rFonts w:hint="eastAsia" w:ascii="宋体" w:hAnsi="宋体" w:eastAsia="宋体" w:cs="宋体"/>
                <w:color w:val="000000" w:themeColor="text1"/>
                <w:kern w:val="0"/>
                <w:sz w:val="21"/>
                <w:szCs w:val="21"/>
                <w:highlight w:val="none"/>
                <w:lang w:val="zh-CN"/>
                <w14:textFill>
                  <w14:solidFill>
                    <w14:schemeClr w14:val="tx1"/>
                  </w14:solidFill>
                </w14:textFill>
              </w:rPr>
              <w:t>分，</w:t>
            </w:r>
            <w:r>
              <w:rPr>
                <w:rFonts w:hint="eastAsia" w:ascii="宋体" w:hAnsi="宋体" w:eastAsia="宋体" w:cs="宋体"/>
                <w:color w:val="000000" w:themeColor="text1"/>
                <w:sz w:val="21"/>
                <w:szCs w:val="21"/>
                <w:highlight w:val="none"/>
                <w14:textFill>
                  <w14:solidFill>
                    <w14:schemeClr w14:val="tx1"/>
                  </w14:solidFill>
                </w14:textFill>
              </w:rPr>
              <w:t>扣完为止。未提供方案的计0分。</w:t>
            </w:r>
          </w:p>
        </w:tc>
      </w:tr>
      <w:tr w14:paraId="19CEE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70" w:type="pct"/>
            <w:vMerge w:val="continue"/>
            <w:noWrap w:val="0"/>
            <w:vAlign w:val="center"/>
          </w:tcPr>
          <w:p w14:paraId="7780AA2B">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p>
        </w:tc>
        <w:tc>
          <w:tcPr>
            <w:tcW w:w="692" w:type="pct"/>
            <w:noWrap w:val="0"/>
            <w:vAlign w:val="center"/>
          </w:tcPr>
          <w:p w14:paraId="239C2089">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售后服务</w:t>
            </w:r>
          </w:p>
        </w:tc>
        <w:tc>
          <w:tcPr>
            <w:tcW w:w="527" w:type="pct"/>
            <w:noWrap w:val="0"/>
            <w:vAlign w:val="center"/>
          </w:tcPr>
          <w:p w14:paraId="0A46F516">
            <w:pPr>
              <w:keepNext w:val="0"/>
              <w:keepLines w:val="0"/>
              <w:widowControl w:val="0"/>
              <w:suppressLineNumbers w:val="0"/>
              <w:spacing w:before="65" w:beforeAutospacing="0" w:after="0" w:afterAutospacing="0" w:line="278" w:lineRule="auto"/>
              <w:ind w:left="157" w:leftChars="0" w:right="152" w:rightChars="0" w:firstLine="3" w:firstLineChars="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w:t>
            </w:r>
          </w:p>
        </w:tc>
        <w:tc>
          <w:tcPr>
            <w:tcW w:w="3409" w:type="pct"/>
            <w:gridSpan w:val="2"/>
            <w:noWrap w:val="0"/>
            <w:vAlign w:val="top"/>
          </w:tcPr>
          <w:p w14:paraId="527197C7">
            <w:pPr>
              <w:keepNext w:val="0"/>
              <w:keepLines w:val="0"/>
              <w:widowControl w:val="0"/>
              <w:suppressLineNumbers w:val="0"/>
              <w:spacing w:before="65" w:beforeAutospacing="0" w:after="0" w:afterAutospacing="0" w:line="278" w:lineRule="auto"/>
              <w:ind w:left="0" w:right="152" w:rightChars="0"/>
              <w:jc w:val="both"/>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6"/>
                <w:kern w:val="2"/>
                <w:sz w:val="21"/>
                <w:szCs w:val="21"/>
                <w:highlight w:val="none"/>
                <w:lang w:val="en-US" w:eastAsia="zh-CN" w:bidi="ar-SA"/>
                <w14:textFill>
                  <w14:solidFill>
                    <w14:schemeClr w14:val="tx1"/>
                  </w14:solidFill>
                </w14:textFill>
              </w:rPr>
              <w:t>包括售后服务承诺内容、保障措施、备品备件、响应时间和售后服务地点、售后服务技术人员配置和培训计划等，售后服务方案</w:t>
            </w:r>
            <w:r>
              <w:rPr>
                <w:rFonts w:hint="eastAsia" w:ascii="宋体" w:hAnsi="宋体" w:eastAsia="宋体" w:cs="宋体"/>
                <w:color w:val="000000" w:themeColor="text1"/>
                <w:kern w:val="0"/>
                <w:sz w:val="21"/>
                <w:szCs w:val="21"/>
                <w:highlight w:val="none"/>
                <w:lang w:val="en-US" w:eastAsia="en-US" w:bidi="ar-SA"/>
                <w14:textFill>
                  <w14:solidFill>
                    <w14:schemeClr w14:val="tx1"/>
                  </w14:solidFill>
                </w14:textFill>
              </w:rPr>
              <w:t>阐述合理、</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保障措施得力、</w:t>
            </w:r>
            <w:r>
              <w:rPr>
                <w:rFonts w:hint="eastAsia" w:ascii="宋体" w:hAnsi="宋体" w:eastAsia="宋体" w:cs="宋体"/>
                <w:color w:val="000000" w:themeColor="text1"/>
                <w:kern w:val="0"/>
                <w:sz w:val="21"/>
                <w:szCs w:val="21"/>
                <w:highlight w:val="none"/>
                <w:lang w:val="en-US" w:eastAsia="en-US" w:bidi="ar-SA"/>
                <w14:textFill>
                  <w14:solidFill>
                    <w14:schemeClr w14:val="tx1"/>
                  </w14:solidFill>
                </w14:textFill>
              </w:rPr>
              <w:t>操作性</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强</w:t>
            </w:r>
            <w:r>
              <w:rPr>
                <w:rFonts w:hint="eastAsia" w:ascii="宋体" w:hAnsi="宋体" w:eastAsia="宋体" w:cs="宋体"/>
                <w:color w:val="000000" w:themeColor="text1"/>
                <w:kern w:val="0"/>
                <w:sz w:val="21"/>
                <w:szCs w:val="21"/>
                <w:highlight w:val="none"/>
                <w:lang w:val="en-US" w:eastAsia="en-US" w:bidi="ar-SA"/>
                <w14:textFill>
                  <w14:solidFill>
                    <w14:schemeClr w14:val="tx1"/>
                  </w14:solidFill>
                </w14:textFill>
              </w:rPr>
              <w:t>的计</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3</w:t>
            </w:r>
            <w:r>
              <w:rPr>
                <w:rFonts w:hint="eastAsia" w:ascii="宋体" w:hAnsi="宋体" w:eastAsia="宋体" w:cs="宋体"/>
                <w:color w:val="000000" w:themeColor="text1"/>
                <w:kern w:val="0"/>
                <w:sz w:val="21"/>
                <w:szCs w:val="21"/>
                <w:highlight w:val="none"/>
                <w:lang w:val="en-US" w:eastAsia="en-US" w:bidi="ar-SA"/>
                <w14:textFill>
                  <w14:solidFill>
                    <w14:schemeClr w14:val="tx1"/>
                  </w14:solidFill>
                </w14:textFill>
              </w:rPr>
              <w:t>分，</w:t>
            </w: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有缺漏项每处扣</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w:t>
            </w: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分，方案内容</w:t>
            </w:r>
            <w:r>
              <w:rPr>
                <w:rFonts w:hint="eastAsia" w:ascii="宋体" w:hAnsi="宋体" w:eastAsia="宋体" w:cs="宋体"/>
                <w:color w:val="000000" w:themeColor="text1"/>
                <w:kern w:val="0"/>
                <w:sz w:val="21"/>
                <w:szCs w:val="21"/>
                <w:highlight w:val="none"/>
                <w:lang w:val="zh-CN" w:eastAsia="en-US" w:bidi="ar-SA"/>
                <w14:textFill>
                  <w14:solidFill>
                    <w14:schemeClr w14:val="tx1"/>
                  </w14:solidFill>
                </w14:textFill>
              </w:rPr>
              <w:t>欠全面或不够详细或欠合理的每处扣</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0.5</w:t>
            </w:r>
            <w:r>
              <w:rPr>
                <w:rFonts w:hint="eastAsia" w:ascii="宋体" w:hAnsi="宋体" w:eastAsia="宋体" w:cs="宋体"/>
                <w:color w:val="000000" w:themeColor="text1"/>
                <w:kern w:val="0"/>
                <w:sz w:val="21"/>
                <w:szCs w:val="21"/>
                <w:highlight w:val="none"/>
                <w:lang w:val="zh-CN" w:eastAsia="en-US" w:bidi="ar-SA"/>
                <w14:textFill>
                  <w14:solidFill>
                    <w14:schemeClr w14:val="tx1"/>
                  </w14:solidFill>
                </w14:textFill>
              </w:rPr>
              <w:t>分，</w:t>
            </w: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扣完为止。未提供方案的计0分。</w:t>
            </w:r>
          </w:p>
        </w:tc>
      </w:tr>
      <w:tr w14:paraId="0ADC2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370" w:type="pct"/>
            <w:vMerge w:val="restart"/>
            <w:noWrap w:val="0"/>
            <w:vAlign w:val="center"/>
          </w:tcPr>
          <w:p w14:paraId="145641E0">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商务</w:t>
            </w:r>
          </w:p>
          <w:p w14:paraId="18707482">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cs="Times New Roman"/>
                <w:color w:val="000000" w:themeColor="text1"/>
                <w:szCs w:val="21"/>
                <w:highlight w:val="none"/>
                <w:lang w:val="en-US" w:eastAsia="zh-CN"/>
                <w14:textFill>
                  <w14:solidFill>
                    <w14:schemeClr w14:val="tx1"/>
                  </w14:solidFill>
                </w14:textFill>
              </w:rPr>
              <w:t>20</w:t>
            </w:r>
            <w:r>
              <w:rPr>
                <w:rFonts w:hint="eastAsia" w:ascii="宋体" w:hAnsi="Times New Roman" w:eastAsia="宋体" w:cs="Times New Roman"/>
                <w:color w:val="000000" w:themeColor="text1"/>
                <w:szCs w:val="21"/>
                <w:highlight w:val="none"/>
                <w14:textFill>
                  <w14:solidFill>
                    <w14:schemeClr w14:val="tx1"/>
                  </w14:solidFill>
                </w14:textFill>
              </w:rPr>
              <w:t>分</w:t>
            </w:r>
          </w:p>
        </w:tc>
        <w:tc>
          <w:tcPr>
            <w:tcW w:w="692" w:type="pct"/>
            <w:noWrap w:val="0"/>
            <w:vAlign w:val="center"/>
          </w:tcPr>
          <w:p w14:paraId="78AD970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供应商类似业绩</w:t>
            </w:r>
          </w:p>
        </w:tc>
        <w:tc>
          <w:tcPr>
            <w:tcW w:w="527" w:type="pct"/>
            <w:noWrap w:val="0"/>
            <w:vAlign w:val="center"/>
          </w:tcPr>
          <w:p w14:paraId="0E93C84E">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w:t>
            </w:r>
          </w:p>
        </w:tc>
        <w:tc>
          <w:tcPr>
            <w:tcW w:w="3409" w:type="pct"/>
            <w:gridSpan w:val="2"/>
            <w:noWrap w:val="0"/>
            <w:vAlign w:val="center"/>
          </w:tcPr>
          <w:p w14:paraId="3055510D">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宋体" w:hAnsi="宋体" w:eastAsia="宋体" w:cs="宋体"/>
                <w:color w:val="000000" w:themeColor="text1"/>
                <w:spacing w:val="9"/>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投标</w:t>
            </w: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自2021年1月1日以来（</w:t>
            </w:r>
            <w:r>
              <w:rPr>
                <w:rFonts w:hint="eastAsia" w:ascii="宋体" w:hAnsi="宋体" w:eastAsia="宋体" w:cs="宋体"/>
                <w:color w:val="000000" w:themeColor="text1"/>
                <w:sz w:val="21"/>
                <w:szCs w:val="21"/>
                <w:highlight w:val="none"/>
                <w:lang w:val="en-US" w:eastAsia="zh-CN"/>
                <w14:textFill>
                  <w14:solidFill>
                    <w14:schemeClr w14:val="tx1"/>
                  </w14:solidFill>
                </w14:textFill>
              </w:rPr>
              <w:t>时间</w:t>
            </w:r>
            <w:r>
              <w:rPr>
                <w:rFonts w:hint="eastAsia" w:ascii="宋体" w:hAnsi="宋体" w:eastAsia="宋体" w:cs="宋体"/>
                <w:color w:val="000000" w:themeColor="text1"/>
                <w:sz w:val="21"/>
                <w:szCs w:val="21"/>
                <w:highlight w:val="none"/>
                <w14:textFill>
                  <w14:solidFill>
                    <w14:schemeClr w14:val="tx1"/>
                  </w14:solidFill>
                </w14:textFill>
              </w:rPr>
              <w:t>以合同签订时间为准，合同未体现签订时间的不予计分）具有类似项目业绩的，每个计</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分，本项最多计</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分。</w:t>
            </w:r>
          </w:p>
          <w:p w14:paraId="553FB7C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注：提供类似业绩的合同协议书复印件并加盖公章，否则不计分。</w:t>
            </w: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类似业绩是指：</w:t>
            </w:r>
            <w:r>
              <w:rPr>
                <w:rFonts w:hint="eastAsia" w:ascii="宋体" w:hAnsi="宋体" w:cs="宋体"/>
                <w:color w:val="000000" w:themeColor="text1"/>
                <w:spacing w:val="9"/>
                <w:sz w:val="21"/>
                <w:szCs w:val="21"/>
                <w:highlight w:val="none"/>
                <w:lang w:val="en-US" w:eastAsia="zh-CN"/>
                <w14:textFill>
                  <w14:solidFill>
                    <w14:schemeClr w14:val="tx1"/>
                  </w14:solidFill>
                </w14:textFill>
              </w:rPr>
              <w:t>须包含</w:t>
            </w:r>
            <w:r>
              <w:rPr>
                <w:rFonts w:hint="default" w:ascii="宋体" w:hAnsi="宋体" w:eastAsia="宋体" w:cs="宋体"/>
                <w:color w:val="000000" w:themeColor="text1"/>
                <w:spacing w:val="9"/>
                <w:sz w:val="21"/>
                <w:szCs w:val="21"/>
                <w:highlight w:val="none"/>
                <w:lang w:val="en-US"/>
                <w14:textFill>
                  <w14:solidFill>
                    <w14:schemeClr w14:val="tx1"/>
                  </w14:solidFill>
                </w14:textFill>
              </w:rPr>
              <w:t>防水维修项目</w:t>
            </w:r>
            <w:r>
              <w:rPr>
                <w:rFonts w:hint="eastAsia" w:ascii="宋体" w:hAnsi="宋体" w:eastAsia="宋体" w:cs="宋体"/>
                <w:color w:val="000000" w:themeColor="text1"/>
                <w:spacing w:val="9"/>
                <w:sz w:val="21"/>
                <w:szCs w:val="21"/>
                <w:highlight w:val="none"/>
                <w14:textFill>
                  <w14:solidFill>
                    <w14:schemeClr w14:val="tx1"/>
                  </w14:solidFill>
                </w14:textFill>
              </w:rPr>
              <w:t>业绩</w:t>
            </w:r>
            <w:r>
              <w:rPr>
                <w:rFonts w:hint="eastAsia" w:ascii="宋体" w:hAnsi="宋体" w:eastAsia="宋体" w:cs="宋体"/>
                <w:color w:val="000000" w:themeColor="text1"/>
                <w:spacing w:val="9"/>
                <w:sz w:val="21"/>
                <w:szCs w:val="21"/>
                <w:highlight w:val="none"/>
                <w:lang w:eastAsia="zh-CN"/>
                <w14:textFill>
                  <w14:solidFill>
                    <w14:schemeClr w14:val="tx1"/>
                  </w14:solidFill>
                </w14:textFill>
              </w:rPr>
              <w:t>。</w:t>
            </w:r>
          </w:p>
        </w:tc>
      </w:tr>
      <w:tr w14:paraId="016F1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370" w:type="pct"/>
            <w:vMerge w:val="continue"/>
            <w:noWrap w:val="0"/>
            <w:vAlign w:val="center"/>
          </w:tcPr>
          <w:p w14:paraId="28C4E3FF">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p>
        </w:tc>
        <w:tc>
          <w:tcPr>
            <w:tcW w:w="692" w:type="pct"/>
            <w:noWrap w:val="0"/>
            <w:vAlign w:val="center"/>
          </w:tcPr>
          <w:p w14:paraId="6E433058">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服务团队</w:t>
            </w:r>
          </w:p>
        </w:tc>
        <w:tc>
          <w:tcPr>
            <w:tcW w:w="527" w:type="pct"/>
            <w:noWrap w:val="0"/>
            <w:vAlign w:val="center"/>
          </w:tcPr>
          <w:p w14:paraId="64FE0E81">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w:t>
            </w:r>
          </w:p>
        </w:tc>
        <w:tc>
          <w:tcPr>
            <w:tcW w:w="3409" w:type="pct"/>
            <w:gridSpan w:val="2"/>
            <w:noWrap w:val="0"/>
            <w:vAlign w:val="center"/>
          </w:tcPr>
          <w:p w14:paraId="1DF1258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default"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项目负责人：</w:t>
            </w:r>
          </w:p>
          <w:p w14:paraId="242EDAF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拟派项目负责人具有有建筑工程相关专业高级及以上技术职称的，计 3分。</w:t>
            </w:r>
          </w:p>
          <w:p w14:paraId="2B68814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注：提供职称证书（职称证书为人社部门颁发或人社部门授权单位颁发的）复印件及投标截止时间前6个月（2024年5-10月）内任意连续3个月投标供应商为其购买社保的证明材料复印件并加盖公章，否则不计分。</w:t>
            </w:r>
          </w:p>
          <w:p w14:paraId="7BFBDD0D">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default"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技术负责人：</w:t>
            </w:r>
          </w:p>
          <w:p w14:paraId="6711DF7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拟派项目技术负责人具有建筑工程相关专业高级及以上技术职称的，计 2分。</w:t>
            </w:r>
          </w:p>
          <w:p w14:paraId="197DCB7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注：提供职称证书（职称证书为人社部门颁发或人社部门授权单位颁发的）复印件及投标截止时间前6个月（2024年5-10月）内任意连续3个月投标供应商为其购买社保的证明材料复印件并加盖公章，否则不计分。</w:t>
            </w:r>
          </w:p>
          <w:p w14:paraId="08C5E18A">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default"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项目负责人和技术负责人不得为同一人。</w:t>
            </w:r>
          </w:p>
        </w:tc>
      </w:tr>
      <w:tr w14:paraId="6CAAF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7" w:hRule="atLeast"/>
          <w:jc w:val="center"/>
        </w:trPr>
        <w:tc>
          <w:tcPr>
            <w:tcW w:w="370" w:type="pct"/>
            <w:vMerge w:val="continue"/>
            <w:noWrap w:val="0"/>
            <w:vAlign w:val="center"/>
          </w:tcPr>
          <w:p w14:paraId="609AAEEA">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p>
        </w:tc>
        <w:tc>
          <w:tcPr>
            <w:tcW w:w="692" w:type="pct"/>
            <w:noWrap w:val="0"/>
            <w:vAlign w:val="center"/>
          </w:tcPr>
          <w:p w14:paraId="10B5B31A">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综合实力</w:t>
            </w:r>
          </w:p>
        </w:tc>
        <w:tc>
          <w:tcPr>
            <w:tcW w:w="527" w:type="pct"/>
            <w:noWrap w:val="0"/>
            <w:vAlign w:val="center"/>
          </w:tcPr>
          <w:p w14:paraId="04FD6B27">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3409" w:type="pct"/>
            <w:gridSpan w:val="2"/>
            <w:noWrap w:val="0"/>
            <w:vAlign w:val="center"/>
          </w:tcPr>
          <w:p w14:paraId="62ADAD27">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投标供应商具有质量管理体系、环境管理体系，职业健康安全管理体系认证证书，每提供一个计2分，本项最多计6分。</w:t>
            </w:r>
          </w:p>
          <w:p w14:paraId="44F752E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注：以上证书须在有效期内，均需在全国认证认可信息公共服务平台上能查询到，并在响应文件中附上查询网站链接、网页截图及证书复印件并加盖公章，否则不计分。</w:t>
            </w:r>
          </w:p>
        </w:tc>
      </w:tr>
      <w:tr w14:paraId="6013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70" w:type="pct"/>
            <w:noWrap w:val="0"/>
            <w:vAlign w:val="center"/>
          </w:tcPr>
          <w:p w14:paraId="679A9E0C">
            <w:pPr>
              <w:keepNext w:val="0"/>
              <w:keepLines w:val="0"/>
              <w:suppressLineNumbers w:val="0"/>
              <w:adjustRightInd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p>
        </w:tc>
        <w:tc>
          <w:tcPr>
            <w:tcW w:w="692" w:type="pct"/>
            <w:noWrap w:val="0"/>
            <w:vAlign w:val="center"/>
          </w:tcPr>
          <w:p w14:paraId="3433240C">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质保期</w:t>
            </w:r>
          </w:p>
        </w:tc>
        <w:tc>
          <w:tcPr>
            <w:tcW w:w="527" w:type="pct"/>
            <w:noWrap w:val="0"/>
            <w:vAlign w:val="center"/>
          </w:tcPr>
          <w:p w14:paraId="5F93E034">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3409" w:type="pct"/>
            <w:gridSpan w:val="2"/>
            <w:noWrap w:val="0"/>
            <w:vAlign w:val="center"/>
          </w:tcPr>
          <w:p w14:paraId="647D4660">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投标供应商在响应文件要求的5年质保期的基础上，每增加1年质保期的计1分，本项最多计3分。</w:t>
            </w:r>
          </w:p>
          <w:p w14:paraId="3D649353">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default"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注：在响应文件中提供承诺函，承诺可提供的质保期年限并承诺中标后在合同中以此为约定遵照执行，承诺函加盖公章，未按要求提供的不计分。</w:t>
            </w:r>
          </w:p>
        </w:tc>
      </w:tr>
      <w:tr w14:paraId="651DD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063" w:type="pct"/>
            <w:gridSpan w:val="2"/>
            <w:noWrap w:val="0"/>
            <w:vAlign w:val="center"/>
          </w:tcPr>
          <w:p w14:paraId="0B08909E">
            <w:pPr>
              <w:keepNext w:val="0"/>
              <w:keepLines w:val="0"/>
              <w:suppressLineNumbers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总计</w:t>
            </w:r>
          </w:p>
        </w:tc>
        <w:tc>
          <w:tcPr>
            <w:tcW w:w="3936" w:type="pct"/>
            <w:gridSpan w:val="3"/>
            <w:noWrap w:val="0"/>
            <w:vAlign w:val="center"/>
          </w:tcPr>
          <w:p w14:paraId="4AE32326">
            <w:pPr>
              <w:keepNext w:val="0"/>
              <w:keepLines w:val="0"/>
              <w:suppressLineNumbers w:val="0"/>
              <w:snapToGrid w:val="0"/>
              <w:spacing w:before="0" w:beforeAutospacing="0" w:after="0" w:afterAutospacing="0" w:line="360" w:lineRule="auto"/>
              <w:ind w:left="0" w:right="0"/>
              <w:jc w:val="center"/>
              <w:rPr>
                <w:rFonts w:hint="default"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100分</w:t>
            </w:r>
          </w:p>
        </w:tc>
      </w:tr>
    </w:tbl>
    <w:p w14:paraId="0768BA17">
      <w:pPr>
        <w:pStyle w:val="14"/>
        <w:spacing w:line="320" w:lineRule="exact"/>
        <w:rPr>
          <w:rFonts w:ascii="宋体" w:hAnsi="宋体" w:eastAsia="宋体" w:cs="宋体"/>
          <w:color w:val="000000" w:themeColor="text1"/>
          <w:highlight w:val="none"/>
          <w14:textFill>
            <w14:solidFill>
              <w14:schemeClr w14:val="tx1"/>
            </w14:solidFill>
          </w14:textFill>
        </w:rPr>
      </w:pPr>
    </w:p>
    <w:p w14:paraId="5B825D72">
      <w:pPr>
        <w:adjustRightInd w:val="0"/>
        <w:snapToGrid w:val="0"/>
        <w:spacing w:line="380" w:lineRule="exact"/>
        <w:jc w:val="left"/>
        <w:rPr>
          <w:rFonts w:ascii="宋体" w:hAnsi="宋体"/>
          <w:bCs/>
          <w:color w:val="000000" w:themeColor="text1"/>
          <w:szCs w:val="21"/>
          <w:highlight w:val="none"/>
          <w14:textFill>
            <w14:solidFill>
              <w14:schemeClr w14:val="tx1"/>
            </w14:solidFill>
          </w14:textFill>
        </w:rPr>
      </w:pPr>
    </w:p>
    <w:p w14:paraId="48F661AA">
      <w:pPr>
        <w:adjustRightInd w:val="0"/>
        <w:snapToGrid w:val="0"/>
        <w:spacing w:line="380" w:lineRule="exact"/>
        <w:jc w:val="left"/>
        <w:rPr>
          <w:rFonts w:ascii="宋体" w:hAnsi="宋体"/>
          <w:bCs/>
          <w:color w:val="000000" w:themeColor="text1"/>
          <w:szCs w:val="21"/>
          <w:highlight w:val="none"/>
          <w14:textFill>
            <w14:solidFill>
              <w14:schemeClr w14:val="tx1"/>
            </w14:solidFill>
          </w14:textFill>
        </w:rPr>
      </w:pPr>
    </w:p>
    <w:p w14:paraId="6838F12B">
      <w:pPr>
        <w:adjustRightInd w:val="0"/>
        <w:snapToGrid w:val="0"/>
        <w:spacing w:line="380" w:lineRule="exact"/>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注：</w:t>
      </w:r>
      <w:r>
        <w:rPr>
          <w:rFonts w:ascii="宋体" w:hAnsi="宋体"/>
          <w:bCs/>
          <w:color w:val="000000" w:themeColor="text1"/>
          <w:szCs w:val="21"/>
          <w:highlight w:val="none"/>
          <w14:textFill>
            <w14:solidFill>
              <w14:schemeClr w14:val="tx1"/>
            </w14:solidFill>
          </w14:textFill>
        </w:rPr>
        <w:t xml:space="preserve"> </w:t>
      </w:r>
    </w:p>
    <w:p w14:paraId="7563CCEC">
      <w:pPr>
        <w:adjustRightInd w:val="0"/>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1、供应商的综合得分为：所有评标委员会成员对其评标的综合得分。</w:t>
      </w:r>
    </w:p>
    <w:p w14:paraId="044973E7">
      <w:pPr>
        <w:adjustRightInd w:val="0"/>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2、计算过程中，算术平均值保留2位小数（百分比亦取2位小数），第三位小数四舍五入。</w:t>
      </w:r>
    </w:p>
    <w:p w14:paraId="7E6B1DDC">
      <w:pPr>
        <w:adjustRightInd w:val="0"/>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3、评标结果按评审后得分由高到低顺序排列。</w:t>
      </w:r>
      <w:r>
        <w:rPr>
          <w:rFonts w:hint="eastAsia" w:ascii="宋体" w:hAnsi="宋体" w:cs="宋体"/>
          <w:bCs/>
          <w:color w:val="000000" w:themeColor="text1"/>
          <w:szCs w:val="21"/>
          <w:highlight w:val="none"/>
          <w14:textFill>
            <w14:solidFill>
              <w14:schemeClr w14:val="tx1"/>
            </w14:solidFill>
          </w14:textFill>
        </w:rPr>
        <w:t>评审得分相同的，按照最后报价由低到高的顺序推荐。评审得分且最后报价相同的，按照技术指标优劣顺序推荐</w:t>
      </w:r>
      <w:r>
        <w:rPr>
          <w:rFonts w:hint="eastAsia" w:ascii="宋体" w:hAnsi="宋体" w:cs="宋体"/>
          <w:color w:val="000000" w:themeColor="text1"/>
          <w:szCs w:val="21"/>
          <w:highlight w:val="none"/>
          <w14:textFill>
            <w14:solidFill>
              <w14:schemeClr w14:val="tx1"/>
            </w14:solidFill>
          </w14:textFill>
        </w:rPr>
        <w:t>排名第一的中标候选人。</w:t>
      </w:r>
    </w:p>
    <w:p w14:paraId="7E030446">
      <w:pPr>
        <w:adjustRightInd w:val="0"/>
        <w:snapToGrid w:val="0"/>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4、凡评委评分项牵涉到的证明文件、数据、承诺，投标文件中未提供、或已提供但是字迹模糊无法辨认、语义模糊易造成误解、前后文件内容不一致的则该评分项计0分处理。</w:t>
      </w:r>
    </w:p>
    <w:p w14:paraId="2DA28020">
      <w:pPr>
        <w:adjustRightInd w:val="0"/>
        <w:snapToGrid w:val="0"/>
        <w:spacing w:line="460" w:lineRule="exact"/>
        <w:rPr>
          <w:rFonts w:ascii="宋体" w:hAnsi="宋体"/>
          <w:color w:val="000000" w:themeColor="text1"/>
          <w:sz w:val="24"/>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br w:type="page"/>
      </w:r>
      <w:r>
        <w:rPr>
          <w:rFonts w:hint="eastAsia" w:ascii="宋体" w:hAnsi="宋体"/>
          <w:b/>
          <w:bCs/>
          <w:color w:val="000000" w:themeColor="text1"/>
          <w:sz w:val="28"/>
          <w:szCs w:val="28"/>
          <w:highlight w:val="none"/>
          <w14:textFill>
            <w14:solidFill>
              <w14:schemeClr w14:val="tx1"/>
            </w14:solidFill>
          </w14:textFill>
        </w:rPr>
        <w:t>磋商须知正文</w:t>
      </w:r>
    </w:p>
    <w:p w14:paraId="509748B1">
      <w:pPr>
        <w:adjustRightInd w:val="0"/>
        <w:snapToGrid w:val="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一、说明</w:t>
      </w:r>
    </w:p>
    <w:p w14:paraId="1603D9A3">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1.适用范围</w:t>
      </w:r>
    </w:p>
    <w:p w14:paraId="63E75F22">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 本磋商文件仅适用于磋商须知前附表(以下简称</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中所叙述的采购项目。</w:t>
      </w:r>
    </w:p>
    <w:p w14:paraId="0149D604">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2.定义</w:t>
      </w:r>
    </w:p>
    <w:p w14:paraId="4E797390">
      <w:pPr>
        <w:adjustRightInd w:val="0"/>
        <w:snapToGrid w:val="0"/>
        <w:spacing w:line="460" w:lineRule="exact"/>
        <w:ind w:firstLine="420" w:firstLineChars="200"/>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“采购人”是指依法进行政府采购的国家机关、事业单位、团体组织。本次政府采购的采购人名称、地址、电话、联系人见</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w:t>
      </w:r>
    </w:p>
    <w:p w14:paraId="42217E6D">
      <w:pPr>
        <w:adjustRightInd w:val="0"/>
        <w:snapToGrid w:val="0"/>
        <w:spacing w:line="460" w:lineRule="exact"/>
        <w:ind w:firstLine="420" w:firstLineChars="200"/>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 “采购代理机构”是指接受采购人委托，代理采购项目的集中采购机构和其他采购代理机构。本次政府采购的采购代理机构名称、地址、电话、联系人见</w:t>
      </w:r>
      <w:r>
        <w:rPr>
          <w:rFonts w:hint="eastAsia" w:ascii="宋体" w:hAnsi="宋体"/>
          <w:b/>
          <w:color w:val="000000" w:themeColor="text1"/>
          <w:szCs w:val="21"/>
          <w:highlight w:val="none"/>
          <w14:textFill>
            <w14:solidFill>
              <w14:schemeClr w14:val="tx1"/>
            </w14:solidFill>
          </w14:textFill>
        </w:rPr>
        <w:t>磋商须知前附表。</w:t>
      </w:r>
    </w:p>
    <w:p w14:paraId="6B10C0B6">
      <w:pPr>
        <w:adjustRightInd w:val="0"/>
        <w:snapToGrid w:val="0"/>
        <w:spacing w:line="460" w:lineRule="exact"/>
        <w:ind w:firstLine="420" w:firstLineChars="200"/>
        <w:rPr>
          <w:rFonts w:ascii="宋体" w:hAnsi="宋体" w:cs="宋体"/>
          <w:bCs/>
          <w:color w:val="000000" w:themeColor="text1"/>
          <w:kern w:val="36"/>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2.3 “供应商”是指响应磋商文件要求、参加竞争性磋商采购的法人、其他组织或者自然人。本次政府采购项目</w:t>
      </w:r>
      <w:r>
        <w:rPr>
          <w:rFonts w:hint="eastAsia" w:ascii="宋体" w:hAnsi="宋体" w:cs="宋体"/>
          <w:color w:val="000000" w:themeColor="text1"/>
          <w:kern w:val="0"/>
          <w:szCs w:val="21"/>
          <w:highlight w:val="none"/>
          <w14:textFill>
            <w14:solidFill>
              <w14:schemeClr w14:val="tx1"/>
            </w14:solidFill>
          </w14:textFill>
        </w:rPr>
        <w:t>邀请</w:t>
      </w:r>
      <w:r>
        <w:rPr>
          <w:rFonts w:hint="eastAsia" w:ascii="宋体" w:hAnsi="宋体"/>
          <w:color w:val="000000" w:themeColor="text1"/>
          <w:szCs w:val="21"/>
          <w:highlight w:val="none"/>
          <w14:textFill>
            <w14:solidFill>
              <w14:schemeClr w14:val="tx1"/>
            </w14:solidFill>
          </w14:textFill>
        </w:rPr>
        <w:t>的</w:t>
      </w:r>
      <w:r>
        <w:rPr>
          <w:rFonts w:hint="eastAsia" w:ascii="宋体" w:hAnsi="宋体" w:cs="宋体"/>
          <w:color w:val="000000" w:themeColor="text1"/>
          <w:kern w:val="0"/>
          <w:szCs w:val="21"/>
          <w:highlight w:val="none"/>
          <w14:textFill>
            <w14:solidFill>
              <w14:schemeClr w14:val="tx1"/>
            </w14:solidFill>
          </w14:textFill>
        </w:rPr>
        <w:t>供应商通过</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所述方式</w:t>
      </w:r>
      <w:r>
        <w:rPr>
          <w:rFonts w:hint="eastAsia" w:ascii="宋体" w:hAnsi="宋体" w:cs="宋体"/>
          <w:color w:val="000000" w:themeColor="text1"/>
          <w:kern w:val="0"/>
          <w:szCs w:val="21"/>
          <w:highlight w:val="none"/>
          <w14:textFill>
            <w14:solidFill>
              <w14:schemeClr w14:val="tx1"/>
            </w14:solidFill>
          </w14:textFill>
        </w:rPr>
        <w:t>，邀请符合资格条件的供应商提交响应文件（含资格证明资料），参与竞争性磋商采购活动。</w:t>
      </w:r>
    </w:p>
    <w:p w14:paraId="75F790F5">
      <w:pPr>
        <w:adjustRightInd w:val="0"/>
        <w:snapToGrid w:val="0"/>
        <w:spacing w:line="4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2.4 “磋商小组”是指</w:t>
      </w:r>
      <w:r>
        <w:rPr>
          <w:rFonts w:hint="eastAsia" w:ascii="宋体" w:hAnsi="宋体" w:cs="宋体"/>
          <w:color w:val="000000" w:themeColor="text1"/>
          <w:kern w:val="0"/>
          <w:szCs w:val="21"/>
          <w:highlight w:val="none"/>
          <w14:textFill>
            <w14:solidFill>
              <w14:schemeClr w14:val="tx1"/>
            </w14:solidFill>
          </w14:textFill>
        </w:rPr>
        <w:t>依据财政部</w:t>
      </w:r>
      <w:r>
        <w:rPr>
          <w:rFonts w:ascii="宋体" w:hAnsi="宋体" w:cs="宋体"/>
          <w:bCs/>
          <w:color w:val="000000" w:themeColor="text1"/>
          <w:kern w:val="36"/>
          <w:szCs w:val="21"/>
          <w:highlight w:val="none"/>
          <w14:textFill>
            <w14:solidFill>
              <w14:schemeClr w14:val="tx1"/>
            </w14:solidFill>
          </w14:textFill>
        </w:rPr>
        <w:t>《</w:t>
      </w:r>
      <w:r>
        <w:rPr>
          <w:rFonts w:hint="eastAsia" w:ascii="宋体" w:hAnsi="宋体" w:cs="宋体"/>
          <w:bCs/>
          <w:color w:val="000000" w:themeColor="text1"/>
          <w:kern w:val="36"/>
          <w:szCs w:val="21"/>
          <w:highlight w:val="none"/>
          <w14:textFill>
            <w14:solidFill>
              <w14:schemeClr w14:val="tx1"/>
            </w14:solidFill>
          </w14:textFill>
        </w:rPr>
        <w:t>政府采购竞争性磋商采购方式管理暂行办法</w:t>
      </w:r>
      <w:r>
        <w:rPr>
          <w:rFonts w:ascii="宋体" w:hAnsi="宋体" w:cs="宋体"/>
          <w:bCs/>
          <w:color w:val="000000" w:themeColor="text1"/>
          <w:kern w:val="36"/>
          <w:szCs w:val="21"/>
          <w:highlight w:val="none"/>
          <w14:textFill>
            <w14:solidFill>
              <w14:schemeClr w14:val="tx1"/>
            </w14:solidFill>
          </w14:textFill>
        </w:rPr>
        <w:t>》</w:t>
      </w:r>
      <w:r>
        <w:rPr>
          <w:rFonts w:hint="eastAsia" w:ascii="宋体" w:hAnsi="宋体" w:cs="宋体"/>
          <w:bCs/>
          <w:color w:val="000000" w:themeColor="text1"/>
          <w:kern w:val="36"/>
          <w:szCs w:val="21"/>
          <w:highlight w:val="none"/>
          <w14:textFill>
            <w14:solidFill>
              <w14:schemeClr w14:val="tx1"/>
            </w14:solidFill>
          </w14:textFill>
        </w:rPr>
        <w:t>有关规定组建，依法依规</w:t>
      </w:r>
      <w:r>
        <w:rPr>
          <w:rFonts w:hint="eastAsia" w:ascii="宋体" w:hAnsi="宋体" w:cs="宋体"/>
          <w:color w:val="000000" w:themeColor="text1"/>
          <w:kern w:val="0"/>
          <w:szCs w:val="21"/>
          <w:highlight w:val="none"/>
          <w14:textFill>
            <w14:solidFill>
              <w14:schemeClr w14:val="tx1"/>
            </w14:solidFill>
          </w14:textFill>
        </w:rPr>
        <w:t>履行其职责和义务的机构。</w:t>
      </w:r>
    </w:p>
    <w:p w14:paraId="3B51326E">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2.5 “货物”是指各种形态和种类的物品，包括原资料、燃料、设备、产品等，详见《政府采购品目分类目录》(</w:t>
      </w:r>
      <w:r>
        <w:rPr>
          <w:rStyle w:val="50"/>
          <w:rFonts w:ascii="宋体" w:hAnsi="宋体"/>
          <w:b w:val="0"/>
          <w:color w:val="000000" w:themeColor="text1"/>
          <w:highlight w:val="none"/>
          <w14:textFill>
            <w14:solidFill>
              <w14:schemeClr w14:val="tx1"/>
            </w14:solidFill>
          </w14:textFill>
        </w:rPr>
        <w:t>财库</w:t>
      </w:r>
      <w:r>
        <w:rPr>
          <w:rStyle w:val="50"/>
          <w:rFonts w:hint="eastAsia" w:ascii="宋体" w:hAnsi="宋体"/>
          <w:b w:val="0"/>
          <w:color w:val="000000" w:themeColor="text1"/>
          <w:highlight w:val="none"/>
          <w14:textFill>
            <w14:solidFill>
              <w14:schemeClr w14:val="tx1"/>
            </w14:solidFill>
          </w14:textFill>
        </w:rPr>
        <w:t>[</w:t>
      </w:r>
      <w:r>
        <w:rPr>
          <w:rStyle w:val="50"/>
          <w:rFonts w:ascii="宋体" w:hAnsi="宋体"/>
          <w:b w:val="0"/>
          <w:color w:val="000000" w:themeColor="text1"/>
          <w:highlight w:val="none"/>
          <w14:textFill>
            <w14:solidFill>
              <w14:schemeClr w14:val="tx1"/>
            </w14:solidFill>
          </w14:textFill>
        </w:rPr>
        <w:t>2013</w:t>
      </w:r>
      <w:r>
        <w:rPr>
          <w:rStyle w:val="50"/>
          <w:rFonts w:hint="eastAsia" w:ascii="宋体" w:hAnsi="宋体"/>
          <w:b w:val="0"/>
          <w:color w:val="000000" w:themeColor="text1"/>
          <w:highlight w:val="none"/>
          <w14:textFill>
            <w14:solidFill>
              <w14:schemeClr w14:val="tx1"/>
            </w14:solidFill>
          </w14:textFill>
        </w:rPr>
        <w:t>]</w:t>
      </w:r>
      <w:r>
        <w:rPr>
          <w:rStyle w:val="50"/>
          <w:rFonts w:ascii="宋体" w:hAnsi="宋体"/>
          <w:b w:val="0"/>
          <w:color w:val="000000" w:themeColor="text1"/>
          <w:highlight w:val="none"/>
          <w14:textFill>
            <w14:solidFill>
              <w14:schemeClr w14:val="tx1"/>
            </w14:solidFill>
          </w14:textFill>
        </w:rPr>
        <w:t>189号</w:t>
      </w:r>
      <w:r>
        <w:rPr>
          <w:rFonts w:hint="eastAsia" w:ascii="宋体" w:hAnsi="宋体"/>
          <w:color w:val="000000" w:themeColor="text1"/>
          <w:szCs w:val="21"/>
          <w:highlight w:val="none"/>
          <w14:textFill>
            <w14:solidFill>
              <w14:schemeClr w14:val="tx1"/>
            </w14:solidFill>
          </w14:textFill>
        </w:rPr>
        <w:t>)。</w:t>
      </w:r>
    </w:p>
    <w:p w14:paraId="12998BE7">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 “工程”是指建设工程，包括建筑物和构筑物的新建、改建、扩建、装修、拆除、修缮等，详见《政府采购品目分类目录》(</w:t>
      </w:r>
      <w:r>
        <w:rPr>
          <w:rStyle w:val="50"/>
          <w:rFonts w:ascii="宋体" w:hAnsi="宋体"/>
          <w:b w:val="0"/>
          <w:color w:val="000000" w:themeColor="text1"/>
          <w:highlight w:val="none"/>
          <w14:textFill>
            <w14:solidFill>
              <w14:schemeClr w14:val="tx1"/>
            </w14:solidFill>
          </w14:textFill>
        </w:rPr>
        <w:t>财库</w:t>
      </w:r>
      <w:r>
        <w:rPr>
          <w:rStyle w:val="50"/>
          <w:rFonts w:hint="eastAsia" w:ascii="宋体" w:hAnsi="宋体"/>
          <w:b w:val="0"/>
          <w:color w:val="000000" w:themeColor="text1"/>
          <w:highlight w:val="none"/>
          <w14:textFill>
            <w14:solidFill>
              <w14:schemeClr w14:val="tx1"/>
            </w14:solidFill>
          </w14:textFill>
        </w:rPr>
        <w:t>[</w:t>
      </w:r>
      <w:r>
        <w:rPr>
          <w:rStyle w:val="50"/>
          <w:rFonts w:ascii="宋体" w:hAnsi="宋体"/>
          <w:b w:val="0"/>
          <w:color w:val="000000" w:themeColor="text1"/>
          <w:highlight w:val="none"/>
          <w14:textFill>
            <w14:solidFill>
              <w14:schemeClr w14:val="tx1"/>
            </w14:solidFill>
          </w14:textFill>
        </w:rPr>
        <w:t>2013</w:t>
      </w:r>
      <w:r>
        <w:rPr>
          <w:rStyle w:val="50"/>
          <w:rFonts w:hint="eastAsia" w:ascii="宋体" w:hAnsi="宋体"/>
          <w:b w:val="0"/>
          <w:color w:val="000000" w:themeColor="text1"/>
          <w:highlight w:val="none"/>
          <w14:textFill>
            <w14:solidFill>
              <w14:schemeClr w14:val="tx1"/>
            </w14:solidFill>
          </w14:textFill>
        </w:rPr>
        <w:t>]</w:t>
      </w:r>
      <w:r>
        <w:rPr>
          <w:rStyle w:val="50"/>
          <w:rFonts w:ascii="宋体" w:hAnsi="宋体"/>
          <w:b w:val="0"/>
          <w:color w:val="000000" w:themeColor="text1"/>
          <w:highlight w:val="none"/>
          <w14:textFill>
            <w14:solidFill>
              <w14:schemeClr w14:val="tx1"/>
            </w14:solidFill>
          </w14:textFill>
        </w:rPr>
        <w:t>189号</w:t>
      </w:r>
      <w:r>
        <w:rPr>
          <w:rFonts w:hint="eastAsia" w:ascii="宋体" w:hAnsi="宋体"/>
          <w:color w:val="000000" w:themeColor="text1"/>
          <w:szCs w:val="21"/>
          <w:highlight w:val="none"/>
          <w14:textFill>
            <w14:solidFill>
              <w14:schemeClr w14:val="tx1"/>
            </w14:solidFill>
          </w14:textFill>
        </w:rPr>
        <w:t>)。</w:t>
      </w:r>
    </w:p>
    <w:p w14:paraId="63928821">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2.7 “服务”是指除货物和工程以外的其他政府采购对象，详见《政府采购品目分类目录》(</w:t>
      </w:r>
      <w:r>
        <w:rPr>
          <w:rStyle w:val="50"/>
          <w:rFonts w:ascii="宋体" w:hAnsi="宋体"/>
          <w:b w:val="0"/>
          <w:color w:val="000000" w:themeColor="text1"/>
          <w:highlight w:val="none"/>
          <w14:textFill>
            <w14:solidFill>
              <w14:schemeClr w14:val="tx1"/>
            </w14:solidFill>
          </w14:textFill>
        </w:rPr>
        <w:t>财库</w:t>
      </w:r>
      <w:r>
        <w:rPr>
          <w:rStyle w:val="50"/>
          <w:rFonts w:hint="eastAsia" w:ascii="宋体" w:hAnsi="宋体"/>
          <w:b w:val="0"/>
          <w:color w:val="000000" w:themeColor="text1"/>
          <w:highlight w:val="none"/>
          <w14:textFill>
            <w14:solidFill>
              <w14:schemeClr w14:val="tx1"/>
            </w14:solidFill>
          </w14:textFill>
        </w:rPr>
        <w:t>[</w:t>
      </w:r>
      <w:r>
        <w:rPr>
          <w:rStyle w:val="50"/>
          <w:rFonts w:ascii="宋体" w:hAnsi="宋体"/>
          <w:b w:val="0"/>
          <w:color w:val="000000" w:themeColor="text1"/>
          <w:highlight w:val="none"/>
          <w14:textFill>
            <w14:solidFill>
              <w14:schemeClr w14:val="tx1"/>
            </w14:solidFill>
          </w14:textFill>
        </w:rPr>
        <w:t>2013</w:t>
      </w:r>
      <w:r>
        <w:rPr>
          <w:rStyle w:val="50"/>
          <w:rFonts w:hint="eastAsia" w:ascii="宋体" w:hAnsi="宋体"/>
          <w:b w:val="0"/>
          <w:color w:val="000000" w:themeColor="text1"/>
          <w:highlight w:val="none"/>
          <w14:textFill>
            <w14:solidFill>
              <w14:schemeClr w14:val="tx1"/>
            </w14:solidFill>
          </w14:textFill>
        </w:rPr>
        <w:t>]</w:t>
      </w:r>
      <w:r>
        <w:rPr>
          <w:rStyle w:val="50"/>
          <w:rFonts w:ascii="宋体" w:hAnsi="宋体"/>
          <w:b w:val="0"/>
          <w:color w:val="000000" w:themeColor="text1"/>
          <w:highlight w:val="none"/>
          <w14:textFill>
            <w14:solidFill>
              <w14:schemeClr w14:val="tx1"/>
            </w14:solidFill>
          </w14:textFill>
        </w:rPr>
        <w:t>189号</w:t>
      </w:r>
      <w:r>
        <w:rPr>
          <w:rFonts w:hint="eastAsia" w:ascii="宋体" w:hAnsi="宋体"/>
          <w:color w:val="000000" w:themeColor="text1"/>
          <w:szCs w:val="21"/>
          <w:highlight w:val="none"/>
          <w14:textFill>
            <w14:solidFill>
              <w14:schemeClr w14:val="tx1"/>
            </w14:solidFill>
          </w14:textFill>
        </w:rPr>
        <w:t>)。</w:t>
      </w:r>
    </w:p>
    <w:p w14:paraId="358FE7FE">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2.8</w:t>
      </w:r>
      <w:r>
        <w:rPr>
          <w:rFonts w:hint="eastAsia" w:ascii="宋体" w:hAnsi="宋体"/>
          <w:color w:val="000000" w:themeColor="text1"/>
          <w:szCs w:val="21"/>
          <w:highlight w:val="none"/>
          <w14:textFill>
            <w14:solidFill>
              <w14:schemeClr w14:val="tx1"/>
            </w14:solidFill>
          </w14:textFill>
        </w:rPr>
        <w:t xml:space="preserve"> “节能产品”或者“环保产品”是指财政部发布的《节能产品政府采购清单》或者《环境标志产品政府采购清单》的产品，“两型产品”是指湖南省财政厅发布的</w:t>
      </w:r>
      <w:r>
        <w:rPr>
          <w:rFonts w:ascii="宋体" w:hAnsi="宋体"/>
          <w:color w:val="000000" w:themeColor="text1"/>
          <w:szCs w:val="21"/>
          <w:highlight w:val="none"/>
          <w14:textFill>
            <w14:solidFill>
              <w14:schemeClr w14:val="tx1"/>
            </w14:solidFill>
          </w14:textFill>
        </w:rPr>
        <w:t>《湖南省两型产品政府采购目录》</w:t>
      </w:r>
      <w:r>
        <w:rPr>
          <w:rFonts w:hint="eastAsia" w:ascii="宋体" w:hAnsi="宋体"/>
          <w:color w:val="000000" w:themeColor="text1"/>
          <w:szCs w:val="21"/>
          <w:highlight w:val="none"/>
          <w14:textFill>
            <w14:solidFill>
              <w14:schemeClr w14:val="tx1"/>
            </w14:solidFill>
          </w14:textFill>
        </w:rPr>
        <w:t>。</w:t>
      </w:r>
    </w:p>
    <w:p w14:paraId="2AC4D19A">
      <w:pPr>
        <w:adjustRightInd w:val="0"/>
        <w:snapToGrid w:val="0"/>
        <w:spacing w:line="4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2.9</w:t>
      </w:r>
      <w:r>
        <w:rPr>
          <w:rFonts w:hint="eastAsia" w:ascii="宋体" w:hAnsi="宋体" w:cs="宋体"/>
          <w:color w:val="000000" w:themeColor="text1"/>
          <w:kern w:val="0"/>
          <w:szCs w:val="21"/>
          <w:highlight w:val="none"/>
          <w14:textFill>
            <w14:solidFill>
              <w14:schemeClr w14:val="tx1"/>
            </w14:solidFill>
          </w14:textFill>
        </w:rPr>
        <w:t xml:space="preserve"> “进口产品”是指通过中国海关报关验放进入中国境内且产自关境外的产品，详见《</w:t>
      </w:r>
      <w:r>
        <w:rPr>
          <w:rFonts w:ascii="宋体" w:hAnsi="宋体" w:cs="宋体"/>
          <w:color w:val="000000" w:themeColor="text1"/>
          <w:kern w:val="0"/>
          <w:szCs w:val="21"/>
          <w:highlight w:val="none"/>
          <w14:textFill>
            <w14:solidFill>
              <w14:schemeClr w14:val="tx1"/>
            </w14:solidFill>
          </w14:textFill>
        </w:rPr>
        <w:t>关于政府采购进口产品管理有关问题的通知</w:t>
      </w:r>
      <w:r>
        <w:rPr>
          <w:rFonts w:hint="eastAsia" w:ascii="宋体" w:hAnsi="宋体" w:cs="宋体"/>
          <w:color w:val="000000" w:themeColor="text1"/>
          <w:kern w:val="0"/>
          <w:szCs w:val="21"/>
          <w:highlight w:val="none"/>
          <w14:textFill>
            <w14:solidFill>
              <w14:schemeClr w14:val="tx1"/>
            </w14:solidFill>
          </w14:textFill>
        </w:rPr>
        <w:t>》(财库[2007]119号)。</w:t>
      </w:r>
    </w:p>
    <w:p w14:paraId="3C78E1ED">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3.供应商的资格要求</w:t>
      </w:r>
    </w:p>
    <w:p w14:paraId="7F4E1E25">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 供应商应当符合</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中规定的资格条件要求。</w:t>
      </w:r>
    </w:p>
    <w:p w14:paraId="57BFFBBF">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3.2供应商</w:t>
      </w:r>
      <w:r>
        <w:rPr>
          <w:rFonts w:hint="eastAsia" w:ascii="宋体" w:hAnsi="宋体"/>
          <w:color w:val="000000" w:themeColor="text1"/>
          <w:highlight w:val="none"/>
          <w14:textFill>
            <w14:solidFill>
              <w14:schemeClr w14:val="tx1"/>
            </w14:solidFill>
          </w14:textFill>
        </w:rPr>
        <w:t>为联合体形式的</w:t>
      </w:r>
      <w:r>
        <w:rPr>
          <w:rFonts w:hint="eastAsia" w:ascii="宋体" w:hAnsi="宋体"/>
          <w:color w:val="000000" w:themeColor="text1"/>
          <w:szCs w:val="21"/>
          <w:highlight w:val="none"/>
          <w14:textFill>
            <w14:solidFill>
              <w14:schemeClr w14:val="tx1"/>
            </w14:solidFill>
          </w14:textFill>
        </w:rPr>
        <w:t xml:space="preserve">，除应满足本章第3.1款资格条件要求及第3.3款规定外，还应遵守以下规定： </w:t>
      </w:r>
    </w:p>
    <w:p w14:paraId="423884DA">
      <w:pPr>
        <w:adjustRightInd w:val="0"/>
        <w:snapToGrid w:val="0"/>
        <w:spacing w:line="460" w:lineRule="exact"/>
        <w:ind w:firstLine="420" w:firstLineChars="20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（1）联合体各方应按磋商文件提供的格式签订联合体协议书，明确联合体牵头人和各方权利义务(含承担工作及工作量比例)；</w:t>
      </w:r>
    </w:p>
    <w:p w14:paraId="4ED132FF">
      <w:pPr>
        <w:adjustRightInd w:val="0"/>
        <w:snapToGrid w:val="0"/>
        <w:spacing w:line="460" w:lineRule="exact"/>
        <w:ind w:firstLine="420" w:firstLineChars="20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（2）联合体中有同类资质的供应商按照联合体分工承担相同工作的，应当按照资质等级较低的供应商确定资质等级；</w:t>
      </w:r>
    </w:p>
    <w:p w14:paraId="1C7E8448">
      <w:pPr>
        <w:adjustRightInd w:val="0"/>
        <w:snapToGrid w:val="0"/>
        <w:spacing w:line="460" w:lineRule="exact"/>
        <w:ind w:firstLine="420" w:firstLineChars="20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（3）以联合体形式参加政府采购活动的，联合体各方不得再单独参加或者与其他供应商另外组成联合体参加同一合同项下的政府采购活动。</w:t>
      </w:r>
    </w:p>
    <w:p w14:paraId="6BA5959B">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3.3 供应商不得存在下列情形之一：</w:t>
      </w:r>
    </w:p>
    <w:p w14:paraId="68F40640">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（l）与采购人、采购代理机构存在</w:t>
      </w:r>
      <w:r>
        <w:rPr>
          <w:rFonts w:hint="eastAsia" w:ascii="宋体" w:hAnsi="宋体"/>
          <w:bCs/>
          <w:color w:val="000000" w:themeColor="text1"/>
          <w:szCs w:val="21"/>
          <w:highlight w:val="none"/>
          <w14:textFill>
            <w14:solidFill>
              <w14:schemeClr w14:val="tx1"/>
            </w14:solidFill>
          </w14:textFill>
        </w:rPr>
        <w:t>隶属关系或者其他利害关系</w:t>
      </w:r>
      <w:r>
        <w:rPr>
          <w:rFonts w:hint="eastAsia" w:ascii="宋体" w:hAnsi="宋体"/>
          <w:color w:val="000000" w:themeColor="text1"/>
          <w:szCs w:val="21"/>
          <w:highlight w:val="none"/>
          <w14:textFill>
            <w14:solidFill>
              <w14:schemeClr w14:val="tx1"/>
            </w14:solidFill>
          </w14:textFill>
        </w:rPr>
        <w:t>。</w:t>
      </w:r>
    </w:p>
    <w:p w14:paraId="2F84A867">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（2）与其他供应商的法定代表人（或者负责人）为同一人，或者与其他供应商存在直接控股、管理关系。</w:t>
      </w:r>
    </w:p>
    <w:p w14:paraId="58F29FCA">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hint="eastAsia" w:ascii="宋体" w:hAnsi="宋体"/>
          <w:bCs/>
          <w:color w:val="000000" w:themeColor="text1"/>
          <w:szCs w:val="21"/>
          <w:highlight w:val="none"/>
          <w14:textFill>
            <w14:solidFill>
              <w14:schemeClr w14:val="tx1"/>
            </w14:solidFill>
          </w14:textFill>
        </w:rPr>
        <w:t>受到刑事处罚，或者受到三万元以上的罚款、责令停产停业、在一至三年内禁止参加政府采购活动、暂扣或者吊销许可证、暂扣或者吊销执照等情形之一的行政处罚，或者存在</w:t>
      </w:r>
      <w:r>
        <w:rPr>
          <w:rFonts w:hint="eastAsia" w:ascii="宋体" w:hAnsi="宋体"/>
          <w:color w:val="000000" w:themeColor="text1"/>
          <w:szCs w:val="21"/>
          <w:highlight w:val="none"/>
          <w14:textFill>
            <w14:solidFill>
              <w14:schemeClr w14:val="tx1"/>
            </w14:solidFill>
          </w14:textFill>
        </w:rPr>
        <w:t>财政部门认定的其他重大违法记录。</w:t>
      </w:r>
    </w:p>
    <w:p w14:paraId="19649CCD">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4.参与磋商的费用 </w:t>
      </w:r>
    </w:p>
    <w:p w14:paraId="36017211">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 无论磋商的结果如何，供应商应自行承担所有与竞争性磋商采购活动有关的全部费用。</w:t>
      </w:r>
    </w:p>
    <w:p w14:paraId="6658453C">
      <w:pPr>
        <w:pStyle w:val="26"/>
        <w:adjustRightInd w:val="0"/>
        <w:snapToGrid w:val="0"/>
        <w:spacing w:line="460" w:lineRule="exact"/>
        <w:rPr>
          <w:rFonts w:hAnsi="宋体"/>
          <w:b/>
          <w:bCs/>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5．</w:t>
      </w:r>
      <w:r>
        <w:rPr>
          <w:rFonts w:hint="eastAsia" w:hAnsi="宋体"/>
          <w:b/>
          <w:bCs/>
          <w:color w:val="000000" w:themeColor="text1"/>
          <w:highlight w:val="none"/>
          <w14:textFill>
            <w14:solidFill>
              <w14:schemeClr w14:val="tx1"/>
            </w14:solidFill>
          </w14:textFill>
        </w:rPr>
        <w:t>授权委托</w:t>
      </w:r>
    </w:p>
    <w:p w14:paraId="252DBF02">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5.1供应商代表为供应商法定代表人的，应具备法定代表人身份证明。供应商代表不是供应商法定代表人的，应具备法定代表人授权书，并附法定代表人身份证明。</w:t>
      </w:r>
    </w:p>
    <w:p w14:paraId="4F3A995C">
      <w:pPr>
        <w:pStyle w:val="26"/>
        <w:adjustRightInd w:val="0"/>
        <w:snapToGrid w:val="0"/>
        <w:spacing w:line="460" w:lineRule="exact"/>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6．联合体形式</w:t>
      </w:r>
    </w:p>
    <w:p w14:paraId="34FC52F6">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6.1除</w:t>
      </w:r>
      <w:r>
        <w:rPr>
          <w:rFonts w:hint="eastAsia" w:hAnsi="宋体"/>
          <w:b/>
          <w:color w:val="000000" w:themeColor="text1"/>
          <w:highlight w:val="none"/>
          <w14:textFill>
            <w14:solidFill>
              <w14:schemeClr w14:val="tx1"/>
            </w14:solidFill>
          </w14:textFill>
        </w:rPr>
        <w:t>磋商须知前附表</w:t>
      </w:r>
      <w:r>
        <w:rPr>
          <w:rFonts w:hint="eastAsia" w:hAnsi="宋体"/>
          <w:color w:val="000000" w:themeColor="text1"/>
          <w:highlight w:val="none"/>
          <w14:textFill>
            <w14:solidFill>
              <w14:schemeClr w14:val="tx1"/>
            </w14:solidFill>
          </w14:textFill>
        </w:rPr>
        <w:t>中另有规定，本次谈判采购不接受为联合体形式的供应商。</w:t>
      </w:r>
    </w:p>
    <w:p w14:paraId="243E4277">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6.2供应商</w:t>
      </w:r>
      <w:r>
        <w:rPr>
          <w:rFonts w:hint="eastAsia" w:ascii="宋体" w:hAnsi="宋体"/>
          <w:color w:val="000000" w:themeColor="text1"/>
          <w:highlight w:val="none"/>
          <w14:textFill>
            <w14:solidFill>
              <w14:schemeClr w14:val="tx1"/>
            </w14:solidFill>
          </w14:textFill>
        </w:rPr>
        <w:t>为联合体形式的</w:t>
      </w:r>
      <w:r>
        <w:rPr>
          <w:rFonts w:hint="eastAsia" w:ascii="宋体" w:hAnsi="宋体"/>
          <w:color w:val="000000" w:themeColor="text1"/>
          <w:szCs w:val="21"/>
          <w:highlight w:val="none"/>
          <w14:textFill>
            <w14:solidFill>
              <w14:schemeClr w14:val="tx1"/>
            </w14:solidFill>
          </w14:textFill>
        </w:rPr>
        <w:t>，除应符合本章第3条规定外，还应遵守以下规定：</w:t>
      </w:r>
    </w:p>
    <w:p w14:paraId="11E534A3">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（l）联合体各方必须签订联合体协议书，明确联合体牵头人和各方的义务、工作、合同工作量比例；</w:t>
      </w:r>
    </w:p>
    <w:p w14:paraId="0C23AB2E">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（2）联合体各方均应当符合本章第3.1</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规定的供应商基本资格条件；</w:t>
      </w:r>
    </w:p>
    <w:p w14:paraId="30DBE535">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hint="eastAsia" w:ascii="宋体" w:hAnsi="宋体"/>
          <w:color w:val="000000" w:themeColor="text1"/>
          <w:highlight w:val="none"/>
          <w14:textFill>
            <w14:solidFill>
              <w14:schemeClr w14:val="tx1"/>
            </w14:solidFill>
          </w14:textFill>
        </w:rPr>
        <w:t>除</w:t>
      </w:r>
      <w:r>
        <w:rPr>
          <w:rFonts w:hint="eastAsia" w:ascii="宋体" w:hAnsi="宋体"/>
          <w:b/>
          <w:color w:val="000000" w:themeColor="text1"/>
          <w:highlight w:val="none"/>
          <w14:textFill>
            <w14:solidFill>
              <w14:schemeClr w14:val="tx1"/>
            </w14:solidFill>
          </w14:textFill>
        </w:rPr>
        <w:t>磋商须知前附表</w:t>
      </w:r>
      <w:r>
        <w:rPr>
          <w:rFonts w:hint="eastAsia" w:ascii="宋体" w:hAnsi="宋体"/>
          <w:color w:val="000000" w:themeColor="text1"/>
          <w:highlight w:val="none"/>
          <w14:textFill>
            <w14:solidFill>
              <w14:schemeClr w14:val="tx1"/>
            </w14:solidFill>
          </w14:textFill>
        </w:rPr>
        <w:t>中另有规定，</w:t>
      </w:r>
      <w:r>
        <w:rPr>
          <w:rFonts w:hint="eastAsia" w:ascii="宋体" w:hAnsi="宋体"/>
          <w:color w:val="000000" w:themeColor="text1"/>
          <w:szCs w:val="21"/>
          <w:highlight w:val="none"/>
          <w14:textFill>
            <w14:solidFill>
              <w14:schemeClr w14:val="tx1"/>
            </w14:solidFill>
          </w14:textFill>
        </w:rPr>
        <w:t>联合体各方中至少有一方应当符合本章第3.1</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规定的供应商特定资格条件；</w:t>
      </w:r>
    </w:p>
    <w:p w14:paraId="7A0E036F">
      <w:pPr>
        <w:adjustRightInd w:val="0"/>
        <w:snapToGrid w:val="0"/>
        <w:spacing w:line="460" w:lineRule="exact"/>
        <w:ind w:firstLine="420" w:firstLineChars="20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hint="eastAsia" w:ascii="宋体" w:hAnsi="宋体" w:cs="宋体"/>
          <w:color w:val="000000" w:themeColor="text1"/>
          <w:kern w:val="0"/>
          <w:szCs w:val="21"/>
          <w:highlight w:val="none"/>
          <w:lang w:val="zh-CN"/>
          <w14:textFill>
            <w14:solidFill>
              <w14:schemeClr w14:val="tx1"/>
            </w14:solidFill>
          </w14:textFill>
        </w:rPr>
        <w:t>联合体各方不得再单独或与其他供应商组成新的联合体参加同一项目的采购活动。</w:t>
      </w:r>
    </w:p>
    <w:p w14:paraId="1FBF85FB">
      <w:pPr>
        <w:adjustRightInd w:val="0"/>
        <w:snapToGrid w:val="0"/>
        <w:spacing w:line="46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7.现场勘察</w:t>
      </w:r>
    </w:p>
    <w:p w14:paraId="582CC677">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7.1供应商应按</w:t>
      </w:r>
      <w:r>
        <w:rPr>
          <w:rFonts w:hint="eastAsia" w:ascii="宋体" w:hAnsi="宋体"/>
          <w:b/>
          <w:color w:val="000000" w:themeColor="text1"/>
          <w:highlight w:val="none"/>
          <w14:textFill>
            <w14:solidFill>
              <w14:schemeClr w14:val="tx1"/>
            </w14:solidFill>
          </w14:textFill>
        </w:rPr>
        <w:t>磋商须知前附表</w:t>
      </w:r>
      <w:r>
        <w:rPr>
          <w:rFonts w:hint="eastAsia" w:ascii="宋体" w:hAnsi="宋体"/>
          <w:color w:val="000000" w:themeColor="text1"/>
          <w:highlight w:val="none"/>
          <w14:textFill>
            <w14:solidFill>
              <w14:schemeClr w14:val="tx1"/>
            </w14:solidFill>
          </w14:textFill>
        </w:rPr>
        <w:t>中规定</w:t>
      </w:r>
      <w:r>
        <w:rPr>
          <w:rFonts w:hint="eastAsia" w:ascii="宋体" w:hAnsi="宋体"/>
          <w:color w:val="000000" w:themeColor="text1"/>
          <w:szCs w:val="21"/>
          <w:highlight w:val="none"/>
          <w14:textFill>
            <w14:solidFill>
              <w14:schemeClr w14:val="tx1"/>
            </w14:solidFill>
          </w14:textFill>
        </w:rPr>
        <w:t>对采购项目现场和周围环境的现场考察。</w:t>
      </w:r>
    </w:p>
    <w:p w14:paraId="2F150722">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7.2勘察现场的费用由供应商自己承担，勘察期间所发生的人身伤害及财产损失由供应商自己负责。</w:t>
      </w:r>
    </w:p>
    <w:p w14:paraId="02BE8F9B">
      <w:pPr>
        <w:adjustRightInd w:val="0"/>
        <w:snapToGrid w:val="0"/>
        <w:spacing w:line="460" w:lineRule="exact"/>
        <w:ind w:firstLine="420" w:firstLineChars="200"/>
        <w:jc w:val="left"/>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7.3采购人不对供应商据此而做出的推论、理解和结论负责。一旦成交，供应商不得以任何借口，提出额外补偿，或延长合同期限的要求。</w:t>
      </w:r>
    </w:p>
    <w:p w14:paraId="61D2652E">
      <w:pPr>
        <w:adjustRightInd w:val="0"/>
        <w:snapToGrid w:val="0"/>
        <w:spacing w:line="460" w:lineRule="exact"/>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8.采购进口产品</w:t>
      </w:r>
    </w:p>
    <w:p w14:paraId="57D279CF">
      <w:pPr>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8.1除</w:t>
      </w:r>
      <w:r>
        <w:rPr>
          <w:rFonts w:hint="eastAsia" w:ascii="宋体" w:hAnsi="宋体"/>
          <w:b/>
          <w:color w:val="000000" w:themeColor="text1"/>
          <w:szCs w:val="21"/>
          <w:highlight w:val="none"/>
          <w14:textFill>
            <w14:solidFill>
              <w14:schemeClr w14:val="tx1"/>
            </w14:solidFill>
          </w14:textFill>
        </w:rPr>
        <w:t>磋商文件前附表</w:t>
      </w:r>
      <w:r>
        <w:rPr>
          <w:rFonts w:hint="eastAsia" w:ascii="宋体" w:hAnsi="宋体"/>
          <w:color w:val="000000" w:themeColor="text1"/>
          <w:szCs w:val="21"/>
          <w:highlight w:val="none"/>
          <w14:textFill>
            <w14:solidFill>
              <w14:schemeClr w14:val="tx1"/>
            </w14:solidFill>
          </w14:textFill>
        </w:rPr>
        <w:t>另有规定外，本项目</w:t>
      </w:r>
      <w:r>
        <w:rPr>
          <w:rFonts w:hint="eastAsia" w:ascii="宋体" w:hAnsi="宋体" w:cs="宋体"/>
          <w:color w:val="000000" w:themeColor="text1"/>
          <w:kern w:val="0"/>
          <w:szCs w:val="21"/>
          <w:highlight w:val="none"/>
          <w14:textFill>
            <w14:solidFill>
              <w14:schemeClr w14:val="tx1"/>
            </w14:solidFill>
          </w14:textFill>
        </w:rPr>
        <w:t>拒绝进口产品参加</w:t>
      </w:r>
      <w:r>
        <w:rPr>
          <w:rFonts w:hint="eastAsia" w:ascii="宋体" w:hAnsi="宋体"/>
          <w:color w:val="000000" w:themeColor="text1"/>
          <w:szCs w:val="21"/>
          <w:highlight w:val="none"/>
          <w14:textFill>
            <w14:solidFill>
              <w14:schemeClr w14:val="tx1"/>
            </w14:solidFill>
          </w14:textFill>
        </w:rPr>
        <w:t>竞争性磋商采购活动</w:t>
      </w:r>
      <w:r>
        <w:rPr>
          <w:rFonts w:hint="eastAsia" w:ascii="宋体" w:hAnsi="宋体" w:cs="宋体"/>
          <w:color w:val="000000" w:themeColor="text1"/>
          <w:kern w:val="0"/>
          <w:szCs w:val="21"/>
          <w:highlight w:val="none"/>
          <w14:textFill>
            <w14:solidFill>
              <w14:schemeClr w14:val="tx1"/>
            </w14:solidFill>
          </w14:textFill>
        </w:rPr>
        <w:t>。</w:t>
      </w:r>
    </w:p>
    <w:p w14:paraId="3DB8A790">
      <w:pPr>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8.2</w:t>
      </w:r>
      <w:r>
        <w:rPr>
          <w:rFonts w:hint="eastAsia" w:ascii="宋体" w:hAnsi="宋体"/>
          <w:color w:val="000000" w:themeColor="text1"/>
          <w:szCs w:val="21"/>
          <w:highlight w:val="none"/>
          <w14:textFill>
            <w14:solidFill>
              <w14:schemeClr w14:val="tx1"/>
            </w14:solidFill>
          </w14:textFill>
        </w:rPr>
        <w:t>本章第7.1</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规定</w:t>
      </w:r>
      <w:r>
        <w:rPr>
          <w:rFonts w:ascii="宋体" w:hAnsi="宋体" w:cs="宋体"/>
          <w:color w:val="000000" w:themeColor="text1"/>
          <w:kern w:val="0"/>
          <w:szCs w:val="21"/>
          <w:highlight w:val="none"/>
          <w14:textFill>
            <w14:solidFill>
              <w14:schemeClr w14:val="tx1"/>
            </w14:solidFill>
          </w14:textFill>
        </w:rPr>
        <w:t>同意购买进口产品的</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本项目</w:t>
      </w:r>
      <w:r>
        <w:rPr>
          <w:rFonts w:hint="eastAsia" w:ascii="宋体" w:hAnsi="宋体" w:cs="宋体"/>
          <w:color w:val="000000" w:themeColor="text1"/>
          <w:kern w:val="0"/>
          <w:szCs w:val="21"/>
          <w:highlight w:val="none"/>
          <w:lang w:val="zh-CN"/>
          <w14:textFill>
            <w14:solidFill>
              <w14:schemeClr w14:val="tx1"/>
            </w14:solidFill>
          </w14:textFill>
        </w:rPr>
        <w:t>采购活动</w:t>
      </w:r>
      <w:r>
        <w:rPr>
          <w:rFonts w:hint="eastAsia" w:ascii="宋体" w:hAnsi="宋体" w:cs="宋体"/>
          <w:color w:val="000000" w:themeColor="text1"/>
          <w:kern w:val="0"/>
          <w:szCs w:val="21"/>
          <w:highlight w:val="none"/>
          <w14:textFill>
            <w14:solidFill>
              <w14:schemeClr w14:val="tx1"/>
            </w14:solidFill>
          </w14:textFill>
        </w:rPr>
        <w:t>不</w:t>
      </w:r>
      <w:r>
        <w:rPr>
          <w:rFonts w:ascii="宋体" w:hAnsi="宋体" w:cs="宋体"/>
          <w:color w:val="000000" w:themeColor="text1"/>
          <w:kern w:val="0"/>
          <w:szCs w:val="21"/>
          <w:highlight w:val="none"/>
          <w14:textFill>
            <w14:solidFill>
              <w14:schemeClr w14:val="tx1"/>
            </w14:solidFill>
          </w14:textFill>
        </w:rPr>
        <w:t>限制满足</w:t>
      </w:r>
      <w:r>
        <w:rPr>
          <w:rFonts w:hint="eastAsia" w:ascii="宋体" w:hAnsi="宋体"/>
          <w:color w:val="000000" w:themeColor="text1"/>
          <w:szCs w:val="21"/>
          <w:highlight w:val="none"/>
          <w14:textFill>
            <w14:solidFill>
              <w14:schemeClr w14:val="tx1"/>
            </w14:solidFill>
          </w14:textFill>
        </w:rPr>
        <w:t>磋商文件要求</w:t>
      </w:r>
      <w:r>
        <w:rPr>
          <w:rFonts w:ascii="宋体" w:hAnsi="宋体" w:cs="宋体"/>
          <w:color w:val="000000" w:themeColor="text1"/>
          <w:kern w:val="0"/>
          <w:szCs w:val="21"/>
          <w:highlight w:val="none"/>
          <w14:textFill>
            <w14:solidFill>
              <w14:schemeClr w14:val="tx1"/>
            </w14:solidFill>
          </w14:textFill>
        </w:rPr>
        <w:t>的国内产品参与</w:t>
      </w:r>
      <w:r>
        <w:rPr>
          <w:rFonts w:hint="eastAsia" w:ascii="宋体" w:hAnsi="宋体"/>
          <w:color w:val="000000" w:themeColor="text1"/>
          <w:szCs w:val="21"/>
          <w:highlight w:val="none"/>
          <w14:textFill>
            <w14:solidFill>
              <w14:schemeClr w14:val="tx1"/>
            </w14:solidFill>
          </w14:textFill>
        </w:rPr>
        <w:t>竞争性磋商</w:t>
      </w:r>
      <w:r>
        <w:rPr>
          <w:rFonts w:ascii="宋体" w:hAnsi="宋体" w:cs="宋体"/>
          <w:color w:val="000000" w:themeColor="text1"/>
          <w:kern w:val="0"/>
          <w:szCs w:val="21"/>
          <w:highlight w:val="none"/>
          <w14:textFill>
            <w14:solidFill>
              <w14:schemeClr w14:val="tx1"/>
            </w14:solidFill>
          </w14:textFill>
        </w:rPr>
        <w:t>。</w:t>
      </w:r>
    </w:p>
    <w:p w14:paraId="0A949911">
      <w:pPr>
        <w:adjustRightInd w:val="0"/>
        <w:snapToGrid w:val="0"/>
        <w:spacing w:line="460" w:lineRule="exact"/>
        <w:jc w:val="left"/>
        <w:rPr>
          <w:rFonts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9.</w:t>
      </w:r>
      <w:r>
        <w:rPr>
          <w:rFonts w:hint="eastAsia" w:ascii="宋体" w:hAnsi="宋体"/>
          <w:b/>
          <w:color w:val="000000" w:themeColor="text1"/>
          <w:szCs w:val="21"/>
          <w:highlight w:val="none"/>
          <w14:textFill>
            <w14:solidFill>
              <w14:schemeClr w14:val="tx1"/>
            </w14:solidFill>
          </w14:textFill>
        </w:rPr>
        <w:t xml:space="preserve"> 政府采购政策支持</w:t>
      </w:r>
    </w:p>
    <w:p w14:paraId="076F896A">
      <w:pPr>
        <w:adjustRightInd w:val="0"/>
        <w:snapToGrid w:val="0"/>
        <w:spacing w:line="4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9.1对列入财政部、国家发展改革委发布的《节能产品政府采购清单》且属于应当“强制采购的节能产品”，按照规定实行强制采购。实行政府采购强制采购的节能产品见</w:t>
      </w:r>
      <w:r>
        <w:rPr>
          <w:rFonts w:hint="eastAsia" w:ascii="宋体" w:hAnsi="宋体" w:cs="宋体"/>
          <w:b/>
          <w:color w:val="000000" w:themeColor="text1"/>
          <w:kern w:val="0"/>
          <w:szCs w:val="21"/>
          <w:highlight w:val="none"/>
          <w14:textFill>
            <w14:solidFill>
              <w14:schemeClr w14:val="tx1"/>
            </w14:solidFill>
          </w14:textFill>
        </w:rPr>
        <w:t>磋商文件前附表。</w:t>
      </w:r>
    </w:p>
    <w:p w14:paraId="7A59C57F">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s="宋体"/>
          <w:color w:val="000000" w:themeColor="text1"/>
          <w:kern w:val="0"/>
          <w:highlight w:val="none"/>
          <w14:textFill>
            <w14:solidFill>
              <w14:schemeClr w14:val="tx1"/>
            </w14:solidFill>
          </w14:textFill>
        </w:rPr>
        <w:t>9.2对列入财政部、国家发展改革委发布的《节能产品政府采购清单》的“非强制采购节能产品”，财政部、环境保护部发布的《环境标志产品政府采购清单》的“环境标志产品”，湖南省财政厅、湖南省科学技术厅、湖南省长株潭“两型社会”试验区建设管理委员会发布的《湖南省两型产品政府采购目录》以及中小企业，实行优先采购，按照省级以上财政部门有关政策规定，评审时进行价格扣除或加分。实行政府采购优先采购的优惠率见</w:t>
      </w:r>
      <w:r>
        <w:rPr>
          <w:rFonts w:hint="eastAsia" w:hAnsi="宋体" w:cs="宋体"/>
          <w:b/>
          <w:color w:val="000000" w:themeColor="text1"/>
          <w:kern w:val="0"/>
          <w:highlight w:val="none"/>
          <w14:textFill>
            <w14:solidFill>
              <w14:schemeClr w14:val="tx1"/>
            </w14:solidFill>
          </w14:textFill>
        </w:rPr>
        <w:t>磋商文件前附表。</w:t>
      </w:r>
    </w:p>
    <w:p w14:paraId="77DB90CB">
      <w:pPr>
        <w:adjustRightInd w:val="0"/>
        <w:snapToGrid w:val="0"/>
        <w:spacing w:line="4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14:paraId="4321CB85">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9.4同一项目中部分产品属于优先采购政策的，评审时只对该部分产品的报价实行价格扣除及加分。</w:t>
      </w:r>
    </w:p>
    <w:p w14:paraId="613F5A4E">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9.5符合本章第9.1</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第9.2</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规定的，应提供相关证明资料。</w:t>
      </w:r>
    </w:p>
    <w:p w14:paraId="122E3744">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9.6供应商有融资、担保需求的，具体办理流程可向</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所列金融机构和担保机构询问。</w:t>
      </w:r>
    </w:p>
    <w:p w14:paraId="1078FA2A">
      <w:pPr>
        <w:adjustRightInd w:val="0"/>
        <w:snapToGrid w:val="0"/>
        <w:spacing w:line="460" w:lineRule="exact"/>
        <w:ind w:left="902" w:hanging="902" w:hangingChars="37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二、磋商文件</w:t>
      </w:r>
    </w:p>
    <w:p w14:paraId="14358D03">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10．磋商文件的组成</w:t>
      </w:r>
    </w:p>
    <w:p w14:paraId="7DA1528D">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10.1 磋商文件由下列文件组成：</w:t>
      </w:r>
    </w:p>
    <w:p w14:paraId="3516623C">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第一章 磋商邀请</w:t>
      </w:r>
    </w:p>
    <w:p w14:paraId="5465853C">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第二章 磋商须知</w:t>
      </w:r>
    </w:p>
    <w:p w14:paraId="045AFA9B">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第三章 政府采购合同格式条款</w:t>
      </w:r>
    </w:p>
    <w:p w14:paraId="02393542">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第四章 采购需求</w:t>
      </w:r>
    </w:p>
    <w:p w14:paraId="6F2EF561">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第五章 响应文件组成</w:t>
      </w:r>
    </w:p>
    <w:p w14:paraId="0943EE84">
      <w:pPr>
        <w:pStyle w:val="26"/>
        <w:adjustRightInd w:val="0"/>
        <w:snapToGrid w:val="0"/>
        <w:spacing w:line="460" w:lineRule="exact"/>
        <w:ind w:firstLine="420" w:firstLineChars="200"/>
        <w:rPr>
          <w:rFonts w:hAnsi="宋体" w:cs="宋体"/>
          <w:color w:val="000000" w:themeColor="text1"/>
          <w:kern w:val="0"/>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10.2</w:t>
      </w:r>
      <w:r>
        <w:rPr>
          <w:rFonts w:hint="eastAsia" w:hAnsi="宋体" w:cs="宋体"/>
          <w:color w:val="000000" w:themeColor="text1"/>
          <w:kern w:val="0"/>
          <w:highlight w:val="none"/>
          <w14:textFill>
            <w14:solidFill>
              <w14:schemeClr w14:val="tx1"/>
            </w14:solidFill>
          </w14:textFill>
        </w:rPr>
        <w:t>磋商小组根据与供应商磋商情况可能实质性变动的内容，包括采购需求中的技术、服务要求以及合同条款，</w:t>
      </w:r>
      <w:r>
        <w:rPr>
          <w:rFonts w:hint="eastAsia" w:hAnsi="宋体"/>
          <w:color w:val="000000" w:themeColor="text1"/>
          <w:highlight w:val="none"/>
          <w14:textFill>
            <w14:solidFill>
              <w14:schemeClr w14:val="tx1"/>
            </w14:solidFill>
          </w14:textFill>
        </w:rPr>
        <w:t>在</w:t>
      </w:r>
      <w:r>
        <w:rPr>
          <w:rFonts w:hint="eastAsia" w:hAnsi="宋体"/>
          <w:b/>
          <w:color w:val="000000" w:themeColor="text1"/>
          <w:highlight w:val="none"/>
          <w14:textFill>
            <w14:solidFill>
              <w14:schemeClr w14:val="tx1"/>
            </w14:solidFill>
          </w14:textFill>
        </w:rPr>
        <w:t>磋商须知前附表</w:t>
      </w:r>
      <w:r>
        <w:rPr>
          <w:rFonts w:hint="eastAsia" w:hAnsi="宋体"/>
          <w:color w:val="000000" w:themeColor="text1"/>
          <w:highlight w:val="none"/>
          <w14:textFill>
            <w14:solidFill>
              <w14:schemeClr w14:val="tx1"/>
            </w14:solidFill>
          </w14:textFill>
        </w:rPr>
        <w:t>中明确。</w:t>
      </w:r>
    </w:p>
    <w:p w14:paraId="154D223E">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10.3</w:t>
      </w:r>
      <w:r>
        <w:rPr>
          <w:rFonts w:hint="eastAsia" w:ascii="宋体" w:hAnsi="宋体"/>
          <w:color w:val="000000" w:themeColor="text1"/>
          <w:szCs w:val="21"/>
          <w:highlight w:val="none"/>
          <w14:textFill>
            <w14:solidFill>
              <w14:schemeClr w14:val="tx1"/>
            </w14:solidFill>
          </w14:textFill>
        </w:rPr>
        <w:t>供应商应仔细阅读</w:t>
      </w:r>
      <w:r>
        <w:rPr>
          <w:rFonts w:hint="eastAsia" w:ascii="宋体" w:hAnsi="宋体"/>
          <w:bCs/>
          <w:color w:val="000000" w:themeColor="text1"/>
          <w:szCs w:val="21"/>
          <w:highlight w:val="none"/>
          <w14:textFill>
            <w14:solidFill>
              <w14:schemeClr w14:val="tx1"/>
            </w14:solidFill>
          </w14:textFill>
        </w:rPr>
        <w:t>磋商</w:t>
      </w:r>
      <w:r>
        <w:rPr>
          <w:rFonts w:hint="eastAsia" w:ascii="宋体" w:hAnsi="宋体"/>
          <w:color w:val="000000" w:themeColor="text1"/>
          <w:szCs w:val="21"/>
          <w:highlight w:val="none"/>
          <w14:textFill>
            <w14:solidFill>
              <w14:schemeClr w14:val="tx1"/>
            </w14:solidFill>
          </w14:textFill>
        </w:rPr>
        <w:t>文件的全部内容，按照</w:t>
      </w:r>
      <w:r>
        <w:rPr>
          <w:rFonts w:hint="eastAsia" w:ascii="宋体" w:hAnsi="宋体"/>
          <w:bCs/>
          <w:color w:val="000000" w:themeColor="text1"/>
          <w:szCs w:val="21"/>
          <w:highlight w:val="none"/>
          <w14:textFill>
            <w14:solidFill>
              <w14:schemeClr w14:val="tx1"/>
            </w14:solidFill>
          </w14:textFill>
        </w:rPr>
        <w:t>磋商</w:t>
      </w:r>
      <w:r>
        <w:rPr>
          <w:rFonts w:hint="eastAsia" w:ascii="宋体" w:hAnsi="宋体"/>
          <w:color w:val="000000" w:themeColor="text1"/>
          <w:szCs w:val="21"/>
          <w:highlight w:val="none"/>
          <w14:textFill>
            <w14:solidFill>
              <w14:schemeClr w14:val="tx1"/>
            </w14:solidFill>
          </w14:textFill>
        </w:rPr>
        <w:t>文件要求编制响应文件。任何对</w:t>
      </w:r>
      <w:r>
        <w:rPr>
          <w:rFonts w:hint="eastAsia" w:ascii="宋体" w:hAnsi="宋体"/>
          <w:bCs/>
          <w:color w:val="000000" w:themeColor="text1"/>
          <w:szCs w:val="21"/>
          <w:highlight w:val="none"/>
          <w14:textFill>
            <w14:solidFill>
              <w14:schemeClr w14:val="tx1"/>
            </w14:solidFill>
          </w14:textFill>
        </w:rPr>
        <w:t>磋商</w:t>
      </w:r>
      <w:r>
        <w:rPr>
          <w:rFonts w:hint="eastAsia" w:ascii="宋体" w:hAnsi="宋体"/>
          <w:color w:val="000000" w:themeColor="text1"/>
          <w:szCs w:val="21"/>
          <w:highlight w:val="none"/>
          <w14:textFill>
            <w14:solidFill>
              <w14:schemeClr w14:val="tx1"/>
            </w14:solidFill>
          </w14:textFill>
        </w:rPr>
        <w:t>文件的忽略或误解不能作为响应文件存在缺陷或瑕疵的理由，其风险由供应商承担。</w:t>
      </w:r>
    </w:p>
    <w:p w14:paraId="5154A55E">
      <w:pPr>
        <w:adjustRightInd w:val="0"/>
        <w:snapToGrid w:val="0"/>
        <w:spacing w:line="46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11.</w:t>
      </w:r>
      <w:r>
        <w:rPr>
          <w:rFonts w:hint="eastAsia"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磋商文件的提供期限</w:t>
      </w:r>
    </w:p>
    <w:p w14:paraId="0DBADF68">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11.1磋商文件的提供期限自开始发出之日起不得少于五个工作日。具体提供期限见</w:t>
      </w:r>
      <w:r>
        <w:rPr>
          <w:rFonts w:hint="eastAsia" w:ascii="宋体" w:hAnsi="宋体"/>
          <w:b/>
          <w:color w:val="000000" w:themeColor="text1"/>
          <w:szCs w:val="21"/>
          <w:highlight w:val="none"/>
          <w14:textFill>
            <w14:solidFill>
              <w14:schemeClr w14:val="tx1"/>
            </w14:solidFill>
          </w14:textFill>
        </w:rPr>
        <w:t>磋商文件前附表</w:t>
      </w:r>
      <w:r>
        <w:rPr>
          <w:rFonts w:hint="eastAsia" w:ascii="宋体" w:hAnsi="宋体"/>
          <w:color w:val="000000" w:themeColor="text1"/>
          <w:szCs w:val="21"/>
          <w:highlight w:val="none"/>
          <w14:textFill>
            <w14:solidFill>
              <w14:schemeClr w14:val="tx1"/>
            </w14:solidFill>
          </w14:textFill>
        </w:rPr>
        <w:t>。</w:t>
      </w:r>
    </w:p>
    <w:p w14:paraId="5CA53F0C">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11.2供应商应持</w:t>
      </w:r>
      <w:r>
        <w:rPr>
          <w:rFonts w:hint="eastAsia" w:ascii="宋体" w:hAnsi="宋体"/>
          <w:b/>
          <w:color w:val="000000" w:themeColor="text1"/>
          <w:szCs w:val="21"/>
          <w:highlight w:val="none"/>
          <w14:textFill>
            <w14:solidFill>
              <w14:schemeClr w14:val="tx1"/>
            </w14:solidFill>
          </w14:textFill>
        </w:rPr>
        <w:t>磋商文件前附表</w:t>
      </w:r>
      <w:r>
        <w:rPr>
          <w:rFonts w:hint="eastAsia" w:ascii="宋体" w:hAnsi="宋体"/>
          <w:color w:val="000000" w:themeColor="text1"/>
          <w:szCs w:val="21"/>
          <w:highlight w:val="none"/>
          <w14:textFill>
            <w14:solidFill>
              <w14:schemeClr w14:val="tx1"/>
            </w14:solidFill>
          </w14:textFill>
        </w:rPr>
        <w:t>规定的资料领取或购买磋商文件。</w:t>
      </w:r>
    </w:p>
    <w:p w14:paraId="5E40DCB8">
      <w:pPr>
        <w:pStyle w:val="26"/>
        <w:adjustRightInd w:val="0"/>
        <w:snapToGrid w:val="0"/>
        <w:spacing w:line="460" w:lineRule="exact"/>
        <w:rPr>
          <w:rFonts w:hAnsi="宋体"/>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12.</w:t>
      </w:r>
      <w:r>
        <w:rPr>
          <w:rFonts w:hint="eastAsia" w:hAnsi="宋体" w:cs="宋体"/>
          <w:b/>
          <w:color w:val="000000" w:themeColor="text1"/>
          <w:kern w:val="0"/>
          <w:highlight w:val="none"/>
          <w14:textFill>
            <w14:solidFill>
              <w14:schemeClr w14:val="tx1"/>
            </w14:solidFill>
          </w14:textFill>
        </w:rPr>
        <w:t>提交首次响应文件</w:t>
      </w:r>
      <w:r>
        <w:rPr>
          <w:rFonts w:hint="eastAsia" w:hAnsi="宋体"/>
          <w:b/>
          <w:color w:val="000000" w:themeColor="text1"/>
          <w:highlight w:val="none"/>
          <w14:textFill>
            <w14:solidFill>
              <w14:schemeClr w14:val="tx1"/>
            </w14:solidFill>
          </w14:textFill>
        </w:rPr>
        <w:t>的</w:t>
      </w:r>
      <w:r>
        <w:rPr>
          <w:rFonts w:hint="eastAsia" w:hAnsi="宋体" w:cs="宋体"/>
          <w:b/>
          <w:color w:val="000000" w:themeColor="text1"/>
          <w:kern w:val="0"/>
          <w:highlight w:val="none"/>
          <w14:textFill>
            <w14:solidFill>
              <w14:schemeClr w14:val="tx1"/>
            </w14:solidFill>
          </w14:textFill>
        </w:rPr>
        <w:t>截止</w:t>
      </w:r>
      <w:r>
        <w:rPr>
          <w:rFonts w:hint="eastAsia" w:hAnsi="宋体"/>
          <w:b/>
          <w:color w:val="000000" w:themeColor="text1"/>
          <w:highlight w:val="none"/>
          <w14:textFill>
            <w14:solidFill>
              <w14:schemeClr w14:val="tx1"/>
            </w14:solidFill>
          </w14:textFill>
        </w:rPr>
        <w:t>时间</w:t>
      </w:r>
    </w:p>
    <w:p w14:paraId="63163827">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12.1</w:t>
      </w:r>
      <w:r>
        <w:rPr>
          <w:rFonts w:hint="eastAsia" w:hAnsi="宋体" w:cs="宋体"/>
          <w:color w:val="000000" w:themeColor="text1"/>
          <w:kern w:val="0"/>
          <w:highlight w:val="none"/>
          <w14:textFill>
            <w14:solidFill>
              <w14:schemeClr w14:val="tx1"/>
            </w14:solidFill>
          </w14:textFill>
        </w:rPr>
        <w:t>供应商提交首次响应文件截止</w:t>
      </w:r>
      <w:r>
        <w:rPr>
          <w:rFonts w:hint="eastAsia" w:hAnsi="宋体"/>
          <w:color w:val="000000" w:themeColor="text1"/>
          <w:highlight w:val="none"/>
          <w14:textFill>
            <w14:solidFill>
              <w14:schemeClr w14:val="tx1"/>
            </w14:solidFill>
          </w14:textFill>
        </w:rPr>
        <w:t>时间见</w:t>
      </w:r>
      <w:r>
        <w:rPr>
          <w:rFonts w:hint="eastAsia" w:hAnsi="宋体"/>
          <w:b/>
          <w:color w:val="000000" w:themeColor="text1"/>
          <w:highlight w:val="none"/>
          <w14:textFill>
            <w14:solidFill>
              <w14:schemeClr w14:val="tx1"/>
            </w14:solidFill>
          </w14:textFill>
        </w:rPr>
        <w:t>磋商须知前附表</w:t>
      </w:r>
      <w:r>
        <w:rPr>
          <w:rFonts w:hint="eastAsia" w:hAnsi="宋体"/>
          <w:color w:val="000000" w:themeColor="text1"/>
          <w:highlight w:val="none"/>
          <w14:textFill>
            <w14:solidFill>
              <w14:schemeClr w14:val="tx1"/>
            </w14:solidFill>
          </w14:textFill>
        </w:rPr>
        <w:t>。</w:t>
      </w:r>
    </w:p>
    <w:p w14:paraId="682A08AA">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13.磋商文件的澄清</w:t>
      </w:r>
      <w:r>
        <w:rPr>
          <w:rFonts w:hint="eastAsia" w:ascii="宋体" w:hAnsi="宋体"/>
          <w:b/>
          <w:color w:val="000000" w:themeColor="text1"/>
          <w:kern w:val="0"/>
          <w:szCs w:val="21"/>
          <w:highlight w:val="none"/>
          <w:lang w:val="zh-CN"/>
          <w14:textFill>
            <w14:solidFill>
              <w14:schemeClr w14:val="tx1"/>
            </w14:solidFill>
          </w14:textFill>
        </w:rPr>
        <w:t>或者</w:t>
      </w:r>
      <w:r>
        <w:rPr>
          <w:rFonts w:hint="eastAsia" w:ascii="宋体" w:hAnsi="宋体"/>
          <w:b/>
          <w:bCs/>
          <w:color w:val="000000" w:themeColor="text1"/>
          <w:szCs w:val="21"/>
          <w:highlight w:val="none"/>
          <w14:textFill>
            <w14:solidFill>
              <w14:schemeClr w14:val="tx1"/>
            </w14:solidFill>
          </w14:textFill>
        </w:rPr>
        <w:t>修改</w:t>
      </w:r>
    </w:p>
    <w:p w14:paraId="4D0BBEC9">
      <w:pPr>
        <w:adjustRightInd w:val="0"/>
        <w:snapToGrid w:val="0"/>
        <w:spacing w:line="460" w:lineRule="exact"/>
        <w:ind w:right="-105" w:rightChars="-50"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13.1在</w:t>
      </w:r>
      <w:r>
        <w:rPr>
          <w:rFonts w:hint="eastAsia" w:ascii="宋体" w:hAnsi="宋体" w:cs="宋体"/>
          <w:color w:val="000000" w:themeColor="text1"/>
          <w:kern w:val="0"/>
          <w:szCs w:val="21"/>
          <w:highlight w:val="none"/>
          <w14:textFill>
            <w14:solidFill>
              <w14:schemeClr w14:val="tx1"/>
            </w14:solidFill>
          </w14:textFill>
        </w:rPr>
        <w:t xml:space="preserve">提交首次响应文件截止之日前，采购人、采购代理机构可以对已发出的磋商文件进行必要的澄清或者修改。 </w:t>
      </w:r>
    </w:p>
    <w:p w14:paraId="18A73B69">
      <w:pPr>
        <w:adjustRightInd w:val="0"/>
        <w:snapToGrid w:val="0"/>
        <w:spacing w:line="460" w:lineRule="exact"/>
        <w:ind w:right="-105" w:rightChars="-50"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13.2</w:t>
      </w:r>
      <w:r>
        <w:rPr>
          <w:rFonts w:hint="eastAsia" w:ascii="宋体" w:hAnsi="宋体" w:cs="宋体"/>
          <w:color w:val="000000" w:themeColor="text1"/>
          <w:kern w:val="0"/>
          <w:szCs w:val="21"/>
          <w:highlight w:val="none"/>
          <w14:textFill>
            <w14:solidFill>
              <w14:schemeClr w14:val="tx1"/>
            </w14:solidFill>
          </w14:textFill>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788F65B0">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13.2</w:t>
      </w:r>
      <w:r>
        <w:rPr>
          <w:rFonts w:hint="eastAsia" w:hAnsi="宋体" w:cs="宋体"/>
          <w:color w:val="000000" w:themeColor="text1"/>
          <w:kern w:val="0"/>
          <w:highlight w:val="none"/>
          <w14:textFill>
            <w14:solidFill>
              <w14:schemeClr w14:val="tx1"/>
            </w14:solidFill>
          </w14:textFill>
        </w:rPr>
        <w:t>提交首次响应文件截止时间前对磋商文件澄清或者修改内容，为磋商文件的组成部分。</w:t>
      </w:r>
    </w:p>
    <w:p w14:paraId="5EB08484">
      <w:pPr>
        <w:adjustRightInd w:val="0"/>
        <w:snapToGrid w:val="0"/>
        <w:spacing w:line="460" w:lineRule="exact"/>
        <w:ind w:left="902" w:hanging="902" w:hangingChars="37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三、响应文件</w:t>
      </w:r>
    </w:p>
    <w:p w14:paraId="256DD0AB">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14.一般要求</w:t>
      </w:r>
    </w:p>
    <w:p w14:paraId="70F2FE1B">
      <w:pPr>
        <w:adjustRightInd w:val="0"/>
        <w:snapToGrid w:val="0"/>
        <w:spacing w:line="460" w:lineRule="exact"/>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14.1 供应商应仔细阅读磋商文件的所有内容，按磋商文件的要求编制响应文件，并保证所提供的全部资料的真实性，以使其响应文件对磋商文件做出实质性的响应。</w:t>
      </w:r>
    </w:p>
    <w:p w14:paraId="6B199776">
      <w:pPr>
        <w:adjustRightInd w:val="0"/>
        <w:snapToGrid w:val="0"/>
        <w:spacing w:line="460" w:lineRule="exact"/>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14.2 </w:t>
      </w:r>
      <w:r>
        <w:rPr>
          <w:rFonts w:hint="eastAsia" w:ascii="宋体" w:hAnsi="宋体"/>
          <w:color w:val="000000" w:themeColor="text1"/>
          <w:szCs w:val="21"/>
          <w:highlight w:val="none"/>
          <w14:textFill>
            <w14:solidFill>
              <w14:schemeClr w14:val="tx1"/>
            </w14:solidFill>
          </w14:textFill>
        </w:rPr>
        <w:t>供应商提交的响应文件及供应商与采购人或采购代理机构、磋商小组就有关磋商的所有来往函电均使用中文。供应商可以提交其他语言的资料，但应附中文注释，在有差异时以中文为准。</w:t>
      </w:r>
    </w:p>
    <w:p w14:paraId="314EDFA0">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 xml:space="preserve">14.3 </w:t>
      </w:r>
      <w:r>
        <w:rPr>
          <w:rFonts w:hint="eastAsia" w:hAnsi="宋体"/>
          <w:color w:val="000000" w:themeColor="text1"/>
          <w:highlight w:val="none"/>
          <w14:textFill>
            <w14:solidFill>
              <w14:schemeClr w14:val="tx1"/>
            </w14:solidFill>
          </w14:textFill>
        </w:rPr>
        <w:t>计量单位应使用我国法定计量单位，未列明时应默认为我国法定计量单位。</w:t>
      </w:r>
    </w:p>
    <w:p w14:paraId="48A7B621">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14.4 响应文件应采用书面形式，电报、传真、电子邮件形式的响应文件概不接受。</w:t>
      </w:r>
    </w:p>
    <w:p w14:paraId="7A6C0296">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14.5 供应商应按磋商文件中提供的响应文件格式填写。</w:t>
      </w:r>
    </w:p>
    <w:p w14:paraId="7D66710E">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15.</w:t>
      </w:r>
      <w:r>
        <w:rPr>
          <w:rFonts w:hint="eastAsia" w:ascii="宋体" w:hAnsi="宋体"/>
          <w:b/>
          <w:color w:val="000000" w:themeColor="text1"/>
          <w:szCs w:val="21"/>
          <w:highlight w:val="none"/>
          <w14:textFill>
            <w14:solidFill>
              <w14:schemeClr w14:val="tx1"/>
            </w14:solidFill>
          </w14:textFill>
        </w:rPr>
        <w:t>响应文件</w:t>
      </w:r>
      <w:r>
        <w:rPr>
          <w:rFonts w:hint="eastAsia" w:ascii="宋体" w:hAnsi="宋体"/>
          <w:b/>
          <w:bCs/>
          <w:color w:val="000000" w:themeColor="text1"/>
          <w:szCs w:val="21"/>
          <w:highlight w:val="none"/>
          <w14:textFill>
            <w14:solidFill>
              <w14:schemeClr w14:val="tx1"/>
            </w14:solidFill>
          </w14:textFill>
        </w:rPr>
        <w:t>的组成</w:t>
      </w:r>
    </w:p>
    <w:p w14:paraId="3DA2BD5B">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15.1 响应文件包括下列内容：</w:t>
      </w:r>
      <w:r>
        <w:rPr>
          <w:rFonts w:hint="eastAsia" w:ascii="宋体" w:hAnsi="宋体"/>
          <w:color w:val="000000" w:themeColor="text1"/>
          <w:szCs w:val="21"/>
          <w:highlight w:val="none"/>
          <w14:textFill>
            <w14:solidFill>
              <w14:schemeClr w14:val="tx1"/>
            </w14:solidFill>
          </w14:textFill>
        </w:rPr>
        <w:t xml:space="preserve"> </w:t>
      </w:r>
    </w:p>
    <w:p w14:paraId="1DA7CE14">
      <w:pPr>
        <w:pStyle w:val="26"/>
        <w:adjustRightInd w:val="0"/>
        <w:snapToGrid w:val="0"/>
        <w:spacing w:line="460" w:lineRule="exact"/>
        <w:ind w:firstLine="420" w:firstLineChars="200"/>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（1）磋商响应声明</w:t>
      </w:r>
    </w:p>
    <w:p w14:paraId="0A06A27D">
      <w:pPr>
        <w:pStyle w:val="26"/>
        <w:adjustRightInd w:val="0"/>
        <w:snapToGrid w:val="0"/>
        <w:spacing w:line="460" w:lineRule="exact"/>
        <w:ind w:firstLine="420" w:firstLineChars="200"/>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（2）保证金缴纳证明材料</w:t>
      </w:r>
    </w:p>
    <w:p w14:paraId="1A4E383F">
      <w:pPr>
        <w:pStyle w:val="26"/>
        <w:adjustRightInd w:val="0"/>
        <w:snapToGrid w:val="0"/>
        <w:spacing w:line="460" w:lineRule="exact"/>
        <w:ind w:firstLine="420" w:firstLineChars="200"/>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（3）供应商的资格证明文件</w:t>
      </w:r>
    </w:p>
    <w:p w14:paraId="178F993D">
      <w:pPr>
        <w:pStyle w:val="26"/>
        <w:adjustRightInd w:val="0"/>
        <w:snapToGrid w:val="0"/>
        <w:spacing w:line="460" w:lineRule="exact"/>
        <w:ind w:firstLine="420" w:firstLineChars="200"/>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（4）技术部分</w:t>
      </w:r>
    </w:p>
    <w:p w14:paraId="466316AD">
      <w:pPr>
        <w:pStyle w:val="26"/>
        <w:adjustRightInd w:val="0"/>
        <w:snapToGrid w:val="0"/>
        <w:spacing w:line="460" w:lineRule="exact"/>
        <w:ind w:firstLine="420" w:firstLineChars="200"/>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（5）商务部分</w:t>
      </w:r>
    </w:p>
    <w:p w14:paraId="2E3FE6B2">
      <w:pPr>
        <w:pStyle w:val="26"/>
        <w:adjustRightInd w:val="0"/>
        <w:snapToGrid w:val="0"/>
        <w:spacing w:line="460" w:lineRule="exact"/>
        <w:ind w:firstLine="420" w:firstLineChars="200"/>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（6）技术/商务响应与偏离表</w:t>
      </w:r>
    </w:p>
    <w:p w14:paraId="41A31D88">
      <w:pPr>
        <w:pStyle w:val="26"/>
        <w:adjustRightInd w:val="0"/>
        <w:snapToGrid w:val="0"/>
        <w:spacing w:line="460" w:lineRule="exact"/>
        <w:ind w:firstLine="420" w:firstLineChars="200"/>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（7）提供政府采购政策产品等证明材料</w:t>
      </w:r>
    </w:p>
    <w:p w14:paraId="7952D20A">
      <w:pPr>
        <w:pStyle w:val="26"/>
        <w:adjustRightInd w:val="0"/>
        <w:snapToGrid w:val="0"/>
        <w:spacing w:line="460" w:lineRule="exact"/>
        <w:ind w:firstLine="420" w:firstLineChars="200"/>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（8）报价一览表</w:t>
      </w:r>
    </w:p>
    <w:p w14:paraId="728E2C5A">
      <w:pPr>
        <w:pStyle w:val="26"/>
        <w:adjustRightInd w:val="0"/>
        <w:snapToGrid w:val="0"/>
        <w:spacing w:line="460" w:lineRule="exact"/>
        <w:ind w:firstLine="420" w:firstLineChars="200"/>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（9）供应商认为需要提供的其它资料</w:t>
      </w:r>
    </w:p>
    <w:p w14:paraId="40CA13A6">
      <w:pPr>
        <w:pStyle w:val="26"/>
        <w:adjustRightInd w:val="0"/>
        <w:snapToGrid w:val="0"/>
        <w:spacing w:line="460" w:lineRule="exact"/>
        <w:ind w:firstLine="420" w:firstLineChars="200"/>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（1</w:t>
      </w:r>
      <w:r>
        <w:rPr>
          <w:rFonts w:hAnsi="宋体"/>
          <w:bCs/>
          <w:color w:val="000000" w:themeColor="text1"/>
          <w:highlight w:val="none"/>
          <w14:textFill>
            <w14:solidFill>
              <w14:schemeClr w14:val="tx1"/>
            </w14:solidFill>
          </w14:textFill>
        </w:rPr>
        <w:t>0</w:t>
      </w:r>
      <w:r>
        <w:rPr>
          <w:rFonts w:hint="eastAsia" w:hAnsi="宋体"/>
          <w:bCs/>
          <w:color w:val="000000" w:themeColor="text1"/>
          <w:highlight w:val="none"/>
          <w14:textFill>
            <w14:solidFill>
              <w14:schemeClr w14:val="tx1"/>
            </w14:solidFill>
          </w14:textFill>
        </w:rPr>
        <w:t>）最后报价</w:t>
      </w:r>
    </w:p>
    <w:p w14:paraId="2E5AE413">
      <w:pPr>
        <w:adjustRightInd w:val="0"/>
        <w:snapToGrid w:val="0"/>
        <w:spacing w:line="460" w:lineRule="exact"/>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15.2在磋商过程中，</w:t>
      </w:r>
      <w:r>
        <w:rPr>
          <w:rFonts w:hint="eastAsia" w:ascii="宋体" w:hAnsi="宋体"/>
          <w:color w:val="000000" w:themeColor="text1"/>
          <w:szCs w:val="21"/>
          <w:highlight w:val="none"/>
          <w14:textFill>
            <w14:solidFill>
              <w14:schemeClr w14:val="tx1"/>
            </w14:solidFill>
          </w14:textFill>
        </w:rPr>
        <w:t>供应商</w:t>
      </w:r>
      <w:r>
        <w:rPr>
          <w:rFonts w:hint="eastAsia" w:ascii="宋体" w:hAnsi="宋体"/>
          <w:color w:val="000000" w:themeColor="text1"/>
          <w:highlight w:val="none"/>
          <w14:textFill>
            <w14:solidFill>
              <w14:schemeClr w14:val="tx1"/>
            </w14:solidFill>
          </w14:textFill>
        </w:rPr>
        <w:t>根据</w:t>
      </w:r>
      <w:r>
        <w:rPr>
          <w:rFonts w:hint="eastAsia" w:ascii="宋体" w:hAnsi="宋体" w:cs="宋体"/>
          <w:color w:val="000000" w:themeColor="text1"/>
          <w:kern w:val="0"/>
          <w:szCs w:val="21"/>
          <w:highlight w:val="none"/>
          <w14:textFill>
            <w14:solidFill>
              <w14:schemeClr w14:val="tx1"/>
            </w14:solidFill>
          </w14:textFill>
        </w:rPr>
        <w:t>磋商小组</w:t>
      </w:r>
      <w:r>
        <w:rPr>
          <w:rFonts w:hint="eastAsia" w:ascii="宋体" w:hAnsi="宋体"/>
          <w:bCs/>
          <w:color w:val="000000" w:themeColor="text1"/>
          <w:szCs w:val="21"/>
          <w:highlight w:val="none"/>
          <w14:textFill>
            <w14:solidFill>
              <w14:schemeClr w14:val="tx1"/>
            </w14:solidFill>
          </w14:textFill>
        </w:rPr>
        <w:t>书面形式要求</w:t>
      </w:r>
      <w:r>
        <w:rPr>
          <w:rFonts w:hint="eastAsia" w:ascii="宋体" w:hAnsi="宋体" w:cs="宋体"/>
          <w:color w:val="000000" w:themeColor="text1"/>
          <w:kern w:val="0"/>
          <w:szCs w:val="21"/>
          <w:highlight w:val="none"/>
          <w14:textFill>
            <w14:solidFill>
              <w14:schemeClr w14:val="tx1"/>
            </w14:solidFill>
          </w14:textFill>
        </w:rPr>
        <w:t>提交的</w:t>
      </w:r>
      <w:r>
        <w:rPr>
          <w:rFonts w:hint="eastAsia" w:ascii="宋体" w:hAnsi="宋体"/>
          <w:color w:val="000000" w:themeColor="text1"/>
          <w:highlight w:val="none"/>
          <w14:textFill>
            <w14:solidFill>
              <w14:schemeClr w14:val="tx1"/>
            </w14:solidFill>
          </w14:textFill>
        </w:rPr>
        <w:t>最后报价(或者</w:t>
      </w:r>
      <w:r>
        <w:rPr>
          <w:rFonts w:hint="eastAsia" w:ascii="宋体" w:hAnsi="宋体"/>
          <w:bCs/>
          <w:color w:val="000000" w:themeColor="text1"/>
          <w:szCs w:val="21"/>
          <w:highlight w:val="none"/>
          <w14:textFill>
            <w14:solidFill>
              <w14:schemeClr w14:val="tx1"/>
            </w14:solidFill>
          </w14:textFill>
        </w:rPr>
        <w:t>重</w:t>
      </w:r>
      <w:r>
        <w:rPr>
          <w:rFonts w:hint="eastAsia" w:ascii="宋体" w:hAnsi="宋体" w:cs="宋体"/>
          <w:color w:val="000000" w:themeColor="text1"/>
          <w:kern w:val="0"/>
          <w:szCs w:val="21"/>
          <w:highlight w:val="none"/>
          <w14:textFill>
            <w14:solidFill>
              <w14:schemeClr w14:val="tx1"/>
            </w14:solidFill>
          </w14:textFill>
        </w:rPr>
        <w:t>新提交的响应文件和</w:t>
      </w:r>
      <w:r>
        <w:rPr>
          <w:rFonts w:hint="eastAsia" w:ascii="宋体" w:hAnsi="宋体"/>
          <w:color w:val="000000" w:themeColor="text1"/>
          <w:highlight w:val="none"/>
          <w14:textFill>
            <w14:solidFill>
              <w14:schemeClr w14:val="tx1"/>
            </w14:solidFill>
          </w14:textFill>
        </w:rPr>
        <w:t>最后报价)是</w:t>
      </w:r>
      <w:r>
        <w:rPr>
          <w:rFonts w:hint="eastAsia" w:ascii="宋体" w:hAnsi="宋体"/>
          <w:color w:val="000000" w:themeColor="text1"/>
          <w:szCs w:val="21"/>
          <w:highlight w:val="none"/>
          <w14:textFill>
            <w14:solidFill>
              <w14:schemeClr w14:val="tx1"/>
            </w14:solidFill>
          </w14:textFill>
        </w:rPr>
        <w:t>响应文件</w:t>
      </w:r>
      <w:r>
        <w:rPr>
          <w:rFonts w:hint="eastAsia" w:ascii="宋体" w:hAnsi="宋体"/>
          <w:color w:val="000000" w:themeColor="text1"/>
          <w:highlight w:val="none"/>
          <w14:textFill>
            <w14:solidFill>
              <w14:schemeClr w14:val="tx1"/>
            </w14:solidFill>
          </w14:textFill>
        </w:rPr>
        <w:t>的有效组成部分。</w:t>
      </w:r>
    </w:p>
    <w:p w14:paraId="1ECF4986">
      <w:pPr>
        <w:adjustRightInd w:val="0"/>
        <w:snapToGrid w:val="0"/>
        <w:spacing w:line="460" w:lineRule="exact"/>
        <w:ind w:firstLine="420" w:firstLineChars="200"/>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15.3</w:t>
      </w:r>
      <w:r>
        <w:rPr>
          <w:rFonts w:hint="eastAsia" w:ascii="宋体" w:hAnsi="宋体" w:cs="宋体"/>
          <w:color w:val="000000" w:themeColor="text1"/>
          <w:kern w:val="0"/>
          <w:szCs w:val="21"/>
          <w:highlight w:val="none"/>
          <w14:textFill>
            <w14:solidFill>
              <w14:schemeClr w14:val="tx1"/>
            </w14:solidFill>
          </w14:textFill>
        </w:rPr>
        <w:t>磋商文件规定可能发生实质性变动的，供应商应当在</w:t>
      </w:r>
      <w:r>
        <w:rPr>
          <w:rFonts w:hint="eastAsia" w:ascii="宋体" w:hAnsi="宋体"/>
          <w:color w:val="000000" w:themeColor="text1"/>
          <w:highlight w:val="none"/>
          <w14:textFill>
            <w14:solidFill>
              <w14:schemeClr w14:val="tx1"/>
            </w14:solidFill>
          </w14:textFill>
        </w:rPr>
        <w:t>《技术/商务响应与偏离表》中对应内容注明。</w:t>
      </w:r>
    </w:p>
    <w:p w14:paraId="6BDD261E">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15.4</w:t>
      </w:r>
      <w:r>
        <w:rPr>
          <w:rFonts w:hint="eastAsia" w:ascii="宋体" w:hAnsi="宋体"/>
          <w:color w:val="000000" w:themeColor="text1"/>
          <w:szCs w:val="21"/>
          <w:highlight w:val="none"/>
          <w14:textFill>
            <w14:solidFill>
              <w14:schemeClr w14:val="tx1"/>
            </w14:solidFill>
          </w14:textFill>
        </w:rPr>
        <w:t>根据《政府采购法》第四十二条的规定，供应商无论成交与否，其响应文件不予退还。</w:t>
      </w:r>
    </w:p>
    <w:p w14:paraId="39834AE2">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16.报价</w:t>
      </w:r>
    </w:p>
    <w:p w14:paraId="49250945">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16.1供应商应当根据磋商文件要求和范围，以</w:t>
      </w:r>
      <w:r>
        <w:rPr>
          <w:rFonts w:hint="eastAsia" w:ascii="宋体" w:hAnsi="宋体"/>
          <w:bCs/>
          <w:color w:val="000000" w:themeColor="text1"/>
          <w:szCs w:val="21"/>
          <w:highlight w:val="none"/>
          <w14:textFill>
            <w14:solidFill>
              <w14:schemeClr w14:val="tx1"/>
            </w14:solidFill>
          </w14:textFill>
        </w:rPr>
        <w:t>人民币</w:t>
      </w:r>
      <w:r>
        <w:rPr>
          <w:rFonts w:hint="eastAsia" w:ascii="宋体" w:hAnsi="宋体"/>
          <w:color w:val="000000" w:themeColor="text1"/>
          <w:szCs w:val="21"/>
          <w:highlight w:val="none"/>
          <w14:textFill>
            <w14:solidFill>
              <w14:schemeClr w14:val="tx1"/>
            </w14:solidFill>
          </w14:textFill>
        </w:rPr>
        <w:t>报价，以元为单位，保留小数点后两位。</w:t>
      </w:r>
    </w:p>
    <w:p w14:paraId="37EC5B84">
      <w:pPr>
        <w:pStyle w:val="96"/>
        <w:adjustRightInd w:val="0"/>
        <w:snapToGrid w:val="0"/>
        <w:spacing w:line="460" w:lineRule="exact"/>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16.2供应商应按第五章 响应文件组成格式填写。</w:t>
      </w:r>
    </w:p>
    <w:p w14:paraId="4A3EF08E">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16.3响应文件中标明的价格在合同执行过程中是固定不变的，不得以任何理由予以变更。以可变动价格提交的报价将被认为是非实质响应而被拒绝。</w:t>
      </w:r>
    </w:p>
    <w:p w14:paraId="527442F7">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16.4</w:t>
      </w:r>
      <w:r>
        <w:rPr>
          <w:rFonts w:hint="eastAsia" w:hAnsi="宋体" w:cs="宋体"/>
          <w:color w:val="000000" w:themeColor="text1"/>
          <w:kern w:val="0"/>
          <w:highlight w:val="none"/>
          <w:lang w:val="zh-CN"/>
          <w14:textFill>
            <w14:solidFill>
              <w14:schemeClr w14:val="tx1"/>
            </w14:solidFill>
          </w14:textFill>
        </w:rPr>
        <w:t>供应商</w:t>
      </w:r>
      <w:r>
        <w:rPr>
          <w:rFonts w:hint="eastAsia" w:hAnsi="宋体"/>
          <w:color w:val="000000" w:themeColor="text1"/>
          <w:highlight w:val="none"/>
          <w14:textFill>
            <w14:solidFill>
              <w14:schemeClr w14:val="tx1"/>
            </w14:solidFill>
          </w14:textFill>
        </w:rPr>
        <w:t>的报价不得超过采购项目预算，采购项目预算或其计算方法见</w:t>
      </w:r>
      <w:r>
        <w:rPr>
          <w:rFonts w:hint="eastAsia" w:hAnsi="宋体"/>
          <w:b/>
          <w:color w:val="000000" w:themeColor="text1"/>
          <w:highlight w:val="none"/>
          <w14:textFill>
            <w14:solidFill>
              <w14:schemeClr w14:val="tx1"/>
            </w14:solidFill>
          </w14:textFill>
        </w:rPr>
        <w:t>磋商须知前附表</w:t>
      </w:r>
      <w:r>
        <w:rPr>
          <w:rFonts w:hint="eastAsia" w:hAnsi="宋体"/>
          <w:color w:val="000000" w:themeColor="text1"/>
          <w:highlight w:val="none"/>
          <w14:textFill>
            <w14:solidFill>
              <w14:schemeClr w14:val="tx1"/>
            </w14:solidFill>
          </w14:textFill>
        </w:rPr>
        <w:t>。</w:t>
      </w:r>
    </w:p>
    <w:p w14:paraId="43CCCD3E">
      <w:pPr>
        <w:pStyle w:val="26"/>
        <w:adjustRightInd w:val="0"/>
        <w:snapToGrid w:val="0"/>
        <w:spacing w:line="460" w:lineRule="exact"/>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17.供应商符合磋商文件规定的证明文件</w:t>
      </w:r>
    </w:p>
    <w:p w14:paraId="277EA978">
      <w:pPr>
        <w:adjustRightInd w:val="0"/>
        <w:snapToGrid w:val="0"/>
        <w:spacing w:line="460" w:lineRule="exact"/>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17.1供应商应提交满足本章第3.1款规定的资格条件要求的证明文件,该证明文件作为响应文件的一部分。</w:t>
      </w:r>
    </w:p>
    <w:p w14:paraId="5392C5E6">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17.2如果供应商为联合体，则应提交联合体各方资格证明文件、联合体协议。否则，在评审时将其视为无效响应。</w:t>
      </w:r>
    </w:p>
    <w:p w14:paraId="727C315C">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18.</w:t>
      </w:r>
      <w:r>
        <w:rPr>
          <w:rFonts w:hint="eastAsia" w:ascii="宋体" w:hAnsi="宋体"/>
          <w:color w:val="000000" w:themeColor="text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磋商保证金</w:t>
      </w:r>
    </w:p>
    <w:p w14:paraId="77EBF04C">
      <w:pPr>
        <w:pStyle w:val="26"/>
        <w:adjustRightInd w:val="0"/>
        <w:snapToGrid w:val="0"/>
        <w:spacing w:line="460" w:lineRule="exact"/>
        <w:ind w:firstLine="420" w:firstLineChars="200"/>
        <w:rPr>
          <w:rFonts w:hAnsi="宋体"/>
          <w:bCs/>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18.1</w:t>
      </w:r>
      <w:r>
        <w:rPr>
          <w:rFonts w:hint="eastAsia" w:hAnsi="宋体"/>
          <w:b/>
          <w:color w:val="000000" w:themeColor="text1"/>
          <w:highlight w:val="none"/>
          <w14:textFill>
            <w14:solidFill>
              <w14:schemeClr w14:val="tx1"/>
            </w14:solidFill>
          </w14:textFill>
        </w:rPr>
        <w:t>磋商须知前附表</w:t>
      </w:r>
      <w:r>
        <w:rPr>
          <w:rFonts w:hint="eastAsia" w:hAnsi="宋体"/>
          <w:color w:val="000000" w:themeColor="text1"/>
          <w:highlight w:val="none"/>
          <w14:textFill>
            <w14:solidFill>
              <w14:schemeClr w14:val="tx1"/>
            </w14:solidFill>
          </w14:textFill>
        </w:rPr>
        <w:t>规定交纳磋商</w:t>
      </w:r>
      <w:r>
        <w:rPr>
          <w:rFonts w:hint="eastAsia" w:hAnsi="宋体"/>
          <w:bCs/>
          <w:color w:val="000000" w:themeColor="text1"/>
          <w:highlight w:val="none"/>
          <w14:textFill>
            <w14:solidFill>
              <w14:schemeClr w14:val="tx1"/>
            </w14:solidFill>
          </w14:textFill>
        </w:rPr>
        <w:t>保证金的</w:t>
      </w:r>
      <w:r>
        <w:rPr>
          <w:rFonts w:hint="eastAsia" w:hAnsi="宋体"/>
          <w:color w:val="000000" w:themeColor="text1"/>
          <w:highlight w:val="none"/>
          <w14:textFill>
            <w14:solidFill>
              <w14:schemeClr w14:val="tx1"/>
            </w14:solidFill>
          </w14:textFill>
        </w:rPr>
        <w:t>，应按</w:t>
      </w:r>
      <w:r>
        <w:rPr>
          <w:rFonts w:hint="eastAsia" w:hAnsi="宋体"/>
          <w:b/>
          <w:color w:val="000000" w:themeColor="text1"/>
          <w:highlight w:val="none"/>
          <w14:textFill>
            <w14:solidFill>
              <w14:schemeClr w14:val="tx1"/>
            </w14:solidFill>
          </w14:textFill>
        </w:rPr>
        <w:t>磋商须知前附表</w:t>
      </w:r>
      <w:r>
        <w:rPr>
          <w:rFonts w:hint="eastAsia" w:hAnsi="宋体"/>
          <w:color w:val="000000" w:themeColor="text1"/>
          <w:highlight w:val="none"/>
          <w14:textFill>
            <w14:solidFill>
              <w14:schemeClr w14:val="tx1"/>
            </w14:solidFill>
          </w14:textFill>
        </w:rPr>
        <w:t>规定的磋商</w:t>
      </w:r>
      <w:r>
        <w:rPr>
          <w:rFonts w:hint="eastAsia" w:hAnsi="宋体"/>
          <w:bCs/>
          <w:color w:val="000000" w:themeColor="text1"/>
          <w:highlight w:val="none"/>
          <w14:textFill>
            <w14:solidFill>
              <w14:schemeClr w14:val="tx1"/>
            </w14:solidFill>
          </w14:textFill>
        </w:rPr>
        <w:t>保证金形式交纳，不得以现金方式交纳</w:t>
      </w:r>
      <w:r>
        <w:rPr>
          <w:rFonts w:hint="eastAsia" w:hAnsi="宋体"/>
          <w:color w:val="000000" w:themeColor="text1"/>
          <w:highlight w:val="none"/>
          <w14:textFill>
            <w14:solidFill>
              <w14:schemeClr w14:val="tx1"/>
            </w14:solidFill>
          </w14:textFill>
        </w:rPr>
        <w:t>，在</w:t>
      </w:r>
      <w:r>
        <w:rPr>
          <w:rFonts w:hint="eastAsia" w:hAnsi="宋体" w:cs="宋体"/>
          <w:color w:val="000000" w:themeColor="text1"/>
          <w:kern w:val="0"/>
          <w:highlight w:val="none"/>
          <w14:textFill>
            <w14:solidFill>
              <w14:schemeClr w14:val="tx1"/>
            </w14:solidFill>
          </w14:textFill>
        </w:rPr>
        <w:t>提交首次响应文件截止时间</w:t>
      </w:r>
      <w:r>
        <w:rPr>
          <w:rFonts w:hint="eastAsia" w:hAnsi="宋体"/>
          <w:color w:val="000000" w:themeColor="text1"/>
          <w:highlight w:val="none"/>
          <w14:textFill>
            <w14:solidFill>
              <w14:schemeClr w14:val="tx1"/>
            </w14:solidFill>
          </w14:textFill>
        </w:rPr>
        <w:t>前，</w:t>
      </w:r>
      <w:r>
        <w:rPr>
          <w:rFonts w:hint="eastAsia" w:hAnsi="宋体"/>
          <w:bCs/>
          <w:color w:val="000000" w:themeColor="text1"/>
          <w:highlight w:val="none"/>
          <w14:textFill>
            <w14:solidFill>
              <w14:schemeClr w14:val="tx1"/>
            </w14:solidFill>
          </w14:textFill>
        </w:rPr>
        <w:t>向采购代理机构交纳不超过</w:t>
      </w:r>
      <w:r>
        <w:rPr>
          <w:rFonts w:hint="eastAsia" w:hAnsi="宋体" w:cs="宋体"/>
          <w:color w:val="000000" w:themeColor="text1"/>
          <w:kern w:val="0"/>
          <w:highlight w:val="none"/>
          <w:lang w:val="zh-CN"/>
          <w14:textFill>
            <w14:solidFill>
              <w14:schemeClr w14:val="tx1"/>
            </w14:solidFill>
          </w14:textFill>
        </w:rPr>
        <w:t>采购项目预算2﹪</w:t>
      </w:r>
      <w:r>
        <w:rPr>
          <w:rFonts w:hint="eastAsia" w:hAnsi="宋体"/>
          <w:bCs/>
          <w:color w:val="000000" w:themeColor="text1"/>
          <w:highlight w:val="none"/>
          <w14:textFill>
            <w14:solidFill>
              <w14:schemeClr w14:val="tx1"/>
            </w14:solidFill>
          </w14:textFill>
        </w:rPr>
        <w:t>的磋商保证金(数额采用四舍五入，计算至元)</w:t>
      </w:r>
      <w:r>
        <w:rPr>
          <w:rFonts w:hint="eastAsia" w:hAnsi="宋体"/>
          <w:color w:val="000000" w:themeColor="text1"/>
          <w:highlight w:val="none"/>
          <w14:textFill>
            <w14:solidFill>
              <w14:schemeClr w14:val="tx1"/>
            </w14:solidFill>
          </w14:textFill>
        </w:rPr>
        <w:t>。磋商</w:t>
      </w:r>
      <w:r>
        <w:rPr>
          <w:rFonts w:hint="eastAsia" w:hAnsi="宋体"/>
          <w:bCs/>
          <w:color w:val="000000" w:themeColor="text1"/>
          <w:highlight w:val="none"/>
          <w14:textFill>
            <w14:solidFill>
              <w14:schemeClr w14:val="tx1"/>
            </w14:solidFill>
          </w14:textFill>
        </w:rPr>
        <w:t>保证金有效期应当与</w:t>
      </w:r>
      <w:r>
        <w:rPr>
          <w:rFonts w:hint="eastAsia" w:hAnsi="宋体"/>
          <w:color w:val="000000" w:themeColor="text1"/>
          <w:highlight w:val="none"/>
          <w14:textFill>
            <w14:solidFill>
              <w14:schemeClr w14:val="tx1"/>
            </w14:solidFill>
          </w14:textFill>
        </w:rPr>
        <w:t>本章第19.1</w:t>
      </w:r>
      <w:r>
        <w:rPr>
          <w:rFonts w:hint="eastAsia" w:hAnsi="宋体" w:cs="宋体"/>
          <w:color w:val="000000" w:themeColor="text1"/>
          <w:kern w:val="0"/>
          <w:highlight w:val="none"/>
          <w:lang w:val="zh-CN"/>
          <w14:textFill>
            <w14:solidFill>
              <w14:schemeClr w14:val="tx1"/>
            </w14:solidFill>
          </w14:textFill>
        </w:rPr>
        <w:t>款</w:t>
      </w:r>
      <w:r>
        <w:rPr>
          <w:rFonts w:hint="eastAsia" w:hAnsi="宋体"/>
          <w:color w:val="000000" w:themeColor="text1"/>
          <w:highlight w:val="none"/>
          <w14:textFill>
            <w14:solidFill>
              <w14:schemeClr w14:val="tx1"/>
            </w14:solidFill>
          </w14:textFill>
        </w:rPr>
        <w:t>规定的</w:t>
      </w:r>
      <w:r>
        <w:rPr>
          <w:rFonts w:hint="eastAsia" w:hAnsi="宋体"/>
          <w:bCs/>
          <w:color w:val="000000" w:themeColor="text1"/>
          <w:highlight w:val="none"/>
          <w14:textFill>
            <w14:solidFill>
              <w14:schemeClr w14:val="tx1"/>
            </w14:solidFill>
          </w14:textFill>
        </w:rPr>
        <w:t>响应文件有效期一致。</w:t>
      </w:r>
    </w:p>
    <w:p w14:paraId="6C829CCC">
      <w:pPr>
        <w:adjustRightInd w:val="0"/>
        <w:snapToGrid w:val="0"/>
        <w:spacing w:line="460" w:lineRule="exact"/>
        <w:ind w:firstLine="420" w:firstLineChars="200"/>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18.2</w:t>
      </w:r>
      <w:r>
        <w:rPr>
          <w:rFonts w:hint="eastAsia" w:ascii="宋体" w:hAnsi="宋体" w:cs="宋体"/>
          <w:color w:val="000000" w:themeColor="text1"/>
          <w:kern w:val="0"/>
          <w:szCs w:val="21"/>
          <w:highlight w:val="none"/>
          <w:lang w:val="zh-CN"/>
          <w14:textFill>
            <w14:solidFill>
              <w14:schemeClr w14:val="tx1"/>
            </w14:solidFill>
          </w14:textFill>
        </w:rPr>
        <w:t>供应商为联合体的，可以由联合体中的一方或者共同交纳磋商保证金，其交纳的磋商保证金，对联合体各方均具有约束力。</w:t>
      </w:r>
    </w:p>
    <w:p w14:paraId="3316ACE7">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18.3供应商未按照磋商文件要求提交磋商保证金的，响应无效。</w:t>
      </w:r>
    </w:p>
    <w:p w14:paraId="527AE22B">
      <w:pPr>
        <w:pStyle w:val="26"/>
        <w:tabs>
          <w:tab w:val="left" w:pos="6300"/>
        </w:tabs>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18.4采购代理机构在成交通知书发出后5个工作日内退还未成交供应商的磋商保证金；在采购合同签定后5个工作日内退还成交供应商的磋商保证金，但因供应商自身原因导致无法及时退还的除外。</w:t>
      </w:r>
    </w:p>
    <w:p w14:paraId="06A81D46">
      <w:pPr>
        <w:pStyle w:val="26"/>
        <w:adjustRightInd w:val="0"/>
        <w:snapToGrid w:val="0"/>
        <w:spacing w:line="460" w:lineRule="exact"/>
        <w:ind w:firstLine="420" w:firstLineChars="200"/>
        <w:rPr>
          <w:rFonts w:hAnsi="宋体"/>
          <w:color w:val="000000" w:themeColor="text1"/>
          <w:kern w:val="0"/>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18.5 </w:t>
      </w:r>
      <w:r>
        <w:rPr>
          <w:rFonts w:hint="eastAsia" w:hAnsi="宋体"/>
          <w:color w:val="000000" w:themeColor="text1"/>
          <w:kern w:val="0"/>
          <w:highlight w:val="none"/>
          <w14:textFill>
            <w14:solidFill>
              <w14:schemeClr w14:val="tx1"/>
            </w14:solidFill>
          </w14:textFill>
        </w:rPr>
        <w:t>有下列情形之一的，磋商保证金不予退还，并上缴本级财政国库：</w:t>
      </w:r>
    </w:p>
    <w:p w14:paraId="7E734638">
      <w:pPr>
        <w:widowControl/>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（1）供应商在提交首次响应文件截止时间后撤回响应文件的；</w:t>
      </w:r>
    </w:p>
    <w:p w14:paraId="78857B0E">
      <w:pPr>
        <w:widowControl/>
        <w:adjustRightInd w:val="0"/>
        <w:snapToGrid w:val="0"/>
        <w:spacing w:line="460" w:lineRule="exact"/>
        <w:ind w:firstLine="420" w:firstLineChars="20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（2）供应商在响应文件中提供虚假资料的；</w:t>
      </w:r>
    </w:p>
    <w:p w14:paraId="091A3929">
      <w:pPr>
        <w:widowControl/>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（3）</w:t>
      </w:r>
      <w:r>
        <w:rPr>
          <w:rFonts w:hint="eastAsia" w:ascii="宋体" w:hAnsi="宋体"/>
          <w:color w:val="000000" w:themeColor="text1"/>
          <w:highlight w:val="none"/>
          <w14:textFill>
            <w14:solidFill>
              <w14:schemeClr w14:val="tx1"/>
            </w14:solidFill>
          </w14:textFill>
        </w:rPr>
        <w:t>确定成交结果后，无正当理由放弃成交资格的；</w:t>
      </w:r>
    </w:p>
    <w:p w14:paraId="5BFDE230">
      <w:pPr>
        <w:widowControl/>
        <w:adjustRightInd w:val="0"/>
        <w:snapToGrid w:val="0"/>
        <w:spacing w:line="460" w:lineRule="exact"/>
        <w:ind w:firstLine="525" w:firstLineChars="25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 除因不可抗力或磋商文件认可的情形以外，成交供应商不与采购人签订合同的；</w:t>
      </w:r>
    </w:p>
    <w:p w14:paraId="3E7DD02D">
      <w:pPr>
        <w:widowControl/>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（5）供应商与采购人、其他供应商或者采购代理机构恶意串通的；</w:t>
      </w:r>
    </w:p>
    <w:p w14:paraId="585AC5F1">
      <w:pPr>
        <w:widowControl/>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（6）磋商文件规定的其他情形。</w:t>
      </w:r>
    </w:p>
    <w:p w14:paraId="4C6933BA">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19.</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响应文件</w:t>
      </w:r>
      <w:r>
        <w:rPr>
          <w:rFonts w:hint="eastAsia" w:ascii="宋体" w:hAnsi="宋体"/>
          <w:b/>
          <w:color w:val="000000" w:themeColor="text1"/>
          <w:szCs w:val="21"/>
          <w:highlight w:val="none"/>
          <w14:textFill>
            <w14:solidFill>
              <w14:schemeClr w14:val="tx1"/>
            </w14:solidFill>
          </w14:textFill>
        </w:rPr>
        <w:t>有效期</w:t>
      </w:r>
    </w:p>
    <w:p w14:paraId="2F0CF017">
      <w:pPr>
        <w:adjustRightInd w:val="0"/>
        <w:snapToGrid w:val="0"/>
        <w:spacing w:line="460" w:lineRule="exact"/>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19.1响应文件</w:t>
      </w:r>
      <w:r>
        <w:rPr>
          <w:rFonts w:hint="eastAsia" w:ascii="宋体" w:hAnsi="宋体"/>
          <w:color w:val="000000" w:themeColor="text1"/>
          <w:szCs w:val="21"/>
          <w:highlight w:val="none"/>
          <w14:textFill>
            <w14:solidFill>
              <w14:schemeClr w14:val="tx1"/>
            </w14:solidFill>
          </w14:textFill>
        </w:rPr>
        <w:t>有效期见</w:t>
      </w:r>
      <w:r>
        <w:rPr>
          <w:rFonts w:hint="eastAsia" w:ascii="宋体" w:hAnsi="宋体"/>
          <w:b/>
          <w:color w:val="000000" w:themeColor="text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，在此期间</w:t>
      </w:r>
      <w:r>
        <w:rPr>
          <w:rFonts w:hint="eastAsia" w:ascii="宋体" w:hAnsi="宋体"/>
          <w:color w:val="000000" w:themeColor="text1"/>
          <w:highlight w:val="none"/>
          <w14:textFill>
            <w14:solidFill>
              <w14:schemeClr w14:val="tx1"/>
            </w14:solidFill>
          </w14:textFill>
        </w:rPr>
        <w:t>响应</w:t>
      </w:r>
      <w:r>
        <w:rPr>
          <w:rFonts w:hint="eastAsia" w:ascii="宋体" w:hAnsi="宋体"/>
          <w:color w:val="000000" w:themeColor="text1"/>
          <w:szCs w:val="21"/>
          <w:highlight w:val="none"/>
          <w14:textFill>
            <w14:solidFill>
              <w14:schemeClr w14:val="tx1"/>
            </w14:solidFill>
          </w14:textFill>
        </w:rPr>
        <w:t>文件对供应商具有法律约束力，</w:t>
      </w:r>
      <w:r>
        <w:rPr>
          <w:rFonts w:hint="eastAsia" w:ascii="宋体" w:hAnsi="宋体" w:cs="Arial"/>
          <w:color w:val="000000" w:themeColor="text1"/>
          <w:highlight w:val="none"/>
          <w14:textFill>
            <w14:solidFill>
              <w14:schemeClr w14:val="tx1"/>
            </w14:solidFill>
          </w14:textFill>
        </w:rPr>
        <w:t>从</w:t>
      </w:r>
      <w:r>
        <w:rPr>
          <w:rFonts w:hint="eastAsia" w:ascii="宋体" w:hAnsi="宋体" w:cs="宋体"/>
          <w:color w:val="000000" w:themeColor="text1"/>
          <w:kern w:val="0"/>
          <w:szCs w:val="21"/>
          <w:highlight w:val="none"/>
          <w14:textFill>
            <w14:solidFill>
              <w14:schemeClr w14:val="tx1"/>
            </w14:solidFill>
          </w14:textFill>
        </w:rPr>
        <w:t>提交首次响应文件截止时间</w:t>
      </w:r>
      <w:r>
        <w:rPr>
          <w:rFonts w:hint="eastAsia" w:ascii="宋体" w:hAnsi="宋体"/>
          <w:color w:val="000000" w:themeColor="text1"/>
          <w:highlight w:val="none"/>
          <w14:textFill>
            <w14:solidFill>
              <w14:schemeClr w14:val="tx1"/>
            </w14:solidFill>
          </w14:textFill>
        </w:rPr>
        <w:t>之日</w:t>
      </w:r>
      <w:r>
        <w:rPr>
          <w:rFonts w:hint="eastAsia" w:ascii="宋体" w:hAnsi="宋体" w:cs="Arial"/>
          <w:color w:val="000000" w:themeColor="text1"/>
          <w:highlight w:val="none"/>
          <w14:textFill>
            <w14:solidFill>
              <w14:schemeClr w14:val="tx1"/>
            </w14:solidFill>
          </w14:textFill>
        </w:rPr>
        <w:t>起计算。</w:t>
      </w:r>
      <w:r>
        <w:rPr>
          <w:rFonts w:hint="eastAsia" w:ascii="宋体" w:hAnsi="宋体"/>
          <w:color w:val="000000" w:themeColor="text1"/>
          <w:highlight w:val="none"/>
          <w14:textFill>
            <w14:solidFill>
              <w14:schemeClr w14:val="tx1"/>
            </w14:solidFill>
          </w14:textFill>
        </w:rPr>
        <w:t>响应文件有效期不足的将被视为无效响应。</w:t>
      </w:r>
    </w:p>
    <w:p w14:paraId="4B489C02">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20.响应文件的签署及规定</w:t>
      </w:r>
    </w:p>
    <w:p w14:paraId="730BA6B4">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20.1响应文件的正本和副本应装订成册，正本一份，副本份数见</w:t>
      </w:r>
      <w:r>
        <w:rPr>
          <w:rFonts w:hint="eastAsia" w:hAnsi="宋体"/>
          <w:b/>
          <w:color w:val="000000" w:themeColor="text1"/>
          <w:highlight w:val="none"/>
          <w14:textFill>
            <w14:solidFill>
              <w14:schemeClr w14:val="tx1"/>
            </w14:solidFill>
          </w14:textFill>
        </w:rPr>
        <w:t>磋商须知前附表</w:t>
      </w:r>
      <w:r>
        <w:rPr>
          <w:rFonts w:hint="eastAsia" w:hAnsi="宋体"/>
          <w:color w:val="000000" w:themeColor="text1"/>
          <w:highlight w:val="none"/>
          <w14:textFill>
            <w14:solidFill>
              <w14:schemeClr w14:val="tx1"/>
            </w14:solidFill>
          </w14:textFill>
        </w:rPr>
        <w:t>。正本和副本的封面上应标记“正本”或“副本”的字样，当正本和副本有差异时，以正本为准。</w:t>
      </w:r>
    </w:p>
    <w:p w14:paraId="4AB552E4">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20.2 响应文件正本和副本应按磋商文件要求签章处盖单位章和由法定代表人或其委托代理人签字；任何加行、涂改、增删，应有法定代表人或其委托代理人在旁边签字。否则，将导致响应文件无效。</w:t>
      </w:r>
    </w:p>
    <w:p w14:paraId="47CFCF4E">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20.3 在磋商过程中，供应商按磋商文件规定和磋商小组要求</w:t>
      </w:r>
      <w:r>
        <w:rPr>
          <w:rFonts w:hint="eastAsia" w:hAnsi="宋体" w:cs="宋体"/>
          <w:color w:val="000000" w:themeColor="text1"/>
          <w:kern w:val="0"/>
          <w:highlight w:val="none"/>
          <w14:textFill>
            <w14:solidFill>
              <w14:schemeClr w14:val="tx1"/>
            </w14:solidFill>
          </w14:textFill>
        </w:rPr>
        <w:t>提交的</w:t>
      </w:r>
      <w:r>
        <w:rPr>
          <w:rFonts w:hint="eastAsia" w:hAnsi="宋体"/>
          <w:color w:val="000000" w:themeColor="text1"/>
          <w:highlight w:val="none"/>
          <w14:textFill>
            <w14:solidFill>
              <w14:schemeClr w14:val="tx1"/>
            </w14:solidFill>
          </w14:textFill>
        </w:rPr>
        <w:t>最后报价(或者</w:t>
      </w:r>
      <w:r>
        <w:rPr>
          <w:rFonts w:hint="eastAsia" w:hAnsi="宋体"/>
          <w:bCs/>
          <w:color w:val="000000" w:themeColor="text1"/>
          <w:highlight w:val="none"/>
          <w14:textFill>
            <w14:solidFill>
              <w14:schemeClr w14:val="tx1"/>
            </w14:solidFill>
          </w14:textFill>
        </w:rPr>
        <w:t>重</w:t>
      </w:r>
      <w:r>
        <w:rPr>
          <w:rFonts w:hint="eastAsia" w:hAnsi="宋体" w:cs="宋体"/>
          <w:color w:val="000000" w:themeColor="text1"/>
          <w:kern w:val="0"/>
          <w:highlight w:val="none"/>
          <w14:textFill>
            <w14:solidFill>
              <w14:schemeClr w14:val="tx1"/>
            </w14:solidFill>
          </w14:textFill>
        </w:rPr>
        <w:t>新提交的响应文件和</w:t>
      </w:r>
      <w:r>
        <w:rPr>
          <w:rFonts w:hint="eastAsia" w:hAnsi="宋体"/>
          <w:color w:val="000000" w:themeColor="text1"/>
          <w:highlight w:val="none"/>
          <w14:textFill>
            <w14:solidFill>
              <w14:schemeClr w14:val="tx1"/>
            </w14:solidFill>
          </w14:textFill>
        </w:rPr>
        <w:t>最后报价)，一式两份，可打印或用不退色墨水书写，但需经法定代表人或其委托代理人签字，</w:t>
      </w:r>
      <w:r>
        <w:rPr>
          <w:rFonts w:hint="eastAsia" w:hAnsi="宋体" w:cs="宋体"/>
          <w:color w:val="000000" w:themeColor="text1"/>
          <w:kern w:val="0"/>
          <w:highlight w:val="none"/>
          <w14:textFill>
            <w14:solidFill>
              <w14:schemeClr w14:val="tx1"/>
            </w14:solidFill>
          </w14:textFill>
        </w:rPr>
        <w:t>或者加盖供应商单位章</w:t>
      </w:r>
      <w:r>
        <w:rPr>
          <w:rFonts w:hint="eastAsia" w:hAnsi="宋体"/>
          <w:color w:val="000000" w:themeColor="text1"/>
          <w:highlight w:val="none"/>
          <w14:textFill>
            <w14:solidFill>
              <w14:schemeClr w14:val="tx1"/>
            </w14:solidFill>
          </w14:textFill>
        </w:rPr>
        <w:t>。否则，将导致响应文件无效。</w:t>
      </w:r>
    </w:p>
    <w:p w14:paraId="7E3032AF">
      <w:pPr>
        <w:adjustRightInd w:val="0"/>
        <w:snapToGrid w:val="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四、响应文件的递交</w:t>
      </w:r>
    </w:p>
    <w:p w14:paraId="125C0DDF">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21.</w:t>
      </w:r>
      <w:r>
        <w:rPr>
          <w:rFonts w:hint="eastAsia" w:ascii="宋体" w:hAnsi="宋体"/>
          <w:b/>
          <w:color w:val="000000" w:themeColor="text1"/>
          <w:szCs w:val="21"/>
          <w:highlight w:val="none"/>
          <w14:textFill>
            <w14:solidFill>
              <w14:schemeClr w14:val="tx1"/>
            </w14:solidFill>
          </w14:textFill>
        </w:rPr>
        <w:t>响应文件</w:t>
      </w:r>
      <w:r>
        <w:rPr>
          <w:rFonts w:hint="eastAsia" w:ascii="宋体" w:hAnsi="宋体"/>
          <w:b/>
          <w:bCs/>
          <w:color w:val="000000" w:themeColor="text1"/>
          <w:szCs w:val="21"/>
          <w:highlight w:val="none"/>
          <w14:textFill>
            <w14:solidFill>
              <w14:schemeClr w14:val="tx1"/>
            </w14:solidFill>
          </w14:textFill>
        </w:rPr>
        <w:t>的密封和标记</w:t>
      </w:r>
    </w:p>
    <w:p w14:paraId="1517D0B8">
      <w:pPr>
        <w:adjustRightInd w:val="0"/>
        <w:snapToGrid w:val="0"/>
        <w:spacing w:line="460" w:lineRule="exact"/>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21.1，响应文件应密封包装，加贴封条，并在封套的封口处盖投标人单位公章或者由法定代表人或委托代理人签字。</w:t>
      </w:r>
    </w:p>
    <w:p w14:paraId="597F7873">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21.2响应文件封套上应写明的内容见</w:t>
      </w:r>
      <w:r>
        <w:rPr>
          <w:rFonts w:hint="eastAsia" w:ascii="宋体" w:hAnsi="宋体"/>
          <w:b/>
          <w:color w:val="000000" w:themeColor="text1"/>
          <w:szCs w:val="21"/>
          <w:highlight w:val="none"/>
          <w14:textFill>
            <w14:solidFill>
              <w14:schemeClr w14:val="tx1"/>
            </w14:solidFill>
          </w14:textFill>
        </w:rPr>
        <w:t>磋商须知前附表。</w:t>
      </w:r>
    </w:p>
    <w:p w14:paraId="72AF9B5A">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21.3响应文件如果未按上述规定密封和加写标记，采购人或采购代理机构将拒绝接收。</w:t>
      </w:r>
    </w:p>
    <w:p w14:paraId="2013719D">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22.响应文件的</w:t>
      </w:r>
      <w:r>
        <w:rPr>
          <w:rFonts w:hint="eastAsia" w:ascii="宋体" w:hAnsi="宋体" w:cs="宋体"/>
          <w:b/>
          <w:color w:val="000000" w:themeColor="text1"/>
          <w:kern w:val="0"/>
          <w:szCs w:val="21"/>
          <w:highlight w:val="none"/>
          <w:lang w:val="zh-CN"/>
          <w14:textFill>
            <w14:solidFill>
              <w14:schemeClr w14:val="tx1"/>
            </w14:solidFill>
          </w14:textFill>
        </w:rPr>
        <w:t>补充、修改或者撤回</w:t>
      </w:r>
    </w:p>
    <w:p w14:paraId="0DB9B69B">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22.1</w:t>
      </w:r>
      <w:r>
        <w:rPr>
          <w:rFonts w:hint="eastAsia" w:hAnsi="宋体" w:cs="宋体"/>
          <w:color w:val="000000" w:themeColor="text1"/>
          <w:kern w:val="0"/>
          <w:highlight w:val="none"/>
          <w14:textFill>
            <w14:solidFill>
              <w14:schemeClr w14:val="tx1"/>
            </w14:solidFill>
          </w14:textFill>
        </w:rPr>
        <w:t>供应商在提交首次响应文件截止时间前，可以对所提交的首次响应文件进行补充、修改或者撤回，并书面通知采购人、采购代理机构。</w:t>
      </w:r>
      <w:r>
        <w:rPr>
          <w:rFonts w:hint="eastAsia" w:hAnsi="宋体"/>
          <w:color w:val="000000" w:themeColor="text1"/>
          <w:highlight w:val="none"/>
          <w14:textFill>
            <w14:solidFill>
              <w14:schemeClr w14:val="tx1"/>
            </w14:solidFill>
          </w14:textFill>
        </w:rPr>
        <w:t>该通知应有供应商法定代表人或其委托代理人签字。</w:t>
      </w:r>
    </w:p>
    <w:p w14:paraId="122EDF43">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22.2</w:t>
      </w:r>
      <w:r>
        <w:rPr>
          <w:rFonts w:hint="eastAsia" w:hAnsi="宋体" w:cs="宋体"/>
          <w:color w:val="000000" w:themeColor="text1"/>
          <w:kern w:val="0"/>
          <w:highlight w:val="none"/>
          <w:lang w:val="zh-CN"/>
          <w14:textFill>
            <w14:solidFill>
              <w14:schemeClr w14:val="tx1"/>
            </w14:solidFill>
          </w14:textFill>
        </w:rPr>
        <w:t>补充、修改的内容与响应文件不一致时，以补充、修改的内容为准。</w:t>
      </w:r>
    </w:p>
    <w:p w14:paraId="440BD2E5">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23.响应文件的递交与接收</w:t>
      </w:r>
    </w:p>
    <w:p w14:paraId="10125581">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23.1 供应商应在</w:t>
      </w:r>
      <w:r>
        <w:rPr>
          <w:rFonts w:hint="eastAsia" w:ascii="宋体" w:hAnsi="宋体" w:cs="宋体"/>
          <w:color w:val="000000" w:themeColor="text1"/>
          <w:kern w:val="0"/>
          <w:szCs w:val="21"/>
          <w:highlight w:val="none"/>
          <w14:textFill>
            <w14:solidFill>
              <w14:schemeClr w14:val="tx1"/>
            </w14:solidFill>
          </w14:textFill>
        </w:rPr>
        <w:t>提交首次响应文件截止时间</w:t>
      </w:r>
      <w:r>
        <w:rPr>
          <w:rFonts w:hint="eastAsia" w:ascii="宋体" w:hAnsi="宋体"/>
          <w:color w:val="000000" w:themeColor="text1"/>
          <w:szCs w:val="21"/>
          <w:highlight w:val="none"/>
          <w14:textFill>
            <w14:solidFill>
              <w14:schemeClr w14:val="tx1"/>
            </w14:solidFill>
          </w14:textFill>
        </w:rPr>
        <w:t>前，将响应文件送</w:t>
      </w:r>
      <w:r>
        <w:rPr>
          <w:rFonts w:hint="eastAsia" w:ascii="宋体" w:hAnsi="宋体" w:cs="Arial"/>
          <w:color w:val="000000" w:themeColor="text1"/>
          <w:szCs w:val="21"/>
          <w:highlight w:val="none"/>
          <w14:textFill>
            <w14:solidFill>
              <w14:schemeClr w14:val="tx1"/>
            </w14:solidFill>
          </w14:textFill>
        </w:rPr>
        <w:t>达</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中指定的地点。</w:t>
      </w:r>
      <w:r>
        <w:rPr>
          <w:rFonts w:hint="eastAsia" w:ascii="宋体" w:hAnsi="宋体" w:cs="宋体"/>
          <w:color w:val="000000" w:themeColor="text1"/>
          <w:kern w:val="0"/>
          <w:highlight w:val="none"/>
          <w14:textFill>
            <w14:solidFill>
              <w14:schemeClr w14:val="tx1"/>
            </w14:solidFill>
          </w14:textFill>
        </w:rPr>
        <w:t>在截止时间后送达的响应文件，采购人、采购代理机构或者磋商小组应当拒收。</w:t>
      </w:r>
    </w:p>
    <w:p w14:paraId="41CBECAB">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23.2</w:t>
      </w:r>
      <w:r>
        <w:rPr>
          <w:rFonts w:hint="eastAsia" w:hAnsi="宋体" w:cs="宋体"/>
          <w:color w:val="000000" w:themeColor="text1"/>
          <w:kern w:val="0"/>
          <w:highlight w:val="none"/>
          <w14:textFill>
            <w14:solidFill>
              <w14:schemeClr w14:val="tx1"/>
            </w14:solidFill>
          </w14:textFill>
        </w:rPr>
        <w:t>在提交首次响应文件截止时间后，</w:t>
      </w:r>
      <w:r>
        <w:rPr>
          <w:rFonts w:hint="eastAsia" w:hAnsi="宋体"/>
          <w:color w:val="000000" w:themeColor="text1"/>
          <w:highlight w:val="none"/>
          <w14:textFill>
            <w14:solidFill>
              <w14:schemeClr w14:val="tx1"/>
            </w14:solidFill>
          </w14:textFill>
        </w:rPr>
        <w:t>由</w:t>
      </w:r>
      <w:r>
        <w:rPr>
          <w:rFonts w:hint="eastAsia" w:hAnsi="宋体"/>
          <w:bCs/>
          <w:color w:val="000000" w:themeColor="text1"/>
          <w:highlight w:val="none"/>
          <w14:textFill>
            <w14:solidFill>
              <w14:schemeClr w14:val="tx1"/>
            </w14:solidFill>
          </w14:textFill>
        </w:rPr>
        <w:t>供应商代表</w:t>
      </w:r>
      <w:r>
        <w:rPr>
          <w:rFonts w:hint="eastAsia" w:hAnsi="宋体"/>
          <w:color w:val="000000" w:themeColor="text1"/>
          <w:highlight w:val="none"/>
          <w14:textFill>
            <w14:solidFill>
              <w14:schemeClr w14:val="tx1"/>
            </w14:solidFill>
          </w14:textFill>
        </w:rPr>
        <w:t>当场查验</w:t>
      </w:r>
      <w:r>
        <w:rPr>
          <w:rFonts w:hint="eastAsia" w:hAnsi="宋体"/>
          <w:bCs/>
          <w:color w:val="000000" w:themeColor="text1"/>
          <w:highlight w:val="none"/>
          <w14:textFill>
            <w14:solidFill>
              <w14:schemeClr w14:val="tx1"/>
            </w14:solidFill>
          </w14:textFill>
        </w:rPr>
        <w:t>响应文件</w:t>
      </w:r>
      <w:r>
        <w:rPr>
          <w:rFonts w:hint="eastAsia" w:hAnsi="宋体"/>
          <w:color w:val="000000" w:themeColor="text1"/>
          <w:highlight w:val="none"/>
          <w14:textFill>
            <w14:solidFill>
              <w14:schemeClr w14:val="tx1"/>
            </w14:solidFill>
          </w14:textFill>
        </w:rPr>
        <w:t>的密封状况，采购人或</w:t>
      </w:r>
      <w:r>
        <w:rPr>
          <w:rFonts w:hint="eastAsia" w:hAnsi="宋体"/>
          <w:bCs/>
          <w:color w:val="000000" w:themeColor="text1"/>
          <w:highlight w:val="none"/>
          <w14:textFill>
            <w14:solidFill>
              <w14:schemeClr w14:val="tx1"/>
            </w14:solidFill>
          </w14:textFill>
        </w:rPr>
        <w:t>采购代理机构</w:t>
      </w:r>
      <w:r>
        <w:rPr>
          <w:rFonts w:hint="eastAsia" w:hAnsi="宋体"/>
          <w:color w:val="000000" w:themeColor="text1"/>
          <w:highlight w:val="none"/>
          <w14:textFill>
            <w14:solidFill>
              <w14:schemeClr w14:val="tx1"/>
            </w14:solidFill>
          </w14:textFill>
        </w:rPr>
        <w:t>当场拆封</w:t>
      </w:r>
      <w:r>
        <w:rPr>
          <w:rFonts w:hint="eastAsia" w:hAnsi="宋体"/>
          <w:bCs/>
          <w:color w:val="000000" w:themeColor="text1"/>
          <w:highlight w:val="none"/>
          <w14:textFill>
            <w14:solidFill>
              <w14:schemeClr w14:val="tx1"/>
            </w14:solidFill>
          </w14:textFill>
        </w:rPr>
        <w:t>响应文件</w:t>
      </w:r>
      <w:r>
        <w:rPr>
          <w:rFonts w:hint="eastAsia" w:hAnsi="宋体"/>
          <w:color w:val="000000" w:themeColor="text1"/>
          <w:highlight w:val="none"/>
          <w14:textFill>
            <w14:solidFill>
              <w14:schemeClr w14:val="tx1"/>
            </w14:solidFill>
          </w14:textFill>
        </w:rPr>
        <w:t>。</w:t>
      </w:r>
    </w:p>
    <w:p w14:paraId="1DF3A4BC">
      <w:pPr>
        <w:adjustRightInd w:val="0"/>
        <w:snapToGrid w:val="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五、响应文件的磋商与评审</w:t>
      </w:r>
    </w:p>
    <w:p w14:paraId="4B382C7D">
      <w:pPr>
        <w:tabs>
          <w:tab w:val="left" w:pos="0"/>
        </w:tabs>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24.磋商程序</w:t>
      </w:r>
    </w:p>
    <w:p w14:paraId="483744D9">
      <w:pPr>
        <w:widowControl/>
        <w:adjustRightInd w:val="0"/>
        <w:snapToGrid w:val="0"/>
        <w:spacing w:line="460" w:lineRule="exact"/>
        <w:ind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24.1磋商程序：响应文件审查、磋商（包括澄清）、响应文件评审、</w:t>
      </w:r>
      <w:r>
        <w:rPr>
          <w:rFonts w:hint="eastAsia" w:ascii="宋体" w:hAnsi="宋体"/>
          <w:bCs/>
          <w:color w:val="000000" w:themeColor="text1"/>
          <w:szCs w:val="21"/>
          <w:highlight w:val="none"/>
          <w14:textFill>
            <w14:solidFill>
              <w14:schemeClr w14:val="tx1"/>
            </w14:solidFill>
          </w14:textFill>
        </w:rPr>
        <w:t>提出成交供应商。其中，</w:t>
      </w:r>
      <w:r>
        <w:rPr>
          <w:rFonts w:hint="eastAsia" w:ascii="宋体" w:hAnsi="宋体" w:cs="宋体"/>
          <w:color w:val="000000" w:themeColor="text1"/>
          <w:kern w:val="0"/>
          <w:szCs w:val="21"/>
          <w:highlight w:val="none"/>
          <w14:textFill>
            <w14:solidFill>
              <w14:schemeClr w14:val="tx1"/>
            </w14:solidFill>
          </w14:textFill>
        </w:rPr>
        <w:t>磋商按</w:t>
      </w:r>
      <w:r>
        <w:rPr>
          <w:rFonts w:hint="eastAsia" w:ascii="宋体" w:hAnsi="宋体"/>
          <w:color w:val="000000" w:themeColor="text1"/>
          <w:szCs w:val="21"/>
          <w:highlight w:val="none"/>
          <w14:textFill>
            <w14:solidFill>
              <w14:schemeClr w14:val="tx1"/>
            </w14:solidFill>
          </w14:textFill>
        </w:rPr>
        <w:t>本章</w:t>
      </w:r>
      <w:r>
        <w:rPr>
          <w:rFonts w:hint="eastAsia" w:ascii="宋体" w:hAnsi="宋体"/>
          <w:color w:val="000000" w:themeColor="text1"/>
          <w:highlight w:val="none"/>
          <w14:textFill>
            <w14:solidFill>
              <w14:schemeClr w14:val="tx1"/>
            </w14:solidFill>
          </w14:textFill>
        </w:rPr>
        <w:t>第29.1</w:t>
      </w:r>
      <w:r>
        <w:rPr>
          <w:rFonts w:hint="eastAsia" w:ascii="宋体" w:hAnsi="宋体" w:cs="宋体"/>
          <w:color w:val="000000" w:themeColor="text1"/>
          <w:kern w:val="0"/>
          <w:szCs w:val="21"/>
          <w:highlight w:val="none"/>
          <w:lang w:val="zh-CN"/>
          <w14:textFill>
            <w14:solidFill>
              <w14:schemeClr w14:val="tx1"/>
            </w14:solidFill>
          </w14:textFill>
        </w:rPr>
        <w:t>款或者</w:t>
      </w:r>
      <w:r>
        <w:rPr>
          <w:rFonts w:hint="eastAsia" w:ascii="宋体" w:hAnsi="宋体"/>
          <w:color w:val="000000" w:themeColor="text1"/>
          <w:highlight w:val="none"/>
          <w14:textFill>
            <w14:solidFill>
              <w14:schemeClr w14:val="tx1"/>
            </w14:solidFill>
          </w14:textFill>
        </w:rPr>
        <w:t>第29.2</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highlight w:val="none"/>
          <w14:textFill>
            <w14:solidFill>
              <w14:schemeClr w14:val="tx1"/>
            </w14:solidFill>
          </w14:textFill>
        </w:rPr>
        <w:t>情形</w:t>
      </w:r>
      <w:r>
        <w:rPr>
          <w:rFonts w:hint="eastAsia" w:ascii="宋体" w:hAnsi="宋体"/>
          <w:bCs/>
          <w:color w:val="000000" w:themeColor="text1"/>
          <w:szCs w:val="21"/>
          <w:highlight w:val="none"/>
          <w14:textFill>
            <w14:solidFill>
              <w14:schemeClr w14:val="tx1"/>
            </w14:solidFill>
          </w14:textFill>
        </w:rPr>
        <w:t>进行。</w:t>
      </w:r>
    </w:p>
    <w:p w14:paraId="137BD027">
      <w:pPr>
        <w:widowControl/>
        <w:adjustRightInd w:val="0"/>
        <w:snapToGrid w:val="0"/>
        <w:spacing w:line="460" w:lineRule="exact"/>
        <w:rPr>
          <w:rFonts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25.响应文件审查</w:t>
      </w:r>
      <w:r>
        <w:rPr>
          <w:rFonts w:hint="eastAsia" w:ascii="宋体" w:hAnsi="宋体"/>
          <w:b/>
          <w:color w:val="000000" w:themeColor="text1"/>
          <w:szCs w:val="21"/>
          <w:highlight w:val="none"/>
          <w14:textFill>
            <w14:solidFill>
              <w14:schemeClr w14:val="tx1"/>
            </w14:solidFill>
          </w14:textFill>
        </w:rPr>
        <w:t xml:space="preserve"> </w:t>
      </w:r>
    </w:p>
    <w:p w14:paraId="0841D61B">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25.1 资格性审查：根据本章第3.1项规定的供应商资格条件要求，对</w:t>
      </w:r>
      <w:r>
        <w:rPr>
          <w:rFonts w:hint="eastAsia" w:ascii="宋体" w:hAnsi="宋体"/>
          <w:color w:val="000000" w:themeColor="text1"/>
          <w:highlight w:val="none"/>
          <w14:textFill>
            <w14:solidFill>
              <w14:schemeClr w14:val="tx1"/>
            </w14:solidFill>
          </w14:textFill>
        </w:rPr>
        <w:t>响应</w:t>
      </w:r>
      <w:r>
        <w:rPr>
          <w:rFonts w:hint="eastAsia" w:ascii="宋体" w:hAnsi="宋体"/>
          <w:color w:val="000000" w:themeColor="text1"/>
          <w:szCs w:val="21"/>
          <w:highlight w:val="none"/>
          <w14:textFill>
            <w14:solidFill>
              <w14:schemeClr w14:val="tx1"/>
            </w14:solidFill>
          </w14:textFill>
        </w:rPr>
        <w:t>文件的资格证明等进行审查，以确定供应商是否具备磋商资格条件。</w:t>
      </w:r>
    </w:p>
    <w:p w14:paraId="58A3D810">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25.2符合性审查: 对响应文件(包括首次提交的响应文件、重新提交的响应文件)的有效性、完整性和响应程度进行审查，以确定是否对磋商文件的实质性要求作出响应。</w:t>
      </w:r>
    </w:p>
    <w:p w14:paraId="7D1F619F">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25.3响应文件审查结束后，磋商小组所有成员集中与单一供应商分别进行磋商，并给予所有参加磋商的供应商平等的磋商机会。供应商应派其法定代表人或委托代理人参加磋商。</w:t>
      </w:r>
    </w:p>
    <w:p w14:paraId="3870CA44">
      <w:pPr>
        <w:pStyle w:val="26"/>
        <w:adjustRightInd w:val="0"/>
        <w:snapToGrid w:val="0"/>
        <w:spacing w:line="460" w:lineRule="exact"/>
        <w:rPr>
          <w:rFonts w:hAnsi="宋体" w:cs="宋体"/>
          <w:b/>
          <w:color w:val="000000" w:themeColor="text1"/>
          <w:kern w:val="0"/>
          <w:highlight w:val="none"/>
          <w14:textFill>
            <w14:solidFill>
              <w14:schemeClr w14:val="tx1"/>
            </w14:solidFill>
          </w14:textFill>
        </w:rPr>
      </w:pPr>
      <w:r>
        <w:rPr>
          <w:rFonts w:hint="eastAsia" w:hAnsi="宋体" w:cs="宋体"/>
          <w:b/>
          <w:color w:val="000000" w:themeColor="text1"/>
          <w:kern w:val="0"/>
          <w:highlight w:val="none"/>
          <w14:textFill>
            <w14:solidFill>
              <w14:schemeClr w14:val="tx1"/>
            </w14:solidFill>
          </w14:textFill>
        </w:rPr>
        <w:t>26.实质性响应</w:t>
      </w:r>
    </w:p>
    <w:p w14:paraId="51DE2E95">
      <w:pPr>
        <w:pStyle w:val="26"/>
        <w:adjustRightInd w:val="0"/>
        <w:snapToGrid w:val="0"/>
        <w:spacing w:line="460" w:lineRule="exact"/>
        <w:ind w:firstLine="420" w:firstLineChars="200"/>
        <w:rPr>
          <w:rFonts w:hAnsi="宋体" w:cs="Arial"/>
          <w:color w:val="000000" w:themeColor="text1"/>
          <w:kern w:val="0"/>
          <w:highlight w:val="none"/>
          <w:u w:val="single"/>
          <w14:textFill>
            <w14:solidFill>
              <w14:schemeClr w14:val="tx1"/>
            </w14:solidFill>
          </w14:textFill>
        </w:rPr>
      </w:pPr>
      <w:r>
        <w:rPr>
          <w:rFonts w:hint="eastAsia" w:hAnsi="宋体" w:cs="宋体"/>
          <w:color w:val="000000" w:themeColor="text1"/>
          <w:kern w:val="0"/>
          <w:highlight w:val="none"/>
          <w14:textFill>
            <w14:solidFill>
              <w14:schemeClr w14:val="tx1"/>
            </w14:solidFill>
          </w14:textFill>
        </w:rPr>
        <w:t>26.1</w:t>
      </w:r>
      <w:r>
        <w:rPr>
          <w:rFonts w:hint="eastAsia" w:hAnsi="宋体"/>
          <w:color w:val="000000" w:themeColor="text1"/>
          <w:highlight w:val="none"/>
          <w14:textFill>
            <w14:solidFill>
              <w14:schemeClr w14:val="tx1"/>
            </w14:solidFill>
          </w14:textFill>
        </w:rPr>
        <w:t>实质性响应是指响应文件(包括首次响应文件、重新提交的响应文件)与磋商文件要求的所有条款、条件和规格相符，没有偏离。偏离指不满足、或不响应磋商文件的要求。</w:t>
      </w:r>
    </w:p>
    <w:p w14:paraId="68A75980">
      <w:pPr>
        <w:tabs>
          <w:tab w:val="left" w:pos="0"/>
          <w:tab w:val="left" w:pos="7560"/>
          <w:tab w:val="left" w:pos="7740"/>
          <w:tab w:val="left" w:pos="7920"/>
        </w:tabs>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26.2</w:t>
      </w:r>
      <w:r>
        <w:rPr>
          <w:rFonts w:hint="eastAsia" w:ascii="宋体" w:hAnsi="宋体"/>
          <w:color w:val="000000" w:themeColor="text1"/>
          <w:highlight w:val="none"/>
          <w14:textFill>
            <w14:solidFill>
              <w14:schemeClr w14:val="tx1"/>
            </w14:solidFill>
          </w14:textFill>
        </w:rPr>
        <w:t>响应文件是否实质性响应磋商文件要求由磋商小组依据磋商文件规定认定。</w:t>
      </w:r>
      <w:r>
        <w:rPr>
          <w:rFonts w:hint="eastAsia" w:ascii="宋体" w:hAnsi="宋体" w:cs="宋体"/>
          <w:color w:val="000000" w:themeColor="text1"/>
          <w:kern w:val="0"/>
          <w:szCs w:val="21"/>
          <w:highlight w:val="none"/>
          <w14:textFill>
            <w14:solidFill>
              <w14:schemeClr w14:val="tx1"/>
            </w14:solidFill>
          </w14:textFill>
        </w:rPr>
        <w:t>磋商小组</w:t>
      </w:r>
      <w:r>
        <w:rPr>
          <w:rFonts w:hint="eastAsia" w:ascii="宋体" w:hAnsi="宋体"/>
          <w:color w:val="000000" w:themeColor="text1"/>
          <w:szCs w:val="21"/>
          <w:highlight w:val="none"/>
          <w14:textFill>
            <w14:solidFill>
              <w14:schemeClr w14:val="tx1"/>
            </w14:solidFill>
          </w14:textFill>
        </w:rPr>
        <w:t>决定</w:t>
      </w:r>
      <w:r>
        <w:rPr>
          <w:rFonts w:hint="eastAsia" w:ascii="宋体" w:hAnsi="宋体"/>
          <w:color w:val="000000" w:themeColor="text1"/>
          <w:highlight w:val="none"/>
          <w14:textFill>
            <w14:solidFill>
              <w14:schemeClr w14:val="tx1"/>
            </w14:solidFill>
          </w14:textFill>
        </w:rPr>
        <w:t>响应文件</w:t>
      </w:r>
      <w:r>
        <w:rPr>
          <w:rFonts w:hint="eastAsia" w:ascii="宋体" w:hAnsi="宋体"/>
          <w:color w:val="000000" w:themeColor="text1"/>
          <w:szCs w:val="21"/>
          <w:highlight w:val="none"/>
          <w14:textFill>
            <w14:solidFill>
              <w14:schemeClr w14:val="tx1"/>
            </w14:solidFill>
          </w14:textFill>
        </w:rPr>
        <w:t>的响应性只根据</w:t>
      </w:r>
      <w:r>
        <w:rPr>
          <w:rFonts w:hint="eastAsia" w:ascii="宋体" w:hAnsi="宋体"/>
          <w:color w:val="000000" w:themeColor="text1"/>
          <w:highlight w:val="none"/>
          <w14:textFill>
            <w14:solidFill>
              <w14:schemeClr w14:val="tx1"/>
            </w14:solidFill>
          </w14:textFill>
        </w:rPr>
        <w:t>响应文件</w:t>
      </w:r>
      <w:r>
        <w:rPr>
          <w:rFonts w:hint="eastAsia" w:ascii="宋体" w:hAnsi="宋体"/>
          <w:color w:val="000000" w:themeColor="text1"/>
          <w:szCs w:val="21"/>
          <w:highlight w:val="none"/>
          <w14:textFill>
            <w14:solidFill>
              <w14:schemeClr w14:val="tx1"/>
            </w14:solidFill>
          </w14:textFill>
        </w:rPr>
        <w:t>本身的真实无误的内容，而不依据外部的证据。</w:t>
      </w:r>
    </w:p>
    <w:p w14:paraId="6F273171">
      <w:pPr>
        <w:pStyle w:val="26"/>
        <w:adjustRightInd w:val="0"/>
        <w:snapToGrid w:val="0"/>
        <w:spacing w:line="460" w:lineRule="exact"/>
        <w:rPr>
          <w:rFonts w:hAnsi="宋体" w:cs="宋体"/>
          <w:b/>
          <w:color w:val="000000" w:themeColor="text1"/>
          <w:kern w:val="0"/>
          <w:highlight w:val="none"/>
          <w14:textFill>
            <w14:solidFill>
              <w14:schemeClr w14:val="tx1"/>
            </w14:solidFill>
          </w14:textFill>
        </w:rPr>
      </w:pPr>
      <w:r>
        <w:rPr>
          <w:rFonts w:hint="eastAsia" w:hAnsi="宋体" w:cs="宋体"/>
          <w:b/>
          <w:color w:val="000000" w:themeColor="text1"/>
          <w:kern w:val="0"/>
          <w:highlight w:val="none"/>
          <w14:textFill>
            <w14:solidFill>
              <w14:schemeClr w14:val="tx1"/>
            </w14:solidFill>
          </w14:textFill>
        </w:rPr>
        <w:t>27.无效响应</w:t>
      </w:r>
    </w:p>
    <w:p w14:paraId="129E6BC5">
      <w:pPr>
        <w:pStyle w:val="26"/>
        <w:adjustRightInd w:val="0"/>
        <w:snapToGrid w:val="0"/>
        <w:spacing w:line="460" w:lineRule="exact"/>
        <w:ind w:firstLine="411" w:firstLineChars="196"/>
        <w:rPr>
          <w:rFonts w:hAnsi="宋体" w:cs="宋体"/>
          <w:b/>
          <w:color w:val="000000" w:themeColor="text1"/>
          <w:kern w:val="0"/>
          <w:highlight w:val="none"/>
          <w14:textFill>
            <w14:solidFill>
              <w14:schemeClr w14:val="tx1"/>
            </w14:solidFill>
          </w14:textFill>
        </w:rPr>
      </w:pPr>
      <w:r>
        <w:rPr>
          <w:rFonts w:hint="eastAsia" w:hAnsi="宋体" w:cs="宋体"/>
          <w:color w:val="000000" w:themeColor="text1"/>
          <w:kern w:val="0"/>
          <w:highlight w:val="none"/>
          <w14:textFill>
            <w14:solidFill>
              <w14:schemeClr w14:val="tx1"/>
            </w14:solidFill>
          </w14:textFill>
        </w:rPr>
        <w:t>27.1</w:t>
      </w:r>
      <w:r>
        <w:rPr>
          <w:rFonts w:hint="eastAsia" w:hAnsi="宋体"/>
          <w:color w:val="000000" w:themeColor="text1"/>
          <w:highlight w:val="none"/>
          <w14:textFill>
            <w14:solidFill>
              <w14:schemeClr w14:val="tx1"/>
            </w14:solidFill>
          </w14:textFill>
        </w:rPr>
        <w:t>磋商小组在对资格性和符合性进行审查时，有下列情况之一的，属无效响应，</w:t>
      </w:r>
      <w:r>
        <w:rPr>
          <w:rFonts w:hint="eastAsia" w:hAnsi="宋体" w:cs="宋体"/>
          <w:color w:val="000000" w:themeColor="text1"/>
          <w:kern w:val="0"/>
          <w:highlight w:val="none"/>
          <w14:textFill>
            <w14:solidFill>
              <w14:schemeClr w14:val="tx1"/>
            </w14:solidFill>
          </w14:textFill>
        </w:rPr>
        <w:t>磋商小组应当告知有关供应商</w:t>
      </w:r>
      <w:r>
        <w:rPr>
          <w:rFonts w:hint="eastAsia" w:hAnsi="宋体"/>
          <w:color w:val="000000" w:themeColor="text1"/>
          <w:highlight w:val="none"/>
          <w14:textFill>
            <w14:solidFill>
              <w14:schemeClr w14:val="tx1"/>
            </w14:solidFill>
          </w14:textFill>
        </w:rPr>
        <w:t>：</w:t>
      </w:r>
    </w:p>
    <w:p w14:paraId="1FC8FBA7">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（1）供应商不具备本章第3.1款规定的供应商资格条件要求，或存在本章第3.3款情形的；</w:t>
      </w:r>
    </w:p>
    <w:p w14:paraId="13734F52">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（2）联合体不符合本章第3.2款规定的；</w:t>
      </w:r>
    </w:p>
    <w:p w14:paraId="34487B79">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（3）应交未交磋商保证金或金额不足、磋商保证金缴纳形式不符合磋商文件要求的；</w:t>
      </w:r>
    </w:p>
    <w:p w14:paraId="18A9A951">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（4）响应文件未按照磋商文件要求签署、盖章的；</w:t>
      </w:r>
    </w:p>
    <w:p w14:paraId="3286145B">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（4）响应文件不满足本章第26.1款规定的实质性要求的；</w:t>
      </w:r>
    </w:p>
    <w:p w14:paraId="1759F66C">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（5）报价超过采购项目预算的；</w:t>
      </w:r>
    </w:p>
    <w:p w14:paraId="0076121B">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（6）响应文件有效期不足的；</w:t>
      </w:r>
    </w:p>
    <w:p w14:paraId="6B9F99A1">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（7）响应文件不符合法律、规章、规范性文件和磋商文件规定及要求的。</w:t>
      </w:r>
    </w:p>
    <w:p w14:paraId="20525693">
      <w:pPr>
        <w:widowControl/>
        <w:adjustRightInd w:val="0"/>
        <w:snapToGrid w:val="0"/>
        <w:spacing w:line="460" w:lineRule="exact"/>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28.澄清</w:t>
      </w:r>
    </w:p>
    <w:p w14:paraId="7A57A116">
      <w:pPr>
        <w:widowControl/>
        <w:adjustRightInd w:val="0"/>
        <w:snapToGrid w:val="0"/>
        <w:spacing w:line="46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28.1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5E3ED973">
      <w:pPr>
        <w:widowControl/>
        <w:adjustRightInd w:val="0"/>
        <w:snapToGrid w:val="0"/>
        <w:spacing w:line="46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28.2 最后报价计算错误修正的原则：最后报价</w:t>
      </w:r>
      <w:r>
        <w:rPr>
          <w:rFonts w:hint="eastAsia" w:ascii="宋体" w:hAnsi="宋体" w:cs="Arial"/>
          <w:color w:val="000000" w:themeColor="text1"/>
          <w:kern w:val="0"/>
          <w:szCs w:val="21"/>
          <w:highlight w:val="none"/>
          <w14:textFill>
            <w14:solidFill>
              <w14:schemeClr w14:val="tx1"/>
            </w14:solidFill>
          </w14:textFill>
        </w:rPr>
        <w:t>的大写金额和小写金额不一致的，以大写金额为准；总价金额与按分项报价汇总金额不一致的，以分项报价金额计算结果为准；分项报价金额小数点有明显错位的，应以总价为准，并修改分项报价。</w:t>
      </w:r>
    </w:p>
    <w:p w14:paraId="26D52CC9">
      <w:pPr>
        <w:widowControl/>
        <w:adjustRightInd w:val="0"/>
        <w:snapToGrid w:val="0"/>
        <w:spacing w:line="460" w:lineRule="exact"/>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29.磋商</w:t>
      </w:r>
    </w:p>
    <w:p w14:paraId="78B6AC94">
      <w:pPr>
        <w:widowControl/>
        <w:adjustRightInd w:val="0"/>
        <w:snapToGrid w:val="0"/>
        <w:spacing w:line="460" w:lineRule="exact"/>
        <w:ind w:firstLine="42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29.1</w:t>
      </w:r>
      <w:r>
        <w:rPr>
          <w:rFonts w:hint="eastAsia" w:ascii="宋体" w:hAnsi="宋体"/>
          <w:color w:val="000000" w:themeColor="text1"/>
          <w:highlight w:val="none"/>
          <w14:textFill>
            <w14:solidFill>
              <w14:schemeClr w14:val="tx1"/>
            </w14:solidFill>
          </w14:textFill>
        </w:rPr>
        <w:t>本章第10.2项</w:t>
      </w:r>
      <w:r>
        <w:rPr>
          <w:rFonts w:hint="eastAsia" w:ascii="宋体" w:hAnsi="宋体" w:cs="宋体"/>
          <w:color w:val="000000" w:themeColor="text1"/>
          <w:kern w:val="0"/>
          <w:szCs w:val="21"/>
          <w:highlight w:val="none"/>
          <w14:textFill>
            <w14:solidFill>
              <w14:schemeClr w14:val="tx1"/>
            </w14:solidFill>
          </w14:textFill>
        </w:rPr>
        <w:t>未明确磋商文件实质性变动内容的，或者磋商文件明确了可能发生实质性变动内容，但在磋商过程中，</w:t>
      </w:r>
      <w:r>
        <w:rPr>
          <w:rFonts w:hint="eastAsia" w:ascii="宋体" w:hAnsi="宋体"/>
          <w:bCs/>
          <w:color w:val="000000" w:themeColor="text1"/>
          <w:szCs w:val="21"/>
          <w:highlight w:val="none"/>
          <w14:textFill>
            <w14:solidFill>
              <w14:schemeClr w14:val="tx1"/>
            </w14:solidFill>
          </w14:textFill>
        </w:rPr>
        <w:t>磋商小组</w:t>
      </w:r>
      <w:r>
        <w:rPr>
          <w:rFonts w:hint="eastAsia" w:ascii="宋体" w:hAnsi="宋体" w:cs="Arial"/>
          <w:color w:val="000000" w:themeColor="text1"/>
          <w:kern w:val="0"/>
          <w:szCs w:val="21"/>
          <w:highlight w:val="none"/>
          <w14:textFill>
            <w14:solidFill>
              <w14:schemeClr w14:val="tx1"/>
            </w14:solidFill>
          </w14:textFill>
        </w:rPr>
        <w:t>根据</w:t>
      </w:r>
      <w:r>
        <w:rPr>
          <w:rFonts w:hint="eastAsia" w:ascii="宋体" w:hAnsi="宋体" w:cs="宋体"/>
          <w:color w:val="000000" w:themeColor="text1"/>
          <w:kern w:val="0"/>
          <w:szCs w:val="21"/>
          <w:highlight w:val="none"/>
          <w14:textFill>
            <w14:solidFill>
              <w14:schemeClr w14:val="tx1"/>
            </w14:solidFill>
          </w14:textFill>
        </w:rPr>
        <w:t>磋商情况</w:t>
      </w:r>
      <w:r>
        <w:rPr>
          <w:rFonts w:hint="eastAsia" w:ascii="宋体" w:hAnsi="宋体"/>
          <w:bCs/>
          <w:color w:val="000000" w:themeColor="text1"/>
          <w:szCs w:val="21"/>
          <w:highlight w:val="none"/>
          <w14:textFill>
            <w14:solidFill>
              <w14:schemeClr w14:val="tx1"/>
            </w14:solidFill>
          </w14:textFill>
        </w:rPr>
        <w:t>认为</w:t>
      </w:r>
      <w:r>
        <w:rPr>
          <w:rFonts w:hint="eastAsia" w:ascii="宋体" w:hAnsi="宋体" w:cs="宋体"/>
          <w:color w:val="000000" w:themeColor="text1"/>
          <w:kern w:val="0"/>
          <w:szCs w:val="21"/>
          <w:highlight w:val="none"/>
          <w14:textFill>
            <w14:solidFill>
              <w14:schemeClr w14:val="tx1"/>
            </w14:solidFill>
          </w14:textFill>
        </w:rPr>
        <w:t>磋商文件无需发生实质性变动的，磋商小组应当直接与响应文件审查合格的供应商就价格组织多轮磋商。</w:t>
      </w:r>
    </w:p>
    <w:p w14:paraId="3C415CF4">
      <w:pPr>
        <w:widowControl/>
        <w:tabs>
          <w:tab w:val="left" w:pos="1080"/>
          <w:tab w:val="left" w:pos="1260"/>
        </w:tabs>
        <w:adjustRightInd w:val="0"/>
        <w:snapToGrid w:val="0"/>
        <w:spacing w:line="46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（1）磋商结束后，磋商小组应当要求所有继续参加磋商的供应商在磋商小组规定时间内提交最后报价。</w:t>
      </w:r>
    </w:p>
    <w:p w14:paraId="2C45FA36">
      <w:pPr>
        <w:widowControl/>
        <w:tabs>
          <w:tab w:val="left" w:pos="1080"/>
          <w:tab w:val="left" w:pos="1260"/>
        </w:tabs>
        <w:adjustRightInd w:val="0"/>
        <w:snapToGrid w:val="0"/>
        <w:spacing w:line="46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（2）磋商文件明确可能发生实质性变动，但在磋商过程中</w:t>
      </w:r>
      <w:r>
        <w:rPr>
          <w:rFonts w:hint="eastAsia" w:ascii="宋体" w:hAnsi="宋体"/>
          <w:bCs/>
          <w:color w:val="000000" w:themeColor="text1"/>
          <w:szCs w:val="21"/>
          <w:highlight w:val="none"/>
          <w14:textFill>
            <w14:solidFill>
              <w14:schemeClr w14:val="tx1"/>
            </w14:solidFill>
          </w14:textFill>
        </w:rPr>
        <w:t>磋商小组</w:t>
      </w:r>
      <w:r>
        <w:rPr>
          <w:rFonts w:hint="eastAsia" w:ascii="宋体" w:hAnsi="宋体" w:cs="Arial"/>
          <w:color w:val="000000" w:themeColor="text1"/>
          <w:kern w:val="0"/>
          <w:szCs w:val="21"/>
          <w:highlight w:val="none"/>
          <w14:textFill>
            <w14:solidFill>
              <w14:schemeClr w14:val="tx1"/>
            </w14:solidFill>
          </w14:textFill>
        </w:rPr>
        <w:t>根据</w:t>
      </w:r>
      <w:r>
        <w:rPr>
          <w:rFonts w:hint="eastAsia" w:ascii="宋体" w:hAnsi="宋体" w:cs="宋体"/>
          <w:color w:val="000000" w:themeColor="text1"/>
          <w:kern w:val="0"/>
          <w:szCs w:val="21"/>
          <w:highlight w:val="none"/>
          <w14:textFill>
            <w14:solidFill>
              <w14:schemeClr w14:val="tx1"/>
            </w14:solidFill>
          </w14:textFill>
        </w:rPr>
        <w:t>磋商情况</w:t>
      </w:r>
      <w:r>
        <w:rPr>
          <w:rFonts w:hint="eastAsia" w:ascii="宋体" w:hAnsi="宋体"/>
          <w:bCs/>
          <w:color w:val="000000" w:themeColor="text1"/>
          <w:szCs w:val="21"/>
          <w:highlight w:val="none"/>
          <w14:textFill>
            <w14:solidFill>
              <w14:schemeClr w14:val="tx1"/>
            </w14:solidFill>
          </w14:textFill>
        </w:rPr>
        <w:t>认为</w:t>
      </w:r>
      <w:r>
        <w:rPr>
          <w:rFonts w:hint="eastAsia" w:ascii="宋体" w:hAnsi="宋体" w:cs="宋体"/>
          <w:color w:val="000000" w:themeColor="text1"/>
          <w:kern w:val="0"/>
          <w:szCs w:val="21"/>
          <w:highlight w:val="none"/>
          <w14:textFill>
            <w14:solidFill>
              <w14:schemeClr w14:val="tx1"/>
            </w14:solidFill>
          </w14:textFill>
        </w:rPr>
        <w:t>磋商文件无需发生实质性变动的，磋商小组不另行通知。</w:t>
      </w:r>
    </w:p>
    <w:p w14:paraId="393814F1">
      <w:pPr>
        <w:widowControl/>
        <w:adjustRightInd w:val="0"/>
        <w:snapToGrid w:val="0"/>
        <w:spacing w:line="46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29.2</w:t>
      </w:r>
      <w:r>
        <w:rPr>
          <w:rFonts w:hint="eastAsia" w:ascii="宋体" w:hAnsi="宋体"/>
          <w:color w:val="000000" w:themeColor="text1"/>
          <w:highlight w:val="none"/>
          <w14:textFill>
            <w14:solidFill>
              <w14:schemeClr w14:val="tx1"/>
            </w14:solidFill>
          </w14:textFill>
        </w:rPr>
        <w:t>本章第10.2</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s="宋体"/>
          <w:color w:val="000000" w:themeColor="text1"/>
          <w:kern w:val="0"/>
          <w:szCs w:val="21"/>
          <w:highlight w:val="none"/>
          <w14:textFill>
            <w14:solidFill>
              <w14:schemeClr w14:val="tx1"/>
            </w14:solidFill>
          </w14:textFill>
        </w:rPr>
        <w:t>明确磋商文件实质性变动内容的，</w:t>
      </w:r>
      <w:r>
        <w:rPr>
          <w:rFonts w:hint="eastAsia" w:ascii="宋体" w:hAnsi="宋体"/>
          <w:bCs/>
          <w:color w:val="000000" w:themeColor="text1"/>
          <w:szCs w:val="21"/>
          <w:highlight w:val="none"/>
          <w14:textFill>
            <w14:solidFill>
              <w14:schemeClr w14:val="tx1"/>
            </w14:solidFill>
          </w14:textFill>
        </w:rPr>
        <w:t>磋商小组</w:t>
      </w:r>
      <w:r>
        <w:rPr>
          <w:rFonts w:hint="eastAsia" w:ascii="宋体" w:hAnsi="宋体" w:cs="宋体"/>
          <w:color w:val="000000" w:themeColor="text1"/>
          <w:kern w:val="0"/>
          <w:szCs w:val="21"/>
          <w:highlight w:val="none"/>
          <w14:textFill>
            <w14:solidFill>
              <w14:schemeClr w14:val="tx1"/>
            </w14:solidFill>
          </w14:textFill>
        </w:rPr>
        <w:t>可以组织多轮磋商。</w:t>
      </w:r>
      <w:r>
        <w:rPr>
          <w:rFonts w:hint="eastAsia" w:ascii="宋体" w:hAnsi="宋体"/>
          <w:bCs/>
          <w:color w:val="000000" w:themeColor="text1"/>
          <w:szCs w:val="21"/>
          <w:highlight w:val="none"/>
          <w14:textFill>
            <w14:solidFill>
              <w14:schemeClr w14:val="tx1"/>
            </w14:solidFill>
          </w14:textFill>
        </w:rPr>
        <w:t>在每一轮磋商中，磋商小组</w:t>
      </w:r>
      <w:r>
        <w:rPr>
          <w:rFonts w:hint="eastAsia" w:ascii="宋体" w:hAnsi="宋体" w:cs="宋体"/>
          <w:color w:val="000000" w:themeColor="text1"/>
          <w:kern w:val="0"/>
          <w:szCs w:val="21"/>
          <w:highlight w:val="none"/>
          <w14:textFill>
            <w14:solidFill>
              <w14:schemeClr w14:val="tx1"/>
            </w14:solidFill>
          </w14:textFill>
        </w:rPr>
        <w:t>可以</w:t>
      </w:r>
      <w:r>
        <w:rPr>
          <w:rFonts w:hint="eastAsia" w:ascii="宋体" w:hAnsi="宋体" w:cs="Arial"/>
          <w:color w:val="000000" w:themeColor="text1"/>
          <w:kern w:val="0"/>
          <w:szCs w:val="21"/>
          <w:highlight w:val="none"/>
          <w14:textFill>
            <w14:solidFill>
              <w14:schemeClr w14:val="tx1"/>
            </w14:solidFill>
          </w14:textFill>
        </w:rPr>
        <w:t>根据</w:t>
      </w:r>
      <w:r>
        <w:rPr>
          <w:rFonts w:hint="eastAsia" w:ascii="宋体" w:hAnsi="宋体" w:cs="宋体"/>
          <w:color w:val="000000" w:themeColor="text1"/>
          <w:kern w:val="0"/>
          <w:szCs w:val="21"/>
          <w:highlight w:val="none"/>
          <w14:textFill>
            <w14:solidFill>
              <w14:schemeClr w14:val="tx1"/>
            </w14:solidFill>
          </w14:textFill>
        </w:rPr>
        <w:t>磋商文件规定和磋商情况，</w:t>
      </w:r>
      <w:r>
        <w:rPr>
          <w:rFonts w:hint="eastAsia" w:ascii="宋体" w:hAnsi="宋体"/>
          <w:bCs/>
          <w:color w:val="000000" w:themeColor="text1"/>
          <w:szCs w:val="21"/>
          <w:highlight w:val="none"/>
          <w14:textFill>
            <w14:solidFill>
              <w14:schemeClr w14:val="tx1"/>
            </w14:solidFill>
          </w14:textFill>
        </w:rPr>
        <w:t>对磋商文件的</w:t>
      </w:r>
      <w:r>
        <w:rPr>
          <w:rFonts w:hint="eastAsia" w:ascii="宋体" w:hAnsi="宋体" w:cs="宋体"/>
          <w:color w:val="000000" w:themeColor="text1"/>
          <w:kern w:val="0"/>
          <w:szCs w:val="21"/>
          <w:highlight w:val="none"/>
          <w14:textFill>
            <w14:solidFill>
              <w14:schemeClr w14:val="tx1"/>
            </w14:solidFill>
          </w14:textFill>
        </w:rPr>
        <w:t>采购需求中的技术、服务要求以及合同草案条款</w:t>
      </w:r>
      <w:r>
        <w:rPr>
          <w:rFonts w:hint="eastAsia" w:ascii="宋体" w:hAnsi="宋体"/>
          <w:bCs/>
          <w:color w:val="000000" w:themeColor="text1"/>
          <w:szCs w:val="21"/>
          <w:highlight w:val="none"/>
          <w14:textFill>
            <w14:solidFill>
              <w14:schemeClr w14:val="tx1"/>
            </w14:solidFill>
          </w14:textFill>
        </w:rPr>
        <w:t>作实质性变动(磋商文件的实质性变动内容为磋商文件的组成部分)，并以书面形式要求</w:t>
      </w:r>
      <w:r>
        <w:rPr>
          <w:rFonts w:hint="eastAsia" w:ascii="宋体" w:hAnsi="宋体" w:cs="宋体"/>
          <w:color w:val="000000" w:themeColor="text1"/>
          <w:kern w:val="0"/>
          <w:szCs w:val="21"/>
          <w:highlight w:val="none"/>
          <w14:textFill>
            <w14:solidFill>
              <w14:schemeClr w14:val="tx1"/>
            </w14:solidFill>
          </w14:textFill>
        </w:rPr>
        <w:t>响应文件审查合格</w:t>
      </w:r>
      <w:r>
        <w:rPr>
          <w:rFonts w:hint="eastAsia" w:ascii="宋体" w:hAnsi="宋体"/>
          <w:bCs/>
          <w:color w:val="000000" w:themeColor="text1"/>
          <w:szCs w:val="21"/>
          <w:highlight w:val="none"/>
          <w14:textFill>
            <w14:solidFill>
              <w14:schemeClr w14:val="tx1"/>
            </w14:solidFill>
          </w14:textFill>
        </w:rPr>
        <w:t>的供应商，在规定的</w:t>
      </w:r>
      <w:r>
        <w:rPr>
          <w:rFonts w:hint="eastAsia" w:ascii="宋体" w:hAnsi="宋体" w:cs="宋体"/>
          <w:color w:val="000000" w:themeColor="text1"/>
          <w:kern w:val="0"/>
          <w:szCs w:val="21"/>
          <w:highlight w:val="none"/>
          <w14:textFill>
            <w14:solidFill>
              <w14:schemeClr w14:val="tx1"/>
            </w14:solidFill>
          </w14:textFill>
        </w:rPr>
        <w:t>截止时间前</w:t>
      </w:r>
      <w:r>
        <w:rPr>
          <w:rFonts w:hint="eastAsia" w:ascii="宋体" w:hAnsi="宋体"/>
          <w:bCs/>
          <w:color w:val="000000" w:themeColor="text1"/>
          <w:szCs w:val="21"/>
          <w:highlight w:val="none"/>
          <w14:textFill>
            <w14:solidFill>
              <w14:schemeClr w14:val="tx1"/>
            </w14:solidFill>
          </w14:textFill>
        </w:rPr>
        <w:t>重</w:t>
      </w:r>
      <w:r>
        <w:rPr>
          <w:rFonts w:hint="eastAsia" w:ascii="宋体" w:hAnsi="宋体" w:cs="宋体"/>
          <w:color w:val="000000" w:themeColor="text1"/>
          <w:kern w:val="0"/>
          <w:szCs w:val="21"/>
          <w:highlight w:val="none"/>
          <w14:textFill>
            <w14:solidFill>
              <w14:schemeClr w14:val="tx1"/>
            </w14:solidFill>
          </w14:textFill>
        </w:rPr>
        <w:t>新提交响应文件</w:t>
      </w:r>
      <w:r>
        <w:rPr>
          <w:rFonts w:hint="eastAsia" w:ascii="宋体" w:hAnsi="宋体"/>
          <w:bCs/>
          <w:color w:val="000000" w:themeColor="text1"/>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磋商小组应当</w:t>
      </w:r>
      <w:r>
        <w:rPr>
          <w:rFonts w:hint="eastAsia" w:ascii="宋体" w:hAnsi="宋体"/>
          <w:color w:val="000000" w:themeColor="text1"/>
          <w:szCs w:val="21"/>
          <w:highlight w:val="none"/>
          <w14:textFill>
            <w14:solidFill>
              <w14:schemeClr w14:val="tx1"/>
            </w14:solidFill>
          </w14:textFill>
        </w:rPr>
        <w:t>根据本章第25.2</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规定</w:t>
      </w:r>
      <w:r>
        <w:rPr>
          <w:rFonts w:hint="eastAsia" w:ascii="宋体" w:hAnsi="宋体" w:cs="宋体"/>
          <w:color w:val="000000" w:themeColor="text1"/>
          <w:kern w:val="0"/>
          <w:szCs w:val="21"/>
          <w:highlight w:val="none"/>
          <w14:textFill>
            <w14:solidFill>
              <w14:schemeClr w14:val="tx1"/>
            </w14:solidFill>
          </w14:textFill>
        </w:rPr>
        <w:t>对供应商重新提交的响应文件进行审查。供应商重新提交的响应文件审查不合格的，不得进入下一轮磋商，也不得要求提交最后报价。</w:t>
      </w:r>
    </w:p>
    <w:p w14:paraId="64D656A6">
      <w:pPr>
        <w:adjustRightInd w:val="0"/>
        <w:snapToGrid w:val="0"/>
        <w:spacing w:line="4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（1）磋商文件能够详细列明采购需求的技术、服务要求的，磋商结束后，磋商小组应当要求所有继续参加磋商的供应商在规定时间内提交最后报价。</w:t>
      </w:r>
    </w:p>
    <w:p w14:paraId="3FA7D56A">
      <w:pPr>
        <w:widowControl/>
        <w:adjustRightInd w:val="0"/>
        <w:snapToGrid w:val="0"/>
        <w:spacing w:line="46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3B7E62D">
      <w:pPr>
        <w:widowControl/>
        <w:adjustRightInd w:val="0"/>
        <w:snapToGrid w:val="0"/>
        <w:spacing w:line="460" w:lineRule="exact"/>
        <w:ind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29.3</w:t>
      </w:r>
      <w:r>
        <w:rPr>
          <w:rFonts w:hint="eastAsia" w:ascii="宋体" w:hAnsi="宋体"/>
          <w:color w:val="000000" w:themeColor="text1"/>
          <w:highlight w:val="non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重</w:t>
      </w:r>
      <w:r>
        <w:rPr>
          <w:rFonts w:hint="eastAsia" w:ascii="宋体" w:hAnsi="宋体" w:cs="宋体"/>
          <w:color w:val="000000" w:themeColor="text1"/>
          <w:kern w:val="0"/>
          <w:highlight w:val="none"/>
          <w14:textFill>
            <w14:solidFill>
              <w14:schemeClr w14:val="tx1"/>
            </w14:solidFill>
          </w14:textFill>
        </w:rPr>
        <w:t>新提交的响应文件</w:t>
      </w:r>
      <w:r>
        <w:rPr>
          <w:rFonts w:hint="eastAsia" w:ascii="宋体" w:hAnsi="宋体"/>
          <w:color w:val="000000" w:themeColor="text1"/>
          <w:highlight w:val="none"/>
          <w14:textFill>
            <w14:solidFill>
              <w14:schemeClr w14:val="tx1"/>
            </w14:solidFill>
          </w14:textFill>
        </w:rPr>
        <w:t>或者最后报价应按</w:t>
      </w:r>
      <w:r>
        <w:rPr>
          <w:rFonts w:hint="eastAsia" w:ascii="宋体" w:hAnsi="宋体" w:cs="宋体"/>
          <w:color w:val="000000" w:themeColor="text1"/>
          <w:kern w:val="0"/>
          <w:szCs w:val="21"/>
          <w:highlight w:val="none"/>
          <w14:textFill>
            <w14:solidFill>
              <w14:schemeClr w14:val="tx1"/>
            </w14:solidFill>
          </w14:textFill>
        </w:rPr>
        <w:t>本章第</w:t>
      </w:r>
      <w:r>
        <w:rPr>
          <w:rFonts w:hint="eastAsia" w:ascii="宋体" w:hAnsi="宋体"/>
          <w:color w:val="000000" w:themeColor="text1"/>
          <w:highlight w:val="none"/>
          <w14:textFill>
            <w14:solidFill>
              <w14:schemeClr w14:val="tx1"/>
            </w14:solidFill>
          </w14:textFill>
        </w:rPr>
        <w:t>20.3</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highlight w:val="none"/>
          <w14:textFill>
            <w14:solidFill>
              <w14:schemeClr w14:val="tx1"/>
            </w14:solidFill>
          </w14:textFill>
        </w:rPr>
        <w:t>规定，</w:t>
      </w:r>
      <w:r>
        <w:rPr>
          <w:rFonts w:hint="eastAsia" w:ascii="宋体" w:hAnsi="宋体" w:cs="宋体"/>
          <w:color w:val="000000" w:themeColor="text1"/>
          <w:kern w:val="0"/>
          <w:szCs w:val="21"/>
          <w:highlight w:val="none"/>
          <w14:textFill>
            <w14:solidFill>
              <w14:schemeClr w14:val="tx1"/>
            </w14:solidFill>
          </w14:textFill>
        </w:rPr>
        <w:t>由其法定代表人或其委托代理人签字或者加盖</w:t>
      </w:r>
      <w:r>
        <w:rPr>
          <w:rFonts w:hint="eastAsia" w:ascii="宋体" w:hAnsi="宋体" w:cs="宋体"/>
          <w:color w:val="000000" w:themeColor="text1"/>
          <w:kern w:val="0"/>
          <w:highlight w:val="none"/>
          <w14:textFill>
            <w14:solidFill>
              <w14:schemeClr w14:val="tx1"/>
            </w14:solidFill>
          </w14:textFill>
        </w:rPr>
        <w:t>供应商单位</w:t>
      </w:r>
      <w:r>
        <w:rPr>
          <w:rFonts w:hint="eastAsia" w:ascii="宋体" w:hAnsi="宋体" w:cs="宋体"/>
          <w:color w:val="000000" w:themeColor="text1"/>
          <w:kern w:val="0"/>
          <w:szCs w:val="21"/>
          <w:highlight w:val="none"/>
          <w14:textFill>
            <w14:solidFill>
              <w14:schemeClr w14:val="tx1"/>
            </w14:solidFill>
          </w14:textFill>
        </w:rPr>
        <w:t>章，在规定时间内密封递交给磋商小组</w:t>
      </w:r>
      <w:r>
        <w:rPr>
          <w:rFonts w:hint="eastAsia" w:ascii="宋体" w:hAnsi="宋体"/>
          <w:bCs/>
          <w:color w:val="000000" w:themeColor="text1"/>
          <w:szCs w:val="21"/>
          <w:highlight w:val="none"/>
          <w14:textFill>
            <w14:solidFill>
              <w14:schemeClr w14:val="tx1"/>
            </w14:solidFill>
          </w14:textFill>
        </w:rPr>
        <w:t>。</w:t>
      </w:r>
    </w:p>
    <w:p w14:paraId="1352CE14">
      <w:pPr>
        <w:widowControl/>
        <w:adjustRightInd w:val="0"/>
        <w:snapToGrid w:val="0"/>
        <w:spacing w:line="46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29.4</w:t>
      </w:r>
      <w:r>
        <w:rPr>
          <w:rFonts w:hint="eastAsia" w:ascii="宋体" w:hAnsi="宋体" w:cs="宋体"/>
          <w:color w:val="000000" w:themeColor="text1"/>
          <w:kern w:val="0"/>
          <w:szCs w:val="21"/>
          <w:highlight w:val="none"/>
          <w:lang w:val="zh-CN"/>
          <w14:textFill>
            <w14:solidFill>
              <w14:schemeClr w14:val="tx1"/>
            </w14:solidFill>
          </w14:textFill>
        </w:rPr>
        <w:t>供应商的</w:t>
      </w:r>
      <w:r>
        <w:rPr>
          <w:rFonts w:hint="eastAsia" w:ascii="宋体" w:hAnsi="宋体"/>
          <w:bCs/>
          <w:color w:val="000000" w:themeColor="text1"/>
          <w:szCs w:val="21"/>
          <w:highlight w:val="none"/>
          <w14:textFill>
            <w14:solidFill>
              <w14:schemeClr w14:val="tx1"/>
            </w14:solidFill>
          </w14:textFill>
        </w:rPr>
        <w:t>最</w:t>
      </w:r>
      <w:r>
        <w:rPr>
          <w:rFonts w:hint="eastAsia" w:ascii="宋体" w:hAnsi="宋体" w:cs="宋体"/>
          <w:color w:val="000000" w:themeColor="text1"/>
          <w:kern w:val="0"/>
          <w:szCs w:val="21"/>
          <w:highlight w:val="none"/>
          <w:lang w:val="zh-CN"/>
          <w14:textFill>
            <w14:solidFill>
              <w14:schemeClr w14:val="tx1"/>
            </w14:solidFill>
          </w14:textFill>
        </w:rPr>
        <w:t>后</w:t>
      </w:r>
      <w:r>
        <w:rPr>
          <w:rFonts w:hint="eastAsia" w:ascii="宋体" w:hAnsi="宋体"/>
          <w:bCs/>
          <w:color w:val="000000" w:themeColor="text1"/>
          <w:szCs w:val="21"/>
          <w:highlight w:val="none"/>
          <w14:textFill>
            <w14:solidFill>
              <w14:schemeClr w14:val="tx1"/>
            </w14:solidFill>
          </w14:textFill>
        </w:rPr>
        <w:t>报价及</w:t>
      </w:r>
      <w:r>
        <w:rPr>
          <w:rFonts w:hint="eastAsia" w:ascii="宋体" w:hAnsi="宋体" w:cs="宋体"/>
          <w:color w:val="000000" w:themeColor="text1"/>
          <w:kern w:val="0"/>
          <w:szCs w:val="21"/>
          <w:highlight w:val="none"/>
          <w14:textFill>
            <w14:solidFill>
              <w14:schemeClr w14:val="tx1"/>
            </w14:solidFill>
          </w14:textFill>
        </w:rPr>
        <w:t>政府采购政策规定的价格扣除情况，磋商小组应召集所有参加最后报价的供应商当场开封</w:t>
      </w:r>
      <w:r>
        <w:rPr>
          <w:rFonts w:hint="eastAsia" w:ascii="宋体" w:hAnsi="宋体"/>
          <w:bCs/>
          <w:color w:val="000000" w:themeColor="text1"/>
          <w:szCs w:val="21"/>
          <w:highlight w:val="none"/>
          <w14:textFill>
            <w14:solidFill>
              <w14:schemeClr w14:val="tx1"/>
            </w14:solidFill>
          </w14:textFill>
        </w:rPr>
        <w:t>公布，并由供应商代表签字确认。</w:t>
      </w:r>
    </w:p>
    <w:p w14:paraId="488E9A6F">
      <w:pPr>
        <w:widowControl/>
        <w:adjustRightInd w:val="0"/>
        <w:snapToGrid w:val="0"/>
        <w:spacing w:line="46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29.5提交首次响应文件的供应商，在提交最后报价之前，可以根据磋商情况退出磋商，</w:t>
      </w:r>
      <w:r>
        <w:rPr>
          <w:rFonts w:hint="eastAsia" w:ascii="宋体" w:hAnsi="宋体" w:cs="宋体"/>
          <w:color w:val="000000" w:themeColor="text1"/>
          <w:kern w:val="0"/>
          <w:highlight w:val="none"/>
          <w14:textFill>
            <w14:solidFill>
              <w14:schemeClr w14:val="tx1"/>
            </w14:solidFill>
          </w14:textFill>
        </w:rPr>
        <w:t>并书面通知采购代理机构或者磋商小组。</w:t>
      </w:r>
      <w:r>
        <w:rPr>
          <w:rFonts w:hint="eastAsia" w:ascii="宋体" w:hAnsi="宋体"/>
          <w:color w:val="000000" w:themeColor="text1"/>
          <w:highlight w:val="none"/>
          <w14:textFill>
            <w14:solidFill>
              <w14:schemeClr w14:val="tx1"/>
            </w14:solidFill>
          </w14:textFill>
        </w:rPr>
        <w:t>该通知由供应商法定代表人或其委托代理人签字。</w:t>
      </w:r>
      <w:r>
        <w:rPr>
          <w:rFonts w:hint="eastAsia" w:ascii="宋体" w:hAnsi="宋体" w:cs="宋体"/>
          <w:color w:val="000000" w:themeColor="text1"/>
          <w:kern w:val="0"/>
          <w:szCs w:val="21"/>
          <w:highlight w:val="none"/>
          <w14:textFill>
            <w14:solidFill>
              <w14:schemeClr w14:val="tx1"/>
            </w14:solidFill>
          </w14:textFill>
        </w:rPr>
        <w:t>采购代理机构</w:t>
      </w:r>
      <w:r>
        <w:rPr>
          <w:rFonts w:hint="eastAsia" w:ascii="宋体" w:hAnsi="宋体" w:cs="宋体"/>
          <w:color w:val="000000" w:themeColor="text1"/>
          <w:kern w:val="0"/>
          <w:highlight w:val="none"/>
          <w14:textFill>
            <w14:solidFill>
              <w14:schemeClr w14:val="tx1"/>
            </w14:solidFill>
          </w14:textFill>
        </w:rPr>
        <w:t>按</w:t>
      </w:r>
      <w:r>
        <w:rPr>
          <w:rFonts w:hint="eastAsia" w:ascii="宋体" w:hAnsi="宋体" w:cs="宋体"/>
          <w:color w:val="000000" w:themeColor="text1"/>
          <w:kern w:val="0"/>
          <w:szCs w:val="21"/>
          <w:highlight w:val="none"/>
          <w14:textFill>
            <w14:solidFill>
              <w14:schemeClr w14:val="tx1"/>
            </w14:solidFill>
          </w14:textFill>
        </w:rPr>
        <w:t>本章第</w:t>
      </w:r>
      <w:r>
        <w:rPr>
          <w:rFonts w:hint="eastAsia" w:ascii="宋体" w:hAnsi="宋体"/>
          <w:color w:val="000000" w:themeColor="text1"/>
          <w:highlight w:val="none"/>
          <w14:textFill>
            <w14:solidFill>
              <w14:schemeClr w14:val="tx1"/>
            </w14:solidFill>
          </w14:textFill>
        </w:rPr>
        <w:t>19.4</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highlight w:val="none"/>
          <w14:textFill>
            <w14:solidFill>
              <w14:schemeClr w14:val="tx1"/>
            </w14:solidFill>
          </w14:textFill>
        </w:rPr>
        <w:t>规定</w:t>
      </w:r>
      <w:r>
        <w:rPr>
          <w:rFonts w:hint="eastAsia" w:ascii="宋体" w:hAnsi="宋体" w:cs="宋体"/>
          <w:color w:val="000000" w:themeColor="text1"/>
          <w:kern w:val="0"/>
          <w:szCs w:val="21"/>
          <w:highlight w:val="none"/>
          <w14:textFill>
            <w14:solidFill>
              <w14:schemeClr w14:val="tx1"/>
            </w14:solidFill>
          </w14:textFill>
        </w:rPr>
        <w:t>退还退出磋商的供应商的磋商保证金。</w:t>
      </w:r>
    </w:p>
    <w:p w14:paraId="366E52AB">
      <w:pPr>
        <w:adjustRightInd w:val="0"/>
        <w:snapToGrid w:val="0"/>
        <w:spacing w:line="4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29.6</w:t>
      </w:r>
      <w:r>
        <w:rPr>
          <w:rFonts w:hint="eastAsia" w:ascii="宋体" w:hAnsi="宋体" w:cs="宋体"/>
          <w:color w:val="000000" w:themeColor="text1"/>
          <w:kern w:val="0"/>
          <w:szCs w:val="21"/>
          <w:highlight w:val="none"/>
          <w14:textFill>
            <w14:solidFill>
              <w14:schemeClr w14:val="tx1"/>
            </w14:solidFill>
          </w14:textFill>
        </w:rPr>
        <w:t>提交首次响应文件的供应商，未按磋商文件规定及磋商小组要求提交最后报价(或者</w:t>
      </w:r>
      <w:r>
        <w:rPr>
          <w:rFonts w:hint="eastAsia" w:ascii="宋体" w:hAnsi="宋体"/>
          <w:bCs/>
          <w:color w:val="000000" w:themeColor="text1"/>
          <w:szCs w:val="21"/>
          <w:highlight w:val="none"/>
          <w14:textFill>
            <w14:solidFill>
              <w14:schemeClr w14:val="tx1"/>
            </w14:solidFill>
          </w14:textFill>
        </w:rPr>
        <w:t>重</w:t>
      </w:r>
      <w:r>
        <w:rPr>
          <w:rFonts w:hint="eastAsia" w:ascii="宋体" w:hAnsi="宋体" w:cs="宋体"/>
          <w:color w:val="000000" w:themeColor="text1"/>
          <w:kern w:val="0"/>
          <w:szCs w:val="21"/>
          <w:highlight w:val="none"/>
          <w14:textFill>
            <w14:solidFill>
              <w14:schemeClr w14:val="tx1"/>
            </w14:solidFill>
          </w14:textFill>
        </w:rPr>
        <w:t>新提交的响应文件和最后报价)，且又</w:t>
      </w:r>
      <w:r>
        <w:rPr>
          <w:rFonts w:hint="eastAsia" w:ascii="宋体" w:hAnsi="宋体" w:cs="宋体"/>
          <w:color w:val="000000" w:themeColor="text1"/>
          <w:kern w:val="0"/>
          <w:highlight w:val="none"/>
          <w14:textFill>
            <w14:solidFill>
              <w14:schemeClr w14:val="tx1"/>
            </w14:solidFill>
          </w14:textFill>
        </w:rPr>
        <w:t>未按</w:t>
      </w:r>
      <w:r>
        <w:rPr>
          <w:rFonts w:hint="eastAsia" w:ascii="宋体" w:hAnsi="宋体" w:cs="宋体"/>
          <w:color w:val="000000" w:themeColor="text1"/>
          <w:kern w:val="0"/>
          <w:szCs w:val="21"/>
          <w:highlight w:val="none"/>
          <w14:textFill>
            <w14:solidFill>
              <w14:schemeClr w14:val="tx1"/>
            </w14:solidFill>
          </w14:textFill>
        </w:rPr>
        <w:t>本章第</w:t>
      </w:r>
      <w:r>
        <w:rPr>
          <w:rFonts w:hint="eastAsia" w:ascii="宋体" w:hAnsi="宋体"/>
          <w:color w:val="000000" w:themeColor="text1"/>
          <w:highlight w:val="none"/>
          <w14:textFill>
            <w14:solidFill>
              <w14:schemeClr w14:val="tx1"/>
            </w14:solidFill>
          </w14:textFill>
        </w:rPr>
        <w:t>29.5</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highlight w:val="none"/>
          <w14:textFill>
            <w14:solidFill>
              <w14:schemeClr w14:val="tx1"/>
            </w14:solidFill>
          </w14:textFill>
        </w:rPr>
        <w:t>规定</w:t>
      </w:r>
      <w:r>
        <w:rPr>
          <w:rFonts w:hint="eastAsia" w:ascii="宋体" w:hAnsi="宋体" w:cs="宋体"/>
          <w:color w:val="000000" w:themeColor="text1"/>
          <w:kern w:val="0"/>
          <w:szCs w:val="21"/>
          <w:highlight w:val="none"/>
          <w14:textFill>
            <w14:solidFill>
              <w14:schemeClr w14:val="tx1"/>
            </w14:solidFill>
          </w14:textFill>
        </w:rPr>
        <w:t>退出磋商的，供应商的磋商保证金不予退还。</w:t>
      </w:r>
    </w:p>
    <w:p w14:paraId="04E0AA11">
      <w:pPr>
        <w:widowControl/>
        <w:adjustRightInd w:val="0"/>
        <w:snapToGrid w:val="0"/>
        <w:spacing w:line="460" w:lineRule="exact"/>
        <w:jc w:val="left"/>
        <w:rPr>
          <w:rFonts w:ascii="宋体" w:hAnsi="宋体"/>
          <w:b/>
          <w:bCs/>
          <w:color w:val="000000" w:themeColor="text1"/>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30.响应文件评审</w:t>
      </w:r>
    </w:p>
    <w:p w14:paraId="4DB3318E">
      <w:pPr>
        <w:widowControl/>
        <w:adjustRightInd w:val="0"/>
        <w:snapToGrid w:val="0"/>
        <w:spacing w:line="460" w:lineRule="exact"/>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30.1经磋商确定最终采购需求和提交最后报价的供应商后，由磋商小组采用综合评分法对提交最后报价的供应商的响应文件和最后报价进行综合评价。</w:t>
      </w:r>
    </w:p>
    <w:p w14:paraId="69E33ED6">
      <w:pPr>
        <w:widowControl/>
        <w:adjustRightInd w:val="0"/>
        <w:snapToGrid w:val="0"/>
        <w:spacing w:line="460" w:lineRule="exact"/>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30.2综合评分法，是指响应文件满足磋商文件全部实质性要求且按评审因素的量化指标评审得分最高的供应商为成交候选供应商的评审方法。本采购项目的评审因素和标准见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b/>
          <w:bCs/>
          <w:color w:val="000000" w:themeColor="text1"/>
          <w:szCs w:val="21"/>
          <w:highlight w:val="none"/>
          <w14:textFill>
            <w14:solidFill>
              <w14:schemeClr w14:val="tx1"/>
            </w14:solidFill>
          </w14:textFill>
        </w:rPr>
        <w:t>磋商须知前附表。</w:t>
      </w:r>
    </w:p>
    <w:p w14:paraId="11BD044C">
      <w:pPr>
        <w:widowControl/>
        <w:adjustRightInd w:val="0"/>
        <w:snapToGrid w:val="0"/>
        <w:spacing w:line="460" w:lineRule="exact"/>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30.3</w:t>
      </w:r>
      <w:r>
        <w:rPr>
          <w:rFonts w:hint="eastAsia" w:ascii="宋体" w:hAnsi="宋体"/>
          <w:color w:val="000000" w:themeColor="text1"/>
          <w:szCs w:val="21"/>
          <w:highlight w:val="none"/>
          <w14:textFill>
            <w14:solidFill>
              <w14:schemeClr w14:val="tx1"/>
            </w14:solidFill>
          </w14:textFill>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w:t>
      </w:r>
    </w:p>
    <w:p w14:paraId="693E83AB">
      <w:pPr>
        <w:widowControl/>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30.4综合评分法中的价格分采用低价优先法计算，即满足磋商文件要求且经调整后的最后报价最低的供应商的价格为磋商基准价，其价格分为满分。其他供应商的价格分按照下列公式计算：</w:t>
      </w:r>
    </w:p>
    <w:p w14:paraId="49EB82DF">
      <w:pPr>
        <w:widowControl/>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磋商报价得分=（磋商基准价/最后磋商报价）×价格权值×100</w:t>
      </w:r>
    </w:p>
    <w:p w14:paraId="5E97BBA2">
      <w:pPr>
        <w:widowControl/>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项目评审过程中，不得去掉最后报价中的最高报价和最低报价。</w:t>
      </w:r>
    </w:p>
    <w:p w14:paraId="73DB6B21">
      <w:pPr>
        <w:widowControl/>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30.5</w:t>
      </w:r>
      <w:r>
        <w:rPr>
          <w:rFonts w:hint="eastAsia" w:ascii="宋体" w:hAnsi="宋体"/>
          <w:color w:val="000000" w:themeColor="text1"/>
          <w:szCs w:val="21"/>
          <w:highlight w:val="none"/>
          <w14:textFill>
            <w14:solidFill>
              <w14:schemeClr w14:val="tx1"/>
            </w14:solidFill>
          </w14:textFill>
        </w:rPr>
        <w:t>涉及政府采购政策优惠对供应商分值进行调整的，</w:t>
      </w:r>
      <w:r>
        <w:rPr>
          <w:rFonts w:hint="eastAsia" w:ascii="宋体" w:hAnsi="宋体"/>
          <w:bCs/>
          <w:color w:val="000000" w:themeColor="text1"/>
          <w:szCs w:val="21"/>
          <w:highlight w:val="none"/>
          <w14:textFill>
            <w14:solidFill>
              <w14:schemeClr w14:val="tx1"/>
            </w14:solidFill>
          </w14:textFill>
        </w:rPr>
        <w:t>按</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bCs/>
          <w:color w:val="000000" w:themeColor="text1"/>
          <w:szCs w:val="21"/>
          <w:highlight w:val="none"/>
          <w14:textFill>
            <w14:solidFill>
              <w14:schemeClr w14:val="tx1"/>
            </w14:solidFill>
          </w14:textFill>
        </w:rPr>
        <w:t>规定</w:t>
      </w:r>
      <w:r>
        <w:rPr>
          <w:rFonts w:hint="eastAsia" w:ascii="宋体" w:hAnsi="宋体"/>
          <w:color w:val="000000" w:themeColor="text1"/>
          <w:szCs w:val="21"/>
          <w:highlight w:val="none"/>
          <w14:textFill>
            <w14:solidFill>
              <w14:schemeClr w14:val="tx1"/>
            </w14:solidFill>
          </w14:textFill>
        </w:rPr>
        <w:t>调整供应商的技术、商务、价格</w:t>
      </w:r>
      <w:r>
        <w:rPr>
          <w:rFonts w:hint="eastAsia" w:ascii="宋体" w:hAnsi="宋体" w:cs="宋体"/>
          <w:color w:val="000000" w:themeColor="text1"/>
          <w:kern w:val="0"/>
          <w:szCs w:val="21"/>
          <w:highlight w:val="none"/>
          <w14:textFill>
            <w14:solidFill>
              <w14:schemeClr w14:val="tx1"/>
            </w14:solidFill>
          </w14:textFill>
        </w:rPr>
        <w:t>得分或总得分</w:t>
      </w:r>
      <w:r>
        <w:rPr>
          <w:rFonts w:hint="eastAsia" w:ascii="宋体" w:hAnsi="宋体"/>
          <w:color w:val="000000" w:themeColor="text1"/>
          <w:szCs w:val="21"/>
          <w:highlight w:val="none"/>
          <w14:textFill>
            <w14:solidFill>
              <w14:schemeClr w14:val="tx1"/>
            </w14:solidFill>
          </w14:textFill>
        </w:rPr>
        <w:t>。</w:t>
      </w:r>
    </w:p>
    <w:p w14:paraId="3C216473">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30.6涉及多处或部分获得政府采购政策优惠的，其多处或部分享受政府采购优惠政策的计算方法见</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相关规定。</w:t>
      </w:r>
    </w:p>
    <w:p w14:paraId="15D8C026">
      <w:pPr>
        <w:widowControl/>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30.7</w:t>
      </w:r>
      <w:r>
        <w:rPr>
          <w:rFonts w:hint="eastAsia" w:ascii="宋体" w:hAnsi="宋体"/>
          <w:color w:val="000000" w:themeColor="text1"/>
          <w:szCs w:val="21"/>
          <w:highlight w:val="none"/>
          <w14:textFill>
            <w14:solidFill>
              <w14:schemeClr w14:val="tx1"/>
            </w14:solidFill>
          </w14:textFill>
        </w:rPr>
        <w:t>评审时，磋商小组各成员应当独立对每个供应商的</w:t>
      </w:r>
      <w:r>
        <w:rPr>
          <w:rFonts w:hint="eastAsia" w:ascii="宋体" w:hAnsi="宋体"/>
          <w:bCs/>
          <w:color w:val="000000" w:themeColor="text1"/>
          <w:szCs w:val="21"/>
          <w:highlight w:val="none"/>
          <w14:textFill>
            <w14:solidFill>
              <w14:schemeClr w14:val="tx1"/>
            </w14:solidFill>
          </w14:textFill>
        </w:rPr>
        <w:t>响应文件</w:t>
      </w:r>
      <w:r>
        <w:rPr>
          <w:rFonts w:hint="eastAsia" w:ascii="宋体" w:hAnsi="宋体"/>
          <w:color w:val="000000" w:themeColor="text1"/>
          <w:szCs w:val="21"/>
          <w:highlight w:val="none"/>
          <w14:textFill>
            <w14:solidFill>
              <w14:schemeClr w14:val="tx1"/>
            </w14:solidFill>
          </w14:textFill>
        </w:rPr>
        <w:t>进行评价、评分，并按照政府采购优惠政策对最后报价进行价格扣除和技术、商务、价格加分后，汇总各供应商的总得分。</w:t>
      </w:r>
    </w:p>
    <w:p w14:paraId="278BEBF5">
      <w:pPr>
        <w:widowControl/>
        <w:adjustRightInd w:val="0"/>
        <w:snapToGrid w:val="0"/>
        <w:spacing w:line="460" w:lineRule="exact"/>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31</w:t>
      </w:r>
      <w:r>
        <w:rPr>
          <w:rFonts w:hint="eastAsia" w:ascii="宋体" w:hAnsi="宋体" w:cs="宋体"/>
          <w:b/>
          <w:color w:val="000000" w:themeColor="text1"/>
          <w:kern w:val="0"/>
          <w:szCs w:val="21"/>
          <w:highlight w:val="none"/>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提出成交供应商</w:t>
      </w:r>
    </w:p>
    <w:p w14:paraId="412F0EA2">
      <w:pPr>
        <w:widowControl/>
        <w:spacing w:line="460" w:lineRule="exact"/>
        <w:jc w:val="left"/>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    31.1</w:t>
      </w:r>
      <w:r>
        <w:rPr>
          <w:rFonts w:hint="eastAsia" w:ascii="宋体" w:hAnsi="宋体"/>
          <w:bCs/>
          <w:color w:val="000000" w:themeColor="text1"/>
          <w:szCs w:val="21"/>
          <w:highlight w:val="none"/>
          <w14:textFill>
            <w14:solidFill>
              <w14:schemeClr w14:val="tx1"/>
            </w14:solidFill>
          </w14:textFill>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库〔2014〕214号)</w:t>
      </w:r>
      <w:r>
        <w:rPr>
          <w:rFonts w:hint="eastAsia" w:ascii="宋体" w:hAnsi="宋体" w:cs="宋体"/>
          <w:color w:val="000000" w:themeColor="text1"/>
          <w:kern w:val="0"/>
          <w:szCs w:val="21"/>
          <w:highlight w:val="none"/>
          <w14:textFill>
            <w14:solidFill>
              <w14:schemeClr w14:val="tx1"/>
            </w14:solidFill>
          </w14:textFill>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bCs/>
          <w:color w:val="000000" w:themeColor="text1"/>
          <w:szCs w:val="21"/>
          <w:highlight w:val="none"/>
          <w14:textFill>
            <w14:solidFill>
              <w14:schemeClr w14:val="tx1"/>
            </w14:solidFill>
          </w14:textFill>
        </w:rPr>
        <w:t>可以推荐2家成交候选供应商。</w:t>
      </w:r>
    </w:p>
    <w:p w14:paraId="65A3161D">
      <w:pPr>
        <w:tabs>
          <w:tab w:val="left" w:pos="0"/>
        </w:tabs>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32.确定成交供应商</w:t>
      </w:r>
    </w:p>
    <w:p w14:paraId="54F73FBD">
      <w:pPr>
        <w:widowControl/>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32.1采购代理机构应当在评审结束后2个工作日内将评审报告送采购人确认。</w:t>
      </w:r>
    </w:p>
    <w:p w14:paraId="6DF8625A">
      <w:pPr>
        <w:widowControl/>
        <w:adjustRightInd w:val="0"/>
        <w:snapToGrid w:val="0"/>
        <w:spacing w:line="46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32.2采购人应当在收到评审报告后5个工作日内，从评审报告提出的成交候选供应商中，按照排序由高到低的原则确定成交供应商，也可以书面授权磋商小组直接确定成交供应商。</w:t>
      </w:r>
    </w:p>
    <w:p w14:paraId="19123719">
      <w:pPr>
        <w:pStyle w:val="26"/>
        <w:adjustRightInd w:val="0"/>
        <w:snapToGrid w:val="0"/>
        <w:spacing w:line="460" w:lineRule="exact"/>
        <w:ind w:left="632" w:hanging="632" w:hangingChars="300"/>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33.磋商终止</w:t>
      </w:r>
    </w:p>
    <w:p w14:paraId="2BA4185E">
      <w:pPr>
        <w:widowControl/>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33.1</w:t>
      </w:r>
      <w:r>
        <w:rPr>
          <w:rFonts w:hint="eastAsia" w:ascii="宋体" w:hAnsi="宋体" w:cs="宋体"/>
          <w:color w:val="000000" w:themeColor="text1"/>
          <w:kern w:val="0"/>
          <w:szCs w:val="21"/>
          <w:highlight w:val="none"/>
          <w14:textFill>
            <w14:solidFill>
              <w14:schemeClr w14:val="tx1"/>
            </w14:solidFill>
          </w14:textFill>
        </w:rPr>
        <w:t>出现下列情形之一的，采购人或者采购代理机构应当终止竞争性磋商采购活动，</w:t>
      </w:r>
      <w:r>
        <w:rPr>
          <w:rFonts w:hint="eastAsia" w:ascii="宋体" w:hAnsi="宋体"/>
          <w:color w:val="000000" w:themeColor="text1"/>
          <w:highlight w:val="none"/>
          <w14:textFill>
            <w14:solidFill>
              <w14:schemeClr w14:val="tx1"/>
            </w14:solidFill>
          </w14:textFill>
        </w:rPr>
        <w:t>在本章第36.1款指定的媒体上</w:t>
      </w:r>
      <w:r>
        <w:rPr>
          <w:rFonts w:hint="eastAsia" w:ascii="宋体" w:hAnsi="宋体" w:cs="宋体"/>
          <w:color w:val="000000" w:themeColor="text1"/>
          <w:kern w:val="0"/>
          <w:szCs w:val="21"/>
          <w:highlight w:val="none"/>
          <w14:textFill>
            <w14:solidFill>
              <w14:schemeClr w14:val="tx1"/>
            </w14:solidFill>
          </w14:textFill>
        </w:rPr>
        <w:t xml:space="preserve">发布项目终止公告并说明原因，重新开展采购活动： </w:t>
      </w:r>
    </w:p>
    <w:p w14:paraId="011AA350">
      <w:pPr>
        <w:widowControl/>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（1）因情况变化，不再符合规定的竞争性磋商采购方式适用情形的；</w:t>
      </w:r>
    </w:p>
    <w:p w14:paraId="072C547D">
      <w:pPr>
        <w:widowControl/>
        <w:adjustRightInd w:val="0"/>
        <w:snapToGrid w:val="0"/>
        <w:spacing w:line="460" w:lineRule="exact"/>
        <w:ind w:firstLine="42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（2）出现影响采购公正的违法、违规行为的；</w:t>
      </w:r>
    </w:p>
    <w:p w14:paraId="56454968">
      <w:pPr>
        <w:widowControl/>
        <w:adjustRightInd w:val="0"/>
        <w:snapToGrid w:val="0"/>
        <w:spacing w:line="460" w:lineRule="exact"/>
        <w:ind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r>
        <w:rPr>
          <w:rFonts w:hint="eastAsia" w:ascii="宋体" w:hAnsi="宋体"/>
          <w:bCs/>
          <w:color w:val="000000" w:themeColor="text1"/>
          <w:szCs w:val="21"/>
          <w:highlight w:val="none"/>
          <w14:textFill>
            <w14:solidFill>
              <w14:schemeClr w14:val="tx1"/>
            </w14:solidFill>
          </w14:textFill>
        </w:rPr>
        <w:t>除《政府采购竞争性磋商采购方式管理暂行办法》(财库〔2014〕214号)</w:t>
      </w:r>
      <w:r>
        <w:rPr>
          <w:rFonts w:hint="eastAsia" w:ascii="宋体" w:hAnsi="宋体" w:cs="宋体"/>
          <w:color w:val="000000" w:themeColor="text1"/>
          <w:kern w:val="0"/>
          <w:szCs w:val="21"/>
          <w:highlight w:val="none"/>
          <w14:textFill>
            <w14:solidFill>
              <w14:schemeClr w14:val="tx1"/>
            </w14:solidFill>
          </w14:textFill>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bCs/>
          <w:color w:val="000000" w:themeColor="text1"/>
          <w:szCs w:val="21"/>
          <w:highlight w:val="none"/>
          <w14:textFill>
            <w14:solidFill>
              <w14:schemeClr w14:val="tx1"/>
            </w14:solidFill>
          </w14:textFill>
        </w:rPr>
        <w:t>情形外，在采购过程中符合要求的供应商或者报价未超过采购预算的供应商不足3家的；</w:t>
      </w:r>
    </w:p>
    <w:p w14:paraId="66F128BC">
      <w:pPr>
        <w:widowControl/>
        <w:adjustRightInd w:val="0"/>
        <w:snapToGrid w:val="0"/>
        <w:spacing w:line="460" w:lineRule="exact"/>
        <w:ind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（4）因重大变故，采购任务取消的。</w:t>
      </w:r>
    </w:p>
    <w:p w14:paraId="55CC5BB9">
      <w:pPr>
        <w:widowControl/>
        <w:adjustRightInd w:val="0"/>
        <w:snapToGrid w:val="0"/>
        <w:spacing w:line="460" w:lineRule="exact"/>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34．重新评审</w:t>
      </w:r>
    </w:p>
    <w:p w14:paraId="2DDF5AD9">
      <w:pPr>
        <w:widowControl/>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34.1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63A1DBAD">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35.保密及串通行为</w:t>
      </w:r>
    </w:p>
    <w:p w14:paraId="14513244">
      <w:pPr>
        <w:adjustRightInd w:val="0"/>
        <w:snapToGrid w:val="0"/>
        <w:spacing w:line="460" w:lineRule="exact"/>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35.1磋商小组成员以及与评审工作有关的人员不得泄露评审情况以及评审过程中获悉的国家秘密、商业秘密。</w:t>
      </w:r>
    </w:p>
    <w:p w14:paraId="3A6DFF48">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35.2</w:t>
      </w:r>
      <w:r>
        <w:rPr>
          <w:rFonts w:hint="eastAsia" w:ascii="宋体" w:hAnsi="宋体" w:cs="宋体"/>
          <w:color w:val="000000" w:themeColor="text1"/>
          <w:kern w:val="0"/>
          <w:szCs w:val="21"/>
          <w:highlight w:val="none"/>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不得与</w:t>
      </w:r>
      <w:r>
        <w:rPr>
          <w:rFonts w:hint="eastAsia" w:ascii="宋体" w:hAnsi="宋体" w:cs="宋体"/>
          <w:color w:val="000000" w:themeColor="text1"/>
          <w:kern w:val="0"/>
          <w:szCs w:val="21"/>
          <w:highlight w:val="none"/>
          <w14:textFill>
            <w14:solidFill>
              <w14:schemeClr w14:val="tx1"/>
            </w14:solidFill>
          </w14:textFill>
        </w:rPr>
        <w:t>采购人、采购代理机构、其他供应商恶意</w:t>
      </w:r>
      <w:r>
        <w:rPr>
          <w:rFonts w:hint="eastAsia" w:ascii="宋体" w:hAnsi="宋体"/>
          <w:color w:val="000000" w:themeColor="text1"/>
          <w:szCs w:val="21"/>
          <w:highlight w:val="none"/>
          <w14:textFill>
            <w14:solidFill>
              <w14:schemeClr w14:val="tx1"/>
            </w14:solidFill>
          </w14:textFill>
        </w:rPr>
        <w:t>串通；不得向</w:t>
      </w:r>
      <w:r>
        <w:rPr>
          <w:rFonts w:hint="eastAsia" w:ascii="宋体" w:hAnsi="宋体" w:cs="宋体"/>
          <w:color w:val="000000" w:themeColor="text1"/>
          <w:kern w:val="0"/>
          <w:szCs w:val="21"/>
          <w:highlight w:val="none"/>
          <w14:textFill>
            <w14:solidFill>
              <w14:schemeClr w14:val="tx1"/>
            </w14:solidFill>
          </w14:textFill>
        </w:rPr>
        <w:t>采购人、采购代理机构</w:t>
      </w:r>
      <w:r>
        <w:rPr>
          <w:rFonts w:hint="eastAsia" w:ascii="宋体" w:hAnsi="宋体"/>
          <w:color w:val="000000" w:themeColor="text1"/>
          <w:szCs w:val="21"/>
          <w:highlight w:val="none"/>
          <w14:textFill>
            <w14:solidFill>
              <w14:schemeClr w14:val="tx1"/>
            </w14:solidFill>
          </w14:textFill>
        </w:rPr>
        <w:t>或者磋商小组成员行贿或者提供其他不正当利益；不得提供虚假资料谋取成交；不得以任何方式干扰、影响采购工作。</w:t>
      </w:r>
    </w:p>
    <w:p w14:paraId="7A67BC65">
      <w:pPr>
        <w:pStyle w:val="43"/>
        <w:adjustRightInd w:val="0"/>
        <w:snapToGrid w:val="0"/>
        <w:spacing w:before="0" w:beforeAutospacing="0" w:after="0" w:afterAutospacing="0" w:line="460" w:lineRule="exact"/>
        <w:ind w:firstLine="420" w:firstLineChars="200"/>
        <w:rPr>
          <w:color w:val="000000" w:themeColor="text1"/>
          <w:sz w:val="21"/>
          <w:szCs w:val="21"/>
          <w:highlight w:val="none"/>
          <w:lang w:val="zh-CN"/>
          <w14:textFill>
            <w14:solidFill>
              <w14:schemeClr w14:val="tx1"/>
            </w14:solidFill>
          </w14:textFill>
        </w:rPr>
      </w:pPr>
      <w:r>
        <w:rPr>
          <w:rFonts w:hint="eastAsia" w:cs="Arial"/>
          <w:color w:val="000000" w:themeColor="text1"/>
          <w:sz w:val="21"/>
          <w:szCs w:val="21"/>
          <w:highlight w:val="none"/>
          <w14:textFill>
            <w14:solidFill>
              <w14:schemeClr w14:val="tx1"/>
            </w14:solidFill>
          </w14:textFill>
        </w:rPr>
        <w:t>35.3</w:t>
      </w:r>
      <w:r>
        <w:rPr>
          <w:rFonts w:hint="eastAsia"/>
          <w:color w:val="000000" w:themeColor="text1"/>
          <w:sz w:val="21"/>
          <w:szCs w:val="21"/>
          <w:highlight w:val="none"/>
          <w:lang w:val="zh-CN"/>
          <w14:textFill>
            <w14:solidFill>
              <w14:schemeClr w14:val="tx1"/>
            </w14:solidFill>
          </w14:textFill>
        </w:rPr>
        <w:t>有下列情形之一的，属于恶意串通，对供应商依照政府采购法第七十七条第一款的规定追究法律责任：</w:t>
      </w:r>
    </w:p>
    <w:p w14:paraId="0F2F0BF8">
      <w:pPr>
        <w:pStyle w:val="43"/>
        <w:adjustRightInd w:val="0"/>
        <w:snapToGrid w:val="0"/>
        <w:spacing w:before="0" w:beforeAutospacing="0" w:after="0" w:afterAutospacing="0" w:line="46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（一）供应商直接或者间接从采购人或者采购代理机构处获得其他供应商的相关情况并修改其投标文件或者响应文件；</w:t>
      </w:r>
    </w:p>
    <w:p w14:paraId="2B2BFB56">
      <w:pPr>
        <w:pStyle w:val="43"/>
        <w:adjustRightInd w:val="0"/>
        <w:snapToGrid w:val="0"/>
        <w:spacing w:before="0" w:beforeAutospacing="0" w:after="0" w:afterAutospacing="0" w:line="46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（二）供应商按照采购人或者采购代理机构的授意撤换、修改投标文件或者响应文件；</w:t>
      </w:r>
    </w:p>
    <w:p w14:paraId="311DE8EC">
      <w:pPr>
        <w:pStyle w:val="43"/>
        <w:adjustRightInd w:val="0"/>
        <w:snapToGrid w:val="0"/>
        <w:spacing w:before="0" w:beforeAutospacing="0" w:after="0" w:afterAutospacing="0" w:line="46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（三）供应商之间协商报价、技术方案等投标文件或者响应文件的实质性内容；</w:t>
      </w:r>
    </w:p>
    <w:p w14:paraId="390AFC50">
      <w:pPr>
        <w:pStyle w:val="43"/>
        <w:adjustRightInd w:val="0"/>
        <w:snapToGrid w:val="0"/>
        <w:spacing w:before="0" w:beforeAutospacing="0" w:after="0" w:afterAutospacing="0" w:line="46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（四）属于同一集团、协会、商会等组织成员的供应商按照该组织要求协同参加政府采购活动；</w:t>
      </w:r>
    </w:p>
    <w:p w14:paraId="19BAD869">
      <w:pPr>
        <w:pStyle w:val="43"/>
        <w:adjustRightInd w:val="0"/>
        <w:snapToGrid w:val="0"/>
        <w:spacing w:before="0" w:beforeAutospacing="0" w:after="0" w:afterAutospacing="0" w:line="46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（五）供应商之间事先约定由某一特定供应商中标、成交；</w:t>
      </w:r>
    </w:p>
    <w:p w14:paraId="7272DE1C">
      <w:pPr>
        <w:pStyle w:val="43"/>
        <w:adjustRightInd w:val="0"/>
        <w:snapToGrid w:val="0"/>
        <w:spacing w:before="0" w:beforeAutospacing="0" w:after="0" w:afterAutospacing="0" w:line="46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（六）供应商之间商定部分供应商放弃参加政府采购活动或者放弃中标、成交；</w:t>
      </w:r>
    </w:p>
    <w:p w14:paraId="674B7713">
      <w:pPr>
        <w:pStyle w:val="43"/>
        <w:adjustRightInd w:val="0"/>
        <w:snapToGrid w:val="0"/>
        <w:spacing w:before="0" w:beforeAutospacing="0" w:after="0" w:afterAutospacing="0" w:line="460" w:lineRule="exact"/>
        <w:ind w:firstLine="420" w:firstLineChars="200"/>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（七）供应商与采购人或者采购代理机构之间、供应商相互之间，为谋求特定供应商中标、成交或者排斥其他供应商的其他串通行为。</w:t>
      </w:r>
    </w:p>
    <w:p w14:paraId="01FEDCA4">
      <w:pPr>
        <w:adjustRightInd w:val="0"/>
        <w:snapToGrid w:val="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六、成交结果信息公布与授予合同</w:t>
      </w:r>
    </w:p>
    <w:p w14:paraId="52A7C7E5">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36.成交信息的公布</w:t>
      </w:r>
    </w:p>
    <w:p w14:paraId="34400AD9">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36.1成交供应商确定后2个工作日内，成交结果信息将在</w:t>
      </w:r>
      <w:r>
        <w:rPr>
          <w:rFonts w:hint="eastAsia" w:hAnsi="宋体"/>
          <w:b/>
          <w:color w:val="000000" w:themeColor="text1"/>
          <w:highlight w:val="none"/>
          <w14:textFill>
            <w14:solidFill>
              <w14:schemeClr w14:val="tx1"/>
            </w14:solidFill>
          </w14:textFill>
        </w:rPr>
        <w:t>磋商须知前附表</w:t>
      </w:r>
      <w:r>
        <w:rPr>
          <w:rFonts w:hint="eastAsia" w:hAnsi="宋体"/>
          <w:color w:val="000000" w:themeColor="text1"/>
          <w:highlight w:val="none"/>
          <w14:textFill>
            <w14:solidFill>
              <w14:schemeClr w14:val="tx1"/>
            </w14:solidFill>
          </w14:textFill>
        </w:rPr>
        <w:t>指定的媒体上公布。</w:t>
      </w:r>
    </w:p>
    <w:p w14:paraId="2E920C05">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37.询问及质疑</w:t>
      </w:r>
    </w:p>
    <w:p w14:paraId="727F0077">
      <w:pPr>
        <w:adjustRightInd w:val="0"/>
        <w:snapToGrid w:val="0"/>
        <w:spacing w:line="460" w:lineRule="exact"/>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37.1供应商对政府采购活动事项有疑问的，可以向采购人或采购代理机构提出询问。</w:t>
      </w:r>
    </w:p>
    <w:p w14:paraId="2365FFD0">
      <w:pPr>
        <w:adjustRightInd w:val="0"/>
        <w:snapToGrid w:val="0"/>
        <w:spacing w:line="46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37.2供应商若认为磋商文件、采购过程和成交结果使自己的权益受到损害，可以按法律、行政法规及湖南省财政厅规范性文件规定向采购人或采购代理机构提出质疑。</w:t>
      </w:r>
    </w:p>
    <w:p w14:paraId="3C3DBF67">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38.成交通知</w:t>
      </w:r>
    </w:p>
    <w:p w14:paraId="3AD916F4">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38.1成交供应商确定后，采购人或采购代理机构将以书面形式向成交供应商发出成交通知书。成交通知书对采购人和成交供应商具有同等法律效力。</w:t>
      </w:r>
    </w:p>
    <w:p w14:paraId="232BD2AF">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38.2 成交通知书是合同文件的组成部分。</w:t>
      </w:r>
    </w:p>
    <w:p w14:paraId="37093C69">
      <w:pPr>
        <w:tabs>
          <w:tab w:val="left" w:pos="7560"/>
          <w:tab w:val="left" w:pos="7740"/>
          <w:tab w:val="left" w:pos="7920"/>
        </w:tabs>
        <w:autoSpaceDN w:val="0"/>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38.3 </w:t>
      </w:r>
      <w:r>
        <w:rPr>
          <w:rFonts w:hint="eastAsia" w:ascii="宋体" w:hAnsi="宋体"/>
          <w:color w:val="000000" w:themeColor="text1"/>
          <w:szCs w:val="21"/>
          <w:highlight w:val="none"/>
          <w14:textFill>
            <w14:solidFill>
              <w14:schemeClr w14:val="tx1"/>
            </w14:solidFill>
          </w14:textFill>
        </w:rPr>
        <w:t>成交供应商在收到采购代理机构的成交通知书后10日内，应按照</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的规定，向采购人提交履约担保。联合体成交的，履约担保由联合体各方或联合体中牵头人的名义提交。</w:t>
      </w:r>
    </w:p>
    <w:p w14:paraId="4EA7227C">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38.4 成交供应商</w:t>
      </w:r>
      <w:r>
        <w:rPr>
          <w:rFonts w:hint="eastAsia" w:hAnsi="宋体"/>
          <w:color w:val="000000" w:themeColor="text1"/>
          <w:spacing w:val="4"/>
          <w:highlight w:val="none"/>
          <w14:textFill>
            <w14:solidFill>
              <w14:schemeClr w14:val="tx1"/>
            </w14:solidFill>
          </w14:textFill>
        </w:rPr>
        <w:t>没有按照本章第38.3</w:t>
      </w:r>
      <w:r>
        <w:rPr>
          <w:rFonts w:hint="eastAsia" w:hAnsi="宋体" w:cs="宋体"/>
          <w:color w:val="000000" w:themeColor="text1"/>
          <w:kern w:val="0"/>
          <w:highlight w:val="none"/>
          <w:lang w:val="zh-CN"/>
          <w14:textFill>
            <w14:solidFill>
              <w14:schemeClr w14:val="tx1"/>
            </w14:solidFill>
          </w14:textFill>
        </w:rPr>
        <w:t>款</w:t>
      </w:r>
      <w:r>
        <w:rPr>
          <w:rFonts w:hint="eastAsia" w:hAnsi="宋体"/>
          <w:color w:val="000000" w:themeColor="text1"/>
          <w:spacing w:val="4"/>
          <w:highlight w:val="none"/>
          <w14:textFill>
            <w14:solidFill>
              <w14:schemeClr w14:val="tx1"/>
            </w14:solidFill>
          </w14:textFill>
        </w:rPr>
        <w:t>规定</w:t>
      </w:r>
      <w:r>
        <w:rPr>
          <w:rFonts w:hint="eastAsia" w:hAnsi="宋体"/>
          <w:color w:val="000000" w:themeColor="text1"/>
          <w:highlight w:val="none"/>
          <w14:textFill>
            <w14:solidFill>
              <w14:schemeClr w14:val="tx1"/>
            </w14:solidFill>
          </w14:textFill>
        </w:rPr>
        <w:t>提交履约担保的</w:t>
      </w:r>
      <w:r>
        <w:rPr>
          <w:rFonts w:hint="eastAsia" w:hAnsi="宋体"/>
          <w:color w:val="000000" w:themeColor="text1"/>
          <w:spacing w:val="4"/>
          <w:highlight w:val="none"/>
          <w14:textFill>
            <w14:solidFill>
              <w14:schemeClr w14:val="tx1"/>
            </w14:solidFill>
          </w14:textFill>
        </w:rPr>
        <w:t>，视为放弃</w:t>
      </w:r>
      <w:r>
        <w:rPr>
          <w:rFonts w:hint="eastAsia" w:hAnsi="宋体"/>
          <w:color w:val="000000" w:themeColor="text1"/>
          <w:highlight w:val="none"/>
          <w14:textFill>
            <w14:solidFill>
              <w14:schemeClr w14:val="tx1"/>
            </w14:solidFill>
          </w14:textFill>
        </w:rPr>
        <w:t>成交资格</w:t>
      </w:r>
      <w:r>
        <w:rPr>
          <w:rFonts w:hint="eastAsia" w:hAnsi="宋体"/>
          <w:color w:val="000000" w:themeColor="text1"/>
          <w:spacing w:val="4"/>
          <w:highlight w:val="none"/>
          <w14:textFill>
            <w14:solidFill>
              <w14:schemeClr w14:val="tx1"/>
            </w14:solidFill>
          </w14:textFill>
        </w:rPr>
        <w:t>，</w:t>
      </w:r>
      <w:r>
        <w:rPr>
          <w:rFonts w:hint="eastAsia" w:hAnsi="宋体"/>
          <w:color w:val="000000" w:themeColor="text1"/>
          <w:spacing w:val="2"/>
          <w:highlight w:val="none"/>
          <w14:textFill>
            <w14:solidFill>
              <w14:schemeClr w14:val="tx1"/>
            </w14:solidFill>
          </w14:textFill>
        </w:rPr>
        <w:t>其保证金不予退还。</w:t>
      </w:r>
    </w:p>
    <w:p w14:paraId="2FDA8563">
      <w:pPr>
        <w:adjustRightInd w:val="0"/>
        <w:snapToGrid w:val="0"/>
        <w:spacing w:line="4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39.签订合同</w:t>
      </w:r>
    </w:p>
    <w:p w14:paraId="28752674">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39.1成交供应商应当在成交通知书发出之日起30日内与采购人签订政府采购合同。</w:t>
      </w:r>
    </w:p>
    <w:p w14:paraId="4F3A6C5C">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39.2磋商文件、成交供应商的响应文件等均为签订政府采购合同的依据。</w:t>
      </w:r>
    </w:p>
    <w:p w14:paraId="241CA9EE">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39.3成交供应商应当按照合同约定履行义务。成交供应商不得向他人转让成交项目，也不得将成交项目分包后分别向他人转让。</w:t>
      </w:r>
    </w:p>
    <w:p w14:paraId="54AD7790">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39.4成交供应商有下列情形之一的，责令限期改正，情节严重的，列入不良行为记录名单，在1至3年内禁止参加政府采购活动，并予以通报：</w:t>
      </w:r>
    </w:p>
    <w:p w14:paraId="114C4215">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（一）成交后无正当理由不与采购人签订合同的；</w:t>
      </w:r>
    </w:p>
    <w:p w14:paraId="652C34D3">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（二）未按照采购文件确定的事项签订政府采购合同，或者与采购人另行订立背离合同实质性内容的协议的；</w:t>
      </w:r>
    </w:p>
    <w:p w14:paraId="178466C9">
      <w:pPr>
        <w:pStyle w:val="26"/>
        <w:adjustRightInd w:val="0"/>
        <w:snapToGrid w:val="0"/>
        <w:spacing w:line="46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（三）拒绝履行合同义务的；</w:t>
      </w:r>
    </w:p>
    <w:p w14:paraId="444F5269">
      <w:pPr>
        <w:pStyle w:val="26"/>
        <w:adjustRightInd w:val="0"/>
        <w:snapToGrid w:val="0"/>
        <w:spacing w:line="460" w:lineRule="exact"/>
        <w:ind w:firstLine="420" w:firstLineChars="200"/>
        <w:rPr>
          <w:rFonts w:hAnsi="宋体" w:cs="宋体"/>
          <w:color w:val="000000" w:themeColor="text1"/>
          <w:kern w:val="0"/>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（四）</w:t>
      </w:r>
      <w:r>
        <w:rPr>
          <w:rFonts w:hint="eastAsia" w:hAnsi="宋体" w:cs="宋体"/>
          <w:color w:val="000000" w:themeColor="text1"/>
          <w:kern w:val="0"/>
          <w:highlight w:val="none"/>
          <w14:textFill>
            <w14:solidFill>
              <w14:schemeClr w14:val="tx1"/>
            </w14:solidFill>
          </w14:textFill>
        </w:rPr>
        <w:t>违反法律、规章、规范性文件规定的。</w:t>
      </w:r>
    </w:p>
    <w:p w14:paraId="3C40D20A">
      <w:pPr>
        <w:adjustRightInd w:val="0"/>
        <w:snapToGrid w:val="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七、其他规定</w:t>
      </w:r>
    </w:p>
    <w:p w14:paraId="4E656CA3">
      <w:pPr>
        <w:adjustRightInd w:val="0"/>
        <w:snapToGrid w:val="0"/>
        <w:spacing w:line="460" w:lineRule="exact"/>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40.采购代理服务费</w:t>
      </w:r>
    </w:p>
    <w:p w14:paraId="6D68D200">
      <w:pPr>
        <w:tabs>
          <w:tab w:val="left" w:pos="420"/>
          <w:tab w:val="left" w:pos="7560"/>
          <w:tab w:val="left" w:pos="7740"/>
          <w:tab w:val="left" w:pos="7920"/>
        </w:tabs>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40.1采购代理机构应按</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规定收取采购代理服务费。</w:t>
      </w:r>
    </w:p>
    <w:p w14:paraId="6B7149E4">
      <w:pPr>
        <w:tabs>
          <w:tab w:val="left" w:pos="420"/>
          <w:tab w:val="left" w:pos="7560"/>
          <w:tab w:val="left" w:pos="7740"/>
          <w:tab w:val="left" w:pos="7920"/>
        </w:tabs>
        <w:adjustRightInd w:val="0"/>
        <w:snapToGrid w:val="0"/>
        <w:spacing w:line="460" w:lineRule="exact"/>
        <w:rPr>
          <w:rFonts w:ascii="宋体" w:hAnsi="宋体"/>
          <w:b/>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41.</w:t>
      </w:r>
      <w:r>
        <w:rPr>
          <w:rFonts w:hint="eastAsia" w:ascii="宋体" w:hAnsi="宋体"/>
          <w:b/>
          <w:color w:val="000000" w:themeColor="text1"/>
          <w:highlight w:val="none"/>
          <w14:textFill>
            <w14:solidFill>
              <w14:schemeClr w14:val="tx1"/>
            </w14:solidFill>
          </w14:textFill>
        </w:rPr>
        <w:t>其他规定</w:t>
      </w:r>
    </w:p>
    <w:p w14:paraId="1B85C3A4">
      <w:pPr>
        <w:tabs>
          <w:tab w:val="left" w:pos="420"/>
          <w:tab w:val="left" w:pos="7560"/>
          <w:tab w:val="left" w:pos="7740"/>
          <w:tab w:val="left" w:pos="7920"/>
        </w:tabs>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41.1</w:t>
      </w:r>
      <w:r>
        <w:rPr>
          <w:rFonts w:hint="eastAsia" w:ascii="宋体" w:hAnsi="宋体"/>
          <w:color w:val="000000" w:themeColor="text1"/>
          <w:szCs w:val="21"/>
          <w:highlight w:val="none"/>
          <w14:textFill>
            <w14:solidFill>
              <w14:schemeClr w14:val="tx1"/>
            </w14:solidFill>
          </w14:textFill>
        </w:rPr>
        <w:t>磋商文件</w:t>
      </w:r>
      <w:r>
        <w:rPr>
          <w:rFonts w:hint="eastAsia" w:ascii="宋体" w:hAnsi="宋体"/>
          <w:color w:val="000000" w:themeColor="text1"/>
          <w:highlight w:val="none"/>
          <w14:textFill>
            <w14:solidFill>
              <w14:schemeClr w14:val="tx1"/>
            </w14:solidFill>
          </w14:textFill>
        </w:rPr>
        <w:t>的其他规定</w:t>
      </w:r>
      <w:r>
        <w:rPr>
          <w:rFonts w:hint="eastAsia" w:ascii="宋体" w:hAnsi="宋体"/>
          <w:color w:val="000000" w:themeColor="text1"/>
          <w:szCs w:val="21"/>
          <w:highlight w:val="none"/>
          <w14:textFill>
            <w14:solidFill>
              <w14:schemeClr w14:val="tx1"/>
            </w14:solidFill>
          </w14:textFill>
        </w:rPr>
        <w:t>见</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w:t>
      </w:r>
    </w:p>
    <w:p w14:paraId="7B310222">
      <w:pPr>
        <w:tabs>
          <w:tab w:val="left" w:pos="420"/>
          <w:tab w:val="left" w:pos="7560"/>
          <w:tab w:val="left" w:pos="7740"/>
          <w:tab w:val="left" w:pos="7920"/>
        </w:tabs>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41.2法律、法规、规章和省级以上财政部门规定的其他内容见</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w:t>
      </w:r>
    </w:p>
    <w:p w14:paraId="6AE962DC">
      <w:pPr>
        <w:adjustRightInd w:val="0"/>
        <w:snapToGrid w:val="0"/>
        <w:spacing w:line="460" w:lineRule="exact"/>
        <w:ind w:left="420" w:leftChars="200"/>
        <w:jc w:val="center"/>
        <w:rPr>
          <w:rFonts w:ascii="宋体" w:hAnsi="宋体"/>
          <w:b/>
          <w:color w:val="000000" w:themeColor="text1"/>
          <w:sz w:val="32"/>
          <w:szCs w:val="32"/>
          <w:highlight w:val="none"/>
          <w14:textFill>
            <w14:solidFill>
              <w14:schemeClr w14:val="tx1"/>
            </w14:solidFill>
          </w14:textFill>
        </w:rPr>
      </w:pPr>
    </w:p>
    <w:p w14:paraId="51A6E503">
      <w:pPr>
        <w:tabs>
          <w:tab w:val="left" w:pos="420"/>
          <w:tab w:val="left" w:pos="7560"/>
          <w:tab w:val="left" w:pos="7740"/>
          <w:tab w:val="left" w:pos="7920"/>
        </w:tabs>
        <w:adjustRightInd w:val="0"/>
        <w:snapToGrid w:val="0"/>
        <w:spacing w:line="360" w:lineRule="auto"/>
        <w:jc w:val="center"/>
        <w:outlineLvl w:val="0"/>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r>
      <w:bookmarkStart w:id="2" w:name="_Toc533582188"/>
      <w:r>
        <w:rPr>
          <w:rFonts w:hint="eastAsia" w:ascii="宋体" w:hAnsi="宋体"/>
          <w:b/>
          <w:color w:val="000000" w:themeColor="text1"/>
          <w:sz w:val="32"/>
          <w:szCs w:val="32"/>
          <w:highlight w:val="none"/>
          <w14:textFill>
            <w14:solidFill>
              <w14:schemeClr w14:val="tx1"/>
            </w14:solidFill>
          </w14:textFill>
        </w:rPr>
        <w:t>第三章  政府采购合同格式</w:t>
      </w:r>
      <w:bookmarkEnd w:id="2"/>
    </w:p>
    <w:p w14:paraId="771D08BA">
      <w:pPr>
        <w:spacing w:line="480" w:lineRule="exact"/>
        <w:ind w:firstLine="420" w:firstLineChars="150"/>
        <w:jc w:val="right"/>
        <w:rPr>
          <w:color w:val="000000" w:themeColor="text1"/>
          <w:sz w:val="28"/>
          <w:szCs w:val="28"/>
          <w:highlight w:val="none"/>
          <w:lang w:val="zh-CN"/>
          <w14:textFill>
            <w14:solidFill>
              <w14:schemeClr w14:val="tx1"/>
            </w14:solidFill>
          </w14:textFill>
        </w:rPr>
      </w:pPr>
    </w:p>
    <w:p w14:paraId="0A7AA6CF">
      <w:pPr>
        <w:autoSpaceDE w:val="0"/>
        <w:autoSpaceDN w:val="0"/>
        <w:spacing w:line="200" w:lineRule="exact"/>
        <w:rPr>
          <w:rFonts w:ascii="宋体" w:hAnsi="宋体"/>
          <w:color w:val="000000" w:themeColor="text1"/>
          <w:sz w:val="21"/>
          <w:szCs w:val="21"/>
          <w:highlight w:val="none"/>
          <w14:textFill>
            <w14:solidFill>
              <w14:schemeClr w14:val="tx1"/>
            </w14:solidFill>
          </w14:textFill>
        </w:rPr>
      </w:pPr>
    </w:p>
    <w:p w14:paraId="39B1F35D">
      <w:pPr>
        <w:widowControl/>
        <w:spacing w:line="400" w:lineRule="exact"/>
        <w:ind w:firstLine="420" w:firstLineChars="200"/>
        <w:jc w:val="center"/>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 xml:space="preserve">                 项目</w:t>
      </w:r>
      <w:r>
        <w:rPr>
          <w:rFonts w:hint="eastAsia" w:ascii="宋体" w:hAnsi="宋体" w:cs="宋体"/>
          <w:color w:val="000000" w:themeColor="text1"/>
          <w:kern w:val="0"/>
          <w:sz w:val="21"/>
          <w:szCs w:val="21"/>
          <w:highlight w:val="none"/>
          <w14:textFill>
            <w14:solidFill>
              <w14:schemeClr w14:val="tx1"/>
            </w14:solidFill>
          </w14:textFill>
        </w:rPr>
        <w:t>编号：</w:t>
      </w:r>
      <w:r>
        <w:rPr>
          <w:rFonts w:hint="eastAsia" w:ascii="宋体" w:hAnsi="宋体" w:cs="宋体"/>
          <w:color w:val="000000" w:themeColor="text1"/>
          <w:kern w:val="0"/>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kern w:val="0"/>
          <w:sz w:val="21"/>
          <w:szCs w:val="21"/>
          <w:highlight w:val="none"/>
          <w14:textFill>
            <w14:solidFill>
              <w14:schemeClr w14:val="tx1"/>
            </w14:solidFill>
          </w14:textFill>
        </w:rPr>
        <w:t xml:space="preserve">             </w:t>
      </w:r>
    </w:p>
    <w:p w14:paraId="4F198F4F">
      <w:pPr>
        <w:widowControl/>
        <w:spacing w:line="400" w:lineRule="exact"/>
        <w:ind w:firstLine="420" w:firstLineChars="200"/>
        <w:jc w:val="center"/>
        <w:rPr>
          <w:rFonts w:ascii="宋体" w:hAnsi="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kern w:val="0"/>
          <w:sz w:val="21"/>
          <w:szCs w:val="21"/>
          <w:highlight w:val="none"/>
          <w14:textFill>
            <w14:solidFill>
              <w14:schemeClr w14:val="tx1"/>
            </w14:solidFill>
          </w14:textFill>
        </w:rPr>
        <w:t>合同编号：</w:t>
      </w:r>
      <w:r>
        <w:rPr>
          <w:rFonts w:hint="eastAsia" w:ascii="宋体" w:hAnsi="宋体" w:cs="宋体"/>
          <w:color w:val="000000" w:themeColor="text1"/>
          <w:kern w:val="0"/>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kern w:val="0"/>
          <w:sz w:val="21"/>
          <w:szCs w:val="21"/>
          <w:highlight w:val="none"/>
          <w14:textFill>
            <w14:solidFill>
              <w14:schemeClr w14:val="tx1"/>
            </w14:solidFill>
          </w14:textFill>
        </w:rPr>
        <w:t xml:space="preserve">              </w:t>
      </w:r>
    </w:p>
    <w:p w14:paraId="5B298C36">
      <w:pPr>
        <w:rPr>
          <w:rFonts w:ascii="宋体" w:hAnsi="宋体"/>
          <w:color w:val="000000" w:themeColor="text1"/>
          <w:sz w:val="21"/>
          <w:szCs w:val="21"/>
          <w:highlight w:val="none"/>
          <w14:textFill>
            <w14:solidFill>
              <w14:schemeClr w14:val="tx1"/>
            </w14:solidFill>
          </w14:textFill>
        </w:rPr>
      </w:pPr>
    </w:p>
    <w:p w14:paraId="755D81C8">
      <w:pPr>
        <w:jc w:val="center"/>
        <w:rPr>
          <w:rFonts w:ascii="宋体" w:hAnsi="宋体"/>
          <w:color w:val="000000" w:themeColor="text1"/>
          <w:spacing w:val="20"/>
          <w:sz w:val="21"/>
          <w:szCs w:val="21"/>
          <w:highlight w:val="none"/>
          <w14:textFill>
            <w14:solidFill>
              <w14:schemeClr w14:val="tx1"/>
            </w14:solidFill>
          </w14:textFill>
        </w:rPr>
      </w:pPr>
      <w:r>
        <w:rPr>
          <w:rFonts w:hint="eastAsia" w:ascii="宋体" w:hAnsi="宋体"/>
          <w:color w:val="000000" w:themeColor="text1"/>
          <w:spacing w:val="20"/>
          <w:sz w:val="21"/>
          <w:szCs w:val="21"/>
          <w:highlight w:val="none"/>
          <w14:textFill>
            <w14:solidFill>
              <w14:schemeClr w14:val="tx1"/>
            </w14:solidFill>
          </w14:textFill>
        </w:rPr>
        <w:t>湖南省建设工程施工合同</w:t>
      </w:r>
    </w:p>
    <w:p w14:paraId="5541FE7E">
      <w:pPr>
        <w:rPr>
          <w:rFonts w:ascii="宋体" w:hAnsi="宋体"/>
          <w:color w:val="000000" w:themeColor="text1"/>
          <w:sz w:val="21"/>
          <w:szCs w:val="21"/>
          <w:highlight w:val="none"/>
          <w14:textFill>
            <w14:solidFill>
              <w14:schemeClr w14:val="tx1"/>
            </w14:solidFill>
          </w14:textFill>
        </w:rPr>
      </w:pPr>
    </w:p>
    <w:p w14:paraId="278ADD12">
      <w:pPr>
        <w:rPr>
          <w:rFonts w:ascii="宋体" w:hAnsi="宋体"/>
          <w:color w:val="000000" w:themeColor="text1"/>
          <w:sz w:val="21"/>
          <w:szCs w:val="21"/>
          <w:highlight w:val="none"/>
          <w14:textFill>
            <w14:solidFill>
              <w14:schemeClr w14:val="tx1"/>
            </w14:solidFill>
          </w14:textFill>
        </w:rPr>
      </w:pPr>
    </w:p>
    <w:p w14:paraId="0B8928F1">
      <w:pPr>
        <w:rPr>
          <w:rFonts w:ascii="宋体" w:hAnsi="宋体"/>
          <w:color w:val="000000" w:themeColor="text1"/>
          <w:sz w:val="21"/>
          <w:szCs w:val="21"/>
          <w:highlight w:val="none"/>
          <w14:textFill>
            <w14:solidFill>
              <w14:schemeClr w14:val="tx1"/>
            </w14:solidFill>
          </w14:textFill>
        </w:rPr>
      </w:pPr>
    </w:p>
    <w:p w14:paraId="2F752243">
      <w:pPr>
        <w:rPr>
          <w:rFonts w:ascii="宋体" w:hAnsi="宋体"/>
          <w:color w:val="000000" w:themeColor="text1"/>
          <w:sz w:val="21"/>
          <w:szCs w:val="21"/>
          <w:highlight w:val="none"/>
          <w14:textFill>
            <w14:solidFill>
              <w14:schemeClr w14:val="tx1"/>
            </w14:solidFill>
          </w14:textFill>
        </w:rPr>
      </w:pPr>
    </w:p>
    <w:p w14:paraId="6B54FBDB">
      <w:pPr>
        <w:rPr>
          <w:rFonts w:ascii="宋体" w:hAnsi="宋体"/>
          <w:color w:val="000000" w:themeColor="text1"/>
          <w:sz w:val="21"/>
          <w:szCs w:val="21"/>
          <w:highlight w:val="none"/>
          <w14:textFill>
            <w14:solidFill>
              <w14:schemeClr w14:val="tx1"/>
            </w14:solidFill>
          </w14:textFill>
        </w:rPr>
      </w:pPr>
    </w:p>
    <w:p w14:paraId="7431E614">
      <w:pPr>
        <w:rPr>
          <w:rFonts w:ascii="宋体" w:hAnsi="宋体"/>
          <w:color w:val="000000" w:themeColor="text1"/>
          <w:sz w:val="21"/>
          <w:szCs w:val="21"/>
          <w:highlight w:val="none"/>
          <w14:textFill>
            <w14:solidFill>
              <w14:schemeClr w14:val="tx1"/>
            </w14:solidFill>
          </w14:textFill>
        </w:rPr>
      </w:pPr>
    </w:p>
    <w:p w14:paraId="2B8E656B">
      <w:pPr>
        <w:rPr>
          <w:rFonts w:ascii="宋体" w:hAnsi="宋体"/>
          <w:color w:val="000000" w:themeColor="text1"/>
          <w:sz w:val="21"/>
          <w:szCs w:val="21"/>
          <w:highlight w:val="none"/>
          <w14:textFill>
            <w14:solidFill>
              <w14:schemeClr w14:val="tx1"/>
            </w14:solidFill>
          </w14:textFill>
        </w:rPr>
      </w:pPr>
    </w:p>
    <w:p w14:paraId="23DBD6F7">
      <w:pPr>
        <w:spacing w:line="540" w:lineRule="exact"/>
        <w:rPr>
          <w:rFonts w:hint="default" w:ascii="宋体" w:hAnsi="宋体" w:eastAsia="宋体"/>
          <w:color w:val="000000" w:themeColor="text1"/>
          <w:sz w:val="21"/>
          <w:szCs w:val="21"/>
          <w:highlight w:val="none"/>
          <w:u w:val="single"/>
          <w:lang w:val="en-US"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工程名称：</w:t>
      </w:r>
      <w:r>
        <w:rPr>
          <w:rFonts w:hint="eastAsia" w:ascii="宋体" w:hAnsi="宋体"/>
          <w:color w:val="000000" w:themeColor="text1"/>
          <w:sz w:val="21"/>
          <w:szCs w:val="21"/>
          <w:highlight w:val="none"/>
          <w:u w:val="single"/>
          <w:lang w:eastAsia="zh-CN"/>
          <w14:textFill>
            <w14:solidFill>
              <w14:schemeClr w14:val="tx1"/>
            </w14:solidFill>
          </w14:textFill>
        </w:rPr>
        <w:t>中南大学湘雅医院开福院区防水维修工程（第二次）</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p>
    <w:p w14:paraId="48D002BE">
      <w:pPr>
        <w:rPr>
          <w:rFonts w:ascii="宋体" w:hAnsi="宋体"/>
          <w:color w:val="000000" w:themeColor="text1"/>
          <w:sz w:val="21"/>
          <w:szCs w:val="21"/>
          <w:highlight w:val="none"/>
          <w14:textFill>
            <w14:solidFill>
              <w14:schemeClr w14:val="tx1"/>
            </w14:solidFill>
          </w14:textFill>
        </w:rPr>
      </w:pPr>
    </w:p>
    <w:p w14:paraId="54F85CCA">
      <w:pPr>
        <w:rPr>
          <w:rFonts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工程地点：</w:t>
      </w:r>
      <w:r>
        <w:rPr>
          <w:rFonts w:hint="eastAsia" w:ascii="宋体" w:hAnsi="宋体"/>
          <w:color w:val="000000" w:themeColor="text1"/>
          <w:sz w:val="21"/>
          <w:szCs w:val="21"/>
          <w:highlight w:val="none"/>
          <w:u w:val="single"/>
          <w14:textFill>
            <w14:solidFill>
              <w14:schemeClr w14:val="tx1"/>
            </w14:solidFill>
          </w14:textFill>
        </w:rPr>
        <w:t xml:space="preserve">长沙市开福区湘雅医院内  </w:t>
      </w:r>
    </w:p>
    <w:p w14:paraId="33A18B48">
      <w:pPr>
        <w:ind w:firstLine="1003" w:firstLineChars="478"/>
        <w:rPr>
          <w:rFonts w:ascii="宋体" w:hAnsi="宋体"/>
          <w:color w:val="000000" w:themeColor="text1"/>
          <w:sz w:val="21"/>
          <w:szCs w:val="21"/>
          <w:highlight w:val="none"/>
          <w:u w:val="single"/>
          <w14:textFill>
            <w14:solidFill>
              <w14:schemeClr w14:val="tx1"/>
            </w14:solidFill>
          </w14:textFill>
        </w:rPr>
      </w:pPr>
    </w:p>
    <w:p w14:paraId="6685A848">
      <w:pPr>
        <w:rPr>
          <w:rFonts w:hint="default" w:ascii="宋体" w:hAnsi="宋体" w:eastAsia="宋体"/>
          <w:color w:val="000000" w:themeColor="text1"/>
          <w:sz w:val="21"/>
          <w:szCs w:val="21"/>
          <w:highlight w:val="none"/>
          <w:u w:val="single"/>
          <w:lang w:val="en-US"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甲方：</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u w:val="single"/>
          <w14:textFill>
            <w14:solidFill>
              <w14:schemeClr w14:val="tx1"/>
            </w14:solidFill>
          </w14:textFill>
        </w:rPr>
        <w:t xml:space="preserve">中南大学湘雅医院           </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p>
    <w:p w14:paraId="4CB88F92">
      <w:pPr>
        <w:ind w:firstLine="1003" w:firstLineChars="478"/>
        <w:rPr>
          <w:rFonts w:ascii="宋体" w:hAnsi="宋体"/>
          <w:color w:val="000000" w:themeColor="text1"/>
          <w:sz w:val="21"/>
          <w:szCs w:val="21"/>
          <w:highlight w:val="none"/>
          <w14:textFill>
            <w14:solidFill>
              <w14:schemeClr w14:val="tx1"/>
            </w14:solidFill>
          </w14:textFill>
        </w:rPr>
      </w:pPr>
    </w:p>
    <w:p w14:paraId="30CBD3B4">
      <w:pPr>
        <w:rPr>
          <w:rFonts w:ascii="宋体" w:hAnsi="宋体"/>
          <w:b/>
          <w:color w:val="000000" w:themeColor="text1"/>
          <w:kern w:val="0"/>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乙方：</w:t>
      </w:r>
      <w:r>
        <w:rPr>
          <w:rFonts w:hint="eastAsia" w:ascii="宋体" w:hAnsi="宋体"/>
          <w:color w:val="000000" w:themeColor="text1"/>
          <w:sz w:val="21"/>
          <w:szCs w:val="21"/>
          <w:highlight w:val="none"/>
          <w:u w:val="dotted"/>
          <w14:textFill>
            <w14:solidFill>
              <w14:schemeClr w14:val="tx1"/>
            </w14:solidFill>
          </w14:textFill>
        </w:rPr>
        <w:t xml:space="preserve"> </w:t>
      </w:r>
      <w:r>
        <w:rPr>
          <w:rFonts w:hint="eastAsia" w:ascii="宋体" w:hAnsi="宋体"/>
          <w:color w:val="000000" w:themeColor="text1"/>
          <w:sz w:val="21"/>
          <w:szCs w:val="21"/>
          <w:highlight w:val="none"/>
          <w:u w:val="dotted"/>
          <w:lang w:val="en-US" w:eastAsia="zh-CN"/>
          <w14:textFill>
            <w14:solidFill>
              <w14:schemeClr w14:val="tx1"/>
            </w14:solidFill>
          </w14:textFill>
        </w:rPr>
        <w:t xml:space="preserve">                       </w:t>
      </w:r>
    </w:p>
    <w:p w14:paraId="560D06CB">
      <w:pPr>
        <w:widowControl/>
        <w:adjustRightInd w:val="0"/>
        <w:snapToGrid w:val="0"/>
        <w:rPr>
          <w:rFonts w:ascii="宋体" w:hAnsi="宋体"/>
          <w:b/>
          <w:color w:val="000000" w:themeColor="text1"/>
          <w:kern w:val="0"/>
          <w:sz w:val="21"/>
          <w:szCs w:val="21"/>
          <w:highlight w:val="none"/>
          <w14:textFill>
            <w14:solidFill>
              <w14:schemeClr w14:val="tx1"/>
            </w14:solidFill>
          </w14:textFill>
        </w:rPr>
      </w:pPr>
    </w:p>
    <w:p w14:paraId="10DB589D">
      <w:pPr>
        <w:widowControl/>
        <w:adjustRightInd w:val="0"/>
        <w:snapToGrid w:val="0"/>
        <w:rPr>
          <w:rFonts w:ascii="宋体" w:hAnsi="宋体"/>
          <w:b/>
          <w:color w:val="000000" w:themeColor="text1"/>
          <w:kern w:val="0"/>
          <w:sz w:val="21"/>
          <w:szCs w:val="21"/>
          <w:highlight w:val="none"/>
          <w14:textFill>
            <w14:solidFill>
              <w14:schemeClr w14:val="tx1"/>
            </w14:solidFill>
          </w14:textFill>
        </w:rPr>
      </w:pPr>
    </w:p>
    <w:p w14:paraId="64329B38">
      <w:pPr>
        <w:widowControl/>
        <w:adjustRightInd w:val="0"/>
        <w:snapToGrid w:val="0"/>
        <w:rPr>
          <w:rFonts w:ascii="宋体" w:hAnsi="宋体"/>
          <w:b/>
          <w:color w:val="000000" w:themeColor="text1"/>
          <w:kern w:val="0"/>
          <w:sz w:val="21"/>
          <w:szCs w:val="21"/>
          <w:highlight w:val="none"/>
          <w14:textFill>
            <w14:solidFill>
              <w14:schemeClr w14:val="tx1"/>
            </w14:solidFill>
          </w14:textFill>
        </w:rPr>
      </w:pPr>
    </w:p>
    <w:p w14:paraId="3564525D">
      <w:pPr>
        <w:widowControl/>
        <w:adjustRightInd w:val="0"/>
        <w:snapToGrid w:val="0"/>
        <w:jc w:val="center"/>
        <w:rPr>
          <w:rFonts w:ascii="宋体" w:hAnsi="宋体"/>
          <w:color w:val="000000" w:themeColor="text1"/>
          <w:spacing w:val="24"/>
          <w:kern w:val="0"/>
          <w:sz w:val="21"/>
          <w:szCs w:val="21"/>
          <w:highlight w:val="none"/>
          <w14:textFill>
            <w14:solidFill>
              <w14:schemeClr w14:val="tx1"/>
            </w14:solidFill>
          </w14:textFill>
        </w:rPr>
      </w:pPr>
    </w:p>
    <w:p w14:paraId="431AF605">
      <w:pPr>
        <w:widowControl/>
        <w:adjustRightInd w:val="0"/>
        <w:snapToGrid w:val="0"/>
        <w:jc w:val="center"/>
        <w:rPr>
          <w:rFonts w:ascii="宋体" w:hAnsi="宋体"/>
          <w:color w:val="000000" w:themeColor="text1"/>
          <w:spacing w:val="24"/>
          <w:kern w:val="0"/>
          <w:sz w:val="21"/>
          <w:szCs w:val="21"/>
          <w:highlight w:val="none"/>
          <w14:textFill>
            <w14:solidFill>
              <w14:schemeClr w14:val="tx1"/>
            </w14:solidFill>
          </w14:textFill>
        </w:rPr>
      </w:pPr>
    </w:p>
    <w:p w14:paraId="7972DC53">
      <w:pPr>
        <w:widowControl/>
        <w:adjustRightInd w:val="0"/>
        <w:snapToGrid w:val="0"/>
        <w:rPr>
          <w:rFonts w:ascii="宋体" w:hAnsi="宋体"/>
          <w:b/>
          <w:color w:val="000000" w:themeColor="text1"/>
          <w:sz w:val="21"/>
          <w:szCs w:val="21"/>
          <w:highlight w:val="none"/>
          <w14:textFill>
            <w14:solidFill>
              <w14:schemeClr w14:val="tx1"/>
            </w14:solidFill>
          </w14:textFill>
        </w:rPr>
      </w:pPr>
    </w:p>
    <w:p w14:paraId="69B1FC96">
      <w:pPr>
        <w:widowControl/>
        <w:adjustRightInd w:val="0"/>
        <w:snapToGrid w:val="0"/>
        <w:rPr>
          <w:rFonts w:ascii="宋体" w:hAnsi="宋体"/>
          <w:b/>
          <w:color w:val="000000" w:themeColor="text1"/>
          <w:sz w:val="21"/>
          <w:szCs w:val="21"/>
          <w:highlight w:val="none"/>
          <w14:textFill>
            <w14:solidFill>
              <w14:schemeClr w14:val="tx1"/>
            </w14:solidFill>
          </w14:textFill>
        </w:rPr>
      </w:pPr>
    </w:p>
    <w:p w14:paraId="38E93DDE">
      <w:pPr>
        <w:pStyle w:val="432"/>
        <w:rPr>
          <w:color w:val="000000" w:themeColor="text1"/>
          <w:sz w:val="21"/>
          <w:szCs w:val="21"/>
          <w:highlight w:val="none"/>
          <w14:textFill>
            <w14:solidFill>
              <w14:schemeClr w14:val="tx1"/>
            </w14:solidFill>
          </w14:textFill>
        </w:rPr>
      </w:pPr>
      <w:bookmarkStart w:id="3" w:name="_Toc470519494"/>
      <w:bookmarkStart w:id="4" w:name="_Toc1947"/>
      <w:bookmarkStart w:id="5" w:name="_Toc392341547"/>
      <w:bookmarkStart w:id="6" w:name="_Toc5027428"/>
      <w:bookmarkStart w:id="7" w:name="_Toc16727"/>
      <w:bookmarkStart w:id="8" w:name="_Toc436589143"/>
      <w:bookmarkStart w:id="9" w:name="_Toc404073883"/>
      <w:bookmarkStart w:id="10" w:name="_Toc17940"/>
      <w:bookmarkStart w:id="11" w:name="_Toc39849979"/>
      <w:bookmarkStart w:id="12" w:name="_Toc135573854"/>
      <w:bookmarkStart w:id="13" w:name="_Toc279316920"/>
      <w:r>
        <w:rPr>
          <w:color w:val="000000" w:themeColor="text1"/>
          <w:sz w:val="21"/>
          <w:szCs w:val="21"/>
          <w:highlight w:val="none"/>
          <w14:textFill>
            <w14:solidFill>
              <w14:schemeClr w14:val="tx1"/>
            </w14:solidFill>
          </w14:textFill>
        </w:rPr>
        <w:t>第一部分</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t>合同协议书</w:t>
      </w:r>
      <w:bookmarkEnd w:id="3"/>
      <w:bookmarkEnd w:id="4"/>
      <w:bookmarkEnd w:id="5"/>
      <w:bookmarkEnd w:id="6"/>
      <w:bookmarkEnd w:id="7"/>
      <w:bookmarkEnd w:id="8"/>
      <w:bookmarkEnd w:id="9"/>
      <w:bookmarkEnd w:id="10"/>
      <w:bookmarkEnd w:id="11"/>
      <w:bookmarkEnd w:id="12"/>
      <w:bookmarkEnd w:id="13"/>
    </w:p>
    <w:p w14:paraId="7F0FF394">
      <w:pPr>
        <w:widowControl/>
        <w:spacing w:line="400" w:lineRule="exact"/>
        <w:ind w:firstLine="420" w:firstLineChars="200"/>
        <w:jc w:val="left"/>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甲方：（全称）</w:t>
      </w:r>
      <w:r>
        <w:rPr>
          <w:rFonts w:hint="eastAsia" w:ascii="Times New Roman" w:hAnsi="Times New Roman" w:eastAsia="宋体" w:cs="Times New Roman"/>
          <w:color w:val="000000" w:themeColor="text1"/>
          <w:kern w:val="0"/>
          <w:sz w:val="21"/>
          <w:szCs w:val="21"/>
          <w:highlight w:val="none"/>
          <w:u w:val="single"/>
          <w14:textFill>
            <w14:solidFill>
              <w14:schemeClr w14:val="tx1"/>
            </w14:solidFill>
          </w14:textFill>
        </w:rPr>
        <w:t>中南大学湘雅医院</w:t>
      </w:r>
      <w:r>
        <w:rPr>
          <w:rFonts w:ascii="Times New Roman" w:hAnsi="Times New Roman" w:eastAsia="宋体" w:cs="Times New Roman"/>
          <w:color w:val="000000" w:themeColor="text1"/>
          <w:kern w:val="0"/>
          <w:sz w:val="21"/>
          <w:szCs w:val="21"/>
          <w:highlight w:val="none"/>
          <w:u w:val="single"/>
          <w14:textFill>
            <w14:solidFill>
              <w14:schemeClr w14:val="tx1"/>
            </w14:solidFill>
          </w14:textFill>
        </w:rPr>
        <w:t xml:space="preserve"> </w:t>
      </w:r>
    </w:p>
    <w:p w14:paraId="4958EE89">
      <w:pPr>
        <w:widowControl/>
        <w:spacing w:line="400" w:lineRule="exact"/>
        <w:ind w:firstLine="420" w:firstLineChars="200"/>
        <w:jc w:val="left"/>
        <w:rPr>
          <w:rFonts w:ascii="Times New Roman" w:hAnsi="Times New Roman" w:eastAsia="宋体" w:cs="Times New Roman"/>
          <w:color w:val="000000" w:themeColor="text1"/>
          <w:kern w:val="0"/>
          <w:sz w:val="21"/>
          <w:szCs w:val="21"/>
          <w:highlight w:val="none"/>
          <w:u w:val="singl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乙方：（全称）</w:t>
      </w:r>
      <w:r>
        <w:rPr>
          <w:rFonts w:hint="eastAsia" w:cs="Times New Roman"/>
          <w:color w:val="000000" w:themeColor="text1"/>
          <w:kern w:val="0"/>
          <w:sz w:val="21"/>
          <w:szCs w:val="21"/>
          <w:highlight w:val="none"/>
          <w:u w:val="singl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u w:val="single"/>
          <w:lang w:val="en-US" w:eastAsia="zh-CN"/>
          <w14:textFill>
            <w14:solidFill>
              <w14:schemeClr w14:val="tx1"/>
            </w14:solidFill>
          </w14:textFill>
        </w:rPr>
        <w:t xml:space="preserve"> </w:t>
      </w:r>
    </w:p>
    <w:p w14:paraId="74808E88">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根据《中华人民共和国民法典》和《中华人民共和国建筑法》及其他相关法律法规的规定，按照</w:t>
      </w:r>
      <w:r>
        <w:rPr>
          <w:rFonts w:hint="eastAsia" w:ascii="宋体" w:hAnsi="宋体"/>
          <w:color w:val="000000" w:themeColor="text1"/>
          <w:sz w:val="21"/>
          <w:szCs w:val="21"/>
          <w:highlight w:val="none"/>
          <w:u w:val="single"/>
          <w:lang w:eastAsia="zh-CN"/>
          <w14:textFill>
            <w14:solidFill>
              <w14:schemeClr w14:val="tx1"/>
            </w14:solidFill>
          </w14:textFill>
        </w:rPr>
        <w:t>中南大学湘雅医院开福院区防水维修工程（第二次）</w:t>
      </w:r>
      <w:r>
        <w:rPr>
          <w:color w:val="000000" w:themeColor="text1"/>
          <w:sz w:val="21"/>
          <w:szCs w:val="21"/>
          <w:highlight w:val="none"/>
          <w14:textFill>
            <w14:solidFill>
              <w14:schemeClr w14:val="tx1"/>
            </w14:solidFill>
          </w14:textFill>
        </w:rPr>
        <w:t>招标文件的相关内容，为明确双方在本工程承包中的权利、义务和责任，确保工程任务的全面完成，在自愿、平等的原则下签订本合同。</w:t>
      </w:r>
    </w:p>
    <w:p w14:paraId="6DAABE89">
      <w:pPr>
        <w:pStyle w:val="3"/>
        <w:rPr>
          <w:color w:val="000000" w:themeColor="text1"/>
          <w:sz w:val="21"/>
          <w:szCs w:val="21"/>
          <w:highlight w:val="none"/>
          <w14:textFill>
            <w14:solidFill>
              <w14:schemeClr w14:val="tx1"/>
            </w14:solidFill>
          </w14:textFill>
        </w:rPr>
      </w:pPr>
      <w:bookmarkStart w:id="14" w:name="_Toc135573855"/>
      <w:bookmarkStart w:id="15" w:name="_Toc17015"/>
      <w:bookmarkStart w:id="16" w:name="_Toc5027429"/>
      <w:bookmarkStart w:id="17" w:name="_Toc39849980"/>
      <w:bookmarkStart w:id="18" w:name="_Toc436589144"/>
      <w:bookmarkStart w:id="19" w:name="_Toc399146797"/>
      <w:bookmarkStart w:id="20" w:name="_Toc404073884"/>
      <w:bookmarkStart w:id="21" w:name="_Toc501987460"/>
      <w:bookmarkStart w:id="22" w:name="_Toc501980454"/>
      <w:bookmarkStart w:id="23" w:name="_Toc470519495"/>
      <w:r>
        <w:rPr>
          <w:color w:val="000000" w:themeColor="text1"/>
          <w:sz w:val="21"/>
          <w:szCs w:val="21"/>
          <w:highlight w:val="none"/>
          <w14:textFill>
            <w14:solidFill>
              <w14:schemeClr w14:val="tx1"/>
            </w14:solidFill>
          </w14:textFill>
        </w:rPr>
        <w:t>一、工程概况</w:t>
      </w:r>
      <w:bookmarkEnd w:id="14"/>
      <w:bookmarkEnd w:id="15"/>
      <w:bookmarkEnd w:id="16"/>
      <w:bookmarkEnd w:id="17"/>
      <w:bookmarkEnd w:id="18"/>
      <w:bookmarkEnd w:id="19"/>
      <w:bookmarkEnd w:id="20"/>
      <w:bookmarkEnd w:id="21"/>
      <w:bookmarkEnd w:id="22"/>
      <w:bookmarkEnd w:id="23"/>
    </w:p>
    <w:p w14:paraId="4617F7A6">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14:textFill>
            <w14:solidFill>
              <w14:schemeClr w14:val="tx1"/>
            </w14:solidFill>
          </w14:textFill>
        </w:rPr>
        <w:t>1.工程名称：</w:t>
      </w:r>
      <w:r>
        <w:rPr>
          <w:rFonts w:hint="eastAsia" w:ascii="宋体" w:hAnsi="宋体"/>
          <w:color w:val="000000" w:themeColor="text1"/>
          <w:sz w:val="21"/>
          <w:szCs w:val="21"/>
          <w:highlight w:val="none"/>
          <w:u w:val="single"/>
          <w:lang w:eastAsia="zh-CN"/>
          <w14:textFill>
            <w14:solidFill>
              <w14:schemeClr w14:val="tx1"/>
            </w14:solidFill>
          </w14:textFill>
        </w:rPr>
        <w:t>中南大学湘雅医院开福院区防水维修工程（第二次）</w:t>
      </w:r>
      <w:r>
        <w:rPr>
          <w:color w:val="000000" w:themeColor="text1"/>
          <w:sz w:val="21"/>
          <w:szCs w:val="21"/>
          <w:highlight w:val="none"/>
          <w:u w:val="single"/>
          <w14:textFill>
            <w14:solidFill>
              <w14:schemeClr w14:val="tx1"/>
            </w14:solidFill>
          </w14:textFill>
        </w:rPr>
        <w:t xml:space="preserve"> </w:t>
      </w:r>
    </w:p>
    <w:p w14:paraId="272CEA9F">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2.工程地点：</w:t>
      </w:r>
      <w:r>
        <w:rPr>
          <w:color w:val="000000" w:themeColor="text1"/>
          <w:sz w:val="21"/>
          <w:szCs w:val="21"/>
          <w:highlight w:val="none"/>
          <w:u w:val="single"/>
          <w14:textFill>
            <w14:solidFill>
              <w14:schemeClr w14:val="tx1"/>
            </w14:solidFill>
          </w14:textFill>
        </w:rPr>
        <w:t>湘雅医院（长沙市湘雅路87号）</w:t>
      </w:r>
    </w:p>
    <w:p w14:paraId="6E45AE45">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14:textFill>
            <w14:solidFill>
              <w14:schemeClr w14:val="tx1"/>
            </w14:solidFill>
          </w14:textFill>
        </w:rPr>
        <w:t>3.资金来源：</w:t>
      </w:r>
      <w:r>
        <w:rPr>
          <w:color w:val="000000" w:themeColor="text1"/>
          <w:sz w:val="21"/>
          <w:szCs w:val="21"/>
          <w:highlight w:val="none"/>
          <w:u w:val="single"/>
          <w14:textFill>
            <w14:solidFill>
              <w14:schemeClr w14:val="tx1"/>
            </w14:solidFill>
          </w14:textFill>
        </w:rPr>
        <w:t>自筹资金</w:t>
      </w:r>
    </w:p>
    <w:p w14:paraId="71D2D994">
      <w:pPr>
        <w:pStyle w:val="2"/>
        <w:widowControl/>
        <w:rPr>
          <w:rFonts w:hint="eastAsia" w:eastAsia="宋体"/>
          <w:color w:val="000000" w:themeColor="text1"/>
          <w:sz w:val="21"/>
          <w:szCs w:val="21"/>
          <w:highlight w:val="none"/>
          <w:u w:val="single"/>
          <w:lang w:eastAsia="zh-CN"/>
          <w14:textFill>
            <w14:solidFill>
              <w14:schemeClr w14:val="tx1"/>
            </w14:solidFill>
          </w14:textFill>
        </w:rPr>
      </w:pPr>
      <w:r>
        <w:rPr>
          <w:color w:val="000000" w:themeColor="text1"/>
          <w:sz w:val="21"/>
          <w:szCs w:val="21"/>
          <w:highlight w:val="none"/>
          <w14:textFill>
            <w14:solidFill>
              <w14:schemeClr w14:val="tx1"/>
            </w14:solidFill>
          </w14:textFill>
        </w:rPr>
        <w:t>4.工程承包范围：</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eastAsia="zh-CN"/>
          <w14:textFill>
            <w14:solidFill>
              <w14:schemeClr w14:val="tx1"/>
            </w14:solidFill>
          </w14:textFill>
        </w:rPr>
        <w:t>图纸及清单明确的内容</w:t>
      </w:r>
    </w:p>
    <w:p w14:paraId="475BCA2B">
      <w:pPr>
        <w:pStyle w:val="3"/>
        <w:rPr>
          <w:color w:val="000000" w:themeColor="text1"/>
          <w:sz w:val="21"/>
          <w:szCs w:val="21"/>
          <w:highlight w:val="none"/>
          <w14:textFill>
            <w14:solidFill>
              <w14:schemeClr w14:val="tx1"/>
            </w14:solidFill>
          </w14:textFill>
        </w:rPr>
      </w:pPr>
      <w:bookmarkStart w:id="24" w:name="_Toc39849981"/>
      <w:bookmarkStart w:id="25" w:name="_Toc501980455"/>
      <w:bookmarkStart w:id="26" w:name="_Toc501987461"/>
      <w:bookmarkStart w:id="27" w:name="_Toc13477"/>
      <w:bookmarkStart w:id="28" w:name="_Toc399146798"/>
      <w:bookmarkStart w:id="29" w:name="_Toc404073885"/>
      <w:bookmarkStart w:id="30" w:name="_Toc436589145"/>
      <w:bookmarkStart w:id="31" w:name="_Toc470519496"/>
      <w:bookmarkStart w:id="32" w:name="_Toc135573856"/>
      <w:bookmarkStart w:id="33" w:name="_Toc5027430"/>
      <w:r>
        <w:rPr>
          <w:color w:val="000000" w:themeColor="text1"/>
          <w:sz w:val="21"/>
          <w:szCs w:val="21"/>
          <w:highlight w:val="none"/>
          <w14:textFill>
            <w14:solidFill>
              <w14:schemeClr w14:val="tx1"/>
            </w14:solidFill>
          </w14:textFill>
        </w:rPr>
        <w:t>二、合同工期</w:t>
      </w:r>
      <w:bookmarkEnd w:id="24"/>
      <w:bookmarkEnd w:id="25"/>
      <w:bookmarkEnd w:id="26"/>
      <w:bookmarkEnd w:id="27"/>
      <w:bookmarkEnd w:id="28"/>
      <w:bookmarkEnd w:id="29"/>
      <w:bookmarkEnd w:id="30"/>
      <w:bookmarkEnd w:id="31"/>
      <w:bookmarkEnd w:id="32"/>
      <w:bookmarkEnd w:id="33"/>
    </w:p>
    <w:p w14:paraId="3801A3AA">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工期总日历天数：</w:t>
      </w:r>
      <w:r>
        <w:rPr>
          <w:rFonts w:hint="eastAsia"/>
          <w:b/>
          <w:color w:val="000000" w:themeColor="text1"/>
          <w:sz w:val="21"/>
          <w:szCs w:val="21"/>
          <w:highlight w:val="none"/>
          <w:u w:val="single"/>
          <w:lang w:val="en-US" w:eastAsia="zh-CN"/>
          <w14:textFill>
            <w14:solidFill>
              <w14:schemeClr w14:val="tx1"/>
            </w14:solidFill>
          </w14:textFill>
        </w:rPr>
        <w:t>120</w:t>
      </w:r>
      <w:r>
        <w:rPr>
          <w:b/>
          <w:color w:val="000000" w:themeColor="text1"/>
          <w:sz w:val="21"/>
          <w:szCs w:val="21"/>
          <w:highlight w:val="none"/>
          <w:u w:val="single"/>
          <w14:textFill>
            <w14:solidFill>
              <w14:schemeClr w14:val="tx1"/>
            </w14:solidFill>
          </w14:textFill>
        </w:rPr>
        <w:t xml:space="preserve">日历天 </w:t>
      </w:r>
      <w:r>
        <w:rPr>
          <w:color w:val="000000" w:themeColor="text1"/>
          <w:sz w:val="21"/>
          <w:szCs w:val="21"/>
          <w:highlight w:val="none"/>
          <w14:textFill>
            <w14:solidFill>
              <w14:schemeClr w14:val="tx1"/>
            </w14:solidFill>
          </w14:textFill>
        </w:rPr>
        <w:t>。以甲方下达开工通知起计。</w:t>
      </w:r>
    </w:p>
    <w:p w14:paraId="3E872EA9">
      <w:pPr>
        <w:pStyle w:val="3"/>
        <w:rPr>
          <w:color w:val="000000" w:themeColor="text1"/>
          <w:sz w:val="21"/>
          <w:szCs w:val="21"/>
          <w:highlight w:val="none"/>
          <w14:textFill>
            <w14:solidFill>
              <w14:schemeClr w14:val="tx1"/>
            </w14:solidFill>
          </w14:textFill>
        </w:rPr>
      </w:pPr>
      <w:bookmarkStart w:id="34" w:name="_Toc15494"/>
      <w:bookmarkStart w:id="35" w:name="_Toc404073886"/>
      <w:bookmarkStart w:id="36" w:name="_Toc5027431"/>
      <w:bookmarkStart w:id="37" w:name="_Toc399146799"/>
      <w:bookmarkStart w:id="38" w:name="_Toc39849982"/>
      <w:bookmarkStart w:id="39" w:name="_Toc470519497"/>
      <w:bookmarkStart w:id="40" w:name="_Toc501987462"/>
      <w:bookmarkStart w:id="41" w:name="_Toc135573857"/>
      <w:bookmarkStart w:id="42" w:name="_Toc436589146"/>
      <w:bookmarkStart w:id="43" w:name="_Toc501980456"/>
      <w:r>
        <w:rPr>
          <w:color w:val="000000" w:themeColor="text1"/>
          <w:sz w:val="21"/>
          <w:szCs w:val="21"/>
          <w:highlight w:val="none"/>
          <w14:textFill>
            <w14:solidFill>
              <w14:schemeClr w14:val="tx1"/>
            </w14:solidFill>
          </w14:textFill>
        </w:rPr>
        <w:t>三、质量标准</w:t>
      </w:r>
      <w:bookmarkEnd w:id="34"/>
      <w:bookmarkEnd w:id="35"/>
      <w:bookmarkEnd w:id="36"/>
      <w:bookmarkEnd w:id="37"/>
      <w:bookmarkEnd w:id="38"/>
      <w:bookmarkEnd w:id="39"/>
      <w:bookmarkEnd w:id="40"/>
      <w:bookmarkEnd w:id="41"/>
      <w:bookmarkEnd w:id="42"/>
      <w:bookmarkEnd w:id="43"/>
    </w:p>
    <w:p w14:paraId="331C6F0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工程质量符合国家标准规范、行业标准规范和地方标准等相关要求，确保分部分分项工程达到100%合格，一次验收合格并通过验收、备案，达到合格质量标准</w:t>
      </w:r>
      <w:r>
        <w:rPr>
          <w:color w:val="000000" w:themeColor="text1"/>
          <w:sz w:val="21"/>
          <w:szCs w:val="21"/>
          <w:highlight w:val="none"/>
          <w:u w:val="single"/>
          <w14:textFill>
            <w14:solidFill>
              <w14:schemeClr w14:val="tx1"/>
            </w14:solidFill>
          </w14:textFill>
        </w:rPr>
        <w:t xml:space="preserve">     合格      </w:t>
      </w:r>
      <w:r>
        <w:rPr>
          <w:color w:val="000000" w:themeColor="text1"/>
          <w:sz w:val="21"/>
          <w:szCs w:val="21"/>
          <w:highlight w:val="none"/>
          <w14:textFill>
            <w14:solidFill>
              <w14:schemeClr w14:val="tx1"/>
            </w14:solidFill>
          </w14:textFill>
        </w:rPr>
        <w:t>标准。</w:t>
      </w:r>
    </w:p>
    <w:p w14:paraId="6C5822FF">
      <w:pPr>
        <w:pStyle w:val="3"/>
        <w:rPr>
          <w:color w:val="000000" w:themeColor="text1"/>
          <w:sz w:val="21"/>
          <w:szCs w:val="21"/>
          <w:highlight w:val="none"/>
          <w14:textFill>
            <w14:solidFill>
              <w14:schemeClr w14:val="tx1"/>
            </w14:solidFill>
          </w14:textFill>
        </w:rPr>
      </w:pPr>
      <w:bookmarkStart w:id="44" w:name="_Toc135573858"/>
      <w:bookmarkStart w:id="45" w:name="_Toc501980457"/>
      <w:bookmarkStart w:id="46" w:name="_Toc39849983"/>
      <w:bookmarkStart w:id="47" w:name="_Toc501987463"/>
      <w:bookmarkStart w:id="48" w:name="_Toc436589147"/>
      <w:bookmarkStart w:id="49" w:name="_Toc470519498"/>
      <w:bookmarkStart w:id="50" w:name="_Toc30100"/>
      <w:bookmarkStart w:id="51" w:name="_Toc404073887"/>
      <w:bookmarkStart w:id="52" w:name="_Toc5027432"/>
      <w:bookmarkStart w:id="53" w:name="_Toc399146800"/>
      <w:r>
        <w:rPr>
          <w:color w:val="000000" w:themeColor="text1"/>
          <w:sz w:val="21"/>
          <w:szCs w:val="21"/>
          <w:highlight w:val="none"/>
          <w14:textFill>
            <w14:solidFill>
              <w14:schemeClr w14:val="tx1"/>
            </w14:solidFill>
          </w14:textFill>
        </w:rPr>
        <w:t>四、签约合同价与合同价格形式</w:t>
      </w:r>
      <w:bookmarkEnd w:id="44"/>
      <w:bookmarkEnd w:id="45"/>
      <w:bookmarkEnd w:id="46"/>
      <w:bookmarkEnd w:id="47"/>
      <w:bookmarkEnd w:id="48"/>
      <w:bookmarkEnd w:id="49"/>
      <w:bookmarkEnd w:id="50"/>
      <w:bookmarkEnd w:id="51"/>
      <w:bookmarkEnd w:id="52"/>
      <w:bookmarkEnd w:id="53"/>
    </w:p>
    <w:p w14:paraId="6251B1CF">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1.签约合同价为： </w:t>
      </w:r>
    </w:p>
    <w:p w14:paraId="178C15A3">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人民币（大写） </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元）； </w:t>
      </w:r>
    </w:p>
    <w:p w14:paraId="7E08BE90">
      <w:pPr>
        <w:pStyle w:val="4"/>
        <w:widowControl/>
        <w:numPr>
          <w:ilvl w:val="0"/>
          <w:numId w:val="3"/>
        </w:num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合同价格形式：</w:t>
      </w:r>
      <w:r>
        <w:rPr>
          <w:color w:val="000000" w:themeColor="text1"/>
          <w:sz w:val="21"/>
          <w:szCs w:val="21"/>
          <w:highlight w:val="none"/>
          <w:u w:val="single"/>
          <w14:textFill>
            <w14:solidFill>
              <w14:schemeClr w14:val="tx1"/>
            </w14:solidFill>
          </w14:textFill>
        </w:rPr>
        <w:t xml:space="preserve"> 固定</w:t>
      </w:r>
      <w:r>
        <w:rPr>
          <w:rFonts w:hint="eastAsia"/>
          <w:color w:val="000000" w:themeColor="text1"/>
          <w:sz w:val="21"/>
          <w:szCs w:val="21"/>
          <w:highlight w:val="none"/>
          <w:u w:val="single"/>
          <w:lang w:eastAsia="zh-CN"/>
          <w14:textFill>
            <w14:solidFill>
              <w14:schemeClr w14:val="tx1"/>
            </w14:solidFill>
          </w14:textFill>
        </w:rPr>
        <w:t>总价</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6EFFFB1A">
      <w:pPr>
        <w:pStyle w:val="3"/>
        <w:rPr>
          <w:color w:val="000000" w:themeColor="text1"/>
          <w:sz w:val="21"/>
          <w:szCs w:val="21"/>
          <w:highlight w:val="none"/>
          <w14:textFill>
            <w14:solidFill>
              <w14:schemeClr w14:val="tx1"/>
            </w14:solidFill>
          </w14:textFill>
        </w:rPr>
      </w:pPr>
      <w:bookmarkStart w:id="54" w:name="_Toc21638"/>
      <w:bookmarkStart w:id="55" w:name="_Toc501980458"/>
      <w:bookmarkStart w:id="56" w:name="_Toc404073888"/>
      <w:bookmarkStart w:id="57" w:name="_Toc470519499"/>
      <w:bookmarkStart w:id="58" w:name="_Toc39849984"/>
      <w:bookmarkStart w:id="59" w:name="_Toc135573859"/>
      <w:bookmarkStart w:id="60" w:name="_Toc5027433"/>
      <w:bookmarkStart w:id="61" w:name="_Toc436589148"/>
      <w:bookmarkStart w:id="62" w:name="_Toc501987464"/>
      <w:r>
        <w:rPr>
          <w:color w:val="000000" w:themeColor="text1"/>
          <w:sz w:val="21"/>
          <w:szCs w:val="21"/>
          <w:highlight w:val="none"/>
          <w14:textFill>
            <w14:solidFill>
              <w14:schemeClr w14:val="tx1"/>
            </w14:solidFill>
          </w14:textFill>
        </w:rPr>
        <w:t>五、付款约定：</w:t>
      </w:r>
      <w:bookmarkEnd w:id="54"/>
      <w:bookmarkEnd w:id="55"/>
      <w:bookmarkEnd w:id="56"/>
      <w:bookmarkEnd w:id="57"/>
      <w:bookmarkEnd w:id="58"/>
      <w:bookmarkEnd w:id="59"/>
      <w:bookmarkEnd w:id="60"/>
      <w:bookmarkEnd w:id="61"/>
      <w:bookmarkEnd w:id="62"/>
    </w:p>
    <w:p w14:paraId="20785DC3">
      <w:pPr>
        <w:pStyle w:val="2"/>
        <w:rPr>
          <w:color w:val="000000" w:themeColor="text1"/>
          <w:sz w:val="21"/>
          <w:szCs w:val="21"/>
          <w:highlight w:val="none"/>
          <w14:textFill>
            <w14:solidFill>
              <w14:schemeClr w14:val="tx1"/>
            </w14:solidFill>
          </w14:textFill>
        </w:rPr>
      </w:pPr>
      <w:bookmarkStart w:id="63" w:name="_Toc404073889"/>
      <w:bookmarkStart w:id="64" w:name="_Toc501987465"/>
      <w:bookmarkStart w:id="65" w:name="_Toc5027434"/>
      <w:bookmarkStart w:id="66" w:name="_Toc399146801"/>
      <w:bookmarkStart w:id="67" w:name="_Toc501980459"/>
      <w:bookmarkStart w:id="68" w:name="_Toc39849985"/>
      <w:bookmarkStart w:id="69" w:name="_Toc436589149"/>
      <w:bookmarkStart w:id="70" w:name="_Toc470519500"/>
      <w:r>
        <w:rPr>
          <w:color w:val="000000" w:themeColor="text1"/>
          <w:sz w:val="21"/>
          <w:szCs w:val="21"/>
          <w:highlight w:val="none"/>
          <w14:textFill>
            <w14:solidFill>
              <w14:schemeClr w14:val="tx1"/>
            </w14:solidFill>
          </w14:textFill>
        </w:rPr>
        <w:t>无预付款，工程完工验收合格后乙方出据正式发票（自验真伪</w:t>
      </w:r>
      <w:r>
        <w:rPr>
          <w:rFonts w:hint="eastAsia" w:ascii="宋体"/>
          <w:bCs/>
          <w:color w:val="000000" w:themeColor="text1"/>
          <w:szCs w:val="21"/>
          <w:highlight w:val="none"/>
          <w:lang w:val="en-US" w:eastAsia="zh-CN"/>
          <w14:textFill>
            <w14:solidFill>
              <w14:schemeClr w14:val="tx1"/>
            </w14:solidFill>
          </w14:textFill>
        </w:rPr>
        <w:t>并随发票一并提供</w:t>
      </w:r>
      <w:r>
        <w:rPr>
          <w:color w:val="000000" w:themeColor="text1"/>
          <w:sz w:val="21"/>
          <w:szCs w:val="21"/>
          <w:highlight w:val="none"/>
          <w14:textFill>
            <w14:solidFill>
              <w14:schemeClr w14:val="tx1"/>
            </w14:solidFill>
          </w14:textFill>
        </w:rPr>
        <w:t xml:space="preserve">），付至合同价的 </w:t>
      </w:r>
      <w:r>
        <w:rPr>
          <w:rFonts w:hint="eastAsia"/>
          <w:color w:val="000000" w:themeColor="text1"/>
          <w:sz w:val="21"/>
          <w:szCs w:val="21"/>
          <w:highlight w:val="none"/>
          <w:lang w:val="en-US" w:eastAsia="zh-CN"/>
          <w14:textFill>
            <w14:solidFill>
              <w14:schemeClr w14:val="tx1"/>
            </w14:solidFill>
          </w14:textFill>
        </w:rPr>
        <w:t>97</w:t>
      </w:r>
      <w:r>
        <w:rPr>
          <w:color w:val="000000" w:themeColor="text1"/>
          <w:sz w:val="21"/>
          <w:szCs w:val="21"/>
          <w:highlight w:val="none"/>
          <w14:textFill>
            <w14:solidFill>
              <w14:schemeClr w14:val="tx1"/>
            </w14:solidFill>
          </w14:textFill>
        </w:rPr>
        <w:t>%即人民币：</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14:textFill>
            <w14:solidFill>
              <w14:schemeClr w14:val="tx1"/>
            </w14:solidFill>
          </w14:textFill>
        </w:rPr>
        <w:t>（¥</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14:textFill>
            <w14:solidFill>
              <w14:schemeClr w14:val="tx1"/>
            </w14:solidFill>
          </w14:textFill>
        </w:rPr>
        <w:t>元），留3%保修金，自验收合格之日起二年后无质量问题无息支付。</w:t>
      </w:r>
    </w:p>
    <w:p w14:paraId="34FC861D">
      <w:pPr>
        <w:pStyle w:val="3"/>
        <w:rPr>
          <w:color w:val="000000" w:themeColor="text1"/>
          <w:sz w:val="21"/>
          <w:szCs w:val="21"/>
          <w:highlight w:val="none"/>
          <w14:textFill>
            <w14:solidFill>
              <w14:schemeClr w14:val="tx1"/>
            </w14:solidFill>
          </w14:textFill>
        </w:rPr>
      </w:pPr>
      <w:bookmarkStart w:id="71" w:name="_Toc2644"/>
      <w:bookmarkStart w:id="72" w:name="_Toc135573861"/>
      <w:r>
        <w:rPr>
          <w:color w:val="000000" w:themeColor="text1"/>
          <w:sz w:val="21"/>
          <w:szCs w:val="21"/>
          <w:highlight w:val="none"/>
          <w14:textFill>
            <w14:solidFill>
              <w14:schemeClr w14:val="tx1"/>
            </w14:solidFill>
          </w14:textFill>
        </w:rPr>
        <w:t>六、项目经理</w:t>
      </w:r>
      <w:bookmarkEnd w:id="63"/>
      <w:bookmarkEnd w:id="64"/>
      <w:bookmarkEnd w:id="65"/>
      <w:bookmarkEnd w:id="66"/>
      <w:bookmarkEnd w:id="67"/>
      <w:bookmarkEnd w:id="68"/>
      <w:bookmarkEnd w:id="69"/>
      <w:bookmarkEnd w:id="70"/>
      <w:bookmarkEnd w:id="71"/>
      <w:bookmarkEnd w:id="72"/>
    </w:p>
    <w:p w14:paraId="61FB3C10">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乙方项目负责人：</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5C1C554A">
      <w:pPr>
        <w:pStyle w:val="3"/>
        <w:rPr>
          <w:color w:val="000000" w:themeColor="text1"/>
          <w:sz w:val="21"/>
          <w:szCs w:val="21"/>
          <w:highlight w:val="none"/>
          <w14:textFill>
            <w14:solidFill>
              <w14:schemeClr w14:val="tx1"/>
            </w14:solidFill>
          </w14:textFill>
        </w:rPr>
      </w:pPr>
      <w:bookmarkStart w:id="73" w:name="_Toc501987466"/>
      <w:bookmarkStart w:id="74" w:name="_Toc501980460"/>
      <w:bookmarkStart w:id="75" w:name="_Toc404073890"/>
      <w:bookmarkStart w:id="76" w:name="_Toc135573862"/>
      <w:bookmarkStart w:id="77" w:name="_Toc399146802"/>
      <w:bookmarkStart w:id="78" w:name="_Toc15770"/>
      <w:bookmarkStart w:id="79" w:name="_Toc470519501"/>
      <w:bookmarkStart w:id="80" w:name="_Toc5027435"/>
      <w:bookmarkStart w:id="81" w:name="_Toc39849986"/>
      <w:bookmarkStart w:id="82" w:name="_Toc436589150"/>
      <w:r>
        <w:rPr>
          <w:color w:val="000000" w:themeColor="text1"/>
          <w:sz w:val="21"/>
          <w:szCs w:val="21"/>
          <w:highlight w:val="none"/>
          <w14:textFill>
            <w14:solidFill>
              <w14:schemeClr w14:val="tx1"/>
            </w14:solidFill>
          </w14:textFill>
        </w:rPr>
        <w:t>七、合同文件构成</w:t>
      </w:r>
      <w:bookmarkEnd w:id="73"/>
      <w:bookmarkEnd w:id="74"/>
      <w:bookmarkEnd w:id="75"/>
      <w:bookmarkEnd w:id="76"/>
      <w:bookmarkEnd w:id="77"/>
      <w:bookmarkEnd w:id="78"/>
      <w:bookmarkEnd w:id="79"/>
      <w:bookmarkEnd w:id="80"/>
      <w:bookmarkEnd w:id="81"/>
      <w:bookmarkEnd w:id="82"/>
    </w:p>
    <w:p w14:paraId="4721F61F">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本协议书与下列文件一起构成合同文件：</w:t>
      </w:r>
    </w:p>
    <w:p w14:paraId="14CB7C8A">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（1）中标通知书（如果有）；</w:t>
      </w:r>
    </w:p>
    <w:p w14:paraId="39B076C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（2）投标函及其附录（如果有）；</w:t>
      </w:r>
    </w:p>
    <w:p w14:paraId="0CA3FDA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（3）专用合同条款及其附件；</w:t>
      </w:r>
    </w:p>
    <w:p w14:paraId="0EC86464">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（4）通用合同条款；</w:t>
      </w:r>
    </w:p>
    <w:p w14:paraId="3CB3200E">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（5）技术标准和要求；</w:t>
      </w:r>
    </w:p>
    <w:p w14:paraId="499E3B6B">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（6）图纸；</w:t>
      </w:r>
    </w:p>
    <w:p w14:paraId="620E10D7">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（7）已标价工程量清单或预算书；</w:t>
      </w:r>
    </w:p>
    <w:p w14:paraId="1CB51EBE">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（8）招标文件。</w:t>
      </w:r>
    </w:p>
    <w:p w14:paraId="5EABAB4E">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（9）其他合同文件。</w:t>
      </w:r>
    </w:p>
    <w:p w14:paraId="4C1EF61A">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在合同订立及履行过程中形成的与合同有关的文件均构成合同文件组成部分。</w:t>
      </w:r>
    </w:p>
    <w:p w14:paraId="5B001807">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65DF8592">
      <w:pPr>
        <w:pStyle w:val="3"/>
        <w:rPr>
          <w:color w:val="000000" w:themeColor="text1"/>
          <w:sz w:val="21"/>
          <w:szCs w:val="21"/>
          <w:highlight w:val="none"/>
          <w14:textFill>
            <w14:solidFill>
              <w14:schemeClr w14:val="tx1"/>
            </w14:solidFill>
          </w14:textFill>
        </w:rPr>
      </w:pPr>
      <w:bookmarkStart w:id="83" w:name="_Toc399146803"/>
      <w:bookmarkStart w:id="84" w:name="_Toc39849987"/>
      <w:bookmarkStart w:id="85" w:name="_Toc404073891"/>
      <w:bookmarkStart w:id="86" w:name="_Toc470519502"/>
      <w:bookmarkStart w:id="87" w:name="_Toc5027436"/>
      <w:bookmarkStart w:id="88" w:name="_Toc436589151"/>
      <w:bookmarkStart w:id="89" w:name="_Toc875"/>
      <w:bookmarkStart w:id="90" w:name="_Toc501987467"/>
      <w:bookmarkStart w:id="91" w:name="_Toc501980461"/>
      <w:bookmarkStart w:id="92" w:name="_Toc135573863"/>
      <w:r>
        <w:rPr>
          <w:color w:val="000000" w:themeColor="text1"/>
          <w:sz w:val="21"/>
          <w:szCs w:val="21"/>
          <w:highlight w:val="none"/>
          <w14:textFill>
            <w14:solidFill>
              <w14:schemeClr w14:val="tx1"/>
            </w14:solidFill>
          </w14:textFill>
        </w:rPr>
        <w:t>八、承诺</w:t>
      </w:r>
      <w:bookmarkEnd w:id="83"/>
      <w:bookmarkEnd w:id="84"/>
      <w:bookmarkEnd w:id="85"/>
      <w:bookmarkEnd w:id="86"/>
      <w:bookmarkEnd w:id="87"/>
      <w:bookmarkEnd w:id="88"/>
      <w:bookmarkEnd w:id="89"/>
      <w:bookmarkEnd w:id="90"/>
      <w:bookmarkEnd w:id="91"/>
      <w:bookmarkEnd w:id="92"/>
    </w:p>
    <w:p w14:paraId="097335E7">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1.甲方承诺按照法律规定履行项目审批手续、筹集工程建设资金并按照合同约定的期限和方式支付合同价款。</w:t>
      </w:r>
    </w:p>
    <w:p w14:paraId="6CD32EFC">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2.乙方承诺按照法律规定及合同约定组织完成工程施工，确保工程质量和安全，不进行转包及违法分包，并在缺陷责任期及保修期内承担相应的工程维修责任。</w:t>
      </w:r>
    </w:p>
    <w:p w14:paraId="4252C2B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3.甲方和乙方通过招投标形式签订合同的，双方理解并承诺不再就同一工程另行签订与合同实质性内容相背离的协议。</w:t>
      </w:r>
    </w:p>
    <w:p w14:paraId="76685D22">
      <w:pPr>
        <w:pStyle w:val="3"/>
        <w:rPr>
          <w:color w:val="000000" w:themeColor="text1"/>
          <w:sz w:val="21"/>
          <w:szCs w:val="21"/>
          <w:highlight w:val="none"/>
          <w14:textFill>
            <w14:solidFill>
              <w14:schemeClr w14:val="tx1"/>
            </w14:solidFill>
          </w14:textFill>
        </w:rPr>
      </w:pPr>
      <w:bookmarkStart w:id="93" w:name="_Toc404073892"/>
      <w:bookmarkStart w:id="94" w:name="_Toc29049"/>
      <w:bookmarkStart w:id="95" w:name="_Toc399146804"/>
      <w:bookmarkStart w:id="96" w:name="_Toc436589152"/>
      <w:bookmarkStart w:id="97" w:name="_Toc5027437"/>
      <w:bookmarkStart w:id="98" w:name="_Toc470519503"/>
      <w:bookmarkStart w:id="99" w:name="_Toc501980462"/>
      <w:bookmarkStart w:id="100" w:name="_Toc501987468"/>
      <w:bookmarkStart w:id="101" w:name="_Toc39849988"/>
      <w:bookmarkStart w:id="102" w:name="_Toc135573864"/>
      <w:r>
        <w:rPr>
          <w:color w:val="000000" w:themeColor="text1"/>
          <w:sz w:val="21"/>
          <w:szCs w:val="21"/>
          <w:highlight w:val="none"/>
          <w14:textFill>
            <w14:solidFill>
              <w14:schemeClr w14:val="tx1"/>
            </w14:solidFill>
          </w14:textFill>
        </w:rPr>
        <w:t>九、词语含义</w:t>
      </w:r>
      <w:bookmarkEnd w:id="93"/>
      <w:bookmarkEnd w:id="94"/>
      <w:bookmarkEnd w:id="95"/>
      <w:bookmarkEnd w:id="96"/>
      <w:bookmarkEnd w:id="97"/>
      <w:bookmarkEnd w:id="98"/>
      <w:bookmarkEnd w:id="99"/>
      <w:bookmarkEnd w:id="100"/>
      <w:bookmarkEnd w:id="101"/>
      <w:bookmarkEnd w:id="102"/>
    </w:p>
    <w:p w14:paraId="2C8CA709">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本协议书中词语含义与第二部分通用合同条款中赋予的含义相同。 </w:t>
      </w:r>
    </w:p>
    <w:p w14:paraId="3CD336A6">
      <w:pPr>
        <w:pStyle w:val="3"/>
        <w:rPr>
          <w:color w:val="000000" w:themeColor="text1"/>
          <w:sz w:val="21"/>
          <w:szCs w:val="21"/>
          <w:highlight w:val="none"/>
          <w14:textFill>
            <w14:solidFill>
              <w14:schemeClr w14:val="tx1"/>
            </w14:solidFill>
          </w14:textFill>
        </w:rPr>
      </w:pPr>
      <w:bookmarkStart w:id="103" w:name="_Toc399146805"/>
      <w:bookmarkStart w:id="104" w:name="_Toc5027438"/>
      <w:bookmarkStart w:id="105" w:name="_Toc39849989"/>
      <w:bookmarkStart w:id="106" w:name="_Toc3452"/>
      <w:bookmarkStart w:id="107" w:name="_Toc135573865"/>
      <w:bookmarkStart w:id="108" w:name="_Toc501987469"/>
      <w:bookmarkStart w:id="109" w:name="_Toc436589153"/>
      <w:bookmarkStart w:id="110" w:name="_Toc470519504"/>
      <w:bookmarkStart w:id="111" w:name="_Toc501980463"/>
      <w:bookmarkStart w:id="112" w:name="_Toc404073893"/>
      <w:r>
        <w:rPr>
          <w:color w:val="000000" w:themeColor="text1"/>
          <w:sz w:val="21"/>
          <w:szCs w:val="21"/>
          <w:highlight w:val="none"/>
          <w14:textFill>
            <w14:solidFill>
              <w14:schemeClr w14:val="tx1"/>
            </w14:solidFill>
          </w14:textFill>
        </w:rPr>
        <w:t>十、签订时间</w:t>
      </w:r>
      <w:bookmarkEnd w:id="103"/>
      <w:bookmarkEnd w:id="104"/>
      <w:bookmarkEnd w:id="105"/>
      <w:bookmarkEnd w:id="106"/>
      <w:bookmarkEnd w:id="107"/>
      <w:bookmarkEnd w:id="108"/>
      <w:bookmarkEnd w:id="109"/>
      <w:bookmarkEnd w:id="110"/>
      <w:bookmarkEnd w:id="111"/>
      <w:bookmarkEnd w:id="112"/>
    </w:p>
    <w:p w14:paraId="1F2518F2">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本合同于2024年</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月</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日签订。</w:t>
      </w:r>
    </w:p>
    <w:p w14:paraId="5E1AAC64">
      <w:pPr>
        <w:pStyle w:val="3"/>
        <w:rPr>
          <w:color w:val="000000" w:themeColor="text1"/>
          <w:sz w:val="21"/>
          <w:szCs w:val="21"/>
          <w:highlight w:val="none"/>
          <w14:textFill>
            <w14:solidFill>
              <w14:schemeClr w14:val="tx1"/>
            </w14:solidFill>
          </w14:textFill>
        </w:rPr>
      </w:pPr>
      <w:bookmarkStart w:id="113" w:name="_Toc22753"/>
      <w:bookmarkStart w:id="114" w:name="_Toc399146806"/>
      <w:bookmarkStart w:id="115" w:name="_Toc501987470"/>
      <w:bookmarkStart w:id="116" w:name="_Toc39849990"/>
      <w:bookmarkStart w:id="117" w:name="_Toc501980464"/>
      <w:bookmarkStart w:id="118" w:name="_Toc135573866"/>
      <w:bookmarkStart w:id="119" w:name="_Toc5027439"/>
      <w:bookmarkStart w:id="120" w:name="_Toc470519505"/>
      <w:bookmarkStart w:id="121" w:name="_Toc436589154"/>
      <w:bookmarkStart w:id="122" w:name="_Toc404073894"/>
      <w:r>
        <w:rPr>
          <w:color w:val="000000" w:themeColor="text1"/>
          <w:sz w:val="21"/>
          <w:szCs w:val="21"/>
          <w:highlight w:val="none"/>
          <w14:textFill>
            <w14:solidFill>
              <w14:schemeClr w14:val="tx1"/>
            </w14:solidFill>
          </w14:textFill>
        </w:rPr>
        <w:t>十一、签订地点</w:t>
      </w:r>
      <w:bookmarkEnd w:id="113"/>
      <w:bookmarkEnd w:id="114"/>
      <w:bookmarkEnd w:id="115"/>
      <w:bookmarkEnd w:id="116"/>
      <w:bookmarkEnd w:id="117"/>
      <w:bookmarkEnd w:id="118"/>
      <w:bookmarkEnd w:id="119"/>
      <w:bookmarkEnd w:id="120"/>
      <w:bookmarkEnd w:id="121"/>
      <w:bookmarkEnd w:id="122"/>
    </w:p>
    <w:p w14:paraId="67E234A6">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本合同在</w:t>
      </w:r>
      <w:r>
        <w:rPr>
          <w:color w:val="000000" w:themeColor="text1"/>
          <w:sz w:val="21"/>
          <w:szCs w:val="21"/>
          <w:highlight w:val="none"/>
          <w:u w:val="single"/>
          <w14:textFill>
            <w14:solidFill>
              <w14:schemeClr w14:val="tx1"/>
            </w14:solidFill>
          </w14:textFill>
        </w:rPr>
        <w:t xml:space="preserve">   湖南</w:t>
      </w:r>
      <w:r>
        <w:rPr>
          <w:rFonts w:hint="eastAsia"/>
          <w:color w:val="000000" w:themeColor="text1"/>
          <w:sz w:val="21"/>
          <w:szCs w:val="21"/>
          <w:highlight w:val="none"/>
          <w:u w:val="single"/>
          <w:lang w:val="en-US" w:eastAsia="zh-CN"/>
          <w14:textFill>
            <w14:solidFill>
              <w14:schemeClr w14:val="tx1"/>
            </w14:solidFill>
          </w14:textFill>
        </w:rPr>
        <w:t>省</w:t>
      </w:r>
      <w:r>
        <w:rPr>
          <w:color w:val="000000" w:themeColor="text1"/>
          <w:sz w:val="21"/>
          <w:szCs w:val="21"/>
          <w:highlight w:val="none"/>
          <w:u w:val="single"/>
          <w14:textFill>
            <w14:solidFill>
              <w14:schemeClr w14:val="tx1"/>
            </w14:solidFill>
          </w14:textFill>
        </w:rPr>
        <w:t>长沙市</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签订。</w:t>
      </w:r>
    </w:p>
    <w:p w14:paraId="34276E2F">
      <w:pPr>
        <w:pStyle w:val="3"/>
        <w:rPr>
          <w:color w:val="000000" w:themeColor="text1"/>
          <w:sz w:val="21"/>
          <w:szCs w:val="21"/>
          <w:highlight w:val="none"/>
          <w14:textFill>
            <w14:solidFill>
              <w14:schemeClr w14:val="tx1"/>
            </w14:solidFill>
          </w14:textFill>
        </w:rPr>
      </w:pPr>
      <w:bookmarkStart w:id="123" w:name="_Toc404073895"/>
      <w:bookmarkStart w:id="124" w:name="_Toc501987471"/>
      <w:bookmarkStart w:id="125" w:name="_Toc135573867"/>
      <w:bookmarkStart w:id="126" w:name="_Toc25242"/>
      <w:bookmarkStart w:id="127" w:name="_Toc436589155"/>
      <w:bookmarkStart w:id="128" w:name="_Toc5027440"/>
      <w:bookmarkStart w:id="129" w:name="_Toc399146807"/>
      <w:bookmarkStart w:id="130" w:name="_Toc501980465"/>
      <w:bookmarkStart w:id="131" w:name="_Toc39849991"/>
      <w:bookmarkStart w:id="132" w:name="_Toc470519506"/>
      <w:r>
        <w:rPr>
          <w:color w:val="000000" w:themeColor="text1"/>
          <w:sz w:val="21"/>
          <w:szCs w:val="21"/>
          <w:highlight w:val="none"/>
          <w14:textFill>
            <w14:solidFill>
              <w14:schemeClr w14:val="tx1"/>
            </w14:solidFill>
          </w14:textFill>
        </w:rPr>
        <w:t>十二、补充协议</w:t>
      </w:r>
      <w:bookmarkEnd w:id="123"/>
      <w:bookmarkEnd w:id="124"/>
      <w:bookmarkEnd w:id="125"/>
      <w:bookmarkEnd w:id="126"/>
      <w:bookmarkEnd w:id="127"/>
      <w:bookmarkEnd w:id="128"/>
      <w:bookmarkEnd w:id="129"/>
      <w:bookmarkEnd w:id="130"/>
      <w:bookmarkEnd w:id="131"/>
      <w:bookmarkEnd w:id="132"/>
    </w:p>
    <w:p w14:paraId="5602598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合同未尽事宜，合同当事人另行签订补充协议，补充协议是合同的组成部分。</w:t>
      </w:r>
    </w:p>
    <w:p w14:paraId="69294C90">
      <w:pPr>
        <w:pStyle w:val="3"/>
        <w:rPr>
          <w:color w:val="000000" w:themeColor="text1"/>
          <w:sz w:val="21"/>
          <w:szCs w:val="21"/>
          <w:highlight w:val="none"/>
          <w14:textFill>
            <w14:solidFill>
              <w14:schemeClr w14:val="tx1"/>
            </w14:solidFill>
          </w14:textFill>
        </w:rPr>
      </w:pPr>
      <w:bookmarkStart w:id="133" w:name="_Toc135573868"/>
      <w:bookmarkStart w:id="134" w:name="_Toc436589156"/>
      <w:bookmarkStart w:id="135" w:name="_Toc470519507"/>
      <w:bookmarkStart w:id="136" w:name="_Toc5027441"/>
      <w:bookmarkStart w:id="137" w:name="_Toc501987472"/>
      <w:bookmarkStart w:id="138" w:name="_Toc399146808"/>
      <w:bookmarkStart w:id="139" w:name="_Toc404073896"/>
      <w:bookmarkStart w:id="140" w:name="_Toc39849992"/>
      <w:bookmarkStart w:id="141" w:name="_Toc25377"/>
      <w:bookmarkStart w:id="142" w:name="_Toc501980466"/>
      <w:r>
        <w:rPr>
          <w:color w:val="000000" w:themeColor="text1"/>
          <w:sz w:val="21"/>
          <w:szCs w:val="21"/>
          <w:highlight w:val="none"/>
          <w14:textFill>
            <w14:solidFill>
              <w14:schemeClr w14:val="tx1"/>
            </w14:solidFill>
          </w14:textFill>
        </w:rPr>
        <w:t>十三、合同生效</w:t>
      </w:r>
      <w:bookmarkEnd w:id="133"/>
      <w:bookmarkEnd w:id="134"/>
      <w:bookmarkEnd w:id="135"/>
      <w:bookmarkEnd w:id="136"/>
      <w:bookmarkEnd w:id="137"/>
      <w:bookmarkEnd w:id="138"/>
      <w:bookmarkEnd w:id="139"/>
      <w:bookmarkEnd w:id="140"/>
      <w:bookmarkEnd w:id="141"/>
      <w:bookmarkEnd w:id="142"/>
    </w:p>
    <w:p w14:paraId="18229CAB">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合同生效部分，本合同自双方法定代表人或授权代表签字加盖章或合同专用章后生效。</w:t>
      </w:r>
    </w:p>
    <w:p w14:paraId="65B566D2">
      <w:pPr>
        <w:pStyle w:val="3"/>
        <w:rPr>
          <w:color w:val="000000" w:themeColor="text1"/>
          <w:sz w:val="21"/>
          <w:szCs w:val="21"/>
          <w:highlight w:val="none"/>
          <w14:textFill>
            <w14:solidFill>
              <w14:schemeClr w14:val="tx1"/>
            </w14:solidFill>
          </w14:textFill>
        </w:rPr>
      </w:pPr>
      <w:bookmarkStart w:id="143" w:name="_Toc399146809"/>
      <w:bookmarkStart w:id="144" w:name="_Toc501980467"/>
      <w:bookmarkStart w:id="145" w:name="_Toc436589157"/>
      <w:bookmarkStart w:id="146" w:name="_Toc135573869"/>
      <w:bookmarkStart w:id="147" w:name="_Toc470519508"/>
      <w:bookmarkStart w:id="148" w:name="_Toc9252"/>
      <w:bookmarkStart w:id="149" w:name="_Toc39849993"/>
      <w:bookmarkStart w:id="150" w:name="_Toc501987473"/>
      <w:bookmarkStart w:id="151" w:name="_Toc404073897"/>
      <w:bookmarkStart w:id="152" w:name="_Toc5027442"/>
      <w:r>
        <w:rPr>
          <w:color w:val="000000" w:themeColor="text1"/>
          <w:sz w:val="21"/>
          <w:szCs w:val="21"/>
          <w:highlight w:val="none"/>
          <w14:textFill>
            <w14:solidFill>
              <w14:schemeClr w14:val="tx1"/>
            </w14:solidFill>
          </w14:textFill>
        </w:rPr>
        <w:t>十四、合同份数</w:t>
      </w:r>
      <w:bookmarkEnd w:id="143"/>
      <w:bookmarkEnd w:id="144"/>
      <w:bookmarkEnd w:id="145"/>
      <w:bookmarkEnd w:id="146"/>
      <w:bookmarkEnd w:id="147"/>
      <w:bookmarkEnd w:id="148"/>
      <w:bookmarkEnd w:id="149"/>
      <w:bookmarkEnd w:id="150"/>
      <w:bookmarkEnd w:id="151"/>
      <w:bookmarkEnd w:id="152"/>
    </w:p>
    <w:p w14:paraId="03494599">
      <w:pPr>
        <w:pStyle w:val="2"/>
        <w:widowControl/>
        <w:rPr>
          <w:b/>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本合同经双方签字盖章后生效，一式捌份，甲方肆份，乙方肆份。</w:t>
      </w:r>
    </w:p>
    <w:p w14:paraId="2FBA299C">
      <w:pPr>
        <w:widowControl/>
        <w:spacing w:line="400" w:lineRule="exact"/>
        <w:ind w:firstLine="422" w:firstLineChars="200"/>
        <w:jc w:val="left"/>
        <w:rPr>
          <w:rFonts w:hint="eastAsia" w:ascii="宋体" w:hAnsi="宋体" w:cs="宋体"/>
          <w:b/>
          <w:color w:val="000000" w:themeColor="text1"/>
          <w:kern w:val="0"/>
          <w:sz w:val="21"/>
          <w:szCs w:val="21"/>
          <w:highlight w:val="none"/>
          <w14:textFill>
            <w14:solidFill>
              <w14:schemeClr w14:val="tx1"/>
            </w14:solidFill>
          </w14:textFill>
        </w:rPr>
      </w:pPr>
    </w:p>
    <w:p w14:paraId="1323F568">
      <w:pPr>
        <w:widowControl/>
        <w:spacing w:line="400" w:lineRule="exact"/>
        <w:ind w:firstLine="422" w:firstLineChars="200"/>
        <w:jc w:val="left"/>
        <w:rPr>
          <w:rFonts w:hint="default" w:ascii="宋体" w:hAnsi="宋体" w:eastAsia="宋体" w:cs="宋体"/>
          <w:b/>
          <w:color w:val="000000" w:themeColor="text1"/>
          <w:kern w:val="0"/>
          <w:sz w:val="21"/>
          <w:szCs w:val="21"/>
          <w:highlight w:val="none"/>
          <w:lang w:val="en-US" w:eastAsia="zh-CN"/>
          <w14:textFill>
            <w14:solidFill>
              <w14:schemeClr w14:val="tx1"/>
            </w14:solidFill>
          </w14:textFill>
        </w:rPr>
      </w:pPr>
      <w:r>
        <w:rPr>
          <w:rFonts w:hint="eastAsia" w:ascii="宋体" w:hAnsi="宋体" w:cs="宋体"/>
          <w:b/>
          <w:color w:val="000000" w:themeColor="text1"/>
          <w:kern w:val="0"/>
          <w:sz w:val="21"/>
          <w:szCs w:val="21"/>
          <w:highlight w:val="none"/>
          <w:lang w:val="en-US" w:eastAsia="zh-CN"/>
          <w14:textFill>
            <w14:solidFill>
              <w14:schemeClr w14:val="tx1"/>
            </w14:solidFill>
          </w14:textFill>
        </w:rPr>
        <w:t xml:space="preserve">              （以下无正文）</w:t>
      </w:r>
    </w:p>
    <w:p w14:paraId="3C180AAA">
      <w:pPr>
        <w:widowControl/>
        <w:spacing w:line="400" w:lineRule="exact"/>
        <w:ind w:firstLine="422" w:firstLineChars="200"/>
        <w:jc w:val="left"/>
        <w:rPr>
          <w:rFonts w:hint="eastAsia" w:ascii="宋体" w:hAnsi="宋体" w:cs="宋体"/>
          <w:b/>
          <w:color w:val="000000" w:themeColor="text1"/>
          <w:kern w:val="0"/>
          <w:sz w:val="21"/>
          <w:szCs w:val="21"/>
          <w:highlight w:val="none"/>
          <w14:textFill>
            <w14:solidFill>
              <w14:schemeClr w14:val="tx1"/>
            </w14:solidFill>
          </w14:textFill>
        </w:rPr>
      </w:pPr>
    </w:p>
    <w:p w14:paraId="6F98101E">
      <w:pPr>
        <w:widowControl/>
        <w:spacing w:line="400" w:lineRule="exact"/>
        <w:ind w:firstLine="422" w:firstLineChars="200"/>
        <w:jc w:val="left"/>
        <w:rPr>
          <w:rFonts w:hint="eastAsia" w:ascii="宋体" w:hAnsi="宋体" w:cs="宋体"/>
          <w:b/>
          <w:color w:val="000000" w:themeColor="text1"/>
          <w:kern w:val="0"/>
          <w:sz w:val="21"/>
          <w:szCs w:val="21"/>
          <w:highlight w:val="none"/>
          <w14:textFill>
            <w14:solidFill>
              <w14:schemeClr w14:val="tx1"/>
            </w14:solidFill>
          </w14:textFill>
        </w:rPr>
      </w:pPr>
    </w:p>
    <w:p w14:paraId="5B37D194">
      <w:pPr>
        <w:rPr>
          <w:b/>
          <w:color w:val="000000" w:themeColor="text1"/>
          <w:sz w:val="21"/>
          <w:szCs w:val="21"/>
          <w:highlight w:val="none"/>
          <w14:textFill>
            <w14:solidFill>
              <w14:schemeClr w14:val="tx1"/>
            </w14:solidFill>
          </w14:textFill>
        </w:rPr>
      </w:pPr>
    </w:p>
    <w:p w14:paraId="5456E9A4">
      <w:pPr>
        <w:rPr>
          <w:b/>
          <w:color w:val="000000" w:themeColor="text1"/>
          <w:sz w:val="21"/>
          <w:szCs w:val="21"/>
          <w:highlight w:val="none"/>
          <w14:textFill>
            <w14:solidFill>
              <w14:schemeClr w14:val="tx1"/>
            </w14:solidFill>
          </w14:textFill>
        </w:rPr>
      </w:pPr>
    </w:p>
    <w:p w14:paraId="1FC16893">
      <w:pPr>
        <w:rPr>
          <w:b/>
          <w:color w:val="000000" w:themeColor="text1"/>
          <w:sz w:val="21"/>
          <w:szCs w:val="21"/>
          <w:highlight w:val="none"/>
          <w14:textFill>
            <w14:solidFill>
              <w14:schemeClr w14:val="tx1"/>
            </w14:solidFill>
          </w14:textFill>
        </w:rPr>
      </w:pPr>
    </w:p>
    <w:p w14:paraId="51B7C9B6">
      <w:pPr>
        <w:rPr>
          <w:b/>
          <w:color w:val="000000" w:themeColor="text1"/>
          <w:sz w:val="21"/>
          <w:szCs w:val="21"/>
          <w:highlight w:val="none"/>
          <w14:textFill>
            <w14:solidFill>
              <w14:schemeClr w14:val="tx1"/>
            </w14:solidFill>
          </w14:textFill>
        </w:rPr>
      </w:pPr>
    </w:p>
    <w:p w14:paraId="6C61A56F">
      <w:pPr>
        <w:rPr>
          <w:b/>
          <w:color w:val="000000" w:themeColor="text1"/>
          <w:sz w:val="21"/>
          <w:szCs w:val="21"/>
          <w:highlight w:val="none"/>
          <w14:textFill>
            <w14:solidFill>
              <w14:schemeClr w14:val="tx1"/>
            </w14:solidFill>
          </w14:textFill>
        </w:rPr>
      </w:pPr>
    </w:p>
    <w:p w14:paraId="41467D53">
      <w:pPr>
        <w:rPr>
          <w:b/>
          <w:color w:val="000000" w:themeColor="text1"/>
          <w:sz w:val="21"/>
          <w:szCs w:val="21"/>
          <w:highlight w:val="none"/>
          <w14:textFill>
            <w14:solidFill>
              <w14:schemeClr w14:val="tx1"/>
            </w14:solidFill>
          </w14:textFill>
        </w:rPr>
      </w:pPr>
    </w:p>
    <w:p w14:paraId="7A90336C">
      <w:pPr>
        <w:pStyle w:val="2"/>
        <w:widowControl/>
        <w:rPr>
          <w:b/>
          <w:color w:val="000000" w:themeColor="text1"/>
          <w:sz w:val="21"/>
          <w:szCs w:val="21"/>
          <w:highlight w:val="none"/>
          <w14:textFill>
            <w14:solidFill>
              <w14:schemeClr w14:val="tx1"/>
            </w14:solidFill>
          </w14:textFill>
        </w:rPr>
      </w:pPr>
      <w:r>
        <w:rPr>
          <w:b/>
          <w:color w:val="000000" w:themeColor="text1"/>
          <w:sz w:val="21"/>
          <w:szCs w:val="21"/>
          <w:highlight w:val="none"/>
          <w14:textFill>
            <w14:solidFill>
              <w14:schemeClr w14:val="tx1"/>
            </w14:solidFill>
          </w14:textFill>
        </w:rPr>
        <w:t>（本页为签署页）</w:t>
      </w:r>
    </w:p>
    <w:p w14:paraId="6452261A">
      <w:pPr>
        <w:widowControl/>
        <w:spacing w:line="400" w:lineRule="exact"/>
        <w:ind w:left="7280" w:hanging="5460" w:hangingChars="2600"/>
        <w:jc w:val="left"/>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甲方：</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中南大学湘雅医院</w:t>
      </w:r>
      <w:r>
        <w:rPr>
          <w:rFonts w:hint="eastAsia" w:cs="Times New Roman"/>
          <w:color w:val="000000" w:themeColor="text1"/>
          <w:kern w:val="0"/>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乙方：</w:t>
      </w:r>
      <w:r>
        <w:rPr>
          <w:rFonts w:hint="eastAsia" w:cs="Times New Roman"/>
          <w:color w:val="000000" w:themeColor="text1"/>
          <w:kern w:val="0"/>
          <w:sz w:val="21"/>
          <w:szCs w:val="21"/>
          <w:highlight w:val="none"/>
          <w:lang w:val="en-US" w:eastAsia="zh-CN"/>
          <w14:textFill>
            <w14:solidFill>
              <w14:schemeClr w14:val="tx1"/>
            </w14:solidFill>
          </w14:textFill>
        </w:rPr>
        <w:t xml:space="preserve"> </w:t>
      </w:r>
    </w:p>
    <w:p w14:paraId="31CD2A4A">
      <w:pPr>
        <w:widowControl/>
        <w:spacing w:line="400" w:lineRule="exact"/>
        <w:ind w:left="5945" w:leftChars="931" w:hanging="3990" w:hangingChars="1900"/>
        <w:jc w:val="left"/>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（公章）</w:t>
      </w:r>
      <w:r>
        <w:rPr>
          <w:rFonts w:hint="eastAsia" w:cs="Times New Roman"/>
          <w:color w:val="000000" w:themeColor="text1"/>
          <w:kern w:val="0"/>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（公章）</w:t>
      </w:r>
    </w:p>
    <w:p w14:paraId="6FE6F4FE">
      <w:pPr>
        <w:widowControl/>
        <w:spacing w:line="400" w:lineRule="exact"/>
        <w:ind w:left="7280" w:hanging="5460" w:hangingChars="2600"/>
        <w:jc w:val="left"/>
        <w:rPr>
          <w:rFonts w:hint="eastAsia"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 </w:t>
      </w:r>
    </w:p>
    <w:p w14:paraId="2EA24863">
      <w:pPr>
        <w:widowControl/>
        <w:spacing w:line="400" w:lineRule="exact"/>
        <w:ind w:firstLine="420" w:firstLineChars="200"/>
        <w:jc w:val="left"/>
        <w:rPr>
          <w:rFonts w:hint="eastAsia" w:ascii="宋体" w:hAnsi="宋体" w:cs="宋体"/>
          <w:color w:val="000000" w:themeColor="text1"/>
          <w:kern w:val="0"/>
          <w:sz w:val="21"/>
          <w:szCs w:val="21"/>
          <w:highlight w:val="none"/>
          <w14:textFill>
            <w14:solidFill>
              <w14:schemeClr w14:val="tx1"/>
            </w14:solidFill>
          </w14:textFill>
        </w:rPr>
      </w:pPr>
    </w:p>
    <w:p w14:paraId="5FB2CED9">
      <w:pPr>
        <w:widowControl/>
        <w:spacing w:line="400" w:lineRule="exact"/>
        <w:ind w:left="3650" w:leftChars="38" w:hanging="3570" w:hangingChars="1700"/>
        <w:jc w:val="both"/>
        <w:rPr>
          <w:rFonts w:hint="eastAsia"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法定代表人或其委托代理人：</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 法定代表人或其委托代理人：</w:t>
      </w:r>
    </w:p>
    <w:p w14:paraId="5D0A2C13">
      <w:pPr>
        <w:widowControl/>
        <w:spacing w:line="400" w:lineRule="exact"/>
        <w:jc w:val="left"/>
        <w:rPr>
          <w:rFonts w:hint="eastAsia"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（签字） </w:t>
      </w:r>
      <w:r>
        <w:rPr>
          <w:rFonts w:hint="eastAsia" w:cs="Times New Roman"/>
          <w:color w:val="000000" w:themeColor="text1"/>
          <w:kern w:val="0"/>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ab/>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（签字）</w:t>
      </w:r>
    </w:p>
    <w:p w14:paraId="681421B7">
      <w:pPr>
        <w:widowControl/>
        <w:spacing w:line="400" w:lineRule="exact"/>
        <w:jc w:val="left"/>
        <w:rPr>
          <w:rFonts w:hint="eastAsia" w:ascii="Times New Roman" w:hAnsi="Times New Roman" w:eastAsia="宋体" w:cs="Times New Roman"/>
          <w:color w:val="000000" w:themeColor="text1"/>
          <w:kern w:val="0"/>
          <w:sz w:val="21"/>
          <w:szCs w:val="21"/>
          <w:highlight w:val="none"/>
          <w14:textFill>
            <w14:solidFill>
              <w14:schemeClr w14:val="tx1"/>
            </w14:solidFill>
          </w14:textFill>
        </w:rPr>
      </w:pPr>
    </w:p>
    <w:p w14:paraId="3186D0FC">
      <w:pPr>
        <w:widowControl/>
        <w:spacing w:line="400" w:lineRule="exact"/>
        <w:jc w:val="left"/>
        <w:rPr>
          <w:rFonts w:hint="eastAsia"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                         </w:t>
      </w:r>
    </w:p>
    <w:p w14:paraId="60D0B88A">
      <w:pPr>
        <w:widowControl/>
        <w:spacing w:line="400" w:lineRule="exact"/>
        <w:jc w:val="left"/>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 xml:space="preserve">                  </w:t>
      </w:r>
    </w:p>
    <w:p w14:paraId="0F3E1864">
      <w:pPr>
        <w:widowControl/>
        <w:spacing w:line="400" w:lineRule="exact"/>
        <w:ind w:left="5880" w:hanging="4410" w:hangingChars="2100"/>
        <w:jc w:val="left"/>
        <w:rPr>
          <w:rFonts w:hint="eastAsia"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地址：长沙市开福区湘雅路 87号 </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地址：</w:t>
      </w:r>
      <w:r>
        <w:rPr>
          <w:rFonts w:hint="eastAsia" w:cs="Times New Roman"/>
          <w:color w:val="000000" w:themeColor="text1"/>
          <w:kern w:val="0"/>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 </w:t>
      </w:r>
    </w:p>
    <w:p w14:paraId="7920B3C8">
      <w:pPr>
        <w:widowControl/>
        <w:spacing w:line="400" w:lineRule="exact"/>
        <w:ind w:firstLine="420" w:firstLineChars="200"/>
        <w:jc w:val="left"/>
        <w:rPr>
          <w:rFonts w:hint="eastAsia"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           </w:t>
      </w:r>
    </w:p>
    <w:p w14:paraId="5B4116B6">
      <w:pPr>
        <w:widowControl/>
        <w:spacing w:line="400" w:lineRule="exact"/>
        <w:ind w:firstLine="420" w:firstLineChars="200"/>
        <w:jc w:val="left"/>
        <w:rPr>
          <w:rFonts w:hint="eastAsia"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                            </w:t>
      </w:r>
      <w:r>
        <w:rPr>
          <w:rFonts w:hint="eastAsia" w:cs="Times New Roman"/>
          <w:color w:val="000000" w:themeColor="text1"/>
          <w:kern w:val="0"/>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电话：</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 xml:space="preserve">  </w:t>
      </w:r>
      <w:r>
        <w:rPr>
          <w:rFonts w:hint="eastAsia" w:cs="Times New Roman"/>
          <w:color w:val="000000" w:themeColor="text1"/>
          <w:kern w:val="0"/>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     </w:t>
      </w:r>
    </w:p>
    <w:p w14:paraId="4470EF92">
      <w:pPr>
        <w:widowControl/>
        <w:spacing w:line="400" w:lineRule="exact"/>
        <w:ind w:firstLine="3360" w:firstLineChars="1600"/>
        <w:jc w:val="left"/>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 开户银行：</w:t>
      </w:r>
      <w:r>
        <w:rPr>
          <w:rFonts w:hint="eastAsia" w:cs="Times New Roman"/>
          <w:color w:val="000000" w:themeColor="text1"/>
          <w:kern w:val="0"/>
          <w:sz w:val="21"/>
          <w:szCs w:val="21"/>
          <w:highlight w:val="none"/>
          <w:lang w:val="en-US" w:eastAsia="zh-CN"/>
          <w14:textFill>
            <w14:solidFill>
              <w14:schemeClr w14:val="tx1"/>
            </w14:solidFill>
          </w14:textFill>
        </w:rPr>
        <w:t xml:space="preserve"> </w:t>
      </w:r>
    </w:p>
    <w:p w14:paraId="436EFD3F">
      <w:pPr>
        <w:widowControl/>
        <w:spacing w:line="400" w:lineRule="exact"/>
        <w:ind w:firstLine="840" w:firstLineChars="400"/>
        <w:jc w:val="left"/>
        <w:rPr>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 xml:space="preserve">                         账号：</w:t>
      </w:r>
      <w:bookmarkStart w:id="153" w:name="_Toc404073898"/>
      <w:bookmarkStart w:id="154" w:name="_Toc39849994"/>
      <w:bookmarkStart w:id="155" w:name="_Toc436589158"/>
      <w:bookmarkStart w:id="156" w:name="_Toc470519509"/>
      <w:bookmarkStart w:id="157" w:name="_Toc5027443"/>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 xml:space="preserve">  </w:t>
      </w:r>
      <w:bookmarkStart w:id="158" w:name="_Toc135573870"/>
      <w:bookmarkStart w:id="159" w:name="_Toc1607"/>
    </w:p>
    <w:p w14:paraId="569949F7">
      <w:pP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br w:type="page"/>
      </w:r>
    </w:p>
    <w:p w14:paraId="3CFA8DED">
      <w:pPr>
        <w:pStyle w:val="43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第二部分</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t>通用合同条款</w:t>
      </w:r>
      <w:bookmarkEnd w:id="153"/>
      <w:bookmarkEnd w:id="154"/>
      <w:bookmarkEnd w:id="155"/>
      <w:bookmarkEnd w:id="156"/>
      <w:bookmarkEnd w:id="157"/>
      <w:bookmarkEnd w:id="158"/>
      <w:bookmarkEnd w:id="159"/>
    </w:p>
    <w:p w14:paraId="0B3DD596">
      <w:pPr>
        <w:pStyle w:val="2"/>
        <w:widowControl/>
        <w:rPr>
          <w:color w:val="000000" w:themeColor="text1"/>
          <w:sz w:val="21"/>
          <w:szCs w:val="21"/>
          <w:highlight w:val="none"/>
          <w14:textFill>
            <w14:solidFill>
              <w14:schemeClr w14:val="tx1"/>
            </w14:solidFill>
          </w14:textFill>
        </w:rPr>
      </w:pPr>
      <w:r>
        <w:rPr>
          <w:b/>
          <w:color w:val="000000" w:themeColor="text1"/>
          <w:sz w:val="21"/>
          <w:szCs w:val="21"/>
          <w:highlight w:val="none"/>
          <w14:textFill>
            <w14:solidFill>
              <w14:schemeClr w14:val="tx1"/>
            </w14:solidFill>
          </w14:textFill>
        </w:rPr>
        <w:t>本工程通用合同条款，按照（HNJS-2014《湖南省建设工程施工合同（示范文本）》执行</w:t>
      </w:r>
      <w:r>
        <w:rPr>
          <w:color w:val="000000" w:themeColor="text1"/>
          <w:sz w:val="21"/>
          <w:szCs w:val="21"/>
          <w:highlight w:val="none"/>
          <w14:textFill>
            <w14:solidFill>
              <w14:schemeClr w14:val="tx1"/>
            </w14:solidFill>
          </w14:textFill>
        </w:rPr>
        <w:t>。</w:t>
      </w:r>
    </w:p>
    <w:p w14:paraId="08D805A4">
      <w:pPr>
        <w:widowControl/>
        <w:spacing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r>
    </w:p>
    <w:p w14:paraId="50E8DB8B">
      <w:pPr>
        <w:pStyle w:val="432"/>
        <w:rPr>
          <w:color w:val="000000" w:themeColor="text1"/>
          <w:sz w:val="21"/>
          <w:szCs w:val="21"/>
          <w:highlight w:val="none"/>
          <w14:textFill>
            <w14:solidFill>
              <w14:schemeClr w14:val="tx1"/>
            </w14:solidFill>
          </w14:textFill>
        </w:rPr>
      </w:pPr>
      <w:bookmarkStart w:id="160" w:name="_Toc436589159"/>
      <w:bookmarkStart w:id="161" w:name="_Toc5027444"/>
      <w:bookmarkStart w:id="162" w:name="_Toc27018"/>
      <w:bookmarkStart w:id="163" w:name="_Toc135573871"/>
      <w:bookmarkStart w:id="164" w:name="_Toc404073899"/>
      <w:bookmarkStart w:id="165" w:name="_Toc39849995"/>
      <w:bookmarkStart w:id="166" w:name="_Toc470519510"/>
      <w:r>
        <w:rPr>
          <w:color w:val="000000" w:themeColor="text1"/>
          <w:sz w:val="21"/>
          <w:szCs w:val="21"/>
          <w:highlight w:val="none"/>
          <w14:textFill>
            <w14:solidFill>
              <w14:schemeClr w14:val="tx1"/>
            </w14:solidFill>
          </w14:textFill>
        </w:rPr>
        <w:t>第三部分</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t>专用合同条款</w:t>
      </w:r>
      <w:bookmarkEnd w:id="160"/>
      <w:bookmarkEnd w:id="161"/>
      <w:bookmarkEnd w:id="162"/>
      <w:bookmarkEnd w:id="163"/>
      <w:bookmarkEnd w:id="164"/>
      <w:bookmarkEnd w:id="165"/>
      <w:bookmarkEnd w:id="166"/>
    </w:p>
    <w:p w14:paraId="495C8F43">
      <w:pPr>
        <w:pStyle w:val="3"/>
        <w:rPr>
          <w:color w:val="000000" w:themeColor="text1"/>
          <w:sz w:val="21"/>
          <w:szCs w:val="21"/>
          <w:highlight w:val="none"/>
          <w14:textFill>
            <w14:solidFill>
              <w14:schemeClr w14:val="tx1"/>
            </w14:solidFill>
          </w14:textFill>
        </w:rPr>
      </w:pPr>
      <w:bookmarkStart w:id="167" w:name="_Toc39849996"/>
      <w:bookmarkStart w:id="168" w:name="_Toc501980470"/>
      <w:bookmarkStart w:id="169" w:name="_Toc470519511"/>
      <w:bookmarkStart w:id="170" w:name="_Toc436589160"/>
      <w:bookmarkStart w:id="171" w:name="_Toc30513"/>
      <w:bookmarkStart w:id="172" w:name="_Toc404073900"/>
      <w:bookmarkStart w:id="173" w:name="_Toc135573872"/>
      <w:bookmarkStart w:id="174" w:name="_Toc399146302"/>
      <w:bookmarkStart w:id="175" w:name="_Toc501987476"/>
      <w:bookmarkStart w:id="176" w:name="_Toc399146812"/>
      <w:bookmarkStart w:id="177" w:name="_Toc5027445"/>
      <w:r>
        <w:rPr>
          <w:color w:val="000000" w:themeColor="text1"/>
          <w:sz w:val="21"/>
          <w:szCs w:val="21"/>
          <w:highlight w:val="none"/>
          <w14:textFill>
            <w14:solidFill>
              <w14:schemeClr w14:val="tx1"/>
            </w14:solidFill>
          </w14:textFill>
        </w:rPr>
        <w:t>1.一般约定</w:t>
      </w:r>
      <w:bookmarkEnd w:id="167"/>
      <w:bookmarkEnd w:id="168"/>
      <w:bookmarkEnd w:id="169"/>
      <w:bookmarkEnd w:id="170"/>
      <w:bookmarkEnd w:id="171"/>
      <w:bookmarkEnd w:id="172"/>
      <w:bookmarkEnd w:id="173"/>
      <w:bookmarkEnd w:id="174"/>
      <w:bookmarkEnd w:id="175"/>
      <w:bookmarkEnd w:id="176"/>
      <w:bookmarkEnd w:id="177"/>
    </w:p>
    <w:p w14:paraId="5504B37E">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1.1 词语定义</w:t>
      </w:r>
    </w:p>
    <w:p w14:paraId="21F226E3">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1.1.1 合同</w:t>
      </w:r>
    </w:p>
    <w:p w14:paraId="217B771E">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1.1.1.1 其他合同文件包括：</w:t>
      </w:r>
      <w:r>
        <w:rPr>
          <w:color w:val="000000" w:themeColor="text1"/>
          <w:sz w:val="21"/>
          <w:szCs w:val="21"/>
          <w:highlight w:val="none"/>
          <w:u w:val="single"/>
          <w14:textFill>
            <w14:solidFill>
              <w14:schemeClr w14:val="tx1"/>
            </w14:solidFill>
          </w14:textFill>
        </w:rPr>
        <w:t xml:space="preserve"> 无</w:t>
      </w:r>
      <w:r>
        <w:rPr>
          <w:color w:val="000000" w:themeColor="text1"/>
          <w:sz w:val="21"/>
          <w:szCs w:val="21"/>
          <w:highlight w:val="none"/>
          <w:u w:val="single"/>
          <w14:textFill>
            <w14:solidFill>
              <w14:schemeClr w14:val="tx1"/>
            </w14:solidFill>
          </w14:textFill>
        </w:rPr>
        <w:tab/>
      </w:r>
    </w:p>
    <w:p w14:paraId="13FEACE4">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1.1.2 合同当事人及其他相关方</w:t>
      </w:r>
    </w:p>
    <w:p w14:paraId="4E626DB5">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监理人：</w:t>
      </w:r>
    </w:p>
    <w:p w14:paraId="1417F99F">
      <w:pPr>
        <w:widowControl/>
        <w:spacing w:line="400" w:lineRule="exact"/>
        <w:ind w:firstLine="420" w:firstLineChars="200"/>
        <w:jc w:val="left"/>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名    称：</w:t>
      </w:r>
      <w:r>
        <w:rPr>
          <w:rFonts w:hint="eastAsia" w:ascii="宋体" w:hAnsi="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w:t>
      </w:r>
      <w:r>
        <w:rPr>
          <w:rFonts w:hint="eastAsia" w:ascii="宋体" w:hAnsi="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cs="宋体"/>
          <w:color w:val="000000" w:themeColor="text1"/>
          <w:kern w:val="0"/>
          <w:sz w:val="21"/>
          <w:szCs w:val="21"/>
          <w:highlight w:val="none"/>
          <w14:textFill>
            <w14:solidFill>
              <w14:schemeClr w14:val="tx1"/>
            </w14:solidFill>
          </w14:textFill>
        </w:rPr>
        <w:t>；</w:t>
      </w:r>
    </w:p>
    <w:p w14:paraId="43BADD6C">
      <w:pPr>
        <w:widowControl/>
        <w:spacing w:line="400" w:lineRule="exact"/>
        <w:ind w:firstLine="420" w:firstLineChars="200"/>
        <w:jc w:val="left"/>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资质类别和等级：</w:t>
      </w:r>
      <w:r>
        <w:rPr>
          <w:rFonts w:hint="eastAsia" w:ascii="宋体" w:hAnsi="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w:t>
      </w:r>
      <w:r>
        <w:rPr>
          <w:rFonts w:hint="eastAsia" w:ascii="宋体" w:hAnsi="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cs="宋体"/>
          <w:color w:val="000000" w:themeColor="text1"/>
          <w:kern w:val="0"/>
          <w:sz w:val="21"/>
          <w:szCs w:val="21"/>
          <w:highlight w:val="none"/>
          <w14:textFill>
            <w14:solidFill>
              <w14:schemeClr w14:val="tx1"/>
            </w14:solidFill>
          </w14:textFill>
        </w:rPr>
        <w:t xml:space="preserve"> ； </w:t>
      </w:r>
    </w:p>
    <w:p w14:paraId="62211A4B">
      <w:pPr>
        <w:widowControl/>
        <w:spacing w:line="400" w:lineRule="exact"/>
        <w:ind w:firstLine="420" w:firstLineChars="200"/>
        <w:jc w:val="left"/>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联系电话：</w:t>
      </w:r>
      <w:r>
        <w:rPr>
          <w:rFonts w:hint="eastAsia" w:ascii="宋体" w:hAnsi="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cs="宋体"/>
          <w:color w:val="000000" w:themeColor="text1"/>
          <w:kern w:val="0"/>
          <w:sz w:val="21"/>
          <w:szCs w:val="21"/>
          <w:highlight w:val="none"/>
          <w:u w:val="single"/>
          <w:lang w:val="en-US" w:eastAsia="zh-CN"/>
          <w14:textFill>
            <w14:solidFill>
              <w14:schemeClr w14:val="tx1"/>
            </w14:solidFill>
          </w14:textFill>
        </w:rPr>
        <w:t>/</w:t>
      </w:r>
      <w:r>
        <w:rPr>
          <w:rFonts w:hint="eastAsia" w:ascii="宋体" w:hAnsi="宋体" w:cs="宋体"/>
          <w:color w:val="000000" w:themeColor="text1"/>
          <w:kern w:val="0"/>
          <w:sz w:val="21"/>
          <w:szCs w:val="21"/>
          <w:highlight w:val="none"/>
          <w:u w:val="single"/>
          <w14:textFill>
            <w14:solidFill>
              <w14:schemeClr w14:val="tx1"/>
            </w14:solidFill>
          </w14:textFill>
        </w:rPr>
        <w:t xml:space="preserve">      </w:t>
      </w:r>
      <w:r>
        <w:rPr>
          <w:rFonts w:hint="eastAsia" w:ascii="宋体" w:hAnsi="宋体" w:cs="宋体"/>
          <w:color w:val="000000" w:themeColor="text1"/>
          <w:kern w:val="0"/>
          <w:sz w:val="21"/>
          <w:szCs w:val="21"/>
          <w:highlight w:val="none"/>
          <w14:textFill>
            <w14:solidFill>
              <w14:schemeClr w14:val="tx1"/>
            </w14:solidFill>
          </w14:textFill>
        </w:rPr>
        <w:t xml:space="preserve"> ； </w:t>
      </w:r>
    </w:p>
    <w:p w14:paraId="2EEBE191">
      <w:pPr>
        <w:pStyle w:val="2"/>
        <w:widowControl/>
        <w:rPr>
          <w:rFonts w:hint="eastAsia" w:eastAsia="宋体"/>
          <w:color w:val="000000" w:themeColor="text1"/>
          <w:sz w:val="21"/>
          <w:szCs w:val="21"/>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设计人： </w:t>
      </w:r>
    </w:p>
    <w:p w14:paraId="49ABC9CE">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名    称：</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p>
    <w:p w14:paraId="1FFAD6EF">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联系电话：</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 </w:t>
      </w:r>
    </w:p>
    <w:p w14:paraId="7E303077">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1.2合同文件的优先顺序</w:t>
      </w:r>
    </w:p>
    <w:p w14:paraId="420FF8D1">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合同文件组成及优先顺序为：</w:t>
      </w:r>
      <w:r>
        <w:rPr>
          <w:color w:val="000000" w:themeColor="text1"/>
          <w:sz w:val="21"/>
          <w:szCs w:val="21"/>
          <w:highlight w:val="none"/>
          <w:u w:val="single"/>
          <w14:textFill>
            <w14:solidFill>
              <w14:schemeClr w14:val="tx1"/>
            </w14:solidFill>
          </w14:textFill>
        </w:rPr>
        <w:t xml:space="preserve"> 按合同通用条款。</w:t>
      </w:r>
      <w:r>
        <w:rPr>
          <w:color w:val="000000" w:themeColor="text1"/>
          <w:sz w:val="21"/>
          <w:szCs w:val="21"/>
          <w:highlight w:val="none"/>
          <w:u w:val="single"/>
          <w14:textFill>
            <w14:solidFill>
              <w14:schemeClr w14:val="tx1"/>
            </w14:solidFill>
          </w14:textFill>
        </w:rPr>
        <w:tab/>
      </w:r>
    </w:p>
    <w:p w14:paraId="05AD1A3F">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1.3 图纸和乙方文件</w:t>
      </w:r>
    </w:p>
    <w:p w14:paraId="03DBA616">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1.3.1 图纸的提供</w:t>
      </w:r>
    </w:p>
    <w:p w14:paraId="37442677">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甲方向乙方提供图纸的期限：</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14:textFill>
            <w14:solidFill>
              <w14:schemeClr w14:val="tx1"/>
            </w14:solidFill>
          </w14:textFill>
        </w:rPr>
        <w:t>；</w:t>
      </w:r>
    </w:p>
    <w:p w14:paraId="3AD3DBE6">
      <w:pPr>
        <w:pStyle w:val="2"/>
        <w:widowControl/>
        <w:spacing w:before="0" w:line="240" w:lineRule="auto"/>
        <w:ind w:firstLine="0" w:firstLineChars="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甲方向乙方提供图纸的数量：</w:t>
      </w:r>
      <w:r>
        <w:rPr>
          <w:rFonts w:hint="eastAsia"/>
          <w:color w:val="000000" w:themeColor="text1"/>
          <w:sz w:val="21"/>
          <w:szCs w:val="21"/>
          <w:highlight w:val="none"/>
          <w:lang w:val="en-US" w:eastAsia="zh-CN"/>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  </w:t>
      </w:r>
      <w:r>
        <w:rPr>
          <w:color w:val="000000" w:themeColor="text1"/>
          <w:sz w:val="21"/>
          <w:szCs w:val="21"/>
          <w:highlight w:val="none"/>
          <w:u w:val="single"/>
          <w14:textFill>
            <w14:solidFill>
              <w14:schemeClr w14:val="tx1"/>
            </w14:solidFill>
          </w14:textFill>
        </w:rPr>
        <w:t>；</w:t>
      </w:r>
    </w:p>
    <w:p w14:paraId="4F552660">
      <w:pPr>
        <w:pStyle w:val="2"/>
        <w:widowControl/>
        <w:ind w:left="0" w:leftChars="0" w:firstLine="0" w:firstLineChars="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甲方向乙方提供图纸的内容：</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eastAsia="zh-CN"/>
          <w14:textFill>
            <w14:solidFill>
              <w14:schemeClr w14:val="tx1"/>
            </w14:solidFill>
          </w14:textFill>
        </w:rPr>
        <w:t>/</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w:t>
      </w:r>
    </w:p>
    <w:p w14:paraId="73783FD8">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1.3.2乙方文件</w:t>
      </w:r>
    </w:p>
    <w:p w14:paraId="081760EE">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需要由乙方提供的文件，包括：</w:t>
      </w:r>
      <w:r>
        <w:rPr>
          <w:color w:val="000000" w:themeColor="text1"/>
          <w:sz w:val="21"/>
          <w:szCs w:val="21"/>
          <w:highlight w:val="none"/>
          <w:u w:val="single"/>
          <w14:textFill>
            <w14:solidFill>
              <w14:schemeClr w14:val="tx1"/>
            </w14:solidFill>
          </w14:textFill>
        </w:rPr>
        <w:t>施工组织设计、工程进度计划、隐蔽工程验收申请、工程款支付申请等；</w:t>
      </w:r>
    </w:p>
    <w:p w14:paraId="655EC3A0">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乙方提供的文件的期限为：</w:t>
      </w:r>
      <w:r>
        <w:rPr>
          <w:color w:val="000000" w:themeColor="text1"/>
          <w:sz w:val="21"/>
          <w:szCs w:val="21"/>
          <w:highlight w:val="none"/>
          <w:u w:val="single"/>
          <w14:textFill>
            <w14:solidFill>
              <w14:schemeClr w14:val="tx1"/>
            </w14:solidFill>
          </w14:textFill>
        </w:rPr>
        <w:t xml:space="preserve"> 事项发生前15日内        </w:t>
      </w:r>
      <w:r>
        <w:rPr>
          <w:color w:val="000000" w:themeColor="text1"/>
          <w:sz w:val="21"/>
          <w:szCs w:val="21"/>
          <w:highlight w:val="none"/>
          <w14:textFill>
            <w14:solidFill>
              <w14:schemeClr w14:val="tx1"/>
            </w14:solidFill>
          </w14:textFill>
        </w:rPr>
        <w:t>；</w:t>
      </w:r>
    </w:p>
    <w:p w14:paraId="7D9F555E">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乙方提供的文件的数量为：</w:t>
      </w:r>
      <w:r>
        <w:rPr>
          <w:color w:val="000000" w:themeColor="text1"/>
          <w:sz w:val="21"/>
          <w:szCs w:val="21"/>
          <w:highlight w:val="none"/>
          <w:u w:val="single"/>
          <w14:textFill>
            <w14:solidFill>
              <w14:schemeClr w14:val="tx1"/>
            </w14:solidFill>
          </w14:textFill>
        </w:rPr>
        <w:t xml:space="preserve"> 叁份</w:t>
      </w:r>
      <w:r>
        <w:rPr>
          <w:color w:val="000000" w:themeColor="text1"/>
          <w:sz w:val="21"/>
          <w:szCs w:val="21"/>
          <w:highlight w:val="none"/>
          <w14:textFill>
            <w14:solidFill>
              <w14:schemeClr w14:val="tx1"/>
            </w14:solidFill>
          </w14:textFill>
        </w:rPr>
        <w:t xml:space="preserve">； </w:t>
      </w:r>
    </w:p>
    <w:p w14:paraId="606E406E">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乙方提供的文件的形式为：</w:t>
      </w:r>
      <w:r>
        <w:rPr>
          <w:color w:val="000000" w:themeColor="text1"/>
          <w:sz w:val="21"/>
          <w:szCs w:val="21"/>
          <w:highlight w:val="none"/>
          <w:u w:val="single"/>
          <w14:textFill>
            <w14:solidFill>
              <w14:schemeClr w14:val="tx1"/>
            </w14:solidFill>
          </w14:textFill>
        </w:rPr>
        <w:t xml:space="preserve"> 书面                     </w:t>
      </w:r>
      <w:r>
        <w:rPr>
          <w:color w:val="000000" w:themeColor="text1"/>
          <w:sz w:val="21"/>
          <w:szCs w:val="21"/>
          <w:highlight w:val="none"/>
          <w14:textFill>
            <w14:solidFill>
              <w14:schemeClr w14:val="tx1"/>
            </w14:solidFill>
          </w14:textFill>
        </w:rPr>
        <w:t xml:space="preserve">； </w:t>
      </w:r>
    </w:p>
    <w:p w14:paraId="080F57C3">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甲方审批乙方文件的期限：</w:t>
      </w:r>
      <w:r>
        <w:rPr>
          <w:color w:val="000000" w:themeColor="text1"/>
          <w:sz w:val="21"/>
          <w:szCs w:val="21"/>
          <w:highlight w:val="none"/>
          <w:u w:val="single"/>
          <w14:textFill>
            <w14:solidFill>
              <w14:schemeClr w14:val="tx1"/>
            </w14:solidFill>
          </w14:textFill>
        </w:rPr>
        <w:t xml:space="preserve"> 收到文件后5天内</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7397A6A6">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1.3.3现场图纸准备</w:t>
      </w:r>
    </w:p>
    <w:p w14:paraId="41A31E12">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关于现场图纸准备的约定：</w:t>
      </w:r>
      <w:r>
        <w:rPr>
          <w:color w:val="000000" w:themeColor="text1"/>
          <w:sz w:val="21"/>
          <w:szCs w:val="21"/>
          <w:highlight w:val="none"/>
          <w:u w:val="single"/>
          <w14:textFill>
            <w14:solidFill>
              <w14:schemeClr w14:val="tx1"/>
            </w14:solidFill>
          </w14:textFill>
        </w:rPr>
        <w:t xml:space="preserve">     按合同通用条款      </w:t>
      </w:r>
      <w:r>
        <w:rPr>
          <w:color w:val="000000" w:themeColor="text1"/>
          <w:sz w:val="21"/>
          <w:szCs w:val="21"/>
          <w:highlight w:val="none"/>
          <w14:textFill>
            <w14:solidFill>
              <w14:schemeClr w14:val="tx1"/>
            </w14:solidFill>
          </w14:textFill>
        </w:rPr>
        <w:t>。</w:t>
      </w:r>
    </w:p>
    <w:p w14:paraId="617A75E8">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1.4工程量清单错误的修正</w:t>
      </w:r>
    </w:p>
    <w:p w14:paraId="7D245DEC">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出现工程量清单错误时，是否调整合同价格：</w:t>
      </w:r>
      <w:r>
        <w:rPr>
          <w:color w:val="000000" w:themeColor="text1"/>
          <w:sz w:val="21"/>
          <w:szCs w:val="21"/>
          <w:highlight w:val="none"/>
          <w:u w:val="single"/>
          <w14:textFill>
            <w14:solidFill>
              <w14:schemeClr w14:val="tx1"/>
            </w14:solidFill>
          </w14:textFill>
        </w:rPr>
        <w:t xml:space="preserve"> 是 </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1422E0FC">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允许调整合同价格的工程量偏差范围：</w:t>
      </w:r>
      <w:r>
        <w:rPr>
          <w:color w:val="000000" w:themeColor="text1"/>
          <w:sz w:val="21"/>
          <w:szCs w:val="21"/>
          <w:highlight w:val="none"/>
          <w:u w:val="single"/>
          <w14:textFill>
            <w14:solidFill>
              <w14:schemeClr w14:val="tx1"/>
            </w14:solidFill>
          </w14:textFill>
        </w:rPr>
        <w:t>出现</w:t>
      </w:r>
      <w:r>
        <w:rPr>
          <w:color w:val="000000" w:themeColor="text1"/>
          <w:sz w:val="21"/>
          <w:szCs w:val="21"/>
          <w:highlight w:val="none"/>
          <w14:textFill>
            <w14:solidFill>
              <w14:schemeClr w14:val="tx1"/>
            </w14:solidFill>
          </w14:textFill>
        </w:rPr>
        <w:t>工程量偏差时不予调整综合单价。</w:t>
      </w:r>
    </w:p>
    <w:p w14:paraId="614C30BE">
      <w:pPr>
        <w:pStyle w:val="3"/>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2.施工现场、施工条件和基础资料的提供</w:t>
      </w:r>
    </w:p>
    <w:p w14:paraId="703D03D5">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2.1 提供施工现场</w:t>
      </w:r>
    </w:p>
    <w:p w14:paraId="665453A6">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关于甲方移交施工现场的期限要求：</w:t>
      </w:r>
      <w:r>
        <w:rPr>
          <w:color w:val="000000" w:themeColor="text1"/>
          <w:sz w:val="21"/>
          <w:szCs w:val="21"/>
          <w:highlight w:val="none"/>
          <w:u w:val="single"/>
          <w14:textFill>
            <w14:solidFill>
              <w14:schemeClr w14:val="tx1"/>
            </w14:solidFill>
          </w14:textFill>
        </w:rPr>
        <w:t>按合同通用条款</w:t>
      </w:r>
      <w:r>
        <w:rPr>
          <w:color w:val="000000" w:themeColor="text1"/>
          <w:sz w:val="21"/>
          <w:szCs w:val="21"/>
          <w:highlight w:val="none"/>
          <w14:textFill>
            <w14:solidFill>
              <w14:schemeClr w14:val="tx1"/>
            </w14:solidFill>
          </w14:textFill>
        </w:rPr>
        <w:t>。</w:t>
      </w:r>
    </w:p>
    <w:p w14:paraId="6A1AF74F">
      <w:pPr>
        <w:pStyle w:val="3"/>
        <w:rPr>
          <w:color w:val="000000" w:themeColor="text1"/>
          <w:sz w:val="21"/>
          <w:szCs w:val="21"/>
          <w:highlight w:val="none"/>
          <w14:textFill>
            <w14:solidFill>
              <w14:schemeClr w14:val="tx1"/>
            </w14:solidFill>
          </w14:textFill>
        </w:rPr>
      </w:pPr>
      <w:bookmarkStart w:id="178" w:name="_Toc436589162"/>
      <w:bookmarkStart w:id="179" w:name="_Toc399146814"/>
      <w:bookmarkStart w:id="180" w:name="_Toc470519513"/>
      <w:bookmarkStart w:id="181" w:name="_Toc39849998"/>
      <w:bookmarkStart w:id="182" w:name="_Toc399146304"/>
      <w:bookmarkStart w:id="183" w:name="_Toc404073902"/>
      <w:bookmarkStart w:id="184" w:name="_Toc501980472"/>
      <w:bookmarkStart w:id="185" w:name="_Toc501987478"/>
      <w:bookmarkStart w:id="186" w:name="_Toc5027447"/>
      <w:bookmarkStart w:id="187" w:name="_Toc27290"/>
      <w:bookmarkStart w:id="188" w:name="_Toc135573873"/>
      <w:r>
        <w:rPr>
          <w:color w:val="000000" w:themeColor="text1"/>
          <w:sz w:val="21"/>
          <w:szCs w:val="21"/>
          <w:highlight w:val="none"/>
          <w14:textFill>
            <w14:solidFill>
              <w14:schemeClr w14:val="tx1"/>
            </w14:solidFill>
          </w14:textFill>
        </w:rPr>
        <w:t>3.</w:t>
      </w:r>
      <w:bookmarkEnd w:id="178"/>
      <w:bookmarkEnd w:id="179"/>
      <w:bookmarkEnd w:id="180"/>
      <w:bookmarkEnd w:id="181"/>
      <w:bookmarkEnd w:id="182"/>
      <w:bookmarkEnd w:id="183"/>
      <w:bookmarkEnd w:id="184"/>
      <w:bookmarkEnd w:id="185"/>
      <w:bookmarkEnd w:id="186"/>
      <w:r>
        <w:rPr>
          <w:color w:val="000000" w:themeColor="text1"/>
          <w:sz w:val="21"/>
          <w:szCs w:val="21"/>
          <w:highlight w:val="none"/>
          <w14:textFill>
            <w14:solidFill>
              <w14:schemeClr w14:val="tx1"/>
            </w14:solidFill>
          </w14:textFill>
        </w:rPr>
        <w:t>乙方</w:t>
      </w:r>
      <w:bookmarkEnd w:id="187"/>
      <w:bookmarkEnd w:id="188"/>
    </w:p>
    <w:p w14:paraId="3B5B28E8">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3.1 乙方的一般义务</w:t>
      </w:r>
    </w:p>
    <w:p w14:paraId="2C46EAE9">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14:textFill>
            <w14:solidFill>
              <w14:schemeClr w14:val="tx1"/>
            </w14:solidFill>
          </w14:textFill>
        </w:rPr>
        <w:t>乙方提交的竣工资料的内容：</w:t>
      </w:r>
      <w:r>
        <w:rPr>
          <w:color w:val="000000" w:themeColor="text1"/>
          <w:sz w:val="21"/>
          <w:szCs w:val="21"/>
          <w:highlight w:val="none"/>
          <w:u w:val="single"/>
          <w14:textFill>
            <w14:solidFill>
              <w14:schemeClr w14:val="tx1"/>
            </w14:solidFill>
          </w14:textFill>
        </w:rPr>
        <w:t>工程竣工验收后30天内提供完整的竣工资料及结算资料交甲方以供工程竣工决算（未提供备案及结算资料不办理结算）</w:t>
      </w:r>
      <w:r>
        <w:rPr>
          <w:color w:val="000000" w:themeColor="text1"/>
          <w:sz w:val="21"/>
          <w:szCs w:val="21"/>
          <w:highlight w:val="none"/>
          <w14:textFill>
            <w14:solidFill>
              <w14:schemeClr w14:val="tx1"/>
            </w14:solidFill>
          </w14:textFill>
        </w:rPr>
        <w:t>。</w:t>
      </w:r>
    </w:p>
    <w:p w14:paraId="41E4D31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乙方需要提交的竣工资料套数：</w:t>
      </w:r>
      <w:r>
        <w:rPr>
          <w:color w:val="000000" w:themeColor="text1"/>
          <w:sz w:val="21"/>
          <w:szCs w:val="21"/>
          <w:highlight w:val="none"/>
          <w:u w:val="single"/>
          <w14:textFill>
            <w14:solidFill>
              <w14:schemeClr w14:val="tx1"/>
            </w14:solidFill>
          </w14:textFill>
        </w:rPr>
        <w:t xml:space="preserve">    2套     </w:t>
      </w:r>
      <w:r>
        <w:rPr>
          <w:color w:val="000000" w:themeColor="text1"/>
          <w:sz w:val="21"/>
          <w:szCs w:val="21"/>
          <w:highlight w:val="none"/>
          <w14:textFill>
            <w14:solidFill>
              <w14:schemeClr w14:val="tx1"/>
            </w14:solidFill>
          </w14:textFill>
        </w:rPr>
        <w:t>。</w:t>
      </w:r>
    </w:p>
    <w:p w14:paraId="18DBB30F">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乙方提交的竣工资料的费用承担：</w:t>
      </w:r>
      <w:r>
        <w:rPr>
          <w:color w:val="000000" w:themeColor="text1"/>
          <w:sz w:val="21"/>
          <w:szCs w:val="21"/>
          <w:highlight w:val="none"/>
          <w:u w:val="single"/>
          <w14:textFill>
            <w14:solidFill>
              <w14:schemeClr w14:val="tx1"/>
            </w14:solidFill>
          </w14:textFill>
        </w:rPr>
        <w:t xml:space="preserve"> 由乙方承担     </w:t>
      </w:r>
      <w:r>
        <w:rPr>
          <w:color w:val="000000" w:themeColor="text1"/>
          <w:sz w:val="21"/>
          <w:szCs w:val="21"/>
          <w:highlight w:val="none"/>
          <w14:textFill>
            <w14:solidFill>
              <w14:schemeClr w14:val="tx1"/>
            </w14:solidFill>
          </w14:textFill>
        </w:rPr>
        <w:t xml:space="preserve">。 </w:t>
      </w:r>
    </w:p>
    <w:p w14:paraId="5DE7EAFF">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乙方提交的竣工资料移交时间：</w:t>
      </w:r>
      <w:r>
        <w:rPr>
          <w:color w:val="000000" w:themeColor="text1"/>
          <w:sz w:val="21"/>
          <w:szCs w:val="21"/>
          <w:highlight w:val="none"/>
          <w:u w:val="single"/>
          <w14:textFill>
            <w14:solidFill>
              <w14:schemeClr w14:val="tx1"/>
            </w14:solidFill>
          </w14:textFill>
        </w:rPr>
        <w:t xml:space="preserve"> 工程备案后7天内提供完整的备案资料交甲方存档  </w:t>
      </w:r>
      <w:r>
        <w:rPr>
          <w:color w:val="000000" w:themeColor="text1"/>
          <w:sz w:val="21"/>
          <w:szCs w:val="21"/>
          <w:highlight w:val="none"/>
          <w14:textFill>
            <w14:solidFill>
              <w14:schemeClr w14:val="tx1"/>
            </w14:solidFill>
          </w14:textFill>
        </w:rPr>
        <w:t xml:space="preserve"> 。 </w:t>
      </w:r>
    </w:p>
    <w:p w14:paraId="042287D4">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乙方提交的竣工资料形式要求：</w:t>
      </w:r>
      <w:r>
        <w:rPr>
          <w:rFonts w:hint="eastAsia"/>
          <w:color w:val="000000" w:themeColor="text1"/>
          <w:sz w:val="21"/>
          <w:szCs w:val="21"/>
          <w:highlight w:val="none"/>
          <w:u w:val="single"/>
          <w:lang w:val="en-US" w:eastAsia="zh-CN"/>
          <w14:textFill>
            <w14:solidFill>
              <w14:schemeClr w14:val="tx1"/>
            </w14:solidFill>
          </w14:textFill>
        </w:rPr>
        <w:t>书面形式</w:t>
      </w:r>
      <w:r>
        <w:rPr>
          <w:color w:val="000000" w:themeColor="text1"/>
          <w:sz w:val="21"/>
          <w:szCs w:val="21"/>
          <w:highlight w:val="none"/>
          <w14:textFill>
            <w14:solidFill>
              <w14:schemeClr w14:val="tx1"/>
            </w14:solidFill>
          </w14:textFill>
        </w:rPr>
        <w:t>。</w:t>
      </w:r>
    </w:p>
    <w:p w14:paraId="7CD5E1F9">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乙方应履行的其他义务：</w:t>
      </w:r>
      <w:r>
        <w:rPr>
          <w:color w:val="000000" w:themeColor="text1"/>
          <w:sz w:val="21"/>
          <w:szCs w:val="21"/>
          <w:highlight w:val="none"/>
          <w:u w:val="single"/>
          <w14:textFill>
            <w14:solidFill>
              <w14:schemeClr w14:val="tx1"/>
            </w14:solidFill>
          </w14:textFill>
        </w:rPr>
        <w:t>由于该项目施工场地较为分散，不便于安装水电表计量，以最终审定金额的千分之二作为水电费由乙方交甲方。</w:t>
      </w:r>
    </w:p>
    <w:p w14:paraId="6033D2D8">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3.2 项目经理</w:t>
      </w:r>
    </w:p>
    <w:p w14:paraId="790E7067">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3.2.1 项目经理：</w:t>
      </w:r>
    </w:p>
    <w:p w14:paraId="72202FB1">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姓    名：</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p>
    <w:p w14:paraId="5F853AB5">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身份证号：</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p>
    <w:p w14:paraId="46A72237">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建造师执业资格等级：</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p>
    <w:p w14:paraId="102935AF">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建造师注册证书号：</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p>
    <w:p w14:paraId="18BA3659">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建造师执业印章号：</w:t>
      </w:r>
      <w:r>
        <w:rPr>
          <w:color w:val="000000" w:themeColor="text1"/>
          <w:sz w:val="21"/>
          <w:szCs w:val="21"/>
          <w:highlight w:val="none"/>
          <w:u w:val="single"/>
          <w14:textFill>
            <w14:solidFill>
              <w14:schemeClr w14:val="tx1"/>
            </w14:solidFill>
          </w14:textFill>
        </w:rPr>
        <w:t xml:space="preserve">         /     </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p>
    <w:p w14:paraId="6899C64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安全生产考核合格证书号</w:t>
      </w:r>
      <w:r>
        <w:rPr>
          <w:color w:val="000000" w:themeColor="text1"/>
          <w:sz w:val="21"/>
          <w:szCs w:val="21"/>
          <w:highlight w:val="none"/>
          <w:u w:val="none"/>
          <w14:textFill>
            <w14:solidFill>
              <w14:schemeClr w14:val="tx1"/>
            </w14:solidFill>
          </w14:textFill>
        </w:rPr>
        <w:t>：</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14:textFill>
            <w14:solidFill>
              <w14:schemeClr w14:val="tx1"/>
            </w14:solidFill>
          </w14:textFill>
        </w:rPr>
        <w:t>；</w:t>
      </w:r>
    </w:p>
    <w:p w14:paraId="32A76581">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联系电话：</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p>
    <w:p w14:paraId="07CC02C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乙方对项目经理的授权范围如下：</w:t>
      </w:r>
      <w:r>
        <w:rPr>
          <w:color w:val="000000" w:themeColor="text1"/>
          <w:sz w:val="21"/>
          <w:szCs w:val="21"/>
          <w:highlight w:val="none"/>
          <w:u w:val="single"/>
          <w14:textFill>
            <w14:solidFill>
              <w14:schemeClr w14:val="tx1"/>
            </w14:solidFill>
          </w14:textFill>
        </w:rPr>
        <w:t xml:space="preserve"> 该项目一切事物 </w:t>
      </w:r>
      <w:r>
        <w:rPr>
          <w:color w:val="000000" w:themeColor="text1"/>
          <w:sz w:val="21"/>
          <w:szCs w:val="21"/>
          <w:highlight w:val="none"/>
          <w14:textFill>
            <w14:solidFill>
              <w14:schemeClr w14:val="tx1"/>
            </w14:solidFill>
          </w14:textFill>
        </w:rPr>
        <w:t xml:space="preserve"> 。乙方对项目经理行为结果负责。</w:t>
      </w:r>
    </w:p>
    <w:p w14:paraId="53F39411">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关于项目经理每月在施工现场的时间要求：</w:t>
      </w:r>
      <w:r>
        <w:rPr>
          <w:color w:val="000000" w:themeColor="text1"/>
          <w:sz w:val="21"/>
          <w:szCs w:val="21"/>
          <w:highlight w:val="none"/>
          <w:u w:val="single"/>
          <w14:textFill>
            <w14:solidFill>
              <w14:schemeClr w14:val="tx1"/>
            </w14:solidFill>
          </w14:textFill>
        </w:rPr>
        <w:t>每月不少于22天</w:t>
      </w:r>
      <w:r>
        <w:rPr>
          <w:color w:val="000000" w:themeColor="text1"/>
          <w:sz w:val="21"/>
          <w:szCs w:val="21"/>
          <w:highlight w:val="none"/>
          <w14:textFill>
            <w14:solidFill>
              <w14:schemeClr w14:val="tx1"/>
            </w14:solidFill>
          </w14:textFill>
        </w:rPr>
        <w:t xml:space="preserve">。 </w:t>
      </w:r>
    </w:p>
    <w:p w14:paraId="087045D3">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乙方未提交劳动合同，以及没有为项目经理缴纳社会保险证明的违约责任：</w:t>
      </w:r>
      <w:r>
        <w:rPr>
          <w:color w:val="000000" w:themeColor="text1"/>
          <w:sz w:val="21"/>
          <w:szCs w:val="21"/>
          <w:highlight w:val="none"/>
          <w:u w:val="single"/>
          <w14:textFill>
            <w14:solidFill>
              <w14:schemeClr w14:val="tx1"/>
            </w14:solidFill>
          </w14:textFill>
        </w:rPr>
        <w:t xml:space="preserve"> 按合同通用条款</w:t>
      </w:r>
      <w:r>
        <w:rPr>
          <w:color w:val="000000" w:themeColor="text1"/>
          <w:sz w:val="21"/>
          <w:szCs w:val="21"/>
          <w:highlight w:val="none"/>
          <w14:textFill>
            <w14:solidFill>
              <w14:schemeClr w14:val="tx1"/>
            </w14:solidFill>
          </w14:textFill>
        </w:rPr>
        <w:t xml:space="preserve">。 </w:t>
      </w:r>
    </w:p>
    <w:p w14:paraId="657CE4DE">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14:textFill>
            <w14:solidFill>
              <w14:schemeClr w14:val="tx1"/>
            </w14:solidFill>
          </w14:textFill>
        </w:rPr>
        <w:t>项目经理未经批准，擅自离开施工现场的违约责任：</w:t>
      </w:r>
      <w:r>
        <w:rPr>
          <w:color w:val="000000" w:themeColor="text1"/>
          <w:sz w:val="21"/>
          <w:szCs w:val="21"/>
          <w:highlight w:val="none"/>
          <w:u w:val="single"/>
          <w14:textFill>
            <w14:solidFill>
              <w14:schemeClr w14:val="tx1"/>
            </w14:solidFill>
          </w14:textFill>
        </w:rPr>
        <w:t>每次处</w:t>
      </w:r>
      <w:r>
        <w:rPr>
          <w:rFonts w:hint="eastAsia"/>
          <w:color w:val="000000" w:themeColor="text1"/>
          <w:sz w:val="21"/>
          <w:szCs w:val="21"/>
          <w:highlight w:val="none"/>
          <w:u w:val="single"/>
          <w:lang w:val="en-US" w:eastAsia="zh-CN"/>
          <w14:textFill>
            <w14:solidFill>
              <w14:schemeClr w14:val="tx1"/>
            </w14:solidFill>
          </w14:textFill>
        </w:rPr>
        <w:t>1</w:t>
      </w:r>
      <w:r>
        <w:rPr>
          <w:color w:val="000000" w:themeColor="text1"/>
          <w:sz w:val="21"/>
          <w:szCs w:val="21"/>
          <w:highlight w:val="none"/>
          <w:u w:val="single"/>
          <w14:textFill>
            <w14:solidFill>
              <w14:schemeClr w14:val="tx1"/>
            </w14:solidFill>
          </w14:textFill>
        </w:rPr>
        <w:t>000元罚金，处罚二次后仍不纠正的，甲方有权终止合同（项目经理如须离开现场，应向项目总监和甲方代表请假）。</w:t>
      </w:r>
    </w:p>
    <w:p w14:paraId="010555F9">
      <w:pPr>
        <w:pStyle w:val="5"/>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3.2.2 乙方擅自更换项目经理及技术负责人的违约责任：</w:t>
      </w:r>
    </w:p>
    <w:p w14:paraId="30A8A47B">
      <w:pPr>
        <w:pStyle w:val="2"/>
        <w:widowControl/>
        <w:rPr>
          <w:b/>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w:t>
      </w:r>
      <w:r>
        <w:rPr>
          <w:b/>
          <w:color w:val="000000" w:themeColor="text1"/>
          <w:sz w:val="21"/>
          <w:szCs w:val="21"/>
          <w:highlight w:val="none"/>
          <w14:textFill>
            <w14:solidFill>
              <w14:schemeClr w14:val="tx1"/>
            </w14:solidFill>
          </w14:textFill>
        </w:rPr>
        <w:t>项目经理及技术负责人</w:t>
      </w:r>
      <w:r>
        <w:rPr>
          <w:color w:val="000000" w:themeColor="text1"/>
          <w:sz w:val="21"/>
          <w:szCs w:val="21"/>
          <w:highlight w:val="none"/>
          <w14:textFill>
            <w14:solidFill>
              <w14:schemeClr w14:val="tx1"/>
            </w14:solidFill>
          </w14:textFill>
        </w:rPr>
        <w:t>在施工过程中不得更换。如确需更换，须保证变更后的项目经理（或技术负责人）与原项目经理（或技术负责人）的资格条件一致，得到建设单位的认可与同意后方可更换，并到相关行政主管部门备案，同时须承担项目经理（或技术负责人）</w:t>
      </w:r>
      <w:r>
        <w:rPr>
          <w:b/>
          <w:color w:val="000000" w:themeColor="text1"/>
          <w:sz w:val="21"/>
          <w:szCs w:val="21"/>
          <w:highlight w:val="none"/>
          <w14:textFill>
            <w14:solidFill>
              <w14:schemeClr w14:val="tx1"/>
            </w14:solidFill>
          </w14:textFill>
        </w:rPr>
        <w:t>变更违约费用人民币壹拾万元/人次</w:t>
      </w:r>
      <w:r>
        <w:rPr>
          <w:color w:val="000000" w:themeColor="text1"/>
          <w:sz w:val="21"/>
          <w:szCs w:val="21"/>
          <w:highlight w:val="none"/>
          <w14:textFill>
            <w14:solidFill>
              <w14:schemeClr w14:val="tx1"/>
            </w14:solidFill>
          </w14:textFill>
        </w:rPr>
        <w:t>。</w:t>
      </w:r>
      <w:r>
        <w:rPr>
          <w:b/>
          <w:color w:val="000000" w:themeColor="text1"/>
          <w:sz w:val="21"/>
          <w:szCs w:val="21"/>
          <w:highlight w:val="none"/>
          <w14:textFill>
            <w14:solidFill>
              <w14:schemeClr w14:val="tx1"/>
            </w14:solidFill>
          </w14:textFill>
        </w:rPr>
        <w:t>如乙方不按上述程序随意变更的，甲方有权解除合同并不承担任何乙方的损失、没收乙方履约保证金。</w:t>
      </w:r>
    </w:p>
    <w:p w14:paraId="5C548140">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（2）本工程的项目</w:t>
      </w:r>
      <w:r>
        <w:rPr>
          <w:b/>
          <w:color w:val="000000" w:themeColor="text1"/>
          <w:sz w:val="21"/>
          <w:szCs w:val="21"/>
          <w:highlight w:val="none"/>
          <w14:textFill>
            <w14:solidFill>
              <w14:schemeClr w14:val="tx1"/>
            </w14:solidFill>
          </w14:textFill>
        </w:rPr>
        <w:t>经理</w:t>
      </w:r>
      <w:r>
        <w:rPr>
          <w:color w:val="000000" w:themeColor="text1"/>
          <w:sz w:val="21"/>
          <w:szCs w:val="21"/>
          <w:highlight w:val="none"/>
          <w14:textFill>
            <w14:solidFill>
              <w14:schemeClr w14:val="tx1"/>
            </w14:solidFill>
          </w14:textFill>
        </w:rPr>
        <w:t>在施工过程中不得同时兼任其它在建项目负责人。在施工过程中，甲方有权对不称职的</w:t>
      </w:r>
      <w:r>
        <w:rPr>
          <w:b/>
          <w:color w:val="000000" w:themeColor="text1"/>
          <w:sz w:val="21"/>
          <w:szCs w:val="21"/>
          <w:highlight w:val="none"/>
          <w14:textFill>
            <w14:solidFill>
              <w14:schemeClr w14:val="tx1"/>
            </w14:solidFill>
          </w14:textFill>
        </w:rPr>
        <w:t>项目经理</w:t>
      </w:r>
      <w:r>
        <w:rPr>
          <w:color w:val="000000" w:themeColor="text1"/>
          <w:sz w:val="21"/>
          <w:szCs w:val="21"/>
          <w:highlight w:val="none"/>
          <w14:textFill>
            <w14:solidFill>
              <w14:schemeClr w14:val="tx1"/>
            </w14:solidFill>
          </w14:textFill>
        </w:rPr>
        <w:t>要求撤换。同时乙方需按（1）款承担相应的责任与违约费用。</w:t>
      </w:r>
    </w:p>
    <w:p w14:paraId="193BB662">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（3）本工程的</w:t>
      </w:r>
      <w:r>
        <w:rPr>
          <w:b/>
          <w:color w:val="000000" w:themeColor="text1"/>
          <w:sz w:val="21"/>
          <w:szCs w:val="21"/>
          <w:highlight w:val="none"/>
          <w14:textFill>
            <w14:solidFill>
              <w14:schemeClr w14:val="tx1"/>
            </w14:solidFill>
          </w14:textFill>
        </w:rPr>
        <w:t>项目经理</w:t>
      </w:r>
      <w:r>
        <w:rPr>
          <w:color w:val="000000" w:themeColor="text1"/>
          <w:sz w:val="21"/>
          <w:szCs w:val="21"/>
          <w:highlight w:val="none"/>
          <w14:textFill>
            <w14:solidFill>
              <w14:schemeClr w14:val="tx1"/>
            </w14:solidFill>
          </w14:textFill>
        </w:rPr>
        <w:t>必须亲自对本工程进行全过程管理，</w:t>
      </w:r>
      <w:r>
        <w:rPr>
          <w:b/>
          <w:color w:val="000000" w:themeColor="text1"/>
          <w:sz w:val="21"/>
          <w:szCs w:val="21"/>
          <w:highlight w:val="none"/>
          <w14:textFill>
            <w14:solidFill>
              <w14:schemeClr w14:val="tx1"/>
            </w14:solidFill>
          </w14:textFill>
        </w:rPr>
        <w:t>项目经理</w:t>
      </w:r>
      <w:r>
        <w:rPr>
          <w:color w:val="000000" w:themeColor="text1"/>
          <w:sz w:val="21"/>
          <w:szCs w:val="21"/>
          <w:highlight w:val="none"/>
          <w14:textFill>
            <w14:solidFill>
              <w14:schemeClr w14:val="tx1"/>
            </w14:solidFill>
          </w14:textFill>
        </w:rPr>
        <w:t>及项目部的其他成员在岗率必须达到100%,甲方发现以上人员不在岗，每次处</w:t>
      </w:r>
      <w:r>
        <w:rPr>
          <w:rFonts w:hint="eastAsia"/>
          <w:color w:val="000000" w:themeColor="text1"/>
          <w:sz w:val="21"/>
          <w:szCs w:val="21"/>
          <w:highlight w:val="none"/>
          <w:lang w:val="en-US" w:eastAsia="zh-CN"/>
          <w14:textFill>
            <w14:solidFill>
              <w14:schemeClr w14:val="tx1"/>
            </w14:solidFill>
          </w14:textFill>
        </w:rPr>
        <w:t>1</w:t>
      </w:r>
      <w:r>
        <w:rPr>
          <w:color w:val="000000" w:themeColor="text1"/>
          <w:sz w:val="21"/>
          <w:szCs w:val="21"/>
          <w:highlight w:val="none"/>
          <w14:textFill>
            <w14:solidFill>
              <w14:schemeClr w14:val="tx1"/>
            </w14:solidFill>
          </w14:textFill>
        </w:rPr>
        <w:t>000元罚金，处罚二次后仍不纠正的，甲方有权终止合同</w:t>
      </w:r>
      <w:r>
        <w:rPr>
          <w:b/>
          <w:color w:val="000000" w:themeColor="text1"/>
          <w:sz w:val="21"/>
          <w:szCs w:val="21"/>
          <w:highlight w:val="none"/>
          <w14:textFill>
            <w14:solidFill>
              <w14:schemeClr w14:val="tx1"/>
            </w14:solidFill>
          </w14:textFill>
        </w:rPr>
        <w:t>并不承担任何乙方的损失、没收乙方履约保证金</w:t>
      </w:r>
      <w:r>
        <w:rPr>
          <w:color w:val="000000" w:themeColor="text1"/>
          <w:sz w:val="21"/>
          <w:szCs w:val="21"/>
          <w:highlight w:val="none"/>
          <w14:textFill>
            <w14:solidFill>
              <w14:schemeClr w14:val="tx1"/>
            </w14:solidFill>
          </w14:textFill>
        </w:rPr>
        <w:t>（项目经理如须离开现场，应向项目总监和甲方代表请假）。</w:t>
      </w:r>
    </w:p>
    <w:p w14:paraId="610B4D20">
      <w:pPr>
        <w:pStyle w:val="2"/>
        <w:widowControl/>
        <w:rPr>
          <w:b/>
          <w:color w:val="000000" w:themeColor="text1"/>
          <w:sz w:val="21"/>
          <w:szCs w:val="21"/>
          <w:highlight w:val="none"/>
          <w14:textFill>
            <w14:solidFill>
              <w14:schemeClr w14:val="tx1"/>
            </w14:solidFill>
          </w14:textFill>
        </w:rPr>
      </w:pPr>
      <w:r>
        <w:rPr>
          <w:b/>
          <w:color w:val="000000" w:themeColor="text1"/>
          <w:sz w:val="21"/>
          <w:szCs w:val="21"/>
          <w:highlight w:val="none"/>
          <w14:textFill>
            <w14:solidFill>
              <w14:schemeClr w14:val="tx1"/>
            </w14:solidFill>
          </w14:textFill>
        </w:rPr>
        <w:t>（4）在施工过程中，本项目的项目经理及关键岗位人员应与投标时拟派的保持一致，如甲方发现乙方有资质挂靠、行贿、弄虚作假骗取中标等违法、违规行为，甲方将按照《招标投标法》等法规和相关规定进行处理，甲方有权解除合同,并要求乙方承担相应的赔偿。</w:t>
      </w:r>
    </w:p>
    <w:p w14:paraId="2050B0E9">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3.2.3 乙方无正当理由拒绝更换项目经理的违约责任：</w:t>
      </w:r>
      <w:r>
        <w:rPr>
          <w:color w:val="000000" w:themeColor="text1"/>
          <w:sz w:val="21"/>
          <w:szCs w:val="21"/>
          <w:highlight w:val="none"/>
          <w:u w:val="single"/>
          <w14:textFill>
            <w14:solidFill>
              <w14:schemeClr w14:val="tx1"/>
            </w14:solidFill>
          </w14:textFill>
        </w:rPr>
        <w:t xml:space="preserve"> 甲方有权终止施工合同的权利  </w:t>
      </w:r>
      <w:r>
        <w:rPr>
          <w:color w:val="000000" w:themeColor="text1"/>
          <w:sz w:val="21"/>
          <w:szCs w:val="21"/>
          <w:highlight w:val="none"/>
          <w14:textFill>
            <w14:solidFill>
              <w14:schemeClr w14:val="tx1"/>
            </w14:solidFill>
          </w14:textFill>
        </w:rPr>
        <w:t xml:space="preserve"> 。</w:t>
      </w:r>
    </w:p>
    <w:p w14:paraId="46C4C5CC">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3.3 乙方人员</w:t>
      </w:r>
    </w:p>
    <w:p w14:paraId="4192443C">
      <w:pPr>
        <w:pStyle w:val="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3.3.1 乙方提交项目管理机构及施工现场管理人员安排报告的期限：</w:t>
      </w:r>
      <w:r>
        <w:rPr>
          <w:color w:val="000000" w:themeColor="text1"/>
          <w:sz w:val="21"/>
          <w:szCs w:val="21"/>
          <w:highlight w:val="none"/>
          <w:u w:val="single"/>
          <w14:textFill>
            <w14:solidFill>
              <w14:schemeClr w14:val="tx1"/>
            </w14:solidFill>
          </w14:textFill>
        </w:rPr>
        <w:t>按合同通用条款执行</w:t>
      </w:r>
      <w:r>
        <w:rPr>
          <w:color w:val="000000" w:themeColor="text1"/>
          <w:sz w:val="21"/>
          <w:szCs w:val="21"/>
          <w:highlight w:val="none"/>
          <w14:textFill>
            <w14:solidFill>
              <w14:schemeClr w14:val="tx1"/>
            </w14:solidFill>
          </w14:textFill>
        </w:rPr>
        <w:t>。乙方须配备</w:t>
      </w:r>
      <w:r>
        <w:rPr>
          <w:rFonts w:hint="eastAsia"/>
          <w:color w:val="000000" w:themeColor="text1"/>
          <w:sz w:val="21"/>
          <w:szCs w:val="21"/>
          <w:highlight w:val="none"/>
          <w:lang w:val="en-US" w:eastAsia="zh-CN"/>
          <w14:textFill>
            <w14:solidFill>
              <w14:schemeClr w14:val="tx1"/>
            </w14:solidFill>
          </w14:textFill>
        </w:rPr>
        <w:t>1</w:t>
      </w:r>
      <w:r>
        <w:rPr>
          <w:color w:val="000000" w:themeColor="text1"/>
          <w:sz w:val="21"/>
          <w:szCs w:val="21"/>
          <w:highlight w:val="none"/>
          <w14:textFill>
            <w14:solidFill>
              <w14:schemeClr w14:val="tx1"/>
            </w14:solidFill>
          </w14:textFill>
        </w:rPr>
        <w:t>名施工员</w:t>
      </w:r>
      <w:r>
        <w:rPr>
          <w:rFonts w:hint="eastAsia"/>
          <w:color w:val="000000" w:themeColor="text1"/>
          <w:sz w:val="21"/>
          <w:szCs w:val="21"/>
          <w:highlight w:val="none"/>
          <w:lang w:eastAsia="zh-CN"/>
          <w14:textFill>
            <w14:solidFill>
              <w14:schemeClr w14:val="tx1"/>
            </w14:solidFill>
          </w14:textFill>
        </w:rPr>
        <w:t>、</w:t>
      </w:r>
      <w:r>
        <w:rPr>
          <w:rFonts w:hint="eastAsia"/>
          <w:color w:val="000000" w:themeColor="text1"/>
          <w:sz w:val="21"/>
          <w:szCs w:val="21"/>
          <w:highlight w:val="none"/>
          <w:lang w:val="en-US" w:eastAsia="zh-CN"/>
          <w14:textFill>
            <w14:solidFill>
              <w14:schemeClr w14:val="tx1"/>
            </w14:solidFill>
          </w14:textFill>
        </w:rPr>
        <w:t>1名安全员</w:t>
      </w:r>
      <w:r>
        <w:rPr>
          <w:color w:val="000000" w:themeColor="text1"/>
          <w:sz w:val="21"/>
          <w:szCs w:val="21"/>
          <w:highlight w:val="none"/>
          <w14:textFill>
            <w14:solidFill>
              <w14:schemeClr w14:val="tx1"/>
            </w14:solidFill>
          </w14:textFill>
        </w:rPr>
        <w:t>和1名资料员，每月在施工现场的时间不少于22天。</w:t>
      </w:r>
    </w:p>
    <w:p w14:paraId="5E979D00">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3.3.3 乙方无正当理由拒绝撤换主要施工管理人员的违约责任： </w:t>
      </w:r>
      <w:r>
        <w:rPr>
          <w:color w:val="000000" w:themeColor="text1"/>
          <w:sz w:val="21"/>
          <w:szCs w:val="21"/>
          <w:highlight w:val="none"/>
          <w:u w:val="single"/>
          <w14:textFill>
            <w14:solidFill>
              <w14:schemeClr w14:val="tx1"/>
            </w14:solidFill>
          </w14:textFill>
        </w:rPr>
        <w:t>合同谈判时约定</w:t>
      </w:r>
      <w:r>
        <w:rPr>
          <w:color w:val="000000" w:themeColor="text1"/>
          <w:sz w:val="21"/>
          <w:szCs w:val="21"/>
          <w:highlight w:val="none"/>
          <w14:textFill>
            <w14:solidFill>
              <w14:schemeClr w14:val="tx1"/>
            </w14:solidFill>
          </w14:textFill>
        </w:rPr>
        <w:t>。</w:t>
      </w:r>
    </w:p>
    <w:p w14:paraId="3F897BAB">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3.3.4 乙方其他施工管理人员离开施工现场的批准要求：</w:t>
      </w:r>
      <w:r>
        <w:rPr>
          <w:color w:val="000000" w:themeColor="text1"/>
          <w:sz w:val="21"/>
          <w:szCs w:val="21"/>
          <w:highlight w:val="none"/>
          <w:u w:val="single"/>
          <w14:textFill>
            <w14:solidFill>
              <w14:schemeClr w14:val="tx1"/>
            </w14:solidFill>
          </w14:textFill>
        </w:rPr>
        <w:t>由甲方批准</w:t>
      </w:r>
      <w:r>
        <w:rPr>
          <w:color w:val="000000" w:themeColor="text1"/>
          <w:sz w:val="21"/>
          <w:szCs w:val="21"/>
          <w:highlight w:val="none"/>
          <w14:textFill>
            <w14:solidFill>
              <w14:schemeClr w14:val="tx1"/>
            </w14:solidFill>
          </w14:textFill>
        </w:rPr>
        <w:t>。</w:t>
      </w:r>
    </w:p>
    <w:p w14:paraId="330F2A92">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3.3.5 乙方擅自更换其他施工管理人员的违约责任：</w:t>
      </w:r>
      <w:r>
        <w:rPr>
          <w:color w:val="000000" w:themeColor="text1"/>
          <w:sz w:val="21"/>
          <w:szCs w:val="21"/>
          <w:highlight w:val="none"/>
          <w:u w:val="single"/>
          <w14:textFill>
            <w14:solidFill>
              <w14:schemeClr w14:val="tx1"/>
            </w14:solidFill>
          </w14:textFill>
        </w:rPr>
        <w:t>合同谈判时约定</w:t>
      </w:r>
      <w:r>
        <w:rPr>
          <w:color w:val="000000" w:themeColor="text1"/>
          <w:sz w:val="21"/>
          <w:szCs w:val="21"/>
          <w:highlight w:val="none"/>
          <w14:textFill>
            <w14:solidFill>
              <w14:schemeClr w14:val="tx1"/>
            </w14:solidFill>
          </w14:textFill>
        </w:rPr>
        <w:t>。</w:t>
      </w:r>
    </w:p>
    <w:p w14:paraId="3777BB1B">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乙方其他施工管理人员擅自离开施工现场的违约责任：</w:t>
      </w:r>
      <w:r>
        <w:rPr>
          <w:color w:val="000000" w:themeColor="text1"/>
          <w:sz w:val="21"/>
          <w:szCs w:val="21"/>
          <w:highlight w:val="none"/>
          <w:u w:val="single"/>
          <w14:textFill>
            <w14:solidFill>
              <w14:schemeClr w14:val="tx1"/>
            </w14:solidFill>
          </w14:textFill>
        </w:rPr>
        <w:t>每次处2000元罚金，处罚二次以上仍不纠正的，甲方有权要求乙方对其进行更换</w:t>
      </w:r>
      <w:r>
        <w:rPr>
          <w:color w:val="000000" w:themeColor="text1"/>
          <w:sz w:val="21"/>
          <w:szCs w:val="21"/>
          <w:highlight w:val="none"/>
          <w14:textFill>
            <w14:solidFill>
              <w14:schemeClr w14:val="tx1"/>
            </w14:solidFill>
          </w14:textFill>
        </w:rPr>
        <w:t>。</w:t>
      </w:r>
    </w:p>
    <w:p w14:paraId="7FF2C121">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3.4 分包</w:t>
      </w:r>
    </w:p>
    <w:p w14:paraId="2639A063">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3.4.1 分包的一般约定</w:t>
      </w:r>
    </w:p>
    <w:p w14:paraId="0248F9D2">
      <w:pPr>
        <w:pStyle w:val="2"/>
        <w:widowControl/>
        <w:spacing w:before="0" w:line="24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禁止分包的工程包括：</w:t>
      </w:r>
      <w:r>
        <w:rPr>
          <w:color w:val="000000" w:themeColor="text1"/>
          <w:sz w:val="21"/>
          <w:szCs w:val="21"/>
          <w:highlight w:val="none"/>
          <w:u w:val="single"/>
          <w14:textFill>
            <w14:solidFill>
              <w14:schemeClr w14:val="tx1"/>
            </w14:solidFill>
          </w14:textFill>
        </w:rPr>
        <w:t xml:space="preserve">  按合同通用</w:t>
      </w:r>
      <w:r>
        <w:rPr>
          <w:rFonts w:hint="eastAsia"/>
          <w:color w:val="000000" w:themeColor="text1"/>
          <w:sz w:val="21"/>
          <w:szCs w:val="21"/>
          <w:highlight w:val="none"/>
          <w:u w:val="single"/>
          <w:lang w:val="en-US" w:eastAsia="zh-CN"/>
          <w14:textFill>
            <w14:solidFill>
              <w14:schemeClr w14:val="tx1"/>
            </w14:solidFill>
          </w14:textFill>
        </w:rPr>
        <w:t>条</w:t>
      </w:r>
      <w:r>
        <w:rPr>
          <w:color w:val="000000" w:themeColor="text1"/>
          <w:sz w:val="21"/>
          <w:szCs w:val="21"/>
          <w:highlight w:val="none"/>
          <w:u w:val="single"/>
          <w14:textFill>
            <w14:solidFill>
              <w14:schemeClr w14:val="tx1"/>
            </w14:solidFill>
          </w14:textFill>
        </w:rPr>
        <w:t xml:space="preserve">款  </w:t>
      </w:r>
      <w:r>
        <w:rPr>
          <w:color w:val="000000" w:themeColor="text1"/>
          <w:sz w:val="21"/>
          <w:szCs w:val="21"/>
          <w:highlight w:val="none"/>
          <w14:textFill>
            <w14:solidFill>
              <w14:schemeClr w14:val="tx1"/>
            </w14:solidFill>
          </w14:textFill>
        </w:rPr>
        <w:t>。</w:t>
      </w:r>
    </w:p>
    <w:p w14:paraId="75B6AF58">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3.4.2 分包的确定</w:t>
      </w:r>
    </w:p>
    <w:p w14:paraId="152C688F">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允许分包的专业工程包括：</w:t>
      </w:r>
      <w:r>
        <w:rPr>
          <w:color w:val="000000" w:themeColor="text1"/>
          <w:sz w:val="21"/>
          <w:szCs w:val="21"/>
          <w:highlight w:val="none"/>
          <w:u w:val="single"/>
          <w14:textFill>
            <w14:solidFill>
              <w14:schemeClr w14:val="tx1"/>
            </w14:solidFill>
          </w14:textFill>
        </w:rPr>
        <w:t>无</w:t>
      </w:r>
      <w:r>
        <w:rPr>
          <w:color w:val="000000" w:themeColor="text1"/>
          <w:sz w:val="21"/>
          <w:szCs w:val="21"/>
          <w:highlight w:val="none"/>
          <w14:textFill>
            <w14:solidFill>
              <w14:schemeClr w14:val="tx1"/>
            </w14:solidFill>
          </w14:textFill>
        </w:rPr>
        <w:t>。</w:t>
      </w:r>
    </w:p>
    <w:p w14:paraId="55163914">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14:textFill>
            <w14:solidFill>
              <w14:schemeClr w14:val="tx1"/>
            </w14:solidFill>
          </w14:textFill>
        </w:rPr>
        <w:t>其他关于分包的约定：</w:t>
      </w:r>
      <w:r>
        <w:rPr>
          <w:color w:val="000000" w:themeColor="text1"/>
          <w:sz w:val="21"/>
          <w:szCs w:val="21"/>
          <w:highlight w:val="none"/>
          <w:u w:val="single"/>
          <w14:textFill>
            <w14:solidFill>
              <w14:schemeClr w14:val="tx1"/>
            </w14:solidFill>
          </w14:textFill>
        </w:rPr>
        <w:t xml:space="preserve">本工程不允许违法分包，一经发现甲方有权责令改正，并处罚款20万元，直至终止合同。本工程禁止挂靠、转包行为，一经发现将向地方建设行政主管部门投诉，终止合同并要求赔偿损失 </w:t>
      </w:r>
      <w:r>
        <w:rPr>
          <w:color w:val="000000" w:themeColor="text1"/>
          <w:sz w:val="21"/>
          <w:szCs w:val="21"/>
          <w:highlight w:val="none"/>
          <w14:textFill>
            <w14:solidFill>
              <w14:schemeClr w14:val="tx1"/>
            </w14:solidFill>
          </w14:textFill>
        </w:rPr>
        <w:t>。</w:t>
      </w:r>
    </w:p>
    <w:p w14:paraId="7BB23E4B">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3.5 履约担保</w:t>
      </w:r>
    </w:p>
    <w:p w14:paraId="4EFC56C3">
      <w:pPr>
        <w:pStyle w:val="2"/>
        <w:widowControl/>
        <w:rPr>
          <w:rFonts w:hint="default" w:eastAsia="宋体"/>
          <w:color w:val="000000" w:themeColor="text1"/>
          <w:sz w:val="21"/>
          <w:szCs w:val="21"/>
          <w:highlight w:val="none"/>
          <w:u w:val="singl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乙方是否提供履约担保：</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是</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。乙方提供履约担保的形式、金额及期限的：</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银行转账或银行保函，合同金额的10%，有效期至项目竣工验收合格 。</w:t>
      </w:r>
    </w:p>
    <w:p w14:paraId="0C8DD55F">
      <w:pPr>
        <w:pStyle w:val="3"/>
        <w:rPr>
          <w:color w:val="000000" w:themeColor="text1"/>
          <w:sz w:val="21"/>
          <w:szCs w:val="21"/>
          <w:highlight w:val="none"/>
          <w14:textFill>
            <w14:solidFill>
              <w14:schemeClr w14:val="tx1"/>
            </w14:solidFill>
          </w14:textFill>
        </w:rPr>
      </w:pPr>
      <w:bookmarkStart w:id="189" w:name="_Toc399146815"/>
      <w:bookmarkStart w:id="190" w:name="_Toc470519514"/>
      <w:bookmarkStart w:id="191" w:name="_Toc501980473"/>
      <w:bookmarkStart w:id="192" w:name="_Toc13110"/>
      <w:bookmarkStart w:id="193" w:name="_Toc501987479"/>
      <w:bookmarkStart w:id="194" w:name="_Toc404073903"/>
      <w:bookmarkStart w:id="195" w:name="_Toc39849999"/>
      <w:bookmarkStart w:id="196" w:name="_Toc135573874"/>
      <w:bookmarkStart w:id="197" w:name="_Toc436589163"/>
      <w:bookmarkStart w:id="198" w:name="_Toc5027448"/>
      <w:bookmarkStart w:id="199" w:name="_Toc399146305"/>
      <w:r>
        <w:rPr>
          <w:color w:val="000000" w:themeColor="text1"/>
          <w:sz w:val="21"/>
          <w:szCs w:val="21"/>
          <w:highlight w:val="none"/>
          <w14:textFill>
            <w14:solidFill>
              <w14:schemeClr w14:val="tx1"/>
            </w14:solidFill>
          </w14:textFill>
        </w:rPr>
        <w:t>4.监理人</w:t>
      </w:r>
      <w:bookmarkEnd w:id="189"/>
      <w:bookmarkEnd w:id="190"/>
      <w:bookmarkEnd w:id="191"/>
      <w:bookmarkEnd w:id="192"/>
      <w:bookmarkEnd w:id="193"/>
      <w:bookmarkEnd w:id="194"/>
      <w:bookmarkEnd w:id="195"/>
      <w:bookmarkEnd w:id="196"/>
      <w:bookmarkEnd w:id="197"/>
      <w:bookmarkEnd w:id="198"/>
      <w:bookmarkEnd w:id="199"/>
    </w:p>
    <w:p w14:paraId="743494FA">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4.1 监理人的一般规定</w:t>
      </w:r>
    </w:p>
    <w:p w14:paraId="385C7C8E">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关于监理人的监理内容：</w:t>
      </w:r>
      <w:r>
        <w:rPr>
          <w:color w:val="000000" w:themeColor="text1"/>
          <w:sz w:val="21"/>
          <w:szCs w:val="21"/>
          <w:highlight w:val="none"/>
          <w:u w:val="single"/>
          <w14:textFill>
            <w14:solidFill>
              <w14:schemeClr w14:val="tx1"/>
            </w14:solidFill>
          </w14:textFill>
        </w:rPr>
        <w:t>待签订合同后另行通知乙方</w:t>
      </w:r>
      <w:r>
        <w:rPr>
          <w:color w:val="000000" w:themeColor="text1"/>
          <w:sz w:val="21"/>
          <w:szCs w:val="21"/>
          <w:highlight w:val="none"/>
          <w14:textFill>
            <w14:solidFill>
              <w14:schemeClr w14:val="tx1"/>
            </w14:solidFill>
          </w14:textFill>
        </w:rPr>
        <w:t>。</w:t>
      </w:r>
    </w:p>
    <w:p w14:paraId="3C5743F9">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关于监理人的监理权限：</w:t>
      </w:r>
      <w:r>
        <w:rPr>
          <w:color w:val="000000" w:themeColor="text1"/>
          <w:sz w:val="21"/>
          <w:szCs w:val="21"/>
          <w:highlight w:val="none"/>
          <w:u w:val="single"/>
          <w14:textFill>
            <w14:solidFill>
              <w14:schemeClr w14:val="tx1"/>
            </w14:solidFill>
          </w14:textFill>
        </w:rPr>
        <w:t>待签订合同后另行通知乙方</w:t>
      </w:r>
      <w:r>
        <w:rPr>
          <w:color w:val="000000" w:themeColor="text1"/>
          <w:sz w:val="21"/>
          <w:szCs w:val="21"/>
          <w:highlight w:val="none"/>
          <w14:textFill>
            <w14:solidFill>
              <w14:schemeClr w14:val="tx1"/>
            </w14:solidFill>
          </w14:textFill>
        </w:rPr>
        <w:t>。</w:t>
      </w:r>
    </w:p>
    <w:p w14:paraId="43257A35">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关于监理人在施工现场的办公场所、生活场所的提供和费用承担的约定：</w:t>
      </w:r>
      <w:r>
        <w:rPr>
          <w:color w:val="000000" w:themeColor="text1"/>
          <w:sz w:val="21"/>
          <w:szCs w:val="21"/>
          <w:highlight w:val="none"/>
          <w:u w:val="single"/>
          <w14:textFill>
            <w14:solidFill>
              <w14:schemeClr w14:val="tx1"/>
            </w14:solidFill>
          </w14:textFill>
        </w:rPr>
        <w:t xml:space="preserve"> 由甲方负责</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61BEC2A2">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4.2 监理人员</w:t>
      </w:r>
    </w:p>
    <w:p w14:paraId="2286A8FB">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总监理工程师：</w:t>
      </w:r>
    </w:p>
    <w:p w14:paraId="29F7EFCB">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姓    名：</w:t>
      </w:r>
      <w:r>
        <w:rPr>
          <w:color w:val="000000" w:themeColor="text1"/>
          <w:sz w:val="21"/>
          <w:szCs w:val="21"/>
          <w:highlight w:val="none"/>
          <w:u w:val="single"/>
          <w14:textFill>
            <w14:solidFill>
              <w14:schemeClr w14:val="tx1"/>
            </w14:solidFill>
          </w14:textFill>
        </w:rPr>
        <w:t xml:space="preserve">          /           </w:t>
      </w:r>
      <w:r>
        <w:rPr>
          <w:color w:val="000000" w:themeColor="text1"/>
          <w:sz w:val="21"/>
          <w:szCs w:val="21"/>
          <w:highlight w:val="none"/>
          <w14:textFill>
            <w14:solidFill>
              <w14:schemeClr w14:val="tx1"/>
            </w14:solidFill>
          </w14:textFill>
        </w:rPr>
        <w:t xml:space="preserve"> ；</w:t>
      </w:r>
    </w:p>
    <w:p w14:paraId="7B2F5C8C">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职    务：</w:t>
      </w:r>
      <w:r>
        <w:rPr>
          <w:color w:val="000000" w:themeColor="text1"/>
          <w:sz w:val="21"/>
          <w:szCs w:val="21"/>
          <w:highlight w:val="none"/>
          <w:u w:val="single"/>
          <w14:textFill>
            <w14:solidFill>
              <w14:schemeClr w14:val="tx1"/>
            </w14:solidFill>
          </w14:textFill>
        </w:rPr>
        <w:t xml:space="preserve">          /        </w:t>
      </w:r>
      <w:r>
        <w:rPr>
          <w:color w:val="000000" w:themeColor="text1"/>
          <w:sz w:val="21"/>
          <w:szCs w:val="21"/>
          <w:highlight w:val="none"/>
          <w14:textFill>
            <w14:solidFill>
              <w14:schemeClr w14:val="tx1"/>
            </w14:solidFill>
          </w14:textFill>
        </w:rPr>
        <w:t xml:space="preserve"> ；</w:t>
      </w:r>
    </w:p>
    <w:p w14:paraId="624D4211">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监理工程师执业资格证书号：</w:t>
      </w:r>
      <w:r>
        <w:rPr>
          <w:color w:val="000000" w:themeColor="text1"/>
          <w:sz w:val="21"/>
          <w:szCs w:val="21"/>
          <w:highlight w:val="none"/>
          <w:u w:val="single"/>
          <w14:textFill>
            <w14:solidFill>
              <w14:schemeClr w14:val="tx1"/>
            </w14:solidFill>
          </w14:textFill>
        </w:rPr>
        <w:t xml:space="preserve">          /        </w:t>
      </w:r>
      <w:r>
        <w:rPr>
          <w:color w:val="000000" w:themeColor="text1"/>
          <w:sz w:val="21"/>
          <w:szCs w:val="21"/>
          <w:highlight w:val="none"/>
          <w14:textFill>
            <w14:solidFill>
              <w14:schemeClr w14:val="tx1"/>
            </w14:solidFill>
          </w14:textFill>
        </w:rPr>
        <w:t xml:space="preserve"> ； </w:t>
      </w:r>
    </w:p>
    <w:p w14:paraId="0824886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联系电话：</w:t>
      </w:r>
      <w:r>
        <w:rPr>
          <w:color w:val="000000" w:themeColor="text1"/>
          <w:sz w:val="21"/>
          <w:szCs w:val="21"/>
          <w:highlight w:val="none"/>
          <w:u w:val="single"/>
          <w14:textFill>
            <w14:solidFill>
              <w14:schemeClr w14:val="tx1"/>
            </w14:solidFill>
          </w14:textFill>
        </w:rPr>
        <w:t xml:space="preserve">               /        </w:t>
      </w:r>
      <w:r>
        <w:rPr>
          <w:color w:val="000000" w:themeColor="text1"/>
          <w:sz w:val="21"/>
          <w:szCs w:val="21"/>
          <w:highlight w:val="none"/>
          <w14:textFill>
            <w14:solidFill>
              <w14:schemeClr w14:val="tx1"/>
            </w14:solidFill>
          </w14:textFill>
        </w:rPr>
        <w:t xml:space="preserve"> ； </w:t>
      </w:r>
    </w:p>
    <w:p w14:paraId="1D8256E9">
      <w:pPr>
        <w:pStyle w:val="3"/>
        <w:rPr>
          <w:color w:val="000000" w:themeColor="text1"/>
          <w:sz w:val="21"/>
          <w:szCs w:val="21"/>
          <w:highlight w:val="none"/>
          <w14:textFill>
            <w14:solidFill>
              <w14:schemeClr w14:val="tx1"/>
            </w14:solidFill>
          </w14:textFill>
        </w:rPr>
      </w:pPr>
      <w:bookmarkStart w:id="200" w:name="_Toc18697"/>
      <w:bookmarkStart w:id="201" w:name="_Toc39850000"/>
      <w:bookmarkStart w:id="202" w:name="_Toc399146816"/>
      <w:bookmarkStart w:id="203" w:name="_Toc399146306"/>
      <w:bookmarkStart w:id="204" w:name="_Toc404073904"/>
      <w:bookmarkStart w:id="205" w:name="_Toc501980474"/>
      <w:bookmarkStart w:id="206" w:name="_Toc5027449"/>
      <w:bookmarkStart w:id="207" w:name="_Toc135573875"/>
      <w:bookmarkStart w:id="208" w:name="_Toc436589164"/>
      <w:bookmarkStart w:id="209" w:name="_Toc501987480"/>
      <w:bookmarkStart w:id="210" w:name="_Toc470519515"/>
      <w:r>
        <w:rPr>
          <w:color w:val="000000" w:themeColor="text1"/>
          <w:sz w:val="21"/>
          <w:szCs w:val="21"/>
          <w:highlight w:val="none"/>
          <w14:textFill>
            <w14:solidFill>
              <w14:schemeClr w14:val="tx1"/>
            </w14:solidFill>
          </w14:textFill>
        </w:rPr>
        <w:t>5.工程质量</w:t>
      </w:r>
      <w:bookmarkEnd w:id="200"/>
      <w:bookmarkEnd w:id="201"/>
      <w:bookmarkEnd w:id="202"/>
      <w:bookmarkEnd w:id="203"/>
      <w:bookmarkEnd w:id="204"/>
      <w:bookmarkEnd w:id="205"/>
      <w:bookmarkEnd w:id="206"/>
      <w:bookmarkEnd w:id="207"/>
      <w:bookmarkEnd w:id="208"/>
      <w:bookmarkEnd w:id="209"/>
      <w:bookmarkEnd w:id="210"/>
    </w:p>
    <w:p w14:paraId="328F1717">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5.1 质量要求</w:t>
      </w:r>
    </w:p>
    <w:p w14:paraId="44D4E930">
      <w:pPr>
        <w:widowControl/>
        <w:spacing w:line="400" w:lineRule="exact"/>
        <w:ind w:firstLine="420" w:firstLineChars="200"/>
        <w:jc w:val="left"/>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5.1.1 特殊质量标准和要求：</w:t>
      </w:r>
      <w:r>
        <w:rPr>
          <w:rFonts w:hint="eastAsia" w:ascii="宋体" w:hAnsi="宋体" w:cs="宋体"/>
          <w:color w:val="000000" w:themeColor="text1"/>
          <w:kern w:val="0"/>
          <w:sz w:val="21"/>
          <w:szCs w:val="21"/>
          <w:highlight w:val="none"/>
          <w:u w:val="single"/>
          <w14:textFill>
            <w14:solidFill>
              <w14:schemeClr w14:val="tx1"/>
            </w14:solidFill>
          </w14:textFill>
        </w:rPr>
        <w:t xml:space="preserve">      /         </w:t>
      </w:r>
      <w:r>
        <w:rPr>
          <w:rFonts w:hint="eastAsia" w:ascii="宋体" w:hAnsi="宋体" w:cs="宋体"/>
          <w:color w:val="000000" w:themeColor="text1"/>
          <w:kern w:val="0"/>
          <w:sz w:val="21"/>
          <w:szCs w:val="21"/>
          <w:highlight w:val="none"/>
          <w14:textFill>
            <w14:solidFill>
              <w14:schemeClr w14:val="tx1"/>
            </w14:solidFill>
          </w14:textFill>
        </w:rPr>
        <w:t>。</w:t>
      </w:r>
    </w:p>
    <w:p w14:paraId="33A77765">
      <w:pPr>
        <w:pStyle w:val="2"/>
        <w:widowControl/>
        <w:rPr>
          <w:rFonts w:hint="default"/>
          <w:color w:val="000000" w:themeColor="text1"/>
          <w:sz w:val="21"/>
          <w:szCs w:val="21"/>
          <w:highlight w:val="none"/>
          <w:u w:val="single"/>
          <w:lang w:val="en-US"/>
          <w14:textFill>
            <w14:solidFill>
              <w14:schemeClr w14:val="tx1"/>
            </w14:solidFill>
          </w14:textFill>
        </w:rPr>
      </w:pPr>
      <w:r>
        <w:rPr>
          <w:color w:val="000000" w:themeColor="text1"/>
          <w:sz w:val="21"/>
          <w:szCs w:val="21"/>
          <w:highlight w:val="none"/>
          <w14:textFill>
            <w14:solidFill>
              <w14:schemeClr w14:val="tx1"/>
            </w14:solidFill>
          </w14:textFill>
        </w:rPr>
        <w:t>关于工程奖项的约定</w:t>
      </w:r>
      <w:r>
        <w:rPr>
          <w:rFonts w:hint="eastAsia"/>
          <w:color w:val="000000" w:themeColor="text1"/>
          <w:sz w:val="21"/>
          <w:szCs w:val="21"/>
          <w:highlight w:val="none"/>
          <w:lang w:eastAsia="zh-CN"/>
          <w14:textFill>
            <w14:solidFill>
              <w14:schemeClr w14:val="tx1"/>
            </w14:solidFill>
          </w14:textFill>
        </w:rPr>
        <w:t>：</w:t>
      </w:r>
      <w:r>
        <w:rPr>
          <w:rFonts w:hint="eastAsia"/>
          <w:color w:val="000000" w:themeColor="text1"/>
          <w:sz w:val="21"/>
          <w:szCs w:val="21"/>
          <w:highlight w:val="none"/>
          <w:u w:val="single"/>
          <w:lang w:val="en-US" w:eastAsia="zh-CN"/>
          <w14:textFill>
            <w14:solidFill>
              <w14:schemeClr w14:val="tx1"/>
            </w14:solidFill>
          </w14:textFill>
        </w:rPr>
        <w:t>无       。</w:t>
      </w:r>
    </w:p>
    <w:p w14:paraId="5E881E31">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5.2 隐蔽工程检查</w:t>
      </w:r>
    </w:p>
    <w:p w14:paraId="3B3CDDCA">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乙方提前通知监理人隐蔽工程检查的期限的约定：</w:t>
      </w:r>
      <w:r>
        <w:rPr>
          <w:color w:val="000000" w:themeColor="text1"/>
          <w:sz w:val="21"/>
          <w:szCs w:val="21"/>
          <w:highlight w:val="none"/>
          <w:u w:val="single"/>
          <w14:textFill>
            <w14:solidFill>
              <w14:schemeClr w14:val="tx1"/>
            </w14:solidFill>
          </w14:textFill>
        </w:rPr>
        <w:t xml:space="preserve">  按通用条款约定</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72EAF0B4">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监理人不能按时进行检查时，应提前</w:t>
      </w:r>
      <w:r>
        <w:rPr>
          <w:color w:val="000000" w:themeColor="text1"/>
          <w:sz w:val="21"/>
          <w:szCs w:val="21"/>
          <w:highlight w:val="none"/>
          <w:u w:val="single"/>
          <w14:textFill>
            <w14:solidFill>
              <w14:schemeClr w14:val="tx1"/>
            </w14:solidFill>
          </w14:textFill>
        </w:rPr>
        <w:t xml:space="preserve"> 24</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小时提交书面延期要求。</w:t>
      </w:r>
    </w:p>
    <w:p w14:paraId="21F99ECE">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关于延期最长不得超过：</w:t>
      </w:r>
      <w:r>
        <w:rPr>
          <w:color w:val="000000" w:themeColor="text1"/>
          <w:sz w:val="21"/>
          <w:szCs w:val="21"/>
          <w:highlight w:val="none"/>
          <w:u w:val="single"/>
          <w14:textFill>
            <w14:solidFill>
              <w14:schemeClr w14:val="tx1"/>
            </w14:solidFill>
          </w14:textFill>
        </w:rPr>
        <w:t xml:space="preserve">  48 </w:t>
      </w:r>
      <w:r>
        <w:rPr>
          <w:color w:val="000000" w:themeColor="text1"/>
          <w:sz w:val="21"/>
          <w:szCs w:val="21"/>
          <w:highlight w:val="none"/>
          <w14:textFill>
            <w14:solidFill>
              <w14:schemeClr w14:val="tx1"/>
            </w14:solidFill>
          </w14:textFill>
        </w:rPr>
        <w:t>小时。</w:t>
      </w:r>
    </w:p>
    <w:p w14:paraId="4F4873AF">
      <w:pPr>
        <w:pStyle w:val="3"/>
        <w:rPr>
          <w:color w:val="000000" w:themeColor="text1"/>
          <w:sz w:val="21"/>
          <w:szCs w:val="21"/>
          <w:highlight w:val="none"/>
          <w14:textFill>
            <w14:solidFill>
              <w14:schemeClr w14:val="tx1"/>
            </w14:solidFill>
          </w14:textFill>
        </w:rPr>
      </w:pPr>
      <w:bookmarkStart w:id="211" w:name="_Toc399146817"/>
      <w:bookmarkStart w:id="212" w:name="_Toc135573876"/>
      <w:bookmarkStart w:id="213" w:name="_Toc39850001"/>
      <w:bookmarkStart w:id="214" w:name="_Toc28683"/>
      <w:bookmarkStart w:id="215" w:name="_Toc5027450"/>
      <w:bookmarkStart w:id="216" w:name="_Toc470519516"/>
      <w:bookmarkStart w:id="217" w:name="_Toc436589165"/>
      <w:bookmarkStart w:id="218" w:name="_Toc501987481"/>
      <w:bookmarkStart w:id="219" w:name="_Toc404073905"/>
      <w:bookmarkStart w:id="220" w:name="_Toc399146307"/>
      <w:bookmarkStart w:id="221" w:name="_Toc501980475"/>
      <w:r>
        <w:rPr>
          <w:color w:val="000000" w:themeColor="text1"/>
          <w:sz w:val="21"/>
          <w:szCs w:val="21"/>
          <w:highlight w:val="none"/>
          <w14:textFill>
            <w14:solidFill>
              <w14:schemeClr w14:val="tx1"/>
            </w14:solidFill>
          </w14:textFill>
        </w:rPr>
        <w:t>6.安全文明施工与环境保护</w:t>
      </w:r>
      <w:bookmarkEnd w:id="211"/>
      <w:bookmarkEnd w:id="212"/>
      <w:bookmarkEnd w:id="213"/>
      <w:bookmarkEnd w:id="214"/>
      <w:bookmarkEnd w:id="215"/>
      <w:bookmarkEnd w:id="216"/>
      <w:bookmarkEnd w:id="217"/>
      <w:bookmarkEnd w:id="218"/>
      <w:bookmarkEnd w:id="219"/>
      <w:bookmarkEnd w:id="220"/>
      <w:bookmarkEnd w:id="221"/>
    </w:p>
    <w:p w14:paraId="368DE6DD">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6.1 安全文明施工</w:t>
      </w:r>
    </w:p>
    <w:p w14:paraId="1BBCB7F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6.1.1 项目安全生产的达标目标及相应事项的约定：</w:t>
      </w:r>
      <w:r>
        <w:rPr>
          <w:color w:val="000000" w:themeColor="text1"/>
          <w:sz w:val="21"/>
          <w:szCs w:val="21"/>
          <w:highlight w:val="none"/>
          <w:u w:val="single"/>
          <w14:textFill>
            <w14:solidFill>
              <w14:schemeClr w14:val="tx1"/>
            </w14:solidFill>
          </w14:textFill>
        </w:rPr>
        <w:t xml:space="preserve"> 乙方应遵守甲方现场管理的各项规章制度，甲方有按现场管理的规章制度处罚和奖励的权力，乙方所受处罚如拒不执行，甲方有权从工程款扣除</w:t>
      </w:r>
      <w:r>
        <w:rPr>
          <w:color w:val="000000" w:themeColor="text1"/>
          <w:sz w:val="21"/>
          <w:szCs w:val="21"/>
          <w:highlight w:val="none"/>
          <w14:textFill>
            <w14:solidFill>
              <w14:schemeClr w14:val="tx1"/>
            </w14:solidFill>
          </w14:textFill>
        </w:rPr>
        <w:t>。</w:t>
      </w:r>
    </w:p>
    <w:p w14:paraId="3DA9127C">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6.1.2关于治安保卫的特别约定：</w:t>
      </w:r>
      <w:r>
        <w:rPr>
          <w:color w:val="000000" w:themeColor="text1"/>
          <w:sz w:val="21"/>
          <w:szCs w:val="21"/>
          <w:highlight w:val="none"/>
          <w:u w:val="single"/>
          <w14:textFill>
            <w14:solidFill>
              <w14:schemeClr w14:val="tx1"/>
            </w14:solidFill>
          </w14:textFill>
        </w:rPr>
        <w:t xml:space="preserve"> 由乙方负责并承担相应的费用，如由甲方负责组织，乙方也应承担相应的费用，具体约定合同谈判时约定 </w:t>
      </w:r>
      <w:r>
        <w:rPr>
          <w:color w:val="000000" w:themeColor="text1"/>
          <w:sz w:val="21"/>
          <w:szCs w:val="21"/>
          <w:highlight w:val="none"/>
          <w14:textFill>
            <w14:solidFill>
              <w14:schemeClr w14:val="tx1"/>
            </w14:solidFill>
          </w14:textFill>
        </w:rPr>
        <w:t>。</w:t>
      </w:r>
    </w:p>
    <w:p w14:paraId="58DB861B">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关于编制施工场地治安管理计划的约定：</w:t>
      </w:r>
      <w:r>
        <w:rPr>
          <w:color w:val="000000" w:themeColor="text1"/>
          <w:sz w:val="21"/>
          <w:szCs w:val="21"/>
          <w:highlight w:val="none"/>
          <w:u w:val="single"/>
          <w14:textFill>
            <w14:solidFill>
              <w14:schemeClr w14:val="tx1"/>
            </w14:solidFill>
          </w14:textFill>
        </w:rPr>
        <w:t xml:space="preserve">合同谈判时约定。    </w:t>
      </w:r>
    </w:p>
    <w:p w14:paraId="5BE40A6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6.1.3 文明施工合同当事人对文明施工的要求：</w:t>
      </w:r>
      <w:r>
        <w:rPr>
          <w:color w:val="000000" w:themeColor="text1"/>
          <w:sz w:val="21"/>
          <w:szCs w:val="21"/>
          <w:highlight w:val="none"/>
          <w:u w:val="single"/>
          <w14:textFill>
            <w14:solidFill>
              <w14:schemeClr w14:val="tx1"/>
            </w14:solidFill>
          </w14:textFill>
        </w:rPr>
        <w:t>按通用条款约定</w:t>
      </w:r>
      <w:r>
        <w:rPr>
          <w:color w:val="000000" w:themeColor="text1"/>
          <w:sz w:val="21"/>
          <w:szCs w:val="21"/>
          <w:highlight w:val="none"/>
          <w14:textFill>
            <w14:solidFill>
              <w14:schemeClr w14:val="tx1"/>
            </w14:solidFill>
          </w14:textFill>
        </w:rPr>
        <w:t>。乙方对施工过程中造成本方及人员、甲方及人员、其他第三方的损害承担全部责任。</w:t>
      </w:r>
    </w:p>
    <w:p w14:paraId="61C49BB2">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6.1.4关于安全文明施工费支付比例和支付期限的约定：</w:t>
      </w:r>
      <w:r>
        <w:rPr>
          <w:color w:val="000000" w:themeColor="text1"/>
          <w:sz w:val="21"/>
          <w:szCs w:val="21"/>
          <w:highlight w:val="none"/>
          <w:u w:val="single"/>
          <w14:textFill>
            <w14:solidFill>
              <w14:schemeClr w14:val="tx1"/>
            </w14:solidFill>
          </w14:textFill>
        </w:rPr>
        <w:t xml:space="preserve">按通用条款约定 </w:t>
      </w:r>
      <w:r>
        <w:rPr>
          <w:color w:val="000000" w:themeColor="text1"/>
          <w:sz w:val="21"/>
          <w:szCs w:val="21"/>
          <w:highlight w:val="none"/>
          <w14:textFill>
            <w14:solidFill>
              <w14:schemeClr w14:val="tx1"/>
            </w14:solidFill>
          </w14:textFill>
        </w:rPr>
        <w:t>。</w:t>
      </w:r>
    </w:p>
    <w:p w14:paraId="2DD49B9B">
      <w:pPr>
        <w:pStyle w:val="3"/>
        <w:rPr>
          <w:color w:val="000000" w:themeColor="text1"/>
          <w:sz w:val="21"/>
          <w:szCs w:val="21"/>
          <w:highlight w:val="none"/>
          <w14:textFill>
            <w14:solidFill>
              <w14:schemeClr w14:val="tx1"/>
            </w14:solidFill>
          </w14:textFill>
        </w:rPr>
      </w:pPr>
      <w:bookmarkStart w:id="222" w:name="_Toc23363"/>
      <w:bookmarkStart w:id="223" w:name="_Toc5027454"/>
      <w:bookmarkStart w:id="224" w:name="_Toc470519520"/>
      <w:bookmarkStart w:id="225" w:name="_Toc501980479"/>
      <w:bookmarkStart w:id="226" w:name="_Toc501987485"/>
      <w:bookmarkStart w:id="227" w:name="_Toc39850005"/>
      <w:bookmarkStart w:id="228" w:name="_Toc436589169"/>
      <w:bookmarkStart w:id="229" w:name="_Toc404073909"/>
      <w:bookmarkStart w:id="230" w:name="_Toc399146311"/>
      <w:bookmarkStart w:id="231" w:name="_Toc135573877"/>
      <w:bookmarkStart w:id="232" w:name="_Toc399146821"/>
      <w:r>
        <w:rPr>
          <w:color w:val="000000" w:themeColor="text1"/>
          <w:sz w:val="21"/>
          <w:szCs w:val="21"/>
          <w:highlight w:val="none"/>
          <w14:textFill>
            <w14:solidFill>
              <w14:schemeClr w14:val="tx1"/>
            </w14:solidFill>
          </w14:textFill>
        </w:rPr>
        <w:t>7.变更</w:t>
      </w:r>
      <w:bookmarkEnd w:id="222"/>
      <w:bookmarkEnd w:id="223"/>
      <w:bookmarkEnd w:id="224"/>
      <w:bookmarkEnd w:id="225"/>
      <w:bookmarkEnd w:id="226"/>
      <w:bookmarkEnd w:id="227"/>
      <w:bookmarkEnd w:id="228"/>
      <w:bookmarkEnd w:id="229"/>
      <w:bookmarkEnd w:id="230"/>
      <w:bookmarkEnd w:id="231"/>
      <w:bookmarkEnd w:id="232"/>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如有）</w:t>
      </w:r>
    </w:p>
    <w:p w14:paraId="6FD84C71">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7.1 变更的范围</w:t>
      </w:r>
    </w:p>
    <w:p w14:paraId="043BE089">
      <w:pPr>
        <w:pStyle w:val="2"/>
        <w:rPr>
          <w:color w:val="000000" w:themeColor="text1"/>
          <w:sz w:val="21"/>
          <w:szCs w:val="21"/>
          <w:highlight w:val="none"/>
          <w:u w:val="single"/>
          <w14:textFill>
            <w14:solidFill>
              <w14:schemeClr w14:val="tx1"/>
            </w14:solidFill>
          </w14:textFill>
        </w:rPr>
      </w:pPr>
      <w:r>
        <w:rPr>
          <w:color w:val="000000" w:themeColor="text1"/>
          <w:sz w:val="21"/>
          <w:szCs w:val="21"/>
          <w:highlight w:val="none"/>
          <w14:textFill>
            <w14:solidFill>
              <w14:schemeClr w14:val="tx1"/>
            </w14:solidFill>
          </w14:textFill>
        </w:rPr>
        <w:t>关于变更的范围的约定：</w:t>
      </w:r>
    </w:p>
    <w:p w14:paraId="7FF9E407">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设计变更导致相应工程量增减值按变更前后的施工图纸予以核算。由乙方、设计单位、监理公司、甲方提出的经监理工程师、设计单位审查，甲方认可的并由设计单位出具了设计变更的方可确认为设计变更。</w:t>
      </w:r>
    </w:p>
    <w:p w14:paraId="01442B02">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（1）增加或减少合同中任何工作，或追加额外的工作；</w:t>
      </w:r>
    </w:p>
    <w:p w14:paraId="3A67D939">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（2）取消合同中任何工作，但转由他人实施的工作除外；</w:t>
      </w:r>
    </w:p>
    <w:p w14:paraId="6EB5FA84">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（3）改变合同中任何工作的质量标准或其他特性；</w:t>
      </w:r>
    </w:p>
    <w:p w14:paraId="08FB3818">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（4）改变工程的基线、标高、位置和尺寸；</w:t>
      </w:r>
    </w:p>
    <w:p w14:paraId="151AA077">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（5）改变工程的时间安排或实施顺序。</w:t>
      </w:r>
    </w:p>
    <w:p w14:paraId="6B54CCA3">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7.2变更文件的提出、程序和确认：</w:t>
      </w:r>
    </w:p>
    <w:p w14:paraId="7AB20A06">
      <w:pPr>
        <w:pStyle w:val="2"/>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①设计变更可以由主管部门﹑甲方、乙方、监理单位、设计单位以及其他相关单位提出；</w:t>
      </w:r>
    </w:p>
    <w:p w14:paraId="4BF41690">
      <w:pPr>
        <w:pStyle w:val="2"/>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②甲方或主管部门提出的设计变更，由甲方以书面形式直接通知设计单位；其他单位提出的设计变更，需填写《设计变更审批表》，并附变更方案说明书，办理会审报批手续后由甲方将有关变更内容通知设计单位，设计单位根据《设计变更审批表》甲方核准的内容进行变更设计；</w:t>
      </w:r>
    </w:p>
    <w:p w14:paraId="6106C52E">
      <w:pPr>
        <w:pStyle w:val="2"/>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③设计单位提交的设计变更文件须签字齐全并加盖出图专用章后交甲方，甲方核准并盖章后方为有效变更文件，施工单位应依照设计变更文件进行施工。</w:t>
      </w:r>
    </w:p>
    <w:p w14:paraId="748BD0C6">
      <w:pPr>
        <w:pStyle w:val="2"/>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④未经甲方、监理单位、设计单位认可，乙方不得擅自变更。如乙方擅自变更，其发生的增加费用不予认可，发生的减少费用根据合同价款予以调整，因此引起的甲方损失由乙方负责、延误的工期不顺延。</w:t>
      </w:r>
    </w:p>
    <w:p w14:paraId="2FE80785">
      <w:pPr>
        <w:pStyle w:val="2"/>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⑤工程变更中除设计变更以外，如乙方因施工原因需采取的技术措施及组织措施变更等，须经甲方及监理工程师确认，其变更所可能造成的风险由乙方承担，且合同价款不予调整。</w:t>
      </w:r>
    </w:p>
    <w:p w14:paraId="300FF5B8">
      <w:pPr>
        <w:pStyle w:val="2"/>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⑥材料更换或替代：</w:t>
      </w:r>
    </w:p>
    <w:p w14:paraId="7884AD22">
      <w:pPr>
        <w:pStyle w:val="2"/>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工程量清单项目中规定的材料品牌、型号、规格，如在施工过程中需要发生更换或替代，应按照设计变更有关程序报甲方批准后实施。工程量清单项目中仅材料的品牌、型号、规格等发生变化的材料更换或替代，该工程量清单项目仅对更换或替代的材料价格进行价差调整，不得改变工程量清单项目报价的其他内容。</w:t>
      </w:r>
    </w:p>
    <w:p w14:paraId="4E34BAF4">
      <w:pPr>
        <w:pStyle w:val="2"/>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工程量清单项目中没有规定的材料品牌、型号、规格，如在施工过程中需要发生更换或替代，材料价差调整以合同基期价格(2024</w:t>
      </w:r>
      <w:r>
        <w:rPr>
          <w:color w:val="000000" w:themeColor="text1"/>
          <w:sz w:val="21"/>
          <w:szCs w:val="21"/>
          <w:highlight w:val="none"/>
          <w14:textFill>
            <w14:solidFill>
              <w14:schemeClr w14:val="tx1"/>
            </w14:solidFill>
          </w14:textFill>
        </w:rPr>
        <w:t>《长沙建设造价》 第3期建设工程材料预算价格)</w:t>
      </w:r>
      <w:r>
        <w:rPr>
          <w:color w:val="000000" w:themeColor="text1"/>
          <w:sz w:val="21"/>
          <w:szCs w:val="21"/>
          <w:highlight w:val="none"/>
          <w:u w:val="single"/>
          <w14:textFill>
            <w14:solidFill>
              <w14:schemeClr w14:val="tx1"/>
            </w14:solidFill>
          </w14:textFill>
        </w:rPr>
        <w:t>为基础，不得以投标文件预算中的材料价格为基础进行调整。《长沙建设造价》2024年第3期没有发布预算价的主要材料原则上不调整价差。</w:t>
      </w:r>
    </w:p>
    <w:p w14:paraId="064EED0B">
      <w:pPr>
        <w:pStyle w:val="4"/>
        <w:widowControl/>
        <w:rPr>
          <w:rFonts w:hint="default" w:eastAsia="宋体"/>
          <w:color w:val="000000" w:themeColor="text1"/>
          <w:sz w:val="21"/>
          <w:szCs w:val="21"/>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7.3 变更估价</w:t>
      </w:r>
    </w:p>
    <w:p w14:paraId="4F95EA02">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7.3.1 变更估价原则</w:t>
      </w:r>
    </w:p>
    <w:p w14:paraId="47050D80">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关于变更估价的约定：</w:t>
      </w:r>
    </w:p>
    <w:p w14:paraId="1B212D2A">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7.3.1 .1  本项目采取固定</w:t>
      </w:r>
      <w:r>
        <w:rPr>
          <w:rFonts w:hint="eastAsia"/>
          <w:color w:val="000000" w:themeColor="text1"/>
          <w:sz w:val="21"/>
          <w:szCs w:val="21"/>
          <w:highlight w:val="none"/>
          <w:lang w:eastAsia="zh-CN"/>
          <w14:textFill>
            <w14:solidFill>
              <w14:schemeClr w14:val="tx1"/>
            </w14:solidFill>
          </w14:textFill>
        </w:rPr>
        <w:t>总价</w:t>
      </w:r>
      <w:r>
        <w:rPr>
          <w:color w:val="000000" w:themeColor="text1"/>
          <w:sz w:val="21"/>
          <w:szCs w:val="21"/>
          <w:highlight w:val="none"/>
          <w14:textFill>
            <w14:solidFill>
              <w14:schemeClr w14:val="tx1"/>
            </w14:solidFill>
          </w14:textFill>
        </w:rPr>
        <w:t>方式，综合单价不受工程量变化的影响；</w:t>
      </w:r>
    </w:p>
    <w:p w14:paraId="7461448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7.3.1 .2  已标价工程量清单中有适应于变更工作子目的，采用子目的单价；</w:t>
      </w:r>
    </w:p>
    <w:p w14:paraId="18C377B6">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7.3.1 .3  已标价工程量清单中无适应变更的子目的单价，但有类似子目的，参照类似子目的单价；</w:t>
      </w:r>
    </w:p>
    <w:p w14:paraId="5159CDE9">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7.3.1 .4  已标价的工程量清单中无适应或类似子目的单价，按湖南省建设厅湘建价【2020】56号文《湖南省建设工程计价办法》及与之相配套使用的建设工程消耗量标准、材料价格按施工同期的《长沙建设造价》及市场价格，确定为变更工作的单价。</w:t>
      </w:r>
    </w:p>
    <w:p w14:paraId="4B01DED2">
      <w:pPr>
        <w:pStyle w:val="2"/>
        <w:widowControl/>
        <w:rPr>
          <w:b/>
          <w:color w:val="000000" w:themeColor="text1"/>
          <w:sz w:val="21"/>
          <w:szCs w:val="21"/>
          <w:highlight w:val="none"/>
          <w:u w:val="single"/>
          <w14:textFill>
            <w14:solidFill>
              <w14:schemeClr w14:val="tx1"/>
            </w14:solidFill>
          </w14:textFill>
        </w:rPr>
      </w:pPr>
      <w:r>
        <w:rPr>
          <w:color w:val="000000" w:themeColor="text1"/>
          <w:sz w:val="21"/>
          <w:szCs w:val="21"/>
          <w:highlight w:val="none"/>
          <w14:textFill>
            <w14:solidFill>
              <w14:schemeClr w14:val="tx1"/>
            </w14:solidFill>
          </w14:textFill>
        </w:rPr>
        <w:t>7.3.1 .5  确定的变更工作单价，应保持投标人投标报价时的优惠比例。</w:t>
      </w:r>
    </w:p>
    <w:p w14:paraId="082C5E3E">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7.4 暂估价</w:t>
      </w:r>
    </w:p>
    <w:p w14:paraId="06429945">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暂估价材料和工程设备的明细详见附件11：《其它项目清单与计价汇总表》。 </w:t>
      </w:r>
    </w:p>
    <w:p w14:paraId="350F679F">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7.4.1依法必须招标的暂估价项目</w:t>
      </w:r>
    </w:p>
    <w:p w14:paraId="2CB1DFE8">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对于依法必须招标的暂估价项目的确认和批准采取第</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eastAsia="zh-CN"/>
          <w14:textFill>
            <w14:solidFill>
              <w14:schemeClr w14:val="tx1"/>
            </w14:solidFill>
          </w14:textFill>
        </w:rPr>
        <w:t>/</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种方式确定。 </w:t>
      </w:r>
    </w:p>
    <w:p w14:paraId="0F8C70A0">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7.4.2不属于依法必须招标的暂估价项目</w:t>
      </w:r>
    </w:p>
    <w:p w14:paraId="2B4776E4">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对于不属于依法必须招标的暂估价项目的确认和批准采取第</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eastAsia="zh-CN"/>
          <w14:textFill>
            <w14:solidFill>
              <w14:schemeClr w14:val="tx1"/>
            </w14:solidFill>
          </w14:textFill>
        </w:rPr>
        <w:t>/</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种方式确定。</w:t>
      </w:r>
    </w:p>
    <w:p w14:paraId="54910D46">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7.5 暂列金额</w:t>
      </w:r>
    </w:p>
    <w:p w14:paraId="6302D5E5">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合同当事人关于暂列金额使用的约定：</w:t>
      </w:r>
      <w:r>
        <w:rPr>
          <w:color w:val="000000" w:themeColor="text1"/>
          <w:sz w:val="21"/>
          <w:szCs w:val="21"/>
          <w:highlight w:val="none"/>
          <w:u w:val="single"/>
          <w14:textFill>
            <w14:solidFill>
              <w14:schemeClr w14:val="tx1"/>
            </w14:solidFill>
          </w14:textFill>
        </w:rPr>
        <w:t>按合同通用条款执行</w:t>
      </w:r>
      <w:r>
        <w:rPr>
          <w:color w:val="000000" w:themeColor="text1"/>
          <w:sz w:val="21"/>
          <w:szCs w:val="21"/>
          <w:highlight w:val="none"/>
          <w14:textFill>
            <w14:solidFill>
              <w14:schemeClr w14:val="tx1"/>
            </w14:solidFill>
          </w14:textFill>
        </w:rPr>
        <w:t>。</w:t>
      </w:r>
    </w:p>
    <w:p w14:paraId="739DD54A">
      <w:pPr>
        <w:pStyle w:val="3"/>
        <w:widowControl/>
        <w:rPr>
          <w:color w:val="000000" w:themeColor="text1"/>
          <w:sz w:val="21"/>
          <w:szCs w:val="21"/>
          <w:highlight w:val="none"/>
          <w14:textFill>
            <w14:solidFill>
              <w14:schemeClr w14:val="tx1"/>
            </w14:solidFill>
          </w14:textFill>
        </w:rPr>
      </w:pPr>
      <w:bookmarkStart w:id="233" w:name="_Toc404073910"/>
      <w:bookmarkStart w:id="234" w:name="_Toc501987486"/>
      <w:bookmarkStart w:id="235" w:name="_Toc399146312"/>
      <w:bookmarkStart w:id="236" w:name="_Toc501980480"/>
      <w:bookmarkStart w:id="237" w:name="_Toc399146822"/>
      <w:bookmarkStart w:id="238" w:name="_Toc470519521"/>
      <w:bookmarkStart w:id="239" w:name="_Toc436589170"/>
      <w:r>
        <w:rPr>
          <w:color w:val="000000" w:themeColor="text1"/>
          <w:sz w:val="21"/>
          <w:szCs w:val="21"/>
          <w:highlight w:val="none"/>
          <w14:textFill>
            <w14:solidFill>
              <w14:schemeClr w14:val="tx1"/>
            </w14:solidFill>
          </w14:textFill>
        </w:rPr>
        <w:t>8.价格调整</w:t>
      </w:r>
      <w:bookmarkEnd w:id="233"/>
      <w:bookmarkEnd w:id="234"/>
      <w:bookmarkEnd w:id="235"/>
      <w:bookmarkEnd w:id="236"/>
      <w:bookmarkEnd w:id="237"/>
      <w:bookmarkEnd w:id="238"/>
      <w:bookmarkEnd w:id="239"/>
    </w:p>
    <w:p w14:paraId="1A365415">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8.1 市场价格波动引起的调整</w:t>
      </w:r>
    </w:p>
    <w:p w14:paraId="39DBD3C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市场价格波动是否调整合同价格的约定：合同履行期间，因人工、主要材料、工程设备和机械台班价格波动影响合同价格时，人工、机械使用费按照国家或省建设行政管理部门、行业建设管理部门或其授权的工程造价管理机构发布的人工、机械台班单价进行调整；《长沙建设造价》缺项的主要材料、设备需要进行价格调整的，其单价和采购数量应由甲方审批，并按甲方确认的需调整的主要材料、设备单价及数量，作为调整合同价格的依据。本合同约定主材为：按湘建价[2018]129号执行，其它材料的涨跌不作调整。</w:t>
      </w:r>
    </w:p>
    <w:p w14:paraId="08B3F732">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因市场价格波动调整合同价格，采用以下第2种方式对合同价格进行调整：</w:t>
      </w:r>
    </w:p>
    <w:p w14:paraId="06345C02">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第1种方式：采用价格指数进行价格调整。</w:t>
      </w:r>
    </w:p>
    <w:p w14:paraId="19DA0588">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关于各可调因子、定值和变值权重，以及基本价格指数及其来源的约定：</w:t>
      </w:r>
      <w:r>
        <w:rPr>
          <w:color w:val="000000" w:themeColor="text1"/>
          <w:sz w:val="21"/>
          <w:szCs w:val="21"/>
          <w:highlight w:val="none"/>
          <w:u w:val="single"/>
          <w14:textFill>
            <w14:solidFill>
              <w14:schemeClr w14:val="tx1"/>
            </w14:solidFill>
          </w14:textFill>
        </w:rPr>
        <w:t>无</w:t>
      </w:r>
      <w:r>
        <w:rPr>
          <w:color w:val="000000" w:themeColor="text1"/>
          <w:sz w:val="21"/>
          <w:szCs w:val="21"/>
          <w:highlight w:val="none"/>
          <w14:textFill>
            <w14:solidFill>
              <w14:schemeClr w14:val="tx1"/>
            </w14:solidFill>
          </w14:textFill>
        </w:rPr>
        <w:t>；</w:t>
      </w:r>
    </w:p>
    <w:p w14:paraId="79A0AF0A">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第2种方式：采用造价信息进行价格调整。</w:t>
      </w:r>
    </w:p>
    <w:p w14:paraId="03906A2C">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乙方对人工费或人工单价的报价高于发布价格的除外。</w:t>
      </w:r>
    </w:p>
    <w:p w14:paraId="05F8B4B7">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2）主要材料、工程设备价格变化的价款调整按照甲方提供的基准价格为基础（本合同基期价格为招标控制价采用的长沙市建设工程造价管理站下发的2024年《长沙建设造价》第3期建设工程材料预算价格，《长沙建设造价》缺项部分材料按招标文件中招标控制价材料预算价格），按以下风险范围规定执行:</w:t>
      </w:r>
    </w:p>
    <w:p w14:paraId="5D89D3B1">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①乙方在已标价工程量清单或预算书中载明的主要材料、工程设备单价，在合同履行期间涨、跌幅以基准价格为基础超过风险范围时，</w:t>
      </w:r>
      <w:r>
        <w:rPr>
          <w:color w:val="000000" w:themeColor="text1"/>
          <w:sz w:val="21"/>
          <w:szCs w:val="21"/>
          <w:highlight w:val="none"/>
          <w:u w:val="none"/>
          <w14:textFill>
            <w14:solidFill>
              <w14:schemeClr w14:val="tx1"/>
            </w14:solidFill>
          </w14:textFill>
        </w:rPr>
        <w:t>只对超过的部分价差进行调整</w:t>
      </w:r>
      <w:r>
        <w:rPr>
          <w:color w:val="000000" w:themeColor="text1"/>
          <w:sz w:val="21"/>
          <w:szCs w:val="21"/>
          <w:highlight w:val="none"/>
          <w14:textFill>
            <w14:solidFill>
              <w14:schemeClr w14:val="tx1"/>
            </w14:solidFill>
          </w14:textFill>
        </w:rPr>
        <w:t>，计取税金</w:t>
      </w:r>
      <w:r>
        <w:rPr>
          <w:color w:val="000000" w:themeColor="text1"/>
          <w:sz w:val="21"/>
          <w:szCs w:val="21"/>
          <w:highlight w:val="none"/>
          <w:u w:val="none"/>
          <w14:textFill>
            <w14:solidFill>
              <w14:schemeClr w14:val="tx1"/>
            </w14:solidFill>
          </w14:textFill>
        </w:rPr>
        <w:t>并执行投标优惠率</w:t>
      </w:r>
      <w:r>
        <w:rPr>
          <w:color w:val="000000" w:themeColor="text1"/>
          <w:sz w:val="21"/>
          <w:szCs w:val="21"/>
          <w:highlight w:val="none"/>
          <w14:textFill>
            <w14:solidFill>
              <w14:schemeClr w14:val="tx1"/>
            </w14:solidFill>
          </w14:textFill>
        </w:rPr>
        <w:t>，</w:t>
      </w:r>
      <w:r>
        <w:rPr>
          <w:color w:val="000000" w:themeColor="text1"/>
          <w:sz w:val="21"/>
          <w:szCs w:val="21"/>
          <w:highlight w:val="none"/>
          <w:u w:val="none"/>
          <w14:textFill>
            <w14:solidFill>
              <w14:schemeClr w14:val="tx1"/>
            </w14:solidFill>
          </w14:textFill>
        </w:rPr>
        <w:t>不再计取利润</w:t>
      </w:r>
      <w:r>
        <w:rPr>
          <w:color w:val="000000" w:themeColor="text1"/>
          <w:sz w:val="21"/>
          <w:szCs w:val="21"/>
          <w:highlight w:val="none"/>
          <w14:textFill>
            <w14:solidFill>
              <w14:schemeClr w14:val="tx1"/>
            </w14:solidFill>
          </w14:textFill>
        </w:rPr>
        <w:t>。</w:t>
      </w:r>
    </w:p>
    <w:p w14:paraId="4CB89ECE">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②乙方在投标报价中载明的主要材料、工程设备单价在合同履行期间涨、跌幅超过省及各市州建设行政主管部门施工期间发布的预算价格的风险范围时，</w:t>
      </w:r>
      <w:r>
        <w:rPr>
          <w:color w:val="000000" w:themeColor="text1"/>
          <w:sz w:val="21"/>
          <w:szCs w:val="21"/>
          <w:highlight w:val="none"/>
          <w:u w:val="none"/>
          <w14:textFill>
            <w14:solidFill>
              <w14:schemeClr w14:val="tx1"/>
            </w14:solidFill>
          </w14:textFill>
        </w:rPr>
        <w:t>只对超过的部分价差进行</w:t>
      </w:r>
      <w:r>
        <w:rPr>
          <w:color w:val="000000" w:themeColor="text1"/>
          <w:sz w:val="21"/>
          <w:szCs w:val="21"/>
          <w:highlight w:val="none"/>
          <w14:textFill>
            <w14:solidFill>
              <w14:schemeClr w14:val="tx1"/>
            </w14:solidFill>
          </w14:textFill>
        </w:rPr>
        <w:t>调整，计取税金</w:t>
      </w:r>
      <w:r>
        <w:rPr>
          <w:color w:val="000000" w:themeColor="text1"/>
          <w:sz w:val="21"/>
          <w:szCs w:val="21"/>
          <w:highlight w:val="none"/>
          <w:u w:val="none"/>
          <w14:textFill>
            <w14:solidFill>
              <w14:schemeClr w14:val="tx1"/>
            </w14:solidFill>
          </w14:textFill>
        </w:rPr>
        <w:t>并执行投标优惠率，不再计取利润</w:t>
      </w:r>
      <w:r>
        <w:rPr>
          <w:color w:val="000000" w:themeColor="text1"/>
          <w:sz w:val="21"/>
          <w:szCs w:val="21"/>
          <w:highlight w:val="none"/>
          <w14:textFill>
            <w14:solidFill>
              <w14:schemeClr w14:val="tx1"/>
            </w14:solidFill>
          </w14:textFill>
        </w:rPr>
        <w:t>。</w:t>
      </w:r>
    </w:p>
    <w:p w14:paraId="723B0268">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（3）风险范围及幅度值按以下幅度为准：</w:t>
      </w:r>
    </w:p>
    <w:p w14:paraId="776EACC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①建筑工程、市政工程与仿古建筑工程的风险幅度值为±3%。</w:t>
      </w:r>
    </w:p>
    <w:p w14:paraId="2AC3CDF6">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②装饰工程、安装工程与园林景观工程的风险幅度值为±5%。</w:t>
      </w:r>
    </w:p>
    <w:p w14:paraId="0E683909">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（4）发生合同工期延误，应按下列约定，确定合同履行期的价格：</w:t>
      </w:r>
    </w:p>
    <w:p w14:paraId="377A337A">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因非乙方原因导致工期延误，计划进度日期后续工程的主要材料、工程设备价格，应采用计划进度日期与实际进度日期两者之间的较高者。因乙方原因导致工期延误，计划日期后续工程的主要材料、工程设备价格，应采用计划进度日期与实际进度日期两者之间的较低者。 </w:t>
      </w:r>
    </w:p>
    <w:p w14:paraId="793BFD94">
      <w:pPr>
        <w:pStyle w:val="3"/>
        <w:rPr>
          <w:color w:val="000000" w:themeColor="text1"/>
          <w:sz w:val="21"/>
          <w:szCs w:val="21"/>
          <w:highlight w:val="none"/>
          <w14:textFill>
            <w14:solidFill>
              <w14:schemeClr w14:val="tx1"/>
            </w14:solidFill>
          </w14:textFill>
        </w:rPr>
      </w:pPr>
      <w:bookmarkStart w:id="240" w:name="_Toc5027455"/>
      <w:bookmarkStart w:id="241" w:name="_Toc135573878"/>
      <w:bookmarkStart w:id="242" w:name="_Toc39850006"/>
      <w:bookmarkStart w:id="243" w:name="_Toc399146313"/>
      <w:bookmarkStart w:id="244" w:name="_Toc436589171"/>
      <w:bookmarkStart w:id="245" w:name="_Toc27596"/>
      <w:bookmarkStart w:id="246" w:name="_Toc501980481"/>
      <w:bookmarkStart w:id="247" w:name="_Toc399146823"/>
      <w:bookmarkStart w:id="248" w:name="_Toc470519522"/>
      <w:bookmarkStart w:id="249" w:name="_Toc501987487"/>
      <w:bookmarkStart w:id="250" w:name="_Toc404073911"/>
      <w:r>
        <w:rPr>
          <w:color w:val="000000" w:themeColor="text1"/>
          <w:sz w:val="21"/>
          <w:szCs w:val="21"/>
          <w:highlight w:val="none"/>
          <w14:textFill>
            <w14:solidFill>
              <w14:schemeClr w14:val="tx1"/>
            </w14:solidFill>
          </w14:textFill>
        </w:rPr>
        <w:t>9.合同价格、计量与支付</w:t>
      </w:r>
      <w:bookmarkEnd w:id="240"/>
      <w:bookmarkEnd w:id="241"/>
      <w:bookmarkEnd w:id="242"/>
      <w:bookmarkEnd w:id="243"/>
      <w:bookmarkEnd w:id="244"/>
      <w:bookmarkEnd w:id="245"/>
      <w:bookmarkEnd w:id="246"/>
      <w:bookmarkEnd w:id="247"/>
      <w:bookmarkEnd w:id="248"/>
      <w:bookmarkEnd w:id="249"/>
      <w:bookmarkEnd w:id="250"/>
    </w:p>
    <w:p w14:paraId="73FFD347">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9.1 合同价格形式</w:t>
      </w:r>
    </w:p>
    <w:p w14:paraId="1420B421">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u w:val="single"/>
          <w14:textFill>
            <w14:solidFill>
              <w14:schemeClr w14:val="tx1"/>
            </w14:solidFill>
          </w14:textFill>
        </w:rPr>
        <w:t>本工程采用固定</w:t>
      </w:r>
      <w:r>
        <w:rPr>
          <w:rFonts w:hint="eastAsia"/>
          <w:color w:val="000000" w:themeColor="text1"/>
          <w:sz w:val="21"/>
          <w:szCs w:val="21"/>
          <w:highlight w:val="none"/>
          <w:u w:val="single"/>
          <w:lang w:eastAsia="zh-CN"/>
          <w14:textFill>
            <w14:solidFill>
              <w14:schemeClr w14:val="tx1"/>
            </w14:solidFill>
          </w14:textFill>
        </w:rPr>
        <w:t>总价</w:t>
      </w:r>
      <w:r>
        <w:rPr>
          <w:color w:val="000000" w:themeColor="text1"/>
          <w:sz w:val="21"/>
          <w:szCs w:val="21"/>
          <w:highlight w:val="none"/>
          <w14:textFill>
            <w14:solidFill>
              <w14:schemeClr w14:val="tx1"/>
            </w14:solidFill>
          </w14:textFill>
        </w:rPr>
        <w:t xml:space="preserve">。 </w:t>
      </w:r>
    </w:p>
    <w:p w14:paraId="756428DE">
      <w:pPr>
        <w:pStyle w:val="2"/>
        <w:widowControl/>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总价</w:t>
      </w:r>
      <w:r>
        <w:rPr>
          <w:color w:val="000000" w:themeColor="text1"/>
          <w:sz w:val="21"/>
          <w:szCs w:val="21"/>
          <w:highlight w:val="none"/>
          <w14:textFill>
            <w14:solidFill>
              <w14:schemeClr w14:val="tx1"/>
            </w14:solidFill>
          </w14:textFill>
        </w:rPr>
        <w:t>包含的风险范围：</w:t>
      </w:r>
      <w:r>
        <w:rPr>
          <w:rFonts w:hint="eastAsia"/>
          <w:color w:val="000000" w:themeColor="text1"/>
          <w:sz w:val="21"/>
          <w:szCs w:val="21"/>
          <w:highlight w:val="none"/>
          <w:u w:val="single"/>
          <w:lang w:eastAsia="zh-CN"/>
          <w14:textFill>
            <w14:solidFill>
              <w14:schemeClr w14:val="tx1"/>
            </w14:solidFill>
          </w14:textFill>
        </w:rPr>
        <w:t>投标人的现场勘查及甲方提供的维修清单。</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w:t>
      </w:r>
    </w:p>
    <w:p w14:paraId="590B06EE">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9.2 预付款</w:t>
      </w:r>
    </w:p>
    <w:p w14:paraId="22F08E28">
      <w:pPr>
        <w:pStyle w:val="2"/>
        <w:widowControl/>
        <w:rPr>
          <w:rFonts w:hint="default" w:eastAsia="宋体"/>
          <w:color w:val="000000" w:themeColor="text1"/>
          <w:sz w:val="21"/>
          <w:szCs w:val="21"/>
          <w:highlight w:val="none"/>
          <w:u w:val="singl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合同签定后预付合同价（暂列金除外）的</w:t>
      </w:r>
      <w:r>
        <w:rPr>
          <w:rFonts w:hint="eastAsia"/>
          <w:color w:val="000000" w:themeColor="text1"/>
          <w:sz w:val="21"/>
          <w:szCs w:val="21"/>
          <w:highlight w:val="none"/>
          <w:lang w:val="en-US" w:eastAsia="zh-CN"/>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 xml:space="preserve">      无      。</w:t>
      </w:r>
    </w:p>
    <w:p w14:paraId="3D808724">
      <w:pPr>
        <w:pStyle w:val="4"/>
        <w:widowControl/>
        <w:rPr>
          <w:color w:val="000000" w:themeColor="text1"/>
          <w:sz w:val="21"/>
          <w:szCs w:val="21"/>
          <w:highlight w:val="none"/>
          <w14:textFill>
            <w14:solidFill>
              <w14:schemeClr w14:val="tx1"/>
            </w14:solidFill>
          </w14:textFill>
        </w:rPr>
      </w:pPr>
      <w:bookmarkStart w:id="251" w:name="_Toc399146314"/>
      <w:r>
        <w:rPr>
          <w:color w:val="000000" w:themeColor="text1"/>
          <w:sz w:val="21"/>
          <w:szCs w:val="21"/>
          <w:highlight w:val="none"/>
          <w14:textFill>
            <w14:solidFill>
              <w14:schemeClr w14:val="tx1"/>
            </w14:solidFill>
          </w14:textFill>
        </w:rPr>
        <w:t>9.3计量</w:t>
      </w:r>
      <w:bookmarkEnd w:id="251"/>
      <w:r>
        <w:rPr>
          <w:color w:val="000000" w:themeColor="text1"/>
          <w:sz w:val="21"/>
          <w:szCs w:val="21"/>
          <w:highlight w:val="none"/>
          <w14:textFill>
            <w14:solidFill>
              <w14:schemeClr w14:val="tx1"/>
            </w14:solidFill>
          </w14:textFill>
        </w:rPr>
        <w:t xml:space="preserve"> </w:t>
      </w:r>
    </w:p>
    <w:p w14:paraId="06CD3F70">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12.3.1计量原则</w:t>
      </w:r>
    </w:p>
    <w:p w14:paraId="6BF5A72E">
      <w:pPr>
        <w:pStyle w:val="2"/>
        <w:rPr>
          <w:color w:val="000000" w:themeColor="text1"/>
          <w:sz w:val="21"/>
          <w:szCs w:val="21"/>
          <w:highlight w:val="none"/>
          <w:u w:val="single"/>
          <w14:textFill>
            <w14:solidFill>
              <w14:schemeClr w14:val="tx1"/>
            </w14:solidFill>
          </w14:textFill>
        </w:rPr>
      </w:pPr>
      <w:r>
        <w:rPr>
          <w:color w:val="000000" w:themeColor="text1"/>
          <w:sz w:val="21"/>
          <w:szCs w:val="21"/>
          <w:highlight w:val="none"/>
          <w14:textFill>
            <w14:solidFill>
              <w14:schemeClr w14:val="tx1"/>
            </w14:solidFill>
          </w14:textFill>
        </w:rPr>
        <w:t>工程量计算规则：</w:t>
      </w:r>
      <w:r>
        <w:rPr>
          <w:color w:val="000000" w:themeColor="text1"/>
          <w:sz w:val="21"/>
          <w:szCs w:val="21"/>
          <w:highlight w:val="none"/>
          <w:u w:val="single"/>
          <w14:textFill>
            <w14:solidFill>
              <w14:schemeClr w14:val="tx1"/>
            </w14:solidFill>
          </w14:textFill>
        </w:rPr>
        <w:t xml:space="preserve">工程量计量按照《湖南省建设工程工程量清单计价（GB50500-2013）》及湘建价[2020]56号文。 </w:t>
      </w:r>
    </w:p>
    <w:p w14:paraId="2CE9FBF0">
      <w:pPr>
        <w:pStyle w:val="4"/>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9.4 工程进度款支付</w:t>
      </w:r>
    </w:p>
    <w:p w14:paraId="5BFB4BE4">
      <w:pPr>
        <w:pStyle w:val="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9.4.1付款周期</w:t>
      </w:r>
    </w:p>
    <w:p w14:paraId="0CBDCC43">
      <w:pPr>
        <w:pStyle w:val="2"/>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  </w:t>
      </w:r>
      <w:r>
        <w:rPr>
          <w:color w:val="000000" w:themeColor="text1"/>
          <w:sz w:val="21"/>
          <w:szCs w:val="21"/>
          <w:highlight w:val="none"/>
          <w14:textFill>
            <w14:solidFill>
              <w14:schemeClr w14:val="tx1"/>
            </w14:solidFill>
          </w14:textFill>
        </w:rPr>
        <w:t>工程完工验收合格后乙方出据正式发票（自验真伪作为附件），付至合同价(扣除暂列金额)的 80%即人民币：</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14:textFill>
            <w14:solidFill>
              <w14:schemeClr w14:val="tx1"/>
            </w14:solidFill>
          </w14:textFill>
        </w:rPr>
        <w:t>（¥</w:t>
      </w:r>
      <w:r>
        <w:rPr>
          <w:rFonts w:hint="eastAsia"/>
          <w:color w:val="000000" w:themeColor="text1"/>
          <w:sz w:val="21"/>
          <w:szCs w:val="21"/>
          <w:highlight w:val="none"/>
          <w:u w:val="single"/>
          <w:lang w:val="en-US" w:eastAsia="zh-CN"/>
          <w14:textFill>
            <w14:solidFill>
              <w14:schemeClr w14:val="tx1"/>
            </w14:solidFill>
          </w14:textFill>
        </w:rPr>
        <w:t xml:space="preserve">           </w:t>
      </w:r>
      <w:r>
        <w:rPr>
          <w:color w:val="000000" w:themeColor="text1"/>
          <w:sz w:val="21"/>
          <w:szCs w:val="21"/>
          <w:highlight w:val="none"/>
          <w14:textFill>
            <w14:solidFill>
              <w14:schemeClr w14:val="tx1"/>
            </w14:solidFill>
          </w14:textFill>
        </w:rPr>
        <w:t>元），工程结算审核完成后付至审定金额的97%，留3%保修金，自验收合格之日起二年后无质量问题无息支付。</w:t>
      </w:r>
    </w:p>
    <w:p w14:paraId="6DA969D4">
      <w:pPr>
        <w:rPr>
          <w:rFonts w:hint="default" w:eastAsia="宋体"/>
          <w:color w:val="000000" w:themeColor="text1"/>
          <w:sz w:val="21"/>
          <w:szCs w:val="21"/>
          <w:highlight w:val="none"/>
          <w:lang w:val="en-US" w:eastAsia="zh-CN"/>
          <w14:textFill>
            <w14:solidFill>
              <w14:schemeClr w14:val="tx1"/>
            </w14:solidFill>
          </w14:textFill>
        </w:rPr>
      </w:pPr>
    </w:p>
    <w:p w14:paraId="211FE790">
      <w:pPr>
        <w:pStyle w:val="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9.4.2进度付款申请单的编制</w:t>
      </w:r>
    </w:p>
    <w:p w14:paraId="0F56B1A4">
      <w:pPr>
        <w:pStyle w:val="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关于进度付款申请单编制的约定：</w:t>
      </w:r>
      <w:r>
        <w:rPr>
          <w:color w:val="000000" w:themeColor="text1"/>
          <w:sz w:val="21"/>
          <w:szCs w:val="21"/>
          <w:highlight w:val="none"/>
          <w:u w:val="single"/>
          <w14:textFill>
            <w14:solidFill>
              <w14:schemeClr w14:val="tx1"/>
            </w14:solidFill>
          </w14:textFill>
        </w:rPr>
        <w:t xml:space="preserve">    无  。</w:t>
      </w:r>
    </w:p>
    <w:p w14:paraId="43E406D4">
      <w:pPr>
        <w:pStyle w:val="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9.4.3进度付款申请单的提交</w:t>
      </w:r>
    </w:p>
    <w:p w14:paraId="1E93F17C">
      <w:pPr>
        <w:pStyle w:val="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（1）单价合同进度付款申请单提交的约定：</w:t>
      </w:r>
      <w:r>
        <w:rPr>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u w:val="single"/>
          <w:lang w:val="en-US" w:eastAsia="zh-CN"/>
          <w14:textFill>
            <w14:solidFill>
              <w14:schemeClr w14:val="tx1"/>
            </w14:solidFill>
          </w14:textFill>
        </w:rPr>
        <w:t>无</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w:t>
      </w:r>
    </w:p>
    <w:p w14:paraId="2F6FF984">
      <w:pPr>
        <w:pStyle w:val="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（2）总价合同进度付款申请单提交的约定：</w:t>
      </w:r>
      <w:r>
        <w:rPr>
          <w:color w:val="000000" w:themeColor="text1"/>
          <w:sz w:val="21"/>
          <w:szCs w:val="21"/>
          <w:highlight w:val="none"/>
          <w:u w:val="single"/>
          <w14:textFill>
            <w14:solidFill>
              <w14:schemeClr w14:val="tx1"/>
            </w14:solidFill>
          </w14:textFill>
        </w:rPr>
        <w:t xml:space="preserve">  无  </w:t>
      </w:r>
      <w:r>
        <w:rPr>
          <w:color w:val="000000" w:themeColor="text1"/>
          <w:sz w:val="21"/>
          <w:szCs w:val="21"/>
          <w:highlight w:val="none"/>
          <w14:textFill>
            <w14:solidFill>
              <w14:schemeClr w14:val="tx1"/>
            </w14:solidFill>
          </w14:textFill>
        </w:rPr>
        <w:t>。</w:t>
      </w:r>
    </w:p>
    <w:p w14:paraId="0F233842">
      <w:pPr>
        <w:pStyle w:val="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（3）其他价格形式合同进度付款申请单提交的约定：</w:t>
      </w:r>
      <w:r>
        <w:rPr>
          <w:color w:val="000000" w:themeColor="text1"/>
          <w:sz w:val="21"/>
          <w:szCs w:val="21"/>
          <w:highlight w:val="none"/>
          <w:u w:val="single"/>
          <w14:textFill>
            <w14:solidFill>
              <w14:schemeClr w14:val="tx1"/>
            </w14:solidFill>
          </w14:textFill>
        </w:rPr>
        <w:t xml:space="preserve">无  </w:t>
      </w:r>
      <w:r>
        <w:rPr>
          <w:color w:val="000000" w:themeColor="text1"/>
          <w:sz w:val="21"/>
          <w:szCs w:val="21"/>
          <w:highlight w:val="none"/>
          <w14:textFill>
            <w14:solidFill>
              <w14:schemeClr w14:val="tx1"/>
            </w14:solidFill>
          </w14:textFill>
        </w:rPr>
        <w:t>。</w:t>
      </w:r>
    </w:p>
    <w:p w14:paraId="2824CDA9">
      <w:pPr>
        <w:pStyle w:val="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9.4.4进度款审核和支付</w:t>
      </w:r>
    </w:p>
    <w:p w14:paraId="687A84BE">
      <w:pPr>
        <w:pStyle w:val="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（1）监理人审查并报送甲方的期限：</w:t>
      </w:r>
      <w:r>
        <w:rPr>
          <w:color w:val="000000" w:themeColor="text1"/>
          <w:sz w:val="21"/>
          <w:szCs w:val="21"/>
          <w:highlight w:val="none"/>
          <w:u w:val="single"/>
          <w14:textFill>
            <w14:solidFill>
              <w14:schemeClr w14:val="tx1"/>
            </w14:solidFill>
          </w14:textFill>
        </w:rPr>
        <w:t xml:space="preserve">  按合同通用条款的约定 </w:t>
      </w:r>
      <w:r>
        <w:rPr>
          <w:color w:val="000000" w:themeColor="text1"/>
          <w:sz w:val="21"/>
          <w:szCs w:val="21"/>
          <w:highlight w:val="none"/>
          <w14:textFill>
            <w14:solidFill>
              <w14:schemeClr w14:val="tx1"/>
            </w14:solidFill>
          </w14:textFill>
        </w:rPr>
        <w:t>。</w:t>
      </w:r>
    </w:p>
    <w:p w14:paraId="1204A499">
      <w:pPr>
        <w:pStyle w:val="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甲方完成审批并签发进度款支付证书的期限：</w:t>
      </w:r>
      <w:r>
        <w:rPr>
          <w:color w:val="000000" w:themeColor="text1"/>
          <w:sz w:val="21"/>
          <w:szCs w:val="21"/>
          <w:highlight w:val="none"/>
          <w:u w:val="single"/>
          <w14:textFill>
            <w14:solidFill>
              <w14:schemeClr w14:val="tx1"/>
            </w14:solidFill>
          </w14:textFill>
        </w:rPr>
        <w:t xml:space="preserve"> 按合同通用条款的约定 </w:t>
      </w:r>
      <w:r>
        <w:rPr>
          <w:color w:val="000000" w:themeColor="text1"/>
          <w:sz w:val="21"/>
          <w:szCs w:val="21"/>
          <w:highlight w:val="none"/>
          <w14:textFill>
            <w14:solidFill>
              <w14:schemeClr w14:val="tx1"/>
            </w14:solidFill>
          </w14:textFill>
        </w:rPr>
        <w:t>。</w:t>
      </w:r>
    </w:p>
    <w:p w14:paraId="2745EA64">
      <w:pPr>
        <w:pStyle w:val="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（2）甲方支付进度款的期限：</w:t>
      </w:r>
      <w:r>
        <w:rPr>
          <w:color w:val="000000" w:themeColor="text1"/>
          <w:sz w:val="21"/>
          <w:szCs w:val="21"/>
          <w:highlight w:val="none"/>
          <w:u w:val="single"/>
          <w14:textFill>
            <w14:solidFill>
              <w14:schemeClr w14:val="tx1"/>
            </w14:solidFill>
          </w14:textFill>
        </w:rPr>
        <w:t xml:space="preserve"> 按合同通用条款的约定 ，其中劳保基金由甲方代扣代缴</w:t>
      </w:r>
      <w:r>
        <w:rPr>
          <w:color w:val="000000" w:themeColor="text1"/>
          <w:sz w:val="21"/>
          <w:szCs w:val="21"/>
          <w:highlight w:val="none"/>
          <w14:textFill>
            <w14:solidFill>
              <w14:schemeClr w14:val="tx1"/>
            </w14:solidFill>
          </w14:textFill>
        </w:rPr>
        <w:t>。</w:t>
      </w:r>
    </w:p>
    <w:p w14:paraId="7FAB6DF0">
      <w:pPr>
        <w:pStyle w:val="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甲方逾期支付进度款的违约金的计算方式：</w:t>
      </w:r>
      <w:r>
        <w:rPr>
          <w:color w:val="000000" w:themeColor="text1"/>
          <w:sz w:val="21"/>
          <w:szCs w:val="21"/>
          <w:highlight w:val="none"/>
          <w:u w:val="single"/>
          <w14:textFill>
            <w14:solidFill>
              <w14:schemeClr w14:val="tx1"/>
            </w14:solidFill>
          </w14:textFill>
        </w:rPr>
        <w:t xml:space="preserve">  按合同通用条款的约定</w:t>
      </w:r>
      <w:r>
        <w:rPr>
          <w:color w:val="000000" w:themeColor="text1"/>
          <w:sz w:val="21"/>
          <w:szCs w:val="21"/>
          <w:highlight w:val="none"/>
          <w14:textFill>
            <w14:solidFill>
              <w14:schemeClr w14:val="tx1"/>
            </w14:solidFill>
          </w14:textFill>
        </w:rPr>
        <w:t>。</w:t>
      </w:r>
    </w:p>
    <w:p w14:paraId="03EC8D80">
      <w:pPr>
        <w:pStyle w:val="4"/>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9.5措施项目费的支付方式</w:t>
      </w:r>
    </w:p>
    <w:p w14:paraId="06FBA508">
      <w:pPr>
        <w:pStyle w:val="2"/>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采用总价计算的措施项目费可依据施工过程结算当期实际完成的工程造价比例计算，采用单价计算的措施项目费可按当期完成的工程施工措施工作量进行计量及计价。</w:t>
      </w:r>
    </w:p>
    <w:p w14:paraId="2E84E538">
      <w:pPr>
        <w:adjustRightInd w:val="0"/>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p>
    <w:p w14:paraId="1BBC01C9">
      <w:pPr>
        <w:pStyle w:val="3"/>
        <w:rPr>
          <w:color w:val="000000" w:themeColor="text1"/>
          <w:sz w:val="21"/>
          <w:szCs w:val="21"/>
          <w:highlight w:val="none"/>
          <w14:textFill>
            <w14:solidFill>
              <w14:schemeClr w14:val="tx1"/>
            </w14:solidFill>
          </w14:textFill>
        </w:rPr>
      </w:pPr>
      <w:bookmarkStart w:id="252" w:name="_Toc470519523"/>
      <w:bookmarkStart w:id="253" w:name="_Toc135573879"/>
      <w:bookmarkStart w:id="254" w:name="_Toc501980482"/>
      <w:bookmarkStart w:id="255" w:name="_Toc399146824"/>
      <w:bookmarkStart w:id="256" w:name="_Toc501987488"/>
      <w:bookmarkStart w:id="257" w:name="_Toc399146315"/>
      <w:bookmarkStart w:id="258" w:name="_Toc404073912"/>
      <w:bookmarkStart w:id="259" w:name="_Toc436589172"/>
      <w:bookmarkStart w:id="260" w:name="_Toc5027456"/>
      <w:bookmarkStart w:id="261" w:name="_Toc10962"/>
      <w:bookmarkStart w:id="262" w:name="_Toc39850007"/>
      <w:r>
        <w:rPr>
          <w:color w:val="000000" w:themeColor="text1"/>
          <w:sz w:val="21"/>
          <w:szCs w:val="21"/>
          <w:highlight w:val="none"/>
          <w14:textFill>
            <w14:solidFill>
              <w14:schemeClr w14:val="tx1"/>
            </w14:solidFill>
          </w14:textFill>
        </w:rPr>
        <w:t>10.验收</w:t>
      </w:r>
      <w:bookmarkEnd w:id="252"/>
      <w:bookmarkEnd w:id="253"/>
      <w:bookmarkEnd w:id="254"/>
      <w:bookmarkEnd w:id="255"/>
      <w:bookmarkEnd w:id="256"/>
      <w:bookmarkEnd w:id="257"/>
      <w:bookmarkEnd w:id="258"/>
      <w:bookmarkEnd w:id="259"/>
      <w:bookmarkEnd w:id="260"/>
      <w:bookmarkEnd w:id="261"/>
      <w:bookmarkEnd w:id="262"/>
    </w:p>
    <w:p w14:paraId="6E59FB49">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10.1 分部分项工程验收</w:t>
      </w:r>
    </w:p>
    <w:p w14:paraId="6F696482">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监理人不能按时进行验收时，应提前</w:t>
      </w:r>
      <w:r>
        <w:rPr>
          <w:color w:val="000000" w:themeColor="text1"/>
          <w:sz w:val="21"/>
          <w:szCs w:val="21"/>
          <w:highlight w:val="none"/>
          <w:u w:val="single"/>
          <w14:textFill>
            <w14:solidFill>
              <w14:schemeClr w14:val="tx1"/>
            </w14:solidFill>
          </w14:textFill>
        </w:rPr>
        <w:t xml:space="preserve"> 24 </w:t>
      </w:r>
      <w:r>
        <w:rPr>
          <w:color w:val="000000" w:themeColor="text1"/>
          <w:sz w:val="21"/>
          <w:szCs w:val="21"/>
          <w:highlight w:val="none"/>
          <w14:textFill>
            <w14:solidFill>
              <w14:schemeClr w14:val="tx1"/>
            </w14:solidFill>
          </w14:textFill>
        </w:rPr>
        <w:t xml:space="preserve">小时提交书面延期要求。 </w:t>
      </w:r>
    </w:p>
    <w:p w14:paraId="4C9DB7DB">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关于延期最长不得超过：</w:t>
      </w:r>
      <w:r>
        <w:rPr>
          <w:color w:val="000000" w:themeColor="text1"/>
          <w:sz w:val="21"/>
          <w:szCs w:val="21"/>
          <w:highlight w:val="none"/>
          <w:u w:val="single"/>
          <w14:textFill>
            <w14:solidFill>
              <w14:schemeClr w14:val="tx1"/>
            </w14:solidFill>
          </w14:textFill>
        </w:rPr>
        <w:t xml:space="preserve"> 48</w:t>
      </w:r>
      <w:r>
        <w:rPr>
          <w:color w:val="000000" w:themeColor="text1"/>
          <w:sz w:val="21"/>
          <w:szCs w:val="21"/>
          <w:highlight w:val="none"/>
          <w14:textFill>
            <w14:solidFill>
              <w14:schemeClr w14:val="tx1"/>
            </w14:solidFill>
          </w14:textFill>
        </w:rPr>
        <w:t>小时。</w:t>
      </w:r>
    </w:p>
    <w:p w14:paraId="1F62AF9A">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10.2 竣工验收</w:t>
      </w:r>
    </w:p>
    <w:p w14:paraId="2B755B86">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10.2.1 竣工验收程序</w:t>
      </w:r>
    </w:p>
    <w:p w14:paraId="1FA713E5">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关于竣工验收程序的约定：</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u w:val="single"/>
          <w14:textFill>
            <w14:solidFill>
              <w14:schemeClr w14:val="tx1"/>
            </w14:solidFill>
          </w14:textFill>
        </w:rPr>
        <w:t>按合同通用条款的约定</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 xml:space="preserve">。 </w:t>
      </w:r>
    </w:p>
    <w:p w14:paraId="4B05D6C1">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甲方不按照本项约定组织竣工验收、颁发工程接收证书的违约金的计算方法：</w:t>
      </w:r>
      <w:r>
        <w:rPr>
          <w:color w:val="000000" w:themeColor="text1"/>
          <w:sz w:val="21"/>
          <w:szCs w:val="21"/>
          <w:highlight w:val="none"/>
          <w:u w:val="single"/>
          <w14:textFill>
            <w14:solidFill>
              <w14:schemeClr w14:val="tx1"/>
            </w14:solidFill>
          </w14:textFill>
        </w:rPr>
        <w:t>按合同通用条款的约定</w:t>
      </w:r>
      <w:r>
        <w:rPr>
          <w:color w:val="000000" w:themeColor="text1"/>
          <w:sz w:val="21"/>
          <w:szCs w:val="21"/>
          <w:highlight w:val="none"/>
          <w14:textFill>
            <w14:solidFill>
              <w14:schemeClr w14:val="tx1"/>
            </w14:solidFill>
          </w14:textFill>
        </w:rPr>
        <w:t>。</w:t>
      </w:r>
    </w:p>
    <w:p w14:paraId="6CC049EF">
      <w:pPr>
        <w:pStyle w:val="2"/>
        <w:widowControl/>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※项目的整体竣工验收须在经历一个雨季后进行，以清单内的漏水点为验收范围，如出现与原有漏水点相关联的新漏水点，则视为不合格，乙方须继续整改，直至验收合格。</w:t>
      </w:r>
    </w:p>
    <w:p w14:paraId="3070B6AE">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10.2.2 移交、接收全部与部分工程</w:t>
      </w:r>
    </w:p>
    <w:p w14:paraId="444CB085">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乙方向甲方移交工程的期限：</w:t>
      </w:r>
      <w:r>
        <w:rPr>
          <w:color w:val="000000" w:themeColor="text1"/>
          <w:sz w:val="21"/>
          <w:szCs w:val="21"/>
          <w:highlight w:val="none"/>
          <w:u w:val="single"/>
          <w14:textFill>
            <w14:solidFill>
              <w14:schemeClr w14:val="tx1"/>
            </w14:solidFill>
          </w14:textFill>
        </w:rPr>
        <w:t xml:space="preserve"> 工程竣工验收后15天内</w:t>
      </w:r>
      <w:r>
        <w:rPr>
          <w:color w:val="000000" w:themeColor="text1"/>
          <w:sz w:val="21"/>
          <w:szCs w:val="21"/>
          <w:highlight w:val="none"/>
          <w14:textFill>
            <w14:solidFill>
              <w14:schemeClr w14:val="tx1"/>
            </w14:solidFill>
          </w14:textFill>
        </w:rPr>
        <w:t>。</w:t>
      </w:r>
    </w:p>
    <w:p w14:paraId="3CFC702C">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甲方未按本合同约定接收全部或部分工程的，违约金的计算方法为：</w:t>
      </w:r>
      <w:r>
        <w:rPr>
          <w:color w:val="000000" w:themeColor="text1"/>
          <w:sz w:val="21"/>
          <w:szCs w:val="21"/>
          <w:highlight w:val="none"/>
          <w:u w:val="single"/>
          <w14:textFill>
            <w14:solidFill>
              <w14:schemeClr w14:val="tx1"/>
            </w14:solidFill>
          </w14:textFill>
        </w:rPr>
        <w:t xml:space="preserve">  无</w:t>
      </w:r>
      <w:r>
        <w:rPr>
          <w:color w:val="000000" w:themeColor="text1"/>
          <w:sz w:val="21"/>
          <w:szCs w:val="21"/>
          <w:highlight w:val="none"/>
          <w14:textFill>
            <w14:solidFill>
              <w14:schemeClr w14:val="tx1"/>
            </w14:solidFill>
          </w14:textFill>
        </w:rPr>
        <w:t>。</w:t>
      </w:r>
    </w:p>
    <w:p w14:paraId="7CB87326">
      <w:pPr>
        <w:pStyle w:val="2"/>
        <w:widowControl/>
        <w:ind w:left="0" w:leftChars="0" w:firstLine="0" w:firstLineChars="0"/>
        <w:rPr>
          <w:color w:val="000000" w:themeColor="text1"/>
          <w:sz w:val="21"/>
          <w:szCs w:val="21"/>
          <w:highlight w:val="none"/>
          <w14:textFill>
            <w14:solidFill>
              <w14:schemeClr w14:val="tx1"/>
            </w14:solidFill>
          </w14:textFill>
        </w:rPr>
      </w:pPr>
    </w:p>
    <w:p w14:paraId="6C63880A">
      <w:pPr>
        <w:pStyle w:val="3"/>
        <w:rPr>
          <w:color w:val="000000" w:themeColor="text1"/>
          <w:sz w:val="21"/>
          <w:szCs w:val="21"/>
          <w:highlight w:val="none"/>
          <w14:textFill>
            <w14:solidFill>
              <w14:schemeClr w14:val="tx1"/>
            </w14:solidFill>
          </w14:textFill>
        </w:rPr>
      </w:pPr>
      <w:bookmarkStart w:id="263" w:name="_Toc501980483"/>
      <w:bookmarkStart w:id="264" w:name="_Toc404073913"/>
      <w:bookmarkStart w:id="265" w:name="_Toc470519524"/>
      <w:bookmarkStart w:id="266" w:name="_Toc399146316"/>
      <w:bookmarkStart w:id="267" w:name="_Toc399146825"/>
      <w:bookmarkStart w:id="268" w:name="_Toc436589173"/>
      <w:bookmarkStart w:id="269" w:name="_Toc9808"/>
      <w:bookmarkStart w:id="270" w:name="_Toc39850008"/>
      <w:bookmarkStart w:id="271" w:name="_Toc501987489"/>
      <w:bookmarkStart w:id="272" w:name="_Toc135573880"/>
      <w:bookmarkStart w:id="273" w:name="_Toc5027457"/>
      <w:r>
        <w:rPr>
          <w:color w:val="000000" w:themeColor="text1"/>
          <w:sz w:val="21"/>
          <w:szCs w:val="21"/>
          <w:highlight w:val="none"/>
          <w14:textFill>
            <w14:solidFill>
              <w14:schemeClr w14:val="tx1"/>
            </w14:solidFill>
          </w14:textFill>
        </w:rPr>
        <w:t>11.竣工结算</w:t>
      </w:r>
      <w:bookmarkEnd w:id="263"/>
      <w:bookmarkEnd w:id="264"/>
      <w:bookmarkEnd w:id="265"/>
      <w:bookmarkEnd w:id="266"/>
      <w:bookmarkEnd w:id="267"/>
      <w:bookmarkEnd w:id="268"/>
      <w:bookmarkEnd w:id="269"/>
      <w:bookmarkEnd w:id="270"/>
      <w:bookmarkEnd w:id="271"/>
      <w:bookmarkEnd w:id="272"/>
      <w:bookmarkEnd w:id="273"/>
    </w:p>
    <w:p w14:paraId="4D3823CD">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11.1 竣工结算申请</w:t>
      </w:r>
    </w:p>
    <w:p w14:paraId="440C4B9A">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乙方提交竣工付款申请单的期限：</w:t>
      </w:r>
      <w:r>
        <w:rPr>
          <w:color w:val="000000" w:themeColor="text1"/>
          <w:sz w:val="21"/>
          <w:szCs w:val="21"/>
          <w:highlight w:val="none"/>
          <w:u w:val="single"/>
          <w14:textFill>
            <w14:solidFill>
              <w14:schemeClr w14:val="tx1"/>
            </w14:solidFill>
          </w14:textFill>
        </w:rPr>
        <w:t>按合同通用条款的约定。</w:t>
      </w:r>
    </w:p>
    <w:p w14:paraId="161C5A83">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竣工付款申请单应包括的内容：</w:t>
      </w:r>
      <w:r>
        <w:rPr>
          <w:color w:val="000000" w:themeColor="text1"/>
          <w:sz w:val="21"/>
          <w:szCs w:val="21"/>
          <w:highlight w:val="none"/>
          <w:u w:val="single"/>
          <w14:textFill>
            <w14:solidFill>
              <w14:schemeClr w14:val="tx1"/>
            </w14:solidFill>
          </w14:textFill>
        </w:rPr>
        <w:t>按合同通用条款的约定及湘建价[2020]56号文件规定</w:t>
      </w:r>
      <w:r>
        <w:rPr>
          <w:color w:val="000000" w:themeColor="text1"/>
          <w:sz w:val="21"/>
          <w:szCs w:val="21"/>
          <w:highlight w:val="none"/>
          <w14:textFill>
            <w14:solidFill>
              <w14:schemeClr w14:val="tx1"/>
            </w14:solidFill>
          </w14:textFill>
        </w:rPr>
        <w:t>。</w:t>
      </w:r>
    </w:p>
    <w:p w14:paraId="4C722941">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11.2 竣工结算审核</w:t>
      </w:r>
    </w:p>
    <w:p w14:paraId="749075A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甲方审批竣工付款申请单的期限：</w:t>
      </w:r>
      <w:r>
        <w:rPr>
          <w:color w:val="000000" w:themeColor="text1"/>
          <w:sz w:val="21"/>
          <w:szCs w:val="21"/>
          <w:highlight w:val="none"/>
          <w:u w:val="single"/>
          <w14:textFill>
            <w14:solidFill>
              <w14:schemeClr w14:val="tx1"/>
            </w14:solidFill>
          </w14:textFill>
        </w:rPr>
        <w:t>按合同通用条款的约定及湘建价[2020]56号文件规定</w:t>
      </w:r>
      <w:r>
        <w:rPr>
          <w:color w:val="000000" w:themeColor="text1"/>
          <w:sz w:val="21"/>
          <w:szCs w:val="21"/>
          <w:highlight w:val="none"/>
          <w14:textFill>
            <w14:solidFill>
              <w14:schemeClr w14:val="tx1"/>
            </w14:solidFill>
          </w14:textFill>
        </w:rPr>
        <w:t>。</w:t>
      </w:r>
    </w:p>
    <w:p w14:paraId="1DAE340C">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甲方完成竣工付款的期限：</w:t>
      </w:r>
      <w:r>
        <w:rPr>
          <w:color w:val="000000" w:themeColor="text1"/>
          <w:sz w:val="21"/>
          <w:szCs w:val="21"/>
          <w:highlight w:val="none"/>
          <w:u w:val="single"/>
          <w14:textFill>
            <w14:solidFill>
              <w14:schemeClr w14:val="tx1"/>
            </w14:solidFill>
          </w14:textFill>
        </w:rPr>
        <w:t>按合同通用条款的约定及湘建价[2020]56号文件规定</w:t>
      </w:r>
      <w:r>
        <w:rPr>
          <w:color w:val="000000" w:themeColor="text1"/>
          <w:sz w:val="21"/>
          <w:szCs w:val="21"/>
          <w:highlight w:val="none"/>
          <w14:textFill>
            <w14:solidFill>
              <w14:schemeClr w14:val="tx1"/>
            </w14:solidFill>
          </w14:textFill>
        </w:rPr>
        <w:t>。</w:t>
      </w:r>
    </w:p>
    <w:p w14:paraId="643013E5">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关于竣工付款证书异议部分复核的方式和程序：</w:t>
      </w:r>
      <w:r>
        <w:rPr>
          <w:color w:val="000000" w:themeColor="text1"/>
          <w:sz w:val="21"/>
          <w:szCs w:val="21"/>
          <w:highlight w:val="none"/>
          <w:u w:val="single"/>
          <w14:textFill>
            <w14:solidFill>
              <w14:schemeClr w14:val="tx1"/>
            </w14:solidFill>
          </w14:textFill>
        </w:rPr>
        <w:t>按合同通用条款的约定及湘建价[2020]56号文件规定</w:t>
      </w:r>
      <w:r>
        <w:rPr>
          <w:color w:val="000000" w:themeColor="text1"/>
          <w:sz w:val="21"/>
          <w:szCs w:val="21"/>
          <w:highlight w:val="none"/>
          <w14:textFill>
            <w14:solidFill>
              <w14:schemeClr w14:val="tx1"/>
            </w14:solidFill>
          </w14:textFill>
        </w:rPr>
        <w:t>。</w:t>
      </w:r>
    </w:p>
    <w:p w14:paraId="74F2AA50">
      <w:pPr>
        <w:pStyle w:val="2"/>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审计费用的承担约定如下：①以送审额为基数计算的基本审计费用由甲方承担；②以核减额为基数计算的审计费用由双方共担，甲方承担竣工结算净核减率≤15%的净核减额对应的审计费用，乙方承担竣工结算净核减率＞15%的净核减额对应的审计费用。③甲方将乙方应承担的审计费用从审计确认后的竣工结算金额中直接扣除。（竣工结算净核减率=净核减额÷送审额，净核减额=甲方委托的工程造价咨询机构审定金额-送审金额）。审计费用按湖南省建设工程造价管理协会最新文件计算。</w:t>
      </w:r>
    </w:p>
    <w:p w14:paraId="648ED60D">
      <w:pPr>
        <w:pStyle w:val="3"/>
        <w:rPr>
          <w:color w:val="000000" w:themeColor="text1"/>
          <w:sz w:val="21"/>
          <w:szCs w:val="21"/>
          <w:highlight w:val="none"/>
          <w14:textFill>
            <w14:solidFill>
              <w14:schemeClr w14:val="tx1"/>
            </w14:solidFill>
          </w14:textFill>
        </w:rPr>
      </w:pPr>
      <w:bookmarkStart w:id="274" w:name="_Toc470519525"/>
      <w:bookmarkStart w:id="275" w:name="_Toc501980484"/>
      <w:bookmarkStart w:id="276" w:name="_Toc10965"/>
      <w:bookmarkStart w:id="277" w:name="_Toc39850009"/>
      <w:bookmarkStart w:id="278" w:name="_Toc5027458"/>
      <w:bookmarkStart w:id="279" w:name="_Toc404073914"/>
      <w:bookmarkStart w:id="280" w:name="_Toc135573881"/>
      <w:bookmarkStart w:id="281" w:name="_Toc436589174"/>
      <w:bookmarkStart w:id="282" w:name="_Toc501987490"/>
      <w:bookmarkStart w:id="283" w:name="_Toc399146317"/>
      <w:bookmarkStart w:id="284" w:name="_Toc399146826"/>
      <w:r>
        <w:rPr>
          <w:color w:val="000000" w:themeColor="text1"/>
          <w:sz w:val="21"/>
          <w:szCs w:val="21"/>
          <w:highlight w:val="none"/>
          <w14:textFill>
            <w14:solidFill>
              <w14:schemeClr w14:val="tx1"/>
            </w14:solidFill>
          </w14:textFill>
        </w:rPr>
        <w:t>12.缺陷责任期与保修</w:t>
      </w:r>
      <w:bookmarkEnd w:id="274"/>
      <w:bookmarkEnd w:id="275"/>
      <w:bookmarkEnd w:id="276"/>
      <w:bookmarkEnd w:id="277"/>
      <w:bookmarkEnd w:id="278"/>
      <w:bookmarkEnd w:id="279"/>
      <w:bookmarkEnd w:id="280"/>
      <w:bookmarkEnd w:id="281"/>
      <w:bookmarkEnd w:id="282"/>
      <w:bookmarkEnd w:id="283"/>
      <w:bookmarkEnd w:id="284"/>
    </w:p>
    <w:p w14:paraId="69DAFBB7">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12.2 缺陷责任期</w:t>
      </w:r>
    </w:p>
    <w:p w14:paraId="5F0CB9D8">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缺陷责任期的具体期限：</w:t>
      </w:r>
      <w:r>
        <w:rPr>
          <w:color w:val="000000" w:themeColor="text1"/>
          <w:sz w:val="21"/>
          <w:szCs w:val="21"/>
          <w:highlight w:val="none"/>
          <w:u w:val="single"/>
          <w14:textFill>
            <w14:solidFill>
              <w14:schemeClr w14:val="tx1"/>
            </w14:solidFill>
          </w14:textFill>
        </w:rPr>
        <w:t>验收合格后2年</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334A3816">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12.3 质量保证金</w:t>
      </w:r>
    </w:p>
    <w:p w14:paraId="46FB2AF2">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关于是否扣留质量保证金的约定：</w:t>
      </w:r>
      <w:r>
        <w:rPr>
          <w:color w:val="000000" w:themeColor="text1"/>
          <w:sz w:val="21"/>
          <w:szCs w:val="21"/>
          <w:highlight w:val="none"/>
          <w:u w:val="single"/>
          <w14:textFill>
            <w14:solidFill>
              <w14:schemeClr w14:val="tx1"/>
            </w14:solidFill>
          </w14:textFill>
        </w:rPr>
        <w:t xml:space="preserve"> 留3%保修金</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00394A1E">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12.4 保修</w:t>
      </w:r>
    </w:p>
    <w:p w14:paraId="38C9C152">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12.4.1 保修责任</w:t>
      </w:r>
    </w:p>
    <w:p w14:paraId="0E269DE8">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工程保修期为：</w:t>
      </w:r>
      <w:r>
        <w:rPr>
          <w:color w:val="000000" w:themeColor="text1"/>
          <w:sz w:val="21"/>
          <w:szCs w:val="21"/>
          <w:highlight w:val="none"/>
          <w:u w:val="single"/>
          <w14:textFill>
            <w14:solidFill>
              <w14:schemeClr w14:val="tx1"/>
            </w14:solidFill>
          </w14:textFill>
        </w:rPr>
        <w:t>按建设部2000年80号令规定</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0212E9F7">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12.4.</w:t>
      </w:r>
      <w:r>
        <w:rPr>
          <w:rFonts w:hint="eastAsia"/>
          <w:color w:val="000000" w:themeColor="text1"/>
          <w:sz w:val="21"/>
          <w:szCs w:val="21"/>
          <w:highlight w:val="none"/>
          <w:lang w:val="en-US" w:eastAsia="zh-CN"/>
          <w14:textFill>
            <w14:solidFill>
              <w14:schemeClr w14:val="tx1"/>
            </w14:solidFill>
          </w14:textFill>
        </w:rPr>
        <w:t>2</w:t>
      </w:r>
      <w:r>
        <w:rPr>
          <w:color w:val="000000" w:themeColor="text1"/>
          <w:sz w:val="21"/>
          <w:szCs w:val="21"/>
          <w:highlight w:val="none"/>
          <w14:textFill>
            <w14:solidFill>
              <w14:schemeClr w14:val="tx1"/>
            </w14:solidFill>
          </w14:textFill>
        </w:rPr>
        <w:t xml:space="preserve"> 修复通知</w:t>
      </w:r>
    </w:p>
    <w:p w14:paraId="4AC96468">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乙方收到保修通知并到达工程现场的合理时间：</w:t>
      </w:r>
      <w:r>
        <w:rPr>
          <w:color w:val="000000" w:themeColor="text1"/>
          <w:sz w:val="21"/>
          <w:szCs w:val="21"/>
          <w:highlight w:val="none"/>
          <w:u w:val="single"/>
          <w14:textFill>
            <w14:solidFill>
              <w14:schemeClr w14:val="tx1"/>
            </w14:solidFill>
          </w14:textFill>
        </w:rPr>
        <w:t xml:space="preserve"> 24小时内</w:t>
      </w:r>
      <w:r>
        <w:rPr>
          <w:color w:val="000000" w:themeColor="text1"/>
          <w:sz w:val="21"/>
          <w:szCs w:val="21"/>
          <w:highlight w:val="none"/>
          <w14:textFill>
            <w14:solidFill>
              <w14:schemeClr w14:val="tx1"/>
            </w14:solidFill>
          </w14:textFill>
        </w:rPr>
        <w:t>。</w:t>
      </w:r>
    </w:p>
    <w:p w14:paraId="6F5FA772">
      <w:pPr>
        <w:pStyle w:val="3"/>
        <w:rPr>
          <w:color w:val="000000" w:themeColor="text1"/>
          <w:sz w:val="21"/>
          <w:szCs w:val="21"/>
          <w:highlight w:val="none"/>
          <w14:textFill>
            <w14:solidFill>
              <w14:schemeClr w14:val="tx1"/>
            </w14:solidFill>
          </w14:textFill>
        </w:rPr>
      </w:pPr>
      <w:bookmarkStart w:id="285" w:name="_Toc5689"/>
      <w:bookmarkStart w:id="286" w:name="_Toc470519526"/>
      <w:bookmarkStart w:id="287" w:name="_Toc399146318"/>
      <w:bookmarkStart w:id="288" w:name="_Toc436589175"/>
      <w:bookmarkStart w:id="289" w:name="_Toc501980485"/>
      <w:bookmarkStart w:id="290" w:name="_Toc5027459"/>
      <w:bookmarkStart w:id="291" w:name="_Toc399146827"/>
      <w:bookmarkStart w:id="292" w:name="_Toc135573882"/>
      <w:bookmarkStart w:id="293" w:name="_Toc39850010"/>
      <w:bookmarkStart w:id="294" w:name="_Toc501987491"/>
      <w:bookmarkStart w:id="295" w:name="_Toc404073915"/>
      <w:r>
        <w:rPr>
          <w:color w:val="000000" w:themeColor="text1"/>
          <w:sz w:val="21"/>
          <w:szCs w:val="21"/>
          <w:highlight w:val="none"/>
          <w14:textFill>
            <w14:solidFill>
              <w14:schemeClr w14:val="tx1"/>
            </w14:solidFill>
          </w14:textFill>
        </w:rPr>
        <w:t>13.违约</w:t>
      </w:r>
      <w:bookmarkEnd w:id="285"/>
      <w:bookmarkEnd w:id="286"/>
      <w:bookmarkEnd w:id="287"/>
      <w:bookmarkEnd w:id="288"/>
      <w:bookmarkEnd w:id="289"/>
      <w:bookmarkEnd w:id="290"/>
      <w:bookmarkEnd w:id="291"/>
      <w:bookmarkEnd w:id="292"/>
      <w:bookmarkEnd w:id="293"/>
      <w:bookmarkEnd w:id="294"/>
      <w:bookmarkEnd w:id="295"/>
    </w:p>
    <w:p w14:paraId="558641ED">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13.1 甲方违约</w:t>
      </w:r>
    </w:p>
    <w:p w14:paraId="2DDEEDB6">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13.1.1 甲方违约的情形</w:t>
      </w:r>
    </w:p>
    <w:p w14:paraId="29B24CC5">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甲方违约的其他情形：</w:t>
      </w:r>
      <w:r>
        <w:rPr>
          <w:color w:val="000000" w:themeColor="text1"/>
          <w:sz w:val="21"/>
          <w:szCs w:val="21"/>
          <w:highlight w:val="none"/>
          <w:u w:val="single"/>
          <w14:textFill>
            <w14:solidFill>
              <w14:schemeClr w14:val="tx1"/>
            </w14:solidFill>
          </w14:textFill>
        </w:rPr>
        <w:t>无</w:t>
      </w:r>
      <w:r>
        <w:rPr>
          <w:color w:val="000000" w:themeColor="text1"/>
          <w:sz w:val="21"/>
          <w:szCs w:val="21"/>
          <w:highlight w:val="none"/>
          <w14:textFill>
            <w14:solidFill>
              <w14:schemeClr w14:val="tx1"/>
            </w14:solidFill>
          </w14:textFill>
        </w:rPr>
        <w:t>。</w:t>
      </w:r>
    </w:p>
    <w:p w14:paraId="03BC6DF8">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13.1.2 甲方违约的责任</w:t>
      </w:r>
    </w:p>
    <w:p w14:paraId="1D7B9594">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甲方违约责任的承担方式和计算方法：</w:t>
      </w:r>
    </w:p>
    <w:p w14:paraId="3953F450">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（1）因甲方原因未能在计划开工日期前 7 天内下达开工通知的违约责任：</w:t>
      </w:r>
      <w:r>
        <w:rPr>
          <w:color w:val="000000" w:themeColor="text1"/>
          <w:sz w:val="21"/>
          <w:szCs w:val="21"/>
          <w:highlight w:val="none"/>
          <w:u w:val="single"/>
          <w14:textFill>
            <w14:solidFill>
              <w14:schemeClr w14:val="tx1"/>
            </w14:solidFill>
          </w14:textFill>
        </w:rPr>
        <w:t xml:space="preserve"> 按合同通用条款</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1FCD75FC">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（2）因甲方原因未能按合同约定支付合同价款的违约责任：</w:t>
      </w:r>
      <w:r>
        <w:rPr>
          <w:color w:val="000000" w:themeColor="text1"/>
          <w:sz w:val="21"/>
          <w:szCs w:val="21"/>
          <w:highlight w:val="none"/>
          <w:u w:val="single"/>
          <w14:textFill>
            <w14:solidFill>
              <w14:schemeClr w14:val="tx1"/>
            </w14:solidFill>
          </w14:textFill>
        </w:rPr>
        <w:t>按合同通用条款</w:t>
      </w:r>
      <w:r>
        <w:rPr>
          <w:color w:val="000000" w:themeColor="text1"/>
          <w:sz w:val="21"/>
          <w:szCs w:val="21"/>
          <w:highlight w:val="none"/>
          <w14:textFill>
            <w14:solidFill>
              <w14:schemeClr w14:val="tx1"/>
            </w14:solidFill>
          </w14:textFill>
        </w:rPr>
        <w:t>。</w:t>
      </w:r>
    </w:p>
    <w:p w14:paraId="37ECC50B">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（3）甲方违反第 10.1 款〔变更的范围〕第（2）项约定，自行实施被取消的工作或转由他人实施的违约责任：</w:t>
      </w:r>
      <w:r>
        <w:rPr>
          <w:color w:val="000000" w:themeColor="text1"/>
          <w:sz w:val="21"/>
          <w:szCs w:val="21"/>
          <w:highlight w:val="none"/>
          <w:u w:val="single"/>
          <w14:textFill>
            <w14:solidFill>
              <w14:schemeClr w14:val="tx1"/>
            </w14:solidFill>
          </w14:textFill>
        </w:rPr>
        <w:t>按合同通用条款</w:t>
      </w:r>
      <w:r>
        <w:rPr>
          <w:color w:val="000000" w:themeColor="text1"/>
          <w:sz w:val="21"/>
          <w:szCs w:val="21"/>
          <w:highlight w:val="none"/>
          <w14:textFill>
            <w14:solidFill>
              <w14:schemeClr w14:val="tx1"/>
            </w14:solidFill>
          </w14:textFill>
        </w:rPr>
        <w:t>。</w:t>
      </w:r>
    </w:p>
    <w:p w14:paraId="7CEF20CA">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（4）甲方提供的材料、工程设备的规格、数量或质量不符合合 同约定，或因甲方原因导致交货日期延误或交货地点变更等情况的违约责任：</w:t>
      </w:r>
      <w:r>
        <w:rPr>
          <w:color w:val="000000" w:themeColor="text1"/>
          <w:sz w:val="21"/>
          <w:szCs w:val="21"/>
          <w:highlight w:val="none"/>
          <w:u w:val="single"/>
          <w14:textFill>
            <w14:solidFill>
              <w14:schemeClr w14:val="tx1"/>
            </w14:solidFill>
          </w14:textFill>
        </w:rPr>
        <w:t>按合同通用条款</w:t>
      </w:r>
      <w:r>
        <w:rPr>
          <w:color w:val="000000" w:themeColor="text1"/>
          <w:sz w:val="21"/>
          <w:szCs w:val="21"/>
          <w:highlight w:val="none"/>
          <w14:textFill>
            <w14:solidFill>
              <w14:schemeClr w14:val="tx1"/>
            </w14:solidFill>
          </w14:textFill>
        </w:rPr>
        <w:t>。</w:t>
      </w:r>
    </w:p>
    <w:p w14:paraId="228ED1FF">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（5）因甲方违反合同约定造成暂停施工的违约责任：</w:t>
      </w:r>
      <w:r>
        <w:rPr>
          <w:color w:val="000000" w:themeColor="text1"/>
          <w:sz w:val="21"/>
          <w:szCs w:val="21"/>
          <w:highlight w:val="none"/>
          <w:u w:val="single"/>
          <w14:textFill>
            <w14:solidFill>
              <w14:schemeClr w14:val="tx1"/>
            </w14:solidFill>
          </w14:textFill>
        </w:rPr>
        <w:t>按合同通用条款</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w:t>
      </w:r>
    </w:p>
    <w:p w14:paraId="73FEA6FE">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（6）甲方无正当理由没有在约定期限内发出复工指示，导致乙方无法复工的违约责任：</w:t>
      </w:r>
      <w:r>
        <w:rPr>
          <w:color w:val="000000" w:themeColor="text1"/>
          <w:sz w:val="21"/>
          <w:szCs w:val="21"/>
          <w:highlight w:val="none"/>
          <w:u w:val="single"/>
          <w14:textFill>
            <w14:solidFill>
              <w14:schemeClr w14:val="tx1"/>
            </w14:solidFill>
          </w14:textFill>
        </w:rPr>
        <w:t>按合同通用条款</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69BD769B">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（7）其他：</w:t>
      </w:r>
      <w:r>
        <w:rPr>
          <w:color w:val="000000" w:themeColor="text1"/>
          <w:sz w:val="21"/>
          <w:szCs w:val="21"/>
          <w:highlight w:val="none"/>
          <w:u w:val="single"/>
          <w14:textFill>
            <w14:solidFill>
              <w14:schemeClr w14:val="tx1"/>
            </w14:solidFill>
          </w14:textFill>
        </w:rPr>
        <w:t xml:space="preserve"> 无</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374BE664">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12.1.3 因甲方违约解除合同</w:t>
      </w:r>
    </w:p>
    <w:p w14:paraId="184B1E69">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乙方按 16.1.1 项〔甲方违约的情形〕约定暂停施工满天后甲方仍不纠正其违约行为并致使合同目的不能实现的，乙方有权解除合同。</w:t>
      </w:r>
    </w:p>
    <w:p w14:paraId="436EE109">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12.2 乙方违约</w:t>
      </w:r>
    </w:p>
    <w:p w14:paraId="224A86A3">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12.2.1 乙方违约的情形</w:t>
      </w:r>
    </w:p>
    <w:p w14:paraId="12983A5B">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乙方违约的其他情形：</w:t>
      </w:r>
      <w:r>
        <w:rPr>
          <w:color w:val="000000" w:themeColor="text1"/>
          <w:sz w:val="21"/>
          <w:szCs w:val="21"/>
          <w:highlight w:val="none"/>
          <w:u w:val="single"/>
          <w14:textFill>
            <w14:solidFill>
              <w14:schemeClr w14:val="tx1"/>
            </w14:solidFill>
          </w14:textFill>
        </w:rPr>
        <w:t xml:space="preserve">  无 </w:t>
      </w:r>
      <w:r>
        <w:rPr>
          <w:color w:val="000000" w:themeColor="text1"/>
          <w:sz w:val="21"/>
          <w:szCs w:val="21"/>
          <w:highlight w:val="none"/>
          <w14:textFill>
            <w14:solidFill>
              <w14:schemeClr w14:val="tx1"/>
            </w14:solidFill>
          </w14:textFill>
        </w:rPr>
        <w:t>。</w:t>
      </w:r>
    </w:p>
    <w:p w14:paraId="09928CE1">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12.2.2 乙方违约的责任：</w:t>
      </w:r>
    </w:p>
    <w:p w14:paraId="7D6502EF">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乙方工期违约责任的承担方式和计算方法：如果乙方工期严重滞后，甲方认为乙方不能按合同规定的工期竣工，甲方有权解除合同并不承担任何乙方的损失，乙方不得有任何异议。</w:t>
      </w:r>
    </w:p>
    <w:p w14:paraId="0C40BAD2">
      <w:pPr>
        <w:pStyle w:val="5"/>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12.2.3 因乙方违约解除合同</w:t>
      </w:r>
    </w:p>
    <w:p w14:paraId="715471BF">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关于乙方违约解除合同的特别约定：</w:t>
      </w:r>
      <w:r>
        <w:rPr>
          <w:color w:val="000000" w:themeColor="text1"/>
          <w:sz w:val="21"/>
          <w:szCs w:val="21"/>
          <w:highlight w:val="none"/>
          <w:u w:val="single"/>
          <w14:textFill>
            <w14:solidFill>
              <w14:schemeClr w14:val="tx1"/>
            </w14:solidFill>
          </w14:textFill>
        </w:rPr>
        <w:t>按合同通用条款</w:t>
      </w:r>
      <w:r>
        <w:rPr>
          <w:color w:val="000000" w:themeColor="text1"/>
          <w:sz w:val="21"/>
          <w:szCs w:val="21"/>
          <w:highlight w:val="none"/>
          <w14:textFill>
            <w14:solidFill>
              <w14:schemeClr w14:val="tx1"/>
            </w14:solidFill>
          </w14:textFill>
        </w:rPr>
        <w:t>。</w:t>
      </w:r>
    </w:p>
    <w:p w14:paraId="475A1B60">
      <w:pPr>
        <w:pStyle w:val="3"/>
        <w:rPr>
          <w:color w:val="000000" w:themeColor="text1"/>
          <w:sz w:val="21"/>
          <w:szCs w:val="21"/>
          <w:highlight w:val="none"/>
          <w14:textFill>
            <w14:solidFill>
              <w14:schemeClr w14:val="tx1"/>
            </w14:solidFill>
          </w14:textFill>
        </w:rPr>
      </w:pPr>
      <w:bookmarkStart w:id="296" w:name="_Toc399146829"/>
      <w:bookmarkStart w:id="297" w:name="_Toc39850012"/>
      <w:bookmarkStart w:id="298" w:name="_Toc399146320"/>
      <w:bookmarkStart w:id="299" w:name="_Toc501987493"/>
      <w:bookmarkStart w:id="300" w:name="_Toc501980487"/>
      <w:bookmarkStart w:id="301" w:name="_Toc135573883"/>
      <w:bookmarkStart w:id="302" w:name="_Toc404073917"/>
      <w:bookmarkStart w:id="303" w:name="_Toc3937"/>
      <w:bookmarkStart w:id="304" w:name="_Toc5027461"/>
      <w:bookmarkStart w:id="305" w:name="_Toc470519528"/>
      <w:bookmarkStart w:id="306" w:name="_Toc436589177"/>
      <w:r>
        <w:rPr>
          <w:color w:val="000000" w:themeColor="text1"/>
          <w:sz w:val="21"/>
          <w:szCs w:val="21"/>
          <w:highlight w:val="none"/>
          <w14:textFill>
            <w14:solidFill>
              <w14:schemeClr w14:val="tx1"/>
            </w14:solidFill>
          </w14:textFill>
        </w:rPr>
        <w:t>13.保险</w:t>
      </w:r>
      <w:bookmarkEnd w:id="296"/>
      <w:bookmarkEnd w:id="297"/>
      <w:bookmarkEnd w:id="298"/>
      <w:bookmarkEnd w:id="299"/>
      <w:bookmarkEnd w:id="300"/>
      <w:bookmarkEnd w:id="301"/>
      <w:bookmarkEnd w:id="302"/>
      <w:bookmarkEnd w:id="303"/>
      <w:bookmarkEnd w:id="304"/>
      <w:bookmarkEnd w:id="305"/>
      <w:bookmarkEnd w:id="306"/>
    </w:p>
    <w:p w14:paraId="34EFA6B4">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13.1 工程保险</w:t>
      </w:r>
    </w:p>
    <w:p w14:paraId="4EBD4CC7">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关于工程保险的特别约定：</w:t>
      </w:r>
      <w:r>
        <w:rPr>
          <w:color w:val="000000" w:themeColor="text1"/>
          <w:sz w:val="21"/>
          <w:szCs w:val="21"/>
          <w:highlight w:val="none"/>
          <w:u w:val="single"/>
          <w14:textFill>
            <w14:solidFill>
              <w14:schemeClr w14:val="tx1"/>
            </w14:solidFill>
          </w14:textFill>
        </w:rPr>
        <w:t xml:space="preserve"> 乙方为本工程施工人员办理意外伤害险。</w:t>
      </w:r>
      <w:r>
        <w:rPr>
          <w:color w:val="000000" w:themeColor="text1"/>
          <w:sz w:val="21"/>
          <w:szCs w:val="21"/>
          <w:highlight w:val="none"/>
          <w14:textFill>
            <w14:solidFill>
              <w14:schemeClr w14:val="tx1"/>
            </w14:solidFill>
          </w14:textFill>
        </w:rPr>
        <w:t xml:space="preserve"> </w:t>
      </w:r>
    </w:p>
    <w:p w14:paraId="100D1EEC">
      <w:pPr>
        <w:pStyle w:val="4"/>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13.2 安全生产责任保险 </w:t>
      </w:r>
    </w:p>
    <w:p w14:paraId="7452DA6D">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关于安全生产责任保险的约定：</w:t>
      </w:r>
      <w:r>
        <w:rPr>
          <w:color w:val="000000" w:themeColor="text1"/>
          <w:sz w:val="21"/>
          <w:szCs w:val="21"/>
          <w:highlight w:val="none"/>
          <w:u w:val="single"/>
          <w14:textFill>
            <w14:solidFill>
              <w14:schemeClr w14:val="tx1"/>
            </w14:solidFill>
          </w14:textFill>
        </w:rPr>
        <w:t xml:space="preserve">按合同通用条款  </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w:t>
      </w:r>
    </w:p>
    <w:p w14:paraId="2E96510E">
      <w:pPr>
        <w:pStyle w:val="3"/>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14.仲裁或诉讼</w:t>
      </w:r>
    </w:p>
    <w:p w14:paraId="3AF81407">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因合同及合同有关事项发生的争议，按下列第</w:t>
      </w:r>
      <w:r>
        <w:rPr>
          <w:color w:val="000000" w:themeColor="text1"/>
          <w:sz w:val="21"/>
          <w:szCs w:val="21"/>
          <w:highlight w:val="none"/>
          <w:u w:val="single"/>
          <w14:textFill>
            <w14:solidFill>
              <w14:schemeClr w14:val="tx1"/>
            </w14:solidFill>
          </w14:textFill>
        </w:rPr>
        <w:t xml:space="preserve"> （2）</w:t>
      </w:r>
      <w:r>
        <w:rPr>
          <w:color w:val="000000" w:themeColor="text1"/>
          <w:sz w:val="21"/>
          <w:szCs w:val="21"/>
          <w:highlight w:val="none"/>
          <w:u w:val="single"/>
          <w14:textFill>
            <w14:solidFill>
              <w14:schemeClr w14:val="tx1"/>
            </w14:solidFill>
          </w14:textFill>
        </w:rPr>
        <w:tab/>
      </w:r>
      <w:r>
        <w:rPr>
          <w:color w:val="000000" w:themeColor="text1"/>
          <w:sz w:val="21"/>
          <w:szCs w:val="21"/>
          <w:highlight w:val="none"/>
          <w14:textFill>
            <w14:solidFill>
              <w14:schemeClr w14:val="tx1"/>
            </w14:solidFill>
          </w14:textFill>
        </w:rPr>
        <w:t>种方式解决：</w:t>
      </w:r>
    </w:p>
    <w:p w14:paraId="3FDCD529">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（1）向</w:t>
      </w:r>
      <w:r>
        <w:rPr>
          <w:color w:val="000000" w:themeColor="text1"/>
          <w:sz w:val="21"/>
          <w:szCs w:val="21"/>
          <w:highlight w:val="none"/>
          <w:u w:val="single"/>
          <w14:textFill>
            <w14:solidFill>
              <w14:schemeClr w14:val="tx1"/>
            </w14:solidFill>
          </w14:textFill>
        </w:rPr>
        <w:t xml:space="preserve"> 甲方所在地 </w:t>
      </w:r>
      <w:r>
        <w:rPr>
          <w:color w:val="000000" w:themeColor="text1"/>
          <w:sz w:val="21"/>
          <w:szCs w:val="21"/>
          <w:highlight w:val="none"/>
          <w14:textFill>
            <w14:solidFill>
              <w14:schemeClr w14:val="tx1"/>
            </w14:solidFill>
          </w14:textFill>
        </w:rPr>
        <w:t>仲裁委员会申请仲裁；</w:t>
      </w:r>
    </w:p>
    <w:p w14:paraId="2FFC5CC6">
      <w:pPr>
        <w:pStyle w:val="2"/>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（2）向 </w:t>
      </w:r>
      <w:r>
        <w:rPr>
          <w:color w:val="000000" w:themeColor="text1"/>
          <w:sz w:val="21"/>
          <w:szCs w:val="21"/>
          <w:highlight w:val="none"/>
          <w:u w:val="single"/>
          <w14:textFill>
            <w14:solidFill>
              <w14:schemeClr w14:val="tx1"/>
            </w14:solidFill>
          </w14:textFill>
        </w:rPr>
        <w:t xml:space="preserve">甲方所在地  </w:t>
      </w:r>
      <w:r>
        <w:rPr>
          <w:color w:val="000000" w:themeColor="text1"/>
          <w:sz w:val="21"/>
          <w:szCs w:val="21"/>
          <w:highlight w:val="none"/>
          <w14:textFill>
            <w14:solidFill>
              <w14:schemeClr w14:val="tx1"/>
            </w14:solidFill>
          </w14:textFill>
        </w:rPr>
        <w:t>人民法院起诉。</w:t>
      </w:r>
    </w:p>
    <w:p w14:paraId="75F35CF5">
      <w:pPr>
        <w:pStyle w:val="3"/>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15.补充条款</w:t>
      </w:r>
    </w:p>
    <w:p w14:paraId="0EAAEE4F">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（１）乙方不得擅自变更工程的设计，如因擅自变更而影响成本增加，造成损失由乙方承担，出现质量问题由乙方负责。</w:t>
      </w:r>
    </w:p>
    <w:p w14:paraId="6C996733">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（２）由于乙方原因致使工程开工或竣工日期、中途停建或缓建时间超过规定时间达一个月的，甲方有权解除或终止合同，并实行先清退后结清算的原则，同时由乙方承担相应的赔偿责任。</w:t>
      </w:r>
    </w:p>
    <w:p w14:paraId="152E195F">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（3）工程质量等级必须确保达到合格工程标准。工程竣工验收时，质量不合格，不予验收，乙方除返工或重做以达到合同要求的质量标准外，乙方还应承担本工程结算价款1.5%的违约金。</w:t>
      </w:r>
    </w:p>
    <w:p w14:paraId="488F4B8A">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（4）本工程拆迁、施工过程外围关系由甲方负责处理，但由乙方引发的工农矛盾及劳资争议等问题由乙方自己负责。</w:t>
      </w:r>
    </w:p>
    <w:p w14:paraId="7202DA02">
      <w:pPr>
        <w:pStyle w:val="2"/>
        <w:widowControl/>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t>（5）由甲方办理的相关手续乙方须无条件配合完成，乙方办理的手续由乙方自己负责。</w:t>
      </w:r>
    </w:p>
    <w:p w14:paraId="6D3ED942">
      <w:pPr>
        <w:autoSpaceDE w:val="0"/>
        <w:autoSpaceDN w:val="0"/>
        <w:spacing w:line="200" w:lineRule="exact"/>
        <w:jc w:val="right"/>
        <w:rPr>
          <w:rFonts w:ascii="宋体" w:hAnsi="宋体"/>
          <w:color w:val="000000" w:themeColor="text1"/>
          <w:sz w:val="20"/>
          <w:szCs w:val="22"/>
          <w:highlight w:val="none"/>
          <w14:textFill>
            <w14:solidFill>
              <w14:schemeClr w14:val="tx1"/>
            </w14:solidFill>
          </w14:textFill>
        </w:rPr>
      </w:pPr>
    </w:p>
    <w:p w14:paraId="21F5D0E7">
      <w:pPr>
        <w:spacing w:line="460" w:lineRule="exact"/>
        <w:ind w:left="1043" w:leftChars="267" w:right="21" w:rightChars="10" w:hanging="482" w:hangingChars="150"/>
        <w:rPr>
          <w:rFonts w:ascii="宋体" w:hAnsi="宋体"/>
          <w:b/>
          <w:bCs/>
          <w:color w:val="000000" w:themeColor="text1"/>
          <w:sz w:val="32"/>
          <w:szCs w:val="32"/>
          <w:highlight w:val="none"/>
          <w14:textFill>
            <w14:solidFill>
              <w14:schemeClr w14:val="tx1"/>
            </w14:solidFill>
          </w14:textFill>
        </w:rPr>
      </w:pPr>
    </w:p>
    <w:p w14:paraId="2B53D3FB">
      <w:pPr>
        <w:numPr>
          <w:ilvl w:val="0"/>
          <w:numId w:val="4"/>
        </w:numPr>
        <w:spacing w:line="460" w:lineRule="exact"/>
        <w:ind w:left="1043" w:leftChars="267" w:right="21" w:rightChars="10" w:hanging="482" w:hangingChars="150"/>
        <w:jc w:val="center"/>
        <w:outlineLvl w:val="0"/>
        <w:rPr>
          <w:rFonts w:ascii="宋体" w:hAnsi="宋体"/>
          <w:b/>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r>
      <w:r>
        <w:rPr>
          <w:rFonts w:hint="eastAsia" w:ascii="宋体" w:hAnsi="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b/>
          <w:color w:val="000000" w:themeColor="text1"/>
          <w:sz w:val="32"/>
          <w:szCs w:val="32"/>
          <w:highlight w:val="none"/>
          <w14:textFill>
            <w14:solidFill>
              <w14:schemeClr w14:val="tx1"/>
            </w14:solidFill>
          </w14:textFill>
        </w:rPr>
        <w:t>采购需求</w:t>
      </w:r>
    </w:p>
    <w:p w14:paraId="72752396">
      <w:pPr>
        <w:pStyle w:val="46"/>
        <w:ind w:left="0" w:leftChars="0" w:firstLineChars="200"/>
        <w:rPr>
          <w:rFonts w:ascii="宋体" w:hAnsi="宋体" w:cs="宋体"/>
          <w:color w:val="000000" w:themeColor="text1"/>
          <w:szCs w:val="21"/>
          <w:highlight w:val="none"/>
          <w:lang w:bidi="ar"/>
          <w14:textFill>
            <w14:solidFill>
              <w14:schemeClr w14:val="tx1"/>
            </w14:solidFill>
          </w14:textFill>
        </w:rPr>
      </w:pPr>
    </w:p>
    <w:p w14:paraId="56DF0F2A">
      <w:pPr>
        <w:spacing w:line="460" w:lineRule="exact"/>
        <w:ind w:firstLine="482" w:firstLineChars="200"/>
        <w:rPr>
          <w:rFonts w:ascii="宋体" w:hAnsi="宋体"/>
          <w:color w:val="000000" w:themeColor="text1"/>
          <w:highlight w:val="none"/>
          <w14:textFill>
            <w14:solidFill>
              <w14:schemeClr w14:val="tx1"/>
            </w14:solidFill>
          </w14:textFill>
        </w:rPr>
      </w:pPr>
      <w:bookmarkStart w:id="307" w:name="_Hlk113870233"/>
      <w:r>
        <w:rPr>
          <w:rFonts w:hint="eastAsia" w:ascii="宋体" w:hAnsi="宋体"/>
          <w:b/>
          <w:color w:val="000000" w:themeColor="text1"/>
          <w:sz w:val="24"/>
          <w:highlight w:val="none"/>
          <w14:textFill>
            <w14:solidFill>
              <w14:schemeClr w14:val="tx1"/>
            </w14:solidFill>
          </w14:textFill>
        </w:rPr>
        <w:t>一、项目概况</w:t>
      </w:r>
    </w:p>
    <w:p w14:paraId="15680274">
      <w:pPr>
        <w:adjustRightInd w:val="0"/>
        <w:snapToGrid w:val="0"/>
        <w:spacing w:line="460" w:lineRule="exact"/>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对全院范围内37处建筑结构性漏水渗水进行彻底解决。由于防水维修属于隐蔽性工程，采用目标导向法，不设图纸和清单。要求以点盖面，对已有漏水点进行全面维修，放置反复漏水。质保期要求不低于5年。（</w:t>
      </w:r>
      <w:r>
        <w:rPr>
          <w:rFonts w:hint="eastAsia" w:ascii="宋体" w:hAnsi="宋体"/>
          <w:color w:val="000000" w:themeColor="text1"/>
          <w:highlight w:val="none"/>
          <w:lang w:val="en-US" w:eastAsia="zh-CN"/>
          <w14:textFill>
            <w14:solidFill>
              <w14:schemeClr w14:val="tx1"/>
            </w14:solidFill>
          </w14:textFill>
        </w:rPr>
        <w:t>详见《2024全院建筑漏水点统计》</w:t>
      </w:r>
      <w:r>
        <w:rPr>
          <w:rFonts w:hint="eastAsia" w:ascii="宋体" w:hAnsi="宋体"/>
          <w:color w:val="000000" w:themeColor="text1"/>
          <w:highlight w:val="none"/>
          <w14:textFill>
            <w14:solidFill>
              <w14:schemeClr w14:val="tx1"/>
            </w14:solidFill>
          </w14:textFill>
        </w:rPr>
        <w:t>）。</w:t>
      </w:r>
      <w:bookmarkStart w:id="308" w:name="_Toc300678508"/>
    </w:p>
    <w:bookmarkEnd w:id="308"/>
    <w:p w14:paraId="404A1EF1">
      <w:pPr>
        <w:spacing w:line="460" w:lineRule="exact"/>
        <w:ind w:firstLine="482" w:firstLineChars="200"/>
        <w:rPr>
          <w:rFonts w:ascii="宋体" w:hAnsi="宋体"/>
          <w:b/>
          <w:color w:val="000000" w:themeColor="text1"/>
          <w:sz w:val="24"/>
          <w:highlight w:val="none"/>
          <w14:textFill>
            <w14:solidFill>
              <w14:schemeClr w14:val="tx1"/>
            </w14:solidFill>
          </w14:textFill>
        </w:rPr>
      </w:pPr>
      <w:bookmarkStart w:id="309" w:name="_Toc225336549"/>
      <w:r>
        <w:rPr>
          <w:rFonts w:hint="eastAsia" w:ascii="宋体" w:hAnsi="宋体"/>
          <w:b/>
          <w:color w:val="000000" w:themeColor="text1"/>
          <w:sz w:val="24"/>
          <w:highlight w:val="none"/>
          <w:lang w:val="en-US" w:eastAsia="zh-CN"/>
          <w14:textFill>
            <w14:solidFill>
              <w14:schemeClr w14:val="tx1"/>
            </w14:solidFill>
          </w14:textFill>
        </w:rPr>
        <w:t>二</w:t>
      </w:r>
      <w:r>
        <w:rPr>
          <w:rFonts w:hint="eastAsia" w:ascii="宋体" w:hAnsi="宋体"/>
          <w:b/>
          <w:color w:val="000000" w:themeColor="text1"/>
          <w:sz w:val="24"/>
          <w:highlight w:val="none"/>
          <w14:textFill>
            <w14:solidFill>
              <w14:schemeClr w14:val="tx1"/>
            </w14:solidFill>
          </w14:textFill>
        </w:rPr>
        <w:t>、项目相关要求</w:t>
      </w:r>
    </w:p>
    <w:bookmarkEnd w:id="309"/>
    <w:p w14:paraId="40133A2A">
      <w:pPr>
        <w:adjustRightInd w:val="0"/>
        <w:snapToGrid w:val="0"/>
        <w:spacing w:line="360" w:lineRule="auto"/>
        <w:ind w:right="21" w:rightChars="10" w:firstLine="422" w:firstLineChars="200"/>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1．建筑材料运输、保管及保险</w:t>
      </w:r>
    </w:p>
    <w:p w14:paraId="5324436D">
      <w:pPr>
        <w:adjustRightInd w:val="0"/>
        <w:snapToGrid w:val="0"/>
        <w:spacing w:line="360" w:lineRule="auto"/>
        <w:ind w:right="21" w:rightChars="10" w:firstLine="420" w:firstLineChars="200"/>
        <w:rPr>
          <w:rFonts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1.1</w:t>
      </w:r>
      <w:r>
        <w:rPr>
          <w:rFonts w:hint="eastAsia" w:ascii="宋体"/>
          <w:bCs/>
          <w:color w:val="000000" w:themeColor="text1"/>
          <w:szCs w:val="21"/>
          <w:highlight w:val="none"/>
          <w14:textFill>
            <w14:solidFill>
              <w14:schemeClr w14:val="tx1"/>
            </w14:solidFill>
          </w14:textFill>
        </w:rPr>
        <w:tab/>
      </w:r>
      <w:r>
        <w:rPr>
          <w:rFonts w:hint="eastAsia" w:ascii="宋体"/>
          <w:bCs/>
          <w:color w:val="000000" w:themeColor="text1"/>
          <w:szCs w:val="21"/>
          <w:highlight w:val="none"/>
          <w14:textFill>
            <w14:solidFill>
              <w14:schemeClr w14:val="tx1"/>
            </w14:solidFill>
          </w14:textFill>
        </w:rPr>
        <w:t>成交供应商负责建筑材料到施工地点的全部运输，包括装卸及现场搬运等。</w:t>
      </w:r>
    </w:p>
    <w:p w14:paraId="7C70733F">
      <w:pPr>
        <w:adjustRightInd w:val="0"/>
        <w:snapToGrid w:val="0"/>
        <w:spacing w:line="360" w:lineRule="auto"/>
        <w:ind w:right="21" w:rightChars="10" w:firstLine="420" w:firstLineChars="200"/>
        <w:rPr>
          <w:rFonts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1.2</w:t>
      </w:r>
      <w:r>
        <w:rPr>
          <w:rFonts w:hint="eastAsia" w:ascii="宋体"/>
          <w:bCs/>
          <w:color w:val="000000" w:themeColor="text1"/>
          <w:szCs w:val="21"/>
          <w:highlight w:val="none"/>
          <w14:textFill>
            <w14:solidFill>
              <w14:schemeClr w14:val="tx1"/>
            </w14:solidFill>
          </w14:textFill>
        </w:rPr>
        <w:tab/>
      </w:r>
      <w:r>
        <w:rPr>
          <w:rFonts w:hint="eastAsia" w:ascii="宋体"/>
          <w:bCs/>
          <w:color w:val="000000" w:themeColor="text1"/>
          <w:szCs w:val="21"/>
          <w:highlight w:val="none"/>
          <w14:textFill>
            <w14:solidFill>
              <w14:schemeClr w14:val="tx1"/>
            </w14:solidFill>
          </w14:textFill>
        </w:rPr>
        <w:t>成交供应商负责建筑材料在施工地点的保管，直至项目验收合格。</w:t>
      </w:r>
    </w:p>
    <w:p w14:paraId="1B56002A">
      <w:pPr>
        <w:adjustRightInd w:val="0"/>
        <w:snapToGrid w:val="0"/>
        <w:spacing w:line="360" w:lineRule="auto"/>
        <w:ind w:right="21" w:rightChars="10" w:firstLine="420" w:firstLineChars="200"/>
        <w:rPr>
          <w:rFonts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1.3</w:t>
      </w:r>
      <w:r>
        <w:rPr>
          <w:rFonts w:hint="eastAsia" w:ascii="宋体"/>
          <w:bCs/>
          <w:color w:val="000000" w:themeColor="text1"/>
          <w:szCs w:val="21"/>
          <w:highlight w:val="none"/>
          <w14:textFill>
            <w14:solidFill>
              <w14:schemeClr w14:val="tx1"/>
            </w14:solidFill>
          </w14:textFill>
        </w:rPr>
        <w:tab/>
      </w:r>
      <w:r>
        <w:rPr>
          <w:rFonts w:hint="eastAsia" w:ascii="宋体"/>
          <w:bCs/>
          <w:color w:val="000000" w:themeColor="text1"/>
          <w:szCs w:val="21"/>
          <w:highlight w:val="none"/>
          <w14:textFill>
            <w14:solidFill>
              <w14:schemeClr w14:val="tx1"/>
            </w14:solidFill>
          </w14:textFill>
        </w:rPr>
        <w:t>成交供应商负责其派出的施工人员的人身意外保险。</w:t>
      </w:r>
    </w:p>
    <w:p w14:paraId="36F05357">
      <w:pPr>
        <w:adjustRightInd w:val="0"/>
        <w:snapToGrid w:val="0"/>
        <w:spacing w:line="360" w:lineRule="auto"/>
        <w:ind w:right="21" w:rightChars="10" w:firstLine="422" w:firstLineChars="200"/>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lang w:val="en-US" w:eastAsia="zh-CN"/>
          <w14:textFill>
            <w14:solidFill>
              <w14:schemeClr w14:val="tx1"/>
            </w14:solidFill>
          </w14:textFill>
        </w:rPr>
        <w:t>2</w:t>
      </w:r>
      <w:r>
        <w:rPr>
          <w:rFonts w:hint="eastAsia" w:ascii="宋体"/>
          <w:b/>
          <w:bCs/>
          <w:color w:val="000000" w:themeColor="text1"/>
          <w:szCs w:val="21"/>
          <w:highlight w:val="none"/>
          <w14:textFill>
            <w14:solidFill>
              <w14:schemeClr w14:val="tx1"/>
            </w14:solidFill>
          </w14:textFill>
        </w:rPr>
        <w:t>.验收要求</w:t>
      </w:r>
    </w:p>
    <w:p w14:paraId="779321C4">
      <w:pPr>
        <w:adjustRightInd w:val="0"/>
        <w:snapToGrid w:val="0"/>
        <w:spacing w:line="360" w:lineRule="auto"/>
        <w:ind w:right="21" w:rightChars="10" w:firstLine="420" w:firstLineChars="200"/>
        <w:rPr>
          <w:rFonts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lang w:val="en-US" w:eastAsia="zh-CN"/>
          <w14:textFill>
            <w14:solidFill>
              <w14:schemeClr w14:val="tx1"/>
            </w14:solidFill>
          </w14:textFill>
        </w:rPr>
        <w:t>2</w:t>
      </w:r>
      <w:r>
        <w:rPr>
          <w:rFonts w:hint="eastAsia" w:ascii="宋体"/>
          <w:bCs/>
          <w:color w:val="000000" w:themeColor="text1"/>
          <w:szCs w:val="21"/>
          <w:highlight w:val="none"/>
          <w14:textFill>
            <w14:solidFill>
              <w14:schemeClr w14:val="tx1"/>
            </w14:solidFill>
          </w14:textFill>
        </w:rPr>
        <w:t>.1</w:t>
      </w:r>
      <w:r>
        <w:rPr>
          <w:rFonts w:hint="eastAsia" w:ascii="宋体"/>
          <w:bCs/>
          <w:color w:val="000000" w:themeColor="text1"/>
          <w:szCs w:val="21"/>
          <w:highlight w:val="none"/>
          <w14:textFill>
            <w14:solidFill>
              <w14:schemeClr w14:val="tx1"/>
            </w14:solidFill>
          </w14:textFill>
        </w:rPr>
        <w:tab/>
      </w:r>
      <w:r>
        <w:rPr>
          <w:rFonts w:hint="eastAsia" w:ascii="宋体"/>
          <w:bCs/>
          <w:color w:val="000000" w:themeColor="text1"/>
          <w:szCs w:val="21"/>
          <w:highlight w:val="none"/>
          <w14:textFill>
            <w14:solidFill>
              <w14:schemeClr w14:val="tx1"/>
            </w14:solidFill>
          </w14:textFill>
        </w:rPr>
        <w:t>由采购人组织验收活动，成交供应商负责在当地建设行政主管部门办理工程竣工验收备案（如需要）。</w:t>
      </w:r>
    </w:p>
    <w:p w14:paraId="367F115B">
      <w:pPr>
        <w:adjustRightInd w:val="0"/>
        <w:snapToGrid w:val="0"/>
        <w:spacing w:line="360" w:lineRule="auto"/>
        <w:ind w:right="21" w:rightChars="10" w:firstLine="420" w:firstLineChars="200"/>
        <w:rPr>
          <w:rFonts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lang w:val="en-US" w:eastAsia="zh-CN"/>
          <w14:textFill>
            <w14:solidFill>
              <w14:schemeClr w14:val="tx1"/>
            </w14:solidFill>
          </w14:textFill>
        </w:rPr>
        <w:t>2</w:t>
      </w:r>
      <w:r>
        <w:rPr>
          <w:rFonts w:hint="eastAsia" w:ascii="宋体"/>
          <w:bCs/>
          <w:color w:val="000000" w:themeColor="text1"/>
          <w:szCs w:val="21"/>
          <w:highlight w:val="none"/>
          <w14:textFill>
            <w14:solidFill>
              <w14:schemeClr w14:val="tx1"/>
            </w14:solidFill>
          </w14:textFill>
        </w:rPr>
        <w:t>.2验收过程中产生纠纷的，由质量技术监督部门认定的检测机构检测,如为成交供应商原因造成的，由成交供应商承担检测费用；否则，由采购人承担。</w:t>
      </w:r>
    </w:p>
    <w:p w14:paraId="650F123B">
      <w:pPr>
        <w:adjustRightInd w:val="0"/>
        <w:snapToGrid w:val="0"/>
        <w:spacing w:line="360" w:lineRule="auto"/>
        <w:ind w:right="21" w:rightChars="10" w:firstLine="420" w:firstLineChars="200"/>
        <w:rPr>
          <w:rFonts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lang w:val="en-US" w:eastAsia="zh-CN"/>
          <w14:textFill>
            <w14:solidFill>
              <w14:schemeClr w14:val="tx1"/>
            </w14:solidFill>
          </w14:textFill>
        </w:rPr>
        <w:t>2</w:t>
      </w:r>
      <w:r>
        <w:rPr>
          <w:rFonts w:hint="eastAsia" w:ascii="宋体"/>
          <w:bCs/>
          <w:color w:val="000000" w:themeColor="text1"/>
          <w:szCs w:val="21"/>
          <w:highlight w:val="none"/>
          <w14:textFill>
            <w14:solidFill>
              <w14:schemeClr w14:val="tx1"/>
            </w14:solidFill>
          </w14:textFill>
        </w:rPr>
        <w:t>.3项目验收不合格，由成交供应商返工直至合格，有关返工、再行验收，以及给采购人造成的损失等费用由成交供应商承担。连续两次项目验收不合格或技术服务响应出现问题的，采购人可终止合同，另行按规定选择其他供应商采购。</w:t>
      </w:r>
    </w:p>
    <w:p w14:paraId="6CBF543D">
      <w:pPr>
        <w:rPr>
          <w:rFonts w:ascii="宋体" w:hAnsi="宋体"/>
          <w:b/>
          <w:color w:val="000000" w:themeColor="text1"/>
          <w:sz w:val="24"/>
          <w:highlight w:val="none"/>
          <w14:textFill>
            <w14:solidFill>
              <w14:schemeClr w14:val="tx1"/>
            </w14:solidFill>
          </w14:textFill>
        </w:rPr>
      </w:pPr>
      <w:bookmarkStart w:id="310" w:name="_Toc225336551"/>
      <w:bookmarkStart w:id="311" w:name="_Toc16723"/>
      <w:r>
        <w:rPr>
          <w:rFonts w:hint="eastAsia" w:ascii="宋体" w:hAnsi="宋体"/>
          <w:b/>
          <w:color w:val="000000" w:themeColor="text1"/>
          <w:sz w:val="24"/>
          <w:highlight w:val="none"/>
          <w:lang w:val="en-US" w:eastAsia="zh-CN"/>
          <w14:textFill>
            <w14:solidFill>
              <w14:schemeClr w14:val="tx1"/>
            </w14:solidFill>
          </w14:textFill>
        </w:rPr>
        <w:t>三</w:t>
      </w:r>
      <w:r>
        <w:rPr>
          <w:rFonts w:hint="eastAsia" w:ascii="宋体" w:hAnsi="宋体"/>
          <w:b/>
          <w:color w:val="000000" w:themeColor="text1"/>
          <w:sz w:val="24"/>
          <w:highlight w:val="none"/>
          <w14:textFill>
            <w14:solidFill>
              <w14:schemeClr w14:val="tx1"/>
            </w14:solidFill>
          </w14:textFill>
        </w:rPr>
        <w:t>、项目特别说明</w:t>
      </w:r>
      <w:bookmarkEnd w:id="310"/>
      <w:bookmarkEnd w:id="311"/>
    </w:p>
    <w:p w14:paraId="3F8B30FC">
      <w:pPr>
        <w:adjustRightInd w:val="0"/>
        <w:snapToGrid w:val="0"/>
        <w:spacing w:line="360" w:lineRule="auto"/>
        <w:ind w:right="21" w:rightChars="10" w:firstLine="422" w:firstLineChars="200"/>
        <w:rPr>
          <w:rFonts w:ascii="宋体"/>
          <w:b/>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1．实</w:t>
      </w:r>
      <w:r>
        <w:rPr>
          <w:rFonts w:hint="eastAsia" w:ascii="宋体"/>
          <w:b/>
          <w:color w:val="000000" w:themeColor="text1"/>
          <w:szCs w:val="21"/>
          <w:highlight w:val="none"/>
          <w14:textFill>
            <w14:solidFill>
              <w14:schemeClr w14:val="tx1"/>
            </w14:solidFill>
          </w14:textFill>
        </w:rPr>
        <w:t>施时间及地点</w:t>
      </w:r>
    </w:p>
    <w:p w14:paraId="1FB2CD90">
      <w:pPr>
        <w:adjustRightInd w:val="0"/>
        <w:snapToGrid w:val="0"/>
        <w:spacing w:line="360" w:lineRule="auto"/>
        <w:ind w:right="21" w:rightChars="10" w:firstLine="420" w:firstLineChars="200"/>
        <w:rPr>
          <w:rFonts w:hint="eastAsia"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1.1 工期总日历天数：120日历天 。</w:t>
      </w:r>
    </w:p>
    <w:p w14:paraId="6B5EF63D">
      <w:pPr>
        <w:adjustRightInd w:val="0"/>
        <w:snapToGrid w:val="0"/>
        <w:spacing w:line="360" w:lineRule="auto"/>
        <w:ind w:right="21" w:rightChars="10" w:firstLine="420" w:firstLineChars="200"/>
        <w:rPr>
          <w:rFonts w:hint="eastAsia"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1.2 实施地点：中南大学湘雅医院。</w:t>
      </w:r>
    </w:p>
    <w:p w14:paraId="6C71E1F9">
      <w:pPr>
        <w:adjustRightInd w:val="0"/>
        <w:snapToGrid w:val="0"/>
        <w:spacing w:line="360" w:lineRule="auto"/>
        <w:ind w:right="21" w:rightChars="10" w:firstLine="420" w:firstLineChars="200"/>
        <w:rPr>
          <w:rFonts w:hint="eastAsia"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2.结算方法</w:t>
      </w:r>
    </w:p>
    <w:p w14:paraId="1A0730AE">
      <w:pPr>
        <w:adjustRightInd w:val="0"/>
        <w:snapToGrid w:val="0"/>
        <w:spacing w:line="360" w:lineRule="auto"/>
        <w:ind w:right="21" w:rightChars="10" w:firstLine="420" w:firstLineChars="200"/>
        <w:rPr>
          <w:rFonts w:hint="eastAsia"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2.1 付款人：中南大学湘雅医院。</w:t>
      </w:r>
    </w:p>
    <w:p w14:paraId="55DD19BF">
      <w:pPr>
        <w:adjustRightInd w:val="0"/>
        <w:snapToGrid w:val="0"/>
        <w:spacing w:line="360" w:lineRule="auto"/>
        <w:ind w:right="21" w:rightChars="10" w:firstLine="420" w:firstLineChars="200"/>
        <w:rPr>
          <w:rFonts w:hint="eastAsia"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2.2 付款方式：无预付款，工程完工验收合格后乙方出据正式发票（自验真伪</w:t>
      </w:r>
      <w:r>
        <w:rPr>
          <w:rFonts w:hint="eastAsia" w:ascii="宋体"/>
          <w:bCs/>
          <w:color w:val="000000" w:themeColor="text1"/>
          <w:szCs w:val="21"/>
          <w:highlight w:val="none"/>
          <w:lang w:val="en-US" w:eastAsia="zh-CN"/>
          <w14:textFill>
            <w14:solidFill>
              <w14:schemeClr w14:val="tx1"/>
            </w14:solidFill>
          </w14:textFill>
        </w:rPr>
        <w:t>并随发票一并提供</w:t>
      </w:r>
      <w:r>
        <w:rPr>
          <w:rFonts w:hint="eastAsia" w:ascii="宋体"/>
          <w:bCs/>
          <w:color w:val="000000" w:themeColor="text1"/>
          <w:szCs w:val="21"/>
          <w:highlight w:val="none"/>
          <w14:textFill>
            <w14:solidFill>
              <w14:schemeClr w14:val="tx1"/>
            </w14:solidFill>
          </w14:textFill>
        </w:rPr>
        <w:t>），付至合同价的</w:t>
      </w:r>
      <w:r>
        <w:rPr>
          <w:rFonts w:hint="eastAsia" w:ascii="宋体"/>
          <w:bCs/>
          <w:color w:val="000000" w:themeColor="text1"/>
          <w:szCs w:val="21"/>
          <w:highlight w:val="none"/>
          <w:lang w:val="en-US" w:eastAsia="zh-CN"/>
          <w14:textFill>
            <w14:solidFill>
              <w14:schemeClr w14:val="tx1"/>
            </w14:solidFill>
          </w14:textFill>
        </w:rPr>
        <w:t>97</w:t>
      </w:r>
      <w:r>
        <w:rPr>
          <w:rFonts w:hint="eastAsia" w:ascii="宋体"/>
          <w:bCs/>
          <w:color w:val="000000" w:themeColor="text1"/>
          <w:szCs w:val="21"/>
          <w:highlight w:val="none"/>
          <w14:textFill>
            <w14:solidFill>
              <w14:schemeClr w14:val="tx1"/>
            </w14:solidFill>
          </w14:textFill>
        </w:rPr>
        <w:t>%，留3%保修金，自验收合格之日起二年后无质量问题无息支付。</w:t>
      </w:r>
    </w:p>
    <w:p w14:paraId="5176FCF4">
      <w:pPr>
        <w:adjustRightInd w:val="0"/>
        <w:snapToGrid w:val="0"/>
        <w:spacing w:line="360" w:lineRule="auto"/>
        <w:ind w:right="21" w:rightChars="10" w:firstLine="422" w:firstLineChars="200"/>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3.工程竣工结算</w:t>
      </w:r>
    </w:p>
    <w:p w14:paraId="0AACE201">
      <w:pPr>
        <w:adjustRightInd w:val="0"/>
        <w:snapToGrid w:val="0"/>
        <w:spacing w:line="360" w:lineRule="auto"/>
        <w:ind w:right="21" w:rightChars="10" w:firstLine="420" w:firstLineChars="200"/>
        <w:rPr>
          <w:rFonts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3.1竣工结算资料的约定（如有）：工程竣工验收后30天内提供完整的竣工资料及结算资料交甲方以供工程竣工决算（未提供备案及结算资料不办理结算）。</w:t>
      </w:r>
    </w:p>
    <w:p w14:paraId="77EC0A2D">
      <w:pPr>
        <w:adjustRightInd w:val="0"/>
        <w:snapToGrid w:val="0"/>
        <w:spacing w:line="360" w:lineRule="auto"/>
        <w:ind w:right="21" w:rightChars="10" w:firstLine="420" w:firstLineChars="200"/>
        <w:rPr>
          <w:color w:val="000000" w:themeColor="text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3.2工程结算资料应齐备且各方签章完整、实事求是，工程结算资料提供给采购人审核，最终结算金额以采购人审计部门审定为准。</w:t>
      </w:r>
    </w:p>
    <w:p w14:paraId="48025451">
      <w:pPr>
        <w:adjustRightInd w:val="0"/>
        <w:snapToGrid w:val="0"/>
        <w:spacing w:line="360" w:lineRule="auto"/>
        <w:ind w:right="21" w:rightChars="10" w:firstLine="422" w:firstLineChars="200"/>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4.争议的解决</w:t>
      </w:r>
    </w:p>
    <w:p w14:paraId="2D4C4C85">
      <w:pPr>
        <w:adjustRightInd w:val="0"/>
        <w:snapToGrid w:val="0"/>
        <w:spacing w:line="360" w:lineRule="auto"/>
        <w:ind w:right="21" w:rightChars="10" w:firstLine="420"/>
        <w:rPr>
          <w:rFonts w:ascii="宋体"/>
          <w:color w:val="000000" w:themeColor="text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本合同在履行过程中发生争议，双方应及时协商解决，协商不成时，按合同约定处理。</w:t>
      </w:r>
    </w:p>
    <w:p w14:paraId="14C69557">
      <w:pPr>
        <w:numPr>
          <w:ilvl w:val="0"/>
          <w:numId w:val="5"/>
        </w:numPr>
        <w:adjustRightInd w:val="0"/>
        <w:snapToGrid w:val="0"/>
        <w:spacing w:line="360" w:lineRule="auto"/>
        <w:ind w:right="21" w:rightChars="10" w:firstLine="422" w:firstLineChars="200"/>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其他未尽事宜在签订合同时另行约定。</w:t>
      </w:r>
    </w:p>
    <w:p w14:paraId="2707DA51">
      <w:pPr>
        <w:adjustRightInd w:val="0"/>
        <w:snapToGrid w:val="0"/>
        <w:spacing w:line="360" w:lineRule="auto"/>
        <w:ind w:right="21" w:rightChars="10" w:firstLine="422" w:firstLineChars="200"/>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注：本项目以上技术、服务、合同条款等，在磋商过程中均可能产生实质性变动。</w:t>
      </w:r>
    </w:p>
    <w:p w14:paraId="49D613CD">
      <w:pPr>
        <w:adjustRightInd w:val="0"/>
        <w:snapToGrid w:val="0"/>
        <w:spacing w:line="360" w:lineRule="auto"/>
        <w:ind w:right="21" w:rightChars="10" w:firstLine="422" w:firstLineChars="200"/>
        <w:rPr>
          <w:rFonts w:ascii="宋体" w:hAnsi="宋体" w:cs="宋体"/>
          <w:b/>
          <w:bCs/>
          <w:color w:val="000000" w:themeColor="text1"/>
          <w:highlight w:val="none"/>
          <w:lang w:bidi="ar"/>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对于上述项目要求，投标人应在投标文件中进行回应，做出承诺及说明。</w:t>
      </w:r>
    </w:p>
    <w:bookmarkEnd w:id="307"/>
    <w:p w14:paraId="4FF1F7A4">
      <w:pPr>
        <w:pStyle w:val="13"/>
        <w:rPr>
          <w:rFonts w:ascii="宋体" w:hAnsi="宋体"/>
          <w:color w:val="000000" w:themeColor="text1"/>
          <w:highlight w:val="none"/>
          <w:lang w:bidi="ar"/>
          <w14:textFill>
            <w14:solidFill>
              <w14:schemeClr w14:val="tx1"/>
            </w14:solidFill>
          </w14:textFill>
        </w:rPr>
      </w:pPr>
    </w:p>
    <w:p w14:paraId="489E85CD">
      <w:pPr>
        <w:adjustRightInd w:val="0"/>
        <w:snapToGrid w:val="0"/>
        <w:spacing w:line="460" w:lineRule="exact"/>
        <w:jc w:val="center"/>
        <w:rPr>
          <w:rFonts w:ascii="宋体" w:hAnsi="宋体" w:cs="仿宋"/>
          <w:bCs/>
          <w:color w:val="000000" w:themeColor="text1"/>
          <w:szCs w:val="21"/>
          <w:highlight w:val="none"/>
          <w14:textFill>
            <w14:solidFill>
              <w14:schemeClr w14:val="tx1"/>
            </w14:solidFill>
          </w14:textFill>
        </w:rPr>
      </w:pPr>
      <w:r>
        <w:rPr>
          <w:rFonts w:hint="eastAsia" w:ascii="宋体" w:hAnsi="宋体" w:cs="仿宋"/>
          <w:bCs/>
          <w:color w:val="000000" w:themeColor="text1"/>
          <w:szCs w:val="21"/>
          <w:highlight w:val="none"/>
          <w14:textFill>
            <w14:solidFill>
              <w14:schemeClr w14:val="tx1"/>
            </w14:solidFill>
          </w14:textFill>
        </w:rPr>
        <w:br w:type="page"/>
      </w:r>
    </w:p>
    <w:p w14:paraId="0609660E">
      <w:pPr>
        <w:pStyle w:val="45"/>
        <w:rPr>
          <w:rFonts w:ascii="宋体" w:hAnsi="宋体"/>
          <w:color w:val="000000" w:themeColor="text1"/>
          <w:highlight w:val="none"/>
          <w14:textFill>
            <w14:solidFill>
              <w14:schemeClr w14:val="tx1"/>
            </w14:solidFill>
          </w14:textFill>
        </w:rPr>
      </w:pPr>
      <w:r>
        <w:rPr>
          <w:rFonts w:hint="eastAsia" w:ascii="宋体" w:hAnsi="宋体" w:cs="仿宋"/>
          <w:bCs/>
          <w:color w:val="000000" w:themeColor="text1"/>
          <w:szCs w:val="21"/>
          <w:highlight w:val="none"/>
          <w14:textFill>
            <w14:solidFill>
              <w14:schemeClr w14:val="tx1"/>
            </w14:solidFill>
          </w14:textFill>
        </w:rPr>
        <w:t xml:space="preserve">第五章 </w:t>
      </w:r>
      <w:r>
        <w:rPr>
          <w:rFonts w:hint="eastAsia" w:ascii="宋体" w:hAnsi="宋体"/>
          <w:color w:val="000000" w:themeColor="text1"/>
          <w:highlight w:val="none"/>
          <w14:textFill>
            <w14:solidFill>
              <w14:schemeClr w14:val="tx1"/>
            </w14:solidFill>
          </w14:textFill>
        </w:rPr>
        <w:t>响应文件组成</w:t>
      </w:r>
    </w:p>
    <w:p w14:paraId="5072D7A4">
      <w:pPr>
        <w:adjustRightInd w:val="0"/>
        <w:snapToGrid w:val="0"/>
        <w:spacing w:line="460" w:lineRule="exact"/>
        <w:ind w:left="246" w:leftChars="117"/>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r>
    </w:p>
    <w:p w14:paraId="2B7923F7">
      <w:pPr>
        <w:pStyle w:val="4"/>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一、磋商响应声明</w:t>
      </w:r>
    </w:p>
    <w:p w14:paraId="0DCCC519">
      <w:pPr>
        <w:adjustRightInd w:val="0"/>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致</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(采购人或采购代理机构)：</w:t>
      </w:r>
    </w:p>
    <w:p w14:paraId="460D17CB">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我方已仔细研究了</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项目名称)的竞争性磋商文件（委托代理编号：</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）的全部内容，知悉参加竞争性磋商的风险，我方承诺接受磋商文件的全部条款且无任何异议。</w:t>
      </w:r>
    </w:p>
    <w:p w14:paraId="3CE56379">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一、我方同意在磋商文件中规定的提交首次响应文件截止时间起</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日内(响应文件有效期)遵守本响应文件中的承诺且在此期限期满之前均具有法律约束力。</w:t>
      </w:r>
    </w:p>
    <w:p w14:paraId="2E400944">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二、我方提交响应文件正本一份和副本一式</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份，并保证响应文件提供的数据和资料全部内容真实、合法、准确和完整，我们对此负责，并愿承担由此引起的法律责任。</w:t>
      </w:r>
    </w:p>
    <w:p w14:paraId="305F67AD">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三、我方愿意向贵方提供任何与本项采购有关的数据、情况和技术资料。若贵方需要，我方愿意提供我方作出的一切承诺的证明资料。</w:t>
      </w:r>
    </w:p>
    <w:p w14:paraId="27A3ECE5">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四、我方愿意按磋商文件规定和磋商小组要求重新提交响应文件和最后报价。</w:t>
      </w:r>
    </w:p>
    <w:p w14:paraId="1BC23C54">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五、我方承诺遵守《中华人民共和国政府采购法》的有关规定，保证在获得成交资格后，按照磋商文件确定的事项签订政府采购合同，履行双方所签订的合同，并承担合同规定的责任和义务。</w:t>
      </w:r>
    </w:p>
    <w:p w14:paraId="7A4EB089">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六、我方在此声明： </w:t>
      </w:r>
    </w:p>
    <w:p w14:paraId="1509C23B">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（一）我方与采购人或采购代理机构不存在隶属关系或者其他利害关系。</w:t>
      </w:r>
    </w:p>
    <w:p w14:paraId="000BD091">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（二）我方与参加本项目的其他供应商不存在直接控股、管理关系，或者与其他供应商法定代表人（或者负责人）为同一人。</w:t>
      </w:r>
    </w:p>
    <w:p w14:paraId="2D0C61A0">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（三）我方未为本项目前期准备提供设计或咨询服务。</w:t>
      </w:r>
    </w:p>
    <w:p w14:paraId="427F4C06">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（四）我方承诺（承诺期：成立三年以上的，为提交首次响应文件截止时间前三年内；成立不足三年的，为实际时间）：</w:t>
      </w:r>
    </w:p>
    <w:p w14:paraId="0A5DE88A">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1、我方依法缴纳了各项税费及各项社会保障资金，没有偷税、漏税及欠缴行为。</w:t>
      </w:r>
    </w:p>
    <w:p w14:paraId="4F1C7F11">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2、我方在经营活动中没有存在下列重大违法记录：</w:t>
      </w:r>
    </w:p>
    <w:p w14:paraId="1EABEF63">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(1)受到刑事处罚；</w:t>
      </w:r>
    </w:p>
    <w:p w14:paraId="639E3ADA">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(2)受到200万元以上的罚款、责令停产停业、在一至三年内禁止参加政府采购活动、暂扣或者吊销许可证、暂扣或者吊销执照的行政处罚。</w:t>
      </w:r>
    </w:p>
    <w:p w14:paraId="52F6FA9F">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附件1：</w:t>
      </w:r>
      <w:r>
        <w:rPr>
          <w:rFonts w:hint="eastAsia" w:ascii="宋体" w:hAnsi="宋体"/>
          <w:color w:val="000000" w:themeColor="text1"/>
          <w:szCs w:val="21"/>
          <w:highlight w:val="none"/>
          <w14:textFill>
            <w14:solidFill>
              <w14:schemeClr w14:val="tx1"/>
            </w14:solidFill>
          </w14:textFill>
        </w:rPr>
        <w:t>法定代表人身份证明</w:t>
      </w:r>
    </w:p>
    <w:p w14:paraId="6E6C4A60">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附件2</w:t>
      </w:r>
      <w:r>
        <w:rPr>
          <w:rFonts w:hint="eastAsia" w:ascii="宋体" w:hAnsi="宋体"/>
          <w:color w:val="000000" w:themeColor="text1"/>
          <w:szCs w:val="21"/>
          <w:highlight w:val="none"/>
          <w14:textFill>
            <w14:solidFill>
              <w14:schemeClr w14:val="tx1"/>
            </w14:solidFill>
          </w14:textFill>
        </w:rPr>
        <w:t>：法定代表人授权书</w:t>
      </w:r>
    </w:p>
    <w:p w14:paraId="500AAD5F">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附件3</w:t>
      </w:r>
      <w:r>
        <w:rPr>
          <w:rFonts w:hint="eastAsia" w:ascii="宋体" w:hAnsi="宋体"/>
          <w:color w:val="000000" w:themeColor="text1"/>
          <w:szCs w:val="21"/>
          <w:highlight w:val="none"/>
          <w14:textFill>
            <w14:solidFill>
              <w14:schemeClr w14:val="tx1"/>
            </w14:solidFill>
          </w14:textFill>
        </w:rPr>
        <w:t>：工程质量保修书</w:t>
      </w:r>
    </w:p>
    <w:p w14:paraId="7385FDA7">
      <w:pPr>
        <w:adjustRightInd w:val="0"/>
        <w:snapToGrid w:val="0"/>
        <w:spacing w:line="460" w:lineRule="exact"/>
        <w:ind w:right="23" w:rightChars="11"/>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附件4：不拖欠民工工资承诺书</w:t>
      </w:r>
    </w:p>
    <w:p w14:paraId="5A1E604D">
      <w:pPr>
        <w:pStyle w:val="26"/>
        <w:adjustRightInd w:val="0"/>
        <w:snapToGrid w:val="0"/>
        <w:spacing w:line="460" w:lineRule="exact"/>
        <w:ind w:right="23" w:rightChars="11"/>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供应商名称(盖单位章)：</w:t>
      </w:r>
      <w:r>
        <w:rPr>
          <w:rFonts w:hint="eastAsia" w:hAnsi="宋体"/>
          <w:color w:val="000000" w:themeColor="text1"/>
          <w:highlight w:val="none"/>
          <w:u w:val="single"/>
          <w14:textFill>
            <w14:solidFill>
              <w14:schemeClr w14:val="tx1"/>
            </w14:solidFill>
          </w14:textFill>
        </w:rPr>
        <w:t xml:space="preserve">                         </w:t>
      </w:r>
    </w:p>
    <w:p w14:paraId="5DAB4A9E">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 (签字)：</w:t>
      </w:r>
      <w:r>
        <w:rPr>
          <w:rFonts w:hint="eastAsia" w:ascii="宋体" w:hAnsi="宋体"/>
          <w:color w:val="000000" w:themeColor="text1"/>
          <w:szCs w:val="21"/>
          <w:highlight w:val="none"/>
          <w:u w:val="single"/>
          <w14:textFill>
            <w14:solidFill>
              <w14:schemeClr w14:val="tx1"/>
            </w14:solidFill>
          </w14:textFill>
        </w:rPr>
        <w:t xml:space="preserve">            </w:t>
      </w:r>
    </w:p>
    <w:p w14:paraId="4D0E0E4C">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6DDC11B1">
      <w:pPr>
        <w:adjustRightInd w:val="0"/>
        <w:snapToGrid w:val="0"/>
        <w:spacing w:line="460" w:lineRule="exact"/>
        <w:ind w:right="23" w:rightChars="11"/>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br w:type="page"/>
      </w:r>
      <w:r>
        <w:rPr>
          <w:rFonts w:hint="eastAsia" w:ascii="宋体" w:hAnsi="宋体"/>
          <w:bCs/>
          <w:color w:val="000000" w:themeColor="text1"/>
          <w:sz w:val="24"/>
          <w:highlight w:val="none"/>
          <w14:textFill>
            <w14:solidFill>
              <w14:schemeClr w14:val="tx1"/>
            </w14:solidFill>
          </w14:textFill>
        </w:rPr>
        <w:t>附件1</w:t>
      </w:r>
    </w:p>
    <w:p w14:paraId="31A3A719">
      <w:pPr>
        <w:adjustRightInd w:val="0"/>
        <w:snapToGrid w:val="0"/>
        <w:spacing w:line="460" w:lineRule="exact"/>
        <w:ind w:right="23" w:rightChars="11"/>
        <w:jc w:val="center"/>
        <w:outlineLvl w:val="2"/>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法定代表人身份证明</w:t>
      </w:r>
    </w:p>
    <w:p w14:paraId="1DB2F2DE">
      <w:pPr>
        <w:autoSpaceDE w:val="0"/>
        <w:autoSpaceDN w:val="0"/>
        <w:adjustRightInd w:val="0"/>
        <w:snapToGrid w:val="0"/>
        <w:spacing w:line="460" w:lineRule="exact"/>
        <w:ind w:right="23" w:rightChars="11"/>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w:t>
      </w:r>
      <w:r>
        <w:rPr>
          <w:rFonts w:hint="eastAsia" w:ascii="宋体" w:hAnsi="宋体" w:cs="宋体"/>
          <w:color w:val="000000" w:themeColor="text1"/>
          <w:kern w:val="0"/>
          <w:szCs w:val="21"/>
          <w:highlight w:val="none"/>
          <w14:textFill>
            <w14:solidFill>
              <w14:schemeClr w14:val="tx1"/>
            </w14:solidFill>
          </w14:textFill>
        </w:rPr>
        <w:t>名称：</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w:t>
      </w:r>
    </w:p>
    <w:p w14:paraId="117D04D4">
      <w:pPr>
        <w:autoSpaceDE w:val="0"/>
        <w:autoSpaceDN w:val="0"/>
        <w:adjustRightInd w:val="0"/>
        <w:snapToGrid w:val="0"/>
        <w:spacing w:line="460" w:lineRule="exact"/>
        <w:ind w:right="23" w:rightChars="11"/>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注册号：</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1A767ACF">
      <w:pPr>
        <w:autoSpaceDE w:val="0"/>
        <w:autoSpaceDN w:val="0"/>
        <w:adjustRightInd w:val="0"/>
        <w:snapToGrid w:val="0"/>
        <w:spacing w:line="460" w:lineRule="exact"/>
        <w:ind w:right="23" w:rightChars="11"/>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注册地址：</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1E64915F">
      <w:pPr>
        <w:autoSpaceDE w:val="0"/>
        <w:autoSpaceDN w:val="0"/>
        <w:adjustRightInd w:val="0"/>
        <w:snapToGrid w:val="0"/>
        <w:spacing w:line="460" w:lineRule="exact"/>
        <w:ind w:right="23" w:rightChars="11"/>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成立时间： </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年 </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月</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日</w:t>
      </w:r>
    </w:p>
    <w:p w14:paraId="387563E3">
      <w:pPr>
        <w:autoSpaceDE w:val="0"/>
        <w:autoSpaceDN w:val="0"/>
        <w:adjustRightInd w:val="0"/>
        <w:snapToGrid w:val="0"/>
        <w:spacing w:line="460" w:lineRule="exact"/>
        <w:ind w:right="23" w:rightChars="11"/>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经营期限：</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3548AE55">
      <w:pPr>
        <w:autoSpaceDE w:val="0"/>
        <w:autoSpaceDN w:val="0"/>
        <w:adjustRightInd w:val="0"/>
        <w:snapToGrid w:val="0"/>
        <w:spacing w:line="460" w:lineRule="exact"/>
        <w:ind w:right="23" w:rightChars="11"/>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经营范围：主营：</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；兼营：</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427A0AD8">
      <w:pPr>
        <w:autoSpaceDE w:val="0"/>
        <w:autoSpaceDN w:val="0"/>
        <w:adjustRightInd w:val="0"/>
        <w:snapToGrid w:val="0"/>
        <w:spacing w:line="460" w:lineRule="exact"/>
        <w:ind w:right="23" w:rightChars="11"/>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姓名：</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性别：</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年龄：</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系</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供应商</w:t>
      </w:r>
      <w:r>
        <w:rPr>
          <w:rFonts w:hint="eastAsia" w:ascii="宋体" w:hAnsi="宋体" w:cs="宋体"/>
          <w:color w:val="000000" w:themeColor="text1"/>
          <w:kern w:val="0"/>
          <w:szCs w:val="21"/>
          <w:highlight w:val="none"/>
          <w14:textFill>
            <w14:solidFill>
              <w14:schemeClr w14:val="tx1"/>
            </w14:solidFill>
          </w14:textFill>
        </w:rPr>
        <w:t>名称）的法定代表人。</w:t>
      </w:r>
    </w:p>
    <w:p w14:paraId="4D032EED">
      <w:pPr>
        <w:autoSpaceDE w:val="0"/>
        <w:autoSpaceDN w:val="0"/>
        <w:adjustRightInd w:val="0"/>
        <w:snapToGrid w:val="0"/>
        <w:spacing w:line="460" w:lineRule="exact"/>
        <w:ind w:right="23" w:rightChars="11"/>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特此证明。</w:t>
      </w:r>
    </w:p>
    <w:p w14:paraId="3F283C44">
      <w:pPr>
        <w:autoSpaceDE w:val="0"/>
        <w:autoSpaceDN w:val="0"/>
        <w:adjustRightInd w:val="0"/>
        <w:snapToGrid w:val="0"/>
        <w:spacing w:line="460" w:lineRule="exact"/>
        <w:ind w:right="23" w:rightChars="11"/>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附：法定代表人身份证复印件</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0"/>
      </w:tblGrid>
      <w:tr w14:paraId="0228C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trPr>
        <w:tc>
          <w:tcPr>
            <w:tcW w:w="9220" w:type="dxa"/>
          </w:tcPr>
          <w:p w14:paraId="691FEC07">
            <w:pPr>
              <w:keepNext w:val="0"/>
              <w:keepLines w:val="0"/>
              <w:suppressLineNumbers w:val="0"/>
              <w:snapToGrid w:val="0"/>
              <w:spacing w:before="0" w:beforeAutospacing="0" w:after="0" w:afterAutospacing="0" w:line="460" w:lineRule="exact"/>
              <w:ind w:left="0" w:right="23" w:rightChars="11"/>
              <w:rPr>
                <w:rFonts w:hint="default" w:ascii="宋体" w:hAnsi="宋体"/>
                <w:color w:val="000000" w:themeColor="text1"/>
                <w:szCs w:val="21"/>
                <w:highlight w:val="none"/>
                <w14:textFill>
                  <w14:solidFill>
                    <w14:schemeClr w14:val="tx1"/>
                  </w14:solidFill>
                </w14:textFill>
              </w:rPr>
            </w:pPr>
          </w:p>
        </w:tc>
      </w:tr>
    </w:tbl>
    <w:p w14:paraId="3777286A">
      <w:pPr>
        <w:snapToGrid w:val="0"/>
        <w:spacing w:line="460" w:lineRule="exact"/>
        <w:ind w:right="23" w:rightChars="11"/>
        <w:rPr>
          <w:rFonts w:ascii="宋体" w:hAnsi="宋体"/>
          <w:color w:val="000000" w:themeColor="text1"/>
          <w:szCs w:val="21"/>
          <w:highlight w:val="none"/>
          <w14:textFill>
            <w14:solidFill>
              <w14:schemeClr w14:val="tx1"/>
            </w14:solidFill>
          </w14:textFill>
        </w:rPr>
      </w:pPr>
    </w:p>
    <w:p w14:paraId="480DFBCB">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p>
    <w:p w14:paraId="5C3A8963">
      <w:pPr>
        <w:adjustRightInd w:val="0"/>
        <w:snapToGrid w:val="0"/>
        <w:spacing w:line="460" w:lineRule="exact"/>
        <w:ind w:right="23" w:rightChars="11"/>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供应商名称（盖单位章）：</w:t>
      </w:r>
      <w:r>
        <w:rPr>
          <w:rFonts w:hint="eastAsia" w:ascii="宋体" w:hAnsi="宋体"/>
          <w:color w:val="000000" w:themeColor="text1"/>
          <w:szCs w:val="21"/>
          <w:highlight w:val="none"/>
          <w:u w:val="single"/>
          <w14:textFill>
            <w14:solidFill>
              <w14:schemeClr w14:val="tx1"/>
            </w14:solidFill>
          </w14:textFill>
        </w:rPr>
        <w:t xml:space="preserve">                     </w:t>
      </w:r>
    </w:p>
    <w:p w14:paraId="4306612F">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      </w:t>
      </w:r>
    </w:p>
    <w:p w14:paraId="41D51EA6">
      <w:pPr>
        <w:adjustRightInd w:val="0"/>
        <w:snapToGrid w:val="0"/>
        <w:spacing w:line="460" w:lineRule="exact"/>
        <w:ind w:right="23" w:rightChars="11"/>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注：此页请单独打印一份用于开标时身份验证。</w:t>
      </w:r>
    </w:p>
    <w:p w14:paraId="6404714F">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p>
    <w:p w14:paraId="5192D3C5">
      <w:pPr>
        <w:adjustRightInd w:val="0"/>
        <w:snapToGrid w:val="0"/>
        <w:spacing w:line="460" w:lineRule="exact"/>
        <w:ind w:right="23" w:rightChars="11"/>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br w:type="page"/>
      </w:r>
      <w:r>
        <w:rPr>
          <w:rFonts w:hint="eastAsia" w:ascii="宋体" w:hAnsi="宋体"/>
          <w:bCs/>
          <w:color w:val="000000" w:themeColor="text1"/>
          <w:sz w:val="24"/>
          <w:highlight w:val="none"/>
          <w14:textFill>
            <w14:solidFill>
              <w14:schemeClr w14:val="tx1"/>
            </w14:solidFill>
          </w14:textFill>
        </w:rPr>
        <w:t>附件2</w:t>
      </w:r>
    </w:p>
    <w:p w14:paraId="5B86328D">
      <w:pPr>
        <w:adjustRightInd w:val="0"/>
        <w:snapToGrid w:val="0"/>
        <w:spacing w:line="460" w:lineRule="exact"/>
        <w:ind w:right="23" w:rightChars="11"/>
        <w:jc w:val="center"/>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法定代表人授权书</w:t>
      </w:r>
    </w:p>
    <w:p w14:paraId="0CBD351E">
      <w:pPr>
        <w:adjustRightInd w:val="0"/>
        <w:snapToGrid w:val="0"/>
        <w:spacing w:line="460" w:lineRule="exact"/>
        <w:ind w:right="23" w:rightChars="11"/>
        <w:rPr>
          <w:rFonts w:ascii="宋体" w:hAnsi="宋体"/>
          <w:b/>
          <w:color w:val="000000" w:themeColor="text1"/>
          <w:sz w:val="28"/>
          <w:szCs w:val="28"/>
          <w:highlight w:val="none"/>
          <w14:textFill>
            <w14:solidFill>
              <w14:schemeClr w14:val="tx1"/>
            </w14:solidFill>
          </w14:textFill>
        </w:rPr>
      </w:pPr>
    </w:p>
    <w:p w14:paraId="72710BE7">
      <w:pPr>
        <w:autoSpaceDE w:val="0"/>
        <w:autoSpaceDN w:val="0"/>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本人</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（姓名、职务）系</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供应商</w:t>
      </w:r>
      <w:r>
        <w:rPr>
          <w:rFonts w:hint="eastAsia" w:ascii="宋体" w:hAnsi="宋体" w:cs="宋体"/>
          <w:color w:val="000000" w:themeColor="text1"/>
          <w:kern w:val="0"/>
          <w:szCs w:val="21"/>
          <w:highlight w:val="none"/>
          <w14:textFill>
            <w14:solidFill>
              <w14:schemeClr w14:val="tx1"/>
            </w14:solidFill>
          </w14:textFill>
        </w:rPr>
        <w:t>名称）的法定代表人，现授权</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（姓名、职务）为我方代理人。代理人根据授权，以我方名义：(1)签署、澄清、补正、修改、撤回、提交</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（项目名称、采购代理机构编号）响应文件；(2)签署并重新提交响应文件及最后报价；(3)签订合同和处理有关事宜，其法律后果由我方承担；（4）询问、质疑、投诉等相关事项，其法律后果由我方承担。</w:t>
      </w:r>
    </w:p>
    <w:p w14:paraId="73509061">
      <w:pPr>
        <w:autoSpaceDE w:val="0"/>
        <w:autoSpaceDN w:val="0"/>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p>
    <w:p w14:paraId="64F2A825">
      <w:pPr>
        <w:autoSpaceDE w:val="0"/>
        <w:autoSpaceDN w:val="0"/>
        <w:adjustRightInd w:val="0"/>
        <w:snapToGrid w:val="0"/>
        <w:spacing w:line="46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委托期限：</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w:t>
      </w:r>
    </w:p>
    <w:p w14:paraId="0384F2EA">
      <w:pPr>
        <w:spacing w:line="460" w:lineRule="exact"/>
        <w:ind w:firstLine="435"/>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代理人无转委托权。</w:t>
      </w:r>
    </w:p>
    <w:p w14:paraId="376B0CEC">
      <w:pPr>
        <w:spacing w:line="460" w:lineRule="exact"/>
        <w:ind w:firstLine="43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本授权书于</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日签字生效，特此声明。</w:t>
      </w:r>
    </w:p>
    <w:p w14:paraId="68848B9B">
      <w:pPr>
        <w:adjustRightInd w:val="0"/>
        <w:snapToGrid w:val="0"/>
        <w:spacing w:line="4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附：委托代理人身份证复印件及法定代表人身份证明(附件1，原件)</w:t>
      </w:r>
    </w:p>
    <w:tbl>
      <w:tblPr>
        <w:tblStyle w:val="47"/>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0"/>
      </w:tblGrid>
      <w:tr w14:paraId="48EE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5" w:hRule="atLeast"/>
        </w:trPr>
        <w:tc>
          <w:tcPr>
            <w:tcW w:w="9660" w:type="dxa"/>
          </w:tcPr>
          <w:p w14:paraId="26C3C0E4">
            <w:pPr>
              <w:keepNext w:val="0"/>
              <w:keepLines w:val="0"/>
              <w:suppressLineNumbers w:val="0"/>
              <w:snapToGrid w:val="0"/>
              <w:spacing w:before="0" w:beforeAutospacing="0" w:after="0" w:afterAutospacing="0" w:line="460" w:lineRule="exact"/>
              <w:ind w:left="0" w:right="23" w:rightChars="11"/>
              <w:rPr>
                <w:rFonts w:hint="default" w:ascii="宋体" w:hAnsi="宋体"/>
                <w:color w:val="000000" w:themeColor="text1"/>
                <w:szCs w:val="21"/>
                <w:highlight w:val="none"/>
                <w14:textFill>
                  <w14:solidFill>
                    <w14:schemeClr w14:val="tx1"/>
                  </w14:solidFill>
                </w14:textFill>
              </w:rPr>
            </w:pPr>
          </w:p>
        </w:tc>
      </w:tr>
    </w:tbl>
    <w:p w14:paraId="75F63EEF">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p>
    <w:p w14:paraId="601520A3">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法定代表人（签字）：</w:t>
      </w:r>
      <w:r>
        <w:rPr>
          <w:rFonts w:hint="eastAsia" w:ascii="宋体" w:hAnsi="宋体"/>
          <w:color w:val="000000" w:themeColor="text1"/>
          <w:szCs w:val="21"/>
          <w:highlight w:val="none"/>
          <w:u w:val="single"/>
          <w14:textFill>
            <w14:solidFill>
              <w14:schemeClr w14:val="tx1"/>
            </w14:solidFill>
          </w14:textFill>
        </w:rPr>
        <w:t xml:space="preserve">                     </w:t>
      </w:r>
    </w:p>
    <w:p w14:paraId="13818A66">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委托代理人（签字）：</w:t>
      </w:r>
      <w:r>
        <w:rPr>
          <w:rFonts w:hint="eastAsia" w:ascii="宋体" w:hAnsi="宋体"/>
          <w:color w:val="000000" w:themeColor="text1"/>
          <w:szCs w:val="21"/>
          <w:highlight w:val="none"/>
          <w:u w:val="single"/>
          <w14:textFill>
            <w14:solidFill>
              <w14:schemeClr w14:val="tx1"/>
            </w14:solidFill>
          </w14:textFill>
        </w:rPr>
        <w:t xml:space="preserve">                     </w:t>
      </w:r>
    </w:p>
    <w:p w14:paraId="08B6C816">
      <w:pPr>
        <w:adjustRightInd w:val="0"/>
        <w:snapToGrid w:val="0"/>
        <w:spacing w:line="460" w:lineRule="exact"/>
        <w:ind w:right="23" w:rightChars="11"/>
        <w:rPr>
          <w:rFonts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03ED9AB6">
      <w:pPr>
        <w:adjustRightInd w:val="0"/>
        <w:snapToGrid w:val="0"/>
        <w:spacing w:line="460" w:lineRule="exact"/>
        <w:ind w:right="420"/>
        <w:rPr>
          <w:rFonts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br w:type="page"/>
      </w:r>
      <w:r>
        <w:rPr>
          <w:rFonts w:hint="eastAsia" w:ascii="宋体" w:hAnsi="宋体"/>
          <w:bCs/>
          <w:color w:val="000000" w:themeColor="text1"/>
          <w:sz w:val="24"/>
          <w:highlight w:val="none"/>
          <w14:textFill>
            <w14:solidFill>
              <w14:schemeClr w14:val="tx1"/>
            </w14:solidFill>
          </w14:textFill>
        </w:rPr>
        <w:t>附件3</w:t>
      </w:r>
    </w:p>
    <w:p w14:paraId="3F445DC9">
      <w:pPr>
        <w:adjustRightInd w:val="0"/>
        <w:snapToGrid w:val="0"/>
        <w:spacing w:line="460" w:lineRule="exact"/>
        <w:ind w:right="23" w:rightChars="11"/>
        <w:jc w:val="center"/>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工程质量保修书</w:t>
      </w:r>
    </w:p>
    <w:p w14:paraId="1414734D">
      <w:pPr>
        <w:adjustRightInd w:val="0"/>
        <w:snapToGrid w:val="0"/>
        <w:spacing w:line="460" w:lineRule="exact"/>
        <w:ind w:right="23" w:rightChars="11"/>
        <w:rPr>
          <w:rFonts w:ascii="宋体" w:hAnsi="宋体"/>
          <w:color w:val="000000" w:themeColor="text1"/>
          <w:sz w:val="24"/>
          <w:szCs w:val="18"/>
          <w:highlight w:val="none"/>
          <w14:textFill>
            <w14:solidFill>
              <w14:schemeClr w14:val="tx1"/>
            </w14:solidFill>
          </w14:textFill>
        </w:rPr>
      </w:pPr>
    </w:p>
    <w:p w14:paraId="11BD46AB">
      <w:pPr>
        <w:adjustRightInd w:val="0"/>
        <w:snapToGrid w:val="0"/>
        <w:spacing w:line="460" w:lineRule="exact"/>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采购人（</w:t>
      </w:r>
      <w:r>
        <w:rPr>
          <w:rFonts w:ascii="宋体" w:hAnsi="宋体"/>
          <w:color w:val="000000" w:themeColor="text1"/>
          <w:szCs w:val="21"/>
          <w:highlight w:val="none"/>
          <w14:textFill>
            <w14:solidFill>
              <w14:schemeClr w14:val="tx1"/>
            </w14:solidFill>
          </w14:textFill>
        </w:rPr>
        <w:t>发包人</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（甲方）</w:t>
      </w:r>
    </w:p>
    <w:p w14:paraId="6EAC3FD6">
      <w:pPr>
        <w:adjustRightInd w:val="0"/>
        <w:snapToGrid w:val="0"/>
        <w:spacing w:line="460" w:lineRule="exact"/>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w:t>
      </w:r>
      <w:r>
        <w:rPr>
          <w:rFonts w:ascii="宋体" w:hAnsi="宋体"/>
          <w:color w:val="000000" w:themeColor="text1"/>
          <w:szCs w:val="21"/>
          <w:highlight w:val="none"/>
          <w14:textFill>
            <w14:solidFill>
              <w14:schemeClr w14:val="tx1"/>
            </w14:solidFill>
          </w14:textFill>
        </w:rPr>
        <w:t>承包人</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（乙方）</w:t>
      </w:r>
    </w:p>
    <w:p w14:paraId="65349213">
      <w:pPr>
        <w:adjustRightInd w:val="0"/>
        <w:snapToGrid w:val="0"/>
        <w:spacing w:line="460" w:lineRule="exact"/>
        <w:ind w:right="23" w:rightChars="11" w:firstLine="480"/>
        <w:rPr>
          <w:rFonts w:ascii="宋体" w:hAnsi="宋体"/>
          <w:color w:val="000000" w:themeColor="text1"/>
          <w:szCs w:val="21"/>
          <w:highlight w:val="none"/>
          <w:u w:val="single"/>
          <w14:textFill>
            <w14:solidFill>
              <w14:schemeClr w14:val="tx1"/>
            </w14:solidFill>
          </w14:textFill>
        </w:rPr>
      </w:pPr>
    </w:p>
    <w:p w14:paraId="70868DF7">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为保证</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工程名称）在合理使用期限内正常使用，发包人和承包人根据《中华人民共和国建筑法》、《建设工程质量管理条例》和《房屋建筑工程质量保修办法》，经协商一致，签订工程质量保修书，承包人在质量保修期内应按照有关规定及双方约定承担工程质量保修责任。</w:t>
      </w:r>
    </w:p>
    <w:p w14:paraId="24220E3F">
      <w:pPr>
        <w:adjustRightInd w:val="0"/>
        <w:snapToGrid w:val="0"/>
        <w:spacing w:line="460" w:lineRule="exact"/>
        <w:ind w:right="23" w:rightChars="11"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1 质量保修范围</w:t>
      </w:r>
    </w:p>
    <w:p w14:paraId="4FF0AD17">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范围包括地基基础工程、主体结构工程、屋面防水工程、有防水要求的卫生间、房间、外墙面的防渗漏工程、电气管线工程、给排水管道工程、设备安装工程、供热、供冷系统工程、装饰装修工程以及双方约定其他项目。具体质量保修范围，双方约定如下：</w:t>
      </w:r>
    </w:p>
    <w:p w14:paraId="34855004">
      <w:pPr>
        <w:adjustRightInd w:val="0"/>
        <w:snapToGrid w:val="0"/>
        <w:spacing w:line="460" w:lineRule="exact"/>
        <w:ind w:right="23" w:rightChars="11" w:firstLine="420" w:firstLineChars="200"/>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u w:val="single"/>
          <w14:textFill>
            <w14:solidFill>
              <w14:schemeClr w14:val="tx1"/>
            </w14:solidFill>
          </w14:textFill>
        </w:rPr>
        <w:t xml:space="preserve">                                                                            </w:t>
      </w:r>
    </w:p>
    <w:p w14:paraId="24CF8550">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u w:val="single"/>
          <w14:textFill>
            <w14:solidFill>
              <w14:schemeClr w14:val="tx1"/>
            </w14:solidFill>
          </w14:textFill>
        </w:rPr>
        <w:t xml:space="preserve">                                                                            </w:t>
      </w:r>
    </w:p>
    <w:p w14:paraId="0C0E3317">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u w:val="single"/>
          <w14:textFill>
            <w14:solidFill>
              <w14:schemeClr w14:val="tx1"/>
            </w14:solidFill>
          </w14:textFill>
        </w:rPr>
        <w:t xml:space="preserve">                                                                            </w:t>
      </w:r>
    </w:p>
    <w:p w14:paraId="301FBECA">
      <w:pPr>
        <w:adjustRightInd w:val="0"/>
        <w:snapToGrid w:val="0"/>
        <w:spacing w:line="460" w:lineRule="exact"/>
        <w:ind w:right="23" w:rightChars="11"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2 质量保修期</w:t>
      </w:r>
    </w:p>
    <w:p w14:paraId="03067F22">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2.1 质量保修期从工程实际竣工验收合格之日起计算。单项竣工验收的工程，按单项工程分别计算质量保修期。</w:t>
      </w:r>
    </w:p>
    <w:p w14:paraId="6A752C85">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2.2 双方根据《建设工程质量管理条例》及有关规定，约定本工程质量保修期如下：</w:t>
      </w:r>
    </w:p>
    <w:p w14:paraId="25B9B9CF">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（1）地基基础工程、主体结构工程为设计文件规定的合理使用年限；</w:t>
      </w:r>
    </w:p>
    <w:p w14:paraId="7F87B411">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（2）屋面防水工程、有防水要求的卫生间、房间和外墙面的防渗漏工程为：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p>
    <w:p w14:paraId="7C05BD61">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（3）电气管线工程、</w:t>
      </w:r>
      <w:r>
        <w:rPr>
          <w:rFonts w:hint="eastAsia" w:ascii="宋体" w:hAnsi="宋体"/>
          <w:color w:val="000000" w:themeColor="text1"/>
          <w:szCs w:val="21"/>
          <w:highlight w:val="none"/>
          <w14:textFill>
            <w14:solidFill>
              <w14:schemeClr w14:val="tx1"/>
            </w14:solidFill>
          </w14:textFill>
        </w:rPr>
        <w:t>给排水管道</w:t>
      </w:r>
      <w:r>
        <w:rPr>
          <w:rFonts w:ascii="宋体" w:hAnsi="宋体"/>
          <w:color w:val="000000" w:themeColor="text1"/>
          <w:szCs w:val="21"/>
          <w:highlight w:val="none"/>
          <w14:textFill>
            <w14:solidFill>
              <w14:schemeClr w14:val="tx1"/>
            </w14:solidFill>
          </w14:textFill>
        </w:rPr>
        <w:t>、设备安装工程为：</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p>
    <w:p w14:paraId="4862ED0B">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（4）供热、供冷系统工程为：</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个采暖期、供冷期；</w:t>
      </w:r>
    </w:p>
    <w:p w14:paraId="01DFF37B">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（5）装饰装修工程为</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p>
    <w:p w14:paraId="23A4F820">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（6）其他项目</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p>
    <w:p w14:paraId="6314E599">
      <w:pPr>
        <w:adjustRightInd w:val="0"/>
        <w:snapToGrid w:val="0"/>
        <w:spacing w:line="460" w:lineRule="exact"/>
        <w:ind w:right="23" w:rightChars="11"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3 质量保修责任</w:t>
      </w:r>
    </w:p>
    <w:p w14:paraId="2B90CAC0">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3.1 属于保修范围的项目，承包人应在接到通知后的7天内派人保修，承包人不在约定期限内派人保修，发包人可自行或指派第三方保修。</w:t>
      </w:r>
    </w:p>
    <w:p w14:paraId="53BE4E69">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3.2 发生紧急抢修事故的，承包人在接到通知后，应立即到达事故现场抢修。</w:t>
      </w:r>
    </w:p>
    <w:p w14:paraId="6EB7E045">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3.3 在国家规定的工程合理使用期限内，承包人应确保地基基础工程和主体结构的安全和质量。凡出现</w:t>
      </w:r>
      <w:r>
        <w:rPr>
          <w:rFonts w:hint="eastAsia" w:ascii="宋体" w:hAnsi="宋体"/>
          <w:color w:val="000000" w:themeColor="text1"/>
          <w:szCs w:val="21"/>
          <w:highlight w:val="none"/>
          <w14:textFill>
            <w14:solidFill>
              <w14:schemeClr w14:val="tx1"/>
            </w14:solidFill>
          </w14:textFill>
        </w:rPr>
        <w:t>其</w:t>
      </w:r>
      <w:r>
        <w:rPr>
          <w:rFonts w:ascii="宋体" w:hAnsi="宋体"/>
          <w:color w:val="000000" w:themeColor="text1"/>
          <w:szCs w:val="21"/>
          <w:highlight w:val="none"/>
          <w14:textFill>
            <w14:solidFill>
              <w14:schemeClr w14:val="tx1"/>
            </w14:solidFill>
          </w14:textFill>
        </w:rPr>
        <w:t>质量问题，应立即报告当地建设行政主管部门，由设计单位提出保修方案，承包人应立即实施保修。</w:t>
      </w:r>
    </w:p>
    <w:p w14:paraId="5754AFCD">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3.4 质量保修完成后，由发包人组织验收。</w:t>
      </w:r>
    </w:p>
    <w:p w14:paraId="5646B334">
      <w:pPr>
        <w:adjustRightInd w:val="0"/>
        <w:snapToGrid w:val="0"/>
        <w:spacing w:line="460" w:lineRule="exact"/>
        <w:ind w:right="23" w:rightChars="11"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4 质量保修费用</w:t>
      </w:r>
    </w:p>
    <w:p w14:paraId="64456E5C">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质量保修费用及相关的损害赔偿费，由造成质量缺陷的责任方承担。</w:t>
      </w:r>
    </w:p>
    <w:p w14:paraId="2764428E">
      <w:pPr>
        <w:adjustRightInd w:val="0"/>
        <w:snapToGrid w:val="0"/>
        <w:spacing w:line="460" w:lineRule="exact"/>
        <w:ind w:right="23" w:rightChars="11"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5 质量保证金</w:t>
      </w:r>
    </w:p>
    <w:p w14:paraId="33C25944">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质量保证金的使用、约定、支付、返还与本合同的质量保证金赋予的约定一致。</w:t>
      </w:r>
    </w:p>
    <w:p w14:paraId="3C77B037">
      <w:pPr>
        <w:adjustRightInd w:val="0"/>
        <w:snapToGrid w:val="0"/>
        <w:spacing w:line="460" w:lineRule="exact"/>
        <w:ind w:right="23" w:rightChars="11"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6 其他</w:t>
      </w:r>
    </w:p>
    <w:p w14:paraId="12EFE531">
      <w:pPr>
        <w:adjustRightInd w:val="0"/>
        <w:snapToGrid w:val="0"/>
        <w:spacing w:line="460" w:lineRule="exact"/>
        <w:ind w:right="23" w:rightChars="11" w:firstLine="420" w:firstLineChars="200"/>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6.1 双方约定的其它工程质量保修事项：</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p>
    <w:p w14:paraId="65FD2E73">
      <w:pPr>
        <w:adjustRightInd w:val="0"/>
        <w:snapToGrid w:val="0"/>
        <w:spacing w:line="460" w:lineRule="exact"/>
        <w:ind w:right="23" w:rightChars="11"/>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p>
    <w:p w14:paraId="75FECF02">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6.2 本工程质量保修书，由发包人承包人在工程竣工验收前签署，作为合同附件，其有效期限至保修期满。</w:t>
      </w:r>
    </w:p>
    <w:p w14:paraId="5FB2DAE7">
      <w:pPr>
        <w:adjustRightInd w:val="0"/>
        <w:snapToGrid w:val="0"/>
        <w:spacing w:line="460" w:lineRule="exact"/>
        <w:ind w:right="23" w:rightChars="11" w:firstLine="480"/>
        <w:rPr>
          <w:rFonts w:ascii="宋体" w:hAnsi="宋体"/>
          <w:color w:val="000000" w:themeColor="text1"/>
          <w:szCs w:val="21"/>
          <w:highlight w:val="none"/>
          <w14:textFill>
            <w14:solidFill>
              <w14:schemeClr w14:val="tx1"/>
            </w14:solidFill>
          </w14:textFill>
        </w:rPr>
      </w:pPr>
    </w:p>
    <w:p w14:paraId="0BDBB481">
      <w:pPr>
        <w:adjustRightInd w:val="0"/>
        <w:snapToGrid w:val="0"/>
        <w:spacing w:line="460" w:lineRule="exact"/>
        <w:ind w:right="23" w:rightChars="11" w:firstLine="480"/>
        <w:rPr>
          <w:rFonts w:ascii="宋体" w:hAnsi="宋体"/>
          <w:color w:val="000000" w:themeColor="text1"/>
          <w:szCs w:val="21"/>
          <w:highlight w:val="none"/>
          <w14:textFill>
            <w14:solidFill>
              <w14:schemeClr w14:val="tx1"/>
            </w14:solidFill>
          </w14:textFill>
        </w:rPr>
      </w:pPr>
    </w:p>
    <w:p w14:paraId="3CC3ED4A">
      <w:pPr>
        <w:adjustRightInd w:val="0"/>
        <w:snapToGrid w:val="0"/>
        <w:spacing w:line="460" w:lineRule="exact"/>
        <w:ind w:right="23" w:rightChars="11" w:firstLine="420" w:firstLineChars="200"/>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发包人（公章）：</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承包人（公章）：</w:t>
      </w:r>
      <w:r>
        <w:rPr>
          <w:rFonts w:hint="eastAsia" w:ascii="宋体" w:hAnsi="宋体"/>
          <w:color w:val="000000" w:themeColor="text1"/>
          <w:szCs w:val="21"/>
          <w:highlight w:val="none"/>
          <w:u w:val="single"/>
          <w14:textFill>
            <w14:solidFill>
              <w14:schemeClr w14:val="tx1"/>
            </w14:solidFill>
          </w14:textFill>
        </w:rPr>
        <w:t xml:space="preserve">                    </w:t>
      </w:r>
    </w:p>
    <w:p w14:paraId="777346D6">
      <w:pPr>
        <w:adjustRightInd w:val="0"/>
        <w:snapToGrid w:val="0"/>
        <w:spacing w:line="460" w:lineRule="exact"/>
        <w:ind w:right="23" w:rightChars="11" w:firstLine="420" w:firstLineChars="200"/>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法定代表人（签字）：</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法定代表人（签字）：</w:t>
      </w:r>
      <w:r>
        <w:rPr>
          <w:rFonts w:hint="eastAsia" w:ascii="宋体" w:hAnsi="宋体"/>
          <w:color w:val="000000" w:themeColor="text1"/>
          <w:szCs w:val="21"/>
          <w:highlight w:val="none"/>
          <w:u w:val="single"/>
          <w14:textFill>
            <w14:solidFill>
              <w14:schemeClr w14:val="tx1"/>
            </w14:solidFill>
          </w14:textFill>
        </w:rPr>
        <w:t xml:space="preserve">                   </w:t>
      </w:r>
    </w:p>
    <w:p w14:paraId="3D08B827">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月</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日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月</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日</w:t>
      </w:r>
    </w:p>
    <w:p w14:paraId="3DB83A52">
      <w:pPr>
        <w:adjustRightInd w:val="0"/>
        <w:snapToGrid w:val="0"/>
        <w:spacing w:line="460" w:lineRule="exact"/>
        <w:ind w:right="23" w:rightChars="11" w:firstLine="420" w:firstLineChars="200"/>
        <w:rPr>
          <w:rFonts w:ascii="宋体" w:hAnsi="宋体"/>
          <w:color w:val="000000" w:themeColor="text1"/>
          <w:szCs w:val="21"/>
          <w:highlight w:val="none"/>
          <w14:textFill>
            <w14:solidFill>
              <w14:schemeClr w14:val="tx1"/>
            </w14:solidFill>
          </w14:textFill>
        </w:rPr>
      </w:pPr>
    </w:p>
    <w:p w14:paraId="3B97361E">
      <w:pPr>
        <w:adjustRightInd w:val="0"/>
        <w:snapToGrid w:val="0"/>
        <w:spacing w:line="460" w:lineRule="exact"/>
        <w:ind w:right="23" w:rightChars="11"/>
        <w:rPr>
          <w:rFonts w:ascii="宋体" w:hAnsi="宋体"/>
          <w:bCs/>
          <w:color w:val="000000" w:themeColor="text1"/>
          <w:sz w:val="24"/>
          <w:highlight w:val="none"/>
          <w14:textFill>
            <w14:solidFill>
              <w14:schemeClr w14:val="tx1"/>
            </w14:solidFill>
          </w14:textFill>
        </w:rPr>
      </w:pPr>
    </w:p>
    <w:p w14:paraId="32994AED">
      <w:pPr>
        <w:adjustRightInd w:val="0"/>
        <w:snapToGrid w:val="0"/>
        <w:spacing w:line="460" w:lineRule="exact"/>
        <w:ind w:right="23" w:rightChars="11"/>
        <w:rPr>
          <w:rFonts w:ascii="宋体" w:hAnsi="宋体"/>
          <w:b/>
          <w:bCs/>
          <w:color w:val="000000" w:themeColor="text1"/>
          <w:sz w:val="28"/>
          <w:szCs w:val="28"/>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br w:type="page"/>
      </w:r>
      <w:r>
        <w:rPr>
          <w:rFonts w:hint="eastAsia" w:ascii="宋体" w:hAnsi="宋体"/>
          <w:bCs/>
          <w:color w:val="000000" w:themeColor="text1"/>
          <w:sz w:val="24"/>
          <w:highlight w:val="none"/>
          <w14:textFill>
            <w14:solidFill>
              <w14:schemeClr w14:val="tx1"/>
            </w14:solidFill>
          </w14:textFill>
        </w:rPr>
        <w:t>附件4</w:t>
      </w:r>
    </w:p>
    <w:p w14:paraId="66A188EE">
      <w:pPr>
        <w:adjustRightInd w:val="0"/>
        <w:snapToGrid w:val="0"/>
        <w:spacing w:line="460" w:lineRule="exact"/>
        <w:ind w:right="23" w:rightChars="11"/>
        <w:jc w:val="center"/>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不拖欠民工工资承诺书</w:t>
      </w:r>
    </w:p>
    <w:p w14:paraId="1F03E890">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p>
    <w:p w14:paraId="3D051CAB">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（格式自拟）</w:t>
      </w:r>
    </w:p>
    <w:p w14:paraId="382DA115">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p>
    <w:p w14:paraId="6401B29F">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p>
    <w:p w14:paraId="5C78AB5A">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p>
    <w:p w14:paraId="4C122E6F">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供应商名称（盖章）：</w:t>
      </w:r>
    </w:p>
    <w:p w14:paraId="2BB22B2F">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法定代表人或其委托代理人（签字）：</w:t>
      </w:r>
    </w:p>
    <w:p w14:paraId="1DF57C25">
      <w:pPr>
        <w:adjustRightInd w:val="0"/>
        <w:snapToGrid w:val="0"/>
        <w:spacing w:line="460" w:lineRule="exact"/>
        <w:ind w:right="23" w:rightChars="11"/>
        <w:rPr>
          <w:rFonts w:ascii="宋体" w:hAnsi="宋体"/>
          <w:b/>
          <w:color w:val="000000" w:themeColor="text1"/>
          <w:sz w:val="32"/>
          <w:szCs w:val="3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337C5DD0">
      <w:pPr>
        <w:pStyle w:val="26"/>
        <w:adjustRightInd w:val="0"/>
        <w:snapToGrid w:val="0"/>
        <w:spacing w:line="460" w:lineRule="exact"/>
        <w:ind w:right="23" w:rightChars="11"/>
        <w:jc w:val="center"/>
        <w:rPr>
          <w:rFonts w:hAnsi="宋体"/>
          <w:b/>
          <w:color w:val="000000" w:themeColor="text1"/>
          <w:sz w:val="32"/>
          <w:szCs w:val="32"/>
          <w:highlight w:val="none"/>
          <w14:textFill>
            <w14:solidFill>
              <w14:schemeClr w14:val="tx1"/>
            </w14:solidFill>
          </w14:textFill>
        </w:rPr>
      </w:pPr>
    </w:p>
    <w:p w14:paraId="437D82CC">
      <w:pPr>
        <w:pStyle w:val="4"/>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rFonts w:hint="eastAsia" w:ascii="宋体" w:hAnsi="宋体"/>
          <w:color w:val="000000" w:themeColor="text1"/>
          <w:highlight w:val="none"/>
          <w14:textFill>
            <w14:solidFill>
              <w14:schemeClr w14:val="tx1"/>
            </w14:solidFill>
          </w14:textFill>
        </w:rPr>
        <w:t>二、保证金缴纳证明材料</w:t>
      </w:r>
    </w:p>
    <w:p w14:paraId="2D27C235">
      <w:pPr>
        <w:pStyle w:val="290"/>
        <w:adjustRightInd w:val="0"/>
        <w:snapToGrid w:val="0"/>
        <w:spacing w:before="156" w:beforeLines="50" w:line="360" w:lineRule="auto"/>
        <w:ind w:firstLine="422" w:firstLineChars="200"/>
        <w:jc w:val="left"/>
        <w:rPr>
          <w:rFonts w:ascii="宋体" w:hAnsi="宋体"/>
          <w:b/>
          <w:color w:val="000000" w:themeColor="text1"/>
          <w:kern w:val="2"/>
          <w:sz w:val="21"/>
          <w:szCs w:val="21"/>
          <w:highlight w:val="none"/>
          <w14:textFill>
            <w14:solidFill>
              <w14:schemeClr w14:val="tx1"/>
            </w14:solidFill>
          </w14:textFill>
        </w:rPr>
      </w:pPr>
      <w:r>
        <w:rPr>
          <w:rFonts w:hint="eastAsia" w:ascii="宋体" w:hAnsi="宋体"/>
          <w:b/>
          <w:color w:val="000000" w:themeColor="text1"/>
          <w:kern w:val="2"/>
          <w:sz w:val="21"/>
          <w:szCs w:val="21"/>
          <w:highlight w:val="none"/>
          <w14:textFill>
            <w14:solidFill>
              <w14:schemeClr w14:val="tx1"/>
            </w14:solidFill>
          </w14:textFill>
        </w:rPr>
        <w:t>放转账凭证</w:t>
      </w:r>
    </w:p>
    <w:p w14:paraId="38C215EF">
      <w:pPr>
        <w:rPr>
          <w:rFonts w:ascii="宋体" w:hAnsi="宋体"/>
          <w:color w:val="000000" w:themeColor="text1"/>
          <w:highlight w:val="none"/>
          <w14:textFill>
            <w14:solidFill>
              <w14:schemeClr w14:val="tx1"/>
            </w14:solidFill>
          </w14:textFill>
        </w:rPr>
      </w:pPr>
    </w:p>
    <w:p w14:paraId="5A9FC8A9">
      <w:pPr>
        <w:pStyle w:val="4"/>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rFonts w:hint="eastAsia" w:ascii="宋体" w:hAnsi="宋体"/>
          <w:color w:val="000000" w:themeColor="text1"/>
          <w:highlight w:val="none"/>
          <w14:textFill>
            <w14:solidFill>
              <w14:schemeClr w14:val="tx1"/>
            </w14:solidFill>
          </w14:textFill>
        </w:rPr>
        <w:t>三、供应商的资格证明材料</w:t>
      </w:r>
    </w:p>
    <w:p w14:paraId="66C1FF91">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供应商基本情况表</w:t>
      </w:r>
    </w:p>
    <w:p w14:paraId="1F05E2EE">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供应商单位盖章</w:t>
      </w:r>
    </w:p>
    <w:tbl>
      <w:tblPr>
        <w:tblStyle w:val="47"/>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49"/>
        <w:gridCol w:w="562"/>
        <w:gridCol w:w="378"/>
        <w:gridCol w:w="1192"/>
        <w:gridCol w:w="892"/>
        <w:gridCol w:w="610"/>
        <w:gridCol w:w="312"/>
        <w:gridCol w:w="1129"/>
        <w:gridCol w:w="1385"/>
        <w:gridCol w:w="2695"/>
      </w:tblGrid>
      <w:tr w14:paraId="0F1764B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689" w:type="dxa"/>
            <w:gridSpan w:val="3"/>
            <w:tcBorders>
              <w:bottom w:val="single" w:color="auto" w:sz="6" w:space="0"/>
              <w:right w:val="single" w:color="auto" w:sz="6" w:space="0"/>
            </w:tcBorders>
            <w:vAlign w:val="center"/>
          </w:tcPr>
          <w:p w14:paraId="03439A76">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w:t>
            </w:r>
            <w:r>
              <w:rPr>
                <w:rFonts w:hint="default" w:ascii="宋体" w:hAnsi="宋体"/>
                <w:color w:val="000000" w:themeColor="text1"/>
                <w:szCs w:val="21"/>
                <w:highlight w:val="none"/>
                <w14:textFill>
                  <w14:solidFill>
                    <w14:schemeClr w14:val="tx1"/>
                  </w14:solidFill>
                </w14:textFill>
              </w:rPr>
              <w:t>名称</w:t>
            </w:r>
          </w:p>
        </w:tc>
        <w:tc>
          <w:tcPr>
            <w:tcW w:w="4135" w:type="dxa"/>
            <w:gridSpan w:val="5"/>
            <w:tcBorders>
              <w:left w:val="single" w:color="auto" w:sz="6" w:space="0"/>
              <w:bottom w:val="single" w:color="auto" w:sz="6" w:space="0"/>
              <w:right w:val="single" w:color="auto" w:sz="6" w:space="0"/>
            </w:tcBorders>
            <w:vAlign w:val="center"/>
          </w:tcPr>
          <w:p w14:paraId="41166E1A">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1385" w:type="dxa"/>
            <w:tcBorders>
              <w:left w:val="single" w:color="auto" w:sz="6" w:space="0"/>
              <w:bottom w:val="single" w:color="auto" w:sz="6" w:space="0"/>
              <w:right w:val="single" w:color="auto" w:sz="6" w:space="0"/>
            </w:tcBorders>
            <w:vAlign w:val="center"/>
          </w:tcPr>
          <w:p w14:paraId="60806269">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法定代表人</w:t>
            </w:r>
          </w:p>
        </w:tc>
        <w:tc>
          <w:tcPr>
            <w:tcW w:w="2695" w:type="dxa"/>
            <w:tcBorders>
              <w:left w:val="single" w:color="auto" w:sz="6" w:space="0"/>
              <w:bottom w:val="single" w:color="auto" w:sz="6" w:space="0"/>
            </w:tcBorders>
            <w:vAlign w:val="center"/>
          </w:tcPr>
          <w:p w14:paraId="69BB4B59">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r>
      <w:tr w14:paraId="039EE6E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689" w:type="dxa"/>
            <w:gridSpan w:val="3"/>
            <w:tcBorders>
              <w:top w:val="single" w:color="auto" w:sz="6" w:space="0"/>
              <w:bottom w:val="single" w:color="auto" w:sz="6" w:space="0"/>
              <w:right w:val="single" w:color="auto" w:sz="6" w:space="0"/>
            </w:tcBorders>
            <w:vAlign w:val="center"/>
          </w:tcPr>
          <w:p w14:paraId="04B83A15">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统一社会信用代码</w:t>
            </w:r>
          </w:p>
        </w:tc>
        <w:tc>
          <w:tcPr>
            <w:tcW w:w="4135" w:type="dxa"/>
            <w:gridSpan w:val="5"/>
            <w:tcBorders>
              <w:top w:val="single" w:color="auto" w:sz="6" w:space="0"/>
              <w:left w:val="single" w:color="auto" w:sz="6" w:space="0"/>
              <w:bottom w:val="single" w:color="auto" w:sz="6" w:space="0"/>
              <w:right w:val="single" w:color="auto" w:sz="6" w:space="0"/>
            </w:tcBorders>
            <w:vAlign w:val="center"/>
          </w:tcPr>
          <w:p w14:paraId="304C2668">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1385" w:type="dxa"/>
            <w:tcBorders>
              <w:top w:val="single" w:color="auto" w:sz="6" w:space="0"/>
              <w:left w:val="single" w:color="auto" w:sz="6" w:space="0"/>
              <w:bottom w:val="single" w:color="auto" w:sz="6" w:space="0"/>
              <w:right w:val="single" w:color="auto" w:sz="6" w:space="0"/>
            </w:tcBorders>
            <w:vAlign w:val="center"/>
          </w:tcPr>
          <w:p w14:paraId="26C369B0">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邮政编码</w:t>
            </w:r>
          </w:p>
        </w:tc>
        <w:tc>
          <w:tcPr>
            <w:tcW w:w="2695" w:type="dxa"/>
            <w:tcBorders>
              <w:top w:val="single" w:color="auto" w:sz="6" w:space="0"/>
              <w:left w:val="single" w:color="auto" w:sz="6" w:space="0"/>
              <w:bottom w:val="single" w:color="auto" w:sz="6" w:space="0"/>
            </w:tcBorders>
            <w:vAlign w:val="center"/>
          </w:tcPr>
          <w:p w14:paraId="1B22582F">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r>
      <w:tr w14:paraId="72D7799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689" w:type="dxa"/>
            <w:gridSpan w:val="3"/>
            <w:tcBorders>
              <w:top w:val="single" w:color="auto" w:sz="6" w:space="0"/>
              <w:bottom w:val="single" w:color="auto" w:sz="6" w:space="0"/>
              <w:right w:val="single" w:color="auto" w:sz="6" w:space="0"/>
            </w:tcBorders>
            <w:vAlign w:val="center"/>
          </w:tcPr>
          <w:p w14:paraId="07F31E64">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委托代理</w:t>
            </w:r>
            <w:r>
              <w:rPr>
                <w:rFonts w:hint="default" w:ascii="宋体" w:hAnsi="宋体"/>
                <w:color w:val="000000" w:themeColor="text1"/>
                <w:szCs w:val="21"/>
                <w:highlight w:val="none"/>
                <w14:textFill>
                  <w14:solidFill>
                    <w14:schemeClr w14:val="tx1"/>
                  </w14:solidFill>
                </w14:textFill>
              </w:rPr>
              <w:t>人</w:t>
            </w:r>
          </w:p>
        </w:tc>
        <w:tc>
          <w:tcPr>
            <w:tcW w:w="4135" w:type="dxa"/>
            <w:gridSpan w:val="5"/>
            <w:tcBorders>
              <w:top w:val="single" w:color="auto" w:sz="6" w:space="0"/>
              <w:left w:val="single" w:color="auto" w:sz="6" w:space="0"/>
              <w:bottom w:val="single" w:color="auto" w:sz="6" w:space="0"/>
              <w:right w:val="single" w:color="auto" w:sz="6" w:space="0"/>
            </w:tcBorders>
            <w:vAlign w:val="center"/>
          </w:tcPr>
          <w:p w14:paraId="339034E0">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1385" w:type="dxa"/>
            <w:tcBorders>
              <w:top w:val="single" w:color="auto" w:sz="6" w:space="0"/>
              <w:left w:val="single" w:color="auto" w:sz="6" w:space="0"/>
              <w:bottom w:val="single" w:color="auto" w:sz="6" w:space="0"/>
              <w:right w:val="single" w:color="auto" w:sz="6" w:space="0"/>
            </w:tcBorders>
            <w:vAlign w:val="center"/>
          </w:tcPr>
          <w:p w14:paraId="4BEAC848">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电子邮箱</w:t>
            </w:r>
          </w:p>
        </w:tc>
        <w:tc>
          <w:tcPr>
            <w:tcW w:w="2695" w:type="dxa"/>
            <w:tcBorders>
              <w:top w:val="single" w:color="auto" w:sz="6" w:space="0"/>
              <w:left w:val="single" w:color="auto" w:sz="6" w:space="0"/>
              <w:bottom w:val="single" w:color="auto" w:sz="6" w:space="0"/>
            </w:tcBorders>
            <w:vAlign w:val="center"/>
          </w:tcPr>
          <w:p w14:paraId="66300CA8">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r>
      <w:tr w14:paraId="31C0815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689" w:type="dxa"/>
            <w:gridSpan w:val="3"/>
            <w:tcBorders>
              <w:top w:val="single" w:color="auto" w:sz="6" w:space="0"/>
              <w:bottom w:val="single" w:color="auto" w:sz="6" w:space="0"/>
              <w:right w:val="single" w:color="auto" w:sz="6" w:space="0"/>
            </w:tcBorders>
            <w:vAlign w:val="center"/>
          </w:tcPr>
          <w:p w14:paraId="31C5623B">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上年营业收入</w:t>
            </w:r>
          </w:p>
        </w:tc>
        <w:tc>
          <w:tcPr>
            <w:tcW w:w="4135" w:type="dxa"/>
            <w:gridSpan w:val="5"/>
            <w:tcBorders>
              <w:top w:val="single" w:color="auto" w:sz="6" w:space="0"/>
              <w:left w:val="single" w:color="auto" w:sz="6" w:space="0"/>
              <w:bottom w:val="single" w:color="auto" w:sz="6" w:space="0"/>
              <w:right w:val="single" w:color="auto" w:sz="6" w:space="0"/>
            </w:tcBorders>
            <w:vAlign w:val="center"/>
          </w:tcPr>
          <w:p w14:paraId="43102BFF">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1385" w:type="dxa"/>
            <w:tcBorders>
              <w:top w:val="single" w:color="auto" w:sz="6" w:space="0"/>
              <w:left w:val="single" w:color="auto" w:sz="6" w:space="0"/>
              <w:bottom w:val="single" w:color="auto" w:sz="6" w:space="0"/>
              <w:right w:val="single" w:color="auto" w:sz="6" w:space="0"/>
            </w:tcBorders>
            <w:vAlign w:val="center"/>
          </w:tcPr>
          <w:p w14:paraId="13E8CE49">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员工总人数</w:t>
            </w:r>
          </w:p>
        </w:tc>
        <w:tc>
          <w:tcPr>
            <w:tcW w:w="2695" w:type="dxa"/>
            <w:tcBorders>
              <w:top w:val="single" w:color="auto" w:sz="6" w:space="0"/>
              <w:left w:val="single" w:color="auto" w:sz="6" w:space="0"/>
              <w:bottom w:val="single" w:color="auto" w:sz="6" w:space="0"/>
            </w:tcBorders>
            <w:vAlign w:val="center"/>
          </w:tcPr>
          <w:p w14:paraId="54850A6E">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r>
      <w:tr w14:paraId="22114B2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749" w:type="dxa"/>
            <w:vMerge w:val="restart"/>
            <w:tcBorders>
              <w:top w:val="single" w:color="auto" w:sz="6" w:space="0"/>
              <w:bottom w:val="single" w:color="auto" w:sz="6" w:space="0"/>
              <w:right w:val="single" w:color="auto" w:sz="6" w:space="0"/>
            </w:tcBorders>
            <w:vAlign w:val="center"/>
          </w:tcPr>
          <w:p w14:paraId="48511353">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营业执照</w:t>
            </w:r>
          </w:p>
        </w:tc>
        <w:tc>
          <w:tcPr>
            <w:tcW w:w="2132" w:type="dxa"/>
            <w:gridSpan w:val="3"/>
            <w:tcBorders>
              <w:top w:val="single" w:color="auto" w:sz="6" w:space="0"/>
              <w:left w:val="single" w:color="auto" w:sz="6" w:space="0"/>
              <w:bottom w:val="single" w:color="auto" w:sz="6" w:space="0"/>
              <w:right w:val="single" w:color="auto" w:sz="6" w:space="0"/>
            </w:tcBorders>
            <w:vAlign w:val="center"/>
          </w:tcPr>
          <w:p w14:paraId="6C5DAFD0">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注册号码</w:t>
            </w:r>
          </w:p>
        </w:tc>
        <w:tc>
          <w:tcPr>
            <w:tcW w:w="1502" w:type="dxa"/>
            <w:gridSpan w:val="2"/>
            <w:tcBorders>
              <w:top w:val="single" w:color="auto" w:sz="6" w:space="0"/>
              <w:left w:val="single" w:color="auto" w:sz="6" w:space="0"/>
              <w:bottom w:val="single" w:color="auto" w:sz="6" w:space="0"/>
              <w:right w:val="single" w:color="auto" w:sz="6" w:space="0"/>
            </w:tcBorders>
            <w:vAlign w:val="center"/>
          </w:tcPr>
          <w:p w14:paraId="71135A83">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1441" w:type="dxa"/>
            <w:gridSpan w:val="2"/>
            <w:tcBorders>
              <w:top w:val="single" w:color="auto" w:sz="6" w:space="0"/>
              <w:left w:val="single" w:color="auto" w:sz="6" w:space="0"/>
              <w:bottom w:val="single" w:color="auto" w:sz="6" w:space="0"/>
              <w:right w:val="single" w:color="auto" w:sz="6" w:space="0"/>
            </w:tcBorders>
            <w:vAlign w:val="center"/>
          </w:tcPr>
          <w:p w14:paraId="6EE6A43A">
            <w:pPr>
              <w:keepNext w:val="0"/>
              <w:keepLines w:val="0"/>
              <w:suppressLineNumbers w:val="0"/>
              <w:topLinePunct/>
              <w:spacing w:before="0" w:beforeAutospacing="0" w:after="0" w:afterAutospacing="0" w:line="460" w:lineRule="exact"/>
              <w:ind w:left="0" w:right="23" w:rightChars="11" w:firstLine="105" w:firstLineChars="5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注册地址</w:t>
            </w:r>
          </w:p>
        </w:tc>
        <w:tc>
          <w:tcPr>
            <w:tcW w:w="4080" w:type="dxa"/>
            <w:gridSpan w:val="2"/>
            <w:tcBorders>
              <w:top w:val="single" w:color="auto" w:sz="6" w:space="0"/>
              <w:left w:val="single" w:color="auto" w:sz="6" w:space="0"/>
              <w:bottom w:val="single" w:color="auto" w:sz="6" w:space="0"/>
            </w:tcBorders>
            <w:vAlign w:val="center"/>
          </w:tcPr>
          <w:p w14:paraId="096A36A4">
            <w:pPr>
              <w:keepNext w:val="0"/>
              <w:keepLines w:val="0"/>
              <w:suppressLineNumbers w:val="0"/>
              <w:topLinePunct/>
              <w:spacing w:before="0" w:beforeAutospacing="0" w:after="0" w:afterAutospacing="0" w:line="460" w:lineRule="exact"/>
              <w:ind w:left="0" w:right="23" w:rightChars="11" w:firstLine="105" w:firstLineChars="50"/>
              <w:jc w:val="center"/>
              <w:rPr>
                <w:rFonts w:hint="default" w:ascii="宋体" w:hAnsi="宋体"/>
                <w:color w:val="000000" w:themeColor="text1"/>
                <w:szCs w:val="21"/>
                <w:highlight w:val="none"/>
                <w14:textFill>
                  <w14:solidFill>
                    <w14:schemeClr w14:val="tx1"/>
                  </w14:solidFill>
                </w14:textFill>
              </w:rPr>
            </w:pPr>
          </w:p>
        </w:tc>
      </w:tr>
      <w:tr w14:paraId="68EDDD3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749" w:type="dxa"/>
            <w:vMerge w:val="continue"/>
            <w:tcBorders>
              <w:top w:val="single" w:color="auto" w:sz="6" w:space="0"/>
              <w:bottom w:val="single" w:color="auto" w:sz="6" w:space="0"/>
              <w:right w:val="single" w:color="auto" w:sz="6" w:space="0"/>
            </w:tcBorders>
            <w:vAlign w:val="center"/>
          </w:tcPr>
          <w:p w14:paraId="47BAA59C">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2132" w:type="dxa"/>
            <w:gridSpan w:val="3"/>
            <w:tcBorders>
              <w:top w:val="single" w:color="auto" w:sz="6" w:space="0"/>
              <w:left w:val="single" w:color="auto" w:sz="6" w:space="0"/>
              <w:bottom w:val="single" w:color="auto" w:sz="6" w:space="0"/>
              <w:right w:val="single" w:color="auto" w:sz="6" w:space="0"/>
            </w:tcBorders>
            <w:vAlign w:val="center"/>
          </w:tcPr>
          <w:p w14:paraId="7CD2D36F">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发证机关</w:t>
            </w:r>
          </w:p>
        </w:tc>
        <w:tc>
          <w:tcPr>
            <w:tcW w:w="1502" w:type="dxa"/>
            <w:gridSpan w:val="2"/>
            <w:tcBorders>
              <w:top w:val="single" w:color="auto" w:sz="6" w:space="0"/>
              <w:left w:val="single" w:color="auto" w:sz="6" w:space="0"/>
              <w:bottom w:val="single" w:color="auto" w:sz="6" w:space="0"/>
              <w:right w:val="single" w:color="auto" w:sz="6" w:space="0"/>
            </w:tcBorders>
            <w:vAlign w:val="center"/>
          </w:tcPr>
          <w:p w14:paraId="1191CBB2">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1441" w:type="dxa"/>
            <w:gridSpan w:val="2"/>
            <w:tcBorders>
              <w:top w:val="single" w:color="auto" w:sz="6" w:space="0"/>
              <w:left w:val="single" w:color="auto" w:sz="6" w:space="0"/>
              <w:bottom w:val="single" w:color="auto" w:sz="6" w:space="0"/>
              <w:right w:val="single" w:color="auto" w:sz="6" w:space="0"/>
            </w:tcBorders>
            <w:vAlign w:val="center"/>
          </w:tcPr>
          <w:p w14:paraId="26F64E8D">
            <w:pPr>
              <w:keepNext w:val="0"/>
              <w:keepLines w:val="0"/>
              <w:suppressLineNumbers w:val="0"/>
              <w:topLinePunct/>
              <w:spacing w:before="0" w:beforeAutospacing="0" w:after="0" w:afterAutospacing="0" w:line="460" w:lineRule="exact"/>
              <w:ind w:left="0" w:right="23" w:rightChars="11" w:firstLine="105" w:firstLineChars="50"/>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发证日期</w:t>
            </w:r>
          </w:p>
        </w:tc>
        <w:tc>
          <w:tcPr>
            <w:tcW w:w="4080" w:type="dxa"/>
            <w:gridSpan w:val="2"/>
            <w:tcBorders>
              <w:top w:val="single" w:color="auto" w:sz="6" w:space="0"/>
              <w:left w:val="single" w:color="auto" w:sz="6" w:space="0"/>
              <w:bottom w:val="single" w:color="auto" w:sz="6" w:space="0"/>
            </w:tcBorders>
            <w:vAlign w:val="center"/>
          </w:tcPr>
          <w:p w14:paraId="1332F4E9">
            <w:pPr>
              <w:keepNext w:val="0"/>
              <w:keepLines w:val="0"/>
              <w:suppressLineNumbers w:val="0"/>
              <w:topLinePunct/>
              <w:spacing w:before="0" w:beforeAutospacing="0" w:after="0" w:afterAutospacing="0" w:line="460" w:lineRule="exact"/>
              <w:ind w:left="0" w:right="23" w:rightChars="11" w:firstLine="105" w:firstLineChars="50"/>
              <w:jc w:val="center"/>
              <w:rPr>
                <w:rFonts w:hint="default" w:ascii="宋体" w:hAnsi="宋体"/>
                <w:color w:val="000000" w:themeColor="text1"/>
                <w:szCs w:val="21"/>
                <w:highlight w:val="none"/>
                <w14:textFill>
                  <w14:solidFill>
                    <w14:schemeClr w14:val="tx1"/>
                  </w14:solidFill>
                </w14:textFill>
              </w:rPr>
            </w:pPr>
          </w:p>
        </w:tc>
      </w:tr>
      <w:tr w14:paraId="3F24357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749" w:type="dxa"/>
            <w:vMerge w:val="continue"/>
            <w:tcBorders>
              <w:top w:val="single" w:color="auto" w:sz="6" w:space="0"/>
              <w:bottom w:val="single" w:color="auto" w:sz="6" w:space="0"/>
              <w:right w:val="single" w:color="auto" w:sz="6" w:space="0"/>
            </w:tcBorders>
            <w:vAlign w:val="center"/>
          </w:tcPr>
          <w:p w14:paraId="577B1D25">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2132" w:type="dxa"/>
            <w:gridSpan w:val="3"/>
            <w:tcBorders>
              <w:top w:val="single" w:color="auto" w:sz="6" w:space="0"/>
              <w:left w:val="single" w:color="auto" w:sz="6" w:space="0"/>
              <w:bottom w:val="single" w:color="auto" w:sz="6" w:space="0"/>
              <w:right w:val="single" w:color="auto" w:sz="6" w:space="0"/>
            </w:tcBorders>
            <w:vAlign w:val="center"/>
          </w:tcPr>
          <w:p w14:paraId="5885203F">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营业范围（主营）</w:t>
            </w:r>
          </w:p>
        </w:tc>
        <w:tc>
          <w:tcPr>
            <w:tcW w:w="7023" w:type="dxa"/>
            <w:gridSpan w:val="6"/>
            <w:tcBorders>
              <w:top w:val="single" w:color="auto" w:sz="6" w:space="0"/>
              <w:left w:val="single" w:color="auto" w:sz="6" w:space="0"/>
              <w:bottom w:val="single" w:color="auto" w:sz="6" w:space="0"/>
            </w:tcBorders>
            <w:vAlign w:val="center"/>
          </w:tcPr>
          <w:p w14:paraId="7117A840">
            <w:pPr>
              <w:keepNext w:val="0"/>
              <w:keepLines w:val="0"/>
              <w:suppressLineNumbers w:val="0"/>
              <w:topLinePunct/>
              <w:spacing w:before="0" w:beforeAutospacing="0" w:after="0" w:afterAutospacing="0" w:line="460" w:lineRule="exact"/>
              <w:ind w:left="0" w:right="23" w:rightChars="11" w:firstLine="105" w:firstLineChars="50"/>
              <w:jc w:val="center"/>
              <w:rPr>
                <w:rFonts w:hint="default" w:ascii="宋体" w:hAnsi="宋体"/>
                <w:color w:val="000000" w:themeColor="text1"/>
                <w:szCs w:val="21"/>
                <w:highlight w:val="none"/>
                <w14:textFill>
                  <w14:solidFill>
                    <w14:schemeClr w14:val="tx1"/>
                  </w14:solidFill>
                </w14:textFill>
              </w:rPr>
            </w:pPr>
          </w:p>
        </w:tc>
      </w:tr>
      <w:tr w14:paraId="3DFD85A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749" w:type="dxa"/>
            <w:vMerge w:val="continue"/>
            <w:tcBorders>
              <w:top w:val="single" w:color="auto" w:sz="6" w:space="0"/>
              <w:bottom w:val="single" w:color="auto" w:sz="6" w:space="0"/>
              <w:right w:val="single" w:color="auto" w:sz="6" w:space="0"/>
            </w:tcBorders>
            <w:vAlign w:val="center"/>
          </w:tcPr>
          <w:p w14:paraId="60337D9D">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2132" w:type="dxa"/>
            <w:gridSpan w:val="3"/>
            <w:tcBorders>
              <w:top w:val="single" w:color="auto" w:sz="6" w:space="0"/>
              <w:left w:val="single" w:color="auto" w:sz="6" w:space="0"/>
              <w:bottom w:val="single" w:color="auto" w:sz="6" w:space="0"/>
              <w:right w:val="single" w:color="auto" w:sz="6" w:space="0"/>
            </w:tcBorders>
            <w:vAlign w:val="center"/>
          </w:tcPr>
          <w:p w14:paraId="4C129523">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营业范围（兼营）</w:t>
            </w:r>
          </w:p>
        </w:tc>
        <w:tc>
          <w:tcPr>
            <w:tcW w:w="7023" w:type="dxa"/>
            <w:gridSpan w:val="6"/>
            <w:tcBorders>
              <w:top w:val="single" w:color="auto" w:sz="6" w:space="0"/>
              <w:left w:val="single" w:color="auto" w:sz="6" w:space="0"/>
              <w:bottom w:val="single" w:color="auto" w:sz="6" w:space="0"/>
            </w:tcBorders>
            <w:vAlign w:val="center"/>
          </w:tcPr>
          <w:p w14:paraId="77B14622">
            <w:pPr>
              <w:keepNext w:val="0"/>
              <w:keepLines w:val="0"/>
              <w:suppressLineNumbers w:val="0"/>
              <w:topLinePunct/>
              <w:spacing w:before="0" w:beforeAutospacing="0" w:after="0" w:afterAutospacing="0" w:line="460" w:lineRule="exact"/>
              <w:ind w:left="0" w:right="23" w:rightChars="11" w:firstLine="105" w:firstLineChars="50"/>
              <w:jc w:val="center"/>
              <w:rPr>
                <w:rFonts w:hint="default" w:ascii="宋体" w:hAnsi="宋体"/>
                <w:color w:val="000000" w:themeColor="text1"/>
                <w:szCs w:val="21"/>
                <w:highlight w:val="none"/>
                <w14:textFill>
                  <w14:solidFill>
                    <w14:schemeClr w14:val="tx1"/>
                  </w14:solidFill>
                </w14:textFill>
              </w:rPr>
            </w:pPr>
          </w:p>
        </w:tc>
      </w:tr>
      <w:tr w14:paraId="6F767B2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2881" w:type="dxa"/>
            <w:gridSpan w:val="4"/>
            <w:tcBorders>
              <w:top w:val="single" w:color="auto" w:sz="6" w:space="0"/>
              <w:bottom w:val="single" w:color="auto" w:sz="6" w:space="0"/>
              <w:right w:val="single" w:color="auto" w:sz="6" w:space="0"/>
            </w:tcBorders>
            <w:vAlign w:val="center"/>
          </w:tcPr>
          <w:p w14:paraId="45BA800E">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基本账户开户行及帐号</w:t>
            </w:r>
          </w:p>
        </w:tc>
        <w:tc>
          <w:tcPr>
            <w:tcW w:w="7023" w:type="dxa"/>
            <w:gridSpan w:val="6"/>
            <w:tcBorders>
              <w:top w:val="single" w:color="auto" w:sz="6" w:space="0"/>
              <w:left w:val="single" w:color="auto" w:sz="6" w:space="0"/>
              <w:bottom w:val="single" w:color="auto" w:sz="6" w:space="0"/>
            </w:tcBorders>
            <w:vAlign w:val="center"/>
          </w:tcPr>
          <w:p w14:paraId="5FBA7CE1">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r>
      <w:tr w14:paraId="4FCA085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2881" w:type="dxa"/>
            <w:gridSpan w:val="4"/>
            <w:tcBorders>
              <w:top w:val="single" w:color="auto" w:sz="6" w:space="0"/>
              <w:bottom w:val="single" w:color="auto" w:sz="6" w:space="0"/>
              <w:right w:val="single" w:color="auto" w:sz="6" w:space="0"/>
            </w:tcBorders>
            <w:vAlign w:val="center"/>
          </w:tcPr>
          <w:p w14:paraId="572E88EF">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税务发证机关</w:t>
            </w:r>
          </w:p>
        </w:tc>
        <w:tc>
          <w:tcPr>
            <w:tcW w:w="7023" w:type="dxa"/>
            <w:gridSpan w:val="6"/>
            <w:tcBorders>
              <w:top w:val="single" w:color="auto" w:sz="6" w:space="0"/>
              <w:left w:val="single" w:color="auto" w:sz="6" w:space="0"/>
              <w:bottom w:val="single" w:color="auto" w:sz="6" w:space="0"/>
            </w:tcBorders>
            <w:vAlign w:val="center"/>
          </w:tcPr>
          <w:p w14:paraId="6B97C80D">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r>
      <w:tr w14:paraId="3480E54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3773" w:type="dxa"/>
            <w:gridSpan w:val="5"/>
            <w:tcBorders>
              <w:top w:val="single" w:color="auto" w:sz="6" w:space="0"/>
              <w:bottom w:val="single" w:color="auto" w:sz="6" w:space="0"/>
              <w:right w:val="single" w:color="auto" w:sz="6" w:space="0"/>
            </w:tcBorders>
            <w:vAlign w:val="center"/>
          </w:tcPr>
          <w:p w14:paraId="0417D576">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资质</w:t>
            </w:r>
            <w:r>
              <w:rPr>
                <w:rFonts w:hint="eastAsia" w:ascii="宋体" w:hAnsi="宋体"/>
                <w:color w:val="000000" w:themeColor="text1"/>
                <w:szCs w:val="21"/>
                <w:highlight w:val="none"/>
                <w14:textFill>
                  <w14:solidFill>
                    <w14:schemeClr w14:val="tx1"/>
                  </w14:solidFill>
                </w14:textFill>
              </w:rPr>
              <w:t>名称</w:t>
            </w:r>
          </w:p>
        </w:tc>
        <w:tc>
          <w:tcPr>
            <w:tcW w:w="922" w:type="dxa"/>
            <w:gridSpan w:val="2"/>
            <w:tcBorders>
              <w:top w:val="single" w:color="auto" w:sz="6" w:space="0"/>
              <w:left w:val="single" w:color="auto" w:sz="6" w:space="0"/>
              <w:bottom w:val="single" w:color="auto" w:sz="6" w:space="0"/>
              <w:right w:val="single" w:color="auto" w:sz="6" w:space="0"/>
            </w:tcBorders>
            <w:vAlign w:val="center"/>
          </w:tcPr>
          <w:p w14:paraId="532CF19E">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等级</w:t>
            </w:r>
          </w:p>
        </w:tc>
        <w:tc>
          <w:tcPr>
            <w:tcW w:w="1129" w:type="dxa"/>
            <w:tcBorders>
              <w:top w:val="single" w:color="auto" w:sz="6" w:space="0"/>
              <w:left w:val="single" w:color="auto" w:sz="6" w:space="0"/>
              <w:bottom w:val="single" w:color="auto" w:sz="6" w:space="0"/>
              <w:right w:val="single" w:color="auto" w:sz="6" w:space="0"/>
            </w:tcBorders>
            <w:vAlign w:val="center"/>
          </w:tcPr>
          <w:p w14:paraId="363DD6C9">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发证机关</w:t>
            </w:r>
          </w:p>
        </w:tc>
        <w:tc>
          <w:tcPr>
            <w:tcW w:w="4080" w:type="dxa"/>
            <w:gridSpan w:val="2"/>
            <w:tcBorders>
              <w:top w:val="single" w:color="auto" w:sz="6" w:space="0"/>
              <w:left w:val="single" w:color="auto" w:sz="6" w:space="0"/>
              <w:bottom w:val="single" w:color="auto" w:sz="6" w:space="0"/>
            </w:tcBorders>
            <w:vAlign w:val="center"/>
          </w:tcPr>
          <w:p w14:paraId="6CB9D9B7">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有效期</w:t>
            </w:r>
          </w:p>
        </w:tc>
      </w:tr>
      <w:tr w14:paraId="36FD35B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3773" w:type="dxa"/>
            <w:gridSpan w:val="5"/>
            <w:tcBorders>
              <w:top w:val="single" w:color="auto" w:sz="6" w:space="0"/>
              <w:bottom w:val="single" w:color="auto" w:sz="6" w:space="0"/>
              <w:right w:val="single" w:color="auto" w:sz="6" w:space="0"/>
            </w:tcBorders>
            <w:vAlign w:val="center"/>
          </w:tcPr>
          <w:p w14:paraId="6ECEAED4">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922" w:type="dxa"/>
            <w:gridSpan w:val="2"/>
            <w:tcBorders>
              <w:top w:val="single" w:color="auto" w:sz="6" w:space="0"/>
              <w:left w:val="single" w:color="auto" w:sz="6" w:space="0"/>
              <w:bottom w:val="single" w:color="auto" w:sz="6" w:space="0"/>
              <w:right w:val="single" w:color="auto" w:sz="6" w:space="0"/>
            </w:tcBorders>
            <w:vAlign w:val="center"/>
          </w:tcPr>
          <w:p w14:paraId="1DBCB909">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1129" w:type="dxa"/>
            <w:tcBorders>
              <w:top w:val="single" w:color="auto" w:sz="6" w:space="0"/>
              <w:left w:val="single" w:color="auto" w:sz="6" w:space="0"/>
              <w:bottom w:val="single" w:color="auto" w:sz="6" w:space="0"/>
              <w:right w:val="single" w:color="auto" w:sz="6" w:space="0"/>
            </w:tcBorders>
            <w:vAlign w:val="center"/>
          </w:tcPr>
          <w:p w14:paraId="0770237B">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4080" w:type="dxa"/>
            <w:gridSpan w:val="2"/>
            <w:tcBorders>
              <w:top w:val="single" w:color="auto" w:sz="6" w:space="0"/>
              <w:left w:val="single" w:color="auto" w:sz="6" w:space="0"/>
              <w:bottom w:val="single" w:color="auto" w:sz="6" w:space="0"/>
            </w:tcBorders>
            <w:vAlign w:val="center"/>
          </w:tcPr>
          <w:p w14:paraId="47A23208">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r>
      <w:tr w14:paraId="08B8EFA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3773" w:type="dxa"/>
            <w:gridSpan w:val="5"/>
            <w:tcBorders>
              <w:top w:val="single" w:color="auto" w:sz="6" w:space="0"/>
              <w:bottom w:val="single" w:color="auto" w:sz="6" w:space="0"/>
              <w:right w:val="single" w:color="auto" w:sz="6" w:space="0"/>
            </w:tcBorders>
            <w:vAlign w:val="center"/>
          </w:tcPr>
          <w:p w14:paraId="26B9CC85">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922" w:type="dxa"/>
            <w:gridSpan w:val="2"/>
            <w:tcBorders>
              <w:top w:val="single" w:color="auto" w:sz="6" w:space="0"/>
              <w:left w:val="single" w:color="auto" w:sz="6" w:space="0"/>
              <w:bottom w:val="single" w:color="auto" w:sz="6" w:space="0"/>
              <w:right w:val="single" w:color="auto" w:sz="6" w:space="0"/>
            </w:tcBorders>
            <w:vAlign w:val="center"/>
          </w:tcPr>
          <w:p w14:paraId="1F963333">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1129" w:type="dxa"/>
            <w:tcBorders>
              <w:top w:val="single" w:color="auto" w:sz="6" w:space="0"/>
              <w:left w:val="single" w:color="auto" w:sz="6" w:space="0"/>
              <w:bottom w:val="single" w:color="auto" w:sz="6" w:space="0"/>
              <w:right w:val="single" w:color="auto" w:sz="6" w:space="0"/>
            </w:tcBorders>
            <w:vAlign w:val="center"/>
          </w:tcPr>
          <w:p w14:paraId="2E4BB76B">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4080" w:type="dxa"/>
            <w:gridSpan w:val="2"/>
            <w:tcBorders>
              <w:top w:val="single" w:color="auto" w:sz="6" w:space="0"/>
              <w:left w:val="single" w:color="auto" w:sz="6" w:space="0"/>
              <w:bottom w:val="single" w:color="auto" w:sz="6" w:space="0"/>
            </w:tcBorders>
            <w:vAlign w:val="center"/>
          </w:tcPr>
          <w:p w14:paraId="06CCA969">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r>
      <w:tr w14:paraId="2E9D7E7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3773" w:type="dxa"/>
            <w:gridSpan w:val="5"/>
            <w:tcBorders>
              <w:top w:val="single" w:color="auto" w:sz="6" w:space="0"/>
              <w:bottom w:val="single" w:color="auto" w:sz="6" w:space="0"/>
              <w:right w:val="single" w:color="auto" w:sz="6" w:space="0"/>
            </w:tcBorders>
            <w:vAlign w:val="center"/>
          </w:tcPr>
          <w:p w14:paraId="0C4BD471">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922" w:type="dxa"/>
            <w:gridSpan w:val="2"/>
            <w:tcBorders>
              <w:top w:val="single" w:color="auto" w:sz="6" w:space="0"/>
              <w:left w:val="single" w:color="auto" w:sz="6" w:space="0"/>
              <w:bottom w:val="single" w:color="auto" w:sz="6" w:space="0"/>
              <w:right w:val="single" w:color="auto" w:sz="6" w:space="0"/>
            </w:tcBorders>
            <w:vAlign w:val="center"/>
          </w:tcPr>
          <w:p w14:paraId="052E2A0C">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1129" w:type="dxa"/>
            <w:tcBorders>
              <w:top w:val="single" w:color="auto" w:sz="6" w:space="0"/>
              <w:left w:val="single" w:color="auto" w:sz="6" w:space="0"/>
              <w:bottom w:val="single" w:color="auto" w:sz="6" w:space="0"/>
              <w:right w:val="single" w:color="auto" w:sz="6" w:space="0"/>
            </w:tcBorders>
            <w:vAlign w:val="center"/>
          </w:tcPr>
          <w:p w14:paraId="3DA1B731">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4080" w:type="dxa"/>
            <w:gridSpan w:val="2"/>
            <w:tcBorders>
              <w:top w:val="single" w:color="auto" w:sz="6" w:space="0"/>
              <w:left w:val="single" w:color="auto" w:sz="6" w:space="0"/>
              <w:bottom w:val="single" w:color="auto" w:sz="6" w:space="0"/>
            </w:tcBorders>
            <w:vAlign w:val="center"/>
          </w:tcPr>
          <w:p w14:paraId="32381A9B">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r>
      <w:tr w14:paraId="0134DC9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3773" w:type="dxa"/>
            <w:gridSpan w:val="5"/>
            <w:tcBorders>
              <w:top w:val="single" w:color="auto" w:sz="6" w:space="0"/>
              <w:bottom w:val="single" w:color="auto" w:sz="6" w:space="0"/>
              <w:right w:val="single" w:color="auto" w:sz="6" w:space="0"/>
            </w:tcBorders>
            <w:vAlign w:val="center"/>
          </w:tcPr>
          <w:p w14:paraId="40F94C18">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922" w:type="dxa"/>
            <w:gridSpan w:val="2"/>
            <w:tcBorders>
              <w:top w:val="single" w:color="auto" w:sz="6" w:space="0"/>
              <w:left w:val="single" w:color="auto" w:sz="6" w:space="0"/>
              <w:bottom w:val="single" w:color="auto" w:sz="6" w:space="0"/>
              <w:right w:val="single" w:color="auto" w:sz="6" w:space="0"/>
            </w:tcBorders>
            <w:vAlign w:val="center"/>
          </w:tcPr>
          <w:p w14:paraId="0AEB38AC">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1129" w:type="dxa"/>
            <w:tcBorders>
              <w:top w:val="single" w:color="auto" w:sz="6" w:space="0"/>
              <w:left w:val="single" w:color="auto" w:sz="6" w:space="0"/>
              <w:bottom w:val="single" w:color="auto" w:sz="6" w:space="0"/>
              <w:right w:val="single" w:color="auto" w:sz="6" w:space="0"/>
            </w:tcBorders>
            <w:vAlign w:val="center"/>
          </w:tcPr>
          <w:p w14:paraId="312A9D7F">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c>
          <w:tcPr>
            <w:tcW w:w="4080" w:type="dxa"/>
            <w:gridSpan w:val="2"/>
            <w:tcBorders>
              <w:top w:val="single" w:color="auto" w:sz="6" w:space="0"/>
              <w:left w:val="single" w:color="auto" w:sz="6" w:space="0"/>
              <w:bottom w:val="single" w:color="auto" w:sz="6" w:space="0"/>
            </w:tcBorders>
            <w:vAlign w:val="center"/>
          </w:tcPr>
          <w:p w14:paraId="1ECA8040">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p>
        </w:tc>
      </w:tr>
      <w:tr w14:paraId="4E3B24B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777" w:hRule="atLeast"/>
          <w:jc w:val="center"/>
        </w:trPr>
        <w:tc>
          <w:tcPr>
            <w:tcW w:w="1311" w:type="dxa"/>
            <w:gridSpan w:val="2"/>
            <w:tcBorders>
              <w:top w:val="single" w:color="auto" w:sz="6" w:space="0"/>
              <w:right w:val="single" w:color="auto" w:sz="6" w:space="0"/>
            </w:tcBorders>
            <w:vAlign w:val="center"/>
          </w:tcPr>
          <w:p w14:paraId="2A1413DF">
            <w:pPr>
              <w:keepNext w:val="0"/>
              <w:keepLines w:val="0"/>
              <w:suppressLineNumbers w:val="0"/>
              <w:topLinePunct/>
              <w:spacing w:before="0" w:beforeAutospacing="0" w:after="0" w:afterAutospacing="0" w:line="460" w:lineRule="exact"/>
              <w:ind w:left="0" w:right="23" w:rightChars="11"/>
              <w:jc w:val="center"/>
              <w:rPr>
                <w:rFonts w:hint="default"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备注</w:t>
            </w:r>
          </w:p>
        </w:tc>
        <w:tc>
          <w:tcPr>
            <w:tcW w:w="8593" w:type="dxa"/>
            <w:gridSpan w:val="8"/>
            <w:tcBorders>
              <w:top w:val="single" w:color="auto" w:sz="6" w:space="0"/>
              <w:left w:val="single" w:color="auto" w:sz="6" w:space="0"/>
            </w:tcBorders>
            <w:vAlign w:val="center"/>
          </w:tcPr>
          <w:p w14:paraId="245CA1C9">
            <w:pPr>
              <w:keepNext w:val="0"/>
              <w:keepLines w:val="0"/>
              <w:suppressLineNumbers w:val="0"/>
              <w:topLinePunct/>
              <w:spacing w:before="0" w:beforeAutospacing="0" w:after="0" w:afterAutospacing="0" w:line="460" w:lineRule="exact"/>
              <w:ind w:left="0" w:right="23" w:rightChars="11"/>
              <w:rPr>
                <w:rFonts w:hint="default"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提供营业执照</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副本复印件)</w:t>
            </w:r>
            <w:r>
              <w:rPr>
                <w:rFonts w:hint="eastAsia" w:ascii="宋体" w:hAnsi="宋体" w:cs="宋体"/>
                <w:color w:val="000000" w:themeColor="text1"/>
                <w:highlight w:val="none"/>
                <w14:textFill>
                  <w14:solidFill>
                    <w14:schemeClr w14:val="tx1"/>
                  </w14:solidFill>
                </w14:textFill>
              </w:rPr>
              <w:t>，及按磋商文件相关要求提供。</w:t>
            </w:r>
          </w:p>
        </w:tc>
      </w:tr>
    </w:tbl>
    <w:p w14:paraId="4FD128DD">
      <w:pPr>
        <w:adjustRightInd w:val="0"/>
        <w:snapToGrid w:val="0"/>
        <w:spacing w:line="460" w:lineRule="exact"/>
        <w:ind w:right="23" w:rightChars="11"/>
        <w:jc w:val="center"/>
        <w:rPr>
          <w:rFonts w:ascii="宋体" w:hAnsi="宋体"/>
          <w:color w:val="000000" w:themeColor="text1"/>
          <w:sz w:val="24"/>
          <w:highlight w:val="none"/>
          <w14:textFill>
            <w14:solidFill>
              <w14:schemeClr w14:val="tx1"/>
            </w14:solidFill>
          </w14:textFill>
        </w:rPr>
      </w:pPr>
    </w:p>
    <w:p w14:paraId="7EBAB2BF">
      <w:pPr>
        <w:spacing w:line="460" w:lineRule="exact"/>
        <w:ind w:right="23" w:rightChars="11"/>
        <w:jc w:val="left"/>
        <w:rPr>
          <w:rFonts w:ascii="宋体" w:hAnsi="宋体"/>
          <w:color w:val="000000" w:themeColor="text1"/>
          <w:sz w:val="24"/>
          <w:highlight w:val="none"/>
          <w14:textFill>
            <w14:solidFill>
              <w14:schemeClr w14:val="tx1"/>
            </w14:solidFill>
          </w14:textFill>
        </w:rPr>
      </w:pPr>
    </w:p>
    <w:p w14:paraId="7EEA7181">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磋商文件规定的基本资格条件证明资料</w:t>
      </w:r>
    </w:p>
    <w:p w14:paraId="1C73F564">
      <w:pPr>
        <w:adjustRightInd w:val="0"/>
        <w:snapToGrid w:val="0"/>
        <w:spacing w:line="460" w:lineRule="exact"/>
        <w:ind w:right="23" w:rightChars="11"/>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备注：</w:t>
      </w:r>
    </w:p>
    <w:p w14:paraId="7F1FA257">
      <w:pPr>
        <w:adjustRightInd w:val="0"/>
        <w:snapToGrid w:val="0"/>
        <w:spacing w:line="460" w:lineRule="exact"/>
        <w:ind w:right="23" w:rightChars="11"/>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1、符合法定条件的供应商按《</w:t>
      </w:r>
      <w:r>
        <w:rPr>
          <w:rFonts w:ascii="宋体" w:hAnsi="宋体" w:cs="宋体"/>
          <w:color w:val="000000" w:themeColor="text1"/>
          <w:kern w:val="0"/>
          <w:szCs w:val="21"/>
          <w:highlight w:val="none"/>
          <w:lang w:val="zh-CN"/>
          <w14:textFill>
            <w14:solidFill>
              <w14:schemeClr w14:val="tx1"/>
            </w14:solidFill>
          </w14:textFill>
        </w:rPr>
        <w:t>湖南省财政厅关于政府采购促进中小企业发展有关措施的通知</w:t>
      </w:r>
      <w:r>
        <w:rPr>
          <w:rFonts w:hint="eastAsia" w:ascii="宋体" w:hAnsi="宋体" w:cs="宋体"/>
          <w:color w:val="000000" w:themeColor="text1"/>
          <w:kern w:val="0"/>
          <w:szCs w:val="21"/>
          <w:highlight w:val="none"/>
          <w:lang w:val="zh-CN"/>
          <w14:textFill>
            <w14:solidFill>
              <w14:schemeClr w14:val="tx1"/>
            </w14:solidFill>
          </w14:textFill>
        </w:rPr>
        <w:t>》（湘财购</w:t>
      </w:r>
      <w:r>
        <w:rPr>
          <w:rFonts w:hint="eastAsia" w:ascii="宋体" w:hAnsi="宋体" w:cs="宋体"/>
          <w:color w:val="000000" w:themeColor="text1"/>
          <w:kern w:val="0"/>
          <w:szCs w:val="21"/>
          <w:highlight w:val="none"/>
          <w14:textFill>
            <w14:solidFill>
              <w14:schemeClr w14:val="tx1"/>
            </w14:solidFill>
          </w14:textFill>
        </w:rPr>
        <w:t>[2022]17号）文件的相关要求提供《湖南省政府采购供应商资格承诺函》或供应商在金融机构办理电子增信取得对应信用星级的证明材料；</w:t>
      </w:r>
    </w:p>
    <w:p w14:paraId="1C8958FE">
      <w:pPr>
        <w:spacing w:line="460" w:lineRule="exact"/>
        <w:ind w:right="23" w:rightChars="1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p>
    <w:p w14:paraId="5CB7710E">
      <w:pPr>
        <w:pStyle w:val="291"/>
        <w:adjustRightInd w:val="0"/>
        <w:snapToGrid w:val="0"/>
        <w:spacing w:line="360" w:lineRule="auto"/>
        <w:ind w:firstLine="2670" w:firstLineChars="950"/>
        <w:rPr>
          <w:rFonts w:ascii="宋体" w:hAnsi="宋体"/>
          <w:b/>
          <w:color w:val="000000" w:themeColor="text1"/>
          <w:kern w:val="2"/>
          <w:sz w:val="28"/>
          <w:szCs w:val="28"/>
          <w:highlight w:val="none"/>
          <w14:textFill>
            <w14:solidFill>
              <w14:schemeClr w14:val="tx1"/>
            </w14:solidFill>
          </w14:textFill>
        </w:rPr>
      </w:pPr>
      <w:r>
        <w:rPr>
          <w:rFonts w:hint="eastAsia" w:ascii="宋体" w:hAnsi="宋体"/>
          <w:b/>
          <w:color w:val="000000" w:themeColor="text1"/>
          <w:kern w:val="2"/>
          <w:sz w:val="28"/>
          <w:szCs w:val="28"/>
          <w:highlight w:val="none"/>
          <w14:textFill>
            <w14:solidFill>
              <w14:schemeClr w14:val="tx1"/>
            </w14:solidFill>
          </w14:textFill>
        </w:rPr>
        <w:t>投标人资格声明</w:t>
      </w:r>
    </w:p>
    <w:p w14:paraId="0FDA07AD">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致</w:t>
      </w:r>
      <w:r>
        <w:rPr>
          <w:rFonts w:hint="eastAsia" w:ascii="宋体" w:hAnsi="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cs="宋体"/>
          <w:color w:val="000000" w:themeColor="text1"/>
          <w:kern w:val="2"/>
          <w:sz w:val="21"/>
          <w:szCs w:val="21"/>
          <w:highlight w:val="none"/>
          <w14:textFill>
            <w14:solidFill>
              <w14:schemeClr w14:val="tx1"/>
            </w14:solidFill>
          </w14:textFill>
        </w:rPr>
        <w:t>(采购人、采购代理机构):</w:t>
      </w:r>
    </w:p>
    <w:p w14:paraId="2D2FA2F5">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按照《中华人民共和国政府采购法》第二十二条和招标文件的规定,我单位郑重声明如下:</w:t>
      </w:r>
    </w:p>
    <w:p w14:paraId="40046B06">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一、我单位是按照中华人民共和国法律规定登记注册的,注册地点为</w:t>
      </w:r>
      <w:r>
        <w:rPr>
          <w:rFonts w:hint="eastAsia" w:ascii="宋体" w:hAnsi="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cs="宋体"/>
          <w:color w:val="000000" w:themeColor="text1"/>
          <w:kern w:val="2"/>
          <w:sz w:val="21"/>
          <w:szCs w:val="21"/>
          <w:highlight w:val="none"/>
          <w14:textFill>
            <w14:solidFill>
              <w14:schemeClr w14:val="tx1"/>
            </w14:solidFill>
          </w14:textFill>
        </w:rPr>
        <w:t>，全称为</w:t>
      </w:r>
      <w:r>
        <w:rPr>
          <w:rFonts w:hint="eastAsia" w:ascii="宋体" w:hAnsi="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cs="宋体"/>
          <w:color w:val="000000" w:themeColor="text1"/>
          <w:kern w:val="2"/>
          <w:sz w:val="21"/>
          <w:szCs w:val="21"/>
          <w:highlight w:val="none"/>
          <w14:textFill>
            <w14:solidFill>
              <w14:schemeClr w14:val="tx1"/>
            </w14:solidFill>
          </w14:textFill>
        </w:rPr>
        <w:t xml:space="preserve"> ,统一社会信用代码为</w:t>
      </w:r>
      <w:r>
        <w:rPr>
          <w:rFonts w:hint="eastAsia" w:ascii="宋体" w:hAnsi="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cs="宋体"/>
          <w:color w:val="000000" w:themeColor="text1"/>
          <w:kern w:val="2"/>
          <w:sz w:val="21"/>
          <w:szCs w:val="21"/>
          <w:highlight w:val="none"/>
          <w14:textFill>
            <w14:solidFill>
              <w14:schemeClr w14:val="tx1"/>
            </w14:solidFill>
          </w14:textFill>
        </w:rPr>
        <w:t>，法定代表人(单位负责人)为</w:t>
      </w:r>
      <w:r>
        <w:rPr>
          <w:rFonts w:hint="eastAsia" w:ascii="宋体" w:hAnsi="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cs="宋体"/>
          <w:color w:val="000000" w:themeColor="text1"/>
          <w:kern w:val="2"/>
          <w:sz w:val="21"/>
          <w:szCs w:val="21"/>
          <w:highlight w:val="none"/>
          <w14:textFill>
            <w14:solidFill>
              <w14:schemeClr w14:val="tx1"/>
            </w14:solidFill>
          </w14:textFill>
        </w:rPr>
        <w:t>，具有独立承担民事责任的能力。</w:t>
      </w:r>
    </w:p>
    <w:p w14:paraId="0E99362A">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二、我单位未被“国家企业信用信息系统”列入经营异常名录或者严重违法企业名单。</w:t>
      </w:r>
    </w:p>
    <w:p w14:paraId="492C8227">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三、我单位具有良好的商业信誉和健全的财务会计制度。</w:t>
      </w:r>
    </w:p>
    <w:p w14:paraId="11C3AF44">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四、我单位依法进行纳税和社会保险申报并实际履行了义务。</w:t>
      </w:r>
    </w:p>
    <w:p w14:paraId="0067A676">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五、我单位具有履行本项目采购合同所必需的设备和专业技术能力,并具有履行合同的良好记录。</w:t>
      </w:r>
    </w:p>
    <w:p w14:paraId="1156BFF6">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在参加政府采购活动前 3 年内因违法经营被禁止在一定期限内参加政府采购活动,期限届满的,可以参加政府采购活动。</w:t>
      </w:r>
    </w:p>
    <w:p w14:paraId="649C0567">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七、我单位具备法律、行政法规规定的其他条件。</w:t>
      </w:r>
    </w:p>
    <w:p w14:paraId="15C9988B">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八、与我单位存在“单位负责人为同一人或者存在直接控股、管理关系”的其他单位信息如下(如无,填写“无”):</w:t>
      </w:r>
    </w:p>
    <w:p w14:paraId="22E495B4">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1、与我单位的法定代表人(单位负责人)为同一人的其他单位如下:</w:t>
      </w:r>
    </w:p>
    <w:p w14:paraId="7AE93317">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2、我单位直接控股的其他单位如下:</w:t>
      </w:r>
    </w:p>
    <w:p w14:paraId="3B44544B">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3、与我单位存在管理关系的其他单位如下:</w:t>
      </w:r>
    </w:p>
    <w:p w14:paraId="351C6E12">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九、我单位不属于为本项目提供整体设计、规范编制或者项目管理、监理、检测等服务的投标人。</w:t>
      </w:r>
    </w:p>
    <w:p w14:paraId="1205C1DD">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十、我单位无以下不良信用记录情形:</w:t>
      </w:r>
    </w:p>
    <w:p w14:paraId="291DEF8F">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1、在“信用中国”网站被列入失信被执行人和重大税收违法案件当事人名单;</w:t>
      </w:r>
    </w:p>
    <w:p w14:paraId="37A23801">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2、在“中国政府采购网”网站被列入政府采购严重违法失信行为记录名单;</w:t>
      </w:r>
    </w:p>
    <w:p w14:paraId="123B0391">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3、不符合《政府采购法》第二十二条规定的条件。</w:t>
      </w:r>
    </w:p>
    <w:p w14:paraId="2BACBFCD">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我单位保证上述声明的事项都是真实的,如有虚假,我单位愿意承担相应的法律责任,并承担因此所造成的一切损失。</w:t>
      </w:r>
    </w:p>
    <w:p w14:paraId="4F13E493">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注:第三条“良好的商业信誉”是指投标人经营状况良好,无本资格声明第十条情形。</w:t>
      </w:r>
    </w:p>
    <w:p w14:paraId="3DDAA4ED">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p>
    <w:p w14:paraId="71951E1E">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p>
    <w:p w14:paraId="2D62CA65">
      <w:pPr>
        <w:pStyle w:val="291"/>
        <w:spacing w:line="400" w:lineRule="exact"/>
        <w:ind w:firstLine="420" w:firstLineChars="20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投标人名称(单位签章):</w:t>
      </w:r>
      <w:r>
        <w:rPr>
          <w:rFonts w:hint="eastAsia" w:ascii="宋体" w:hAnsi="宋体" w:cs="宋体"/>
          <w:color w:val="000000" w:themeColor="text1"/>
          <w:kern w:val="2"/>
          <w:sz w:val="21"/>
          <w:szCs w:val="21"/>
          <w:highlight w:val="none"/>
          <w:u w:val="single"/>
          <w14:textFill>
            <w14:solidFill>
              <w14:schemeClr w14:val="tx1"/>
            </w14:solidFill>
          </w14:textFill>
        </w:rPr>
        <w:t xml:space="preserve">                  </w:t>
      </w:r>
    </w:p>
    <w:p w14:paraId="11007CA0">
      <w:pPr>
        <w:pStyle w:val="291"/>
        <w:spacing w:line="400" w:lineRule="exact"/>
        <w:ind w:firstLine="420"/>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日期:</w:t>
      </w:r>
      <w:r>
        <w:rPr>
          <w:rFonts w:hint="eastAsia" w:ascii="宋体" w:hAnsi="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cs="宋体"/>
          <w:color w:val="000000" w:themeColor="text1"/>
          <w:kern w:val="2"/>
          <w:sz w:val="21"/>
          <w:szCs w:val="21"/>
          <w:highlight w:val="none"/>
          <w14:textFill>
            <w14:solidFill>
              <w14:schemeClr w14:val="tx1"/>
            </w14:solidFill>
          </w14:textFill>
        </w:rPr>
        <w:t>年</w:t>
      </w:r>
      <w:r>
        <w:rPr>
          <w:rFonts w:hint="eastAsia" w:ascii="宋体" w:hAnsi="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cs="宋体"/>
          <w:color w:val="000000" w:themeColor="text1"/>
          <w:kern w:val="2"/>
          <w:sz w:val="21"/>
          <w:szCs w:val="21"/>
          <w:highlight w:val="none"/>
          <w14:textFill>
            <w14:solidFill>
              <w14:schemeClr w14:val="tx1"/>
            </w14:solidFill>
          </w14:textFill>
        </w:rPr>
        <w:t>月</w:t>
      </w:r>
      <w:r>
        <w:rPr>
          <w:rFonts w:hint="eastAsia" w:ascii="宋体" w:hAnsi="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cs="宋体"/>
          <w:color w:val="000000" w:themeColor="text1"/>
          <w:kern w:val="2"/>
          <w:sz w:val="21"/>
          <w:szCs w:val="21"/>
          <w:highlight w:val="none"/>
          <w14:textFill>
            <w14:solidFill>
              <w14:schemeClr w14:val="tx1"/>
            </w14:solidFill>
          </w14:textFill>
        </w:rPr>
        <w:t>日</w:t>
      </w:r>
    </w:p>
    <w:p w14:paraId="12642EBF">
      <w:pPr>
        <w:spacing w:line="460" w:lineRule="exact"/>
        <w:ind w:right="23" w:rightChars="1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p>
    <w:p w14:paraId="1CCD6FC5">
      <w:pPr>
        <w:spacing w:line="360" w:lineRule="auto"/>
        <w:jc w:val="center"/>
        <w:rPr>
          <w:rFonts w:ascii="宋体" w:hAnsi="宋体" w:cs="仿宋"/>
          <w:color w:val="000000" w:themeColor="text1"/>
          <w:sz w:val="32"/>
          <w:szCs w:val="40"/>
          <w:highlight w:val="none"/>
          <w:lang w:val="zh-CN"/>
          <w14:textFill>
            <w14:solidFill>
              <w14:schemeClr w14:val="tx1"/>
            </w14:solidFill>
          </w14:textFill>
        </w:rPr>
      </w:pPr>
      <w:r>
        <w:rPr>
          <w:rFonts w:hint="eastAsia" w:ascii="宋体" w:hAnsi="宋体" w:cs="仿宋"/>
          <w:color w:val="000000" w:themeColor="text1"/>
          <w:sz w:val="32"/>
          <w:szCs w:val="40"/>
          <w:highlight w:val="none"/>
          <w:lang w:val="zh-CN"/>
          <w14:textFill>
            <w14:solidFill>
              <w14:schemeClr w14:val="tx1"/>
            </w14:solidFill>
          </w14:textFill>
        </w:rPr>
        <w:t>湖南省政府采购供应商资格承诺函</w:t>
      </w:r>
    </w:p>
    <w:p w14:paraId="441730AE">
      <w:pPr>
        <w:spacing w:line="360" w:lineRule="auto"/>
        <w:jc w:val="center"/>
        <w:rPr>
          <w:rFonts w:ascii="宋体" w:hAnsi="宋体" w:cs="仿宋"/>
          <w:color w:val="000000" w:themeColor="text1"/>
          <w:sz w:val="32"/>
          <w:szCs w:val="40"/>
          <w:highlight w:val="none"/>
          <w:lang w:val="zh-CN"/>
          <w14:textFill>
            <w14:solidFill>
              <w14:schemeClr w14:val="tx1"/>
            </w14:solidFill>
          </w14:textFill>
        </w:rPr>
      </w:pPr>
    </w:p>
    <w:p w14:paraId="40082BD7">
      <w:pPr>
        <w:spacing w:line="360" w:lineRule="auto"/>
        <w:ind w:firstLine="480" w:firstLineChars="200"/>
        <w:rPr>
          <w:rFonts w:ascii="宋体" w:hAnsi="宋体" w:cs="仿宋"/>
          <w:color w:val="000000" w:themeColor="text1"/>
          <w:sz w:val="24"/>
          <w:szCs w:val="32"/>
          <w:highlight w:val="none"/>
          <w:lang w:val="zh-CN"/>
          <w14:textFill>
            <w14:solidFill>
              <w14:schemeClr w14:val="tx1"/>
            </w14:solidFill>
          </w14:textFill>
        </w:rPr>
      </w:pPr>
      <w:r>
        <w:rPr>
          <w:rFonts w:hint="eastAsia" w:ascii="宋体" w:hAnsi="宋体" w:cs="仿宋"/>
          <w:color w:val="000000" w:themeColor="text1"/>
          <w:sz w:val="24"/>
          <w:szCs w:val="32"/>
          <w:highlight w:val="none"/>
          <w:lang w:val="zh-CN"/>
          <w14:textFill>
            <w14:solidFill>
              <w14:schemeClr w14:val="tx1"/>
            </w14:solidFill>
          </w14:textFill>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4C57D8F8">
      <w:pPr>
        <w:spacing w:line="360" w:lineRule="auto"/>
        <w:ind w:firstLine="480" w:firstLineChars="200"/>
        <w:rPr>
          <w:rFonts w:ascii="宋体" w:hAnsi="宋体" w:cs="仿宋"/>
          <w:color w:val="000000" w:themeColor="text1"/>
          <w:sz w:val="24"/>
          <w:szCs w:val="32"/>
          <w:highlight w:val="none"/>
          <w:lang w:val="zh-CN"/>
          <w14:textFill>
            <w14:solidFill>
              <w14:schemeClr w14:val="tx1"/>
            </w14:solidFill>
          </w14:textFill>
        </w:rPr>
      </w:pPr>
      <w:r>
        <w:rPr>
          <w:rFonts w:hint="eastAsia" w:ascii="宋体" w:hAnsi="宋体" w:cs="仿宋"/>
          <w:color w:val="000000" w:themeColor="text1"/>
          <w:sz w:val="24"/>
          <w:szCs w:val="32"/>
          <w:highlight w:val="none"/>
          <w:lang w:val="zh-CN"/>
          <w14:textFill>
            <w14:solidFill>
              <w14:schemeClr w14:val="tx1"/>
            </w14:solidFill>
          </w14:textFill>
        </w:rPr>
        <w:t>按照《政府采购促进中小企业发展管理办法》（财库[2020]46号），本公司企业规模为：大型□</w:t>
      </w:r>
      <w:r>
        <w:rPr>
          <w:rFonts w:hint="eastAsia" w:ascii="宋体" w:hAnsi="宋体" w:cs="仿宋"/>
          <w:color w:val="000000" w:themeColor="text1"/>
          <w:sz w:val="24"/>
          <w:szCs w:val="32"/>
          <w:highlight w:val="none"/>
          <w14:textFill>
            <w14:solidFill>
              <w14:schemeClr w14:val="tx1"/>
            </w14:solidFill>
          </w14:textFill>
        </w:rPr>
        <w:t xml:space="preserve"> </w:t>
      </w:r>
      <w:r>
        <w:rPr>
          <w:rFonts w:hint="eastAsia" w:ascii="宋体" w:hAnsi="宋体" w:cs="仿宋"/>
          <w:color w:val="000000" w:themeColor="text1"/>
          <w:sz w:val="24"/>
          <w:szCs w:val="32"/>
          <w:highlight w:val="none"/>
          <w:lang w:val="zh-CN"/>
          <w14:textFill>
            <w14:solidFill>
              <w14:schemeClr w14:val="tx1"/>
            </w14:solidFill>
          </w14:textFill>
        </w:rPr>
        <w:t>中型□</w:t>
      </w:r>
      <w:r>
        <w:rPr>
          <w:rFonts w:hint="eastAsia" w:ascii="宋体" w:hAnsi="宋体" w:cs="仿宋"/>
          <w:color w:val="000000" w:themeColor="text1"/>
          <w:sz w:val="24"/>
          <w:szCs w:val="32"/>
          <w:highlight w:val="none"/>
          <w14:textFill>
            <w14:solidFill>
              <w14:schemeClr w14:val="tx1"/>
            </w14:solidFill>
          </w14:textFill>
        </w:rPr>
        <w:t xml:space="preserve"> </w:t>
      </w:r>
      <w:r>
        <w:rPr>
          <w:rFonts w:hint="eastAsia" w:ascii="宋体" w:hAnsi="宋体" w:cs="仿宋"/>
          <w:color w:val="000000" w:themeColor="text1"/>
          <w:sz w:val="24"/>
          <w:szCs w:val="32"/>
          <w:highlight w:val="none"/>
          <w:lang w:val="zh-CN"/>
          <w14:textFill>
            <w14:solidFill>
              <w14:schemeClr w14:val="tx1"/>
            </w14:solidFill>
          </w14:textFill>
        </w:rPr>
        <w:t>小型□</w:t>
      </w:r>
      <w:r>
        <w:rPr>
          <w:rFonts w:hint="eastAsia" w:ascii="宋体" w:hAnsi="宋体" w:cs="仿宋"/>
          <w:color w:val="000000" w:themeColor="text1"/>
          <w:sz w:val="24"/>
          <w:szCs w:val="32"/>
          <w:highlight w:val="none"/>
          <w14:textFill>
            <w14:solidFill>
              <w14:schemeClr w14:val="tx1"/>
            </w14:solidFill>
          </w14:textFill>
        </w:rPr>
        <w:t xml:space="preserve"> </w:t>
      </w:r>
      <w:r>
        <w:rPr>
          <w:rFonts w:hint="eastAsia" w:ascii="宋体" w:hAnsi="宋体" w:cs="仿宋"/>
          <w:color w:val="000000" w:themeColor="text1"/>
          <w:sz w:val="24"/>
          <w:szCs w:val="32"/>
          <w:highlight w:val="none"/>
          <w:lang w:val="zh-CN"/>
          <w14:textFill>
            <w14:solidFill>
              <w14:schemeClr w14:val="tx1"/>
            </w14:solidFill>
          </w14:textFill>
        </w:rPr>
        <w:t>微型□</w:t>
      </w:r>
    </w:p>
    <w:p w14:paraId="6F99C337">
      <w:pPr>
        <w:spacing w:line="360" w:lineRule="auto"/>
        <w:ind w:firstLine="480" w:firstLineChars="200"/>
        <w:rPr>
          <w:rFonts w:ascii="宋体" w:hAnsi="宋体" w:cs="仿宋"/>
          <w:color w:val="000000" w:themeColor="text1"/>
          <w:sz w:val="24"/>
          <w:szCs w:val="32"/>
          <w:highlight w:val="none"/>
          <w:lang w:val="zh-CN"/>
          <w14:textFill>
            <w14:solidFill>
              <w14:schemeClr w14:val="tx1"/>
            </w14:solidFill>
          </w14:textFill>
        </w:rPr>
      </w:pPr>
    </w:p>
    <w:p w14:paraId="5E5A70BB">
      <w:pPr>
        <w:spacing w:line="360" w:lineRule="auto"/>
        <w:ind w:firstLine="480" w:firstLineChars="200"/>
        <w:rPr>
          <w:rFonts w:ascii="宋体" w:hAnsi="宋体" w:cs="仿宋"/>
          <w:color w:val="000000" w:themeColor="text1"/>
          <w:sz w:val="24"/>
          <w:szCs w:val="32"/>
          <w:highlight w:val="none"/>
          <w:lang w:val="zh-CN"/>
          <w14:textFill>
            <w14:solidFill>
              <w14:schemeClr w14:val="tx1"/>
            </w14:solidFill>
          </w14:textFill>
        </w:rPr>
      </w:pPr>
    </w:p>
    <w:p w14:paraId="6EE14A34">
      <w:pPr>
        <w:spacing w:line="360" w:lineRule="auto"/>
        <w:ind w:firstLine="5520" w:firstLineChars="2300"/>
        <w:rPr>
          <w:rFonts w:ascii="宋体" w:hAnsi="宋体" w:cs="仿宋"/>
          <w:color w:val="000000" w:themeColor="text1"/>
          <w:sz w:val="24"/>
          <w:szCs w:val="32"/>
          <w:highlight w:val="none"/>
          <w14:textFill>
            <w14:solidFill>
              <w14:schemeClr w14:val="tx1"/>
            </w14:solidFill>
          </w14:textFill>
        </w:rPr>
      </w:pPr>
      <w:r>
        <w:rPr>
          <w:rFonts w:hint="eastAsia" w:ascii="宋体" w:hAnsi="宋体" w:cs="仿宋"/>
          <w:color w:val="000000" w:themeColor="text1"/>
          <w:sz w:val="24"/>
          <w:szCs w:val="32"/>
          <w:highlight w:val="none"/>
          <w:lang w:val="zh-CN"/>
          <w14:textFill>
            <w14:solidFill>
              <w14:schemeClr w14:val="tx1"/>
            </w14:solidFill>
          </w14:textFill>
        </w:rPr>
        <w:t>公司（单位）名称（盖章）</w:t>
      </w:r>
    </w:p>
    <w:p w14:paraId="24DEA23B">
      <w:pPr>
        <w:spacing w:line="360" w:lineRule="auto"/>
        <w:ind w:firstLine="6480" w:firstLineChars="2700"/>
        <w:rPr>
          <w:rFonts w:ascii="宋体" w:hAnsi="宋体" w:cs="仿宋"/>
          <w:color w:val="000000" w:themeColor="text1"/>
          <w:sz w:val="24"/>
          <w:szCs w:val="32"/>
          <w:highlight w:val="none"/>
          <w:lang w:val="zh-CN"/>
          <w14:textFill>
            <w14:solidFill>
              <w14:schemeClr w14:val="tx1"/>
            </w14:solidFill>
          </w14:textFill>
        </w:rPr>
      </w:pPr>
      <w:r>
        <w:rPr>
          <w:rFonts w:ascii="宋体" w:hAnsi="宋体" w:cs="仿宋"/>
          <w:color w:val="000000" w:themeColor="text1"/>
          <w:sz w:val="24"/>
          <w:szCs w:val="32"/>
          <w:highlight w:val="none"/>
          <w:lang w:val="zh-CN"/>
          <w14:textFill>
            <w14:solidFill>
              <w14:schemeClr w14:val="tx1"/>
            </w14:solidFill>
          </w14:textFill>
        </w:rPr>
        <w:t>年</w:t>
      </w:r>
      <w:r>
        <w:rPr>
          <w:rFonts w:hint="eastAsia" w:ascii="宋体" w:hAnsi="宋体" w:cs="仿宋"/>
          <w:color w:val="000000" w:themeColor="text1"/>
          <w:sz w:val="24"/>
          <w:szCs w:val="32"/>
          <w:highlight w:val="none"/>
          <w:u w:val="single"/>
          <w14:textFill>
            <w14:solidFill>
              <w14:schemeClr w14:val="tx1"/>
            </w14:solidFill>
          </w14:textFill>
        </w:rPr>
        <w:t xml:space="preserve">   </w:t>
      </w:r>
      <w:r>
        <w:rPr>
          <w:rFonts w:ascii="宋体" w:hAnsi="宋体" w:cs="仿宋"/>
          <w:color w:val="000000" w:themeColor="text1"/>
          <w:sz w:val="24"/>
          <w:szCs w:val="32"/>
          <w:highlight w:val="none"/>
          <w:lang w:val="zh-CN"/>
          <w14:textFill>
            <w14:solidFill>
              <w14:schemeClr w14:val="tx1"/>
            </w14:solidFill>
          </w14:textFill>
        </w:rPr>
        <w:t>月</w:t>
      </w:r>
      <w:r>
        <w:rPr>
          <w:rFonts w:hint="eastAsia" w:ascii="宋体" w:hAnsi="宋体" w:cs="仿宋"/>
          <w:color w:val="000000" w:themeColor="text1"/>
          <w:sz w:val="24"/>
          <w:szCs w:val="32"/>
          <w:highlight w:val="none"/>
          <w:u w:val="single"/>
          <w14:textFill>
            <w14:solidFill>
              <w14:schemeClr w14:val="tx1"/>
            </w14:solidFill>
          </w14:textFill>
        </w:rPr>
        <w:t xml:space="preserve">   </w:t>
      </w:r>
      <w:r>
        <w:rPr>
          <w:rFonts w:ascii="宋体" w:hAnsi="宋体" w:cs="仿宋"/>
          <w:color w:val="000000" w:themeColor="text1"/>
          <w:sz w:val="24"/>
          <w:szCs w:val="32"/>
          <w:highlight w:val="none"/>
          <w:lang w:val="zh-CN"/>
          <w14:textFill>
            <w14:solidFill>
              <w14:schemeClr w14:val="tx1"/>
            </w14:solidFill>
          </w14:textFill>
        </w:rPr>
        <w:t>日</w:t>
      </w:r>
    </w:p>
    <w:p w14:paraId="2F8E848A">
      <w:pPr>
        <w:spacing w:line="360" w:lineRule="auto"/>
        <w:ind w:firstLine="480" w:firstLineChars="200"/>
        <w:rPr>
          <w:rFonts w:ascii="宋体" w:hAnsi="宋体" w:cs="仿宋"/>
          <w:color w:val="000000" w:themeColor="text1"/>
          <w:sz w:val="24"/>
          <w:szCs w:val="32"/>
          <w:highlight w:val="none"/>
          <w:lang w:val="zh-CN"/>
          <w14:textFill>
            <w14:solidFill>
              <w14:schemeClr w14:val="tx1"/>
            </w14:solidFill>
          </w14:textFill>
        </w:rPr>
      </w:pPr>
    </w:p>
    <w:p w14:paraId="29A8C699">
      <w:pPr>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供应商机构代码：</w:t>
      </w:r>
    </w:p>
    <w:p w14:paraId="03156021">
      <w:pPr>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注册登记机构：</w:t>
      </w:r>
    </w:p>
    <w:p w14:paraId="40712C82">
      <w:pPr>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日期：</w:t>
      </w:r>
    </w:p>
    <w:p w14:paraId="1F1E12D6">
      <w:pPr>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有效期：</w:t>
      </w:r>
    </w:p>
    <w:p w14:paraId="64493D4A">
      <w:pPr>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注册资本：</w:t>
      </w:r>
    </w:p>
    <w:p w14:paraId="24BDFC38">
      <w:pPr>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地址：</w:t>
      </w:r>
    </w:p>
    <w:p w14:paraId="1EE6E858">
      <w:pPr>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经济行业：</w:t>
      </w:r>
    </w:p>
    <w:p w14:paraId="33FBA5D3">
      <w:pPr>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经济性质：</w:t>
      </w:r>
    </w:p>
    <w:p w14:paraId="31541433">
      <w:pPr>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法定代表人（负责人）姓名（签字）：</w:t>
      </w:r>
    </w:p>
    <w:p w14:paraId="2026EEAF">
      <w:pPr>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法定代表人（负责人）身份证号：</w:t>
      </w:r>
    </w:p>
    <w:p w14:paraId="413D7509">
      <w:pPr>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法定代表人（负责人）手机号</w:t>
      </w:r>
    </w:p>
    <w:p w14:paraId="76163FFF">
      <w:pPr>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授权代表人姓名（签字）：</w:t>
      </w:r>
    </w:p>
    <w:p w14:paraId="217A0196">
      <w:pPr>
        <w:pStyle w:val="2"/>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授权代表人身份证号：</w:t>
      </w:r>
    </w:p>
    <w:p w14:paraId="6744CD6E">
      <w:pPr>
        <w:pStyle w:val="2"/>
        <w:ind w:left="840" w:leftChars="400"/>
        <w:rPr>
          <w:rFonts w:ascii="宋体" w:hAnsi="宋体" w:cs="宋体"/>
          <w:color w:val="000000" w:themeColor="text1"/>
          <w:sz w:val="22"/>
          <w:szCs w:val="28"/>
          <w:highlight w:val="none"/>
          <w:lang w:val="zh-CN"/>
          <w14:textFill>
            <w14:solidFill>
              <w14:schemeClr w14:val="tx1"/>
            </w14:solidFill>
          </w14:textFill>
        </w:rPr>
      </w:pPr>
      <w:r>
        <w:rPr>
          <w:rFonts w:hint="eastAsia" w:ascii="宋体" w:hAnsi="宋体" w:cs="宋体"/>
          <w:color w:val="000000" w:themeColor="text1"/>
          <w:sz w:val="22"/>
          <w:szCs w:val="28"/>
          <w:highlight w:val="none"/>
          <w:lang w:val="zh-CN"/>
          <w14:textFill>
            <w14:solidFill>
              <w14:schemeClr w14:val="tx1"/>
            </w14:solidFill>
          </w14:textFill>
        </w:rPr>
        <w:t>授权代表人手机号：</w:t>
      </w:r>
    </w:p>
    <w:p w14:paraId="0E3CEDFA">
      <w:pPr>
        <w:adjustRightInd w:val="0"/>
        <w:snapToGrid w:val="0"/>
        <w:spacing w:line="360" w:lineRule="auto"/>
        <w:jc w:val="center"/>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br w:type="page"/>
      </w:r>
    </w:p>
    <w:p w14:paraId="3C7FA9F2">
      <w:pPr>
        <w:adjustRightInd w:val="0"/>
        <w:snapToGrid w:val="0"/>
        <w:spacing w:line="360" w:lineRule="auto"/>
        <w:jc w:val="center"/>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参加政府采购活动前三年内在经营活动中没有重大违法记录的书面声明</w:t>
      </w:r>
    </w:p>
    <w:p w14:paraId="4C4FA500">
      <w:pPr>
        <w:rPr>
          <w:rFonts w:ascii="宋体" w:hAnsi="宋体"/>
          <w:color w:val="000000" w:themeColor="text1"/>
          <w:szCs w:val="21"/>
          <w:highlight w:val="none"/>
          <w14:textFill>
            <w14:solidFill>
              <w14:schemeClr w14:val="tx1"/>
            </w14:solidFill>
          </w14:textFill>
        </w:rPr>
      </w:pPr>
    </w:p>
    <w:p w14:paraId="0F6F4538">
      <w:pPr>
        <w:rPr>
          <w:rFonts w:ascii="宋体" w:hAnsi="宋体"/>
          <w:color w:val="000000" w:themeColor="text1"/>
          <w:szCs w:val="21"/>
          <w:highlight w:val="none"/>
          <w14:textFill>
            <w14:solidFill>
              <w14:schemeClr w14:val="tx1"/>
            </w14:solidFill>
          </w14:textFill>
        </w:rPr>
      </w:pPr>
    </w:p>
    <w:p w14:paraId="5534611D">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(采购代理机构)：</w:t>
      </w:r>
    </w:p>
    <w:p w14:paraId="38A27FDB">
      <w:pPr>
        <w:rPr>
          <w:rFonts w:ascii="宋体" w:hAnsi="宋体"/>
          <w:color w:val="000000" w:themeColor="text1"/>
          <w:highlight w:val="none"/>
          <w14:textFill>
            <w14:solidFill>
              <w14:schemeClr w14:val="tx1"/>
            </w14:solidFill>
          </w14:textFill>
        </w:rPr>
      </w:pPr>
    </w:p>
    <w:p w14:paraId="4F1F5908">
      <w:pPr>
        <w:ind w:firstLine="840" w:firstLineChars="4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我单位在参加采购活动前三年内在经营活动中没有政府采购法第二十二条第一款第（五）项和实施条例第十九条所称重大违法记录，包括：</w:t>
      </w:r>
    </w:p>
    <w:p w14:paraId="40B4A210">
      <w:pPr>
        <w:widowControl/>
        <w:adjustRightInd w:val="0"/>
        <w:snapToGrid w:val="0"/>
        <w:spacing w:before="156"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1、因违法经营受到刑事处罚或者责令停产停业、吊销许可证或者执照、较大数额罚款等行政处罚。</w:t>
      </w:r>
    </w:p>
    <w:p w14:paraId="29E3EC9B">
      <w:pPr>
        <w:widowControl/>
        <w:adjustRightInd w:val="0"/>
        <w:snapToGrid w:val="0"/>
        <w:spacing w:before="156"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2、在参加本项目政府采购活动前3年内因违法经营被禁止在一定期限内参加政府采购活动。</w:t>
      </w:r>
    </w:p>
    <w:p w14:paraId="4A38EDED">
      <w:pPr>
        <w:widowControl/>
        <w:adjustRightInd w:val="0"/>
        <w:snapToGrid w:val="0"/>
        <w:spacing w:before="156" w:beforeLines="50"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特此声明！</w:t>
      </w:r>
    </w:p>
    <w:p w14:paraId="4815AD88">
      <w:pPr>
        <w:widowControl/>
        <w:adjustRightInd w:val="0"/>
        <w:snapToGrid w:val="0"/>
        <w:spacing w:before="156" w:beforeLines="50" w:line="360" w:lineRule="auto"/>
        <w:ind w:firstLine="420"/>
        <w:rPr>
          <w:rFonts w:ascii="宋体" w:hAnsi="宋体"/>
          <w:color w:val="000000" w:themeColor="text1"/>
          <w:szCs w:val="21"/>
          <w:highlight w:val="none"/>
          <w14:textFill>
            <w14:solidFill>
              <w14:schemeClr w14:val="tx1"/>
            </w14:solidFill>
          </w14:textFill>
        </w:rPr>
      </w:pPr>
    </w:p>
    <w:p w14:paraId="76FF784A">
      <w:pPr>
        <w:widowControl/>
        <w:adjustRightInd w:val="0"/>
        <w:snapToGrid w:val="0"/>
        <w:spacing w:before="156" w:beforeLines="50" w:line="360" w:lineRule="auto"/>
        <w:ind w:firstLine="420"/>
        <w:rPr>
          <w:rFonts w:ascii="宋体" w:hAnsi="宋体"/>
          <w:color w:val="000000" w:themeColor="text1"/>
          <w:szCs w:val="21"/>
          <w:highlight w:val="none"/>
          <w14:textFill>
            <w14:solidFill>
              <w14:schemeClr w14:val="tx1"/>
            </w14:solidFill>
          </w14:textFill>
        </w:rPr>
      </w:pPr>
    </w:p>
    <w:p w14:paraId="41247D1D">
      <w:pPr>
        <w:adjustRightInd w:val="0"/>
        <w:snapToGrid w:val="0"/>
        <w:spacing w:before="156"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供应商名称（盖章）： </w:t>
      </w:r>
    </w:p>
    <w:p w14:paraId="157520F5">
      <w:pPr>
        <w:adjustRightInd w:val="0"/>
        <w:snapToGrid w:val="0"/>
        <w:spacing w:before="156"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法定代表人（负责人）（签字或盖章）：</w:t>
      </w:r>
      <w:r>
        <w:rPr>
          <w:rFonts w:hint="eastAsia" w:ascii="宋体" w:hAnsi="宋体"/>
          <w:color w:val="000000" w:themeColor="text1"/>
          <w:szCs w:val="21"/>
          <w:highlight w:val="none"/>
          <w:u w:val="single"/>
          <w14:textFill>
            <w14:solidFill>
              <w14:schemeClr w14:val="tx1"/>
            </w14:solidFill>
          </w14:textFill>
        </w:rPr>
        <w:t xml:space="preserve">              </w:t>
      </w:r>
    </w:p>
    <w:p w14:paraId="6A485111">
      <w:pPr>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78D94593">
      <w:pPr>
        <w:spacing w:line="460" w:lineRule="exact"/>
        <w:ind w:right="23" w:rightChars="11"/>
        <w:rPr>
          <w:rFonts w:ascii="宋体" w:hAnsi="宋体"/>
          <w:color w:val="000000" w:themeColor="text1"/>
          <w:sz w:val="24"/>
          <w:highlight w:val="none"/>
          <w14:textFill>
            <w14:solidFill>
              <w14:schemeClr w14:val="tx1"/>
            </w14:solidFill>
          </w14:textFill>
        </w:rPr>
      </w:pPr>
    </w:p>
    <w:p w14:paraId="196E304E">
      <w:pPr>
        <w:spacing w:line="460" w:lineRule="exact"/>
        <w:ind w:right="23" w:rightChars="11"/>
        <w:rPr>
          <w:rFonts w:ascii="宋体" w:hAnsi="宋体"/>
          <w:color w:val="000000" w:themeColor="text1"/>
          <w:sz w:val="24"/>
          <w:highlight w:val="none"/>
          <w14:textFill>
            <w14:solidFill>
              <w14:schemeClr w14:val="tx1"/>
            </w14:solidFill>
          </w14:textFill>
        </w:rPr>
      </w:pPr>
    </w:p>
    <w:p w14:paraId="7262815B">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磋商文件规定的特定资格条件证明资料</w:t>
      </w:r>
    </w:p>
    <w:p w14:paraId="4081403A">
      <w:pPr>
        <w:adjustRightInd w:val="0"/>
        <w:snapToGrid w:val="0"/>
        <w:spacing w:line="460" w:lineRule="exact"/>
        <w:ind w:right="23" w:rightChars="11"/>
        <w:rPr>
          <w:rFonts w:ascii="宋体" w:hAnsi="宋体" w:cs="宋体"/>
          <w:color w:val="000000" w:themeColor="text1"/>
          <w:kern w:val="0"/>
          <w:szCs w:val="21"/>
          <w:highlight w:val="none"/>
          <w14:textFill>
            <w14:solidFill>
              <w14:schemeClr w14:val="tx1"/>
            </w14:solidFill>
          </w14:textFill>
        </w:rPr>
      </w:pPr>
    </w:p>
    <w:p w14:paraId="465EC998">
      <w:pPr>
        <w:adjustRightInd w:val="0"/>
        <w:snapToGrid w:val="0"/>
        <w:spacing w:line="460" w:lineRule="exact"/>
        <w:ind w:right="23" w:rightChars="11"/>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备注：提供第二章 磋商须知第3.1款供应商特定资格条件的证明资料复印件加盖公章。</w:t>
      </w:r>
    </w:p>
    <w:p w14:paraId="75A98FC9">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p>
    <w:p w14:paraId="1F6226B7">
      <w:pPr>
        <w:spacing w:line="460" w:lineRule="exact"/>
        <w:ind w:right="23" w:rightChars="11"/>
        <w:rPr>
          <w:rFonts w:ascii="宋体" w:hAnsi="宋体"/>
          <w:color w:val="000000" w:themeColor="text1"/>
          <w:sz w:val="24"/>
          <w:highlight w:val="none"/>
          <w14:textFill>
            <w14:solidFill>
              <w14:schemeClr w14:val="tx1"/>
            </w14:solidFill>
          </w14:textFill>
        </w:rPr>
      </w:pPr>
    </w:p>
    <w:p w14:paraId="7E7EBCD1">
      <w:pPr>
        <w:pStyle w:val="4"/>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rFonts w:hint="eastAsia" w:ascii="宋体" w:hAnsi="宋体"/>
          <w:color w:val="000000" w:themeColor="text1"/>
          <w:highlight w:val="none"/>
          <w14:textFill>
            <w14:solidFill>
              <w14:schemeClr w14:val="tx1"/>
            </w14:solidFill>
          </w14:textFill>
        </w:rPr>
        <w:t>四、技术部分</w:t>
      </w:r>
    </w:p>
    <w:p w14:paraId="01376C70">
      <w:pPr>
        <w:spacing w:line="360" w:lineRule="auto"/>
        <w:ind w:right="23" w:rightChars="11"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（1）施工方案与技术措施</w:t>
      </w:r>
    </w:p>
    <w:p w14:paraId="069F5639">
      <w:pPr>
        <w:spacing w:line="360" w:lineRule="auto"/>
        <w:ind w:right="23" w:rightChars="11"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（2）工程进度计划与保证措施</w:t>
      </w:r>
    </w:p>
    <w:p w14:paraId="35360C55">
      <w:pPr>
        <w:spacing w:line="360" w:lineRule="auto"/>
        <w:ind w:right="23" w:rightChars="11"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（3）质量管理体系与措施</w:t>
      </w:r>
    </w:p>
    <w:p w14:paraId="4A78851C">
      <w:pPr>
        <w:spacing w:line="360" w:lineRule="auto"/>
        <w:ind w:right="23" w:rightChars="11"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（4）安全管理体系与措施</w:t>
      </w:r>
    </w:p>
    <w:p w14:paraId="7E5BA7AF">
      <w:pPr>
        <w:spacing w:line="360" w:lineRule="auto"/>
        <w:ind w:right="23" w:rightChars="11"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（5）环境保护管理体系与措施</w:t>
      </w:r>
    </w:p>
    <w:p w14:paraId="5C284DEB">
      <w:pPr>
        <w:spacing w:line="360" w:lineRule="auto"/>
        <w:ind w:right="23" w:rightChars="11"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（6）资源配备计划</w:t>
      </w:r>
    </w:p>
    <w:p w14:paraId="297F01E1">
      <w:pPr>
        <w:widowControl/>
        <w:jc w:val="left"/>
        <w:rPr>
          <w:rFonts w:ascii="宋体"/>
          <w:b/>
          <w:color w:val="000000" w:themeColor="text1"/>
          <w:sz w:val="32"/>
          <w:szCs w:val="32"/>
          <w:highlight w:val="none"/>
          <w14:textFill>
            <w14:solidFill>
              <w14:schemeClr w14:val="tx1"/>
            </w14:solidFill>
          </w14:textFill>
        </w:rPr>
      </w:pPr>
    </w:p>
    <w:p w14:paraId="1B6E6F35">
      <w:pPr>
        <w:adjustRightInd w:val="0"/>
        <w:snapToGrid w:val="0"/>
        <w:spacing w:line="360" w:lineRule="auto"/>
        <w:ind w:firstLine="420" w:firstLineChars="200"/>
        <w:rPr>
          <w:rFonts w:ascii="宋体"/>
          <w:color w:val="000000" w:themeColor="text1"/>
          <w:szCs w:val="21"/>
          <w:highlight w:val="none"/>
          <w:u w:val="single"/>
          <w14:textFill>
            <w14:solidFill>
              <w14:schemeClr w14:val="tx1"/>
            </w14:solidFill>
          </w14:textFill>
        </w:rPr>
      </w:pPr>
      <w:r>
        <w:rPr>
          <w:rFonts w:hint="eastAsia" w:ascii="宋体"/>
          <w:color w:val="000000" w:themeColor="text1"/>
          <w:szCs w:val="21"/>
          <w:highlight w:val="none"/>
          <w14:textFill>
            <w14:solidFill>
              <w14:schemeClr w14:val="tx1"/>
            </w14:solidFill>
          </w14:textFill>
        </w:rPr>
        <w:t>供应商名称(盖单位章)：</w:t>
      </w:r>
      <w:r>
        <w:rPr>
          <w:rFonts w:hint="eastAsia" w:ascii="宋体"/>
          <w:color w:val="000000" w:themeColor="text1"/>
          <w:szCs w:val="21"/>
          <w:highlight w:val="none"/>
          <w:u w:val="single"/>
          <w14:textFill>
            <w14:solidFill>
              <w14:schemeClr w14:val="tx1"/>
            </w14:solidFill>
          </w14:textFill>
        </w:rPr>
        <w:t xml:space="preserve">                       </w:t>
      </w:r>
    </w:p>
    <w:p w14:paraId="036EFD24">
      <w:pPr>
        <w:adjustRightInd w:val="0"/>
        <w:snapToGrid w:val="0"/>
        <w:spacing w:line="360" w:lineRule="auto"/>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法定代表人或其委托代理人 (签字)：</w:t>
      </w:r>
      <w:r>
        <w:rPr>
          <w:rFonts w:hint="eastAsia" w:ascii="宋体"/>
          <w:color w:val="000000" w:themeColor="text1"/>
          <w:szCs w:val="21"/>
          <w:highlight w:val="none"/>
          <w:u w:val="single"/>
          <w14:textFill>
            <w14:solidFill>
              <w14:schemeClr w14:val="tx1"/>
            </w14:solidFill>
          </w14:textFill>
        </w:rPr>
        <w:t xml:space="preserve">            </w:t>
      </w:r>
    </w:p>
    <w:p w14:paraId="172999D1">
      <w:pPr>
        <w:pStyle w:val="25"/>
        <w:tabs>
          <w:tab w:val="right" w:leader="dot" w:pos="8302"/>
        </w:tabs>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日期：</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年</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月</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日</w:t>
      </w:r>
    </w:p>
    <w:p w14:paraId="36A37190">
      <w:pPr>
        <w:adjustRightInd w:val="0"/>
        <w:snapToGrid w:val="0"/>
        <w:ind w:right="23" w:rightChars="11"/>
        <w:rPr>
          <w:rFonts w:ascii="宋体"/>
          <w:color w:val="000000" w:themeColor="text1"/>
          <w:szCs w:val="21"/>
          <w:highlight w:val="none"/>
          <w14:textFill>
            <w14:solidFill>
              <w14:schemeClr w14:val="tx1"/>
            </w14:solidFill>
          </w14:textFill>
        </w:rPr>
      </w:pPr>
      <w:r>
        <w:rPr>
          <w:rFonts w:ascii="宋体"/>
          <w:color w:val="000000" w:themeColor="text1"/>
          <w:sz w:val="24"/>
          <w:highlight w:val="none"/>
          <w14:textFill>
            <w14:solidFill>
              <w14:schemeClr w14:val="tx1"/>
            </w14:solidFill>
          </w14:textFill>
        </w:rPr>
        <w:br w:type="page"/>
      </w:r>
      <w:r>
        <w:rPr>
          <w:rFonts w:hint="eastAsia" w:ascii="宋体"/>
          <w:color w:val="000000" w:themeColor="text1"/>
          <w:sz w:val="24"/>
          <w:highlight w:val="none"/>
          <w14:textFill>
            <w14:solidFill>
              <w14:schemeClr w14:val="tx1"/>
            </w14:solidFill>
          </w14:textFill>
        </w:rPr>
        <w:t>附件：</w:t>
      </w:r>
    </w:p>
    <w:p w14:paraId="7A435D15">
      <w:pPr>
        <w:spacing w:line="360" w:lineRule="atLeast"/>
        <w:ind w:right="23" w:rightChars="11"/>
        <w:jc w:val="center"/>
        <w:rPr>
          <w:rFonts w:ascii="宋体"/>
          <w:color w:val="000000" w:themeColor="text1"/>
          <w:sz w:val="28"/>
          <w:szCs w:val="28"/>
          <w:highlight w:val="none"/>
          <w14:textFill>
            <w14:solidFill>
              <w14:schemeClr w14:val="tx1"/>
            </w14:solidFill>
          </w14:textFill>
        </w:rPr>
      </w:pPr>
      <w:r>
        <w:rPr>
          <w:rFonts w:hint="eastAsia" w:ascii="宋体"/>
          <w:b/>
          <w:color w:val="000000" w:themeColor="text1"/>
          <w:sz w:val="28"/>
          <w:szCs w:val="28"/>
          <w:highlight w:val="none"/>
          <w14:textFill>
            <w14:solidFill>
              <w14:schemeClr w14:val="tx1"/>
            </w14:solidFill>
          </w14:textFill>
        </w:rPr>
        <w:t>主要人员简历表</w:t>
      </w:r>
    </w:p>
    <w:tbl>
      <w:tblPr>
        <w:tblStyle w:val="4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03"/>
        <w:gridCol w:w="310"/>
        <w:gridCol w:w="3130"/>
        <w:gridCol w:w="203"/>
        <w:gridCol w:w="1535"/>
        <w:gridCol w:w="123"/>
        <w:gridCol w:w="2282"/>
      </w:tblGrid>
      <w:tr w14:paraId="6BF6A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93" w:hRule="exact"/>
        </w:trPr>
        <w:tc>
          <w:tcPr>
            <w:tcW w:w="2013" w:type="dxa"/>
            <w:gridSpan w:val="2"/>
            <w:vAlign w:val="center"/>
          </w:tcPr>
          <w:p w14:paraId="7AA47CE5">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姓   名</w:t>
            </w:r>
          </w:p>
        </w:tc>
        <w:tc>
          <w:tcPr>
            <w:tcW w:w="3130" w:type="dxa"/>
            <w:vAlign w:val="center"/>
          </w:tcPr>
          <w:p w14:paraId="6D486F73">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861" w:type="dxa"/>
            <w:gridSpan w:val="3"/>
            <w:vAlign w:val="center"/>
          </w:tcPr>
          <w:p w14:paraId="11ADFC92">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性  别</w:t>
            </w:r>
          </w:p>
        </w:tc>
        <w:tc>
          <w:tcPr>
            <w:tcW w:w="2282" w:type="dxa"/>
            <w:vAlign w:val="center"/>
          </w:tcPr>
          <w:p w14:paraId="00219C9B">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r w14:paraId="5F46F2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exact"/>
        </w:trPr>
        <w:tc>
          <w:tcPr>
            <w:tcW w:w="2013" w:type="dxa"/>
            <w:gridSpan w:val="2"/>
            <w:vAlign w:val="center"/>
          </w:tcPr>
          <w:p w14:paraId="1B1367A4">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职   务</w:t>
            </w:r>
          </w:p>
        </w:tc>
        <w:tc>
          <w:tcPr>
            <w:tcW w:w="3130" w:type="dxa"/>
            <w:vAlign w:val="center"/>
          </w:tcPr>
          <w:p w14:paraId="2F678637">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861" w:type="dxa"/>
            <w:gridSpan w:val="3"/>
            <w:vAlign w:val="center"/>
          </w:tcPr>
          <w:p w14:paraId="58AA4F37">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职  称</w:t>
            </w:r>
          </w:p>
        </w:tc>
        <w:tc>
          <w:tcPr>
            <w:tcW w:w="2282" w:type="dxa"/>
            <w:vAlign w:val="center"/>
          </w:tcPr>
          <w:p w14:paraId="7580038F">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r w14:paraId="5863F1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3" w:hRule="exact"/>
        </w:trPr>
        <w:tc>
          <w:tcPr>
            <w:tcW w:w="2013" w:type="dxa"/>
            <w:gridSpan w:val="2"/>
            <w:vAlign w:val="center"/>
          </w:tcPr>
          <w:p w14:paraId="4FA228F4">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毕业学校、专业</w:t>
            </w:r>
          </w:p>
        </w:tc>
        <w:tc>
          <w:tcPr>
            <w:tcW w:w="7273" w:type="dxa"/>
            <w:gridSpan w:val="5"/>
            <w:vAlign w:val="center"/>
          </w:tcPr>
          <w:p w14:paraId="2EA86785">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r w14:paraId="7106B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exact"/>
        </w:trPr>
        <w:tc>
          <w:tcPr>
            <w:tcW w:w="2013" w:type="dxa"/>
            <w:gridSpan w:val="2"/>
            <w:vAlign w:val="center"/>
          </w:tcPr>
          <w:p w14:paraId="27ED8163">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身份证号</w:t>
            </w:r>
          </w:p>
        </w:tc>
        <w:tc>
          <w:tcPr>
            <w:tcW w:w="3130" w:type="dxa"/>
            <w:vAlign w:val="center"/>
          </w:tcPr>
          <w:p w14:paraId="18C1CAE1">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861" w:type="dxa"/>
            <w:gridSpan w:val="3"/>
            <w:vAlign w:val="center"/>
          </w:tcPr>
          <w:p w14:paraId="3935A9A1">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拟在本合同任职</w:t>
            </w:r>
          </w:p>
        </w:tc>
        <w:tc>
          <w:tcPr>
            <w:tcW w:w="2282" w:type="dxa"/>
            <w:vAlign w:val="center"/>
          </w:tcPr>
          <w:p w14:paraId="6244A1E6">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r w14:paraId="4554A4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exact"/>
        </w:trPr>
        <w:tc>
          <w:tcPr>
            <w:tcW w:w="2013" w:type="dxa"/>
            <w:gridSpan w:val="2"/>
            <w:vAlign w:val="center"/>
          </w:tcPr>
          <w:p w14:paraId="6F1A0788">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执业资格证</w:t>
            </w:r>
          </w:p>
        </w:tc>
        <w:tc>
          <w:tcPr>
            <w:tcW w:w="3130" w:type="dxa"/>
            <w:vAlign w:val="center"/>
          </w:tcPr>
          <w:p w14:paraId="4E44677C">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861" w:type="dxa"/>
            <w:gridSpan w:val="3"/>
            <w:vAlign w:val="center"/>
          </w:tcPr>
          <w:p w14:paraId="0EE98282">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执业资格证书号</w:t>
            </w:r>
          </w:p>
        </w:tc>
        <w:tc>
          <w:tcPr>
            <w:tcW w:w="2282" w:type="dxa"/>
            <w:vAlign w:val="center"/>
          </w:tcPr>
          <w:p w14:paraId="3EB4F5DC">
            <w:pPr>
              <w:keepNext w:val="0"/>
              <w:keepLines w:val="0"/>
              <w:suppressLineNumbers w:val="0"/>
              <w:spacing w:before="0" w:beforeAutospacing="0" w:after="0" w:afterAutospacing="0"/>
              <w:ind w:left="0" w:right="0"/>
              <w:rPr>
                <w:rFonts w:hint="default" w:ascii="宋体"/>
                <w:color w:val="000000" w:themeColor="text1"/>
                <w:highlight w:val="none"/>
                <w14:textFill>
                  <w14:solidFill>
                    <w14:schemeClr w14:val="tx1"/>
                  </w14:solidFill>
                </w14:textFill>
              </w:rPr>
            </w:pPr>
          </w:p>
        </w:tc>
      </w:tr>
      <w:tr w14:paraId="2827E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1" w:hRule="exact"/>
        </w:trPr>
        <w:tc>
          <w:tcPr>
            <w:tcW w:w="9286" w:type="dxa"/>
            <w:gridSpan w:val="7"/>
            <w:vAlign w:val="center"/>
          </w:tcPr>
          <w:p w14:paraId="3C44DC38">
            <w:pPr>
              <w:keepNext w:val="0"/>
              <w:keepLines w:val="0"/>
              <w:suppressLineNumbers w:val="0"/>
              <w:spacing w:before="0" w:beforeAutospacing="0" w:after="0" w:afterAutospacing="0" w:line="360" w:lineRule="atLeast"/>
              <w:ind w:left="0" w:right="23" w:rightChars="11"/>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近三年承担项目情况</w:t>
            </w:r>
          </w:p>
        </w:tc>
      </w:tr>
      <w:tr w14:paraId="36DC52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703" w:type="dxa"/>
            <w:vAlign w:val="center"/>
          </w:tcPr>
          <w:p w14:paraId="6B5929F7">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时间</w:t>
            </w:r>
          </w:p>
        </w:tc>
        <w:tc>
          <w:tcPr>
            <w:tcW w:w="3643" w:type="dxa"/>
            <w:gridSpan w:val="3"/>
            <w:vAlign w:val="center"/>
          </w:tcPr>
          <w:p w14:paraId="149A60BC">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类似项目名称</w:t>
            </w:r>
          </w:p>
        </w:tc>
        <w:tc>
          <w:tcPr>
            <w:tcW w:w="1535" w:type="dxa"/>
            <w:vAlign w:val="center"/>
          </w:tcPr>
          <w:p w14:paraId="37896610">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担任职务</w:t>
            </w:r>
          </w:p>
        </w:tc>
        <w:tc>
          <w:tcPr>
            <w:tcW w:w="2405" w:type="dxa"/>
            <w:gridSpan w:val="2"/>
            <w:vAlign w:val="center"/>
          </w:tcPr>
          <w:p w14:paraId="5F2115AE">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项目单位名称及电话</w:t>
            </w:r>
          </w:p>
        </w:tc>
      </w:tr>
      <w:tr w14:paraId="4CF202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703" w:type="dxa"/>
            <w:vAlign w:val="center"/>
          </w:tcPr>
          <w:p w14:paraId="79E9CA7E">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3643" w:type="dxa"/>
            <w:gridSpan w:val="3"/>
            <w:vAlign w:val="center"/>
          </w:tcPr>
          <w:p w14:paraId="212CD014">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535" w:type="dxa"/>
            <w:vAlign w:val="center"/>
          </w:tcPr>
          <w:p w14:paraId="30BD5C8E">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2405" w:type="dxa"/>
            <w:gridSpan w:val="2"/>
            <w:vAlign w:val="center"/>
          </w:tcPr>
          <w:p w14:paraId="002444BD">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r w14:paraId="5408A5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703" w:type="dxa"/>
            <w:vAlign w:val="center"/>
          </w:tcPr>
          <w:p w14:paraId="036D5FEB">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3643" w:type="dxa"/>
            <w:gridSpan w:val="3"/>
            <w:vAlign w:val="center"/>
          </w:tcPr>
          <w:p w14:paraId="7985B2D0">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535" w:type="dxa"/>
            <w:vAlign w:val="center"/>
          </w:tcPr>
          <w:p w14:paraId="70E12D8E">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2405" w:type="dxa"/>
            <w:gridSpan w:val="2"/>
            <w:vAlign w:val="center"/>
          </w:tcPr>
          <w:p w14:paraId="50154510">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r w14:paraId="361C3E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703" w:type="dxa"/>
            <w:vAlign w:val="center"/>
          </w:tcPr>
          <w:p w14:paraId="33FA68DD">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3643" w:type="dxa"/>
            <w:gridSpan w:val="3"/>
            <w:vAlign w:val="center"/>
          </w:tcPr>
          <w:p w14:paraId="3247804C">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535" w:type="dxa"/>
            <w:vAlign w:val="center"/>
          </w:tcPr>
          <w:p w14:paraId="461D6DF9">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2405" w:type="dxa"/>
            <w:gridSpan w:val="2"/>
            <w:vAlign w:val="center"/>
          </w:tcPr>
          <w:p w14:paraId="52F6DE56">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r w14:paraId="42AB6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703" w:type="dxa"/>
            <w:vAlign w:val="center"/>
          </w:tcPr>
          <w:p w14:paraId="06CEEB83">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3643" w:type="dxa"/>
            <w:gridSpan w:val="3"/>
            <w:vAlign w:val="center"/>
          </w:tcPr>
          <w:p w14:paraId="4AD5423B">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535" w:type="dxa"/>
            <w:vAlign w:val="center"/>
          </w:tcPr>
          <w:p w14:paraId="16161E41">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2405" w:type="dxa"/>
            <w:gridSpan w:val="2"/>
            <w:vAlign w:val="center"/>
          </w:tcPr>
          <w:p w14:paraId="64104BC8">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r w14:paraId="281354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703" w:type="dxa"/>
            <w:vAlign w:val="center"/>
          </w:tcPr>
          <w:p w14:paraId="501AB6C1">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3643" w:type="dxa"/>
            <w:gridSpan w:val="3"/>
            <w:vAlign w:val="center"/>
          </w:tcPr>
          <w:p w14:paraId="295A28F0">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535" w:type="dxa"/>
            <w:vAlign w:val="center"/>
          </w:tcPr>
          <w:p w14:paraId="199EF0BB">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2405" w:type="dxa"/>
            <w:gridSpan w:val="2"/>
            <w:vAlign w:val="center"/>
          </w:tcPr>
          <w:p w14:paraId="27925076">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r w14:paraId="5FBC32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703" w:type="dxa"/>
            <w:vAlign w:val="center"/>
          </w:tcPr>
          <w:p w14:paraId="5D3E699F">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3643" w:type="dxa"/>
            <w:gridSpan w:val="3"/>
            <w:vAlign w:val="center"/>
          </w:tcPr>
          <w:p w14:paraId="43187F9C">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535" w:type="dxa"/>
            <w:vAlign w:val="center"/>
          </w:tcPr>
          <w:p w14:paraId="663E0906">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2405" w:type="dxa"/>
            <w:gridSpan w:val="2"/>
            <w:vAlign w:val="center"/>
          </w:tcPr>
          <w:p w14:paraId="2CAD6CE0">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r w14:paraId="76E266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703" w:type="dxa"/>
            <w:vAlign w:val="center"/>
          </w:tcPr>
          <w:p w14:paraId="4F1F401F">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3643" w:type="dxa"/>
            <w:gridSpan w:val="3"/>
            <w:vAlign w:val="center"/>
          </w:tcPr>
          <w:p w14:paraId="7EAEAF31">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535" w:type="dxa"/>
            <w:vAlign w:val="center"/>
          </w:tcPr>
          <w:p w14:paraId="38091C2B">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2405" w:type="dxa"/>
            <w:gridSpan w:val="2"/>
            <w:vAlign w:val="center"/>
          </w:tcPr>
          <w:p w14:paraId="25919AD4">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r w14:paraId="553CB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trPr>
        <w:tc>
          <w:tcPr>
            <w:tcW w:w="1703" w:type="dxa"/>
            <w:vAlign w:val="center"/>
          </w:tcPr>
          <w:p w14:paraId="4B95B676">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3643" w:type="dxa"/>
            <w:gridSpan w:val="3"/>
            <w:vAlign w:val="center"/>
          </w:tcPr>
          <w:p w14:paraId="49F4A026">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535" w:type="dxa"/>
            <w:vAlign w:val="center"/>
          </w:tcPr>
          <w:p w14:paraId="41422BD9">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2405" w:type="dxa"/>
            <w:gridSpan w:val="2"/>
            <w:vAlign w:val="center"/>
          </w:tcPr>
          <w:p w14:paraId="62E5E885">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r w14:paraId="6E982D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1" w:hRule="exact"/>
        </w:trPr>
        <w:tc>
          <w:tcPr>
            <w:tcW w:w="1703" w:type="dxa"/>
            <w:vAlign w:val="center"/>
          </w:tcPr>
          <w:p w14:paraId="5A5F6D20">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3643" w:type="dxa"/>
            <w:gridSpan w:val="3"/>
            <w:vAlign w:val="center"/>
          </w:tcPr>
          <w:p w14:paraId="09D6AD65">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1535" w:type="dxa"/>
            <w:vAlign w:val="center"/>
          </w:tcPr>
          <w:p w14:paraId="28306C84">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c>
          <w:tcPr>
            <w:tcW w:w="2405" w:type="dxa"/>
            <w:gridSpan w:val="2"/>
            <w:vAlign w:val="center"/>
          </w:tcPr>
          <w:p w14:paraId="2F8487E5">
            <w:pPr>
              <w:keepNext w:val="0"/>
              <w:keepLines w:val="0"/>
              <w:suppressLineNumbers w:val="0"/>
              <w:spacing w:before="0" w:beforeAutospacing="0" w:after="0" w:afterAutospacing="0" w:line="360" w:lineRule="atLeast"/>
              <w:ind w:left="0" w:right="23" w:rightChars="11"/>
              <w:jc w:val="center"/>
              <w:rPr>
                <w:rFonts w:hint="default" w:ascii="宋体"/>
                <w:color w:val="000000" w:themeColor="text1"/>
                <w:highlight w:val="none"/>
                <w14:textFill>
                  <w14:solidFill>
                    <w14:schemeClr w14:val="tx1"/>
                  </w14:solidFill>
                </w14:textFill>
              </w:rPr>
            </w:pPr>
          </w:p>
        </w:tc>
      </w:tr>
    </w:tbl>
    <w:p w14:paraId="783E4487">
      <w:pPr>
        <w:spacing w:line="360" w:lineRule="atLeast"/>
        <w:ind w:right="23" w:rightChars="11"/>
        <w:rPr>
          <w:rFonts w:ascii="宋体"/>
          <w:color w:val="000000" w:themeColor="text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说明</w:t>
      </w:r>
      <w:r>
        <w:rPr>
          <w:rFonts w:hint="eastAsia" w:ascii="宋体"/>
          <w:color w:val="000000" w:themeColor="text1"/>
          <w:highlight w:val="none"/>
          <w14:textFill>
            <w14:solidFill>
              <w14:schemeClr w14:val="tx1"/>
            </w14:solidFill>
          </w14:textFill>
        </w:rPr>
        <w:t>：</w:t>
      </w:r>
      <w:r>
        <w:rPr>
          <w:rFonts w:hint="eastAsia" w:ascii="宋体"/>
          <w:color w:val="000000" w:themeColor="text1"/>
          <w:szCs w:val="21"/>
          <w:highlight w:val="none"/>
          <w14:textFill>
            <w14:solidFill>
              <w14:schemeClr w14:val="tx1"/>
            </w14:solidFill>
          </w14:textFill>
        </w:rPr>
        <w:t>填项目负责人即可</w:t>
      </w:r>
      <w:r>
        <w:rPr>
          <w:rFonts w:hint="eastAsia" w:ascii="宋体"/>
          <w:color w:val="000000" w:themeColor="text1"/>
          <w:highlight w:val="none"/>
          <w14:textFill>
            <w14:solidFill>
              <w14:schemeClr w14:val="tx1"/>
            </w14:solidFill>
          </w14:textFill>
        </w:rPr>
        <w:t>。</w:t>
      </w:r>
    </w:p>
    <w:p w14:paraId="294F34C8">
      <w:pPr>
        <w:adjustRightInd w:val="0"/>
        <w:snapToGrid w:val="0"/>
        <w:spacing w:line="360" w:lineRule="auto"/>
        <w:ind w:right="23" w:rightChars="11"/>
        <w:rPr>
          <w:rFonts w:ascii="宋体"/>
          <w:color w:val="000000" w:themeColor="text1"/>
          <w:szCs w:val="21"/>
          <w:highlight w:val="none"/>
          <w14:textFill>
            <w14:solidFill>
              <w14:schemeClr w14:val="tx1"/>
            </w14:solidFill>
          </w14:textFill>
        </w:rPr>
      </w:pPr>
    </w:p>
    <w:p w14:paraId="5596C50D">
      <w:pPr>
        <w:ind w:right="23" w:rightChars="11"/>
        <w:rPr>
          <w:rFonts w:ascii="宋体"/>
          <w:color w:val="000000" w:themeColor="text1"/>
          <w:szCs w:val="21"/>
          <w:highlight w:val="none"/>
          <w14:textFill>
            <w14:solidFill>
              <w14:schemeClr w14:val="tx1"/>
            </w14:solidFill>
          </w14:textFill>
        </w:rPr>
      </w:pPr>
    </w:p>
    <w:p w14:paraId="26587593">
      <w:pPr>
        <w:pStyle w:val="87"/>
        <w:rPr>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                </w:t>
      </w:r>
    </w:p>
    <w:p w14:paraId="5A5595BC">
      <w:pPr>
        <w:pStyle w:val="8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法定代表人或其委托代理人(签字)：</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_</w:t>
      </w:r>
    </w:p>
    <w:p w14:paraId="6B46B951">
      <w:pPr>
        <w:spacing w:line="360" w:lineRule="exact"/>
        <w:ind w:right="23" w:rightChars="11"/>
        <w:rPr>
          <w:rFonts w:ascii="宋体"/>
          <w:color w:val="000000" w:themeColor="text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日期： </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年 </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月 </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日</w:t>
      </w:r>
    </w:p>
    <w:p w14:paraId="54105221">
      <w:pPr>
        <w:rPr>
          <w:color w:val="000000" w:themeColor="text1"/>
          <w:highlight w:val="none"/>
          <w14:textFill>
            <w14:solidFill>
              <w14:schemeClr w14:val="tx1"/>
            </w14:solidFill>
          </w14:textFill>
        </w:rPr>
      </w:pPr>
    </w:p>
    <w:p w14:paraId="58DE0436">
      <w:pPr>
        <w:rPr>
          <w:rFonts w:ascii="宋体" w:hAnsi="宋体"/>
          <w:color w:val="000000" w:themeColor="text1"/>
          <w:highlight w:val="none"/>
          <w14:textFill>
            <w14:solidFill>
              <w14:schemeClr w14:val="tx1"/>
            </w14:solidFill>
          </w14:textFill>
        </w:rPr>
      </w:pPr>
      <w:r>
        <w:rPr>
          <w:rFonts w:ascii="宋体"/>
          <w:b/>
          <w:color w:val="000000" w:themeColor="text1"/>
          <w:sz w:val="24"/>
          <w:highlight w:val="none"/>
          <w14:textFill>
            <w14:solidFill>
              <w14:schemeClr w14:val="tx1"/>
            </w14:solidFill>
          </w14:textFill>
        </w:rPr>
        <w:br w:type="page"/>
      </w:r>
    </w:p>
    <w:p w14:paraId="478E2EFA">
      <w:pPr>
        <w:pStyle w:val="4"/>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五、商务部分</w:t>
      </w:r>
    </w:p>
    <w:p w14:paraId="454E9D91">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具体资料按照评审因素的要求提供。</w:t>
      </w:r>
    </w:p>
    <w:p w14:paraId="42B88499">
      <w:pPr>
        <w:pStyle w:val="4"/>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rFonts w:hint="eastAsia" w:ascii="宋体" w:hAnsi="宋体"/>
          <w:color w:val="000000" w:themeColor="text1"/>
          <w:highlight w:val="none"/>
          <w14:textFill>
            <w14:solidFill>
              <w14:schemeClr w14:val="tx1"/>
            </w14:solidFill>
          </w14:textFill>
        </w:rPr>
        <w:t>六、技术/商务响应与偏离表</w:t>
      </w:r>
    </w:p>
    <w:p w14:paraId="41DCD819">
      <w:pPr>
        <w:adjustRightInd w:val="0"/>
        <w:snapToGrid w:val="0"/>
        <w:spacing w:line="460" w:lineRule="exact"/>
        <w:ind w:left="-88" w:leftChars="-42" w:right="23" w:rightChars="11" w:firstLine="315" w:firstLineChars="150"/>
        <w:rPr>
          <w:rFonts w:ascii="宋体" w:hAnsi="宋体"/>
          <w:color w:val="000000" w:themeColor="text1"/>
          <w:szCs w:val="21"/>
          <w:highlight w:val="none"/>
          <w:u w:val="single"/>
          <w14:textFill>
            <w14:solidFill>
              <w14:schemeClr w14:val="tx1"/>
            </w14:solidFill>
          </w14:textFill>
        </w:rPr>
      </w:pPr>
    </w:p>
    <w:tbl>
      <w:tblPr>
        <w:tblStyle w:val="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79"/>
        <w:gridCol w:w="1805"/>
        <w:gridCol w:w="2087"/>
        <w:gridCol w:w="2785"/>
        <w:gridCol w:w="1625"/>
        <w:gridCol w:w="1199"/>
      </w:tblGrid>
      <w:tr w14:paraId="593705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7" w:hRule="atLeast"/>
          <w:jc w:val="center"/>
        </w:trPr>
        <w:tc>
          <w:tcPr>
            <w:tcW w:w="679" w:type="dxa"/>
            <w:vAlign w:val="center"/>
          </w:tcPr>
          <w:p w14:paraId="02A55A6A">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序号</w:t>
            </w:r>
          </w:p>
        </w:tc>
        <w:tc>
          <w:tcPr>
            <w:tcW w:w="1805" w:type="dxa"/>
            <w:vAlign w:val="center"/>
          </w:tcPr>
          <w:p w14:paraId="47AB1A8B">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磋商文件条目号</w:t>
            </w:r>
          </w:p>
        </w:tc>
        <w:tc>
          <w:tcPr>
            <w:tcW w:w="2087" w:type="dxa"/>
            <w:vAlign w:val="center"/>
          </w:tcPr>
          <w:p w14:paraId="0A894C92">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采购规格/商务条款</w:t>
            </w:r>
          </w:p>
        </w:tc>
        <w:tc>
          <w:tcPr>
            <w:tcW w:w="2785" w:type="dxa"/>
            <w:vAlign w:val="center"/>
          </w:tcPr>
          <w:p w14:paraId="60556A35">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响应文件的规格/商务条款</w:t>
            </w:r>
          </w:p>
        </w:tc>
        <w:tc>
          <w:tcPr>
            <w:tcW w:w="1625" w:type="dxa"/>
            <w:vAlign w:val="center"/>
          </w:tcPr>
          <w:p w14:paraId="3021A56B">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响应与偏离</w:t>
            </w:r>
          </w:p>
        </w:tc>
        <w:tc>
          <w:tcPr>
            <w:tcW w:w="1199" w:type="dxa"/>
            <w:vAlign w:val="center"/>
          </w:tcPr>
          <w:p w14:paraId="640EBEA1">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p>
        </w:tc>
      </w:tr>
      <w:tr w14:paraId="6D789A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3" w:hRule="atLeast"/>
          <w:jc w:val="center"/>
        </w:trPr>
        <w:tc>
          <w:tcPr>
            <w:tcW w:w="679" w:type="dxa"/>
          </w:tcPr>
          <w:p w14:paraId="308ADD4E">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805" w:type="dxa"/>
            <w:vAlign w:val="center"/>
          </w:tcPr>
          <w:p w14:paraId="7C6336D0">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2087" w:type="dxa"/>
            <w:vAlign w:val="center"/>
          </w:tcPr>
          <w:p w14:paraId="10A12FA1">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2785" w:type="dxa"/>
            <w:vAlign w:val="center"/>
          </w:tcPr>
          <w:p w14:paraId="33DFE449">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625" w:type="dxa"/>
            <w:vAlign w:val="center"/>
          </w:tcPr>
          <w:p w14:paraId="2E394F82">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199" w:type="dxa"/>
            <w:vAlign w:val="center"/>
          </w:tcPr>
          <w:p w14:paraId="456311B8">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r>
      <w:tr w14:paraId="3D33F3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3" w:hRule="atLeast"/>
          <w:jc w:val="center"/>
        </w:trPr>
        <w:tc>
          <w:tcPr>
            <w:tcW w:w="679" w:type="dxa"/>
          </w:tcPr>
          <w:p w14:paraId="44066CA5">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805" w:type="dxa"/>
            <w:vAlign w:val="center"/>
          </w:tcPr>
          <w:p w14:paraId="26DCE6FC">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2087" w:type="dxa"/>
            <w:vAlign w:val="center"/>
          </w:tcPr>
          <w:p w14:paraId="7C28E51E">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2785" w:type="dxa"/>
            <w:vAlign w:val="center"/>
          </w:tcPr>
          <w:p w14:paraId="1A025515">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625" w:type="dxa"/>
            <w:vAlign w:val="center"/>
          </w:tcPr>
          <w:p w14:paraId="4A94694A">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199" w:type="dxa"/>
            <w:vAlign w:val="center"/>
          </w:tcPr>
          <w:p w14:paraId="3F946975">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r>
      <w:tr w14:paraId="70480B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3" w:hRule="atLeast"/>
          <w:jc w:val="center"/>
        </w:trPr>
        <w:tc>
          <w:tcPr>
            <w:tcW w:w="679" w:type="dxa"/>
          </w:tcPr>
          <w:p w14:paraId="641C59A2">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805" w:type="dxa"/>
            <w:vAlign w:val="center"/>
          </w:tcPr>
          <w:p w14:paraId="28C4AE2B">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2087" w:type="dxa"/>
            <w:vAlign w:val="center"/>
          </w:tcPr>
          <w:p w14:paraId="5F933503">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2785" w:type="dxa"/>
            <w:vAlign w:val="center"/>
          </w:tcPr>
          <w:p w14:paraId="35A20E83">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625" w:type="dxa"/>
            <w:vAlign w:val="center"/>
          </w:tcPr>
          <w:p w14:paraId="74AB98B2">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199" w:type="dxa"/>
            <w:vAlign w:val="center"/>
          </w:tcPr>
          <w:p w14:paraId="4CA8047C">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r>
      <w:tr w14:paraId="63CDA2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3" w:hRule="atLeast"/>
          <w:jc w:val="center"/>
        </w:trPr>
        <w:tc>
          <w:tcPr>
            <w:tcW w:w="679" w:type="dxa"/>
          </w:tcPr>
          <w:p w14:paraId="31BD57E4">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805" w:type="dxa"/>
            <w:vAlign w:val="center"/>
          </w:tcPr>
          <w:p w14:paraId="579A6855">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2087" w:type="dxa"/>
            <w:vAlign w:val="center"/>
          </w:tcPr>
          <w:p w14:paraId="0ED18772">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2785" w:type="dxa"/>
            <w:vAlign w:val="center"/>
          </w:tcPr>
          <w:p w14:paraId="362AD370">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625" w:type="dxa"/>
            <w:vAlign w:val="center"/>
          </w:tcPr>
          <w:p w14:paraId="26DE0CA4">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199" w:type="dxa"/>
            <w:vAlign w:val="center"/>
          </w:tcPr>
          <w:p w14:paraId="55814612">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r>
      <w:tr w14:paraId="5FF849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679" w:type="dxa"/>
          </w:tcPr>
          <w:p w14:paraId="1B56B30E">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805" w:type="dxa"/>
            <w:vAlign w:val="center"/>
          </w:tcPr>
          <w:p w14:paraId="3E2A9593">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2087" w:type="dxa"/>
            <w:vAlign w:val="center"/>
          </w:tcPr>
          <w:p w14:paraId="1722C7AC">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2785" w:type="dxa"/>
            <w:vAlign w:val="center"/>
          </w:tcPr>
          <w:p w14:paraId="2191CAFE">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625" w:type="dxa"/>
            <w:vAlign w:val="center"/>
          </w:tcPr>
          <w:p w14:paraId="28135ED8">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c>
          <w:tcPr>
            <w:tcW w:w="1199" w:type="dxa"/>
            <w:vAlign w:val="center"/>
          </w:tcPr>
          <w:p w14:paraId="5D328BF0">
            <w:pPr>
              <w:keepNext w:val="0"/>
              <w:keepLines w:val="0"/>
              <w:suppressLineNumbers w:val="0"/>
              <w:adjustRightInd w:val="0"/>
              <w:snapToGrid w:val="0"/>
              <w:spacing w:before="0" w:beforeAutospacing="0" w:after="0" w:afterAutospacing="0" w:line="460" w:lineRule="exact"/>
              <w:ind w:left="-88" w:leftChars="-42" w:right="23" w:rightChars="11"/>
              <w:jc w:val="center"/>
              <w:rPr>
                <w:rFonts w:hint="default" w:ascii="宋体" w:hAnsi="宋体"/>
                <w:color w:val="000000" w:themeColor="text1"/>
                <w:szCs w:val="21"/>
                <w:highlight w:val="none"/>
                <w14:textFill>
                  <w14:solidFill>
                    <w14:schemeClr w14:val="tx1"/>
                  </w14:solidFill>
                </w14:textFill>
              </w:rPr>
            </w:pPr>
          </w:p>
        </w:tc>
      </w:tr>
    </w:tbl>
    <w:p w14:paraId="0E9AB02A">
      <w:pPr>
        <w:adjustRightInd w:val="0"/>
        <w:snapToGrid w:val="0"/>
        <w:spacing w:line="460" w:lineRule="exact"/>
        <w:ind w:left="-88" w:leftChars="-42" w:right="23" w:rightChars="11"/>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说明：1、“响应与偏离”应注明“响应”或“偏离”。</w:t>
      </w:r>
    </w:p>
    <w:p w14:paraId="2A48A617">
      <w:pPr>
        <w:adjustRightInd w:val="0"/>
        <w:snapToGrid w:val="0"/>
        <w:spacing w:line="460" w:lineRule="exact"/>
        <w:ind w:right="23" w:rightChars="11"/>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2、属磋商文件规定可能变动的内容在“说明”栏中注明。</w:t>
      </w:r>
    </w:p>
    <w:p w14:paraId="258AF7AA">
      <w:pPr>
        <w:pStyle w:val="28"/>
        <w:adjustRightInd w:val="0"/>
        <w:snapToGrid w:val="0"/>
        <w:spacing w:line="460" w:lineRule="exact"/>
        <w:ind w:right="23" w:rightChars="11"/>
        <w:rPr>
          <w:rFonts w:ascii="宋体" w:hAnsi="宋体"/>
          <w:color w:val="000000" w:themeColor="text1"/>
          <w:sz w:val="21"/>
          <w:szCs w:val="21"/>
          <w:highlight w:val="none"/>
          <w14:textFill>
            <w14:solidFill>
              <w14:schemeClr w14:val="tx1"/>
            </w14:solidFill>
          </w14:textFill>
        </w:rPr>
      </w:pPr>
    </w:p>
    <w:p w14:paraId="65D0A5BD">
      <w:pPr>
        <w:pStyle w:val="28"/>
        <w:adjustRightInd w:val="0"/>
        <w:snapToGrid w:val="0"/>
        <w:spacing w:line="460" w:lineRule="exact"/>
        <w:ind w:right="23" w:rightChars="11"/>
        <w:rPr>
          <w:rFonts w:ascii="宋体" w:hAnsi="宋体"/>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供应商名称：</w:t>
      </w:r>
      <w:r>
        <w:rPr>
          <w:rFonts w:hint="eastAsia" w:ascii="宋体" w:hAnsi="宋体"/>
          <w:color w:val="000000" w:themeColor="text1"/>
          <w:sz w:val="21"/>
          <w:szCs w:val="21"/>
          <w:highlight w:val="none"/>
          <w:u w:val="single"/>
          <w14:textFill>
            <w14:solidFill>
              <w14:schemeClr w14:val="tx1"/>
            </w14:solidFill>
          </w14:textFill>
        </w:rPr>
        <w:t xml:space="preserve">                   </w:t>
      </w:r>
    </w:p>
    <w:p w14:paraId="4DF2D8F3">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法定代表人或其委托代理人(签字)：</w:t>
      </w:r>
      <w:r>
        <w:rPr>
          <w:rFonts w:hint="eastAsia" w:ascii="宋体" w:hAnsi="宋体"/>
          <w:color w:val="000000" w:themeColor="text1"/>
          <w:szCs w:val="21"/>
          <w:highlight w:val="none"/>
          <w:u w:val="single"/>
          <w14:textFill>
            <w14:solidFill>
              <w14:schemeClr w14:val="tx1"/>
            </w14:solidFill>
          </w14:textFill>
        </w:rPr>
        <w:t xml:space="preserve">                   </w:t>
      </w:r>
    </w:p>
    <w:p w14:paraId="38D44557">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日</w:t>
      </w:r>
    </w:p>
    <w:p w14:paraId="22ECF940">
      <w:pPr>
        <w:adjustRightInd w:val="0"/>
        <w:snapToGrid w:val="0"/>
        <w:spacing w:line="460" w:lineRule="exact"/>
        <w:ind w:right="23" w:rightChars="11"/>
        <w:rPr>
          <w:rFonts w:ascii="宋体" w:hAnsi="宋体"/>
          <w:color w:val="000000" w:themeColor="text1"/>
          <w:szCs w:val="21"/>
          <w:highlight w:val="none"/>
          <w14:textFill>
            <w14:solidFill>
              <w14:schemeClr w14:val="tx1"/>
            </w14:solidFill>
          </w14:textFill>
        </w:rPr>
      </w:pPr>
    </w:p>
    <w:p w14:paraId="2A7BE069">
      <w:pPr>
        <w:tabs>
          <w:tab w:val="left" w:pos="3600"/>
        </w:tabs>
        <w:adjustRightInd w:val="0"/>
        <w:snapToGrid w:val="0"/>
        <w:spacing w:line="460" w:lineRule="exact"/>
        <w:ind w:right="23" w:rightChars="11"/>
        <w:jc w:val="center"/>
        <w:rPr>
          <w:rFonts w:ascii="宋体" w:hAnsi="宋体"/>
          <w:color w:val="000000" w:themeColor="text1"/>
          <w:highlight w:val="none"/>
          <w14:textFill>
            <w14:solidFill>
              <w14:schemeClr w14:val="tx1"/>
            </w14:solidFill>
          </w14:textFill>
        </w:rPr>
      </w:pPr>
    </w:p>
    <w:p w14:paraId="4A4334D3">
      <w:pPr>
        <w:pStyle w:val="4"/>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rFonts w:hint="eastAsia" w:ascii="宋体" w:hAnsi="宋体"/>
          <w:color w:val="000000" w:themeColor="text1"/>
          <w:highlight w:val="none"/>
          <w14:textFill>
            <w14:solidFill>
              <w14:schemeClr w14:val="tx1"/>
            </w14:solidFill>
          </w14:textFill>
        </w:rPr>
        <w:t>七、提供政府采购政策产品等证明材料</w:t>
      </w:r>
    </w:p>
    <w:p w14:paraId="6F952A2A">
      <w:pPr>
        <w:tabs>
          <w:tab w:val="left" w:pos="3600"/>
        </w:tabs>
        <w:adjustRightInd w:val="0"/>
        <w:snapToGrid w:val="0"/>
        <w:spacing w:line="460" w:lineRule="exact"/>
        <w:ind w:right="23" w:rightChars="11"/>
        <w:rPr>
          <w:rFonts w:ascii="宋体" w:hAnsi="宋体"/>
          <w:b/>
          <w:color w:val="000000" w:themeColor="text1"/>
          <w:sz w:val="32"/>
          <w:szCs w:val="32"/>
          <w:highlight w:val="none"/>
          <w14:textFill>
            <w14:solidFill>
              <w14:schemeClr w14:val="tx1"/>
            </w14:solidFill>
          </w14:textFill>
        </w:rPr>
      </w:pPr>
    </w:p>
    <w:p w14:paraId="0893510D">
      <w:pPr>
        <w:adjustRightInd w:val="0"/>
        <w:snapToGrid w:val="0"/>
        <w:ind w:right="23" w:rightChars="11"/>
        <w:rPr>
          <w:rFonts w:ascii="宋体" w:hAnsi="宋体" w:cs="宋体"/>
          <w:color w:val="000000" w:themeColor="text1"/>
          <w:kern w:val="0"/>
          <w:sz w:val="24"/>
          <w:szCs w:val="20"/>
          <w:highlight w:val="none"/>
          <w14:textFill>
            <w14:solidFill>
              <w14:schemeClr w14:val="tx1"/>
            </w14:solidFill>
          </w14:textFill>
        </w:rPr>
      </w:pPr>
      <w:r>
        <w:rPr>
          <w:rFonts w:hint="eastAsia" w:ascii="宋体" w:hAnsi="宋体" w:cs="宋体"/>
          <w:color w:val="000000" w:themeColor="text1"/>
          <w:kern w:val="0"/>
          <w:sz w:val="24"/>
          <w:szCs w:val="20"/>
          <w:highlight w:val="none"/>
          <w14:textFill>
            <w14:solidFill>
              <w14:schemeClr w14:val="tx1"/>
            </w14:solidFill>
          </w14:textFill>
        </w:rPr>
        <w:t>附件9-1：</w:t>
      </w:r>
    </w:p>
    <w:p w14:paraId="7EE82E4D">
      <w:pPr>
        <w:snapToGrid w:val="0"/>
        <w:spacing w:line="360" w:lineRule="auto"/>
        <w:jc w:val="center"/>
        <w:rPr>
          <w:rFonts w:ascii="宋体" w:hAnsi="宋体" w:cs="宋体"/>
          <w:color w:val="000000" w:themeColor="text1"/>
          <w:kern w:val="0"/>
          <w:sz w:val="30"/>
          <w:szCs w:val="30"/>
          <w:highlight w:val="none"/>
          <w14:textFill>
            <w14:solidFill>
              <w14:schemeClr w14:val="tx1"/>
            </w14:solidFill>
          </w14:textFill>
        </w:rPr>
      </w:pPr>
      <w:r>
        <w:rPr>
          <w:rFonts w:hint="eastAsia" w:ascii="宋体" w:hAnsi="宋体" w:cs="宋体"/>
          <w:color w:val="000000" w:themeColor="text1"/>
          <w:kern w:val="0"/>
          <w:sz w:val="30"/>
          <w:szCs w:val="30"/>
          <w:highlight w:val="none"/>
          <w14:textFill>
            <w14:solidFill>
              <w14:schemeClr w14:val="tx1"/>
            </w14:solidFill>
          </w14:textFill>
        </w:rPr>
        <w:t>中小企业声明函(工程、服务)</w:t>
      </w:r>
    </w:p>
    <w:p w14:paraId="5BCB9575">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本公司(联合体)郑重声明，根据《政府采购促进中小企业发展管理办法》(财库( 2020 )46号)的规定，本公司(联合体)参加</w:t>
      </w:r>
      <w:r>
        <w:rPr>
          <w:rFonts w:hint="eastAsia" w:ascii="宋体" w:hAnsi="宋体" w:cs="宋体"/>
          <w:color w:val="000000" w:themeColor="text1"/>
          <w:szCs w:val="21"/>
          <w:highlight w:val="none"/>
          <w:u w:val="single"/>
          <w14:textFill>
            <w14:solidFill>
              <w14:schemeClr w14:val="tx1"/>
            </w14:solidFill>
          </w14:textFill>
        </w:rPr>
        <w:t xml:space="preserve"> (单位名称)</w:t>
      </w:r>
      <w:r>
        <w:rPr>
          <w:rFonts w:hint="eastAsia" w:ascii="宋体" w:hAnsi="宋体" w:cs="宋体"/>
          <w:color w:val="000000" w:themeColor="text1"/>
          <w:szCs w:val="21"/>
          <w:highlight w:val="none"/>
          <w14:textFill>
            <w14:solidFill>
              <w14:schemeClr w14:val="tx1"/>
            </w14:solidFill>
          </w14:textFill>
        </w:rPr>
        <w:t>的</w:t>
      </w:r>
      <w:r>
        <w:rPr>
          <w:rFonts w:hint="eastAsia" w:ascii="宋体" w:hAnsi="宋体" w:cs="宋体"/>
          <w:color w:val="000000" w:themeColor="text1"/>
          <w:szCs w:val="21"/>
          <w:highlight w:val="none"/>
          <w:u w:val="single"/>
          <w14:textFill>
            <w14:solidFill>
              <w14:schemeClr w14:val="tx1"/>
            </w14:solidFill>
          </w14:textFill>
        </w:rPr>
        <w:t xml:space="preserve"> (项目名称) </w:t>
      </w:r>
      <w:r>
        <w:rPr>
          <w:rFonts w:hint="eastAsia" w:ascii="宋体" w:hAnsi="宋体" w:cs="宋体"/>
          <w:color w:val="000000" w:themeColor="text1"/>
          <w:szCs w:val="2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5643A68D">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u w:val="single"/>
          <w14:textFill>
            <w14:solidFill>
              <w14:schemeClr w14:val="tx1"/>
            </w14:solidFill>
          </w14:textFill>
        </w:rPr>
        <w:t xml:space="preserve"> (标的名称) </w:t>
      </w:r>
      <w:r>
        <w:rPr>
          <w:rFonts w:hint="eastAsia" w:ascii="宋体" w:hAnsi="宋体" w:cs="宋体"/>
          <w:color w:val="000000" w:themeColor="text1"/>
          <w:szCs w:val="21"/>
          <w:highlight w:val="none"/>
          <w14:textFill>
            <w14:solidFill>
              <w14:schemeClr w14:val="tx1"/>
            </w14:solidFill>
          </w14:textFill>
        </w:rPr>
        <w:t>,属于.</w:t>
      </w:r>
      <w:r>
        <w:rPr>
          <w:rFonts w:hint="eastAsia" w:ascii="宋体" w:hAnsi="宋体" w:cs="宋体"/>
          <w:color w:val="000000" w:themeColor="text1"/>
          <w:szCs w:val="21"/>
          <w:highlight w:val="none"/>
          <w:u w:val="single"/>
          <w14:textFill>
            <w14:solidFill>
              <w14:schemeClr w14:val="tx1"/>
            </w14:solidFill>
          </w14:textFill>
        </w:rPr>
        <w:t xml:space="preserve"> (采购文件中明确的所属行业）</w:t>
      </w:r>
      <w:r>
        <w:rPr>
          <w:rFonts w:hint="eastAsia" w:ascii="宋体" w:hAnsi="宋体" w:cs="宋体"/>
          <w:color w:val="000000" w:themeColor="text1"/>
          <w:szCs w:val="21"/>
          <w:highlight w:val="none"/>
          <w14:textFill>
            <w14:solidFill>
              <w14:schemeClr w14:val="tx1"/>
            </w14:solidFill>
          </w14:textFill>
        </w:rPr>
        <w:t>;承建(承接)企业为</w:t>
      </w:r>
      <w:r>
        <w:rPr>
          <w:rFonts w:hint="eastAsia" w:ascii="宋体" w:hAnsi="宋体" w:cs="宋体"/>
          <w:color w:val="000000" w:themeColor="text1"/>
          <w:szCs w:val="21"/>
          <w:highlight w:val="none"/>
          <w:u w:val="single"/>
          <w14:textFill>
            <w14:solidFill>
              <w14:schemeClr w14:val="tx1"/>
            </w14:solidFill>
          </w14:textFill>
        </w:rPr>
        <w:t>(企业名称)</w:t>
      </w:r>
      <w:r>
        <w:rPr>
          <w:rFonts w:hint="eastAsia" w:ascii="宋体" w:hAnsi="宋体" w:cs="宋体"/>
          <w:color w:val="000000" w:themeColor="text1"/>
          <w:szCs w:val="21"/>
          <w:highlight w:val="none"/>
          <w14:textFill>
            <w14:solidFill>
              <w14:schemeClr w14:val="tx1"/>
            </w14:solidFill>
          </w14:textFill>
        </w:rPr>
        <w:t>,从业人员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人， 营业收入为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万元，资产总额为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万元，属于</w:t>
      </w:r>
      <w:r>
        <w:rPr>
          <w:rFonts w:hint="eastAsia" w:ascii="宋体" w:hAnsi="宋体" w:cs="宋体"/>
          <w:color w:val="000000" w:themeColor="text1"/>
          <w:szCs w:val="21"/>
          <w:highlight w:val="none"/>
          <w:u w:val="single"/>
          <w14:textFill>
            <w14:solidFill>
              <w14:schemeClr w14:val="tx1"/>
            </w14:solidFill>
          </w14:textFill>
        </w:rPr>
        <w:t>(中型企业、小型企业、微型企业)</w:t>
      </w:r>
      <w:r>
        <w:rPr>
          <w:rFonts w:hint="eastAsia" w:ascii="宋体" w:hAnsi="宋体" w:cs="宋体"/>
          <w:color w:val="000000" w:themeColor="text1"/>
          <w:szCs w:val="21"/>
          <w:highlight w:val="none"/>
          <w14:textFill>
            <w14:solidFill>
              <w14:schemeClr w14:val="tx1"/>
            </w14:solidFill>
          </w14:textFill>
        </w:rPr>
        <w:t>;</w:t>
      </w:r>
    </w:p>
    <w:p w14:paraId="47429943">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u w:val="single"/>
          <w14:textFill>
            <w14:solidFill>
              <w14:schemeClr w14:val="tx1"/>
            </w14:solidFill>
          </w14:textFill>
        </w:rPr>
        <w:t xml:space="preserve"> (标的名称) </w:t>
      </w:r>
      <w:r>
        <w:rPr>
          <w:rFonts w:hint="eastAsia" w:ascii="宋体" w:hAnsi="宋体" w:cs="宋体"/>
          <w:color w:val="000000" w:themeColor="text1"/>
          <w:szCs w:val="21"/>
          <w:highlight w:val="none"/>
          <w14:textFill>
            <w14:solidFill>
              <w14:schemeClr w14:val="tx1"/>
            </w14:solidFill>
          </w14:textFill>
        </w:rPr>
        <w:t>, 属于</w:t>
      </w:r>
      <w:r>
        <w:rPr>
          <w:rFonts w:hint="eastAsia" w:ascii="宋体" w:hAnsi="宋体" w:cs="宋体"/>
          <w:color w:val="000000" w:themeColor="text1"/>
          <w:szCs w:val="21"/>
          <w:highlight w:val="none"/>
          <w:u w:val="single"/>
          <w14:textFill>
            <w14:solidFill>
              <w14:schemeClr w14:val="tx1"/>
            </w14:solidFill>
          </w14:textFill>
        </w:rPr>
        <w:t>(采购文件中明确的所属行业）</w:t>
      </w:r>
      <w:r>
        <w:rPr>
          <w:rFonts w:hint="eastAsia" w:ascii="宋体" w:hAnsi="宋体" w:cs="宋体"/>
          <w:color w:val="000000" w:themeColor="text1"/>
          <w:szCs w:val="21"/>
          <w:highlight w:val="none"/>
          <w14:textFill>
            <w14:solidFill>
              <w14:schemeClr w14:val="tx1"/>
            </w14:solidFill>
          </w14:textFill>
        </w:rPr>
        <w:t>;承建(承接)企业为</w:t>
      </w:r>
      <w:r>
        <w:rPr>
          <w:rFonts w:hint="eastAsia" w:ascii="宋体" w:hAnsi="宋体" w:cs="宋体"/>
          <w:color w:val="000000" w:themeColor="text1"/>
          <w:szCs w:val="21"/>
          <w:highlight w:val="none"/>
          <w:u w:val="single"/>
          <w14:textFill>
            <w14:solidFill>
              <w14:schemeClr w14:val="tx1"/>
            </w14:solidFill>
          </w14:textFill>
        </w:rPr>
        <w:t xml:space="preserve"> (企业名称)</w:t>
      </w:r>
      <w:r>
        <w:rPr>
          <w:rFonts w:hint="eastAsia" w:ascii="宋体" w:hAnsi="宋体" w:cs="宋体"/>
          <w:color w:val="000000" w:themeColor="text1"/>
          <w:szCs w:val="21"/>
          <w:highlight w:val="none"/>
          <w14:textFill>
            <w14:solidFill>
              <w14:schemeClr w14:val="tx1"/>
            </w14:solidFill>
          </w14:textFill>
        </w:rPr>
        <w:t>,从业人员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人， 营业收入为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万元，资产总额为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万元，属于</w:t>
      </w:r>
      <w:r>
        <w:rPr>
          <w:rFonts w:hint="eastAsia" w:ascii="宋体" w:hAnsi="宋体" w:cs="宋体"/>
          <w:color w:val="000000" w:themeColor="text1"/>
          <w:szCs w:val="21"/>
          <w:highlight w:val="none"/>
          <w:u w:val="single"/>
          <w14:textFill>
            <w14:solidFill>
              <w14:schemeClr w14:val="tx1"/>
            </w14:solidFill>
          </w14:textFill>
        </w:rPr>
        <w:t>(中型企业、小型企业、微型企业)</w:t>
      </w:r>
      <w:r>
        <w:rPr>
          <w:rFonts w:hint="eastAsia" w:ascii="宋体" w:hAnsi="宋体" w:cs="宋体"/>
          <w:color w:val="000000" w:themeColor="text1"/>
          <w:szCs w:val="21"/>
          <w:highlight w:val="none"/>
          <w14:textFill>
            <w14:solidFill>
              <w14:schemeClr w14:val="tx1"/>
            </w14:solidFill>
          </w14:textFill>
        </w:rPr>
        <w:t>;</w:t>
      </w:r>
    </w:p>
    <w:p w14:paraId="4B7D9408">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p w14:paraId="1E861470">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以上企业，不属于大企业的分支机构，不存在控股股东为大企业的情形，也不存在与大企业的负责人为同一人的情形。</w:t>
      </w:r>
    </w:p>
    <w:p w14:paraId="122D3DAD">
      <w:pPr>
        <w:widowControl/>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本企业对上述声明内容的真实性负责。如有虚假，将依法承担相应责任。</w:t>
      </w:r>
    </w:p>
    <w:p w14:paraId="68502068">
      <w:pPr>
        <w:widowControl/>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p>
    <w:p w14:paraId="66C94008">
      <w:pPr>
        <w:spacing w:line="588" w:lineRule="exact"/>
        <w:rPr>
          <w:rFonts w:ascii="宋体" w:hAnsi="宋体"/>
          <w:color w:val="000000" w:themeColor="text1"/>
          <w:sz w:val="28"/>
          <w:szCs w:val="28"/>
          <w:highlight w:val="none"/>
          <w14:textFill>
            <w14:solidFill>
              <w14:schemeClr w14:val="tx1"/>
            </w14:solidFill>
          </w14:textFill>
        </w:rPr>
      </w:pPr>
      <w:r>
        <w:rPr>
          <w:rFonts w:ascii="宋体" w:hAnsi="宋体" w:cs="黑体"/>
          <w:color w:val="000000" w:themeColor="text1"/>
          <w:sz w:val="32"/>
          <w:szCs w:val="32"/>
          <w:highlight w:val="none"/>
          <w14:textFill>
            <w14:solidFill>
              <w14:schemeClr w14:val="tx1"/>
            </w14:solidFill>
          </w14:textFill>
        </w:rPr>
        <w:br w:type="page"/>
      </w:r>
      <w:r>
        <w:rPr>
          <w:rFonts w:ascii="宋体" w:hAnsi="宋体" w:cs="黑体"/>
          <w:color w:val="000000" w:themeColor="text1"/>
          <w:sz w:val="32"/>
          <w:szCs w:val="32"/>
          <w:highlight w:val="none"/>
          <w14:textFill>
            <w14:solidFill>
              <w14:schemeClr w14:val="tx1"/>
            </w14:solidFill>
          </w14:textFill>
        </w:rPr>
        <w:t>附件9-2</w:t>
      </w:r>
    </w:p>
    <w:p w14:paraId="217C656A">
      <w:pPr>
        <w:spacing w:line="588" w:lineRule="exact"/>
        <w:jc w:val="center"/>
        <w:rPr>
          <w:rFonts w:ascii="宋体" w:hAnsi="宋体" w:cs="仿宋_GB2312"/>
          <w:b/>
          <w:bCs/>
          <w:color w:val="000000" w:themeColor="text1"/>
          <w:spacing w:val="6"/>
          <w:sz w:val="28"/>
          <w:szCs w:val="28"/>
          <w:highlight w:val="none"/>
          <w14:textFill>
            <w14:solidFill>
              <w14:schemeClr w14:val="tx1"/>
            </w14:solidFill>
          </w14:textFill>
        </w:rPr>
      </w:pPr>
      <w:r>
        <w:rPr>
          <w:rFonts w:hint="eastAsia" w:ascii="宋体" w:hAnsi="宋体" w:cs="仿宋_GB2312"/>
          <w:b/>
          <w:bCs/>
          <w:color w:val="000000" w:themeColor="text1"/>
          <w:spacing w:val="6"/>
          <w:sz w:val="28"/>
          <w:szCs w:val="28"/>
          <w:highlight w:val="none"/>
          <w14:textFill>
            <w14:solidFill>
              <w14:schemeClr w14:val="tx1"/>
            </w14:solidFill>
          </w14:textFill>
        </w:rPr>
        <w:t>残疾人福利性单位声明函</w:t>
      </w:r>
    </w:p>
    <w:p w14:paraId="282DAE32">
      <w:pPr>
        <w:adjustRightInd w:val="0"/>
        <w:snapToGrid w:val="0"/>
        <w:spacing w:line="360" w:lineRule="auto"/>
        <w:jc w:val="center"/>
        <w:rPr>
          <w:rFonts w:ascii="宋体" w:hAnsi="宋体"/>
          <w:b/>
          <w:color w:val="000000" w:themeColor="text1"/>
          <w:spacing w:val="6"/>
          <w:szCs w:val="21"/>
          <w:highlight w:val="none"/>
          <w14:textFill>
            <w14:solidFill>
              <w14:schemeClr w14:val="tx1"/>
            </w14:solidFill>
          </w14:textFill>
        </w:rPr>
      </w:pPr>
      <w:r>
        <w:rPr>
          <w:rFonts w:hint="eastAsia" w:ascii="宋体" w:hAnsi="宋体"/>
          <w:b/>
          <w:color w:val="000000" w:themeColor="text1"/>
          <w:spacing w:val="6"/>
          <w:szCs w:val="21"/>
          <w:highlight w:val="none"/>
          <w14:textFill>
            <w14:solidFill>
              <w14:schemeClr w14:val="tx1"/>
            </w14:solidFill>
          </w14:textFill>
        </w:rPr>
        <w:t>(不属于残疾人福利性单位的无需提供)</w:t>
      </w:r>
    </w:p>
    <w:p w14:paraId="657E97F4">
      <w:pPr>
        <w:adjustRightInd w:val="0"/>
        <w:snapToGrid w:val="0"/>
        <w:spacing w:line="360" w:lineRule="auto"/>
        <w:jc w:val="center"/>
        <w:rPr>
          <w:rFonts w:ascii="宋体" w:hAnsi="宋体"/>
          <w:b/>
          <w:color w:val="000000" w:themeColor="text1"/>
          <w:spacing w:val="6"/>
          <w:szCs w:val="21"/>
          <w:highlight w:val="none"/>
          <w14:textFill>
            <w14:solidFill>
              <w14:schemeClr w14:val="tx1"/>
            </w14:solidFill>
          </w14:textFill>
        </w:rPr>
      </w:pPr>
    </w:p>
    <w:p w14:paraId="3295168C">
      <w:pPr>
        <w:spacing w:line="588" w:lineRule="exact"/>
        <w:ind w:firstLine="444" w:firstLineChars="200"/>
        <w:rPr>
          <w:rFonts w:ascii="宋体" w:hAnsi="宋体"/>
          <w:color w:val="000000" w:themeColor="text1"/>
          <w:spacing w:val="6"/>
          <w:szCs w:val="21"/>
          <w:highlight w:val="none"/>
          <w14:textFill>
            <w14:solidFill>
              <w14:schemeClr w14:val="tx1"/>
            </w14:solidFill>
          </w14:textFill>
        </w:rPr>
      </w:pPr>
      <w:r>
        <w:rPr>
          <w:rFonts w:hint="eastAsia" w:ascii="宋体" w:hAnsi="宋体" w:cs="仿宋_GB2312"/>
          <w:color w:val="000000" w:themeColor="text1"/>
          <w:spacing w:val="6"/>
          <w:szCs w:val="21"/>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s="仿宋_GB2312"/>
          <w:color w:val="000000" w:themeColor="text1"/>
          <w:szCs w:val="21"/>
          <w:highlight w:val="none"/>
          <w14:textFill>
            <w14:solidFill>
              <w14:schemeClr w14:val="tx1"/>
            </w14:solidFill>
          </w14:textFill>
        </w:rPr>
        <w:t>〔2017〕 141</w:t>
      </w:r>
      <w:r>
        <w:rPr>
          <w:rFonts w:hint="eastAsia" w:ascii="宋体" w:hAnsi="宋体" w:cs="仿宋_GB2312"/>
          <w:color w:val="000000" w:themeColor="text1"/>
          <w:spacing w:val="6"/>
          <w:szCs w:val="21"/>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C63FE91">
      <w:pPr>
        <w:spacing w:line="588" w:lineRule="exact"/>
        <w:ind w:firstLine="444" w:firstLineChars="200"/>
        <w:rPr>
          <w:rFonts w:ascii="宋体" w:hAnsi="宋体"/>
          <w:color w:val="000000" w:themeColor="text1"/>
          <w:spacing w:val="6"/>
          <w:szCs w:val="21"/>
          <w:highlight w:val="none"/>
          <w14:textFill>
            <w14:solidFill>
              <w14:schemeClr w14:val="tx1"/>
            </w14:solidFill>
          </w14:textFill>
        </w:rPr>
      </w:pPr>
      <w:r>
        <w:rPr>
          <w:rFonts w:hint="eastAsia" w:ascii="宋体" w:hAnsi="宋体" w:cs="仿宋_GB2312"/>
          <w:color w:val="000000" w:themeColor="text1"/>
          <w:spacing w:val="6"/>
          <w:szCs w:val="21"/>
          <w:highlight w:val="none"/>
          <w14:textFill>
            <w14:solidFill>
              <w14:schemeClr w14:val="tx1"/>
            </w14:solidFill>
          </w14:textFill>
        </w:rPr>
        <w:t>本单位对上述声明的真实性负责。如有虚假，将依法承担相应责任。</w:t>
      </w:r>
    </w:p>
    <w:p w14:paraId="766BF65B">
      <w:pPr>
        <w:spacing w:line="588" w:lineRule="exact"/>
        <w:ind w:firstLine="444" w:firstLineChars="200"/>
        <w:rPr>
          <w:rFonts w:ascii="宋体" w:hAnsi="宋体"/>
          <w:color w:val="000000" w:themeColor="text1"/>
          <w:spacing w:val="6"/>
          <w:szCs w:val="21"/>
          <w:highlight w:val="none"/>
          <w14:textFill>
            <w14:solidFill>
              <w14:schemeClr w14:val="tx1"/>
            </w14:solidFill>
          </w14:textFill>
        </w:rPr>
      </w:pPr>
    </w:p>
    <w:p w14:paraId="1F5F9966">
      <w:pPr>
        <w:spacing w:line="588" w:lineRule="exact"/>
        <w:ind w:firstLine="444" w:firstLineChars="200"/>
        <w:rPr>
          <w:rFonts w:ascii="宋体" w:hAnsi="宋体"/>
          <w:color w:val="000000" w:themeColor="text1"/>
          <w:spacing w:val="6"/>
          <w:szCs w:val="21"/>
          <w:highlight w:val="none"/>
          <w14:textFill>
            <w14:solidFill>
              <w14:schemeClr w14:val="tx1"/>
            </w14:solidFill>
          </w14:textFill>
        </w:rPr>
      </w:pPr>
    </w:p>
    <w:p w14:paraId="369CA8F0">
      <w:pPr>
        <w:tabs>
          <w:tab w:val="left" w:pos="4860"/>
        </w:tabs>
        <w:spacing w:line="588" w:lineRule="exact"/>
        <w:ind w:right="1560" w:firstLine="444" w:firstLineChars="200"/>
        <w:jc w:val="center"/>
        <w:rPr>
          <w:rFonts w:ascii="宋体" w:hAnsi="宋体"/>
          <w:color w:val="000000" w:themeColor="text1"/>
          <w:spacing w:val="6"/>
          <w:szCs w:val="21"/>
          <w:highlight w:val="none"/>
          <w14:textFill>
            <w14:solidFill>
              <w14:schemeClr w14:val="tx1"/>
            </w14:solidFill>
          </w14:textFill>
        </w:rPr>
      </w:pPr>
      <w:r>
        <w:rPr>
          <w:rFonts w:hint="eastAsia" w:ascii="宋体" w:hAnsi="宋体" w:cs="仿宋_GB2312"/>
          <w:color w:val="000000" w:themeColor="text1"/>
          <w:spacing w:val="6"/>
          <w:szCs w:val="21"/>
          <w:highlight w:val="none"/>
          <w14:textFill>
            <w14:solidFill>
              <w14:schemeClr w14:val="tx1"/>
            </w14:solidFill>
          </w14:textFill>
        </w:rPr>
        <w:t xml:space="preserve">             </w:t>
      </w:r>
      <w:r>
        <w:rPr>
          <w:rFonts w:hint="eastAsia" w:ascii="宋体" w:hAnsi="宋体" w:cs="宋体"/>
          <w:color w:val="000000" w:themeColor="text1"/>
          <w:spacing w:val="6"/>
          <w:szCs w:val="21"/>
          <w:highlight w:val="none"/>
          <w14:textFill>
            <w14:solidFill>
              <w14:schemeClr w14:val="tx1"/>
            </w14:solidFill>
          </w14:textFill>
        </w:rPr>
        <w:t>    </w:t>
      </w:r>
      <w:r>
        <w:rPr>
          <w:rFonts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pacing w:val="6"/>
          <w:szCs w:val="21"/>
          <w:highlight w:val="none"/>
          <w14:textFill>
            <w14:solidFill>
              <w14:schemeClr w14:val="tx1"/>
            </w14:solidFill>
          </w14:textFill>
        </w:rPr>
        <w:t>供应商名称（盖章）：</w:t>
      </w:r>
    </w:p>
    <w:p w14:paraId="1C69C8D8">
      <w:pPr>
        <w:tabs>
          <w:tab w:val="left" w:pos="4860"/>
        </w:tabs>
        <w:spacing w:line="588" w:lineRule="exact"/>
        <w:ind w:right="1560" w:firstLine="444" w:firstLineChars="200"/>
        <w:jc w:val="center"/>
        <w:rPr>
          <w:rFonts w:ascii="宋体" w:hAnsi="宋体"/>
          <w:color w:val="000000" w:themeColor="text1"/>
          <w:spacing w:val="6"/>
          <w:szCs w:val="21"/>
          <w:highlight w:val="none"/>
          <w14:textFill>
            <w14:solidFill>
              <w14:schemeClr w14:val="tx1"/>
            </w14:solidFill>
          </w14:textFill>
        </w:rPr>
      </w:pPr>
      <w:r>
        <w:rPr>
          <w:rFonts w:hint="eastAsia" w:ascii="宋体" w:hAnsi="宋体" w:cs="仿宋_GB2312"/>
          <w:color w:val="000000" w:themeColor="text1"/>
          <w:spacing w:val="6"/>
          <w:szCs w:val="21"/>
          <w:highlight w:val="none"/>
          <w14:textFill>
            <w14:solidFill>
              <w14:schemeClr w14:val="tx1"/>
            </w14:solidFill>
          </w14:textFill>
        </w:rPr>
        <w:t xml:space="preserve">       日  期：</w:t>
      </w:r>
    </w:p>
    <w:p w14:paraId="1C2D10BD">
      <w:pPr>
        <w:spacing w:line="400" w:lineRule="exact"/>
        <w:rPr>
          <w:rFonts w:ascii="宋体" w:hAnsi="宋体"/>
          <w:color w:val="000000" w:themeColor="text1"/>
          <w:highlight w:val="none"/>
          <w14:textFill>
            <w14:solidFill>
              <w14:schemeClr w14:val="tx1"/>
            </w14:solidFill>
          </w14:textFill>
        </w:rPr>
      </w:pPr>
    </w:p>
    <w:p w14:paraId="00B02BB3">
      <w:pPr>
        <w:spacing w:line="400" w:lineRule="exact"/>
        <w:rPr>
          <w:rFonts w:ascii="宋体" w:hAnsi="宋体"/>
          <w:color w:val="000000" w:themeColor="text1"/>
          <w:highlight w:val="none"/>
          <w14:textFill>
            <w14:solidFill>
              <w14:schemeClr w14:val="tx1"/>
            </w14:solidFill>
          </w14:textFill>
        </w:rPr>
      </w:pPr>
    </w:p>
    <w:p w14:paraId="40001F4B">
      <w:pPr>
        <w:tabs>
          <w:tab w:val="left" w:pos="4860"/>
        </w:tabs>
        <w:spacing w:line="588" w:lineRule="exact"/>
        <w:ind w:right="1560"/>
        <w:jc w:val="left"/>
        <w:rPr>
          <w:rFonts w:ascii="宋体" w:hAnsi="宋体" w:cs="黑体"/>
          <w:color w:val="000000" w:themeColor="text1"/>
          <w:spacing w:val="6"/>
          <w:sz w:val="32"/>
          <w:szCs w:val="32"/>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hint="eastAsia" w:ascii="宋体" w:hAnsi="宋体" w:cs="黑体"/>
          <w:color w:val="000000" w:themeColor="text1"/>
          <w:spacing w:val="6"/>
          <w:sz w:val="32"/>
          <w:szCs w:val="32"/>
          <w:highlight w:val="none"/>
          <w14:textFill>
            <w14:solidFill>
              <w14:schemeClr w14:val="tx1"/>
            </w14:solidFill>
          </w14:textFill>
        </w:rPr>
        <w:t>附件</w:t>
      </w:r>
      <w:r>
        <w:rPr>
          <w:rFonts w:ascii="宋体" w:hAnsi="宋体" w:cs="黑体"/>
          <w:color w:val="000000" w:themeColor="text1"/>
          <w:spacing w:val="6"/>
          <w:sz w:val="32"/>
          <w:szCs w:val="32"/>
          <w:highlight w:val="none"/>
          <w14:textFill>
            <w14:solidFill>
              <w14:schemeClr w14:val="tx1"/>
            </w14:solidFill>
          </w14:textFill>
        </w:rPr>
        <w:t>9-3</w:t>
      </w:r>
    </w:p>
    <w:p w14:paraId="3521170E">
      <w:pPr>
        <w:spacing w:line="400" w:lineRule="exact"/>
        <w:rPr>
          <w:rFonts w:ascii="宋体" w:hAnsi="宋体"/>
          <w:color w:val="000000" w:themeColor="text1"/>
          <w:highlight w:val="none"/>
          <w14:textFill>
            <w14:solidFill>
              <w14:schemeClr w14:val="tx1"/>
            </w14:solidFill>
          </w14:textFill>
        </w:rPr>
      </w:pPr>
    </w:p>
    <w:p w14:paraId="2512B2B0">
      <w:pPr>
        <w:adjustRightInd w:val="0"/>
        <w:snapToGrid w:val="0"/>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cs="仿宋_GB2312"/>
          <w:b/>
          <w:bCs/>
          <w:color w:val="000000" w:themeColor="text1"/>
          <w:spacing w:val="6"/>
          <w:sz w:val="28"/>
          <w:szCs w:val="28"/>
          <w:highlight w:val="none"/>
          <w14:textFill>
            <w14:solidFill>
              <w14:schemeClr w14:val="tx1"/>
            </w14:solidFill>
          </w14:textFill>
        </w:rPr>
        <w:t>监狱企业证明资料</w:t>
      </w:r>
    </w:p>
    <w:p w14:paraId="27D5A6BD">
      <w:pPr>
        <w:adjustRightInd w:val="0"/>
        <w:snapToGrid w:val="0"/>
        <w:spacing w:line="360" w:lineRule="auto"/>
        <w:jc w:val="center"/>
        <w:rPr>
          <w:rFonts w:ascii="宋体" w:hAnsi="宋体"/>
          <w:b/>
          <w:color w:val="000000" w:themeColor="text1"/>
          <w:spacing w:val="6"/>
          <w:szCs w:val="21"/>
          <w:highlight w:val="none"/>
          <w14:textFill>
            <w14:solidFill>
              <w14:schemeClr w14:val="tx1"/>
            </w14:solidFill>
          </w14:textFill>
        </w:rPr>
      </w:pPr>
      <w:r>
        <w:rPr>
          <w:rFonts w:hint="eastAsia" w:ascii="宋体" w:hAnsi="宋体"/>
          <w:b/>
          <w:color w:val="000000" w:themeColor="text1"/>
          <w:spacing w:val="6"/>
          <w:szCs w:val="21"/>
          <w:highlight w:val="none"/>
          <w14:textFill>
            <w14:solidFill>
              <w14:schemeClr w14:val="tx1"/>
            </w14:solidFill>
          </w14:textFill>
        </w:rPr>
        <w:t>(不属于监狱企业的无需提供)</w:t>
      </w:r>
    </w:p>
    <w:p w14:paraId="1648EFDD">
      <w:pPr>
        <w:adjustRightInd w:val="0"/>
        <w:snapToGrid w:val="0"/>
        <w:spacing w:line="360" w:lineRule="auto"/>
        <w:rPr>
          <w:rFonts w:ascii="宋体" w:hAnsi="宋体"/>
          <w:color w:val="000000" w:themeColor="text1"/>
          <w:szCs w:val="21"/>
          <w:highlight w:val="none"/>
          <w14:textFill>
            <w14:solidFill>
              <w14:schemeClr w14:val="tx1"/>
            </w14:solidFill>
          </w14:textFill>
        </w:rPr>
      </w:pPr>
    </w:p>
    <w:p w14:paraId="71EBA430">
      <w:pPr>
        <w:adjustRightInd w:val="0"/>
        <w:snapToGrid w:val="0"/>
        <w:spacing w:line="360" w:lineRule="auto"/>
        <w:ind w:firstLine="444" w:firstLineChars="200"/>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pacing w:val="6"/>
          <w:kern w:val="0"/>
          <w:szCs w:val="21"/>
          <w:highlight w:val="none"/>
          <w14:textFill>
            <w14:solidFill>
              <w14:schemeClr w14:val="tx1"/>
            </w14:solidFill>
          </w14:textFill>
        </w:rPr>
        <w:t>备注：</w:t>
      </w:r>
      <w:r>
        <w:rPr>
          <w:rFonts w:hint="eastAsia" w:ascii="宋体" w:hAnsi="宋体"/>
          <w:color w:val="000000" w:themeColor="text1"/>
          <w:szCs w:val="21"/>
          <w:highlight w:val="none"/>
          <w14:textFill>
            <w14:solidFill>
              <w14:schemeClr w14:val="tx1"/>
            </w14:solidFill>
          </w14:textFill>
        </w:rPr>
        <w:t>按</w:t>
      </w:r>
      <w:r>
        <w:rPr>
          <w:rFonts w:hint="eastAsia" w:ascii="宋体" w:hAnsi="宋体"/>
          <w:color w:val="000000" w:themeColor="text1"/>
          <w:spacing w:val="6"/>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财政部 司法部关于政府采购支持监狱企业发展有关问题的通知</w:t>
      </w:r>
      <w:r>
        <w:rPr>
          <w:rFonts w:hint="eastAsia" w:ascii="宋体" w:hAnsi="宋体"/>
          <w:color w:val="000000" w:themeColor="text1"/>
          <w:spacing w:val="6"/>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(财库〔2014〕68号)文件规定提供证明文件（复印件）。</w:t>
      </w:r>
    </w:p>
    <w:p w14:paraId="51688B23">
      <w:pPr>
        <w:widowControl/>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p>
    <w:p w14:paraId="425DA08B">
      <w:pPr>
        <w:widowControl/>
        <w:adjustRightInd w:val="0"/>
        <w:snapToGrid w:val="0"/>
        <w:spacing w:line="360" w:lineRule="auto"/>
        <w:ind w:firstLine="444" w:firstLineChars="200"/>
        <w:jc w:val="center"/>
        <w:rPr>
          <w:rFonts w:ascii="宋体" w:hAnsi="宋体" w:cs="宋体"/>
          <w:color w:val="000000" w:themeColor="text1"/>
          <w:spacing w:val="6"/>
          <w:kern w:val="0"/>
          <w:szCs w:val="21"/>
          <w:highlight w:val="none"/>
          <w14:textFill>
            <w14:solidFill>
              <w14:schemeClr w14:val="tx1"/>
            </w14:solidFill>
          </w14:textFill>
        </w:rPr>
      </w:pPr>
    </w:p>
    <w:p w14:paraId="5CF25A0E">
      <w:pPr>
        <w:widowControl/>
        <w:adjustRightInd w:val="0"/>
        <w:snapToGrid w:val="0"/>
        <w:spacing w:line="360" w:lineRule="auto"/>
        <w:ind w:firstLine="444" w:firstLineChars="200"/>
        <w:jc w:val="center"/>
        <w:rPr>
          <w:rFonts w:ascii="宋体" w:hAnsi="宋体" w:cs="宋体"/>
          <w:color w:val="000000" w:themeColor="text1"/>
          <w:spacing w:val="6"/>
          <w:kern w:val="0"/>
          <w:szCs w:val="21"/>
          <w:highlight w:val="none"/>
          <w14:textFill>
            <w14:solidFill>
              <w14:schemeClr w14:val="tx1"/>
            </w14:solidFill>
          </w14:textFill>
        </w:rPr>
      </w:pPr>
      <w:r>
        <w:rPr>
          <w:rFonts w:hint="eastAsia" w:ascii="宋体" w:hAnsi="宋体" w:cs="宋体"/>
          <w:color w:val="000000" w:themeColor="text1"/>
          <w:spacing w:val="6"/>
          <w:kern w:val="0"/>
          <w:szCs w:val="21"/>
          <w:highlight w:val="none"/>
          <w14:textFill>
            <w14:solidFill>
              <w14:schemeClr w14:val="tx1"/>
            </w14:solidFill>
          </w14:textFill>
        </w:rPr>
        <w:t xml:space="preserve">            供应商名称（盖单位章）： </w:t>
      </w:r>
    </w:p>
    <w:p w14:paraId="5D642949">
      <w:pPr>
        <w:adjustRightInd w:val="0"/>
        <w:snapToGrid w:val="0"/>
        <w:spacing w:line="360" w:lineRule="auto"/>
        <w:ind w:right="23" w:rightChars="11"/>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color w:val="000000" w:themeColor="text1"/>
          <w:spacing w:val="6"/>
          <w:kern w:val="0"/>
          <w:szCs w:val="21"/>
          <w:highlight w:val="none"/>
          <w14:textFill>
            <w14:solidFill>
              <w14:schemeClr w14:val="tx1"/>
            </w14:solidFill>
          </w14:textFill>
        </w:rPr>
        <w:t xml:space="preserve">                                   日期：</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年</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月</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日</w:t>
      </w:r>
    </w:p>
    <w:p w14:paraId="73585D5D">
      <w:pPr>
        <w:adjustRightInd w:val="0"/>
        <w:snapToGrid w:val="0"/>
        <w:spacing w:line="360" w:lineRule="auto"/>
        <w:ind w:right="23" w:rightChars="11"/>
        <w:rPr>
          <w:rFonts w:ascii="宋体" w:hAnsi="宋体" w:cs="宋体"/>
          <w:color w:val="000000" w:themeColor="text1"/>
          <w:kern w:val="0"/>
          <w:szCs w:val="21"/>
          <w:highlight w:val="none"/>
          <w14:textFill>
            <w14:solidFill>
              <w14:schemeClr w14:val="tx1"/>
            </w14:solidFill>
          </w14:textFill>
        </w:rPr>
      </w:pPr>
    </w:p>
    <w:p w14:paraId="614A463E">
      <w:pPr>
        <w:adjustRightInd w:val="0"/>
        <w:snapToGrid w:val="0"/>
        <w:spacing w:line="360" w:lineRule="auto"/>
        <w:ind w:right="23" w:rightChars="11"/>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说明：1、填写前请认真阅读</w:t>
      </w:r>
      <w:r>
        <w:rPr>
          <w:rFonts w:hint="eastAsia" w:ascii="宋体" w:hAnsi="宋体" w:cs="宋体"/>
          <w:color w:val="000000" w:themeColor="text1"/>
          <w:spacing w:val="6"/>
          <w:kern w:val="0"/>
          <w:szCs w:val="21"/>
          <w:highlight w:val="none"/>
          <w14:textFill>
            <w14:solidFill>
              <w14:schemeClr w14:val="tx1"/>
            </w14:solidFill>
          </w14:textFill>
        </w:rPr>
        <w:t>《工业和信息化部、国家统计局、国家发展和改革委员会、财政部关于印发中小企业划型标准规定的通知》（工信部联企业[2011]300号）和《财政部</w:t>
      </w:r>
      <w:r>
        <w:rPr>
          <w:rFonts w:hint="eastAsia" w:ascii="宋体" w:hAnsi="宋体" w:cs="宋体"/>
          <w:color w:val="000000" w:themeColor="text1"/>
          <w:kern w:val="0"/>
          <w:szCs w:val="21"/>
          <w:highlight w:val="none"/>
          <w14:textFill>
            <w14:solidFill>
              <w14:schemeClr w14:val="tx1"/>
            </w14:solidFill>
          </w14:textFill>
        </w:rPr>
        <w:t xml:space="preserve"> </w:t>
      </w:r>
      <w:r>
        <w:rPr>
          <w:rFonts w:hint="eastAsia" w:ascii="宋体" w:hAnsi="宋体" w:cs="宋体"/>
          <w:color w:val="000000" w:themeColor="text1"/>
          <w:spacing w:val="6"/>
          <w:kern w:val="0"/>
          <w:szCs w:val="21"/>
          <w:highlight w:val="none"/>
          <w14:textFill>
            <w14:solidFill>
              <w14:schemeClr w14:val="tx1"/>
            </w14:solidFill>
          </w14:textFill>
        </w:rPr>
        <w:t>工业和信息化部</w:t>
      </w:r>
      <w:r>
        <w:rPr>
          <w:rFonts w:hint="eastAsia" w:ascii="宋体" w:hAnsi="宋体" w:cs="宋体"/>
          <w:bCs/>
          <w:color w:val="000000" w:themeColor="text1"/>
          <w:kern w:val="0"/>
          <w:szCs w:val="21"/>
          <w:highlight w:val="none"/>
          <w14:textFill>
            <w14:solidFill>
              <w14:schemeClr w14:val="tx1"/>
            </w14:solidFill>
          </w14:textFill>
        </w:rPr>
        <w:t>关于印发＜政府采购促进中小企业发展管理办法＞的通知》(</w:t>
      </w:r>
      <w:r>
        <w:rPr>
          <w:rFonts w:hint="eastAsia" w:ascii="宋体" w:hAnsi="宋体" w:cs="宋体"/>
          <w:color w:val="000000" w:themeColor="text1"/>
          <w:kern w:val="0"/>
          <w:szCs w:val="21"/>
          <w:highlight w:val="none"/>
          <w14:textFill>
            <w14:solidFill>
              <w14:schemeClr w14:val="tx1"/>
            </w14:solidFill>
          </w14:textFill>
        </w:rPr>
        <w:t>财库[2020]46号)相关规定。</w:t>
      </w:r>
    </w:p>
    <w:p w14:paraId="0EC1668C">
      <w:pPr>
        <w:adjustRightInd w:val="0"/>
        <w:snapToGrid w:val="0"/>
        <w:spacing w:line="360" w:lineRule="auto"/>
        <w:ind w:right="23" w:rightChars="11" w:firstLine="630" w:firstLineChars="300"/>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bCs/>
          <w:color w:val="000000" w:themeColor="text1"/>
          <w:kern w:val="0"/>
          <w:szCs w:val="21"/>
          <w:highlight w:val="none"/>
          <w14:textFill>
            <w14:solidFill>
              <w14:schemeClr w14:val="tx1"/>
            </w14:solidFill>
          </w14:textFill>
        </w:rPr>
        <w:t>未按上述要求提供、</w:t>
      </w:r>
      <w:r>
        <w:rPr>
          <w:rFonts w:hint="eastAsia" w:ascii="宋体" w:hAnsi="宋体" w:cs="宋体"/>
          <w:color w:val="000000" w:themeColor="text1"/>
          <w:kern w:val="0"/>
          <w:szCs w:val="21"/>
          <w:highlight w:val="none"/>
          <w14:textFill>
            <w14:solidFill>
              <w14:schemeClr w14:val="tx1"/>
            </w14:solidFill>
          </w14:textFill>
        </w:rPr>
        <w:t>填写</w:t>
      </w:r>
      <w:r>
        <w:rPr>
          <w:rFonts w:hint="eastAsia" w:ascii="宋体" w:hAnsi="宋体" w:cs="宋体"/>
          <w:bCs/>
          <w:color w:val="000000" w:themeColor="text1"/>
          <w:kern w:val="0"/>
          <w:szCs w:val="21"/>
          <w:highlight w:val="none"/>
          <w14:textFill>
            <w14:solidFill>
              <w14:schemeClr w14:val="tx1"/>
            </w14:solidFill>
          </w14:textFill>
        </w:rPr>
        <w:t>的，评审时不予以考虑。</w:t>
      </w:r>
    </w:p>
    <w:p w14:paraId="36920BEB">
      <w:pPr>
        <w:adjustRightInd w:val="0"/>
        <w:snapToGrid w:val="0"/>
        <w:spacing w:line="360" w:lineRule="auto"/>
        <w:ind w:right="23" w:rightChars="11" w:firstLine="630" w:firstLineChars="3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r>
        <w:rPr>
          <w:rFonts w:hint="eastAsia" w:ascii="宋体" w:hAnsi="宋体" w:cs="宋体"/>
          <w:bCs/>
          <w:color w:val="000000" w:themeColor="text1"/>
          <w:spacing w:val="6"/>
          <w:kern w:val="0"/>
          <w:szCs w:val="21"/>
          <w:highlight w:val="none"/>
          <w14:textFill>
            <w14:solidFill>
              <w14:schemeClr w14:val="tx1"/>
            </w14:solidFill>
          </w14:textFill>
        </w:rPr>
        <w:t>从</w:t>
      </w:r>
      <w:r>
        <w:rPr>
          <w:rFonts w:hint="eastAsia" w:ascii="宋体" w:hAnsi="宋体" w:cs="宋体"/>
          <w:color w:val="000000" w:themeColor="text1"/>
          <w:kern w:val="0"/>
          <w:szCs w:val="21"/>
          <w:highlight w:val="none"/>
          <w14:textFill>
            <w14:solidFill>
              <w14:schemeClr w14:val="tx1"/>
            </w14:solidFill>
          </w14:textFill>
        </w:rPr>
        <w:t>业人员、营业收入、资产总额填报上一年度数据，无上一年度数据的新成立企业可不填报</w:t>
      </w:r>
    </w:p>
    <w:p w14:paraId="4A43B466">
      <w:pPr>
        <w:adjustRightInd w:val="0"/>
        <w:snapToGrid w:val="0"/>
        <w:spacing w:line="360" w:lineRule="auto"/>
        <w:ind w:right="23" w:rightChars="11" w:firstLine="630" w:firstLineChars="3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4、本项目为专门面向中小企业采购。中小企业必须提供《中小企业声明函》，否则视为无效响应。小微企业划分标准所属行业：建筑业。小、微企业认定标准为：</w:t>
      </w:r>
    </w:p>
    <w:p w14:paraId="3AE73A53">
      <w:pPr>
        <w:adjustRightInd w:val="0"/>
        <w:snapToGrid w:val="0"/>
        <w:spacing w:line="360" w:lineRule="auto"/>
        <w:ind w:right="23" w:rightChars="11" w:firstLine="630" w:firstLineChars="3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（1）营业收入6000万元（含）—80000万元以下，且资产总额5000万元（含）—80000万元以下的为中型企业；</w:t>
      </w:r>
    </w:p>
    <w:p w14:paraId="64BD3256">
      <w:pPr>
        <w:adjustRightInd w:val="0"/>
        <w:snapToGrid w:val="0"/>
        <w:spacing w:line="360" w:lineRule="auto"/>
        <w:ind w:right="23" w:rightChars="11" w:firstLine="630" w:firstLineChars="3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（2）营业收入300万元（含）—6000万元，且资产总额300万元（含）—5000万元的为小型企业；</w:t>
      </w:r>
    </w:p>
    <w:p w14:paraId="6F9A886C">
      <w:pPr>
        <w:adjustRightInd w:val="0"/>
        <w:snapToGrid w:val="0"/>
        <w:spacing w:line="360" w:lineRule="auto"/>
        <w:ind w:right="23" w:rightChars="11" w:firstLine="630" w:firstLineChars="3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（3）营业收入300万元以下或资产总额300万元以下的为微型企业。</w:t>
      </w:r>
    </w:p>
    <w:p w14:paraId="236D1AE0">
      <w:pPr>
        <w:adjustRightInd w:val="0"/>
        <w:snapToGrid w:val="0"/>
        <w:spacing w:line="360" w:lineRule="auto"/>
        <w:jc w:val="left"/>
        <w:rPr>
          <w:rFonts w:ascii="宋体" w:hAnsi="宋体" w:cs="宋体"/>
          <w:color w:val="000000" w:themeColor="text1"/>
          <w:kern w:val="0"/>
          <w:sz w:val="24"/>
          <w:szCs w:val="20"/>
          <w:highlight w:val="none"/>
          <w14:textFill>
            <w14:solidFill>
              <w14:schemeClr w14:val="tx1"/>
            </w14:solidFill>
          </w14:textFill>
        </w:rPr>
      </w:pPr>
      <w:r>
        <w:rPr>
          <w:rFonts w:ascii="宋体" w:hAnsi="宋体" w:cs="宋体"/>
          <w:color w:val="000000" w:themeColor="text1"/>
          <w:kern w:val="0"/>
          <w:sz w:val="24"/>
          <w:szCs w:val="20"/>
          <w:highlight w:val="none"/>
          <w14:textFill>
            <w14:solidFill>
              <w14:schemeClr w14:val="tx1"/>
            </w14:solidFill>
          </w14:textFill>
        </w:rPr>
        <w:br w:type="page"/>
      </w:r>
      <w:r>
        <w:rPr>
          <w:rFonts w:hint="eastAsia" w:ascii="宋体" w:hAnsi="宋体" w:cs="宋体"/>
          <w:color w:val="000000" w:themeColor="text1"/>
          <w:kern w:val="0"/>
          <w:sz w:val="24"/>
          <w:szCs w:val="20"/>
          <w:highlight w:val="none"/>
          <w14:textFill>
            <w14:solidFill>
              <w14:schemeClr w14:val="tx1"/>
            </w14:solidFill>
          </w14:textFill>
        </w:rPr>
        <w:t>附件9-2</w:t>
      </w:r>
    </w:p>
    <w:p w14:paraId="515FE2B6">
      <w:pPr>
        <w:adjustRightInd w:val="0"/>
        <w:snapToGrid w:val="0"/>
        <w:rPr>
          <w:rFonts w:ascii="宋体" w:hAnsi="宋体" w:cs="宋体"/>
          <w:color w:val="000000" w:themeColor="text1"/>
          <w:kern w:val="0"/>
          <w:sz w:val="30"/>
          <w:szCs w:val="30"/>
          <w:highlight w:val="none"/>
          <w14:textFill>
            <w14:solidFill>
              <w14:schemeClr w14:val="tx1"/>
            </w14:solidFill>
          </w14:textFill>
        </w:rPr>
      </w:pPr>
    </w:p>
    <w:p w14:paraId="129E1F96">
      <w:pPr>
        <w:adjustRightInd w:val="0"/>
        <w:snapToGrid w:val="0"/>
        <w:spacing w:before="50" w:line="360" w:lineRule="auto"/>
        <w:jc w:val="center"/>
        <w:rPr>
          <w:rFonts w:ascii="宋体" w:hAnsi="宋体" w:cs="宋体"/>
          <w:b/>
          <w:bCs/>
          <w:color w:val="000000" w:themeColor="text1"/>
          <w:kern w:val="0"/>
          <w:sz w:val="30"/>
          <w:szCs w:val="30"/>
          <w:highlight w:val="none"/>
          <w14:textFill>
            <w14:solidFill>
              <w14:schemeClr w14:val="tx1"/>
            </w14:solidFill>
          </w14:textFill>
        </w:rPr>
      </w:pPr>
      <w:r>
        <w:rPr>
          <w:rFonts w:hint="eastAsia" w:ascii="宋体" w:hAnsi="宋体" w:cs="宋体"/>
          <w:b/>
          <w:color w:val="000000" w:themeColor="text1"/>
          <w:kern w:val="0"/>
          <w:sz w:val="30"/>
          <w:szCs w:val="30"/>
          <w:highlight w:val="none"/>
          <w14:textFill>
            <w14:solidFill>
              <w14:schemeClr w14:val="tx1"/>
            </w14:solidFill>
          </w14:textFill>
        </w:rPr>
        <w:t xml:space="preserve"> “节能</w:t>
      </w:r>
      <w:r>
        <w:rPr>
          <w:rFonts w:hint="eastAsia" w:ascii="宋体" w:hAnsi="宋体" w:cs="宋体"/>
          <w:b/>
          <w:bCs/>
          <w:color w:val="000000" w:themeColor="text1"/>
          <w:kern w:val="0"/>
          <w:sz w:val="30"/>
          <w:szCs w:val="30"/>
          <w:highlight w:val="none"/>
          <w14:textFill>
            <w14:solidFill>
              <w14:schemeClr w14:val="tx1"/>
            </w14:solidFill>
          </w14:textFill>
        </w:rPr>
        <w:t>产品</w:t>
      </w:r>
      <w:r>
        <w:rPr>
          <w:rFonts w:hint="eastAsia" w:ascii="宋体" w:hAnsi="宋体" w:cs="宋体"/>
          <w:b/>
          <w:color w:val="000000" w:themeColor="text1"/>
          <w:kern w:val="0"/>
          <w:sz w:val="30"/>
          <w:szCs w:val="30"/>
          <w:highlight w:val="none"/>
          <w14:textFill>
            <w14:solidFill>
              <w14:schemeClr w14:val="tx1"/>
            </w14:solidFill>
          </w14:textFill>
        </w:rPr>
        <w:t>”、“环境标志</w:t>
      </w:r>
      <w:r>
        <w:rPr>
          <w:rFonts w:hint="eastAsia" w:ascii="宋体" w:hAnsi="宋体" w:cs="宋体"/>
          <w:b/>
          <w:bCs/>
          <w:color w:val="000000" w:themeColor="text1"/>
          <w:kern w:val="0"/>
          <w:sz w:val="30"/>
          <w:szCs w:val="30"/>
          <w:highlight w:val="none"/>
          <w14:textFill>
            <w14:solidFill>
              <w14:schemeClr w14:val="tx1"/>
            </w14:solidFill>
          </w14:textFill>
        </w:rPr>
        <w:t>产品</w:t>
      </w:r>
      <w:r>
        <w:rPr>
          <w:rFonts w:hint="eastAsia" w:ascii="宋体" w:hAnsi="宋体" w:cs="宋体"/>
          <w:b/>
          <w:color w:val="000000" w:themeColor="text1"/>
          <w:kern w:val="0"/>
          <w:sz w:val="30"/>
          <w:szCs w:val="30"/>
          <w:highlight w:val="none"/>
          <w14:textFill>
            <w14:solidFill>
              <w14:schemeClr w14:val="tx1"/>
            </w14:solidFill>
          </w14:textFill>
        </w:rPr>
        <w:t>”、“两型</w:t>
      </w:r>
      <w:r>
        <w:rPr>
          <w:rFonts w:hint="eastAsia" w:ascii="宋体" w:hAnsi="宋体" w:cs="宋体"/>
          <w:b/>
          <w:bCs/>
          <w:color w:val="000000" w:themeColor="text1"/>
          <w:kern w:val="0"/>
          <w:sz w:val="30"/>
          <w:szCs w:val="30"/>
          <w:highlight w:val="none"/>
          <w14:textFill>
            <w14:solidFill>
              <w14:schemeClr w14:val="tx1"/>
            </w14:solidFill>
          </w14:textFill>
        </w:rPr>
        <w:t>产品</w:t>
      </w:r>
      <w:r>
        <w:rPr>
          <w:rFonts w:hint="eastAsia" w:ascii="宋体" w:hAnsi="宋体" w:cs="宋体"/>
          <w:b/>
          <w:color w:val="000000" w:themeColor="text1"/>
          <w:kern w:val="0"/>
          <w:sz w:val="30"/>
          <w:szCs w:val="30"/>
          <w:highlight w:val="none"/>
          <w14:textFill>
            <w14:solidFill>
              <w14:schemeClr w14:val="tx1"/>
            </w14:solidFill>
          </w14:textFill>
        </w:rPr>
        <w:t>”证明材料</w:t>
      </w:r>
    </w:p>
    <w:p w14:paraId="43C2B05B">
      <w:pPr>
        <w:spacing w:line="480" w:lineRule="exact"/>
        <w:rPr>
          <w:rFonts w:ascii="宋体" w:hAnsi="宋体" w:cs="宋体"/>
          <w:color w:val="000000" w:themeColor="text1"/>
          <w:kern w:val="0"/>
          <w:sz w:val="24"/>
          <w:szCs w:val="20"/>
          <w:highlight w:val="none"/>
          <w14:textFill>
            <w14:solidFill>
              <w14:schemeClr w14:val="tx1"/>
            </w14:solidFill>
          </w14:textFill>
        </w:rPr>
      </w:pPr>
    </w:p>
    <w:p w14:paraId="27450BD1">
      <w:p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说明：</w:t>
      </w:r>
      <w:r>
        <w:rPr>
          <w:rFonts w:hint="eastAsia" w:ascii="宋体" w:hAnsi="宋体" w:cs="宋体"/>
          <w:bCs/>
          <w:color w:val="000000" w:themeColor="text1"/>
          <w:kern w:val="0"/>
          <w:szCs w:val="21"/>
          <w:highlight w:val="none"/>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供应商提供的产品</w:t>
      </w:r>
      <w:r>
        <w:rPr>
          <w:rFonts w:hint="eastAsia" w:ascii="宋体" w:hAnsi="宋体" w:cs="宋体"/>
          <w:bCs/>
          <w:color w:val="000000" w:themeColor="text1"/>
          <w:kern w:val="0"/>
          <w:szCs w:val="21"/>
          <w:highlight w:val="none"/>
          <w14:textFill>
            <w14:solidFill>
              <w14:schemeClr w14:val="tx1"/>
            </w14:solidFill>
          </w14:textFill>
        </w:rPr>
        <w:t>属于</w:t>
      </w:r>
      <w:r>
        <w:rPr>
          <w:rFonts w:hint="eastAsia" w:ascii="宋体" w:hAnsi="宋体" w:cs="宋体"/>
          <w:color w:val="000000" w:themeColor="text1"/>
          <w:kern w:val="0"/>
          <w:szCs w:val="21"/>
          <w:highlight w:val="none"/>
          <w14:textFill>
            <w14:solidFill>
              <w14:schemeClr w14:val="tx1"/>
            </w14:solidFill>
          </w14:textFill>
        </w:rPr>
        <w:t>下列情形，应按第二章磋商须知第2.8款、第9.2</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s="宋体"/>
          <w:color w:val="000000" w:themeColor="text1"/>
          <w:kern w:val="0"/>
          <w:szCs w:val="21"/>
          <w:highlight w:val="none"/>
          <w14:textFill>
            <w14:solidFill>
              <w14:schemeClr w14:val="tx1"/>
            </w14:solidFill>
          </w14:textFill>
        </w:rPr>
        <w:t>规定提供产品列入“节能产品清单”、“环境标志产品清单”或“两型产品目录”所在页复印件（该页包含制造商或企业名称或申请单位名称、规格型号、有效截止日期等内容），并加盖供应商单位章。并在本章《</w:t>
      </w:r>
      <w:r>
        <w:rPr>
          <w:rFonts w:hint="eastAsia" w:ascii="宋体" w:hAnsi="宋体" w:cs="宋体"/>
          <w:bCs/>
          <w:color w:val="000000" w:themeColor="text1"/>
          <w:kern w:val="0"/>
          <w:szCs w:val="21"/>
          <w:highlight w:val="none"/>
          <w14:textFill>
            <w14:solidFill>
              <w14:schemeClr w14:val="tx1"/>
            </w14:solidFill>
          </w14:textFill>
        </w:rPr>
        <w:t>九、</w:t>
      </w:r>
      <w:r>
        <w:rPr>
          <w:rFonts w:hint="eastAsia" w:ascii="宋体" w:hAnsi="宋体" w:cs="宋体"/>
          <w:color w:val="000000" w:themeColor="text1"/>
          <w:kern w:val="0"/>
          <w:szCs w:val="21"/>
          <w:highlight w:val="none"/>
          <w14:textFill>
            <w14:solidFill>
              <w14:schemeClr w14:val="tx1"/>
            </w14:solidFill>
          </w14:textFill>
        </w:rPr>
        <w:t>报价一览表》中提供相应数据。</w:t>
      </w:r>
    </w:p>
    <w:p w14:paraId="3A7B6334">
      <w:pPr>
        <w:adjustRightInd w:val="0"/>
        <w:snapToGrid w:val="0"/>
        <w:spacing w:line="360" w:lineRule="auto"/>
        <w:ind w:firstLine="525" w:firstLineChars="250"/>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(1)符合</w:t>
      </w:r>
      <w:r>
        <w:rPr>
          <w:rFonts w:hint="eastAsia" w:ascii="宋体" w:hAnsi="宋体" w:cs="宋体"/>
          <w:color w:val="000000" w:themeColor="text1"/>
          <w:kern w:val="0"/>
          <w:szCs w:val="21"/>
          <w:highlight w:val="none"/>
          <w14:textFill>
            <w14:solidFill>
              <w14:schemeClr w14:val="tx1"/>
            </w14:solidFill>
          </w14:textFill>
        </w:rPr>
        <w:t>政府采购强制采购政策的(《节能产品政府采购清单》中标记★符号节能产品及其他强制采购产品)；</w:t>
      </w:r>
    </w:p>
    <w:p w14:paraId="6520F9F5">
      <w:pPr>
        <w:adjustRightInd w:val="0"/>
        <w:snapToGrid w:val="0"/>
        <w:spacing w:line="360" w:lineRule="auto"/>
        <w:ind w:firstLine="525" w:firstLineChars="250"/>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(2)符合</w:t>
      </w:r>
      <w:r>
        <w:rPr>
          <w:rFonts w:hint="eastAsia" w:ascii="宋体" w:hAnsi="宋体" w:cs="宋体"/>
          <w:color w:val="000000" w:themeColor="text1"/>
          <w:kern w:val="0"/>
          <w:szCs w:val="21"/>
          <w:highlight w:val="none"/>
          <w14:textFill>
            <w14:solidFill>
              <w14:schemeClr w14:val="tx1"/>
            </w14:solidFill>
          </w14:textFill>
        </w:rPr>
        <w:t>政府采购优先采购政策的(《节能产品政府采购清单》中非标记★符号节能产品，《环境标志产品政府采购清单》中环境标志</w:t>
      </w:r>
      <w:r>
        <w:rPr>
          <w:rFonts w:hint="eastAsia" w:ascii="宋体" w:hAnsi="宋体" w:cs="宋体"/>
          <w:bCs/>
          <w:color w:val="000000" w:themeColor="text1"/>
          <w:kern w:val="0"/>
          <w:szCs w:val="21"/>
          <w:highlight w:val="none"/>
          <w14:textFill>
            <w14:solidFill>
              <w14:schemeClr w14:val="tx1"/>
            </w14:solidFill>
          </w14:textFill>
        </w:rPr>
        <w:t>产品，</w:t>
      </w:r>
      <w:r>
        <w:rPr>
          <w:rFonts w:hint="eastAsia" w:ascii="宋体" w:hAnsi="宋体" w:cs="宋体"/>
          <w:color w:val="000000" w:themeColor="text1"/>
          <w:kern w:val="0"/>
          <w:szCs w:val="21"/>
          <w:highlight w:val="none"/>
          <w14:textFill>
            <w14:solidFill>
              <w14:schemeClr w14:val="tx1"/>
            </w14:solidFill>
          </w14:textFill>
        </w:rPr>
        <w:t>《湖南省两型产品政府采购目录》。</w:t>
      </w:r>
    </w:p>
    <w:p w14:paraId="0B38A59F">
      <w:pPr>
        <w:adjustRightInd w:val="0"/>
        <w:snapToGrid w:val="0"/>
        <w:spacing w:line="360" w:lineRule="auto"/>
        <w:ind w:firstLine="525" w:firstLineChars="250"/>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2、未按上述要求提供的，评审时不予以考虑。</w:t>
      </w:r>
    </w:p>
    <w:p w14:paraId="16D56D25">
      <w:pPr>
        <w:spacing w:line="480" w:lineRule="exact"/>
        <w:rPr>
          <w:rFonts w:ascii="宋体" w:hAnsi="宋体" w:cs="宋体"/>
          <w:color w:val="000000" w:themeColor="text1"/>
          <w:kern w:val="0"/>
          <w:sz w:val="24"/>
          <w:szCs w:val="20"/>
          <w:highlight w:val="none"/>
          <w14:textFill>
            <w14:solidFill>
              <w14:schemeClr w14:val="tx1"/>
            </w14:solidFill>
          </w14:textFill>
        </w:rPr>
      </w:pPr>
    </w:p>
    <w:p w14:paraId="1796B1DE">
      <w:pPr>
        <w:spacing w:line="480" w:lineRule="exact"/>
        <w:rPr>
          <w:rFonts w:ascii="宋体" w:hAnsi="宋体" w:cs="宋体"/>
          <w:color w:val="000000" w:themeColor="text1"/>
          <w:kern w:val="0"/>
          <w:sz w:val="24"/>
          <w:szCs w:val="20"/>
          <w:highlight w:val="none"/>
          <w14:textFill>
            <w14:solidFill>
              <w14:schemeClr w14:val="tx1"/>
            </w14:solidFill>
          </w14:textFill>
        </w:rPr>
      </w:pPr>
    </w:p>
    <w:p w14:paraId="5E937955">
      <w:pPr>
        <w:adjustRightInd w:val="0"/>
        <w:snapToGrid w:val="0"/>
        <w:spacing w:before="50" w:line="360" w:lineRule="auto"/>
        <w:rPr>
          <w:rFonts w:ascii="宋体" w:hAnsi="宋体" w:cs="宋体"/>
          <w:bCs/>
          <w:color w:val="000000" w:themeColor="text1"/>
          <w:kern w:val="0"/>
          <w:szCs w:val="21"/>
          <w:highlight w:val="none"/>
          <w14:textFill>
            <w14:solidFill>
              <w14:schemeClr w14:val="tx1"/>
            </w14:solidFill>
          </w14:textFill>
        </w:rPr>
      </w:pPr>
    </w:p>
    <w:p w14:paraId="640136EB">
      <w:pPr>
        <w:adjustRightInd w:val="0"/>
        <w:snapToGrid w:val="0"/>
        <w:spacing w:before="50" w:line="360" w:lineRule="auto"/>
        <w:rPr>
          <w:rFonts w:ascii="宋体" w:hAnsi="宋体" w:cs="宋体"/>
          <w:bCs/>
          <w:color w:val="000000" w:themeColor="text1"/>
          <w:kern w:val="0"/>
          <w:szCs w:val="21"/>
          <w:highlight w:val="none"/>
          <w14:textFill>
            <w14:solidFill>
              <w14:schemeClr w14:val="tx1"/>
            </w14:solidFill>
          </w14:textFill>
        </w:rPr>
      </w:pPr>
    </w:p>
    <w:p w14:paraId="2093166E">
      <w:pPr>
        <w:adjustRightInd w:val="0"/>
        <w:snapToGrid w:val="0"/>
        <w:spacing w:before="50" w:line="360" w:lineRule="auto"/>
        <w:rPr>
          <w:rFonts w:ascii="宋体" w:hAnsi="宋体" w:cs="宋体"/>
          <w:bCs/>
          <w:color w:val="000000" w:themeColor="text1"/>
          <w:kern w:val="0"/>
          <w:szCs w:val="21"/>
          <w:highlight w:val="none"/>
          <w14:textFill>
            <w14:solidFill>
              <w14:schemeClr w14:val="tx1"/>
            </w14:solidFill>
          </w14:textFill>
        </w:rPr>
      </w:pPr>
    </w:p>
    <w:p w14:paraId="7C9B42CC">
      <w:pPr>
        <w:adjustRightInd w:val="0"/>
        <w:snapToGrid w:val="0"/>
        <w:spacing w:line="360" w:lineRule="auto"/>
        <w:ind w:firstLine="422" w:firstLineChars="200"/>
        <w:rPr>
          <w:rFonts w:ascii="宋体" w:hAnsi="宋体" w:cs="宋体"/>
          <w:b/>
          <w:color w:val="000000" w:themeColor="text1"/>
          <w:kern w:val="0"/>
          <w:szCs w:val="21"/>
          <w:highlight w:val="none"/>
          <w14:textFill>
            <w14:solidFill>
              <w14:schemeClr w14:val="tx1"/>
            </w14:solidFill>
          </w14:textFill>
        </w:rPr>
      </w:pPr>
    </w:p>
    <w:p w14:paraId="48A903FD">
      <w:pPr>
        <w:adjustRightInd w:val="0"/>
        <w:snapToGrid w:val="0"/>
        <w:spacing w:line="360" w:lineRule="auto"/>
        <w:ind w:firstLine="525" w:firstLineChars="250"/>
        <w:rPr>
          <w:rFonts w:ascii="宋体" w:hAnsi="宋体" w:cs="宋体"/>
          <w:bCs/>
          <w:color w:val="000000" w:themeColor="text1"/>
          <w:kern w:val="0"/>
          <w:szCs w:val="21"/>
          <w:highlight w:val="none"/>
          <w14:textFill>
            <w14:solidFill>
              <w14:schemeClr w14:val="tx1"/>
            </w14:solidFill>
          </w14:textFill>
        </w:rPr>
      </w:pPr>
    </w:p>
    <w:p w14:paraId="703CDED4">
      <w:pPr>
        <w:adjustRightInd w:val="0"/>
        <w:snapToGrid w:val="0"/>
        <w:spacing w:line="360" w:lineRule="auto"/>
        <w:ind w:firstLine="525" w:firstLineChars="250"/>
        <w:rPr>
          <w:rFonts w:ascii="宋体" w:hAnsi="宋体" w:cs="宋体"/>
          <w:bCs/>
          <w:color w:val="000000" w:themeColor="text1"/>
          <w:kern w:val="0"/>
          <w:szCs w:val="21"/>
          <w:highlight w:val="none"/>
          <w14:textFill>
            <w14:solidFill>
              <w14:schemeClr w14:val="tx1"/>
            </w14:solidFill>
          </w14:textFill>
        </w:rPr>
      </w:pPr>
    </w:p>
    <w:p w14:paraId="59FAFE2D">
      <w:pPr>
        <w:adjustRightInd w:val="0"/>
        <w:snapToGrid w:val="0"/>
        <w:spacing w:line="360" w:lineRule="auto"/>
        <w:ind w:firstLine="525" w:firstLineChars="250"/>
        <w:rPr>
          <w:rFonts w:ascii="宋体" w:hAnsi="宋体" w:cs="宋体"/>
          <w:bCs/>
          <w:color w:val="000000" w:themeColor="text1"/>
          <w:kern w:val="0"/>
          <w:szCs w:val="21"/>
          <w:highlight w:val="none"/>
          <w14:textFill>
            <w14:solidFill>
              <w14:schemeClr w14:val="tx1"/>
            </w14:solidFill>
          </w14:textFill>
        </w:rPr>
      </w:pPr>
    </w:p>
    <w:p w14:paraId="42594D3C">
      <w:pPr>
        <w:adjustRightInd w:val="0"/>
        <w:snapToGrid w:val="0"/>
        <w:spacing w:line="360" w:lineRule="auto"/>
        <w:ind w:firstLine="525" w:firstLineChars="250"/>
        <w:rPr>
          <w:rFonts w:ascii="宋体" w:hAnsi="宋体" w:cs="宋体"/>
          <w:bCs/>
          <w:color w:val="000000" w:themeColor="text1"/>
          <w:kern w:val="0"/>
          <w:szCs w:val="21"/>
          <w:highlight w:val="none"/>
          <w14:textFill>
            <w14:solidFill>
              <w14:schemeClr w14:val="tx1"/>
            </w14:solidFill>
          </w14:textFill>
        </w:rPr>
      </w:pPr>
    </w:p>
    <w:p w14:paraId="2CB3C7A7">
      <w:pPr>
        <w:adjustRightInd w:val="0"/>
        <w:snapToGrid w:val="0"/>
        <w:spacing w:line="360" w:lineRule="auto"/>
        <w:ind w:firstLine="525" w:firstLineChars="250"/>
        <w:rPr>
          <w:rFonts w:ascii="宋体" w:hAnsi="宋体" w:cs="宋体"/>
          <w:bCs/>
          <w:color w:val="000000" w:themeColor="text1"/>
          <w:kern w:val="0"/>
          <w:szCs w:val="21"/>
          <w:highlight w:val="none"/>
          <w14:textFill>
            <w14:solidFill>
              <w14:schemeClr w14:val="tx1"/>
            </w14:solidFill>
          </w14:textFill>
        </w:rPr>
      </w:pPr>
    </w:p>
    <w:p w14:paraId="06BCC121">
      <w:pPr>
        <w:adjustRightInd w:val="0"/>
        <w:snapToGrid w:val="0"/>
        <w:spacing w:line="360" w:lineRule="auto"/>
        <w:ind w:firstLine="525" w:firstLineChars="250"/>
        <w:rPr>
          <w:rFonts w:ascii="宋体" w:hAnsi="宋体" w:cs="宋体"/>
          <w:bCs/>
          <w:color w:val="000000" w:themeColor="text1"/>
          <w:kern w:val="0"/>
          <w:szCs w:val="21"/>
          <w:highlight w:val="none"/>
          <w14:textFill>
            <w14:solidFill>
              <w14:schemeClr w14:val="tx1"/>
            </w14:solidFill>
          </w14:textFill>
        </w:rPr>
      </w:pPr>
    </w:p>
    <w:p w14:paraId="7428D9BA">
      <w:pPr>
        <w:adjustRightInd w:val="0"/>
        <w:snapToGrid w:val="0"/>
        <w:spacing w:line="360" w:lineRule="auto"/>
        <w:ind w:firstLine="525" w:firstLineChars="250"/>
        <w:rPr>
          <w:rFonts w:ascii="宋体" w:hAnsi="宋体" w:cs="宋体"/>
          <w:bCs/>
          <w:color w:val="000000" w:themeColor="text1"/>
          <w:kern w:val="0"/>
          <w:szCs w:val="21"/>
          <w:highlight w:val="none"/>
          <w14:textFill>
            <w14:solidFill>
              <w14:schemeClr w14:val="tx1"/>
            </w14:solidFill>
          </w14:textFill>
        </w:rPr>
      </w:pPr>
    </w:p>
    <w:p w14:paraId="055A26E8">
      <w:pPr>
        <w:adjustRightInd w:val="0"/>
        <w:snapToGrid w:val="0"/>
        <w:spacing w:before="50" w:line="360" w:lineRule="auto"/>
        <w:jc w:val="left"/>
        <w:rPr>
          <w:rFonts w:ascii="宋体" w:hAnsi="宋体" w:cs="宋体"/>
          <w:color w:val="000000" w:themeColor="text1"/>
          <w:kern w:val="0"/>
          <w:sz w:val="28"/>
          <w:szCs w:val="28"/>
          <w:highlight w:val="none"/>
          <w14:textFill>
            <w14:solidFill>
              <w14:schemeClr w14:val="tx1"/>
            </w14:solidFill>
          </w14:textFill>
        </w:rPr>
      </w:pPr>
    </w:p>
    <w:p w14:paraId="3E042118">
      <w:pPr>
        <w:adjustRightInd w:val="0"/>
        <w:snapToGrid w:val="0"/>
        <w:spacing w:before="50" w:line="360" w:lineRule="auto"/>
        <w:jc w:val="left"/>
        <w:rPr>
          <w:rFonts w:ascii="宋体" w:hAnsi="宋体" w:cs="宋体"/>
          <w:color w:val="000000" w:themeColor="text1"/>
          <w:kern w:val="0"/>
          <w:sz w:val="28"/>
          <w:szCs w:val="28"/>
          <w:highlight w:val="none"/>
          <w14:textFill>
            <w14:solidFill>
              <w14:schemeClr w14:val="tx1"/>
            </w14:solidFill>
          </w14:textFill>
        </w:rPr>
      </w:pPr>
    </w:p>
    <w:p w14:paraId="5739BB38">
      <w:pPr>
        <w:adjustRightInd w:val="0"/>
        <w:snapToGrid w:val="0"/>
        <w:spacing w:before="50" w:line="360" w:lineRule="auto"/>
        <w:jc w:val="left"/>
        <w:rPr>
          <w:rFonts w:ascii="宋体" w:hAnsi="宋体" w:cs="宋体"/>
          <w:color w:val="000000" w:themeColor="text1"/>
          <w:kern w:val="0"/>
          <w:sz w:val="28"/>
          <w:szCs w:val="28"/>
          <w:highlight w:val="none"/>
          <w14:textFill>
            <w14:solidFill>
              <w14:schemeClr w14:val="tx1"/>
            </w14:solidFill>
          </w14:textFill>
        </w:rPr>
      </w:pPr>
    </w:p>
    <w:p w14:paraId="7070D523">
      <w:pPr>
        <w:adjustRightInd w:val="0"/>
        <w:snapToGrid w:val="0"/>
        <w:spacing w:before="50" w:line="360" w:lineRule="auto"/>
        <w:jc w:val="left"/>
        <w:rPr>
          <w:rFonts w:ascii="宋体" w:hAnsi="宋体" w:cs="宋体"/>
          <w:color w:val="000000" w:themeColor="text1"/>
          <w:kern w:val="0"/>
          <w:sz w:val="28"/>
          <w:szCs w:val="28"/>
          <w:highlight w:val="none"/>
          <w14:textFill>
            <w14:solidFill>
              <w14:schemeClr w14:val="tx1"/>
            </w14:solidFill>
          </w14:textFill>
        </w:rPr>
      </w:pPr>
    </w:p>
    <w:p w14:paraId="5E01D66D">
      <w:pPr>
        <w:adjustRightInd w:val="0"/>
        <w:snapToGrid w:val="0"/>
        <w:spacing w:line="360" w:lineRule="auto"/>
        <w:jc w:val="left"/>
        <w:rPr>
          <w:rFonts w:ascii="宋体" w:hAnsi="宋体" w:cs="宋体"/>
          <w:color w:val="000000" w:themeColor="text1"/>
          <w:kern w:val="0"/>
          <w:sz w:val="24"/>
          <w:szCs w:val="20"/>
          <w:highlight w:val="none"/>
          <w14:textFill>
            <w14:solidFill>
              <w14:schemeClr w14:val="tx1"/>
            </w14:solidFill>
          </w14:textFill>
        </w:rPr>
      </w:pPr>
      <w:r>
        <w:rPr>
          <w:rFonts w:ascii="宋体" w:hAnsi="宋体" w:cs="宋体"/>
          <w:color w:val="000000" w:themeColor="text1"/>
          <w:kern w:val="0"/>
          <w:sz w:val="24"/>
          <w:szCs w:val="20"/>
          <w:highlight w:val="none"/>
          <w14:textFill>
            <w14:solidFill>
              <w14:schemeClr w14:val="tx1"/>
            </w14:solidFill>
          </w14:textFill>
        </w:rPr>
        <w:br w:type="page"/>
      </w:r>
      <w:r>
        <w:rPr>
          <w:rFonts w:hint="eastAsia" w:ascii="宋体" w:hAnsi="宋体" w:cs="宋体"/>
          <w:color w:val="000000" w:themeColor="text1"/>
          <w:kern w:val="0"/>
          <w:sz w:val="24"/>
          <w:szCs w:val="20"/>
          <w:highlight w:val="none"/>
          <w14:textFill>
            <w14:solidFill>
              <w14:schemeClr w14:val="tx1"/>
            </w14:solidFill>
          </w14:textFill>
        </w:rPr>
        <w:t>附件9-</w:t>
      </w:r>
      <w:r>
        <w:rPr>
          <w:rFonts w:ascii="宋体" w:hAnsi="宋体" w:cs="宋体"/>
          <w:color w:val="000000" w:themeColor="text1"/>
          <w:kern w:val="0"/>
          <w:sz w:val="24"/>
          <w:szCs w:val="20"/>
          <w:highlight w:val="none"/>
          <w14:textFill>
            <w14:solidFill>
              <w14:schemeClr w14:val="tx1"/>
            </w14:solidFill>
          </w14:textFill>
        </w:rPr>
        <w:t>4</w:t>
      </w:r>
    </w:p>
    <w:p w14:paraId="72D4A867">
      <w:pPr>
        <w:adjustRightInd w:val="0"/>
        <w:snapToGrid w:val="0"/>
        <w:spacing w:before="50" w:line="360" w:lineRule="auto"/>
        <w:jc w:val="center"/>
        <w:rPr>
          <w:rFonts w:ascii="宋体" w:hAnsi="宋体" w:cs="宋体"/>
          <w:color w:val="000000" w:themeColor="text1"/>
          <w:kern w:val="0"/>
          <w:sz w:val="30"/>
          <w:szCs w:val="30"/>
          <w:highlight w:val="none"/>
          <w14:textFill>
            <w14:solidFill>
              <w14:schemeClr w14:val="tx1"/>
            </w14:solidFill>
          </w14:textFill>
        </w:rPr>
      </w:pPr>
      <w:r>
        <w:rPr>
          <w:rFonts w:hint="eastAsia" w:ascii="宋体" w:hAnsi="宋体" w:cs="宋体"/>
          <w:color w:val="000000" w:themeColor="text1"/>
          <w:kern w:val="0"/>
          <w:sz w:val="30"/>
          <w:szCs w:val="30"/>
          <w:highlight w:val="none"/>
          <w14:textFill>
            <w14:solidFill>
              <w14:schemeClr w14:val="tx1"/>
            </w14:solidFill>
          </w14:textFill>
        </w:rPr>
        <w:t>节能</w:t>
      </w:r>
      <w:r>
        <w:rPr>
          <w:rFonts w:hint="eastAsia" w:ascii="宋体" w:hAnsi="宋体" w:cs="宋体"/>
          <w:bCs/>
          <w:color w:val="000000" w:themeColor="text1"/>
          <w:kern w:val="0"/>
          <w:sz w:val="30"/>
          <w:szCs w:val="30"/>
          <w:highlight w:val="none"/>
          <w14:textFill>
            <w14:solidFill>
              <w14:schemeClr w14:val="tx1"/>
            </w14:solidFill>
          </w14:textFill>
        </w:rPr>
        <w:t>产品</w:t>
      </w:r>
      <w:r>
        <w:rPr>
          <w:rFonts w:hint="eastAsia" w:ascii="宋体" w:hAnsi="宋体" w:cs="宋体"/>
          <w:color w:val="000000" w:themeColor="text1"/>
          <w:kern w:val="0"/>
          <w:sz w:val="30"/>
          <w:szCs w:val="30"/>
          <w:highlight w:val="none"/>
          <w14:textFill>
            <w14:solidFill>
              <w14:schemeClr w14:val="tx1"/>
            </w14:solidFill>
          </w14:textFill>
        </w:rPr>
        <w:t>、环境标志</w:t>
      </w:r>
      <w:r>
        <w:rPr>
          <w:rFonts w:hint="eastAsia" w:ascii="宋体" w:hAnsi="宋体" w:cs="宋体"/>
          <w:bCs/>
          <w:color w:val="000000" w:themeColor="text1"/>
          <w:kern w:val="0"/>
          <w:sz w:val="30"/>
          <w:szCs w:val="30"/>
          <w:highlight w:val="none"/>
          <w14:textFill>
            <w14:solidFill>
              <w14:schemeClr w14:val="tx1"/>
            </w14:solidFill>
          </w14:textFill>
        </w:rPr>
        <w:t>产品</w:t>
      </w:r>
      <w:r>
        <w:rPr>
          <w:rFonts w:hint="eastAsia" w:ascii="宋体" w:hAnsi="宋体" w:cs="宋体"/>
          <w:color w:val="000000" w:themeColor="text1"/>
          <w:kern w:val="0"/>
          <w:sz w:val="30"/>
          <w:szCs w:val="30"/>
          <w:highlight w:val="none"/>
          <w14:textFill>
            <w14:solidFill>
              <w14:schemeClr w14:val="tx1"/>
            </w14:solidFill>
          </w14:textFill>
        </w:rPr>
        <w:t>、两型</w:t>
      </w:r>
      <w:r>
        <w:rPr>
          <w:rFonts w:hint="eastAsia" w:ascii="宋体" w:hAnsi="宋体" w:cs="宋体"/>
          <w:bCs/>
          <w:color w:val="000000" w:themeColor="text1"/>
          <w:kern w:val="0"/>
          <w:sz w:val="30"/>
          <w:szCs w:val="30"/>
          <w:highlight w:val="none"/>
          <w14:textFill>
            <w14:solidFill>
              <w14:schemeClr w14:val="tx1"/>
            </w14:solidFill>
          </w14:textFill>
        </w:rPr>
        <w:t>产品</w:t>
      </w:r>
      <w:r>
        <w:rPr>
          <w:rFonts w:hint="eastAsia" w:ascii="宋体" w:hAnsi="宋体" w:cs="宋体"/>
          <w:color w:val="000000" w:themeColor="text1"/>
          <w:kern w:val="0"/>
          <w:sz w:val="30"/>
          <w:szCs w:val="30"/>
          <w:highlight w:val="none"/>
          <w14:textFill>
            <w14:solidFill>
              <w14:schemeClr w14:val="tx1"/>
            </w14:solidFill>
          </w14:textFill>
        </w:rPr>
        <w:t>清单表</w:t>
      </w:r>
    </w:p>
    <w:tbl>
      <w:tblPr>
        <w:tblStyle w:val="47"/>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2"/>
        <w:gridCol w:w="1792"/>
        <w:gridCol w:w="730"/>
        <w:gridCol w:w="877"/>
        <w:gridCol w:w="1024"/>
        <w:gridCol w:w="2046"/>
        <w:gridCol w:w="1899"/>
      </w:tblGrid>
      <w:tr w14:paraId="311BE7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9060" w:type="dxa"/>
            <w:gridSpan w:val="7"/>
            <w:vAlign w:val="center"/>
          </w:tcPr>
          <w:p w14:paraId="2FACFE1B">
            <w:pPr>
              <w:keepNext w:val="0"/>
              <w:keepLines w:val="0"/>
              <w:widowControl/>
              <w:suppressLineNumbers w:val="0"/>
              <w:spacing w:before="0" w:beforeAutospacing="0" w:after="0" w:afterAutospacing="0" w:line="360" w:lineRule="auto"/>
              <w:ind w:left="0" w:right="0"/>
              <w:jc w:val="center"/>
              <w:rPr>
                <w:rFonts w:hint="default" w:ascii="宋体" w:hAnsi="宋体" w:cs="宋体"/>
                <w:b/>
                <w:color w:val="000000" w:themeColor="text1"/>
                <w:kern w:val="0"/>
                <w:sz w:val="28"/>
                <w:szCs w:val="28"/>
                <w:highlight w:val="none"/>
                <w14:textFill>
                  <w14:solidFill>
                    <w14:schemeClr w14:val="tx1"/>
                  </w14:solidFill>
                </w14:textFill>
              </w:rPr>
            </w:pPr>
            <w:r>
              <w:rPr>
                <w:rFonts w:hint="eastAsia" w:ascii="宋体" w:hAnsi="宋体" w:cs="宋体"/>
                <w:b/>
                <w:color w:val="000000" w:themeColor="text1"/>
                <w:kern w:val="0"/>
                <w:sz w:val="28"/>
                <w:szCs w:val="28"/>
                <w:highlight w:val="none"/>
                <w14:textFill>
                  <w14:solidFill>
                    <w14:schemeClr w14:val="tx1"/>
                  </w14:solidFill>
                </w14:textFill>
              </w:rPr>
              <w:t>本公司对本表的真实性负责。如有虚假，将依法承担相应责任。</w:t>
            </w:r>
          </w:p>
        </w:tc>
      </w:tr>
      <w:tr w14:paraId="292782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92" w:type="dxa"/>
            <w:vAlign w:val="center"/>
          </w:tcPr>
          <w:p w14:paraId="36C3A566">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w:t>
            </w:r>
          </w:p>
        </w:tc>
        <w:tc>
          <w:tcPr>
            <w:tcW w:w="1792" w:type="dxa"/>
            <w:vAlign w:val="center"/>
          </w:tcPr>
          <w:p w14:paraId="16A922A0">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w:t>
            </w:r>
          </w:p>
        </w:tc>
        <w:tc>
          <w:tcPr>
            <w:tcW w:w="730" w:type="dxa"/>
            <w:vAlign w:val="center"/>
          </w:tcPr>
          <w:p w14:paraId="1EACEC13">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p>
        </w:tc>
        <w:tc>
          <w:tcPr>
            <w:tcW w:w="877" w:type="dxa"/>
            <w:vAlign w:val="center"/>
          </w:tcPr>
          <w:p w14:paraId="046690AC">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w:t>
            </w:r>
          </w:p>
        </w:tc>
        <w:tc>
          <w:tcPr>
            <w:tcW w:w="1024" w:type="dxa"/>
            <w:vAlign w:val="center"/>
          </w:tcPr>
          <w:p w14:paraId="15596509">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w:t>
            </w:r>
          </w:p>
        </w:tc>
        <w:tc>
          <w:tcPr>
            <w:tcW w:w="2046" w:type="dxa"/>
            <w:vAlign w:val="center"/>
          </w:tcPr>
          <w:p w14:paraId="22C4D5FF">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w:t>
            </w:r>
          </w:p>
        </w:tc>
        <w:tc>
          <w:tcPr>
            <w:tcW w:w="1899" w:type="dxa"/>
            <w:vAlign w:val="center"/>
          </w:tcPr>
          <w:p w14:paraId="7E2BDEE6">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w:t>
            </w:r>
          </w:p>
        </w:tc>
      </w:tr>
      <w:tr w14:paraId="58466B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92" w:type="dxa"/>
            <w:vAlign w:val="center"/>
          </w:tcPr>
          <w:p w14:paraId="1E1CFFFE">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序号</w:t>
            </w:r>
          </w:p>
        </w:tc>
        <w:tc>
          <w:tcPr>
            <w:tcW w:w="1792" w:type="dxa"/>
            <w:vAlign w:val="center"/>
          </w:tcPr>
          <w:p w14:paraId="56A70690">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货物名称</w:t>
            </w:r>
          </w:p>
        </w:tc>
        <w:tc>
          <w:tcPr>
            <w:tcW w:w="730" w:type="dxa"/>
            <w:vAlign w:val="center"/>
          </w:tcPr>
          <w:p w14:paraId="42C032BF">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数量</w:t>
            </w:r>
          </w:p>
        </w:tc>
        <w:tc>
          <w:tcPr>
            <w:tcW w:w="877" w:type="dxa"/>
            <w:vAlign w:val="center"/>
          </w:tcPr>
          <w:p w14:paraId="64C4BF41">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单价</w:t>
            </w:r>
          </w:p>
        </w:tc>
        <w:tc>
          <w:tcPr>
            <w:tcW w:w="1024" w:type="dxa"/>
            <w:vAlign w:val="center"/>
          </w:tcPr>
          <w:p w14:paraId="2E552A88">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总额</w:t>
            </w:r>
          </w:p>
        </w:tc>
        <w:tc>
          <w:tcPr>
            <w:tcW w:w="2046" w:type="dxa"/>
            <w:vAlign w:val="center"/>
          </w:tcPr>
          <w:p w14:paraId="1F3749B8">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货物制造商名称</w:t>
            </w:r>
          </w:p>
        </w:tc>
        <w:tc>
          <w:tcPr>
            <w:tcW w:w="1899" w:type="dxa"/>
            <w:vAlign w:val="center"/>
          </w:tcPr>
          <w:p w14:paraId="2B16A9C0">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政策功能编码</w:t>
            </w:r>
          </w:p>
        </w:tc>
      </w:tr>
      <w:tr w14:paraId="526D15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60" w:type="dxa"/>
            <w:gridSpan w:val="7"/>
            <w:vAlign w:val="center"/>
          </w:tcPr>
          <w:p w14:paraId="3ED2F3B2">
            <w:pPr>
              <w:keepNext w:val="0"/>
              <w:keepLines w:val="0"/>
              <w:suppressLineNumbers w:val="0"/>
              <w:spacing w:before="0" w:beforeAutospacing="0" w:after="0" w:afterAutospacing="0" w:line="360" w:lineRule="auto"/>
              <w:ind w:left="0" w:right="0"/>
              <w:jc w:val="left"/>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节能产品</w:t>
            </w:r>
          </w:p>
        </w:tc>
      </w:tr>
      <w:tr w14:paraId="3F6BBA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92" w:type="dxa"/>
            <w:vAlign w:val="center"/>
          </w:tcPr>
          <w:p w14:paraId="3031BB4C">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p>
        </w:tc>
        <w:tc>
          <w:tcPr>
            <w:tcW w:w="1792" w:type="dxa"/>
            <w:vAlign w:val="center"/>
          </w:tcPr>
          <w:p w14:paraId="5E9BE2B8">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p>
        </w:tc>
        <w:tc>
          <w:tcPr>
            <w:tcW w:w="730" w:type="dxa"/>
            <w:vAlign w:val="center"/>
          </w:tcPr>
          <w:p w14:paraId="2CB5808F">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p>
        </w:tc>
        <w:tc>
          <w:tcPr>
            <w:tcW w:w="877" w:type="dxa"/>
            <w:vAlign w:val="center"/>
          </w:tcPr>
          <w:p w14:paraId="2BA7011A">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p>
        </w:tc>
        <w:tc>
          <w:tcPr>
            <w:tcW w:w="1024" w:type="dxa"/>
            <w:vAlign w:val="center"/>
          </w:tcPr>
          <w:p w14:paraId="0DDFC820">
            <w:pPr>
              <w:keepNext w:val="0"/>
              <w:keepLines w:val="0"/>
              <w:suppressLineNumbers w:val="0"/>
              <w:spacing w:before="0" w:beforeAutospacing="0" w:after="0" w:afterAutospacing="0" w:line="360" w:lineRule="auto"/>
              <w:ind w:left="0" w:right="0"/>
              <w:jc w:val="left"/>
              <w:rPr>
                <w:rFonts w:hint="default" w:ascii="宋体" w:hAnsi="宋体" w:cs="宋体"/>
                <w:b/>
                <w:color w:val="000000" w:themeColor="text1"/>
                <w:kern w:val="0"/>
                <w:szCs w:val="21"/>
                <w:highlight w:val="none"/>
                <w14:textFill>
                  <w14:solidFill>
                    <w14:schemeClr w14:val="tx1"/>
                  </w14:solidFill>
                </w14:textFill>
              </w:rPr>
            </w:pPr>
          </w:p>
        </w:tc>
        <w:tc>
          <w:tcPr>
            <w:tcW w:w="2046" w:type="dxa"/>
            <w:vAlign w:val="center"/>
          </w:tcPr>
          <w:p w14:paraId="5EFA38F6">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p>
        </w:tc>
        <w:tc>
          <w:tcPr>
            <w:tcW w:w="1899" w:type="dxa"/>
          </w:tcPr>
          <w:p w14:paraId="524EB910">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p>
        </w:tc>
      </w:tr>
      <w:tr w14:paraId="0E384D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92" w:type="dxa"/>
            <w:vAlign w:val="center"/>
          </w:tcPr>
          <w:p w14:paraId="60265D7E">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小计</w:t>
            </w:r>
          </w:p>
        </w:tc>
        <w:tc>
          <w:tcPr>
            <w:tcW w:w="1792" w:type="dxa"/>
            <w:vAlign w:val="center"/>
          </w:tcPr>
          <w:p w14:paraId="15C5FD8D">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w:t>
            </w:r>
          </w:p>
        </w:tc>
        <w:tc>
          <w:tcPr>
            <w:tcW w:w="730" w:type="dxa"/>
            <w:vAlign w:val="center"/>
          </w:tcPr>
          <w:p w14:paraId="170B69B3">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w:t>
            </w:r>
          </w:p>
        </w:tc>
        <w:tc>
          <w:tcPr>
            <w:tcW w:w="877" w:type="dxa"/>
            <w:vAlign w:val="center"/>
          </w:tcPr>
          <w:p w14:paraId="4A74E2D1">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w:t>
            </w:r>
          </w:p>
        </w:tc>
        <w:tc>
          <w:tcPr>
            <w:tcW w:w="1024" w:type="dxa"/>
            <w:vAlign w:val="center"/>
          </w:tcPr>
          <w:p w14:paraId="47B261C7">
            <w:pPr>
              <w:keepNext w:val="0"/>
              <w:keepLines w:val="0"/>
              <w:suppressLineNumbers w:val="0"/>
              <w:spacing w:before="0" w:beforeAutospacing="0" w:after="0" w:afterAutospacing="0" w:line="360" w:lineRule="auto"/>
              <w:ind w:left="0" w:right="0"/>
              <w:jc w:val="left"/>
              <w:rPr>
                <w:rFonts w:hint="default" w:ascii="宋体" w:hAnsi="宋体" w:cs="宋体"/>
                <w:b/>
                <w:color w:val="000000" w:themeColor="text1"/>
                <w:kern w:val="0"/>
                <w:szCs w:val="21"/>
                <w:highlight w:val="none"/>
                <w14:textFill>
                  <w14:solidFill>
                    <w14:schemeClr w14:val="tx1"/>
                  </w14:solidFill>
                </w14:textFill>
              </w:rPr>
            </w:pPr>
          </w:p>
        </w:tc>
        <w:tc>
          <w:tcPr>
            <w:tcW w:w="2046" w:type="dxa"/>
            <w:vAlign w:val="center"/>
          </w:tcPr>
          <w:p w14:paraId="387966F6">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w:t>
            </w:r>
          </w:p>
        </w:tc>
        <w:tc>
          <w:tcPr>
            <w:tcW w:w="1899" w:type="dxa"/>
          </w:tcPr>
          <w:p w14:paraId="02CB965E">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w:t>
            </w:r>
          </w:p>
        </w:tc>
      </w:tr>
      <w:tr w14:paraId="51A6EF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60" w:type="dxa"/>
            <w:gridSpan w:val="7"/>
            <w:vAlign w:val="center"/>
          </w:tcPr>
          <w:p w14:paraId="61151B37">
            <w:pPr>
              <w:keepNext w:val="0"/>
              <w:keepLines w:val="0"/>
              <w:suppressLineNumbers w:val="0"/>
              <w:spacing w:before="0" w:beforeAutospacing="0" w:after="0" w:afterAutospacing="0" w:line="360" w:lineRule="auto"/>
              <w:ind w:left="0" w:right="0"/>
              <w:jc w:val="left"/>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环境标志产品</w:t>
            </w:r>
          </w:p>
        </w:tc>
      </w:tr>
      <w:tr w14:paraId="16B136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92" w:type="dxa"/>
            <w:vAlign w:val="center"/>
          </w:tcPr>
          <w:p w14:paraId="543B2428">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p>
        </w:tc>
        <w:tc>
          <w:tcPr>
            <w:tcW w:w="1792" w:type="dxa"/>
            <w:vAlign w:val="center"/>
          </w:tcPr>
          <w:p w14:paraId="29387905">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p>
        </w:tc>
        <w:tc>
          <w:tcPr>
            <w:tcW w:w="730" w:type="dxa"/>
            <w:vAlign w:val="center"/>
          </w:tcPr>
          <w:p w14:paraId="3CC50634">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p>
        </w:tc>
        <w:tc>
          <w:tcPr>
            <w:tcW w:w="877" w:type="dxa"/>
            <w:vAlign w:val="center"/>
          </w:tcPr>
          <w:p w14:paraId="67D94CDC">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p>
        </w:tc>
        <w:tc>
          <w:tcPr>
            <w:tcW w:w="1024" w:type="dxa"/>
            <w:vAlign w:val="center"/>
          </w:tcPr>
          <w:p w14:paraId="054EE7AB">
            <w:pPr>
              <w:keepNext w:val="0"/>
              <w:keepLines w:val="0"/>
              <w:suppressLineNumbers w:val="0"/>
              <w:spacing w:before="0" w:beforeAutospacing="0" w:after="0" w:afterAutospacing="0" w:line="360" w:lineRule="auto"/>
              <w:ind w:left="0" w:right="0"/>
              <w:jc w:val="left"/>
              <w:rPr>
                <w:rFonts w:hint="default" w:ascii="宋体" w:hAnsi="宋体" w:cs="宋体"/>
                <w:b/>
                <w:color w:val="000000" w:themeColor="text1"/>
                <w:kern w:val="0"/>
                <w:szCs w:val="21"/>
                <w:highlight w:val="none"/>
                <w14:textFill>
                  <w14:solidFill>
                    <w14:schemeClr w14:val="tx1"/>
                  </w14:solidFill>
                </w14:textFill>
              </w:rPr>
            </w:pPr>
          </w:p>
        </w:tc>
        <w:tc>
          <w:tcPr>
            <w:tcW w:w="2046" w:type="dxa"/>
            <w:vAlign w:val="center"/>
          </w:tcPr>
          <w:p w14:paraId="725358B9">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p>
        </w:tc>
        <w:tc>
          <w:tcPr>
            <w:tcW w:w="1899" w:type="dxa"/>
          </w:tcPr>
          <w:p w14:paraId="74237119">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p>
        </w:tc>
      </w:tr>
      <w:tr w14:paraId="6CA250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92" w:type="dxa"/>
            <w:vAlign w:val="center"/>
          </w:tcPr>
          <w:p w14:paraId="0C865607">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小计</w:t>
            </w:r>
          </w:p>
        </w:tc>
        <w:tc>
          <w:tcPr>
            <w:tcW w:w="1792" w:type="dxa"/>
            <w:vAlign w:val="center"/>
          </w:tcPr>
          <w:p w14:paraId="40DB7DB8">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w:t>
            </w:r>
          </w:p>
        </w:tc>
        <w:tc>
          <w:tcPr>
            <w:tcW w:w="730" w:type="dxa"/>
            <w:vAlign w:val="center"/>
          </w:tcPr>
          <w:p w14:paraId="5F80C53F">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w:t>
            </w:r>
          </w:p>
        </w:tc>
        <w:tc>
          <w:tcPr>
            <w:tcW w:w="877" w:type="dxa"/>
            <w:vAlign w:val="center"/>
          </w:tcPr>
          <w:p w14:paraId="05C24490">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w:t>
            </w:r>
          </w:p>
        </w:tc>
        <w:tc>
          <w:tcPr>
            <w:tcW w:w="1024" w:type="dxa"/>
            <w:vAlign w:val="center"/>
          </w:tcPr>
          <w:p w14:paraId="6CCB1942">
            <w:pPr>
              <w:keepNext w:val="0"/>
              <w:keepLines w:val="0"/>
              <w:suppressLineNumbers w:val="0"/>
              <w:spacing w:before="0" w:beforeAutospacing="0" w:after="0" w:afterAutospacing="0" w:line="360" w:lineRule="auto"/>
              <w:ind w:left="0" w:right="0"/>
              <w:jc w:val="left"/>
              <w:rPr>
                <w:rFonts w:hint="default" w:ascii="宋体" w:hAnsi="宋体" w:cs="宋体"/>
                <w:b/>
                <w:color w:val="000000" w:themeColor="text1"/>
                <w:kern w:val="0"/>
                <w:szCs w:val="21"/>
                <w:highlight w:val="none"/>
                <w14:textFill>
                  <w14:solidFill>
                    <w14:schemeClr w14:val="tx1"/>
                  </w14:solidFill>
                </w14:textFill>
              </w:rPr>
            </w:pPr>
          </w:p>
        </w:tc>
        <w:tc>
          <w:tcPr>
            <w:tcW w:w="2046" w:type="dxa"/>
            <w:vAlign w:val="center"/>
          </w:tcPr>
          <w:p w14:paraId="373FA852">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w:t>
            </w:r>
          </w:p>
        </w:tc>
        <w:tc>
          <w:tcPr>
            <w:tcW w:w="1899" w:type="dxa"/>
          </w:tcPr>
          <w:p w14:paraId="3F2BBF82">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w:t>
            </w:r>
          </w:p>
        </w:tc>
      </w:tr>
      <w:tr w14:paraId="376A06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60" w:type="dxa"/>
            <w:gridSpan w:val="7"/>
            <w:vAlign w:val="center"/>
          </w:tcPr>
          <w:p w14:paraId="11CF96E4">
            <w:pPr>
              <w:keepNext w:val="0"/>
              <w:keepLines w:val="0"/>
              <w:suppressLineNumbers w:val="0"/>
              <w:spacing w:before="0" w:beforeAutospacing="0" w:after="0" w:afterAutospacing="0" w:line="360" w:lineRule="auto"/>
              <w:ind w:left="0" w:right="0"/>
              <w:jc w:val="left"/>
              <w:rPr>
                <w:rFonts w:hint="default"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两型产品</w:t>
            </w:r>
          </w:p>
        </w:tc>
      </w:tr>
      <w:tr w14:paraId="48CE32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92" w:type="dxa"/>
            <w:vAlign w:val="center"/>
          </w:tcPr>
          <w:p w14:paraId="0EE5AFA4">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p>
        </w:tc>
        <w:tc>
          <w:tcPr>
            <w:tcW w:w="1792" w:type="dxa"/>
            <w:vAlign w:val="center"/>
          </w:tcPr>
          <w:p w14:paraId="449ABB20">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p>
        </w:tc>
        <w:tc>
          <w:tcPr>
            <w:tcW w:w="730" w:type="dxa"/>
            <w:vAlign w:val="center"/>
          </w:tcPr>
          <w:p w14:paraId="472025C7">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p>
        </w:tc>
        <w:tc>
          <w:tcPr>
            <w:tcW w:w="877" w:type="dxa"/>
            <w:vAlign w:val="center"/>
          </w:tcPr>
          <w:p w14:paraId="3024FFFD">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p>
        </w:tc>
        <w:tc>
          <w:tcPr>
            <w:tcW w:w="1024" w:type="dxa"/>
            <w:vAlign w:val="center"/>
          </w:tcPr>
          <w:p w14:paraId="3AA48AFD">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p>
        </w:tc>
        <w:tc>
          <w:tcPr>
            <w:tcW w:w="2046" w:type="dxa"/>
            <w:vAlign w:val="center"/>
          </w:tcPr>
          <w:p w14:paraId="55C40A95">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p>
        </w:tc>
        <w:tc>
          <w:tcPr>
            <w:tcW w:w="1899" w:type="dxa"/>
          </w:tcPr>
          <w:p w14:paraId="1D345845">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p>
        </w:tc>
      </w:tr>
      <w:tr w14:paraId="20CAC9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92" w:type="dxa"/>
            <w:vAlign w:val="center"/>
          </w:tcPr>
          <w:p w14:paraId="73B17C55">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小计</w:t>
            </w:r>
          </w:p>
        </w:tc>
        <w:tc>
          <w:tcPr>
            <w:tcW w:w="1792" w:type="dxa"/>
            <w:vAlign w:val="center"/>
          </w:tcPr>
          <w:p w14:paraId="06976908">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p>
        </w:tc>
        <w:tc>
          <w:tcPr>
            <w:tcW w:w="730" w:type="dxa"/>
            <w:vAlign w:val="center"/>
          </w:tcPr>
          <w:p w14:paraId="281B9189">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p>
        </w:tc>
        <w:tc>
          <w:tcPr>
            <w:tcW w:w="877" w:type="dxa"/>
            <w:vAlign w:val="center"/>
          </w:tcPr>
          <w:p w14:paraId="256516F0">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p>
        </w:tc>
        <w:tc>
          <w:tcPr>
            <w:tcW w:w="1024" w:type="dxa"/>
            <w:vAlign w:val="center"/>
          </w:tcPr>
          <w:p w14:paraId="5DF59CB3">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p>
        </w:tc>
        <w:tc>
          <w:tcPr>
            <w:tcW w:w="2046" w:type="dxa"/>
            <w:vAlign w:val="center"/>
          </w:tcPr>
          <w:p w14:paraId="45E6E40A">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p>
        </w:tc>
        <w:tc>
          <w:tcPr>
            <w:tcW w:w="1899" w:type="dxa"/>
          </w:tcPr>
          <w:p w14:paraId="26D2005D">
            <w:pPr>
              <w:keepNext w:val="0"/>
              <w:keepLines w:val="0"/>
              <w:suppressLineNumbers w:val="0"/>
              <w:spacing w:before="0" w:beforeAutospacing="0" w:after="0" w:afterAutospacing="0" w:line="360" w:lineRule="auto"/>
              <w:ind w:left="0" w:right="0"/>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p>
        </w:tc>
      </w:tr>
    </w:tbl>
    <w:p w14:paraId="1AB3A599">
      <w:pPr>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说明：</w:t>
      </w:r>
      <w:r>
        <w:rPr>
          <w:rFonts w:hint="eastAsia" w:ascii="宋体" w:hAnsi="宋体" w:cs="宋体"/>
          <w:bCs/>
          <w:color w:val="000000" w:themeColor="text1"/>
          <w:kern w:val="0"/>
          <w:szCs w:val="21"/>
          <w:highlight w:val="none"/>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本表用于计算节能产品、环境标志产品、两型产品应享受的政策功能加分。</w:t>
      </w:r>
    </w:p>
    <w:p w14:paraId="5948C6DA">
      <w:pPr>
        <w:adjustRightInd w:val="0"/>
        <w:snapToGrid w:val="0"/>
        <w:spacing w:line="360" w:lineRule="auto"/>
        <w:ind w:firstLine="630" w:firstLineChars="3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2、栏目7“政策功能编码”是指货物的中国环境标志认证证书编号、节能标志认证证书号、两型产品编号(货物同时属于节能产品、环境标志产品、两型产品的，只填写一种)。</w:t>
      </w:r>
    </w:p>
    <w:p w14:paraId="4ACAA1CF">
      <w:pPr>
        <w:adjustRightInd w:val="0"/>
        <w:snapToGrid w:val="0"/>
        <w:spacing w:line="360" w:lineRule="auto"/>
        <w:ind w:firstLine="630" w:firstLineChars="3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3、栏目4“单价”为综合单价，包含货物所有隐含的内容，如运输费、保险费、管理费和利润等。</w:t>
      </w:r>
    </w:p>
    <w:p w14:paraId="3207B9D4">
      <w:pPr>
        <w:adjustRightInd w:val="0"/>
        <w:snapToGrid w:val="0"/>
        <w:spacing w:line="360" w:lineRule="auto"/>
        <w:ind w:firstLine="630" w:firstLineChars="300"/>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4、未按上述要求提供、</w:t>
      </w:r>
      <w:r>
        <w:rPr>
          <w:rFonts w:hint="eastAsia" w:ascii="宋体" w:hAnsi="宋体" w:cs="宋体"/>
          <w:color w:val="000000" w:themeColor="text1"/>
          <w:kern w:val="0"/>
          <w:szCs w:val="21"/>
          <w:highlight w:val="none"/>
          <w14:textFill>
            <w14:solidFill>
              <w14:schemeClr w14:val="tx1"/>
            </w14:solidFill>
          </w14:textFill>
        </w:rPr>
        <w:t>填写，或者提供的内容不真实的，</w:t>
      </w:r>
      <w:r>
        <w:rPr>
          <w:rFonts w:hint="eastAsia" w:ascii="宋体" w:hAnsi="宋体" w:cs="宋体"/>
          <w:bCs/>
          <w:color w:val="000000" w:themeColor="text1"/>
          <w:kern w:val="0"/>
          <w:szCs w:val="21"/>
          <w:highlight w:val="none"/>
          <w14:textFill>
            <w14:solidFill>
              <w14:schemeClr w14:val="tx1"/>
            </w14:solidFill>
          </w14:textFill>
        </w:rPr>
        <w:t>评审时本表所有优惠不予以考虑。</w:t>
      </w:r>
    </w:p>
    <w:p w14:paraId="1D70BA9A">
      <w:pPr>
        <w:spacing w:line="360" w:lineRule="auto"/>
        <w:rPr>
          <w:rFonts w:ascii="宋体" w:hAnsi="宋体" w:cs="宋体"/>
          <w:color w:val="000000" w:themeColor="text1"/>
          <w:kern w:val="0"/>
          <w:szCs w:val="21"/>
          <w:highlight w:val="none"/>
          <w14:textFill>
            <w14:solidFill>
              <w14:schemeClr w14:val="tx1"/>
            </w14:solidFill>
          </w14:textFill>
        </w:rPr>
      </w:pPr>
    </w:p>
    <w:p w14:paraId="796340FF">
      <w:pPr>
        <w:spacing w:line="360" w:lineRule="auto"/>
        <w:rPr>
          <w:rFonts w:ascii="宋体" w:hAnsi="宋体" w:cs="宋体"/>
          <w:color w:val="000000" w:themeColor="text1"/>
          <w:kern w:val="0"/>
          <w:szCs w:val="21"/>
          <w:highlight w:val="none"/>
          <w14:textFill>
            <w14:solidFill>
              <w14:schemeClr w14:val="tx1"/>
            </w14:solidFill>
          </w14:textFill>
        </w:rPr>
      </w:pPr>
    </w:p>
    <w:p w14:paraId="1B4B1D50">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w:t>
      </w:r>
      <w:r>
        <w:rPr>
          <w:rFonts w:hint="eastAsia" w:ascii="宋体" w:hAnsi="宋体" w:cs="宋体"/>
          <w:color w:val="000000" w:themeColor="text1"/>
          <w:kern w:val="0"/>
          <w:szCs w:val="21"/>
          <w:highlight w:val="none"/>
          <w14:textFill>
            <w14:solidFill>
              <w14:schemeClr w14:val="tx1"/>
            </w14:solidFill>
          </w14:textFill>
        </w:rPr>
        <w:t>名称（单位章）：</w:t>
      </w:r>
    </w:p>
    <w:p w14:paraId="3D315700">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法定代表人或其委托代理人（签字）：</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07122ECA">
      <w:pPr>
        <w:rPr>
          <w:rFonts w:ascii="宋体" w:hAnsi="宋体" w:cs="宋体"/>
          <w:color w:val="000000" w:themeColor="text1"/>
          <w:kern w:val="0"/>
          <w:szCs w:val="20"/>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日期：</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年</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月</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日</w:t>
      </w:r>
      <w:r>
        <w:rPr>
          <w:rFonts w:ascii="宋体" w:hAnsi="宋体" w:cs="宋体"/>
          <w:color w:val="000000" w:themeColor="text1"/>
          <w:kern w:val="0"/>
          <w:szCs w:val="21"/>
          <w:highlight w:val="none"/>
          <w14:textFill>
            <w14:solidFill>
              <w14:schemeClr w14:val="tx1"/>
            </w14:solidFill>
          </w14:textFill>
        </w:rPr>
        <w:br w:type="page"/>
      </w:r>
    </w:p>
    <w:p w14:paraId="5E71B39B">
      <w:pPr>
        <w:pStyle w:val="4"/>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八、报价一览表</w:t>
      </w:r>
    </w:p>
    <w:p w14:paraId="129C3202">
      <w:pPr>
        <w:adjustRightInd w:val="0"/>
        <w:snapToGrid w:val="0"/>
        <w:spacing w:line="460" w:lineRule="exact"/>
        <w:ind w:right="23" w:rightChars="11"/>
        <w:rPr>
          <w:rFonts w:ascii="宋体" w:hAnsi="宋体"/>
          <w:color w:val="000000" w:themeColor="text1"/>
          <w:sz w:val="24"/>
          <w:highlight w:val="none"/>
          <w14:textFill>
            <w14:solidFill>
              <w14:schemeClr w14:val="tx1"/>
            </w14:solidFill>
          </w14:textFill>
        </w:rPr>
      </w:pPr>
    </w:p>
    <w:p w14:paraId="338782E9">
      <w:pPr>
        <w:adjustRightInd w:val="0"/>
        <w:snapToGrid w:val="0"/>
        <w:spacing w:line="460" w:lineRule="exact"/>
        <w:ind w:right="23" w:rightChars="11"/>
        <w:jc w:val="right"/>
        <w:rPr>
          <w:rFonts w:ascii="宋体" w:hAnsi="宋体"/>
          <w:color w:val="000000" w:themeColor="text1"/>
          <w:szCs w:val="21"/>
          <w:highlight w:val="none"/>
          <w14:textFill>
            <w14:solidFill>
              <w14:schemeClr w14:val="tx1"/>
            </w14:solidFill>
          </w14:textFill>
        </w:rPr>
      </w:pPr>
    </w:p>
    <w:p w14:paraId="2F8104F0">
      <w:pPr>
        <w:adjustRightInd w:val="0"/>
        <w:snapToGrid w:val="0"/>
        <w:ind w:left="210" w:leftChars="100" w:firstLine="0" w:firstLineChars="0"/>
        <w:jc w:val="left"/>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 xml:space="preserve">项目名称：中南大学湘雅医院开福院区防水维修工程（第二次）   </w:t>
      </w:r>
      <w:bookmarkStart w:id="312" w:name="_GoBack"/>
      <w:bookmarkEnd w:id="312"/>
      <w:r>
        <w:rPr>
          <w:rFonts w:hint="eastAsia" w:ascii="宋体" w:hAnsi="宋体"/>
          <w:color w:val="000000" w:themeColor="text1"/>
          <w:kern w:val="0"/>
          <w:szCs w:val="21"/>
          <w:highlight w:val="none"/>
          <w14:textFill>
            <w14:solidFill>
              <w14:schemeClr w14:val="tx1"/>
            </w14:solidFill>
          </w14:textFill>
        </w:rPr>
        <w:t xml:space="preserve">                                                     </w:t>
      </w:r>
      <w:r>
        <w:rPr>
          <w:rFonts w:hint="eastAsia" w:ascii="宋体" w:hAnsi="宋体" w:cs="宋体"/>
          <w:color w:val="000000" w:themeColor="text1"/>
          <w:kern w:val="0"/>
          <w:highlight w:val="none"/>
          <w14:textFill>
            <w14:solidFill>
              <w14:schemeClr w14:val="tx1"/>
            </w14:solidFill>
          </w14:textFill>
        </w:rPr>
        <w:t>金额单位：元</w:t>
      </w:r>
    </w:p>
    <w:p w14:paraId="2AEF6EFB">
      <w:pPr>
        <w:adjustRightInd w:val="0"/>
        <w:snapToGrid w:val="0"/>
        <w:ind w:left="-88" w:leftChars="-42"/>
        <w:rPr>
          <w:rFonts w:ascii="宋体" w:hAnsi="宋体"/>
          <w:color w:val="000000" w:themeColor="text1"/>
          <w:kern w:val="0"/>
          <w:szCs w:val="21"/>
          <w:highlight w:val="none"/>
          <w14:textFill>
            <w14:solidFill>
              <w14:schemeClr w14:val="tx1"/>
            </w14:solidFill>
          </w14:textFill>
        </w:rPr>
      </w:pPr>
    </w:p>
    <w:tbl>
      <w:tblPr>
        <w:tblStyle w:val="47"/>
        <w:tblpPr w:leftFromText="180" w:rightFromText="180" w:vertAnchor="text" w:horzAnchor="page" w:tblpX="957" w:tblpY="309"/>
        <w:tblOverlap w:val="never"/>
        <w:tblW w:w="1012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52"/>
        <w:gridCol w:w="7574"/>
      </w:tblGrid>
      <w:tr w14:paraId="0AB376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90" w:hRule="atLeast"/>
        </w:trPr>
        <w:tc>
          <w:tcPr>
            <w:tcW w:w="2552" w:type="dxa"/>
            <w:tcBorders>
              <w:bottom w:val="single" w:color="auto" w:sz="6" w:space="0"/>
              <w:right w:val="single" w:color="auto" w:sz="6" w:space="0"/>
            </w:tcBorders>
            <w:vAlign w:val="center"/>
          </w:tcPr>
          <w:p w14:paraId="4E00B866">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项目名称</w:t>
            </w:r>
          </w:p>
        </w:tc>
        <w:tc>
          <w:tcPr>
            <w:tcW w:w="7574" w:type="dxa"/>
            <w:tcBorders>
              <w:left w:val="single" w:color="auto" w:sz="6" w:space="0"/>
            </w:tcBorders>
            <w:vAlign w:val="center"/>
          </w:tcPr>
          <w:p w14:paraId="3D1594DB">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 </w:t>
            </w:r>
          </w:p>
        </w:tc>
      </w:tr>
      <w:tr w14:paraId="3F3D58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2125BD8A">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工程总报价</w:t>
            </w:r>
          </w:p>
        </w:tc>
        <w:tc>
          <w:tcPr>
            <w:tcW w:w="7574" w:type="dxa"/>
            <w:tcBorders>
              <w:top w:val="single" w:color="auto" w:sz="6" w:space="0"/>
              <w:bottom w:val="single" w:color="auto" w:sz="6" w:space="0"/>
            </w:tcBorders>
            <w:vAlign w:val="center"/>
          </w:tcPr>
          <w:p w14:paraId="039D9C5B">
            <w:pPr>
              <w:keepNext w:val="0"/>
              <w:keepLines w:val="0"/>
              <w:suppressLineNumbers w:val="0"/>
              <w:spacing w:before="0" w:beforeAutospacing="0" w:after="0" w:afterAutospacing="0"/>
              <w:ind w:left="0" w:right="23" w:rightChars="11"/>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大写：</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77598FA4">
            <w:pPr>
              <w:keepNext w:val="0"/>
              <w:keepLines w:val="0"/>
              <w:suppressLineNumbers w:val="0"/>
              <w:spacing w:before="0" w:beforeAutospacing="0" w:after="0" w:afterAutospacing="0"/>
              <w:ind w:left="0" w:right="23" w:rightChars="11"/>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小写：</w:t>
            </w:r>
            <w:r>
              <w:rPr>
                <w:rFonts w:hint="eastAsia" w:ascii="宋体" w:hAnsi="宋体" w:cs="宋体"/>
                <w:color w:val="000000" w:themeColor="text1"/>
                <w:kern w:val="0"/>
                <w:szCs w:val="21"/>
                <w:highlight w:val="none"/>
                <w:u w:val="single"/>
                <w14:textFill>
                  <w14:solidFill>
                    <w14:schemeClr w14:val="tx1"/>
                  </w14:solidFill>
                </w14:textFill>
              </w:rPr>
              <w:t xml:space="preserve">                    </w:t>
            </w:r>
          </w:p>
        </w:tc>
      </w:tr>
      <w:tr w14:paraId="6150BD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318FC754">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工期（日历天）</w:t>
            </w:r>
          </w:p>
        </w:tc>
        <w:tc>
          <w:tcPr>
            <w:tcW w:w="7574" w:type="dxa"/>
            <w:tcBorders>
              <w:top w:val="single" w:color="auto" w:sz="6" w:space="0"/>
              <w:bottom w:val="single" w:color="auto" w:sz="6" w:space="0"/>
            </w:tcBorders>
            <w:vAlign w:val="center"/>
          </w:tcPr>
          <w:p w14:paraId="46C4AE07">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p>
        </w:tc>
      </w:tr>
      <w:tr w14:paraId="4B712A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56086BF8">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质量标准</w:t>
            </w:r>
          </w:p>
        </w:tc>
        <w:tc>
          <w:tcPr>
            <w:tcW w:w="7574" w:type="dxa"/>
            <w:tcBorders>
              <w:top w:val="single" w:color="auto" w:sz="6" w:space="0"/>
              <w:bottom w:val="single" w:color="auto" w:sz="6" w:space="0"/>
            </w:tcBorders>
            <w:vAlign w:val="center"/>
          </w:tcPr>
          <w:p w14:paraId="2B62F89F">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p>
        </w:tc>
      </w:tr>
      <w:tr w14:paraId="1D0710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6C5C3177">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保修期</w:t>
            </w:r>
          </w:p>
        </w:tc>
        <w:tc>
          <w:tcPr>
            <w:tcW w:w="7574" w:type="dxa"/>
            <w:tcBorders>
              <w:top w:val="single" w:color="auto" w:sz="6" w:space="0"/>
              <w:bottom w:val="single" w:color="auto" w:sz="6" w:space="0"/>
            </w:tcBorders>
            <w:vAlign w:val="center"/>
          </w:tcPr>
          <w:p w14:paraId="7B1B9E92">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p>
        </w:tc>
      </w:tr>
      <w:tr w14:paraId="190D1D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1EC33AF9">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项目负责人</w:t>
            </w:r>
          </w:p>
        </w:tc>
        <w:tc>
          <w:tcPr>
            <w:tcW w:w="7574" w:type="dxa"/>
            <w:tcBorders>
              <w:top w:val="single" w:color="auto" w:sz="6" w:space="0"/>
              <w:bottom w:val="single" w:color="auto" w:sz="6" w:space="0"/>
            </w:tcBorders>
            <w:vAlign w:val="center"/>
          </w:tcPr>
          <w:p w14:paraId="1C89A33E">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p>
        </w:tc>
      </w:tr>
      <w:tr w14:paraId="32D2D9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tcBorders>
            <w:vAlign w:val="center"/>
          </w:tcPr>
          <w:p w14:paraId="380D2B96">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备  注</w:t>
            </w:r>
          </w:p>
        </w:tc>
        <w:tc>
          <w:tcPr>
            <w:tcW w:w="7574" w:type="dxa"/>
            <w:tcBorders>
              <w:top w:val="single" w:color="auto" w:sz="6" w:space="0"/>
            </w:tcBorders>
            <w:vAlign w:val="center"/>
          </w:tcPr>
          <w:p w14:paraId="4DFE77F5">
            <w:pPr>
              <w:keepNext w:val="0"/>
              <w:keepLines w:val="0"/>
              <w:suppressLineNumbers w:val="0"/>
              <w:spacing w:before="0" w:beforeAutospacing="0" w:after="0" w:afterAutospacing="0"/>
              <w:ind w:left="0" w:right="23" w:rightChars="11"/>
              <w:jc w:val="center"/>
              <w:rPr>
                <w:rFonts w:hint="default" w:ascii="宋体" w:hAnsi="宋体" w:cs="宋体"/>
                <w:color w:val="000000" w:themeColor="text1"/>
                <w:kern w:val="0"/>
                <w:szCs w:val="21"/>
                <w:highlight w:val="none"/>
                <w14:textFill>
                  <w14:solidFill>
                    <w14:schemeClr w14:val="tx1"/>
                  </w14:solidFill>
                </w14:textFill>
              </w:rPr>
            </w:pPr>
          </w:p>
        </w:tc>
      </w:tr>
    </w:tbl>
    <w:p w14:paraId="3046D593">
      <w:pPr>
        <w:adjustRightInd w:val="0"/>
        <w:snapToGrid w:val="0"/>
        <w:spacing w:line="360" w:lineRule="auto"/>
        <w:ind w:firstLine="210" w:firstLineChars="100"/>
        <w:rPr>
          <w:rFonts w:ascii="宋体" w:hAnsi="宋体"/>
          <w:color w:val="000000" w:themeColor="text1"/>
          <w:kern w:val="0"/>
          <w:szCs w:val="21"/>
          <w:highlight w:val="none"/>
          <w14:textFill>
            <w14:solidFill>
              <w14:schemeClr w14:val="tx1"/>
            </w14:solidFill>
          </w14:textFill>
        </w:rPr>
      </w:pPr>
    </w:p>
    <w:p w14:paraId="21270465">
      <w:pPr>
        <w:adjustRightInd w:val="0"/>
        <w:snapToGrid w:val="0"/>
        <w:spacing w:line="360" w:lineRule="auto"/>
        <w:ind w:left="-88" w:leftChars="-42"/>
        <w:rPr>
          <w:rFonts w:ascii="宋体" w:hAnsi="宋体"/>
          <w:color w:val="000000" w:themeColor="text1"/>
          <w:kern w:val="0"/>
          <w:szCs w:val="21"/>
          <w:highlight w:val="none"/>
          <w14:textFill>
            <w14:solidFill>
              <w14:schemeClr w14:val="tx1"/>
            </w14:solidFill>
          </w14:textFill>
        </w:rPr>
      </w:pPr>
    </w:p>
    <w:p w14:paraId="50AAE42A">
      <w:pPr>
        <w:adjustRightInd w:val="0"/>
        <w:snapToGrid w:val="0"/>
        <w:spacing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供应商（盖单位章）：</w:t>
      </w:r>
      <w:r>
        <w:rPr>
          <w:rFonts w:hint="eastAsia" w:ascii="宋体" w:hAnsi="宋体" w:cs="仿宋"/>
          <w:color w:val="000000" w:themeColor="text1"/>
          <w:kern w:val="0"/>
          <w:szCs w:val="21"/>
          <w:highlight w:val="none"/>
          <w:u w:val="single"/>
          <w14:textFill>
            <w14:solidFill>
              <w14:schemeClr w14:val="tx1"/>
            </w14:solidFill>
          </w14:textFill>
        </w:rPr>
        <w:t xml:space="preserve">                  </w:t>
      </w:r>
    </w:p>
    <w:p w14:paraId="1D87A6F5">
      <w:pPr>
        <w:adjustRightInd w:val="0"/>
        <w:snapToGrid w:val="0"/>
        <w:spacing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法定代表人或其委托代理人签字：</w:t>
      </w:r>
      <w:r>
        <w:rPr>
          <w:rFonts w:hint="eastAsia" w:ascii="宋体" w:hAnsi="宋体"/>
          <w:color w:val="000000" w:themeColor="text1"/>
          <w:kern w:val="0"/>
          <w:szCs w:val="21"/>
          <w:highlight w:val="none"/>
          <w:u w:val="single"/>
          <w14:textFill>
            <w14:solidFill>
              <w14:schemeClr w14:val="tx1"/>
            </w14:solidFill>
          </w14:textFill>
        </w:rPr>
        <w:t xml:space="preserve">             </w:t>
      </w:r>
    </w:p>
    <w:p w14:paraId="700F394A">
      <w:pPr>
        <w:adjustRightInd w:val="0"/>
        <w:snapToGrid w:val="0"/>
        <w:spacing w:line="360" w:lineRule="auto"/>
        <w:rPr>
          <w:rFonts w:hAnsi="宋体" w:cs="宋体"/>
          <w:b/>
          <w:bCs/>
          <w:color w:val="000000" w:themeColor="text1"/>
          <w:sz w:val="28"/>
          <w:szCs w:val="28"/>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日期：</w:t>
      </w:r>
      <w:r>
        <w:rPr>
          <w:rFonts w:hint="eastAsia" w:ascii="宋体" w:hAnsi="宋体"/>
          <w:color w:val="000000" w:themeColor="text1"/>
          <w:kern w:val="0"/>
          <w:szCs w:val="21"/>
          <w:highlight w:val="none"/>
          <w:u w:val="single"/>
          <w14:textFill>
            <w14:solidFill>
              <w14:schemeClr w14:val="tx1"/>
            </w14:solidFill>
          </w14:textFill>
        </w:rPr>
        <w:t xml:space="preserve">         </w:t>
      </w:r>
      <w:r>
        <w:rPr>
          <w:rFonts w:hint="eastAsia" w:ascii="宋体" w:hAnsi="宋体"/>
          <w:color w:val="000000" w:themeColor="text1"/>
          <w:kern w:val="0"/>
          <w:szCs w:val="21"/>
          <w:highlight w:val="none"/>
          <w14:textFill>
            <w14:solidFill>
              <w14:schemeClr w14:val="tx1"/>
            </w14:solidFill>
          </w14:textFill>
        </w:rPr>
        <w:t>年</w:t>
      </w:r>
      <w:r>
        <w:rPr>
          <w:rFonts w:hint="eastAsia" w:ascii="宋体" w:hAnsi="宋体"/>
          <w:color w:val="000000" w:themeColor="text1"/>
          <w:kern w:val="0"/>
          <w:szCs w:val="21"/>
          <w:highlight w:val="none"/>
          <w:u w:val="single"/>
          <w14:textFill>
            <w14:solidFill>
              <w14:schemeClr w14:val="tx1"/>
            </w14:solidFill>
          </w14:textFill>
        </w:rPr>
        <w:t xml:space="preserve">    </w:t>
      </w:r>
      <w:r>
        <w:rPr>
          <w:rFonts w:hint="eastAsia" w:ascii="宋体" w:hAnsi="宋体"/>
          <w:color w:val="000000" w:themeColor="text1"/>
          <w:kern w:val="0"/>
          <w:szCs w:val="21"/>
          <w:highlight w:val="none"/>
          <w14:textFill>
            <w14:solidFill>
              <w14:schemeClr w14:val="tx1"/>
            </w14:solidFill>
          </w14:textFill>
        </w:rPr>
        <w:t>月</w:t>
      </w:r>
      <w:r>
        <w:rPr>
          <w:rFonts w:hint="eastAsia" w:ascii="宋体" w:hAnsi="宋体"/>
          <w:color w:val="000000" w:themeColor="text1"/>
          <w:kern w:val="0"/>
          <w:szCs w:val="21"/>
          <w:highlight w:val="none"/>
          <w:u w:val="single"/>
          <w14:textFill>
            <w14:solidFill>
              <w14:schemeClr w14:val="tx1"/>
            </w14:solidFill>
          </w14:textFill>
        </w:rPr>
        <w:t xml:space="preserve">    </w:t>
      </w:r>
      <w:r>
        <w:rPr>
          <w:rFonts w:hint="eastAsia" w:ascii="宋体" w:hAnsi="宋体"/>
          <w:color w:val="000000" w:themeColor="text1"/>
          <w:kern w:val="0"/>
          <w:szCs w:val="21"/>
          <w:highlight w:val="none"/>
          <w14:textFill>
            <w14:solidFill>
              <w14:schemeClr w14:val="tx1"/>
            </w14:solidFill>
          </w14:textFill>
        </w:rPr>
        <w:t>日</w:t>
      </w:r>
    </w:p>
    <w:p w14:paraId="7F2FF0C6">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rFonts w:hint="eastAsia" w:ascii="宋体" w:hAnsi="宋体"/>
          <w:color w:val="000000" w:themeColor="text1"/>
          <w:highlight w:val="none"/>
          <w14:textFill>
            <w14:solidFill>
              <w14:schemeClr w14:val="tx1"/>
            </w14:solidFill>
          </w14:textFill>
        </w:rPr>
        <w:t>九、供应商认为需要提供的其它资料</w:t>
      </w:r>
    </w:p>
    <w:p w14:paraId="2DA9126D">
      <w:pPr>
        <w:adjustRightInd w:val="0"/>
        <w:snapToGrid w:val="0"/>
        <w:spacing w:line="460" w:lineRule="exact"/>
        <w:jc w:val="center"/>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r>
    </w:p>
    <w:p w14:paraId="0C2AF213">
      <w:pPr>
        <w:pStyle w:val="4"/>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十、最后报价</w:t>
      </w:r>
    </w:p>
    <w:p w14:paraId="1E9C8CB5">
      <w:pPr>
        <w:adjustRightInd w:val="0"/>
        <w:snapToGrid w:val="0"/>
        <w:spacing w:line="460" w:lineRule="exact"/>
        <w:ind w:left="-88" w:leftChars="-42"/>
        <w:rPr>
          <w:rFonts w:ascii="宋体" w:hAnsi="宋体"/>
          <w:color w:val="000000" w:themeColor="text1"/>
          <w:szCs w:val="21"/>
          <w:highlight w:val="none"/>
          <w14:textFill>
            <w14:solidFill>
              <w14:schemeClr w14:val="tx1"/>
            </w14:solidFill>
          </w14:textFill>
        </w:rPr>
      </w:pPr>
    </w:p>
    <w:p w14:paraId="51F8ADC7">
      <w:pPr>
        <w:adjustRightInd w:val="0"/>
        <w:snapToGrid w:val="0"/>
        <w:jc w:val="center"/>
        <w:rPr>
          <w:rFonts w:ascii="宋体" w:hAnsi="宋体"/>
          <w:color w:val="000000" w:themeColor="text1"/>
          <w:kern w:val="0"/>
          <w:szCs w:val="21"/>
          <w:highlight w:val="none"/>
          <w14:textFill>
            <w14:solidFill>
              <w14:schemeClr w14:val="tx1"/>
            </w14:solidFill>
          </w14:textFill>
        </w:rPr>
      </w:pPr>
    </w:p>
    <w:p w14:paraId="042E14AB">
      <w:pPr>
        <w:adjustRightInd w:val="0"/>
        <w:snapToGrid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说明：</w:t>
      </w:r>
    </w:p>
    <w:p w14:paraId="1419BA1F">
      <w:pPr>
        <w:adjustRightInd w:val="0"/>
        <w:snapToGrid w:val="0"/>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1、最后报价按第二章磋商须知第</w:t>
      </w:r>
      <w:r>
        <w:rPr>
          <w:rFonts w:ascii="宋体" w:hAnsi="宋体" w:cs="宋体"/>
          <w:b/>
          <w:bCs/>
          <w:color w:val="000000" w:themeColor="text1"/>
          <w:szCs w:val="21"/>
          <w:highlight w:val="none"/>
          <w14:textFill>
            <w14:solidFill>
              <w14:schemeClr w14:val="tx1"/>
            </w14:solidFill>
          </w14:textFill>
        </w:rPr>
        <w:t>29</w:t>
      </w:r>
      <w:r>
        <w:rPr>
          <w:rFonts w:hint="eastAsia" w:ascii="宋体" w:hAnsi="宋体" w:cs="宋体"/>
          <w:b/>
          <w:bCs/>
          <w:color w:val="000000" w:themeColor="text1"/>
          <w:szCs w:val="21"/>
          <w:highlight w:val="none"/>
          <w14:textFill>
            <w14:solidFill>
              <w14:schemeClr w14:val="tx1"/>
            </w14:solidFill>
          </w14:textFill>
        </w:rPr>
        <w:t>条规定提供，格式按《报价一览表》提供。</w:t>
      </w:r>
    </w:p>
    <w:p w14:paraId="2F3EE8BC">
      <w:pPr>
        <w:adjustRightInd w:val="0"/>
        <w:snapToGrid w:val="0"/>
        <w:spacing w:line="360" w:lineRule="auto"/>
        <w:ind w:left="-88" w:leftChars="-42" w:firstLine="527" w:firstLineChars="250"/>
        <w:rPr>
          <w:rFonts w:ascii="宋体" w:hAnsi="宋体" w:cs="宋体"/>
          <w:b/>
          <w:bCs/>
          <w:color w:val="000000" w:themeColor="text1"/>
          <w:szCs w:val="21"/>
          <w:highlight w:val="none"/>
          <w14:textFill>
            <w14:solidFill>
              <w14:schemeClr w14:val="tx1"/>
            </w14:solidFill>
          </w14:textFill>
        </w:rPr>
      </w:pPr>
    </w:p>
    <w:p w14:paraId="782CD172">
      <w:pPr>
        <w:pStyle w:val="14"/>
        <w:spacing w:line="360" w:lineRule="auto"/>
        <w:rPr>
          <w:rFonts w:ascii="宋体" w:hAnsi="宋体" w:eastAsia="宋体" w:cs="宋体"/>
          <w:b/>
          <w:bCs/>
          <w:color w:val="000000" w:themeColor="text1"/>
          <w:szCs w:val="21"/>
          <w:highlight w:val="none"/>
          <w14:textFill>
            <w14:solidFill>
              <w14:schemeClr w14:val="tx1"/>
            </w14:solidFill>
          </w14:textFill>
        </w:rPr>
      </w:pPr>
    </w:p>
    <w:p w14:paraId="52DF6CCD">
      <w:pPr>
        <w:pStyle w:val="14"/>
        <w:spacing w:line="360" w:lineRule="auto"/>
        <w:rPr>
          <w:rFonts w:ascii="宋体" w:hAnsi="宋体" w:eastAsia="宋体" w:cs="宋体"/>
          <w:b/>
          <w:bCs/>
          <w:color w:val="000000" w:themeColor="text1"/>
          <w:szCs w:val="21"/>
          <w:highlight w:val="none"/>
          <w14:textFill>
            <w14:solidFill>
              <w14:schemeClr w14:val="tx1"/>
            </w14:solidFill>
          </w14:textFill>
        </w:rPr>
      </w:pPr>
    </w:p>
    <w:p w14:paraId="1E7BA706">
      <w:pPr>
        <w:adjustRightInd w:val="0"/>
        <w:snapToGrid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（供应商自行准备最后报价，由授权委托人或法定代表人携带至开标会现场，在第二轮报价时递交，最后报价不得装入响应文件中）。</w:t>
      </w:r>
    </w:p>
    <w:p w14:paraId="122D2366">
      <w:pPr>
        <w:spacing w:line="460" w:lineRule="exact"/>
        <w:rPr>
          <w:rFonts w:ascii="宋体" w:hAnsi="宋体"/>
          <w:color w:val="000000" w:themeColor="text1"/>
          <w:highlight w:val="none"/>
          <w14:textFill>
            <w14:solidFill>
              <w14:schemeClr w14:val="tx1"/>
            </w14:solidFill>
          </w14:textFill>
        </w:rPr>
      </w:pPr>
    </w:p>
    <w:sectPr>
      <w:headerReference r:id="rId5" w:type="default"/>
      <w:footerReference r:id="rId6" w:type="default"/>
      <w:pgSz w:w="11906" w:h="16838"/>
      <w:pgMar w:top="1361" w:right="1361" w:bottom="136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roma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S Sans Serif">
    <w:altName w:val="Segoe Print"/>
    <w:panose1 w:val="020B05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ail">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长城仿宋">
    <w:altName w:val="仿宋"/>
    <w:panose1 w:val="00000000000000000000"/>
    <w:charset w:val="00"/>
    <w:family w:val="modern"/>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653B8">
    <w:pPr>
      <w:pStyle w:val="31"/>
      <w:pBdr>
        <w:top w:val="single" w:color="auto" w:sz="4" w:space="0"/>
      </w:pBdr>
    </w:pPr>
    <w:r>
      <mc:AlternateContent>
        <mc:Choice Requires="wps">
          <w:drawing>
            <wp:anchor distT="0" distB="0" distL="114300" distR="114300" simplePos="0" relativeHeight="251659264" behindDoc="0" locked="0" layoutInCell="1" allowOverlap="1">
              <wp:simplePos x="0" y="0"/>
              <wp:positionH relativeFrom="margin">
                <wp:posOffset>2858770</wp:posOffset>
              </wp:positionH>
              <wp:positionV relativeFrom="paragraph">
                <wp:posOffset>0</wp:posOffset>
              </wp:positionV>
              <wp:extent cx="1828800" cy="1828800"/>
              <wp:effectExtent l="0" t="0" r="0" b="0"/>
              <wp:wrapNone/>
              <wp:docPr id="1" name="文本框 20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5FDA01">
                          <w:pPr>
                            <w:pStyle w:val="31"/>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a:spAutoFit/>
                    </wps:bodyPr>
                  </wps:wsp>
                </a:graphicData>
              </a:graphic>
            </wp:anchor>
          </w:drawing>
        </mc:Choice>
        <mc:Fallback>
          <w:pict>
            <v:shape id="文本框 2056" o:spid="_x0000_s1026" o:spt="202" type="#_x0000_t202" style="position:absolute;left:0pt;margin-left:225.1pt;margin-top:0pt;height:144pt;width:144pt;mso-position-horizontal-relative:margin;mso-wrap-style:none;z-index:251659264;mso-width-relative:page;mso-height-relative:page;" filled="f" stroked="f" coordsize="21600,21600" o:gfxdata="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pWQEO1AAAAAgBAAAPAAAAAAAAAAEAIAAAACIAAABkcnMvZG93bnJldi54&#10;bWxQSwECFAAUAAAACACHTuJAPQ01UMUBAACQAwAADgAAAAAAAAABACAAAAAjAQAAZHJzL2Uyb0Rv&#10;Yy54bWxQSwUGAAAAAAYABgBZAQAAWgUAAAAA&#10;">
              <v:fill on="f" focussize="0,0"/>
              <v:stroke on="f"/>
              <v:imagedata o:title=""/>
              <o:lock v:ext="edit" aspectratio="f"/>
              <v:textbox inset="0mm,0mm,0mm,0mm" style="mso-fit-shape-to-text:t;">
                <w:txbxContent>
                  <w:p w14:paraId="6C5FDA01">
                    <w:pPr>
                      <w:pStyle w:val="31"/>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081C6">
    <w:pPr>
      <w:pStyle w:val="32"/>
      <w:jc w:val="both"/>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8D98D">
    <w:pPr>
      <w:pStyle w:val="3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F2B26">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198391"/>
    <w:multiLevelType w:val="singleLevel"/>
    <w:tmpl w:val="89198391"/>
    <w:lvl w:ilvl="0" w:tentative="0">
      <w:start w:val="5"/>
      <w:numFmt w:val="chineseCounting"/>
      <w:suff w:val="nothing"/>
      <w:lvlText w:val="%1、"/>
      <w:lvlJc w:val="left"/>
      <w:rPr>
        <w:rFonts w:hint="eastAsia"/>
      </w:rPr>
    </w:lvl>
  </w:abstractNum>
  <w:abstractNum w:abstractNumId="1">
    <w:nsid w:val="00000002"/>
    <w:multiLevelType w:val="singleLevel"/>
    <w:tmpl w:val="00000002"/>
    <w:lvl w:ilvl="0" w:tentative="0">
      <w:start w:val="5"/>
      <w:numFmt w:val="decimal"/>
      <w:suff w:val="space"/>
      <w:lvlText w:val="%1."/>
      <w:lvlJc w:val="left"/>
    </w:lvl>
  </w:abstractNum>
  <w:abstractNum w:abstractNumId="2">
    <w:nsid w:val="1358DC6C"/>
    <w:multiLevelType w:val="singleLevel"/>
    <w:tmpl w:val="1358DC6C"/>
    <w:lvl w:ilvl="0" w:tentative="0">
      <w:start w:val="4"/>
      <w:numFmt w:val="chineseCounting"/>
      <w:suff w:val="space"/>
      <w:lvlText w:val="第%1章"/>
      <w:lvlJc w:val="left"/>
      <w:rPr>
        <w:rFonts w:hint="eastAsia"/>
      </w:rPr>
    </w:lvl>
  </w:abstractNum>
  <w:abstractNum w:abstractNumId="3">
    <w:nsid w:val="5403225F"/>
    <w:multiLevelType w:val="singleLevel"/>
    <w:tmpl w:val="5403225F"/>
    <w:lvl w:ilvl="0" w:tentative="0">
      <w:start w:val="2"/>
      <w:numFmt w:val="decimal"/>
      <w:lvlText w:val="%1."/>
      <w:lvlJc w:val="left"/>
      <w:pPr>
        <w:tabs>
          <w:tab w:val="left" w:pos="312"/>
        </w:tabs>
      </w:pPr>
    </w:lvl>
  </w:abstractNum>
  <w:abstractNum w:abstractNumId="4">
    <w:nsid w:val="61390DFD"/>
    <w:multiLevelType w:val="multilevel"/>
    <w:tmpl w:val="61390DFD"/>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RiN2EzOTIwNTFkMWRjYjlhM2M2MjEwMTAzOTAyMTAifQ=="/>
  </w:docVars>
  <w:rsids>
    <w:rsidRoot w:val="00172A27"/>
    <w:rsid w:val="0000088C"/>
    <w:rsid w:val="0000172E"/>
    <w:rsid w:val="00002657"/>
    <w:rsid w:val="00002719"/>
    <w:rsid w:val="0000585A"/>
    <w:rsid w:val="00006B22"/>
    <w:rsid w:val="00007E25"/>
    <w:rsid w:val="00010339"/>
    <w:rsid w:val="00010B73"/>
    <w:rsid w:val="000156E2"/>
    <w:rsid w:val="00016CC1"/>
    <w:rsid w:val="0002154B"/>
    <w:rsid w:val="00021D7D"/>
    <w:rsid w:val="000223B0"/>
    <w:rsid w:val="00024344"/>
    <w:rsid w:val="00024FC6"/>
    <w:rsid w:val="0002549A"/>
    <w:rsid w:val="00025986"/>
    <w:rsid w:val="000263A5"/>
    <w:rsid w:val="00026B4C"/>
    <w:rsid w:val="00026BD6"/>
    <w:rsid w:val="00026FD7"/>
    <w:rsid w:val="00027406"/>
    <w:rsid w:val="0002779F"/>
    <w:rsid w:val="00027D5B"/>
    <w:rsid w:val="00027EBD"/>
    <w:rsid w:val="000309C4"/>
    <w:rsid w:val="000313EC"/>
    <w:rsid w:val="00033744"/>
    <w:rsid w:val="00034641"/>
    <w:rsid w:val="0003586C"/>
    <w:rsid w:val="00036398"/>
    <w:rsid w:val="00036753"/>
    <w:rsid w:val="00037E98"/>
    <w:rsid w:val="0004060C"/>
    <w:rsid w:val="00040D86"/>
    <w:rsid w:val="00042818"/>
    <w:rsid w:val="00043E9C"/>
    <w:rsid w:val="000441C7"/>
    <w:rsid w:val="00051E2A"/>
    <w:rsid w:val="00053DE3"/>
    <w:rsid w:val="00053EC3"/>
    <w:rsid w:val="00055082"/>
    <w:rsid w:val="000566D0"/>
    <w:rsid w:val="000622F3"/>
    <w:rsid w:val="000640EC"/>
    <w:rsid w:val="000641A5"/>
    <w:rsid w:val="00064493"/>
    <w:rsid w:val="00067216"/>
    <w:rsid w:val="00073A54"/>
    <w:rsid w:val="000740A5"/>
    <w:rsid w:val="0007440D"/>
    <w:rsid w:val="000768EA"/>
    <w:rsid w:val="00076BB7"/>
    <w:rsid w:val="00080161"/>
    <w:rsid w:val="000818D8"/>
    <w:rsid w:val="00083798"/>
    <w:rsid w:val="00086A97"/>
    <w:rsid w:val="000874FC"/>
    <w:rsid w:val="00092BC0"/>
    <w:rsid w:val="0009306D"/>
    <w:rsid w:val="000946D3"/>
    <w:rsid w:val="00094FF9"/>
    <w:rsid w:val="000952E7"/>
    <w:rsid w:val="00095B33"/>
    <w:rsid w:val="00096F74"/>
    <w:rsid w:val="000A2941"/>
    <w:rsid w:val="000A2ED9"/>
    <w:rsid w:val="000A3E58"/>
    <w:rsid w:val="000A5EF8"/>
    <w:rsid w:val="000A604E"/>
    <w:rsid w:val="000B063A"/>
    <w:rsid w:val="000B0A49"/>
    <w:rsid w:val="000B3804"/>
    <w:rsid w:val="000B422C"/>
    <w:rsid w:val="000B447A"/>
    <w:rsid w:val="000B6963"/>
    <w:rsid w:val="000B6DE3"/>
    <w:rsid w:val="000B7952"/>
    <w:rsid w:val="000C1802"/>
    <w:rsid w:val="000C2B71"/>
    <w:rsid w:val="000C3661"/>
    <w:rsid w:val="000C3783"/>
    <w:rsid w:val="000C3CC2"/>
    <w:rsid w:val="000C4377"/>
    <w:rsid w:val="000C5109"/>
    <w:rsid w:val="000C5BDA"/>
    <w:rsid w:val="000C673E"/>
    <w:rsid w:val="000C6FD3"/>
    <w:rsid w:val="000C709C"/>
    <w:rsid w:val="000D387D"/>
    <w:rsid w:val="000D7FCF"/>
    <w:rsid w:val="000E0354"/>
    <w:rsid w:val="000E1E33"/>
    <w:rsid w:val="000E430C"/>
    <w:rsid w:val="000E5FD0"/>
    <w:rsid w:val="000E70FD"/>
    <w:rsid w:val="000F0692"/>
    <w:rsid w:val="000F23B9"/>
    <w:rsid w:val="000F323B"/>
    <w:rsid w:val="000F59D4"/>
    <w:rsid w:val="000F6B12"/>
    <w:rsid w:val="000F7418"/>
    <w:rsid w:val="0010024F"/>
    <w:rsid w:val="00100878"/>
    <w:rsid w:val="00100B82"/>
    <w:rsid w:val="001021D2"/>
    <w:rsid w:val="0010299F"/>
    <w:rsid w:val="00103655"/>
    <w:rsid w:val="00106CB3"/>
    <w:rsid w:val="00107232"/>
    <w:rsid w:val="00110D0F"/>
    <w:rsid w:val="00113583"/>
    <w:rsid w:val="00113930"/>
    <w:rsid w:val="00113B22"/>
    <w:rsid w:val="0011494C"/>
    <w:rsid w:val="00114C53"/>
    <w:rsid w:val="00116104"/>
    <w:rsid w:val="00116D65"/>
    <w:rsid w:val="00121E3B"/>
    <w:rsid w:val="001240C3"/>
    <w:rsid w:val="001256EF"/>
    <w:rsid w:val="00125BB6"/>
    <w:rsid w:val="00127819"/>
    <w:rsid w:val="001324C6"/>
    <w:rsid w:val="001344E3"/>
    <w:rsid w:val="001348DB"/>
    <w:rsid w:val="001364C1"/>
    <w:rsid w:val="00140F9D"/>
    <w:rsid w:val="001416D5"/>
    <w:rsid w:val="0014396C"/>
    <w:rsid w:val="001449C4"/>
    <w:rsid w:val="00145FAB"/>
    <w:rsid w:val="00147E27"/>
    <w:rsid w:val="00154ED0"/>
    <w:rsid w:val="0015559D"/>
    <w:rsid w:val="00160437"/>
    <w:rsid w:val="00160487"/>
    <w:rsid w:val="0016373E"/>
    <w:rsid w:val="00164237"/>
    <w:rsid w:val="00164541"/>
    <w:rsid w:val="001652A3"/>
    <w:rsid w:val="001669AA"/>
    <w:rsid w:val="00167D4D"/>
    <w:rsid w:val="00167E36"/>
    <w:rsid w:val="0017084C"/>
    <w:rsid w:val="0017108F"/>
    <w:rsid w:val="00172007"/>
    <w:rsid w:val="00172683"/>
    <w:rsid w:val="00172A27"/>
    <w:rsid w:val="00172AC1"/>
    <w:rsid w:val="00172EE0"/>
    <w:rsid w:val="00174093"/>
    <w:rsid w:val="00174AD2"/>
    <w:rsid w:val="00175A98"/>
    <w:rsid w:val="0017639C"/>
    <w:rsid w:val="00180880"/>
    <w:rsid w:val="001808D0"/>
    <w:rsid w:val="00181AD9"/>
    <w:rsid w:val="00181D4A"/>
    <w:rsid w:val="00182411"/>
    <w:rsid w:val="00184CC8"/>
    <w:rsid w:val="0018787D"/>
    <w:rsid w:val="00190F87"/>
    <w:rsid w:val="0019212D"/>
    <w:rsid w:val="0019339D"/>
    <w:rsid w:val="00194E27"/>
    <w:rsid w:val="00197425"/>
    <w:rsid w:val="00197DB3"/>
    <w:rsid w:val="00197FBF"/>
    <w:rsid w:val="001A0051"/>
    <w:rsid w:val="001A10EA"/>
    <w:rsid w:val="001A27C7"/>
    <w:rsid w:val="001A3CAC"/>
    <w:rsid w:val="001A5502"/>
    <w:rsid w:val="001A7130"/>
    <w:rsid w:val="001A726D"/>
    <w:rsid w:val="001B1F11"/>
    <w:rsid w:val="001B229F"/>
    <w:rsid w:val="001B2578"/>
    <w:rsid w:val="001B35FE"/>
    <w:rsid w:val="001B56C9"/>
    <w:rsid w:val="001B6A26"/>
    <w:rsid w:val="001B6E2A"/>
    <w:rsid w:val="001B7058"/>
    <w:rsid w:val="001B7F3D"/>
    <w:rsid w:val="001C05E5"/>
    <w:rsid w:val="001C2901"/>
    <w:rsid w:val="001C30E6"/>
    <w:rsid w:val="001C598A"/>
    <w:rsid w:val="001C656D"/>
    <w:rsid w:val="001C6863"/>
    <w:rsid w:val="001C7DB0"/>
    <w:rsid w:val="001C7EEC"/>
    <w:rsid w:val="001D1504"/>
    <w:rsid w:val="001D1CDE"/>
    <w:rsid w:val="001D23F4"/>
    <w:rsid w:val="001D431F"/>
    <w:rsid w:val="001D6192"/>
    <w:rsid w:val="001D71D2"/>
    <w:rsid w:val="001D74FD"/>
    <w:rsid w:val="001D7551"/>
    <w:rsid w:val="001E0AF2"/>
    <w:rsid w:val="001E6BF5"/>
    <w:rsid w:val="001E7FC2"/>
    <w:rsid w:val="001F3061"/>
    <w:rsid w:val="001F345F"/>
    <w:rsid w:val="001F3DBC"/>
    <w:rsid w:val="002005C4"/>
    <w:rsid w:val="00200EA4"/>
    <w:rsid w:val="00201011"/>
    <w:rsid w:val="00202BAE"/>
    <w:rsid w:val="002037B4"/>
    <w:rsid w:val="002037DB"/>
    <w:rsid w:val="00205190"/>
    <w:rsid w:val="00206968"/>
    <w:rsid w:val="00206E15"/>
    <w:rsid w:val="00206FCE"/>
    <w:rsid w:val="00207162"/>
    <w:rsid w:val="00211C0E"/>
    <w:rsid w:val="002131F5"/>
    <w:rsid w:val="0021675C"/>
    <w:rsid w:val="0021716B"/>
    <w:rsid w:val="002223E0"/>
    <w:rsid w:val="002235BC"/>
    <w:rsid w:val="00223AAF"/>
    <w:rsid w:val="0022435D"/>
    <w:rsid w:val="002250D3"/>
    <w:rsid w:val="002266E6"/>
    <w:rsid w:val="00226977"/>
    <w:rsid w:val="002270C6"/>
    <w:rsid w:val="002276D6"/>
    <w:rsid w:val="002315D3"/>
    <w:rsid w:val="0023455F"/>
    <w:rsid w:val="00234E98"/>
    <w:rsid w:val="002355BB"/>
    <w:rsid w:val="0023619C"/>
    <w:rsid w:val="00242EFF"/>
    <w:rsid w:val="00243709"/>
    <w:rsid w:val="00243DC6"/>
    <w:rsid w:val="00244727"/>
    <w:rsid w:val="00245578"/>
    <w:rsid w:val="00245A92"/>
    <w:rsid w:val="00247AC8"/>
    <w:rsid w:val="00247CF9"/>
    <w:rsid w:val="002502DD"/>
    <w:rsid w:val="00251555"/>
    <w:rsid w:val="00252405"/>
    <w:rsid w:val="0025576A"/>
    <w:rsid w:val="0025594B"/>
    <w:rsid w:val="002572F5"/>
    <w:rsid w:val="00262DA5"/>
    <w:rsid w:val="00266E91"/>
    <w:rsid w:val="002704A9"/>
    <w:rsid w:val="00273A11"/>
    <w:rsid w:val="00273AB7"/>
    <w:rsid w:val="0027552A"/>
    <w:rsid w:val="002766EC"/>
    <w:rsid w:val="00281493"/>
    <w:rsid w:val="002826A3"/>
    <w:rsid w:val="00285665"/>
    <w:rsid w:val="002859F6"/>
    <w:rsid w:val="00290F35"/>
    <w:rsid w:val="00291C33"/>
    <w:rsid w:val="0029219A"/>
    <w:rsid w:val="00293DB5"/>
    <w:rsid w:val="002942E2"/>
    <w:rsid w:val="00294EC3"/>
    <w:rsid w:val="00295E49"/>
    <w:rsid w:val="002A03CB"/>
    <w:rsid w:val="002A41F5"/>
    <w:rsid w:val="002A6004"/>
    <w:rsid w:val="002A6E28"/>
    <w:rsid w:val="002A6ED0"/>
    <w:rsid w:val="002B250E"/>
    <w:rsid w:val="002B4521"/>
    <w:rsid w:val="002B5DEE"/>
    <w:rsid w:val="002B5F66"/>
    <w:rsid w:val="002B5FAB"/>
    <w:rsid w:val="002B6701"/>
    <w:rsid w:val="002B7325"/>
    <w:rsid w:val="002C0A4F"/>
    <w:rsid w:val="002C2D85"/>
    <w:rsid w:val="002C72E6"/>
    <w:rsid w:val="002C757F"/>
    <w:rsid w:val="002D16CB"/>
    <w:rsid w:val="002D2D7E"/>
    <w:rsid w:val="002D423F"/>
    <w:rsid w:val="002D4FEA"/>
    <w:rsid w:val="002D51E5"/>
    <w:rsid w:val="002D548A"/>
    <w:rsid w:val="002D54FC"/>
    <w:rsid w:val="002D5BC8"/>
    <w:rsid w:val="002E0C79"/>
    <w:rsid w:val="002E1271"/>
    <w:rsid w:val="002E2AB7"/>
    <w:rsid w:val="002E2BB7"/>
    <w:rsid w:val="002E356B"/>
    <w:rsid w:val="002E53D5"/>
    <w:rsid w:val="002E6042"/>
    <w:rsid w:val="002F00B3"/>
    <w:rsid w:val="002F0EFC"/>
    <w:rsid w:val="002F297C"/>
    <w:rsid w:val="002F42D5"/>
    <w:rsid w:val="00301B5A"/>
    <w:rsid w:val="003028F9"/>
    <w:rsid w:val="00305AC1"/>
    <w:rsid w:val="003072D6"/>
    <w:rsid w:val="00311078"/>
    <w:rsid w:val="003136E5"/>
    <w:rsid w:val="00313BC8"/>
    <w:rsid w:val="0031417B"/>
    <w:rsid w:val="0031769F"/>
    <w:rsid w:val="00317CD3"/>
    <w:rsid w:val="003219E7"/>
    <w:rsid w:val="00321C75"/>
    <w:rsid w:val="00324F4B"/>
    <w:rsid w:val="00325A43"/>
    <w:rsid w:val="00325ECF"/>
    <w:rsid w:val="00326B8C"/>
    <w:rsid w:val="00326E62"/>
    <w:rsid w:val="003303DC"/>
    <w:rsid w:val="00331A2E"/>
    <w:rsid w:val="00332937"/>
    <w:rsid w:val="003333D7"/>
    <w:rsid w:val="00333943"/>
    <w:rsid w:val="003369E8"/>
    <w:rsid w:val="0033770C"/>
    <w:rsid w:val="00340105"/>
    <w:rsid w:val="003412D4"/>
    <w:rsid w:val="00341AFE"/>
    <w:rsid w:val="00342089"/>
    <w:rsid w:val="003422F3"/>
    <w:rsid w:val="0034572F"/>
    <w:rsid w:val="0034611B"/>
    <w:rsid w:val="003469E4"/>
    <w:rsid w:val="0035131B"/>
    <w:rsid w:val="0035331E"/>
    <w:rsid w:val="00353F61"/>
    <w:rsid w:val="00354124"/>
    <w:rsid w:val="00356B3D"/>
    <w:rsid w:val="003601C4"/>
    <w:rsid w:val="003610D2"/>
    <w:rsid w:val="0037058A"/>
    <w:rsid w:val="00370F92"/>
    <w:rsid w:val="00371866"/>
    <w:rsid w:val="00374E53"/>
    <w:rsid w:val="0037539A"/>
    <w:rsid w:val="00376191"/>
    <w:rsid w:val="00376B4B"/>
    <w:rsid w:val="00377D80"/>
    <w:rsid w:val="00380513"/>
    <w:rsid w:val="00380A82"/>
    <w:rsid w:val="00385EB0"/>
    <w:rsid w:val="00387901"/>
    <w:rsid w:val="003914B4"/>
    <w:rsid w:val="00391A73"/>
    <w:rsid w:val="003926AD"/>
    <w:rsid w:val="0039378D"/>
    <w:rsid w:val="003938CC"/>
    <w:rsid w:val="003948FD"/>
    <w:rsid w:val="003958CA"/>
    <w:rsid w:val="00396236"/>
    <w:rsid w:val="00396FEC"/>
    <w:rsid w:val="003A446F"/>
    <w:rsid w:val="003A6117"/>
    <w:rsid w:val="003A694B"/>
    <w:rsid w:val="003A6967"/>
    <w:rsid w:val="003A7CE3"/>
    <w:rsid w:val="003B08E9"/>
    <w:rsid w:val="003B0AFE"/>
    <w:rsid w:val="003B1744"/>
    <w:rsid w:val="003B3F9A"/>
    <w:rsid w:val="003B48C4"/>
    <w:rsid w:val="003B6A76"/>
    <w:rsid w:val="003B780B"/>
    <w:rsid w:val="003C0E74"/>
    <w:rsid w:val="003C3A5C"/>
    <w:rsid w:val="003C3EAB"/>
    <w:rsid w:val="003C6025"/>
    <w:rsid w:val="003C6100"/>
    <w:rsid w:val="003C7959"/>
    <w:rsid w:val="003D1521"/>
    <w:rsid w:val="003D259F"/>
    <w:rsid w:val="003E0237"/>
    <w:rsid w:val="003E18E1"/>
    <w:rsid w:val="003E1EFA"/>
    <w:rsid w:val="003E6C5D"/>
    <w:rsid w:val="003E7B33"/>
    <w:rsid w:val="003F00AC"/>
    <w:rsid w:val="003F39A6"/>
    <w:rsid w:val="003F472F"/>
    <w:rsid w:val="003F482D"/>
    <w:rsid w:val="003F4843"/>
    <w:rsid w:val="003F4E1C"/>
    <w:rsid w:val="003F5749"/>
    <w:rsid w:val="003F65B4"/>
    <w:rsid w:val="003F6A20"/>
    <w:rsid w:val="003F7459"/>
    <w:rsid w:val="003F7D02"/>
    <w:rsid w:val="004029B5"/>
    <w:rsid w:val="00405480"/>
    <w:rsid w:val="00410033"/>
    <w:rsid w:val="0041158C"/>
    <w:rsid w:val="004117F0"/>
    <w:rsid w:val="00411C9F"/>
    <w:rsid w:val="00414121"/>
    <w:rsid w:val="00416652"/>
    <w:rsid w:val="00416DDD"/>
    <w:rsid w:val="00417B89"/>
    <w:rsid w:val="00417C38"/>
    <w:rsid w:val="00420D57"/>
    <w:rsid w:val="00423BB6"/>
    <w:rsid w:val="00427120"/>
    <w:rsid w:val="00427782"/>
    <w:rsid w:val="00430191"/>
    <w:rsid w:val="00431725"/>
    <w:rsid w:val="00432850"/>
    <w:rsid w:val="00434FB2"/>
    <w:rsid w:val="004360ED"/>
    <w:rsid w:val="004409B2"/>
    <w:rsid w:val="00441209"/>
    <w:rsid w:val="0044748D"/>
    <w:rsid w:val="004476C9"/>
    <w:rsid w:val="00452F8D"/>
    <w:rsid w:val="00455538"/>
    <w:rsid w:val="00457D31"/>
    <w:rsid w:val="00462DC4"/>
    <w:rsid w:val="004673CC"/>
    <w:rsid w:val="004713ED"/>
    <w:rsid w:val="004736B8"/>
    <w:rsid w:val="00473757"/>
    <w:rsid w:val="004737C1"/>
    <w:rsid w:val="00476C45"/>
    <w:rsid w:val="00477C7D"/>
    <w:rsid w:val="00480A97"/>
    <w:rsid w:val="0048325C"/>
    <w:rsid w:val="004836CC"/>
    <w:rsid w:val="00483D0A"/>
    <w:rsid w:val="00483D7F"/>
    <w:rsid w:val="00484C46"/>
    <w:rsid w:val="00485D13"/>
    <w:rsid w:val="0048677F"/>
    <w:rsid w:val="00493BB9"/>
    <w:rsid w:val="00494C8C"/>
    <w:rsid w:val="0049529F"/>
    <w:rsid w:val="00496D5A"/>
    <w:rsid w:val="004A0502"/>
    <w:rsid w:val="004A1296"/>
    <w:rsid w:val="004A5608"/>
    <w:rsid w:val="004A5D85"/>
    <w:rsid w:val="004A7B3D"/>
    <w:rsid w:val="004B297E"/>
    <w:rsid w:val="004B7380"/>
    <w:rsid w:val="004C1CCC"/>
    <w:rsid w:val="004C3122"/>
    <w:rsid w:val="004C3148"/>
    <w:rsid w:val="004C3F73"/>
    <w:rsid w:val="004D1C0C"/>
    <w:rsid w:val="004D1D4F"/>
    <w:rsid w:val="004D1DC5"/>
    <w:rsid w:val="004D4E52"/>
    <w:rsid w:val="004E269C"/>
    <w:rsid w:val="004E5C40"/>
    <w:rsid w:val="004E60BA"/>
    <w:rsid w:val="004F3ED5"/>
    <w:rsid w:val="004F46DF"/>
    <w:rsid w:val="004F6AF6"/>
    <w:rsid w:val="00500612"/>
    <w:rsid w:val="00500CFA"/>
    <w:rsid w:val="00500FAA"/>
    <w:rsid w:val="00504192"/>
    <w:rsid w:val="00504385"/>
    <w:rsid w:val="00504CE5"/>
    <w:rsid w:val="005074D3"/>
    <w:rsid w:val="00507514"/>
    <w:rsid w:val="005110DC"/>
    <w:rsid w:val="00512217"/>
    <w:rsid w:val="00513456"/>
    <w:rsid w:val="00515059"/>
    <w:rsid w:val="005229FE"/>
    <w:rsid w:val="00522A24"/>
    <w:rsid w:val="00525461"/>
    <w:rsid w:val="00525D18"/>
    <w:rsid w:val="00525D64"/>
    <w:rsid w:val="0052705B"/>
    <w:rsid w:val="0052738E"/>
    <w:rsid w:val="00530025"/>
    <w:rsid w:val="0053192E"/>
    <w:rsid w:val="005325DA"/>
    <w:rsid w:val="005327B1"/>
    <w:rsid w:val="00532C1E"/>
    <w:rsid w:val="00536EF7"/>
    <w:rsid w:val="00540C5B"/>
    <w:rsid w:val="00540E27"/>
    <w:rsid w:val="005423BD"/>
    <w:rsid w:val="00542C07"/>
    <w:rsid w:val="0054326F"/>
    <w:rsid w:val="00543554"/>
    <w:rsid w:val="00546417"/>
    <w:rsid w:val="00547273"/>
    <w:rsid w:val="00547689"/>
    <w:rsid w:val="00547DCC"/>
    <w:rsid w:val="00550452"/>
    <w:rsid w:val="00550DB2"/>
    <w:rsid w:val="00551626"/>
    <w:rsid w:val="00552A6B"/>
    <w:rsid w:val="00553640"/>
    <w:rsid w:val="00554044"/>
    <w:rsid w:val="00554C89"/>
    <w:rsid w:val="00555E7E"/>
    <w:rsid w:val="00555FD0"/>
    <w:rsid w:val="00557AF7"/>
    <w:rsid w:val="00560B47"/>
    <w:rsid w:val="0056199A"/>
    <w:rsid w:val="00563F1D"/>
    <w:rsid w:val="00565122"/>
    <w:rsid w:val="00565532"/>
    <w:rsid w:val="00565F5E"/>
    <w:rsid w:val="00566DDF"/>
    <w:rsid w:val="00567302"/>
    <w:rsid w:val="00570583"/>
    <w:rsid w:val="00573487"/>
    <w:rsid w:val="0057540E"/>
    <w:rsid w:val="00575F19"/>
    <w:rsid w:val="00576214"/>
    <w:rsid w:val="00576CAE"/>
    <w:rsid w:val="00576CC2"/>
    <w:rsid w:val="005770DF"/>
    <w:rsid w:val="00582329"/>
    <w:rsid w:val="00583097"/>
    <w:rsid w:val="00586507"/>
    <w:rsid w:val="00587552"/>
    <w:rsid w:val="00590F40"/>
    <w:rsid w:val="00596362"/>
    <w:rsid w:val="00596918"/>
    <w:rsid w:val="00596D67"/>
    <w:rsid w:val="005A1086"/>
    <w:rsid w:val="005A16C7"/>
    <w:rsid w:val="005A17A5"/>
    <w:rsid w:val="005A22A2"/>
    <w:rsid w:val="005A2A0F"/>
    <w:rsid w:val="005A3897"/>
    <w:rsid w:val="005A4164"/>
    <w:rsid w:val="005A4F5E"/>
    <w:rsid w:val="005A587D"/>
    <w:rsid w:val="005A5BD2"/>
    <w:rsid w:val="005A686B"/>
    <w:rsid w:val="005B1A4E"/>
    <w:rsid w:val="005B38E7"/>
    <w:rsid w:val="005B3C2C"/>
    <w:rsid w:val="005B6E25"/>
    <w:rsid w:val="005C0266"/>
    <w:rsid w:val="005C02DC"/>
    <w:rsid w:val="005C0903"/>
    <w:rsid w:val="005C23A1"/>
    <w:rsid w:val="005C4DE5"/>
    <w:rsid w:val="005C647E"/>
    <w:rsid w:val="005D02AC"/>
    <w:rsid w:val="005D0B44"/>
    <w:rsid w:val="005D0FE5"/>
    <w:rsid w:val="005D3F38"/>
    <w:rsid w:val="005D648E"/>
    <w:rsid w:val="005D6A09"/>
    <w:rsid w:val="005D7B45"/>
    <w:rsid w:val="005D7ECA"/>
    <w:rsid w:val="005E0EB5"/>
    <w:rsid w:val="005E5CED"/>
    <w:rsid w:val="005F0359"/>
    <w:rsid w:val="005F23F3"/>
    <w:rsid w:val="005F32A0"/>
    <w:rsid w:val="005F438C"/>
    <w:rsid w:val="005F4EE6"/>
    <w:rsid w:val="005F4FA6"/>
    <w:rsid w:val="005F5575"/>
    <w:rsid w:val="005F6D8A"/>
    <w:rsid w:val="005F7F27"/>
    <w:rsid w:val="0060009E"/>
    <w:rsid w:val="00601F43"/>
    <w:rsid w:val="00602F7F"/>
    <w:rsid w:val="00604017"/>
    <w:rsid w:val="00605490"/>
    <w:rsid w:val="00605A59"/>
    <w:rsid w:val="00606896"/>
    <w:rsid w:val="00612E59"/>
    <w:rsid w:val="00613F3F"/>
    <w:rsid w:val="006145A6"/>
    <w:rsid w:val="00615D25"/>
    <w:rsid w:val="006203AA"/>
    <w:rsid w:val="00621D98"/>
    <w:rsid w:val="00621E4F"/>
    <w:rsid w:val="0062290E"/>
    <w:rsid w:val="00622A0D"/>
    <w:rsid w:val="006246A7"/>
    <w:rsid w:val="00624A6D"/>
    <w:rsid w:val="00626103"/>
    <w:rsid w:val="00626A0D"/>
    <w:rsid w:val="00630AF9"/>
    <w:rsid w:val="0063170F"/>
    <w:rsid w:val="006328FF"/>
    <w:rsid w:val="00633421"/>
    <w:rsid w:val="0063686A"/>
    <w:rsid w:val="00636A24"/>
    <w:rsid w:val="00641BB5"/>
    <w:rsid w:val="0064250B"/>
    <w:rsid w:val="00642706"/>
    <w:rsid w:val="00650AFD"/>
    <w:rsid w:val="0065196E"/>
    <w:rsid w:val="00651A2A"/>
    <w:rsid w:val="00651FB8"/>
    <w:rsid w:val="00652517"/>
    <w:rsid w:val="00652935"/>
    <w:rsid w:val="00652E56"/>
    <w:rsid w:val="00653ECE"/>
    <w:rsid w:val="00654F84"/>
    <w:rsid w:val="0065617D"/>
    <w:rsid w:val="006564CF"/>
    <w:rsid w:val="006566F6"/>
    <w:rsid w:val="00657A60"/>
    <w:rsid w:val="00657D26"/>
    <w:rsid w:val="006605CA"/>
    <w:rsid w:val="00660C14"/>
    <w:rsid w:val="006627D5"/>
    <w:rsid w:val="00663589"/>
    <w:rsid w:val="00663B73"/>
    <w:rsid w:val="006643A9"/>
    <w:rsid w:val="006645BB"/>
    <w:rsid w:val="00665C10"/>
    <w:rsid w:val="006660DF"/>
    <w:rsid w:val="00667722"/>
    <w:rsid w:val="00672F09"/>
    <w:rsid w:val="00673AC8"/>
    <w:rsid w:val="00674D06"/>
    <w:rsid w:val="006751BE"/>
    <w:rsid w:val="00676B2E"/>
    <w:rsid w:val="00677930"/>
    <w:rsid w:val="00680B4B"/>
    <w:rsid w:val="00680DA3"/>
    <w:rsid w:val="00682EB1"/>
    <w:rsid w:val="00687880"/>
    <w:rsid w:val="00687C90"/>
    <w:rsid w:val="006931C3"/>
    <w:rsid w:val="00693615"/>
    <w:rsid w:val="00693CB4"/>
    <w:rsid w:val="0069508D"/>
    <w:rsid w:val="006951D7"/>
    <w:rsid w:val="00695533"/>
    <w:rsid w:val="006956F6"/>
    <w:rsid w:val="006A1FCD"/>
    <w:rsid w:val="006A4335"/>
    <w:rsid w:val="006A4B81"/>
    <w:rsid w:val="006B04EC"/>
    <w:rsid w:val="006B0A67"/>
    <w:rsid w:val="006B19F6"/>
    <w:rsid w:val="006C1404"/>
    <w:rsid w:val="006C1E31"/>
    <w:rsid w:val="006C25B6"/>
    <w:rsid w:val="006C4A92"/>
    <w:rsid w:val="006C5BCC"/>
    <w:rsid w:val="006C6DB0"/>
    <w:rsid w:val="006C70F5"/>
    <w:rsid w:val="006D1534"/>
    <w:rsid w:val="006D2B6F"/>
    <w:rsid w:val="006D32D1"/>
    <w:rsid w:val="006D5B40"/>
    <w:rsid w:val="006D7616"/>
    <w:rsid w:val="006E0833"/>
    <w:rsid w:val="006E42EA"/>
    <w:rsid w:val="006F0204"/>
    <w:rsid w:val="006F096D"/>
    <w:rsid w:val="006F1452"/>
    <w:rsid w:val="006F296E"/>
    <w:rsid w:val="006F3508"/>
    <w:rsid w:val="006F4401"/>
    <w:rsid w:val="006F6654"/>
    <w:rsid w:val="006F6F6F"/>
    <w:rsid w:val="006F7730"/>
    <w:rsid w:val="006F7B23"/>
    <w:rsid w:val="006F7D3A"/>
    <w:rsid w:val="0070130D"/>
    <w:rsid w:val="00701890"/>
    <w:rsid w:val="00701D76"/>
    <w:rsid w:val="00703C2C"/>
    <w:rsid w:val="00703E74"/>
    <w:rsid w:val="00704801"/>
    <w:rsid w:val="0070561E"/>
    <w:rsid w:val="00705812"/>
    <w:rsid w:val="00705CEE"/>
    <w:rsid w:val="00711130"/>
    <w:rsid w:val="0071222D"/>
    <w:rsid w:val="00713165"/>
    <w:rsid w:val="00713973"/>
    <w:rsid w:val="007145A9"/>
    <w:rsid w:val="007145DE"/>
    <w:rsid w:val="00716EE4"/>
    <w:rsid w:val="00717212"/>
    <w:rsid w:val="0072365F"/>
    <w:rsid w:val="00725169"/>
    <w:rsid w:val="00725948"/>
    <w:rsid w:val="00725B82"/>
    <w:rsid w:val="00726AB1"/>
    <w:rsid w:val="00732D42"/>
    <w:rsid w:val="007347AC"/>
    <w:rsid w:val="007352B2"/>
    <w:rsid w:val="0074007C"/>
    <w:rsid w:val="00740EE2"/>
    <w:rsid w:val="007410F1"/>
    <w:rsid w:val="00741226"/>
    <w:rsid w:val="00741768"/>
    <w:rsid w:val="0074301E"/>
    <w:rsid w:val="00745171"/>
    <w:rsid w:val="007452D0"/>
    <w:rsid w:val="0074581C"/>
    <w:rsid w:val="00745F3E"/>
    <w:rsid w:val="0075074F"/>
    <w:rsid w:val="00752992"/>
    <w:rsid w:val="00754BFA"/>
    <w:rsid w:val="00754D46"/>
    <w:rsid w:val="007576C6"/>
    <w:rsid w:val="00763F0D"/>
    <w:rsid w:val="00766AD4"/>
    <w:rsid w:val="00766E88"/>
    <w:rsid w:val="00767A67"/>
    <w:rsid w:val="00767DDD"/>
    <w:rsid w:val="0077024A"/>
    <w:rsid w:val="00770621"/>
    <w:rsid w:val="007708C1"/>
    <w:rsid w:val="00770E4F"/>
    <w:rsid w:val="00771233"/>
    <w:rsid w:val="00772252"/>
    <w:rsid w:val="007742FA"/>
    <w:rsid w:val="007749B5"/>
    <w:rsid w:val="00774A33"/>
    <w:rsid w:val="00776B96"/>
    <w:rsid w:val="00780B83"/>
    <w:rsid w:val="007826D5"/>
    <w:rsid w:val="00783048"/>
    <w:rsid w:val="00783A61"/>
    <w:rsid w:val="007856CC"/>
    <w:rsid w:val="00786EE8"/>
    <w:rsid w:val="00787EBD"/>
    <w:rsid w:val="007922D5"/>
    <w:rsid w:val="007923FD"/>
    <w:rsid w:val="00793F05"/>
    <w:rsid w:val="007940D5"/>
    <w:rsid w:val="00794207"/>
    <w:rsid w:val="00795FE5"/>
    <w:rsid w:val="007970D6"/>
    <w:rsid w:val="007A15BE"/>
    <w:rsid w:val="007A37BB"/>
    <w:rsid w:val="007A49E7"/>
    <w:rsid w:val="007A4C4B"/>
    <w:rsid w:val="007A6607"/>
    <w:rsid w:val="007A780F"/>
    <w:rsid w:val="007B0B37"/>
    <w:rsid w:val="007B1DE1"/>
    <w:rsid w:val="007B212C"/>
    <w:rsid w:val="007B2295"/>
    <w:rsid w:val="007B3C9C"/>
    <w:rsid w:val="007B5E2F"/>
    <w:rsid w:val="007C01D7"/>
    <w:rsid w:val="007C0299"/>
    <w:rsid w:val="007C0604"/>
    <w:rsid w:val="007C0A90"/>
    <w:rsid w:val="007C1F9D"/>
    <w:rsid w:val="007C28E8"/>
    <w:rsid w:val="007C32F7"/>
    <w:rsid w:val="007C4305"/>
    <w:rsid w:val="007C4AEB"/>
    <w:rsid w:val="007C504D"/>
    <w:rsid w:val="007C6046"/>
    <w:rsid w:val="007C6CA1"/>
    <w:rsid w:val="007D19B8"/>
    <w:rsid w:val="007D396C"/>
    <w:rsid w:val="007D6AEC"/>
    <w:rsid w:val="007E397C"/>
    <w:rsid w:val="007E5C19"/>
    <w:rsid w:val="007E5C36"/>
    <w:rsid w:val="007E6442"/>
    <w:rsid w:val="007E71FB"/>
    <w:rsid w:val="007E72DD"/>
    <w:rsid w:val="007F1BA8"/>
    <w:rsid w:val="007F24EE"/>
    <w:rsid w:val="007F34A8"/>
    <w:rsid w:val="007F769F"/>
    <w:rsid w:val="00800C3F"/>
    <w:rsid w:val="00801BA0"/>
    <w:rsid w:val="00801F5C"/>
    <w:rsid w:val="00803C70"/>
    <w:rsid w:val="00805D53"/>
    <w:rsid w:val="00805DF3"/>
    <w:rsid w:val="00805FC3"/>
    <w:rsid w:val="0080717D"/>
    <w:rsid w:val="00807CE3"/>
    <w:rsid w:val="00810449"/>
    <w:rsid w:val="008109A2"/>
    <w:rsid w:val="00811A4D"/>
    <w:rsid w:val="00811EA7"/>
    <w:rsid w:val="00815FB1"/>
    <w:rsid w:val="00817C22"/>
    <w:rsid w:val="00820B50"/>
    <w:rsid w:val="008219F8"/>
    <w:rsid w:val="00822929"/>
    <w:rsid w:val="00823912"/>
    <w:rsid w:val="00823B92"/>
    <w:rsid w:val="0082532C"/>
    <w:rsid w:val="008262E8"/>
    <w:rsid w:val="0082668C"/>
    <w:rsid w:val="00830A30"/>
    <w:rsid w:val="00831AC0"/>
    <w:rsid w:val="00831B05"/>
    <w:rsid w:val="00833F9F"/>
    <w:rsid w:val="008343F7"/>
    <w:rsid w:val="008354F7"/>
    <w:rsid w:val="008358F5"/>
    <w:rsid w:val="008421E0"/>
    <w:rsid w:val="00842ACB"/>
    <w:rsid w:val="00843183"/>
    <w:rsid w:val="00845C9E"/>
    <w:rsid w:val="008527A3"/>
    <w:rsid w:val="0085553D"/>
    <w:rsid w:val="00855987"/>
    <w:rsid w:val="00856F89"/>
    <w:rsid w:val="008571CD"/>
    <w:rsid w:val="008572CB"/>
    <w:rsid w:val="00861C90"/>
    <w:rsid w:val="00862398"/>
    <w:rsid w:val="008632AC"/>
    <w:rsid w:val="0087029B"/>
    <w:rsid w:val="008708E7"/>
    <w:rsid w:val="00870E11"/>
    <w:rsid w:val="008717C0"/>
    <w:rsid w:val="008769D2"/>
    <w:rsid w:val="00880173"/>
    <w:rsid w:val="0088170A"/>
    <w:rsid w:val="008827A6"/>
    <w:rsid w:val="00883C11"/>
    <w:rsid w:val="008842E6"/>
    <w:rsid w:val="0088456E"/>
    <w:rsid w:val="00885E9F"/>
    <w:rsid w:val="00886146"/>
    <w:rsid w:val="008863E1"/>
    <w:rsid w:val="00886795"/>
    <w:rsid w:val="00887EB0"/>
    <w:rsid w:val="00890B5B"/>
    <w:rsid w:val="008937FC"/>
    <w:rsid w:val="00893F57"/>
    <w:rsid w:val="008940AF"/>
    <w:rsid w:val="00894431"/>
    <w:rsid w:val="00895459"/>
    <w:rsid w:val="00895E28"/>
    <w:rsid w:val="0089617F"/>
    <w:rsid w:val="00897135"/>
    <w:rsid w:val="008A393D"/>
    <w:rsid w:val="008A4DF5"/>
    <w:rsid w:val="008A6205"/>
    <w:rsid w:val="008A7CC6"/>
    <w:rsid w:val="008B1616"/>
    <w:rsid w:val="008B1793"/>
    <w:rsid w:val="008B34A6"/>
    <w:rsid w:val="008B52D1"/>
    <w:rsid w:val="008B645F"/>
    <w:rsid w:val="008B6DC9"/>
    <w:rsid w:val="008C0A10"/>
    <w:rsid w:val="008C3F16"/>
    <w:rsid w:val="008C3F42"/>
    <w:rsid w:val="008C53E1"/>
    <w:rsid w:val="008C5612"/>
    <w:rsid w:val="008C594B"/>
    <w:rsid w:val="008D0766"/>
    <w:rsid w:val="008D12F4"/>
    <w:rsid w:val="008D286D"/>
    <w:rsid w:val="008D4AB2"/>
    <w:rsid w:val="008E0FD8"/>
    <w:rsid w:val="008E2F42"/>
    <w:rsid w:val="008E36BB"/>
    <w:rsid w:val="008E4598"/>
    <w:rsid w:val="008E5E48"/>
    <w:rsid w:val="008E7F76"/>
    <w:rsid w:val="008F0470"/>
    <w:rsid w:val="008F07F0"/>
    <w:rsid w:val="008F0AD3"/>
    <w:rsid w:val="008F0D49"/>
    <w:rsid w:val="008F3308"/>
    <w:rsid w:val="008F4153"/>
    <w:rsid w:val="008F417D"/>
    <w:rsid w:val="008F4A3C"/>
    <w:rsid w:val="008F543E"/>
    <w:rsid w:val="008F588B"/>
    <w:rsid w:val="008F6BB1"/>
    <w:rsid w:val="00902444"/>
    <w:rsid w:val="0090260C"/>
    <w:rsid w:val="00902878"/>
    <w:rsid w:val="00904041"/>
    <w:rsid w:val="00905608"/>
    <w:rsid w:val="00907F19"/>
    <w:rsid w:val="00910215"/>
    <w:rsid w:val="00910908"/>
    <w:rsid w:val="009115DA"/>
    <w:rsid w:val="00914B0C"/>
    <w:rsid w:val="009153D5"/>
    <w:rsid w:val="009173A1"/>
    <w:rsid w:val="0092053D"/>
    <w:rsid w:val="009214D1"/>
    <w:rsid w:val="00922110"/>
    <w:rsid w:val="00922E9E"/>
    <w:rsid w:val="00925368"/>
    <w:rsid w:val="00925A86"/>
    <w:rsid w:val="00927AE0"/>
    <w:rsid w:val="00927C40"/>
    <w:rsid w:val="00927E5D"/>
    <w:rsid w:val="00932306"/>
    <w:rsid w:val="00935B59"/>
    <w:rsid w:val="00935D10"/>
    <w:rsid w:val="009361EC"/>
    <w:rsid w:val="00937EE5"/>
    <w:rsid w:val="009426DB"/>
    <w:rsid w:val="0094314C"/>
    <w:rsid w:val="00945FD8"/>
    <w:rsid w:val="0094603F"/>
    <w:rsid w:val="00946901"/>
    <w:rsid w:val="00946BF5"/>
    <w:rsid w:val="009523FD"/>
    <w:rsid w:val="009532D2"/>
    <w:rsid w:val="00953E6B"/>
    <w:rsid w:val="00953F6D"/>
    <w:rsid w:val="00955BA5"/>
    <w:rsid w:val="00955E56"/>
    <w:rsid w:val="009562F0"/>
    <w:rsid w:val="00956A8A"/>
    <w:rsid w:val="00957320"/>
    <w:rsid w:val="00960224"/>
    <w:rsid w:val="009607E5"/>
    <w:rsid w:val="009631DE"/>
    <w:rsid w:val="009633AF"/>
    <w:rsid w:val="00963AAA"/>
    <w:rsid w:val="009659F8"/>
    <w:rsid w:val="00966B05"/>
    <w:rsid w:val="00967255"/>
    <w:rsid w:val="009675D6"/>
    <w:rsid w:val="00967A3A"/>
    <w:rsid w:val="009717FC"/>
    <w:rsid w:val="00971F4C"/>
    <w:rsid w:val="009725B8"/>
    <w:rsid w:val="00972C04"/>
    <w:rsid w:val="009750C1"/>
    <w:rsid w:val="00976258"/>
    <w:rsid w:val="00977822"/>
    <w:rsid w:val="00977944"/>
    <w:rsid w:val="00980B25"/>
    <w:rsid w:val="00981256"/>
    <w:rsid w:val="00981B6E"/>
    <w:rsid w:val="00983479"/>
    <w:rsid w:val="00984D12"/>
    <w:rsid w:val="00985727"/>
    <w:rsid w:val="009864CB"/>
    <w:rsid w:val="009874F9"/>
    <w:rsid w:val="009908D6"/>
    <w:rsid w:val="00990C83"/>
    <w:rsid w:val="009914BD"/>
    <w:rsid w:val="0099340D"/>
    <w:rsid w:val="00993BC7"/>
    <w:rsid w:val="009A13E7"/>
    <w:rsid w:val="009A53B9"/>
    <w:rsid w:val="009A5828"/>
    <w:rsid w:val="009A590C"/>
    <w:rsid w:val="009A5BF8"/>
    <w:rsid w:val="009A751B"/>
    <w:rsid w:val="009B1053"/>
    <w:rsid w:val="009B129A"/>
    <w:rsid w:val="009B4D48"/>
    <w:rsid w:val="009B5585"/>
    <w:rsid w:val="009B6222"/>
    <w:rsid w:val="009B630B"/>
    <w:rsid w:val="009B65B4"/>
    <w:rsid w:val="009C0678"/>
    <w:rsid w:val="009C0915"/>
    <w:rsid w:val="009C15BE"/>
    <w:rsid w:val="009C1C6C"/>
    <w:rsid w:val="009C21DE"/>
    <w:rsid w:val="009C2C09"/>
    <w:rsid w:val="009C2E93"/>
    <w:rsid w:val="009C50E0"/>
    <w:rsid w:val="009C5447"/>
    <w:rsid w:val="009C7107"/>
    <w:rsid w:val="009D0196"/>
    <w:rsid w:val="009D1FD8"/>
    <w:rsid w:val="009D4E89"/>
    <w:rsid w:val="009D52D1"/>
    <w:rsid w:val="009D7522"/>
    <w:rsid w:val="009D7B1C"/>
    <w:rsid w:val="009E4C8A"/>
    <w:rsid w:val="009E5C2C"/>
    <w:rsid w:val="009E7227"/>
    <w:rsid w:val="009E7948"/>
    <w:rsid w:val="009F1E2B"/>
    <w:rsid w:val="009F2A1B"/>
    <w:rsid w:val="009F2B85"/>
    <w:rsid w:val="009F3049"/>
    <w:rsid w:val="009F3D16"/>
    <w:rsid w:val="009F588C"/>
    <w:rsid w:val="009F6488"/>
    <w:rsid w:val="009F64B9"/>
    <w:rsid w:val="009F7AA1"/>
    <w:rsid w:val="00A0027C"/>
    <w:rsid w:val="00A026F0"/>
    <w:rsid w:val="00A02DA0"/>
    <w:rsid w:val="00A02F6D"/>
    <w:rsid w:val="00A071C0"/>
    <w:rsid w:val="00A1230E"/>
    <w:rsid w:val="00A125C0"/>
    <w:rsid w:val="00A1317C"/>
    <w:rsid w:val="00A1486F"/>
    <w:rsid w:val="00A16084"/>
    <w:rsid w:val="00A2110D"/>
    <w:rsid w:val="00A23A01"/>
    <w:rsid w:val="00A24C66"/>
    <w:rsid w:val="00A25CDD"/>
    <w:rsid w:val="00A2724C"/>
    <w:rsid w:val="00A27EAB"/>
    <w:rsid w:val="00A316DA"/>
    <w:rsid w:val="00A321FB"/>
    <w:rsid w:val="00A32BF0"/>
    <w:rsid w:val="00A332E1"/>
    <w:rsid w:val="00A35D21"/>
    <w:rsid w:val="00A375C1"/>
    <w:rsid w:val="00A37677"/>
    <w:rsid w:val="00A37D24"/>
    <w:rsid w:val="00A40014"/>
    <w:rsid w:val="00A40CB1"/>
    <w:rsid w:val="00A41333"/>
    <w:rsid w:val="00A42E55"/>
    <w:rsid w:val="00A45C3A"/>
    <w:rsid w:val="00A4677E"/>
    <w:rsid w:val="00A4795F"/>
    <w:rsid w:val="00A47F15"/>
    <w:rsid w:val="00A54464"/>
    <w:rsid w:val="00A56AFF"/>
    <w:rsid w:val="00A6093F"/>
    <w:rsid w:val="00A61EA2"/>
    <w:rsid w:val="00A62BE8"/>
    <w:rsid w:val="00A62F5F"/>
    <w:rsid w:val="00A64DD9"/>
    <w:rsid w:val="00A67592"/>
    <w:rsid w:val="00A70550"/>
    <w:rsid w:val="00A7303E"/>
    <w:rsid w:val="00A73333"/>
    <w:rsid w:val="00A73DB8"/>
    <w:rsid w:val="00A7421D"/>
    <w:rsid w:val="00A74722"/>
    <w:rsid w:val="00A74A2F"/>
    <w:rsid w:val="00A771F9"/>
    <w:rsid w:val="00A82A1E"/>
    <w:rsid w:val="00A833A8"/>
    <w:rsid w:val="00A84EB2"/>
    <w:rsid w:val="00A86C82"/>
    <w:rsid w:val="00A91454"/>
    <w:rsid w:val="00A94B74"/>
    <w:rsid w:val="00A952D4"/>
    <w:rsid w:val="00A96AB9"/>
    <w:rsid w:val="00A97A1F"/>
    <w:rsid w:val="00A97BF2"/>
    <w:rsid w:val="00AA1226"/>
    <w:rsid w:val="00AA232A"/>
    <w:rsid w:val="00AA2B41"/>
    <w:rsid w:val="00AA34CC"/>
    <w:rsid w:val="00AA3B30"/>
    <w:rsid w:val="00AA3E2B"/>
    <w:rsid w:val="00AA50D4"/>
    <w:rsid w:val="00AA5262"/>
    <w:rsid w:val="00AA5C6A"/>
    <w:rsid w:val="00AB0D7D"/>
    <w:rsid w:val="00AB10B3"/>
    <w:rsid w:val="00AB22F3"/>
    <w:rsid w:val="00AB2C4F"/>
    <w:rsid w:val="00AB3890"/>
    <w:rsid w:val="00AB49A2"/>
    <w:rsid w:val="00AB6907"/>
    <w:rsid w:val="00AB7D38"/>
    <w:rsid w:val="00AC06D6"/>
    <w:rsid w:val="00AC3505"/>
    <w:rsid w:val="00AC3E7C"/>
    <w:rsid w:val="00AC49D3"/>
    <w:rsid w:val="00AC5080"/>
    <w:rsid w:val="00AC542B"/>
    <w:rsid w:val="00AC78E3"/>
    <w:rsid w:val="00AC7D43"/>
    <w:rsid w:val="00AC7D59"/>
    <w:rsid w:val="00AD0E2F"/>
    <w:rsid w:val="00AD1F5A"/>
    <w:rsid w:val="00AD31C5"/>
    <w:rsid w:val="00AD6249"/>
    <w:rsid w:val="00AD7FBB"/>
    <w:rsid w:val="00AE1C1B"/>
    <w:rsid w:val="00AE2D32"/>
    <w:rsid w:val="00AE77E6"/>
    <w:rsid w:val="00AE79B7"/>
    <w:rsid w:val="00AE7AD4"/>
    <w:rsid w:val="00AE7FA6"/>
    <w:rsid w:val="00AF1E19"/>
    <w:rsid w:val="00AF2BA2"/>
    <w:rsid w:val="00AF2D13"/>
    <w:rsid w:val="00AF3BDC"/>
    <w:rsid w:val="00AF4888"/>
    <w:rsid w:val="00AF657E"/>
    <w:rsid w:val="00AF70ED"/>
    <w:rsid w:val="00B01B6F"/>
    <w:rsid w:val="00B03AFB"/>
    <w:rsid w:val="00B04037"/>
    <w:rsid w:val="00B06A0E"/>
    <w:rsid w:val="00B074D7"/>
    <w:rsid w:val="00B10E7A"/>
    <w:rsid w:val="00B11CBF"/>
    <w:rsid w:val="00B11E3E"/>
    <w:rsid w:val="00B14B7F"/>
    <w:rsid w:val="00B15ACE"/>
    <w:rsid w:val="00B17CED"/>
    <w:rsid w:val="00B20F21"/>
    <w:rsid w:val="00B2517F"/>
    <w:rsid w:val="00B26B9C"/>
    <w:rsid w:val="00B273FE"/>
    <w:rsid w:val="00B3052D"/>
    <w:rsid w:val="00B30665"/>
    <w:rsid w:val="00B308C9"/>
    <w:rsid w:val="00B30C84"/>
    <w:rsid w:val="00B32D8A"/>
    <w:rsid w:val="00B3336F"/>
    <w:rsid w:val="00B34017"/>
    <w:rsid w:val="00B34456"/>
    <w:rsid w:val="00B34571"/>
    <w:rsid w:val="00B365BD"/>
    <w:rsid w:val="00B369DC"/>
    <w:rsid w:val="00B40087"/>
    <w:rsid w:val="00B4028B"/>
    <w:rsid w:val="00B41B2E"/>
    <w:rsid w:val="00B4263F"/>
    <w:rsid w:val="00B428A4"/>
    <w:rsid w:val="00B4442F"/>
    <w:rsid w:val="00B476EF"/>
    <w:rsid w:val="00B51246"/>
    <w:rsid w:val="00B52D17"/>
    <w:rsid w:val="00B563B2"/>
    <w:rsid w:val="00B569D9"/>
    <w:rsid w:val="00B5710E"/>
    <w:rsid w:val="00B57BDF"/>
    <w:rsid w:val="00B6141B"/>
    <w:rsid w:val="00B614D5"/>
    <w:rsid w:val="00B62D11"/>
    <w:rsid w:val="00B63832"/>
    <w:rsid w:val="00B642D5"/>
    <w:rsid w:val="00B665CE"/>
    <w:rsid w:val="00B6731D"/>
    <w:rsid w:val="00B702B0"/>
    <w:rsid w:val="00B728A0"/>
    <w:rsid w:val="00B73943"/>
    <w:rsid w:val="00B75E5B"/>
    <w:rsid w:val="00B760AA"/>
    <w:rsid w:val="00B76146"/>
    <w:rsid w:val="00B812C2"/>
    <w:rsid w:val="00B82290"/>
    <w:rsid w:val="00B82837"/>
    <w:rsid w:val="00B835E1"/>
    <w:rsid w:val="00B841F8"/>
    <w:rsid w:val="00B87A02"/>
    <w:rsid w:val="00B9075B"/>
    <w:rsid w:val="00B9085F"/>
    <w:rsid w:val="00B93134"/>
    <w:rsid w:val="00B964FE"/>
    <w:rsid w:val="00BA0304"/>
    <w:rsid w:val="00BA3DF0"/>
    <w:rsid w:val="00BA4992"/>
    <w:rsid w:val="00BA4F58"/>
    <w:rsid w:val="00BA73FF"/>
    <w:rsid w:val="00BA7A68"/>
    <w:rsid w:val="00BB06AB"/>
    <w:rsid w:val="00BB1202"/>
    <w:rsid w:val="00BB3D55"/>
    <w:rsid w:val="00BB403C"/>
    <w:rsid w:val="00BB4140"/>
    <w:rsid w:val="00BB4701"/>
    <w:rsid w:val="00BB564D"/>
    <w:rsid w:val="00BB75B7"/>
    <w:rsid w:val="00BC0183"/>
    <w:rsid w:val="00BC157F"/>
    <w:rsid w:val="00BC21EC"/>
    <w:rsid w:val="00BC55C8"/>
    <w:rsid w:val="00BC55F7"/>
    <w:rsid w:val="00BC56A6"/>
    <w:rsid w:val="00BC5B73"/>
    <w:rsid w:val="00BC6FB5"/>
    <w:rsid w:val="00BD051D"/>
    <w:rsid w:val="00BD14D4"/>
    <w:rsid w:val="00BD2379"/>
    <w:rsid w:val="00BD2635"/>
    <w:rsid w:val="00BD314C"/>
    <w:rsid w:val="00BD4225"/>
    <w:rsid w:val="00BD4345"/>
    <w:rsid w:val="00BD4483"/>
    <w:rsid w:val="00BD4AA2"/>
    <w:rsid w:val="00BD4E66"/>
    <w:rsid w:val="00BD53CC"/>
    <w:rsid w:val="00BD6233"/>
    <w:rsid w:val="00BD70D1"/>
    <w:rsid w:val="00BD79AE"/>
    <w:rsid w:val="00BE1995"/>
    <w:rsid w:val="00BE1B35"/>
    <w:rsid w:val="00BE2D5E"/>
    <w:rsid w:val="00BE3D6A"/>
    <w:rsid w:val="00BE5B5B"/>
    <w:rsid w:val="00BE6D39"/>
    <w:rsid w:val="00BE6F2A"/>
    <w:rsid w:val="00BE7979"/>
    <w:rsid w:val="00BF2CBD"/>
    <w:rsid w:val="00BF2EA9"/>
    <w:rsid w:val="00BF3371"/>
    <w:rsid w:val="00BF3A57"/>
    <w:rsid w:val="00BF7403"/>
    <w:rsid w:val="00C0044D"/>
    <w:rsid w:val="00C00CCC"/>
    <w:rsid w:val="00C02CE1"/>
    <w:rsid w:val="00C04E83"/>
    <w:rsid w:val="00C0528E"/>
    <w:rsid w:val="00C05AD1"/>
    <w:rsid w:val="00C05DBC"/>
    <w:rsid w:val="00C060F5"/>
    <w:rsid w:val="00C06216"/>
    <w:rsid w:val="00C1377A"/>
    <w:rsid w:val="00C13B20"/>
    <w:rsid w:val="00C15122"/>
    <w:rsid w:val="00C167EE"/>
    <w:rsid w:val="00C178E5"/>
    <w:rsid w:val="00C21AFB"/>
    <w:rsid w:val="00C23265"/>
    <w:rsid w:val="00C2392D"/>
    <w:rsid w:val="00C24CB3"/>
    <w:rsid w:val="00C24EC3"/>
    <w:rsid w:val="00C258C4"/>
    <w:rsid w:val="00C25F04"/>
    <w:rsid w:val="00C260B7"/>
    <w:rsid w:val="00C322ED"/>
    <w:rsid w:val="00C325AC"/>
    <w:rsid w:val="00C33478"/>
    <w:rsid w:val="00C34460"/>
    <w:rsid w:val="00C356EE"/>
    <w:rsid w:val="00C35784"/>
    <w:rsid w:val="00C35F28"/>
    <w:rsid w:val="00C36BED"/>
    <w:rsid w:val="00C37E33"/>
    <w:rsid w:val="00C41995"/>
    <w:rsid w:val="00C41F91"/>
    <w:rsid w:val="00C46518"/>
    <w:rsid w:val="00C478CE"/>
    <w:rsid w:val="00C522DF"/>
    <w:rsid w:val="00C53C20"/>
    <w:rsid w:val="00C54308"/>
    <w:rsid w:val="00C54AEE"/>
    <w:rsid w:val="00C557EC"/>
    <w:rsid w:val="00C57C3C"/>
    <w:rsid w:val="00C61250"/>
    <w:rsid w:val="00C61583"/>
    <w:rsid w:val="00C62431"/>
    <w:rsid w:val="00C63C30"/>
    <w:rsid w:val="00C65B62"/>
    <w:rsid w:val="00C70344"/>
    <w:rsid w:val="00C70643"/>
    <w:rsid w:val="00C7679B"/>
    <w:rsid w:val="00C778B3"/>
    <w:rsid w:val="00C8114B"/>
    <w:rsid w:val="00C81ABB"/>
    <w:rsid w:val="00C852BE"/>
    <w:rsid w:val="00C86CB1"/>
    <w:rsid w:val="00C91856"/>
    <w:rsid w:val="00CA1109"/>
    <w:rsid w:val="00CA4379"/>
    <w:rsid w:val="00CA455D"/>
    <w:rsid w:val="00CA46B8"/>
    <w:rsid w:val="00CA6311"/>
    <w:rsid w:val="00CA632A"/>
    <w:rsid w:val="00CB1294"/>
    <w:rsid w:val="00CB46B9"/>
    <w:rsid w:val="00CB5CA1"/>
    <w:rsid w:val="00CC08A6"/>
    <w:rsid w:val="00CC1A88"/>
    <w:rsid w:val="00CC248F"/>
    <w:rsid w:val="00CC315C"/>
    <w:rsid w:val="00CC3BE6"/>
    <w:rsid w:val="00CC3EBC"/>
    <w:rsid w:val="00CC40F4"/>
    <w:rsid w:val="00CC4D47"/>
    <w:rsid w:val="00CC6B0C"/>
    <w:rsid w:val="00CC7422"/>
    <w:rsid w:val="00CD0310"/>
    <w:rsid w:val="00CD0E59"/>
    <w:rsid w:val="00CD1DC9"/>
    <w:rsid w:val="00CD2CF6"/>
    <w:rsid w:val="00CD4662"/>
    <w:rsid w:val="00CD5998"/>
    <w:rsid w:val="00CE14C1"/>
    <w:rsid w:val="00CE1E2C"/>
    <w:rsid w:val="00CF349B"/>
    <w:rsid w:val="00CF5B20"/>
    <w:rsid w:val="00CF6AD7"/>
    <w:rsid w:val="00D013F6"/>
    <w:rsid w:val="00D019EE"/>
    <w:rsid w:val="00D01C2F"/>
    <w:rsid w:val="00D0327E"/>
    <w:rsid w:val="00D05CEB"/>
    <w:rsid w:val="00D05F96"/>
    <w:rsid w:val="00D06BB5"/>
    <w:rsid w:val="00D07502"/>
    <w:rsid w:val="00D075C6"/>
    <w:rsid w:val="00D106E8"/>
    <w:rsid w:val="00D120C4"/>
    <w:rsid w:val="00D12C08"/>
    <w:rsid w:val="00D13454"/>
    <w:rsid w:val="00D15023"/>
    <w:rsid w:val="00D178AF"/>
    <w:rsid w:val="00D20621"/>
    <w:rsid w:val="00D208D1"/>
    <w:rsid w:val="00D20F37"/>
    <w:rsid w:val="00D2165F"/>
    <w:rsid w:val="00D22429"/>
    <w:rsid w:val="00D23CD8"/>
    <w:rsid w:val="00D24003"/>
    <w:rsid w:val="00D24208"/>
    <w:rsid w:val="00D25042"/>
    <w:rsid w:val="00D277B7"/>
    <w:rsid w:val="00D348E6"/>
    <w:rsid w:val="00D352E7"/>
    <w:rsid w:val="00D363F3"/>
    <w:rsid w:val="00D4038E"/>
    <w:rsid w:val="00D42619"/>
    <w:rsid w:val="00D44C91"/>
    <w:rsid w:val="00D4641D"/>
    <w:rsid w:val="00D47584"/>
    <w:rsid w:val="00D501B5"/>
    <w:rsid w:val="00D547F7"/>
    <w:rsid w:val="00D57AE7"/>
    <w:rsid w:val="00D64792"/>
    <w:rsid w:val="00D64CD1"/>
    <w:rsid w:val="00D64D31"/>
    <w:rsid w:val="00D6591E"/>
    <w:rsid w:val="00D65F4C"/>
    <w:rsid w:val="00D660DE"/>
    <w:rsid w:val="00D67805"/>
    <w:rsid w:val="00D67A5E"/>
    <w:rsid w:val="00D72DDF"/>
    <w:rsid w:val="00D734A0"/>
    <w:rsid w:val="00D739BE"/>
    <w:rsid w:val="00D74CDD"/>
    <w:rsid w:val="00D77222"/>
    <w:rsid w:val="00D8155D"/>
    <w:rsid w:val="00D81A10"/>
    <w:rsid w:val="00D81E99"/>
    <w:rsid w:val="00D87130"/>
    <w:rsid w:val="00D87668"/>
    <w:rsid w:val="00D90BFB"/>
    <w:rsid w:val="00D90F21"/>
    <w:rsid w:val="00D92142"/>
    <w:rsid w:val="00D938D4"/>
    <w:rsid w:val="00D94174"/>
    <w:rsid w:val="00D97374"/>
    <w:rsid w:val="00D97FB8"/>
    <w:rsid w:val="00DA1E68"/>
    <w:rsid w:val="00DA3614"/>
    <w:rsid w:val="00DA3A3E"/>
    <w:rsid w:val="00DA41A0"/>
    <w:rsid w:val="00DA4544"/>
    <w:rsid w:val="00DA522F"/>
    <w:rsid w:val="00DA5406"/>
    <w:rsid w:val="00DA5EB6"/>
    <w:rsid w:val="00DA5ED4"/>
    <w:rsid w:val="00DA66E0"/>
    <w:rsid w:val="00DA69DB"/>
    <w:rsid w:val="00DA6F40"/>
    <w:rsid w:val="00DB0167"/>
    <w:rsid w:val="00DB2B68"/>
    <w:rsid w:val="00DB2C8C"/>
    <w:rsid w:val="00DB4FC9"/>
    <w:rsid w:val="00DB591E"/>
    <w:rsid w:val="00DB7FD2"/>
    <w:rsid w:val="00DC0B4D"/>
    <w:rsid w:val="00DC1F46"/>
    <w:rsid w:val="00DC35CA"/>
    <w:rsid w:val="00DC3616"/>
    <w:rsid w:val="00DC3754"/>
    <w:rsid w:val="00DC4295"/>
    <w:rsid w:val="00DC448F"/>
    <w:rsid w:val="00DC5D3F"/>
    <w:rsid w:val="00DC612D"/>
    <w:rsid w:val="00DC6E23"/>
    <w:rsid w:val="00DC7204"/>
    <w:rsid w:val="00DD07D9"/>
    <w:rsid w:val="00DD1CF4"/>
    <w:rsid w:val="00DD2ACC"/>
    <w:rsid w:val="00DD4C27"/>
    <w:rsid w:val="00DD4D24"/>
    <w:rsid w:val="00DD534A"/>
    <w:rsid w:val="00DD5E3C"/>
    <w:rsid w:val="00DD6160"/>
    <w:rsid w:val="00DD6A3B"/>
    <w:rsid w:val="00DD7982"/>
    <w:rsid w:val="00DE03CE"/>
    <w:rsid w:val="00DE2A57"/>
    <w:rsid w:val="00DE3DE8"/>
    <w:rsid w:val="00DE70C9"/>
    <w:rsid w:val="00DF1213"/>
    <w:rsid w:val="00DF1A93"/>
    <w:rsid w:val="00DF22A6"/>
    <w:rsid w:val="00DF5470"/>
    <w:rsid w:val="00DF6442"/>
    <w:rsid w:val="00E01D63"/>
    <w:rsid w:val="00E01E2A"/>
    <w:rsid w:val="00E02F58"/>
    <w:rsid w:val="00E044AD"/>
    <w:rsid w:val="00E10F56"/>
    <w:rsid w:val="00E11670"/>
    <w:rsid w:val="00E11B41"/>
    <w:rsid w:val="00E12045"/>
    <w:rsid w:val="00E148DA"/>
    <w:rsid w:val="00E15F46"/>
    <w:rsid w:val="00E178C6"/>
    <w:rsid w:val="00E237A4"/>
    <w:rsid w:val="00E2441B"/>
    <w:rsid w:val="00E25A4D"/>
    <w:rsid w:val="00E266D6"/>
    <w:rsid w:val="00E26E60"/>
    <w:rsid w:val="00E30E6B"/>
    <w:rsid w:val="00E318DE"/>
    <w:rsid w:val="00E33411"/>
    <w:rsid w:val="00E3428B"/>
    <w:rsid w:val="00E407B4"/>
    <w:rsid w:val="00E408B8"/>
    <w:rsid w:val="00E429CE"/>
    <w:rsid w:val="00E4489A"/>
    <w:rsid w:val="00E453D9"/>
    <w:rsid w:val="00E4608F"/>
    <w:rsid w:val="00E46FE9"/>
    <w:rsid w:val="00E471E6"/>
    <w:rsid w:val="00E50550"/>
    <w:rsid w:val="00E527C9"/>
    <w:rsid w:val="00E559B7"/>
    <w:rsid w:val="00E56534"/>
    <w:rsid w:val="00E61226"/>
    <w:rsid w:val="00E6201C"/>
    <w:rsid w:val="00E62197"/>
    <w:rsid w:val="00E6289C"/>
    <w:rsid w:val="00E653A9"/>
    <w:rsid w:val="00E654DC"/>
    <w:rsid w:val="00E666BF"/>
    <w:rsid w:val="00E71D13"/>
    <w:rsid w:val="00E71FC1"/>
    <w:rsid w:val="00E729F5"/>
    <w:rsid w:val="00E745E4"/>
    <w:rsid w:val="00E74C87"/>
    <w:rsid w:val="00E7534F"/>
    <w:rsid w:val="00E75528"/>
    <w:rsid w:val="00E77F9F"/>
    <w:rsid w:val="00E80736"/>
    <w:rsid w:val="00E80AAF"/>
    <w:rsid w:val="00E81FE4"/>
    <w:rsid w:val="00E82849"/>
    <w:rsid w:val="00E846E1"/>
    <w:rsid w:val="00E8514A"/>
    <w:rsid w:val="00E851D4"/>
    <w:rsid w:val="00E8637A"/>
    <w:rsid w:val="00E8640B"/>
    <w:rsid w:val="00E866C0"/>
    <w:rsid w:val="00E8777E"/>
    <w:rsid w:val="00E878FE"/>
    <w:rsid w:val="00E9205F"/>
    <w:rsid w:val="00E925E2"/>
    <w:rsid w:val="00E94DA6"/>
    <w:rsid w:val="00E958A7"/>
    <w:rsid w:val="00E95E80"/>
    <w:rsid w:val="00EA1A03"/>
    <w:rsid w:val="00EA3A50"/>
    <w:rsid w:val="00EA5F90"/>
    <w:rsid w:val="00EA7928"/>
    <w:rsid w:val="00EB5E4F"/>
    <w:rsid w:val="00EB6998"/>
    <w:rsid w:val="00EB6A3C"/>
    <w:rsid w:val="00EC213A"/>
    <w:rsid w:val="00EC3B0E"/>
    <w:rsid w:val="00EC41DD"/>
    <w:rsid w:val="00EC5C3A"/>
    <w:rsid w:val="00EC73E2"/>
    <w:rsid w:val="00ED01DF"/>
    <w:rsid w:val="00ED0F8F"/>
    <w:rsid w:val="00ED1D84"/>
    <w:rsid w:val="00ED3E23"/>
    <w:rsid w:val="00ED515C"/>
    <w:rsid w:val="00ED5E8F"/>
    <w:rsid w:val="00ED7EDE"/>
    <w:rsid w:val="00EE04A0"/>
    <w:rsid w:val="00EE0856"/>
    <w:rsid w:val="00EE11EB"/>
    <w:rsid w:val="00EE1CAC"/>
    <w:rsid w:val="00EE1D4E"/>
    <w:rsid w:val="00EE2380"/>
    <w:rsid w:val="00EE48CF"/>
    <w:rsid w:val="00EE5502"/>
    <w:rsid w:val="00EE5FF0"/>
    <w:rsid w:val="00EE6864"/>
    <w:rsid w:val="00EE6BD3"/>
    <w:rsid w:val="00EE7C6E"/>
    <w:rsid w:val="00EF0A6F"/>
    <w:rsid w:val="00EF0DCF"/>
    <w:rsid w:val="00EF3179"/>
    <w:rsid w:val="00EF6C21"/>
    <w:rsid w:val="00F009FC"/>
    <w:rsid w:val="00F0214E"/>
    <w:rsid w:val="00F0352E"/>
    <w:rsid w:val="00F040FF"/>
    <w:rsid w:val="00F057B0"/>
    <w:rsid w:val="00F076A2"/>
    <w:rsid w:val="00F07E0F"/>
    <w:rsid w:val="00F07E62"/>
    <w:rsid w:val="00F10BF0"/>
    <w:rsid w:val="00F11A54"/>
    <w:rsid w:val="00F12723"/>
    <w:rsid w:val="00F130DB"/>
    <w:rsid w:val="00F1389D"/>
    <w:rsid w:val="00F146A1"/>
    <w:rsid w:val="00F14942"/>
    <w:rsid w:val="00F149DC"/>
    <w:rsid w:val="00F14B6B"/>
    <w:rsid w:val="00F1531F"/>
    <w:rsid w:val="00F156A1"/>
    <w:rsid w:val="00F15A6C"/>
    <w:rsid w:val="00F1688C"/>
    <w:rsid w:val="00F20AF0"/>
    <w:rsid w:val="00F227AD"/>
    <w:rsid w:val="00F22952"/>
    <w:rsid w:val="00F22CF7"/>
    <w:rsid w:val="00F23BC2"/>
    <w:rsid w:val="00F24C96"/>
    <w:rsid w:val="00F2505B"/>
    <w:rsid w:val="00F27C91"/>
    <w:rsid w:val="00F31371"/>
    <w:rsid w:val="00F32D01"/>
    <w:rsid w:val="00F33827"/>
    <w:rsid w:val="00F35544"/>
    <w:rsid w:val="00F35DEF"/>
    <w:rsid w:val="00F40707"/>
    <w:rsid w:val="00F4072F"/>
    <w:rsid w:val="00F41E82"/>
    <w:rsid w:val="00F4215A"/>
    <w:rsid w:val="00F44E86"/>
    <w:rsid w:val="00F4629B"/>
    <w:rsid w:val="00F46A99"/>
    <w:rsid w:val="00F46EE9"/>
    <w:rsid w:val="00F4729F"/>
    <w:rsid w:val="00F501FD"/>
    <w:rsid w:val="00F52E4A"/>
    <w:rsid w:val="00F5429E"/>
    <w:rsid w:val="00F5753F"/>
    <w:rsid w:val="00F57737"/>
    <w:rsid w:val="00F57B52"/>
    <w:rsid w:val="00F60B3F"/>
    <w:rsid w:val="00F6170B"/>
    <w:rsid w:val="00F620DD"/>
    <w:rsid w:val="00F62294"/>
    <w:rsid w:val="00F62311"/>
    <w:rsid w:val="00F627AF"/>
    <w:rsid w:val="00F62FC4"/>
    <w:rsid w:val="00F632AE"/>
    <w:rsid w:val="00F63EA9"/>
    <w:rsid w:val="00F6412E"/>
    <w:rsid w:val="00F666F4"/>
    <w:rsid w:val="00F670A3"/>
    <w:rsid w:val="00F70AAC"/>
    <w:rsid w:val="00F710C8"/>
    <w:rsid w:val="00F71C06"/>
    <w:rsid w:val="00F724DF"/>
    <w:rsid w:val="00F735A7"/>
    <w:rsid w:val="00F75F80"/>
    <w:rsid w:val="00F82884"/>
    <w:rsid w:val="00F8381D"/>
    <w:rsid w:val="00F85688"/>
    <w:rsid w:val="00F857EE"/>
    <w:rsid w:val="00F901DE"/>
    <w:rsid w:val="00F902AA"/>
    <w:rsid w:val="00F905B5"/>
    <w:rsid w:val="00F93BDA"/>
    <w:rsid w:val="00F942F9"/>
    <w:rsid w:val="00F95440"/>
    <w:rsid w:val="00F97C12"/>
    <w:rsid w:val="00FA1877"/>
    <w:rsid w:val="00FA336D"/>
    <w:rsid w:val="00FA58BB"/>
    <w:rsid w:val="00FA6AF8"/>
    <w:rsid w:val="00FA6DC0"/>
    <w:rsid w:val="00FA6E8F"/>
    <w:rsid w:val="00FB0AA6"/>
    <w:rsid w:val="00FB3A0B"/>
    <w:rsid w:val="00FB3A4E"/>
    <w:rsid w:val="00FB747D"/>
    <w:rsid w:val="00FB7B9F"/>
    <w:rsid w:val="00FC2F69"/>
    <w:rsid w:val="00FC3587"/>
    <w:rsid w:val="00FC45E2"/>
    <w:rsid w:val="00FC4D4F"/>
    <w:rsid w:val="00FC6886"/>
    <w:rsid w:val="00FC6B39"/>
    <w:rsid w:val="00FD04F4"/>
    <w:rsid w:val="00FD6793"/>
    <w:rsid w:val="00FE05AD"/>
    <w:rsid w:val="00FE0768"/>
    <w:rsid w:val="00FE0E28"/>
    <w:rsid w:val="00FE0FE5"/>
    <w:rsid w:val="00FE121C"/>
    <w:rsid w:val="00FE14CC"/>
    <w:rsid w:val="00FE1CF8"/>
    <w:rsid w:val="00FE2A2C"/>
    <w:rsid w:val="00FE397A"/>
    <w:rsid w:val="00FE46E7"/>
    <w:rsid w:val="00FE569E"/>
    <w:rsid w:val="00FE7F23"/>
    <w:rsid w:val="00FF1DBE"/>
    <w:rsid w:val="00FF1FB3"/>
    <w:rsid w:val="00FF2CE3"/>
    <w:rsid w:val="00FF2EA6"/>
    <w:rsid w:val="00FF3C8D"/>
    <w:rsid w:val="00FF3F67"/>
    <w:rsid w:val="00FF4EE8"/>
    <w:rsid w:val="00FF56B6"/>
    <w:rsid w:val="00FF7421"/>
    <w:rsid w:val="010D56DD"/>
    <w:rsid w:val="01155431"/>
    <w:rsid w:val="011F3266"/>
    <w:rsid w:val="012E676C"/>
    <w:rsid w:val="01592742"/>
    <w:rsid w:val="015B3CFF"/>
    <w:rsid w:val="01603707"/>
    <w:rsid w:val="016438E0"/>
    <w:rsid w:val="017A36FD"/>
    <w:rsid w:val="018C5C1B"/>
    <w:rsid w:val="01912BAF"/>
    <w:rsid w:val="01B91D0C"/>
    <w:rsid w:val="01BD1C17"/>
    <w:rsid w:val="01F66B05"/>
    <w:rsid w:val="01F96E32"/>
    <w:rsid w:val="02000A34"/>
    <w:rsid w:val="022E4F1B"/>
    <w:rsid w:val="02381265"/>
    <w:rsid w:val="023B6BC5"/>
    <w:rsid w:val="024D1A29"/>
    <w:rsid w:val="0267612B"/>
    <w:rsid w:val="0284159F"/>
    <w:rsid w:val="02915060"/>
    <w:rsid w:val="0297519A"/>
    <w:rsid w:val="02A126CD"/>
    <w:rsid w:val="02A14F7C"/>
    <w:rsid w:val="02C208C7"/>
    <w:rsid w:val="02C953AB"/>
    <w:rsid w:val="02CF1A90"/>
    <w:rsid w:val="030A2CFC"/>
    <w:rsid w:val="030D0541"/>
    <w:rsid w:val="031713E0"/>
    <w:rsid w:val="032A6E62"/>
    <w:rsid w:val="03381437"/>
    <w:rsid w:val="033912EE"/>
    <w:rsid w:val="036730D0"/>
    <w:rsid w:val="03851E77"/>
    <w:rsid w:val="03952C3D"/>
    <w:rsid w:val="03CC6C1E"/>
    <w:rsid w:val="03DB0C40"/>
    <w:rsid w:val="03DE08E6"/>
    <w:rsid w:val="03F3146E"/>
    <w:rsid w:val="03F51722"/>
    <w:rsid w:val="041A7E03"/>
    <w:rsid w:val="04620F81"/>
    <w:rsid w:val="046D6BEC"/>
    <w:rsid w:val="04B87DB4"/>
    <w:rsid w:val="04CF26D2"/>
    <w:rsid w:val="0526236C"/>
    <w:rsid w:val="05283431"/>
    <w:rsid w:val="052C4097"/>
    <w:rsid w:val="053E030F"/>
    <w:rsid w:val="053F2E58"/>
    <w:rsid w:val="054A5F0C"/>
    <w:rsid w:val="058D41A2"/>
    <w:rsid w:val="05B74F72"/>
    <w:rsid w:val="05C95BD0"/>
    <w:rsid w:val="06127D46"/>
    <w:rsid w:val="06404781"/>
    <w:rsid w:val="06516E8C"/>
    <w:rsid w:val="06851624"/>
    <w:rsid w:val="068E66FD"/>
    <w:rsid w:val="06CA41DB"/>
    <w:rsid w:val="06DB44D3"/>
    <w:rsid w:val="06E10FD4"/>
    <w:rsid w:val="07006B5E"/>
    <w:rsid w:val="07085CF1"/>
    <w:rsid w:val="070F32BE"/>
    <w:rsid w:val="07351E0B"/>
    <w:rsid w:val="07477FBE"/>
    <w:rsid w:val="07844B53"/>
    <w:rsid w:val="079203B6"/>
    <w:rsid w:val="0793332D"/>
    <w:rsid w:val="07973273"/>
    <w:rsid w:val="07B85795"/>
    <w:rsid w:val="07C178EA"/>
    <w:rsid w:val="07D371FC"/>
    <w:rsid w:val="07D42DEF"/>
    <w:rsid w:val="07DC6E2C"/>
    <w:rsid w:val="07EC5935"/>
    <w:rsid w:val="07FF2D1C"/>
    <w:rsid w:val="08053877"/>
    <w:rsid w:val="0815278E"/>
    <w:rsid w:val="0837711C"/>
    <w:rsid w:val="087A198C"/>
    <w:rsid w:val="08854027"/>
    <w:rsid w:val="08977C0C"/>
    <w:rsid w:val="08990819"/>
    <w:rsid w:val="089A5A85"/>
    <w:rsid w:val="08A25807"/>
    <w:rsid w:val="08A930F1"/>
    <w:rsid w:val="08CF6360"/>
    <w:rsid w:val="08EE5190"/>
    <w:rsid w:val="08EF2890"/>
    <w:rsid w:val="08EF71AF"/>
    <w:rsid w:val="0904138C"/>
    <w:rsid w:val="090D2648"/>
    <w:rsid w:val="09153CCC"/>
    <w:rsid w:val="09207909"/>
    <w:rsid w:val="09357587"/>
    <w:rsid w:val="097767D7"/>
    <w:rsid w:val="09A51579"/>
    <w:rsid w:val="09DB09C3"/>
    <w:rsid w:val="09DF2368"/>
    <w:rsid w:val="09E14D5E"/>
    <w:rsid w:val="0A045A02"/>
    <w:rsid w:val="0A046110"/>
    <w:rsid w:val="0A116677"/>
    <w:rsid w:val="0A2460B7"/>
    <w:rsid w:val="0A3D5178"/>
    <w:rsid w:val="0A876234"/>
    <w:rsid w:val="0A8E28F5"/>
    <w:rsid w:val="0A965734"/>
    <w:rsid w:val="0AC2400A"/>
    <w:rsid w:val="0AC30350"/>
    <w:rsid w:val="0ACA478C"/>
    <w:rsid w:val="0AD6614A"/>
    <w:rsid w:val="0ADD4CBE"/>
    <w:rsid w:val="0AEF0462"/>
    <w:rsid w:val="0AF12195"/>
    <w:rsid w:val="0AF50F4A"/>
    <w:rsid w:val="0AFA04CB"/>
    <w:rsid w:val="0AFA2FE3"/>
    <w:rsid w:val="0B0D3862"/>
    <w:rsid w:val="0B147F71"/>
    <w:rsid w:val="0B17356C"/>
    <w:rsid w:val="0B2355C3"/>
    <w:rsid w:val="0B2872A9"/>
    <w:rsid w:val="0B32099C"/>
    <w:rsid w:val="0B340DA5"/>
    <w:rsid w:val="0B622204"/>
    <w:rsid w:val="0B901D8F"/>
    <w:rsid w:val="0B974A8D"/>
    <w:rsid w:val="0BA51B53"/>
    <w:rsid w:val="0BBC023E"/>
    <w:rsid w:val="0BBC0D77"/>
    <w:rsid w:val="0BDC17C9"/>
    <w:rsid w:val="0C142FF3"/>
    <w:rsid w:val="0C455BE3"/>
    <w:rsid w:val="0C525338"/>
    <w:rsid w:val="0C6F02E5"/>
    <w:rsid w:val="0C944575"/>
    <w:rsid w:val="0C983B45"/>
    <w:rsid w:val="0C9B3C3B"/>
    <w:rsid w:val="0C9D07CC"/>
    <w:rsid w:val="0CA33BE4"/>
    <w:rsid w:val="0CAB3EFD"/>
    <w:rsid w:val="0CB1680E"/>
    <w:rsid w:val="0CB34315"/>
    <w:rsid w:val="0CBB3049"/>
    <w:rsid w:val="0CC9653A"/>
    <w:rsid w:val="0CCC0BC7"/>
    <w:rsid w:val="0CCE6625"/>
    <w:rsid w:val="0CE97BBC"/>
    <w:rsid w:val="0D0A7667"/>
    <w:rsid w:val="0D49663A"/>
    <w:rsid w:val="0D63610C"/>
    <w:rsid w:val="0D6E4E12"/>
    <w:rsid w:val="0D7525D0"/>
    <w:rsid w:val="0D8D1347"/>
    <w:rsid w:val="0DAB5064"/>
    <w:rsid w:val="0DC45258"/>
    <w:rsid w:val="0DC80614"/>
    <w:rsid w:val="0DE45B7D"/>
    <w:rsid w:val="0DF84CC3"/>
    <w:rsid w:val="0DFE348C"/>
    <w:rsid w:val="0E073FEC"/>
    <w:rsid w:val="0E2051E6"/>
    <w:rsid w:val="0E5C163F"/>
    <w:rsid w:val="0E6F27BC"/>
    <w:rsid w:val="0EB279C1"/>
    <w:rsid w:val="0ED42F9B"/>
    <w:rsid w:val="0EE445D0"/>
    <w:rsid w:val="0EFF5285"/>
    <w:rsid w:val="0F0F0F72"/>
    <w:rsid w:val="0F2365FF"/>
    <w:rsid w:val="0F291A98"/>
    <w:rsid w:val="0F342BCF"/>
    <w:rsid w:val="0F4267C0"/>
    <w:rsid w:val="0F507C4B"/>
    <w:rsid w:val="0F6D6184"/>
    <w:rsid w:val="0F7310C9"/>
    <w:rsid w:val="0F767653"/>
    <w:rsid w:val="0F802974"/>
    <w:rsid w:val="0F8667C6"/>
    <w:rsid w:val="0FC81E9D"/>
    <w:rsid w:val="0FD348E1"/>
    <w:rsid w:val="0FD46C94"/>
    <w:rsid w:val="0FE66006"/>
    <w:rsid w:val="1014409D"/>
    <w:rsid w:val="10262607"/>
    <w:rsid w:val="10472D05"/>
    <w:rsid w:val="108A31F2"/>
    <w:rsid w:val="109F122C"/>
    <w:rsid w:val="10D77E10"/>
    <w:rsid w:val="1134554F"/>
    <w:rsid w:val="115F55FA"/>
    <w:rsid w:val="116A0748"/>
    <w:rsid w:val="11731739"/>
    <w:rsid w:val="11867CAC"/>
    <w:rsid w:val="118D0AC1"/>
    <w:rsid w:val="11A656D2"/>
    <w:rsid w:val="121D664D"/>
    <w:rsid w:val="124C1D5D"/>
    <w:rsid w:val="125C1E7B"/>
    <w:rsid w:val="12992752"/>
    <w:rsid w:val="12D73FFC"/>
    <w:rsid w:val="13121537"/>
    <w:rsid w:val="13126616"/>
    <w:rsid w:val="1321148E"/>
    <w:rsid w:val="132F3C25"/>
    <w:rsid w:val="134212E3"/>
    <w:rsid w:val="134D78F2"/>
    <w:rsid w:val="135F6A20"/>
    <w:rsid w:val="13741DDA"/>
    <w:rsid w:val="13C503EC"/>
    <w:rsid w:val="13C63208"/>
    <w:rsid w:val="13DC2DD3"/>
    <w:rsid w:val="13FD67D7"/>
    <w:rsid w:val="14180B15"/>
    <w:rsid w:val="14557E69"/>
    <w:rsid w:val="14CA5999"/>
    <w:rsid w:val="14D964F6"/>
    <w:rsid w:val="14FB142A"/>
    <w:rsid w:val="14FD0948"/>
    <w:rsid w:val="152F156D"/>
    <w:rsid w:val="15986741"/>
    <w:rsid w:val="15A43808"/>
    <w:rsid w:val="15AB4415"/>
    <w:rsid w:val="15AD0C36"/>
    <w:rsid w:val="15BD7BC5"/>
    <w:rsid w:val="16017631"/>
    <w:rsid w:val="162C1F43"/>
    <w:rsid w:val="162E4AA8"/>
    <w:rsid w:val="16487CC9"/>
    <w:rsid w:val="16562C81"/>
    <w:rsid w:val="16681B22"/>
    <w:rsid w:val="16713CFA"/>
    <w:rsid w:val="16D939C6"/>
    <w:rsid w:val="16E47137"/>
    <w:rsid w:val="16F468CC"/>
    <w:rsid w:val="17000058"/>
    <w:rsid w:val="171639BF"/>
    <w:rsid w:val="172A2F88"/>
    <w:rsid w:val="17356DC9"/>
    <w:rsid w:val="17462D5E"/>
    <w:rsid w:val="175639A3"/>
    <w:rsid w:val="175F6474"/>
    <w:rsid w:val="176A6EFF"/>
    <w:rsid w:val="17756F2F"/>
    <w:rsid w:val="17BE2920"/>
    <w:rsid w:val="17BE6BA9"/>
    <w:rsid w:val="17D24B25"/>
    <w:rsid w:val="17DC0A06"/>
    <w:rsid w:val="180C06D4"/>
    <w:rsid w:val="18107AD1"/>
    <w:rsid w:val="1812281C"/>
    <w:rsid w:val="183D724F"/>
    <w:rsid w:val="186E11F9"/>
    <w:rsid w:val="18706757"/>
    <w:rsid w:val="18997BF8"/>
    <w:rsid w:val="18A51907"/>
    <w:rsid w:val="18AC231C"/>
    <w:rsid w:val="18DB7C73"/>
    <w:rsid w:val="18E33BB2"/>
    <w:rsid w:val="190B51F1"/>
    <w:rsid w:val="191213B4"/>
    <w:rsid w:val="191A46B4"/>
    <w:rsid w:val="192D592F"/>
    <w:rsid w:val="192D6805"/>
    <w:rsid w:val="193362DD"/>
    <w:rsid w:val="19371E27"/>
    <w:rsid w:val="19583388"/>
    <w:rsid w:val="195C1DC3"/>
    <w:rsid w:val="195F5F6A"/>
    <w:rsid w:val="19671857"/>
    <w:rsid w:val="19743FAD"/>
    <w:rsid w:val="19795C79"/>
    <w:rsid w:val="199776C5"/>
    <w:rsid w:val="19AF3EBB"/>
    <w:rsid w:val="19DF0D95"/>
    <w:rsid w:val="19E44E8B"/>
    <w:rsid w:val="19FD7126"/>
    <w:rsid w:val="1A1C1E58"/>
    <w:rsid w:val="1A2B54A8"/>
    <w:rsid w:val="1A3B125C"/>
    <w:rsid w:val="1A520C2A"/>
    <w:rsid w:val="1A9179EA"/>
    <w:rsid w:val="1A9A64D2"/>
    <w:rsid w:val="1A9F7F98"/>
    <w:rsid w:val="1ACE7ED9"/>
    <w:rsid w:val="1AE22FCD"/>
    <w:rsid w:val="1AFD384B"/>
    <w:rsid w:val="1AFE5CAF"/>
    <w:rsid w:val="1B142ED2"/>
    <w:rsid w:val="1B1D7BAC"/>
    <w:rsid w:val="1B276BC4"/>
    <w:rsid w:val="1B2F6143"/>
    <w:rsid w:val="1B62497A"/>
    <w:rsid w:val="1B831C1B"/>
    <w:rsid w:val="1B9130E4"/>
    <w:rsid w:val="1B937A8C"/>
    <w:rsid w:val="1BB261FC"/>
    <w:rsid w:val="1BD340DF"/>
    <w:rsid w:val="1BF14E41"/>
    <w:rsid w:val="1BF925E9"/>
    <w:rsid w:val="1C08060B"/>
    <w:rsid w:val="1C1D1F34"/>
    <w:rsid w:val="1C307AB7"/>
    <w:rsid w:val="1C420E24"/>
    <w:rsid w:val="1C4B33B3"/>
    <w:rsid w:val="1C506A74"/>
    <w:rsid w:val="1CA81C4F"/>
    <w:rsid w:val="1CB60D3F"/>
    <w:rsid w:val="1CC752A7"/>
    <w:rsid w:val="1CF2665F"/>
    <w:rsid w:val="1CFC607B"/>
    <w:rsid w:val="1D446D07"/>
    <w:rsid w:val="1D46328F"/>
    <w:rsid w:val="1D4C6E72"/>
    <w:rsid w:val="1D60718C"/>
    <w:rsid w:val="1D636F96"/>
    <w:rsid w:val="1D8F082B"/>
    <w:rsid w:val="1D980041"/>
    <w:rsid w:val="1DB1168D"/>
    <w:rsid w:val="1DCE3C5F"/>
    <w:rsid w:val="1DD619C5"/>
    <w:rsid w:val="1DDE377C"/>
    <w:rsid w:val="1DFD1997"/>
    <w:rsid w:val="1E0C2817"/>
    <w:rsid w:val="1E113994"/>
    <w:rsid w:val="1E3B7E11"/>
    <w:rsid w:val="1E3F2C54"/>
    <w:rsid w:val="1E407ED1"/>
    <w:rsid w:val="1E641704"/>
    <w:rsid w:val="1E852811"/>
    <w:rsid w:val="1E965403"/>
    <w:rsid w:val="1EA637A8"/>
    <w:rsid w:val="1EC75D53"/>
    <w:rsid w:val="1EE160CD"/>
    <w:rsid w:val="1F0B134D"/>
    <w:rsid w:val="1F0F776F"/>
    <w:rsid w:val="1F1B0AF3"/>
    <w:rsid w:val="1F352332"/>
    <w:rsid w:val="1F392652"/>
    <w:rsid w:val="1F5A3164"/>
    <w:rsid w:val="1F8F0050"/>
    <w:rsid w:val="1F9A21E9"/>
    <w:rsid w:val="1FA25C00"/>
    <w:rsid w:val="1FB03E8D"/>
    <w:rsid w:val="1FCF7B48"/>
    <w:rsid w:val="1FD43A26"/>
    <w:rsid w:val="1FE12599"/>
    <w:rsid w:val="1FE65B88"/>
    <w:rsid w:val="1FE72B7C"/>
    <w:rsid w:val="1FF6169F"/>
    <w:rsid w:val="20073A19"/>
    <w:rsid w:val="200C2075"/>
    <w:rsid w:val="20213925"/>
    <w:rsid w:val="204E77B4"/>
    <w:rsid w:val="2052445D"/>
    <w:rsid w:val="205D4FFD"/>
    <w:rsid w:val="20674236"/>
    <w:rsid w:val="207311E1"/>
    <w:rsid w:val="20B5502F"/>
    <w:rsid w:val="20C010D2"/>
    <w:rsid w:val="20C51CD3"/>
    <w:rsid w:val="20D07429"/>
    <w:rsid w:val="20D6174A"/>
    <w:rsid w:val="20E966B7"/>
    <w:rsid w:val="20FE2548"/>
    <w:rsid w:val="21046B4F"/>
    <w:rsid w:val="213761AF"/>
    <w:rsid w:val="213F41B9"/>
    <w:rsid w:val="215C1D35"/>
    <w:rsid w:val="21865F6C"/>
    <w:rsid w:val="218A618C"/>
    <w:rsid w:val="21927492"/>
    <w:rsid w:val="21A659B2"/>
    <w:rsid w:val="21BE2170"/>
    <w:rsid w:val="21C876F1"/>
    <w:rsid w:val="21D775A5"/>
    <w:rsid w:val="21E420A8"/>
    <w:rsid w:val="22137E57"/>
    <w:rsid w:val="222F5C4D"/>
    <w:rsid w:val="225823C6"/>
    <w:rsid w:val="225C14C0"/>
    <w:rsid w:val="226A644E"/>
    <w:rsid w:val="22956851"/>
    <w:rsid w:val="22961591"/>
    <w:rsid w:val="229A7C79"/>
    <w:rsid w:val="22B018D5"/>
    <w:rsid w:val="22F3341C"/>
    <w:rsid w:val="22F94412"/>
    <w:rsid w:val="23173BBF"/>
    <w:rsid w:val="233311CF"/>
    <w:rsid w:val="23560E22"/>
    <w:rsid w:val="235E4A31"/>
    <w:rsid w:val="23A851B5"/>
    <w:rsid w:val="23AF5A6D"/>
    <w:rsid w:val="23B920D4"/>
    <w:rsid w:val="23C72F36"/>
    <w:rsid w:val="23D02080"/>
    <w:rsid w:val="23EC5E3E"/>
    <w:rsid w:val="23F4666B"/>
    <w:rsid w:val="23FE4094"/>
    <w:rsid w:val="24105ED2"/>
    <w:rsid w:val="24142DE7"/>
    <w:rsid w:val="24202B07"/>
    <w:rsid w:val="24320999"/>
    <w:rsid w:val="243576C5"/>
    <w:rsid w:val="243E167F"/>
    <w:rsid w:val="243F3E9B"/>
    <w:rsid w:val="24465962"/>
    <w:rsid w:val="24A66207"/>
    <w:rsid w:val="25182BD7"/>
    <w:rsid w:val="252E7B39"/>
    <w:rsid w:val="25364C7E"/>
    <w:rsid w:val="256C054A"/>
    <w:rsid w:val="25710D74"/>
    <w:rsid w:val="25846188"/>
    <w:rsid w:val="25914386"/>
    <w:rsid w:val="25AE64D4"/>
    <w:rsid w:val="25D6622A"/>
    <w:rsid w:val="25EE272B"/>
    <w:rsid w:val="25EF71CB"/>
    <w:rsid w:val="261C566C"/>
    <w:rsid w:val="262420EA"/>
    <w:rsid w:val="262C30D8"/>
    <w:rsid w:val="2638058C"/>
    <w:rsid w:val="26437BFE"/>
    <w:rsid w:val="26486870"/>
    <w:rsid w:val="265F3C4B"/>
    <w:rsid w:val="266279B6"/>
    <w:rsid w:val="2695106C"/>
    <w:rsid w:val="27195F3E"/>
    <w:rsid w:val="27254B3B"/>
    <w:rsid w:val="27492E10"/>
    <w:rsid w:val="2749492B"/>
    <w:rsid w:val="276B30D7"/>
    <w:rsid w:val="276C5553"/>
    <w:rsid w:val="27735A9C"/>
    <w:rsid w:val="27A602EF"/>
    <w:rsid w:val="27B54A63"/>
    <w:rsid w:val="27B94FAB"/>
    <w:rsid w:val="27EE349A"/>
    <w:rsid w:val="28191973"/>
    <w:rsid w:val="28210998"/>
    <w:rsid w:val="283A0B02"/>
    <w:rsid w:val="284D29FA"/>
    <w:rsid w:val="285963ED"/>
    <w:rsid w:val="28692383"/>
    <w:rsid w:val="287C5B6C"/>
    <w:rsid w:val="28871146"/>
    <w:rsid w:val="28871421"/>
    <w:rsid w:val="28A972BA"/>
    <w:rsid w:val="28AA4C9F"/>
    <w:rsid w:val="28EC7865"/>
    <w:rsid w:val="28EF17E4"/>
    <w:rsid w:val="28F65FD9"/>
    <w:rsid w:val="291410C0"/>
    <w:rsid w:val="29144990"/>
    <w:rsid w:val="293D354F"/>
    <w:rsid w:val="29727BBA"/>
    <w:rsid w:val="29B92A04"/>
    <w:rsid w:val="29D839EB"/>
    <w:rsid w:val="29DB008A"/>
    <w:rsid w:val="29F82715"/>
    <w:rsid w:val="29FD45DD"/>
    <w:rsid w:val="2A066F73"/>
    <w:rsid w:val="2A0D75E3"/>
    <w:rsid w:val="2A32072A"/>
    <w:rsid w:val="2A626C0A"/>
    <w:rsid w:val="2AA85656"/>
    <w:rsid w:val="2AB502D8"/>
    <w:rsid w:val="2ABC728F"/>
    <w:rsid w:val="2AF146BE"/>
    <w:rsid w:val="2B0658A6"/>
    <w:rsid w:val="2B2D40DD"/>
    <w:rsid w:val="2B2F6A18"/>
    <w:rsid w:val="2B336269"/>
    <w:rsid w:val="2B4A66E7"/>
    <w:rsid w:val="2B6A7583"/>
    <w:rsid w:val="2B9169C0"/>
    <w:rsid w:val="2B924EA7"/>
    <w:rsid w:val="2B954300"/>
    <w:rsid w:val="2BA172FF"/>
    <w:rsid w:val="2BC05671"/>
    <w:rsid w:val="2BC25C47"/>
    <w:rsid w:val="2BEF1E49"/>
    <w:rsid w:val="2C1529D1"/>
    <w:rsid w:val="2C3D2406"/>
    <w:rsid w:val="2C70392E"/>
    <w:rsid w:val="2C70553A"/>
    <w:rsid w:val="2C71433B"/>
    <w:rsid w:val="2C78456E"/>
    <w:rsid w:val="2C8F15B2"/>
    <w:rsid w:val="2CA00246"/>
    <w:rsid w:val="2CA536AB"/>
    <w:rsid w:val="2CA90B0B"/>
    <w:rsid w:val="2CB96E0D"/>
    <w:rsid w:val="2CBB6A38"/>
    <w:rsid w:val="2CDC1FEE"/>
    <w:rsid w:val="2CDF4B29"/>
    <w:rsid w:val="2CE350D4"/>
    <w:rsid w:val="2CFE4050"/>
    <w:rsid w:val="2D154F3E"/>
    <w:rsid w:val="2D2A4AEF"/>
    <w:rsid w:val="2D422B9B"/>
    <w:rsid w:val="2D481E77"/>
    <w:rsid w:val="2D5031D9"/>
    <w:rsid w:val="2D56396E"/>
    <w:rsid w:val="2D574004"/>
    <w:rsid w:val="2D68027F"/>
    <w:rsid w:val="2D786710"/>
    <w:rsid w:val="2D906F44"/>
    <w:rsid w:val="2D9E0EF9"/>
    <w:rsid w:val="2DC810BF"/>
    <w:rsid w:val="2DD85145"/>
    <w:rsid w:val="2DDA260F"/>
    <w:rsid w:val="2DE161AB"/>
    <w:rsid w:val="2E060B01"/>
    <w:rsid w:val="2E132651"/>
    <w:rsid w:val="2E3F45EA"/>
    <w:rsid w:val="2E4B638D"/>
    <w:rsid w:val="2E8D4C17"/>
    <w:rsid w:val="2E960729"/>
    <w:rsid w:val="2EDA21D8"/>
    <w:rsid w:val="2EE858F7"/>
    <w:rsid w:val="2EEE56BF"/>
    <w:rsid w:val="2F111AC2"/>
    <w:rsid w:val="2F7729E3"/>
    <w:rsid w:val="2F78676D"/>
    <w:rsid w:val="2F8464F9"/>
    <w:rsid w:val="2F967512"/>
    <w:rsid w:val="2FB3631B"/>
    <w:rsid w:val="2FCA1DFD"/>
    <w:rsid w:val="2FD450AA"/>
    <w:rsid w:val="2FDD0E67"/>
    <w:rsid w:val="3001564E"/>
    <w:rsid w:val="30147100"/>
    <w:rsid w:val="301E5632"/>
    <w:rsid w:val="30360E95"/>
    <w:rsid w:val="304271ED"/>
    <w:rsid w:val="30485243"/>
    <w:rsid w:val="304B5E0E"/>
    <w:rsid w:val="30734518"/>
    <w:rsid w:val="308B5B1B"/>
    <w:rsid w:val="309A10DF"/>
    <w:rsid w:val="30D64FC8"/>
    <w:rsid w:val="31216E03"/>
    <w:rsid w:val="317D6893"/>
    <w:rsid w:val="3195261C"/>
    <w:rsid w:val="31AE1E04"/>
    <w:rsid w:val="31D53ED7"/>
    <w:rsid w:val="31FE7978"/>
    <w:rsid w:val="32022252"/>
    <w:rsid w:val="320246B8"/>
    <w:rsid w:val="321452B2"/>
    <w:rsid w:val="32301DED"/>
    <w:rsid w:val="32451FF8"/>
    <w:rsid w:val="325C6B50"/>
    <w:rsid w:val="326549FC"/>
    <w:rsid w:val="326E4DAE"/>
    <w:rsid w:val="327C2DCA"/>
    <w:rsid w:val="328F59FF"/>
    <w:rsid w:val="329B153F"/>
    <w:rsid w:val="32A30D8C"/>
    <w:rsid w:val="32B34D33"/>
    <w:rsid w:val="32DC3C04"/>
    <w:rsid w:val="32E61066"/>
    <w:rsid w:val="32EA2F8C"/>
    <w:rsid w:val="32FB3538"/>
    <w:rsid w:val="332903BC"/>
    <w:rsid w:val="335C7869"/>
    <w:rsid w:val="33653F5A"/>
    <w:rsid w:val="336B3702"/>
    <w:rsid w:val="336D5DCB"/>
    <w:rsid w:val="337021AF"/>
    <w:rsid w:val="337A170A"/>
    <w:rsid w:val="3391347F"/>
    <w:rsid w:val="33996907"/>
    <w:rsid w:val="33C464E1"/>
    <w:rsid w:val="33CF46BF"/>
    <w:rsid w:val="33D04B10"/>
    <w:rsid w:val="33F6449F"/>
    <w:rsid w:val="33FC5905"/>
    <w:rsid w:val="3407339A"/>
    <w:rsid w:val="34236743"/>
    <w:rsid w:val="344847E9"/>
    <w:rsid w:val="34587438"/>
    <w:rsid w:val="34745DEB"/>
    <w:rsid w:val="34840BFD"/>
    <w:rsid w:val="34B50C0E"/>
    <w:rsid w:val="34B630FC"/>
    <w:rsid w:val="34D83A98"/>
    <w:rsid w:val="35027A85"/>
    <w:rsid w:val="35104C0E"/>
    <w:rsid w:val="354920FA"/>
    <w:rsid w:val="35507F9C"/>
    <w:rsid w:val="35635C3C"/>
    <w:rsid w:val="356417E3"/>
    <w:rsid w:val="3566139C"/>
    <w:rsid w:val="356622A6"/>
    <w:rsid w:val="35683252"/>
    <w:rsid w:val="35991375"/>
    <w:rsid w:val="35EA5553"/>
    <w:rsid w:val="35EC4CC6"/>
    <w:rsid w:val="35ED099A"/>
    <w:rsid w:val="35FC4076"/>
    <w:rsid w:val="3632678A"/>
    <w:rsid w:val="363A26A9"/>
    <w:rsid w:val="36441C39"/>
    <w:rsid w:val="36463673"/>
    <w:rsid w:val="364767BB"/>
    <w:rsid w:val="36481962"/>
    <w:rsid w:val="369F10B8"/>
    <w:rsid w:val="36D96ABC"/>
    <w:rsid w:val="36F446E1"/>
    <w:rsid w:val="37140E4A"/>
    <w:rsid w:val="37140FB5"/>
    <w:rsid w:val="37196E6C"/>
    <w:rsid w:val="374D5250"/>
    <w:rsid w:val="375D7D40"/>
    <w:rsid w:val="377D1455"/>
    <w:rsid w:val="379903D3"/>
    <w:rsid w:val="37A13EFE"/>
    <w:rsid w:val="37C744A7"/>
    <w:rsid w:val="37C83755"/>
    <w:rsid w:val="37E13CC6"/>
    <w:rsid w:val="37EA3E85"/>
    <w:rsid w:val="37ED7275"/>
    <w:rsid w:val="3807783E"/>
    <w:rsid w:val="38147D80"/>
    <w:rsid w:val="38156F95"/>
    <w:rsid w:val="381902AC"/>
    <w:rsid w:val="384C5869"/>
    <w:rsid w:val="387E50A6"/>
    <w:rsid w:val="387F1645"/>
    <w:rsid w:val="38870242"/>
    <w:rsid w:val="38A2427F"/>
    <w:rsid w:val="38CA6CB0"/>
    <w:rsid w:val="38E977A0"/>
    <w:rsid w:val="39205782"/>
    <w:rsid w:val="392518F3"/>
    <w:rsid w:val="39816C90"/>
    <w:rsid w:val="39884753"/>
    <w:rsid w:val="3998533A"/>
    <w:rsid w:val="399E6D58"/>
    <w:rsid w:val="39A01E9A"/>
    <w:rsid w:val="39AE6A48"/>
    <w:rsid w:val="39CD5C64"/>
    <w:rsid w:val="39CF3995"/>
    <w:rsid w:val="39E90113"/>
    <w:rsid w:val="3A075169"/>
    <w:rsid w:val="3A1A2AAC"/>
    <w:rsid w:val="3A1D0681"/>
    <w:rsid w:val="3A1E4CC5"/>
    <w:rsid w:val="3A481E49"/>
    <w:rsid w:val="3A505EFA"/>
    <w:rsid w:val="3A532DB6"/>
    <w:rsid w:val="3A744447"/>
    <w:rsid w:val="3A83012D"/>
    <w:rsid w:val="3A9B7C26"/>
    <w:rsid w:val="3A9C4DCF"/>
    <w:rsid w:val="3AAB0E6C"/>
    <w:rsid w:val="3AB00F78"/>
    <w:rsid w:val="3AC91083"/>
    <w:rsid w:val="3B1A2282"/>
    <w:rsid w:val="3B1B22FB"/>
    <w:rsid w:val="3B1D493B"/>
    <w:rsid w:val="3B3768DF"/>
    <w:rsid w:val="3B4140D6"/>
    <w:rsid w:val="3B4F45B3"/>
    <w:rsid w:val="3B5765F2"/>
    <w:rsid w:val="3B5F66A3"/>
    <w:rsid w:val="3BA06F3C"/>
    <w:rsid w:val="3BC871FD"/>
    <w:rsid w:val="3C0B15AC"/>
    <w:rsid w:val="3C432578"/>
    <w:rsid w:val="3C5938F5"/>
    <w:rsid w:val="3C5B2963"/>
    <w:rsid w:val="3C6668AB"/>
    <w:rsid w:val="3C6956CF"/>
    <w:rsid w:val="3C6F1256"/>
    <w:rsid w:val="3C7B3A18"/>
    <w:rsid w:val="3C950E59"/>
    <w:rsid w:val="3C9B4767"/>
    <w:rsid w:val="3CA33737"/>
    <w:rsid w:val="3CA77730"/>
    <w:rsid w:val="3CB237EE"/>
    <w:rsid w:val="3CE678C9"/>
    <w:rsid w:val="3D08605E"/>
    <w:rsid w:val="3D0F4669"/>
    <w:rsid w:val="3D2F1037"/>
    <w:rsid w:val="3D32325A"/>
    <w:rsid w:val="3D35079A"/>
    <w:rsid w:val="3D5462D1"/>
    <w:rsid w:val="3D561C04"/>
    <w:rsid w:val="3D6F1615"/>
    <w:rsid w:val="3D745A80"/>
    <w:rsid w:val="3D753E3E"/>
    <w:rsid w:val="3D836DD7"/>
    <w:rsid w:val="3D967264"/>
    <w:rsid w:val="3D9C18B1"/>
    <w:rsid w:val="3DA17935"/>
    <w:rsid w:val="3DB87608"/>
    <w:rsid w:val="3DF05D9E"/>
    <w:rsid w:val="3DF82DEC"/>
    <w:rsid w:val="3E604AA8"/>
    <w:rsid w:val="3E606E30"/>
    <w:rsid w:val="3E8313DB"/>
    <w:rsid w:val="3EA01B6F"/>
    <w:rsid w:val="3EF04A2D"/>
    <w:rsid w:val="3F271983"/>
    <w:rsid w:val="3F321F14"/>
    <w:rsid w:val="3F5D7398"/>
    <w:rsid w:val="3F616960"/>
    <w:rsid w:val="3F7236B7"/>
    <w:rsid w:val="3F7B0599"/>
    <w:rsid w:val="3F995457"/>
    <w:rsid w:val="3FAA1176"/>
    <w:rsid w:val="3FB852EB"/>
    <w:rsid w:val="3FC0168E"/>
    <w:rsid w:val="3FD30E74"/>
    <w:rsid w:val="3FDE0938"/>
    <w:rsid w:val="3FEA033D"/>
    <w:rsid w:val="40214BCE"/>
    <w:rsid w:val="403602C4"/>
    <w:rsid w:val="405E3A89"/>
    <w:rsid w:val="406415E5"/>
    <w:rsid w:val="408F58EB"/>
    <w:rsid w:val="40A64105"/>
    <w:rsid w:val="40BE34B0"/>
    <w:rsid w:val="40C450B9"/>
    <w:rsid w:val="40C51742"/>
    <w:rsid w:val="40D3510B"/>
    <w:rsid w:val="40E46873"/>
    <w:rsid w:val="40EB6052"/>
    <w:rsid w:val="41023096"/>
    <w:rsid w:val="410E46E1"/>
    <w:rsid w:val="411D1C08"/>
    <w:rsid w:val="41216504"/>
    <w:rsid w:val="414250B6"/>
    <w:rsid w:val="414A6E99"/>
    <w:rsid w:val="41617DC7"/>
    <w:rsid w:val="41693623"/>
    <w:rsid w:val="416D0484"/>
    <w:rsid w:val="41CD2593"/>
    <w:rsid w:val="41F365F9"/>
    <w:rsid w:val="420A1E26"/>
    <w:rsid w:val="420A296D"/>
    <w:rsid w:val="420F2749"/>
    <w:rsid w:val="421326E4"/>
    <w:rsid w:val="42237327"/>
    <w:rsid w:val="4227713A"/>
    <w:rsid w:val="4229447C"/>
    <w:rsid w:val="422B10C6"/>
    <w:rsid w:val="42430327"/>
    <w:rsid w:val="4243464E"/>
    <w:rsid w:val="42563CBC"/>
    <w:rsid w:val="425A621B"/>
    <w:rsid w:val="426479CD"/>
    <w:rsid w:val="427D42D3"/>
    <w:rsid w:val="4286468E"/>
    <w:rsid w:val="42AC5595"/>
    <w:rsid w:val="42B737F2"/>
    <w:rsid w:val="42C06032"/>
    <w:rsid w:val="42CD516D"/>
    <w:rsid w:val="42E12A95"/>
    <w:rsid w:val="42ED595D"/>
    <w:rsid w:val="42ED5F4E"/>
    <w:rsid w:val="42F02833"/>
    <w:rsid w:val="431F028F"/>
    <w:rsid w:val="432A2B18"/>
    <w:rsid w:val="432D09BF"/>
    <w:rsid w:val="43425097"/>
    <w:rsid w:val="434D14F9"/>
    <w:rsid w:val="437E7470"/>
    <w:rsid w:val="4386524B"/>
    <w:rsid w:val="438B1797"/>
    <w:rsid w:val="43930EFB"/>
    <w:rsid w:val="439A5D1F"/>
    <w:rsid w:val="43D10812"/>
    <w:rsid w:val="43E50447"/>
    <w:rsid w:val="44006401"/>
    <w:rsid w:val="442838FD"/>
    <w:rsid w:val="442A6274"/>
    <w:rsid w:val="442F66E5"/>
    <w:rsid w:val="44453ACD"/>
    <w:rsid w:val="44523338"/>
    <w:rsid w:val="44783CA2"/>
    <w:rsid w:val="447F3F34"/>
    <w:rsid w:val="448303BD"/>
    <w:rsid w:val="4493761B"/>
    <w:rsid w:val="449E142C"/>
    <w:rsid w:val="44A34BA0"/>
    <w:rsid w:val="44B1257D"/>
    <w:rsid w:val="44C24FEE"/>
    <w:rsid w:val="4513097F"/>
    <w:rsid w:val="45210D43"/>
    <w:rsid w:val="452C6303"/>
    <w:rsid w:val="45325833"/>
    <w:rsid w:val="453F78F5"/>
    <w:rsid w:val="4542183C"/>
    <w:rsid w:val="455A3B20"/>
    <w:rsid w:val="458601B4"/>
    <w:rsid w:val="458D45FB"/>
    <w:rsid w:val="45914A2A"/>
    <w:rsid w:val="459935B0"/>
    <w:rsid w:val="45A226BC"/>
    <w:rsid w:val="45B002FD"/>
    <w:rsid w:val="45BC13CA"/>
    <w:rsid w:val="45CD3F0E"/>
    <w:rsid w:val="45D45DCF"/>
    <w:rsid w:val="46002C72"/>
    <w:rsid w:val="4605734C"/>
    <w:rsid w:val="46073E6F"/>
    <w:rsid w:val="462D2C60"/>
    <w:rsid w:val="46672E81"/>
    <w:rsid w:val="46716AD1"/>
    <w:rsid w:val="4672146B"/>
    <w:rsid w:val="46722DDC"/>
    <w:rsid w:val="468F1964"/>
    <w:rsid w:val="46A0435F"/>
    <w:rsid w:val="46B63A01"/>
    <w:rsid w:val="46C02457"/>
    <w:rsid w:val="46CA35C5"/>
    <w:rsid w:val="46DB4FB8"/>
    <w:rsid w:val="470E4835"/>
    <w:rsid w:val="471F547B"/>
    <w:rsid w:val="47300AA9"/>
    <w:rsid w:val="476B44E0"/>
    <w:rsid w:val="47751E57"/>
    <w:rsid w:val="478E2BD5"/>
    <w:rsid w:val="4798519F"/>
    <w:rsid w:val="47BF1103"/>
    <w:rsid w:val="47CD5787"/>
    <w:rsid w:val="47F944E8"/>
    <w:rsid w:val="47FF4255"/>
    <w:rsid w:val="481C7C4B"/>
    <w:rsid w:val="4837750D"/>
    <w:rsid w:val="483D1E91"/>
    <w:rsid w:val="485C6E08"/>
    <w:rsid w:val="486F44A0"/>
    <w:rsid w:val="487F3C18"/>
    <w:rsid w:val="48837733"/>
    <w:rsid w:val="48881233"/>
    <w:rsid w:val="48956A81"/>
    <w:rsid w:val="48A12424"/>
    <w:rsid w:val="48A564D8"/>
    <w:rsid w:val="48BE1A59"/>
    <w:rsid w:val="48D352C3"/>
    <w:rsid w:val="48EF671A"/>
    <w:rsid w:val="491C12E0"/>
    <w:rsid w:val="492807D3"/>
    <w:rsid w:val="493F0316"/>
    <w:rsid w:val="4948043E"/>
    <w:rsid w:val="49930A5F"/>
    <w:rsid w:val="49BF2217"/>
    <w:rsid w:val="4A187B22"/>
    <w:rsid w:val="4A1C6409"/>
    <w:rsid w:val="4A220046"/>
    <w:rsid w:val="4A244A11"/>
    <w:rsid w:val="4A373F8D"/>
    <w:rsid w:val="4A37607D"/>
    <w:rsid w:val="4A397FDB"/>
    <w:rsid w:val="4A4B79EC"/>
    <w:rsid w:val="4A4D3B92"/>
    <w:rsid w:val="4A786826"/>
    <w:rsid w:val="4A9D0CC3"/>
    <w:rsid w:val="4AAE671E"/>
    <w:rsid w:val="4B114210"/>
    <w:rsid w:val="4B1A2CA4"/>
    <w:rsid w:val="4B2A60E6"/>
    <w:rsid w:val="4B2E0275"/>
    <w:rsid w:val="4B2E2C4D"/>
    <w:rsid w:val="4B353E23"/>
    <w:rsid w:val="4B3C24D4"/>
    <w:rsid w:val="4B3E3F4D"/>
    <w:rsid w:val="4B6A2332"/>
    <w:rsid w:val="4B9C6C85"/>
    <w:rsid w:val="4BA674F8"/>
    <w:rsid w:val="4BD26030"/>
    <w:rsid w:val="4BFD7185"/>
    <w:rsid w:val="4C037F9D"/>
    <w:rsid w:val="4C177790"/>
    <w:rsid w:val="4C3C1C18"/>
    <w:rsid w:val="4C5263E2"/>
    <w:rsid w:val="4C577725"/>
    <w:rsid w:val="4C674595"/>
    <w:rsid w:val="4C7476DF"/>
    <w:rsid w:val="4C944BE9"/>
    <w:rsid w:val="4CA31494"/>
    <w:rsid w:val="4CA978A2"/>
    <w:rsid w:val="4CB224CA"/>
    <w:rsid w:val="4CB37D2F"/>
    <w:rsid w:val="4CC219B2"/>
    <w:rsid w:val="4CC529EA"/>
    <w:rsid w:val="4CDE544E"/>
    <w:rsid w:val="4CF1752D"/>
    <w:rsid w:val="4D08130E"/>
    <w:rsid w:val="4D1E4B39"/>
    <w:rsid w:val="4D2D0271"/>
    <w:rsid w:val="4D5142F6"/>
    <w:rsid w:val="4D5B263A"/>
    <w:rsid w:val="4D906585"/>
    <w:rsid w:val="4D972306"/>
    <w:rsid w:val="4DD76703"/>
    <w:rsid w:val="4DE27CF4"/>
    <w:rsid w:val="4DF277F9"/>
    <w:rsid w:val="4E045D5F"/>
    <w:rsid w:val="4E235B10"/>
    <w:rsid w:val="4E2A50F1"/>
    <w:rsid w:val="4E305547"/>
    <w:rsid w:val="4E4B4BB7"/>
    <w:rsid w:val="4E682744"/>
    <w:rsid w:val="4EA06553"/>
    <w:rsid w:val="4EAD65C5"/>
    <w:rsid w:val="4EBF104B"/>
    <w:rsid w:val="4ED8582B"/>
    <w:rsid w:val="4EE82E97"/>
    <w:rsid w:val="4F2005B6"/>
    <w:rsid w:val="4F644633"/>
    <w:rsid w:val="4F65180A"/>
    <w:rsid w:val="4F6C3A9B"/>
    <w:rsid w:val="4F7C6A7D"/>
    <w:rsid w:val="4F7F35E3"/>
    <w:rsid w:val="4FB51994"/>
    <w:rsid w:val="4FBE3D47"/>
    <w:rsid w:val="4FDC4698"/>
    <w:rsid w:val="4FF71801"/>
    <w:rsid w:val="4FFC288C"/>
    <w:rsid w:val="4FFD19E7"/>
    <w:rsid w:val="4FFF7D3F"/>
    <w:rsid w:val="50066510"/>
    <w:rsid w:val="502160A4"/>
    <w:rsid w:val="50390820"/>
    <w:rsid w:val="50730D74"/>
    <w:rsid w:val="5087563C"/>
    <w:rsid w:val="508A47A8"/>
    <w:rsid w:val="50AF7661"/>
    <w:rsid w:val="50BF1283"/>
    <w:rsid w:val="50D90B9F"/>
    <w:rsid w:val="50E161BC"/>
    <w:rsid w:val="513568CE"/>
    <w:rsid w:val="5138250D"/>
    <w:rsid w:val="513E5FDC"/>
    <w:rsid w:val="51412402"/>
    <w:rsid w:val="51414027"/>
    <w:rsid w:val="51896334"/>
    <w:rsid w:val="51C76382"/>
    <w:rsid w:val="51CD2963"/>
    <w:rsid w:val="51D61A39"/>
    <w:rsid w:val="51DA3A79"/>
    <w:rsid w:val="51DE005C"/>
    <w:rsid w:val="51E0376E"/>
    <w:rsid w:val="51E32F57"/>
    <w:rsid w:val="523E56FE"/>
    <w:rsid w:val="524106CE"/>
    <w:rsid w:val="5246050E"/>
    <w:rsid w:val="526C56FD"/>
    <w:rsid w:val="526C5FC8"/>
    <w:rsid w:val="52A4610B"/>
    <w:rsid w:val="52A92BF3"/>
    <w:rsid w:val="52AF6AFD"/>
    <w:rsid w:val="52BB0A0D"/>
    <w:rsid w:val="52C30DFC"/>
    <w:rsid w:val="52CB0C33"/>
    <w:rsid w:val="52E10764"/>
    <w:rsid w:val="52EC727F"/>
    <w:rsid w:val="530C146C"/>
    <w:rsid w:val="531051BB"/>
    <w:rsid w:val="531458B9"/>
    <w:rsid w:val="533378F8"/>
    <w:rsid w:val="533807AD"/>
    <w:rsid w:val="534C12B8"/>
    <w:rsid w:val="534C26F8"/>
    <w:rsid w:val="5370052F"/>
    <w:rsid w:val="53A87A83"/>
    <w:rsid w:val="53AB1C44"/>
    <w:rsid w:val="53BD6EA5"/>
    <w:rsid w:val="53DA10C2"/>
    <w:rsid w:val="53E5225B"/>
    <w:rsid w:val="53FD4D9B"/>
    <w:rsid w:val="540F4836"/>
    <w:rsid w:val="541B5FF8"/>
    <w:rsid w:val="542D05D7"/>
    <w:rsid w:val="5448598E"/>
    <w:rsid w:val="546803F2"/>
    <w:rsid w:val="54693B5A"/>
    <w:rsid w:val="54695258"/>
    <w:rsid w:val="54893381"/>
    <w:rsid w:val="549D3849"/>
    <w:rsid w:val="54A22B96"/>
    <w:rsid w:val="54B72A05"/>
    <w:rsid w:val="54DA1DDF"/>
    <w:rsid w:val="54E62171"/>
    <w:rsid w:val="54F0329C"/>
    <w:rsid w:val="54F34518"/>
    <w:rsid w:val="5503458C"/>
    <w:rsid w:val="55074523"/>
    <w:rsid w:val="55127748"/>
    <w:rsid w:val="551B5316"/>
    <w:rsid w:val="55224F21"/>
    <w:rsid w:val="557D4440"/>
    <w:rsid w:val="55D51F3A"/>
    <w:rsid w:val="55E22D82"/>
    <w:rsid w:val="55FB6F43"/>
    <w:rsid w:val="56052CA8"/>
    <w:rsid w:val="5643706E"/>
    <w:rsid w:val="56596C02"/>
    <w:rsid w:val="56600B89"/>
    <w:rsid w:val="5661598C"/>
    <w:rsid w:val="56835564"/>
    <w:rsid w:val="56857AD5"/>
    <w:rsid w:val="56BA15A7"/>
    <w:rsid w:val="56C7422E"/>
    <w:rsid w:val="56D842AC"/>
    <w:rsid w:val="56DA1F58"/>
    <w:rsid w:val="56FC28CC"/>
    <w:rsid w:val="57126007"/>
    <w:rsid w:val="574C1F28"/>
    <w:rsid w:val="57753F2C"/>
    <w:rsid w:val="5794028C"/>
    <w:rsid w:val="57B81219"/>
    <w:rsid w:val="57D93F6B"/>
    <w:rsid w:val="57E744EC"/>
    <w:rsid w:val="57E87A76"/>
    <w:rsid w:val="57EA7E6D"/>
    <w:rsid w:val="57ED09E8"/>
    <w:rsid w:val="582C353D"/>
    <w:rsid w:val="5863704B"/>
    <w:rsid w:val="586451B5"/>
    <w:rsid w:val="588A2C66"/>
    <w:rsid w:val="58964639"/>
    <w:rsid w:val="58BA0A97"/>
    <w:rsid w:val="58BA5AA4"/>
    <w:rsid w:val="58C85C32"/>
    <w:rsid w:val="58FC1618"/>
    <w:rsid w:val="59115977"/>
    <w:rsid w:val="59156F0C"/>
    <w:rsid w:val="59186872"/>
    <w:rsid w:val="591A5DA5"/>
    <w:rsid w:val="5974494D"/>
    <w:rsid w:val="59787826"/>
    <w:rsid w:val="5979577F"/>
    <w:rsid w:val="59A57C74"/>
    <w:rsid w:val="59B5752F"/>
    <w:rsid w:val="59EE1651"/>
    <w:rsid w:val="5A147C48"/>
    <w:rsid w:val="5A353570"/>
    <w:rsid w:val="5A595994"/>
    <w:rsid w:val="5A5E4C3E"/>
    <w:rsid w:val="5A5F787D"/>
    <w:rsid w:val="5A7E2307"/>
    <w:rsid w:val="5ABF6A9E"/>
    <w:rsid w:val="5AC43AAD"/>
    <w:rsid w:val="5AC5044D"/>
    <w:rsid w:val="5AF0433B"/>
    <w:rsid w:val="5AFA5226"/>
    <w:rsid w:val="5AFE1E47"/>
    <w:rsid w:val="5B251A03"/>
    <w:rsid w:val="5B2D41AF"/>
    <w:rsid w:val="5B8A4335"/>
    <w:rsid w:val="5BA20045"/>
    <w:rsid w:val="5BAD66F6"/>
    <w:rsid w:val="5BC71C15"/>
    <w:rsid w:val="5BCE71B2"/>
    <w:rsid w:val="5BD94A33"/>
    <w:rsid w:val="5C2869E8"/>
    <w:rsid w:val="5C2E16DE"/>
    <w:rsid w:val="5C427C1E"/>
    <w:rsid w:val="5C5B1BEA"/>
    <w:rsid w:val="5C804A86"/>
    <w:rsid w:val="5C8F5D82"/>
    <w:rsid w:val="5C920BD8"/>
    <w:rsid w:val="5CC31FEE"/>
    <w:rsid w:val="5CDF4088"/>
    <w:rsid w:val="5CE155E4"/>
    <w:rsid w:val="5CF56EC7"/>
    <w:rsid w:val="5D0158B7"/>
    <w:rsid w:val="5D105DE4"/>
    <w:rsid w:val="5D2D17E2"/>
    <w:rsid w:val="5D4E1C89"/>
    <w:rsid w:val="5D553DFC"/>
    <w:rsid w:val="5D5C3593"/>
    <w:rsid w:val="5D833C17"/>
    <w:rsid w:val="5D83536A"/>
    <w:rsid w:val="5D9B3765"/>
    <w:rsid w:val="5DC95C93"/>
    <w:rsid w:val="5DCA7D57"/>
    <w:rsid w:val="5DFA4A07"/>
    <w:rsid w:val="5E1B261B"/>
    <w:rsid w:val="5E1E68D7"/>
    <w:rsid w:val="5E290B44"/>
    <w:rsid w:val="5E376F46"/>
    <w:rsid w:val="5E3956E9"/>
    <w:rsid w:val="5E456633"/>
    <w:rsid w:val="5E890FC4"/>
    <w:rsid w:val="5E9B16F3"/>
    <w:rsid w:val="5EAF1322"/>
    <w:rsid w:val="5F137709"/>
    <w:rsid w:val="5F227B57"/>
    <w:rsid w:val="5F2A2630"/>
    <w:rsid w:val="5F355262"/>
    <w:rsid w:val="5F636244"/>
    <w:rsid w:val="5F8E3BAC"/>
    <w:rsid w:val="5FAC4B9E"/>
    <w:rsid w:val="5FDB49F6"/>
    <w:rsid w:val="5FE260C7"/>
    <w:rsid w:val="5FE82C35"/>
    <w:rsid w:val="5FF22648"/>
    <w:rsid w:val="5FF85EFB"/>
    <w:rsid w:val="6022714A"/>
    <w:rsid w:val="60464640"/>
    <w:rsid w:val="60746A38"/>
    <w:rsid w:val="60776716"/>
    <w:rsid w:val="60885382"/>
    <w:rsid w:val="608D10E4"/>
    <w:rsid w:val="60956BA0"/>
    <w:rsid w:val="60C10D67"/>
    <w:rsid w:val="60ED2398"/>
    <w:rsid w:val="614934AF"/>
    <w:rsid w:val="61541118"/>
    <w:rsid w:val="618C4BBB"/>
    <w:rsid w:val="6193030C"/>
    <w:rsid w:val="61990941"/>
    <w:rsid w:val="619A5225"/>
    <w:rsid w:val="61A61DEE"/>
    <w:rsid w:val="61B45CB1"/>
    <w:rsid w:val="61C308F9"/>
    <w:rsid w:val="61E76607"/>
    <w:rsid w:val="61E90AB5"/>
    <w:rsid w:val="620E3A8B"/>
    <w:rsid w:val="621B29AB"/>
    <w:rsid w:val="623F6127"/>
    <w:rsid w:val="6275188E"/>
    <w:rsid w:val="62817A34"/>
    <w:rsid w:val="62835978"/>
    <w:rsid w:val="6296714E"/>
    <w:rsid w:val="629F7262"/>
    <w:rsid w:val="62A85752"/>
    <w:rsid w:val="62A87695"/>
    <w:rsid w:val="62D54401"/>
    <w:rsid w:val="62DF0F09"/>
    <w:rsid w:val="62F86CC1"/>
    <w:rsid w:val="62FD0A4D"/>
    <w:rsid w:val="63253BB8"/>
    <w:rsid w:val="63340F61"/>
    <w:rsid w:val="6354451A"/>
    <w:rsid w:val="63613485"/>
    <w:rsid w:val="63660ED6"/>
    <w:rsid w:val="636C7FDD"/>
    <w:rsid w:val="637A2CAC"/>
    <w:rsid w:val="63C31C42"/>
    <w:rsid w:val="63D83CFB"/>
    <w:rsid w:val="63EA26B5"/>
    <w:rsid w:val="63EB49E7"/>
    <w:rsid w:val="63F22D18"/>
    <w:rsid w:val="63FA510E"/>
    <w:rsid w:val="64387BD6"/>
    <w:rsid w:val="6469484C"/>
    <w:rsid w:val="64773463"/>
    <w:rsid w:val="648A5E45"/>
    <w:rsid w:val="6492567E"/>
    <w:rsid w:val="64C56965"/>
    <w:rsid w:val="64EC31E4"/>
    <w:rsid w:val="64FB113D"/>
    <w:rsid w:val="65107793"/>
    <w:rsid w:val="65385B14"/>
    <w:rsid w:val="6539497D"/>
    <w:rsid w:val="6548237D"/>
    <w:rsid w:val="656919F9"/>
    <w:rsid w:val="656F318B"/>
    <w:rsid w:val="65B63627"/>
    <w:rsid w:val="65B777CE"/>
    <w:rsid w:val="65BB634C"/>
    <w:rsid w:val="65CD0AAB"/>
    <w:rsid w:val="662032ED"/>
    <w:rsid w:val="66481AE8"/>
    <w:rsid w:val="664F02F8"/>
    <w:rsid w:val="6667271A"/>
    <w:rsid w:val="66772A81"/>
    <w:rsid w:val="668416C0"/>
    <w:rsid w:val="668E79EA"/>
    <w:rsid w:val="6690699C"/>
    <w:rsid w:val="66B0727B"/>
    <w:rsid w:val="66BE7881"/>
    <w:rsid w:val="66C15FB8"/>
    <w:rsid w:val="66C30F2C"/>
    <w:rsid w:val="66F7007F"/>
    <w:rsid w:val="67212598"/>
    <w:rsid w:val="67282E3E"/>
    <w:rsid w:val="6752790C"/>
    <w:rsid w:val="67701750"/>
    <w:rsid w:val="67872DBE"/>
    <w:rsid w:val="67A26C35"/>
    <w:rsid w:val="67A437C0"/>
    <w:rsid w:val="67AB070C"/>
    <w:rsid w:val="67B51A77"/>
    <w:rsid w:val="67BC0C6C"/>
    <w:rsid w:val="67BE2AEB"/>
    <w:rsid w:val="67CA0987"/>
    <w:rsid w:val="67F90A7A"/>
    <w:rsid w:val="680948B6"/>
    <w:rsid w:val="680C41C8"/>
    <w:rsid w:val="680F225F"/>
    <w:rsid w:val="681D5016"/>
    <w:rsid w:val="68287623"/>
    <w:rsid w:val="686C6CD6"/>
    <w:rsid w:val="688A5738"/>
    <w:rsid w:val="689A0A74"/>
    <w:rsid w:val="68B83318"/>
    <w:rsid w:val="68C07173"/>
    <w:rsid w:val="68E806BE"/>
    <w:rsid w:val="68F87123"/>
    <w:rsid w:val="690208EE"/>
    <w:rsid w:val="692B3808"/>
    <w:rsid w:val="692E476D"/>
    <w:rsid w:val="69462975"/>
    <w:rsid w:val="69506110"/>
    <w:rsid w:val="69542046"/>
    <w:rsid w:val="69635503"/>
    <w:rsid w:val="69694EBB"/>
    <w:rsid w:val="697B3ADA"/>
    <w:rsid w:val="698267A9"/>
    <w:rsid w:val="699F351D"/>
    <w:rsid w:val="69AC1B51"/>
    <w:rsid w:val="69B32829"/>
    <w:rsid w:val="69C66211"/>
    <w:rsid w:val="69F20C1E"/>
    <w:rsid w:val="6A436561"/>
    <w:rsid w:val="6A456403"/>
    <w:rsid w:val="6A5D3866"/>
    <w:rsid w:val="6A9D1E0B"/>
    <w:rsid w:val="6AE0074F"/>
    <w:rsid w:val="6AEC6ABB"/>
    <w:rsid w:val="6AFF397A"/>
    <w:rsid w:val="6B00335B"/>
    <w:rsid w:val="6B356EA0"/>
    <w:rsid w:val="6B4C597C"/>
    <w:rsid w:val="6B505AF6"/>
    <w:rsid w:val="6BCA0A9F"/>
    <w:rsid w:val="6BF92303"/>
    <w:rsid w:val="6C126CF4"/>
    <w:rsid w:val="6C305BF8"/>
    <w:rsid w:val="6C4872D0"/>
    <w:rsid w:val="6C500A78"/>
    <w:rsid w:val="6C562029"/>
    <w:rsid w:val="6C6764C0"/>
    <w:rsid w:val="6C680531"/>
    <w:rsid w:val="6C6B51DD"/>
    <w:rsid w:val="6C78769F"/>
    <w:rsid w:val="6C7E76B7"/>
    <w:rsid w:val="6C8238BD"/>
    <w:rsid w:val="6C8B31EC"/>
    <w:rsid w:val="6CAB32B6"/>
    <w:rsid w:val="6CCD5941"/>
    <w:rsid w:val="6CD90324"/>
    <w:rsid w:val="6CE72981"/>
    <w:rsid w:val="6CFF143F"/>
    <w:rsid w:val="6D001C4A"/>
    <w:rsid w:val="6D0B4961"/>
    <w:rsid w:val="6D2D49E1"/>
    <w:rsid w:val="6D4554B7"/>
    <w:rsid w:val="6D4935F1"/>
    <w:rsid w:val="6D4B1D77"/>
    <w:rsid w:val="6D61452B"/>
    <w:rsid w:val="6D663C26"/>
    <w:rsid w:val="6D697093"/>
    <w:rsid w:val="6D722192"/>
    <w:rsid w:val="6D754EA5"/>
    <w:rsid w:val="6D8754F4"/>
    <w:rsid w:val="6D8D1165"/>
    <w:rsid w:val="6D940381"/>
    <w:rsid w:val="6DA376D2"/>
    <w:rsid w:val="6DB167F2"/>
    <w:rsid w:val="6DC026DC"/>
    <w:rsid w:val="6DD0698F"/>
    <w:rsid w:val="6DDA4485"/>
    <w:rsid w:val="6DE0700D"/>
    <w:rsid w:val="6DEF7B73"/>
    <w:rsid w:val="6DF00A3C"/>
    <w:rsid w:val="6E143397"/>
    <w:rsid w:val="6E270B44"/>
    <w:rsid w:val="6E385A05"/>
    <w:rsid w:val="6E43126D"/>
    <w:rsid w:val="6E5C638C"/>
    <w:rsid w:val="6E6F06AB"/>
    <w:rsid w:val="6E7A2B08"/>
    <w:rsid w:val="6E8D2851"/>
    <w:rsid w:val="6EFF69FC"/>
    <w:rsid w:val="6F0D071F"/>
    <w:rsid w:val="6F104C32"/>
    <w:rsid w:val="6F125A01"/>
    <w:rsid w:val="6F1621AB"/>
    <w:rsid w:val="6F2B097D"/>
    <w:rsid w:val="6F3516FC"/>
    <w:rsid w:val="6F4436BA"/>
    <w:rsid w:val="6F644D35"/>
    <w:rsid w:val="6F7719ED"/>
    <w:rsid w:val="6F9A24C9"/>
    <w:rsid w:val="6FAB0FD7"/>
    <w:rsid w:val="6FB42171"/>
    <w:rsid w:val="6FE468DE"/>
    <w:rsid w:val="700B153E"/>
    <w:rsid w:val="70131A44"/>
    <w:rsid w:val="703115A1"/>
    <w:rsid w:val="705B2C50"/>
    <w:rsid w:val="70616CF3"/>
    <w:rsid w:val="706E33EF"/>
    <w:rsid w:val="707725BD"/>
    <w:rsid w:val="70875F7B"/>
    <w:rsid w:val="709756AD"/>
    <w:rsid w:val="70A27315"/>
    <w:rsid w:val="70BD199D"/>
    <w:rsid w:val="70C96350"/>
    <w:rsid w:val="70D66CA0"/>
    <w:rsid w:val="70E81A95"/>
    <w:rsid w:val="70EC4B46"/>
    <w:rsid w:val="7100642C"/>
    <w:rsid w:val="712047B8"/>
    <w:rsid w:val="712811FA"/>
    <w:rsid w:val="714A0217"/>
    <w:rsid w:val="718A5E9A"/>
    <w:rsid w:val="71975766"/>
    <w:rsid w:val="71A37405"/>
    <w:rsid w:val="71B92164"/>
    <w:rsid w:val="71C62CCA"/>
    <w:rsid w:val="71EE3B77"/>
    <w:rsid w:val="72361A07"/>
    <w:rsid w:val="72572D88"/>
    <w:rsid w:val="725D7295"/>
    <w:rsid w:val="72661AD2"/>
    <w:rsid w:val="726E4E81"/>
    <w:rsid w:val="72821D2B"/>
    <w:rsid w:val="72AF7249"/>
    <w:rsid w:val="72B174ED"/>
    <w:rsid w:val="72C214EC"/>
    <w:rsid w:val="72EE72CB"/>
    <w:rsid w:val="72F84B99"/>
    <w:rsid w:val="732462E4"/>
    <w:rsid w:val="733D59FB"/>
    <w:rsid w:val="73504F1A"/>
    <w:rsid w:val="735471C6"/>
    <w:rsid w:val="736E330C"/>
    <w:rsid w:val="73803D87"/>
    <w:rsid w:val="73832133"/>
    <w:rsid w:val="739909AB"/>
    <w:rsid w:val="73B164AE"/>
    <w:rsid w:val="73B450D4"/>
    <w:rsid w:val="73DB77CD"/>
    <w:rsid w:val="73DC3ADD"/>
    <w:rsid w:val="74116287"/>
    <w:rsid w:val="74157242"/>
    <w:rsid w:val="74197527"/>
    <w:rsid w:val="742A1CEE"/>
    <w:rsid w:val="7431488C"/>
    <w:rsid w:val="743B17C8"/>
    <w:rsid w:val="74562A0F"/>
    <w:rsid w:val="748C6A93"/>
    <w:rsid w:val="748E5CD4"/>
    <w:rsid w:val="74B45753"/>
    <w:rsid w:val="74B50041"/>
    <w:rsid w:val="74B91BD2"/>
    <w:rsid w:val="74C432FA"/>
    <w:rsid w:val="74C8164B"/>
    <w:rsid w:val="74D311DC"/>
    <w:rsid w:val="75100625"/>
    <w:rsid w:val="75861199"/>
    <w:rsid w:val="759A1C4C"/>
    <w:rsid w:val="75A06E44"/>
    <w:rsid w:val="75BE57E2"/>
    <w:rsid w:val="75CB0B67"/>
    <w:rsid w:val="75EB3057"/>
    <w:rsid w:val="75F1045A"/>
    <w:rsid w:val="75FD5A13"/>
    <w:rsid w:val="75FF0E0A"/>
    <w:rsid w:val="76044755"/>
    <w:rsid w:val="762203EC"/>
    <w:rsid w:val="76451392"/>
    <w:rsid w:val="766B2E37"/>
    <w:rsid w:val="766E5C8D"/>
    <w:rsid w:val="7675535B"/>
    <w:rsid w:val="768768C4"/>
    <w:rsid w:val="769431A0"/>
    <w:rsid w:val="76D60A9F"/>
    <w:rsid w:val="76EB2510"/>
    <w:rsid w:val="76F42019"/>
    <w:rsid w:val="77175DA7"/>
    <w:rsid w:val="77230D9B"/>
    <w:rsid w:val="7723782C"/>
    <w:rsid w:val="772475DF"/>
    <w:rsid w:val="77316814"/>
    <w:rsid w:val="77330CA4"/>
    <w:rsid w:val="77ED4CD9"/>
    <w:rsid w:val="78187DF3"/>
    <w:rsid w:val="78615B4A"/>
    <w:rsid w:val="78641DAE"/>
    <w:rsid w:val="78720147"/>
    <w:rsid w:val="787E407D"/>
    <w:rsid w:val="7885707B"/>
    <w:rsid w:val="78C01CA2"/>
    <w:rsid w:val="78C85866"/>
    <w:rsid w:val="78DB5FAA"/>
    <w:rsid w:val="78E3470E"/>
    <w:rsid w:val="790E7E2B"/>
    <w:rsid w:val="79103A5B"/>
    <w:rsid w:val="79573313"/>
    <w:rsid w:val="798E48FF"/>
    <w:rsid w:val="799B66B5"/>
    <w:rsid w:val="79C7638D"/>
    <w:rsid w:val="79CA6987"/>
    <w:rsid w:val="79F15481"/>
    <w:rsid w:val="79F831B5"/>
    <w:rsid w:val="7A036672"/>
    <w:rsid w:val="7A072F38"/>
    <w:rsid w:val="7A16153A"/>
    <w:rsid w:val="7A296EFF"/>
    <w:rsid w:val="7A2B702D"/>
    <w:rsid w:val="7A5356B9"/>
    <w:rsid w:val="7A637111"/>
    <w:rsid w:val="7A6B246A"/>
    <w:rsid w:val="7A8F5C33"/>
    <w:rsid w:val="7A9A6395"/>
    <w:rsid w:val="7A9B7289"/>
    <w:rsid w:val="7AA31C03"/>
    <w:rsid w:val="7AAD4E65"/>
    <w:rsid w:val="7ABA2DBB"/>
    <w:rsid w:val="7ABF7FAB"/>
    <w:rsid w:val="7AE1009A"/>
    <w:rsid w:val="7AF24EBC"/>
    <w:rsid w:val="7AF63297"/>
    <w:rsid w:val="7AFB2C7A"/>
    <w:rsid w:val="7B0018B7"/>
    <w:rsid w:val="7B027244"/>
    <w:rsid w:val="7B32324F"/>
    <w:rsid w:val="7B41614B"/>
    <w:rsid w:val="7B7B1BDF"/>
    <w:rsid w:val="7B8B61E8"/>
    <w:rsid w:val="7B910F06"/>
    <w:rsid w:val="7B980CBD"/>
    <w:rsid w:val="7BC017A5"/>
    <w:rsid w:val="7BC23D90"/>
    <w:rsid w:val="7BCD4079"/>
    <w:rsid w:val="7BCF33FF"/>
    <w:rsid w:val="7BD90396"/>
    <w:rsid w:val="7BE36197"/>
    <w:rsid w:val="7BF45E98"/>
    <w:rsid w:val="7C076468"/>
    <w:rsid w:val="7C102968"/>
    <w:rsid w:val="7C124ABA"/>
    <w:rsid w:val="7C544A6F"/>
    <w:rsid w:val="7C7D2759"/>
    <w:rsid w:val="7C81665D"/>
    <w:rsid w:val="7C9E4879"/>
    <w:rsid w:val="7CE54A9F"/>
    <w:rsid w:val="7D1160C4"/>
    <w:rsid w:val="7D553AB1"/>
    <w:rsid w:val="7D796A15"/>
    <w:rsid w:val="7D924211"/>
    <w:rsid w:val="7DCB56F9"/>
    <w:rsid w:val="7DDB31AF"/>
    <w:rsid w:val="7DE822C8"/>
    <w:rsid w:val="7DE913EC"/>
    <w:rsid w:val="7E0B7DC2"/>
    <w:rsid w:val="7E163F8D"/>
    <w:rsid w:val="7E3016F4"/>
    <w:rsid w:val="7E484C0F"/>
    <w:rsid w:val="7E5D345D"/>
    <w:rsid w:val="7E6F61AB"/>
    <w:rsid w:val="7EAA1FB4"/>
    <w:rsid w:val="7EB20667"/>
    <w:rsid w:val="7EBC63B3"/>
    <w:rsid w:val="7EC277ED"/>
    <w:rsid w:val="7EDB1CCC"/>
    <w:rsid w:val="7EEA7C31"/>
    <w:rsid w:val="7EEE1691"/>
    <w:rsid w:val="7EF35D13"/>
    <w:rsid w:val="7EFE1E91"/>
    <w:rsid w:val="7F0D16CA"/>
    <w:rsid w:val="7F5C05E9"/>
    <w:rsid w:val="7F6144AD"/>
    <w:rsid w:val="7F8302FB"/>
    <w:rsid w:val="7F863357"/>
    <w:rsid w:val="7FA73F5F"/>
    <w:rsid w:val="7FB13376"/>
    <w:rsid w:val="7FE77D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4"/>
    <w:qFormat/>
    <w:uiPriority w:val="0"/>
    <w:pPr>
      <w:keepNext/>
      <w:jc w:val="center"/>
      <w:outlineLvl w:val="0"/>
    </w:pPr>
    <w:rPr>
      <w:b/>
      <w:bCs/>
      <w:sz w:val="24"/>
      <w:szCs w:val="20"/>
    </w:rPr>
  </w:style>
  <w:style w:type="paragraph" w:styleId="4">
    <w:name w:val="heading 2"/>
    <w:basedOn w:val="1"/>
    <w:next w:val="1"/>
    <w:link w:val="65"/>
    <w:qFormat/>
    <w:uiPriority w:val="0"/>
    <w:pPr>
      <w:keepNext/>
      <w:keepLines/>
      <w:spacing w:line="360" w:lineRule="auto"/>
      <w:jc w:val="center"/>
      <w:outlineLvl w:val="1"/>
    </w:pPr>
    <w:rPr>
      <w:rFonts w:ascii="Arial" w:hAnsi="Arial"/>
      <w:b/>
      <w:bCs/>
      <w:sz w:val="24"/>
      <w:szCs w:val="32"/>
    </w:rPr>
  </w:style>
  <w:style w:type="paragraph" w:styleId="5">
    <w:name w:val="heading 3"/>
    <w:basedOn w:val="1"/>
    <w:next w:val="1"/>
    <w:link w:val="66"/>
    <w:qFormat/>
    <w:uiPriority w:val="0"/>
    <w:pPr>
      <w:keepNext/>
      <w:keepLines/>
      <w:spacing w:before="260" w:after="260" w:line="416" w:lineRule="auto"/>
      <w:outlineLvl w:val="2"/>
    </w:pPr>
    <w:rPr>
      <w:b/>
      <w:bCs/>
      <w:sz w:val="32"/>
      <w:szCs w:val="32"/>
    </w:rPr>
  </w:style>
  <w:style w:type="paragraph" w:styleId="6">
    <w:name w:val="heading 4"/>
    <w:basedOn w:val="1"/>
    <w:next w:val="1"/>
    <w:link w:val="67"/>
    <w:autoRedefine/>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68"/>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69"/>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70"/>
    <w:qFormat/>
    <w:uiPriority w:val="0"/>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71"/>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72"/>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link w:val="75"/>
    <w:qFormat/>
    <w:uiPriority w:val="0"/>
    <w:pPr>
      <w:spacing w:after="120"/>
    </w:pPr>
  </w:style>
  <w:style w:type="paragraph" w:styleId="12">
    <w:name w:val="toc 7"/>
    <w:basedOn w:val="1"/>
    <w:next w:val="1"/>
    <w:qFormat/>
    <w:uiPriority w:val="39"/>
    <w:pPr>
      <w:ind w:left="2520" w:leftChars="1200"/>
    </w:pPr>
    <w:rPr>
      <w:rFonts w:ascii="Calibri" w:hAnsi="Calibri"/>
      <w:szCs w:val="22"/>
    </w:rPr>
  </w:style>
  <w:style w:type="paragraph" w:styleId="13">
    <w:name w:val="Normal Indent"/>
    <w:basedOn w:val="1"/>
    <w:next w:val="14"/>
    <w:autoRedefine/>
    <w:qFormat/>
    <w:uiPriority w:val="0"/>
    <w:pPr>
      <w:widowControl/>
      <w:ind w:firstLine="420"/>
      <w:jc w:val="left"/>
    </w:pPr>
    <w:rPr>
      <w:kern w:val="0"/>
      <w:sz w:val="20"/>
      <w:szCs w:val="20"/>
    </w:rPr>
  </w:style>
  <w:style w:type="paragraph" w:customStyle="1" w:styleId="14">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link w:val="73"/>
    <w:qFormat/>
    <w:uiPriority w:val="0"/>
    <w:pPr>
      <w:shd w:val="clear" w:color="auto" w:fill="000080"/>
    </w:pPr>
  </w:style>
  <w:style w:type="paragraph" w:styleId="17">
    <w:name w:val="annotation text"/>
    <w:basedOn w:val="1"/>
    <w:link w:val="74"/>
    <w:autoRedefine/>
    <w:qFormat/>
    <w:uiPriority w:val="0"/>
    <w:pPr>
      <w:jc w:val="left"/>
    </w:pPr>
  </w:style>
  <w:style w:type="paragraph" w:styleId="18">
    <w:name w:val="Salutation"/>
    <w:basedOn w:val="1"/>
    <w:next w:val="1"/>
    <w:autoRedefine/>
    <w:qFormat/>
    <w:uiPriority w:val="0"/>
    <w:rPr>
      <w:rFonts w:ascii="仿宋_GB2312" w:eastAsia="仿宋_GB2312"/>
      <w:sz w:val="24"/>
    </w:rPr>
  </w:style>
  <w:style w:type="paragraph" w:styleId="19">
    <w:name w:val="Body Text 3"/>
    <w:basedOn w:val="1"/>
    <w:qFormat/>
    <w:uiPriority w:val="0"/>
    <w:pPr>
      <w:autoSpaceDE w:val="0"/>
      <w:autoSpaceDN w:val="0"/>
      <w:adjustRightInd w:val="0"/>
      <w:spacing w:line="410" w:lineRule="atLeast"/>
      <w:jc w:val="left"/>
    </w:pPr>
    <w:rPr>
      <w:rFonts w:ascii="宋体"/>
      <w:color w:val="000000"/>
      <w:kern w:val="0"/>
      <w:sz w:val="24"/>
      <w:szCs w:val="20"/>
    </w:rPr>
  </w:style>
  <w:style w:type="paragraph" w:styleId="20">
    <w:name w:val="Body Text Indent"/>
    <w:basedOn w:val="1"/>
    <w:next w:val="21"/>
    <w:link w:val="76"/>
    <w:qFormat/>
    <w:uiPriority w:val="0"/>
    <w:pPr>
      <w:spacing w:after="120"/>
      <w:ind w:left="420" w:leftChars="200"/>
    </w:pPr>
  </w:style>
  <w:style w:type="paragraph" w:styleId="21">
    <w:name w:val="annotation subject"/>
    <w:basedOn w:val="17"/>
    <w:next w:val="1"/>
    <w:link w:val="77"/>
    <w:qFormat/>
    <w:uiPriority w:val="0"/>
    <w:rPr>
      <w:b/>
      <w:bCs/>
    </w:rPr>
  </w:style>
  <w:style w:type="paragraph" w:styleId="22">
    <w:name w:val="Block Text"/>
    <w:basedOn w:val="1"/>
    <w:qFormat/>
    <w:uiPriority w:val="0"/>
    <w:pPr>
      <w:ind w:left="1171" w:right="91" w:hanging="1080"/>
    </w:pPr>
    <w:rPr>
      <w:rFonts w:eastAsia="楷体_GB2312"/>
      <w:szCs w:val="20"/>
    </w:rPr>
  </w:style>
  <w:style w:type="paragraph" w:styleId="23">
    <w:name w:val="index 4"/>
    <w:basedOn w:val="1"/>
    <w:next w:val="1"/>
    <w:qFormat/>
    <w:uiPriority w:val="0"/>
    <w:pPr>
      <w:ind w:left="600" w:leftChars="600"/>
    </w:pPr>
    <w:rPr>
      <w:rFonts w:ascii="Calibri" w:hAnsi="Calibri"/>
      <w:szCs w:val="22"/>
    </w:rPr>
  </w:style>
  <w:style w:type="paragraph" w:styleId="24">
    <w:name w:val="toc 5"/>
    <w:basedOn w:val="1"/>
    <w:next w:val="1"/>
    <w:qFormat/>
    <w:uiPriority w:val="39"/>
    <w:pPr>
      <w:ind w:left="1680" w:leftChars="800"/>
    </w:pPr>
    <w:rPr>
      <w:rFonts w:ascii="Calibri" w:hAnsi="Calibri"/>
      <w:szCs w:val="22"/>
    </w:rPr>
  </w:style>
  <w:style w:type="paragraph" w:styleId="25">
    <w:name w:val="toc 3"/>
    <w:basedOn w:val="1"/>
    <w:next w:val="1"/>
    <w:qFormat/>
    <w:uiPriority w:val="39"/>
    <w:pPr>
      <w:ind w:left="840" w:leftChars="400"/>
    </w:pPr>
  </w:style>
  <w:style w:type="paragraph" w:styleId="26">
    <w:name w:val="Plain Text"/>
    <w:basedOn w:val="1"/>
    <w:link w:val="78"/>
    <w:qFormat/>
    <w:uiPriority w:val="0"/>
    <w:rPr>
      <w:rFonts w:ascii="宋体" w:hAnsi="Courier New" w:cs="Courier New"/>
      <w:szCs w:val="21"/>
    </w:rPr>
  </w:style>
  <w:style w:type="paragraph" w:styleId="27">
    <w:name w:val="toc 8"/>
    <w:basedOn w:val="1"/>
    <w:next w:val="1"/>
    <w:autoRedefine/>
    <w:qFormat/>
    <w:uiPriority w:val="39"/>
    <w:pPr>
      <w:ind w:left="2940" w:leftChars="1400"/>
    </w:pPr>
    <w:rPr>
      <w:rFonts w:ascii="Calibri" w:hAnsi="Calibri"/>
      <w:szCs w:val="22"/>
    </w:rPr>
  </w:style>
  <w:style w:type="paragraph" w:styleId="28">
    <w:name w:val="Date"/>
    <w:basedOn w:val="1"/>
    <w:next w:val="1"/>
    <w:link w:val="79"/>
    <w:autoRedefine/>
    <w:qFormat/>
    <w:uiPriority w:val="0"/>
    <w:rPr>
      <w:sz w:val="24"/>
      <w:szCs w:val="20"/>
    </w:rPr>
  </w:style>
  <w:style w:type="paragraph" w:styleId="29">
    <w:name w:val="Body Text Indent 2"/>
    <w:basedOn w:val="1"/>
    <w:link w:val="80"/>
    <w:qFormat/>
    <w:uiPriority w:val="0"/>
    <w:pPr>
      <w:spacing w:after="120" w:line="480" w:lineRule="auto"/>
      <w:ind w:left="420" w:leftChars="200"/>
    </w:pPr>
  </w:style>
  <w:style w:type="paragraph" w:styleId="30">
    <w:name w:val="Balloon Text"/>
    <w:basedOn w:val="1"/>
    <w:link w:val="81"/>
    <w:autoRedefine/>
    <w:qFormat/>
    <w:uiPriority w:val="0"/>
    <w:rPr>
      <w:sz w:val="18"/>
      <w:szCs w:val="18"/>
    </w:rPr>
  </w:style>
  <w:style w:type="paragraph" w:styleId="31">
    <w:name w:val="footer"/>
    <w:basedOn w:val="1"/>
    <w:link w:val="82"/>
    <w:autoRedefine/>
    <w:qFormat/>
    <w:uiPriority w:val="99"/>
    <w:pPr>
      <w:tabs>
        <w:tab w:val="center" w:pos="4153"/>
        <w:tab w:val="right" w:pos="8306"/>
      </w:tabs>
      <w:snapToGrid w:val="0"/>
      <w:jc w:val="left"/>
    </w:pPr>
    <w:rPr>
      <w:sz w:val="18"/>
      <w:szCs w:val="18"/>
    </w:rPr>
  </w:style>
  <w:style w:type="paragraph" w:styleId="32">
    <w:name w:val="header"/>
    <w:basedOn w:val="1"/>
    <w:link w:val="83"/>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rPr>
      <w:rFonts w:ascii="Calibri" w:hAnsi="Calibri"/>
      <w:b/>
      <w:szCs w:val="22"/>
    </w:rPr>
  </w:style>
  <w:style w:type="paragraph" w:styleId="34">
    <w:name w:val="toc 4"/>
    <w:basedOn w:val="1"/>
    <w:next w:val="1"/>
    <w:autoRedefine/>
    <w:qFormat/>
    <w:uiPriority w:val="39"/>
    <w:pPr>
      <w:ind w:left="1260" w:leftChars="600"/>
    </w:pPr>
  </w:style>
  <w:style w:type="paragraph" w:styleId="35">
    <w:name w:val="Subtitle"/>
    <w:basedOn w:val="1"/>
    <w:next w:val="1"/>
    <w:link w:val="84"/>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autoRedefine/>
    <w:qFormat/>
    <w:uiPriority w:val="39"/>
    <w:pPr>
      <w:ind w:left="2100" w:leftChars="1000"/>
    </w:pPr>
    <w:rPr>
      <w:rFonts w:ascii="Calibri" w:hAnsi="Calibri"/>
      <w:szCs w:val="22"/>
    </w:rPr>
  </w:style>
  <w:style w:type="paragraph" w:styleId="37">
    <w:name w:val="Body Text Indent 3"/>
    <w:basedOn w:val="1"/>
    <w:link w:val="85"/>
    <w:qFormat/>
    <w:uiPriority w:val="0"/>
    <w:pPr>
      <w:spacing w:after="120"/>
      <w:ind w:left="420" w:leftChars="200"/>
    </w:pPr>
    <w:rPr>
      <w:sz w:val="16"/>
      <w:szCs w:val="16"/>
    </w:rPr>
  </w:style>
  <w:style w:type="paragraph" w:styleId="38">
    <w:name w:val="index 7"/>
    <w:basedOn w:val="1"/>
    <w:next w:val="1"/>
    <w:qFormat/>
    <w:uiPriority w:val="0"/>
    <w:pPr>
      <w:widowControl/>
      <w:spacing w:after="312" w:afterLines="100" w:line="360" w:lineRule="auto"/>
      <w:ind w:left="1200" w:leftChars="1200" w:firstLine="200" w:firstLineChars="200"/>
      <w:jc w:val="left"/>
    </w:pPr>
    <w:rPr>
      <w:sz w:val="24"/>
      <w:lang w:val="zh-CN"/>
    </w:rPr>
  </w:style>
  <w:style w:type="paragraph" w:styleId="39">
    <w:name w:val="toc 2"/>
    <w:basedOn w:val="1"/>
    <w:next w:val="1"/>
    <w:qFormat/>
    <w:uiPriority w:val="39"/>
    <w:pPr>
      <w:ind w:left="420" w:leftChars="200"/>
    </w:pPr>
  </w:style>
  <w:style w:type="paragraph" w:styleId="40">
    <w:name w:val="toc 9"/>
    <w:basedOn w:val="1"/>
    <w:next w:val="1"/>
    <w:autoRedefine/>
    <w:qFormat/>
    <w:uiPriority w:val="39"/>
    <w:pPr>
      <w:ind w:left="3360" w:leftChars="1600"/>
    </w:pPr>
    <w:rPr>
      <w:rFonts w:ascii="Calibri" w:hAnsi="Calibri"/>
      <w:szCs w:val="22"/>
    </w:rPr>
  </w:style>
  <w:style w:type="paragraph" w:styleId="41">
    <w:name w:val="Body Text 2"/>
    <w:basedOn w:val="1"/>
    <w:qFormat/>
    <w:uiPriority w:val="0"/>
    <w:pPr>
      <w:spacing w:after="120" w:line="480" w:lineRule="auto"/>
    </w:pPr>
  </w:style>
  <w:style w:type="paragraph" w:styleId="42">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4">
    <w:name w:val="index 1"/>
    <w:basedOn w:val="1"/>
    <w:next w:val="1"/>
    <w:autoRedefine/>
    <w:qFormat/>
    <w:uiPriority w:val="0"/>
    <w:pPr>
      <w:spacing w:line="220" w:lineRule="exact"/>
      <w:jc w:val="center"/>
    </w:pPr>
    <w:rPr>
      <w:rFonts w:ascii="仿宋_GB2312" w:eastAsia="仿宋_GB2312"/>
      <w:szCs w:val="20"/>
    </w:rPr>
  </w:style>
  <w:style w:type="paragraph" w:styleId="45">
    <w:name w:val="Title"/>
    <w:basedOn w:val="1"/>
    <w:next w:val="1"/>
    <w:link w:val="86"/>
    <w:qFormat/>
    <w:uiPriority w:val="0"/>
    <w:pPr>
      <w:spacing w:before="240" w:after="60"/>
      <w:jc w:val="center"/>
      <w:outlineLvl w:val="0"/>
    </w:pPr>
    <w:rPr>
      <w:rFonts w:ascii="Cambria" w:hAnsi="Cambria"/>
      <w:b/>
      <w:sz w:val="32"/>
    </w:rPr>
  </w:style>
  <w:style w:type="paragraph" w:styleId="46">
    <w:name w:val="Body Text First Indent 2"/>
    <w:basedOn w:val="20"/>
    <w:next w:val="13"/>
    <w:qFormat/>
    <w:uiPriority w:val="0"/>
    <w:pPr>
      <w:autoSpaceDE w:val="0"/>
      <w:autoSpaceDN w:val="0"/>
      <w:adjustRightInd w:val="0"/>
      <w:ind w:firstLine="420"/>
      <w:jc w:val="left"/>
    </w:pPr>
    <w:rPr>
      <w:rFonts w:ascii="Calibri" w:hAnsi="Calibri"/>
      <w:kern w:val="0"/>
    </w:rPr>
  </w:style>
  <w:style w:type="table" w:styleId="48">
    <w:name w:val="Table Grid"/>
    <w:basedOn w:val="4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b/>
      <w:bCs/>
    </w:rPr>
  </w:style>
  <w:style w:type="character" w:styleId="51">
    <w:name w:val="page number"/>
    <w:autoRedefine/>
    <w:qFormat/>
    <w:uiPriority w:val="0"/>
  </w:style>
  <w:style w:type="character" w:styleId="52">
    <w:name w:val="FollowedHyperlink"/>
    <w:qFormat/>
    <w:uiPriority w:val="0"/>
    <w:rPr>
      <w:color w:val="373737"/>
      <w:u w:val="none"/>
    </w:rPr>
  </w:style>
  <w:style w:type="character" w:styleId="53">
    <w:name w:val="Emphasis"/>
    <w:qFormat/>
    <w:uiPriority w:val="0"/>
    <w:rPr>
      <w:rFonts w:ascii="Times New Roman" w:hAnsi="Times New Roman" w:eastAsia="宋体"/>
    </w:rPr>
  </w:style>
  <w:style w:type="character" w:styleId="54">
    <w:name w:val="HTML Definition"/>
    <w:autoRedefine/>
    <w:qFormat/>
    <w:uiPriority w:val="0"/>
    <w:rPr>
      <w:rFonts w:ascii="Times New Roman" w:hAnsi="Times New Roman" w:eastAsia="宋体"/>
    </w:rPr>
  </w:style>
  <w:style w:type="character" w:styleId="55">
    <w:name w:val="HTML Typewriter"/>
    <w:qFormat/>
    <w:uiPriority w:val="0"/>
    <w:rPr>
      <w:rFonts w:ascii="Courier New" w:hAnsi="Courier New"/>
      <w:sz w:val="24"/>
      <w:szCs w:val="24"/>
    </w:rPr>
  </w:style>
  <w:style w:type="character" w:styleId="56">
    <w:name w:val="HTML Acronym"/>
    <w:qFormat/>
    <w:uiPriority w:val="0"/>
    <w:rPr>
      <w:u w:val="none"/>
      <w:shd w:val="clear" w:color="auto" w:fill="FFFFFF"/>
    </w:rPr>
  </w:style>
  <w:style w:type="character" w:styleId="57">
    <w:name w:val="HTML Variable"/>
    <w:qFormat/>
    <w:uiPriority w:val="0"/>
    <w:rPr>
      <w:rFonts w:ascii="Times New Roman" w:hAnsi="Times New Roman" w:eastAsia="宋体"/>
    </w:rPr>
  </w:style>
  <w:style w:type="character" w:styleId="58">
    <w:name w:val="Hyperlink"/>
    <w:autoRedefine/>
    <w:qFormat/>
    <w:uiPriority w:val="99"/>
    <w:rPr>
      <w:color w:val="136EC2"/>
      <w:u w:val="single"/>
    </w:rPr>
  </w:style>
  <w:style w:type="character" w:styleId="59">
    <w:name w:val="HTML Code"/>
    <w:autoRedefine/>
    <w:qFormat/>
    <w:uiPriority w:val="0"/>
    <w:rPr>
      <w:rFonts w:ascii="Courier New" w:hAnsi="Courier New" w:eastAsia="Courier New" w:cs="Courier New"/>
      <w:sz w:val="20"/>
    </w:rPr>
  </w:style>
  <w:style w:type="character" w:styleId="60">
    <w:name w:val="annotation reference"/>
    <w:qFormat/>
    <w:uiPriority w:val="0"/>
    <w:rPr>
      <w:sz w:val="21"/>
      <w:szCs w:val="21"/>
    </w:rPr>
  </w:style>
  <w:style w:type="character" w:styleId="61">
    <w:name w:val="HTML Cite"/>
    <w:autoRedefine/>
    <w:qFormat/>
    <w:uiPriority w:val="0"/>
    <w:rPr>
      <w:rFonts w:ascii="Times New Roman" w:hAnsi="Times New Roman" w:eastAsia="宋体"/>
    </w:rPr>
  </w:style>
  <w:style w:type="character" w:styleId="62">
    <w:name w:val="HTML Keyboard"/>
    <w:autoRedefine/>
    <w:qFormat/>
    <w:uiPriority w:val="0"/>
    <w:rPr>
      <w:rFonts w:ascii="Courier New" w:hAnsi="Courier New" w:eastAsia="Courier New" w:cs="Courier New"/>
      <w:sz w:val="20"/>
    </w:rPr>
  </w:style>
  <w:style w:type="character" w:styleId="63">
    <w:name w:val="HTML Sample"/>
    <w:autoRedefine/>
    <w:qFormat/>
    <w:uiPriority w:val="0"/>
    <w:rPr>
      <w:rFonts w:ascii="Courier New" w:hAnsi="Courier New" w:eastAsia="Courier New" w:cs="Courier New"/>
    </w:rPr>
  </w:style>
  <w:style w:type="character" w:customStyle="1" w:styleId="64">
    <w:name w:val="标题 1 字符"/>
    <w:link w:val="3"/>
    <w:qFormat/>
    <w:uiPriority w:val="0"/>
    <w:rPr>
      <w:rFonts w:eastAsia="宋体"/>
      <w:b/>
      <w:bCs/>
      <w:kern w:val="2"/>
      <w:sz w:val="24"/>
      <w:lang w:val="en-US" w:eastAsia="zh-CN" w:bidi="ar-SA"/>
    </w:rPr>
  </w:style>
  <w:style w:type="character" w:customStyle="1" w:styleId="65">
    <w:name w:val="标题 2 字符"/>
    <w:link w:val="4"/>
    <w:qFormat/>
    <w:uiPriority w:val="0"/>
    <w:rPr>
      <w:rFonts w:ascii="Arial" w:hAnsi="Arial"/>
      <w:b/>
      <w:bCs/>
      <w:kern w:val="2"/>
      <w:sz w:val="24"/>
      <w:szCs w:val="32"/>
    </w:rPr>
  </w:style>
  <w:style w:type="character" w:customStyle="1" w:styleId="66">
    <w:name w:val="标题 3 字符"/>
    <w:link w:val="5"/>
    <w:qFormat/>
    <w:uiPriority w:val="0"/>
    <w:rPr>
      <w:rFonts w:eastAsia="宋体"/>
      <w:b/>
      <w:bCs/>
      <w:kern w:val="2"/>
      <w:sz w:val="32"/>
      <w:szCs w:val="32"/>
      <w:lang w:val="en-US" w:eastAsia="zh-CN" w:bidi="ar-SA"/>
    </w:rPr>
  </w:style>
  <w:style w:type="character" w:customStyle="1" w:styleId="67">
    <w:name w:val="标题 4 字符"/>
    <w:link w:val="6"/>
    <w:qFormat/>
    <w:uiPriority w:val="0"/>
    <w:rPr>
      <w:rFonts w:ascii="Arial" w:hAnsi="Arial" w:eastAsia="黑体"/>
      <w:b/>
      <w:bCs/>
      <w:kern w:val="2"/>
      <w:sz w:val="28"/>
      <w:szCs w:val="28"/>
      <w:lang w:val="en-US" w:eastAsia="zh-CN" w:bidi="ar-SA"/>
    </w:rPr>
  </w:style>
  <w:style w:type="character" w:customStyle="1" w:styleId="68">
    <w:name w:val="标题 5 字符"/>
    <w:link w:val="7"/>
    <w:qFormat/>
    <w:uiPriority w:val="0"/>
    <w:rPr>
      <w:rFonts w:eastAsia="宋体"/>
      <w:b/>
      <w:bCs/>
      <w:sz w:val="28"/>
      <w:szCs w:val="28"/>
      <w:lang w:val="en-US" w:eastAsia="zh-CN" w:bidi="ar-SA"/>
    </w:rPr>
  </w:style>
  <w:style w:type="character" w:customStyle="1" w:styleId="69">
    <w:name w:val="标题 6 字符"/>
    <w:link w:val="8"/>
    <w:qFormat/>
    <w:uiPriority w:val="0"/>
    <w:rPr>
      <w:rFonts w:ascii="Arial" w:hAnsi="Arial" w:eastAsia="黑体"/>
      <w:b/>
      <w:bCs/>
      <w:sz w:val="24"/>
      <w:szCs w:val="24"/>
      <w:lang w:val="en-US" w:eastAsia="zh-CN" w:bidi="ar-SA"/>
    </w:rPr>
  </w:style>
  <w:style w:type="character" w:customStyle="1" w:styleId="70">
    <w:name w:val="标题 7 字符"/>
    <w:link w:val="9"/>
    <w:qFormat/>
    <w:uiPriority w:val="0"/>
    <w:rPr>
      <w:rFonts w:eastAsia="宋体"/>
      <w:b/>
      <w:bCs/>
      <w:sz w:val="24"/>
      <w:szCs w:val="24"/>
      <w:lang w:val="en-US" w:eastAsia="zh-CN" w:bidi="ar-SA"/>
    </w:rPr>
  </w:style>
  <w:style w:type="character" w:customStyle="1" w:styleId="71">
    <w:name w:val="标题 8 字符"/>
    <w:link w:val="10"/>
    <w:autoRedefine/>
    <w:qFormat/>
    <w:uiPriority w:val="0"/>
    <w:rPr>
      <w:rFonts w:ascii="Arial" w:hAnsi="Arial" w:eastAsia="黑体"/>
      <w:sz w:val="24"/>
      <w:szCs w:val="24"/>
      <w:lang w:val="en-US" w:eastAsia="zh-CN" w:bidi="ar-SA"/>
    </w:rPr>
  </w:style>
  <w:style w:type="character" w:customStyle="1" w:styleId="72">
    <w:name w:val="标题 9 字符"/>
    <w:link w:val="11"/>
    <w:autoRedefine/>
    <w:qFormat/>
    <w:uiPriority w:val="0"/>
    <w:rPr>
      <w:rFonts w:ascii="Arial" w:hAnsi="Arial" w:eastAsia="黑体"/>
      <w:sz w:val="21"/>
      <w:szCs w:val="21"/>
      <w:lang w:val="en-US" w:eastAsia="zh-CN" w:bidi="ar-SA"/>
    </w:rPr>
  </w:style>
  <w:style w:type="character" w:customStyle="1" w:styleId="73">
    <w:name w:val="文档结构图 字符"/>
    <w:link w:val="16"/>
    <w:autoRedefine/>
    <w:qFormat/>
    <w:uiPriority w:val="0"/>
    <w:rPr>
      <w:kern w:val="2"/>
      <w:sz w:val="21"/>
      <w:szCs w:val="24"/>
      <w:shd w:val="clear" w:color="auto" w:fill="000080"/>
    </w:rPr>
  </w:style>
  <w:style w:type="character" w:customStyle="1" w:styleId="74">
    <w:name w:val="批注文字 字符"/>
    <w:link w:val="17"/>
    <w:autoRedefine/>
    <w:qFormat/>
    <w:uiPriority w:val="0"/>
    <w:rPr>
      <w:rFonts w:eastAsia="宋体"/>
      <w:kern w:val="2"/>
      <w:sz w:val="21"/>
      <w:szCs w:val="24"/>
      <w:lang w:val="en-US" w:eastAsia="zh-CN" w:bidi="ar-SA"/>
    </w:rPr>
  </w:style>
  <w:style w:type="character" w:customStyle="1" w:styleId="75">
    <w:name w:val="正文文本 字符"/>
    <w:link w:val="2"/>
    <w:qFormat/>
    <w:uiPriority w:val="0"/>
    <w:rPr>
      <w:kern w:val="2"/>
      <w:sz w:val="21"/>
      <w:szCs w:val="24"/>
    </w:rPr>
  </w:style>
  <w:style w:type="character" w:customStyle="1" w:styleId="76">
    <w:name w:val="正文文本缩进 字符"/>
    <w:link w:val="20"/>
    <w:autoRedefine/>
    <w:qFormat/>
    <w:uiPriority w:val="0"/>
    <w:rPr>
      <w:rFonts w:eastAsia="宋体"/>
      <w:kern w:val="2"/>
      <w:sz w:val="21"/>
      <w:szCs w:val="24"/>
      <w:lang w:val="en-US" w:eastAsia="zh-CN" w:bidi="ar-SA"/>
    </w:rPr>
  </w:style>
  <w:style w:type="character" w:customStyle="1" w:styleId="77">
    <w:name w:val="批注主题 字符"/>
    <w:link w:val="21"/>
    <w:autoRedefine/>
    <w:qFormat/>
    <w:uiPriority w:val="0"/>
    <w:rPr>
      <w:rFonts w:eastAsia="宋体"/>
      <w:b/>
      <w:bCs/>
      <w:kern w:val="2"/>
      <w:sz w:val="21"/>
      <w:szCs w:val="24"/>
      <w:lang w:val="en-US" w:eastAsia="zh-CN" w:bidi="ar-SA"/>
    </w:rPr>
  </w:style>
  <w:style w:type="character" w:customStyle="1" w:styleId="78">
    <w:name w:val="纯文本 字符"/>
    <w:link w:val="26"/>
    <w:autoRedefine/>
    <w:qFormat/>
    <w:locked/>
    <w:uiPriority w:val="0"/>
    <w:rPr>
      <w:rFonts w:ascii="宋体" w:hAnsi="Courier New" w:eastAsia="宋体" w:cs="Courier New"/>
      <w:kern w:val="2"/>
      <w:sz w:val="21"/>
      <w:szCs w:val="21"/>
      <w:lang w:val="en-US" w:eastAsia="zh-CN" w:bidi="ar-SA"/>
    </w:rPr>
  </w:style>
  <w:style w:type="character" w:customStyle="1" w:styleId="79">
    <w:name w:val="日期 字符"/>
    <w:link w:val="28"/>
    <w:qFormat/>
    <w:uiPriority w:val="0"/>
    <w:rPr>
      <w:rFonts w:eastAsia="宋体"/>
      <w:kern w:val="2"/>
      <w:sz w:val="24"/>
      <w:lang w:val="en-US" w:eastAsia="zh-CN" w:bidi="ar-SA"/>
    </w:rPr>
  </w:style>
  <w:style w:type="character" w:customStyle="1" w:styleId="80">
    <w:name w:val="正文文本缩进 2 字符"/>
    <w:link w:val="29"/>
    <w:qFormat/>
    <w:uiPriority w:val="0"/>
    <w:rPr>
      <w:kern w:val="2"/>
      <w:sz w:val="21"/>
      <w:szCs w:val="24"/>
    </w:rPr>
  </w:style>
  <w:style w:type="character" w:customStyle="1" w:styleId="81">
    <w:name w:val="批注框文本 字符"/>
    <w:link w:val="30"/>
    <w:qFormat/>
    <w:locked/>
    <w:uiPriority w:val="0"/>
    <w:rPr>
      <w:rFonts w:ascii="Calibri" w:hAnsi="Calibri" w:eastAsia="宋体"/>
      <w:kern w:val="2"/>
      <w:sz w:val="18"/>
      <w:szCs w:val="18"/>
      <w:lang w:val="en-US" w:eastAsia="zh-CN" w:bidi="ar-SA"/>
    </w:rPr>
  </w:style>
  <w:style w:type="character" w:customStyle="1" w:styleId="82">
    <w:name w:val="页脚 字符"/>
    <w:link w:val="31"/>
    <w:autoRedefine/>
    <w:qFormat/>
    <w:uiPriority w:val="99"/>
    <w:rPr>
      <w:rFonts w:eastAsia="宋体"/>
      <w:kern w:val="2"/>
      <w:sz w:val="18"/>
      <w:szCs w:val="18"/>
      <w:lang w:val="en-US" w:eastAsia="zh-CN" w:bidi="ar-SA"/>
    </w:rPr>
  </w:style>
  <w:style w:type="character" w:customStyle="1" w:styleId="83">
    <w:name w:val="页眉 字符"/>
    <w:link w:val="32"/>
    <w:qFormat/>
    <w:uiPriority w:val="0"/>
    <w:rPr>
      <w:rFonts w:eastAsia="宋体"/>
      <w:kern w:val="2"/>
      <w:sz w:val="18"/>
      <w:szCs w:val="18"/>
      <w:lang w:val="en-US" w:eastAsia="zh-CN" w:bidi="ar-SA"/>
    </w:rPr>
  </w:style>
  <w:style w:type="character" w:customStyle="1" w:styleId="84">
    <w:name w:val="副标题 字符"/>
    <w:link w:val="35"/>
    <w:qFormat/>
    <w:uiPriority w:val="0"/>
    <w:rPr>
      <w:rFonts w:ascii="Cambria" w:hAnsi="Cambria"/>
      <w:b/>
      <w:bCs/>
      <w:kern w:val="28"/>
      <w:sz w:val="32"/>
      <w:szCs w:val="32"/>
    </w:rPr>
  </w:style>
  <w:style w:type="character" w:customStyle="1" w:styleId="85">
    <w:name w:val="正文文本缩进 3 字符"/>
    <w:link w:val="37"/>
    <w:qFormat/>
    <w:uiPriority w:val="0"/>
    <w:rPr>
      <w:rFonts w:eastAsia="宋体"/>
      <w:kern w:val="2"/>
      <w:sz w:val="16"/>
      <w:szCs w:val="16"/>
      <w:lang w:val="en-US" w:eastAsia="zh-CN" w:bidi="ar-SA"/>
    </w:rPr>
  </w:style>
  <w:style w:type="character" w:customStyle="1" w:styleId="86">
    <w:name w:val="标题 字符"/>
    <w:link w:val="45"/>
    <w:qFormat/>
    <w:uiPriority w:val="0"/>
    <w:rPr>
      <w:rFonts w:ascii="Cambria" w:hAnsi="Cambria"/>
      <w:b/>
      <w:kern w:val="2"/>
      <w:sz w:val="32"/>
      <w:szCs w:val="24"/>
    </w:rPr>
  </w:style>
  <w:style w:type="paragraph" w:customStyle="1" w:styleId="87">
    <w:name w:val="正文1"/>
    <w:basedOn w:val="1"/>
    <w:autoRedefine/>
    <w:qFormat/>
    <w:uiPriority w:val="0"/>
    <w:pPr>
      <w:spacing w:line="360" w:lineRule="auto"/>
      <w:ind w:firstLine="480" w:firstLineChars="200"/>
    </w:pPr>
    <w:rPr>
      <w:sz w:val="24"/>
    </w:rPr>
  </w:style>
  <w:style w:type="paragraph" w:customStyle="1" w:styleId="88">
    <w:name w:val="正文首行缩进1"/>
    <w:basedOn w:val="1"/>
    <w:autoRedefine/>
    <w:qFormat/>
    <w:uiPriority w:val="99"/>
    <w:pPr>
      <w:spacing w:after="120"/>
      <w:ind w:firstLine="420" w:firstLineChars="100"/>
    </w:pPr>
  </w:style>
  <w:style w:type="paragraph" w:customStyle="1" w:styleId="89">
    <w:name w:val="正文格式"/>
    <w:basedOn w:val="2"/>
    <w:next w:val="2"/>
    <w:autoRedefine/>
    <w:qFormat/>
    <w:uiPriority w:val="0"/>
    <w:pPr>
      <w:widowControl/>
      <w:adjustRightInd w:val="0"/>
      <w:snapToGrid w:val="0"/>
      <w:spacing w:line="400" w:lineRule="atLeast"/>
      <w:ind w:firstLine="482"/>
      <w:textAlignment w:val="baseline"/>
    </w:pPr>
    <w:rPr>
      <w:kern w:val="0"/>
      <w:sz w:val="24"/>
    </w:rPr>
  </w:style>
  <w:style w:type="character" w:customStyle="1" w:styleId="90">
    <w:name w:val="标题 9 Char"/>
    <w:qFormat/>
    <w:uiPriority w:val="0"/>
    <w:rPr>
      <w:rFonts w:ascii="Arial" w:hAnsi="Arial" w:eastAsia="黑体"/>
      <w:sz w:val="21"/>
      <w:szCs w:val="21"/>
    </w:rPr>
  </w:style>
  <w:style w:type="character" w:customStyle="1" w:styleId="91">
    <w:name w:val="Char Char17"/>
    <w:qFormat/>
    <w:uiPriority w:val="0"/>
    <w:rPr>
      <w:rFonts w:ascii="宋体" w:hAnsi="Times New Roman" w:eastAsia="宋体"/>
      <w:b/>
      <w:sz w:val="28"/>
      <w:lang w:val="en-US" w:eastAsia="zh-CN" w:bidi="ar-SA"/>
    </w:rPr>
  </w:style>
  <w:style w:type="character" w:customStyle="1" w:styleId="92">
    <w:name w:val="批注文字 Char"/>
    <w:autoRedefine/>
    <w:qFormat/>
    <w:uiPriority w:val="0"/>
    <w:rPr>
      <w:kern w:val="2"/>
      <w:sz w:val="21"/>
      <w:szCs w:val="24"/>
    </w:rPr>
  </w:style>
  <w:style w:type="character" w:customStyle="1" w:styleId="93">
    <w:name w:val="title22"/>
    <w:autoRedefine/>
    <w:qFormat/>
    <w:uiPriority w:val="0"/>
    <w:rPr>
      <w:b/>
      <w:color w:val="000000"/>
    </w:rPr>
  </w:style>
  <w:style w:type="character" w:customStyle="1" w:styleId="94">
    <w:name w:val="Font Style131"/>
    <w:unhideWhenUsed/>
    <w:qFormat/>
    <w:uiPriority w:val="99"/>
    <w:rPr>
      <w:rFonts w:hint="eastAsia" w:ascii="Times New Roman" w:hAnsi="Times New Roman" w:eastAsia="Times New Roman"/>
      <w:sz w:val="18"/>
    </w:rPr>
  </w:style>
  <w:style w:type="character" w:customStyle="1" w:styleId="95">
    <w:name w:val="p0 Char"/>
    <w:link w:val="96"/>
    <w:autoRedefine/>
    <w:qFormat/>
    <w:uiPriority w:val="0"/>
    <w:rPr>
      <w:rFonts w:eastAsia="宋体"/>
      <w:sz w:val="21"/>
      <w:szCs w:val="21"/>
      <w:lang w:val="en-US" w:eastAsia="zh-CN" w:bidi="ar-SA"/>
    </w:rPr>
  </w:style>
  <w:style w:type="paragraph" w:customStyle="1" w:styleId="96">
    <w:name w:val="p0"/>
    <w:basedOn w:val="1"/>
    <w:link w:val="95"/>
    <w:autoRedefine/>
    <w:qFormat/>
    <w:uiPriority w:val="0"/>
    <w:pPr>
      <w:widowControl/>
    </w:pPr>
    <w:rPr>
      <w:kern w:val="0"/>
      <w:szCs w:val="21"/>
    </w:rPr>
  </w:style>
  <w:style w:type="character" w:customStyle="1" w:styleId="97">
    <w:name w:val="l-btn-left"/>
    <w:qFormat/>
    <w:uiPriority w:val="0"/>
  </w:style>
  <w:style w:type="character" w:customStyle="1" w:styleId="98">
    <w:name w:val="Font Style121"/>
    <w:autoRedefine/>
    <w:unhideWhenUsed/>
    <w:qFormat/>
    <w:uiPriority w:val="99"/>
    <w:rPr>
      <w:rFonts w:hint="eastAsia" w:ascii="宋体" w:hAnsi="宋体" w:eastAsia="宋体"/>
      <w:spacing w:val="-10"/>
      <w:sz w:val="30"/>
    </w:rPr>
  </w:style>
  <w:style w:type="character" w:customStyle="1" w:styleId="99">
    <w:name w:val="页眉 Char"/>
    <w:autoRedefine/>
    <w:qFormat/>
    <w:uiPriority w:val="0"/>
    <w:rPr>
      <w:kern w:val="2"/>
      <w:sz w:val="18"/>
      <w:szCs w:val="18"/>
    </w:rPr>
  </w:style>
  <w:style w:type="character" w:customStyle="1" w:styleId="100">
    <w:name w:val="Font Style115"/>
    <w:unhideWhenUsed/>
    <w:qFormat/>
    <w:uiPriority w:val="99"/>
    <w:rPr>
      <w:rFonts w:hint="eastAsia" w:ascii="Times New Roman" w:hAnsi="Times New Roman" w:eastAsia="Times New Roman"/>
      <w:sz w:val="16"/>
    </w:rPr>
  </w:style>
  <w:style w:type="character" w:customStyle="1" w:styleId="101">
    <w:name w:val="标题 4 Char Char"/>
    <w:qFormat/>
    <w:uiPriority w:val="0"/>
    <w:rPr>
      <w:rFonts w:ascii="Arial" w:hAnsi="Arial" w:eastAsia="宋体"/>
      <w:b/>
      <w:bCs/>
      <w:kern w:val="2"/>
      <w:sz w:val="21"/>
      <w:szCs w:val="28"/>
      <w:lang w:val="en-US" w:eastAsia="zh-CN" w:bidi="ar-SA"/>
    </w:rPr>
  </w:style>
  <w:style w:type="character" w:customStyle="1" w:styleId="102">
    <w:name w:val="批注主题 Char"/>
    <w:qFormat/>
    <w:uiPriority w:val="0"/>
    <w:rPr>
      <w:b/>
      <w:bCs/>
      <w:kern w:val="2"/>
      <w:sz w:val="21"/>
      <w:szCs w:val="24"/>
    </w:rPr>
  </w:style>
  <w:style w:type="character" w:customStyle="1" w:styleId="103">
    <w:name w:val="Font Style124"/>
    <w:unhideWhenUsed/>
    <w:qFormat/>
    <w:uiPriority w:val="99"/>
    <w:rPr>
      <w:rFonts w:hint="eastAsia" w:ascii="宋体" w:hAnsi="宋体" w:eastAsia="宋体"/>
      <w:spacing w:val="30"/>
      <w:sz w:val="24"/>
    </w:rPr>
  </w:style>
  <w:style w:type="character" w:customStyle="1" w:styleId="104">
    <w:name w:val="sort"/>
    <w:autoRedefine/>
    <w:qFormat/>
    <w:uiPriority w:val="0"/>
    <w:rPr>
      <w:rFonts w:ascii="Times New Roman" w:hAnsi="Times New Roman" w:eastAsia="宋体"/>
      <w:color w:val="FFFFFF"/>
      <w:bdr w:val="single" w:color="auto" w:sz="24" w:space="0"/>
    </w:rPr>
  </w:style>
  <w:style w:type="character" w:customStyle="1" w:styleId="105">
    <w:name w:val="标题 2 Char"/>
    <w:qFormat/>
    <w:uiPriority w:val="0"/>
    <w:rPr>
      <w:rFonts w:ascii="Cambria" w:hAnsi="Cambria" w:eastAsia="宋体" w:cs="Times New Roman"/>
      <w:b/>
      <w:bCs/>
      <w:kern w:val="2"/>
      <w:sz w:val="32"/>
      <w:szCs w:val="32"/>
    </w:rPr>
  </w:style>
  <w:style w:type="character" w:customStyle="1" w:styleId="106">
    <w:name w:val="sort1"/>
    <w:qFormat/>
    <w:uiPriority w:val="0"/>
    <w:rPr>
      <w:rFonts w:ascii="Times New Roman" w:hAnsi="Times New Roman" w:eastAsia="宋体"/>
    </w:rPr>
  </w:style>
  <w:style w:type="character" w:customStyle="1" w:styleId="107">
    <w:name w:val="l-btn-icon-right"/>
    <w:qFormat/>
    <w:uiPriority w:val="0"/>
  </w:style>
  <w:style w:type="character" w:customStyle="1" w:styleId="108">
    <w:name w:val="bds_more10"/>
    <w:qFormat/>
    <w:uiPriority w:val="0"/>
    <w:rPr>
      <w:rFonts w:ascii="Times New Roman" w:hAnsi="Times New Roman" w:eastAsia="宋体"/>
    </w:rPr>
  </w:style>
  <w:style w:type="character" w:customStyle="1" w:styleId="109">
    <w:name w:val="l-btn-left3"/>
    <w:qFormat/>
    <w:uiPriority w:val="0"/>
  </w:style>
  <w:style w:type="character" w:customStyle="1" w:styleId="110">
    <w:name w:val="Font Style133"/>
    <w:unhideWhenUsed/>
    <w:qFormat/>
    <w:uiPriority w:val="0"/>
    <w:rPr>
      <w:rFonts w:hint="eastAsia" w:ascii="宋体" w:hAnsi="宋体" w:eastAsia="宋体"/>
      <w:spacing w:val="30"/>
      <w:sz w:val="24"/>
    </w:rPr>
  </w:style>
  <w:style w:type="character" w:customStyle="1" w:styleId="111">
    <w:name w:val="bds_nopic2"/>
    <w:qFormat/>
    <w:uiPriority w:val="0"/>
    <w:rPr>
      <w:rFonts w:ascii="Times New Roman" w:hAnsi="Times New Roman" w:eastAsia="宋体"/>
    </w:rPr>
  </w:style>
  <w:style w:type="character" w:customStyle="1" w:styleId="112">
    <w:name w:val="正文文本缩进 3 Char"/>
    <w:qFormat/>
    <w:uiPriority w:val="0"/>
    <w:rPr>
      <w:rFonts w:ascii="宋体" w:hAnsi="MS Sans Serif"/>
      <w:color w:val="000000"/>
      <w:sz w:val="24"/>
    </w:rPr>
  </w:style>
  <w:style w:type="character" w:customStyle="1" w:styleId="113">
    <w:name w:val="批注框文本 Char"/>
    <w:qFormat/>
    <w:uiPriority w:val="0"/>
    <w:rPr>
      <w:kern w:val="2"/>
      <w:sz w:val="18"/>
      <w:szCs w:val="18"/>
    </w:rPr>
  </w:style>
  <w:style w:type="character" w:customStyle="1" w:styleId="114">
    <w:name w:val="sidecatalog-dot"/>
    <w:qFormat/>
    <w:uiPriority w:val="0"/>
    <w:rPr>
      <w:rFonts w:ascii="Times New Roman" w:hAnsi="Times New Roman" w:eastAsia="宋体"/>
    </w:rPr>
  </w:style>
  <w:style w:type="character" w:customStyle="1" w:styleId="115">
    <w:name w:val="标题 4 Char"/>
    <w:qFormat/>
    <w:uiPriority w:val="0"/>
    <w:rPr>
      <w:rFonts w:ascii="Arial" w:hAnsi="Arial" w:eastAsia="宋体" w:cs="Times New Roman"/>
      <w:b/>
      <w:bCs/>
      <w:szCs w:val="28"/>
    </w:rPr>
  </w:style>
  <w:style w:type="character" w:customStyle="1" w:styleId="116">
    <w:name w:val="日期 Char"/>
    <w:qFormat/>
    <w:uiPriority w:val="0"/>
    <w:rPr>
      <w:kern w:val="2"/>
      <w:sz w:val="21"/>
      <w:szCs w:val="24"/>
    </w:rPr>
  </w:style>
  <w:style w:type="character" w:customStyle="1" w:styleId="117">
    <w:name w:val="content_table1"/>
    <w:qFormat/>
    <w:uiPriority w:val="0"/>
    <w:rPr>
      <w:sz w:val="19"/>
      <w:szCs w:val="19"/>
    </w:rPr>
  </w:style>
  <w:style w:type="character" w:customStyle="1" w:styleId="118">
    <w:name w:val="plus"/>
    <w:qFormat/>
    <w:uiPriority w:val="0"/>
    <w:rPr>
      <w:rFonts w:ascii="Times New Roman" w:hAnsi="Times New Roman" w:eastAsia="宋体"/>
      <w:b/>
      <w:vanish/>
      <w:color w:val="1F8DEF"/>
      <w:sz w:val="24"/>
      <w:szCs w:val="24"/>
    </w:rPr>
  </w:style>
  <w:style w:type="character" w:customStyle="1" w:styleId="119">
    <w:name w:val="title2"/>
    <w:qFormat/>
    <w:uiPriority w:val="0"/>
    <w:rPr>
      <w:b/>
      <w:color w:val="000000"/>
    </w:rPr>
  </w:style>
  <w:style w:type="character" w:customStyle="1" w:styleId="120">
    <w:name w:val="纯文本 Char2"/>
    <w:qFormat/>
    <w:uiPriority w:val="0"/>
    <w:rPr>
      <w:rFonts w:ascii="宋体" w:hAnsi="Courier New" w:eastAsia="宋体"/>
      <w:kern w:val="2"/>
      <w:sz w:val="21"/>
      <w:szCs w:val="21"/>
      <w:lang w:val="en-US" w:eastAsia="zh-CN" w:bidi="ar-SA"/>
    </w:rPr>
  </w:style>
  <w:style w:type="character" w:customStyle="1" w:styleId="121">
    <w:name w:val="Font Style126"/>
    <w:unhideWhenUsed/>
    <w:qFormat/>
    <w:uiPriority w:val="99"/>
    <w:rPr>
      <w:rFonts w:hint="eastAsia" w:ascii="宋体" w:hAnsi="宋体" w:eastAsia="宋体"/>
      <w:b/>
      <w:spacing w:val="-30"/>
      <w:sz w:val="28"/>
    </w:rPr>
  </w:style>
  <w:style w:type="character" w:customStyle="1" w:styleId="122">
    <w:name w:val="标题 8 Char"/>
    <w:qFormat/>
    <w:uiPriority w:val="0"/>
    <w:rPr>
      <w:rFonts w:ascii="Arial" w:hAnsi="Arial" w:eastAsia="黑体"/>
      <w:sz w:val="24"/>
      <w:szCs w:val="24"/>
    </w:rPr>
  </w:style>
  <w:style w:type="character" w:customStyle="1" w:styleId="123">
    <w:name w:val="Font Style128"/>
    <w:unhideWhenUsed/>
    <w:qFormat/>
    <w:uiPriority w:val="99"/>
    <w:rPr>
      <w:rFonts w:hint="eastAsia" w:ascii="Times New Roman" w:hAnsi="Times New Roman" w:eastAsia="Times New Roman"/>
      <w:sz w:val="16"/>
    </w:rPr>
  </w:style>
  <w:style w:type="character" w:customStyle="1" w:styleId="124">
    <w:name w:val="bds_more7"/>
    <w:qFormat/>
    <w:uiPriority w:val="0"/>
    <w:rPr>
      <w:rFonts w:ascii="Times New Roman" w:hAnsi="Times New Roman" w:eastAsia="宋体"/>
    </w:rPr>
  </w:style>
  <w:style w:type="character" w:customStyle="1" w:styleId="125">
    <w:name w:val="title_3"/>
    <w:qFormat/>
    <w:uiPriority w:val="0"/>
    <w:rPr>
      <w:b/>
      <w:sz w:val="15"/>
      <w:szCs w:val="15"/>
    </w:rPr>
  </w:style>
  <w:style w:type="character" w:customStyle="1" w:styleId="126">
    <w:name w:val="content_3"/>
    <w:qFormat/>
    <w:uiPriority w:val="0"/>
    <w:rPr>
      <w:sz w:val="19"/>
      <w:szCs w:val="19"/>
    </w:rPr>
  </w:style>
  <w:style w:type="character" w:customStyle="1" w:styleId="127">
    <w:name w:val="Font Style117"/>
    <w:autoRedefine/>
    <w:unhideWhenUsed/>
    <w:qFormat/>
    <w:uiPriority w:val="99"/>
    <w:rPr>
      <w:rFonts w:hint="eastAsia" w:ascii="宋体" w:hAnsi="宋体" w:eastAsia="宋体"/>
      <w:spacing w:val="20"/>
      <w:sz w:val="24"/>
    </w:rPr>
  </w:style>
  <w:style w:type="character" w:customStyle="1" w:styleId="128">
    <w:name w:val="l-btn-text"/>
    <w:qFormat/>
    <w:uiPriority w:val="0"/>
    <w:rPr>
      <w:sz w:val="12"/>
      <w:szCs w:val="12"/>
      <w:vertAlign w:val="baseline"/>
    </w:rPr>
  </w:style>
  <w:style w:type="character" w:customStyle="1" w:styleId="129">
    <w:name w:val="批注文字 Char Char"/>
    <w:qFormat/>
    <w:uiPriority w:val="0"/>
    <w:rPr>
      <w:kern w:val="2"/>
      <w:sz w:val="21"/>
      <w:szCs w:val="24"/>
      <w:lang w:bidi="ar-SA"/>
    </w:rPr>
  </w:style>
  <w:style w:type="character" w:customStyle="1" w:styleId="130">
    <w:name w:val="页脚 Char"/>
    <w:autoRedefine/>
    <w:qFormat/>
    <w:uiPriority w:val="99"/>
    <w:rPr>
      <w:kern w:val="2"/>
      <w:sz w:val="18"/>
      <w:szCs w:val="18"/>
    </w:rPr>
  </w:style>
  <w:style w:type="character" w:customStyle="1" w:styleId="131">
    <w:name w:val="bds_nopic"/>
    <w:autoRedefine/>
    <w:qFormat/>
    <w:uiPriority w:val="0"/>
    <w:rPr>
      <w:rFonts w:ascii="Times New Roman" w:hAnsi="Times New Roman" w:eastAsia="宋体"/>
    </w:rPr>
  </w:style>
  <w:style w:type="character" w:customStyle="1" w:styleId="132">
    <w:name w:val="title_1"/>
    <w:qFormat/>
    <w:uiPriority w:val="0"/>
    <w:rPr>
      <w:b/>
      <w:sz w:val="30"/>
      <w:szCs w:val="30"/>
    </w:rPr>
  </w:style>
  <w:style w:type="character" w:customStyle="1" w:styleId="133">
    <w:name w:val="Char Char14"/>
    <w:qFormat/>
    <w:uiPriority w:val="0"/>
    <w:rPr>
      <w:rFonts w:ascii="Arial" w:hAnsi="Arial" w:eastAsia="黑体"/>
      <w:b/>
      <w:bCs/>
      <w:sz w:val="28"/>
      <w:szCs w:val="28"/>
      <w:lang w:val="en-US" w:eastAsia="zh-CN" w:bidi="ar-SA"/>
    </w:rPr>
  </w:style>
  <w:style w:type="character" w:customStyle="1" w:styleId="134">
    <w:name w:val="标题 7 Char"/>
    <w:qFormat/>
    <w:uiPriority w:val="0"/>
    <w:rPr>
      <w:b/>
      <w:bCs/>
      <w:sz w:val="24"/>
      <w:szCs w:val="24"/>
    </w:rPr>
  </w:style>
  <w:style w:type="character" w:customStyle="1" w:styleId="135">
    <w:name w:val="mh-map_new-info"/>
    <w:qFormat/>
    <w:uiPriority w:val="0"/>
  </w:style>
  <w:style w:type="character" w:customStyle="1" w:styleId="136">
    <w:name w:val="Char Char16"/>
    <w:qFormat/>
    <w:uiPriority w:val="0"/>
    <w:rPr>
      <w:rFonts w:ascii="宋体" w:hAnsi="Times New Roman" w:eastAsia="宋体"/>
      <w:b/>
      <w:sz w:val="24"/>
      <w:lang w:val="en-US" w:eastAsia="zh-CN" w:bidi="ar-SA"/>
    </w:rPr>
  </w:style>
  <w:style w:type="character" w:customStyle="1" w:styleId="137">
    <w:name w:val="polysemyred"/>
    <w:autoRedefine/>
    <w:qFormat/>
    <w:uiPriority w:val="0"/>
    <w:rPr>
      <w:rFonts w:ascii="Times New Roman" w:hAnsi="Times New Roman" w:eastAsia="宋体"/>
      <w:color w:val="FF6666"/>
      <w:sz w:val="18"/>
      <w:szCs w:val="18"/>
    </w:rPr>
  </w:style>
  <w:style w:type="character" w:customStyle="1" w:styleId="138">
    <w:name w:val="Font Style119"/>
    <w:unhideWhenUsed/>
    <w:qFormat/>
    <w:uiPriority w:val="99"/>
    <w:rPr>
      <w:rFonts w:hint="eastAsia" w:ascii="宋体" w:hAnsi="宋体" w:eastAsia="宋体"/>
      <w:sz w:val="24"/>
    </w:rPr>
  </w:style>
  <w:style w:type="character" w:customStyle="1" w:styleId="139">
    <w:name w:val="sidecatalog-index1"/>
    <w:qFormat/>
    <w:uiPriority w:val="0"/>
    <w:rPr>
      <w:rFonts w:ascii="Arial" w:hAnsi="Arial" w:eastAsia="宋体" w:cs="Arial"/>
      <w:b/>
      <w:color w:val="999999"/>
      <w:sz w:val="21"/>
      <w:szCs w:val="21"/>
    </w:rPr>
  </w:style>
  <w:style w:type="character" w:customStyle="1" w:styleId="140">
    <w:name w:val="Font Style104"/>
    <w:unhideWhenUsed/>
    <w:qFormat/>
    <w:uiPriority w:val="0"/>
    <w:rPr>
      <w:rFonts w:hint="eastAsia" w:ascii="宋体" w:hAnsi="宋体" w:eastAsia="宋体"/>
      <w:spacing w:val="30"/>
      <w:sz w:val="18"/>
    </w:rPr>
  </w:style>
  <w:style w:type="character" w:customStyle="1" w:styleId="141">
    <w:name w:val="Char Char15"/>
    <w:qFormat/>
    <w:uiPriority w:val="0"/>
    <w:rPr>
      <w:b/>
      <w:bCs/>
      <w:sz w:val="24"/>
      <w:szCs w:val="24"/>
    </w:rPr>
  </w:style>
  <w:style w:type="character" w:customStyle="1" w:styleId="142">
    <w:name w:val="title21"/>
    <w:qFormat/>
    <w:uiPriority w:val="0"/>
    <w:rPr>
      <w:b/>
      <w:color w:val="000000"/>
    </w:rPr>
  </w:style>
  <w:style w:type="character" w:customStyle="1" w:styleId="143">
    <w:name w:val="Font Style86"/>
    <w:unhideWhenUsed/>
    <w:qFormat/>
    <w:uiPriority w:val="99"/>
    <w:rPr>
      <w:rFonts w:hint="eastAsia" w:ascii="黑体" w:hAnsi="黑体" w:eastAsia="黑体"/>
      <w:spacing w:val="10"/>
      <w:sz w:val="30"/>
    </w:rPr>
  </w:style>
  <w:style w:type="character" w:customStyle="1" w:styleId="144">
    <w:name w:val="样式1 Char"/>
    <w:link w:val="145"/>
    <w:qFormat/>
    <w:uiPriority w:val="0"/>
    <w:rPr>
      <w:rFonts w:ascii="宋体" w:hAnsi="宋体"/>
      <w:kern w:val="0"/>
      <w:szCs w:val="21"/>
    </w:rPr>
  </w:style>
  <w:style w:type="paragraph" w:customStyle="1" w:styleId="145">
    <w:name w:val="样式1"/>
    <w:basedOn w:val="1"/>
    <w:link w:val="144"/>
    <w:qFormat/>
    <w:uiPriority w:val="0"/>
    <w:pPr>
      <w:tabs>
        <w:tab w:val="left" w:pos="360"/>
      </w:tabs>
      <w:adjustRightInd w:val="0"/>
      <w:ind w:left="360" w:hanging="360"/>
      <w:textAlignment w:val="baseline"/>
    </w:pPr>
    <w:rPr>
      <w:rFonts w:ascii="宋体" w:hAnsi="宋体"/>
      <w:kern w:val="0"/>
      <w:sz w:val="20"/>
      <w:szCs w:val="21"/>
    </w:rPr>
  </w:style>
  <w:style w:type="character" w:customStyle="1" w:styleId="146">
    <w:name w:val="bds_more8"/>
    <w:qFormat/>
    <w:uiPriority w:val="0"/>
    <w:rPr>
      <w:rFonts w:ascii="Times New Roman" w:hAnsi="Times New Roman" w:eastAsia="宋体"/>
    </w:rPr>
  </w:style>
  <w:style w:type="character" w:customStyle="1" w:styleId="147">
    <w:name w:val="morelink-item"/>
    <w:qFormat/>
    <w:uiPriority w:val="0"/>
    <w:rPr>
      <w:rFonts w:ascii="Times New Roman" w:hAnsi="Times New Roman" w:eastAsia="宋体"/>
    </w:rPr>
  </w:style>
  <w:style w:type="character" w:customStyle="1" w:styleId="148">
    <w:name w:val="Font Style127"/>
    <w:autoRedefine/>
    <w:unhideWhenUsed/>
    <w:qFormat/>
    <w:uiPriority w:val="99"/>
    <w:rPr>
      <w:rFonts w:hint="eastAsia" w:ascii="Times New Roman" w:hAnsi="Times New Roman" w:eastAsia="Times New Roman"/>
      <w:sz w:val="20"/>
    </w:rPr>
  </w:style>
  <w:style w:type="character" w:customStyle="1" w:styleId="149">
    <w:name w:val="标题 6 Char"/>
    <w:qFormat/>
    <w:uiPriority w:val="0"/>
    <w:rPr>
      <w:rFonts w:ascii="Arial" w:hAnsi="Arial" w:eastAsia="黑体"/>
      <w:b/>
      <w:bCs/>
      <w:sz w:val="24"/>
      <w:szCs w:val="24"/>
    </w:rPr>
  </w:style>
  <w:style w:type="character" w:customStyle="1" w:styleId="150">
    <w:name w:val="Font Style116"/>
    <w:unhideWhenUsed/>
    <w:qFormat/>
    <w:uiPriority w:val="99"/>
    <w:rPr>
      <w:rFonts w:hint="eastAsia" w:ascii="宋体" w:hAnsi="宋体" w:eastAsia="宋体"/>
      <w:spacing w:val="-20"/>
      <w:sz w:val="24"/>
    </w:rPr>
  </w:style>
  <w:style w:type="character" w:customStyle="1" w:styleId="151">
    <w:name w:val="Font Style94"/>
    <w:autoRedefine/>
    <w:unhideWhenUsed/>
    <w:qFormat/>
    <w:uiPriority w:val="99"/>
    <w:rPr>
      <w:rFonts w:hint="eastAsia" w:ascii="Times New Roman" w:hAnsi="Times New Roman" w:eastAsia="Times New Roman"/>
      <w:sz w:val="28"/>
    </w:rPr>
  </w:style>
  <w:style w:type="character" w:customStyle="1" w:styleId="152">
    <w:name w:val="bds_more9"/>
    <w:qFormat/>
    <w:uiPriority w:val="0"/>
    <w:rPr>
      <w:rFonts w:ascii="Times New Roman" w:hAnsi="Times New Roman" w:eastAsia="宋体"/>
    </w:rPr>
  </w:style>
  <w:style w:type="character" w:customStyle="1" w:styleId="153">
    <w:name w:val="Char Char6"/>
    <w:qFormat/>
    <w:uiPriority w:val="0"/>
    <w:rPr>
      <w:rFonts w:ascii="Arial" w:hAnsi="Arial" w:eastAsia="黑体"/>
      <w:sz w:val="24"/>
      <w:szCs w:val="24"/>
      <w:lang w:val="en-US" w:eastAsia="zh-CN" w:bidi="ar-SA"/>
    </w:rPr>
  </w:style>
  <w:style w:type="character" w:customStyle="1" w:styleId="154">
    <w:name w:val="l-btn-icon-left"/>
    <w:autoRedefine/>
    <w:qFormat/>
    <w:uiPriority w:val="0"/>
  </w:style>
  <w:style w:type="character" w:customStyle="1" w:styleId="155">
    <w:name w:val="sidecatalog-dot1"/>
    <w:qFormat/>
    <w:uiPriority w:val="0"/>
    <w:rPr>
      <w:rFonts w:ascii="Times New Roman" w:hAnsi="Times New Roman" w:eastAsia="宋体"/>
    </w:rPr>
  </w:style>
  <w:style w:type="character" w:customStyle="1" w:styleId="156">
    <w:name w:val="content_1"/>
    <w:autoRedefine/>
    <w:qFormat/>
    <w:uiPriority w:val="0"/>
    <w:rPr>
      <w:sz w:val="19"/>
      <w:szCs w:val="19"/>
    </w:rPr>
  </w:style>
  <w:style w:type="character" w:customStyle="1" w:styleId="157">
    <w:name w:val="lemmatitleh12"/>
    <w:qFormat/>
    <w:uiPriority w:val="0"/>
    <w:rPr>
      <w:rFonts w:ascii="Times New Roman" w:hAnsi="Times New Roman" w:eastAsia="宋体"/>
    </w:rPr>
  </w:style>
  <w:style w:type="character" w:customStyle="1" w:styleId="158">
    <w:name w:val="标题 3 Char"/>
    <w:qFormat/>
    <w:uiPriority w:val="0"/>
    <w:rPr>
      <w:b/>
      <w:bCs/>
      <w:sz w:val="24"/>
      <w:szCs w:val="24"/>
    </w:rPr>
  </w:style>
  <w:style w:type="character" w:customStyle="1" w:styleId="159">
    <w:name w:val="Font Style134"/>
    <w:unhideWhenUsed/>
    <w:qFormat/>
    <w:uiPriority w:val="0"/>
    <w:rPr>
      <w:rFonts w:hint="eastAsia" w:ascii="宋体" w:hAnsi="宋体" w:eastAsia="宋体"/>
      <w:spacing w:val="20"/>
      <w:sz w:val="22"/>
    </w:rPr>
  </w:style>
  <w:style w:type="character" w:customStyle="1" w:styleId="160">
    <w:name w:val="l-btn-left2"/>
    <w:qFormat/>
    <w:uiPriority w:val="0"/>
  </w:style>
  <w:style w:type="character" w:customStyle="1" w:styleId="161">
    <w:name w:val="p0 Char Char"/>
    <w:qFormat/>
    <w:uiPriority w:val="0"/>
    <w:rPr>
      <w:rFonts w:eastAsia="宋体"/>
      <w:kern w:val="2"/>
      <w:sz w:val="21"/>
      <w:szCs w:val="21"/>
      <w:lang w:val="en-US" w:eastAsia="zh-CN" w:bidi="ar-SA"/>
    </w:rPr>
  </w:style>
  <w:style w:type="character" w:customStyle="1" w:styleId="162">
    <w:name w:val="sidecatalog-index2"/>
    <w:qFormat/>
    <w:uiPriority w:val="0"/>
    <w:rPr>
      <w:rFonts w:ascii="Arail" w:hAnsi="Arail" w:eastAsia="Arail" w:cs="Arail"/>
      <w:color w:val="999999"/>
      <w:sz w:val="21"/>
      <w:szCs w:val="21"/>
    </w:rPr>
  </w:style>
  <w:style w:type="character" w:customStyle="1" w:styleId="163">
    <w:name w:val="title_2"/>
    <w:qFormat/>
    <w:uiPriority w:val="0"/>
    <w:rPr>
      <w:b/>
      <w:sz w:val="19"/>
      <w:szCs w:val="19"/>
    </w:rPr>
  </w:style>
  <w:style w:type="character" w:customStyle="1" w:styleId="164">
    <w:name w:val="desc"/>
    <w:qFormat/>
    <w:uiPriority w:val="0"/>
    <w:rPr>
      <w:rFonts w:ascii="Times New Roman" w:hAnsi="Times New Roman" w:eastAsia="宋体"/>
      <w:color w:val="000000"/>
      <w:sz w:val="18"/>
      <w:szCs w:val="18"/>
    </w:rPr>
  </w:style>
  <w:style w:type="character" w:customStyle="1" w:styleId="165">
    <w:name w:val="标题 1 Char"/>
    <w:qFormat/>
    <w:uiPriority w:val="0"/>
    <w:rPr>
      <w:rFonts w:ascii="Cambria" w:hAnsi="Cambria"/>
      <w:b/>
      <w:bCs/>
      <w:kern w:val="32"/>
      <w:sz w:val="32"/>
      <w:szCs w:val="32"/>
    </w:rPr>
  </w:style>
  <w:style w:type="character" w:customStyle="1" w:styleId="166">
    <w:name w:val="标题 Char1"/>
    <w:qFormat/>
    <w:uiPriority w:val="0"/>
    <w:rPr>
      <w:rFonts w:ascii="Cambria" w:hAnsi="Cambria" w:eastAsia="宋体" w:cs="Times New Roman"/>
      <w:b/>
      <w:bCs/>
      <w:sz w:val="32"/>
      <w:szCs w:val="32"/>
    </w:rPr>
  </w:style>
  <w:style w:type="character" w:customStyle="1" w:styleId="167">
    <w:name w:val="l-btn-empty"/>
    <w:qFormat/>
    <w:uiPriority w:val="0"/>
  </w:style>
  <w:style w:type="character" w:customStyle="1" w:styleId="168">
    <w:name w:val="l-btn-left1"/>
    <w:qFormat/>
    <w:uiPriority w:val="0"/>
  </w:style>
  <w:style w:type="character" w:customStyle="1" w:styleId="169">
    <w:name w:val="content_2"/>
    <w:qFormat/>
    <w:uiPriority w:val="0"/>
    <w:rPr>
      <w:sz w:val="19"/>
      <w:szCs w:val="19"/>
    </w:rPr>
  </w:style>
  <w:style w:type="character" w:customStyle="1" w:styleId="170">
    <w:name w:val="bds_more6"/>
    <w:qFormat/>
    <w:uiPriority w:val="0"/>
    <w:rPr>
      <w:rFonts w:hint="eastAsia" w:ascii="宋体" w:hAnsi="宋体" w:eastAsia="宋体" w:cs="宋体"/>
    </w:rPr>
  </w:style>
  <w:style w:type="character" w:customStyle="1" w:styleId="171">
    <w:name w:val="polysemyexp"/>
    <w:qFormat/>
    <w:uiPriority w:val="0"/>
    <w:rPr>
      <w:rFonts w:ascii="Times New Roman" w:hAnsi="Times New Roman" w:eastAsia="宋体"/>
      <w:color w:val="AAAAAA"/>
      <w:sz w:val="18"/>
      <w:szCs w:val="18"/>
    </w:rPr>
  </w:style>
  <w:style w:type="character" w:customStyle="1" w:styleId="172">
    <w:name w:val="Font Style122"/>
    <w:unhideWhenUsed/>
    <w:qFormat/>
    <w:uiPriority w:val="99"/>
    <w:rPr>
      <w:rFonts w:hint="eastAsia" w:ascii="宋体" w:hAnsi="宋体" w:eastAsia="宋体"/>
      <w:spacing w:val="20"/>
      <w:sz w:val="24"/>
    </w:rPr>
  </w:style>
  <w:style w:type="character" w:customStyle="1" w:styleId="173">
    <w:name w:val="content"/>
    <w:qFormat/>
    <w:uiPriority w:val="0"/>
    <w:rPr>
      <w:sz w:val="19"/>
      <w:szCs w:val="19"/>
    </w:rPr>
  </w:style>
  <w:style w:type="character" w:customStyle="1" w:styleId="174">
    <w:name w:val="Font Style105"/>
    <w:unhideWhenUsed/>
    <w:qFormat/>
    <w:uiPriority w:val="0"/>
    <w:rPr>
      <w:rFonts w:hint="eastAsia" w:ascii="Times New Roman" w:hAnsi="Times New Roman" w:eastAsia="Times New Roman"/>
      <w:w w:val="60"/>
      <w:sz w:val="26"/>
    </w:rPr>
  </w:style>
  <w:style w:type="character" w:customStyle="1" w:styleId="175">
    <w:name w:val="Font Style90"/>
    <w:unhideWhenUsed/>
    <w:qFormat/>
    <w:uiPriority w:val="0"/>
    <w:rPr>
      <w:rFonts w:hint="eastAsia" w:ascii="宋体" w:hAnsi="宋体" w:eastAsia="宋体"/>
      <w:b/>
      <w:spacing w:val="-20"/>
      <w:sz w:val="40"/>
    </w:rPr>
  </w:style>
  <w:style w:type="character" w:customStyle="1" w:styleId="176">
    <w:name w:val="Font Style123"/>
    <w:unhideWhenUsed/>
    <w:qFormat/>
    <w:uiPriority w:val="99"/>
    <w:rPr>
      <w:rFonts w:hint="eastAsia" w:ascii="宋体" w:hAnsi="宋体" w:eastAsia="宋体"/>
      <w:b/>
      <w:sz w:val="32"/>
    </w:rPr>
  </w:style>
  <w:style w:type="character" w:customStyle="1" w:styleId="177">
    <w:name w:val="样式2 Char Char"/>
    <w:qFormat/>
    <w:uiPriority w:val="0"/>
    <w:rPr>
      <w:rFonts w:eastAsia="宋体"/>
      <w:kern w:val="2"/>
      <w:sz w:val="18"/>
      <w:szCs w:val="18"/>
      <w:lang w:val="en-US" w:eastAsia="zh-CN" w:bidi="ar-SA"/>
    </w:rPr>
  </w:style>
  <w:style w:type="character" w:customStyle="1" w:styleId="178">
    <w:name w:val="标题 Char"/>
    <w:qFormat/>
    <w:uiPriority w:val="0"/>
    <w:rPr>
      <w:rFonts w:ascii="Cambria" w:hAnsi="Cambria"/>
      <w:b/>
      <w:kern w:val="2"/>
      <w:sz w:val="32"/>
      <w:szCs w:val="24"/>
    </w:rPr>
  </w:style>
  <w:style w:type="character" w:customStyle="1" w:styleId="179">
    <w:name w:val="标题 5 Char"/>
    <w:qFormat/>
    <w:uiPriority w:val="0"/>
    <w:rPr>
      <w:b/>
      <w:bCs/>
      <w:kern w:val="2"/>
      <w:sz w:val="28"/>
      <w:szCs w:val="28"/>
    </w:rPr>
  </w:style>
  <w:style w:type="character" w:customStyle="1" w:styleId="180">
    <w:name w:val="Font Style125"/>
    <w:unhideWhenUsed/>
    <w:qFormat/>
    <w:uiPriority w:val="99"/>
    <w:rPr>
      <w:rFonts w:hint="eastAsia" w:ascii="宋体" w:hAnsi="宋体" w:eastAsia="宋体"/>
      <w:b/>
      <w:sz w:val="26"/>
    </w:rPr>
  </w:style>
  <w:style w:type="character" w:customStyle="1" w:styleId="181">
    <w:name w:val="bds_nopic1"/>
    <w:qFormat/>
    <w:uiPriority w:val="0"/>
    <w:rPr>
      <w:rFonts w:ascii="Times New Roman" w:hAnsi="Times New Roman" w:eastAsia="宋体"/>
    </w:rPr>
  </w:style>
  <w:style w:type="paragraph" w:customStyle="1" w:styleId="182">
    <w:name w:val="标题 3_22"/>
    <w:basedOn w:val="183"/>
    <w:next w:val="183"/>
    <w:qFormat/>
    <w:uiPriority w:val="0"/>
    <w:pPr>
      <w:widowControl/>
      <w:spacing w:line="360" w:lineRule="auto"/>
      <w:outlineLvl w:val="2"/>
    </w:pPr>
    <w:rPr>
      <w:b/>
      <w:bCs/>
      <w:kern w:val="0"/>
      <w:sz w:val="24"/>
    </w:rPr>
  </w:style>
  <w:style w:type="paragraph" w:customStyle="1" w:styleId="183">
    <w:name w:val="正文_6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4">
    <w:name w:val="Style80"/>
    <w:basedOn w:val="1"/>
    <w:unhideWhenUsed/>
    <w:qFormat/>
    <w:uiPriority w:val="0"/>
  </w:style>
  <w:style w:type="paragraph" w:customStyle="1" w:styleId="185">
    <w:name w:val="Char1 Char Char Char Char Char Char Char Char Char"/>
    <w:basedOn w:val="1"/>
    <w:qFormat/>
    <w:uiPriority w:val="0"/>
    <w:rPr>
      <w:szCs w:val="20"/>
    </w:rPr>
  </w:style>
  <w:style w:type="paragraph" w:customStyle="1" w:styleId="186">
    <w:name w:val="Style13"/>
    <w:basedOn w:val="1"/>
    <w:unhideWhenUsed/>
    <w:qFormat/>
    <w:uiPriority w:val="99"/>
  </w:style>
  <w:style w:type="paragraph" w:customStyle="1" w:styleId="187">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8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89">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90">
    <w:name w:val="默认段落字体 Para Char Char Char Char Char Char Char Char Char Char Char Char Char Char Char Char Char Char Char"/>
    <w:basedOn w:val="1"/>
    <w:qFormat/>
    <w:uiPriority w:val="0"/>
  </w:style>
  <w:style w:type="paragraph" w:customStyle="1" w:styleId="191">
    <w:name w:val="Style48"/>
    <w:basedOn w:val="1"/>
    <w:unhideWhenUsed/>
    <w:qFormat/>
    <w:uiPriority w:val="99"/>
    <w:pPr>
      <w:spacing w:line="542" w:lineRule="exact"/>
      <w:jc w:val="right"/>
    </w:pPr>
  </w:style>
  <w:style w:type="paragraph" w:customStyle="1" w:styleId="192">
    <w:name w:val="Style76"/>
    <w:basedOn w:val="1"/>
    <w:unhideWhenUsed/>
    <w:qFormat/>
    <w:uiPriority w:val="99"/>
  </w:style>
  <w:style w:type="paragraph" w:customStyle="1" w:styleId="193">
    <w:name w:val="正文_19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195">
    <w:name w:val="Style58"/>
    <w:basedOn w:val="1"/>
    <w:unhideWhenUsed/>
    <w:qFormat/>
    <w:uiPriority w:val="0"/>
    <w:pPr>
      <w:spacing w:line="413" w:lineRule="exact"/>
    </w:pPr>
  </w:style>
  <w:style w:type="paragraph" w:customStyle="1" w:styleId="196">
    <w:name w:val="Char Char1 Char Char Char Char Char1 Char Char Char Char"/>
    <w:basedOn w:val="16"/>
    <w:qFormat/>
    <w:uiPriority w:val="0"/>
    <w:rPr>
      <w:rFonts w:ascii="Tahoma" w:hAnsi="Tahoma"/>
    </w:rPr>
  </w:style>
  <w:style w:type="paragraph" w:customStyle="1" w:styleId="197">
    <w:name w:val="Style16"/>
    <w:basedOn w:val="1"/>
    <w:unhideWhenUsed/>
    <w:qFormat/>
    <w:uiPriority w:val="99"/>
    <w:pPr>
      <w:jc w:val="right"/>
    </w:pPr>
  </w:style>
  <w:style w:type="paragraph" w:customStyle="1" w:styleId="198">
    <w:name w:val="Style67"/>
    <w:basedOn w:val="1"/>
    <w:unhideWhenUsed/>
    <w:qFormat/>
    <w:uiPriority w:val="0"/>
    <w:pPr>
      <w:spacing w:line="566" w:lineRule="exact"/>
      <w:ind w:firstLine="552"/>
    </w:pPr>
  </w:style>
  <w:style w:type="paragraph" w:customStyle="1" w:styleId="199">
    <w:name w:val="Style11"/>
    <w:basedOn w:val="1"/>
    <w:unhideWhenUsed/>
    <w:qFormat/>
    <w:uiPriority w:val="99"/>
    <w:pPr>
      <w:spacing w:line="559" w:lineRule="exact"/>
      <w:ind w:firstLine="590"/>
    </w:pPr>
  </w:style>
  <w:style w:type="paragraph" w:customStyle="1" w:styleId="200">
    <w:name w:val="Style44"/>
    <w:basedOn w:val="1"/>
    <w:unhideWhenUsed/>
    <w:qFormat/>
    <w:uiPriority w:val="99"/>
  </w:style>
  <w:style w:type="paragraph" w:customStyle="1" w:styleId="201">
    <w:name w:val="Style42"/>
    <w:basedOn w:val="1"/>
    <w:unhideWhenUsed/>
    <w:qFormat/>
    <w:uiPriority w:val="99"/>
    <w:pPr>
      <w:spacing w:line="542" w:lineRule="exact"/>
      <w:ind w:firstLine="547"/>
    </w:pPr>
  </w:style>
  <w:style w:type="paragraph" w:customStyle="1" w:styleId="202">
    <w:name w:val="Style8"/>
    <w:basedOn w:val="1"/>
    <w:unhideWhenUsed/>
    <w:qFormat/>
    <w:uiPriority w:val="99"/>
    <w:pPr>
      <w:spacing w:line="566" w:lineRule="exact"/>
      <w:jc w:val="center"/>
    </w:pPr>
  </w:style>
  <w:style w:type="paragraph" w:customStyle="1" w:styleId="203">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04">
    <w:name w:val="Style21"/>
    <w:basedOn w:val="1"/>
    <w:unhideWhenUsed/>
    <w:qFormat/>
    <w:uiPriority w:val="99"/>
    <w:pPr>
      <w:spacing w:line="566" w:lineRule="exact"/>
      <w:ind w:firstLine="682"/>
    </w:pPr>
  </w:style>
  <w:style w:type="paragraph" w:customStyle="1" w:styleId="205">
    <w:name w:val="1"/>
    <w:basedOn w:val="1"/>
    <w:qFormat/>
    <w:uiPriority w:val="0"/>
    <w:pPr>
      <w:spacing w:after="156" w:afterLines="50" w:line="360" w:lineRule="auto"/>
    </w:pPr>
    <w:rPr>
      <w:rFonts w:ascii="宋体" w:hAnsi="宋体"/>
      <w:b/>
      <w:sz w:val="30"/>
      <w:szCs w:val="21"/>
    </w:rPr>
  </w:style>
  <w:style w:type="paragraph" w:customStyle="1" w:styleId="206">
    <w:name w:val="Style73"/>
    <w:basedOn w:val="1"/>
    <w:unhideWhenUsed/>
    <w:qFormat/>
    <w:uiPriority w:val="99"/>
    <w:pPr>
      <w:spacing w:line="538" w:lineRule="exact"/>
      <w:ind w:firstLine="533"/>
    </w:pPr>
  </w:style>
  <w:style w:type="paragraph" w:customStyle="1" w:styleId="207">
    <w:name w:val="Style64"/>
    <w:basedOn w:val="1"/>
    <w:unhideWhenUsed/>
    <w:qFormat/>
    <w:uiPriority w:val="99"/>
  </w:style>
  <w:style w:type="paragraph" w:customStyle="1" w:styleId="208">
    <w:name w:val="日期_1"/>
    <w:basedOn w:val="209"/>
    <w:next w:val="209"/>
    <w:qFormat/>
    <w:uiPriority w:val="0"/>
    <w:rPr>
      <w:kern w:val="0"/>
      <w:sz w:val="24"/>
      <w:szCs w:val="20"/>
    </w:rPr>
  </w:style>
  <w:style w:type="paragraph" w:customStyle="1" w:styleId="209">
    <w:name w:val="正文_4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0">
    <w:name w:val="Style65"/>
    <w:basedOn w:val="1"/>
    <w:unhideWhenUsed/>
    <w:qFormat/>
    <w:uiPriority w:val="0"/>
  </w:style>
  <w:style w:type="paragraph" w:customStyle="1" w:styleId="211">
    <w:name w:val="Style68"/>
    <w:basedOn w:val="1"/>
    <w:unhideWhenUsed/>
    <w:qFormat/>
    <w:uiPriority w:val="99"/>
    <w:pPr>
      <w:spacing w:line="547" w:lineRule="exact"/>
    </w:pPr>
  </w:style>
  <w:style w:type="paragraph" w:customStyle="1" w:styleId="212">
    <w:name w:val="样式 标题 2 + 宋体 五号 行距: 单倍行距"/>
    <w:basedOn w:val="4"/>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3">
    <w:name w:val="Style46"/>
    <w:basedOn w:val="1"/>
    <w:unhideWhenUsed/>
    <w:qFormat/>
    <w:uiPriority w:val="99"/>
    <w:pPr>
      <w:spacing w:line="672" w:lineRule="exact"/>
    </w:pPr>
  </w:style>
  <w:style w:type="paragraph" w:customStyle="1" w:styleId="214">
    <w:name w:val="NO3"/>
    <w:basedOn w:val="1"/>
    <w:qFormat/>
    <w:uiPriority w:val="0"/>
    <w:pPr>
      <w:tabs>
        <w:tab w:val="left" w:pos="907"/>
      </w:tabs>
      <w:spacing w:line="360" w:lineRule="auto"/>
    </w:pPr>
    <w:rPr>
      <w:rFonts w:ascii="宋体" w:hAnsi="宋体"/>
      <w:sz w:val="24"/>
    </w:rPr>
  </w:style>
  <w:style w:type="paragraph" w:customStyle="1" w:styleId="215">
    <w:name w:val="Style77"/>
    <w:basedOn w:val="1"/>
    <w:unhideWhenUsed/>
    <w:qFormat/>
    <w:uiPriority w:val="99"/>
  </w:style>
  <w:style w:type="paragraph" w:customStyle="1" w:styleId="216">
    <w:name w:val="列出段落112"/>
    <w:basedOn w:val="1"/>
    <w:qFormat/>
    <w:uiPriority w:val="99"/>
    <w:pPr>
      <w:ind w:firstLine="420" w:firstLineChars="200"/>
    </w:pPr>
  </w:style>
  <w:style w:type="paragraph" w:customStyle="1" w:styleId="217">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18">
    <w:name w:val="Style12"/>
    <w:basedOn w:val="1"/>
    <w:unhideWhenUsed/>
    <w:qFormat/>
    <w:uiPriority w:val="99"/>
    <w:pPr>
      <w:spacing w:line="564" w:lineRule="exact"/>
      <w:ind w:hanging="115"/>
    </w:pPr>
  </w:style>
  <w:style w:type="paragraph" w:customStyle="1" w:styleId="219">
    <w:name w:val="Style72"/>
    <w:basedOn w:val="1"/>
    <w:unhideWhenUsed/>
    <w:qFormat/>
    <w:uiPriority w:val="99"/>
  </w:style>
  <w:style w:type="paragraph" w:customStyle="1" w:styleId="220">
    <w:name w:val="Style56"/>
    <w:basedOn w:val="1"/>
    <w:unhideWhenUsed/>
    <w:qFormat/>
    <w:uiPriority w:val="0"/>
  </w:style>
  <w:style w:type="paragraph" w:customStyle="1" w:styleId="221">
    <w:name w:val="Style45"/>
    <w:basedOn w:val="1"/>
    <w:unhideWhenUsed/>
    <w:qFormat/>
    <w:uiPriority w:val="99"/>
  </w:style>
  <w:style w:type="paragraph" w:customStyle="1" w:styleId="222">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23">
    <w:name w:val="正文首行缩进 211"/>
    <w:basedOn w:val="20"/>
    <w:unhideWhenUsed/>
    <w:qFormat/>
    <w:uiPriority w:val="99"/>
    <w:pPr>
      <w:ind w:firstLine="420" w:firstLineChars="200"/>
    </w:pPr>
  </w:style>
  <w:style w:type="paragraph" w:customStyle="1" w:styleId="224">
    <w:name w:val="Style24"/>
    <w:basedOn w:val="1"/>
    <w:unhideWhenUsed/>
    <w:qFormat/>
    <w:uiPriority w:val="99"/>
  </w:style>
  <w:style w:type="paragraph" w:customStyle="1" w:styleId="225">
    <w:name w:val="Style4"/>
    <w:basedOn w:val="1"/>
    <w:unhideWhenUsed/>
    <w:qFormat/>
    <w:uiPriority w:val="99"/>
  </w:style>
  <w:style w:type="paragraph" w:customStyle="1" w:styleId="226">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7">
    <w:name w:val="Style61"/>
    <w:basedOn w:val="1"/>
    <w:unhideWhenUsed/>
    <w:qFormat/>
    <w:uiPriority w:val="99"/>
  </w:style>
  <w:style w:type="paragraph" w:customStyle="1" w:styleId="22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29">
    <w:name w:val="Normal_571"/>
    <w:qFormat/>
    <w:uiPriority w:val="0"/>
    <w:rPr>
      <w:rFonts w:ascii="Times New Roman" w:hAnsi="Times New Roman" w:eastAsia="Times New Roman" w:cs="Times New Roman"/>
      <w:sz w:val="24"/>
      <w:szCs w:val="24"/>
      <w:lang w:val="en-US" w:eastAsia="zh-CN" w:bidi="ar-SA"/>
    </w:rPr>
  </w:style>
  <w:style w:type="paragraph" w:customStyle="1" w:styleId="230">
    <w:name w:val="p16"/>
    <w:basedOn w:val="1"/>
    <w:qFormat/>
    <w:uiPriority w:val="0"/>
    <w:pPr>
      <w:widowControl/>
      <w:jc w:val="left"/>
    </w:pPr>
    <w:rPr>
      <w:kern w:val="0"/>
      <w:szCs w:val="21"/>
    </w:rPr>
  </w:style>
  <w:style w:type="paragraph" w:customStyle="1" w:styleId="231">
    <w:name w:val="Char Char Char"/>
    <w:basedOn w:val="1"/>
    <w:qFormat/>
    <w:uiPriority w:val="0"/>
    <w:rPr>
      <w:rFonts w:ascii="宋体" w:hAnsi="宋体"/>
      <w:b/>
      <w:sz w:val="28"/>
      <w:szCs w:val="28"/>
    </w:rPr>
  </w:style>
  <w:style w:type="paragraph" w:customStyle="1" w:styleId="232">
    <w:name w:val="标题 1 +"/>
    <w:basedOn w:val="3"/>
    <w:next w:val="1"/>
    <w:qFormat/>
    <w:uiPriority w:val="0"/>
    <w:pPr>
      <w:keepLines/>
      <w:spacing w:line="600" w:lineRule="auto"/>
    </w:pPr>
    <w:rPr>
      <w:rFonts w:eastAsia="黑体"/>
      <w:kern w:val="0"/>
      <w:sz w:val="32"/>
      <w:szCs w:val="32"/>
    </w:rPr>
  </w:style>
  <w:style w:type="paragraph" w:customStyle="1" w:styleId="233">
    <w:name w:val="表格内容"/>
    <w:basedOn w:val="2"/>
    <w:qFormat/>
    <w:uiPriority w:val="0"/>
    <w:pPr>
      <w:suppressLineNumbers/>
      <w:suppressAutoHyphens/>
      <w:jc w:val="left"/>
    </w:pPr>
    <w:rPr>
      <w:rFonts w:cs="Tahoma"/>
      <w:kern w:val="0"/>
      <w:sz w:val="24"/>
    </w:rPr>
  </w:style>
  <w:style w:type="paragraph" w:customStyle="1" w:styleId="234">
    <w:name w:val="Style10"/>
    <w:basedOn w:val="1"/>
    <w:unhideWhenUsed/>
    <w:qFormat/>
    <w:uiPriority w:val="99"/>
    <w:pPr>
      <w:spacing w:line="538" w:lineRule="exact"/>
    </w:pPr>
  </w:style>
  <w:style w:type="paragraph" w:customStyle="1" w:styleId="235">
    <w:name w:val="Style78"/>
    <w:basedOn w:val="1"/>
    <w:unhideWhenUsed/>
    <w:qFormat/>
    <w:uiPriority w:val="99"/>
  </w:style>
  <w:style w:type="paragraph" w:customStyle="1" w:styleId="236">
    <w:name w:val="Normal_0_2"/>
    <w:qFormat/>
    <w:uiPriority w:val="0"/>
    <w:rPr>
      <w:rFonts w:ascii="Times New Roman" w:hAnsi="Times New Roman" w:eastAsia="Times New Roman" w:cs="Times New Roman"/>
      <w:sz w:val="24"/>
      <w:szCs w:val="24"/>
      <w:lang w:val="en-US" w:eastAsia="zh-CN" w:bidi="ar-SA"/>
    </w:rPr>
  </w:style>
  <w:style w:type="paragraph" w:customStyle="1" w:styleId="237">
    <w:name w:val="Style27"/>
    <w:basedOn w:val="1"/>
    <w:unhideWhenUsed/>
    <w:qFormat/>
    <w:uiPriority w:val="99"/>
  </w:style>
  <w:style w:type="paragraph" w:customStyle="1" w:styleId="238">
    <w:name w:val="Style41"/>
    <w:basedOn w:val="1"/>
    <w:unhideWhenUsed/>
    <w:qFormat/>
    <w:uiPriority w:val="99"/>
    <w:pPr>
      <w:spacing w:line="542" w:lineRule="exact"/>
      <w:ind w:firstLine="125"/>
    </w:pPr>
  </w:style>
  <w:style w:type="paragraph" w:customStyle="1" w:styleId="239">
    <w:name w:val="Style69"/>
    <w:basedOn w:val="1"/>
    <w:unhideWhenUsed/>
    <w:qFormat/>
    <w:uiPriority w:val="99"/>
    <w:pPr>
      <w:spacing w:line="557" w:lineRule="exact"/>
      <w:ind w:firstLine="1666"/>
    </w:pPr>
  </w:style>
  <w:style w:type="paragraph" w:customStyle="1" w:styleId="24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41">
    <w:name w:val="Style60"/>
    <w:basedOn w:val="1"/>
    <w:unhideWhenUsed/>
    <w:qFormat/>
    <w:uiPriority w:val="0"/>
    <w:pPr>
      <w:spacing w:line="566" w:lineRule="exact"/>
    </w:pPr>
  </w:style>
  <w:style w:type="paragraph" w:customStyle="1" w:styleId="242">
    <w:name w:val="Style15"/>
    <w:basedOn w:val="1"/>
    <w:unhideWhenUsed/>
    <w:qFormat/>
    <w:uiPriority w:val="99"/>
    <w:pPr>
      <w:spacing w:line="557" w:lineRule="exact"/>
      <w:ind w:firstLine="672"/>
    </w:pPr>
  </w:style>
  <w:style w:type="paragraph" w:customStyle="1" w:styleId="243">
    <w:name w:val="Char1 Char Char Char"/>
    <w:basedOn w:val="1"/>
    <w:qFormat/>
    <w:uiPriority w:val="0"/>
    <w:pPr>
      <w:widowControl/>
      <w:spacing w:after="160" w:line="240" w:lineRule="exact"/>
      <w:jc w:val="left"/>
    </w:pPr>
    <w:rPr>
      <w:kern w:val="0"/>
      <w:sz w:val="24"/>
      <w:szCs w:val="20"/>
    </w:rPr>
  </w:style>
  <w:style w:type="paragraph" w:customStyle="1" w:styleId="244">
    <w:name w:val="Style54"/>
    <w:basedOn w:val="1"/>
    <w:unhideWhenUsed/>
    <w:qFormat/>
    <w:uiPriority w:val="0"/>
  </w:style>
  <w:style w:type="paragraph" w:customStyle="1" w:styleId="245">
    <w:name w:val="Style23"/>
    <w:basedOn w:val="1"/>
    <w:unhideWhenUsed/>
    <w:qFormat/>
    <w:uiPriority w:val="99"/>
  </w:style>
  <w:style w:type="paragraph" w:customStyle="1" w:styleId="246">
    <w:name w:val="Style81"/>
    <w:basedOn w:val="1"/>
    <w:unhideWhenUsed/>
    <w:qFormat/>
    <w:uiPriority w:val="0"/>
    <w:pPr>
      <w:spacing w:line="547" w:lineRule="exact"/>
    </w:pPr>
  </w:style>
  <w:style w:type="paragraph" w:customStyle="1" w:styleId="247">
    <w:name w:val="Style74"/>
    <w:basedOn w:val="1"/>
    <w:unhideWhenUsed/>
    <w:qFormat/>
    <w:uiPriority w:val="0"/>
    <w:pPr>
      <w:spacing w:line="437" w:lineRule="exact"/>
    </w:pPr>
  </w:style>
  <w:style w:type="paragraph" w:customStyle="1" w:styleId="248">
    <w:name w:val="Char Char1 Char Char Char Char Char Char Char"/>
    <w:basedOn w:val="1"/>
    <w:qFormat/>
    <w:uiPriority w:val="0"/>
    <w:pPr>
      <w:widowControl/>
      <w:spacing w:after="160" w:line="240" w:lineRule="exact"/>
      <w:jc w:val="left"/>
    </w:pPr>
  </w:style>
  <w:style w:type="paragraph" w:customStyle="1" w:styleId="249">
    <w:name w:val="Style53"/>
    <w:basedOn w:val="1"/>
    <w:unhideWhenUsed/>
    <w:qFormat/>
    <w:uiPriority w:val="99"/>
    <w:pPr>
      <w:spacing w:line="533" w:lineRule="exact"/>
      <w:ind w:firstLine="581"/>
    </w:pPr>
  </w:style>
  <w:style w:type="paragraph" w:customStyle="1" w:styleId="250">
    <w:name w:val="Char Char Char Char Char Char Char111"/>
    <w:basedOn w:val="1"/>
    <w:qFormat/>
    <w:uiPriority w:val="0"/>
    <w:pPr>
      <w:snapToGrid w:val="0"/>
      <w:spacing w:line="360" w:lineRule="auto"/>
      <w:ind w:firstLine="200" w:firstLineChars="200"/>
    </w:pPr>
    <w:rPr>
      <w:rFonts w:eastAsia="仿宋_GB2312"/>
      <w:sz w:val="24"/>
    </w:rPr>
  </w:style>
  <w:style w:type="paragraph" w:customStyle="1" w:styleId="251">
    <w:name w:val="正文_4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2">
    <w:name w:val="Style5"/>
    <w:basedOn w:val="1"/>
    <w:unhideWhenUsed/>
    <w:qFormat/>
    <w:uiPriority w:val="99"/>
  </w:style>
  <w:style w:type="paragraph" w:customStyle="1" w:styleId="253">
    <w:name w:val="Style71"/>
    <w:basedOn w:val="1"/>
    <w:unhideWhenUsed/>
    <w:qFormat/>
    <w:uiPriority w:val="99"/>
    <w:pPr>
      <w:spacing w:line="538" w:lineRule="exact"/>
      <w:ind w:firstLine="101"/>
    </w:pPr>
  </w:style>
  <w:style w:type="paragraph" w:customStyle="1" w:styleId="25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255">
    <w:name w:val="正文_4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6">
    <w:name w:val="Char1 Char Char Char 字元 Char Char 字元 Char 字元 Char1 Char Char Char"/>
    <w:basedOn w:val="1"/>
    <w:qFormat/>
    <w:uiPriority w:val="0"/>
    <w:rPr>
      <w:szCs w:val="20"/>
    </w:rPr>
  </w:style>
  <w:style w:type="paragraph" w:customStyle="1" w:styleId="257">
    <w:name w:val="_Style 39"/>
    <w:basedOn w:val="258"/>
    <w:qFormat/>
    <w:uiPriority w:val="0"/>
  </w:style>
  <w:style w:type="paragraph" w:customStyle="1" w:styleId="258">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9">
    <w:name w:val="Style28"/>
    <w:basedOn w:val="1"/>
    <w:unhideWhenUsed/>
    <w:qFormat/>
    <w:uiPriority w:val="99"/>
    <w:pPr>
      <w:spacing w:line="552" w:lineRule="exact"/>
      <w:ind w:firstLine="547"/>
    </w:pPr>
  </w:style>
  <w:style w:type="paragraph" w:customStyle="1" w:styleId="260">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61">
    <w:name w:val="标题2"/>
    <w:basedOn w:val="45"/>
    <w:qFormat/>
    <w:uiPriority w:val="0"/>
    <w:pPr>
      <w:spacing w:after="240"/>
      <w:jc w:val="left"/>
    </w:pPr>
    <w:rPr>
      <w:sz w:val="30"/>
    </w:rPr>
  </w:style>
  <w:style w:type="paragraph" w:customStyle="1" w:styleId="262">
    <w:name w:val="附录标识"/>
    <w:basedOn w:val="189"/>
    <w:qFormat/>
    <w:uiPriority w:val="0"/>
    <w:pPr>
      <w:tabs>
        <w:tab w:val="left" w:pos="6405"/>
        <w:tab w:val="clear" w:pos="360"/>
      </w:tabs>
      <w:spacing w:after="200"/>
    </w:pPr>
    <w:rPr>
      <w:sz w:val="21"/>
    </w:rPr>
  </w:style>
  <w:style w:type="paragraph" w:customStyle="1" w:styleId="263">
    <w:name w:val="Char21"/>
    <w:basedOn w:val="1"/>
    <w:qFormat/>
    <w:uiPriority w:val="0"/>
    <w:pPr>
      <w:tabs>
        <w:tab w:val="left" w:pos="360"/>
      </w:tabs>
      <w:ind w:left="360" w:hanging="360" w:hangingChars="200"/>
    </w:pPr>
    <w:rPr>
      <w:sz w:val="24"/>
    </w:rPr>
  </w:style>
  <w:style w:type="paragraph" w:customStyle="1" w:styleId="264">
    <w:name w:val="标题3"/>
    <w:basedOn w:val="3"/>
    <w:qFormat/>
    <w:uiPriority w:val="0"/>
    <w:pPr>
      <w:spacing w:before="156" w:beforeLines="50" w:after="156" w:afterLines="50" w:line="400" w:lineRule="exact"/>
      <w:jc w:val="both"/>
    </w:pPr>
    <w:rPr>
      <w:rFonts w:ascii="宋体" w:hAnsi="宋体"/>
      <w:kern w:val="32"/>
      <w:szCs w:val="32"/>
    </w:rPr>
  </w:style>
  <w:style w:type="paragraph" w:customStyle="1" w:styleId="265">
    <w:name w:val="Style63"/>
    <w:basedOn w:val="1"/>
    <w:unhideWhenUsed/>
    <w:qFormat/>
    <w:uiPriority w:val="99"/>
    <w:pPr>
      <w:spacing w:line="564" w:lineRule="exact"/>
      <w:ind w:firstLine="682"/>
    </w:pPr>
  </w:style>
  <w:style w:type="paragraph" w:customStyle="1" w:styleId="266">
    <w:name w:val="列出段落1"/>
    <w:basedOn w:val="1"/>
    <w:qFormat/>
    <w:uiPriority w:val="0"/>
    <w:pPr>
      <w:ind w:firstLine="420" w:firstLineChars="200"/>
    </w:pPr>
    <w:rPr>
      <w:rFonts w:ascii="Calibri" w:hAnsi="Calibri" w:cs="Calibri"/>
      <w:szCs w:val="21"/>
    </w:rPr>
  </w:style>
  <w:style w:type="paragraph" w:customStyle="1" w:styleId="267">
    <w:name w:val="日期_0"/>
    <w:basedOn w:val="251"/>
    <w:next w:val="251"/>
    <w:qFormat/>
    <w:uiPriority w:val="0"/>
    <w:rPr>
      <w:kern w:val="0"/>
      <w:sz w:val="24"/>
      <w:szCs w:val="20"/>
    </w:rPr>
  </w:style>
  <w:style w:type="paragraph" w:customStyle="1" w:styleId="268">
    <w:name w:val="_Style 267"/>
    <w:qFormat/>
    <w:uiPriority w:val="99"/>
    <w:rPr>
      <w:rFonts w:ascii="Times New Roman" w:hAnsi="Times New Roman" w:eastAsia="宋体" w:cs="Times New Roman"/>
      <w:kern w:val="2"/>
      <w:sz w:val="21"/>
      <w:szCs w:val="24"/>
      <w:lang w:val="en-US" w:eastAsia="zh-CN" w:bidi="ar-SA"/>
    </w:rPr>
  </w:style>
  <w:style w:type="paragraph" w:customStyle="1" w:styleId="269">
    <w:name w:val="Style29"/>
    <w:basedOn w:val="1"/>
    <w:unhideWhenUsed/>
    <w:qFormat/>
    <w:uiPriority w:val="99"/>
    <w:pPr>
      <w:spacing w:line="547" w:lineRule="exact"/>
      <w:ind w:firstLine="547"/>
    </w:pPr>
  </w:style>
  <w:style w:type="paragraph" w:customStyle="1" w:styleId="270">
    <w:name w:val="Style62"/>
    <w:basedOn w:val="1"/>
    <w:unhideWhenUsed/>
    <w:qFormat/>
    <w:uiPriority w:val="99"/>
  </w:style>
  <w:style w:type="paragraph" w:customStyle="1" w:styleId="271">
    <w:name w:val="1 Char Char Char Char"/>
    <w:basedOn w:val="1"/>
    <w:qFormat/>
    <w:uiPriority w:val="0"/>
  </w:style>
  <w:style w:type="paragraph" w:customStyle="1" w:styleId="272">
    <w:name w:val="Style36"/>
    <w:basedOn w:val="1"/>
    <w:unhideWhenUsed/>
    <w:qFormat/>
    <w:uiPriority w:val="99"/>
  </w:style>
  <w:style w:type="paragraph" w:customStyle="1" w:styleId="273">
    <w:name w:val="样式 标题 2 + Times New Roman 四号 非加粗 段前: 5 磅 段后: 0 磅 行距: 固定值 20..."/>
    <w:basedOn w:val="4"/>
    <w:qFormat/>
    <w:uiPriority w:val="0"/>
    <w:pPr>
      <w:spacing w:before="100" w:line="400" w:lineRule="exact"/>
    </w:pPr>
    <w:rPr>
      <w:rFonts w:ascii="Times New Roman" w:hAnsi="Times New Roman" w:eastAsia="黑体"/>
      <w:b w:val="0"/>
      <w:bCs w:val="0"/>
      <w:sz w:val="28"/>
      <w:szCs w:val="20"/>
    </w:rPr>
  </w:style>
  <w:style w:type="paragraph" w:customStyle="1" w:styleId="274">
    <w:name w:val="Style50"/>
    <w:basedOn w:val="1"/>
    <w:unhideWhenUsed/>
    <w:qFormat/>
    <w:uiPriority w:val="99"/>
  </w:style>
  <w:style w:type="paragraph" w:customStyle="1" w:styleId="275">
    <w:name w:val="Style59"/>
    <w:basedOn w:val="1"/>
    <w:unhideWhenUsed/>
    <w:qFormat/>
    <w:uiPriority w:val="0"/>
  </w:style>
  <w:style w:type="paragraph" w:customStyle="1" w:styleId="276">
    <w:name w:val="Style26"/>
    <w:basedOn w:val="1"/>
    <w:unhideWhenUsed/>
    <w:qFormat/>
    <w:uiPriority w:val="99"/>
  </w:style>
  <w:style w:type="paragraph" w:customStyle="1" w:styleId="277">
    <w:name w:val="Style47"/>
    <w:basedOn w:val="1"/>
    <w:unhideWhenUsed/>
    <w:qFormat/>
    <w:uiPriority w:val="0"/>
  </w:style>
  <w:style w:type="paragraph" w:customStyle="1" w:styleId="278">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79">
    <w:name w:val="Style52"/>
    <w:basedOn w:val="1"/>
    <w:unhideWhenUsed/>
    <w:qFormat/>
    <w:uiPriority w:val="99"/>
    <w:pPr>
      <w:spacing w:line="682" w:lineRule="exact"/>
      <w:ind w:firstLine="557"/>
    </w:pPr>
  </w:style>
  <w:style w:type="paragraph" w:customStyle="1" w:styleId="280">
    <w:name w:val="Char Char1 Char Char Char"/>
    <w:basedOn w:val="1"/>
    <w:qFormat/>
    <w:uiPriority w:val="0"/>
    <w:rPr>
      <w:kern w:val="0"/>
      <w:sz w:val="20"/>
      <w:szCs w:val="20"/>
    </w:rPr>
  </w:style>
  <w:style w:type="paragraph" w:customStyle="1" w:styleId="281">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82">
    <w:name w:val="Style70"/>
    <w:basedOn w:val="1"/>
    <w:unhideWhenUsed/>
    <w:qFormat/>
    <w:uiPriority w:val="99"/>
    <w:pPr>
      <w:spacing w:line="549" w:lineRule="exact"/>
      <w:ind w:firstLine="686"/>
    </w:pPr>
  </w:style>
  <w:style w:type="paragraph" w:customStyle="1" w:styleId="283">
    <w:name w:val="Style34"/>
    <w:basedOn w:val="1"/>
    <w:unhideWhenUsed/>
    <w:qFormat/>
    <w:uiPriority w:val="99"/>
    <w:pPr>
      <w:spacing w:line="375" w:lineRule="exact"/>
    </w:pPr>
  </w:style>
  <w:style w:type="paragraph" w:customStyle="1" w:styleId="284">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styleId="285">
    <w:name w:val="List Paragraph"/>
    <w:basedOn w:val="1"/>
    <w:qFormat/>
    <w:uiPriority w:val="0"/>
    <w:pPr>
      <w:ind w:firstLine="420" w:firstLineChars="200"/>
    </w:pPr>
    <w:rPr>
      <w:rFonts w:ascii="Calibri" w:hAnsi="Calibri"/>
      <w:szCs w:val="22"/>
    </w:rPr>
  </w:style>
  <w:style w:type="paragraph" w:customStyle="1" w:styleId="286">
    <w:name w:val="Style9"/>
    <w:basedOn w:val="1"/>
    <w:unhideWhenUsed/>
    <w:qFormat/>
    <w:uiPriority w:val="99"/>
  </w:style>
  <w:style w:type="paragraph" w:customStyle="1" w:styleId="287">
    <w:name w:val="列出段落11"/>
    <w:basedOn w:val="1"/>
    <w:qFormat/>
    <w:uiPriority w:val="99"/>
    <w:pPr>
      <w:ind w:firstLine="420" w:firstLineChars="200"/>
    </w:pPr>
    <w:rPr>
      <w:rFonts w:ascii="Calibri" w:hAnsi="Calibri"/>
    </w:rPr>
  </w:style>
  <w:style w:type="character" w:customStyle="1" w:styleId="288">
    <w:name w:val="15"/>
    <w:qFormat/>
    <w:uiPriority w:val="0"/>
    <w:rPr>
      <w:rFonts w:hint="default" w:ascii="Times New Roman" w:hAnsi="Times New Roman" w:cs="Times New Roman"/>
      <w:color w:val="0563C1"/>
      <w:sz w:val="20"/>
      <w:szCs w:val="20"/>
      <w:u w:val="single"/>
    </w:rPr>
  </w:style>
  <w:style w:type="paragraph" w:customStyle="1" w:styleId="289">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290">
    <w:name w:val="Normal_15"/>
    <w:qFormat/>
    <w:uiPriority w:val="0"/>
    <w:pPr>
      <w:widowControl w:val="0"/>
      <w:jc w:val="both"/>
    </w:pPr>
    <w:rPr>
      <w:rFonts w:ascii="Calibri" w:hAnsi="Calibri" w:eastAsia="宋体" w:cs="Times New Roman"/>
      <w:lang w:val="en-US" w:eastAsia="zh-CN" w:bidi="ar-SA"/>
    </w:rPr>
  </w:style>
  <w:style w:type="paragraph" w:customStyle="1" w:styleId="291">
    <w:name w:val="Normal_13"/>
    <w:qFormat/>
    <w:uiPriority w:val="0"/>
    <w:pPr>
      <w:widowControl w:val="0"/>
      <w:jc w:val="both"/>
    </w:pPr>
    <w:rPr>
      <w:rFonts w:ascii="Calibri" w:hAnsi="Calibri" w:eastAsia="宋体" w:cs="Times New Roman"/>
      <w:lang w:val="en-US" w:eastAsia="zh-CN" w:bidi="ar-SA"/>
    </w:rPr>
  </w:style>
  <w:style w:type="character" w:customStyle="1" w:styleId="292">
    <w:name w:val="文档结构图 Char1"/>
    <w:qFormat/>
    <w:uiPriority w:val="0"/>
    <w:rPr>
      <w:rFonts w:ascii="宋体" w:hAnsi="Times New Roman" w:eastAsia="宋体" w:cs="Times New Roman"/>
      <w:sz w:val="18"/>
      <w:szCs w:val="18"/>
    </w:rPr>
  </w:style>
  <w:style w:type="character" w:customStyle="1" w:styleId="293">
    <w:name w:val="引用 字符"/>
    <w:link w:val="294"/>
    <w:qFormat/>
    <w:uiPriority w:val="0"/>
    <w:rPr>
      <w:i/>
      <w:iCs/>
      <w:color w:val="000000"/>
      <w:kern w:val="2"/>
      <w:sz w:val="21"/>
      <w:szCs w:val="22"/>
    </w:rPr>
  </w:style>
  <w:style w:type="paragraph" w:styleId="294">
    <w:name w:val="Quote"/>
    <w:basedOn w:val="1"/>
    <w:next w:val="1"/>
    <w:link w:val="293"/>
    <w:qFormat/>
    <w:uiPriority w:val="0"/>
    <w:rPr>
      <w:i/>
      <w:iCs/>
      <w:color w:val="000000"/>
      <w:szCs w:val="22"/>
    </w:rPr>
  </w:style>
  <w:style w:type="character" w:customStyle="1" w:styleId="295">
    <w:name w:val="正文文本缩进 2 Char1"/>
    <w:semiHidden/>
    <w:qFormat/>
    <w:uiPriority w:val="0"/>
    <w:rPr>
      <w:kern w:val="2"/>
      <w:sz w:val="21"/>
      <w:szCs w:val="24"/>
    </w:rPr>
  </w:style>
  <w:style w:type="character" w:customStyle="1" w:styleId="296">
    <w:name w:val="标题4 Char Char"/>
    <w:link w:val="297"/>
    <w:qFormat/>
    <w:uiPriority w:val="0"/>
    <w:rPr>
      <w:rFonts w:ascii="Arial" w:hAnsi="Arial"/>
      <w:b/>
      <w:bCs/>
      <w:sz w:val="24"/>
      <w:szCs w:val="32"/>
    </w:rPr>
  </w:style>
  <w:style w:type="paragraph" w:customStyle="1" w:styleId="297">
    <w:name w:val="标题4"/>
    <w:basedOn w:val="4"/>
    <w:next w:val="23"/>
    <w:link w:val="296"/>
    <w:qFormat/>
    <w:uiPriority w:val="0"/>
    <w:pPr>
      <w:spacing w:before="260" w:after="260" w:line="413" w:lineRule="auto"/>
      <w:jc w:val="both"/>
    </w:pPr>
    <w:rPr>
      <w:kern w:val="0"/>
    </w:rPr>
  </w:style>
  <w:style w:type="character" w:customStyle="1" w:styleId="298">
    <w:name w:val="批注框文本 Char1"/>
    <w:qFormat/>
    <w:uiPriority w:val="0"/>
    <w:rPr>
      <w:rFonts w:ascii="Times New Roman" w:hAnsi="Times New Roman" w:eastAsia="宋体" w:cs="Times New Roman"/>
      <w:sz w:val="18"/>
      <w:szCs w:val="18"/>
    </w:rPr>
  </w:style>
  <w:style w:type="character" w:customStyle="1" w:styleId="299">
    <w:name w:val="批注文字 字符1"/>
    <w:qFormat/>
    <w:uiPriority w:val="0"/>
    <w:rPr>
      <w:kern w:val="2"/>
      <w:sz w:val="21"/>
      <w:szCs w:val="24"/>
    </w:rPr>
  </w:style>
  <w:style w:type="character" w:customStyle="1" w:styleId="300">
    <w:name w:val="正文文本缩进 3 Char1"/>
    <w:qFormat/>
    <w:uiPriority w:val="0"/>
    <w:rPr>
      <w:rFonts w:ascii="Times New Roman" w:hAnsi="Times New Roman" w:eastAsia="宋体" w:cs="Times New Roman"/>
      <w:sz w:val="16"/>
      <w:szCs w:val="16"/>
    </w:rPr>
  </w:style>
  <w:style w:type="character" w:customStyle="1" w:styleId="301">
    <w:name w:val="批注文字 Char1"/>
    <w:semiHidden/>
    <w:qFormat/>
    <w:uiPriority w:val="99"/>
    <w:rPr>
      <w:rFonts w:ascii="Times New Roman" w:hAnsi="Times New Roman" w:eastAsia="宋体" w:cs="Times New Roman"/>
      <w:szCs w:val="24"/>
    </w:rPr>
  </w:style>
  <w:style w:type="character" w:customStyle="1" w:styleId="302">
    <w:name w:val="正文文本 Char1"/>
    <w:qFormat/>
    <w:uiPriority w:val="0"/>
    <w:rPr>
      <w:kern w:val="2"/>
      <w:sz w:val="21"/>
      <w:szCs w:val="22"/>
    </w:rPr>
  </w:style>
  <w:style w:type="character" w:customStyle="1" w:styleId="303">
    <w:name w:val="页脚 Char1"/>
    <w:semiHidden/>
    <w:qFormat/>
    <w:uiPriority w:val="99"/>
    <w:rPr>
      <w:rFonts w:ascii="Times New Roman" w:hAnsi="Times New Roman" w:eastAsia="宋体" w:cs="Times New Roman"/>
      <w:sz w:val="18"/>
      <w:szCs w:val="18"/>
    </w:rPr>
  </w:style>
  <w:style w:type="character" w:customStyle="1" w:styleId="304">
    <w:name w:val="不明显参考1"/>
    <w:qFormat/>
    <w:uiPriority w:val="0"/>
    <w:rPr>
      <w:smallCaps/>
      <w:color w:val="C0504D"/>
      <w:u w:val="single"/>
    </w:rPr>
  </w:style>
  <w:style w:type="character" w:customStyle="1" w:styleId="305">
    <w:name w:val="页眉 Char1"/>
    <w:semiHidden/>
    <w:qFormat/>
    <w:uiPriority w:val="99"/>
    <w:rPr>
      <w:rFonts w:ascii="Times New Roman" w:hAnsi="Times New Roman" w:eastAsia="宋体" w:cs="Times New Roman"/>
      <w:sz w:val="18"/>
      <w:szCs w:val="18"/>
    </w:rPr>
  </w:style>
  <w:style w:type="character" w:customStyle="1" w:styleId="306">
    <w:name w:val="纯文本 Char1"/>
    <w:qFormat/>
    <w:uiPriority w:val="0"/>
    <w:rPr>
      <w:rFonts w:ascii="宋体" w:hAnsi="Courier New" w:eastAsia="宋体" w:cs="Courier New"/>
      <w:szCs w:val="21"/>
    </w:rPr>
  </w:style>
  <w:style w:type="character" w:customStyle="1" w:styleId="307">
    <w:name w:val="Char Char141"/>
    <w:qFormat/>
    <w:uiPriority w:val="0"/>
    <w:rPr>
      <w:rFonts w:ascii="Arial" w:hAnsi="Arial"/>
      <w:b/>
      <w:bCs/>
      <w:kern w:val="2"/>
      <w:sz w:val="21"/>
      <w:szCs w:val="28"/>
    </w:rPr>
  </w:style>
  <w:style w:type="character" w:customStyle="1" w:styleId="308">
    <w:name w:val="明显强调1"/>
    <w:qFormat/>
    <w:uiPriority w:val="0"/>
    <w:rPr>
      <w:b/>
      <w:bCs/>
      <w:i/>
      <w:iCs/>
      <w:color w:val="4F81BD"/>
    </w:rPr>
  </w:style>
  <w:style w:type="character" w:customStyle="1" w:styleId="309">
    <w:name w:val="日期 Char1"/>
    <w:qFormat/>
    <w:uiPriority w:val="0"/>
    <w:rPr>
      <w:rFonts w:ascii="Times New Roman" w:hAnsi="Times New Roman" w:eastAsia="宋体" w:cs="Times New Roman"/>
      <w:szCs w:val="24"/>
    </w:rPr>
  </w:style>
  <w:style w:type="character" w:customStyle="1" w:styleId="310">
    <w:name w:val="明显参考1"/>
    <w:qFormat/>
    <w:uiPriority w:val="0"/>
    <w:rPr>
      <w:b/>
      <w:bCs/>
      <w:smallCaps/>
      <w:color w:val="C0504D"/>
      <w:spacing w:val="5"/>
      <w:u w:val="single"/>
    </w:rPr>
  </w:style>
  <w:style w:type="character" w:customStyle="1" w:styleId="311">
    <w:name w:val="明显引用 Char1"/>
    <w:qFormat/>
    <w:uiPriority w:val="99"/>
    <w:rPr>
      <w:b/>
      <w:bCs/>
      <w:i/>
      <w:iCs/>
      <w:color w:val="4F81BD"/>
      <w:kern w:val="2"/>
      <w:sz w:val="21"/>
      <w:szCs w:val="24"/>
    </w:rPr>
  </w:style>
  <w:style w:type="character" w:customStyle="1" w:styleId="312">
    <w:name w:val="批注主题 Char1"/>
    <w:qFormat/>
    <w:uiPriority w:val="0"/>
    <w:rPr>
      <w:rFonts w:ascii="Times New Roman" w:hAnsi="Times New Roman" w:eastAsia="宋体" w:cs="Times New Roman"/>
      <w:b/>
      <w:bCs/>
      <w:szCs w:val="24"/>
    </w:rPr>
  </w:style>
  <w:style w:type="character" w:customStyle="1" w:styleId="313">
    <w:name w:val="textcontents"/>
    <w:qFormat/>
    <w:uiPriority w:val="0"/>
    <w:rPr>
      <w:rFonts w:cs="Times New Roman"/>
    </w:rPr>
  </w:style>
  <w:style w:type="character" w:customStyle="1" w:styleId="314">
    <w:name w:val="正文文本缩进 Char1"/>
    <w:semiHidden/>
    <w:qFormat/>
    <w:uiPriority w:val="99"/>
    <w:rPr>
      <w:kern w:val="2"/>
      <w:sz w:val="21"/>
      <w:szCs w:val="24"/>
    </w:rPr>
  </w:style>
  <w:style w:type="character" w:customStyle="1" w:styleId="315">
    <w:name w:val="引用 Char1"/>
    <w:qFormat/>
    <w:uiPriority w:val="99"/>
    <w:rPr>
      <w:i/>
      <w:iCs/>
      <w:color w:val="000000"/>
      <w:kern w:val="2"/>
      <w:sz w:val="21"/>
      <w:szCs w:val="24"/>
    </w:rPr>
  </w:style>
  <w:style w:type="character" w:customStyle="1" w:styleId="316">
    <w:name w:val="纯文本 Char Char"/>
    <w:qFormat/>
    <w:uiPriority w:val="0"/>
    <w:rPr>
      <w:rFonts w:ascii="宋体" w:hAnsi="Courier New" w:eastAsia="仿宋_GB2312"/>
      <w:kern w:val="2"/>
      <w:sz w:val="32"/>
      <w:szCs w:val="24"/>
      <w:lang w:bidi="ar-SA"/>
    </w:rPr>
  </w:style>
  <w:style w:type="character" w:customStyle="1" w:styleId="317">
    <w:name w:val="标题 3 Char1"/>
    <w:qFormat/>
    <w:uiPriority w:val="0"/>
    <w:rPr>
      <w:b/>
      <w:bCs/>
      <w:sz w:val="24"/>
      <w:szCs w:val="24"/>
    </w:rPr>
  </w:style>
  <w:style w:type="character" w:customStyle="1" w:styleId="318">
    <w:name w:val="未处理的提及"/>
    <w:unhideWhenUsed/>
    <w:qFormat/>
    <w:uiPriority w:val="99"/>
    <w:rPr>
      <w:color w:val="605E5C"/>
      <w:shd w:val="clear" w:color="auto" w:fill="E1DFDD"/>
    </w:rPr>
  </w:style>
  <w:style w:type="character" w:customStyle="1" w:styleId="319">
    <w:name w:val="标题 4 Char1"/>
    <w:qFormat/>
    <w:uiPriority w:val="0"/>
    <w:rPr>
      <w:rFonts w:ascii="Arial" w:hAnsi="Arial" w:eastAsia="宋体" w:cs="Times New Roman"/>
      <w:b/>
      <w:bCs/>
      <w:szCs w:val="28"/>
    </w:rPr>
  </w:style>
  <w:style w:type="character" w:customStyle="1" w:styleId="320">
    <w:name w:val="Char Char142"/>
    <w:qFormat/>
    <w:uiPriority w:val="0"/>
    <w:rPr>
      <w:rFonts w:ascii="Arial" w:hAnsi="Arial"/>
      <w:b/>
      <w:bCs/>
      <w:kern w:val="2"/>
      <w:sz w:val="21"/>
      <w:szCs w:val="28"/>
    </w:rPr>
  </w:style>
  <w:style w:type="character" w:customStyle="1" w:styleId="321">
    <w:name w:val="标题5 Char Char"/>
    <w:link w:val="322"/>
    <w:qFormat/>
    <w:uiPriority w:val="0"/>
    <w:rPr>
      <w:rFonts w:ascii="Arial" w:hAnsi="Arial"/>
      <w:b/>
      <w:bCs/>
      <w:sz w:val="24"/>
      <w:szCs w:val="32"/>
    </w:rPr>
  </w:style>
  <w:style w:type="paragraph" w:customStyle="1" w:styleId="322">
    <w:name w:val="标题5"/>
    <w:basedOn w:val="5"/>
    <w:link w:val="321"/>
    <w:qFormat/>
    <w:uiPriority w:val="0"/>
    <w:pPr>
      <w:spacing w:line="413" w:lineRule="auto"/>
      <w:jc w:val="center"/>
    </w:pPr>
    <w:rPr>
      <w:rFonts w:ascii="Arial" w:hAnsi="Arial"/>
      <w:kern w:val="0"/>
      <w:sz w:val="24"/>
    </w:rPr>
  </w:style>
  <w:style w:type="character" w:customStyle="1" w:styleId="323">
    <w:name w:val="明显引用 字符"/>
    <w:link w:val="324"/>
    <w:qFormat/>
    <w:uiPriority w:val="0"/>
    <w:rPr>
      <w:b/>
      <w:bCs/>
      <w:i/>
      <w:iCs/>
      <w:color w:val="4F81BD"/>
      <w:kern w:val="2"/>
      <w:sz w:val="21"/>
      <w:szCs w:val="22"/>
    </w:rPr>
  </w:style>
  <w:style w:type="paragraph" w:styleId="324">
    <w:name w:val="Intense Quote"/>
    <w:basedOn w:val="1"/>
    <w:next w:val="1"/>
    <w:link w:val="323"/>
    <w:qFormat/>
    <w:uiPriority w:val="0"/>
    <w:pPr>
      <w:pBdr>
        <w:bottom w:val="single" w:color="4F81BD" w:sz="4" w:space="4"/>
      </w:pBdr>
      <w:spacing w:before="200" w:after="280"/>
      <w:ind w:left="936" w:right="936"/>
    </w:pPr>
    <w:rPr>
      <w:b/>
      <w:bCs/>
      <w:i/>
      <w:iCs/>
      <w:color w:val="4F81BD"/>
      <w:szCs w:val="22"/>
    </w:rPr>
  </w:style>
  <w:style w:type="character" w:customStyle="1" w:styleId="325">
    <w:name w:val="书籍标题1"/>
    <w:qFormat/>
    <w:uiPriority w:val="0"/>
    <w:rPr>
      <w:b/>
      <w:bCs/>
      <w:smallCaps/>
      <w:spacing w:val="5"/>
    </w:rPr>
  </w:style>
  <w:style w:type="character" w:customStyle="1" w:styleId="326">
    <w:name w:val="副标题 Char1"/>
    <w:qFormat/>
    <w:uiPriority w:val="11"/>
    <w:rPr>
      <w:rFonts w:ascii="Cambria" w:hAnsi="Cambria" w:cs="Times New Roman"/>
      <w:b/>
      <w:bCs/>
      <w:kern w:val="28"/>
      <w:sz w:val="32"/>
      <w:szCs w:val="32"/>
    </w:rPr>
  </w:style>
  <w:style w:type="character" w:customStyle="1" w:styleId="327">
    <w:name w:val="不明显强调1"/>
    <w:qFormat/>
    <w:uiPriority w:val="0"/>
    <w:rPr>
      <w:i/>
      <w:iCs/>
      <w:color w:val="808080"/>
    </w:rPr>
  </w:style>
  <w:style w:type="paragraph" w:customStyle="1" w:styleId="328">
    <w:name w:val="样式3"/>
    <w:basedOn w:val="5"/>
    <w:qFormat/>
    <w:uiPriority w:val="0"/>
    <w:pPr>
      <w:keepNext w:val="0"/>
      <w:keepLines w:val="0"/>
      <w:widowControl/>
      <w:spacing w:before="0" w:after="0" w:line="360" w:lineRule="auto"/>
      <w:jc w:val="left"/>
    </w:pPr>
    <w:rPr>
      <w:rFonts w:ascii="Calibri" w:hAnsi="Calibri" w:eastAsia="仿宋"/>
      <w:b w:val="0"/>
      <w:bCs w:val="0"/>
      <w:sz w:val="28"/>
      <w:szCs w:val="28"/>
    </w:rPr>
  </w:style>
  <w:style w:type="paragraph" w:customStyle="1" w:styleId="329">
    <w:name w:val="修订1"/>
    <w:qFormat/>
    <w:uiPriority w:val="99"/>
    <w:rPr>
      <w:rFonts w:ascii="Times New Roman" w:hAnsi="Times New Roman" w:eastAsia="宋体" w:cs="Times New Roman"/>
      <w:kern w:val="2"/>
      <w:sz w:val="21"/>
      <w:szCs w:val="24"/>
      <w:lang w:val="en-US" w:eastAsia="zh-CN" w:bidi="ar-SA"/>
    </w:rPr>
  </w:style>
  <w:style w:type="character" w:customStyle="1" w:styleId="330">
    <w:name w:val="副标题 字符1"/>
    <w:qFormat/>
    <w:uiPriority w:val="0"/>
    <w:rPr>
      <w:rFonts w:ascii="等线 Light" w:hAnsi="等线 Light" w:cs="Times New Roman"/>
      <w:b/>
      <w:bCs/>
      <w:kern w:val="28"/>
      <w:sz w:val="32"/>
      <w:szCs w:val="32"/>
    </w:rPr>
  </w:style>
  <w:style w:type="paragraph" w:customStyle="1" w:styleId="331">
    <w:name w:val="Char2"/>
    <w:basedOn w:val="1"/>
    <w:qFormat/>
    <w:uiPriority w:val="0"/>
    <w:pPr>
      <w:widowControl/>
      <w:spacing w:after="160" w:line="240" w:lineRule="exact"/>
      <w:jc w:val="left"/>
    </w:pPr>
    <w:rPr>
      <w:rFonts w:ascii="Calibri" w:hAnsi="Calibri"/>
      <w:szCs w:val="22"/>
    </w:rPr>
  </w:style>
  <w:style w:type="paragraph" w:customStyle="1" w:styleId="332">
    <w:name w:val="修订2"/>
    <w:qFormat/>
    <w:uiPriority w:val="99"/>
    <w:rPr>
      <w:rFonts w:ascii="Calibri" w:hAnsi="Calibri" w:eastAsia="宋体" w:cs="Times New Roman"/>
      <w:kern w:val="2"/>
      <w:sz w:val="21"/>
      <w:szCs w:val="24"/>
      <w:lang w:val="en-US" w:eastAsia="zh-CN" w:bidi="ar-SA"/>
    </w:rPr>
  </w:style>
  <w:style w:type="paragraph" w:customStyle="1" w:styleId="333">
    <w:name w:val="_Style 332"/>
    <w:basedOn w:val="3"/>
    <w:next w:val="1"/>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4">
    <w:name w:val="TOC 标题11"/>
    <w:basedOn w:val="3"/>
    <w:next w:val="1"/>
    <w:qFormat/>
    <w:uiPriority w:val="39"/>
    <w:pPr>
      <w:keepLines/>
      <w:spacing w:before="340" w:after="330" w:line="578" w:lineRule="auto"/>
      <w:jc w:val="both"/>
      <w:outlineLvl w:val="9"/>
    </w:pPr>
    <w:rPr>
      <w:kern w:val="44"/>
      <w:sz w:val="44"/>
      <w:szCs w:val="44"/>
    </w:rPr>
  </w:style>
  <w:style w:type="paragraph" w:customStyle="1" w:styleId="335">
    <w:name w:val="_Style 36"/>
    <w:qFormat/>
    <w:uiPriority w:val="0"/>
    <w:rPr>
      <w:rFonts w:ascii="Times New Roman" w:hAnsi="Times New Roman" w:eastAsia="宋体" w:cs="Times New Roman"/>
      <w:kern w:val="2"/>
      <w:sz w:val="21"/>
      <w:szCs w:val="24"/>
      <w:lang w:val="en-US" w:eastAsia="zh-CN" w:bidi="ar-SA"/>
    </w:rPr>
  </w:style>
  <w:style w:type="paragraph" w:customStyle="1" w:styleId="336">
    <w:name w:val="样式2"/>
    <w:basedOn w:val="3"/>
    <w:qFormat/>
    <w:uiPriority w:val="0"/>
    <w:pPr>
      <w:spacing w:before="240" w:after="60"/>
      <w:jc w:val="left"/>
    </w:pPr>
    <w:rPr>
      <w:b w:val="0"/>
      <w:bCs w:val="0"/>
      <w:sz w:val="28"/>
      <w:szCs w:val="21"/>
    </w:rPr>
  </w:style>
  <w:style w:type="paragraph" w:customStyle="1" w:styleId="337">
    <w:name w:val="Char Char Char Char Char Char Char Char Char Char"/>
    <w:basedOn w:val="1"/>
    <w:qFormat/>
    <w:uiPriority w:val="0"/>
    <w:rPr>
      <w:rFonts w:ascii="Calibri" w:hAnsi="Calibri"/>
      <w:szCs w:val="22"/>
    </w:rPr>
  </w:style>
  <w:style w:type="paragraph" w:customStyle="1" w:styleId="338">
    <w:name w:val="样式 标题 3 + (中文) 黑体 小四 非加粗 段前: 7.8 磅 段后: 0 磅 行距: 固定值 20 磅"/>
    <w:basedOn w:val="5"/>
    <w:qFormat/>
    <w:uiPriority w:val="0"/>
    <w:pPr>
      <w:spacing w:before="0" w:after="0" w:line="400" w:lineRule="exact"/>
      <w:jc w:val="center"/>
    </w:pPr>
    <w:rPr>
      <w:rFonts w:ascii="Calibri" w:hAnsi="Calibri" w:eastAsia="黑体" w:cs="宋体"/>
      <w:b w:val="0"/>
      <w:bCs w:val="0"/>
      <w:sz w:val="24"/>
      <w:szCs w:val="20"/>
    </w:rPr>
  </w:style>
  <w:style w:type="paragraph" w:customStyle="1" w:styleId="339">
    <w:name w:val="普通 (Web)"/>
    <w:basedOn w:val="1"/>
    <w:qFormat/>
    <w:uiPriority w:val="0"/>
    <w:pPr>
      <w:widowControl/>
      <w:spacing w:before="100" w:beforeAutospacing="1" w:after="100" w:afterAutospacing="1"/>
      <w:jc w:val="left"/>
    </w:pPr>
    <w:rPr>
      <w:rFonts w:ascii="Arial Unicode MS" w:hAnsi="Arial Unicode MS" w:eastAsia="Arial Unicode MS" w:cs="宋体"/>
      <w:kern w:val="0"/>
      <w:sz w:val="24"/>
      <w:szCs w:val="22"/>
    </w:rPr>
  </w:style>
  <w:style w:type="paragraph" w:customStyle="1" w:styleId="340">
    <w:name w:val="_Style 31"/>
    <w:basedOn w:val="1"/>
    <w:qFormat/>
    <w:uiPriority w:val="0"/>
    <w:rPr>
      <w:rFonts w:ascii="仿宋_GB2312" w:hAnsi="Calibri" w:eastAsia="仿宋_GB2312"/>
      <w:kern w:val="0"/>
      <w:szCs w:val="20"/>
    </w:rPr>
  </w:style>
  <w:style w:type="paragraph" w:customStyle="1" w:styleId="341">
    <w:name w:val="修订21"/>
    <w:qFormat/>
    <w:uiPriority w:val="0"/>
    <w:rPr>
      <w:rFonts w:ascii="Times New Roman" w:hAnsi="Times New Roman" w:eastAsia="宋体" w:cs="Times New Roman"/>
      <w:kern w:val="2"/>
      <w:sz w:val="21"/>
      <w:szCs w:val="24"/>
      <w:lang w:val="en-US" w:eastAsia="zh-CN" w:bidi="ar-SA"/>
    </w:rPr>
  </w:style>
  <w:style w:type="paragraph" w:customStyle="1" w:styleId="342">
    <w:name w:val="CM91"/>
    <w:basedOn w:val="1"/>
    <w:next w:val="1"/>
    <w:qFormat/>
    <w:uiPriority w:val="0"/>
    <w:pPr>
      <w:autoSpaceDE w:val="0"/>
      <w:autoSpaceDN w:val="0"/>
      <w:adjustRightInd w:val="0"/>
      <w:spacing w:after="160"/>
      <w:jc w:val="left"/>
    </w:pPr>
    <w:rPr>
      <w:rFonts w:ascii="宋体"/>
      <w:kern w:val="0"/>
      <w:sz w:val="24"/>
      <w:szCs w:val="20"/>
    </w:rPr>
  </w:style>
  <w:style w:type="paragraph" w:customStyle="1" w:styleId="343">
    <w:name w:val="空半行"/>
    <w:basedOn w:val="1"/>
    <w:qFormat/>
    <w:uiPriority w:val="0"/>
    <w:pPr>
      <w:adjustRightInd w:val="0"/>
      <w:spacing w:line="120" w:lineRule="exact"/>
      <w:textAlignment w:val="baseline"/>
    </w:pPr>
    <w:rPr>
      <w:rFonts w:ascii="Calibri" w:hAnsi="Calibri" w:eastAsia="仿宋_GB2312"/>
      <w:color w:val="FFFFFF"/>
      <w:kern w:val="0"/>
      <w:sz w:val="30"/>
      <w:szCs w:val="20"/>
    </w:rPr>
  </w:style>
  <w:style w:type="paragraph" w:customStyle="1" w:styleId="344">
    <w:name w:val="列表段落1"/>
    <w:basedOn w:val="1"/>
    <w:qFormat/>
    <w:uiPriority w:val="0"/>
    <w:pPr>
      <w:ind w:firstLine="420" w:firstLineChars="200"/>
    </w:pPr>
    <w:rPr>
      <w:rFonts w:ascii="Calibri" w:hAnsi="Calibri"/>
      <w:szCs w:val="22"/>
    </w:rPr>
  </w:style>
  <w:style w:type="paragraph" w:customStyle="1" w:styleId="345">
    <w:name w:val="TOC 标题2"/>
    <w:basedOn w:val="3"/>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46">
    <w:name w:val="正文_16"/>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47">
    <w:name w:val="明显引用 字符1"/>
    <w:qFormat/>
    <w:uiPriority w:val="99"/>
    <w:rPr>
      <w:i/>
      <w:iCs/>
      <w:color w:val="4472C4"/>
      <w:kern w:val="2"/>
      <w:sz w:val="21"/>
      <w:szCs w:val="24"/>
    </w:rPr>
  </w:style>
  <w:style w:type="paragraph" w:customStyle="1" w:styleId="348">
    <w:name w:val="Char Char Char Char Char Char Char Char Char"/>
    <w:basedOn w:val="1"/>
    <w:qFormat/>
    <w:uiPriority w:val="0"/>
    <w:pPr>
      <w:spacing w:line="360" w:lineRule="auto"/>
      <w:ind w:firstLine="200" w:firstLineChars="200"/>
    </w:pPr>
    <w:rPr>
      <w:rFonts w:ascii="Calibri" w:hAnsi="Calibri"/>
      <w:szCs w:val="22"/>
    </w:rPr>
  </w:style>
  <w:style w:type="paragraph" w:customStyle="1" w:styleId="349">
    <w:name w:val="Char Char Char Char Char Char Char Char Char Char1"/>
    <w:basedOn w:val="1"/>
    <w:qFormat/>
    <w:uiPriority w:val="0"/>
    <w:rPr>
      <w:rFonts w:ascii="Calibri" w:hAnsi="Calibri"/>
      <w:szCs w:val="22"/>
    </w:rPr>
  </w:style>
  <w:style w:type="paragraph" w:customStyle="1" w:styleId="350">
    <w:name w:val="列出段落21"/>
    <w:basedOn w:val="1"/>
    <w:qFormat/>
    <w:uiPriority w:val="0"/>
    <w:pPr>
      <w:ind w:firstLine="200" w:firstLineChars="200"/>
    </w:pPr>
    <w:rPr>
      <w:rFonts w:ascii="Calibri" w:hAnsi="Calibri"/>
      <w:szCs w:val="22"/>
    </w:rPr>
  </w:style>
  <w:style w:type="character" w:customStyle="1" w:styleId="351">
    <w:name w:val="引用 字符1"/>
    <w:qFormat/>
    <w:uiPriority w:val="99"/>
    <w:rPr>
      <w:i/>
      <w:iCs/>
      <w:color w:val="404040"/>
      <w:kern w:val="2"/>
      <w:sz w:val="21"/>
      <w:szCs w:val="24"/>
    </w:rPr>
  </w:style>
  <w:style w:type="paragraph" w:customStyle="1" w:styleId="352">
    <w:name w:val="Aufzaehlung"/>
    <w:basedOn w:val="1"/>
    <w:qFormat/>
    <w:uiPriority w:val="0"/>
    <w:pPr>
      <w:widowControl/>
      <w:spacing w:line="240" w:lineRule="atLeast"/>
      <w:ind w:left="284" w:hanging="284"/>
      <w:jc w:val="left"/>
    </w:pPr>
    <w:rPr>
      <w:rFonts w:ascii="Arial" w:hAnsi="Arial"/>
      <w:kern w:val="0"/>
      <w:sz w:val="22"/>
      <w:szCs w:val="22"/>
      <w:lang w:eastAsia="en-US"/>
    </w:rPr>
  </w:style>
  <w:style w:type="paragraph" w:styleId="353">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4">
    <w:name w:val="正文文本2"/>
    <w:basedOn w:val="1"/>
    <w:qFormat/>
    <w:uiPriority w:val="0"/>
    <w:pPr>
      <w:widowControl/>
      <w:shd w:val="clear" w:color="auto" w:fill="FFFFFF"/>
      <w:spacing w:before="120" w:line="391" w:lineRule="exact"/>
      <w:ind w:hanging="420"/>
      <w:jc w:val="distribute"/>
    </w:pPr>
    <w:rPr>
      <w:rFonts w:ascii="MingLiU" w:hAnsi="MingLiU" w:eastAsia="MingLiU" w:cs="MingLiU"/>
      <w:szCs w:val="21"/>
      <w:shd w:val="clear" w:color="auto" w:fill="FFFFFF"/>
    </w:rPr>
  </w:style>
  <w:style w:type="paragraph" w:customStyle="1" w:styleId="355">
    <w:name w:val="List Paragraph1"/>
    <w:basedOn w:val="1"/>
    <w:qFormat/>
    <w:uiPriority w:val="0"/>
    <w:pPr>
      <w:ind w:firstLine="420" w:firstLineChars="200"/>
    </w:pPr>
    <w:rPr>
      <w:rFonts w:ascii="Calibri" w:hAnsi="Calibri"/>
      <w:szCs w:val="22"/>
    </w:rPr>
  </w:style>
  <w:style w:type="paragraph" w:customStyle="1" w:styleId="356">
    <w:name w:val="CM99"/>
    <w:basedOn w:val="1"/>
    <w:next w:val="1"/>
    <w:qFormat/>
    <w:uiPriority w:val="0"/>
    <w:pPr>
      <w:autoSpaceDE w:val="0"/>
      <w:autoSpaceDN w:val="0"/>
      <w:adjustRightInd w:val="0"/>
      <w:spacing w:after="443"/>
      <w:jc w:val="left"/>
    </w:pPr>
    <w:rPr>
      <w:rFonts w:ascii="宋体"/>
      <w:kern w:val="0"/>
      <w:sz w:val="24"/>
      <w:szCs w:val="20"/>
    </w:rPr>
  </w:style>
  <w:style w:type="paragraph" w:customStyle="1" w:styleId="357">
    <w:name w:val="样式 图表 + 五号"/>
    <w:basedOn w:val="1"/>
    <w:qFormat/>
    <w:uiPriority w:val="0"/>
    <w:pPr>
      <w:spacing w:line="360" w:lineRule="auto"/>
      <w:ind w:left="-61" w:leftChars="-29" w:firstLine="522" w:firstLineChars="200"/>
    </w:pPr>
    <w:rPr>
      <w:rFonts w:ascii="宋体" w:hAnsi="宋体"/>
      <w:b/>
      <w:color w:val="FF0000"/>
      <w:spacing w:val="-10"/>
      <w:sz w:val="28"/>
      <w:szCs w:val="28"/>
    </w:rPr>
  </w:style>
  <w:style w:type="paragraph" w:customStyle="1" w:styleId="358">
    <w:name w:val="_Style 4"/>
    <w:basedOn w:val="1"/>
    <w:qFormat/>
    <w:uiPriority w:val="34"/>
    <w:pPr>
      <w:widowControl/>
      <w:spacing w:line="120" w:lineRule="exact"/>
      <w:ind w:firstLine="420" w:firstLineChars="200"/>
      <w:jc w:val="left"/>
    </w:pPr>
    <w:rPr>
      <w:rFonts w:ascii="Calibri" w:hAnsi="Calibri"/>
      <w:sz w:val="18"/>
      <w:szCs w:val="18"/>
    </w:rPr>
  </w:style>
  <w:style w:type="paragraph" w:customStyle="1" w:styleId="359">
    <w:name w:val="列出段落2"/>
    <w:basedOn w:val="1"/>
    <w:qFormat/>
    <w:uiPriority w:val="0"/>
    <w:pPr>
      <w:ind w:firstLine="200" w:firstLineChars="200"/>
    </w:pPr>
    <w:rPr>
      <w:rFonts w:ascii="Calibri" w:hAnsi="Calibri"/>
      <w:szCs w:val="22"/>
    </w:rPr>
  </w:style>
  <w:style w:type="paragraph" w:customStyle="1" w:styleId="360">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1">
    <w:name w:val="Char Char Char Char Char Char Char1"/>
    <w:basedOn w:val="1"/>
    <w:qFormat/>
    <w:uiPriority w:val="0"/>
    <w:pPr>
      <w:snapToGrid w:val="0"/>
      <w:spacing w:line="360" w:lineRule="auto"/>
      <w:ind w:firstLine="200" w:firstLineChars="200"/>
    </w:pPr>
    <w:rPr>
      <w:rFonts w:ascii="Calibri" w:hAnsi="Calibri" w:eastAsia="仿宋_GB2312"/>
      <w:sz w:val="24"/>
      <w:szCs w:val="22"/>
    </w:rPr>
  </w:style>
  <w:style w:type="paragraph" w:customStyle="1" w:styleId="362">
    <w:name w:val="修订3"/>
    <w:unhideWhenUsed/>
    <w:qFormat/>
    <w:uiPriority w:val="0"/>
    <w:rPr>
      <w:rFonts w:ascii="Times New Roman" w:hAnsi="Times New Roman" w:eastAsia="宋体" w:cs="Times New Roman"/>
      <w:kern w:val="2"/>
      <w:sz w:val="21"/>
      <w:szCs w:val="24"/>
      <w:lang w:val="en-US" w:eastAsia="zh-CN" w:bidi="ar-SA"/>
    </w:rPr>
  </w:style>
  <w:style w:type="paragraph" w:customStyle="1" w:styleId="363">
    <w:name w:val="TOC 标题1"/>
    <w:basedOn w:val="3"/>
    <w:next w:val="1"/>
    <w:qFormat/>
    <w:uiPriority w:val="39"/>
    <w:pPr>
      <w:keepLines/>
      <w:spacing w:before="340" w:after="330" w:line="578" w:lineRule="auto"/>
      <w:jc w:val="both"/>
      <w:outlineLvl w:val="9"/>
    </w:pPr>
    <w:rPr>
      <w:kern w:val="44"/>
      <w:sz w:val="44"/>
      <w:szCs w:val="44"/>
    </w:rPr>
  </w:style>
  <w:style w:type="paragraph" w:customStyle="1" w:styleId="364">
    <w:name w:val="Char Char Char Char Char Char Char11"/>
    <w:basedOn w:val="1"/>
    <w:qFormat/>
    <w:uiPriority w:val="0"/>
    <w:pPr>
      <w:snapToGrid w:val="0"/>
      <w:spacing w:line="360" w:lineRule="auto"/>
      <w:ind w:firstLine="200" w:firstLineChars="200"/>
    </w:pPr>
    <w:rPr>
      <w:rFonts w:ascii="Calibri" w:hAnsi="Calibri" w:eastAsia="仿宋_GB2312"/>
      <w:sz w:val="24"/>
      <w:szCs w:val="22"/>
    </w:rPr>
  </w:style>
  <w:style w:type="paragraph" w:customStyle="1" w:styleId="365">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0"/>
    </w:rPr>
  </w:style>
  <w:style w:type="paragraph" w:customStyle="1" w:styleId="366">
    <w:name w:val="Normal_0"/>
    <w:qFormat/>
    <w:uiPriority w:val="0"/>
    <w:pPr>
      <w:jc w:val="both"/>
    </w:pPr>
    <w:rPr>
      <w:rFonts w:ascii="Calibri" w:hAnsi="Calibri" w:eastAsia="宋体" w:cs="Calibri"/>
      <w:kern w:val="2"/>
      <w:sz w:val="21"/>
      <w:szCs w:val="21"/>
      <w:lang w:val="en-US" w:eastAsia="zh-CN" w:bidi="ar-SA"/>
    </w:rPr>
  </w:style>
  <w:style w:type="paragraph" w:customStyle="1" w:styleId="367">
    <w:name w:val="Normal_1"/>
    <w:qFormat/>
    <w:uiPriority w:val="0"/>
    <w:rPr>
      <w:rFonts w:ascii="Times New Roman" w:hAnsi="Times New Roman" w:eastAsia="Times New Roman" w:cs="Times New Roman"/>
      <w:sz w:val="24"/>
      <w:szCs w:val="24"/>
      <w:lang w:val="en-US" w:eastAsia="zh-CN" w:bidi="ar-SA"/>
    </w:rPr>
  </w:style>
  <w:style w:type="paragraph" w:customStyle="1" w:styleId="368">
    <w:name w:val="Normal_2"/>
    <w:qFormat/>
    <w:uiPriority w:val="0"/>
    <w:rPr>
      <w:rFonts w:ascii="Times New Roman" w:hAnsi="Times New Roman" w:eastAsia="Times New Roman" w:cs="Times New Roman"/>
      <w:sz w:val="24"/>
      <w:szCs w:val="24"/>
      <w:lang w:val="en-US" w:eastAsia="zh-CN" w:bidi="ar-SA"/>
    </w:rPr>
  </w:style>
  <w:style w:type="paragraph" w:customStyle="1" w:styleId="369">
    <w:name w:val="Normal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0">
    <w:name w:val="Normal_4"/>
    <w:qFormat/>
    <w:uiPriority w:val="0"/>
    <w:rPr>
      <w:rFonts w:ascii="Times New Roman" w:hAnsi="Times New Roman" w:eastAsia="Times New Roman" w:cs="Times New Roman"/>
      <w:sz w:val="24"/>
      <w:szCs w:val="24"/>
      <w:lang w:val="en-US" w:eastAsia="zh-CN" w:bidi="ar-SA"/>
    </w:rPr>
  </w:style>
  <w:style w:type="paragraph" w:customStyle="1" w:styleId="371">
    <w:name w:val="Normal_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2">
    <w:name w:val="Normal_6"/>
    <w:qFormat/>
    <w:uiPriority w:val="0"/>
    <w:rPr>
      <w:rFonts w:ascii="Times New Roman" w:hAnsi="Times New Roman" w:eastAsia="Times New Roman" w:cs="Times New Roman"/>
      <w:sz w:val="24"/>
      <w:szCs w:val="24"/>
      <w:lang w:val="en-US" w:eastAsia="zh-CN" w:bidi="ar-SA"/>
    </w:rPr>
  </w:style>
  <w:style w:type="paragraph" w:customStyle="1" w:styleId="373">
    <w:name w:val="Normal_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4">
    <w:name w:val="Normal_8"/>
    <w:qFormat/>
    <w:uiPriority w:val="0"/>
    <w:rPr>
      <w:rFonts w:ascii="Times New Roman" w:hAnsi="Times New Roman" w:eastAsia="Times New Roman" w:cs="Times New Roman"/>
      <w:sz w:val="24"/>
      <w:szCs w:val="24"/>
      <w:lang w:val="en-US" w:eastAsia="zh-CN" w:bidi="ar-SA"/>
    </w:rPr>
  </w:style>
  <w:style w:type="paragraph" w:customStyle="1" w:styleId="375">
    <w:name w:val="Normal_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6">
    <w:name w:val="Normal_10"/>
    <w:qFormat/>
    <w:uiPriority w:val="0"/>
    <w:rPr>
      <w:rFonts w:ascii="Times New Roman" w:hAnsi="Times New Roman" w:eastAsia="Times New Roman" w:cs="Times New Roman"/>
      <w:sz w:val="24"/>
      <w:szCs w:val="24"/>
      <w:lang w:val="en-US" w:eastAsia="zh-CN" w:bidi="ar-SA"/>
    </w:rPr>
  </w:style>
  <w:style w:type="paragraph" w:customStyle="1" w:styleId="377">
    <w:name w:val="Normal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8">
    <w:name w:val="Normal_12"/>
    <w:qFormat/>
    <w:uiPriority w:val="0"/>
    <w:rPr>
      <w:rFonts w:ascii="Times New Roman" w:hAnsi="Times New Roman" w:eastAsia="Times New Roman" w:cs="Times New Roman"/>
      <w:sz w:val="24"/>
      <w:szCs w:val="24"/>
      <w:lang w:val="en-US" w:eastAsia="zh-CN" w:bidi="ar-SA"/>
    </w:rPr>
  </w:style>
  <w:style w:type="paragraph" w:customStyle="1" w:styleId="379">
    <w:name w:val="CM99_0"/>
    <w:basedOn w:val="291"/>
    <w:next w:val="291"/>
    <w:qFormat/>
    <w:uiPriority w:val="0"/>
    <w:pPr>
      <w:autoSpaceDE w:val="0"/>
      <w:autoSpaceDN w:val="0"/>
      <w:adjustRightInd w:val="0"/>
      <w:spacing w:after="443"/>
      <w:jc w:val="left"/>
    </w:pPr>
    <w:rPr>
      <w:rFonts w:ascii="宋体" w:hAnsi="Times New Roman"/>
      <w:sz w:val="24"/>
    </w:rPr>
  </w:style>
  <w:style w:type="paragraph" w:customStyle="1" w:styleId="380">
    <w:name w:val="CM91_0"/>
    <w:basedOn w:val="291"/>
    <w:next w:val="291"/>
    <w:qFormat/>
    <w:uiPriority w:val="0"/>
    <w:pPr>
      <w:autoSpaceDE w:val="0"/>
      <w:autoSpaceDN w:val="0"/>
      <w:adjustRightInd w:val="0"/>
      <w:spacing w:after="160"/>
      <w:jc w:val="left"/>
    </w:pPr>
    <w:rPr>
      <w:rFonts w:ascii="宋体" w:hAnsi="Times New Roman"/>
      <w:sz w:val="24"/>
    </w:rPr>
  </w:style>
  <w:style w:type="paragraph" w:customStyle="1" w:styleId="381">
    <w:name w:val="Normal_14"/>
    <w:qFormat/>
    <w:uiPriority w:val="0"/>
    <w:rPr>
      <w:rFonts w:ascii="Times New Roman" w:hAnsi="Times New Roman" w:eastAsia="Times New Roman" w:cs="Times New Roman"/>
      <w:sz w:val="24"/>
      <w:szCs w:val="24"/>
      <w:lang w:val="en-US" w:eastAsia="zh-CN" w:bidi="ar-SA"/>
    </w:rPr>
  </w:style>
  <w:style w:type="paragraph" w:customStyle="1" w:styleId="382">
    <w:name w:val="Normal_1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3">
    <w:name w:val="Normal_17"/>
    <w:qFormat/>
    <w:uiPriority w:val="0"/>
    <w:rPr>
      <w:rFonts w:ascii="Times New Roman" w:hAnsi="Times New Roman" w:eastAsia="Times New Roman" w:cs="Times New Roman"/>
      <w:sz w:val="24"/>
      <w:szCs w:val="24"/>
      <w:lang w:val="en-US" w:eastAsia="zh-CN" w:bidi="ar-SA"/>
    </w:rPr>
  </w:style>
  <w:style w:type="paragraph" w:customStyle="1" w:styleId="384">
    <w:name w:val="标题 41"/>
    <w:basedOn w:val="385"/>
    <w:next w:val="385"/>
    <w:link w:val="386"/>
    <w:qFormat/>
    <w:uiPriority w:val="0"/>
    <w:pPr>
      <w:keepNext/>
      <w:keepLines/>
      <w:spacing w:line="360" w:lineRule="auto"/>
      <w:outlineLvl w:val="3"/>
    </w:pPr>
    <w:rPr>
      <w:rFonts w:ascii="Arial" w:hAnsi="Arial"/>
      <w:b/>
      <w:bCs/>
      <w:szCs w:val="28"/>
    </w:rPr>
  </w:style>
  <w:style w:type="paragraph" w:customStyle="1" w:styleId="385">
    <w:name w:val="Normal_18"/>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86">
    <w:name w:val="标题 4 Char_0"/>
    <w:link w:val="384"/>
    <w:qFormat/>
    <w:uiPriority w:val="0"/>
    <w:rPr>
      <w:rFonts w:ascii="Arial" w:hAnsi="Arial"/>
      <w:b/>
      <w:bCs/>
      <w:kern w:val="2"/>
      <w:sz w:val="21"/>
      <w:szCs w:val="28"/>
    </w:rPr>
  </w:style>
  <w:style w:type="paragraph" w:customStyle="1" w:styleId="387">
    <w:name w:val="Normal_19"/>
    <w:qFormat/>
    <w:uiPriority w:val="0"/>
    <w:rPr>
      <w:rFonts w:ascii="Times New Roman" w:hAnsi="Times New Roman" w:eastAsia="Times New Roman" w:cs="Times New Roman"/>
      <w:sz w:val="24"/>
      <w:szCs w:val="24"/>
      <w:lang w:val="en-US" w:eastAsia="zh-CN" w:bidi="ar-SA"/>
    </w:rPr>
  </w:style>
  <w:style w:type="paragraph" w:customStyle="1" w:styleId="388">
    <w:name w:val="Normal_2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9">
    <w:name w:val="Normal_21"/>
    <w:qFormat/>
    <w:uiPriority w:val="0"/>
    <w:rPr>
      <w:rFonts w:ascii="Times New Roman" w:hAnsi="Times New Roman" w:eastAsia="Times New Roman" w:cs="Times New Roman"/>
      <w:sz w:val="24"/>
      <w:szCs w:val="24"/>
      <w:lang w:val="en-US" w:eastAsia="zh-CN" w:bidi="ar-SA"/>
    </w:rPr>
  </w:style>
  <w:style w:type="paragraph" w:customStyle="1" w:styleId="390">
    <w:name w:val="Normal_22"/>
    <w:qFormat/>
    <w:uiPriority w:val="0"/>
    <w:rPr>
      <w:rFonts w:ascii="Times New Roman" w:hAnsi="Times New Roman" w:eastAsia="Times New Roman" w:cs="Times New Roman"/>
      <w:sz w:val="24"/>
      <w:szCs w:val="24"/>
      <w:lang w:val="en-US" w:eastAsia="zh-CN" w:bidi="ar-SA"/>
    </w:rPr>
  </w:style>
  <w:style w:type="paragraph" w:customStyle="1" w:styleId="391">
    <w:name w:val="Normal_2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2">
    <w:name w:val="Normal_24"/>
    <w:qFormat/>
    <w:uiPriority w:val="0"/>
    <w:rPr>
      <w:rFonts w:ascii="Times New Roman" w:hAnsi="Times New Roman" w:eastAsia="Times New Roman" w:cs="Times New Roman"/>
      <w:sz w:val="24"/>
      <w:szCs w:val="24"/>
      <w:lang w:val="en-US" w:eastAsia="zh-CN" w:bidi="ar-SA"/>
    </w:rPr>
  </w:style>
  <w:style w:type="paragraph" w:customStyle="1" w:styleId="393">
    <w:name w:val="Normal_2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4">
    <w:name w:val="Normal_26"/>
    <w:qFormat/>
    <w:uiPriority w:val="0"/>
    <w:rPr>
      <w:rFonts w:ascii="Times New Roman" w:hAnsi="Times New Roman" w:eastAsia="Times New Roman" w:cs="Times New Roman"/>
      <w:sz w:val="24"/>
      <w:szCs w:val="24"/>
      <w:lang w:val="en-US" w:eastAsia="zh-CN" w:bidi="ar-SA"/>
    </w:rPr>
  </w:style>
  <w:style w:type="paragraph" w:customStyle="1" w:styleId="395">
    <w:name w:val="Normal_2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6">
    <w:name w:val="Normal_28"/>
    <w:qFormat/>
    <w:uiPriority w:val="0"/>
    <w:rPr>
      <w:rFonts w:ascii="Times New Roman" w:hAnsi="Times New Roman" w:eastAsia="Times New Roman" w:cs="Times New Roman"/>
      <w:sz w:val="24"/>
      <w:szCs w:val="24"/>
      <w:lang w:val="en-US" w:eastAsia="zh-CN" w:bidi="ar-SA"/>
    </w:rPr>
  </w:style>
  <w:style w:type="paragraph" w:customStyle="1" w:styleId="397">
    <w:name w:val="Normal_2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8">
    <w:name w:val="Normal_30"/>
    <w:qFormat/>
    <w:uiPriority w:val="0"/>
    <w:rPr>
      <w:rFonts w:ascii="Times New Roman" w:hAnsi="Times New Roman" w:eastAsia="Times New Roman" w:cs="Times New Roman"/>
      <w:sz w:val="24"/>
      <w:szCs w:val="24"/>
      <w:lang w:val="en-US" w:eastAsia="zh-CN" w:bidi="ar-SA"/>
    </w:rPr>
  </w:style>
  <w:style w:type="paragraph" w:customStyle="1" w:styleId="399">
    <w:name w:val="Normal_3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0">
    <w:name w:val="Normal_32"/>
    <w:qFormat/>
    <w:uiPriority w:val="0"/>
    <w:rPr>
      <w:rFonts w:ascii="Times New Roman" w:hAnsi="Times New Roman" w:eastAsia="Times New Roman" w:cs="Times New Roman"/>
      <w:sz w:val="24"/>
      <w:szCs w:val="24"/>
      <w:lang w:val="en-US" w:eastAsia="zh-CN" w:bidi="ar-SA"/>
    </w:rPr>
  </w:style>
  <w:style w:type="paragraph" w:customStyle="1" w:styleId="401">
    <w:name w:val="Normal_3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2">
    <w:name w:val="Normal_34"/>
    <w:qFormat/>
    <w:uiPriority w:val="0"/>
    <w:rPr>
      <w:rFonts w:ascii="Times New Roman" w:hAnsi="Times New Roman" w:eastAsia="Times New Roman" w:cs="Times New Roman"/>
      <w:sz w:val="24"/>
      <w:szCs w:val="24"/>
      <w:lang w:val="en-US" w:eastAsia="zh-CN" w:bidi="ar-SA"/>
    </w:rPr>
  </w:style>
  <w:style w:type="paragraph" w:customStyle="1" w:styleId="403">
    <w:name w:val="Normal_3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4">
    <w:name w:val="Normal_36"/>
    <w:qFormat/>
    <w:uiPriority w:val="0"/>
    <w:rPr>
      <w:rFonts w:ascii="Times New Roman" w:hAnsi="Times New Roman" w:eastAsia="Times New Roman" w:cs="Times New Roman"/>
      <w:sz w:val="24"/>
      <w:szCs w:val="24"/>
      <w:lang w:val="en-US" w:eastAsia="zh-CN" w:bidi="ar-SA"/>
    </w:rPr>
  </w:style>
  <w:style w:type="paragraph" w:customStyle="1" w:styleId="405">
    <w:name w:val="Normal_3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6">
    <w:name w:val="Normal_38"/>
    <w:qFormat/>
    <w:uiPriority w:val="0"/>
    <w:rPr>
      <w:rFonts w:ascii="Times New Roman" w:hAnsi="Times New Roman" w:eastAsia="Times New Roman" w:cs="Times New Roman"/>
      <w:sz w:val="24"/>
      <w:szCs w:val="24"/>
      <w:lang w:val="en-US" w:eastAsia="zh-CN" w:bidi="ar-SA"/>
    </w:rPr>
  </w:style>
  <w:style w:type="paragraph" w:customStyle="1" w:styleId="407">
    <w:name w:val="Normal_3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8">
    <w:name w:val="Normal_40"/>
    <w:qFormat/>
    <w:uiPriority w:val="0"/>
    <w:rPr>
      <w:rFonts w:ascii="Times New Roman" w:hAnsi="Times New Roman" w:eastAsia="Times New Roman" w:cs="Times New Roman"/>
      <w:sz w:val="24"/>
      <w:szCs w:val="24"/>
      <w:lang w:val="en-US" w:eastAsia="zh-CN" w:bidi="ar-SA"/>
    </w:rPr>
  </w:style>
  <w:style w:type="paragraph" w:customStyle="1" w:styleId="409">
    <w:name w:val="Normal_4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0">
    <w:name w:val="Normal_42"/>
    <w:qFormat/>
    <w:uiPriority w:val="0"/>
    <w:rPr>
      <w:rFonts w:ascii="Times New Roman" w:hAnsi="Times New Roman" w:eastAsia="Times New Roman" w:cs="Times New Roman"/>
      <w:sz w:val="24"/>
      <w:szCs w:val="24"/>
      <w:lang w:val="en-US" w:eastAsia="zh-CN" w:bidi="ar-SA"/>
    </w:rPr>
  </w:style>
  <w:style w:type="paragraph" w:customStyle="1" w:styleId="411">
    <w:name w:val="Normal_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2">
    <w:name w:val="Normal_44"/>
    <w:qFormat/>
    <w:uiPriority w:val="0"/>
    <w:rPr>
      <w:rFonts w:ascii="Times New Roman" w:hAnsi="Times New Roman" w:eastAsia="Times New Roman" w:cs="Times New Roman"/>
      <w:sz w:val="24"/>
      <w:szCs w:val="24"/>
      <w:lang w:val="en-US" w:eastAsia="zh-CN" w:bidi="ar-SA"/>
    </w:rPr>
  </w:style>
  <w:style w:type="paragraph" w:customStyle="1" w:styleId="413">
    <w:name w:val="Normal_47"/>
    <w:qFormat/>
    <w:uiPriority w:val="0"/>
    <w:rPr>
      <w:rFonts w:ascii="Times New Roman" w:hAnsi="Times New Roman" w:eastAsia="Times New Roman" w:cs="Times New Roman"/>
      <w:sz w:val="24"/>
      <w:szCs w:val="24"/>
      <w:lang w:val="en-US" w:eastAsia="zh-CN" w:bidi="ar-SA"/>
    </w:rPr>
  </w:style>
  <w:style w:type="paragraph" w:customStyle="1" w:styleId="414">
    <w:name w:val="Normal_48"/>
    <w:qFormat/>
    <w:uiPriority w:val="0"/>
    <w:rPr>
      <w:rFonts w:ascii="Times New Roman" w:hAnsi="Times New Roman" w:eastAsia="Times New Roman" w:cs="Times New Roman"/>
      <w:sz w:val="24"/>
      <w:szCs w:val="24"/>
      <w:lang w:val="en-US" w:eastAsia="zh-CN" w:bidi="ar-SA"/>
    </w:rPr>
  </w:style>
  <w:style w:type="paragraph" w:customStyle="1" w:styleId="415">
    <w:name w:val="Normal_4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6">
    <w:name w:val="Normal_50"/>
    <w:qFormat/>
    <w:uiPriority w:val="0"/>
    <w:rPr>
      <w:rFonts w:ascii="Times New Roman" w:hAnsi="Times New Roman" w:eastAsia="Times New Roman" w:cs="Times New Roman"/>
      <w:sz w:val="24"/>
      <w:szCs w:val="24"/>
      <w:lang w:val="en-US" w:eastAsia="zh-CN" w:bidi="ar-SA"/>
    </w:rPr>
  </w:style>
  <w:style w:type="paragraph" w:customStyle="1" w:styleId="417">
    <w:name w:val="标题 31"/>
    <w:basedOn w:val="418"/>
    <w:next w:val="418"/>
    <w:link w:val="419"/>
    <w:qFormat/>
    <w:uiPriority w:val="0"/>
    <w:pPr>
      <w:widowControl/>
      <w:spacing w:line="360" w:lineRule="auto"/>
      <w:jc w:val="center"/>
      <w:outlineLvl w:val="2"/>
    </w:pPr>
    <w:rPr>
      <w:rFonts w:ascii="Times New Roman" w:hAnsi="Times New Roman" w:eastAsia="仿宋"/>
      <w:b/>
      <w:bCs/>
      <w:kern w:val="0"/>
      <w:sz w:val="24"/>
      <w:szCs w:val="24"/>
    </w:rPr>
  </w:style>
  <w:style w:type="paragraph" w:customStyle="1" w:styleId="418">
    <w:name w:val="Normal_51"/>
    <w:qFormat/>
    <w:uiPriority w:val="0"/>
    <w:pPr>
      <w:widowControl w:val="0"/>
      <w:jc w:val="both"/>
    </w:pPr>
    <w:rPr>
      <w:rFonts w:ascii="Calibri" w:hAnsi="Calibri" w:eastAsia="宋体" w:cs="Times New Roman"/>
      <w:kern w:val="2"/>
      <w:sz w:val="21"/>
      <w:szCs w:val="22"/>
      <w:lang w:val="en-US" w:eastAsia="zh-CN" w:bidi="ar-SA"/>
    </w:rPr>
  </w:style>
  <w:style w:type="character" w:customStyle="1" w:styleId="419">
    <w:name w:val="标题 3 Char1_0"/>
    <w:link w:val="417"/>
    <w:qFormat/>
    <w:uiPriority w:val="0"/>
    <w:rPr>
      <w:rFonts w:eastAsia="仿宋"/>
      <w:b/>
      <w:bCs/>
      <w:sz w:val="24"/>
      <w:szCs w:val="24"/>
    </w:rPr>
  </w:style>
  <w:style w:type="paragraph" w:customStyle="1" w:styleId="420">
    <w:name w:val="正文_16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1">
    <w:name w:val="Normal_52"/>
    <w:qFormat/>
    <w:uiPriority w:val="0"/>
    <w:rPr>
      <w:rFonts w:ascii="Times New Roman" w:hAnsi="Times New Roman" w:eastAsia="Times New Roman" w:cs="Times New Roman"/>
      <w:sz w:val="24"/>
      <w:szCs w:val="24"/>
      <w:lang w:val="en-US" w:eastAsia="zh-CN" w:bidi="ar-SA"/>
    </w:rPr>
  </w:style>
  <w:style w:type="paragraph" w:customStyle="1" w:styleId="422">
    <w:name w:val="Normal_5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3">
    <w:name w:val="Normal_55"/>
    <w:qFormat/>
    <w:uiPriority w:val="0"/>
    <w:rPr>
      <w:rFonts w:ascii="Times New Roman" w:hAnsi="Times New Roman" w:eastAsia="Times New Roman" w:cs="Times New Roman"/>
      <w:sz w:val="24"/>
      <w:szCs w:val="24"/>
      <w:lang w:val="en-US" w:eastAsia="zh-CN" w:bidi="ar-SA"/>
    </w:rPr>
  </w:style>
  <w:style w:type="paragraph" w:customStyle="1" w:styleId="424">
    <w:name w:val="Normal_56"/>
    <w:qFormat/>
    <w:uiPriority w:val="0"/>
    <w:rPr>
      <w:rFonts w:ascii="Times New Roman" w:hAnsi="Times New Roman" w:eastAsia="Times New Roman" w:cs="Times New Roman"/>
      <w:sz w:val="24"/>
      <w:szCs w:val="24"/>
      <w:lang w:val="en-US" w:eastAsia="zh-CN" w:bidi="ar-SA"/>
    </w:rPr>
  </w:style>
  <w:style w:type="paragraph" w:customStyle="1" w:styleId="425">
    <w:name w:val="Normal_57"/>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6">
    <w:name w:val="Normal_58"/>
    <w:qFormat/>
    <w:uiPriority w:val="0"/>
    <w:rPr>
      <w:rFonts w:ascii="Times New Roman" w:hAnsi="Times New Roman" w:eastAsia="Times New Roman" w:cs="Times New Roman"/>
      <w:sz w:val="24"/>
      <w:szCs w:val="24"/>
      <w:lang w:val="en-US" w:eastAsia="zh-CN" w:bidi="ar-SA"/>
    </w:rPr>
  </w:style>
  <w:style w:type="paragraph" w:customStyle="1" w:styleId="427">
    <w:name w:val="Normal_60"/>
    <w:qFormat/>
    <w:uiPriority w:val="0"/>
    <w:rPr>
      <w:rFonts w:ascii="Times New Roman" w:hAnsi="Times New Roman" w:eastAsia="Times New Roman" w:cs="Times New Roman"/>
      <w:sz w:val="24"/>
      <w:szCs w:val="24"/>
      <w:lang w:val="en-US" w:eastAsia="zh-CN" w:bidi="ar-SA"/>
    </w:rPr>
  </w:style>
  <w:style w:type="paragraph" w:customStyle="1" w:styleId="428">
    <w:name w:val="Normal_62"/>
    <w:qFormat/>
    <w:uiPriority w:val="0"/>
    <w:rPr>
      <w:rFonts w:ascii="Times New Roman" w:hAnsi="Times New Roman" w:eastAsia="Times New Roman" w:cs="Times New Roman"/>
      <w:sz w:val="24"/>
      <w:szCs w:val="24"/>
      <w:lang w:val="en-US" w:eastAsia="zh-CN" w:bidi="ar-SA"/>
    </w:rPr>
  </w:style>
  <w:style w:type="paragraph" w:customStyle="1" w:styleId="429">
    <w:name w:val="Normal_64"/>
    <w:qFormat/>
    <w:uiPriority w:val="0"/>
    <w:rPr>
      <w:rFonts w:ascii="Times New Roman" w:hAnsi="Times New Roman" w:eastAsia="Times New Roman" w:cs="Times New Roman"/>
      <w:sz w:val="24"/>
      <w:szCs w:val="24"/>
      <w:lang w:val="en-US" w:eastAsia="zh-CN" w:bidi="ar-SA"/>
    </w:rPr>
  </w:style>
  <w:style w:type="paragraph" w:customStyle="1" w:styleId="430">
    <w:name w:val="Normal_66"/>
    <w:qFormat/>
    <w:uiPriority w:val="0"/>
    <w:rPr>
      <w:rFonts w:ascii="Times New Roman" w:hAnsi="Times New Roman" w:eastAsia="Times New Roman" w:cs="Times New Roman"/>
      <w:sz w:val="24"/>
      <w:szCs w:val="24"/>
      <w:lang w:val="en-US" w:eastAsia="zh-CN" w:bidi="ar-SA"/>
    </w:rPr>
  </w:style>
  <w:style w:type="paragraph" w:customStyle="1" w:styleId="431">
    <w:name w:val="Normal_68"/>
    <w:qFormat/>
    <w:uiPriority w:val="0"/>
    <w:rPr>
      <w:rFonts w:ascii="Times New Roman" w:hAnsi="Times New Roman" w:eastAsia="Times New Roman" w:cs="Times New Roman"/>
      <w:sz w:val="24"/>
      <w:szCs w:val="24"/>
      <w:lang w:val="en-US" w:eastAsia="zh-CN" w:bidi="ar-SA"/>
    </w:rPr>
  </w:style>
  <w:style w:type="paragraph" w:customStyle="1" w:styleId="432">
    <w:name w:val="章标题"/>
    <w:next w:val="1"/>
    <w:qFormat/>
    <w:uiPriority w:val="0"/>
    <w:pPr>
      <w:keepNext w:val="0"/>
      <w:keepLines w:val="0"/>
      <w:pageBreakBefore w:val="0"/>
      <w:widowControl w:val="0"/>
      <w:kinsoku/>
      <w:wordWrap/>
      <w:overflowPunct/>
      <w:topLinePunct w:val="0"/>
      <w:autoSpaceDE/>
      <w:autoSpaceDN/>
      <w:bidi w:val="0"/>
      <w:adjustRightInd/>
      <w:spacing w:before="50" w:beforeLines="50" w:after="100" w:afterLines="100" w:line="300" w:lineRule="auto"/>
      <w:ind w:firstLine="0" w:firstLineChars="0"/>
      <w:jc w:val="center"/>
      <w:textAlignment w:val="auto"/>
      <w:outlineLvl w:val="0"/>
    </w:pPr>
    <w:rPr>
      <w:rFonts w:ascii="Times New Roman" w:hAnsi="Times New Roman" w:eastAsia="黑体" w:cs="Times New Roman"/>
      <w:kern w:val="44"/>
      <w:sz w:val="36"/>
      <w:szCs w:val="48"/>
      <w:lang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admin</Company>
  <Pages>70</Pages>
  <Words>6148</Words>
  <Characters>6687</Characters>
  <Lines>348</Lines>
  <Paragraphs>98</Paragraphs>
  <TotalTime>57</TotalTime>
  <ScaleCrop>false</ScaleCrop>
  <LinksUpToDate>false</LinksUpToDate>
  <CharactersWithSpaces>7021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2023-12-20T16:50:00Z</dcterms:created>
  <dc:creator>admin</dc:creator>
  <cp:lastModifiedBy>JYZX-DZ</cp:lastModifiedBy>
  <cp:lastPrinted>2025-01-02T02:20:00Z</cp:lastPrinted>
  <dcterms:modified xsi:type="dcterms:W3CDTF">2025-01-02T03:06:48Z</dcterms:modified>
  <dc:title>附件十一</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BDCF143A08D8479F80FC383FF9F5BB85_13</vt:lpwstr>
  </property>
  <property fmtid="{D5CDD505-2E9C-101B-9397-08002B2CF9AE}" pid="4" name="KSOTemplateDocerSaveRecord">
    <vt:lpwstr>eyJoZGlkIjoiNWRiN2EzOTIwNTFkMWRjYjlhM2M2MjEwMTAzOTAyMTAiLCJ1c2VySWQiOiI0NDI0MjI5OTcifQ==</vt:lpwstr>
  </property>
</Properties>
</file>