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F59374">
      <w:pPr>
        <w:pStyle w:val="6"/>
        <w:rPr>
          <w:rFonts w:ascii="黑体"/>
          <w:i w:val="0"/>
          <w:color w:val="auto"/>
          <w:sz w:val="20"/>
          <w:highlight w:val="none"/>
          <w:u w:val="none"/>
        </w:rPr>
      </w:pPr>
    </w:p>
    <w:p w14:paraId="54F76EE2">
      <w:pPr>
        <w:pStyle w:val="4"/>
      </w:pPr>
      <w:r>
        <w:rPr>
          <w:rFonts w:hint="eastAsia"/>
        </w:rPr>
        <w:t>采购项目需求</w:t>
      </w:r>
    </w:p>
    <w:p w14:paraId="090AEC7B">
      <w:pPr>
        <w:spacing w:line="500" w:lineRule="exact"/>
        <w:ind w:firstLine="540" w:firstLineChars="200"/>
        <w:rPr>
          <w:rFonts w:hint="eastAsia" w:ascii="宋体" w:hAnsi="宋体"/>
          <w:sz w:val="27"/>
          <w:szCs w:val="27"/>
        </w:rPr>
      </w:pPr>
      <w:r>
        <w:rPr>
          <w:rFonts w:hint="eastAsia" w:ascii="宋体" w:hAnsi="宋体"/>
          <w:sz w:val="27"/>
          <w:szCs w:val="27"/>
        </w:rPr>
        <w:t>（一）</w:t>
      </w:r>
      <w:r>
        <w:rPr>
          <w:rFonts w:hint="eastAsia" w:ascii="宋体" w:hAnsi="宋体"/>
          <w:sz w:val="27"/>
          <w:szCs w:val="27"/>
          <w:lang w:val="en-US" w:eastAsia="zh-CN"/>
        </w:rPr>
        <w:t>投标人</w:t>
      </w:r>
      <w:r>
        <w:rPr>
          <w:rFonts w:hint="eastAsia" w:ascii="宋体" w:hAnsi="宋体"/>
          <w:sz w:val="27"/>
          <w:szCs w:val="27"/>
        </w:rPr>
        <w:t>须提供全新、原装，并符合质量标准的，是经国家批准的出版机构出版的有版权的正式出版物。</w:t>
      </w:r>
      <w:r>
        <w:rPr>
          <w:rFonts w:hint="eastAsia" w:ascii="宋体" w:hAnsi="宋体"/>
          <w:sz w:val="27"/>
          <w:szCs w:val="27"/>
          <w:lang w:val="en-US" w:eastAsia="zh-CN"/>
        </w:rPr>
        <w:t>招标文件</w:t>
      </w:r>
      <w:r>
        <w:rPr>
          <w:rFonts w:hint="eastAsia" w:ascii="宋体" w:hAnsi="宋体"/>
          <w:sz w:val="27"/>
          <w:szCs w:val="27"/>
        </w:rPr>
        <w:t>提出的是最低限度的要求，</w:t>
      </w:r>
      <w:r>
        <w:rPr>
          <w:rFonts w:hint="eastAsia" w:ascii="宋体" w:hAnsi="宋体"/>
          <w:sz w:val="27"/>
          <w:szCs w:val="27"/>
          <w:lang w:val="en-US" w:eastAsia="zh-CN"/>
        </w:rPr>
        <w:t>投标人</w:t>
      </w:r>
      <w:r>
        <w:rPr>
          <w:rFonts w:hint="eastAsia" w:ascii="宋体" w:hAnsi="宋体"/>
          <w:sz w:val="27"/>
          <w:szCs w:val="27"/>
        </w:rPr>
        <w:t>的方案应达到或优于</w:t>
      </w:r>
      <w:r>
        <w:rPr>
          <w:rFonts w:hint="eastAsia" w:ascii="宋体" w:hAnsi="宋体"/>
          <w:sz w:val="27"/>
          <w:szCs w:val="27"/>
          <w:lang w:val="en-US" w:eastAsia="zh-CN"/>
        </w:rPr>
        <w:t>招标文件</w:t>
      </w:r>
      <w:r>
        <w:rPr>
          <w:rFonts w:hint="eastAsia" w:ascii="宋体" w:hAnsi="宋体"/>
          <w:sz w:val="27"/>
          <w:szCs w:val="27"/>
        </w:rPr>
        <w:t>要求，且符合国家有关标准和规范要求。本部分“采购项目需求”均属于不允许负偏离的实质性要求和条件。</w:t>
      </w:r>
    </w:p>
    <w:p w14:paraId="745C5224">
      <w:pPr>
        <w:spacing w:line="500" w:lineRule="exact"/>
        <w:ind w:firstLine="540" w:firstLineChars="200"/>
        <w:rPr>
          <w:rFonts w:hint="eastAsia" w:ascii="宋体" w:hAnsi="宋体"/>
          <w:sz w:val="27"/>
          <w:szCs w:val="27"/>
        </w:rPr>
      </w:pPr>
      <w:r>
        <w:rPr>
          <w:rFonts w:hint="eastAsia" w:ascii="宋体" w:hAnsi="宋体"/>
          <w:sz w:val="27"/>
          <w:szCs w:val="27"/>
        </w:rPr>
        <w:t>（二）</w:t>
      </w:r>
      <w:r>
        <w:rPr>
          <w:rFonts w:hint="eastAsia" w:ascii="宋体" w:hAnsi="宋体"/>
          <w:sz w:val="27"/>
          <w:szCs w:val="27"/>
          <w:lang w:val="en-US" w:eastAsia="zh-CN"/>
        </w:rPr>
        <w:t>投标人</w:t>
      </w:r>
      <w:r>
        <w:rPr>
          <w:rFonts w:hint="eastAsia" w:ascii="宋体" w:hAnsi="宋体"/>
          <w:sz w:val="27"/>
          <w:szCs w:val="27"/>
        </w:rPr>
        <w:t>须明确承诺所投货物质保期一年。投标产品属于国家规定“三包”范围的，其产品质量保证期不得低于“三包”规定。响应供应商的质量保证期承诺优于国家“三包”规定的，按响应供应商实际承诺执行。</w:t>
      </w:r>
    </w:p>
    <w:p w14:paraId="639E84E7">
      <w:pPr>
        <w:spacing w:line="500" w:lineRule="exact"/>
        <w:ind w:firstLine="540" w:firstLineChars="200"/>
        <w:rPr>
          <w:rFonts w:ascii="宋体" w:hAnsi="宋体"/>
          <w:sz w:val="27"/>
          <w:szCs w:val="27"/>
        </w:rPr>
      </w:pPr>
      <w:r>
        <w:rPr>
          <w:rFonts w:hint="eastAsia" w:ascii="宋体" w:hAnsi="宋体"/>
          <w:sz w:val="27"/>
          <w:szCs w:val="27"/>
        </w:rPr>
        <w:t>（三）货物如为某单位的专利或特有产品，请投标人在答疑期内告知政府采购代理机构。</w:t>
      </w:r>
    </w:p>
    <w:p w14:paraId="2635B438">
      <w:pPr>
        <w:spacing w:line="500" w:lineRule="exact"/>
        <w:ind w:firstLine="540" w:firstLineChars="200"/>
        <w:rPr>
          <w:rFonts w:hint="eastAsia" w:ascii="宋体" w:hAnsi="宋体"/>
          <w:sz w:val="27"/>
          <w:szCs w:val="27"/>
        </w:rPr>
      </w:pPr>
      <w:r>
        <w:rPr>
          <w:rFonts w:hint="eastAsia" w:ascii="宋体" w:hAnsi="宋体"/>
          <w:sz w:val="27"/>
          <w:szCs w:val="27"/>
        </w:rPr>
        <w:t>（四）所有货物的知识产权问题，由各投标人自行负责。</w:t>
      </w:r>
    </w:p>
    <w:p w14:paraId="42D70624">
      <w:pPr>
        <w:spacing w:line="500" w:lineRule="exact"/>
        <w:ind w:right="-57" w:rightChars="-26" w:firstLine="540" w:firstLineChars="200"/>
        <w:rPr>
          <w:rFonts w:hint="eastAsia" w:ascii="宋体" w:hAnsi="宋体"/>
          <w:bCs/>
          <w:color w:val="auto"/>
          <w:sz w:val="27"/>
          <w:szCs w:val="27"/>
        </w:rPr>
      </w:pPr>
      <w:r>
        <w:rPr>
          <w:rFonts w:hint="eastAsia" w:ascii="宋体" w:hAnsi="宋体"/>
          <w:bCs/>
          <w:color w:val="auto"/>
          <w:sz w:val="27"/>
          <w:szCs w:val="27"/>
        </w:rPr>
        <w:t>（</w:t>
      </w:r>
      <w:r>
        <w:rPr>
          <w:rFonts w:hint="eastAsia" w:ascii="宋体" w:hAnsi="宋体"/>
          <w:bCs/>
          <w:color w:val="auto"/>
          <w:sz w:val="27"/>
          <w:szCs w:val="27"/>
          <w:lang w:val="en-US" w:eastAsia="zh-CN"/>
        </w:rPr>
        <w:t>五</w:t>
      </w:r>
      <w:r>
        <w:rPr>
          <w:rFonts w:hint="eastAsia" w:ascii="宋体" w:hAnsi="宋体"/>
          <w:bCs/>
          <w:color w:val="auto"/>
          <w:sz w:val="27"/>
          <w:szCs w:val="27"/>
        </w:rPr>
        <w:t>）履约期限及履约地点：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成交供应商</w:t>
      </w:r>
      <w:r>
        <w:rPr>
          <w:rFonts w:hint="eastAsia" w:ascii="宋体" w:hAnsi="宋体" w:eastAsia="宋体"/>
          <w:sz w:val="28"/>
          <w:szCs w:val="28"/>
        </w:rPr>
        <w:t>应在政府采购代理机构规定的时间内和采购人签订合同，</w:t>
      </w:r>
      <w:r>
        <w:rPr>
          <w:rFonts w:hint="eastAsia" w:ascii="宋体" w:hAnsi="宋体" w:eastAsia="宋体"/>
          <w:sz w:val="28"/>
          <w:szCs w:val="28"/>
          <w:lang w:eastAsia="zh-CN"/>
        </w:rPr>
        <w:t>并在采购人提供</w:t>
      </w:r>
      <w:r>
        <w:rPr>
          <w:rFonts w:hint="eastAsia" w:ascii="宋体" w:hAnsi="宋体" w:eastAsia="宋体"/>
          <w:sz w:val="28"/>
          <w:szCs w:val="28"/>
        </w:rPr>
        <w:t>教材采购清单后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/>
          <w:sz w:val="28"/>
          <w:szCs w:val="28"/>
        </w:rPr>
        <w:t>日内交货</w:t>
      </w:r>
      <w:r>
        <w:rPr>
          <w:rFonts w:hint="eastAsia" w:ascii="宋体" w:hAnsi="宋体" w:eastAsia="宋体"/>
          <w:sz w:val="28"/>
          <w:szCs w:val="28"/>
          <w:lang w:eastAsia="zh-CN"/>
        </w:rPr>
        <w:t>，供货周期三学年</w:t>
      </w:r>
      <w:r>
        <w:rPr>
          <w:rFonts w:hint="eastAsia" w:ascii="宋体" w:hAnsi="宋体"/>
          <w:bCs/>
          <w:color w:val="auto"/>
          <w:sz w:val="27"/>
          <w:szCs w:val="27"/>
        </w:rPr>
        <w:t>；履行地点：会昌中等专业学校指定地点。</w:t>
      </w:r>
    </w:p>
    <w:p w14:paraId="213BE058">
      <w:pPr>
        <w:spacing w:line="500" w:lineRule="exact"/>
        <w:ind w:firstLine="540" w:firstLineChars="200"/>
        <w:rPr>
          <w:rFonts w:hint="eastAsia" w:ascii="宋体" w:hAnsi="宋体"/>
          <w:color w:val="auto"/>
          <w:sz w:val="27"/>
          <w:szCs w:val="27"/>
        </w:rPr>
      </w:pPr>
      <w:r>
        <w:rPr>
          <w:rFonts w:hint="eastAsia" w:ascii="宋体" w:hAnsi="宋体"/>
          <w:color w:val="auto"/>
          <w:sz w:val="27"/>
          <w:szCs w:val="27"/>
        </w:rPr>
        <w:t>（</w:t>
      </w:r>
      <w:r>
        <w:rPr>
          <w:rFonts w:hint="eastAsia" w:ascii="宋体" w:hAnsi="宋体"/>
          <w:color w:val="auto"/>
          <w:sz w:val="27"/>
          <w:szCs w:val="27"/>
          <w:lang w:val="en-US" w:eastAsia="zh-CN"/>
        </w:rPr>
        <w:t>六</w:t>
      </w:r>
      <w:r>
        <w:rPr>
          <w:rFonts w:hint="eastAsia" w:ascii="宋体" w:hAnsi="宋体"/>
          <w:color w:val="auto"/>
          <w:sz w:val="27"/>
          <w:szCs w:val="27"/>
        </w:rPr>
        <w:t>）本项目允许分包的非主体、非关键性工作：无。</w:t>
      </w:r>
    </w:p>
    <w:p w14:paraId="15C01E51">
      <w:pPr>
        <w:spacing w:line="500" w:lineRule="exact"/>
        <w:ind w:firstLine="540" w:firstLineChars="200"/>
        <w:rPr>
          <w:rFonts w:hint="eastAsia" w:ascii="宋体" w:hAnsi="宋体"/>
          <w:color w:val="auto"/>
          <w:sz w:val="27"/>
          <w:szCs w:val="27"/>
        </w:rPr>
      </w:pPr>
      <w:r>
        <w:rPr>
          <w:rFonts w:hint="eastAsia" w:ascii="宋体" w:hAnsi="宋体"/>
          <w:color w:val="auto"/>
          <w:sz w:val="27"/>
          <w:szCs w:val="27"/>
        </w:rPr>
        <w:t>（</w:t>
      </w:r>
      <w:r>
        <w:rPr>
          <w:rFonts w:hint="eastAsia" w:ascii="宋体" w:hAnsi="宋体"/>
          <w:color w:val="auto"/>
          <w:sz w:val="27"/>
          <w:szCs w:val="27"/>
          <w:lang w:val="en-US" w:eastAsia="zh-CN"/>
        </w:rPr>
        <w:t>七</w:t>
      </w:r>
      <w:r>
        <w:rPr>
          <w:rFonts w:hint="eastAsia" w:ascii="宋体" w:hAnsi="宋体"/>
          <w:color w:val="auto"/>
          <w:sz w:val="27"/>
          <w:szCs w:val="27"/>
        </w:rPr>
        <w:t>）技术规格及要求：</w:t>
      </w:r>
    </w:p>
    <w:tbl>
      <w:tblPr>
        <w:tblStyle w:val="13"/>
        <w:tblW w:w="98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1987"/>
        <w:gridCol w:w="978"/>
        <w:gridCol w:w="930"/>
        <w:gridCol w:w="5180"/>
      </w:tblGrid>
      <w:tr w14:paraId="1B470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2" w:type="dxa"/>
            <w:noWrap w:val="0"/>
            <w:vAlign w:val="center"/>
          </w:tcPr>
          <w:p w14:paraId="0DA38B52">
            <w:pPr>
              <w:spacing w:line="460" w:lineRule="exact"/>
              <w:jc w:val="center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品目</w:t>
            </w:r>
          </w:p>
        </w:tc>
        <w:tc>
          <w:tcPr>
            <w:tcW w:w="1987" w:type="dxa"/>
            <w:noWrap w:val="0"/>
            <w:vAlign w:val="center"/>
          </w:tcPr>
          <w:p w14:paraId="1C3A527A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项目</w:t>
            </w:r>
            <w:r>
              <w:rPr>
                <w:rFonts w:hint="eastAsia" w:ascii="宋体" w:hAnsi="宋体"/>
                <w:sz w:val="28"/>
                <w:szCs w:val="28"/>
              </w:rPr>
              <w:t>名称</w:t>
            </w:r>
          </w:p>
        </w:tc>
        <w:tc>
          <w:tcPr>
            <w:tcW w:w="978" w:type="dxa"/>
            <w:noWrap w:val="0"/>
            <w:vAlign w:val="center"/>
          </w:tcPr>
          <w:p w14:paraId="7A6E1E31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数量</w:t>
            </w:r>
          </w:p>
        </w:tc>
        <w:tc>
          <w:tcPr>
            <w:tcW w:w="930" w:type="dxa"/>
            <w:noWrap w:val="0"/>
            <w:vAlign w:val="center"/>
          </w:tcPr>
          <w:p w14:paraId="047D789C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</w:t>
            </w:r>
          </w:p>
        </w:tc>
        <w:tc>
          <w:tcPr>
            <w:tcW w:w="5180" w:type="dxa"/>
            <w:noWrap w:val="0"/>
            <w:vAlign w:val="center"/>
          </w:tcPr>
          <w:p w14:paraId="26F45506"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主要技术规格及要求</w:t>
            </w:r>
          </w:p>
        </w:tc>
      </w:tr>
      <w:tr w14:paraId="5E5E2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  <w:jc w:val="center"/>
        </w:trPr>
        <w:tc>
          <w:tcPr>
            <w:tcW w:w="822" w:type="dxa"/>
            <w:noWrap w:val="0"/>
            <w:vAlign w:val="center"/>
          </w:tcPr>
          <w:p w14:paraId="27228927">
            <w:pPr>
              <w:widowControl/>
              <w:adjustRightInd w:val="0"/>
              <w:snapToGrid w:val="0"/>
              <w:spacing w:line="460" w:lineRule="exact"/>
              <w:jc w:val="center"/>
              <w:rPr>
                <w:rFonts w:hint="default" w:ascii="宋体" w:hAnsi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一</w:t>
            </w:r>
          </w:p>
        </w:tc>
        <w:tc>
          <w:tcPr>
            <w:tcW w:w="1987" w:type="dxa"/>
            <w:noWrap w:val="0"/>
            <w:vAlign w:val="center"/>
          </w:tcPr>
          <w:p w14:paraId="1C2DC005">
            <w:pPr>
              <w:widowControl/>
              <w:adjustRightInd w:val="0"/>
              <w:snapToGrid w:val="0"/>
              <w:spacing w:line="460" w:lineRule="exact"/>
              <w:jc w:val="center"/>
              <w:rPr>
                <w:rFonts w:ascii="宋体" w:hAnsi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t>2024-2027三学年教材采购</w:t>
            </w:r>
          </w:p>
        </w:tc>
        <w:tc>
          <w:tcPr>
            <w:tcW w:w="978" w:type="dxa"/>
            <w:noWrap w:val="0"/>
            <w:vAlign w:val="center"/>
          </w:tcPr>
          <w:p w14:paraId="5FD633E1">
            <w:pPr>
              <w:spacing w:line="460" w:lineRule="exact"/>
              <w:jc w:val="center"/>
              <w:rPr>
                <w:rFonts w:hint="eastAsia" w:ascii="宋体" w:hAnsi="宋体" w:eastAsia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930" w:type="dxa"/>
            <w:noWrap w:val="0"/>
            <w:vAlign w:val="center"/>
          </w:tcPr>
          <w:p w14:paraId="1CFED7D0">
            <w:pPr>
              <w:spacing w:line="460" w:lineRule="exact"/>
              <w:jc w:val="center"/>
              <w:rPr>
                <w:rFonts w:hint="eastAsia" w:ascii="宋体" w:hAnsi="宋体" w:eastAsia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年</w:t>
            </w:r>
          </w:p>
        </w:tc>
        <w:tc>
          <w:tcPr>
            <w:tcW w:w="5180" w:type="dxa"/>
            <w:noWrap w:val="0"/>
            <w:vAlign w:val="center"/>
          </w:tcPr>
          <w:p w14:paraId="22547188">
            <w:pPr>
              <w:spacing w:line="460" w:lineRule="exact"/>
              <w:rPr>
                <w:rFonts w:ascii="宋体" w:hAnsi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8"/>
                <w:szCs w:val="28"/>
                <w:lang w:val="en-US" w:eastAsia="zh-CN"/>
              </w:rPr>
              <w:t>网络营销、计算机网络技术、电子商务、商务英语、计算机应用、数字媒体技术应用、直播电商服务专业所有学科教材，具体要求详见采购项目需求。</w:t>
            </w:r>
          </w:p>
        </w:tc>
      </w:tr>
      <w:tr w14:paraId="06A62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  <w:jc w:val="center"/>
        </w:trPr>
        <w:tc>
          <w:tcPr>
            <w:tcW w:w="822" w:type="dxa"/>
            <w:noWrap w:val="0"/>
            <w:vAlign w:val="center"/>
          </w:tcPr>
          <w:p w14:paraId="1D7EDCBF">
            <w:pPr>
              <w:widowControl/>
              <w:adjustRightInd w:val="0"/>
              <w:snapToGrid w:val="0"/>
              <w:spacing w:line="460" w:lineRule="exact"/>
              <w:jc w:val="center"/>
              <w:rPr>
                <w:rFonts w:hint="default" w:ascii="宋体" w:hAnsi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二</w:t>
            </w:r>
          </w:p>
        </w:tc>
        <w:tc>
          <w:tcPr>
            <w:tcW w:w="1987" w:type="dxa"/>
            <w:noWrap w:val="0"/>
            <w:vAlign w:val="center"/>
          </w:tcPr>
          <w:p w14:paraId="3A4A6890">
            <w:pPr>
              <w:widowControl/>
              <w:adjustRightInd w:val="0"/>
              <w:snapToGrid w:val="0"/>
              <w:spacing w:line="460" w:lineRule="exact"/>
              <w:jc w:val="center"/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t>2024-2027三学年教材采购</w:t>
            </w:r>
          </w:p>
        </w:tc>
        <w:tc>
          <w:tcPr>
            <w:tcW w:w="978" w:type="dxa"/>
            <w:noWrap w:val="0"/>
            <w:vAlign w:val="center"/>
          </w:tcPr>
          <w:p w14:paraId="43B7BB63">
            <w:pPr>
              <w:spacing w:line="460" w:lineRule="exact"/>
              <w:jc w:val="center"/>
              <w:rPr>
                <w:rFonts w:hint="eastAsia" w:ascii="宋体" w:hAnsi="宋体" w:eastAsia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930" w:type="dxa"/>
            <w:noWrap w:val="0"/>
            <w:vAlign w:val="center"/>
          </w:tcPr>
          <w:p w14:paraId="75C19342">
            <w:pPr>
              <w:spacing w:line="460" w:lineRule="exact"/>
              <w:jc w:val="center"/>
              <w:rPr>
                <w:rFonts w:hint="eastAsia" w:ascii="宋体" w:hAnsi="宋体" w:eastAsia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年</w:t>
            </w:r>
          </w:p>
        </w:tc>
        <w:tc>
          <w:tcPr>
            <w:tcW w:w="5180" w:type="dxa"/>
            <w:noWrap w:val="0"/>
            <w:vAlign w:val="center"/>
          </w:tcPr>
          <w:p w14:paraId="740F48CA">
            <w:pPr>
              <w:spacing w:line="460" w:lineRule="exact"/>
              <w:rPr>
                <w:rFonts w:hint="eastAsia" w:ascii="宋体" w:hAnsi="宋体" w:eastAsia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除品目一之外的</w:t>
            </w:r>
            <w:r>
              <w:rPr>
                <w:rFonts w:hint="eastAsia" w:ascii="宋体" w:hAnsi="宋体"/>
                <w:color w:val="auto"/>
                <w:sz w:val="28"/>
                <w:szCs w:val="28"/>
              </w:rPr>
              <w:t>其他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所有</w:t>
            </w:r>
            <w:r>
              <w:rPr>
                <w:rFonts w:hint="eastAsia" w:ascii="宋体" w:hAnsi="宋体"/>
                <w:color w:val="auto"/>
                <w:sz w:val="28"/>
                <w:szCs w:val="28"/>
              </w:rPr>
              <w:t>专业学科教材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 w:eastAsia="宋体" w:cs="Times New Roman"/>
                <w:color w:val="auto"/>
                <w:sz w:val="28"/>
                <w:szCs w:val="28"/>
                <w:lang w:val="en-US" w:eastAsia="zh-CN"/>
              </w:rPr>
              <w:t>具体要求详见采购项目需求。</w:t>
            </w:r>
          </w:p>
        </w:tc>
      </w:tr>
      <w:tr w14:paraId="255AC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9897" w:type="dxa"/>
            <w:gridSpan w:val="5"/>
            <w:noWrap w:val="0"/>
            <w:vAlign w:val="center"/>
          </w:tcPr>
          <w:p w14:paraId="35045915">
            <w:pPr>
              <w:spacing w:line="460" w:lineRule="exact"/>
              <w:rPr>
                <w:rFonts w:hint="default" w:ascii="宋体" w:hAnsi="宋体" w:eastAsia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备注：只允许国产产品参与。</w:t>
            </w:r>
          </w:p>
        </w:tc>
      </w:tr>
    </w:tbl>
    <w:p w14:paraId="17548A4B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eastAsia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"/>
          <w:b/>
          <w:color w:val="auto"/>
          <w:sz w:val="28"/>
          <w:szCs w:val="28"/>
          <w:lang w:val="en-US" w:eastAsia="zh-CN" w:bidi="ar-SA"/>
        </w:rPr>
        <w:t>总体要求：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因为教材的意识形态属性较强，成交供应商须对教材的重大思想政治内容重点把关，重点审查教材的政治立场、价值导向等。要把好教材政治关、理念关、科学关。如提供的教材有意识形态问题，成交供应商需承担一切责任。成交供应商须按采购人实际需求进行配送。</w:t>
      </w:r>
    </w:p>
    <w:p w14:paraId="7BC3A025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1.教材质量</w:t>
      </w:r>
      <w:r>
        <w:rPr>
          <w:rFonts w:hint="eastAsia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要求</w:t>
      </w:r>
    </w:p>
    <w:p w14:paraId="0C59FDF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(1)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投标人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应保证为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预订和现采的教材，由正规出版社出版的合法出版物，符合国家有关标准，符合印刷质量标准，不得提供任何盗版、盗印教材。如发现盗版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、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盗印教材，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有权要求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投标人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无条件将盗版、盗印教材换成正版教材，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投标人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承担由此引发的一切法律责任。</w:t>
      </w:r>
    </w:p>
    <w:p w14:paraId="7B76FD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(2)</w:t>
      </w:r>
      <w:r>
        <w:rPr>
          <w:rFonts w:hint="eastAsia" w:ascii="宋体" w:hAnsi="宋体" w:eastAsia="宋体" w:cs="宋体"/>
          <w:sz w:val="28"/>
          <w:szCs w:val="28"/>
        </w:rPr>
        <w:t>供应的所有教材应保证印刷质量、包装良好，印刷质量执行《中华人民共和国产品质量法》及新闻出版总署公布的《图书质量管理规定》相关规定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62803966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2.教材订单提交</w:t>
      </w:r>
    </w:p>
    <w:p w14:paraId="6DF40CA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(1)及时受理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相关部门送达的教材采购计划。</w:t>
      </w:r>
    </w:p>
    <w:p w14:paraId="7824A28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(2)订单确认与回复：收到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的教材采购计划，应在3天内确认收到采购计划。</w:t>
      </w:r>
    </w:p>
    <w:p w14:paraId="53CC9DD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(3)教材征订以实际书目需求清单为准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并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根据每年最新出版的教材供货。</w:t>
      </w:r>
    </w:p>
    <w:p w14:paraId="61B7670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(4)对因招生计划变更，教学计划调整等原因造成的教材增减及其它变更，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成交供应商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须按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要求增加供货、退货和调剂。</w:t>
      </w:r>
    </w:p>
    <w:p w14:paraId="20C4B28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3.缺书反馈、到书时限及到书率</w:t>
      </w:r>
    </w:p>
    <w:p w14:paraId="20DC50F7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(1)缺书反馈：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供应商对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送达的订单及时进行确认和汇总采购，接到教材预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订单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5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天内反馈供货信息及无法采购的教材名称和原因，因改版、停止出版而无法采购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的教材，提供内容类似、使用范围相同的其他版本样书供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参考。</w:t>
      </w:r>
    </w:p>
    <w:p w14:paraId="1BB34774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(2)到书时限及到书率：</w:t>
      </w:r>
    </w:p>
    <w:p w14:paraId="28CE5D8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在学期开学前及时提交教材采购订单，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成交供应商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确定订单后，能够保证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指定时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间(开学前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三天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)内100%教材到货。对于临时追加补订的教材，接到订单</w:t>
      </w: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highlight w:val="none"/>
          <w:lang w:val="en-US" w:eastAsia="zh-CN" w:bidi="ar-SA"/>
        </w:rPr>
        <w:t>2天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内反馈供货信息，并能迅速反应，能按要求及时供货。</w:t>
      </w:r>
    </w:p>
    <w:p w14:paraId="06AA18F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4.教材配送及分发</w:t>
      </w:r>
    </w:p>
    <w:p w14:paraId="24C2F8A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(1)包装方面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成交供应商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应按图书防湿和防破的要求进行操作，严格按照订单要求包装教材；每批次附纸质版发货教材清单，清单应包含该批次发货的教材种类、数量、码洋等，电子版发货清单在发货前1天内发送给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，以便教材到货统计及验收。</w:t>
      </w:r>
    </w:p>
    <w:p w14:paraId="22CED5C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(2)每包教材包外贴电脑打印标签，详细注明内置教材的种、册、单价、码洋、出版社简称等，要便于清点。</w:t>
      </w:r>
    </w:p>
    <w:p w14:paraId="30D6C6DB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(3)教材由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成交供应商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负责配送，在教材配送期间发生的丢失、破损等所有损失由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成交供应商承担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。</w:t>
      </w:r>
    </w:p>
    <w:p w14:paraId="39012FEB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(4)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成交供应商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应相对集中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五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个工作日配送教材，及时处理配货中出现的问题，做好售后服务。</w:t>
      </w:r>
    </w:p>
    <w:p w14:paraId="396F5084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(5)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供应商应提供便于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验收的该批次教材详细电子清单及纸质清单，安排专人负责验收，对验收中出现种类、数量与清单不符的情况，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供应商应及时核验并采取补救措施。</w:t>
      </w:r>
    </w:p>
    <w:p w14:paraId="444635E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(6)在教材分发期间，出现因配货错误而误发的教材，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成交供应商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应无条件退换教材。在使用过程中发现破损、印刷、漏页、装订、版本不符合要求等问题，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供应商应100%退换。上述情况如有发生，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成交供应商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应承诺调换时间不超过7天。</w:t>
      </w:r>
    </w:p>
    <w:p w14:paraId="2B7559C9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(7)零星教材根据需要由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开具清单验收、签字确认后，由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负责发放。</w:t>
      </w:r>
    </w:p>
    <w:p w14:paraId="3B20AE6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5</w:t>
      </w: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.服务时间</w:t>
      </w:r>
    </w:p>
    <w:p w14:paraId="349E02E1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投标人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成交后应在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叁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年的合同时间内完成每个学期的供书任务，成交供应商未能完全履约的，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有权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终止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合同。</w:t>
      </w:r>
    </w:p>
    <w:p w14:paraId="520C89F8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6</w:t>
      </w: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.质量保证</w:t>
      </w:r>
    </w:p>
    <w:p w14:paraId="1DC4483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发现教材的质量、规格与合同不符，有漏页、错页、缺页、破页、装订不牢和污损、印刷字迹不清等不符合要求的情况(因校方人为因素除外),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供应商应负责免费更换。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供应商在接到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通知后24小时内予以答复，7天内免费更换有缺陷的教材。</w:t>
      </w:r>
    </w:p>
    <w:p w14:paraId="48747B7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7</w:t>
      </w: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.退书</w:t>
      </w:r>
    </w:p>
    <w:p w14:paraId="11437DB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(1)采购周期内形成的余书，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供应商应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要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给予退(换)货处理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，保证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教材零库存。</w:t>
      </w:r>
    </w:p>
    <w:p w14:paraId="2E9BDA35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(2)教材发放结束，结算前退书，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供应商要派专人负责剩余教材打包工作。</w:t>
      </w:r>
    </w:p>
    <w:p w14:paraId="6932869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(3)退书过程产生的相关费用由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供应商承担。</w:t>
      </w:r>
    </w:p>
    <w:p w14:paraId="34165591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8</w:t>
      </w: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.教材供货不及时应急措施</w:t>
      </w:r>
    </w:p>
    <w:p w14:paraId="3A60A5B7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在开学前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15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天提供教材采购清单，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供应商应在开学前将教材送到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指定地点，没在规定时间内及时送达，提供合理说明。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供应商在开学前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三天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无法供应到位的教材，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有权采取应急措施，对未到位教材撤销订单并在其他供应商处采购。</w:t>
      </w:r>
    </w:p>
    <w:p w14:paraId="4A865498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/>
          <w:bCs w:val="0"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仿宋"/>
          <w:b/>
          <w:bCs w:val="0"/>
          <w:color w:val="auto"/>
          <w:sz w:val="28"/>
          <w:szCs w:val="28"/>
          <w:highlight w:val="none"/>
          <w:lang w:val="en-US" w:eastAsia="zh-CN" w:bidi="ar-SA"/>
        </w:rPr>
        <w:t>9</w:t>
      </w: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highlight w:val="none"/>
          <w:lang w:val="en-US" w:eastAsia="zh-CN" w:bidi="ar-SA"/>
        </w:rPr>
        <w:t>.其它</w:t>
      </w:r>
    </w:p>
    <w:p w14:paraId="7C585639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（1）成交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供应商应无偿协助学校库存教材的调配、搬、运。</w:t>
      </w:r>
    </w:p>
    <w:p w14:paraId="0E0E65E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（2）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成交供应商须根据采购人需求无偿提供履约期内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的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highlight w:val="none"/>
          <w:lang w:val="en-US" w:eastAsia="zh-CN" w:bidi="ar-SA"/>
        </w:rPr>
        <w:t>教学用书、备课本、教材配套电子教学资源或电子教案。</w:t>
      </w:r>
    </w:p>
    <w:p w14:paraId="743CA42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3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)本项目不允许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供应商以任何名义和理由进行转包，如有发现，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有权单方终止合同，视为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供应商违约，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有权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终止合同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。成交供应商违约对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造成的损失的，需另行支付相应的赔偿，并追究相关法律责任。</w:t>
      </w:r>
    </w:p>
    <w:p w14:paraId="14AB0A0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10</w:t>
      </w: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.违约责任</w:t>
      </w:r>
    </w:p>
    <w:p w14:paraId="33351395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(1)因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成交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供应商原因造成采购合同无法按时履行，视为成交供应商违约，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有权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不退还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其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履约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保证金，如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履约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保证金不能弥补成交供应商违约对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造成损失的，成交供应商还需另行支付相应的赔偿。</w:t>
      </w:r>
    </w:p>
    <w:p w14:paraId="1041677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(2)因供应商原因造成课前到书率低于80%的，除不可抗力外，视为成交供应商违约，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有权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终止合同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。</w:t>
      </w:r>
    </w:p>
    <w:p w14:paraId="0B590AF9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(3)在签订采购供货合同之后，成交供应商要求解除合同的，视为成交供应商违约，对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造成的损失的，成交供应商需支付相应的赔偿。</w:t>
      </w:r>
    </w:p>
    <w:p w14:paraId="5010FE5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(4)因成交供应商原因发生重大质量事故，除依约承担赔偿责任外，还将追究其法律责任。同时，</w:t>
      </w:r>
      <w:r>
        <w:rPr>
          <w:rFonts w:hint="eastAsia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采购人</w:t>
      </w: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有权保留更换成交供应商的权利，并报相关行政主管部门处罚。</w:t>
      </w:r>
    </w:p>
    <w:p w14:paraId="059F4CE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="仿宋"/>
          <w:b w:val="0"/>
          <w:bCs/>
          <w:color w:val="auto"/>
          <w:sz w:val="28"/>
          <w:szCs w:val="28"/>
          <w:lang w:val="en-US" w:eastAsia="zh-CN" w:bidi="ar-SA"/>
        </w:rPr>
        <w:t>(5)在明确违约责任后，成交供应商应在接到书面通知书起七天内支付违约金、赔偿金等。</w:t>
      </w:r>
    </w:p>
    <w:p w14:paraId="4B73322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60" w:lineRule="exact"/>
        <w:textAlignment w:val="auto"/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11</w:t>
      </w: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.价格条件</w:t>
      </w:r>
    </w:p>
    <w:p w14:paraId="25D07BB5">
      <w:pPr>
        <w:spacing w:line="500" w:lineRule="exact"/>
        <w:ind w:firstLine="562" w:firstLineChars="200"/>
        <w:rPr>
          <w:rFonts w:hint="eastAsia" w:ascii="宋体" w:hAnsi="宋体" w:eastAsia="宋体"/>
          <w:b/>
          <w:bCs/>
          <w:color w:val="000000"/>
          <w:sz w:val="27"/>
          <w:szCs w:val="27"/>
          <w:lang w:eastAsia="zh-CN"/>
        </w:rPr>
      </w:pP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各种教材价格不高于出版社码洋价的8</w:t>
      </w:r>
      <w:r>
        <w:rPr>
          <w:rFonts w:hint="eastAsia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5</w:t>
      </w: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%</w:t>
      </w:r>
      <w:r>
        <w:rPr>
          <w:rFonts w:hint="eastAsia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。</w:t>
      </w:r>
      <w:r>
        <w:rPr>
          <w:rFonts w:hint="eastAsia" w:ascii="宋体" w:hAnsi="宋体"/>
          <w:b/>
          <w:bCs/>
          <w:color w:val="000000"/>
          <w:sz w:val="27"/>
          <w:szCs w:val="27"/>
          <w:lang w:eastAsia="zh-CN"/>
        </w:rPr>
        <w:t>（</w:t>
      </w:r>
      <w:r>
        <w:rPr>
          <w:rFonts w:hint="eastAsia" w:ascii="宋体" w:hAnsi="宋体"/>
          <w:b/>
          <w:bCs/>
          <w:color w:val="auto"/>
          <w:kern w:val="0"/>
          <w:sz w:val="27"/>
          <w:szCs w:val="27"/>
          <w:highlight w:val="none"/>
          <w:lang w:val="en-US" w:eastAsia="zh-CN"/>
        </w:rPr>
        <w:t>本项目</w:t>
      </w:r>
      <w:r>
        <w:rPr>
          <w:rFonts w:hint="eastAsia" w:ascii="宋体" w:hAnsi="宋体"/>
          <w:b/>
          <w:bCs/>
          <w:color w:val="auto"/>
          <w:kern w:val="0"/>
          <w:sz w:val="27"/>
          <w:szCs w:val="27"/>
          <w:highlight w:val="none"/>
        </w:rPr>
        <w:t>以实际供货数量乘以</w:t>
      </w:r>
      <w:r>
        <w:rPr>
          <w:rFonts w:hint="default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教材</w:t>
      </w:r>
      <w:r>
        <w:rPr>
          <w:rFonts w:hint="eastAsia" w:ascii="宋体" w:hAnsi="宋体" w:eastAsia="宋体" w:cs="仿宋"/>
          <w:b/>
          <w:bCs w:val="0"/>
          <w:color w:val="auto"/>
          <w:sz w:val="28"/>
          <w:szCs w:val="28"/>
          <w:lang w:val="en-US" w:eastAsia="zh-CN" w:bidi="ar-SA"/>
        </w:rPr>
        <w:t>码洋</w:t>
      </w:r>
      <w:r>
        <w:rPr>
          <w:rFonts w:hint="eastAsia" w:ascii="宋体" w:hAnsi="宋体"/>
          <w:b/>
          <w:bCs/>
          <w:color w:val="auto"/>
          <w:kern w:val="0"/>
          <w:sz w:val="27"/>
          <w:szCs w:val="27"/>
          <w:highlight w:val="none"/>
        </w:rPr>
        <w:t>乘以</w:t>
      </w:r>
      <w:r>
        <w:rPr>
          <w:rFonts w:hint="eastAsia" w:ascii="宋体" w:hAnsi="宋体"/>
          <w:b/>
          <w:bCs/>
          <w:color w:val="auto"/>
          <w:kern w:val="0"/>
          <w:sz w:val="27"/>
          <w:szCs w:val="27"/>
          <w:highlight w:val="none"/>
          <w:lang w:val="en-US" w:eastAsia="zh-CN"/>
        </w:rPr>
        <w:t>成交</w:t>
      </w:r>
      <w:r>
        <w:rPr>
          <w:rFonts w:hint="eastAsia" w:ascii="宋体" w:hAnsi="宋体"/>
          <w:b/>
          <w:bCs/>
          <w:color w:val="auto"/>
          <w:kern w:val="0"/>
          <w:sz w:val="27"/>
          <w:szCs w:val="27"/>
          <w:highlight w:val="none"/>
        </w:rPr>
        <w:t>折扣率后的单价结算</w:t>
      </w:r>
      <w:r>
        <w:rPr>
          <w:rFonts w:hint="eastAsia" w:ascii="宋体" w:hAnsi="宋体"/>
          <w:b/>
          <w:bCs/>
          <w:color w:val="auto"/>
          <w:kern w:val="0"/>
          <w:sz w:val="27"/>
          <w:szCs w:val="27"/>
          <w:highlight w:val="none"/>
          <w:lang w:eastAsia="zh-CN"/>
        </w:rPr>
        <w:t>）。</w:t>
      </w:r>
    </w:p>
    <w:p w14:paraId="11CE5867">
      <w:pPr>
        <w:pStyle w:val="7"/>
        <w:rPr>
          <w:rFonts w:hint="eastAsia"/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footerReference r:id="rId5" w:type="even"/>
      <w:pgSz w:w="11910" w:h="16840"/>
      <w:pgMar w:top="1580" w:right="1000" w:bottom="990" w:left="1120" w:header="0" w:footer="1553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75DBD9">
    <w:pPr>
      <w:pStyle w:val="6"/>
      <w:spacing w:line="14" w:lineRule="auto"/>
      <w:rPr>
        <w:i w:val="0"/>
        <w:sz w:val="20"/>
        <w:u w:val="no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4BDFB1">
    <w:pPr>
      <w:pStyle w:val="6"/>
      <w:spacing w:line="14" w:lineRule="auto"/>
      <w:rPr>
        <w:i w:val="0"/>
        <w:sz w:val="20"/>
        <w:u w:val="none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472603"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ulTrailSpace/>
    <w:doNotExpandShiftReturn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0MTg0NDg4MzY0MmQyYjE3MDI3NjBiYTQwM2U1NTMifQ=="/>
  </w:docVars>
  <w:rsids>
    <w:rsidRoot w:val="003657E1"/>
    <w:rsid w:val="00022CB7"/>
    <w:rsid w:val="00216550"/>
    <w:rsid w:val="002273E3"/>
    <w:rsid w:val="00326B99"/>
    <w:rsid w:val="003657E1"/>
    <w:rsid w:val="003E1898"/>
    <w:rsid w:val="00472E72"/>
    <w:rsid w:val="005271BB"/>
    <w:rsid w:val="005806BA"/>
    <w:rsid w:val="005F2ED0"/>
    <w:rsid w:val="00614A74"/>
    <w:rsid w:val="00841AF7"/>
    <w:rsid w:val="00AD4921"/>
    <w:rsid w:val="00BF21B8"/>
    <w:rsid w:val="00CB1CA5"/>
    <w:rsid w:val="00D756A0"/>
    <w:rsid w:val="00E41AC8"/>
    <w:rsid w:val="00E979CF"/>
    <w:rsid w:val="00F01724"/>
    <w:rsid w:val="00FF65A4"/>
    <w:rsid w:val="011C7185"/>
    <w:rsid w:val="018F6A3E"/>
    <w:rsid w:val="019F3B57"/>
    <w:rsid w:val="01AF4ED3"/>
    <w:rsid w:val="022F6094"/>
    <w:rsid w:val="033B3404"/>
    <w:rsid w:val="0384414E"/>
    <w:rsid w:val="03AA2716"/>
    <w:rsid w:val="03EC16BF"/>
    <w:rsid w:val="04737AC5"/>
    <w:rsid w:val="04ED120C"/>
    <w:rsid w:val="055F6AA5"/>
    <w:rsid w:val="057B5C57"/>
    <w:rsid w:val="05C21607"/>
    <w:rsid w:val="0611724A"/>
    <w:rsid w:val="061F082E"/>
    <w:rsid w:val="0623417D"/>
    <w:rsid w:val="06477ADF"/>
    <w:rsid w:val="065E4C1C"/>
    <w:rsid w:val="06D1214B"/>
    <w:rsid w:val="07A752C5"/>
    <w:rsid w:val="07AF0C7F"/>
    <w:rsid w:val="08C17D49"/>
    <w:rsid w:val="0A1C0AA6"/>
    <w:rsid w:val="0A31156B"/>
    <w:rsid w:val="0AC2018B"/>
    <w:rsid w:val="0ACD7BB9"/>
    <w:rsid w:val="0AFD0EBC"/>
    <w:rsid w:val="0B8A19CA"/>
    <w:rsid w:val="0BB56D93"/>
    <w:rsid w:val="0BE71DED"/>
    <w:rsid w:val="0BF04549"/>
    <w:rsid w:val="0C58175F"/>
    <w:rsid w:val="0CAC690D"/>
    <w:rsid w:val="0CBF0CE9"/>
    <w:rsid w:val="0D277019"/>
    <w:rsid w:val="0DA82280"/>
    <w:rsid w:val="0DE34399"/>
    <w:rsid w:val="0DE47E6E"/>
    <w:rsid w:val="0E2826F4"/>
    <w:rsid w:val="0E3D7E08"/>
    <w:rsid w:val="0E6C7788"/>
    <w:rsid w:val="0E87272B"/>
    <w:rsid w:val="0EA5008E"/>
    <w:rsid w:val="0EC66740"/>
    <w:rsid w:val="0EFA1800"/>
    <w:rsid w:val="0F081C15"/>
    <w:rsid w:val="0F567109"/>
    <w:rsid w:val="0F723657"/>
    <w:rsid w:val="0F78136C"/>
    <w:rsid w:val="0FC76A1A"/>
    <w:rsid w:val="110B56E2"/>
    <w:rsid w:val="114F14E4"/>
    <w:rsid w:val="11B455E7"/>
    <w:rsid w:val="11D76606"/>
    <w:rsid w:val="12511B36"/>
    <w:rsid w:val="12F46273"/>
    <w:rsid w:val="13582CF9"/>
    <w:rsid w:val="13DC3B45"/>
    <w:rsid w:val="14B77963"/>
    <w:rsid w:val="14D95A05"/>
    <w:rsid w:val="150D2079"/>
    <w:rsid w:val="15D10416"/>
    <w:rsid w:val="15EE38B6"/>
    <w:rsid w:val="16333555"/>
    <w:rsid w:val="16677412"/>
    <w:rsid w:val="16841F07"/>
    <w:rsid w:val="169F7586"/>
    <w:rsid w:val="17611A6A"/>
    <w:rsid w:val="182201B4"/>
    <w:rsid w:val="19723213"/>
    <w:rsid w:val="1A4F2582"/>
    <w:rsid w:val="1AFF4A5F"/>
    <w:rsid w:val="1B0B3181"/>
    <w:rsid w:val="1C3A7891"/>
    <w:rsid w:val="1CD6156D"/>
    <w:rsid w:val="1D06290B"/>
    <w:rsid w:val="1D1278E4"/>
    <w:rsid w:val="1D1B4F12"/>
    <w:rsid w:val="1D4E0C69"/>
    <w:rsid w:val="1DB6149E"/>
    <w:rsid w:val="1DBA0B73"/>
    <w:rsid w:val="1E982F7E"/>
    <w:rsid w:val="1FB22D48"/>
    <w:rsid w:val="1FCE68BD"/>
    <w:rsid w:val="1FE913A2"/>
    <w:rsid w:val="1FFF698C"/>
    <w:rsid w:val="20BA6CD8"/>
    <w:rsid w:val="211A5658"/>
    <w:rsid w:val="21A159D4"/>
    <w:rsid w:val="21D920A3"/>
    <w:rsid w:val="2234216A"/>
    <w:rsid w:val="22664EDF"/>
    <w:rsid w:val="226A00B7"/>
    <w:rsid w:val="22C4536C"/>
    <w:rsid w:val="23203542"/>
    <w:rsid w:val="23C570B0"/>
    <w:rsid w:val="24021CD6"/>
    <w:rsid w:val="24971EEF"/>
    <w:rsid w:val="258D1BB2"/>
    <w:rsid w:val="26D17AD8"/>
    <w:rsid w:val="26D703BB"/>
    <w:rsid w:val="272D1F94"/>
    <w:rsid w:val="27317259"/>
    <w:rsid w:val="273B7811"/>
    <w:rsid w:val="283B6633"/>
    <w:rsid w:val="28D1071B"/>
    <w:rsid w:val="28F811E9"/>
    <w:rsid w:val="296D5007"/>
    <w:rsid w:val="29767018"/>
    <w:rsid w:val="29A34C3B"/>
    <w:rsid w:val="2AA16AE8"/>
    <w:rsid w:val="2B08051D"/>
    <w:rsid w:val="2B263BA0"/>
    <w:rsid w:val="2C0973BF"/>
    <w:rsid w:val="2D921104"/>
    <w:rsid w:val="2E0E780E"/>
    <w:rsid w:val="2E240D76"/>
    <w:rsid w:val="2E937198"/>
    <w:rsid w:val="2F5A5281"/>
    <w:rsid w:val="2F816CE4"/>
    <w:rsid w:val="301E21E7"/>
    <w:rsid w:val="307C1E5C"/>
    <w:rsid w:val="315F0609"/>
    <w:rsid w:val="31905727"/>
    <w:rsid w:val="319D58B0"/>
    <w:rsid w:val="31EA53A8"/>
    <w:rsid w:val="32116248"/>
    <w:rsid w:val="32B617CD"/>
    <w:rsid w:val="337C0FFF"/>
    <w:rsid w:val="33B66C12"/>
    <w:rsid w:val="344E3EC2"/>
    <w:rsid w:val="34870792"/>
    <w:rsid w:val="35085DF8"/>
    <w:rsid w:val="35133E3C"/>
    <w:rsid w:val="35270097"/>
    <w:rsid w:val="35614BA6"/>
    <w:rsid w:val="36133101"/>
    <w:rsid w:val="366B3644"/>
    <w:rsid w:val="367E282F"/>
    <w:rsid w:val="36DD60E9"/>
    <w:rsid w:val="36FB7B35"/>
    <w:rsid w:val="37EE57A5"/>
    <w:rsid w:val="37F30DCD"/>
    <w:rsid w:val="383D21D3"/>
    <w:rsid w:val="384A0EEA"/>
    <w:rsid w:val="385058CC"/>
    <w:rsid w:val="39E723CE"/>
    <w:rsid w:val="3A4F7AE1"/>
    <w:rsid w:val="3AB328B3"/>
    <w:rsid w:val="3B4204AC"/>
    <w:rsid w:val="3BC717DC"/>
    <w:rsid w:val="3BE15B0C"/>
    <w:rsid w:val="3E2C329E"/>
    <w:rsid w:val="407344C8"/>
    <w:rsid w:val="4093139F"/>
    <w:rsid w:val="41E6580D"/>
    <w:rsid w:val="4208521D"/>
    <w:rsid w:val="425B7355"/>
    <w:rsid w:val="42AE0DCB"/>
    <w:rsid w:val="42B671D5"/>
    <w:rsid w:val="42C514C4"/>
    <w:rsid w:val="43C9498D"/>
    <w:rsid w:val="43EF5007"/>
    <w:rsid w:val="44922795"/>
    <w:rsid w:val="44EF6BE8"/>
    <w:rsid w:val="45973475"/>
    <w:rsid w:val="461B7E6D"/>
    <w:rsid w:val="46E71427"/>
    <w:rsid w:val="47647CD9"/>
    <w:rsid w:val="48741AB6"/>
    <w:rsid w:val="48943F06"/>
    <w:rsid w:val="4A050C18"/>
    <w:rsid w:val="4A124F1E"/>
    <w:rsid w:val="4A354CA2"/>
    <w:rsid w:val="4AB76544"/>
    <w:rsid w:val="4BBB02C6"/>
    <w:rsid w:val="4C4F15D0"/>
    <w:rsid w:val="4D0416A9"/>
    <w:rsid w:val="4E056542"/>
    <w:rsid w:val="4E832A53"/>
    <w:rsid w:val="4F253B0A"/>
    <w:rsid w:val="4FBD6CDE"/>
    <w:rsid w:val="4FFC1084"/>
    <w:rsid w:val="50934066"/>
    <w:rsid w:val="51920754"/>
    <w:rsid w:val="51EB1542"/>
    <w:rsid w:val="52560C57"/>
    <w:rsid w:val="5275209D"/>
    <w:rsid w:val="52CC4EA4"/>
    <w:rsid w:val="53077AB1"/>
    <w:rsid w:val="536A134B"/>
    <w:rsid w:val="53B90038"/>
    <w:rsid w:val="53DF24DA"/>
    <w:rsid w:val="540020D8"/>
    <w:rsid w:val="544F7437"/>
    <w:rsid w:val="54A3436A"/>
    <w:rsid w:val="54E90B62"/>
    <w:rsid w:val="55051303"/>
    <w:rsid w:val="55C600A2"/>
    <w:rsid w:val="55CD090B"/>
    <w:rsid w:val="561016DC"/>
    <w:rsid w:val="56A45F0C"/>
    <w:rsid w:val="57EE16DE"/>
    <w:rsid w:val="591A0C70"/>
    <w:rsid w:val="598976A2"/>
    <w:rsid w:val="59AC0EA1"/>
    <w:rsid w:val="59DE4A58"/>
    <w:rsid w:val="5A591BD5"/>
    <w:rsid w:val="5A741B48"/>
    <w:rsid w:val="5A9F3B9C"/>
    <w:rsid w:val="5ADE56C8"/>
    <w:rsid w:val="5AFA4333"/>
    <w:rsid w:val="5BAA5F1E"/>
    <w:rsid w:val="5C22701D"/>
    <w:rsid w:val="5E18562C"/>
    <w:rsid w:val="5E1A064E"/>
    <w:rsid w:val="5EE36927"/>
    <w:rsid w:val="5F353CF4"/>
    <w:rsid w:val="604D3EC5"/>
    <w:rsid w:val="60537E97"/>
    <w:rsid w:val="60B65B5A"/>
    <w:rsid w:val="60C92369"/>
    <w:rsid w:val="6189657E"/>
    <w:rsid w:val="620C1529"/>
    <w:rsid w:val="626232A2"/>
    <w:rsid w:val="62676C1C"/>
    <w:rsid w:val="62E80C7F"/>
    <w:rsid w:val="63DA5763"/>
    <w:rsid w:val="63E1229E"/>
    <w:rsid w:val="64F447E8"/>
    <w:rsid w:val="652F0A03"/>
    <w:rsid w:val="66D35ED6"/>
    <w:rsid w:val="67335C9B"/>
    <w:rsid w:val="67437CD5"/>
    <w:rsid w:val="67733ED3"/>
    <w:rsid w:val="67B50D3A"/>
    <w:rsid w:val="68171976"/>
    <w:rsid w:val="68D221B5"/>
    <w:rsid w:val="697C4794"/>
    <w:rsid w:val="69AA3132"/>
    <w:rsid w:val="69CA3AD4"/>
    <w:rsid w:val="6A332B75"/>
    <w:rsid w:val="6AA14BAF"/>
    <w:rsid w:val="6BE804D2"/>
    <w:rsid w:val="6C2C2FC2"/>
    <w:rsid w:val="6C866827"/>
    <w:rsid w:val="6D5E2F48"/>
    <w:rsid w:val="6DDC7951"/>
    <w:rsid w:val="6EDA6B94"/>
    <w:rsid w:val="706B2669"/>
    <w:rsid w:val="71051FD2"/>
    <w:rsid w:val="71516098"/>
    <w:rsid w:val="71544197"/>
    <w:rsid w:val="726838D7"/>
    <w:rsid w:val="72C75056"/>
    <w:rsid w:val="72EB12F7"/>
    <w:rsid w:val="72FB055A"/>
    <w:rsid w:val="732D4BB8"/>
    <w:rsid w:val="73365B50"/>
    <w:rsid w:val="73DF0839"/>
    <w:rsid w:val="73F759FE"/>
    <w:rsid w:val="740B40E3"/>
    <w:rsid w:val="745E67C2"/>
    <w:rsid w:val="75664C88"/>
    <w:rsid w:val="761261C6"/>
    <w:rsid w:val="76690275"/>
    <w:rsid w:val="76984F9B"/>
    <w:rsid w:val="76F76CD3"/>
    <w:rsid w:val="7775667E"/>
    <w:rsid w:val="77D408F9"/>
    <w:rsid w:val="78340064"/>
    <w:rsid w:val="78A31395"/>
    <w:rsid w:val="7A3A219F"/>
    <w:rsid w:val="7A954270"/>
    <w:rsid w:val="7AB94230"/>
    <w:rsid w:val="7B950B1F"/>
    <w:rsid w:val="7BB05421"/>
    <w:rsid w:val="7CC2387F"/>
    <w:rsid w:val="7D0B583E"/>
    <w:rsid w:val="7D191F13"/>
    <w:rsid w:val="7D3641CE"/>
    <w:rsid w:val="7D632D39"/>
    <w:rsid w:val="7D6C2781"/>
    <w:rsid w:val="7DA97D61"/>
    <w:rsid w:val="7DB93D29"/>
    <w:rsid w:val="7E164E67"/>
    <w:rsid w:val="7E4B7EAA"/>
    <w:rsid w:val="7E8326D4"/>
    <w:rsid w:val="7ED80309"/>
    <w:rsid w:val="7F6D0983"/>
    <w:rsid w:val="7FB5670C"/>
    <w:rsid w:val="7FE8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</w:pPr>
    <w:rPr>
      <w:rFonts w:ascii="仿宋" w:hAnsi="仿宋" w:eastAsia="仿宋" w:cs="仿宋"/>
      <w:kern w:val="0"/>
      <w:sz w:val="22"/>
      <w:szCs w:val="22"/>
      <w:lang w:val="zh-CN" w:eastAsia="zh-CN" w:bidi="ar-SA"/>
    </w:rPr>
  </w:style>
  <w:style w:type="paragraph" w:styleId="3">
    <w:name w:val="heading 1"/>
    <w:basedOn w:val="1"/>
    <w:next w:val="1"/>
    <w:link w:val="29"/>
    <w:qFormat/>
    <w:uiPriority w:val="99"/>
    <w:pPr>
      <w:outlineLvl w:val="0"/>
    </w:pPr>
    <w:rPr>
      <w:rFonts w:ascii="方正小标宋简体" w:hAnsi="方正小标宋简体" w:eastAsia="方正小标宋简体" w:cs="方正小标宋简体"/>
      <w:sz w:val="72"/>
      <w:szCs w:val="72"/>
    </w:rPr>
  </w:style>
  <w:style w:type="paragraph" w:styleId="4">
    <w:name w:val="heading 2"/>
    <w:basedOn w:val="1"/>
    <w:next w:val="1"/>
    <w:link w:val="30"/>
    <w:qFormat/>
    <w:uiPriority w:val="99"/>
    <w:pPr>
      <w:spacing w:line="725" w:lineRule="exact"/>
      <w:ind w:right="118"/>
      <w:jc w:val="center"/>
      <w:outlineLvl w:val="1"/>
    </w:pPr>
    <w:rPr>
      <w:rFonts w:ascii="方正小标宋简体" w:hAnsi="方正小标宋简体" w:eastAsia="方正小标宋简体" w:cs="方正小标宋简体"/>
      <w:sz w:val="44"/>
      <w:szCs w:val="44"/>
    </w:rPr>
  </w:style>
  <w:style w:type="character" w:default="1" w:styleId="15">
    <w:name w:val="Default Paragraph Font"/>
    <w:semiHidden/>
    <w:qFormat/>
    <w:uiPriority w:val="99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"/>
    <w:basedOn w:val="1"/>
    <w:next w:val="7"/>
    <w:link w:val="31"/>
    <w:qFormat/>
    <w:uiPriority w:val="99"/>
    <w:rPr>
      <w:i/>
      <w:sz w:val="33"/>
      <w:szCs w:val="33"/>
      <w:u w:val="single" w:color="000000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8">
    <w:name w:val="Block Text"/>
    <w:basedOn w:val="1"/>
    <w:qFormat/>
    <w:uiPriority w:val="0"/>
    <w:pPr>
      <w:spacing w:after="120"/>
      <w:ind w:left="700" w:leftChars="700" w:right="700" w:rightChars="700"/>
    </w:pPr>
  </w:style>
  <w:style w:type="paragraph" w:styleId="9">
    <w:name w:val="Plain Text"/>
    <w:basedOn w:val="1"/>
    <w:next w:val="1"/>
    <w:qFormat/>
    <w:uiPriority w:val="0"/>
    <w:rPr>
      <w:rFonts w:ascii="宋体" w:hAnsi="Courier New"/>
      <w:kern w:val="0"/>
      <w:sz w:val="20"/>
      <w:szCs w:val="24"/>
    </w:rPr>
  </w:style>
  <w:style w:type="paragraph" w:styleId="10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Normal (Web)"/>
    <w:basedOn w:val="1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14">
    <w:name w:val="Table Grid"/>
    <w:basedOn w:val="13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locked/>
    <w:uiPriority w:val="0"/>
  </w:style>
  <w:style w:type="character" w:styleId="17">
    <w:name w:val="FollowedHyperlink"/>
    <w:basedOn w:val="15"/>
    <w:semiHidden/>
    <w:unhideWhenUsed/>
    <w:qFormat/>
    <w:uiPriority w:val="99"/>
    <w:rPr>
      <w:color w:val="800080"/>
      <w:u w:val="none"/>
    </w:rPr>
  </w:style>
  <w:style w:type="character" w:styleId="18">
    <w:name w:val="Emphasis"/>
    <w:basedOn w:val="15"/>
    <w:qFormat/>
    <w:locked/>
    <w:uiPriority w:val="0"/>
  </w:style>
  <w:style w:type="character" w:styleId="19">
    <w:name w:val="HTML Definition"/>
    <w:basedOn w:val="15"/>
    <w:semiHidden/>
    <w:unhideWhenUsed/>
    <w:qFormat/>
    <w:uiPriority w:val="99"/>
  </w:style>
  <w:style w:type="character" w:styleId="20">
    <w:name w:val="HTML Typewriter"/>
    <w:basedOn w:val="15"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21">
    <w:name w:val="HTML Acronym"/>
    <w:basedOn w:val="15"/>
    <w:semiHidden/>
    <w:unhideWhenUsed/>
    <w:qFormat/>
    <w:uiPriority w:val="99"/>
  </w:style>
  <w:style w:type="character" w:styleId="22">
    <w:name w:val="HTML Variable"/>
    <w:basedOn w:val="15"/>
    <w:semiHidden/>
    <w:unhideWhenUsed/>
    <w:qFormat/>
    <w:uiPriority w:val="99"/>
  </w:style>
  <w:style w:type="character" w:styleId="23">
    <w:name w:val="Hyperlink"/>
    <w:basedOn w:val="15"/>
    <w:semiHidden/>
    <w:unhideWhenUsed/>
    <w:qFormat/>
    <w:uiPriority w:val="99"/>
    <w:rPr>
      <w:color w:val="0000FF"/>
      <w:u w:val="none"/>
    </w:rPr>
  </w:style>
  <w:style w:type="character" w:styleId="24">
    <w:name w:val="HTML Code"/>
    <w:basedOn w:val="15"/>
    <w:semiHidden/>
    <w:unhideWhenUsed/>
    <w:qFormat/>
    <w:uiPriority w:val="99"/>
    <w:rPr>
      <w:rFonts w:ascii="monospace" w:hAnsi="monospace" w:eastAsia="monospace" w:cs="monospace"/>
      <w:sz w:val="20"/>
    </w:rPr>
  </w:style>
  <w:style w:type="character" w:styleId="25">
    <w:name w:val="HTML Cite"/>
    <w:basedOn w:val="15"/>
    <w:semiHidden/>
    <w:unhideWhenUsed/>
    <w:qFormat/>
    <w:uiPriority w:val="99"/>
  </w:style>
  <w:style w:type="character" w:styleId="26">
    <w:name w:val="HTML Keyboard"/>
    <w:basedOn w:val="15"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27">
    <w:name w:val="HTML Sample"/>
    <w:basedOn w:val="15"/>
    <w:semiHidden/>
    <w:unhideWhenUsed/>
    <w:qFormat/>
    <w:uiPriority w:val="99"/>
    <w:rPr>
      <w:rFonts w:hint="default" w:ascii="monospace" w:hAnsi="monospace" w:eastAsia="monospace" w:cs="monospace"/>
    </w:rPr>
  </w:style>
  <w:style w:type="paragraph" w:customStyle="1" w:styleId="28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character" w:customStyle="1" w:styleId="29">
    <w:name w:val="Heading 1 Char"/>
    <w:basedOn w:val="15"/>
    <w:link w:val="3"/>
    <w:qFormat/>
    <w:locked/>
    <w:uiPriority w:val="99"/>
    <w:rPr>
      <w:rFonts w:ascii="仿宋" w:hAnsi="仿宋" w:eastAsia="仿宋" w:cs="仿宋"/>
      <w:b/>
      <w:bCs/>
      <w:kern w:val="44"/>
      <w:sz w:val="44"/>
      <w:szCs w:val="44"/>
      <w:lang w:val="zh-CN"/>
    </w:rPr>
  </w:style>
  <w:style w:type="character" w:customStyle="1" w:styleId="30">
    <w:name w:val="Heading 2 Char"/>
    <w:basedOn w:val="15"/>
    <w:link w:val="4"/>
    <w:semiHidden/>
    <w:qFormat/>
    <w:locked/>
    <w:uiPriority w:val="99"/>
    <w:rPr>
      <w:rFonts w:ascii="Cambria" w:hAnsi="Cambria" w:eastAsia="宋体" w:cs="Times New Roman"/>
      <w:b/>
      <w:bCs/>
      <w:kern w:val="0"/>
      <w:sz w:val="32"/>
      <w:szCs w:val="32"/>
      <w:lang w:val="zh-CN"/>
    </w:rPr>
  </w:style>
  <w:style w:type="character" w:customStyle="1" w:styleId="31">
    <w:name w:val="Body Text Char"/>
    <w:basedOn w:val="15"/>
    <w:link w:val="6"/>
    <w:semiHidden/>
    <w:qFormat/>
    <w:locked/>
    <w:uiPriority w:val="99"/>
    <w:rPr>
      <w:rFonts w:ascii="仿宋" w:hAnsi="仿宋" w:eastAsia="仿宋" w:cs="仿宋"/>
      <w:kern w:val="0"/>
      <w:sz w:val="22"/>
      <w:lang w:val="zh-CN"/>
    </w:rPr>
  </w:style>
  <w:style w:type="paragraph" w:styleId="32">
    <w:name w:val="List Paragraph"/>
    <w:basedOn w:val="1"/>
    <w:qFormat/>
    <w:uiPriority w:val="99"/>
    <w:pPr>
      <w:spacing w:before="54"/>
      <w:ind w:left="2122" w:hanging="322"/>
    </w:pPr>
  </w:style>
  <w:style w:type="paragraph" w:customStyle="1" w:styleId="33">
    <w:name w:val="Table Paragraph"/>
    <w:basedOn w:val="1"/>
    <w:qFormat/>
    <w:uiPriority w:val="99"/>
  </w:style>
  <w:style w:type="paragraph" w:customStyle="1" w:styleId="34">
    <w:name w:val="缺省文本"/>
    <w:basedOn w:val="1"/>
    <w:qFormat/>
    <w:uiPriority w:val="0"/>
    <w:pPr>
      <w:tabs>
        <w:tab w:val="left" w:pos="1260"/>
      </w:tabs>
      <w:autoSpaceDE w:val="0"/>
      <w:autoSpaceDN w:val="0"/>
      <w:adjustRightInd w:val="0"/>
      <w:spacing w:line="360" w:lineRule="auto"/>
      <w:jc w:val="left"/>
    </w:pPr>
    <w:rPr>
      <w:rFonts w:ascii="Times New Roman" w:hAnsi="Times New Roman"/>
      <w:kern w:val="0"/>
      <w:sz w:val="24"/>
      <w:szCs w:val="20"/>
    </w:rPr>
  </w:style>
  <w:style w:type="character" w:customStyle="1" w:styleId="35">
    <w:name w:val="font11"/>
    <w:qFormat/>
    <w:uiPriority w:val="0"/>
    <w:rPr>
      <w:rFonts w:hint="default" w:ascii="Arial" w:hAnsi="Arial" w:cs="Arial"/>
      <w:b/>
      <w:color w:val="000000"/>
      <w:sz w:val="22"/>
      <w:szCs w:val="22"/>
      <w:u w:val="none"/>
    </w:rPr>
  </w:style>
  <w:style w:type="character" w:customStyle="1" w:styleId="36">
    <w:name w:val="layui-layer-tabnow"/>
    <w:basedOn w:val="15"/>
    <w:qFormat/>
    <w:uiPriority w:val="0"/>
    <w:rPr>
      <w:bdr w:val="single" w:color="CCCCCC" w:sz="6" w:space="0"/>
      <w:shd w:val="clear" w:fill="FFFFFF"/>
    </w:rPr>
  </w:style>
  <w:style w:type="character" w:customStyle="1" w:styleId="37">
    <w:name w:val="first-child"/>
    <w:basedOn w:val="15"/>
    <w:qFormat/>
    <w:uiPriority w:val="0"/>
  </w:style>
  <w:style w:type="paragraph" w:customStyle="1" w:styleId="38">
    <w:name w:val="Normal"/>
    <w:next w:val="3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39">
    <w:name w:val="Heading 2"/>
    <w:basedOn w:val="38"/>
    <w:next w:val="38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customStyle="1" w:styleId="40">
    <w:name w:val="font01"/>
    <w:basedOn w:val="1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41">
    <w:name w:val="font21"/>
    <w:basedOn w:val="1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4</Pages>
  <Words>11246</Words>
  <Characters>11608</Characters>
  <Lines>0</Lines>
  <Paragraphs>0</Paragraphs>
  <TotalTime>0</TotalTime>
  <ScaleCrop>false</ScaleCrop>
  <LinksUpToDate>false</LinksUpToDate>
  <CharactersWithSpaces>12266</CharactersWithSpaces>
  <Application>WPS Office_12.1.0.17813_F1E327BC-269C-435d-A152-05C5408002CA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2021-08-05T08:12:00Z</dcterms:created>
  <dc:creator>MC SYSTEM</dc:creator>
  <cp:lastModifiedBy>淺藍銫de愛</cp:lastModifiedBy>
  <cp:lastPrinted>2024-06-21T08:55:00Z</cp:lastPrinted>
  <dcterms:modified xsi:type="dcterms:W3CDTF">2024-08-06T08:37:28Z</dcterms:modified>
  <dc:title>厦财采〔2021〕9号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Office Word 2007</vt:lpwstr>
  </property>
  <property fmtid="{D5CDD505-2E9C-101B-9397-08002B2CF9AE}" pid="3" name="KSOProductBuildVer">
    <vt:lpwstr>2052-12.1.0.17813</vt:lpwstr>
  </property>
  <property fmtid="{D5CDD505-2E9C-101B-9397-08002B2CF9AE}" pid="4" name="ICV">
    <vt:lpwstr>2285297AE3F64536BE5CBFFB455D5C94_13</vt:lpwstr>
  </property>
</Properties>
</file>