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B9668">
      <w:pPr>
        <w:keepNext w:val="0"/>
        <w:keepLines w:val="0"/>
        <w:pageBreakBefore w:val="0"/>
        <w:widowControl w:val="0"/>
        <w:tabs>
          <w:tab w:val="left" w:pos="4093"/>
        </w:tabs>
        <w:kinsoku/>
        <w:overflowPunct/>
        <w:topLinePunct w:val="0"/>
        <w:bidi w:val="0"/>
        <w:spacing w:before="0" w:line="360" w:lineRule="auto"/>
        <w:ind w:right="0"/>
        <w:jc w:val="center"/>
        <w:textAlignment w:val="auto"/>
        <w:outlineLvl w:val="0"/>
        <w:rPr>
          <w:rFonts w:hint="eastAsia" w:ascii="宋体" w:hAnsi="宋体" w:eastAsia="宋体" w:cs="宋体"/>
          <w:b/>
          <w:color w:val="auto"/>
          <w:spacing w:val="0"/>
          <w:position w:val="0"/>
          <w:sz w:val="32"/>
          <w:highlight w:val="none"/>
        </w:rPr>
      </w:pPr>
      <w:bookmarkStart w:id="0" w:name="_Toc12392"/>
      <w:r>
        <w:rPr>
          <w:rFonts w:hint="eastAsia" w:ascii="宋体" w:hAnsi="宋体" w:eastAsia="宋体" w:cs="宋体"/>
          <w:b/>
          <w:color w:val="auto"/>
          <w:spacing w:val="0"/>
          <w:position w:val="0"/>
          <w:sz w:val="32"/>
          <w:highlight w:val="none"/>
        </w:rPr>
        <w:t>第六章 采购需求</w:t>
      </w:r>
      <w:bookmarkEnd w:id="0"/>
    </w:p>
    <w:p w14:paraId="16EBD6D3">
      <w:pPr>
        <w:spacing w:before="326" w:line="222" w:lineRule="auto"/>
        <w:ind w:left="3472"/>
        <w:outlineLvl w:val="0"/>
        <w:rPr>
          <w:rFonts w:ascii="黑体" w:hAnsi="黑体" w:eastAsia="黑体" w:cs="黑体"/>
          <w:color w:val="auto"/>
          <w:sz w:val="28"/>
          <w:szCs w:val="28"/>
        </w:rPr>
      </w:pPr>
      <w:bookmarkStart w:id="1" w:name="bookmark11"/>
      <w:bookmarkEnd w:id="1"/>
      <w:r>
        <w:rPr>
          <w:rFonts w:ascii="黑体" w:hAnsi="黑体" w:eastAsia="黑体" w:cs="黑体"/>
          <w:color w:val="auto"/>
          <w:spacing w:val="-1"/>
          <w:sz w:val="28"/>
          <w:szCs w:val="28"/>
        </w:rPr>
        <w:t>第一节 采购清单一览表</w:t>
      </w:r>
    </w:p>
    <w:p w14:paraId="4D25F25B">
      <w:pPr>
        <w:spacing w:line="115" w:lineRule="exact"/>
        <w:rPr>
          <w:color w:val="auto"/>
        </w:rPr>
      </w:pPr>
    </w:p>
    <w:tbl>
      <w:tblPr>
        <w:tblStyle w:val="6"/>
        <w:tblW w:w="9510"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79"/>
        <w:gridCol w:w="1531"/>
        <w:gridCol w:w="1016"/>
        <w:gridCol w:w="717"/>
        <w:gridCol w:w="1825"/>
        <w:gridCol w:w="1091"/>
        <w:gridCol w:w="1290"/>
        <w:gridCol w:w="661"/>
      </w:tblGrid>
      <w:tr w14:paraId="530EB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379" w:type="dxa"/>
            <w:vMerge w:val="restart"/>
            <w:tcBorders>
              <w:top w:val="single" w:color="000000" w:sz="2" w:space="0"/>
              <w:left w:val="single" w:color="000000" w:sz="2" w:space="0"/>
              <w:bottom w:val="nil"/>
            </w:tcBorders>
            <w:vAlign w:val="top"/>
          </w:tcPr>
          <w:p w14:paraId="515A78A2">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p w14:paraId="6849A32B">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项目名称</w:t>
            </w:r>
          </w:p>
        </w:tc>
        <w:tc>
          <w:tcPr>
            <w:tcW w:w="1531" w:type="dxa"/>
            <w:vMerge w:val="restart"/>
            <w:tcBorders>
              <w:top w:val="single" w:color="000000" w:sz="2" w:space="0"/>
              <w:bottom w:val="nil"/>
            </w:tcBorders>
            <w:vAlign w:val="top"/>
          </w:tcPr>
          <w:p w14:paraId="1C15F3FC">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分项项目名称（条目号/品目名称）</w:t>
            </w:r>
          </w:p>
        </w:tc>
        <w:tc>
          <w:tcPr>
            <w:tcW w:w="1016" w:type="dxa"/>
            <w:vMerge w:val="restart"/>
            <w:tcBorders>
              <w:top w:val="single" w:color="000000" w:sz="2" w:space="0"/>
              <w:bottom w:val="nil"/>
            </w:tcBorders>
            <w:vAlign w:val="top"/>
          </w:tcPr>
          <w:p w14:paraId="5BE1729F">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是否接受联合体投标</w:t>
            </w:r>
          </w:p>
        </w:tc>
        <w:tc>
          <w:tcPr>
            <w:tcW w:w="717" w:type="dxa"/>
            <w:vMerge w:val="restart"/>
            <w:tcBorders>
              <w:top w:val="single" w:color="000000" w:sz="2" w:space="0"/>
              <w:bottom w:val="nil"/>
            </w:tcBorders>
            <w:vAlign w:val="top"/>
          </w:tcPr>
          <w:p w14:paraId="3298B273">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p w14:paraId="53D631D9">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数量</w:t>
            </w:r>
          </w:p>
        </w:tc>
        <w:tc>
          <w:tcPr>
            <w:tcW w:w="1825" w:type="dxa"/>
            <w:vMerge w:val="restart"/>
            <w:tcBorders>
              <w:top w:val="single" w:color="000000" w:sz="2" w:space="0"/>
              <w:bottom w:val="nil"/>
            </w:tcBorders>
            <w:vAlign w:val="top"/>
          </w:tcPr>
          <w:p w14:paraId="40912991">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采购项目预算 （元人民币）</w:t>
            </w:r>
          </w:p>
        </w:tc>
        <w:tc>
          <w:tcPr>
            <w:tcW w:w="2381" w:type="dxa"/>
            <w:gridSpan w:val="2"/>
            <w:tcBorders>
              <w:top w:val="single" w:color="000000" w:sz="2" w:space="0"/>
            </w:tcBorders>
            <w:vAlign w:val="top"/>
          </w:tcPr>
          <w:p w14:paraId="0B39C7DC">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服务要求</w:t>
            </w:r>
          </w:p>
        </w:tc>
        <w:tc>
          <w:tcPr>
            <w:tcW w:w="661" w:type="dxa"/>
            <w:vMerge w:val="restart"/>
            <w:tcBorders>
              <w:top w:val="single" w:color="000000" w:sz="2" w:space="0"/>
              <w:bottom w:val="nil"/>
              <w:right w:val="single" w:color="000000" w:sz="2" w:space="0"/>
            </w:tcBorders>
            <w:vAlign w:val="top"/>
          </w:tcPr>
          <w:p w14:paraId="50708E68">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p w14:paraId="1BDEF77C">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备注</w:t>
            </w:r>
          </w:p>
        </w:tc>
      </w:tr>
      <w:tr w14:paraId="3C547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1379" w:type="dxa"/>
            <w:vMerge w:val="continue"/>
            <w:tcBorders>
              <w:top w:val="nil"/>
              <w:left w:val="single" w:color="000000" w:sz="2" w:space="0"/>
            </w:tcBorders>
            <w:vAlign w:val="top"/>
          </w:tcPr>
          <w:p w14:paraId="47B1BB00">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tc>
        <w:tc>
          <w:tcPr>
            <w:tcW w:w="1531" w:type="dxa"/>
            <w:vMerge w:val="continue"/>
            <w:tcBorders>
              <w:top w:val="nil"/>
            </w:tcBorders>
            <w:vAlign w:val="top"/>
          </w:tcPr>
          <w:p w14:paraId="27380AC8">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tc>
        <w:tc>
          <w:tcPr>
            <w:tcW w:w="1016" w:type="dxa"/>
            <w:vMerge w:val="continue"/>
            <w:tcBorders>
              <w:top w:val="nil"/>
            </w:tcBorders>
            <w:vAlign w:val="top"/>
          </w:tcPr>
          <w:p w14:paraId="55A85FFB">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tc>
        <w:tc>
          <w:tcPr>
            <w:tcW w:w="717" w:type="dxa"/>
            <w:vMerge w:val="continue"/>
            <w:tcBorders>
              <w:top w:val="nil"/>
            </w:tcBorders>
            <w:vAlign w:val="top"/>
          </w:tcPr>
          <w:p w14:paraId="120951EC">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tc>
        <w:tc>
          <w:tcPr>
            <w:tcW w:w="1825" w:type="dxa"/>
            <w:vMerge w:val="continue"/>
            <w:tcBorders>
              <w:top w:val="nil"/>
            </w:tcBorders>
            <w:vAlign w:val="top"/>
          </w:tcPr>
          <w:p w14:paraId="4F8F7840">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tc>
        <w:tc>
          <w:tcPr>
            <w:tcW w:w="1091" w:type="dxa"/>
            <w:vAlign w:val="top"/>
          </w:tcPr>
          <w:p w14:paraId="06F80DCC">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时间</w:t>
            </w:r>
          </w:p>
        </w:tc>
        <w:tc>
          <w:tcPr>
            <w:tcW w:w="1290" w:type="dxa"/>
            <w:vAlign w:val="top"/>
          </w:tcPr>
          <w:p w14:paraId="7537C793">
            <w:pPr>
              <w:spacing w:before="229" w:line="447"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地点</w:t>
            </w:r>
          </w:p>
        </w:tc>
        <w:tc>
          <w:tcPr>
            <w:tcW w:w="661" w:type="dxa"/>
            <w:vMerge w:val="continue"/>
            <w:tcBorders>
              <w:top w:val="nil"/>
              <w:right w:val="single" w:color="000000" w:sz="2" w:space="0"/>
            </w:tcBorders>
            <w:vAlign w:val="top"/>
          </w:tcPr>
          <w:p w14:paraId="6AFF8686">
            <w:pPr>
              <w:spacing w:before="229" w:line="447" w:lineRule="auto"/>
              <w:ind w:left="117" w:firstLine="404"/>
              <w:jc w:val="center"/>
              <w:rPr>
                <w:rFonts w:ascii="宋体" w:hAnsi="宋体" w:eastAsia="宋体" w:cs="宋体"/>
                <w:snapToGrid w:val="0"/>
                <w:color w:val="auto"/>
                <w:spacing w:val="11"/>
                <w:kern w:val="0"/>
                <w:sz w:val="19"/>
                <w:szCs w:val="19"/>
                <w:lang w:val="en-US" w:eastAsia="en-US" w:bidi="ar-SA"/>
              </w:rPr>
            </w:pPr>
          </w:p>
        </w:tc>
      </w:tr>
      <w:tr w14:paraId="51D8C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0" w:hRule="atLeast"/>
        </w:trPr>
        <w:tc>
          <w:tcPr>
            <w:tcW w:w="1379" w:type="dxa"/>
            <w:tcBorders>
              <w:left w:val="single" w:color="000000" w:sz="2" w:space="0"/>
              <w:bottom w:val="single" w:color="000000" w:sz="2" w:space="0"/>
            </w:tcBorders>
            <w:vAlign w:val="top"/>
          </w:tcPr>
          <w:p w14:paraId="1780C827">
            <w:pPr>
              <w:pStyle w:val="7"/>
              <w:spacing w:before="34" w:line="372" w:lineRule="auto"/>
              <w:ind w:left="133" w:right="116"/>
              <w:jc w:val="both"/>
              <w:rPr>
                <w:rFonts w:hint="eastAsia" w:ascii="宋体" w:hAnsi="宋体" w:eastAsia="宋体" w:cs="宋体"/>
                <w:snapToGrid w:val="0"/>
                <w:color w:val="auto"/>
                <w:spacing w:val="11"/>
                <w:kern w:val="0"/>
                <w:sz w:val="19"/>
                <w:szCs w:val="19"/>
                <w:lang w:val="en-US" w:eastAsia="zh-CN" w:bidi="ar-SA"/>
              </w:rPr>
            </w:pPr>
            <w:r>
              <w:rPr>
                <w:rFonts w:hint="eastAsia" w:cs="宋体"/>
                <w:snapToGrid w:val="0"/>
                <w:color w:val="auto"/>
                <w:spacing w:val="11"/>
                <w:kern w:val="0"/>
                <w:sz w:val="19"/>
                <w:szCs w:val="19"/>
                <w:lang w:val="en-US" w:eastAsia="zh-CN" w:bidi="ar-SA"/>
              </w:rPr>
              <w:t>邵阳学院附属第二医院2025检验外送服务项目</w:t>
            </w:r>
          </w:p>
        </w:tc>
        <w:tc>
          <w:tcPr>
            <w:tcW w:w="1531" w:type="dxa"/>
            <w:tcBorders>
              <w:bottom w:val="single" w:color="000000" w:sz="2" w:space="0"/>
            </w:tcBorders>
            <w:vAlign w:val="top"/>
          </w:tcPr>
          <w:p w14:paraId="0CBFAF55">
            <w:pPr>
              <w:pStyle w:val="7"/>
              <w:spacing w:before="65" w:line="417" w:lineRule="auto"/>
              <w:ind w:right="173"/>
              <w:jc w:val="both"/>
              <w:rPr>
                <w:rFonts w:hint="default" w:ascii="宋体" w:hAnsi="宋体" w:eastAsia="宋体" w:cs="宋体"/>
                <w:snapToGrid w:val="0"/>
                <w:color w:val="auto"/>
                <w:spacing w:val="11"/>
                <w:kern w:val="0"/>
                <w:sz w:val="19"/>
                <w:szCs w:val="19"/>
                <w:lang w:val="en-US" w:eastAsia="en-US" w:bidi="ar-SA"/>
              </w:rPr>
            </w:pPr>
            <w:r>
              <w:rPr>
                <w:rFonts w:hint="default" w:ascii="宋体" w:hAnsi="宋体" w:eastAsia="宋体" w:cs="宋体"/>
                <w:snapToGrid w:val="0"/>
                <w:color w:val="auto"/>
                <w:spacing w:val="11"/>
                <w:kern w:val="0"/>
                <w:sz w:val="19"/>
                <w:szCs w:val="19"/>
                <w:lang w:val="en-US" w:eastAsia="en-US" w:bidi="ar-SA"/>
              </w:rPr>
              <w:t>C19010000</w:t>
            </w:r>
            <w:r>
              <w:rPr>
                <w:rFonts w:hint="eastAsia" w:ascii="宋体" w:hAnsi="宋体" w:eastAsia="宋体" w:cs="宋体"/>
                <w:snapToGrid w:val="0"/>
                <w:color w:val="auto"/>
                <w:spacing w:val="11"/>
                <w:kern w:val="0"/>
                <w:sz w:val="19"/>
                <w:szCs w:val="19"/>
                <w:lang w:val="en-US" w:eastAsia="en-US" w:bidi="ar-SA"/>
              </w:rPr>
              <w:t>-</w:t>
            </w:r>
            <w:r>
              <w:rPr>
                <w:rFonts w:hint="default" w:ascii="宋体" w:hAnsi="宋体" w:eastAsia="宋体" w:cs="宋体"/>
                <w:snapToGrid w:val="0"/>
                <w:color w:val="auto"/>
                <w:spacing w:val="11"/>
                <w:kern w:val="0"/>
                <w:sz w:val="19"/>
                <w:szCs w:val="19"/>
                <w:lang w:val="en-US" w:eastAsia="en-US" w:bidi="ar-SA"/>
              </w:rPr>
              <w:t>技术测试和分析服务</w:t>
            </w:r>
          </w:p>
          <w:p w14:paraId="3826504E">
            <w:pPr>
              <w:pStyle w:val="7"/>
              <w:spacing w:before="65" w:line="417" w:lineRule="auto"/>
              <w:ind w:right="173"/>
              <w:jc w:val="both"/>
              <w:rPr>
                <w:rFonts w:ascii="宋体" w:hAnsi="宋体" w:eastAsia="宋体" w:cs="宋体"/>
                <w:snapToGrid w:val="0"/>
                <w:color w:val="auto"/>
                <w:spacing w:val="11"/>
                <w:kern w:val="0"/>
                <w:sz w:val="19"/>
                <w:szCs w:val="19"/>
                <w:lang w:val="en-US" w:eastAsia="en-US" w:bidi="ar-SA"/>
              </w:rPr>
            </w:pPr>
          </w:p>
        </w:tc>
        <w:tc>
          <w:tcPr>
            <w:tcW w:w="1016" w:type="dxa"/>
            <w:tcBorders>
              <w:bottom w:val="single" w:color="000000" w:sz="2" w:space="0"/>
            </w:tcBorders>
            <w:vAlign w:val="top"/>
          </w:tcPr>
          <w:p w14:paraId="4B39606E">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64D42114">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144CC915">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49058E93">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57AE33EF">
            <w:pPr>
              <w:pStyle w:val="7"/>
              <w:spacing w:before="65" w:line="228"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否</w:t>
            </w:r>
          </w:p>
        </w:tc>
        <w:tc>
          <w:tcPr>
            <w:tcW w:w="717" w:type="dxa"/>
            <w:tcBorders>
              <w:bottom w:val="single" w:color="000000" w:sz="2" w:space="0"/>
            </w:tcBorders>
            <w:vAlign w:val="top"/>
          </w:tcPr>
          <w:p w14:paraId="67ABECD6">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171C2AC2">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2A352A3B">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48322106">
            <w:pPr>
              <w:pStyle w:val="7"/>
              <w:spacing w:before="65" w:line="228" w:lineRule="auto"/>
              <w:jc w:val="center"/>
              <w:rPr>
                <w:rFonts w:ascii="宋体" w:hAnsi="宋体" w:eastAsia="宋体" w:cs="宋体"/>
                <w:snapToGrid w:val="0"/>
                <w:color w:val="auto"/>
                <w:spacing w:val="11"/>
                <w:kern w:val="0"/>
                <w:sz w:val="19"/>
                <w:szCs w:val="19"/>
                <w:lang w:val="en-US" w:eastAsia="en-US" w:bidi="ar-SA"/>
              </w:rPr>
            </w:pPr>
          </w:p>
          <w:p w14:paraId="3B7BCC02">
            <w:pPr>
              <w:pStyle w:val="7"/>
              <w:spacing w:before="65" w:line="228" w:lineRule="auto"/>
              <w:jc w:val="center"/>
              <w:rPr>
                <w:rFonts w:ascii="宋体" w:hAnsi="宋体" w:eastAsia="宋体" w:cs="宋体"/>
                <w:snapToGrid w:val="0"/>
                <w:color w:val="auto"/>
                <w:spacing w:val="11"/>
                <w:kern w:val="0"/>
                <w:sz w:val="19"/>
                <w:szCs w:val="19"/>
                <w:lang w:val="en-US" w:eastAsia="en-US" w:bidi="ar-SA"/>
              </w:rPr>
            </w:pPr>
            <w:r>
              <w:rPr>
                <w:rFonts w:ascii="宋体" w:hAnsi="宋体" w:eastAsia="宋体" w:cs="宋体"/>
                <w:snapToGrid w:val="0"/>
                <w:color w:val="auto"/>
                <w:spacing w:val="11"/>
                <w:kern w:val="0"/>
                <w:sz w:val="19"/>
                <w:szCs w:val="19"/>
                <w:lang w:val="en-US" w:eastAsia="en-US" w:bidi="ar-SA"/>
              </w:rPr>
              <w:t>1项</w:t>
            </w:r>
          </w:p>
        </w:tc>
        <w:tc>
          <w:tcPr>
            <w:tcW w:w="1825" w:type="dxa"/>
            <w:tcBorders>
              <w:bottom w:val="single" w:color="000000" w:sz="2" w:space="0"/>
            </w:tcBorders>
            <w:vAlign w:val="top"/>
          </w:tcPr>
          <w:p w14:paraId="5B9294C0">
            <w:pPr>
              <w:pStyle w:val="7"/>
              <w:spacing w:before="65" w:line="362" w:lineRule="auto"/>
              <w:ind w:right="141"/>
              <w:jc w:val="both"/>
              <w:rPr>
                <w:rFonts w:ascii="宋体" w:hAnsi="宋体" w:eastAsia="宋体" w:cs="宋体"/>
                <w:snapToGrid w:val="0"/>
                <w:color w:val="auto"/>
                <w:spacing w:val="11"/>
                <w:kern w:val="0"/>
                <w:sz w:val="19"/>
                <w:szCs w:val="19"/>
                <w:lang w:val="en-US" w:eastAsia="en-US" w:bidi="ar-SA"/>
              </w:rPr>
            </w:pPr>
            <w:r>
              <w:rPr>
                <w:rFonts w:hint="eastAsia" w:ascii="宋体" w:hAnsi="宋体" w:eastAsia="宋体" w:cs="宋体"/>
                <w:snapToGrid w:val="0"/>
                <w:color w:val="auto"/>
                <w:spacing w:val="11"/>
                <w:kern w:val="0"/>
                <w:sz w:val="19"/>
                <w:szCs w:val="19"/>
                <w:lang w:val="en-US" w:eastAsia="en-US" w:bidi="ar-SA"/>
              </w:rPr>
              <w:t>预算人民币150万元，最高折扣为邵阳市物价标准收费价格的50%，超过此限额的报价视为无效投标。</w:t>
            </w:r>
          </w:p>
        </w:tc>
        <w:tc>
          <w:tcPr>
            <w:tcW w:w="1091" w:type="dxa"/>
            <w:tcBorders>
              <w:bottom w:val="single" w:color="000000" w:sz="2" w:space="0"/>
            </w:tcBorders>
            <w:vAlign w:val="top"/>
          </w:tcPr>
          <w:p w14:paraId="2E5D73B0">
            <w:pPr>
              <w:pStyle w:val="7"/>
              <w:spacing w:before="130" w:line="427" w:lineRule="auto"/>
              <w:ind w:right="139"/>
              <w:jc w:val="center"/>
              <w:rPr>
                <w:rFonts w:hint="eastAsia" w:ascii="宋体" w:hAnsi="宋体" w:eastAsia="宋体" w:cs="宋体"/>
                <w:snapToGrid w:val="0"/>
                <w:color w:val="auto"/>
                <w:spacing w:val="11"/>
                <w:kern w:val="0"/>
                <w:sz w:val="19"/>
                <w:szCs w:val="19"/>
                <w:lang w:val="en-US" w:eastAsia="zh-CN" w:bidi="ar-SA"/>
              </w:rPr>
            </w:pPr>
            <w:r>
              <w:rPr>
                <w:rFonts w:hint="eastAsia" w:cs="宋体"/>
                <w:snapToGrid w:val="0"/>
                <w:color w:val="auto"/>
                <w:spacing w:val="11"/>
                <w:kern w:val="0"/>
                <w:sz w:val="19"/>
                <w:szCs w:val="19"/>
                <w:lang w:val="en-US" w:eastAsia="zh-CN" w:bidi="ar-SA"/>
              </w:rPr>
              <w:t>服务期限1年</w:t>
            </w:r>
          </w:p>
        </w:tc>
        <w:tc>
          <w:tcPr>
            <w:tcW w:w="1290" w:type="dxa"/>
            <w:tcBorders>
              <w:bottom w:val="single" w:color="000000" w:sz="2" w:space="0"/>
            </w:tcBorders>
            <w:vAlign w:val="top"/>
          </w:tcPr>
          <w:p w14:paraId="065ABD8B">
            <w:pPr>
              <w:pStyle w:val="7"/>
              <w:spacing w:before="65" w:line="362" w:lineRule="auto"/>
              <w:ind w:right="185"/>
              <w:jc w:val="center"/>
              <w:rPr>
                <w:rFonts w:hint="eastAsia" w:ascii="宋体" w:hAnsi="宋体" w:eastAsia="宋体" w:cs="宋体"/>
                <w:snapToGrid w:val="0"/>
                <w:color w:val="auto"/>
                <w:spacing w:val="11"/>
                <w:kern w:val="0"/>
                <w:sz w:val="19"/>
                <w:szCs w:val="19"/>
                <w:lang w:val="en-US" w:eastAsia="zh-CN" w:bidi="ar-SA"/>
              </w:rPr>
            </w:pPr>
            <w:r>
              <w:rPr>
                <w:rFonts w:hint="eastAsia" w:cs="宋体"/>
                <w:snapToGrid w:val="0"/>
                <w:color w:val="auto"/>
                <w:spacing w:val="11"/>
                <w:kern w:val="0"/>
                <w:sz w:val="19"/>
                <w:szCs w:val="19"/>
                <w:lang w:val="en-US" w:eastAsia="zh-CN" w:bidi="ar-SA"/>
              </w:rPr>
              <w:t>采购人指定地点</w:t>
            </w:r>
          </w:p>
        </w:tc>
        <w:tc>
          <w:tcPr>
            <w:tcW w:w="661" w:type="dxa"/>
            <w:tcBorders>
              <w:bottom w:val="single" w:color="000000" w:sz="2" w:space="0"/>
              <w:right w:val="single" w:color="000000" w:sz="2" w:space="0"/>
            </w:tcBorders>
            <w:vAlign w:val="top"/>
          </w:tcPr>
          <w:p w14:paraId="7DD5F80D">
            <w:pPr>
              <w:jc w:val="center"/>
              <w:rPr>
                <w:rFonts w:ascii="宋体" w:hAnsi="宋体" w:eastAsia="宋体" w:cs="宋体"/>
                <w:snapToGrid w:val="0"/>
                <w:color w:val="auto"/>
                <w:spacing w:val="11"/>
                <w:kern w:val="0"/>
                <w:sz w:val="19"/>
                <w:szCs w:val="19"/>
                <w:lang w:val="en-US" w:eastAsia="en-US" w:bidi="ar-SA"/>
              </w:rPr>
            </w:pPr>
          </w:p>
        </w:tc>
      </w:tr>
    </w:tbl>
    <w:p w14:paraId="3DE191D8">
      <w:pPr>
        <w:pStyle w:val="2"/>
        <w:spacing w:line="273" w:lineRule="auto"/>
        <w:rPr>
          <w:color w:val="auto"/>
        </w:rPr>
      </w:pPr>
    </w:p>
    <w:p w14:paraId="0F69C72B">
      <w:pPr>
        <w:pStyle w:val="2"/>
        <w:spacing w:line="274" w:lineRule="auto"/>
        <w:rPr>
          <w:color w:val="auto"/>
          <w:sz w:val="24"/>
          <w:szCs w:val="24"/>
        </w:rPr>
      </w:pPr>
      <w:r>
        <w:rPr>
          <w:rFonts w:hint="eastAsia"/>
          <w:b/>
          <w:bCs/>
          <w:color w:val="auto"/>
          <w:kern w:val="2"/>
          <w:sz w:val="24"/>
          <w:szCs w:val="24"/>
          <w:highlight w:val="white"/>
          <w:lang w:val="en-US" w:eastAsia="zh-CN" w:bidi="ar-SA"/>
        </w:rPr>
        <w:t>1.</w:t>
      </w:r>
      <w:r>
        <w:rPr>
          <w:rFonts w:hint="eastAsia" w:ascii="宋体" w:hAnsi="宋体"/>
          <w:b/>
          <w:bCs/>
          <w:color w:val="auto"/>
          <w:kern w:val="2"/>
          <w:sz w:val="24"/>
          <w:szCs w:val="24"/>
          <w:highlight w:val="white"/>
          <w:lang w:val="en-US" w:eastAsia="zh-CN" w:bidi="ar-SA"/>
        </w:rPr>
        <w:t>项目按统一折扣报价，</w:t>
      </w:r>
      <w:r>
        <w:rPr>
          <w:rFonts w:hint="eastAsia"/>
          <w:b/>
          <w:bCs/>
          <w:color w:val="auto"/>
          <w:sz w:val="24"/>
          <w:szCs w:val="24"/>
          <w:lang w:val="en-US" w:eastAsia="zh-CN"/>
        </w:rPr>
        <w:t>例如，某检查服务原价100元，折扣为40%，即成交结算价格为40元。</w:t>
      </w:r>
    </w:p>
    <w:p w14:paraId="2FB301C2">
      <w:pPr>
        <w:pStyle w:val="2"/>
        <w:spacing w:line="274" w:lineRule="auto"/>
        <w:rPr>
          <w:color w:val="auto"/>
        </w:rPr>
      </w:pPr>
    </w:p>
    <w:p w14:paraId="339DAC28">
      <w:pPr>
        <w:rPr>
          <w:rFonts w:ascii="黑体" w:hAnsi="黑体" w:eastAsia="黑体" w:cs="黑体"/>
          <w:color w:val="auto"/>
          <w:spacing w:val="-2"/>
          <w:sz w:val="28"/>
          <w:szCs w:val="28"/>
        </w:rPr>
      </w:pPr>
      <w:bookmarkStart w:id="2" w:name="bookmark14"/>
      <w:bookmarkEnd w:id="2"/>
      <w:bookmarkStart w:id="3" w:name="bookmark13"/>
      <w:bookmarkEnd w:id="3"/>
      <w:r>
        <w:rPr>
          <w:rFonts w:ascii="黑体" w:hAnsi="黑体" w:eastAsia="黑体" w:cs="黑体"/>
          <w:color w:val="auto"/>
          <w:spacing w:val="-2"/>
          <w:sz w:val="28"/>
          <w:szCs w:val="28"/>
        </w:rPr>
        <w:br w:type="page"/>
      </w:r>
    </w:p>
    <w:p w14:paraId="0A2F5E04">
      <w:pPr>
        <w:numPr>
          <w:ilvl w:val="0"/>
          <w:numId w:val="1"/>
        </w:numPr>
        <w:spacing w:before="91" w:line="222" w:lineRule="auto"/>
        <w:ind w:left="3962"/>
        <w:outlineLvl w:val="0"/>
        <w:rPr>
          <w:rFonts w:ascii="黑体" w:hAnsi="黑体" w:eastAsia="黑体" w:cs="黑体"/>
          <w:color w:val="auto"/>
          <w:spacing w:val="-2"/>
          <w:sz w:val="28"/>
          <w:szCs w:val="28"/>
        </w:rPr>
      </w:pPr>
      <w:r>
        <w:rPr>
          <w:rFonts w:ascii="黑体" w:hAnsi="黑体" w:eastAsia="黑体" w:cs="黑体"/>
          <w:color w:val="auto"/>
          <w:spacing w:val="-2"/>
          <w:sz w:val="28"/>
          <w:szCs w:val="28"/>
        </w:rPr>
        <w:t>技术要求</w:t>
      </w:r>
    </w:p>
    <w:p w14:paraId="7BD69EC1">
      <w:pPr>
        <w:numPr>
          <w:ilvl w:val="0"/>
          <w:numId w:val="0"/>
        </w:numPr>
        <w:spacing w:before="91" w:line="222" w:lineRule="auto"/>
        <w:ind w:right="0" w:rightChars="0"/>
        <w:jc w:val="both"/>
        <w:outlineLvl w:val="0"/>
        <w:rPr>
          <w:rFonts w:hint="eastAsia" w:ascii="宋体" w:hAnsi="宋体" w:eastAsia="宋体" w:cs="宋体"/>
          <w:b/>
          <w:bCs/>
          <w:color w:val="auto"/>
          <w:spacing w:val="-2"/>
          <w:sz w:val="24"/>
          <w:szCs w:val="24"/>
          <w:lang w:eastAsia="zh-CN"/>
        </w:rPr>
      </w:pPr>
      <w:r>
        <w:rPr>
          <w:rFonts w:hint="eastAsia" w:ascii="宋体" w:hAnsi="宋体" w:eastAsia="宋体" w:cs="宋体"/>
          <w:b/>
          <w:bCs/>
          <w:color w:val="auto"/>
          <w:spacing w:val="-2"/>
          <w:sz w:val="24"/>
          <w:szCs w:val="24"/>
          <w:lang w:eastAsia="zh-CN"/>
        </w:rPr>
        <w:t>一、项目清单：</w:t>
      </w:r>
    </w:p>
    <w:p w14:paraId="795ABBC2">
      <w:pPr>
        <w:numPr>
          <w:ilvl w:val="0"/>
          <w:numId w:val="0"/>
        </w:numPr>
        <w:spacing w:before="91" w:line="222" w:lineRule="auto"/>
        <w:ind w:right="0" w:rightChars="0"/>
        <w:jc w:val="center"/>
        <w:outlineLvl w:val="0"/>
        <w:rPr>
          <w:rFonts w:hint="eastAsia" w:ascii="宋体" w:hAnsi="宋体" w:eastAsia="宋体" w:cs="宋体"/>
          <w:b w:val="0"/>
          <w:bCs w:val="0"/>
          <w:color w:val="auto"/>
          <w:spacing w:val="-2"/>
          <w:sz w:val="24"/>
          <w:szCs w:val="24"/>
          <w:lang w:eastAsia="zh-CN"/>
        </w:rPr>
      </w:pPr>
      <w:r>
        <w:rPr>
          <w:rFonts w:hint="eastAsia" w:ascii="宋体" w:hAnsi="宋体" w:eastAsia="宋体" w:cs="宋体"/>
          <w:b w:val="0"/>
          <w:bCs w:val="0"/>
          <w:color w:val="auto"/>
          <w:spacing w:val="-2"/>
          <w:sz w:val="24"/>
          <w:szCs w:val="24"/>
          <w:lang w:eastAsia="zh-CN"/>
        </w:rPr>
        <w:t>特检项目清单：</w:t>
      </w:r>
    </w:p>
    <w:tbl>
      <w:tblPr>
        <w:tblStyle w:val="4"/>
        <w:tblW w:w="85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1"/>
        <w:gridCol w:w="4771"/>
        <w:gridCol w:w="1431"/>
        <w:gridCol w:w="1391"/>
      </w:tblGrid>
      <w:tr w14:paraId="33CDD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0D9D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47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5797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特检项目</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042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结果出具时间</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667F">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 xml:space="preserve">项目服 </w:t>
            </w:r>
          </w:p>
          <w:p w14:paraId="46BE29E1">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default" w:ascii="宋体" w:hAnsi="宋体" w:eastAsia="宋体" w:cs="宋体"/>
                <w:b/>
                <w:bCs/>
                <w:i w:val="0"/>
                <w:iCs w:val="0"/>
                <w:color w:val="auto"/>
                <w:kern w:val="0"/>
                <w:sz w:val="22"/>
                <w:szCs w:val="22"/>
                <w:u w:val="none"/>
                <w:lang w:val="en-US" w:eastAsia="zh-CN" w:bidi="ar"/>
              </w:rPr>
              <w:t xml:space="preserve">务费折 </w:t>
            </w:r>
          </w:p>
          <w:p w14:paraId="6D7D4572">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default" w:ascii="宋体" w:hAnsi="宋体" w:eastAsia="宋体" w:cs="宋体"/>
                <w:b/>
                <w:bCs/>
                <w:i w:val="0"/>
                <w:iCs w:val="0"/>
                <w:color w:val="auto"/>
                <w:kern w:val="0"/>
                <w:sz w:val="22"/>
                <w:szCs w:val="22"/>
                <w:u w:val="none"/>
                <w:lang w:val="en-US" w:eastAsia="zh-CN" w:bidi="ar"/>
              </w:rPr>
              <w:t xml:space="preserve">扣（最 </w:t>
            </w:r>
          </w:p>
          <w:p w14:paraId="0C72AC98">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default" w:ascii="宋体" w:hAnsi="宋体" w:eastAsia="宋体" w:cs="宋体"/>
                <w:b/>
                <w:bCs/>
                <w:i w:val="0"/>
                <w:iCs w:val="0"/>
                <w:color w:val="auto"/>
                <w:kern w:val="0"/>
                <w:sz w:val="22"/>
                <w:szCs w:val="22"/>
                <w:u w:val="none"/>
                <w:lang w:val="en-US" w:eastAsia="zh-CN" w:bidi="ar"/>
              </w:rPr>
              <w:t xml:space="preserve">高限价 </w:t>
            </w:r>
          </w:p>
          <w:p w14:paraId="114C4E27">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50</w:t>
            </w:r>
            <w:r>
              <w:rPr>
                <w:rFonts w:hint="default" w:ascii="宋体" w:hAnsi="宋体" w:eastAsia="宋体" w:cs="宋体"/>
                <w:b/>
                <w:bCs/>
                <w:i w:val="0"/>
                <w:iCs w:val="0"/>
                <w:color w:val="auto"/>
                <w:kern w:val="0"/>
                <w:sz w:val="22"/>
                <w:szCs w:val="22"/>
                <w:u w:val="none"/>
                <w:lang w:val="en-US" w:eastAsia="zh-CN" w:bidi="ar"/>
              </w:rPr>
              <w:t>%）</w:t>
            </w:r>
          </w:p>
        </w:tc>
      </w:tr>
      <w:tr w14:paraId="2EF07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94A7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39E37">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呼吸道多种病原体靶向测序</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ABE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0CE6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23D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916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4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EDF3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免疫固定电泳</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8E4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DE98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A7DE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B15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1F50CA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B淋巴细胞亚群</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42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932C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B520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046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E2D9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结核斑点试验</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41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1FA1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6E62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70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4CC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T淋巴细胞亚群</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F5D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54D2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6680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86B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28F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丙型肝炎病毒基因分型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B6E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2F8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3C08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443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F611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肺炎支原体耐药突变检测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29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5163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9665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207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01E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电镜+常规肾脏病理检测（荧光9+特染3）</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392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A091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9047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AE3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1760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急慢性白血病/NHL/MDS全面CD系列检测(40CD)</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343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2D3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463C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D6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BD7D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地贫基因全套（含α点突变）测定</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407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196D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8EA4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6F9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DA2E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结核分枝杆菌及利福平耐药检测(Xpert MTB/RIF).</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5FF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7DE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0850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3A8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BFFF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septin9肠癌基因检测.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638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C943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DA5F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361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11D4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叶酸基因检测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86B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04C3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6094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658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340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病原微生物核酸高通量测序</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07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203D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01A8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A687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D72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急慢性白血病CD检测（28CD）</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2A23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6C0A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AEF8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CE4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BC3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IGH::MAF融合基因检测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01F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497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462B5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5D39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9739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结核分枝杆菌复合群及耐药基因靶向测序,多重靶向扩增-高通量测序法.</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51D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DA91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1490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1F34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EEB175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串联质谱遗传代谢病筛查（血、尿）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B6C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0BEC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4BC7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DE7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C48B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多发性骨髓瘤微小残留检测（15CD）</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D66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9CBC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FB280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F8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5E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外周血、骨髓染色体高分辨核型分析</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BE8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222B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E6E3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F52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CB27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BK病毒DNA定量测定</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482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EEB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6C573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1DC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6421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p53基因(17p13.1)缺失检测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4533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A5B6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470E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8F4E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F5C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骨髓活检+特殊染色+免疫组化检测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EB4D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450C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EB937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773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A79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BCR::ABL1融合基因检测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A7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36E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C271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060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9BB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微小残留白血病检测(15CD）</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28D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2630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30D1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A67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6182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（微柱）产前血型血清学检查组合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C9F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568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7788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2333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3C55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+8(CEP8,FISH)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352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0481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11E2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D31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608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5q-(-5/del(5q),FISH)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F7A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B7CD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4DC5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2C0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FD8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7q-(-7/del(7q),FISH)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123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32FB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B7A3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04A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8B1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CKS1B(1q21)基因扩增检测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03BD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2B8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39E9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245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C34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IGH::CCND1融合基因检测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FB5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1535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1FD6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DEA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47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7A9A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MDS相关基因突变检测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58A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7-15天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7A3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1A61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2C9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7FD0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PD-L1全自动免疫组化</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77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5BA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57A3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EC7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A6F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阿司匹林抵抗相关基因检测(NGS)</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81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3B02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F723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BCE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710C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高敏PNH白细胞检测(10CD)</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64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94D0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2597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6B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FD9F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结核分枝杆菌耐药突变基因检测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22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265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1156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877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E85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免疫组化检查</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D17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2DF6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7216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368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22CE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肝寄生虫全套</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9D4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94C5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18E3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89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716C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肺寄生虫全套</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2AF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D6B8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08EE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CD4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8647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脑寄生虫全套（猪囊尾蚴IgG，肺吸虫IgG，裂头蚴IgG，血吸虫IgG，弓形虫IgG）</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800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8D85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B1ED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E00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6A7E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试管助孕术前检查</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B02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BE55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82D5E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35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AFF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普通PNHCD55/CD59评估（3CD粒细胞）</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8C9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1C90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2059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47C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20C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自身免疫性脑炎检测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26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3155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6FA9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09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469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浆细胞肿瘤相关CD系列检测(15CD)</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1E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50B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3BF6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EE9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F02F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骨髓增殖性肿瘤相关基因检测（JAK2基因V617F突变、CALR、MPL基因突变）</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BC4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10DC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524F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239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AAE31">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AML常见基因突变检测Panel</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827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7BC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11CD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FBE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6209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淋巴瘤常见基因检测（C-MYC重排\BCL2重排\BCL6重排)</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485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D0E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4D38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F2D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0703">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肺癌精准诊疗检测（ctDNA、FFPE)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49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792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46E2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ADA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A621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肠癌精准诊疗检测（ctDNA、FFPE)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1966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D7D9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D547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5B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C393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乳腺癌精准诊疗检测（ctDNA、FFPE)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ED3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E2D6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8289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832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20AD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甲状腺肿瘤热点基因突变与融合检测（DNA+RNA）</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C2D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E522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28DD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276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52</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02A14">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甲状腺肿瘤精准诊疗检测（ctDNA、FFPE)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33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C5E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2D18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B1A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92B0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color w:val="auto"/>
                <w:lang w:val="en-US" w:eastAsia="zh-CN" w:bidi="ar"/>
              </w:rPr>
              <w:t>胃/食管癌精准诊疗检测（ctDNA、FFPE)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204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3DBF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3E49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057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ED9B">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卵巢癌精准诊疗检测（ctDNA、FFPE)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84D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3AC0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C45B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96F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78A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子宫内膜癌精准诊疗检测（ctDNA、FFPE)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F7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51D8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2647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0CC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8F69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前列腺癌精准诊疗检测（ctDNA、FFPE)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2CB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8E57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D42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288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8777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膀胱癌精准诊疗检测（ctDNA、FFPE)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EB4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06B6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EB21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D0C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E07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黑色素瘤精准诊疗检测（ctDNA、FFPE)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2C9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7BD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217D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A92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1A442">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软组织和骨肿瘤精准诊疗检测（ctDNA、FFPE)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B66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0ADA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1FF3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239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537F">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9"/>
                <w:color w:val="auto"/>
                <w:lang w:val="en-US" w:eastAsia="zh-CN" w:bidi="ar"/>
              </w:rPr>
              <w:t>胶质瘤精准诊疗检测（ctDNA、FFPE)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5DBF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0D49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7228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644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463B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Style w:val="8"/>
                <w:color w:val="auto"/>
                <w:lang w:val="en-US" w:eastAsia="zh-CN" w:bidi="ar"/>
              </w:rPr>
              <w:t>胃肠间质瘤精准诊疗检测（ctDNA、FFPE)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5CF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1947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EA63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DFC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B116">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胰腺癌精准诊疗检测（ctDNA、FFPE)</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B5F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6AD3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538D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89A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6C6F">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生殖道多种病原体靶向测序</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01DC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4C0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C945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65A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64</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0BD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单基因遗传性眼病检测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8F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2B9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9257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168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65</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9888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角膜营养不良检测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47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17A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9EB6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5927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66</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91068">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ADAMTS13</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AAD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46CE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C5F9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755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67</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1B12E">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AML白血病基因突变及融合检测（72基因+25融合）</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BBD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7-15天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94B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7A94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663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260C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弥漫大B细胞淋巴瘤相关基因检测（76基因）</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CB1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7-15天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23FD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674E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475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69</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10F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MM金雪愈NGS72基因检测</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48D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7-15天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8A6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E0AA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430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70</w:t>
            </w:r>
          </w:p>
        </w:tc>
        <w:tc>
          <w:tcPr>
            <w:tcW w:w="4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DEEEB">
            <w:pPr>
              <w:keepNext w:val="0"/>
              <w:keepLines w:val="0"/>
              <w:widowControl/>
              <w:suppressLineNumbers w:val="0"/>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实体瘤基因检测(BRAF/KRAS/HER2/PlD1)</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15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10-15天</w:t>
            </w:r>
          </w:p>
        </w:tc>
        <w:tc>
          <w:tcPr>
            <w:tcW w:w="13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2BDE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bl>
    <w:p w14:paraId="75A4E9C2">
      <w:pPr>
        <w:pStyle w:val="10"/>
        <w:keepNext w:val="0"/>
        <w:keepLines w:val="0"/>
        <w:pageBreakBefore w:val="0"/>
        <w:widowControl w:val="0"/>
        <w:numPr>
          <w:ilvl w:val="0"/>
          <w:numId w:val="0"/>
        </w:numPr>
        <w:tabs>
          <w:tab w:val="left" w:pos="1246"/>
        </w:tabs>
        <w:kinsoku/>
        <w:overflowPunct/>
        <w:topLinePunct w:val="0"/>
        <w:bidi w:val="0"/>
        <w:spacing w:before="0" w:after="0" w:line="360" w:lineRule="auto"/>
        <w:ind w:right="0" w:rightChars="0" w:firstLine="420" w:firstLineChars="200"/>
        <w:jc w:val="left"/>
        <w:textAlignment w:val="auto"/>
        <w:rPr>
          <w:rFonts w:hint="default" w:cs="宋体"/>
          <w:b w:val="0"/>
          <w:bCs/>
          <w:color w:val="auto"/>
          <w:spacing w:val="0"/>
          <w:position w:val="0"/>
          <w:sz w:val="21"/>
          <w:szCs w:val="21"/>
          <w:highlight w:val="none"/>
          <w:lang w:val="en-US" w:eastAsia="zh-CN"/>
        </w:rPr>
      </w:pPr>
    </w:p>
    <w:p w14:paraId="78C235C6">
      <w:pPr>
        <w:pStyle w:val="10"/>
        <w:keepNext w:val="0"/>
        <w:keepLines w:val="0"/>
        <w:pageBreakBefore w:val="0"/>
        <w:widowControl w:val="0"/>
        <w:numPr>
          <w:ilvl w:val="0"/>
          <w:numId w:val="0"/>
        </w:numPr>
        <w:tabs>
          <w:tab w:val="left" w:pos="1246"/>
        </w:tabs>
        <w:kinsoku/>
        <w:overflowPunct/>
        <w:topLinePunct w:val="0"/>
        <w:bidi w:val="0"/>
        <w:spacing w:before="0" w:after="0" w:line="360" w:lineRule="auto"/>
        <w:ind w:right="0" w:rightChars="0"/>
        <w:jc w:val="center"/>
        <w:textAlignment w:val="auto"/>
        <w:rPr>
          <w:rFonts w:hint="eastAsia" w:cs="宋体"/>
          <w:b/>
          <w:bCs w:val="0"/>
          <w:color w:val="auto"/>
          <w:spacing w:val="0"/>
          <w:position w:val="0"/>
          <w:sz w:val="24"/>
          <w:szCs w:val="24"/>
          <w:highlight w:val="none"/>
          <w:lang w:val="en-US" w:eastAsia="zh-CN"/>
        </w:rPr>
      </w:pPr>
      <w:r>
        <w:rPr>
          <w:rFonts w:hint="eastAsia" w:cs="宋体"/>
          <w:b/>
          <w:bCs w:val="0"/>
          <w:color w:val="auto"/>
          <w:spacing w:val="0"/>
          <w:position w:val="0"/>
          <w:sz w:val="24"/>
          <w:szCs w:val="24"/>
          <w:highlight w:val="none"/>
          <w:lang w:val="en-US" w:eastAsia="zh-CN"/>
        </w:rPr>
        <w:t>普检项目清单：</w:t>
      </w:r>
    </w:p>
    <w:tbl>
      <w:tblPr>
        <w:tblStyle w:val="4"/>
        <w:tblW w:w="91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4461"/>
        <w:gridCol w:w="1186"/>
        <w:gridCol w:w="900"/>
        <w:gridCol w:w="1495"/>
      </w:tblGrid>
      <w:tr w14:paraId="581E3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65065">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序号</w:t>
            </w:r>
          </w:p>
        </w:tc>
        <w:tc>
          <w:tcPr>
            <w:tcW w:w="44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F6EF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普检项目</w:t>
            </w: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75B78">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结果出具时间</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D0C5A">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 xml:space="preserve">项目服 </w:t>
            </w:r>
          </w:p>
          <w:p w14:paraId="07E34BDB">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default" w:ascii="宋体" w:hAnsi="宋体" w:eastAsia="宋体" w:cs="宋体"/>
                <w:b/>
                <w:bCs/>
                <w:i w:val="0"/>
                <w:iCs w:val="0"/>
                <w:color w:val="auto"/>
                <w:kern w:val="0"/>
                <w:sz w:val="22"/>
                <w:szCs w:val="22"/>
                <w:u w:val="none"/>
                <w:lang w:val="en-US" w:eastAsia="zh-CN" w:bidi="ar"/>
              </w:rPr>
              <w:t xml:space="preserve">务费折 </w:t>
            </w:r>
          </w:p>
          <w:p w14:paraId="70A6445D">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default" w:ascii="宋体" w:hAnsi="宋体" w:eastAsia="宋体" w:cs="宋体"/>
                <w:b/>
                <w:bCs/>
                <w:i w:val="0"/>
                <w:iCs w:val="0"/>
                <w:color w:val="auto"/>
                <w:kern w:val="0"/>
                <w:sz w:val="22"/>
                <w:szCs w:val="22"/>
                <w:u w:val="none"/>
                <w:lang w:val="en-US" w:eastAsia="zh-CN" w:bidi="ar"/>
              </w:rPr>
              <w:t xml:space="preserve">扣（最 </w:t>
            </w:r>
          </w:p>
          <w:p w14:paraId="1D955336">
            <w:pPr>
              <w:keepNext w:val="0"/>
              <w:keepLines w:val="0"/>
              <w:widowControl/>
              <w:suppressLineNumbers w:val="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default" w:ascii="宋体" w:hAnsi="宋体" w:eastAsia="宋体" w:cs="宋体"/>
                <w:b/>
                <w:bCs/>
                <w:i w:val="0"/>
                <w:iCs w:val="0"/>
                <w:color w:val="auto"/>
                <w:kern w:val="0"/>
                <w:sz w:val="22"/>
                <w:szCs w:val="22"/>
                <w:u w:val="none"/>
                <w:lang w:val="en-US" w:eastAsia="zh-CN" w:bidi="ar"/>
              </w:rPr>
              <w:t xml:space="preserve">高限价 </w:t>
            </w:r>
          </w:p>
          <w:p w14:paraId="374AE82A">
            <w:pPr>
              <w:keepNext w:val="0"/>
              <w:keepLines w:val="0"/>
              <w:widowControl/>
              <w:suppressLineNumbers w:val="0"/>
              <w:ind w:left="0" w:leftChars="0" w:right="0" w:rightChars="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ascii="宋体" w:hAnsi="宋体" w:eastAsia="宋体" w:cs="宋体"/>
                <w:b/>
                <w:bCs/>
                <w:i w:val="0"/>
                <w:iCs w:val="0"/>
                <w:color w:val="auto"/>
                <w:kern w:val="0"/>
                <w:sz w:val="22"/>
                <w:szCs w:val="22"/>
                <w:u w:val="none"/>
                <w:lang w:val="en-US" w:eastAsia="zh-CN" w:bidi="ar"/>
              </w:rPr>
              <w:t>50</w:t>
            </w:r>
            <w:r>
              <w:rPr>
                <w:rFonts w:hint="default" w:ascii="宋体" w:hAnsi="宋体" w:eastAsia="宋体" w:cs="宋体"/>
                <w:b/>
                <w:bCs/>
                <w:i w:val="0"/>
                <w:iCs w:val="0"/>
                <w:color w:val="auto"/>
                <w:kern w:val="0"/>
                <w:sz w:val="22"/>
                <w:szCs w:val="22"/>
                <w:u w:val="none"/>
                <w:lang w:val="en-US" w:eastAsia="zh-CN" w:bidi="ar"/>
              </w:rPr>
              <w:t>%）</w:t>
            </w:r>
          </w:p>
        </w:tc>
        <w:tc>
          <w:tcPr>
            <w:tcW w:w="1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75B27">
            <w:pPr>
              <w:keepNext w:val="0"/>
              <w:keepLines w:val="0"/>
              <w:widowControl/>
              <w:suppressLineNumbers w:val="0"/>
              <w:ind w:left="0" w:leftChars="0" w:right="0" w:rightChars="0"/>
              <w:jc w:val="center"/>
              <w:textAlignment w:val="center"/>
              <w:rPr>
                <w:rFonts w:hint="eastAsia" w:ascii="宋体" w:hAnsi="宋体" w:eastAsia="宋体" w:cs="宋体"/>
                <w:b/>
                <w:bCs/>
                <w:i w:val="0"/>
                <w:iCs w:val="0"/>
                <w:color w:val="auto"/>
                <w:kern w:val="0"/>
                <w:sz w:val="22"/>
                <w:szCs w:val="22"/>
                <w:u w:val="none"/>
                <w:lang w:val="en-US" w:eastAsia="zh-CN" w:bidi="ar"/>
              </w:rPr>
            </w:pPr>
            <w:r>
              <w:rPr>
                <w:rFonts w:hint="eastAsia" w:cs="宋体"/>
                <w:b/>
                <w:bCs/>
                <w:i w:val="0"/>
                <w:iCs w:val="0"/>
                <w:color w:val="auto"/>
                <w:kern w:val="0"/>
                <w:sz w:val="22"/>
                <w:szCs w:val="22"/>
                <w:u w:val="none"/>
                <w:lang w:val="en-US" w:eastAsia="zh-CN" w:bidi="ar"/>
              </w:rPr>
              <w:t>备注</w:t>
            </w:r>
          </w:p>
        </w:tc>
      </w:tr>
      <w:tr w14:paraId="6842C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4E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945AC">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肺炎支原体抗体半定量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910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1A9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1503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2A97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84D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AC83D">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呼吸道病原体核酸检测13项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FA6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CE9B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6C1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0BB1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DF1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4E96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抗核抗体(ANA)</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03B8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5AD2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E1D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778C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38A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5DF4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EB病毒(EB DNA)定量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347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738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C0DC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8479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4F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89C9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过敏原检测十项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AA3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991E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8BE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69D8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841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8C05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血管炎五项(P-ANCA、C-ANCA，MPO-Ab，PR3-Ab，ACA)</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04E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AA7A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1789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p>
        </w:tc>
      </w:tr>
      <w:tr w14:paraId="478C5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0FC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44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FF4D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凝血因子VIII及其抑制物测定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E23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CCE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5353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14FE8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5DD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7410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脂溶性维生素测定(包括：25-羟基维生素D2，25-羟基维生素D3，VA,VE)</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051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180B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86A8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EB7D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3A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035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高血压项目测定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90CA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A2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C0CF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84D6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D6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759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真菌1，3-β-D葡聚糖检测(G试验)</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3C7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189F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C97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D155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6C36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C44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(女)肿瘤标志物检测C12</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A63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8AA8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2256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5B3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6DC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9389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曲霉菌抗原检测(GM试验)</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0ED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E3B4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44C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A651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4A2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BA76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吸入及食入过敏原29项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316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B318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8D75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ABD1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1EA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C31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糖尿病自身抗体三项(IAA,ICA,GAD)</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EF5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9BF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B3F0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0B04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1AA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65161">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γ-干扰素释放试验（CD4）</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4A1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DA9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2E3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3169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35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AFCB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抗磷脂酶A2受体抗体(PLA2R),CBA法</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6C3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BCA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F17E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7AB5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9A4E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F89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(男)肿瘤标志物检测C12</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F13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845C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E11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3107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B7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0B5A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沙眼衣原体(CT-DNA)测定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454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F33A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E78C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EA82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2809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08F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皮质醇(COR)测定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56F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BCDF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F0D7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20E8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81D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CE5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促肾上腺皮质激素(ACTH)</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8BB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490F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FD6C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5E60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A94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D81D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抗缪勒管激素（AMH）</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961A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27A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8154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781E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9D4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FC82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G6PD+Hb成分分析</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4C6E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EA64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A641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2A39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D40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E0C5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百日咳鲍特菌核酸检测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29E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C2C5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515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A988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3215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6A66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鳞癌细胞抗原SCC</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B08C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A2B3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254B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FB3A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F2D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332A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胰岛素样生长因子 1(IGF-1)</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63E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AC66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F823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135C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B0E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D53C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骨源性碱性磷酸酶(BAP).</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D2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05A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502F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6FAD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108E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C84D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胰岛素样生长因子结合蛋白-3(IGFBP-3)</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6A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CD64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3EF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6DDA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2A8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6F22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血清蛋白电泳</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E89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369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26C1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B707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94E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6F5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抗肾小球基底膜（GBM）抗体定量.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4B2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8FD4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B4FD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7136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02D6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85D2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抗中性粒细胞抗体二项.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657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9B67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5D0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F47C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FEE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447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HLA-B27-DNA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F46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1123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FF9C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02D1B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18C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EFF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红细胞叶酸定量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AA0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3785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F13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708B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F9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3F0E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免疫球蛋白IgG4</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301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55BB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AC81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A2C6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DA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E101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铜蓝蛋白(CER).</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A7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FE8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418D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54A4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BB5A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3895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乙肝两对半定量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9688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088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FFB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F4A8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791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76381">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EB病毒衣壳抗原IgM抗体（EBV-IgM）</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4F8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B4A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3951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6139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DB3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495F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他克莫司(FK506),全血,LC-MS/MS</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E48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F545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D89B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E910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11A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0EC7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巨细胞病毒(CMV-DNA),定性</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1919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C1C9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8AB4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B34E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7882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216E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狼疮抗凝物质(LA)筛查</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8619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D7CF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F0D0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BCB1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37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6E68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尿香草扁桃酸(VMA)测定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EFE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D5D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B578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1507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8CC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86D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隐球菌抗原.</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D4C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E168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DBD5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2EA8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44B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8DB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总IgE测定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46A5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B2EE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2C20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7515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7F1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9FB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抗双链DNA抗体定量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0D6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5AE3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25D2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4CC4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5EB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EF7F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抗血小板特异性自身抗体(5项）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9403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4392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8393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16FD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71A8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w:t>
            </w:r>
          </w:p>
        </w:tc>
        <w:tc>
          <w:tcPr>
            <w:tcW w:w="44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FEF6B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凝血因子IX机器抑制物测定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BC6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2C17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B83F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60774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AB2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A37C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手足口六项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3CE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0409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EA31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46BA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02F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79C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丙戊酸(德巴金)(VAL)</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215E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E88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E279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34AC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0CC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BE51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单纯疱疹病毒Ⅱ型(HSVII-DNA),定性</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36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CAA7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7869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6449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D8A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5DB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尿免疫球蛋白轻链定量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4E1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25B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9BDA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BDC4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389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9A23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贫血三项(FER,FOL,VitB12).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C3D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491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1816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4327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C3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D53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血管内皮生长因子（VEGF）,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4FFC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DBB8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EBC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0215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C811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0243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戊型肝炎抗体二项(HEV-IgM,HEV-IgG).</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E070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7E5A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8C4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F524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5DF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49BB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神经元特异性烯醇化酶 (NSE),化学发光法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D25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31C2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5D11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755C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2810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5DC5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食物不耐受14项组合A（常见食物组）.</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8A7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39B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5D2C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28BA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996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828E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吸入及食入过敏原21项.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497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8E4A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F9DA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F0AF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83F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1976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儿茶酚胺测定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84F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08ED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762D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17F6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DE5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194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促红细胞生成素(EPO).</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48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B70E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CE28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8FC5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8C2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049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环孢霉素A浓度(CSA),全血,LC-MS/MS.</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5C0D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5763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9F11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281A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A14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F890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抗心磷脂抗体三项(ACA-IgA,IgG,IgM),定性检测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0D3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94DC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EACE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D3D6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57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286F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醛固酮(ALD).</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135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A05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ED10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84E4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55C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6D9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尿本周氏蛋白电泳.</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3FA5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4F4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0290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51CB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D83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DFA7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异常凝血酶原（PIVKA-II）.</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ADE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FC63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D3A4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D7DD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C4A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2E37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单纯疱疹病毒I型(HSVI-DNA),定量测定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C3F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D50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9221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62D6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A17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3260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抗精子抗体定量.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927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FA9C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B841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8D84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354C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F55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免疫荧光六项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57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003B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80CF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A361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D9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7E8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新生儿溶血病检测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AE7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7CF2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778E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E5BE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71F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C4D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甲型肝炎病毒(HAV-RNA)定量</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694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ADB8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7D7C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2231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19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84B9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淋球菌脱氧核糖核酸(NG-DNA)定性测定.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50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3211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BF2C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9A2B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04A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69</w:t>
            </w:r>
          </w:p>
        </w:tc>
        <w:tc>
          <w:tcPr>
            <w:tcW w:w="44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3DACA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凝血因子X及抑制物测定活性测定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3C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EFC9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24C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6B44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B5C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7D815F1">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血红蛋白成份分析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11A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BB3D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E5A2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206D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8C3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CA60">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溶贫七项</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AA27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3EC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0B8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7709A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42D7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82D989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磷脂综合征两项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646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51AA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904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B335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6CD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DB93B8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抗神经节苷脂IgG,IgM抗体测定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D39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0277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6EAF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A142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594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C8580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抗β2-糖蛋白1抗体测定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7EC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3186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C54D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C14A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3C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1387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地中海贫血筛查试验</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59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E0D6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8722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4B31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DC0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196840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钩端螺旋体病血清学试验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A51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C7BB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F1FB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9413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DB17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6F8321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抗子宫内膜抗体测定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75D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AF42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B33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755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E67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062510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抗精子抗体测定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7B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950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9F5D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75A1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AF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63AC34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自身免疫性肝炎抗体测定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922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0F76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6BB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24EB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F91C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D8C979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神经元特异性烯醇化酶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E80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C39E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7BF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59C1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6E2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833C81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ENA六项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9A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3E7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9DF6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F300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CD3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F81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食物特异性IgG检测14项（水果组合）</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825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4512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39AC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8D91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8A0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5BF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外周血、骨髓染色体核型分析</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C0C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DDC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57AC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E63A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EDC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950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17-羟皮质类固醇(17-OH)测定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577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10A0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05F5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CC61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C9D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714E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干燥综合征自身抗体检测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583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2D3E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D3AD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D5BE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D5C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740C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17-酮类固醇(17-KS)测定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23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C932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64BE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D89F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119B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F411">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β2糖蛋白1抗体(β2-GP1-Ab)测定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68B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E9A5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F14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ED0A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1381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77015E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肝脏纤维化检查</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005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9530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4738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5ED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9D9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70A7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弓形虫IgM抗体(TOX-IgM)定量测定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C2D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8088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4224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2D1C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57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D3C6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巨细胞病毒（CMV-DNA）定量测定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3B0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86A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B4D1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0DAE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E03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B961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尿蛋白电泳定量（带M蛋白）测定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648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0E80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4513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08BB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FC2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0A18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凝血因子XI活性测定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077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6827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486B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6EBB7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549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3BF9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肾素浓度(Renin)测定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DD12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1E17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54AB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5DE1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2F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D5D9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生长激素激发试验（5项）（0.30.60.90.120）.</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0F5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3715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C250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C800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9D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6F93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糖类抗原242(CA242)测定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53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37C1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F89EF">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2E06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A24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E9322E9">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糖类CA－50抗原测定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9DB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5A5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0E3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1BA2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69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110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糖链抗原724(CA724测定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36B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AD5F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B840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1137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F0E2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96FD">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万古霉素（VAN）测定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B0C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D72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7485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31C3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B36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DB6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血管性血友病因子(VWF)检测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8A7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F81F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EFA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C1CD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3886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6D66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APTT纠正试验</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B47B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612E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3B5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02EDD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502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ADB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TAP,凝集反应</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0B6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4-5天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AFAE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4975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E525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843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650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奥卡西平及其代谢物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AD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CABB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FAF3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154E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FE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ED6A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百日咳杆菌IgG抗体测定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25AF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0BE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2F37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04CF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65F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6D8D6">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单纯疱疹病毒(HSV-DNA)定性检测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01D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E268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DA01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673B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5D5F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7A5C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反-三碘甲状腺原氨酸(RT3).</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CEA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6FEF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B374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40C7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450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26D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风疹病毒抗体定量检测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F1B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52F3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FF7B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F09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62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C62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伏立康唑（VRC）</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0EA6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768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17E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20D3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ED3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6BDC01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丁型肝炎抗体测定(Anti-HDV)  </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43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EE9B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CD1D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6B2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A18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2D4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庚型肝炎病毒抗体 IgG(HGV-IgG)</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038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8DC0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C95A">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F00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6CB2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110</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7669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弓形虫IgG抗体(TOX-IgG),定量测定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04BF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0093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6B57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5AAD5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7EA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0048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巨细胞病毒IgG抗体定量（CMV-IgG）</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04A4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3B6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E12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38C91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AA8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03427">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淋球菌(NG-DNA)定量检测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14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61D8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F209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26DC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E60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8F90C">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药物浓度监测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023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C966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45C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97C7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0BD4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2B6D2">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凝血因子XII活性测定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1CA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E4D0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3BB1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cs="宋体"/>
                <w:i w:val="0"/>
                <w:iCs w:val="0"/>
                <w:color w:val="auto"/>
                <w:kern w:val="0"/>
                <w:sz w:val="22"/>
                <w:szCs w:val="22"/>
                <w:u w:val="none"/>
                <w:lang w:val="en-US" w:eastAsia="zh-CN" w:bidi="ar"/>
              </w:rPr>
              <w:t>标本具有高时效性要求，须在取样后4小时内进行检测</w:t>
            </w:r>
          </w:p>
        </w:tc>
      </w:tr>
      <w:tr w14:paraId="64046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406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4CED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水痘-带状疱疹病毒IgM(VZV-IgM)测定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096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E3B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A0D9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B42B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5ED2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B604">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脂蛋白相关磷脂酶A2(Lp-PLA2)测定</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A67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5EC8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BA07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D360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C6F0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F8363">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军团菌DNA</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C0F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47CD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937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EBFF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7EE1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118</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45EAA">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肌炎相关抗体检测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01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41A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A03F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08B5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C99F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119</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EEE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生殖道12项病原体核酸检测</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3D54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75AE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266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65120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C56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44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AE205">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生殖道12项病原体核酸检测(科研专用)</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9DBE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B1F8E">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B6DED">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47D5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27B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121</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2E4E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17a羟基孕酮(17-OHP)</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6933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E64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664C2">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CF1E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947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122</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A7A0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雄烯二酮</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480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CC0F4">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52C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41AD6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AEF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123</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8D4AB">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脱氢表雄酮(DHEA)</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5E2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0B7A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529E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054CBB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57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124</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093F">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抗内因子抗体lgG</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5B9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47FFB">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E16EC">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2E88F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70F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125</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6F2C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抗胃壁细胞抗体lgG</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D9A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97C07">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2F290">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17327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CFF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126</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E63B8">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钙卫蛋白</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F34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7D799">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BBE5">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r w14:paraId="7D09B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2066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127</w:t>
            </w:r>
          </w:p>
        </w:tc>
        <w:tc>
          <w:tcPr>
            <w:tcW w:w="4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57B5E">
            <w:pPr>
              <w:keepNext w:val="0"/>
              <w:keepLines w:val="0"/>
              <w:widowControl/>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自免肝抗体八项(AMA-2、SLA、LKM-1、LC-1、抗SP100抗体、抗gp210抗体、抗Ro-52抗体、CENP-B）</w:t>
            </w:r>
          </w:p>
        </w:tc>
        <w:tc>
          <w:tcPr>
            <w:tcW w:w="11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B40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689A3">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c>
          <w:tcPr>
            <w:tcW w:w="14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824D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p>
        </w:tc>
      </w:tr>
    </w:tbl>
    <w:p w14:paraId="2E4B32FB">
      <w:pPr>
        <w:pStyle w:val="10"/>
        <w:keepNext w:val="0"/>
        <w:keepLines w:val="0"/>
        <w:pageBreakBefore w:val="0"/>
        <w:widowControl w:val="0"/>
        <w:numPr>
          <w:ilvl w:val="0"/>
          <w:numId w:val="0"/>
        </w:numPr>
        <w:tabs>
          <w:tab w:val="left" w:pos="1246"/>
        </w:tabs>
        <w:kinsoku/>
        <w:overflowPunct/>
        <w:topLinePunct w:val="0"/>
        <w:bidi w:val="0"/>
        <w:spacing w:before="0" w:after="0" w:line="360" w:lineRule="auto"/>
        <w:ind w:right="0" w:rightChars="0" w:firstLine="420" w:firstLineChars="200"/>
        <w:jc w:val="left"/>
        <w:textAlignment w:val="auto"/>
        <w:rPr>
          <w:rFonts w:hint="default" w:cs="宋体"/>
          <w:b w:val="0"/>
          <w:bCs/>
          <w:color w:val="auto"/>
          <w:spacing w:val="0"/>
          <w:position w:val="0"/>
          <w:sz w:val="21"/>
          <w:szCs w:val="21"/>
          <w:highlight w:val="none"/>
          <w:lang w:val="en-US" w:eastAsia="zh-CN"/>
        </w:rPr>
      </w:pPr>
    </w:p>
    <w:p w14:paraId="7C6E15D3">
      <w:pPr>
        <w:spacing w:line="360" w:lineRule="auto"/>
        <w:ind w:firstLine="440" w:firstLineChars="200"/>
        <w:jc w:val="left"/>
        <w:rPr>
          <w:rFonts w:hint="eastAsia" w:ascii="宋体" w:hAnsi="宋体" w:eastAsia="宋体" w:cs="宋体"/>
          <w:color w:val="auto"/>
        </w:rPr>
      </w:pPr>
      <w:r>
        <w:rPr>
          <w:rFonts w:hint="eastAsia" w:ascii="宋体" w:hAnsi="宋体" w:eastAsia="宋体" w:cs="宋体"/>
          <w:color w:val="auto"/>
          <w:lang w:val="en-US" w:eastAsia="zh-CN"/>
        </w:rPr>
        <w:t>说明：</w:t>
      </w:r>
      <w:r>
        <w:rPr>
          <w:rFonts w:hint="default" w:ascii="宋体" w:hAnsi="宋体" w:eastAsia="宋体" w:cs="宋体"/>
          <w:color w:val="auto"/>
          <w:lang w:val="en-US" w:eastAsia="zh-CN"/>
        </w:rPr>
        <w:t>★本项目为整体采购，投标人必须整体投标，必须承担本采购清单内所有项目的检验检测服务，并按统一折扣报价，否则投标无效。</w:t>
      </w:r>
    </w:p>
    <w:p w14:paraId="043A518B">
      <w:pPr>
        <w:pStyle w:val="10"/>
        <w:keepNext w:val="0"/>
        <w:keepLines w:val="0"/>
        <w:pageBreakBefore w:val="0"/>
        <w:widowControl w:val="0"/>
        <w:numPr>
          <w:ilvl w:val="0"/>
          <w:numId w:val="0"/>
        </w:numPr>
        <w:tabs>
          <w:tab w:val="left" w:pos="1246"/>
        </w:tabs>
        <w:kinsoku/>
        <w:overflowPunct/>
        <w:topLinePunct w:val="0"/>
        <w:bidi w:val="0"/>
        <w:spacing w:before="0" w:after="0" w:line="360" w:lineRule="auto"/>
        <w:ind w:right="0" w:rightChars="0" w:firstLine="420" w:firstLineChars="200"/>
        <w:jc w:val="left"/>
        <w:textAlignment w:val="auto"/>
        <w:rPr>
          <w:rFonts w:hint="default" w:cs="宋体"/>
          <w:b w:val="0"/>
          <w:bCs/>
          <w:color w:val="auto"/>
          <w:spacing w:val="0"/>
          <w:position w:val="0"/>
          <w:sz w:val="21"/>
          <w:szCs w:val="21"/>
          <w:highlight w:val="none"/>
          <w:lang w:val="en-US" w:eastAsia="zh-CN"/>
        </w:rPr>
      </w:pPr>
    </w:p>
    <w:p w14:paraId="7CE9B875">
      <w:pPr>
        <w:pStyle w:val="10"/>
        <w:keepNext w:val="0"/>
        <w:keepLines w:val="0"/>
        <w:pageBreakBefore w:val="0"/>
        <w:widowControl w:val="0"/>
        <w:numPr>
          <w:ilvl w:val="0"/>
          <w:numId w:val="0"/>
        </w:numPr>
        <w:tabs>
          <w:tab w:val="left" w:pos="1246"/>
        </w:tabs>
        <w:kinsoku/>
        <w:overflowPunct/>
        <w:topLinePunct w:val="0"/>
        <w:bidi w:val="0"/>
        <w:spacing w:before="0" w:after="0" w:line="360" w:lineRule="auto"/>
        <w:ind w:right="0" w:rightChars="0" w:firstLine="420" w:firstLineChars="200"/>
        <w:jc w:val="left"/>
        <w:textAlignment w:val="auto"/>
        <w:rPr>
          <w:rFonts w:hint="default" w:cs="宋体"/>
          <w:b w:val="0"/>
          <w:bCs/>
          <w:color w:val="auto"/>
          <w:spacing w:val="0"/>
          <w:position w:val="0"/>
          <w:sz w:val="21"/>
          <w:szCs w:val="21"/>
          <w:highlight w:val="none"/>
          <w:lang w:val="en-US" w:eastAsia="zh-CN"/>
        </w:rPr>
      </w:pPr>
    </w:p>
    <w:p w14:paraId="10AEB927">
      <w:pPr>
        <w:spacing w:line="360" w:lineRule="auto"/>
        <w:jc w:val="left"/>
        <w:rPr>
          <w:rFonts w:hint="eastAsia"/>
          <w:b/>
          <w:bCs/>
          <w:color w:val="auto"/>
        </w:rPr>
      </w:pPr>
      <w:r>
        <w:rPr>
          <w:rFonts w:hint="eastAsia"/>
          <w:b/>
          <w:bCs/>
          <w:color w:val="auto"/>
          <w:lang w:eastAsia="zh-CN"/>
        </w:rPr>
        <w:t>二</w:t>
      </w:r>
      <w:r>
        <w:rPr>
          <w:rFonts w:hint="eastAsia"/>
          <w:b/>
          <w:bCs/>
          <w:color w:val="auto"/>
        </w:rPr>
        <w:t>、服务基本要求</w:t>
      </w:r>
    </w:p>
    <w:p w14:paraId="3E4C5658">
      <w:pPr>
        <w:spacing w:line="360" w:lineRule="auto"/>
        <w:ind w:firstLine="440" w:firstLineChars="200"/>
        <w:jc w:val="left"/>
        <w:rPr>
          <w:rFonts w:hint="eastAsia"/>
          <w:color w:val="auto"/>
        </w:rPr>
      </w:pPr>
      <w:r>
        <w:rPr>
          <w:rFonts w:hint="eastAsia"/>
          <w:color w:val="auto"/>
        </w:rPr>
        <w:t>投标人应本着为患者提供优质服务的原则与采购人合作完成检测项目，其中采购人负责提出检测需求、采集标本(含前处理)及提供暂存设施和管理及为患者提供检验报告的解读和说明，从双方标本交接至发布检验报告的所有工作由中标人完成。</w:t>
      </w:r>
    </w:p>
    <w:p w14:paraId="3B69B7C7">
      <w:pPr>
        <w:spacing w:line="360" w:lineRule="auto"/>
        <w:jc w:val="left"/>
        <w:rPr>
          <w:rFonts w:hint="eastAsia"/>
          <w:color w:val="auto"/>
        </w:rPr>
      </w:pPr>
      <w:r>
        <w:rPr>
          <w:rFonts w:hint="eastAsia"/>
          <w:color w:val="auto"/>
        </w:rPr>
        <w:t>1、检测结果的准确性</w:t>
      </w:r>
      <w:r>
        <w:rPr>
          <w:rFonts w:hint="eastAsia"/>
          <w:color w:val="auto"/>
          <w:lang w:eastAsia="zh-CN"/>
        </w:rPr>
        <w:t>：</w:t>
      </w:r>
      <w:r>
        <w:rPr>
          <w:rFonts w:hint="eastAsia"/>
          <w:color w:val="auto"/>
        </w:rPr>
        <w:t>对结果明显有差异的，中标人应无条件免费复查。</w:t>
      </w:r>
    </w:p>
    <w:p w14:paraId="2850AD21">
      <w:pPr>
        <w:spacing w:line="360" w:lineRule="auto"/>
        <w:jc w:val="left"/>
        <w:rPr>
          <w:rFonts w:hint="eastAsia"/>
          <w:color w:val="auto"/>
        </w:rPr>
      </w:pPr>
      <w:r>
        <w:rPr>
          <w:rFonts w:hint="eastAsia"/>
          <w:color w:val="auto"/>
        </w:rPr>
        <w:t>2、中标人对检验结果负责，因检验结果问题引起的医疗纠纷，对患方的所有赔(补)偿费用完全由中标人支付，同时中标人应对采购人进行相应赔偿。</w:t>
      </w:r>
    </w:p>
    <w:p w14:paraId="3FB23DF3">
      <w:pPr>
        <w:spacing w:line="360" w:lineRule="auto"/>
        <w:jc w:val="left"/>
        <w:rPr>
          <w:rFonts w:hint="eastAsia"/>
          <w:color w:val="auto"/>
        </w:rPr>
      </w:pPr>
      <w:r>
        <w:rPr>
          <w:rFonts w:hint="eastAsia"/>
          <w:color w:val="auto"/>
        </w:rPr>
        <w:t>3、中标人标本的收集、运送、保存、室内质控、室间质控以及各项质量管理必须符合国家及省市相关规定，按照国家检验规范进行操作，并对标本的检验报告承担相应责任。</w:t>
      </w:r>
    </w:p>
    <w:p w14:paraId="00450AAE">
      <w:pPr>
        <w:spacing w:line="360" w:lineRule="auto"/>
        <w:jc w:val="left"/>
        <w:rPr>
          <w:rFonts w:hint="eastAsia" w:eastAsiaTheme="minorEastAsia"/>
          <w:color w:val="auto"/>
          <w:lang w:eastAsia="zh-CN"/>
        </w:rPr>
      </w:pPr>
      <w:r>
        <w:rPr>
          <w:rFonts w:hint="eastAsia"/>
          <w:color w:val="auto"/>
        </w:rPr>
        <w:t>4、不同的检测标本，需要不同的保存条件，投标单位必须拥有对标本保存条件的室温、冷藏、冷冻等各种运输能力</w:t>
      </w:r>
      <w:r>
        <w:rPr>
          <w:rFonts w:hint="eastAsia"/>
          <w:color w:val="auto"/>
          <w:lang w:eastAsia="zh-CN"/>
        </w:rPr>
        <w:t>，</w:t>
      </w:r>
      <w:r>
        <w:rPr>
          <w:rFonts w:hint="eastAsia"/>
          <w:b/>
          <w:bCs/>
          <w:color w:val="auto"/>
          <w:lang w:eastAsia="zh-CN"/>
        </w:rPr>
        <w:t>对于标本时效性有较高要求的，须在有效时间内完成运输和检测</w:t>
      </w:r>
      <w:r>
        <w:rPr>
          <w:rFonts w:hint="eastAsia"/>
          <w:color w:val="auto"/>
          <w:lang w:eastAsia="zh-CN"/>
        </w:rPr>
        <w:t>；</w:t>
      </w:r>
    </w:p>
    <w:p w14:paraId="73E0FA84">
      <w:pPr>
        <w:spacing w:line="360" w:lineRule="auto"/>
        <w:jc w:val="left"/>
        <w:rPr>
          <w:rFonts w:hint="eastAsia" w:eastAsiaTheme="minorEastAsia"/>
          <w:color w:val="auto"/>
          <w:lang w:eastAsia="zh-CN"/>
        </w:rPr>
      </w:pPr>
      <w:r>
        <w:rPr>
          <w:rFonts w:hint="eastAsia"/>
          <w:color w:val="auto"/>
        </w:rPr>
        <w:t>★</w:t>
      </w:r>
      <w:r>
        <w:rPr>
          <w:rFonts w:hint="eastAsia"/>
          <w:b/>
          <w:bCs/>
          <w:color w:val="auto"/>
        </w:rPr>
        <w:t>5、中标人应保障在规定的出具报告时限内出具检验结果报告，并保障检验结果的准确性(提供承诺函</w:t>
      </w:r>
      <w:r>
        <w:rPr>
          <w:rFonts w:hint="eastAsia"/>
          <w:b/>
          <w:bCs/>
          <w:color w:val="auto"/>
          <w:lang w:eastAsia="zh-CN"/>
        </w:rPr>
        <w:t>，</w:t>
      </w:r>
      <w:r>
        <w:rPr>
          <w:rFonts w:hint="eastAsia"/>
          <w:b/>
          <w:bCs/>
          <w:color w:val="auto"/>
          <w:lang w:val="en-US" w:eastAsia="zh-CN"/>
        </w:rPr>
        <w:t>未提供或提供内容不全视为无效响应</w:t>
      </w:r>
      <w:r>
        <w:rPr>
          <w:rFonts w:hint="eastAsia"/>
          <w:b/>
          <w:bCs/>
          <w:color w:val="auto"/>
        </w:rPr>
        <w:t>)</w:t>
      </w:r>
      <w:r>
        <w:rPr>
          <w:rFonts w:hint="eastAsia"/>
          <w:b/>
          <w:bCs/>
          <w:color w:val="auto"/>
          <w:lang w:eastAsia="zh-CN"/>
        </w:rPr>
        <w:t>；</w:t>
      </w:r>
    </w:p>
    <w:p w14:paraId="737AA375">
      <w:pPr>
        <w:numPr>
          <w:ilvl w:val="0"/>
          <w:numId w:val="2"/>
        </w:numPr>
        <w:spacing w:line="360" w:lineRule="auto"/>
        <w:jc w:val="left"/>
        <w:rPr>
          <w:rFonts w:hint="eastAsia"/>
          <w:color w:val="auto"/>
          <w:lang w:eastAsia="zh-CN"/>
        </w:rPr>
      </w:pPr>
      <w:r>
        <w:rPr>
          <w:rFonts w:hint="eastAsia"/>
          <w:color w:val="auto"/>
        </w:rPr>
        <w:t>标本运输过程中发生的生物安全责任事故由中标供应商承担</w:t>
      </w:r>
      <w:r>
        <w:rPr>
          <w:rFonts w:hint="eastAsia"/>
          <w:color w:val="auto"/>
          <w:lang w:eastAsia="zh-CN"/>
        </w:rPr>
        <w:t>；</w:t>
      </w:r>
    </w:p>
    <w:p w14:paraId="08731B6A">
      <w:pPr>
        <w:numPr>
          <w:ilvl w:val="0"/>
          <w:numId w:val="2"/>
        </w:numPr>
        <w:spacing w:line="360" w:lineRule="auto"/>
        <w:jc w:val="left"/>
        <w:rPr>
          <w:rFonts w:hint="eastAsia"/>
          <w:color w:val="auto"/>
        </w:rPr>
      </w:pPr>
      <w:r>
        <w:rPr>
          <w:rFonts w:hint="eastAsia"/>
          <w:color w:val="auto"/>
        </w:rPr>
        <w:t>标本检测结果应在采购人规定的时间内出具</w:t>
      </w:r>
      <w:r>
        <w:rPr>
          <w:rFonts w:hint="eastAsia"/>
          <w:color w:val="auto"/>
          <w:lang w:eastAsia="zh-CN"/>
        </w:rPr>
        <w:t>；</w:t>
      </w:r>
    </w:p>
    <w:p w14:paraId="5926D5B6">
      <w:pPr>
        <w:spacing w:line="360" w:lineRule="auto"/>
        <w:jc w:val="left"/>
        <w:rPr>
          <w:rFonts w:hint="eastAsia"/>
          <w:color w:val="auto"/>
        </w:rPr>
      </w:pPr>
      <w:r>
        <w:rPr>
          <w:rFonts w:hint="eastAsia"/>
          <w:color w:val="auto"/>
        </w:rPr>
        <w:t>8、投标人提供详细的检验外送组织实施方案，内容全面完整、科学合理、可操作性强、实验室人员配备合理、人员应取得相应的资质证书、内部管理制度完善，服务流程清晰、样本冷链运输合理、合同期内有能力应采购人要求协助科室建成ISO15189标准实验室。每周一至周日收取标本，结果报告时限满足采购人要求，常驻技术服务员2名以上为临床提供相关服务等</w:t>
      </w:r>
      <w:r>
        <w:rPr>
          <w:rFonts w:hint="eastAsia"/>
          <w:color w:val="auto"/>
          <w:lang w:eastAsia="zh-CN"/>
        </w:rPr>
        <w:t>；</w:t>
      </w:r>
      <w:r>
        <w:rPr>
          <w:rFonts w:hint="eastAsia"/>
          <w:color w:val="auto"/>
        </w:rPr>
        <w:t>合同期内有能力为招标单位提供培训学习服务。</w:t>
      </w:r>
    </w:p>
    <w:p w14:paraId="6742C293">
      <w:pPr>
        <w:spacing w:line="360" w:lineRule="auto"/>
        <w:ind w:firstLine="440" w:firstLineChars="200"/>
        <w:jc w:val="left"/>
        <w:rPr>
          <w:rFonts w:hint="eastAsia"/>
          <w:color w:val="auto"/>
        </w:rPr>
      </w:pPr>
      <w:r>
        <w:rPr>
          <w:rFonts w:hint="eastAsia"/>
          <w:color w:val="auto"/>
        </w:rPr>
        <w:t>投标人实验室具有完善的质量管理体系，每次检测都有严格的室内质控，每年参加卫生部的质量控制和室间质量评估工作,以控制诊断结果的质量,通过</w:t>
      </w:r>
      <w:r>
        <w:rPr>
          <w:rFonts w:hint="eastAsia"/>
          <w:color w:val="auto"/>
          <w:lang w:val="en-US" w:eastAsia="zh-CN"/>
        </w:rPr>
        <w:t>ISO</w:t>
      </w:r>
      <w:r>
        <w:rPr>
          <w:rFonts w:hint="eastAsia"/>
          <w:color w:val="auto"/>
        </w:rPr>
        <w:t>15189医学实验室质量认可，定期参与质量评审。因中标人实验室质量因素导致的医疗纠纷、事故等不良后果的，由此产生的赔偿责任由中标人承担。</w:t>
      </w:r>
    </w:p>
    <w:p w14:paraId="7E28D15E">
      <w:pPr>
        <w:spacing w:line="360" w:lineRule="auto"/>
        <w:ind w:firstLine="440" w:firstLineChars="200"/>
        <w:jc w:val="left"/>
        <w:rPr>
          <w:rFonts w:hint="eastAsia"/>
          <w:color w:val="auto"/>
        </w:rPr>
      </w:pPr>
      <w:r>
        <w:rPr>
          <w:rFonts w:hint="eastAsia"/>
          <w:color w:val="auto"/>
        </w:rPr>
        <w:t>中标人可派驻专人驻点处理委托检验标本，包括取材，前台收费，发报告，归玻片，归蜡块，实现病理标本不出院就可以完成检测。</w:t>
      </w:r>
    </w:p>
    <w:p w14:paraId="7A928A35">
      <w:pPr>
        <w:spacing w:line="360" w:lineRule="auto"/>
        <w:jc w:val="left"/>
        <w:rPr>
          <w:rFonts w:hint="eastAsia"/>
          <w:color w:val="auto"/>
        </w:rPr>
      </w:pPr>
      <w:r>
        <w:rPr>
          <w:rFonts w:hint="eastAsia"/>
          <w:color w:val="auto"/>
        </w:rPr>
        <w:t>9、物价有变化时根据文件相关政策双方协商后作相应调整:</w:t>
      </w:r>
    </w:p>
    <w:p w14:paraId="5B181159">
      <w:pPr>
        <w:spacing w:line="360" w:lineRule="auto"/>
        <w:jc w:val="left"/>
        <w:rPr>
          <w:rFonts w:hint="eastAsia"/>
          <w:color w:val="auto"/>
        </w:rPr>
      </w:pPr>
      <w:r>
        <w:rPr>
          <w:rFonts w:hint="eastAsia"/>
          <w:color w:val="auto"/>
        </w:rPr>
        <w:t>10、采购人可根据业务情况及自身需求终止或暂停部分项目检测服务，采购人应书面通知</w:t>
      </w:r>
      <w:r>
        <w:rPr>
          <w:rFonts w:hint="eastAsia"/>
          <w:color w:val="auto"/>
          <w:lang w:eastAsia="zh-CN"/>
        </w:rPr>
        <w:t>中</w:t>
      </w:r>
      <w:r>
        <w:rPr>
          <w:rFonts w:hint="eastAsia"/>
          <w:color w:val="auto"/>
        </w:rPr>
        <w:t>标人终止该项目标本的收取，中标人应无条件响应。</w:t>
      </w:r>
    </w:p>
    <w:p w14:paraId="3D85E82D">
      <w:pPr>
        <w:spacing w:line="360" w:lineRule="auto"/>
        <w:jc w:val="left"/>
        <w:rPr>
          <w:rFonts w:hint="eastAsia"/>
          <w:color w:val="auto"/>
        </w:rPr>
      </w:pPr>
      <w:r>
        <w:rPr>
          <w:rFonts w:hint="eastAsia"/>
          <w:color w:val="auto"/>
        </w:rPr>
        <w:t>11、能够实施与采购人LIS、HIS信息系统对接。</w:t>
      </w:r>
    </w:p>
    <w:p w14:paraId="1DEE587D">
      <w:pPr>
        <w:spacing w:line="360" w:lineRule="auto"/>
        <w:jc w:val="left"/>
        <w:rPr>
          <w:rFonts w:hint="eastAsia"/>
          <w:color w:val="auto"/>
        </w:rPr>
      </w:pPr>
      <w:r>
        <w:rPr>
          <w:rFonts w:hint="eastAsia"/>
          <w:color w:val="auto"/>
        </w:rPr>
        <w:t>12、服务人员要求:实验室检测技术人员应当具备相关专业的大专以上学历或具有中级及以上专业技术职务任职资格，并有2年以上的实验室工作经历和检验相关培训合格证书。实验室配备的工作人员应当与所开展检测项目及标本量相适宜，以保证及时、熟练地进行实验和报告结果，保证结果的准确性、及时性。</w:t>
      </w:r>
    </w:p>
    <w:p w14:paraId="1E68A0FC">
      <w:pPr>
        <w:spacing w:line="360" w:lineRule="auto"/>
        <w:jc w:val="left"/>
        <w:rPr>
          <w:rFonts w:hint="eastAsia"/>
          <w:b/>
          <w:bCs/>
          <w:color w:val="auto"/>
        </w:rPr>
      </w:pPr>
      <w:r>
        <w:rPr>
          <w:rFonts w:hint="eastAsia"/>
          <w:b/>
          <w:bCs/>
          <w:color w:val="auto"/>
          <w:lang w:eastAsia="zh-CN"/>
        </w:rPr>
        <w:t>三</w:t>
      </w:r>
      <w:r>
        <w:rPr>
          <w:rFonts w:hint="eastAsia"/>
          <w:b/>
          <w:bCs/>
          <w:color w:val="auto"/>
        </w:rPr>
        <w:t>、服务具体要求</w:t>
      </w:r>
    </w:p>
    <w:p w14:paraId="4D802CF2">
      <w:pPr>
        <w:spacing w:line="360" w:lineRule="auto"/>
        <w:jc w:val="left"/>
        <w:rPr>
          <w:rFonts w:hint="eastAsia"/>
          <w:color w:val="auto"/>
        </w:rPr>
      </w:pPr>
      <w:r>
        <w:rPr>
          <w:rFonts w:hint="eastAsia"/>
          <w:color w:val="auto"/>
        </w:rPr>
        <w:t>1、标本接收、送检及检验</w:t>
      </w:r>
    </w:p>
    <w:p w14:paraId="241630FB">
      <w:pPr>
        <w:spacing w:line="360" w:lineRule="auto"/>
        <w:jc w:val="left"/>
        <w:rPr>
          <w:rFonts w:hint="eastAsia"/>
          <w:color w:val="auto"/>
        </w:rPr>
      </w:pPr>
      <w:r>
        <w:rPr>
          <w:rFonts w:hint="eastAsia"/>
          <w:color w:val="auto"/>
        </w:rPr>
        <w:t>(1)投标人必须具备完善冷链物流系统和信息服务体系，保证接收、送检标本运输过程的安全，保证标本的质量。</w:t>
      </w:r>
    </w:p>
    <w:p w14:paraId="0A4A37F1">
      <w:pPr>
        <w:spacing w:line="360" w:lineRule="auto"/>
        <w:jc w:val="left"/>
        <w:rPr>
          <w:rFonts w:hint="eastAsia"/>
          <w:color w:val="auto"/>
        </w:rPr>
      </w:pPr>
      <w:r>
        <w:rPr>
          <w:rFonts w:hint="eastAsia"/>
          <w:color w:val="auto"/>
        </w:rPr>
        <w:t>(2)冰箱或保温箱必须有相应的温度记录表，每周至少一次的清洁消毒，保证标本的质量</w:t>
      </w:r>
      <w:r>
        <w:rPr>
          <w:rFonts w:hint="eastAsia"/>
          <w:color w:val="auto"/>
          <w:lang w:eastAsia="zh-CN"/>
        </w:rPr>
        <w:t>：</w:t>
      </w:r>
      <w:r>
        <w:rPr>
          <w:rFonts w:hint="eastAsia"/>
          <w:color w:val="auto"/>
        </w:rPr>
        <w:t>专线运送。</w:t>
      </w:r>
    </w:p>
    <w:p w14:paraId="692915B2">
      <w:pPr>
        <w:spacing w:line="360" w:lineRule="auto"/>
        <w:jc w:val="left"/>
        <w:rPr>
          <w:rFonts w:hint="eastAsia"/>
          <w:color w:val="auto"/>
        </w:rPr>
      </w:pPr>
      <w:r>
        <w:rPr>
          <w:rFonts w:hint="eastAsia"/>
          <w:color w:val="auto"/>
        </w:rPr>
        <w:t>(3)投标人提供每天的上门接收标本的服务，时间为8:30至17:30。遇特殊标本可机动收取，逢节假日可以适当减少收集次数，必须将收集时间以书面文件方式送给采购人。</w:t>
      </w:r>
    </w:p>
    <w:p w14:paraId="39BECF0A">
      <w:pPr>
        <w:spacing w:line="360" w:lineRule="auto"/>
        <w:jc w:val="left"/>
        <w:rPr>
          <w:rFonts w:hint="eastAsia"/>
          <w:color w:val="auto"/>
        </w:rPr>
      </w:pPr>
      <w:r>
        <w:rPr>
          <w:rFonts w:hint="eastAsia"/>
          <w:color w:val="auto"/>
        </w:rPr>
        <w:t>(4)投标人具有规范标本接收、登记和包装流程,保证标本质量和安全，确保标本顺利交接，方便查核。</w:t>
      </w:r>
    </w:p>
    <w:p w14:paraId="5A69C6BF">
      <w:pPr>
        <w:spacing w:line="360" w:lineRule="auto"/>
        <w:jc w:val="left"/>
        <w:rPr>
          <w:rFonts w:hint="eastAsia"/>
          <w:color w:val="auto"/>
        </w:rPr>
      </w:pPr>
      <w:r>
        <w:rPr>
          <w:rFonts w:hint="eastAsia"/>
          <w:color w:val="auto"/>
        </w:rPr>
        <w:t>(5)投标人标本接收人员负责标本质量的初检、标识的核对，标本的接收登记及包装储存。</w:t>
      </w:r>
    </w:p>
    <w:p w14:paraId="58797672">
      <w:pPr>
        <w:spacing w:line="360" w:lineRule="auto"/>
        <w:jc w:val="left"/>
        <w:rPr>
          <w:rFonts w:hint="eastAsia"/>
          <w:color w:val="auto"/>
        </w:rPr>
      </w:pPr>
      <w:r>
        <w:rPr>
          <w:rFonts w:hint="eastAsia"/>
          <w:color w:val="auto"/>
        </w:rPr>
        <w:t>(6)投标人必须确保及时接收、送检标本和及时检验。标本不符合检验要求时，应及时通知采购人重新取样。</w:t>
      </w:r>
    </w:p>
    <w:p w14:paraId="21FD4B23">
      <w:pPr>
        <w:numPr>
          <w:ilvl w:val="0"/>
          <w:numId w:val="3"/>
        </w:numPr>
        <w:spacing w:line="360" w:lineRule="auto"/>
        <w:jc w:val="left"/>
        <w:rPr>
          <w:rFonts w:hint="eastAsia"/>
          <w:color w:val="auto"/>
        </w:rPr>
      </w:pPr>
      <w:r>
        <w:rPr>
          <w:rFonts w:hint="eastAsia"/>
          <w:color w:val="auto"/>
        </w:rPr>
        <w:t>检验报告单必须由具备相应资质的检验人员签发,上级检验师或医师复核。出现因检验结果错误导致采购人医疗纠纷等不良后果，责任由中标人承担。</w:t>
      </w:r>
    </w:p>
    <w:p w14:paraId="1C90DAA3">
      <w:pPr>
        <w:numPr>
          <w:ilvl w:val="0"/>
          <w:numId w:val="0"/>
        </w:numPr>
        <w:spacing w:line="360" w:lineRule="auto"/>
        <w:jc w:val="left"/>
        <w:rPr>
          <w:rFonts w:hint="eastAsia"/>
          <w:color w:val="auto"/>
        </w:rPr>
      </w:pPr>
      <w:r>
        <w:rPr>
          <w:rFonts w:hint="eastAsia"/>
          <w:color w:val="auto"/>
        </w:rPr>
        <w:t>2、结果查询</w:t>
      </w:r>
    </w:p>
    <w:p w14:paraId="0D42F3BB">
      <w:pPr>
        <w:spacing w:line="360" w:lineRule="auto"/>
        <w:jc w:val="left"/>
        <w:rPr>
          <w:rFonts w:hint="eastAsia"/>
          <w:color w:val="auto"/>
        </w:rPr>
      </w:pPr>
      <w:r>
        <w:rPr>
          <w:rFonts w:hint="eastAsia"/>
          <w:color w:val="auto"/>
        </w:rPr>
        <w:t>(1)能保证检验结果实时网络传送，实现实验室数据的汇总、储存、传输功能。</w:t>
      </w:r>
    </w:p>
    <w:p w14:paraId="62074DA3">
      <w:pPr>
        <w:spacing w:line="360" w:lineRule="auto"/>
        <w:jc w:val="left"/>
        <w:rPr>
          <w:rFonts w:hint="eastAsia"/>
          <w:color w:val="auto"/>
        </w:rPr>
      </w:pPr>
      <w:r>
        <w:rPr>
          <w:rFonts w:hint="eastAsia"/>
          <w:color w:val="auto"/>
        </w:rPr>
        <w:t>(2)提供网上查询服务，以供随时查询进度和结果。提供电话查询服务，危急值专人电话跟</w:t>
      </w:r>
    </w:p>
    <w:p w14:paraId="40D5264E">
      <w:pPr>
        <w:spacing w:line="360" w:lineRule="auto"/>
        <w:jc w:val="left"/>
        <w:rPr>
          <w:rFonts w:hint="eastAsia"/>
          <w:color w:val="auto"/>
        </w:rPr>
      </w:pPr>
      <w:r>
        <w:rPr>
          <w:rFonts w:hint="eastAsia"/>
          <w:color w:val="auto"/>
        </w:rPr>
        <w:t>进，确保患者检测信息与临床医生的畅通。</w:t>
      </w:r>
    </w:p>
    <w:p w14:paraId="7114D4B0">
      <w:pPr>
        <w:spacing w:line="360" w:lineRule="auto"/>
        <w:jc w:val="left"/>
        <w:rPr>
          <w:rFonts w:hint="eastAsia"/>
          <w:color w:val="auto"/>
        </w:rPr>
      </w:pPr>
      <w:r>
        <w:rPr>
          <w:rFonts w:hint="eastAsia"/>
          <w:color w:val="auto"/>
        </w:rPr>
        <w:t>(3)可追溯性:医院医务人员可以随时调阅检测结果,投标人须保证病人的资料的准确性和检验结果的及时性，并提供系统使用的必要培训与技术支持。</w:t>
      </w:r>
    </w:p>
    <w:p w14:paraId="703A7BD2">
      <w:pPr>
        <w:spacing w:line="360" w:lineRule="auto"/>
        <w:jc w:val="left"/>
        <w:rPr>
          <w:rFonts w:hint="eastAsia"/>
          <w:color w:val="auto"/>
        </w:rPr>
      </w:pPr>
      <w:r>
        <w:rPr>
          <w:rFonts w:hint="eastAsia"/>
          <w:color w:val="auto"/>
        </w:rPr>
        <w:t>(4)报告时间:按照检测项目常规报告时间提供检测结果，并能满足招标方急诊项目的优先检测需要。</w:t>
      </w:r>
    </w:p>
    <w:p w14:paraId="530ABE7C">
      <w:pPr>
        <w:numPr>
          <w:ilvl w:val="0"/>
          <w:numId w:val="4"/>
        </w:numPr>
        <w:spacing w:line="360" w:lineRule="auto"/>
        <w:jc w:val="left"/>
        <w:rPr>
          <w:rFonts w:hint="eastAsia"/>
          <w:color w:val="auto"/>
        </w:rPr>
      </w:pPr>
      <w:r>
        <w:rPr>
          <w:rFonts w:hint="eastAsia"/>
          <w:color w:val="auto"/>
        </w:rPr>
        <w:t>售后服务</w:t>
      </w:r>
    </w:p>
    <w:p w14:paraId="6EE74318">
      <w:pPr>
        <w:numPr>
          <w:ilvl w:val="0"/>
          <w:numId w:val="0"/>
        </w:numPr>
        <w:spacing w:line="360" w:lineRule="auto"/>
        <w:ind w:firstLine="440" w:firstLineChars="200"/>
        <w:jc w:val="left"/>
        <w:rPr>
          <w:rFonts w:hint="eastAsia"/>
          <w:color w:val="auto"/>
        </w:rPr>
      </w:pPr>
      <w:r>
        <w:rPr>
          <w:rFonts w:hint="eastAsia"/>
          <w:color w:val="auto"/>
        </w:rPr>
        <w:t>投标人需提供免费服务电话、网络查询、微信查询等多种渠道供采购人相关临床部门进行业务咨询、报告查询、账单查询统计功能。制定完善制定和流程保障上门服务，并派驻具有医学检验背景的专业人员提供上门售后服务。</w:t>
      </w:r>
    </w:p>
    <w:p w14:paraId="24410D12">
      <w:pPr>
        <w:numPr>
          <w:ilvl w:val="0"/>
          <w:numId w:val="0"/>
        </w:numPr>
        <w:spacing w:line="360" w:lineRule="auto"/>
        <w:jc w:val="left"/>
        <w:rPr>
          <w:rFonts w:hint="eastAsia"/>
          <w:color w:val="auto"/>
        </w:rPr>
      </w:pPr>
      <w:r>
        <w:rPr>
          <w:rFonts w:hint="eastAsia"/>
          <w:color w:val="auto"/>
        </w:rPr>
        <w:t>4、应急服务</w:t>
      </w:r>
    </w:p>
    <w:p w14:paraId="0D95618D">
      <w:pPr>
        <w:numPr>
          <w:ilvl w:val="0"/>
          <w:numId w:val="0"/>
        </w:numPr>
        <w:spacing w:line="360" w:lineRule="auto"/>
        <w:ind w:firstLine="440" w:firstLineChars="200"/>
        <w:jc w:val="left"/>
        <w:rPr>
          <w:rFonts w:hint="eastAsia"/>
          <w:color w:val="auto"/>
        </w:rPr>
      </w:pPr>
      <w:r>
        <w:rPr>
          <w:rFonts w:hint="eastAsia"/>
          <w:color w:val="auto"/>
        </w:rPr>
        <w:t>投标人应有完整的应急预案，对于采购人的突发状况应有快速反应机制，在接到采购人需求的2小时内到达医院及时沟通处理。</w:t>
      </w:r>
    </w:p>
    <w:p w14:paraId="0F686127">
      <w:pPr>
        <w:numPr>
          <w:ilvl w:val="0"/>
          <w:numId w:val="0"/>
        </w:numPr>
        <w:spacing w:line="360" w:lineRule="auto"/>
        <w:jc w:val="left"/>
        <w:rPr>
          <w:rFonts w:hint="eastAsia"/>
          <w:color w:val="auto"/>
        </w:rPr>
      </w:pPr>
      <w:r>
        <w:rPr>
          <w:rFonts w:hint="eastAsia"/>
          <w:color w:val="auto"/>
        </w:rPr>
        <w:t>5、实验室规章制度</w:t>
      </w:r>
    </w:p>
    <w:p w14:paraId="57572B20">
      <w:pPr>
        <w:numPr>
          <w:ilvl w:val="0"/>
          <w:numId w:val="0"/>
        </w:numPr>
        <w:spacing w:line="360" w:lineRule="auto"/>
        <w:ind w:firstLine="440" w:firstLineChars="200"/>
        <w:jc w:val="left"/>
        <w:rPr>
          <w:rFonts w:hint="eastAsia"/>
          <w:color w:val="auto"/>
        </w:rPr>
      </w:pPr>
      <w:r>
        <w:rPr>
          <w:rFonts w:hint="eastAsia"/>
          <w:color w:val="auto"/>
        </w:rPr>
        <w:t>投标人需要建立医学检验实验室质量管理体系，制定各项规章制度、人员岗位职责，实施由</w:t>
      </w:r>
      <w:r>
        <w:rPr>
          <w:rFonts w:hint="eastAsia"/>
          <w:color w:val="auto"/>
          <w:lang w:eastAsia="zh-CN"/>
        </w:rPr>
        <w:t>国</w:t>
      </w:r>
      <w:r>
        <w:rPr>
          <w:rFonts w:hint="eastAsia"/>
          <w:color w:val="auto"/>
        </w:rPr>
        <w:t>家制定或认可的诊疗技术规范和操作规程。规章制度至少包括设施与设备管理制度、试剂管理制度、标本管理制度、分析前、中、后三个阶段的质量管理制度、患者(标本)登记和医疗文档管理制度、消防安全管理制度、信息管理制度与患者隐私保护制度、生物安全管理制度、危化品使用管理制度，并制定各检验项目的质量控制指标及标准操作程序。</w:t>
      </w:r>
    </w:p>
    <w:p w14:paraId="267955CA">
      <w:pPr>
        <w:jc w:val="center"/>
        <w:rPr>
          <w:rFonts w:hint="eastAsia"/>
          <w:color w:val="auto"/>
        </w:rPr>
      </w:pPr>
    </w:p>
    <w:p w14:paraId="4AD14361">
      <w:pPr>
        <w:jc w:val="center"/>
        <w:rPr>
          <w:rFonts w:hint="eastAsia"/>
          <w:color w:val="auto"/>
        </w:rPr>
      </w:pPr>
    </w:p>
    <w:p w14:paraId="34246116">
      <w:pPr>
        <w:jc w:val="center"/>
        <w:rPr>
          <w:rFonts w:hint="eastAsia"/>
          <w:color w:val="auto"/>
        </w:rPr>
      </w:pPr>
    </w:p>
    <w:p w14:paraId="65D46A69">
      <w:pPr>
        <w:rPr>
          <w:rFonts w:hint="eastAsia"/>
          <w:b/>
          <w:bCs/>
          <w:color w:val="auto"/>
          <w:sz w:val="24"/>
          <w:szCs w:val="24"/>
        </w:rPr>
      </w:pPr>
      <w:r>
        <w:rPr>
          <w:rFonts w:hint="eastAsia"/>
          <w:b/>
          <w:bCs/>
          <w:color w:val="auto"/>
          <w:sz w:val="24"/>
          <w:szCs w:val="24"/>
        </w:rPr>
        <w:br w:type="page"/>
      </w:r>
    </w:p>
    <w:p w14:paraId="76F8D9FC">
      <w:pPr>
        <w:jc w:val="center"/>
        <w:rPr>
          <w:rFonts w:hint="eastAsia"/>
          <w:b/>
          <w:bCs/>
          <w:color w:val="auto"/>
          <w:sz w:val="24"/>
          <w:szCs w:val="24"/>
        </w:rPr>
      </w:pPr>
      <w:r>
        <w:rPr>
          <w:rFonts w:hint="eastAsia"/>
          <w:b/>
          <w:bCs/>
          <w:color w:val="auto"/>
          <w:sz w:val="24"/>
          <w:szCs w:val="24"/>
        </w:rPr>
        <w:t>第三节、商务要求</w:t>
      </w:r>
    </w:p>
    <w:p w14:paraId="6766822B">
      <w:pPr>
        <w:spacing w:line="360" w:lineRule="auto"/>
        <w:rPr>
          <w:rFonts w:hint="eastAsia"/>
          <w:b/>
          <w:bCs/>
          <w:color w:val="auto"/>
        </w:rPr>
      </w:pPr>
      <w:r>
        <w:rPr>
          <w:rFonts w:hint="eastAsia"/>
          <w:b/>
          <w:bCs/>
          <w:color w:val="auto"/>
        </w:rPr>
        <w:t>一、服务期限</w:t>
      </w:r>
    </w:p>
    <w:p w14:paraId="674F5916">
      <w:pPr>
        <w:spacing w:line="360" w:lineRule="auto"/>
        <w:ind w:firstLine="440" w:firstLineChars="200"/>
        <w:rPr>
          <w:rFonts w:hint="eastAsia"/>
          <w:color w:val="auto"/>
        </w:rPr>
      </w:pPr>
      <w:r>
        <w:rPr>
          <w:rFonts w:hint="eastAsia"/>
          <w:color w:val="auto"/>
        </w:rPr>
        <w:t>1年，自合同签订之日起。</w:t>
      </w:r>
    </w:p>
    <w:p w14:paraId="25347D97">
      <w:pPr>
        <w:spacing w:line="360" w:lineRule="auto"/>
        <w:rPr>
          <w:rFonts w:hint="eastAsia"/>
          <w:b/>
          <w:bCs/>
          <w:color w:val="auto"/>
        </w:rPr>
      </w:pPr>
      <w:r>
        <w:rPr>
          <w:rFonts w:hint="eastAsia"/>
          <w:b/>
          <w:bCs/>
          <w:color w:val="auto"/>
        </w:rPr>
        <w:t>二、合同价格形式</w:t>
      </w:r>
    </w:p>
    <w:p w14:paraId="7D1BA7AF">
      <w:pPr>
        <w:spacing w:line="360" w:lineRule="auto"/>
        <w:ind w:firstLine="440" w:firstLineChars="200"/>
        <w:rPr>
          <w:rFonts w:hint="eastAsia"/>
          <w:color w:val="auto"/>
        </w:rPr>
      </w:pPr>
      <w:r>
        <w:rPr>
          <w:rFonts w:hint="eastAsia"/>
          <w:color w:val="auto"/>
        </w:rPr>
        <w:t>采用综合单价费用包干方式。供应商应根据项目要求和现场情况，在进行投标报价</w:t>
      </w:r>
      <w:r>
        <w:rPr>
          <w:rFonts w:hint="eastAsia"/>
          <w:color w:val="auto"/>
          <w:lang w:eastAsia="zh-CN"/>
        </w:rPr>
        <w:t>（</w:t>
      </w:r>
      <w:r>
        <w:rPr>
          <w:rFonts w:hint="eastAsia"/>
          <w:color w:val="auto"/>
        </w:rPr>
        <w:t>统一折扣</w:t>
      </w:r>
      <w:r>
        <w:rPr>
          <w:rFonts w:hint="eastAsia"/>
          <w:color w:val="auto"/>
          <w:lang w:eastAsia="zh-CN"/>
        </w:rPr>
        <w:t>）</w:t>
      </w:r>
      <w:r>
        <w:rPr>
          <w:rFonts w:hint="eastAsia"/>
          <w:color w:val="auto"/>
        </w:rPr>
        <w:t>时，应当考虑包括但不限于</w:t>
      </w:r>
      <w:r>
        <w:rPr>
          <w:rFonts w:hint="eastAsia"/>
          <w:color w:val="auto"/>
          <w:lang w:eastAsia="zh-CN"/>
        </w:rPr>
        <w:t>：</w:t>
      </w:r>
      <w:r>
        <w:rPr>
          <w:rFonts w:hint="eastAsia"/>
          <w:color w:val="auto"/>
        </w:rPr>
        <w:t>完成本次招标所有服务内容的费用，包括人工费、检验费、材料费、设备使用费、各种税务费、必须的辅助材料费及合同实施过程中不可预见费用等全部费用。如一旦中标，在项目实施中出现任何遗漏，均由中标人免费提供，采购人不再支付任何费用。</w:t>
      </w:r>
    </w:p>
    <w:p w14:paraId="4F8642AA">
      <w:pPr>
        <w:spacing w:line="360" w:lineRule="auto"/>
        <w:ind w:firstLine="442" w:firstLineChars="200"/>
        <w:rPr>
          <w:rFonts w:hint="eastAsia"/>
          <w:b/>
          <w:bCs/>
          <w:color w:val="auto"/>
        </w:rPr>
      </w:pPr>
      <w:r>
        <w:rPr>
          <w:rFonts w:hint="eastAsia"/>
          <w:b/>
          <w:bCs/>
          <w:color w:val="auto"/>
        </w:rPr>
        <w:t>根据邵阳市</w:t>
      </w:r>
      <w:r>
        <w:rPr>
          <w:rFonts w:hint="eastAsia"/>
          <w:b/>
          <w:bCs/>
          <w:color w:val="auto"/>
          <w:lang w:eastAsia="zh-CN"/>
        </w:rPr>
        <w:t>物价局最新物价收费</w:t>
      </w:r>
      <w:r>
        <w:rPr>
          <w:rFonts w:hint="eastAsia"/>
          <w:b/>
          <w:bCs/>
          <w:color w:val="auto"/>
        </w:rPr>
        <w:t>标准执行收费，按照“现行收费价格*实际检测量*本次的折扣”进行结算。由于政策原因调整收费价格，则做相应调整，折扣不变。</w:t>
      </w:r>
    </w:p>
    <w:p w14:paraId="70EB4E9D">
      <w:pPr>
        <w:spacing w:line="360" w:lineRule="auto"/>
        <w:rPr>
          <w:rFonts w:hint="eastAsia"/>
          <w:b/>
          <w:bCs/>
          <w:color w:val="auto"/>
        </w:rPr>
      </w:pPr>
      <w:r>
        <w:rPr>
          <w:rFonts w:hint="eastAsia"/>
          <w:b/>
          <w:bCs/>
          <w:color w:val="auto"/>
        </w:rPr>
        <w:t>三、付款方式</w:t>
      </w:r>
    </w:p>
    <w:p w14:paraId="69534CEA">
      <w:pPr>
        <w:spacing w:line="360" w:lineRule="auto"/>
        <w:ind w:firstLine="440" w:firstLineChars="200"/>
        <w:rPr>
          <w:rFonts w:hint="eastAsia"/>
          <w:color w:val="auto"/>
        </w:rPr>
      </w:pPr>
      <w:r>
        <w:rPr>
          <w:rFonts w:hint="eastAsia"/>
          <w:color w:val="auto"/>
        </w:rPr>
        <w:t>1、付款人:邵阳学院附属第二医院</w:t>
      </w:r>
    </w:p>
    <w:p w14:paraId="064417B6">
      <w:pPr>
        <w:spacing w:line="360" w:lineRule="auto"/>
        <w:ind w:firstLine="440" w:firstLineChars="200"/>
        <w:rPr>
          <w:rFonts w:hint="eastAsia"/>
          <w:color w:val="auto"/>
        </w:rPr>
      </w:pPr>
      <w:r>
        <w:rPr>
          <w:rFonts w:hint="eastAsia"/>
          <w:color w:val="auto"/>
        </w:rPr>
        <w:t>2、付款方式:双方约定每月结算壹次，中标人对标本进行检测后，每月凭检测的统计表开具相应的正式发票与采购人核对送检数量，向中标人结算。采购人收到中标人提供等额有效正规发票后三个自然月内支付该月全部费用。</w:t>
      </w:r>
    </w:p>
    <w:p w14:paraId="37602F0D">
      <w:pPr>
        <w:spacing w:line="360" w:lineRule="auto"/>
        <w:rPr>
          <w:rFonts w:hint="eastAsia"/>
          <w:b/>
          <w:bCs/>
          <w:color w:val="auto"/>
        </w:rPr>
      </w:pPr>
      <w:r>
        <w:rPr>
          <w:rFonts w:hint="eastAsia"/>
          <w:b/>
          <w:bCs/>
          <w:color w:val="auto"/>
        </w:rPr>
        <w:t>四、服务协定</w:t>
      </w:r>
    </w:p>
    <w:p w14:paraId="346EB66F">
      <w:pPr>
        <w:spacing w:line="360" w:lineRule="auto"/>
        <w:ind w:firstLine="440" w:firstLineChars="200"/>
        <w:rPr>
          <w:rFonts w:hint="eastAsia"/>
          <w:color w:val="auto"/>
        </w:rPr>
      </w:pPr>
      <w:r>
        <w:rPr>
          <w:rFonts w:hint="eastAsia"/>
          <w:color w:val="auto"/>
        </w:rPr>
        <w:t>采购人做好标本采集工作，中标人提供标本收集、运送、检验、出具报告等工作。合同约定期间采购人将对中标人响应文件中约定的工作要求进行实时监督，如有违规情况将解除合同，并由中标人承担相应责任。</w:t>
      </w:r>
    </w:p>
    <w:p w14:paraId="58B6C525">
      <w:pPr>
        <w:spacing w:line="360" w:lineRule="auto"/>
        <w:rPr>
          <w:rFonts w:hint="eastAsia"/>
          <w:b/>
          <w:bCs/>
          <w:color w:val="auto"/>
        </w:rPr>
      </w:pPr>
    </w:p>
    <w:p w14:paraId="0018E322">
      <w:pPr>
        <w:spacing w:line="360" w:lineRule="auto"/>
        <w:rPr>
          <w:b/>
          <w:bCs/>
          <w:color w:val="auto"/>
        </w:rPr>
      </w:pPr>
      <w:r>
        <w:rPr>
          <w:rFonts w:hint="eastAsia"/>
          <w:b/>
          <w:bCs/>
          <w:color w:val="auto"/>
        </w:rPr>
        <w:t>说明</w:t>
      </w:r>
      <w:r>
        <w:rPr>
          <w:rFonts w:hint="eastAsia"/>
          <w:b/>
          <w:bCs/>
          <w:color w:val="auto"/>
          <w:lang w:eastAsia="zh-CN"/>
        </w:rPr>
        <w:t>：</w:t>
      </w:r>
      <w:r>
        <w:rPr>
          <w:rFonts w:hint="eastAsia"/>
          <w:b/>
          <w:bCs/>
          <w:color w:val="auto"/>
        </w:rPr>
        <w:t>对于上述项目的技术及商务要求，投标人应在投标文件中进行全面回应，作出承诺及说明。</w:t>
      </w:r>
    </w:p>
    <w:p w14:paraId="60BB2BC4">
      <w:pPr>
        <w:pStyle w:val="10"/>
        <w:keepNext w:val="0"/>
        <w:keepLines w:val="0"/>
        <w:pageBreakBefore w:val="0"/>
        <w:widowControl w:val="0"/>
        <w:numPr>
          <w:ilvl w:val="0"/>
          <w:numId w:val="0"/>
        </w:numPr>
        <w:tabs>
          <w:tab w:val="left" w:pos="1246"/>
        </w:tabs>
        <w:kinsoku/>
        <w:overflowPunct/>
        <w:topLinePunct w:val="0"/>
        <w:bidi w:val="0"/>
        <w:spacing w:before="0" w:after="0" w:line="360" w:lineRule="auto"/>
        <w:ind w:right="0" w:rightChars="0" w:firstLine="420" w:firstLineChars="200"/>
        <w:jc w:val="left"/>
        <w:textAlignment w:val="auto"/>
        <w:rPr>
          <w:rFonts w:hint="default" w:cs="宋体"/>
          <w:b w:val="0"/>
          <w:bCs/>
          <w:color w:val="auto"/>
          <w:spacing w:val="0"/>
          <w:position w:val="0"/>
          <w:sz w:val="21"/>
          <w:szCs w:val="21"/>
          <w:highlight w:val="none"/>
          <w:lang w:val="en-US" w:eastAsia="zh-CN"/>
        </w:rPr>
      </w:pPr>
    </w:p>
    <w:p w14:paraId="36DE217A">
      <w:bookmarkStart w:id="4" w:name="_GoBack"/>
      <w:bookmarkEnd w:id="4"/>
    </w:p>
    <w:sectPr>
      <w:headerReference r:id="rId5" w:type="default"/>
      <w:footerReference r:id="rId6" w:type="default"/>
      <w:pgSz w:w="11910" w:h="16840"/>
      <w:pgMar w:top="1460" w:right="1417" w:bottom="1300" w:left="1417" w:header="0" w:footer="1101"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D4DF6">
    <w:pPr>
      <w:pStyle w:val="2"/>
      <w:spacing w:line="14" w:lineRule="auto"/>
      <w:rPr>
        <w:sz w:val="20"/>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5DA00A">
                          <w:pPr>
                            <w:pStyle w:val="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B5DA00A">
                    <w:pPr>
                      <w:pStyle w:val="3"/>
                    </w:pPr>
                    <w:r>
                      <w:fldChar w:fldCharType="begin"/>
                    </w:r>
                    <w:r>
                      <w:instrText xml:space="preserve"> PAGE  \* MERGEFORMAT </w:instrText>
                    </w:r>
                    <w:r>
                      <w:fldChar w:fldCharType="separate"/>
                    </w:r>
                    <w:r>
                      <w:t>51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005" cy="153670"/>
              <wp:effectExtent l="0" t="0" r="0" b="0"/>
              <wp:wrapNone/>
              <wp:docPr id="13" name="文本框 6"/>
              <wp:cNvGraphicFramePr/>
              <a:graphic xmlns:a="http://schemas.openxmlformats.org/drawingml/2006/main">
                <a:graphicData uri="http://schemas.microsoft.com/office/word/2010/wordprocessingShape">
                  <wps:wsp>
                    <wps:cNvSpPr txBox="1"/>
                    <wps:spPr>
                      <a:xfrm>
                        <a:off x="0" y="0"/>
                        <a:ext cx="167005" cy="153670"/>
                      </a:xfrm>
                      <a:prstGeom prst="rect">
                        <a:avLst/>
                      </a:prstGeom>
                      <a:noFill/>
                      <a:ln>
                        <a:noFill/>
                      </a:ln>
                    </wps:spPr>
                    <wps:txbx>
                      <w:txbxContent>
                        <w:p w14:paraId="0A009A40">
                          <w:pPr>
                            <w:pStyle w:val="2"/>
                            <w:rPr>
                              <w:rFonts w:hint="default"/>
                              <w:lang w:val="en-US" w:eastAsia="zh-CN"/>
                            </w:rPr>
                          </w:pPr>
                        </w:p>
                      </w:txbxContent>
                    </wps:txbx>
                    <wps:bodyPr lIns="0" tIns="0" rIns="0" bIns="0" upright="1"/>
                  </wps:wsp>
                </a:graphicData>
              </a:graphic>
            </wp:anchor>
          </w:drawing>
        </mc:Choice>
        <mc:Fallback>
          <w:pict>
            <v:shape id="文本框 6" o:spid="_x0000_s1026" o:spt="202" type="#_x0000_t202" style="position:absolute;left:0pt;margin-top:0pt;height:12.1pt;width:13.15pt;mso-position-horizontal:center;mso-position-horizontal-relative:margin;z-index:251659264;mso-width-relative:page;mso-height-relative:page;" filled="f" stroked="f" coordsize="21600,21600" o:gfxdata="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C&#10;UqiY0wAAAAMBAAAPAAAAAAAAAAEAIAAAACIAAABkcnMvZG93bnJldi54bWxQSwECFAAUAAAACACH&#10;TuJAcVj8ULcBAAByAwAADgAAAAAAAAABACAAAAAiAQAAZHJzL2Uyb0RvYy54bWxQSwUGAAAAAAYA&#10;BgBZAQAASwUAAAAA&#10;">
              <v:fill on="f" focussize="0,0"/>
              <v:stroke on="f"/>
              <v:imagedata o:title=""/>
              <o:lock v:ext="edit" aspectratio="f"/>
              <v:textbox inset="0mm,0mm,0mm,0mm">
                <w:txbxContent>
                  <w:p w14:paraId="0A009A40">
                    <w:pPr>
                      <w:pStyle w:val="2"/>
                      <w:rPr>
                        <w:rFonts w:hint="default"/>
                        <w:lang w:val="en-US" w:eastAsia="zh-CN"/>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6DAD4">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98753"/>
    <w:multiLevelType w:val="singleLevel"/>
    <w:tmpl w:val="94D98753"/>
    <w:lvl w:ilvl="0" w:tentative="0">
      <w:start w:val="7"/>
      <w:numFmt w:val="decimal"/>
      <w:lvlText w:val="(%1)"/>
      <w:lvlJc w:val="left"/>
      <w:pPr>
        <w:tabs>
          <w:tab w:val="left" w:pos="312"/>
        </w:tabs>
      </w:pPr>
    </w:lvl>
  </w:abstractNum>
  <w:abstractNum w:abstractNumId="1">
    <w:nsid w:val="DB564AC7"/>
    <w:multiLevelType w:val="singleLevel"/>
    <w:tmpl w:val="DB564AC7"/>
    <w:lvl w:ilvl="0" w:tentative="0">
      <w:start w:val="2"/>
      <w:numFmt w:val="chineseCounting"/>
      <w:suff w:val="space"/>
      <w:lvlText w:val="第%1节"/>
      <w:lvlJc w:val="left"/>
      <w:rPr>
        <w:rFonts w:hint="eastAsia"/>
      </w:rPr>
    </w:lvl>
  </w:abstractNum>
  <w:abstractNum w:abstractNumId="2">
    <w:nsid w:val="19EE66B4"/>
    <w:multiLevelType w:val="singleLevel"/>
    <w:tmpl w:val="19EE66B4"/>
    <w:lvl w:ilvl="0" w:tentative="0">
      <w:start w:val="6"/>
      <w:numFmt w:val="decimal"/>
      <w:suff w:val="nothing"/>
      <w:lvlText w:val="%1、"/>
      <w:lvlJc w:val="left"/>
    </w:lvl>
  </w:abstractNum>
  <w:abstractNum w:abstractNumId="3">
    <w:nsid w:val="49601DB2"/>
    <w:multiLevelType w:val="singleLevel"/>
    <w:tmpl w:val="49601DB2"/>
    <w:lvl w:ilvl="0" w:tentative="0">
      <w:start w:val="3"/>
      <w:numFmt w:val="decimal"/>
      <w:suff w:val="nothing"/>
      <w:lvlText w:val="%1、"/>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47286F"/>
    <w:rsid w:val="3A472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4"/>
      <w:szCs w:val="24"/>
      <w:lang w:val="zh-CN" w:eastAsia="zh-CN" w:bidi="zh-CN"/>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0"/>
      <w:szCs w:val="20"/>
      <w:lang w:val="en-US" w:eastAsia="en-US" w:bidi="ar-SA"/>
    </w:rPr>
  </w:style>
  <w:style w:type="character" w:customStyle="1" w:styleId="8">
    <w:name w:val="font51"/>
    <w:basedOn w:val="5"/>
    <w:qFormat/>
    <w:uiPriority w:val="0"/>
    <w:rPr>
      <w:rFonts w:hint="eastAsia" w:ascii="宋体" w:hAnsi="宋体" w:eastAsia="宋体" w:cs="宋体"/>
      <w:color w:val="000000"/>
      <w:sz w:val="22"/>
      <w:szCs w:val="22"/>
      <w:u w:val="none"/>
    </w:rPr>
  </w:style>
  <w:style w:type="character" w:customStyle="1" w:styleId="9">
    <w:name w:val="font31"/>
    <w:basedOn w:val="5"/>
    <w:qFormat/>
    <w:uiPriority w:val="0"/>
    <w:rPr>
      <w:rFonts w:hint="eastAsia" w:ascii="宋体" w:hAnsi="宋体" w:eastAsia="宋体" w:cs="宋体"/>
      <w:color w:val="000000"/>
      <w:sz w:val="22"/>
      <w:szCs w:val="22"/>
      <w:u w:val="none"/>
    </w:rPr>
  </w:style>
  <w:style w:type="paragraph" w:styleId="10">
    <w:name w:val="List Paragraph"/>
    <w:basedOn w:val="1"/>
    <w:autoRedefine/>
    <w:qFormat/>
    <w:uiPriority w:val="1"/>
    <w:pPr>
      <w:ind w:left="520" w:firstLine="480"/>
    </w:pPr>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2025-07-11T07:03:00Z</dcterms:created>
  <dc:creator>WPS_1719564526</dc:creator>
  <cp:lastModifiedBy>WPS_1719564526</cp:lastModifiedBy>
  <dcterms:modified xsi:type="dcterms:W3CDTF">2025-07-11T07:04:10Z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4636AB04436243B6975549E327C67B46_11</vt:lpwstr>
  </property>
  <property fmtid="{D5CDD505-2E9C-101B-9397-08002B2CF9AE}" pid="4" name="KSOTemplateDocerSaveRecord">
    <vt:lpwstr>eyJoZGlkIjoiYmFlMzU2MTM4Mjk3NmE1YzMzMjA1NjA3M2I4NzJiMmUiLCJ1c2VySWQiOiIxNjEyMTUzNzg1In0=</vt:lpwstr>
  </property>
</Properties>
</file>