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9FDD21">
      <w:pPr>
        <w:pageBreakBefore w:val="0"/>
        <w:overflowPunct/>
        <w:bidi w:val="0"/>
        <w:spacing w:line="360" w:lineRule="auto"/>
        <w:jc w:val="center"/>
        <w:outlineLvl w:val="0"/>
        <w:rPr>
          <w:rFonts w:hint="eastAsia" w:ascii="宋体" w:hAnsi="宋体" w:cs="宋体"/>
          <w:b/>
          <w:color w:val="auto"/>
          <w:sz w:val="32"/>
          <w:szCs w:val="32"/>
          <w:lang w:val="en-US" w:eastAsia="zh-CN"/>
        </w:rPr>
      </w:pPr>
      <w:r>
        <w:rPr>
          <w:rFonts w:hint="eastAsia" w:ascii="宋体" w:hAnsi="宋体" w:cs="宋体"/>
          <w:b/>
          <w:color w:val="auto"/>
          <w:sz w:val="32"/>
          <w:szCs w:val="32"/>
          <w:lang w:val="en-US" w:eastAsia="zh-CN"/>
        </w:rPr>
        <w:t>湖南省衡山县职业中等专业学校食堂大宗</w:t>
      </w:r>
      <w:bookmarkStart w:id="10" w:name="_GoBack"/>
      <w:bookmarkEnd w:id="10"/>
      <w:r>
        <w:rPr>
          <w:rFonts w:hint="eastAsia" w:ascii="宋体" w:hAnsi="宋体" w:cs="宋体"/>
          <w:b/>
          <w:color w:val="auto"/>
          <w:sz w:val="32"/>
          <w:szCs w:val="32"/>
          <w:lang w:val="en-US" w:eastAsia="zh-CN"/>
        </w:rPr>
        <w:t>食材采购配送</w:t>
      </w:r>
    </w:p>
    <w:p w14:paraId="356F5EA1">
      <w:pPr>
        <w:pageBreakBefore w:val="0"/>
        <w:overflowPunct/>
        <w:bidi w:val="0"/>
        <w:spacing w:line="360" w:lineRule="auto"/>
        <w:jc w:val="center"/>
        <w:outlineLvl w:val="0"/>
        <w:rPr>
          <w:rFonts w:hint="eastAsia" w:ascii="黑体" w:hAnsi="黑体" w:eastAsia="黑体"/>
          <w:b/>
          <w:bCs/>
          <w:color w:val="auto"/>
          <w:sz w:val="24"/>
          <w:szCs w:val="32"/>
          <w:lang w:val="en-US" w:eastAsia="zh-CN"/>
        </w:rPr>
      </w:pPr>
      <w:r>
        <w:rPr>
          <w:rFonts w:hint="eastAsia" w:ascii="宋体" w:hAnsi="宋体" w:cs="宋体"/>
          <w:b/>
          <w:color w:val="auto"/>
          <w:sz w:val="32"/>
          <w:szCs w:val="32"/>
          <w:lang w:val="en-US" w:eastAsia="zh-CN"/>
        </w:rPr>
        <w:t>项目公开招标</w:t>
      </w:r>
      <w:r>
        <w:rPr>
          <w:rFonts w:hint="eastAsia" w:ascii="宋体" w:hAnsi="宋体" w:cs="宋体"/>
          <w:b/>
          <w:color w:val="auto"/>
          <w:sz w:val="32"/>
          <w:szCs w:val="32"/>
        </w:rPr>
        <w:t>公告</w:t>
      </w:r>
    </w:p>
    <w:p w14:paraId="4ADBE185">
      <w:pPr>
        <w:pageBreakBefore w:val="0"/>
        <w:overflowPunct/>
        <w:bidi w:val="0"/>
        <w:spacing w:line="360" w:lineRule="auto"/>
        <w:ind w:firstLine="480" w:firstLineChars="200"/>
        <w:rPr>
          <w:rFonts w:hint="eastAsia" w:ascii="宋体" w:hAnsi="宋体" w:eastAsia="宋体" w:cs="宋体"/>
          <w:color w:val="auto"/>
          <w:sz w:val="24"/>
          <w:szCs w:val="24"/>
        </w:rPr>
      </w:pPr>
      <w:bookmarkStart w:id="0" w:name="_Toc27118"/>
      <w:bookmarkStart w:id="1" w:name="_Toc14798"/>
      <w:r>
        <w:rPr>
          <w:rFonts w:hint="eastAsia" w:ascii="宋体" w:hAnsi="宋体" w:eastAsia="宋体" w:cs="宋体"/>
          <w:color w:val="auto"/>
          <w:sz w:val="24"/>
          <w:szCs w:val="24"/>
          <w:highlight w:val="white"/>
          <w:lang w:eastAsia="zh-CN"/>
        </w:rPr>
        <w:t>湖南省衡山县职业中等专业学校</w:t>
      </w:r>
      <w:r>
        <w:rPr>
          <w:rFonts w:hint="eastAsia" w:ascii="宋体" w:hAnsi="宋体" w:eastAsia="宋体" w:cs="宋体"/>
          <w:color w:val="auto"/>
          <w:sz w:val="24"/>
          <w:szCs w:val="24"/>
          <w:highlight w:val="white"/>
        </w:rPr>
        <w:t>的</w:t>
      </w:r>
      <w:r>
        <w:rPr>
          <w:rFonts w:hint="eastAsia" w:ascii="宋体" w:hAnsi="宋体" w:eastAsia="宋体" w:cs="宋体"/>
          <w:bCs/>
          <w:color w:val="auto"/>
          <w:sz w:val="24"/>
          <w:szCs w:val="24"/>
          <w:lang w:val="en-US" w:eastAsia="zh-CN"/>
        </w:rPr>
        <w:t>湖南省衡山县职业中等专业学校食堂大宗食材采购配送项目</w:t>
      </w:r>
      <w:r>
        <w:rPr>
          <w:rFonts w:hint="eastAsia" w:ascii="宋体" w:hAnsi="宋体" w:eastAsia="宋体" w:cs="宋体"/>
          <w:color w:val="auto"/>
          <w:sz w:val="24"/>
          <w:szCs w:val="24"/>
          <w:highlight w:val="white"/>
        </w:rPr>
        <w:t>进行公开招标采购，现邀请合格投标人参加投标。</w:t>
      </w:r>
    </w:p>
    <w:bookmarkEnd w:id="0"/>
    <w:bookmarkEnd w:id="1"/>
    <w:p w14:paraId="4B6FB7F8">
      <w:pPr>
        <w:keepNext/>
        <w:keepLines/>
        <w:pageBreakBefore w:val="0"/>
        <w:overflowPunct/>
        <w:bidi w:val="0"/>
        <w:adjustRightInd w:val="0"/>
        <w:snapToGrid w:val="0"/>
        <w:spacing w:line="360" w:lineRule="auto"/>
        <w:outlineLvl w:val="1"/>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eastAsia="zh-CN"/>
        </w:rPr>
        <w:t>一、</w:t>
      </w:r>
      <w:r>
        <w:rPr>
          <w:rFonts w:hint="eastAsia" w:ascii="宋体" w:hAnsi="宋体" w:eastAsia="宋体" w:cs="宋体"/>
          <w:b/>
          <w:bCs/>
          <w:color w:val="auto"/>
          <w:sz w:val="24"/>
          <w:szCs w:val="24"/>
        </w:rPr>
        <w:t>项目</w:t>
      </w:r>
      <w:r>
        <w:rPr>
          <w:rFonts w:hint="eastAsia" w:ascii="宋体" w:hAnsi="宋体" w:eastAsia="宋体" w:cs="宋体"/>
          <w:b/>
          <w:bCs/>
          <w:color w:val="auto"/>
          <w:sz w:val="24"/>
          <w:szCs w:val="24"/>
          <w:lang w:eastAsia="zh-CN"/>
        </w:rPr>
        <w:t>基本</w:t>
      </w:r>
      <w:r>
        <w:rPr>
          <w:rFonts w:hint="eastAsia" w:ascii="宋体" w:hAnsi="宋体" w:eastAsia="宋体" w:cs="宋体"/>
          <w:b/>
          <w:bCs/>
          <w:color w:val="auto"/>
          <w:sz w:val="24"/>
          <w:szCs w:val="24"/>
          <w:lang w:val="en-US" w:eastAsia="zh-CN"/>
        </w:rPr>
        <w:t>信息</w:t>
      </w:r>
    </w:p>
    <w:p w14:paraId="392945E5">
      <w:pPr>
        <w:pageBreakBefore w:val="0"/>
        <w:overflowPunct/>
        <w:bidi w:val="0"/>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1、采购项目名称：</w:t>
      </w:r>
      <w:r>
        <w:rPr>
          <w:rFonts w:hint="eastAsia" w:ascii="宋体" w:hAnsi="宋体" w:eastAsia="宋体" w:cs="宋体"/>
          <w:bCs/>
          <w:color w:val="auto"/>
          <w:sz w:val="24"/>
          <w:szCs w:val="24"/>
          <w:lang w:val="en-US" w:eastAsia="zh-CN"/>
        </w:rPr>
        <w:t>湖南省衡山县职业中等专业学校食堂大宗食材采购配送项目</w:t>
      </w:r>
      <w:r>
        <w:rPr>
          <w:rFonts w:hint="eastAsia" w:ascii="宋体" w:hAnsi="宋体" w:eastAsia="宋体" w:cs="宋体"/>
          <w:bCs/>
          <w:color w:val="auto"/>
          <w:sz w:val="24"/>
          <w:szCs w:val="24"/>
          <w:lang w:val="en-US" w:eastAsia="zh-CN"/>
        </w:rPr>
        <w:t xml:space="preserve"> </w:t>
      </w:r>
    </w:p>
    <w:p w14:paraId="2836D4BF">
      <w:pPr>
        <w:pageBreakBefore w:val="0"/>
        <w:overflowPunct/>
        <w:bidi w:val="0"/>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2、委托代理编号：HNZT-HS2024ZF009 </w:t>
      </w:r>
    </w:p>
    <w:p w14:paraId="0FBE00C3">
      <w:pPr>
        <w:pageBreakBefore w:val="0"/>
        <w:overflowPunct/>
        <w:bidi w:val="0"/>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3、采购项目预算：人民币</w:t>
      </w:r>
      <w:r>
        <w:rPr>
          <w:rFonts w:hint="eastAsia" w:ascii="宋体" w:hAnsi="宋体" w:eastAsia="宋体" w:cs="宋体"/>
          <w:bCs/>
          <w:color w:val="auto"/>
          <w:sz w:val="24"/>
          <w:szCs w:val="24"/>
          <w:lang w:val="en-US" w:eastAsia="zh-CN"/>
        </w:rPr>
        <w:t>玖佰万元整</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lang w:val="en-US" w:eastAsia="zh-CN"/>
        </w:rPr>
        <w:t>9000000.00</w:t>
      </w:r>
      <w:r>
        <w:rPr>
          <w:rFonts w:hint="eastAsia" w:ascii="宋体" w:hAnsi="宋体" w:eastAsia="宋体" w:cs="宋体"/>
          <w:bCs/>
          <w:color w:val="auto"/>
          <w:sz w:val="24"/>
          <w:szCs w:val="24"/>
          <w:lang w:val="en-US" w:eastAsia="zh-CN"/>
        </w:rPr>
        <w:t>）</w:t>
      </w:r>
    </w:p>
    <w:p w14:paraId="2E3526F6">
      <w:pPr>
        <w:pageBreakBefore w:val="0"/>
        <w:overflowPunct/>
        <w:bidi w:val="0"/>
        <w:adjustRightInd w:val="0"/>
        <w:snapToGrid w:val="0"/>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4、评标方法： </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 xml:space="preserve">最低价法 </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lang w:val="en-US" w:eastAsia="zh-CN"/>
        </w:rPr>
        <w:t>综合评分法</w:t>
      </w:r>
    </w:p>
    <w:p w14:paraId="7AAA1D0B">
      <w:pPr>
        <w:pageBreakBefore w:val="0"/>
        <w:overflowPunct/>
        <w:bidi w:val="0"/>
        <w:adjustRightInd w:val="0"/>
        <w:snapToGrid w:val="0"/>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合同履行期限：</w:t>
      </w:r>
      <w:r>
        <w:rPr>
          <w:rFonts w:hint="eastAsia" w:ascii="宋体" w:hAnsi="宋体" w:eastAsia="宋体" w:cs="宋体"/>
          <w:bCs/>
          <w:color w:val="auto"/>
          <w:sz w:val="24"/>
          <w:szCs w:val="24"/>
          <w:lang w:val="en-US" w:eastAsia="zh-CN"/>
        </w:rPr>
        <w:t>项目服务期限为</w:t>
      </w:r>
      <w:r>
        <w:rPr>
          <w:rFonts w:hint="eastAsia" w:ascii="宋体" w:hAnsi="宋体" w:eastAsia="宋体" w:cs="宋体"/>
          <w:bCs/>
          <w:color w:val="auto"/>
          <w:sz w:val="24"/>
          <w:szCs w:val="24"/>
        </w:rPr>
        <w:t>三年，合同一年一签，采购人根据中标人的上一年度提供的服务质量视情况决定是否继续与其签订下一年度的合同。如服务达不到采购人的要求，考核不合格，采购人有权无条件终止合同。</w:t>
      </w:r>
    </w:p>
    <w:p w14:paraId="7FBA0A3A">
      <w:pPr>
        <w:pageBreakBefore w:val="0"/>
        <w:overflowPunct/>
        <w:bidi w:val="0"/>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6.本项目分阶段要求投标人提供以下保证：</w:t>
      </w:r>
    </w:p>
    <w:p w14:paraId="12A6C7E2">
      <w:pPr>
        <w:pageBreakBefore w:val="0"/>
        <w:overflowPunct/>
        <w:bidi w:val="0"/>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lang w:val="en-US" w:eastAsia="zh-CN"/>
        </w:rPr>
        <mc:AlternateContent>
          <mc:Choice Requires="wps">
            <w:drawing>
              <wp:inline distT="0" distB="0" distL="114300" distR="114300">
                <wp:extent cx="635" cy="0"/>
                <wp:effectExtent l="0" t="4445" r="0" b="5080"/>
                <wp:docPr id="1"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lim="0"/>
                          <a:headEnd type="none" w="med" len="med"/>
                          <a:tailEnd type="none" w="med" len="med"/>
                        </a:ln>
                      </wps:spPr>
                      <wps:bodyPr rot="0" vert="horz" wrap="square" lIns="91440" tIns="45720" rIns="91440" bIns="45720" anchor="t" anchorCtr="0"/>
                    </wps:wsp>
                  </a:graphicData>
                </a:graphic>
              </wp:inline>
            </w:drawing>
          </mc:Choice>
          <mc:Fallback>
            <w:pict>
              <v:rect id="_x0000_s1026" o:spid="_x0000_s1026" o:spt="1" style="height:0pt;width:0.05pt;" filled="f" stroked="t" coordsize="21600,21600" o:gfxdata="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Ja50fLNAAAA/wAAAA8AAAAAAAAAAQAgAAAAIgAAAGRycy9kb3ducmV2LnhtbFBLAQIU&#10;ABQAAAAIAIdO4kCbqLjENwIAAIMEAAAOAAAAAAAAAAEAIAAAABwBAABkcnMvZTJvRG9jLnhtbFBL&#10;BQYAAAAABgAGAFkBAADFBQAAAAA=&#10;">
                <v:fill on="f" focussize="0,0"/>
                <v:stroke color="#000000" miterlimit="0" joinstyle="miter"/>
                <v:imagedata o:title=""/>
                <o:lock v:ext="edit" aspectratio="t"/>
                <w10:wrap type="none"/>
                <w10:anchorlock/>
              </v:rect>
            </w:pict>
          </mc:Fallback>
        </mc:AlternateContent>
      </w:r>
      <w:r>
        <w:rPr>
          <w:rFonts w:hint="eastAsia" w:ascii="宋体" w:hAnsi="宋体" w:eastAsia="宋体" w:cs="宋体"/>
          <w:bCs/>
          <w:color w:val="auto"/>
          <w:sz w:val="24"/>
          <w:szCs w:val="24"/>
          <w:lang w:val="en-US" w:eastAsia="zh-CN"/>
        </w:rPr>
        <w:t>投标保证金：采购项目预算的</w:t>
      </w:r>
      <w:r>
        <w:rPr>
          <w:rFonts w:hint="eastAsia" w:ascii="宋体" w:hAnsi="宋体" w:eastAsia="宋体" w:cs="宋体"/>
          <w:bCs/>
          <w:color w:val="auto"/>
          <w:sz w:val="24"/>
          <w:szCs w:val="24"/>
          <w:u w:val="single"/>
          <w:lang w:val="en-US" w:eastAsia="zh-CN"/>
        </w:rPr>
        <w:t> / </w:t>
      </w:r>
      <w:r>
        <w:rPr>
          <w:rFonts w:hint="eastAsia" w:ascii="宋体" w:hAnsi="宋体" w:eastAsia="宋体" w:cs="宋体"/>
          <w:bCs/>
          <w:color w:val="auto"/>
          <w:sz w:val="24"/>
          <w:szCs w:val="24"/>
          <w:lang w:val="en-US" w:eastAsia="zh-CN"/>
        </w:rPr>
        <w:t>%；</w:t>
      </w:r>
    </w:p>
    <w:p w14:paraId="6E8DC4B0">
      <w:pPr>
        <w:pageBreakBefore w:val="0"/>
        <w:overflowPunct/>
        <w:bidi w:val="0"/>
        <w:adjustRightInd w:val="0"/>
        <w:snapToGrid w:val="0"/>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mc:AlternateContent>
          <mc:Choice Requires="wps">
            <w:drawing>
              <wp:inline distT="0" distB="0" distL="114300" distR="114300">
                <wp:extent cx="635" cy="0"/>
                <wp:effectExtent l="0" t="4445" r="0" b="5080"/>
                <wp:docPr id="2"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lim="0"/>
                          <a:headEnd type="none" w="med" len="med"/>
                          <a:tailEnd type="none" w="med" len="med"/>
                        </a:ln>
                      </wps:spPr>
                      <wps:bodyPr rot="0" vert="horz" wrap="square" lIns="91440" tIns="45720" rIns="91440" bIns="45720" anchor="t" anchorCtr="0"/>
                    </wps:wsp>
                  </a:graphicData>
                </a:graphic>
              </wp:inline>
            </w:drawing>
          </mc:Choice>
          <mc:Fallback>
            <w:pict>
              <v:rect id="矩形 3" o:spid="_x0000_s1026" o:spt="1" style="height:0pt;width:0.05pt;" filled="f" stroked="t" coordsize="21600,21600" o:gfxdata="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WudHyzQAAAP8AAAAPAAAAAAAAAAEAIAAAACIAAABkcnMvZG93bnJldi54bWxQSwEC&#10;FAAUAAAACACHTuJA6quX5jgCAACDBAAADgAAAAAAAAABACAAAAAcAQAAZHJzL2Uyb0RvYy54bWxQ&#10;SwUGAAAAAAYABgBZAQAAxgUAAAAA&#10;">
                <v:fill on="f" focussize="0,0"/>
                <v:stroke color="#000000" miterlimit="0" joinstyle="miter"/>
                <v:imagedata o:title=""/>
                <o:lock v:ext="edit" aspectratio="t"/>
                <w10:wrap type="none"/>
                <w10:anchorlock/>
              </v:rect>
            </w:pict>
          </mc:Fallback>
        </mc:AlternateContent>
      </w:r>
      <w:r>
        <w:rPr>
          <w:rFonts w:hint="eastAsia" w:ascii="宋体" w:hAnsi="宋体" w:eastAsia="宋体" w:cs="宋体"/>
          <w:bCs/>
          <w:color w:val="auto"/>
          <w:sz w:val="24"/>
          <w:szCs w:val="24"/>
          <w:lang w:val="en-US" w:eastAsia="zh-CN"/>
        </w:rPr>
        <w:t>□履约保证金：中标金额的</w:t>
      </w:r>
      <w:r>
        <w:rPr>
          <w:rFonts w:hint="eastAsia" w:ascii="宋体" w:hAnsi="宋体" w:eastAsia="宋体" w:cs="宋体"/>
          <w:bCs/>
          <w:color w:val="auto"/>
          <w:sz w:val="24"/>
          <w:szCs w:val="24"/>
          <w:u w:val="single"/>
          <w:lang w:val="en-US" w:eastAsia="zh-CN"/>
        </w:rPr>
        <w:t> / </w:t>
      </w:r>
      <w:r>
        <w:rPr>
          <w:rFonts w:hint="eastAsia" w:ascii="宋体" w:hAnsi="宋体" w:eastAsia="宋体" w:cs="宋体"/>
          <w:bCs/>
          <w:color w:val="auto"/>
          <w:sz w:val="24"/>
          <w:szCs w:val="24"/>
          <w:lang w:val="en-US" w:eastAsia="zh-CN"/>
        </w:rPr>
        <w:t>%；</w:t>
      </w:r>
    </w:p>
    <w:p w14:paraId="25DD0FBB">
      <w:pPr>
        <w:keepNext/>
        <w:keepLines/>
        <w:pageBreakBefore w:val="0"/>
        <w:overflowPunct/>
        <w:bidi w:val="0"/>
        <w:adjustRightInd w:val="0"/>
        <w:snapToGrid w:val="0"/>
        <w:spacing w:line="360" w:lineRule="auto"/>
        <w:ind w:firstLine="480" w:firstLineChars="200"/>
        <w:outlineLvl w:val="1"/>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lang w:val="en-US" w:eastAsia="zh-CN"/>
        </w:rPr>
        <mc:AlternateContent>
          <mc:Choice Requires="wps">
            <w:drawing>
              <wp:inline distT="0" distB="0" distL="114300" distR="114300">
                <wp:extent cx="635" cy="0"/>
                <wp:effectExtent l="0" t="4445" r="0" b="5080"/>
                <wp:docPr id="3"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w="9525" cap="flat" cmpd="sng">
                          <a:solidFill>
                            <a:srgbClr val="000000"/>
                          </a:solidFill>
                          <a:prstDash val="solid"/>
                          <a:miter lim="0"/>
                          <a:headEnd type="none" w="med" len="med"/>
                          <a:tailEnd type="none" w="med" len="med"/>
                        </a:ln>
                      </wps:spPr>
                      <wps:bodyPr rot="0" vert="horz" wrap="square" lIns="91440" tIns="45720" rIns="91440" bIns="45720" anchor="t" anchorCtr="0"/>
                    </wps:wsp>
                  </a:graphicData>
                </a:graphic>
              </wp:inline>
            </w:drawing>
          </mc:Choice>
          <mc:Fallback>
            <w:pict>
              <v:rect id="矩形 2" o:spid="_x0000_s1026" o:spt="1" style="height:0pt;width:0.05pt;" filled="f" stroked="t" coordsize="21600,21600" o:gfxdata="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WudHyzQAAAP8AAAAPAAAAAAAAAAEAIAAAACIAAABkcnMvZG93bnJldi54bWxQSwEC&#10;FAAUAAAACACHTuJAFdQfvDgCAACDBAAADgAAAAAAAAABACAAAAAcAQAAZHJzL2Uyb0RvYy54bWxQ&#10;SwUGAAAAAAYABgBZAQAAxgUAAAAA&#10;">
                <v:fill on="f" focussize="0,0"/>
                <v:stroke color="#000000" miterlimit="0" joinstyle="miter"/>
                <v:imagedata o:title=""/>
                <o:lock v:ext="edit" aspectratio="t"/>
                <w10:wrap type="none"/>
                <w10:anchorlock/>
              </v:rect>
            </w:pict>
          </mc:Fallback>
        </mc:AlternateContent>
      </w:r>
      <w:r>
        <w:rPr>
          <w:rFonts w:hint="eastAsia" w:ascii="宋体" w:hAnsi="宋体" w:eastAsia="宋体" w:cs="宋体"/>
          <w:bCs/>
          <w:color w:val="auto"/>
          <w:sz w:val="24"/>
          <w:szCs w:val="24"/>
          <w:lang w:val="en-US" w:eastAsia="zh-CN"/>
        </w:rPr>
        <w:t>质量保证金：合同金额的</w:t>
      </w:r>
      <w:r>
        <w:rPr>
          <w:rFonts w:hint="eastAsia" w:ascii="宋体" w:hAnsi="宋体" w:eastAsia="宋体" w:cs="宋体"/>
          <w:bCs/>
          <w:color w:val="auto"/>
          <w:sz w:val="24"/>
          <w:szCs w:val="24"/>
          <w:u w:val="single"/>
          <w:lang w:val="en-US" w:eastAsia="zh-CN"/>
        </w:rPr>
        <w:t> / </w:t>
      </w:r>
      <w:r>
        <w:rPr>
          <w:rFonts w:hint="eastAsia" w:ascii="宋体" w:hAnsi="宋体" w:eastAsia="宋体" w:cs="宋体"/>
          <w:bCs/>
          <w:color w:val="auto"/>
          <w:sz w:val="24"/>
          <w:szCs w:val="24"/>
          <w:lang w:val="en-US" w:eastAsia="zh-CN"/>
        </w:rPr>
        <w:t>%；</w:t>
      </w:r>
    </w:p>
    <w:p w14:paraId="366581B7">
      <w:pPr>
        <w:keepNext/>
        <w:keepLines/>
        <w:pageBreakBefore w:val="0"/>
        <w:overflowPunct/>
        <w:bidi w:val="0"/>
        <w:adjustRightInd w:val="0"/>
        <w:snapToGrid w:val="0"/>
        <w:spacing w:line="360" w:lineRule="auto"/>
        <w:outlineLvl w:val="1"/>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lang w:eastAsia="zh-CN"/>
        </w:rPr>
        <w:t>采购项目内容与数量：</w:t>
      </w:r>
    </w:p>
    <w:tbl>
      <w:tblPr>
        <w:tblStyle w:val="14"/>
        <w:tblW w:w="10440" w:type="dxa"/>
        <w:jc w:val="center"/>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Layout w:type="fixed"/>
        <w:tblCellMar>
          <w:top w:w="0" w:type="dxa"/>
          <w:left w:w="108" w:type="dxa"/>
          <w:bottom w:w="0" w:type="dxa"/>
          <w:right w:w="108" w:type="dxa"/>
        </w:tblCellMar>
      </w:tblPr>
      <w:tblGrid>
        <w:gridCol w:w="827"/>
        <w:gridCol w:w="3685"/>
        <w:gridCol w:w="736"/>
        <w:gridCol w:w="824"/>
        <w:gridCol w:w="2025"/>
        <w:gridCol w:w="2343"/>
      </w:tblGrid>
      <w:tr w14:paraId="498988E7">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1102" w:hRule="atLeast"/>
          <w:jc w:val="center"/>
        </w:trPr>
        <w:tc>
          <w:tcPr>
            <w:tcW w:w="827" w:type="dxa"/>
            <w:vAlign w:val="center"/>
          </w:tcPr>
          <w:p w14:paraId="62BE39B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color w:val="auto"/>
                <w:kern w:val="0"/>
                <w:sz w:val="24"/>
                <w:szCs w:val="24"/>
              </w:rPr>
            </w:pPr>
            <w:r>
              <w:rPr>
                <w:rFonts w:hint="eastAsia" w:ascii="宋体" w:hAnsi="宋体" w:eastAsia="宋体" w:cs="宋体"/>
                <w:b/>
                <w:bCs/>
                <w:color w:val="auto"/>
                <w:kern w:val="0"/>
                <w:sz w:val="24"/>
                <w:szCs w:val="24"/>
              </w:rPr>
              <w:t>包号</w:t>
            </w:r>
          </w:p>
        </w:tc>
        <w:tc>
          <w:tcPr>
            <w:tcW w:w="3685" w:type="dxa"/>
            <w:vAlign w:val="center"/>
          </w:tcPr>
          <w:p w14:paraId="241DC68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标的物名称</w:t>
            </w:r>
          </w:p>
        </w:tc>
        <w:tc>
          <w:tcPr>
            <w:tcW w:w="736" w:type="dxa"/>
            <w:vAlign w:val="center"/>
          </w:tcPr>
          <w:p w14:paraId="08C0FE8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color w:val="auto"/>
                <w:kern w:val="0"/>
                <w:sz w:val="24"/>
                <w:szCs w:val="24"/>
              </w:rPr>
            </w:pPr>
            <w:r>
              <w:rPr>
                <w:rFonts w:hint="eastAsia" w:ascii="宋体" w:hAnsi="宋体" w:eastAsia="宋体" w:cs="宋体"/>
                <w:b/>
                <w:bCs/>
                <w:color w:val="auto"/>
                <w:kern w:val="0"/>
                <w:sz w:val="24"/>
                <w:szCs w:val="24"/>
              </w:rPr>
              <w:t>数量</w:t>
            </w:r>
          </w:p>
        </w:tc>
        <w:tc>
          <w:tcPr>
            <w:tcW w:w="824" w:type="dxa"/>
            <w:vAlign w:val="center"/>
          </w:tcPr>
          <w:p w14:paraId="2BC86299">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单位</w:t>
            </w:r>
          </w:p>
        </w:tc>
        <w:tc>
          <w:tcPr>
            <w:tcW w:w="2025" w:type="dxa"/>
            <w:vAlign w:val="center"/>
          </w:tcPr>
          <w:p w14:paraId="2F30307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color w:val="auto"/>
                <w:kern w:val="0"/>
                <w:sz w:val="24"/>
                <w:szCs w:val="24"/>
              </w:rPr>
            </w:pPr>
            <w:r>
              <w:rPr>
                <w:rFonts w:hint="eastAsia" w:ascii="宋体" w:hAnsi="宋体" w:eastAsia="宋体" w:cs="宋体"/>
                <w:b/>
                <w:bCs/>
                <w:color w:val="auto"/>
                <w:kern w:val="0"/>
                <w:sz w:val="24"/>
                <w:szCs w:val="24"/>
              </w:rPr>
              <w:t>采购预算（</w:t>
            </w:r>
            <w:r>
              <w:rPr>
                <w:rFonts w:hint="eastAsia" w:ascii="宋体" w:hAnsi="宋体" w:eastAsia="宋体" w:cs="宋体"/>
                <w:b/>
                <w:bCs/>
                <w:color w:val="auto"/>
                <w:kern w:val="0"/>
                <w:sz w:val="24"/>
                <w:szCs w:val="24"/>
                <w:lang w:val="en-US" w:eastAsia="zh-CN"/>
              </w:rPr>
              <w:t>万</w:t>
            </w:r>
            <w:r>
              <w:rPr>
                <w:rFonts w:hint="eastAsia" w:ascii="宋体" w:hAnsi="宋体" w:eastAsia="宋体" w:cs="宋体"/>
                <w:b/>
                <w:bCs/>
                <w:color w:val="auto"/>
                <w:kern w:val="0"/>
                <w:sz w:val="24"/>
                <w:szCs w:val="24"/>
              </w:rPr>
              <w:t>元/年）</w:t>
            </w:r>
          </w:p>
        </w:tc>
        <w:tc>
          <w:tcPr>
            <w:tcW w:w="2343" w:type="dxa"/>
            <w:vAlign w:val="center"/>
          </w:tcPr>
          <w:p w14:paraId="1533B65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采购预算</w:t>
            </w:r>
            <w:r>
              <w:rPr>
                <w:rFonts w:hint="eastAsia" w:ascii="宋体" w:hAnsi="宋体" w:eastAsia="宋体" w:cs="宋体"/>
                <w:b/>
                <w:bCs/>
                <w:color w:val="auto"/>
                <w:kern w:val="0"/>
                <w:sz w:val="24"/>
                <w:szCs w:val="24"/>
                <w:lang w:val="en-US" w:eastAsia="zh-CN"/>
              </w:rPr>
              <w:t>总价</w:t>
            </w:r>
            <w:r>
              <w:rPr>
                <w:rFonts w:hint="eastAsia" w:ascii="宋体" w:hAnsi="宋体" w:eastAsia="宋体" w:cs="宋体"/>
                <w:b/>
                <w:bCs/>
                <w:color w:val="auto"/>
                <w:kern w:val="0"/>
                <w:sz w:val="24"/>
                <w:szCs w:val="24"/>
              </w:rPr>
              <w:t>（</w:t>
            </w:r>
            <w:r>
              <w:rPr>
                <w:rFonts w:hint="eastAsia" w:ascii="宋体" w:hAnsi="宋体" w:eastAsia="宋体" w:cs="宋体"/>
                <w:b/>
                <w:bCs/>
                <w:color w:val="auto"/>
                <w:kern w:val="0"/>
                <w:sz w:val="24"/>
                <w:szCs w:val="24"/>
                <w:lang w:val="en-US" w:eastAsia="zh-CN"/>
              </w:rPr>
              <w:t>万</w:t>
            </w:r>
            <w:r>
              <w:rPr>
                <w:rFonts w:hint="eastAsia" w:ascii="宋体" w:hAnsi="宋体" w:eastAsia="宋体" w:cs="宋体"/>
                <w:b/>
                <w:bCs/>
                <w:color w:val="auto"/>
                <w:kern w:val="0"/>
                <w:sz w:val="24"/>
                <w:szCs w:val="24"/>
              </w:rPr>
              <w:t>元）</w:t>
            </w:r>
          </w:p>
        </w:tc>
      </w:tr>
      <w:tr w14:paraId="4228C90D">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827" w:type="dxa"/>
            <w:vAlign w:val="center"/>
          </w:tcPr>
          <w:p w14:paraId="33F7F5A0">
            <w:pPr>
              <w:pStyle w:val="6"/>
              <w:pageBreakBefore w:val="0"/>
              <w:widowControl w:val="0"/>
              <w:numPr>
                <w:ilvl w:val="0"/>
                <w:numId w:val="0"/>
              </w:numPr>
              <w:overflowPunct/>
              <w:bidi w:val="0"/>
              <w:spacing w:line="360" w:lineRule="auto"/>
              <w:ind w:left="0" w:leftChars="0" w:firstLine="0" w:firstLineChars="0"/>
              <w:jc w:val="center"/>
              <w:outlineLvl w:val="1"/>
              <w:rPr>
                <w:rFonts w:hint="eastAsia" w:ascii="宋体" w:hAnsi="宋体" w:eastAsia="宋体" w:cs="宋体"/>
                <w:bCs/>
                <w:color w:val="auto"/>
                <w:kern w:val="0"/>
                <w:sz w:val="24"/>
                <w:szCs w:val="24"/>
              </w:rPr>
            </w:pPr>
            <w:r>
              <w:rPr>
                <w:rFonts w:hint="eastAsia" w:ascii="宋体" w:hAnsi="宋体" w:eastAsia="宋体" w:cs="宋体"/>
                <w:b w:val="0"/>
                <w:bCs w:val="0"/>
                <w:color w:val="auto"/>
                <w:spacing w:val="6"/>
                <w:sz w:val="24"/>
                <w:szCs w:val="24"/>
                <w:vertAlign w:val="baseline"/>
                <w:lang w:val="en-US" w:eastAsia="zh-CN"/>
              </w:rPr>
              <w:t>包1</w:t>
            </w:r>
          </w:p>
        </w:tc>
        <w:tc>
          <w:tcPr>
            <w:tcW w:w="3685" w:type="dxa"/>
            <w:vAlign w:val="center"/>
          </w:tcPr>
          <w:p w14:paraId="7FE2CA47">
            <w:pPr>
              <w:pStyle w:val="6"/>
              <w:pageBreakBefore w:val="0"/>
              <w:widowControl w:val="0"/>
              <w:numPr>
                <w:ilvl w:val="0"/>
                <w:numId w:val="0"/>
              </w:numPr>
              <w:overflowPunct/>
              <w:bidi w:val="0"/>
              <w:spacing w:line="360" w:lineRule="auto"/>
              <w:ind w:left="0" w:leftChars="0" w:firstLine="0" w:firstLineChars="0"/>
              <w:jc w:val="center"/>
              <w:outlineLvl w:val="1"/>
              <w:rPr>
                <w:rFonts w:hint="eastAsia" w:ascii="宋体" w:hAnsi="宋体" w:eastAsia="宋体" w:cs="宋体"/>
                <w:bCs/>
                <w:color w:val="auto"/>
                <w:kern w:val="0"/>
                <w:sz w:val="24"/>
                <w:szCs w:val="24"/>
              </w:rPr>
            </w:pPr>
            <w:r>
              <w:rPr>
                <w:rFonts w:hint="eastAsia" w:ascii="宋体" w:hAnsi="宋体" w:eastAsia="宋体" w:cs="宋体"/>
                <w:b w:val="0"/>
                <w:bCs w:val="0"/>
                <w:color w:val="auto"/>
                <w:spacing w:val="6"/>
                <w:sz w:val="24"/>
                <w:szCs w:val="24"/>
                <w:vertAlign w:val="baseline"/>
                <w:lang w:val="en-US" w:eastAsia="zh-CN"/>
              </w:rPr>
              <w:t>米、面粉、食用油、干货、蔬菜、冻品、调料</w:t>
            </w:r>
          </w:p>
        </w:tc>
        <w:tc>
          <w:tcPr>
            <w:tcW w:w="736" w:type="dxa"/>
            <w:vAlign w:val="center"/>
          </w:tcPr>
          <w:p w14:paraId="28E8F244">
            <w:pPr>
              <w:pageBreakBefore w:val="0"/>
              <w:overflowPunct/>
              <w:bidi w:val="0"/>
              <w:adjustRightInd w:val="0"/>
              <w:snapToGrid w:val="0"/>
              <w:spacing w:line="360" w:lineRule="auto"/>
              <w:jc w:val="center"/>
              <w:rPr>
                <w:rFonts w:hint="eastAsia"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3</w:t>
            </w:r>
          </w:p>
        </w:tc>
        <w:tc>
          <w:tcPr>
            <w:tcW w:w="824" w:type="dxa"/>
            <w:vAlign w:val="center"/>
          </w:tcPr>
          <w:p w14:paraId="7B08A5A0">
            <w:pPr>
              <w:pageBreakBefore w:val="0"/>
              <w:overflowPunct/>
              <w:bidi w:val="0"/>
              <w:adjustRightInd w:val="0"/>
              <w:snapToGrid w:val="0"/>
              <w:spacing w:line="360" w:lineRule="auto"/>
              <w:jc w:val="center"/>
              <w:rPr>
                <w:rFonts w:hint="eastAsia"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年</w:t>
            </w:r>
          </w:p>
        </w:tc>
        <w:tc>
          <w:tcPr>
            <w:tcW w:w="2025" w:type="dxa"/>
            <w:vAlign w:val="center"/>
          </w:tcPr>
          <w:p w14:paraId="519EFBCE">
            <w:pPr>
              <w:pageBreakBefore w:val="0"/>
              <w:overflowPunct/>
              <w:bidi w:val="0"/>
              <w:adjustRightInd w:val="0"/>
              <w:snapToGrid w:val="0"/>
              <w:spacing w:line="360" w:lineRule="auto"/>
              <w:jc w:val="center"/>
              <w:rPr>
                <w:rFonts w:hint="default"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180</w:t>
            </w:r>
          </w:p>
        </w:tc>
        <w:tc>
          <w:tcPr>
            <w:tcW w:w="2343" w:type="dxa"/>
            <w:vAlign w:val="center"/>
          </w:tcPr>
          <w:p w14:paraId="1B8B08DA">
            <w:pPr>
              <w:pageBreakBefore w:val="0"/>
              <w:overflowPunct/>
              <w:bidi w:val="0"/>
              <w:adjustRightInd w:val="0"/>
              <w:snapToGrid w:val="0"/>
              <w:spacing w:line="360" w:lineRule="auto"/>
              <w:jc w:val="center"/>
              <w:rPr>
                <w:rFonts w:hint="default"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540</w:t>
            </w:r>
          </w:p>
        </w:tc>
      </w:tr>
      <w:tr w14:paraId="32EF9F78">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504" w:hRule="atLeast"/>
          <w:jc w:val="center"/>
        </w:trPr>
        <w:tc>
          <w:tcPr>
            <w:tcW w:w="827" w:type="dxa"/>
            <w:vAlign w:val="center"/>
          </w:tcPr>
          <w:p w14:paraId="078F58A5">
            <w:pPr>
              <w:pStyle w:val="6"/>
              <w:pageBreakBefore w:val="0"/>
              <w:widowControl w:val="0"/>
              <w:numPr>
                <w:ilvl w:val="0"/>
                <w:numId w:val="0"/>
              </w:numPr>
              <w:overflowPunct/>
              <w:bidi w:val="0"/>
              <w:spacing w:line="360" w:lineRule="auto"/>
              <w:ind w:left="0" w:leftChars="0" w:firstLine="0" w:firstLineChars="0"/>
              <w:jc w:val="center"/>
              <w:outlineLvl w:val="1"/>
              <w:rPr>
                <w:rFonts w:hint="eastAsia" w:ascii="宋体" w:hAnsi="宋体" w:eastAsia="宋体" w:cs="宋体"/>
                <w:color w:val="auto"/>
                <w:sz w:val="24"/>
                <w:szCs w:val="24"/>
              </w:rPr>
            </w:pPr>
            <w:r>
              <w:rPr>
                <w:rFonts w:hint="eastAsia" w:ascii="宋体" w:hAnsi="宋体" w:eastAsia="宋体" w:cs="宋体"/>
                <w:b w:val="0"/>
                <w:bCs w:val="0"/>
                <w:color w:val="auto"/>
                <w:spacing w:val="6"/>
                <w:sz w:val="24"/>
                <w:szCs w:val="24"/>
                <w:vertAlign w:val="baseline"/>
                <w:lang w:val="en-US" w:eastAsia="zh-CN"/>
              </w:rPr>
              <w:t>包2</w:t>
            </w:r>
          </w:p>
        </w:tc>
        <w:tc>
          <w:tcPr>
            <w:tcW w:w="3685" w:type="dxa"/>
            <w:vAlign w:val="center"/>
          </w:tcPr>
          <w:p w14:paraId="6F47BFAC">
            <w:pPr>
              <w:pStyle w:val="6"/>
              <w:pageBreakBefore w:val="0"/>
              <w:widowControl w:val="0"/>
              <w:numPr>
                <w:ilvl w:val="0"/>
                <w:numId w:val="0"/>
              </w:numPr>
              <w:overflowPunct/>
              <w:bidi w:val="0"/>
              <w:spacing w:line="360" w:lineRule="auto"/>
              <w:ind w:left="0" w:leftChars="0" w:firstLine="0" w:firstLineChars="0"/>
              <w:jc w:val="center"/>
              <w:outlineLvl w:val="1"/>
              <w:rPr>
                <w:rFonts w:hint="eastAsia" w:ascii="宋体" w:hAnsi="宋体" w:eastAsia="宋体" w:cs="宋体"/>
                <w:b w:val="0"/>
                <w:bCs w:val="0"/>
                <w:color w:val="auto"/>
                <w:spacing w:val="6"/>
                <w:sz w:val="24"/>
                <w:szCs w:val="24"/>
                <w:vertAlign w:val="baseline"/>
                <w:lang w:val="en-US" w:eastAsia="zh-CN"/>
              </w:rPr>
            </w:pPr>
            <w:r>
              <w:rPr>
                <w:rFonts w:hint="eastAsia" w:ascii="宋体" w:hAnsi="宋体" w:eastAsia="宋体" w:cs="宋体"/>
                <w:b w:val="0"/>
                <w:bCs w:val="0"/>
                <w:color w:val="auto"/>
                <w:spacing w:val="6"/>
                <w:sz w:val="24"/>
                <w:szCs w:val="24"/>
                <w:vertAlign w:val="baseline"/>
                <w:lang w:val="en-US" w:eastAsia="zh-CN"/>
              </w:rPr>
              <w:t>肉类、禽类、水产、蛋类、豆制品、米粉、水果</w:t>
            </w:r>
          </w:p>
        </w:tc>
        <w:tc>
          <w:tcPr>
            <w:tcW w:w="736" w:type="dxa"/>
            <w:vAlign w:val="center"/>
          </w:tcPr>
          <w:p w14:paraId="5157DFF6">
            <w:pPr>
              <w:pageBreakBefore w:val="0"/>
              <w:overflowPunct/>
              <w:bidi w:val="0"/>
              <w:adjustRightInd w:val="0"/>
              <w:snapToGrid w:val="0"/>
              <w:spacing w:line="360" w:lineRule="auto"/>
              <w:jc w:val="center"/>
              <w:rPr>
                <w:rFonts w:hint="eastAsia"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3</w:t>
            </w:r>
          </w:p>
        </w:tc>
        <w:tc>
          <w:tcPr>
            <w:tcW w:w="824" w:type="dxa"/>
            <w:vAlign w:val="center"/>
          </w:tcPr>
          <w:p w14:paraId="4155D9BB">
            <w:pPr>
              <w:pageBreakBefore w:val="0"/>
              <w:overflowPunct/>
              <w:bidi w:val="0"/>
              <w:adjustRightInd w:val="0"/>
              <w:snapToGrid w:val="0"/>
              <w:spacing w:line="360" w:lineRule="auto"/>
              <w:jc w:val="center"/>
              <w:rPr>
                <w:rFonts w:hint="eastAsia"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年</w:t>
            </w:r>
          </w:p>
        </w:tc>
        <w:tc>
          <w:tcPr>
            <w:tcW w:w="2025" w:type="dxa"/>
            <w:vAlign w:val="center"/>
          </w:tcPr>
          <w:p w14:paraId="4B510675">
            <w:pPr>
              <w:pageBreakBefore w:val="0"/>
              <w:overflowPunct/>
              <w:bidi w:val="0"/>
              <w:adjustRightInd w:val="0"/>
              <w:snapToGrid w:val="0"/>
              <w:spacing w:line="360" w:lineRule="auto"/>
              <w:jc w:val="center"/>
              <w:rPr>
                <w:rFonts w:hint="default"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120</w:t>
            </w:r>
          </w:p>
        </w:tc>
        <w:tc>
          <w:tcPr>
            <w:tcW w:w="2343" w:type="dxa"/>
            <w:vAlign w:val="center"/>
          </w:tcPr>
          <w:p w14:paraId="2E259D52">
            <w:pPr>
              <w:pageBreakBefore w:val="0"/>
              <w:overflowPunct/>
              <w:bidi w:val="0"/>
              <w:adjustRightInd w:val="0"/>
              <w:snapToGrid w:val="0"/>
              <w:spacing w:line="360" w:lineRule="auto"/>
              <w:jc w:val="center"/>
              <w:rPr>
                <w:rFonts w:hint="default"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360</w:t>
            </w:r>
          </w:p>
        </w:tc>
      </w:tr>
      <w:tr w14:paraId="68489D82">
        <w:tblPrEx>
          <w:tblBorders>
            <w:top w:val="double" w:color="auto" w:sz="2" w:space="0"/>
            <w:left w:val="double" w:color="auto" w:sz="2" w:space="0"/>
            <w:bottom w:val="double" w:color="auto" w:sz="2" w:space="0"/>
            <w:right w:val="double" w:color="auto" w:sz="2" w:space="0"/>
            <w:insideH w:val="single" w:color="auto" w:sz="6" w:space="0"/>
            <w:insideV w:val="single" w:color="auto" w:sz="6" w:space="0"/>
          </w:tblBorders>
          <w:tblCellMar>
            <w:top w:w="0" w:type="dxa"/>
            <w:left w:w="108" w:type="dxa"/>
            <w:bottom w:w="0" w:type="dxa"/>
            <w:right w:w="108" w:type="dxa"/>
          </w:tblCellMar>
        </w:tblPrEx>
        <w:trPr>
          <w:trHeight w:val="1368" w:hRule="atLeast"/>
          <w:jc w:val="center"/>
        </w:trPr>
        <w:tc>
          <w:tcPr>
            <w:tcW w:w="10440" w:type="dxa"/>
            <w:gridSpan w:val="6"/>
            <w:vAlign w:val="center"/>
          </w:tcPr>
          <w:p w14:paraId="3417181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outlineLvl w:val="0"/>
              <w:rPr>
                <w:rFonts w:hint="eastAsia" w:ascii="宋体" w:hAnsi="宋体" w:eastAsia="宋体" w:cs="宋体"/>
                <w:b w:val="0"/>
                <w:bCs w:val="0"/>
                <w:color w:val="auto"/>
                <w:spacing w:val="-2"/>
                <w:sz w:val="21"/>
                <w:szCs w:val="21"/>
              </w:rPr>
            </w:pPr>
            <w:r>
              <w:rPr>
                <w:rFonts w:hint="eastAsia" w:ascii="宋体" w:hAnsi="宋体" w:eastAsia="宋体" w:cs="宋体"/>
                <w:color w:val="auto"/>
                <w:sz w:val="21"/>
                <w:szCs w:val="21"/>
                <w:lang w:val="en-US" w:eastAsia="zh-CN"/>
              </w:rPr>
              <w:t>说明：</w:t>
            </w:r>
            <w:r>
              <w:rPr>
                <w:rFonts w:hint="eastAsia" w:ascii="宋体" w:hAnsi="宋体" w:eastAsia="宋体" w:cs="宋体"/>
                <w:b w:val="0"/>
                <w:bCs w:val="0"/>
                <w:color w:val="auto"/>
                <w:spacing w:val="-2"/>
                <w:sz w:val="21"/>
                <w:szCs w:val="21"/>
                <w:lang w:val="en-US" w:eastAsia="zh-CN"/>
              </w:rPr>
              <w:t>1.</w:t>
            </w:r>
            <w:r>
              <w:rPr>
                <w:rFonts w:hint="eastAsia" w:ascii="宋体" w:hAnsi="宋体" w:eastAsia="宋体" w:cs="宋体"/>
                <w:b w:val="0"/>
                <w:bCs w:val="0"/>
                <w:color w:val="auto"/>
                <w:spacing w:val="-2"/>
                <w:sz w:val="21"/>
                <w:szCs w:val="21"/>
              </w:rPr>
              <w:t>本项目拒绝进口产品。</w:t>
            </w:r>
          </w:p>
          <w:p w14:paraId="7456E28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outlineLvl w:val="0"/>
              <w:rPr>
                <w:rFonts w:hint="eastAsia" w:ascii="宋体" w:hAnsi="宋体" w:eastAsia="宋体" w:cs="宋体"/>
                <w:b w:val="0"/>
                <w:bCs w:val="0"/>
                <w:color w:val="auto"/>
                <w:spacing w:val="-3"/>
                <w:sz w:val="21"/>
                <w:szCs w:val="21"/>
                <w:lang w:val="en-US" w:eastAsia="zh-CN"/>
              </w:rPr>
            </w:pPr>
            <w:r>
              <w:rPr>
                <w:rFonts w:hint="eastAsia" w:ascii="宋体" w:hAnsi="宋体" w:eastAsia="宋体" w:cs="宋体"/>
                <w:b w:val="0"/>
                <w:bCs w:val="0"/>
                <w:color w:val="auto"/>
                <w:spacing w:val="-2"/>
                <w:sz w:val="21"/>
                <w:szCs w:val="21"/>
                <w:lang w:val="en-US" w:eastAsia="zh-CN"/>
              </w:rPr>
              <w:t>2.</w:t>
            </w:r>
            <w:r>
              <w:rPr>
                <w:rFonts w:hint="eastAsia" w:ascii="宋体" w:hAnsi="宋体" w:eastAsia="宋体" w:cs="宋体"/>
                <w:color w:val="auto"/>
                <w:kern w:val="0"/>
                <w:sz w:val="21"/>
                <w:szCs w:val="21"/>
                <w:lang w:val="en-US" w:eastAsia="zh-CN" w:bidi="ar"/>
              </w:rPr>
              <w:t>本项目分为两个包，投标人必须对一个完整、独立的包进行投标，不得仅对一个包中的部分品目投标， 否则投标无效。同一投标人只能就本招标项目最多1个包投标，多投包的，该投标人所投包均无效。</w:t>
            </w:r>
          </w:p>
          <w:p w14:paraId="28C4A8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240" w:lineRule="auto"/>
              <w:jc w:val="left"/>
              <w:outlineLvl w:val="0"/>
              <w:rPr>
                <w:rFonts w:hint="eastAsia" w:ascii="宋体" w:hAnsi="宋体" w:eastAsia="宋体" w:cs="宋体"/>
                <w:color w:val="auto"/>
                <w:sz w:val="24"/>
                <w:szCs w:val="24"/>
                <w:lang w:val="en-US" w:eastAsia="zh-CN"/>
              </w:rPr>
            </w:pPr>
            <w:r>
              <w:rPr>
                <w:rFonts w:hint="eastAsia" w:ascii="宋体" w:hAnsi="宋体" w:eastAsia="宋体" w:cs="宋体"/>
                <w:b w:val="0"/>
                <w:bCs w:val="0"/>
                <w:color w:val="auto"/>
                <w:spacing w:val="-2"/>
                <w:sz w:val="21"/>
                <w:szCs w:val="21"/>
                <w:lang w:val="en-US" w:eastAsia="zh-CN"/>
              </w:rPr>
              <w:t>3.</w:t>
            </w:r>
            <w:r>
              <w:rPr>
                <w:rFonts w:hint="eastAsia" w:ascii="宋体" w:hAnsi="宋体" w:eastAsia="宋体" w:cs="宋体"/>
                <w:b w:val="0"/>
                <w:bCs w:val="0"/>
                <w:color w:val="auto"/>
                <w:spacing w:val="-2"/>
                <w:sz w:val="21"/>
                <w:szCs w:val="21"/>
              </w:rPr>
              <w:t>上述所有包预算价格仅在投标时作为投标包金额参考依据，不做结算依据，按实际配送数量</w:t>
            </w:r>
            <w:r>
              <w:rPr>
                <w:rFonts w:hint="eastAsia" w:ascii="宋体" w:hAnsi="宋体" w:eastAsia="宋体" w:cs="宋体"/>
                <w:b w:val="0"/>
                <w:bCs w:val="0"/>
                <w:color w:val="auto"/>
                <w:spacing w:val="-11"/>
                <w:sz w:val="21"/>
                <w:szCs w:val="21"/>
              </w:rPr>
              <w:t>结算</w:t>
            </w:r>
            <w:r>
              <w:rPr>
                <w:rFonts w:hint="eastAsia" w:ascii="宋体" w:hAnsi="宋体" w:eastAsia="宋体" w:cs="宋体"/>
                <w:b w:val="0"/>
                <w:bCs w:val="0"/>
                <w:color w:val="auto"/>
                <w:spacing w:val="-11"/>
                <w:sz w:val="24"/>
                <w:szCs w:val="24"/>
              </w:rPr>
              <w:t>。</w:t>
            </w:r>
          </w:p>
        </w:tc>
      </w:tr>
    </w:tbl>
    <w:p w14:paraId="6CC3935A">
      <w:pPr>
        <w:pageBreakBefore w:val="0"/>
        <w:overflowPunct/>
        <w:bidi w:val="0"/>
        <w:adjustRightInd w:val="0"/>
        <w:snapToGrid w:val="0"/>
        <w:spacing w:line="360" w:lineRule="auto"/>
        <w:rPr>
          <w:rFonts w:hint="eastAsia" w:ascii="宋体" w:hAnsi="宋体" w:eastAsia="宋体" w:cs="宋体"/>
          <w:color w:val="auto"/>
          <w:sz w:val="24"/>
          <w:szCs w:val="24"/>
        </w:rPr>
      </w:pPr>
    </w:p>
    <w:p w14:paraId="3AC800C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0"/>
        <w:jc w:val="left"/>
        <w:rPr>
          <w:rFonts w:hint="eastAsia" w:ascii="宋体" w:hAnsi="宋体" w:eastAsia="宋体" w:cs="宋体"/>
          <w:i w:val="0"/>
          <w:iCs w:val="0"/>
          <w:color w:val="auto"/>
          <w:spacing w:val="0"/>
          <w:sz w:val="24"/>
          <w:szCs w:val="24"/>
        </w:rPr>
      </w:pPr>
      <w:bookmarkStart w:id="2" w:name="_Toc7753"/>
      <w:bookmarkStart w:id="3" w:name="_Toc27684"/>
      <w:r>
        <w:rPr>
          <w:rFonts w:hint="eastAsia" w:ascii="宋体" w:hAnsi="宋体" w:eastAsia="宋体" w:cs="宋体"/>
          <w:i w:val="0"/>
          <w:iCs w:val="0"/>
          <w:color w:val="auto"/>
          <w:spacing w:val="0"/>
          <w:sz w:val="24"/>
          <w:szCs w:val="24"/>
          <w:shd w:val="clear" w:fill="FFFFFF"/>
          <w:lang w:val="en-US" w:eastAsia="zh-CN"/>
        </w:rPr>
        <w:t>三</w:t>
      </w:r>
      <w:r>
        <w:rPr>
          <w:rFonts w:hint="eastAsia" w:ascii="宋体" w:hAnsi="宋体" w:eastAsia="宋体" w:cs="宋体"/>
          <w:i w:val="0"/>
          <w:iCs w:val="0"/>
          <w:color w:val="auto"/>
          <w:spacing w:val="0"/>
          <w:sz w:val="24"/>
          <w:szCs w:val="24"/>
          <w:shd w:val="clear" w:fill="FFFFFF"/>
        </w:rPr>
        <w:t>、投标人的资格要求：</w:t>
      </w:r>
    </w:p>
    <w:p w14:paraId="423C1ED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500" w:lineRule="exact"/>
        <w:ind w:left="0" w:right="0" w:firstLine="0"/>
        <w:jc w:val="left"/>
        <w:rPr>
          <w:rFonts w:hint="eastAsia" w:ascii="宋体" w:hAnsi="宋体" w:eastAsia="宋体" w:cs="宋体"/>
          <w:i w:val="0"/>
          <w:iCs w:val="0"/>
          <w:color w:val="auto"/>
          <w:spacing w:val="0"/>
          <w:kern w:val="0"/>
          <w:sz w:val="24"/>
          <w:szCs w:val="24"/>
          <w:shd w:val="clear" w:fill="FFFFFF"/>
          <w:lang w:val="en-US" w:eastAsia="zh-CN" w:bidi="ar"/>
        </w:rPr>
      </w:pPr>
      <w:r>
        <w:rPr>
          <w:rFonts w:hint="eastAsia" w:ascii="宋体" w:hAnsi="宋体" w:eastAsia="宋体" w:cs="宋体"/>
          <w:i w:val="0"/>
          <w:iCs w:val="0"/>
          <w:color w:val="auto"/>
          <w:spacing w:val="0"/>
          <w:kern w:val="0"/>
          <w:sz w:val="24"/>
          <w:szCs w:val="24"/>
          <w:shd w:val="clear" w:fill="FFFFFF"/>
          <w:lang w:val="en-US" w:eastAsia="zh-CN" w:bidi="ar"/>
        </w:rPr>
        <w:t>1、投标人的基本资格条件：</w:t>
      </w:r>
    </w:p>
    <w:p w14:paraId="79DC12E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500" w:lineRule="exact"/>
        <w:ind w:left="0" w:right="0" w:firstLine="0"/>
        <w:jc w:val="left"/>
        <w:rPr>
          <w:rFonts w:hint="eastAsia" w:ascii="宋体" w:hAnsi="宋体" w:eastAsia="宋体" w:cs="宋体"/>
          <w:i w:val="0"/>
          <w:iCs w:val="0"/>
          <w:color w:val="auto"/>
          <w:spacing w:val="0"/>
          <w:kern w:val="0"/>
          <w:sz w:val="24"/>
          <w:szCs w:val="24"/>
          <w:shd w:val="clear" w:fill="FFFFFF"/>
          <w:lang w:val="en-US" w:eastAsia="zh-CN" w:bidi="ar"/>
        </w:rPr>
      </w:pPr>
      <w:r>
        <w:rPr>
          <w:rFonts w:hint="eastAsia" w:ascii="宋体" w:hAnsi="宋体" w:eastAsia="宋体" w:cs="宋体"/>
          <w:i w:val="0"/>
          <w:iCs w:val="0"/>
          <w:color w:val="auto"/>
          <w:spacing w:val="0"/>
          <w:kern w:val="0"/>
          <w:sz w:val="24"/>
          <w:szCs w:val="24"/>
          <w:shd w:val="clear" w:fill="FFFFFF"/>
          <w:lang w:val="en-US" w:eastAsia="zh-CN" w:bidi="ar"/>
        </w:rPr>
        <w:t>（1）投标人应持有有效期内的《营业执照》，且应当符合以下规定：</w:t>
      </w:r>
    </w:p>
    <w:p w14:paraId="55284A6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500" w:lineRule="exact"/>
        <w:ind w:left="0" w:right="0" w:firstLine="480" w:firstLineChars="200"/>
        <w:jc w:val="left"/>
        <w:rPr>
          <w:rFonts w:hint="eastAsia" w:ascii="宋体" w:hAnsi="宋体" w:eastAsia="宋体" w:cs="宋体"/>
          <w:i w:val="0"/>
          <w:iCs w:val="0"/>
          <w:color w:val="auto"/>
          <w:spacing w:val="0"/>
          <w:kern w:val="0"/>
          <w:sz w:val="24"/>
          <w:szCs w:val="24"/>
          <w:shd w:val="clear" w:fill="FFFFFF"/>
          <w:lang w:val="en-US" w:eastAsia="zh-CN" w:bidi="ar"/>
        </w:rPr>
      </w:pPr>
      <w:r>
        <w:rPr>
          <w:rFonts w:hint="eastAsia" w:ascii="宋体" w:hAnsi="宋体" w:eastAsia="宋体" w:cs="宋体"/>
          <w:i w:val="0"/>
          <w:iCs w:val="0"/>
          <w:color w:val="auto"/>
          <w:spacing w:val="0"/>
          <w:kern w:val="0"/>
          <w:sz w:val="24"/>
          <w:szCs w:val="24"/>
          <w:shd w:val="clear" w:fill="FFFFFF"/>
          <w:lang w:val="en-US" w:eastAsia="zh-CN" w:bidi="ar"/>
        </w:rPr>
        <w:t>①具有独立承担民事责任的能力；</w:t>
      </w:r>
    </w:p>
    <w:p w14:paraId="132E3D4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500" w:lineRule="exact"/>
        <w:ind w:left="0" w:right="0" w:firstLine="480" w:firstLineChars="200"/>
        <w:jc w:val="left"/>
        <w:rPr>
          <w:rFonts w:hint="eastAsia" w:ascii="宋体" w:hAnsi="宋体" w:eastAsia="宋体" w:cs="宋体"/>
          <w:i w:val="0"/>
          <w:iCs w:val="0"/>
          <w:color w:val="auto"/>
          <w:spacing w:val="0"/>
          <w:kern w:val="0"/>
          <w:sz w:val="24"/>
          <w:szCs w:val="24"/>
          <w:shd w:val="clear" w:fill="FFFFFF"/>
          <w:lang w:val="en-US" w:eastAsia="zh-CN" w:bidi="ar"/>
        </w:rPr>
      </w:pPr>
      <w:r>
        <w:rPr>
          <w:rFonts w:hint="eastAsia" w:ascii="宋体" w:hAnsi="宋体" w:eastAsia="宋体" w:cs="宋体"/>
          <w:i w:val="0"/>
          <w:iCs w:val="0"/>
          <w:color w:val="auto"/>
          <w:spacing w:val="0"/>
          <w:kern w:val="0"/>
          <w:sz w:val="24"/>
          <w:szCs w:val="24"/>
          <w:shd w:val="clear" w:fill="FFFFFF"/>
          <w:lang w:val="en-US" w:eastAsia="zh-CN" w:bidi="ar"/>
        </w:rPr>
        <w:t>②具有良好的商业信誉和健全的财务会计制度；</w:t>
      </w:r>
    </w:p>
    <w:p w14:paraId="4B58B94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500" w:lineRule="exact"/>
        <w:ind w:left="0" w:right="0" w:firstLine="480" w:firstLineChars="200"/>
        <w:jc w:val="left"/>
        <w:rPr>
          <w:rFonts w:hint="eastAsia" w:ascii="宋体" w:hAnsi="宋体" w:eastAsia="宋体" w:cs="宋体"/>
          <w:i w:val="0"/>
          <w:iCs w:val="0"/>
          <w:color w:val="auto"/>
          <w:spacing w:val="0"/>
          <w:kern w:val="0"/>
          <w:sz w:val="24"/>
          <w:szCs w:val="24"/>
          <w:shd w:val="clear" w:fill="FFFFFF"/>
          <w:lang w:val="en-US" w:eastAsia="zh-CN" w:bidi="ar"/>
        </w:rPr>
      </w:pPr>
      <w:r>
        <w:rPr>
          <w:rFonts w:hint="eastAsia" w:ascii="宋体" w:hAnsi="宋体" w:eastAsia="宋体" w:cs="宋体"/>
          <w:i w:val="0"/>
          <w:iCs w:val="0"/>
          <w:color w:val="auto"/>
          <w:spacing w:val="0"/>
          <w:kern w:val="0"/>
          <w:sz w:val="24"/>
          <w:szCs w:val="24"/>
          <w:shd w:val="clear" w:fill="FFFFFF"/>
          <w:lang w:val="en-US" w:eastAsia="zh-CN" w:bidi="ar"/>
        </w:rPr>
        <w:t>③有依法缴纳税收和社会保障资金的良好记录；</w:t>
      </w:r>
    </w:p>
    <w:p w14:paraId="221E530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wordWrap/>
        <w:overflowPunct/>
        <w:topLinePunct w:val="0"/>
        <w:autoSpaceDE/>
        <w:autoSpaceDN/>
        <w:bidi w:val="0"/>
        <w:adjustRightInd/>
        <w:snapToGrid/>
        <w:spacing w:beforeAutospacing="0" w:after="0" w:afterAutospacing="0" w:line="500" w:lineRule="exact"/>
        <w:ind w:left="0" w:right="0" w:firstLine="480" w:firstLineChars="200"/>
        <w:jc w:val="left"/>
        <w:rPr>
          <w:rFonts w:hint="eastAsia" w:ascii="宋体" w:hAnsi="宋体" w:eastAsia="宋体" w:cs="宋体"/>
          <w:i w:val="0"/>
          <w:color w:val="auto"/>
          <w:spacing w:val="0"/>
          <w:sz w:val="24"/>
          <w:shd w:val="clear" w:fill="FFFFFF"/>
          <w:lang w:val="en-US" w:eastAsia="zh-CN" w:bidi="ar"/>
        </w:rPr>
      </w:pPr>
      <w:r>
        <w:rPr>
          <w:rFonts w:hint="eastAsia" w:ascii="宋体" w:hAnsi="宋体" w:eastAsia="宋体" w:cs="宋体"/>
          <w:i w:val="0"/>
          <w:iCs w:val="0"/>
          <w:color w:val="auto"/>
          <w:spacing w:val="0"/>
          <w:kern w:val="0"/>
          <w:sz w:val="24"/>
          <w:szCs w:val="24"/>
          <w:shd w:val="clear" w:fill="FFFFFF"/>
          <w:lang w:val="en-US" w:eastAsia="zh-CN" w:bidi="ar"/>
        </w:rPr>
        <w:t>④参加采购活动前三年内，在经营活动中没有重大违法记录；</w:t>
      </w:r>
    </w:p>
    <w:p w14:paraId="7C03B13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500" w:lineRule="exact"/>
        <w:ind w:left="0" w:right="0" w:firstLine="480" w:firstLineChars="200"/>
        <w:jc w:val="left"/>
        <w:rPr>
          <w:rFonts w:hint="eastAsia" w:ascii="宋体" w:hAnsi="宋体" w:eastAsia="宋体" w:cs="宋体"/>
          <w:i w:val="0"/>
          <w:iCs w:val="0"/>
          <w:color w:val="auto"/>
          <w:spacing w:val="0"/>
          <w:kern w:val="0"/>
          <w:sz w:val="24"/>
          <w:szCs w:val="24"/>
          <w:shd w:val="clear" w:fill="FFFFFF"/>
          <w:lang w:val="en-US" w:eastAsia="zh-CN" w:bidi="ar"/>
        </w:rPr>
      </w:pPr>
      <w:r>
        <w:rPr>
          <w:rFonts w:hint="eastAsia" w:ascii="宋体" w:hAnsi="宋体" w:eastAsia="宋体" w:cs="宋体"/>
          <w:i w:val="0"/>
          <w:iCs w:val="0"/>
          <w:color w:val="auto"/>
          <w:spacing w:val="0"/>
          <w:kern w:val="0"/>
          <w:sz w:val="24"/>
          <w:szCs w:val="24"/>
          <w:shd w:val="clear" w:fill="FFFFFF"/>
          <w:lang w:val="en-US" w:eastAsia="zh-CN" w:bidi="ar"/>
        </w:rPr>
        <w:t>⑤法律、行政法规规定的其他条件。</w:t>
      </w:r>
    </w:p>
    <w:p w14:paraId="77C9E59B">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500" w:lineRule="exact"/>
        <w:ind w:right="0"/>
        <w:jc w:val="left"/>
        <w:rPr>
          <w:rFonts w:hint="eastAsia" w:ascii="宋体" w:hAnsi="宋体" w:eastAsia="宋体" w:cs="宋体"/>
          <w:i w:val="0"/>
          <w:iCs w:val="0"/>
          <w:color w:val="auto"/>
          <w:spacing w:val="0"/>
          <w:kern w:val="0"/>
          <w:sz w:val="24"/>
          <w:szCs w:val="24"/>
          <w:shd w:val="clear" w:fill="FFFFFF"/>
          <w:lang w:val="en-US" w:eastAsia="zh-CN" w:bidi="ar"/>
        </w:rPr>
      </w:pPr>
      <w:r>
        <w:rPr>
          <w:rFonts w:hint="eastAsia" w:ascii="宋体" w:hAnsi="宋体" w:eastAsia="宋体" w:cs="宋体"/>
          <w:b w:val="0"/>
          <w:bCs w:val="0"/>
          <w:color w:val="auto"/>
          <w:spacing w:val="6"/>
          <w:sz w:val="24"/>
          <w:szCs w:val="24"/>
          <w:vertAlign w:val="baseline"/>
          <w:lang w:val="en-US" w:eastAsia="zh-CN"/>
        </w:rPr>
        <w:t>包1：</w:t>
      </w:r>
      <w:r>
        <w:rPr>
          <w:rFonts w:hint="eastAsia" w:ascii="宋体" w:hAnsi="宋体" w:eastAsia="宋体" w:cs="宋体"/>
          <w:i w:val="0"/>
          <w:iCs w:val="0"/>
          <w:color w:val="auto"/>
          <w:spacing w:val="0"/>
          <w:kern w:val="0"/>
          <w:sz w:val="24"/>
          <w:szCs w:val="24"/>
          <w:shd w:val="clear" w:fill="FFFFFF"/>
          <w:lang w:val="en-US" w:eastAsia="zh-CN" w:bidi="ar"/>
        </w:rPr>
        <w:t>投标人应持有有效期内的《食品经营许可证》；并提供有效期内的《食品生产许可证》或所投产品粮油主食类（大米、食用油、米粉、面粉等）生产企业有效期内的《食品生产许可证》。</w:t>
      </w:r>
    </w:p>
    <w:p w14:paraId="1236DA9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500" w:lineRule="exact"/>
        <w:ind w:right="0" w:rightChars="0" w:firstLine="504" w:firstLineChars="200"/>
        <w:jc w:val="left"/>
        <w:rPr>
          <w:rFonts w:hint="eastAsia" w:ascii="宋体" w:hAnsi="宋体" w:eastAsia="宋体" w:cs="宋体"/>
          <w:b w:val="0"/>
          <w:bCs w:val="0"/>
          <w:color w:val="auto"/>
          <w:spacing w:val="6"/>
          <w:sz w:val="24"/>
          <w:szCs w:val="24"/>
          <w:vertAlign w:val="baseline"/>
          <w:lang w:val="en-US" w:eastAsia="zh-CN"/>
        </w:rPr>
      </w:pPr>
      <w:r>
        <w:rPr>
          <w:rFonts w:hint="eastAsia" w:ascii="宋体" w:hAnsi="宋体" w:eastAsia="宋体" w:cs="宋体"/>
          <w:b w:val="0"/>
          <w:bCs w:val="0"/>
          <w:color w:val="auto"/>
          <w:spacing w:val="6"/>
          <w:sz w:val="24"/>
          <w:szCs w:val="24"/>
          <w:vertAlign w:val="baseline"/>
          <w:lang w:val="en-US" w:eastAsia="zh-CN"/>
        </w:rPr>
        <w:t>包2：投标人应持有有效期内的《食品经营许可证</w:t>
      </w:r>
      <w:r>
        <w:rPr>
          <w:rFonts w:hint="eastAsia" w:ascii="宋体" w:hAnsi="宋体" w:eastAsia="宋体" w:cs="宋体"/>
          <w:i w:val="0"/>
          <w:iCs w:val="0"/>
          <w:color w:val="auto"/>
          <w:spacing w:val="0"/>
          <w:kern w:val="0"/>
          <w:sz w:val="24"/>
          <w:szCs w:val="24"/>
          <w:shd w:val="clear" w:fill="FFFFFF"/>
          <w:lang w:val="en-US" w:eastAsia="zh-CN" w:bidi="ar"/>
        </w:rPr>
        <w:t>》；</w:t>
      </w:r>
      <w:r>
        <w:rPr>
          <w:rFonts w:hint="eastAsia" w:ascii="宋体" w:hAnsi="宋体" w:eastAsia="宋体" w:cs="宋体"/>
          <w:b w:val="0"/>
          <w:bCs w:val="0"/>
          <w:color w:val="auto"/>
          <w:spacing w:val="6"/>
          <w:sz w:val="24"/>
          <w:szCs w:val="24"/>
          <w:vertAlign w:val="baseline"/>
          <w:lang w:val="en-US" w:eastAsia="zh-CN"/>
        </w:rPr>
        <w:t>并提供有效期内的《食品生产许可证》或所投产品粮油主食类（大米、食用油、米粉、面粉等）生产企业有效期内的《食品生产许可证</w:t>
      </w:r>
      <w:r>
        <w:rPr>
          <w:rFonts w:hint="eastAsia" w:ascii="宋体" w:hAnsi="宋体" w:eastAsia="宋体" w:cs="宋体"/>
          <w:i w:val="0"/>
          <w:iCs w:val="0"/>
          <w:color w:val="auto"/>
          <w:spacing w:val="0"/>
          <w:kern w:val="0"/>
          <w:sz w:val="24"/>
          <w:szCs w:val="24"/>
          <w:shd w:val="clear" w:fill="FFFFFF"/>
          <w:lang w:val="en-US" w:eastAsia="zh-CN" w:bidi="ar"/>
        </w:rPr>
        <w:t>》。</w:t>
      </w:r>
    </w:p>
    <w:p w14:paraId="2693700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500" w:lineRule="exact"/>
        <w:ind w:right="0"/>
        <w:jc w:val="left"/>
        <w:rPr>
          <w:rFonts w:hint="eastAsia" w:ascii="宋体" w:hAnsi="宋体" w:eastAsia="宋体" w:cs="宋体"/>
          <w:i w:val="0"/>
          <w:iCs w:val="0"/>
          <w:color w:val="auto"/>
          <w:spacing w:val="0"/>
          <w:kern w:val="0"/>
          <w:sz w:val="24"/>
          <w:szCs w:val="24"/>
          <w:shd w:val="clear" w:fill="FFFFFF"/>
          <w:lang w:val="en-US" w:eastAsia="zh-CN" w:bidi="ar"/>
        </w:rPr>
      </w:pPr>
      <w:r>
        <w:rPr>
          <w:rFonts w:hint="eastAsia" w:ascii="宋体" w:hAnsi="宋体" w:eastAsia="宋体" w:cs="宋体"/>
          <w:i w:val="0"/>
          <w:iCs w:val="0"/>
          <w:color w:val="auto"/>
          <w:spacing w:val="0"/>
          <w:kern w:val="0"/>
          <w:sz w:val="24"/>
          <w:szCs w:val="24"/>
          <w:shd w:val="clear" w:fill="FFFFFF"/>
          <w:lang w:val="en-US" w:eastAsia="zh-CN" w:bidi="ar"/>
        </w:rPr>
        <w:t>（3）投标人必须拥有固定符合食品安全要求的经营场所,具备较强的经营、生产、粗加工、配送能力。</w:t>
      </w:r>
    </w:p>
    <w:p w14:paraId="04F3B5F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500" w:lineRule="exact"/>
        <w:ind w:left="0" w:right="0" w:firstLine="0"/>
        <w:jc w:val="left"/>
        <w:rPr>
          <w:rFonts w:hint="eastAsia" w:ascii="宋体" w:hAnsi="宋体" w:eastAsia="宋体" w:cs="宋体"/>
          <w:i w:val="0"/>
          <w:iCs w:val="0"/>
          <w:color w:val="auto"/>
          <w:spacing w:val="0"/>
          <w:sz w:val="24"/>
          <w:szCs w:val="24"/>
        </w:rPr>
      </w:pPr>
      <w:r>
        <w:rPr>
          <w:rFonts w:hint="eastAsia" w:ascii="宋体" w:hAnsi="宋体" w:eastAsia="宋体" w:cs="宋体"/>
          <w:i w:val="0"/>
          <w:iCs w:val="0"/>
          <w:color w:val="auto"/>
          <w:spacing w:val="0"/>
          <w:kern w:val="0"/>
          <w:sz w:val="24"/>
          <w:szCs w:val="24"/>
          <w:shd w:val="clear" w:fill="FFFFFF"/>
          <w:lang w:val="en-US" w:eastAsia="zh-CN" w:bidi="ar"/>
        </w:rPr>
        <w:t>2、单位负责人为同一人或者存在直接控股、管理关系的不同投标人，不得参加同一合同项下的政府采购活动。</w:t>
      </w:r>
    </w:p>
    <w:p w14:paraId="313F9DE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500" w:lineRule="exact"/>
        <w:ind w:left="0" w:right="0" w:firstLine="0"/>
        <w:jc w:val="left"/>
        <w:rPr>
          <w:rFonts w:hint="eastAsia" w:ascii="宋体" w:hAnsi="宋体" w:eastAsia="宋体" w:cs="宋体"/>
          <w:i w:val="0"/>
          <w:iCs w:val="0"/>
          <w:color w:val="auto"/>
          <w:spacing w:val="0"/>
          <w:sz w:val="24"/>
          <w:szCs w:val="24"/>
        </w:rPr>
      </w:pPr>
      <w:r>
        <w:rPr>
          <w:rFonts w:hint="eastAsia" w:ascii="宋体" w:hAnsi="宋体" w:eastAsia="宋体" w:cs="宋体"/>
          <w:i w:val="0"/>
          <w:iCs w:val="0"/>
          <w:color w:val="auto"/>
          <w:spacing w:val="0"/>
          <w:kern w:val="0"/>
          <w:sz w:val="24"/>
          <w:szCs w:val="24"/>
          <w:shd w:val="clear" w:fill="FFFFFF"/>
          <w:lang w:val="en-US" w:eastAsia="zh-CN" w:bidi="ar"/>
        </w:rPr>
        <w:t>3、为本采购项目提供整体设计、规范编制或者项目管理、监理、检测等服务的，不得再参加此项目的其他采购活动。</w:t>
      </w:r>
    </w:p>
    <w:p w14:paraId="3C508EA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500" w:lineRule="exact"/>
        <w:ind w:left="0" w:right="0" w:firstLine="0"/>
        <w:jc w:val="left"/>
        <w:rPr>
          <w:rFonts w:hint="eastAsia" w:ascii="宋体" w:hAnsi="宋体" w:eastAsia="宋体" w:cs="宋体"/>
          <w:i w:val="0"/>
          <w:iCs w:val="0"/>
          <w:color w:val="auto"/>
          <w:spacing w:val="0"/>
          <w:sz w:val="24"/>
          <w:szCs w:val="24"/>
        </w:rPr>
      </w:pPr>
      <w:r>
        <w:rPr>
          <w:rFonts w:hint="eastAsia" w:ascii="宋体" w:hAnsi="宋体" w:eastAsia="宋体" w:cs="宋体"/>
          <w:i w:val="0"/>
          <w:iCs w:val="0"/>
          <w:color w:val="auto"/>
          <w:spacing w:val="0"/>
          <w:kern w:val="0"/>
          <w:sz w:val="24"/>
          <w:szCs w:val="24"/>
          <w:shd w:val="clear" w:fill="FFFFFF"/>
          <w:lang w:val="en-US" w:eastAsia="zh-CN" w:bidi="ar"/>
        </w:rPr>
        <w:t>4、列入失信被执行人、重大税收违法失信主体名单、政府采购严重违法失信行为记录名单的，拒绝其参与政府采购活动。</w:t>
      </w:r>
    </w:p>
    <w:p w14:paraId="48F6E00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500" w:lineRule="exact"/>
        <w:ind w:left="0" w:right="0" w:firstLine="0"/>
        <w:jc w:val="left"/>
        <w:rPr>
          <w:rFonts w:hint="eastAsia" w:ascii="宋体" w:hAnsi="宋体" w:eastAsia="宋体" w:cs="宋体"/>
          <w:i w:val="0"/>
          <w:iCs w:val="0"/>
          <w:color w:val="auto"/>
          <w:spacing w:val="0"/>
          <w:kern w:val="0"/>
          <w:sz w:val="24"/>
          <w:szCs w:val="24"/>
          <w:shd w:val="clear" w:fill="FFFFFF"/>
          <w:lang w:val="en-US" w:eastAsia="zh-CN" w:bidi="ar"/>
        </w:rPr>
      </w:pPr>
      <w:r>
        <w:rPr>
          <w:rFonts w:hint="eastAsia" w:ascii="宋体" w:hAnsi="宋体" w:eastAsia="宋体" w:cs="宋体"/>
          <w:i w:val="0"/>
          <w:iCs w:val="0"/>
          <w:color w:val="auto"/>
          <w:spacing w:val="0"/>
          <w:kern w:val="0"/>
          <w:sz w:val="24"/>
          <w:szCs w:val="24"/>
          <w:shd w:val="clear" w:fill="FFFFFF"/>
          <w:lang w:val="en-US" w:eastAsia="zh-CN" w:bidi="ar"/>
        </w:rPr>
        <w:t>5、联合体投标。本次招标不接受联合体投标。</w:t>
      </w:r>
    </w:p>
    <w:bookmarkEnd w:id="2"/>
    <w:bookmarkEnd w:id="3"/>
    <w:p w14:paraId="0B397FC5">
      <w:pPr>
        <w:keepNext/>
        <w:keepLines/>
        <w:pageBreakBefore w:val="0"/>
        <w:overflowPunct/>
        <w:bidi w:val="0"/>
        <w:adjustRightInd w:val="0"/>
        <w:snapToGrid w:val="0"/>
        <w:spacing w:line="360" w:lineRule="auto"/>
        <w:outlineLvl w:val="1"/>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五、获取招标文件应提交的证明材料及说明：</w:t>
      </w:r>
    </w:p>
    <w:p w14:paraId="75A5FAB0">
      <w:pPr>
        <w:pageBreakBefore w:val="0"/>
        <w:overflowPunct/>
        <w:bidi w:val="0"/>
        <w:adjustRightInd w:val="0"/>
        <w:snapToGrid w:val="0"/>
        <w:spacing w:line="500" w:lineRule="exact"/>
        <w:ind w:firstLine="480" w:firstLineChars="200"/>
        <w:rPr>
          <w:rFonts w:hint="eastAsia" w:ascii="宋体" w:hAnsi="宋体" w:eastAsia="宋体" w:cs="宋体"/>
          <w:bCs/>
          <w:color w:val="auto"/>
          <w:sz w:val="24"/>
          <w:szCs w:val="24"/>
          <w:lang w:val="en-US" w:eastAsia="zh-CN"/>
        </w:rPr>
      </w:pPr>
      <w:bookmarkStart w:id="4" w:name="_Toc14757"/>
      <w:bookmarkStart w:id="5" w:name="_Toc11073"/>
      <w:r>
        <w:rPr>
          <w:rFonts w:hint="eastAsia" w:ascii="宋体" w:hAnsi="宋体" w:eastAsia="宋体" w:cs="宋体"/>
          <w:bCs/>
          <w:color w:val="auto"/>
          <w:sz w:val="24"/>
          <w:szCs w:val="24"/>
          <w:lang w:val="en-US" w:eastAsia="zh-CN"/>
        </w:rPr>
        <w:t>凡有意参加投标者，请于2024年8月12日起至2024年8月20日（上午9:00时～12:00时，下午15：00时～17:00时持以下合法有效的资格证明文件购买招标文件：</w:t>
      </w:r>
    </w:p>
    <w:p w14:paraId="4B6C3544">
      <w:pPr>
        <w:pageBreakBefore w:val="0"/>
        <w:overflowPunct/>
        <w:bidi w:val="0"/>
        <w:adjustRightInd w:val="0"/>
        <w:snapToGrid w:val="0"/>
        <w:spacing w:line="50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1、提交法定代表人身份证明原件或者法定代表人授权委托书原件并附法定代表人身份证明复印件；</w:t>
      </w:r>
    </w:p>
    <w:p w14:paraId="6FA6C41F">
      <w:pPr>
        <w:pageBreakBefore w:val="0"/>
        <w:overflowPunct/>
        <w:bidi w:val="0"/>
        <w:adjustRightInd w:val="0"/>
        <w:snapToGrid w:val="0"/>
        <w:spacing w:line="50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2、提交营业执照复印件；</w:t>
      </w:r>
    </w:p>
    <w:p w14:paraId="534B2A6A">
      <w:pPr>
        <w:pageBreakBefore w:val="0"/>
        <w:overflowPunct/>
        <w:bidi w:val="0"/>
        <w:adjustRightInd w:val="0"/>
        <w:snapToGrid w:val="0"/>
        <w:spacing w:line="50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w:t>
      </w:r>
      <w:r>
        <w:rPr>
          <w:rFonts w:hint="eastAsia" w:ascii="宋体" w:hAnsi="宋体" w:eastAsia="宋体" w:cs="宋体"/>
          <w:i w:val="0"/>
          <w:iCs w:val="0"/>
          <w:color w:val="auto"/>
          <w:spacing w:val="0"/>
          <w:kern w:val="0"/>
          <w:sz w:val="24"/>
          <w:szCs w:val="24"/>
          <w:shd w:val="clear" w:fill="FFFFFF"/>
          <w:lang w:val="en-US" w:eastAsia="zh-CN" w:bidi="ar"/>
        </w:rPr>
        <w:t>具有良好的商业信誉和健全的财务会计制度；有依法缴纳税收和社会保障资金的良好记录；</w:t>
      </w:r>
      <w:r>
        <w:rPr>
          <w:rFonts w:hint="eastAsia" w:ascii="宋体" w:hAnsi="宋体" w:eastAsia="宋体" w:cs="宋体"/>
          <w:bCs/>
          <w:color w:val="auto"/>
          <w:sz w:val="24"/>
          <w:szCs w:val="24"/>
          <w:lang w:val="en-US" w:eastAsia="zh-CN"/>
        </w:rPr>
        <w:t>（需提供承诺函，格式自拟）；</w:t>
      </w:r>
    </w:p>
    <w:p w14:paraId="407FE83F">
      <w:pPr>
        <w:pageBreakBefore w:val="0"/>
        <w:overflowPunct/>
        <w:bidi w:val="0"/>
        <w:adjustRightInd w:val="0"/>
        <w:snapToGrid w:val="0"/>
        <w:spacing w:line="50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4、近三年内在经营活动中没有任何食品安全事故和重大违法记录的书面声明，投标人提供公告之日起通过“信用中国”网站(www.creditchina.gov.cn和中国政府采购网(www.ccgp.gov.cn)查询的信用记录网上打印件，应包括网站网址、查询内容、查询时间；</w:t>
      </w:r>
    </w:p>
    <w:p w14:paraId="05ABC91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500" w:lineRule="exact"/>
        <w:ind w:right="0" w:rightChars="0"/>
        <w:jc w:val="left"/>
        <w:rPr>
          <w:rFonts w:hint="eastAsia" w:ascii="宋体" w:hAnsi="宋体" w:eastAsia="宋体" w:cs="宋体"/>
          <w:i w:val="0"/>
          <w:iCs w:val="0"/>
          <w:color w:val="auto"/>
          <w:spacing w:val="0"/>
          <w:kern w:val="0"/>
          <w:sz w:val="24"/>
          <w:szCs w:val="24"/>
          <w:shd w:val="clear" w:fill="FFFFFF"/>
          <w:lang w:val="en-US" w:eastAsia="zh-CN" w:bidi="ar"/>
        </w:rPr>
      </w:pPr>
      <w:r>
        <w:rPr>
          <w:rFonts w:hint="eastAsia" w:ascii="宋体" w:hAnsi="宋体" w:eastAsia="宋体" w:cs="宋体"/>
          <w:bCs/>
          <w:color w:val="auto"/>
          <w:sz w:val="24"/>
          <w:szCs w:val="24"/>
          <w:lang w:val="en-US" w:eastAsia="zh-CN"/>
        </w:rPr>
        <w:t>5、</w:t>
      </w:r>
      <w:r>
        <w:rPr>
          <w:rFonts w:hint="eastAsia" w:ascii="宋体" w:hAnsi="宋体" w:eastAsia="宋体" w:cs="宋体"/>
          <w:b w:val="0"/>
          <w:bCs w:val="0"/>
          <w:color w:val="auto"/>
          <w:spacing w:val="6"/>
          <w:sz w:val="24"/>
          <w:szCs w:val="24"/>
          <w:vertAlign w:val="baseline"/>
          <w:lang w:val="en-US" w:eastAsia="zh-CN"/>
        </w:rPr>
        <w:t>包1：</w:t>
      </w:r>
      <w:r>
        <w:rPr>
          <w:rFonts w:hint="eastAsia" w:ascii="宋体" w:hAnsi="宋体" w:eastAsia="宋体" w:cs="宋体"/>
          <w:i w:val="0"/>
          <w:iCs w:val="0"/>
          <w:color w:val="auto"/>
          <w:spacing w:val="0"/>
          <w:kern w:val="0"/>
          <w:sz w:val="24"/>
          <w:szCs w:val="24"/>
          <w:shd w:val="clear" w:fill="FFFFFF"/>
          <w:lang w:val="en-US" w:eastAsia="zh-CN" w:bidi="ar"/>
        </w:rPr>
        <w:t>投标人应持有有效期内的《食品经营许可证》；并提供有效期内的《食品生产许可证》或所投产品粮油主食类（大米、食用油、米粉、面粉等）生产企业有效期内的《食品生产许可证》。</w:t>
      </w:r>
    </w:p>
    <w:p w14:paraId="3C97C8D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0" w:afterAutospacing="0" w:line="500" w:lineRule="exact"/>
        <w:ind w:right="0" w:rightChars="0" w:firstLine="252" w:firstLineChars="100"/>
        <w:jc w:val="left"/>
        <w:rPr>
          <w:rFonts w:hint="eastAsia" w:ascii="宋体" w:hAnsi="宋体" w:eastAsia="宋体" w:cs="宋体"/>
          <w:i w:val="0"/>
          <w:iCs w:val="0"/>
          <w:color w:val="auto"/>
          <w:spacing w:val="0"/>
          <w:kern w:val="0"/>
          <w:sz w:val="24"/>
          <w:szCs w:val="24"/>
          <w:shd w:val="clear" w:fill="FFFFFF"/>
          <w:lang w:val="en-US" w:eastAsia="zh-CN" w:bidi="ar"/>
        </w:rPr>
      </w:pPr>
      <w:r>
        <w:rPr>
          <w:rFonts w:hint="eastAsia" w:ascii="宋体" w:hAnsi="宋体" w:eastAsia="宋体" w:cs="宋体"/>
          <w:b w:val="0"/>
          <w:bCs w:val="0"/>
          <w:color w:val="auto"/>
          <w:spacing w:val="6"/>
          <w:sz w:val="24"/>
          <w:szCs w:val="24"/>
          <w:vertAlign w:val="baseline"/>
          <w:lang w:val="en-US" w:eastAsia="zh-CN"/>
        </w:rPr>
        <w:t>包2：投标人应持有有效期内的《食品经营许可证</w:t>
      </w:r>
      <w:r>
        <w:rPr>
          <w:rFonts w:hint="eastAsia" w:ascii="宋体" w:hAnsi="宋体" w:eastAsia="宋体" w:cs="宋体"/>
          <w:i w:val="0"/>
          <w:iCs w:val="0"/>
          <w:color w:val="auto"/>
          <w:spacing w:val="0"/>
          <w:kern w:val="0"/>
          <w:sz w:val="24"/>
          <w:szCs w:val="24"/>
          <w:shd w:val="clear" w:fill="FFFFFF"/>
          <w:lang w:val="en-US" w:eastAsia="zh-CN" w:bidi="ar"/>
        </w:rPr>
        <w:t>》；</w:t>
      </w:r>
      <w:r>
        <w:rPr>
          <w:rFonts w:hint="eastAsia" w:ascii="宋体" w:hAnsi="宋体" w:eastAsia="宋体" w:cs="宋体"/>
          <w:b w:val="0"/>
          <w:bCs w:val="0"/>
          <w:color w:val="auto"/>
          <w:spacing w:val="6"/>
          <w:sz w:val="24"/>
          <w:szCs w:val="24"/>
          <w:vertAlign w:val="baseline"/>
          <w:lang w:val="en-US" w:eastAsia="zh-CN"/>
        </w:rPr>
        <w:t>并提供有效期内的《食品生产许可证》或所投产品粮油主食类（大米、食用油、米粉、面粉等）生产企业有效期内的《食品生产许可证</w:t>
      </w:r>
      <w:r>
        <w:rPr>
          <w:rFonts w:hint="eastAsia" w:ascii="宋体" w:hAnsi="宋体" w:eastAsia="宋体" w:cs="宋体"/>
          <w:i w:val="0"/>
          <w:iCs w:val="0"/>
          <w:color w:val="auto"/>
          <w:spacing w:val="0"/>
          <w:kern w:val="0"/>
          <w:sz w:val="24"/>
          <w:szCs w:val="24"/>
          <w:shd w:val="clear" w:fill="FFFFFF"/>
          <w:lang w:val="en-US" w:eastAsia="zh-CN" w:bidi="ar"/>
        </w:rPr>
        <w:t>》。</w:t>
      </w:r>
    </w:p>
    <w:p w14:paraId="51D91434">
      <w:pPr>
        <w:pageBreakBefore w:val="0"/>
        <w:overflowPunct/>
        <w:bidi w:val="0"/>
        <w:adjustRightInd w:val="0"/>
        <w:snapToGrid w:val="0"/>
        <w:spacing w:line="500" w:lineRule="exact"/>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6、投标人必须拥有固定符合食品安全要求的经营场所,具备较强的经营、生产、粗加工、配送能力。（需提供承诺函，格式自拟）</w:t>
      </w:r>
    </w:p>
    <w:p w14:paraId="1316238A">
      <w:pPr>
        <w:pageBreakBefore w:val="0"/>
        <w:overflowPunct/>
        <w:bidi w:val="0"/>
        <w:adjustRightInd w:val="0"/>
        <w:snapToGrid w:val="0"/>
        <w:spacing w:line="50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注：上述所有资料查验原件后收复印件存档，复印件均指彩色扫描或复印件，所有复印件须加盖投标单位公章，且复印件字迹、公章印鉴清晰，不接受影印件印鉴。</w:t>
      </w:r>
    </w:p>
    <w:p w14:paraId="2C67079F">
      <w:pPr>
        <w:pageBreakBefore w:val="0"/>
        <w:overflowPunct/>
        <w:bidi w:val="0"/>
        <w:adjustRightInd w:val="0"/>
        <w:snapToGrid w:val="0"/>
        <w:spacing w:line="500" w:lineRule="exact"/>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获取招标文件的方式：现场购买</w:t>
      </w:r>
    </w:p>
    <w:p w14:paraId="59FD2518">
      <w:pPr>
        <w:pageBreakBefore w:val="0"/>
        <w:overflowPunct/>
        <w:bidi w:val="0"/>
        <w:adjustRightInd w:val="0"/>
        <w:snapToGrid w:val="0"/>
        <w:spacing w:line="500" w:lineRule="exact"/>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获取招标文件的地点：湖南中泰项目管理有限公司（衡阳市蒸湘区采霞街俊景花园6栋B单元1507室）</w:t>
      </w:r>
    </w:p>
    <w:p w14:paraId="0D209E9B">
      <w:pPr>
        <w:pageBreakBefore w:val="0"/>
        <w:overflowPunct/>
        <w:bidi w:val="0"/>
        <w:adjustRightInd w:val="0"/>
        <w:snapToGrid w:val="0"/>
        <w:spacing w:line="500" w:lineRule="exact"/>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招标文件售价：400元/份</w:t>
      </w:r>
    </w:p>
    <w:bookmarkEnd w:id="4"/>
    <w:bookmarkEnd w:id="5"/>
    <w:p w14:paraId="75E81ACE">
      <w:pPr>
        <w:pStyle w:val="3"/>
        <w:keepNext w:val="0"/>
        <w:keepLines w:val="0"/>
        <w:pageBreakBefore w:val="0"/>
        <w:widowControl/>
        <w:suppressLineNumbers w:val="0"/>
        <w:kinsoku/>
        <w:wordWrap/>
        <w:overflowPunct/>
        <w:topLinePunct w:val="0"/>
        <w:autoSpaceDE/>
        <w:autoSpaceDN/>
        <w:bidi w:val="0"/>
        <w:spacing w:before="0" w:after="0" w:afterAutospacing="0" w:line="360" w:lineRule="auto"/>
        <w:ind w:left="0" w:leftChars="0" w:firstLine="0" w:firstLineChars="0"/>
        <w:outlineLvl w:val="1"/>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文件提交的截止时间、开启时间及地点</w:t>
      </w:r>
    </w:p>
    <w:p w14:paraId="351C686B">
      <w:pPr>
        <w:pStyle w:val="11"/>
        <w:pageBreakBefore w:val="0"/>
        <w:overflowPunct/>
        <w:bidi w:val="0"/>
        <w:spacing w:beforeAutospacing="0" w:afterAutospacing="0" w:line="360" w:lineRule="auto"/>
        <w:rPr>
          <w:rFonts w:hint="eastAsia" w:ascii="宋体" w:hAnsi="宋体" w:eastAsia="宋体" w:cs="宋体"/>
          <w:color w:val="auto"/>
          <w:kern w:val="0"/>
          <w:sz w:val="24"/>
          <w:szCs w:val="24"/>
          <w:u w:val="none"/>
          <w:lang w:val="en-US" w:eastAsia="zh-CN" w:bidi="ar-SA"/>
        </w:rPr>
      </w:pPr>
      <w:bookmarkStart w:id="6" w:name="_Toc26060"/>
      <w:bookmarkStart w:id="7" w:name="_Toc29552"/>
      <w:r>
        <w:rPr>
          <w:rFonts w:hint="eastAsia" w:ascii="宋体" w:hAnsi="宋体" w:eastAsia="宋体" w:cs="宋体"/>
          <w:color w:val="auto"/>
          <w:kern w:val="0"/>
          <w:sz w:val="24"/>
          <w:szCs w:val="24"/>
          <w:u w:val="none"/>
          <w:lang w:val="en-US" w:eastAsia="zh-CN" w:bidi="ar-SA"/>
        </w:rPr>
        <w:t>1、提交投标文件的递交截止时间：2024年0</w:t>
      </w:r>
      <w:r>
        <w:rPr>
          <w:rFonts w:hint="eastAsia" w:eastAsia="宋体" w:cs="宋体"/>
          <w:color w:val="auto"/>
          <w:kern w:val="0"/>
          <w:sz w:val="24"/>
          <w:szCs w:val="24"/>
          <w:u w:val="none"/>
          <w:lang w:val="en-US" w:eastAsia="zh-CN" w:bidi="ar-SA"/>
        </w:rPr>
        <w:t>9</w:t>
      </w:r>
      <w:r>
        <w:rPr>
          <w:rFonts w:hint="eastAsia" w:ascii="宋体" w:hAnsi="宋体" w:eastAsia="宋体" w:cs="宋体"/>
          <w:color w:val="auto"/>
          <w:kern w:val="0"/>
          <w:sz w:val="24"/>
          <w:szCs w:val="24"/>
          <w:u w:val="none"/>
          <w:lang w:val="en-US" w:eastAsia="zh-CN" w:bidi="ar-SA"/>
        </w:rPr>
        <w:t>月</w:t>
      </w:r>
      <w:r>
        <w:rPr>
          <w:rFonts w:hint="eastAsia" w:eastAsia="宋体" w:cs="宋体"/>
          <w:color w:val="auto"/>
          <w:kern w:val="0"/>
          <w:sz w:val="24"/>
          <w:szCs w:val="24"/>
          <w:u w:val="none"/>
          <w:lang w:val="en-US" w:eastAsia="zh-CN" w:bidi="ar-SA"/>
        </w:rPr>
        <w:t>02</w:t>
      </w:r>
      <w:r>
        <w:rPr>
          <w:rFonts w:hint="eastAsia" w:ascii="宋体" w:hAnsi="宋体" w:eastAsia="宋体" w:cs="宋体"/>
          <w:color w:val="auto"/>
          <w:kern w:val="0"/>
          <w:sz w:val="24"/>
          <w:szCs w:val="24"/>
          <w:u w:val="none"/>
          <w:lang w:val="en-US" w:eastAsia="zh-CN" w:bidi="ar-SA"/>
        </w:rPr>
        <w:t>日</w:t>
      </w:r>
      <w:r>
        <w:rPr>
          <w:rFonts w:hint="eastAsia" w:eastAsia="宋体" w:cs="宋体"/>
          <w:color w:val="auto"/>
          <w:kern w:val="0"/>
          <w:sz w:val="24"/>
          <w:szCs w:val="24"/>
          <w:u w:val="none"/>
          <w:lang w:val="en-US" w:eastAsia="zh-CN" w:bidi="ar-SA"/>
        </w:rPr>
        <w:t>10</w:t>
      </w:r>
      <w:r>
        <w:rPr>
          <w:rFonts w:hint="eastAsia" w:ascii="宋体" w:hAnsi="宋体" w:eastAsia="宋体" w:cs="宋体"/>
          <w:color w:val="auto"/>
          <w:kern w:val="0"/>
          <w:sz w:val="24"/>
          <w:szCs w:val="24"/>
          <w:u w:val="none"/>
          <w:lang w:val="en-US" w:eastAsia="zh-CN" w:bidi="ar-SA"/>
        </w:rPr>
        <w:t>时</w:t>
      </w:r>
      <w:r>
        <w:rPr>
          <w:rFonts w:hint="eastAsia" w:eastAsia="宋体" w:cs="宋体"/>
          <w:color w:val="auto"/>
          <w:kern w:val="0"/>
          <w:sz w:val="24"/>
          <w:szCs w:val="24"/>
          <w:u w:val="none"/>
          <w:lang w:val="en-US" w:eastAsia="zh-CN" w:bidi="ar-SA"/>
        </w:rPr>
        <w:t>00</w:t>
      </w:r>
      <w:r>
        <w:rPr>
          <w:rFonts w:hint="eastAsia" w:ascii="宋体" w:hAnsi="宋体" w:eastAsia="宋体" w:cs="宋体"/>
          <w:color w:val="auto"/>
          <w:kern w:val="0"/>
          <w:sz w:val="24"/>
          <w:szCs w:val="24"/>
          <w:u w:val="none"/>
          <w:lang w:val="en-US" w:eastAsia="zh-CN" w:bidi="ar-SA"/>
        </w:rPr>
        <w:t>分（北京时间）；</w:t>
      </w:r>
    </w:p>
    <w:p w14:paraId="5D1349F7">
      <w:pPr>
        <w:pStyle w:val="11"/>
        <w:pageBreakBefore w:val="0"/>
        <w:overflowPunct/>
        <w:bidi w:val="0"/>
        <w:spacing w:beforeAutospacing="0" w:afterAutospacing="0" w:line="360" w:lineRule="auto"/>
        <w:rPr>
          <w:rFonts w:hint="eastAsia" w:ascii="宋体" w:hAnsi="宋体" w:eastAsia="宋体" w:cs="宋体"/>
          <w:color w:val="auto"/>
          <w:kern w:val="0"/>
          <w:sz w:val="24"/>
          <w:szCs w:val="24"/>
          <w:u w:val="none"/>
          <w:lang w:val="en-US" w:eastAsia="zh-CN" w:bidi="ar-SA"/>
        </w:rPr>
      </w:pPr>
      <w:r>
        <w:rPr>
          <w:rFonts w:hint="eastAsia" w:ascii="宋体" w:hAnsi="宋体" w:eastAsia="宋体" w:cs="宋体"/>
          <w:color w:val="auto"/>
          <w:kern w:val="0"/>
          <w:sz w:val="24"/>
          <w:szCs w:val="24"/>
          <w:u w:val="none"/>
          <w:lang w:val="en-US" w:eastAsia="zh-CN" w:bidi="ar-SA"/>
        </w:rPr>
        <w:t>2、开标时间：2024年0</w:t>
      </w:r>
      <w:r>
        <w:rPr>
          <w:rFonts w:hint="eastAsia" w:eastAsia="宋体" w:cs="宋体"/>
          <w:color w:val="auto"/>
          <w:kern w:val="0"/>
          <w:sz w:val="24"/>
          <w:szCs w:val="24"/>
          <w:u w:val="none"/>
          <w:lang w:val="en-US" w:eastAsia="zh-CN" w:bidi="ar-SA"/>
        </w:rPr>
        <w:t>9</w:t>
      </w:r>
      <w:r>
        <w:rPr>
          <w:rFonts w:hint="eastAsia" w:ascii="宋体" w:hAnsi="宋体" w:eastAsia="宋体" w:cs="宋体"/>
          <w:color w:val="auto"/>
          <w:kern w:val="0"/>
          <w:sz w:val="24"/>
          <w:szCs w:val="24"/>
          <w:u w:val="none"/>
          <w:lang w:val="en-US" w:eastAsia="zh-CN" w:bidi="ar-SA"/>
        </w:rPr>
        <w:t>月</w:t>
      </w:r>
      <w:r>
        <w:rPr>
          <w:rFonts w:hint="eastAsia" w:eastAsia="宋体" w:cs="宋体"/>
          <w:color w:val="auto"/>
          <w:kern w:val="0"/>
          <w:sz w:val="24"/>
          <w:szCs w:val="24"/>
          <w:u w:val="none"/>
          <w:lang w:val="en-US" w:eastAsia="zh-CN" w:bidi="ar-SA"/>
        </w:rPr>
        <w:t>02</w:t>
      </w:r>
      <w:r>
        <w:rPr>
          <w:rFonts w:hint="eastAsia" w:ascii="宋体" w:hAnsi="宋体" w:eastAsia="宋体" w:cs="宋体"/>
          <w:color w:val="auto"/>
          <w:kern w:val="0"/>
          <w:sz w:val="24"/>
          <w:szCs w:val="24"/>
          <w:u w:val="none"/>
          <w:lang w:val="en-US" w:eastAsia="zh-CN" w:bidi="ar-SA"/>
        </w:rPr>
        <w:t>日</w:t>
      </w:r>
      <w:r>
        <w:rPr>
          <w:rFonts w:hint="eastAsia" w:eastAsia="宋体" w:cs="宋体"/>
          <w:color w:val="auto"/>
          <w:kern w:val="0"/>
          <w:sz w:val="24"/>
          <w:szCs w:val="24"/>
          <w:u w:val="none"/>
          <w:lang w:val="en-US" w:eastAsia="zh-CN" w:bidi="ar-SA"/>
        </w:rPr>
        <w:t>10</w:t>
      </w:r>
      <w:r>
        <w:rPr>
          <w:rFonts w:hint="eastAsia" w:ascii="宋体" w:hAnsi="宋体" w:eastAsia="宋体" w:cs="宋体"/>
          <w:color w:val="auto"/>
          <w:kern w:val="0"/>
          <w:sz w:val="24"/>
          <w:szCs w:val="24"/>
          <w:u w:val="none"/>
          <w:lang w:val="en-US" w:eastAsia="zh-CN" w:bidi="ar-SA"/>
        </w:rPr>
        <w:t>时</w:t>
      </w:r>
      <w:r>
        <w:rPr>
          <w:rFonts w:hint="eastAsia" w:eastAsia="宋体" w:cs="宋体"/>
          <w:color w:val="auto"/>
          <w:kern w:val="0"/>
          <w:sz w:val="24"/>
          <w:szCs w:val="24"/>
          <w:u w:val="none"/>
          <w:lang w:val="en-US" w:eastAsia="zh-CN" w:bidi="ar-SA"/>
        </w:rPr>
        <w:t>00</w:t>
      </w:r>
      <w:r>
        <w:rPr>
          <w:rFonts w:hint="eastAsia" w:ascii="宋体" w:hAnsi="宋体" w:eastAsia="宋体" w:cs="宋体"/>
          <w:color w:val="auto"/>
          <w:kern w:val="0"/>
          <w:sz w:val="24"/>
          <w:szCs w:val="24"/>
          <w:u w:val="none"/>
          <w:lang w:val="en-US" w:eastAsia="zh-CN" w:bidi="ar-SA"/>
        </w:rPr>
        <w:t>分（北京时间）；</w:t>
      </w:r>
    </w:p>
    <w:p w14:paraId="327520C7">
      <w:pPr>
        <w:pStyle w:val="11"/>
        <w:pageBreakBefore w:val="0"/>
        <w:overflowPunct/>
        <w:bidi w:val="0"/>
        <w:spacing w:beforeAutospacing="0" w:afterAutospacing="0" w:line="360" w:lineRule="auto"/>
        <w:rPr>
          <w:rFonts w:hint="eastAsia" w:ascii="宋体" w:hAnsi="宋体" w:eastAsia="宋体" w:cs="宋体"/>
          <w:color w:val="auto"/>
          <w:kern w:val="0"/>
          <w:sz w:val="24"/>
          <w:szCs w:val="24"/>
          <w:u w:val="none"/>
          <w:lang w:val="en-US" w:eastAsia="zh-CN" w:bidi="ar-SA"/>
        </w:rPr>
      </w:pPr>
      <w:r>
        <w:rPr>
          <w:rFonts w:hint="eastAsia" w:ascii="宋体" w:hAnsi="宋体" w:eastAsia="宋体" w:cs="宋体"/>
          <w:color w:val="auto"/>
          <w:kern w:val="0"/>
          <w:sz w:val="24"/>
          <w:szCs w:val="24"/>
          <w:u w:val="none"/>
          <w:lang w:val="en-US" w:eastAsia="zh-CN" w:bidi="ar-SA"/>
        </w:rPr>
        <w:t>3、开标地点：</w:t>
      </w:r>
      <w:r>
        <w:rPr>
          <w:rFonts w:hint="eastAsia" w:ascii="宋体" w:hAnsi="宋体" w:eastAsia="宋体" w:cs="宋体"/>
          <w:b w:val="0"/>
          <w:bCs w:val="0"/>
          <w:color w:val="auto"/>
          <w:kern w:val="1"/>
          <w:sz w:val="24"/>
          <w:szCs w:val="24"/>
          <w:lang w:val="en-US" w:eastAsia="zh-CN" w:bidi="ar-SA"/>
        </w:rPr>
        <w:t>湖南省衡山县职业中等专业学校综合楼三楼会议室</w:t>
      </w:r>
      <w:r>
        <w:rPr>
          <w:rFonts w:hint="eastAsia" w:ascii="宋体" w:hAnsi="宋体" w:eastAsia="宋体" w:cs="宋体"/>
          <w:color w:val="auto"/>
          <w:kern w:val="0"/>
          <w:sz w:val="24"/>
          <w:szCs w:val="24"/>
          <w:u w:val="none"/>
          <w:lang w:val="en-US" w:eastAsia="zh-CN" w:bidi="ar-SA"/>
        </w:rPr>
        <w:t>；</w:t>
      </w:r>
    </w:p>
    <w:p w14:paraId="7C8C3942">
      <w:pPr>
        <w:pStyle w:val="3"/>
        <w:keepNext w:val="0"/>
        <w:keepLines w:val="0"/>
        <w:pageBreakBefore w:val="0"/>
        <w:widowControl/>
        <w:suppressLineNumbers w:val="0"/>
        <w:kinsoku/>
        <w:wordWrap/>
        <w:overflowPunct/>
        <w:topLinePunct w:val="0"/>
        <w:autoSpaceDE/>
        <w:autoSpaceDN/>
        <w:bidi w:val="0"/>
        <w:spacing w:before="0" w:after="0" w:afterAutospacing="0" w:line="500" w:lineRule="exact"/>
        <w:ind w:left="0" w:leftChars="0" w:firstLine="0" w:firstLineChars="0"/>
        <w:outlineLvl w:val="1"/>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u w:val="none"/>
          <w:lang w:val="en-US" w:eastAsia="zh-CN" w:bidi="ar-SA"/>
        </w:rPr>
        <w:t>注：逾期送达或者不按招标文件要求密封的投标文件采购人、采购代理机构应当拒收。</w:t>
      </w:r>
    </w:p>
    <w:bookmarkEnd w:id="6"/>
    <w:bookmarkEnd w:id="7"/>
    <w:p w14:paraId="12B551A9">
      <w:pPr>
        <w:pStyle w:val="3"/>
        <w:keepNext w:val="0"/>
        <w:keepLines w:val="0"/>
        <w:pageBreakBefore w:val="0"/>
        <w:widowControl/>
        <w:suppressLineNumbers w:val="0"/>
        <w:kinsoku/>
        <w:wordWrap/>
        <w:overflowPunct/>
        <w:topLinePunct w:val="0"/>
        <w:autoSpaceDE/>
        <w:autoSpaceDN/>
        <w:bidi w:val="0"/>
        <w:spacing w:before="0" w:after="0" w:afterAutospacing="0" w:line="360" w:lineRule="auto"/>
        <w:ind w:left="0" w:leftChars="0" w:firstLine="0" w:firstLineChars="0"/>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七、公告期限</w:t>
      </w:r>
    </w:p>
    <w:p w14:paraId="091A4589">
      <w:pPr>
        <w:keepNext w:val="0"/>
        <w:keepLines w:val="0"/>
        <w:pageBreakBefore w:val="0"/>
        <w:widowControl/>
        <w:shd w:val="clear" w:color="auto" w:fill="auto"/>
        <w:kinsoku/>
        <w:wordWrap w:val="0"/>
        <w:overflowPunct/>
        <w:topLinePunct/>
        <w:autoSpaceDE/>
        <w:autoSpaceDN/>
        <w:bidi w:val="0"/>
        <w:adjustRightInd/>
        <w:snapToGrid/>
        <w:spacing w:line="360" w:lineRule="auto"/>
        <w:ind w:firstLine="480" w:firstLineChars="200"/>
        <w:jc w:val="left"/>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rPr>
        <w:t>自本招标公告发布之日起5个工作日。</w:t>
      </w:r>
    </w:p>
    <w:p w14:paraId="6F02662C">
      <w:pPr>
        <w:pageBreakBefore w:val="0"/>
        <w:widowControl/>
        <w:numPr>
          <w:ilvl w:val="0"/>
          <w:numId w:val="0"/>
        </w:numPr>
        <w:overflowPunct/>
        <w:bidi w:val="0"/>
        <w:spacing w:line="360" w:lineRule="auto"/>
        <w:jc w:val="left"/>
        <w:rPr>
          <w:rFonts w:hint="eastAsia" w:ascii="宋体" w:hAnsi="宋体" w:eastAsia="宋体" w:cs="宋体"/>
          <w:b/>
          <w:bCs/>
          <w:color w:val="auto"/>
          <w:kern w:val="1"/>
          <w:sz w:val="24"/>
          <w:szCs w:val="24"/>
          <w:lang w:val="en-US" w:eastAsia="zh-CN" w:bidi="ar-SA"/>
        </w:rPr>
      </w:pPr>
      <w:bookmarkStart w:id="8" w:name="_Toc26792"/>
      <w:bookmarkStart w:id="9" w:name="_Toc5506"/>
      <w:r>
        <w:rPr>
          <w:rFonts w:hint="eastAsia" w:ascii="宋体" w:hAnsi="宋体" w:eastAsia="宋体" w:cs="宋体"/>
          <w:b/>
          <w:bCs/>
          <w:color w:val="auto"/>
          <w:kern w:val="1"/>
          <w:sz w:val="24"/>
          <w:szCs w:val="24"/>
          <w:lang w:val="en-US" w:eastAsia="zh-CN" w:bidi="ar-SA"/>
        </w:rPr>
        <w:t>八、</w:t>
      </w:r>
      <w:r>
        <w:rPr>
          <w:rFonts w:hint="eastAsia" w:ascii="宋体" w:hAnsi="宋体" w:eastAsia="宋体" w:cs="宋体"/>
          <w:b/>
          <w:bCs/>
          <w:i w:val="0"/>
          <w:iCs w:val="0"/>
          <w:color w:val="auto"/>
          <w:spacing w:val="0"/>
          <w:sz w:val="24"/>
          <w:szCs w:val="24"/>
          <w:shd w:val="clear" w:fill="FFFFFF"/>
        </w:rPr>
        <w:t>询问及质疑</w:t>
      </w:r>
    </w:p>
    <w:p w14:paraId="7C8261F4">
      <w:pPr>
        <w:pStyle w:val="3"/>
        <w:keepNext w:val="0"/>
        <w:keepLines w:val="0"/>
        <w:pageBreakBefore w:val="0"/>
        <w:widowControl/>
        <w:suppressLineNumbers w:val="0"/>
        <w:kinsoku/>
        <w:wordWrap/>
        <w:overflowPunct/>
        <w:topLinePunct w:val="0"/>
        <w:autoSpaceDE/>
        <w:autoSpaceDN/>
        <w:bidi w:val="0"/>
        <w:spacing w:before="0" w:after="0" w:afterAutospacing="0" w:line="360" w:lineRule="auto"/>
        <w:ind w:left="0" w:leftChars="0" w:firstLine="240" w:firstLineChars="100"/>
        <w:outlineLvl w:val="1"/>
        <w:rPr>
          <w:rFonts w:hint="eastAsia" w:ascii="宋体" w:hAnsi="宋体" w:eastAsia="宋体" w:cs="宋体"/>
          <w:b w:val="0"/>
          <w:bCs w:val="0"/>
          <w:i w:val="0"/>
          <w:iCs w:val="0"/>
          <w:color w:val="auto"/>
          <w:spacing w:val="0"/>
          <w:kern w:val="0"/>
          <w:sz w:val="24"/>
          <w:szCs w:val="24"/>
          <w:shd w:val="clear" w:fill="FFFFFF"/>
          <w:lang w:val="en-US" w:eastAsia="zh-CN" w:bidi="ar"/>
        </w:rPr>
      </w:pPr>
      <w:r>
        <w:rPr>
          <w:rFonts w:hint="eastAsia" w:ascii="宋体" w:hAnsi="宋体" w:eastAsia="宋体" w:cs="宋体"/>
          <w:b w:val="0"/>
          <w:bCs w:val="0"/>
          <w:i w:val="0"/>
          <w:iCs w:val="0"/>
          <w:color w:val="auto"/>
          <w:spacing w:val="0"/>
          <w:kern w:val="0"/>
          <w:sz w:val="24"/>
          <w:szCs w:val="24"/>
          <w:shd w:val="clear" w:fill="FFFFFF"/>
          <w:lang w:val="en-US" w:eastAsia="zh-CN" w:bidi="ar"/>
        </w:rPr>
        <w:t>1、投标人对采购活动事项如有疑问的，可以向采购人、采购代理机构提出询问。采购人、采购代理机构将在3个工作日内作出答复。</w:t>
      </w:r>
    </w:p>
    <w:p w14:paraId="4929DD34">
      <w:pPr>
        <w:pStyle w:val="3"/>
        <w:keepNext w:val="0"/>
        <w:keepLines w:val="0"/>
        <w:pageBreakBefore w:val="0"/>
        <w:widowControl/>
        <w:suppressLineNumbers w:val="0"/>
        <w:kinsoku/>
        <w:wordWrap/>
        <w:overflowPunct/>
        <w:topLinePunct w:val="0"/>
        <w:autoSpaceDE/>
        <w:autoSpaceDN/>
        <w:bidi w:val="0"/>
        <w:spacing w:before="0" w:after="0" w:afterAutospacing="0" w:line="360" w:lineRule="auto"/>
        <w:ind w:left="0" w:leftChars="0" w:firstLine="240" w:firstLineChars="100"/>
        <w:outlineLvl w:val="1"/>
        <w:rPr>
          <w:rFonts w:hint="eastAsia" w:ascii="宋体" w:hAnsi="宋体" w:eastAsia="宋体" w:cs="宋体"/>
          <w:b w:val="0"/>
          <w:bCs w:val="0"/>
          <w:i w:val="0"/>
          <w:iCs w:val="0"/>
          <w:color w:val="auto"/>
          <w:spacing w:val="0"/>
          <w:kern w:val="0"/>
          <w:sz w:val="24"/>
          <w:szCs w:val="24"/>
          <w:shd w:val="clear" w:fill="FFFFFF"/>
          <w:lang w:val="en-US" w:eastAsia="zh-CN" w:bidi="ar"/>
        </w:rPr>
      </w:pPr>
      <w:r>
        <w:rPr>
          <w:rFonts w:hint="eastAsia" w:ascii="宋体" w:hAnsi="宋体" w:eastAsia="宋体" w:cs="宋体"/>
          <w:b w:val="0"/>
          <w:bCs w:val="0"/>
          <w:i w:val="0"/>
          <w:iCs w:val="0"/>
          <w:color w:val="auto"/>
          <w:spacing w:val="0"/>
          <w:kern w:val="0"/>
          <w:sz w:val="24"/>
          <w:szCs w:val="24"/>
          <w:shd w:val="clear" w:fill="FFFFFF"/>
          <w:lang w:val="en-US" w:eastAsia="zh-CN" w:bidi="ar"/>
        </w:rPr>
        <w:t>2、潜在投标人对采购文件提出质疑的，应当在获取采购文件或者在采购文件公告期限届满之日起7个工作日内以书面形式向采购人、代理机构提出。</w:t>
      </w:r>
    </w:p>
    <w:bookmarkEnd w:id="8"/>
    <w:bookmarkEnd w:id="9"/>
    <w:p w14:paraId="16D1FDE9">
      <w:pPr>
        <w:pStyle w:val="3"/>
        <w:keepNext w:val="0"/>
        <w:keepLines w:val="0"/>
        <w:pageBreakBefore w:val="0"/>
        <w:widowControl/>
        <w:suppressLineNumbers w:val="0"/>
        <w:kinsoku/>
        <w:wordWrap/>
        <w:overflowPunct/>
        <w:topLinePunct w:val="0"/>
        <w:autoSpaceDE/>
        <w:autoSpaceDN/>
        <w:bidi w:val="0"/>
        <w:spacing w:before="0" w:after="0" w:afterAutospacing="0" w:line="360" w:lineRule="auto"/>
        <w:ind w:left="0" w:leftChars="0" w:firstLine="0" w:firstLineChars="0"/>
        <w:outlineLvl w:val="1"/>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九、项目联系人姓名和电话</w:t>
      </w:r>
    </w:p>
    <w:p w14:paraId="6AF37DB1">
      <w:pPr>
        <w:pageBreakBefore w:val="0"/>
        <w:tabs>
          <w:tab w:val="left" w:pos="900"/>
        </w:tabs>
        <w:overflowPunct/>
        <w:bidi w:val="0"/>
        <w:spacing w:line="360" w:lineRule="auto"/>
        <w:ind w:firstLine="241" w:firstLineChars="100"/>
        <w:jc w:val="left"/>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eastAsia="zh-CN"/>
        </w:rPr>
        <w:t>1、项目联系人</w:t>
      </w:r>
    </w:p>
    <w:p w14:paraId="7E371DF9">
      <w:pPr>
        <w:pStyle w:val="13"/>
        <w:pageBreakBefore w:val="0"/>
        <w:numPr>
          <w:ilvl w:val="0"/>
          <w:numId w:val="0"/>
        </w:numPr>
        <w:overflowPunct/>
        <w:bidi w:val="0"/>
        <w:spacing w:line="360" w:lineRule="auto"/>
        <w:ind w:leftChars="0" w:firstLine="240" w:firstLineChars="1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联系人姓名：李先生   电 话：13975447835 </w:t>
      </w:r>
    </w:p>
    <w:p w14:paraId="6B35EEBB">
      <w:pPr>
        <w:pStyle w:val="13"/>
        <w:pageBreakBefore w:val="0"/>
        <w:numPr>
          <w:ilvl w:val="0"/>
          <w:numId w:val="0"/>
        </w:numPr>
        <w:overflowPunct/>
        <w:bidi w:val="0"/>
        <w:spacing w:line="360" w:lineRule="auto"/>
        <w:ind w:leftChars="0" w:firstLine="241" w:firstLineChars="100"/>
        <w:rPr>
          <w:rFonts w:hint="eastAsia" w:ascii="宋体" w:hAnsi="宋体" w:eastAsia="宋体" w:cs="宋体"/>
          <w:b/>
          <w:bCs/>
          <w:color w:val="auto"/>
          <w:kern w:val="1"/>
          <w:sz w:val="24"/>
          <w:szCs w:val="24"/>
          <w:lang w:val="en-US" w:eastAsia="zh-CN" w:bidi="ar-SA"/>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采购人</w:t>
      </w:r>
      <w:r>
        <w:rPr>
          <w:rFonts w:hint="eastAsia" w:ascii="宋体" w:hAnsi="宋体" w:eastAsia="宋体" w:cs="宋体"/>
          <w:b/>
          <w:bCs/>
          <w:color w:val="auto"/>
          <w:sz w:val="24"/>
          <w:szCs w:val="24"/>
          <w:lang w:val="en-US" w:eastAsia="zh-CN"/>
        </w:rPr>
        <w:t>信息</w:t>
      </w:r>
      <w:r>
        <w:rPr>
          <w:rFonts w:hint="eastAsia" w:ascii="宋体" w:hAnsi="宋体" w:eastAsia="宋体" w:cs="宋体"/>
          <w:b/>
          <w:bCs/>
          <w:color w:val="auto"/>
          <w:sz w:val="24"/>
          <w:szCs w:val="24"/>
        </w:rPr>
        <w:t>：</w:t>
      </w:r>
    </w:p>
    <w:p w14:paraId="37F0C002">
      <w:pPr>
        <w:pStyle w:val="13"/>
        <w:pageBreakBefore w:val="0"/>
        <w:numPr>
          <w:ilvl w:val="0"/>
          <w:numId w:val="0"/>
        </w:numPr>
        <w:overflowPunct/>
        <w:bidi w:val="0"/>
        <w:spacing w:line="360" w:lineRule="auto"/>
        <w:rPr>
          <w:rFonts w:hint="eastAsia" w:ascii="宋体" w:hAnsi="宋体" w:eastAsia="宋体" w:cs="宋体"/>
          <w:b w:val="0"/>
          <w:bCs w:val="0"/>
          <w:color w:val="auto"/>
          <w:kern w:val="1"/>
          <w:sz w:val="24"/>
          <w:szCs w:val="24"/>
          <w:lang w:val="en-US" w:eastAsia="zh-CN" w:bidi="ar-SA"/>
        </w:rPr>
      </w:pPr>
      <w:r>
        <w:rPr>
          <w:rFonts w:hint="eastAsia" w:ascii="宋体" w:hAnsi="宋体" w:eastAsia="宋体" w:cs="宋体"/>
          <w:b w:val="0"/>
          <w:bCs/>
          <w:color w:val="auto"/>
          <w:sz w:val="24"/>
          <w:szCs w:val="24"/>
          <w:lang w:val="en-US" w:eastAsia="zh-CN"/>
        </w:rPr>
        <w:t>(</w:t>
      </w:r>
      <w:r>
        <w:rPr>
          <w:rFonts w:hint="eastAsia" w:ascii="宋体" w:hAnsi="宋体" w:eastAsia="宋体" w:cs="宋体"/>
          <w:b w:val="0"/>
          <w:bCs w:val="0"/>
          <w:color w:val="auto"/>
          <w:kern w:val="1"/>
          <w:sz w:val="24"/>
          <w:szCs w:val="24"/>
          <w:lang w:val="en-US" w:eastAsia="zh-CN" w:bidi="ar-SA"/>
        </w:rPr>
        <w:t xml:space="preserve">1)名 称：湖南省衡山县职业中等专业学校 </w:t>
      </w:r>
    </w:p>
    <w:p w14:paraId="63B307E4">
      <w:pPr>
        <w:pStyle w:val="13"/>
        <w:pageBreakBefore w:val="0"/>
        <w:numPr>
          <w:ilvl w:val="0"/>
          <w:numId w:val="0"/>
        </w:numPr>
        <w:overflowPunct/>
        <w:bidi w:val="0"/>
        <w:spacing w:line="360" w:lineRule="auto"/>
        <w:rPr>
          <w:rFonts w:hint="eastAsia" w:ascii="宋体" w:hAnsi="宋体" w:eastAsia="宋体" w:cs="宋体"/>
          <w:b w:val="0"/>
          <w:bCs w:val="0"/>
          <w:color w:val="auto"/>
          <w:kern w:val="1"/>
          <w:sz w:val="24"/>
          <w:szCs w:val="24"/>
          <w:lang w:val="en-US" w:eastAsia="zh-CN" w:bidi="ar-SA"/>
        </w:rPr>
      </w:pPr>
      <w:r>
        <w:rPr>
          <w:rFonts w:hint="eastAsia" w:ascii="宋体" w:hAnsi="宋体" w:eastAsia="宋体" w:cs="宋体"/>
          <w:b w:val="0"/>
          <w:bCs w:val="0"/>
          <w:color w:val="auto"/>
          <w:kern w:val="1"/>
          <w:sz w:val="24"/>
          <w:szCs w:val="24"/>
          <w:lang w:val="en-US" w:eastAsia="zh-CN" w:bidi="ar-SA"/>
        </w:rPr>
        <w:t>(2)地  址：衡山县开云镇育英南街79号</w:t>
      </w:r>
    </w:p>
    <w:p w14:paraId="536EEDC9">
      <w:pPr>
        <w:pStyle w:val="13"/>
        <w:pageBreakBefore w:val="0"/>
        <w:numPr>
          <w:ilvl w:val="0"/>
          <w:numId w:val="0"/>
        </w:numPr>
        <w:overflowPunct/>
        <w:bidi w:val="0"/>
        <w:spacing w:line="360" w:lineRule="auto"/>
        <w:rPr>
          <w:rFonts w:hint="eastAsia" w:ascii="宋体" w:hAnsi="宋体" w:eastAsia="宋体" w:cs="宋体"/>
          <w:b w:val="0"/>
          <w:bCs w:val="0"/>
          <w:color w:val="auto"/>
          <w:kern w:val="1"/>
          <w:sz w:val="24"/>
          <w:szCs w:val="24"/>
          <w:lang w:val="en-US" w:eastAsia="zh-CN" w:bidi="ar-SA"/>
        </w:rPr>
      </w:pPr>
      <w:r>
        <w:rPr>
          <w:rFonts w:hint="eastAsia" w:ascii="宋体" w:hAnsi="宋体" w:eastAsia="宋体" w:cs="宋体"/>
          <w:b w:val="0"/>
          <w:bCs w:val="0"/>
          <w:color w:val="auto"/>
          <w:kern w:val="1"/>
          <w:sz w:val="24"/>
          <w:szCs w:val="24"/>
          <w:lang w:val="en-US" w:eastAsia="zh-CN" w:bidi="ar-SA"/>
        </w:rPr>
        <w:t>(3)联系人：</w:t>
      </w:r>
      <w:r>
        <w:rPr>
          <w:rFonts w:hint="eastAsia" w:ascii="宋体" w:hAnsi="宋体" w:eastAsia="宋体" w:cs="宋体"/>
          <w:b w:val="0"/>
          <w:bCs w:val="0"/>
          <w:color w:val="auto"/>
          <w:sz w:val="24"/>
          <w:szCs w:val="24"/>
          <w:lang w:val="en-US" w:eastAsia="zh-CN"/>
        </w:rPr>
        <w:t>李先生</w:t>
      </w:r>
      <w:r>
        <w:rPr>
          <w:rFonts w:hint="eastAsia" w:ascii="宋体" w:hAnsi="宋体" w:eastAsia="宋体" w:cs="宋体"/>
          <w:b w:val="0"/>
          <w:bCs w:val="0"/>
          <w:color w:val="auto"/>
          <w:kern w:val="1"/>
          <w:sz w:val="24"/>
          <w:szCs w:val="24"/>
          <w:lang w:val="en-US" w:eastAsia="zh-CN" w:bidi="ar-SA"/>
        </w:rPr>
        <w:t xml:space="preserve"> </w:t>
      </w:r>
    </w:p>
    <w:p w14:paraId="5B550A07">
      <w:pPr>
        <w:pStyle w:val="13"/>
        <w:pageBreakBefore w:val="0"/>
        <w:numPr>
          <w:ilvl w:val="0"/>
          <w:numId w:val="0"/>
        </w:numPr>
        <w:overflowPunct/>
        <w:bidi w:val="0"/>
        <w:spacing w:line="360" w:lineRule="auto"/>
        <w:rPr>
          <w:rFonts w:hint="eastAsia" w:ascii="宋体" w:hAnsi="宋体" w:eastAsia="宋体" w:cs="宋体"/>
          <w:b w:val="0"/>
          <w:bCs w:val="0"/>
          <w:color w:val="auto"/>
          <w:kern w:val="1"/>
          <w:sz w:val="24"/>
          <w:szCs w:val="24"/>
          <w:lang w:val="en-US" w:eastAsia="zh-CN" w:bidi="ar-SA"/>
        </w:rPr>
      </w:pPr>
      <w:r>
        <w:rPr>
          <w:rFonts w:hint="eastAsia" w:ascii="宋体" w:hAnsi="宋体" w:eastAsia="宋体" w:cs="宋体"/>
          <w:b w:val="0"/>
          <w:bCs w:val="0"/>
          <w:color w:val="auto"/>
          <w:kern w:val="1"/>
          <w:sz w:val="24"/>
          <w:szCs w:val="24"/>
          <w:lang w:val="en-US" w:eastAsia="zh-CN" w:bidi="ar-SA"/>
        </w:rPr>
        <w:t>(4)电 话：</w:t>
      </w:r>
      <w:r>
        <w:rPr>
          <w:rFonts w:hint="eastAsia" w:ascii="宋体" w:hAnsi="宋体" w:eastAsia="宋体" w:cs="宋体"/>
          <w:b w:val="0"/>
          <w:bCs w:val="0"/>
          <w:color w:val="auto"/>
          <w:sz w:val="24"/>
          <w:szCs w:val="24"/>
          <w:lang w:val="en-US" w:eastAsia="zh-CN"/>
        </w:rPr>
        <w:t xml:space="preserve">13975447835 </w:t>
      </w:r>
    </w:p>
    <w:p w14:paraId="4B1FCB7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overflowPunct/>
        <w:bidi w:val="0"/>
        <w:spacing w:before="0" w:beforeAutospacing="0" w:after="0" w:afterAutospacing="0" w:line="360" w:lineRule="auto"/>
        <w:ind w:right="0"/>
        <w:rPr>
          <w:rFonts w:hint="eastAsia" w:ascii="宋体" w:hAnsi="宋体" w:eastAsia="宋体" w:cs="宋体"/>
          <w:color w:val="auto"/>
          <w:sz w:val="24"/>
          <w:szCs w:val="24"/>
        </w:rPr>
      </w:pPr>
      <w:r>
        <w:rPr>
          <w:rFonts w:hint="eastAsia" w:ascii="宋体" w:hAnsi="宋体" w:eastAsia="宋体" w:cs="宋体"/>
          <w:i w:val="0"/>
          <w:iCs w:val="0"/>
          <w:color w:val="auto"/>
          <w:spacing w:val="0"/>
          <w:sz w:val="24"/>
          <w:szCs w:val="24"/>
          <w:lang w:val="en-US" w:eastAsia="zh-CN"/>
        </w:rPr>
        <w:t>3</w:t>
      </w:r>
      <w:r>
        <w:rPr>
          <w:rFonts w:hint="eastAsia" w:ascii="宋体" w:hAnsi="宋体" w:eastAsia="宋体" w:cs="宋体"/>
          <w:i w:val="0"/>
          <w:iCs w:val="0"/>
          <w:color w:val="auto"/>
          <w:spacing w:val="0"/>
          <w:sz w:val="24"/>
          <w:szCs w:val="24"/>
        </w:rPr>
        <w:t>、采购代理机构信息</w:t>
      </w:r>
    </w:p>
    <w:p w14:paraId="273C0F06">
      <w:pPr>
        <w:pStyle w:val="13"/>
        <w:pageBreakBefore w:val="0"/>
        <w:numPr>
          <w:ilvl w:val="0"/>
          <w:numId w:val="0"/>
        </w:numPr>
        <w:overflowPunct/>
        <w:bidi w:val="0"/>
        <w:spacing w:line="360" w:lineRule="auto"/>
        <w:rPr>
          <w:rFonts w:hint="eastAsia" w:ascii="宋体" w:hAnsi="宋体" w:eastAsia="宋体" w:cs="宋体"/>
          <w:b w:val="0"/>
          <w:bCs w:val="0"/>
          <w:color w:val="auto"/>
          <w:kern w:val="1"/>
          <w:sz w:val="24"/>
          <w:szCs w:val="24"/>
          <w:lang w:val="en-US" w:eastAsia="zh-CN" w:bidi="ar-SA"/>
        </w:rPr>
      </w:pPr>
      <w:r>
        <w:rPr>
          <w:rFonts w:hint="eastAsia" w:ascii="宋体" w:hAnsi="宋体" w:eastAsia="宋体" w:cs="宋体"/>
          <w:b w:val="0"/>
          <w:bCs w:val="0"/>
          <w:color w:val="auto"/>
          <w:kern w:val="1"/>
          <w:sz w:val="24"/>
          <w:szCs w:val="24"/>
          <w:lang w:val="en-US" w:eastAsia="zh-CN" w:bidi="ar-SA"/>
        </w:rPr>
        <w:t>（1）名称：湖南中泰项目管理有限公司</w:t>
      </w:r>
    </w:p>
    <w:p w14:paraId="5A8A2FE6">
      <w:pPr>
        <w:pStyle w:val="13"/>
        <w:pageBreakBefore w:val="0"/>
        <w:numPr>
          <w:ilvl w:val="0"/>
          <w:numId w:val="0"/>
        </w:numPr>
        <w:overflowPunct/>
        <w:bidi w:val="0"/>
        <w:spacing w:line="360" w:lineRule="auto"/>
        <w:rPr>
          <w:rFonts w:hint="eastAsia" w:ascii="宋体" w:hAnsi="宋体" w:eastAsia="宋体" w:cs="宋体"/>
          <w:b w:val="0"/>
          <w:bCs w:val="0"/>
          <w:color w:val="auto"/>
          <w:kern w:val="1"/>
          <w:sz w:val="24"/>
          <w:szCs w:val="24"/>
          <w:lang w:val="en-US" w:eastAsia="zh-CN" w:bidi="ar-SA"/>
        </w:rPr>
      </w:pPr>
      <w:r>
        <w:rPr>
          <w:rFonts w:hint="eastAsia" w:ascii="宋体" w:hAnsi="宋体" w:eastAsia="宋体" w:cs="宋体"/>
          <w:b w:val="0"/>
          <w:bCs w:val="0"/>
          <w:color w:val="auto"/>
          <w:kern w:val="1"/>
          <w:sz w:val="24"/>
          <w:szCs w:val="24"/>
          <w:lang w:val="en-US" w:eastAsia="zh-CN" w:bidi="ar-SA"/>
        </w:rPr>
        <w:t>（2）地 址：衡阳市蒸湘区采霞街俊景花园6栋B单元1507室</w:t>
      </w:r>
    </w:p>
    <w:p w14:paraId="3F510BAF">
      <w:pPr>
        <w:pStyle w:val="13"/>
        <w:pageBreakBefore w:val="0"/>
        <w:numPr>
          <w:ilvl w:val="0"/>
          <w:numId w:val="0"/>
        </w:numPr>
        <w:overflowPunct/>
        <w:bidi w:val="0"/>
        <w:spacing w:line="360" w:lineRule="auto"/>
        <w:rPr>
          <w:rFonts w:hint="eastAsia" w:ascii="宋体" w:hAnsi="宋体" w:eastAsia="宋体" w:cs="宋体"/>
          <w:b w:val="0"/>
          <w:bCs w:val="0"/>
          <w:color w:val="auto"/>
          <w:kern w:val="1"/>
          <w:sz w:val="24"/>
          <w:szCs w:val="24"/>
          <w:lang w:val="en-US" w:eastAsia="zh-CN" w:bidi="ar-SA"/>
        </w:rPr>
      </w:pPr>
      <w:r>
        <w:rPr>
          <w:rFonts w:hint="eastAsia" w:ascii="宋体" w:hAnsi="宋体" w:eastAsia="宋体" w:cs="宋体"/>
          <w:b w:val="0"/>
          <w:bCs w:val="0"/>
          <w:color w:val="auto"/>
          <w:kern w:val="1"/>
          <w:sz w:val="24"/>
          <w:szCs w:val="24"/>
          <w:lang w:val="en-US" w:eastAsia="zh-CN" w:bidi="ar-SA"/>
        </w:rPr>
        <w:t>（3）联系人：旷先生</w:t>
      </w:r>
    </w:p>
    <w:p w14:paraId="07E61E1C">
      <w:pPr>
        <w:pStyle w:val="13"/>
        <w:pageBreakBefore w:val="0"/>
        <w:numPr>
          <w:ilvl w:val="0"/>
          <w:numId w:val="0"/>
        </w:numPr>
        <w:overflowPunct/>
        <w:bidi w:val="0"/>
        <w:spacing w:line="360" w:lineRule="auto"/>
        <w:rPr>
          <w:rFonts w:hint="eastAsia" w:ascii="宋体" w:hAnsi="宋体" w:eastAsia="宋体" w:cs="宋体"/>
          <w:b w:val="0"/>
          <w:bCs w:val="0"/>
          <w:color w:val="auto"/>
          <w:kern w:val="1"/>
          <w:sz w:val="24"/>
          <w:szCs w:val="24"/>
          <w:lang w:val="en-US" w:eastAsia="zh-CN" w:bidi="ar-SA"/>
        </w:rPr>
      </w:pPr>
      <w:r>
        <w:rPr>
          <w:rFonts w:hint="eastAsia" w:ascii="宋体" w:hAnsi="宋体" w:eastAsia="宋体" w:cs="宋体"/>
          <w:b w:val="0"/>
          <w:bCs w:val="0"/>
          <w:color w:val="auto"/>
          <w:kern w:val="1"/>
          <w:sz w:val="24"/>
          <w:szCs w:val="24"/>
          <w:lang w:val="en-US" w:eastAsia="zh-CN" w:bidi="ar-SA"/>
        </w:rPr>
        <w:t>（4）电 话：13974789555</w:t>
      </w:r>
    </w:p>
    <w:p w14:paraId="309F928E">
      <w:pPr>
        <w:pageBreakBefore w:val="0"/>
        <w:overflowPunct/>
        <w:bidi w:val="0"/>
        <w:spacing w:line="360" w:lineRule="auto"/>
        <w:rPr>
          <w:color w:val="auto"/>
        </w:rPr>
      </w:pPr>
    </w:p>
    <w:p w14:paraId="246CC3B7">
      <w:pPr>
        <w:pStyle w:val="8"/>
        <w:pageBreakBefore w:val="0"/>
        <w:overflowPunct/>
        <w:bidi w:val="0"/>
        <w:spacing w:before="0" w:after="0" w:line="360" w:lineRule="auto"/>
        <w:rPr>
          <w:color w:val="auto"/>
        </w:rPr>
      </w:pPr>
    </w:p>
    <w:p w14:paraId="54C7BD9B">
      <w:pPr>
        <w:pageBreakBefore w:val="0"/>
        <w:overflowPunct/>
        <w:bidi w:val="0"/>
        <w:spacing w:line="360" w:lineRule="auto"/>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9FF032"/>
    <w:multiLevelType w:val="singleLevel"/>
    <w:tmpl w:val="139FF032"/>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lNTBiMGM3YjQ5YjEzYjg5ZTc2MmQzMTVkNjY2NzUifQ=="/>
  </w:docVars>
  <w:rsids>
    <w:rsidRoot w:val="3D443063"/>
    <w:rsid w:val="030051E0"/>
    <w:rsid w:val="034018FF"/>
    <w:rsid w:val="044251EA"/>
    <w:rsid w:val="07E7497F"/>
    <w:rsid w:val="093525C0"/>
    <w:rsid w:val="0C537AC8"/>
    <w:rsid w:val="0D9D3060"/>
    <w:rsid w:val="13D76995"/>
    <w:rsid w:val="15842905"/>
    <w:rsid w:val="16C86822"/>
    <w:rsid w:val="18D966D2"/>
    <w:rsid w:val="19B6063F"/>
    <w:rsid w:val="1BCF33F4"/>
    <w:rsid w:val="1CF87735"/>
    <w:rsid w:val="1F835AE7"/>
    <w:rsid w:val="26393AE1"/>
    <w:rsid w:val="2FCB375B"/>
    <w:rsid w:val="3684257F"/>
    <w:rsid w:val="387E4B3B"/>
    <w:rsid w:val="3D443063"/>
    <w:rsid w:val="3E613867"/>
    <w:rsid w:val="3F5F2C20"/>
    <w:rsid w:val="418B1B16"/>
    <w:rsid w:val="51AD5B0E"/>
    <w:rsid w:val="5389269B"/>
    <w:rsid w:val="58C61EBA"/>
    <w:rsid w:val="5CAE6984"/>
    <w:rsid w:val="5EE20BF1"/>
    <w:rsid w:val="606E1B2D"/>
    <w:rsid w:val="672F3320"/>
    <w:rsid w:val="72A42EE3"/>
    <w:rsid w:val="7318110C"/>
    <w:rsid w:val="73AC26D2"/>
    <w:rsid w:val="78B47B29"/>
    <w:rsid w:val="79362FFC"/>
    <w:rsid w:val="79CF0187"/>
    <w:rsid w:val="7ED90A98"/>
    <w:rsid w:val="7F7057B2"/>
    <w:rsid w:val="9F5C008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qFormat="1" w:unhideWhenUsed="0" w:uiPriority="0" w:semiHidden="0" w:name="heading 2"/>
    <w:lsdException w:qFormat="1" w:unhideWhenUsed="0" w:uiPriority="0" w:semiHidden="0"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99" w:semiHidden="0" w:name="toc 1"/>
    <w:lsdException w:unhideWhenUsed="0" w:uiPriority="99" w:semiHidden="0" w:name="toc 2"/>
    <w:lsdException w:qFormat="1" w:uiPriority="39" w:semiHidden="0" w:name="toc 3"/>
    <w:lsdException w:unhideWhenUsed="0" w:uiPriority="9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qFormat="1" w:uiPriority="99" w:name="annotation text"/>
    <w:lsdException w:unhideWhenUsed="0" w:uiPriority="99" w:semiHidden="0" w:name="header"/>
    <w:lsdException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qFormat="1" w:unhideWhenUsed="0" w:uiPriority="0"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unhideWhenUsed="0" w:uiPriority="99" w:semiHidden="0" w:name="Body Text First Indent"/>
    <w:lsdException w:qFormat="1" w:unhideWhenUsed="0" w:uiPriority="0"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qFormat="1" w:unhideWhenUsed="0" w:uiPriority="0" w:semiHidden="0" w:name="Body Text Indent 2"/>
    <w:lsdException w:unhideWhenUsed="0" w:uiPriority="99" w:semiHidden="0" w:name="Body Text Indent 3"/>
    <w:lsdException w:unhideWhenUsed="0" w:uiPriority="99" w:semiHidden="0" w:name="Block Text"/>
    <w:lsdException w:unhideWhenUsed="0" w:uiPriority="99"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unhideWhenUsed="0" w:uiPriority="99" w:semiHidden="0" w:name="Plain Text"/>
    <w:lsdException w:unhideWhenUsed="0" w:uiPriority="99" w:semiHidden="0" w:name="E-mail Signature"/>
    <w:lsdException w:qFormat="1" w:unhideWhenUsed="0" w:uiPriority="0"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nhideWhenUsed="0" w:uiPriority="0" w:name="Normal Table"/>
    <w:lsdException w:qFormat="1" w:uiPriority="99"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unhideWhenUsed="0" w:uiPriority="99" w:semiHidden="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cs="Times New Roman" w:eastAsiaTheme="minorEastAsia"/>
      <w:kern w:val="1"/>
      <w:sz w:val="21"/>
      <w:szCs w:val="24"/>
      <w:lang w:val="en-US" w:eastAsia="zh-CN" w:bidi="ar-SA"/>
    </w:rPr>
  </w:style>
  <w:style w:type="paragraph" w:styleId="2">
    <w:name w:val="heading 2"/>
    <w:basedOn w:val="1"/>
    <w:qFormat/>
    <w:uiPriority w:val="0"/>
    <w:pPr>
      <w:keepNext/>
      <w:keepLines/>
      <w:spacing w:line="360" w:lineRule="auto"/>
      <w:outlineLvl w:val="1"/>
    </w:pPr>
    <w:rPr>
      <w:rFonts w:ascii="Arial" w:hAnsi="Arial"/>
      <w:b/>
      <w:bCs/>
      <w:sz w:val="24"/>
      <w:szCs w:val="32"/>
    </w:rPr>
  </w:style>
  <w:style w:type="paragraph" w:styleId="3">
    <w:name w:val="heading 3"/>
    <w:basedOn w:val="1"/>
    <w:qFormat/>
    <w:uiPriority w:val="0"/>
    <w:pPr>
      <w:keepNext/>
      <w:keepLines/>
      <w:spacing w:before="260" w:after="26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widowControl/>
      <w:ind w:firstLine="420"/>
      <w:jc w:val="left"/>
    </w:pPr>
    <w:rPr>
      <w:kern w:val="0"/>
      <w:sz w:val="20"/>
      <w:szCs w:val="20"/>
    </w:rPr>
  </w:style>
  <w:style w:type="paragraph" w:styleId="5">
    <w:name w:val="annotation text"/>
    <w:basedOn w:val="1"/>
    <w:semiHidden/>
    <w:unhideWhenUsed/>
    <w:qFormat/>
    <w:uiPriority w:val="99"/>
    <w:pPr>
      <w:jc w:val="left"/>
    </w:pPr>
  </w:style>
  <w:style w:type="paragraph" w:styleId="6">
    <w:name w:val="Body Text"/>
    <w:basedOn w:val="1"/>
    <w:semiHidden/>
    <w:qFormat/>
    <w:uiPriority w:val="0"/>
    <w:rPr>
      <w:rFonts w:ascii="宋体" w:hAnsi="宋体" w:eastAsia="宋体" w:cs="宋体"/>
      <w:sz w:val="20"/>
      <w:szCs w:val="20"/>
      <w:lang w:val="en-US" w:eastAsia="en-US" w:bidi="ar-SA"/>
    </w:rPr>
  </w:style>
  <w:style w:type="paragraph" w:styleId="7">
    <w:name w:val="Body Text Indent"/>
    <w:basedOn w:val="1"/>
    <w:qFormat/>
    <w:uiPriority w:val="0"/>
    <w:pPr>
      <w:widowControl w:val="0"/>
      <w:ind w:left="420"/>
      <w:jc w:val="both"/>
    </w:pPr>
    <w:rPr>
      <w:rFonts w:ascii="Calibri" w:hAnsi="Calibri" w:cs="Times New Roman" w:eastAsiaTheme="minorEastAsia"/>
      <w:kern w:val="1"/>
      <w:sz w:val="21"/>
      <w:szCs w:val="24"/>
      <w:lang w:val="en-US" w:eastAsia="zh-CN" w:bidi="ar-SA"/>
    </w:rPr>
  </w:style>
  <w:style w:type="paragraph" w:styleId="8">
    <w:name w:val="toc 3"/>
    <w:basedOn w:val="1"/>
    <w:unhideWhenUsed/>
    <w:qFormat/>
    <w:uiPriority w:val="39"/>
    <w:pPr>
      <w:spacing w:before="12" w:after="12" w:line="360" w:lineRule="auto"/>
    </w:pPr>
    <w:rPr>
      <w:rFonts w:ascii="等线" w:hAnsi="等线" w:eastAsia="等线"/>
      <w:szCs w:val="22"/>
    </w:rPr>
  </w:style>
  <w:style w:type="paragraph" w:styleId="9">
    <w:name w:val="Body Text Indent 2"/>
    <w:basedOn w:val="1"/>
    <w:qFormat/>
    <w:uiPriority w:val="0"/>
    <w:pPr>
      <w:spacing w:after="120" w:line="480" w:lineRule="auto"/>
      <w:ind w:left="420" w:leftChars="200"/>
    </w:pPr>
  </w:style>
  <w:style w:type="paragraph" w:styleId="10">
    <w:name w:val="endnote text"/>
    <w:basedOn w:val="1"/>
    <w:qFormat/>
    <w:uiPriority w:val="0"/>
    <w:pPr>
      <w:snapToGrid w:val="0"/>
      <w:jc w:val="left"/>
    </w:pPr>
  </w:style>
  <w:style w:type="paragraph" w:styleId="11">
    <w:name w:val="Normal (Web)"/>
    <w:basedOn w:val="1"/>
    <w:qFormat/>
    <w:uiPriority w:val="0"/>
    <w:pPr>
      <w:spacing w:beforeAutospacing="1" w:afterAutospacing="1"/>
    </w:pPr>
    <w:rPr>
      <w:rFonts w:ascii="宋体" w:hAnsi="宋体" w:cs="宋体" w:eastAsiaTheme="minorEastAsia"/>
      <w:kern w:val="1"/>
      <w:sz w:val="24"/>
      <w:szCs w:val="24"/>
      <w:lang w:val="en-US" w:eastAsia="zh-CN" w:bidi="ar-SA"/>
    </w:rPr>
  </w:style>
  <w:style w:type="paragraph" w:styleId="12">
    <w:name w:val="annotation subject"/>
    <w:basedOn w:val="5"/>
    <w:semiHidden/>
    <w:unhideWhenUsed/>
    <w:qFormat/>
    <w:uiPriority w:val="99"/>
    <w:rPr>
      <w:b/>
      <w:bCs/>
    </w:rPr>
  </w:style>
  <w:style w:type="paragraph" w:styleId="13">
    <w:name w:val="Body Text First Indent 2"/>
    <w:basedOn w:val="7"/>
    <w:qFormat/>
    <w:uiPriority w:val="0"/>
    <w:pPr>
      <w:ind w:firstLine="420" w:firstLineChars="2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rFonts w:ascii="Times New Roman" w:hAnsi="Times New Roman" w:eastAsia="宋体"/>
      <w:b/>
      <w:bCs/>
      <w:kern w:val="0"/>
      <w:sz w:val="20"/>
      <w:szCs w:val="20"/>
    </w:rPr>
  </w:style>
  <w:style w:type="paragraph" w:customStyle="1" w:styleId="18">
    <w:name w:val="1"/>
    <w:basedOn w:val="19"/>
    <w:qFormat/>
    <w:uiPriority w:val="0"/>
    <w:pPr>
      <w:spacing w:afterLines="50" w:line="360" w:lineRule="auto"/>
    </w:pPr>
    <w:rPr>
      <w:rFonts w:ascii="宋体" w:hAnsi="宋体"/>
      <w:b/>
      <w:sz w:val="30"/>
      <w:szCs w:val="21"/>
    </w:rPr>
  </w:style>
  <w:style w:type="paragraph" w:customStyle="1" w:styleId="19">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1">
    <w:name w:val="font5"/>
    <w:basedOn w:val="1"/>
    <w:qFormat/>
    <w:uiPriority w:val="0"/>
    <w:pPr>
      <w:widowControl/>
      <w:spacing w:before="100" w:beforeAutospacing="1" w:after="100" w:afterAutospacing="1"/>
      <w:jc w:val="left"/>
    </w:pPr>
    <w:rPr>
      <w:rFonts w:ascii="宋体"/>
      <w:kern w:val="0"/>
      <w:sz w:val="18"/>
      <w:szCs w:val="18"/>
    </w:rPr>
  </w:style>
  <w:style w:type="paragraph" w:customStyle="1" w:styleId="22">
    <w:name w:val="列出段落1"/>
    <w:qFormat/>
    <w:uiPriority w:val="0"/>
    <w:pPr>
      <w:widowControl w:val="0"/>
      <w:ind w:firstLine="420"/>
      <w:jc w:val="both"/>
    </w:pPr>
    <w:rPr>
      <w:rFonts w:ascii="Calibri" w:hAnsi="Calibri" w:cs="Calibri" w:eastAsiaTheme="minorEastAsia"/>
      <w:kern w:val="1"/>
      <w:sz w:val="21"/>
      <w:szCs w:val="21"/>
      <w:lang w:val="en-US" w:eastAsia="zh-CN" w:bidi="ar-SA"/>
    </w:rPr>
  </w:style>
  <w:style w:type="paragraph" w:customStyle="1" w:styleId="23">
    <w:name w:val="首行缩进"/>
    <w:basedOn w:val="1"/>
    <w:qFormat/>
    <w:uiPriority w:val="0"/>
    <w:pPr>
      <w:ind w:firstLine="720"/>
      <w:jc w:val="left"/>
    </w:pPr>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Pages>
  <Words>2265</Words>
  <Characters>2421</Characters>
  <Lines>0</Lines>
  <Paragraphs>0</Paragraphs>
  <TotalTime>15</TotalTime>
  <ScaleCrop>false</ScaleCrop>
  <LinksUpToDate>false</LinksUpToDate>
  <CharactersWithSpaces>2446</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2024-08-05T09:16:00Z</dcterms:created>
  <dc:creator>fay</dc:creator>
  <cp:lastModifiedBy>fay</cp:lastModifiedBy>
  <cp:lastPrinted>2024-08-12T07:24:00Z</cp:lastPrinted>
  <dcterms:modified xsi:type="dcterms:W3CDTF">2024-08-12T07:52:14Z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CCB5F1C5C69046CAA4CC529B68D74C5E_13</vt:lpwstr>
  </property>
</Properties>
</file>