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0A2C78">
      <w:pPr>
        <w:spacing w:line="400" w:lineRule="exact"/>
        <w:rPr>
          <w:rFonts w:ascii="宋体" w:hAnsi="宋体" w:eastAsia="宋体" w:cstheme="minorEastAsia"/>
          <w:sz w:val="28"/>
          <w:szCs w:val="28"/>
        </w:rPr>
      </w:pPr>
    </w:p>
    <w:p w14:paraId="7FCCF34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履带式装备运输车（预算：65万元）</w:t>
      </w:r>
    </w:p>
    <w:p w14:paraId="52D2629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rPr>
        <w:t>★1.底盘：橡胶履带式全地形底盘，驱动模式为8X8。</w:t>
      </w:r>
    </w:p>
    <w:p w14:paraId="1C555A1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rPr>
        <w:t>2.车辆参数</w:t>
      </w:r>
      <w:bookmarkStart w:id="0" w:name="_GoBack"/>
      <w:bookmarkEnd w:id="0"/>
    </w:p>
    <w:p w14:paraId="66EE193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lang w:eastAsia="zh-CN"/>
        </w:rPr>
      </w:pPr>
      <w:r>
        <w:rPr>
          <w:rFonts w:hint="default" w:ascii="仿宋" w:hAnsi="仿宋" w:eastAsia="仿宋" w:cs="仿宋"/>
          <w:b w:val="0"/>
          <w:bCs w:val="0"/>
          <w:color w:val="auto"/>
          <w:sz w:val="28"/>
          <w:szCs w:val="28"/>
          <w:highlight w:val="none"/>
        </w:rPr>
        <w:t>▲</w:t>
      </w:r>
      <w:r>
        <w:rPr>
          <w:rFonts w:hint="default" w:ascii="仿宋" w:hAnsi="仿宋" w:eastAsia="仿宋" w:cs="仿宋"/>
          <w:b w:val="0"/>
          <w:bCs w:val="0"/>
          <w:color w:val="auto"/>
          <w:sz w:val="28"/>
          <w:szCs w:val="28"/>
          <w:highlight w:val="none"/>
          <w:lang w:val="en-US" w:eastAsia="zh-CN"/>
        </w:rPr>
        <w:t>2.1</w:t>
      </w:r>
      <w:r>
        <w:rPr>
          <w:rFonts w:hint="default" w:ascii="仿宋" w:hAnsi="仿宋" w:eastAsia="仿宋" w:cs="仿宋"/>
          <w:b w:val="0"/>
          <w:bCs w:val="0"/>
          <w:color w:val="auto"/>
          <w:sz w:val="28"/>
          <w:szCs w:val="28"/>
          <w:highlight w:val="none"/>
        </w:rPr>
        <w:t>发动机排量</w:t>
      </w:r>
      <w:r>
        <w:rPr>
          <w:rFonts w:hint="eastAsia" w:ascii="仿宋" w:hAnsi="仿宋" w:eastAsia="仿宋" w:cs="仿宋"/>
          <w:b w:val="0"/>
          <w:bCs w:val="0"/>
          <w:color w:val="auto"/>
          <w:sz w:val="28"/>
          <w:szCs w:val="28"/>
          <w:highlight w:val="none"/>
          <w:lang w:eastAsia="zh-CN"/>
        </w:rPr>
        <w:t>≥</w:t>
      </w:r>
      <w:r>
        <w:rPr>
          <w:rFonts w:hint="default" w:ascii="仿宋" w:hAnsi="仿宋" w:eastAsia="仿宋" w:cs="仿宋"/>
          <w:b w:val="0"/>
          <w:bCs w:val="0"/>
          <w:color w:val="auto"/>
          <w:sz w:val="28"/>
          <w:szCs w:val="28"/>
          <w:highlight w:val="none"/>
        </w:rPr>
        <w:t>1.4L；</w:t>
      </w:r>
    </w:p>
    <w:p w14:paraId="5904494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lang w:val="en-US" w:eastAsia="zh-CN"/>
        </w:rPr>
        <w:t>2.2</w:t>
      </w:r>
      <w:r>
        <w:rPr>
          <w:rFonts w:hint="default" w:ascii="仿宋" w:hAnsi="仿宋" w:eastAsia="仿宋" w:cs="仿宋"/>
          <w:b w:val="0"/>
          <w:bCs w:val="0"/>
          <w:color w:val="auto"/>
          <w:sz w:val="28"/>
          <w:szCs w:val="28"/>
          <w:highlight w:val="none"/>
        </w:rPr>
        <w:t>乘员</w:t>
      </w:r>
      <w:r>
        <w:rPr>
          <w:rFonts w:hint="eastAsia" w:ascii="仿宋" w:hAnsi="仿宋" w:eastAsia="仿宋" w:cs="仿宋"/>
          <w:b w:val="0"/>
          <w:bCs w:val="0"/>
          <w:color w:val="auto"/>
          <w:sz w:val="28"/>
          <w:szCs w:val="28"/>
          <w:highlight w:val="none"/>
          <w:lang w:eastAsia="zh-CN"/>
        </w:rPr>
        <w:t>≥</w:t>
      </w:r>
      <w:r>
        <w:rPr>
          <w:rFonts w:hint="default" w:ascii="仿宋" w:hAnsi="仿宋" w:eastAsia="仿宋" w:cs="仿宋"/>
          <w:b w:val="0"/>
          <w:bCs w:val="0"/>
          <w:color w:val="auto"/>
          <w:sz w:val="28"/>
          <w:szCs w:val="28"/>
          <w:highlight w:val="none"/>
        </w:rPr>
        <w:t>6人；</w:t>
      </w:r>
    </w:p>
    <w:p w14:paraId="528B5E4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2.3</w:t>
      </w:r>
      <w:r>
        <w:rPr>
          <w:rFonts w:hint="default" w:ascii="仿宋" w:hAnsi="仿宋" w:eastAsia="仿宋" w:cs="仿宋"/>
          <w:b w:val="0"/>
          <w:bCs w:val="0"/>
          <w:color w:val="auto"/>
          <w:sz w:val="28"/>
          <w:szCs w:val="28"/>
          <w:highlight w:val="none"/>
        </w:rPr>
        <w:t>最大倾角</w:t>
      </w:r>
      <w:r>
        <w:rPr>
          <w:rFonts w:hint="eastAsia" w:ascii="仿宋" w:hAnsi="仿宋" w:eastAsia="仿宋" w:cs="仿宋"/>
          <w:b w:val="0"/>
          <w:bCs w:val="0"/>
          <w:color w:val="auto"/>
          <w:sz w:val="28"/>
          <w:szCs w:val="28"/>
          <w:highlight w:val="none"/>
          <w:lang w:eastAsia="zh-CN"/>
        </w:rPr>
        <w:t>≥</w:t>
      </w:r>
      <w:r>
        <w:rPr>
          <w:rFonts w:hint="default" w:ascii="仿宋" w:hAnsi="仿宋" w:eastAsia="仿宋" w:cs="仿宋"/>
          <w:b w:val="0"/>
          <w:bCs w:val="0"/>
          <w:color w:val="auto"/>
          <w:sz w:val="28"/>
          <w:szCs w:val="28"/>
          <w:highlight w:val="none"/>
        </w:rPr>
        <w:t>60°；</w:t>
      </w:r>
    </w:p>
    <w:p w14:paraId="23CB611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rPr>
        <w:t>▲</w:t>
      </w:r>
      <w:r>
        <w:rPr>
          <w:rFonts w:hint="default" w:ascii="仿宋" w:hAnsi="仿宋" w:eastAsia="仿宋" w:cs="仿宋"/>
          <w:b w:val="0"/>
          <w:bCs w:val="0"/>
          <w:color w:val="auto"/>
          <w:sz w:val="28"/>
          <w:szCs w:val="28"/>
          <w:highlight w:val="none"/>
          <w:lang w:val="en-US" w:eastAsia="zh-CN"/>
        </w:rPr>
        <w:t>2.4</w:t>
      </w:r>
      <w:r>
        <w:rPr>
          <w:rFonts w:hint="default" w:ascii="仿宋" w:hAnsi="仿宋" w:eastAsia="仿宋" w:cs="仿宋"/>
          <w:b w:val="0"/>
          <w:bCs w:val="0"/>
          <w:color w:val="auto"/>
          <w:sz w:val="28"/>
          <w:szCs w:val="28"/>
          <w:highlight w:val="none"/>
        </w:rPr>
        <w:t>最小离地间隙</w:t>
      </w:r>
      <w:r>
        <w:rPr>
          <w:rFonts w:hint="eastAsia" w:ascii="仿宋" w:hAnsi="仿宋" w:eastAsia="仿宋" w:cs="仿宋"/>
          <w:b w:val="0"/>
          <w:bCs w:val="0"/>
          <w:color w:val="auto"/>
          <w:sz w:val="28"/>
          <w:szCs w:val="28"/>
          <w:highlight w:val="none"/>
          <w:lang w:eastAsia="zh-CN"/>
        </w:rPr>
        <w:t>≥</w:t>
      </w:r>
      <w:r>
        <w:rPr>
          <w:rFonts w:hint="default" w:ascii="仿宋" w:hAnsi="仿宋" w:eastAsia="仿宋" w:cs="仿宋"/>
          <w:b w:val="0"/>
          <w:bCs w:val="0"/>
          <w:color w:val="auto"/>
          <w:sz w:val="28"/>
          <w:szCs w:val="28"/>
          <w:highlight w:val="none"/>
        </w:rPr>
        <w:t>250mm；</w:t>
      </w:r>
    </w:p>
    <w:p w14:paraId="4EB9B21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lang w:eastAsia="zh-CN"/>
        </w:rPr>
      </w:pPr>
      <w:r>
        <w:rPr>
          <w:rFonts w:hint="default" w:ascii="仿宋" w:hAnsi="仿宋" w:eastAsia="仿宋" w:cs="仿宋"/>
          <w:b w:val="0"/>
          <w:bCs w:val="0"/>
          <w:color w:val="auto"/>
          <w:sz w:val="28"/>
          <w:szCs w:val="28"/>
          <w:highlight w:val="none"/>
        </w:rPr>
        <w:t>▲</w:t>
      </w:r>
      <w:r>
        <w:rPr>
          <w:rFonts w:hint="default" w:ascii="仿宋" w:hAnsi="仿宋" w:eastAsia="仿宋" w:cs="仿宋"/>
          <w:b w:val="0"/>
          <w:bCs w:val="0"/>
          <w:color w:val="auto"/>
          <w:sz w:val="28"/>
          <w:szCs w:val="28"/>
          <w:highlight w:val="none"/>
          <w:lang w:val="en-US" w:eastAsia="zh-CN"/>
        </w:rPr>
        <w:t>2.5</w:t>
      </w:r>
      <w:r>
        <w:rPr>
          <w:rFonts w:hint="default" w:ascii="仿宋" w:hAnsi="仿宋" w:eastAsia="仿宋" w:cs="仿宋"/>
          <w:b w:val="0"/>
          <w:bCs w:val="0"/>
          <w:color w:val="auto"/>
          <w:sz w:val="28"/>
          <w:szCs w:val="28"/>
          <w:highlight w:val="none"/>
        </w:rPr>
        <w:t>最高时速</w:t>
      </w:r>
      <w:r>
        <w:rPr>
          <w:rFonts w:hint="eastAsia" w:ascii="仿宋" w:hAnsi="仿宋" w:eastAsia="仿宋" w:cs="仿宋"/>
          <w:b w:val="0"/>
          <w:bCs w:val="0"/>
          <w:color w:val="auto"/>
          <w:sz w:val="28"/>
          <w:szCs w:val="28"/>
          <w:highlight w:val="none"/>
          <w:lang w:eastAsia="zh-CN"/>
        </w:rPr>
        <w:t>≥</w:t>
      </w:r>
      <w:r>
        <w:rPr>
          <w:rFonts w:hint="default" w:ascii="仿宋" w:hAnsi="仿宋" w:eastAsia="仿宋" w:cs="仿宋"/>
          <w:b w:val="0"/>
          <w:bCs w:val="0"/>
          <w:color w:val="auto"/>
          <w:sz w:val="28"/>
          <w:szCs w:val="28"/>
          <w:highlight w:val="none"/>
        </w:rPr>
        <w:t>60km/h；</w:t>
      </w:r>
    </w:p>
    <w:p w14:paraId="29A5622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lang w:val="en-US" w:eastAsia="zh-CN"/>
        </w:rPr>
        <w:t>2.6</w:t>
      </w:r>
      <w:r>
        <w:rPr>
          <w:rFonts w:hint="default" w:ascii="仿宋" w:hAnsi="仿宋" w:eastAsia="仿宋" w:cs="仿宋"/>
          <w:b w:val="0"/>
          <w:bCs w:val="0"/>
          <w:color w:val="auto"/>
          <w:sz w:val="28"/>
          <w:szCs w:val="28"/>
          <w:highlight w:val="none"/>
        </w:rPr>
        <w:t>硬质土路牵引力</w:t>
      </w:r>
      <w:r>
        <w:rPr>
          <w:rFonts w:hint="eastAsia" w:ascii="仿宋" w:hAnsi="仿宋" w:eastAsia="仿宋" w:cs="仿宋"/>
          <w:b w:val="0"/>
          <w:bCs w:val="0"/>
          <w:color w:val="auto"/>
          <w:sz w:val="28"/>
          <w:szCs w:val="28"/>
          <w:highlight w:val="none"/>
          <w:lang w:eastAsia="zh-CN"/>
        </w:rPr>
        <w:t>≥</w:t>
      </w:r>
      <w:r>
        <w:rPr>
          <w:rFonts w:hint="default" w:ascii="仿宋" w:hAnsi="仿宋" w:eastAsia="仿宋" w:cs="仿宋"/>
          <w:b w:val="0"/>
          <w:bCs w:val="0"/>
          <w:color w:val="auto"/>
          <w:sz w:val="28"/>
          <w:szCs w:val="28"/>
          <w:highlight w:val="none"/>
        </w:rPr>
        <w:t>3t；</w:t>
      </w:r>
    </w:p>
    <w:p w14:paraId="34A3D28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rPr>
        <w:t>▲</w:t>
      </w:r>
      <w:r>
        <w:rPr>
          <w:rFonts w:hint="default" w:ascii="仿宋" w:hAnsi="仿宋" w:eastAsia="仿宋" w:cs="仿宋"/>
          <w:b w:val="0"/>
          <w:bCs w:val="0"/>
          <w:color w:val="auto"/>
          <w:sz w:val="28"/>
          <w:szCs w:val="28"/>
          <w:highlight w:val="none"/>
          <w:lang w:val="en-US" w:eastAsia="zh-CN"/>
        </w:rPr>
        <w:t>2.7</w:t>
      </w:r>
      <w:r>
        <w:rPr>
          <w:rFonts w:hint="default" w:ascii="仿宋" w:hAnsi="仿宋" w:eastAsia="仿宋" w:cs="仿宋"/>
          <w:b w:val="0"/>
          <w:bCs w:val="0"/>
          <w:color w:val="auto"/>
          <w:sz w:val="28"/>
          <w:szCs w:val="28"/>
          <w:highlight w:val="none"/>
        </w:rPr>
        <w:t>最大爬坡度</w:t>
      </w:r>
      <w:r>
        <w:rPr>
          <w:rFonts w:hint="eastAsia" w:ascii="仿宋" w:hAnsi="仿宋" w:eastAsia="仿宋" w:cs="仿宋"/>
          <w:b w:val="0"/>
          <w:bCs w:val="0"/>
          <w:color w:val="auto"/>
          <w:sz w:val="28"/>
          <w:szCs w:val="28"/>
          <w:highlight w:val="none"/>
          <w:lang w:eastAsia="zh-CN"/>
        </w:rPr>
        <w:t>≥</w:t>
      </w:r>
      <w:r>
        <w:rPr>
          <w:rFonts w:hint="default" w:ascii="仿宋" w:hAnsi="仿宋" w:eastAsia="仿宋" w:cs="仿宋"/>
          <w:b w:val="0"/>
          <w:bCs w:val="0"/>
          <w:color w:val="auto"/>
          <w:sz w:val="28"/>
          <w:szCs w:val="28"/>
          <w:highlight w:val="none"/>
        </w:rPr>
        <w:t>60%；</w:t>
      </w:r>
    </w:p>
    <w:p w14:paraId="20C8F1C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lang w:val="en-US" w:eastAsia="zh-CN"/>
        </w:rPr>
        <w:t>2.8</w:t>
      </w:r>
      <w:r>
        <w:rPr>
          <w:rFonts w:hint="default" w:ascii="仿宋" w:hAnsi="仿宋" w:eastAsia="仿宋" w:cs="仿宋"/>
          <w:b w:val="0"/>
          <w:bCs w:val="0"/>
          <w:color w:val="auto"/>
          <w:sz w:val="28"/>
          <w:szCs w:val="28"/>
          <w:highlight w:val="none"/>
        </w:rPr>
        <w:t>侧坡行驶坡度</w:t>
      </w:r>
      <w:r>
        <w:rPr>
          <w:rFonts w:hint="eastAsia" w:ascii="仿宋" w:hAnsi="仿宋" w:eastAsia="仿宋" w:cs="仿宋"/>
          <w:b w:val="0"/>
          <w:bCs w:val="0"/>
          <w:color w:val="auto"/>
          <w:sz w:val="28"/>
          <w:szCs w:val="28"/>
          <w:highlight w:val="none"/>
          <w:lang w:eastAsia="zh-CN"/>
        </w:rPr>
        <w:t>≥</w:t>
      </w:r>
      <w:r>
        <w:rPr>
          <w:rFonts w:hint="default" w:ascii="仿宋" w:hAnsi="仿宋" w:eastAsia="仿宋" w:cs="仿宋"/>
          <w:b w:val="0"/>
          <w:bCs w:val="0"/>
          <w:color w:val="auto"/>
          <w:sz w:val="28"/>
          <w:szCs w:val="28"/>
          <w:highlight w:val="none"/>
        </w:rPr>
        <w:t>40%；</w:t>
      </w:r>
    </w:p>
    <w:p w14:paraId="1FC9837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lang w:val="en-US" w:eastAsia="zh-CN"/>
        </w:rPr>
        <w:t>2.9</w:t>
      </w:r>
      <w:r>
        <w:rPr>
          <w:rFonts w:hint="default" w:ascii="仿宋" w:hAnsi="仿宋" w:eastAsia="仿宋" w:cs="仿宋"/>
          <w:b w:val="0"/>
          <w:bCs w:val="0"/>
          <w:color w:val="auto"/>
          <w:sz w:val="28"/>
          <w:szCs w:val="28"/>
          <w:highlight w:val="none"/>
        </w:rPr>
        <w:t>通过垂直障碍高度</w:t>
      </w:r>
      <w:r>
        <w:rPr>
          <w:rFonts w:hint="eastAsia" w:ascii="仿宋" w:hAnsi="仿宋" w:eastAsia="仿宋" w:cs="仿宋"/>
          <w:b w:val="0"/>
          <w:bCs w:val="0"/>
          <w:color w:val="auto"/>
          <w:sz w:val="28"/>
          <w:szCs w:val="28"/>
          <w:highlight w:val="none"/>
          <w:lang w:eastAsia="zh-CN"/>
        </w:rPr>
        <w:t>≥</w:t>
      </w:r>
      <w:r>
        <w:rPr>
          <w:rFonts w:hint="default" w:ascii="仿宋" w:hAnsi="仿宋" w:eastAsia="仿宋" w:cs="仿宋"/>
          <w:b w:val="0"/>
          <w:bCs w:val="0"/>
          <w:color w:val="auto"/>
          <w:sz w:val="28"/>
          <w:szCs w:val="28"/>
          <w:highlight w:val="none"/>
        </w:rPr>
        <w:t>0.4m；</w:t>
      </w:r>
    </w:p>
    <w:p w14:paraId="24736ED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lang w:val="en-US" w:eastAsia="zh-CN"/>
        </w:rPr>
        <w:t>2.10</w:t>
      </w:r>
      <w:r>
        <w:rPr>
          <w:rFonts w:hint="default" w:ascii="仿宋" w:hAnsi="仿宋" w:eastAsia="仿宋" w:cs="仿宋"/>
          <w:b w:val="0"/>
          <w:bCs w:val="0"/>
          <w:color w:val="auto"/>
          <w:sz w:val="28"/>
          <w:szCs w:val="28"/>
          <w:highlight w:val="none"/>
        </w:rPr>
        <w:t>最大越障沟壕宽度</w:t>
      </w:r>
      <w:r>
        <w:rPr>
          <w:rFonts w:hint="eastAsia" w:ascii="仿宋" w:hAnsi="仿宋" w:eastAsia="仿宋" w:cs="仿宋"/>
          <w:b w:val="0"/>
          <w:bCs w:val="0"/>
          <w:color w:val="auto"/>
          <w:sz w:val="28"/>
          <w:szCs w:val="28"/>
          <w:highlight w:val="none"/>
          <w:lang w:eastAsia="zh-CN"/>
        </w:rPr>
        <w:t>≥</w:t>
      </w:r>
      <w:r>
        <w:rPr>
          <w:rFonts w:hint="default" w:ascii="仿宋" w:hAnsi="仿宋" w:eastAsia="仿宋" w:cs="仿宋"/>
          <w:b w:val="0"/>
          <w:bCs w:val="0"/>
          <w:color w:val="auto"/>
          <w:sz w:val="28"/>
          <w:szCs w:val="28"/>
          <w:highlight w:val="none"/>
        </w:rPr>
        <w:t>1m</w:t>
      </w:r>
      <w:r>
        <w:rPr>
          <w:rFonts w:hint="default" w:ascii="仿宋" w:hAnsi="仿宋" w:eastAsia="仿宋" w:cs="仿宋"/>
          <w:b w:val="0"/>
          <w:bCs w:val="0"/>
          <w:color w:val="auto"/>
          <w:sz w:val="28"/>
          <w:szCs w:val="28"/>
          <w:highlight w:val="none"/>
          <w:lang w:eastAsia="zh-CN"/>
        </w:rPr>
        <w:t>；</w:t>
      </w:r>
    </w:p>
    <w:p w14:paraId="06FB336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lang w:val="en-US" w:eastAsia="zh-CN"/>
        </w:rPr>
        <w:t>2.11</w:t>
      </w:r>
      <w:r>
        <w:rPr>
          <w:rFonts w:hint="default" w:ascii="仿宋" w:hAnsi="仿宋" w:eastAsia="仿宋" w:cs="仿宋"/>
          <w:b w:val="0"/>
          <w:bCs w:val="0"/>
          <w:color w:val="auto"/>
          <w:sz w:val="28"/>
          <w:szCs w:val="28"/>
          <w:highlight w:val="none"/>
        </w:rPr>
        <w:t>最大允许总质量</w:t>
      </w:r>
      <w:r>
        <w:rPr>
          <w:rFonts w:hint="eastAsia" w:ascii="仿宋" w:hAnsi="仿宋" w:eastAsia="仿宋" w:cs="仿宋"/>
          <w:b w:val="0"/>
          <w:bCs w:val="0"/>
          <w:color w:val="auto"/>
          <w:sz w:val="28"/>
          <w:szCs w:val="28"/>
          <w:highlight w:val="none"/>
          <w:lang w:eastAsia="zh-CN"/>
        </w:rPr>
        <w:t>≥</w:t>
      </w:r>
      <w:r>
        <w:rPr>
          <w:rFonts w:hint="default" w:ascii="仿宋" w:hAnsi="仿宋" w:eastAsia="仿宋" w:cs="仿宋"/>
          <w:b w:val="0"/>
          <w:bCs w:val="0"/>
          <w:color w:val="auto"/>
          <w:sz w:val="28"/>
          <w:szCs w:val="28"/>
          <w:highlight w:val="none"/>
        </w:rPr>
        <w:t>3t</w:t>
      </w:r>
      <w:r>
        <w:rPr>
          <w:rFonts w:hint="default" w:ascii="仿宋" w:hAnsi="仿宋" w:eastAsia="仿宋" w:cs="仿宋"/>
          <w:b w:val="0"/>
          <w:bCs w:val="0"/>
          <w:color w:val="auto"/>
          <w:sz w:val="28"/>
          <w:szCs w:val="28"/>
          <w:highlight w:val="none"/>
          <w:lang w:eastAsia="zh-CN"/>
        </w:rPr>
        <w:t>；</w:t>
      </w:r>
    </w:p>
    <w:p w14:paraId="3F3C722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rPr>
        <w:t>▲</w:t>
      </w:r>
      <w:r>
        <w:rPr>
          <w:rFonts w:hint="default" w:ascii="仿宋" w:hAnsi="仿宋" w:eastAsia="仿宋" w:cs="仿宋"/>
          <w:b w:val="0"/>
          <w:bCs w:val="0"/>
          <w:color w:val="auto"/>
          <w:sz w:val="28"/>
          <w:szCs w:val="28"/>
          <w:highlight w:val="none"/>
          <w:lang w:val="en-US" w:eastAsia="zh-CN"/>
        </w:rPr>
        <w:t>2.12</w:t>
      </w:r>
      <w:r>
        <w:rPr>
          <w:rFonts w:hint="default" w:ascii="仿宋" w:hAnsi="仿宋" w:eastAsia="仿宋" w:cs="仿宋"/>
          <w:b w:val="0"/>
          <w:bCs w:val="0"/>
          <w:color w:val="auto"/>
          <w:sz w:val="28"/>
          <w:szCs w:val="28"/>
          <w:highlight w:val="none"/>
        </w:rPr>
        <w:t>载重能力</w:t>
      </w:r>
      <w:r>
        <w:rPr>
          <w:rFonts w:hint="eastAsia" w:ascii="仿宋" w:hAnsi="仿宋" w:eastAsia="仿宋" w:cs="仿宋"/>
          <w:b w:val="0"/>
          <w:bCs w:val="0"/>
          <w:color w:val="auto"/>
          <w:sz w:val="28"/>
          <w:szCs w:val="28"/>
          <w:highlight w:val="none"/>
          <w:lang w:eastAsia="zh-CN"/>
        </w:rPr>
        <w:t>≥</w:t>
      </w:r>
      <w:r>
        <w:rPr>
          <w:rFonts w:hint="default" w:ascii="仿宋" w:hAnsi="仿宋" w:eastAsia="仿宋" w:cs="仿宋"/>
          <w:b w:val="0"/>
          <w:bCs w:val="0"/>
          <w:color w:val="auto"/>
          <w:sz w:val="28"/>
          <w:szCs w:val="28"/>
          <w:highlight w:val="none"/>
        </w:rPr>
        <w:t>1t</w:t>
      </w:r>
      <w:r>
        <w:rPr>
          <w:rFonts w:hint="default" w:ascii="仿宋" w:hAnsi="仿宋" w:eastAsia="仿宋" w:cs="仿宋"/>
          <w:b w:val="0"/>
          <w:bCs w:val="0"/>
          <w:color w:val="auto"/>
          <w:sz w:val="28"/>
          <w:szCs w:val="28"/>
          <w:highlight w:val="none"/>
          <w:lang w:eastAsia="zh-CN"/>
        </w:rPr>
        <w:t>。</w:t>
      </w:r>
    </w:p>
    <w:p w14:paraId="71AFF89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rPr>
        <w:t>3.整车设计</w:t>
      </w:r>
    </w:p>
    <w:p w14:paraId="7DE7D80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rPr>
        <w:t>★</w:t>
      </w:r>
      <w:r>
        <w:rPr>
          <w:rFonts w:hint="default" w:ascii="仿宋" w:hAnsi="仿宋" w:eastAsia="仿宋" w:cs="仿宋"/>
          <w:b w:val="0"/>
          <w:bCs w:val="0"/>
          <w:color w:val="auto"/>
          <w:sz w:val="28"/>
          <w:szCs w:val="28"/>
          <w:highlight w:val="none"/>
          <w:lang w:val="en-US" w:eastAsia="zh-CN"/>
        </w:rPr>
        <w:t>3.1</w:t>
      </w:r>
      <w:r>
        <w:rPr>
          <w:rFonts w:hint="default" w:ascii="仿宋" w:hAnsi="仿宋" w:eastAsia="仿宋" w:cs="仿宋"/>
          <w:b w:val="0"/>
          <w:bCs w:val="0"/>
          <w:color w:val="auto"/>
          <w:sz w:val="28"/>
          <w:szCs w:val="28"/>
          <w:highlight w:val="none"/>
        </w:rPr>
        <w:t>具备符合国标要求的外接电源接口；</w:t>
      </w:r>
    </w:p>
    <w:p w14:paraId="1B3F1E4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lang w:val="en-US" w:eastAsia="zh-CN"/>
        </w:rPr>
        <w:t>3.2</w:t>
      </w:r>
      <w:r>
        <w:rPr>
          <w:rFonts w:hint="default" w:ascii="仿宋" w:hAnsi="仿宋" w:eastAsia="仿宋" w:cs="仿宋"/>
          <w:b w:val="0"/>
          <w:bCs w:val="0"/>
          <w:color w:val="auto"/>
          <w:sz w:val="28"/>
          <w:szCs w:val="28"/>
          <w:highlight w:val="none"/>
        </w:rPr>
        <w:t>采用模块化设计，具有良好的共享性和可扩展性，整车所有设备符合相互配套使用要求；</w:t>
      </w:r>
    </w:p>
    <w:p w14:paraId="18A2E3D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lang w:val="en-US" w:eastAsia="zh-CN"/>
        </w:rPr>
        <w:t>3.3</w:t>
      </w:r>
      <w:r>
        <w:rPr>
          <w:rFonts w:hint="default" w:ascii="仿宋" w:hAnsi="仿宋" w:eastAsia="仿宋" w:cs="仿宋"/>
          <w:b w:val="0"/>
          <w:bCs w:val="0"/>
          <w:color w:val="auto"/>
          <w:sz w:val="28"/>
          <w:szCs w:val="28"/>
          <w:highlight w:val="none"/>
        </w:rPr>
        <w:t>操作开关、仪表、线路及车辆配置中文标识的铭牌标志及相关使用注意事项说明；</w:t>
      </w:r>
    </w:p>
    <w:p w14:paraId="39E719E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lang w:val="en-US" w:eastAsia="zh-CN"/>
        </w:rPr>
        <w:t>3.4</w:t>
      </w:r>
      <w:r>
        <w:rPr>
          <w:rFonts w:hint="default" w:ascii="仿宋" w:hAnsi="仿宋" w:eastAsia="仿宋" w:cs="仿宋"/>
          <w:b w:val="0"/>
          <w:bCs w:val="0"/>
          <w:color w:val="auto"/>
          <w:sz w:val="28"/>
          <w:szCs w:val="28"/>
          <w:highlight w:val="none"/>
        </w:rPr>
        <w:t>车身材料采用高强度装甲钢或优于该材质。</w:t>
      </w:r>
    </w:p>
    <w:p w14:paraId="09EB22F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rPr>
        <w:t>4.驾驶室</w:t>
      </w:r>
    </w:p>
    <w:p w14:paraId="1085C26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lang w:eastAsia="zh-CN"/>
        </w:rPr>
      </w:pPr>
      <w:r>
        <w:rPr>
          <w:rFonts w:hint="default" w:ascii="仿宋" w:hAnsi="仿宋" w:eastAsia="仿宋" w:cs="仿宋"/>
          <w:b w:val="0"/>
          <w:bCs w:val="0"/>
          <w:color w:val="auto"/>
          <w:sz w:val="28"/>
          <w:szCs w:val="28"/>
          <w:highlight w:val="none"/>
        </w:rPr>
        <w:t>▲</w:t>
      </w:r>
      <w:r>
        <w:rPr>
          <w:rFonts w:hint="default" w:ascii="仿宋" w:hAnsi="仿宋" w:eastAsia="仿宋" w:cs="仿宋"/>
          <w:b w:val="0"/>
          <w:bCs w:val="0"/>
          <w:color w:val="auto"/>
          <w:sz w:val="28"/>
          <w:szCs w:val="28"/>
          <w:highlight w:val="none"/>
          <w:lang w:val="en-US" w:eastAsia="zh-CN"/>
        </w:rPr>
        <w:t>4.1</w:t>
      </w:r>
      <w:r>
        <w:rPr>
          <w:rFonts w:hint="default" w:ascii="仿宋" w:hAnsi="仿宋" w:eastAsia="仿宋" w:cs="仿宋"/>
          <w:b w:val="0"/>
          <w:bCs w:val="0"/>
          <w:color w:val="auto"/>
          <w:sz w:val="28"/>
          <w:szCs w:val="28"/>
          <w:highlight w:val="none"/>
        </w:rPr>
        <w:t>根据功能要求，仪表盘上安装有倒车监视器等</w:t>
      </w:r>
      <w:r>
        <w:rPr>
          <w:rFonts w:hint="default" w:ascii="仿宋" w:hAnsi="仿宋" w:eastAsia="仿宋" w:cs="仿宋"/>
          <w:b w:val="0"/>
          <w:bCs w:val="0"/>
          <w:color w:val="auto"/>
          <w:sz w:val="28"/>
          <w:szCs w:val="28"/>
          <w:highlight w:val="none"/>
          <w:lang w:eastAsia="zh-CN"/>
        </w:rPr>
        <w:t>；</w:t>
      </w:r>
    </w:p>
    <w:p w14:paraId="3B3C0FD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lang w:eastAsia="zh-CN"/>
        </w:rPr>
      </w:pPr>
      <w:r>
        <w:rPr>
          <w:rFonts w:hint="default" w:ascii="仿宋" w:hAnsi="仿宋" w:eastAsia="仿宋" w:cs="仿宋"/>
          <w:b w:val="0"/>
          <w:bCs w:val="0"/>
          <w:color w:val="auto"/>
          <w:sz w:val="28"/>
          <w:szCs w:val="28"/>
          <w:highlight w:val="none"/>
          <w:lang w:val="en-US" w:eastAsia="zh-CN"/>
        </w:rPr>
        <w:t>4.2</w:t>
      </w:r>
      <w:r>
        <w:rPr>
          <w:rFonts w:hint="default" w:ascii="仿宋" w:hAnsi="仿宋" w:eastAsia="仿宋" w:cs="仿宋"/>
          <w:b w:val="0"/>
          <w:bCs w:val="0"/>
          <w:color w:val="auto"/>
          <w:sz w:val="28"/>
          <w:szCs w:val="28"/>
          <w:highlight w:val="none"/>
        </w:rPr>
        <w:t>后方器材舱按照采购人要求设计，车厢尾门采用下翻式打开，方便人员和物资的上下及装卸。车舱周围设有观察窗</w:t>
      </w:r>
      <w:r>
        <w:rPr>
          <w:rFonts w:hint="default" w:ascii="仿宋" w:hAnsi="仿宋" w:eastAsia="仿宋" w:cs="仿宋"/>
          <w:b w:val="0"/>
          <w:bCs w:val="0"/>
          <w:color w:val="auto"/>
          <w:sz w:val="28"/>
          <w:szCs w:val="28"/>
          <w:highlight w:val="none"/>
          <w:lang w:eastAsia="zh-CN"/>
        </w:rPr>
        <w:t>；</w:t>
      </w:r>
    </w:p>
    <w:p w14:paraId="5C58472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lang w:eastAsia="zh-CN"/>
        </w:rPr>
      </w:pPr>
      <w:r>
        <w:rPr>
          <w:rFonts w:hint="default" w:ascii="仿宋" w:hAnsi="仿宋" w:eastAsia="仿宋" w:cs="仿宋"/>
          <w:b w:val="0"/>
          <w:bCs w:val="0"/>
          <w:color w:val="auto"/>
          <w:sz w:val="28"/>
          <w:szCs w:val="28"/>
          <w:highlight w:val="none"/>
          <w:lang w:val="en-US" w:eastAsia="zh-CN"/>
        </w:rPr>
        <w:t>4.3</w:t>
      </w:r>
      <w:r>
        <w:rPr>
          <w:rFonts w:hint="default" w:ascii="仿宋" w:hAnsi="仿宋" w:eastAsia="仿宋" w:cs="仿宋"/>
          <w:b w:val="0"/>
          <w:bCs w:val="0"/>
          <w:color w:val="auto"/>
          <w:sz w:val="28"/>
          <w:szCs w:val="28"/>
          <w:highlight w:val="none"/>
        </w:rPr>
        <w:t>车厢内壁走线槽和装置坚固平整，接缝平直</w:t>
      </w:r>
      <w:r>
        <w:rPr>
          <w:rFonts w:hint="default" w:ascii="仿宋" w:hAnsi="仿宋" w:eastAsia="仿宋" w:cs="仿宋"/>
          <w:b w:val="0"/>
          <w:bCs w:val="0"/>
          <w:color w:val="auto"/>
          <w:sz w:val="28"/>
          <w:szCs w:val="28"/>
          <w:highlight w:val="none"/>
          <w:lang w:eastAsia="zh-CN"/>
        </w:rPr>
        <w:t>；</w:t>
      </w:r>
    </w:p>
    <w:p w14:paraId="624BBF9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lang w:val="en-US" w:eastAsia="zh-CN"/>
        </w:rPr>
        <w:t>4.4</w:t>
      </w:r>
      <w:r>
        <w:rPr>
          <w:rFonts w:hint="default" w:ascii="仿宋" w:hAnsi="仿宋" w:eastAsia="仿宋" w:cs="仿宋"/>
          <w:b w:val="0"/>
          <w:bCs w:val="0"/>
          <w:color w:val="auto"/>
          <w:sz w:val="28"/>
          <w:szCs w:val="28"/>
          <w:highlight w:val="none"/>
        </w:rPr>
        <w:t>在车后安装倒车后视镜头。</w:t>
      </w:r>
    </w:p>
    <w:p w14:paraId="7576377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rPr>
        <w:t>5.外观布置</w:t>
      </w:r>
    </w:p>
    <w:p w14:paraId="10F0D69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lang w:val="en-US" w:eastAsia="zh-CN"/>
        </w:rPr>
        <w:t>5.1</w:t>
      </w:r>
      <w:r>
        <w:rPr>
          <w:rFonts w:hint="default" w:ascii="仿宋" w:hAnsi="仿宋" w:eastAsia="仿宋" w:cs="仿宋"/>
          <w:b w:val="0"/>
          <w:bCs w:val="0"/>
          <w:color w:val="auto"/>
          <w:sz w:val="28"/>
          <w:szCs w:val="28"/>
          <w:highlight w:val="none"/>
        </w:rPr>
        <w:t>漆面：车身颜色符合GB/T3181</w:t>
      </w:r>
      <w:r>
        <w:rPr>
          <w:rFonts w:hint="eastAsia" w:ascii="仿宋" w:hAnsi="仿宋" w:eastAsia="仿宋" w:cs="仿宋"/>
          <w:b w:val="0"/>
          <w:bCs w:val="0"/>
          <w:color w:val="auto"/>
          <w:sz w:val="28"/>
          <w:szCs w:val="28"/>
          <w:highlight w:val="none"/>
          <w:lang w:val="en-US" w:eastAsia="zh-CN"/>
        </w:rPr>
        <w:t>-2008</w:t>
      </w:r>
      <w:r>
        <w:rPr>
          <w:rFonts w:hint="default" w:ascii="仿宋" w:hAnsi="仿宋" w:eastAsia="仿宋" w:cs="仿宋"/>
          <w:b w:val="0"/>
          <w:bCs w:val="0"/>
          <w:color w:val="auto"/>
          <w:sz w:val="28"/>
          <w:szCs w:val="28"/>
          <w:highlight w:val="none"/>
        </w:rPr>
        <w:t>中规定的R03红色，符合《国务院办公厅关于国家综合性消防救援车辆悬挂应急救援专用号牌有关事项的通知》（国办发〔2018〕114号）、《消防救援局关于做好消防救援车辆外观制式涂装工作的通知》（应急消〔2019〕76号）等要求；</w:t>
      </w:r>
    </w:p>
    <w:p w14:paraId="5BF23F5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lang w:eastAsia="zh-CN"/>
        </w:rPr>
      </w:pPr>
      <w:r>
        <w:rPr>
          <w:rFonts w:hint="default" w:ascii="仿宋" w:hAnsi="仿宋" w:eastAsia="仿宋" w:cs="仿宋"/>
          <w:b w:val="0"/>
          <w:bCs w:val="0"/>
          <w:color w:val="auto"/>
          <w:sz w:val="28"/>
          <w:szCs w:val="28"/>
          <w:highlight w:val="none"/>
          <w:lang w:val="en-US" w:eastAsia="zh-CN"/>
        </w:rPr>
        <w:t>5.2</w:t>
      </w:r>
      <w:r>
        <w:rPr>
          <w:rFonts w:hint="default" w:ascii="仿宋" w:hAnsi="仿宋" w:eastAsia="仿宋" w:cs="仿宋"/>
          <w:b w:val="0"/>
          <w:bCs w:val="0"/>
          <w:color w:val="auto"/>
          <w:sz w:val="28"/>
          <w:szCs w:val="28"/>
          <w:highlight w:val="none"/>
        </w:rPr>
        <w:t>车厢：车厢采用骨架结构</w:t>
      </w:r>
      <w:r>
        <w:rPr>
          <w:rFonts w:hint="default" w:ascii="仿宋" w:hAnsi="仿宋" w:eastAsia="仿宋" w:cs="仿宋"/>
          <w:b w:val="0"/>
          <w:bCs w:val="0"/>
          <w:color w:val="auto"/>
          <w:sz w:val="28"/>
          <w:szCs w:val="28"/>
          <w:highlight w:val="none"/>
          <w:lang w:eastAsia="zh-CN"/>
        </w:rPr>
        <w:t>；</w:t>
      </w:r>
    </w:p>
    <w:p w14:paraId="542F8B5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lang w:eastAsia="zh-CN"/>
        </w:rPr>
      </w:pPr>
      <w:r>
        <w:rPr>
          <w:rFonts w:hint="default" w:ascii="仿宋" w:hAnsi="仿宋" w:eastAsia="仿宋" w:cs="仿宋"/>
          <w:b w:val="0"/>
          <w:bCs w:val="0"/>
          <w:color w:val="auto"/>
          <w:sz w:val="28"/>
          <w:szCs w:val="28"/>
          <w:highlight w:val="none"/>
          <w:lang w:val="en-US" w:eastAsia="zh-CN"/>
        </w:rPr>
        <w:t>5.3</w:t>
      </w:r>
      <w:r>
        <w:rPr>
          <w:rFonts w:hint="default" w:ascii="仿宋" w:hAnsi="仿宋" w:eastAsia="仿宋" w:cs="仿宋"/>
          <w:b w:val="0"/>
          <w:bCs w:val="0"/>
          <w:color w:val="auto"/>
          <w:sz w:val="28"/>
          <w:szCs w:val="28"/>
          <w:highlight w:val="none"/>
        </w:rPr>
        <w:t>隔音、吸音、隔热功能：整车符合隔音、隔热和环保要求</w:t>
      </w:r>
      <w:r>
        <w:rPr>
          <w:rFonts w:hint="default" w:ascii="仿宋" w:hAnsi="仿宋" w:eastAsia="仿宋" w:cs="仿宋"/>
          <w:b w:val="0"/>
          <w:bCs w:val="0"/>
          <w:color w:val="auto"/>
          <w:sz w:val="28"/>
          <w:szCs w:val="28"/>
          <w:highlight w:val="none"/>
          <w:lang w:eastAsia="zh-CN"/>
        </w:rPr>
        <w:t>；</w:t>
      </w:r>
    </w:p>
    <w:p w14:paraId="44B7D35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b w:val="0"/>
          <w:bCs w:val="0"/>
          <w:color w:val="auto"/>
          <w:sz w:val="28"/>
          <w:szCs w:val="28"/>
          <w:highlight w:val="none"/>
        </w:rPr>
      </w:pPr>
      <w:r>
        <w:rPr>
          <w:rFonts w:hint="default" w:ascii="仿宋" w:hAnsi="仿宋" w:eastAsia="仿宋" w:cs="仿宋"/>
          <w:b w:val="0"/>
          <w:bCs w:val="0"/>
          <w:color w:val="auto"/>
          <w:sz w:val="28"/>
          <w:szCs w:val="28"/>
          <w:highlight w:val="none"/>
          <w:lang w:val="en-US" w:eastAsia="zh-CN"/>
        </w:rPr>
        <w:t>5.4</w:t>
      </w:r>
      <w:r>
        <w:rPr>
          <w:rFonts w:hint="default" w:ascii="仿宋" w:hAnsi="仿宋" w:eastAsia="仿宋" w:cs="仿宋"/>
          <w:b w:val="0"/>
          <w:bCs w:val="0"/>
          <w:color w:val="auto"/>
          <w:sz w:val="28"/>
          <w:szCs w:val="28"/>
          <w:highlight w:val="none"/>
        </w:rPr>
        <w:t>电器线路：布线行统一标识，标签牢固，不易脱落，布线具备独立管槽。</w:t>
      </w:r>
    </w:p>
    <w:p w14:paraId="5EDAD544">
      <w:pPr>
        <w:widowControl/>
        <w:jc w:val="left"/>
        <w:rPr>
          <w:rFonts w:hint="eastAsia" w:ascii="仿宋" w:hAnsi="仿宋" w:eastAsia="仿宋" w:cs="仿宋"/>
          <w:b/>
          <w:bCs/>
          <w:color w:val="auto"/>
          <w:sz w:val="28"/>
          <w:szCs w:val="28"/>
          <w:highlight w:val="none"/>
          <w:lang w:val="en-US" w:eastAsia="zh-CN"/>
        </w:rPr>
      </w:pPr>
    </w:p>
    <w:p w14:paraId="2F539BC9">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 w:hAnsi="仿宋" w:eastAsia="仿宋" w:cs="仿宋"/>
          <w:b/>
          <w:bCs/>
          <w:color w:val="auto"/>
          <w:sz w:val="28"/>
          <w:szCs w:val="28"/>
          <w:highlight w:val="none"/>
          <w:lang w:val="en-US" w:eastAsia="zh-CN"/>
        </w:rPr>
      </w:pPr>
    </w:p>
    <w:p w14:paraId="59D84FD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泡沫输转消防车（预算：272万元）</w:t>
      </w:r>
    </w:p>
    <w:p w14:paraId="496B16A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rPr>
      </w:pPr>
      <w:r>
        <w:rPr>
          <w:rFonts w:ascii="Times New Roman" w:hAnsi="Times New Roman" w:eastAsia="方正仿宋_GBK" w:cs="Times New Roman"/>
          <w:color w:val="auto"/>
          <w:sz w:val="28"/>
          <w:szCs w:val="28"/>
          <w:highlight w:val="none"/>
        </w:rPr>
        <w:t>★</w:t>
      </w:r>
      <w:r>
        <w:rPr>
          <w:rFonts w:hint="eastAsia" w:ascii="仿宋" w:hAnsi="仿宋" w:eastAsia="仿宋" w:cs="仿宋"/>
          <w:color w:val="auto"/>
          <w:sz w:val="28"/>
          <w:szCs w:val="28"/>
          <w:highlight w:val="none"/>
        </w:rPr>
        <w:t>整车技术指标符合GB7956.1-2014《消防车 第1部分：通用技术条件》标准要求。</w:t>
      </w:r>
    </w:p>
    <w:p w14:paraId="0C938E77">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1、整车参数</w:t>
      </w:r>
    </w:p>
    <w:p w14:paraId="63F7E8C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（1）外形尺寸(长×宽×高)mm ：≤12000×2550×4000</w:t>
      </w:r>
    </w:p>
    <w:p w14:paraId="395CC79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（2）车辆最大总质量：满足GB1589-2016《汽车、挂车及汽车列车外廓尺寸、轴荷及质量限值》或GB 7956.1-2014《消防车　第1部分：通用技术条件》相关规定</w:t>
      </w:r>
      <w:r>
        <w:rPr>
          <w:rFonts w:hint="eastAsia" w:ascii="仿宋" w:hAnsi="仿宋" w:eastAsia="仿宋" w:cs="仿宋"/>
          <w:color w:val="auto"/>
          <w:sz w:val="28"/>
          <w:szCs w:val="28"/>
          <w:highlight w:val="none"/>
          <w:lang w:eastAsia="zh-CN"/>
        </w:rPr>
        <w:t>。</w:t>
      </w:r>
    </w:p>
    <w:p w14:paraId="6817566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（3）排放标准：国</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 6 \* ROMAN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VI</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w:t>
      </w:r>
    </w:p>
    <w:p w14:paraId="5665A5A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最高车速：≥95km/h。</w:t>
      </w:r>
    </w:p>
    <w:p w14:paraId="63BDC815">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2、底盘参数</w:t>
      </w:r>
    </w:p>
    <w:p w14:paraId="72E5F8B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▲（1）驱动型式≥8×4；</w:t>
      </w:r>
    </w:p>
    <w:p w14:paraId="48F4D95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（2）变速箱：自动或手动换档变速箱；</w:t>
      </w:r>
    </w:p>
    <w:p w14:paraId="285D4C4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（3)发动机：</w:t>
      </w:r>
    </w:p>
    <w:p w14:paraId="729C13A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▲①额定功率≥</w:t>
      </w:r>
      <w:r>
        <w:rPr>
          <w:rFonts w:hint="eastAsia" w:ascii="仿宋" w:hAnsi="仿宋" w:eastAsia="仿宋" w:cs="仿宋"/>
          <w:color w:val="auto"/>
          <w:sz w:val="28"/>
          <w:szCs w:val="28"/>
          <w:highlight w:val="none"/>
          <w:lang w:val="en-US" w:eastAsia="zh-CN"/>
        </w:rPr>
        <w:t>400</w:t>
      </w:r>
      <w:r>
        <w:rPr>
          <w:rFonts w:hint="eastAsia" w:ascii="仿宋" w:hAnsi="仿宋" w:eastAsia="仿宋" w:cs="仿宋"/>
          <w:color w:val="auto"/>
          <w:sz w:val="28"/>
          <w:szCs w:val="28"/>
          <w:highlight w:val="none"/>
        </w:rPr>
        <w:t>kw；</w:t>
      </w:r>
    </w:p>
    <w:p w14:paraId="35E0D6A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②油箱容积≥300L；</w:t>
      </w:r>
    </w:p>
    <w:p w14:paraId="6AFE993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val="en-US" w:eastAsia="zh-CN"/>
        </w:rPr>
        <w:t>底盘</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进口</w:t>
      </w:r>
      <w:r>
        <w:rPr>
          <w:rFonts w:hint="eastAsia" w:ascii="仿宋" w:hAnsi="仿宋" w:eastAsia="仿宋" w:cs="仿宋"/>
          <w:color w:val="auto"/>
          <w:sz w:val="28"/>
          <w:szCs w:val="28"/>
          <w:highlight w:val="none"/>
        </w:rPr>
        <w:t>底盘</w:t>
      </w:r>
      <w:r>
        <w:rPr>
          <w:rFonts w:hint="eastAsia" w:ascii="仿宋" w:hAnsi="仿宋" w:eastAsia="仿宋" w:cs="仿宋"/>
          <w:color w:val="auto"/>
          <w:sz w:val="28"/>
          <w:szCs w:val="28"/>
          <w:highlight w:val="none"/>
          <w:lang w:val="en-US" w:eastAsia="zh-CN"/>
        </w:rPr>
        <w:t>配备</w:t>
      </w:r>
      <w:r>
        <w:rPr>
          <w:rFonts w:hint="eastAsia" w:ascii="仿宋" w:hAnsi="仿宋" w:eastAsia="仿宋" w:cs="仿宋"/>
          <w:color w:val="auto"/>
          <w:sz w:val="28"/>
          <w:szCs w:val="28"/>
          <w:highlight w:val="none"/>
        </w:rPr>
        <w:t>原厂全功率取力器；</w:t>
      </w:r>
    </w:p>
    <w:p w14:paraId="1DABBBD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（5）底盘设置ABS（防抱死制动系统）或EBS（电控制动系统），设置限速器，配置子午线钢丝胎、胎压监测系统，发动机及主要部件监测系统。</w:t>
      </w:r>
    </w:p>
    <w:p w14:paraId="01CE3229">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3、驾乘室</w:t>
      </w:r>
    </w:p>
    <w:p w14:paraId="4B3B5A4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（1）布局结构：</w:t>
      </w:r>
      <w:r>
        <w:rPr>
          <w:rFonts w:hint="eastAsia" w:ascii="仿宋" w:hAnsi="仿宋" w:eastAsia="仿宋" w:cs="仿宋"/>
          <w:color w:val="auto"/>
          <w:sz w:val="28"/>
          <w:szCs w:val="28"/>
          <w:highlight w:val="none"/>
          <w:lang w:val="en-US" w:eastAsia="zh-CN"/>
        </w:rPr>
        <w:t>两门单排</w:t>
      </w:r>
      <w:r>
        <w:rPr>
          <w:rFonts w:hint="eastAsia" w:ascii="仿宋" w:hAnsi="仿宋" w:eastAsia="仿宋" w:cs="仿宋"/>
          <w:color w:val="auto"/>
          <w:sz w:val="28"/>
          <w:szCs w:val="28"/>
          <w:highlight w:val="none"/>
        </w:rPr>
        <w:t>，安装适应倾翻驾驶室的液压翻转机构，可向前翻转，装有防回落安全装置；</w:t>
      </w:r>
    </w:p>
    <w:p w14:paraId="1FCC9B6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（2）座位设置：主座椅为气囊减震；</w:t>
      </w:r>
    </w:p>
    <w:p w14:paraId="766C09E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w:t>
      </w:r>
      <w:r>
        <w:rPr>
          <w:rFonts w:hint="default"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val="en-US" w:eastAsia="zh-CN"/>
        </w:rPr>
        <w:t>）</w:t>
      </w:r>
      <w:r>
        <w:rPr>
          <w:rFonts w:hint="default" w:ascii="仿宋" w:hAnsi="仿宋" w:eastAsia="仿宋" w:cs="仿宋"/>
          <w:color w:val="auto"/>
          <w:sz w:val="28"/>
          <w:szCs w:val="28"/>
          <w:highlight w:val="none"/>
          <w:lang w:val="en-US" w:eastAsia="zh-CN"/>
        </w:rPr>
        <w:t>安全设置：整车设置三点式安全带（并有安全带未系报警功能），乘员室内外表面不应有尖角或锐利边缘，设置合理的防磕碰、防脚踢等防护装置，可能发生碰撞的部位应采用软化处理；上下车踏板应有照明，踏板中间的水平照度不小于5Lux；</w:t>
      </w:r>
    </w:p>
    <w:p w14:paraId="7C3E610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▲（4）驾驶室设备：除原车设备外，加装取力器控制开关，警报器、警灯开关,设置冷暖空调，收音机、车载USB接口，预留电源接口（220V、12V、24V），360°行车记录仪 (内存不小于32G),配备车载电台（符合GA.T1366-2017警用数字集群通信系统移动台技术规范，符合应急指挥窄带无线通信网(ePDT)最大程度兼容警用数字集群(PDT)通信系统系列标准。工作频率范围350-400MHz，支持PDT数字集群接入，能够接入宁夏消防救援总队350M数字集群管理平台统一管理；投标人自行开通接入采购单位350M数字集群系统，并将ID号注册到系统；需与采购单位现有350M数字集群系统的12个组群互联互通。）；配备北斗卫星定位装置（符合JT/T 794-2019、JT/T 808-2019、JT/T 1076-2016、JT/T 1078-2016、GB/T 19056-2021、接入端口：7878、前、后、左、右和驾驶室摄像头≥5路、具备出动、途中、到场、返队、出水、停水、执勤、驻防等消防状态上传功能、CAN通讯功能≥1路、串口以上通讯功能≥3路、能同时满足RS232/RS485通讯、具备集成防撞系统（ADAS）、驾驶行为分析（DMS）、支持全车雷达等辅助产品、具备一键报警sos功能和实时抓拍、录制车内外场景、路况图片、视频功能、具备采集解析CAN上行驶信息功能，具备视频存储支持加密处理，具备低功耗睡眠功能，显示屏内存≥1G，容量存储器≥8G，提供SDK二次开发包，能接入北斗消防综合管理服务平台、仅支持北斗功能，带倒车告警蜂鸣器，倒车摄像头和驾驶室内、外监视器等设备）；前后保险杠等设备、增加车门未关蜂鸣器。配备电动电热后视镜，电热广角镜，右侧望地镜，前下视镜等；</w:t>
      </w:r>
    </w:p>
    <w:p w14:paraId="5020B55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4、车厢</w:t>
      </w:r>
    </w:p>
    <w:p w14:paraId="46688A51">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车身颜色符合GB/T3181中规定的R03红色，符合《国务院办公厅关于国家综合性消防救援车辆悬挂应急救援专用号牌有关事项的通知》（国办发【2018】114号）、《消防救援局关于做好消防救援车辆外观制式涂装工作的通知》（应急消【2019】76号）等要求；</w:t>
      </w:r>
    </w:p>
    <w:p w14:paraId="4ECE2E3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（2）结构：车厢的骨架为全铝合金型材焊接式结构或搭接式结构，外蒙皮为铝合金板粘接技术。器材放置设置有铭牌标识，根据需求方便取放，设置模块化随车装备，所有器材均设有固定装置；</w:t>
      </w:r>
    </w:p>
    <w:p w14:paraId="77F3756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车顶：上装厢体设置于同一水平面，左、右设置防护装饰铝板，车顶喷涂车用防滑漆，以保证人员行走安全。车顶前面设置红色警灯（位于驾驶室顶端），车身四周设置轮廓灯带、爆闪警灯；车顶尾部设有探照灯用于火场照明；</w:t>
      </w:r>
    </w:p>
    <w:p w14:paraId="05A83E6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（4）后爬梯：车厢后部设置一架通往车顶的铝合金折叠爬梯；</w:t>
      </w:r>
    </w:p>
    <w:p w14:paraId="74DB792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（5）车底保护：车辆底部作防锈防腐等喷涂处理。</w:t>
      </w:r>
    </w:p>
    <w:p w14:paraId="3421BAA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5、卷帘门：</w:t>
      </w:r>
    </w:p>
    <w:p w14:paraId="33B9A779">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器材厢采用铝合金锁卷帘门，拉杆式条型把锁、一点式拉带、两点式固定座，配备器材箱照明灯，所有卷帘门均可通用一把钥匙开启，设置行进途中器材箱门开启、车门开启声光自动报警装置。</w:t>
      </w:r>
    </w:p>
    <w:p w14:paraId="69A90905">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6、脚踏板：</w:t>
      </w:r>
    </w:p>
    <w:p w14:paraId="180FB8D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（1）材质：铝合金型材；</w:t>
      </w:r>
    </w:p>
    <w:p w14:paraId="6601BFF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（2）结构：采用铝合金型板和钢架整体机构，承重≥150kg，双重锁</w:t>
      </w:r>
    </w:p>
    <w:p w14:paraId="0E8B527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r>
        <w:rPr>
          <w:rFonts w:hint="default" w:ascii="仿宋" w:hAnsi="仿宋" w:eastAsia="仿宋" w:cs="仿宋"/>
          <w:color w:val="auto"/>
          <w:sz w:val="28"/>
          <w:szCs w:val="28"/>
          <w:highlight w:val="none"/>
          <w:lang w:val="en-US" w:eastAsia="zh-CN"/>
        </w:rPr>
        <w:t>每侧踏板放下后应当保持在同一高度，踏板放下后朝向消防车前和后方位置应有警示灯闪烁；翻转踏板为易损件，投标人须对其可靠性和维修服务进行详细说明；车外翻板、踏脚板、梯蹬、液罐车顶表面均覆盖有防滑措施；</w:t>
      </w:r>
    </w:p>
    <w:p w14:paraId="6843051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7、电、气路系统</w:t>
      </w:r>
    </w:p>
    <w:p w14:paraId="1A52DCB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（1）电路系统：电气设备，符合国家相关标准；警灯、爆闪灯为红色；所有操作开关、仪表、器材架及车辆均有符合标准、规范的铭牌标志，显示值采用中国通用图标符号和计量标准，各类标牌牢固、清晰；</w:t>
      </w:r>
    </w:p>
    <w:p w14:paraId="54691809">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消防控制系统及仪表板：对各消防部件智能化控制，整体设置于车尾不能与出液口同侧；控制面板上所有手柄、按钮、开关和指示灯应标注有中文标识；显著位置设有管路布置图及操作、维护说明；可以直观、准确读取液位、转速、压力、真空压力、水泵转速等；</w:t>
      </w:r>
    </w:p>
    <w:p w14:paraId="1E4941C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（3）快速充气充电装置：安装快速充电装置，可对车辆蓄电池进行智能充电，对制动储气罐进行智能充气补气，可自动分离，也可手动分离。</w:t>
      </w:r>
    </w:p>
    <w:p w14:paraId="69C2EAD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8、载液罐</w:t>
      </w:r>
    </w:p>
    <w:p w14:paraId="1B5695C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▲（1）容量：≥24吨</w:t>
      </w:r>
    </w:p>
    <w:p w14:paraId="03F953F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（2）罐体须分隔为≥2个的独立储罐，罐体外部设置液位计和排污口。</w:t>
      </w:r>
    </w:p>
    <w:p w14:paraId="374969F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罐体材质要求采用高强度316不锈钢材料或高分子复合材料或优于该材质，底板厚度≥5mm、（前/后/左/右）侧板和顶板厚度不小于4mm、防荡板不小于3mm。罐内设置防腐蚀涂层和保温层，保修12年。顶部设置带有快速锁紧及开启装置的人孔，具备溢流和通风口，内部设置纵横防荡板。</w:t>
      </w:r>
    </w:p>
    <w:p w14:paraId="6165944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r>
        <w:rPr>
          <w:rFonts w:hint="default" w:ascii="仿宋" w:hAnsi="仿宋" w:eastAsia="仿宋" w:cs="仿宋"/>
          <w:color w:val="auto"/>
          <w:sz w:val="28"/>
          <w:szCs w:val="28"/>
          <w:highlight w:val="none"/>
          <w:lang w:val="en-US" w:eastAsia="zh-CN"/>
        </w:rPr>
        <w:t>全车防腐，确保在泡沫液外溢、长时间接触时的防腐蚀；</w:t>
      </w:r>
    </w:p>
    <w:p w14:paraId="4B78B1F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9、泡沫泵</w:t>
      </w:r>
    </w:p>
    <w:p w14:paraId="0E92458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（1）泡沫泵采用螺旋转子泡沫液泵；</w:t>
      </w:r>
    </w:p>
    <w:p w14:paraId="5C6E1C3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（2）额定工作压力≥1.0Pa；</w:t>
      </w:r>
    </w:p>
    <w:p w14:paraId="1E21A46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▲（3）流量≥30L/s；</w:t>
      </w:r>
    </w:p>
    <w:p w14:paraId="43ED67FF">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▲（4）数量≥2台套独立的泡沫泵系统，具备同吸同供功能，可满足持续供液保障的实战需求；</w:t>
      </w:r>
    </w:p>
    <w:p w14:paraId="70D0D74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（5）泵室内增加暖风系统，泵组必须具备压力调节功能，可根据实际作战大小调节持续输出功率；</w:t>
      </w:r>
    </w:p>
    <w:p w14:paraId="7974814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（6）车内配备2台移动式泡沫输转泵，可直接从泡沫桶内吸取泡沫，输转流量不小于3L/s；</w:t>
      </w:r>
    </w:p>
    <w:p w14:paraId="6876AD1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（7）泡沫输转泵采用优质防腐材质，适应各类泡沫液介质的输送，避免泡沫输转过程中与空气混合，造成泡沫顶先发泡，影响泡沫质量。</w:t>
      </w:r>
    </w:p>
    <w:p w14:paraId="698D143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10、管路系统</w:t>
      </w:r>
    </w:p>
    <w:p w14:paraId="2CFF320F">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进出液管路不少于2个DN80或DN65口径进液口，4个DN65和2个DN80出液口。阀门及接口全部采用铜质，接口采用卡式快速接口，接口外部套螺纹接口，防止空气吸入，罐出泡沫阀、罐注泡沫阀等均采用不锈钢气动阀，带手动应急操作，阀门便于操作。</w:t>
      </w:r>
    </w:p>
    <w:p w14:paraId="43AE33C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（2）车顶位置吸液管路吊机臂长不小于8m，吸液管旋出可左右旋转。水平回转角度不小于270°。管路均采用304不锈钢管或优于该材质、不锈钢法兰焊接。</w:t>
      </w:r>
    </w:p>
    <w:p w14:paraId="09325B89">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随车带泡沫比例混合器，可通过车辆直接输出泡沫混合液，比例混合器采用全自动电子泡沫比例混合器可安装于泡沫支线，泡沫泵直接将泡沫吸入泡沫比例混合器，随着水流量变化自动按比例输送泡沫，外接水源，形成设定比例的泡沫混合液，混合比：1%--8%。使用环境温度:-20℃～60℃。</w:t>
      </w:r>
    </w:p>
    <w:p w14:paraId="367C35F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（4）泵房在显目位置设有中文操作流程图及永久性标识、标牌等。</w:t>
      </w:r>
    </w:p>
    <w:p w14:paraId="1F82124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（5）管路冲洗：配备冲洗管路，设置外接水源冲洗接口。在管路最低处设置放余液阀，余液阀开关设置在车辆侧面可操作位置方便开启。 </w:t>
      </w:r>
    </w:p>
    <w:p w14:paraId="7A051979">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11、其他要求</w:t>
      </w:r>
    </w:p>
    <w:p w14:paraId="33E0575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（1）整车按国家标准配齐随车设备，设备布置合理，固定牢靠；</w:t>
      </w:r>
    </w:p>
    <w:p w14:paraId="7E8A33E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（2）交付使用单位时，燃油、尿素等添加液处于满液状态；</w:t>
      </w:r>
    </w:p>
    <w:p w14:paraId="78133CE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（3）首次保养（含材料、人工、差旅等）免费；</w:t>
      </w:r>
    </w:p>
    <w:p w14:paraId="16C81F49">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12、随车器材配备</w:t>
      </w:r>
    </w:p>
    <w:tbl>
      <w:tblPr>
        <w:tblStyle w:val="16"/>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112"/>
        <w:gridCol w:w="4041"/>
        <w:gridCol w:w="1031"/>
        <w:gridCol w:w="1103"/>
        <w:gridCol w:w="1995"/>
      </w:tblGrid>
      <w:tr w14:paraId="6FC07A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06839B3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序号</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44FFFF85">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名  称</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057901A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数量</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4B496E9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单位</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1D80F64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备 注</w:t>
            </w:r>
          </w:p>
        </w:tc>
      </w:tr>
      <w:tr w14:paraId="779BD8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1E2C62C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0E19BE9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65mm水带</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4454F81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6DFE087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盘</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1CF93C1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卡式接口、≥2.0mpa</w:t>
            </w:r>
          </w:p>
        </w:tc>
      </w:tr>
      <w:tr w14:paraId="20A20A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3674DAB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07D0D68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80mm水带</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196EE06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20</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6E733E0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盘</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79832F7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卡式接口、≥2.0mpa</w:t>
            </w:r>
          </w:p>
        </w:tc>
      </w:tr>
      <w:tr w14:paraId="082F35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16D36C5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37CA0A5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干粉灭火器</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5AA7902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39FED1A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具</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52C65D4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≥8kg，ABC干粉</w:t>
            </w:r>
          </w:p>
        </w:tc>
      </w:tr>
      <w:tr w14:paraId="5CBF01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22791AA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6F951E0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集水器</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5F95C6A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1AD49AF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个</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3790620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1461D5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5490553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4DDD40D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分水器</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3017CED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067A89B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个</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0DE0DFC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2E331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18922F4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00C38B8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吸液管枪</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2209EF2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273D57D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把</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6FC0C00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φ100</w:t>
            </w:r>
          </w:p>
        </w:tc>
      </w:tr>
      <w:tr w14:paraId="74BF98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6E32BF1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5A8B1DF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异径接口65mm(内扣)/80mm(卡式雄)</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792D564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4A0C513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只</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55B4C3A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7AB642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16465C4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12D7E7B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异径接口65mm(卡式)/80mm(卡式雌)</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2E25D69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43FCEA3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只</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207FE04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48A474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2D233C7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1C313E2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异型接口65mm(内扣)/65mm(卡式雄)</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0BC32EB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55CEB85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只</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6E9822E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09633A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50E1DDB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54342D4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异型接口65mm(内扣)/65mm(卡式雌)</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1CA2170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04AC9B4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只</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57C508F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15B51E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269E2BA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11</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3D778C1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异型接口80mm(内扣)/80mm(卡式雄)</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16E1F1F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798E42A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只</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79AEAA7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4B907E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015113C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3B46EF4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异型接口80mm(内扣)/80mm(卡式雌)</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2B8D799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1DB7151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只</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3740183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33C16C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541C986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13</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315E817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异径接口80mm(卡式雄)/80mm(卡式雌)</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2A69C41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2250FBE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只</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12369B45">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53DC2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7B71D8F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14</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4C1348E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异径接口65mm(卡式雄)/80mm(卡式雄)</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54760BE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76866F1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只</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37928BA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345EBE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02C4163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15</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314C199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水带护桥</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590FCB0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3EB5D75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副</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0E00295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橡胶材质</w:t>
            </w:r>
          </w:p>
        </w:tc>
      </w:tr>
      <w:tr w14:paraId="7C75A2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19BB677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16</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4CB4EA9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水带包布</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005849E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1A9498B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个</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4FF4836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133DBE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7839725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17</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770FC1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水带挂钩</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24DB932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6E3E033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个</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163EED79">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394E17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396F161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18</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6AAEE8C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消防斧</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7B440F6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3FF9DBE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把</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0196CB1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40142E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075EFBA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19</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34DA4F5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可充电式手提照明灯</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026F912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5DFDB31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个</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65A697C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3C1AC7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524904F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20</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30FA96E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备用轮胎</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00DD204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6871E8B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个</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04CE82F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72843F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7572162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21</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5332BE9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三角警示牌</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6879F94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600FD07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块</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7B043FD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7F7776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2969C6B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22</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1A49642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警戒带</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26F8C7F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2BEA398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盘</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3C7FE9D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74D3F2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076365B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23</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41ACAF8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铁铤</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2846D7C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62C0E60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把</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171BE36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6FAE04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75782B9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24</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20E6D11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铁锹</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7FE8D37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7D9FE0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把</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307CABE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298799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1D81983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25</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7301A44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底盘随车工具</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5782F95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5DDBF95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套</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71CCBA8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4731B8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6C7D3AE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26</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23E99B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轮胎打气套管</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2973355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7F2E4C7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根</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051F2331">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03D242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4713ECC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27</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77D7CBE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车轮止动楔</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291367B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2BCA94E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块</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5C075B6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20FED7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6A998FC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28</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5BCBA67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防滑链</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6FC7D89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0642BFE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套</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7E4A6E4F">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r w14:paraId="1E4CFA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0B9D1FA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29</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7E356E5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泡沫液吸液管及接口</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6FF4AF0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34DD2E2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套</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1B8DBE6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口径40MM</w:t>
            </w:r>
          </w:p>
        </w:tc>
      </w:tr>
      <w:tr w14:paraId="222EBF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99" w:type="pct"/>
            <w:tcBorders>
              <w:top w:val="single" w:color="auto" w:sz="4" w:space="0"/>
              <w:left w:val="single" w:color="auto" w:sz="4" w:space="0"/>
              <w:bottom w:val="single" w:color="auto" w:sz="4" w:space="0"/>
              <w:right w:val="single" w:color="auto" w:sz="4" w:space="0"/>
            </w:tcBorders>
            <w:noWrap w:val="0"/>
            <w:vAlign w:val="center"/>
          </w:tcPr>
          <w:p w14:paraId="588BF7A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30</w:t>
            </w:r>
          </w:p>
        </w:tc>
        <w:tc>
          <w:tcPr>
            <w:tcW w:w="2176" w:type="pct"/>
            <w:tcBorders>
              <w:top w:val="single" w:color="auto" w:sz="4" w:space="0"/>
              <w:left w:val="single" w:color="auto" w:sz="4" w:space="0"/>
              <w:bottom w:val="single" w:color="auto" w:sz="4" w:space="0"/>
              <w:right w:val="single" w:color="auto" w:sz="4" w:space="0"/>
            </w:tcBorders>
            <w:noWrap w:val="0"/>
            <w:vAlign w:val="center"/>
          </w:tcPr>
          <w:p w14:paraId="5A5B718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泡沫液桶搬运工具</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5501E90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594" w:type="pct"/>
            <w:tcBorders>
              <w:top w:val="single" w:color="auto" w:sz="4" w:space="0"/>
              <w:left w:val="single" w:color="auto" w:sz="4" w:space="0"/>
              <w:bottom w:val="single" w:color="auto" w:sz="4" w:space="0"/>
              <w:right w:val="single" w:color="auto" w:sz="4" w:space="0"/>
            </w:tcBorders>
            <w:noWrap w:val="0"/>
            <w:vAlign w:val="center"/>
          </w:tcPr>
          <w:p w14:paraId="1D6AF50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套</w:t>
            </w:r>
          </w:p>
        </w:tc>
        <w:tc>
          <w:tcPr>
            <w:tcW w:w="1074" w:type="pct"/>
            <w:tcBorders>
              <w:top w:val="single" w:color="auto" w:sz="4" w:space="0"/>
              <w:left w:val="single" w:color="auto" w:sz="4" w:space="0"/>
              <w:bottom w:val="single" w:color="auto" w:sz="4" w:space="0"/>
              <w:right w:val="single" w:color="auto" w:sz="4" w:space="0"/>
            </w:tcBorders>
            <w:noWrap w:val="0"/>
            <w:vAlign w:val="center"/>
          </w:tcPr>
          <w:p w14:paraId="4ECCEC3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auto"/>
                <w:sz w:val="28"/>
                <w:szCs w:val="28"/>
                <w:highlight w:val="none"/>
                <w:lang w:val="en-US" w:eastAsia="zh-CN"/>
              </w:rPr>
            </w:pPr>
          </w:p>
        </w:tc>
      </w:tr>
    </w:tbl>
    <w:p w14:paraId="3C462A2C">
      <w:pPr>
        <w:widowControl/>
        <w:jc w:val="left"/>
        <w:rPr>
          <w:rFonts w:hint="eastAsia" w:ascii="仿宋" w:hAnsi="仿宋" w:eastAsia="仿宋" w:cs="仿宋"/>
          <w:b/>
          <w:bCs/>
          <w:color w:val="auto"/>
          <w:sz w:val="28"/>
          <w:szCs w:val="28"/>
          <w:highlight w:val="none"/>
          <w:lang w:val="en-US" w:eastAsia="zh-CN"/>
        </w:rPr>
      </w:pPr>
    </w:p>
    <w:p w14:paraId="6B8A69E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注：1.车辆及随车器材设置永久性标志及产品数据标识；</w:t>
      </w:r>
    </w:p>
    <w:p w14:paraId="5363E7E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2.车辆提供具备法定资质的检测机构出具检测报告或由国家认可的检测机构出具检测报告。</w:t>
      </w:r>
    </w:p>
    <w:p w14:paraId="4D5FE3A9">
      <w:pPr>
        <w:widowControl/>
        <w:snapToGrid w:val="0"/>
        <w:rPr>
          <w:rFonts w:ascii="宋体" w:hAnsi="宋体" w:eastAsia="宋体"/>
          <w:kern w:val="0"/>
          <w:sz w:val="28"/>
          <w:szCs w:val="28"/>
        </w:rPr>
      </w:pPr>
    </w:p>
    <w:p w14:paraId="09742FA1">
      <w:pPr>
        <w:widowControl/>
        <w:snapToGrid w:val="0"/>
        <w:rPr>
          <w:rFonts w:ascii="宋体" w:hAnsi="宋体" w:eastAsia="宋体"/>
          <w:kern w:val="0"/>
          <w:sz w:val="28"/>
          <w:szCs w:val="28"/>
        </w:rPr>
      </w:pPr>
    </w:p>
    <w:p w14:paraId="70E9BC74">
      <w:pPr>
        <w:jc w:val="center"/>
        <w:rPr>
          <w:rFonts w:ascii="黑体" w:hAnsi="黑体" w:eastAsia="黑体"/>
          <w:color w:val="FF0000"/>
          <w:sz w:val="28"/>
          <w:szCs w:val="28"/>
        </w:rPr>
      </w:pPr>
      <w:r>
        <w:rPr>
          <w:rFonts w:hint="eastAsia" w:ascii="黑体" w:hAnsi="黑体" w:eastAsia="黑体"/>
          <w:color w:val="FF0000"/>
          <w:sz w:val="28"/>
          <w:szCs w:val="28"/>
        </w:rPr>
        <w:t>在满足以上技术指标的基础上，提供整车、核心功能设备详细技术指标</w:t>
      </w:r>
    </w:p>
    <w:p w14:paraId="6FB70CE9">
      <w:pPr>
        <w:rPr>
          <w:rFonts w:ascii="宋体" w:hAnsi="宋体" w:eastAsia="宋体"/>
          <w:kern w:val="0"/>
          <w:sz w:val="28"/>
          <w:szCs w:val="28"/>
        </w:rPr>
      </w:pPr>
    </w:p>
    <w:p w14:paraId="65BDB1D3">
      <w:pPr>
        <w:rPr>
          <w:rFonts w:ascii="宋体" w:hAnsi="宋体" w:eastAsia="宋体"/>
          <w:kern w:val="0"/>
          <w:sz w:val="28"/>
          <w:szCs w:val="28"/>
        </w:rPr>
      </w:pPr>
    </w:p>
    <w:sectPr>
      <w:footerReference r:id="rId3" w:type="default"/>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E46D6">
    <w:pPr>
      <w:spacing w:line="184" w:lineRule="auto"/>
      <w:ind w:left="3967"/>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PAGE   \* MERGEFORMAT</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1</w:t>
    </w:r>
    <w:r>
      <w:rPr>
        <w:rFonts w:ascii="Times New Roman" w:hAnsi="Times New Roman" w:cs="Times New Roman"/>
        <w:sz w:val="28"/>
        <w:szCs w:val="28"/>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304"/>
    <w:rsid w:val="000C11DD"/>
    <w:rsid w:val="0022304C"/>
    <w:rsid w:val="002619A9"/>
    <w:rsid w:val="003C78FB"/>
    <w:rsid w:val="00531B02"/>
    <w:rsid w:val="005A07E8"/>
    <w:rsid w:val="005D0D98"/>
    <w:rsid w:val="0067370E"/>
    <w:rsid w:val="006C28CB"/>
    <w:rsid w:val="009E467E"/>
    <w:rsid w:val="00A74EA7"/>
    <w:rsid w:val="00B236AC"/>
    <w:rsid w:val="00B97DD3"/>
    <w:rsid w:val="00BB6304"/>
    <w:rsid w:val="00C140A5"/>
    <w:rsid w:val="00C35213"/>
    <w:rsid w:val="00C5021B"/>
    <w:rsid w:val="00DE76A5"/>
    <w:rsid w:val="00E13C4F"/>
    <w:rsid w:val="1D013C34"/>
    <w:rsid w:val="470B30F6"/>
    <w:rsid w:val="530F58A7"/>
    <w:rsid w:val="531813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outlineLvl w:val="0"/>
    </w:pPr>
    <w:rPr>
      <w:b/>
      <w:bCs/>
      <w:kern w:val="44"/>
      <w:sz w:val="44"/>
      <w:szCs w:val="44"/>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3">
    <w:name w:val="toc 7"/>
    <w:basedOn w:val="1"/>
    <w:next w:val="1"/>
    <w:autoRedefine/>
    <w:unhideWhenUsed/>
    <w:qFormat/>
    <w:uiPriority w:val="39"/>
    <w:pPr>
      <w:ind w:left="1260"/>
      <w:jc w:val="left"/>
    </w:pPr>
    <w:rPr>
      <w:rFonts w:eastAsiaTheme="minorHAnsi"/>
      <w:sz w:val="18"/>
      <w:szCs w:val="18"/>
    </w:rPr>
  </w:style>
  <w:style w:type="paragraph" w:styleId="4">
    <w:name w:val="Normal Indent"/>
    <w:basedOn w:val="1"/>
    <w:next w:val="1"/>
    <w:autoRedefine/>
    <w:unhideWhenUsed/>
    <w:qFormat/>
    <w:uiPriority w:val="99"/>
    <w:pPr>
      <w:ind w:firstLine="420"/>
    </w:pPr>
    <w:rPr>
      <w:rFonts w:ascii="Times New Roman" w:hAnsi="Times New Roman" w:eastAsia="宋体" w:cs="Times New Roman"/>
      <w:szCs w:val="20"/>
    </w:rPr>
  </w:style>
  <w:style w:type="paragraph" w:styleId="5">
    <w:name w:val="Body Text"/>
    <w:basedOn w:val="1"/>
    <w:next w:val="1"/>
    <w:link w:val="20"/>
    <w:autoRedefine/>
    <w:qFormat/>
    <w:uiPriority w:val="0"/>
    <w:pPr>
      <w:spacing w:after="120" w:line="360" w:lineRule="auto"/>
      <w:ind w:right="-10" w:rightChars="-10" w:firstLine="200" w:firstLineChars="200"/>
    </w:pPr>
    <w:rPr>
      <w:rFonts w:ascii="宋体" w:hAnsi="宋体" w:eastAsia="宋体" w:cs="Times New Roman"/>
      <w:sz w:val="24"/>
    </w:rPr>
  </w:style>
  <w:style w:type="paragraph" w:styleId="6">
    <w:name w:val="toc 5"/>
    <w:basedOn w:val="1"/>
    <w:next w:val="1"/>
    <w:autoRedefine/>
    <w:unhideWhenUsed/>
    <w:qFormat/>
    <w:uiPriority w:val="39"/>
    <w:pPr>
      <w:ind w:left="840"/>
      <w:jc w:val="left"/>
    </w:pPr>
    <w:rPr>
      <w:rFonts w:eastAsiaTheme="minorHAnsi"/>
      <w:sz w:val="18"/>
      <w:szCs w:val="18"/>
    </w:rPr>
  </w:style>
  <w:style w:type="paragraph" w:styleId="7">
    <w:name w:val="toc 3"/>
    <w:basedOn w:val="1"/>
    <w:next w:val="1"/>
    <w:autoRedefine/>
    <w:unhideWhenUsed/>
    <w:qFormat/>
    <w:uiPriority w:val="39"/>
    <w:pPr>
      <w:ind w:left="420"/>
      <w:jc w:val="left"/>
    </w:pPr>
    <w:rPr>
      <w:rFonts w:eastAsiaTheme="minorHAnsi"/>
      <w:i/>
      <w:iCs/>
      <w:sz w:val="20"/>
      <w:szCs w:val="20"/>
    </w:rPr>
  </w:style>
  <w:style w:type="paragraph" w:styleId="8">
    <w:name w:val="toc 8"/>
    <w:basedOn w:val="1"/>
    <w:next w:val="1"/>
    <w:autoRedefine/>
    <w:unhideWhenUsed/>
    <w:qFormat/>
    <w:uiPriority w:val="39"/>
    <w:pPr>
      <w:ind w:left="1470"/>
      <w:jc w:val="left"/>
    </w:pPr>
    <w:rPr>
      <w:rFonts w:eastAsiaTheme="minorHAnsi"/>
      <w:sz w:val="18"/>
      <w:szCs w:val="18"/>
    </w:rPr>
  </w:style>
  <w:style w:type="paragraph" w:styleId="9">
    <w:name w:val="footer"/>
    <w:basedOn w:val="1"/>
    <w:link w:val="25"/>
    <w:unhideWhenUsed/>
    <w:qFormat/>
    <w:uiPriority w:val="99"/>
    <w:pPr>
      <w:tabs>
        <w:tab w:val="center" w:pos="4153"/>
        <w:tab w:val="right" w:pos="8306"/>
      </w:tabs>
      <w:snapToGrid w:val="0"/>
      <w:jc w:val="left"/>
    </w:pPr>
    <w:rPr>
      <w:sz w:val="18"/>
      <w:szCs w:val="18"/>
    </w:rPr>
  </w:style>
  <w:style w:type="paragraph" w:styleId="10">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autoRedefine/>
    <w:unhideWhenUsed/>
    <w:qFormat/>
    <w:uiPriority w:val="39"/>
    <w:pPr>
      <w:spacing w:before="120" w:after="120"/>
      <w:jc w:val="left"/>
    </w:pPr>
    <w:rPr>
      <w:rFonts w:eastAsiaTheme="minorHAnsi"/>
      <w:b/>
      <w:bCs/>
      <w:caps/>
      <w:sz w:val="20"/>
      <w:szCs w:val="20"/>
    </w:rPr>
  </w:style>
  <w:style w:type="paragraph" w:styleId="12">
    <w:name w:val="toc 4"/>
    <w:basedOn w:val="1"/>
    <w:next w:val="1"/>
    <w:autoRedefine/>
    <w:unhideWhenUsed/>
    <w:qFormat/>
    <w:uiPriority w:val="39"/>
    <w:pPr>
      <w:ind w:left="630"/>
      <w:jc w:val="left"/>
    </w:pPr>
    <w:rPr>
      <w:rFonts w:eastAsiaTheme="minorHAnsi"/>
      <w:sz w:val="18"/>
      <w:szCs w:val="18"/>
    </w:rPr>
  </w:style>
  <w:style w:type="paragraph" w:styleId="13">
    <w:name w:val="toc 6"/>
    <w:basedOn w:val="1"/>
    <w:next w:val="1"/>
    <w:autoRedefine/>
    <w:unhideWhenUsed/>
    <w:qFormat/>
    <w:uiPriority w:val="39"/>
    <w:pPr>
      <w:ind w:left="1050"/>
      <w:jc w:val="left"/>
    </w:pPr>
    <w:rPr>
      <w:rFonts w:eastAsiaTheme="minorHAnsi"/>
      <w:sz w:val="18"/>
      <w:szCs w:val="18"/>
    </w:rPr>
  </w:style>
  <w:style w:type="paragraph" w:styleId="14">
    <w:name w:val="toc 2"/>
    <w:basedOn w:val="1"/>
    <w:next w:val="1"/>
    <w:autoRedefine/>
    <w:unhideWhenUsed/>
    <w:qFormat/>
    <w:uiPriority w:val="39"/>
    <w:pPr>
      <w:ind w:left="210"/>
      <w:jc w:val="left"/>
    </w:pPr>
    <w:rPr>
      <w:rFonts w:eastAsiaTheme="minorHAnsi"/>
      <w:smallCaps/>
      <w:sz w:val="20"/>
      <w:szCs w:val="20"/>
    </w:rPr>
  </w:style>
  <w:style w:type="paragraph" w:styleId="15">
    <w:name w:val="toc 9"/>
    <w:basedOn w:val="1"/>
    <w:next w:val="1"/>
    <w:autoRedefine/>
    <w:unhideWhenUsed/>
    <w:qFormat/>
    <w:uiPriority w:val="39"/>
    <w:pPr>
      <w:ind w:left="1680"/>
      <w:jc w:val="left"/>
    </w:pPr>
    <w:rPr>
      <w:rFonts w:eastAsiaTheme="minorHAnsi"/>
      <w:sz w:val="18"/>
      <w:szCs w:val="18"/>
    </w:rPr>
  </w:style>
  <w:style w:type="character" w:styleId="18">
    <w:name w:val="Hyperlink"/>
    <w:basedOn w:val="17"/>
    <w:unhideWhenUsed/>
    <w:qFormat/>
    <w:uiPriority w:val="99"/>
    <w:rPr>
      <w:color w:val="0563C1" w:themeColor="hyperlink"/>
      <w:u w:val="single"/>
      <w14:textFill>
        <w14:solidFill>
          <w14:schemeClr w14:val="hlink"/>
        </w14:solidFill>
      </w14:textFill>
    </w:rPr>
  </w:style>
  <w:style w:type="character" w:customStyle="1" w:styleId="19">
    <w:name w:val="标题 1 字符"/>
    <w:basedOn w:val="17"/>
    <w:link w:val="2"/>
    <w:qFormat/>
    <w:uiPriority w:val="9"/>
    <w:rPr>
      <w:b/>
      <w:bCs/>
      <w:kern w:val="44"/>
      <w:sz w:val="44"/>
      <w:szCs w:val="44"/>
    </w:rPr>
  </w:style>
  <w:style w:type="character" w:customStyle="1" w:styleId="20">
    <w:name w:val="正文文本 字符"/>
    <w:basedOn w:val="17"/>
    <w:link w:val="5"/>
    <w:qFormat/>
    <w:uiPriority w:val="0"/>
    <w:rPr>
      <w:rFonts w:ascii="宋体" w:hAnsi="宋体" w:eastAsia="宋体" w:cs="Times New Roman"/>
      <w:sz w:val="24"/>
    </w:rPr>
  </w:style>
  <w:style w:type="table" w:customStyle="1" w:styleId="21">
    <w:name w:val="Table Normal"/>
    <w:autoRedefine/>
    <w:semiHidden/>
    <w:unhideWhenUsed/>
    <w:qFormat/>
    <w:uiPriority w:val="0"/>
    <w:rPr>
      <w:rFonts w:ascii="Times New Roman" w:hAnsi="Times New Roman" w:eastAsia="宋体" w:cs="Times New Roman"/>
      <w:kern w:val="0"/>
      <w:sz w:val="20"/>
      <w:szCs w:val="20"/>
    </w:rPr>
    <w:tblPr>
      <w:tblCellMar>
        <w:top w:w="0" w:type="dxa"/>
        <w:left w:w="0" w:type="dxa"/>
        <w:bottom w:w="0" w:type="dxa"/>
        <w:right w:w="0" w:type="dxa"/>
      </w:tblCellMar>
    </w:tblPr>
  </w:style>
  <w:style w:type="paragraph" w:customStyle="1" w:styleId="22">
    <w:name w:val="列表段落1"/>
    <w:basedOn w:val="1"/>
    <w:autoRedefine/>
    <w:qFormat/>
    <w:uiPriority w:val="0"/>
    <w:pPr>
      <w:adjustRightInd w:val="0"/>
      <w:snapToGrid w:val="0"/>
      <w:spacing w:line="400" w:lineRule="exact"/>
      <w:ind w:firstLine="419" w:firstLineChars="174"/>
      <w:jc w:val="left"/>
    </w:pPr>
    <w:rPr>
      <w:rFonts w:ascii="黑体" w:hAnsi="黑体" w:eastAsia="黑体" w:cs="宋体"/>
      <w:b/>
      <w:kern w:val="0"/>
      <w:sz w:val="24"/>
      <w:szCs w:val="24"/>
    </w:rPr>
  </w:style>
  <w:style w:type="paragraph" w:customStyle="1" w:styleId="23">
    <w:name w:val="样式 样式 左侧:  2 字符 + 左侧:  0.85 厘米 首行缩进:  2 字符1"/>
    <w:basedOn w:val="1"/>
    <w:autoRedefine/>
    <w:qFormat/>
    <w:uiPriority w:val="0"/>
    <w:pPr>
      <w:ind w:left="482" w:firstLine="200" w:firstLineChars="200"/>
    </w:pPr>
    <w:rPr>
      <w:rFonts w:ascii="Calibri" w:hAnsi="Calibri" w:eastAsia="宋体" w:cs="Times New Roman"/>
      <w:sz w:val="28"/>
      <w:szCs w:val="20"/>
    </w:rPr>
  </w:style>
  <w:style w:type="character" w:customStyle="1" w:styleId="24">
    <w:name w:val="页眉 字符"/>
    <w:basedOn w:val="17"/>
    <w:link w:val="10"/>
    <w:uiPriority w:val="99"/>
    <w:rPr>
      <w:sz w:val="18"/>
      <w:szCs w:val="18"/>
    </w:rPr>
  </w:style>
  <w:style w:type="character" w:customStyle="1" w:styleId="25">
    <w:name w:val="页脚 字符"/>
    <w:basedOn w:val="17"/>
    <w:link w:val="9"/>
    <w:qFormat/>
    <w:uiPriority w:val="99"/>
    <w:rPr>
      <w:sz w:val="18"/>
      <w:szCs w:val="18"/>
    </w:rPr>
  </w:style>
  <w:style w:type="paragraph" w:customStyle="1" w:styleId="26">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paragraph" w:styleId="2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48FB8-C88F-4C9B-8EF0-01386EDFCC7E}">
  <ds:schemaRefs/>
</ds:datastoreItem>
</file>

<file path=docProps/app.xml><?xml version="1.0" encoding="utf-8"?>
<Properties xmlns="http://schemas.openxmlformats.org/officeDocument/2006/extended-properties" xmlns:vt="http://schemas.openxmlformats.org/officeDocument/2006/docPropsVTypes">
  <Template>Normal</Template>
  <Pages>9</Pages>
  <Words>4316</Words>
  <Characters>4784</Characters>
  <Lines>530</Lines>
  <Paragraphs>149</Paragraphs>
  <TotalTime>2</TotalTime>
  <ScaleCrop>false</ScaleCrop>
  <LinksUpToDate>false</LinksUpToDate>
  <CharactersWithSpaces>4844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2024-01-18T08:37:00Z</dcterms:created>
  <dc:creator>访客模式</dc:creator>
  <cp:lastModifiedBy>win10-</cp:lastModifiedBy>
  <dcterms:modified xsi:type="dcterms:W3CDTF">2025-06-27T07:28:39Z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eyJoZGlkIjoiN2YzNjBkOTgyNWQ1YTMxYzM3MzMwNWFiODNmOWIzYWMiLCJ1c2VySWQiOiI5NDgxNzM4NTEifQ==</vt:lpwstr>
  </property>
  <property fmtid="{D5CDD505-2E9C-101B-9397-08002B2CF9AE}" pid="3" name="KSOProductBuildVer">
    <vt:lpwstr>2052-12.1.0.21541</vt:lpwstr>
  </property>
  <property fmtid="{D5CDD505-2E9C-101B-9397-08002B2CF9AE}" pid="4" name="ICV">
    <vt:lpwstr>D49D03E6B5954C82A71BCC041729AF07_12</vt:lpwstr>
  </property>
</Properties>
</file>