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39C316">
      <w:pPr>
        <w:spacing w:line="360" w:lineRule="auto"/>
        <w:ind w:left="210" w:leftChars="100"/>
        <w:jc w:val="center"/>
        <w:rPr>
          <w:rFonts w:hint="eastAsia" w:cs="宋体"/>
          <w:b/>
          <w:bCs/>
          <w:sz w:val="24"/>
        </w:rPr>
      </w:pPr>
    </w:p>
    <w:p w14:paraId="7EFE1E52">
      <w:pPr>
        <w:spacing w:line="360" w:lineRule="auto"/>
        <w:jc w:val="center"/>
        <w:rPr>
          <w:rFonts w:hint="eastAsia" w:cs="宋体"/>
          <w:b/>
          <w:bCs/>
          <w:sz w:val="44"/>
          <w:szCs w:val="44"/>
        </w:rPr>
      </w:pPr>
      <w:bookmarkStart w:id="0" w:name="_Hlk24317540"/>
      <w:bookmarkStart w:id="1" w:name="_Hlk528667721"/>
      <w:r>
        <w:rPr>
          <w:rFonts w:hint="eastAsia" w:cs="宋体"/>
          <w:b/>
          <w:bCs/>
          <w:sz w:val="44"/>
          <w:szCs w:val="44"/>
        </w:rPr>
        <w:t>2025年防灾减灾专项资金基层应急能力提升项目</w:t>
      </w:r>
    </w:p>
    <w:bookmarkEnd w:id="0"/>
    <w:bookmarkEnd w:id="1"/>
    <w:p w14:paraId="75DE2F64">
      <w:pPr>
        <w:spacing w:line="360" w:lineRule="auto"/>
        <w:jc w:val="center"/>
        <w:rPr>
          <w:rFonts w:hint="eastAsia" w:cs="宋体"/>
          <w:b/>
          <w:bCs/>
          <w:sz w:val="44"/>
          <w:szCs w:val="44"/>
        </w:rPr>
      </w:pPr>
      <w:r>
        <w:rPr>
          <w:rFonts w:hint="eastAsia" w:cs="宋体"/>
          <w:b/>
          <w:bCs/>
          <w:sz w:val="44"/>
          <w:szCs w:val="44"/>
        </w:rPr>
        <w:t>（2标段）</w:t>
      </w:r>
    </w:p>
    <w:p w14:paraId="67CCF60D">
      <w:pPr>
        <w:spacing w:line="360" w:lineRule="auto"/>
        <w:jc w:val="center"/>
        <w:rPr>
          <w:rFonts w:hint="eastAsia" w:cs="宋体"/>
          <w:b/>
          <w:bCs/>
          <w:sz w:val="44"/>
          <w:szCs w:val="44"/>
        </w:rPr>
      </w:pPr>
    </w:p>
    <w:p w14:paraId="3D085220">
      <w:pPr>
        <w:spacing w:line="360" w:lineRule="auto"/>
        <w:jc w:val="center"/>
        <w:rPr>
          <w:rFonts w:hint="eastAsia" w:cs="宋体"/>
          <w:b/>
          <w:bCs/>
          <w:sz w:val="44"/>
          <w:szCs w:val="44"/>
        </w:rPr>
      </w:pPr>
    </w:p>
    <w:p w14:paraId="034363B4">
      <w:pPr>
        <w:spacing w:line="360" w:lineRule="auto"/>
        <w:jc w:val="center"/>
        <w:rPr>
          <w:rFonts w:hint="eastAsia" w:cs="宋体"/>
          <w:b/>
          <w:bCs/>
          <w:sz w:val="44"/>
          <w:szCs w:val="44"/>
        </w:rPr>
      </w:pPr>
    </w:p>
    <w:p w14:paraId="4B54AE35">
      <w:pPr>
        <w:spacing w:line="360" w:lineRule="auto"/>
        <w:jc w:val="center"/>
        <w:rPr>
          <w:rFonts w:hint="eastAsia" w:cs="宋体"/>
          <w:b/>
          <w:bCs/>
          <w:sz w:val="44"/>
          <w:szCs w:val="44"/>
        </w:rPr>
      </w:pPr>
    </w:p>
    <w:p w14:paraId="0AABFB7B">
      <w:pPr>
        <w:spacing w:line="360" w:lineRule="auto"/>
        <w:jc w:val="center"/>
        <w:rPr>
          <w:rFonts w:hint="eastAsia" w:cs="宋体"/>
          <w:b/>
          <w:bCs/>
          <w:sz w:val="44"/>
          <w:szCs w:val="44"/>
        </w:rPr>
      </w:pPr>
    </w:p>
    <w:p w14:paraId="02DB4819">
      <w:pPr>
        <w:spacing w:line="360" w:lineRule="auto"/>
        <w:jc w:val="center"/>
        <w:rPr>
          <w:rFonts w:hint="eastAsia" w:cs="宋体"/>
          <w:b/>
          <w:bCs/>
          <w:sz w:val="52"/>
          <w:szCs w:val="52"/>
        </w:rPr>
      </w:pPr>
      <w:r>
        <w:rPr>
          <w:rFonts w:hint="eastAsia" w:cs="宋体"/>
          <w:b/>
          <w:bCs/>
          <w:sz w:val="52"/>
          <w:szCs w:val="52"/>
        </w:rPr>
        <w:t>招 标 文 件</w:t>
      </w:r>
    </w:p>
    <w:p w14:paraId="31699337">
      <w:pPr>
        <w:spacing w:line="360" w:lineRule="auto"/>
        <w:jc w:val="center"/>
        <w:rPr>
          <w:rFonts w:hint="eastAsia" w:cs="宋体"/>
          <w:sz w:val="44"/>
          <w:szCs w:val="44"/>
        </w:rPr>
      </w:pPr>
    </w:p>
    <w:p w14:paraId="3A417E4C">
      <w:pPr>
        <w:spacing w:line="360" w:lineRule="auto"/>
        <w:jc w:val="center"/>
        <w:rPr>
          <w:rFonts w:hint="eastAsia" w:cs="宋体"/>
          <w:b/>
          <w:bCs/>
          <w:sz w:val="24"/>
        </w:rPr>
      </w:pPr>
      <w:r>
        <w:rPr>
          <w:rFonts w:hint="eastAsia" w:cs="宋体"/>
          <w:b/>
          <w:bCs/>
          <w:sz w:val="24"/>
        </w:rPr>
        <w:t>项目编号</w:t>
      </w:r>
      <w:r>
        <w:rPr>
          <w:rFonts w:hint="eastAsia" w:cs="宋体"/>
          <w:b/>
          <w:bCs/>
          <w:w w:val="95"/>
          <w:sz w:val="24"/>
        </w:rPr>
        <w:t>：LDHYYN-KM-251102</w:t>
      </w:r>
    </w:p>
    <w:p w14:paraId="7D9707DE">
      <w:pPr>
        <w:spacing w:line="360" w:lineRule="auto"/>
        <w:jc w:val="center"/>
        <w:rPr>
          <w:rFonts w:hint="eastAsia" w:cs="宋体"/>
          <w:sz w:val="44"/>
          <w:szCs w:val="44"/>
        </w:rPr>
      </w:pPr>
    </w:p>
    <w:p w14:paraId="2615BCD2">
      <w:pPr>
        <w:spacing w:line="360" w:lineRule="auto"/>
        <w:jc w:val="center"/>
        <w:rPr>
          <w:rFonts w:hint="eastAsia" w:cs="宋体"/>
          <w:sz w:val="44"/>
          <w:szCs w:val="44"/>
        </w:rPr>
      </w:pPr>
    </w:p>
    <w:p w14:paraId="2AF990CB">
      <w:pPr>
        <w:spacing w:line="360" w:lineRule="auto"/>
        <w:jc w:val="center"/>
        <w:rPr>
          <w:rFonts w:hint="eastAsia" w:cs="宋体"/>
          <w:sz w:val="44"/>
          <w:szCs w:val="44"/>
        </w:rPr>
      </w:pPr>
    </w:p>
    <w:p w14:paraId="433480AE">
      <w:pPr>
        <w:spacing w:line="360" w:lineRule="auto"/>
        <w:jc w:val="center"/>
        <w:rPr>
          <w:rFonts w:hint="eastAsia" w:cs="宋体"/>
          <w:sz w:val="44"/>
          <w:szCs w:val="44"/>
        </w:rPr>
      </w:pPr>
    </w:p>
    <w:p w14:paraId="5039713F">
      <w:pPr>
        <w:spacing w:line="360" w:lineRule="auto"/>
        <w:jc w:val="center"/>
        <w:rPr>
          <w:rFonts w:hint="eastAsia" w:cs="宋体"/>
          <w:sz w:val="44"/>
          <w:szCs w:val="44"/>
        </w:rPr>
      </w:pPr>
    </w:p>
    <w:p w14:paraId="46BA5627">
      <w:pPr>
        <w:spacing w:line="360" w:lineRule="auto"/>
        <w:rPr>
          <w:rFonts w:hint="eastAsia" w:cs="宋体"/>
          <w:sz w:val="44"/>
          <w:szCs w:val="44"/>
        </w:rPr>
      </w:pPr>
    </w:p>
    <w:p w14:paraId="7587EEF4">
      <w:pPr>
        <w:spacing w:line="360" w:lineRule="auto"/>
        <w:jc w:val="center"/>
        <w:rPr>
          <w:rFonts w:hint="eastAsia" w:cs="宋体"/>
          <w:b/>
          <w:bCs/>
          <w:w w:val="95"/>
          <w:sz w:val="32"/>
          <w:szCs w:val="32"/>
        </w:rPr>
      </w:pPr>
      <w:r>
        <w:rPr>
          <w:rFonts w:hint="eastAsia" w:cs="宋体"/>
          <w:b/>
          <w:bCs/>
          <w:w w:val="95"/>
          <w:sz w:val="32"/>
          <w:szCs w:val="32"/>
        </w:rPr>
        <w:t>采购人：云南省应急管理厅</w:t>
      </w:r>
    </w:p>
    <w:p w14:paraId="7AE71035">
      <w:pPr>
        <w:spacing w:line="360" w:lineRule="auto"/>
        <w:jc w:val="center"/>
        <w:rPr>
          <w:rFonts w:hint="eastAsia" w:cs="宋体"/>
          <w:b/>
          <w:bCs/>
          <w:w w:val="95"/>
          <w:sz w:val="32"/>
          <w:szCs w:val="32"/>
        </w:rPr>
      </w:pPr>
      <w:r>
        <w:rPr>
          <w:rFonts w:hint="eastAsia" w:cs="宋体"/>
          <w:b/>
          <w:bCs/>
          <w:w w:val="95"/>
          <w:sz w:val="32"/>
          <w:szCs w:val="32"/>
        </w:rPr>
        <w:t>采购代理机构：</w:t>
      </w:r>
      <w:r>
        <w:rPr>
          <w:rFonts w:hint="eastAsia" w:cs="宋体"/>
          <w:b/>
          <w:bCs/>
          <w:spacing w:val="20"/>
          <w:w w:val="95"/>
          <w:sz w:val="32"/>
          <w:szCs w:val="32"/>
        </w:rPr>
        <w:t>律道合一（云南）项目管理咨询有限公司</w:t>
      </w:r>
    </w:p>
    <w:p w14:paraId="0D65ADFA">
      <w:pPr>
        <w:spacing w:line="360" w:lineRule="auto"/>
        <w:jc w:val="center"/>
        <w:rPr>
          <w:rFonts w:hint="eastAsia" w:cs="宋体"/>
          <w:b/>
          <w:sz w:val="32"/>
          <w:szCs w:val="32"/>
        </w:rPr>
      </w:pPr>
      <w:r>
        <w:rPr>
          <w:rFonts w:hint="eastAsia" w:cs="宋体"/>
          <w:b/>
          <w:bCs/>
          <w:w w:val="95"/>
          <w:sz w:val="32"/>
          <w:szCs w:val="32"/>
        </w:rPr>
        <w:t>二○二五年十一月</w:t>
      </w:r>
    </w:p>
    <w:p w14:paraId="10D018E1">
      <w:pPr>
        <w:spacing w:line="360" w:lineRule="auto"/>
        <w:jc w:val="center"/>
        <w:rPr>
          <w:rFonts w:hint="eastAsia" w:cs="宋体"/>
          <w:b/>
          <w:sz w:val="24"/>
        </w:rPr>
      </w:pPr>
      <w:r>
        <w:rPr>
          <w:rFonts w:hint="eastAsia" w:cs="宋体"/>
          <w:b/>
          <w:bCs/>
          <w:w w:val="95"/>
          <w:sz w:val="24"/>
        </w:rPr>
        <w:br w:type="page"/>
      </w:r>
      <w:r>
        <w:rPr>
          <w:rFonts w:hint="eastAsia" w:cs="宋体"/>
          <w:b/>
          <w:sz w:val="24"/>
        </w:rPr>
        <w:t>目   录</w:t>
      </w:r>
    </w:p>
    <w:p w14:paraId="5AB2D848">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TOC \o "1-3" \h \z \u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_Toc12143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第一章 招标公告</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_Toc12143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523D368F">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_Toc30224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一、项目基本情况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_Toc30224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95FCC1C">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_Toc8049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二、投标人的资格要求：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_Toc8049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19EF841">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_Toc5873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三、获取招标文件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_Toc5873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297B78C">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_Toc21303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四、提交投标文件截止时间、开标时间和地点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_Toc21303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45396AA">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_Toc32005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五、公告期限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_Toc32005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9A37F7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_Toc20199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六、其他补充事宜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_Toc20199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48CB321">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_Toc27083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七、对本次招标提出询问，请按以下方式联系：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_Toc27083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553F9A5">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_Toc11315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第二章 投标人须知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_Toc11315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4177219">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_Toc7600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投标人须知前附表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_Toc7600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7B44CC9">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_Toc2380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一、总  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_Toc2380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B805F85">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_Toc1969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二、招标文件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_Toc1969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7616D82">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_Toc1154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三、投标文件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974C27F">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_Toc13060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四、投标文件的提交</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_Toc13060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C9510DC">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_Toc20943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五、开标与评标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_Toc20943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7485A0F">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_Toc27366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六、中标结果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_Toc27366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1DCCC53">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_Toc8679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七、其他事项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_Toc8679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A96C8E6">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_Toc3590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第三章 合同书样式及主要条款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_Toc3590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B806239">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_Toc3703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第一条  货物（装备）名称、型号、规格、配置、技术参数、数量及合同价款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_Toc3703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1B97E47">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_Toc5670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第二条  交货及安装地点、交货期限及交货方式。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_Toc5670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8556455">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_Toc7617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第三条  合同条款及特别条款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_Toc7617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93686B1">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_Toc15850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第四条  甲乙双方的权利和义务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_Toc15850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4C9DA77">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_Toc16311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第五条 违约责任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_Toc16311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AFC6BC4">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_Toc15847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第六条  解决争议的方式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_Toc15847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A35C1C2">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_Toc31037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第八条 保密责任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_Toc31037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40623E2">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_Toc9080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第九条 不可抗力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_Toc9080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F16982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_Toc22082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第十条 合同的生效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_Toc22082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4E7651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_Toc5855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第十一条  其他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_Toc5855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D01D6C7">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_Toc16842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第十二条</w:t>
      </w:r>
      <w:r>
        <w:rPr>
          <w:rFonts w:hint="eastAsia" w:ascii="宋体" w:hAnsi="宋体" w:eastAsia="宋体" w:cs="宋体"/>
          <w:i w:val="0"/>
          <w:iCs w:val="0"/>
          <w:sz w:val="24"/>
          <w:szCs w:val="24"/>
        </w:rPr>
        <w:t xml:space="preserve">  本合同不可分割之部分：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_Toc16842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9FF8F43">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_Toc21429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第四章  货物需求及技术要求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_Toc21429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E93963E">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_Toc6944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第五章  资格评审标准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_Toc6944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F9D2473">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_Toc28102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第六章  评标办法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_Toc28102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A469A3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_Toc22989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评标办法前附表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_Toc22989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C931D49">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_Toc3520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1. 评标方法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_Toc3520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472A6E8">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_Toc24066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3. 评审标准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_Toc24066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3C2236D">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_Toc27741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3.1符合性评审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_Toc27741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6B1B753">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_Toc14742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3.2分值构成与评分标准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_Toc14742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18CED68">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_Toc18426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 评标程序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_Toc18426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0DFEC56">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_Toc24019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4.1符合性评审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_Toc24019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643F979">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_Toc12207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4.2 详细评审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_Toc12207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61A4270">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_Toc15507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4.3 投标文件的澄清和补正统计分数原则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_Toc15507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BD532A5">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_Toc6249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4.4 评标结果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_Toc6249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018EC11">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_Toc8079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4.5其他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_Toc8079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3E2E4C5">
      <w:pPr>
        <w:pStyle w:val="26"/>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_Toc5015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第七章 投标文件格式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_Toc5015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60</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42DB704">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_Toc20164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一、投标人资格审查部分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_Toc20164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B54148D">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_Toc31839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（一）投标人情况一览表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_Toc31839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753F68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_Toc10072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（二）具有履行合同所必需的设备和专业技术能力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_Toc10072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CB85B5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_Toc22402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（三）企业商业信誉良好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_Toc22402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9FFEBFE">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_Toc3695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附一：关于投标文件的声明</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_Toc3695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554FD84">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_Toc17238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附二：履约情况说明</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_Toc17238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8892542">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_Toc18375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（四）具有良好的商业信誉和健全的财务会计制度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_Toc18375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17D0EA3">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_Toc118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（五）有依法缴纳税收和社会保障资金的良好记录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53AA41C">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_Toc13845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（六）其他内容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_Toc13845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0C81C43">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_Toc8479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二、投标文件商务部分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_Toc8479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F73ACB1">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_Toc31616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（一）投标报价（唱标）一览表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_Toc31616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FD19635">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_Toc7252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（二）投标函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_Toc7252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035BCE4">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_Toc25252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（三）分项报价明细表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_Toc25252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F8F6429">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_Toc11068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sz w:val="24"/>
          <w:szCs w:val="24"/>
        </w:rPr>
        <w:t>（四）投标保证书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_Toc11068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71C46DD">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_Toc32009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（五）法定代表人身份证明书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_Toc32009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68</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B3A658D">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_Toc2542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（六）法定代表人授权委托书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69</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3553A50">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_Toc17802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（七）质量保证书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_Toc17802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70</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0F7CC68B">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_Toc4316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bCs/>
          <w:i w:val="0"/>
          <w:iCs w:val="0"/>
          <w:kern w:val="2"/>
          <w:sz w:val="24"/>
          <w:szCs w:val="24"/>
        </w:rPr>
        <w:t>三、</w:t>
      </w:r>
      <w:r>
        <w:rPr>
          <w:rFonts w:hint="eastAsia" w:ascii="宋体" w:hAnsi="宋体" w:eastAsia="宋体" w:cs="宋体"/>
          <w:i w:val="0"/>
          <w:iCs w:val="0"/>
          <w:sz w:val="24"/>
          <w:szCs w:val="24"/>
        </w:rPr>
        <w:t>投标文件技术部分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_Toc4316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43BFD6E">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_Toc11499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（一）投标产品技术参数及偏离说明表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_Toc11499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71</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468CF00">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_Toc13658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（二）供货方案及进度计划</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_Toc13658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1EA13D2">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_Toc16931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（三）质量承诺及保障措施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_Toc16931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5E673A38">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_Toc13754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（四）售后服务方案、承诺及保证措施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_Toc13754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3072A1F">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_Toc10387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（五）培训方案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_Toc10387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1DCE4840">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_Toc21722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（六）应急预案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_Toc21722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75B25AD4">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_Toc14466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rPr>
        <w:t>（七）增值服务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_Toc14466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72</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289CC56F">
      <w:pPr>
        <w:pStyle w:val="18"/>
        <w:tabs>
          <w:tab w:val="right" w:leader="dot" w:pos="8930"/>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_Toc12099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lang w:val="en-US" w:eastAsia="zh-CN"/>
        </w:rPr>
        <w:t>八</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rPr>
        <w:t>其他相关证明资料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_Toc12099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73</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6F1A6717">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_Toc15901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pacing w:val="6"/>
          <w:sz w:val="24"/>
          <w:szCs w:val="24"/>
        </w:rPr>
        <w:t>附件一：小微企业声明函（按需提供）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_Toc15901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74</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341B424">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_Toc22504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pacing w:val="6"/>
          <w:sz w:val="24"/>
          <w:szCs w:val="24"/>
        </w:rPr>
        <w:t>附件二：残疾人福利性单位声明函（按需提供）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_Toc22504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75</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4B47CF13">
      <w:pPr>
        <w:pStyle w:val="32"/>
        <w:tabs>
          <w:tab w:val="right" w:leader="dot" w:pos="8930"/>
          <w:tab w:val="clear" w:pos="9072"/>
        </w:tabs>
        <w:rPr>
          <w:rFonts w:hint="eastAsia" w:ascii="宋体" w:hAnsi="宋体" w:eastAsia="宋体" w:cs="宋体"/>
          <w:i w:val="0"/>
          <w:iCs w:val="0"/>
          <w:sz w:val="24"/>
          <w:szCs w:val="24"/>
        </w:rPr>
      </w:pPr>
      <w:r>
        <w:rPr>
          <w:rFonts w:hint="eastAsia" w:ascii="宋体" w:hAnsi="宋体" w:eastAsia="宋体" w:cs="宋体"/>
          <w:bCs/>
          <w:i w:val="0"/>
          <w:iCs w:val="0"/>
          <w:sz w:val="24"/>
          <w:szCs w:val="24"/>
          <w:lang w:val="zh-CN"/>
        </w:rPr>
        <w:fldChar w:fldCharType="begin"/>
      </w:r>
      <w:r>
        <w:rPr>
          <w:rFonts w:hint="eastAsia" w:ascii="宋体" w:hAnsi="宋体" w:eastAsia="宋体" w:cs="宋体"/>
          <w:bCs/>
          <w:i w:val="0"/>
          <w:iCs w:val="0"/>
          <w:sz w:val="24"/>
          <w:szCs w:val="24"/>
          <w:lang w:val="zh-CN"/>
        </w:rPr>
        <w:instrText xml:space="preserve"> HYPERLINK \l _Toc7876 </w:instrText>
      </w:r>
      <w:r>
        <w:rPr>
          <w:rFonts w:hint="eastAsia" w:ascii="宋体" w:hAnsi="宋体" w:eastAsia="宋体" w:cs="宋体"/>
          <w:bCs/>
          <w:i w:val="0"/>
          <w:iCs w:val="0"/>
          <w:sz w:val="24"/>
          <w:szCs w:val="24"/>
          <w:lang w:val="zh-CN"/>
        </w:rPr>
        <w:fldChar w:fldCharType="separate"/>
      </w:r>
      <w:r>
        <w:rPr>
          <w:rFonts w:hint="eastAsia" w:ascii="宋体" w:hAnsi="宋体" w:eastAsia="宋体" w:cs="宋体"/>
          <w:i w:val="0"/>
          <w:iCs w:val="0"/>
          <w:spacing w:val="6"/>
          <w:sz w:val="24"/>
          <w:szCs w:val="24"/>
        </w:rPr>
        <w:t>附件三：监狱企业证明文件（按需提供）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_Toc7876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76</w:t>
      </w:r>
      <w:r>
        <w:rPr>
          <w:rFonts w:hint="eastAsia" w:ascii="宋体" w:hAnsi="宋体" w:eastAsia="宋体" w:cs="宋体"/>
          <w:i w:val="0"/>
          <w:iCs w:val="0"/>
          <w:sz w:val="24"/>
          <w:szCs w:val="24"/>
        </w:rPr>
        <w:fldChar w:fldCharType="end"/>
      </w:r>
      <w:r>
        <w:rPr>
          <w:rFonts w:hint="eastAsia" w:ascii="宋体" w:hAnsi="宋体" w:eastAsia="宋体" w:cs="宋体"/>
          <w:bCs/>
          <w:i w:val="0"/>
          <w:iCs w:val="0"/>
          <w:sz w:val="24"/>
          <w:szCs w:val="24"/>
          <w:lang w:val="zh-CN"/>
        </w:rPr>
        <w:fldChar w:fldCharType="end"/>
      </w:r>
    </w:p>
    <w:p w14:paraId="3F999D81">
      <w:pPr>
        <w:tabs>
          <w:tab w:val="right" w:leader="dot" w:pos="8930"/>
        </w:tabs>
        <w:spacing w:line="360" w:lineRule="auto"/>
        <w:rPr>
          <w:rFonts w:hint="eastAsia" w:cs="宋体"/>
          <w:sz w:val="24"/>
        </w:rPr>
      </w:pPr>
      <w:r>
        <w:rPr>
          <w:rFonts w:hint="eastAsia" w:ascii="宋体" w:hAnsi="宋体" w:eastAsia="宋体" w:cs="宋体"/>
          <w:bCs/>
          <w:i w:val="0"/>
          <w:iCs w:val="0"/>
          <w:sz w:val="24"/>
          <w:szCs w:val="24"/>
          <w:lang w:val="zh-CN"/>
        </w:rPr>
        <w:fldChar w:fldCharType="end"/>
      </w:r>
    </w:p>
    <w:p w14:paraId="033C4558">
      <w:pPr>
        <w:spacing w:line="360" w:lineRule="auto"/>
        <w:rPr>
          <w:rFonts w:hint="eastAsia" w:cs="宋体"/>
          <w:sz w:val="24"/>
        </w:rPr>
        <w:sectPr>
          <w:headerReference r:id="rId5" w:type="first"/>
          <w:footerReference r:id="rId8" w:type="first"/>
          <w:headerReference r:id="rId3" w:type="default"/>
          <w:footerReference r:id="rId6" w:type="default"/>
          <w:headerReference r:id="rId4" w:type="even"/>
          <w:footerReference r:id="rId7" w:type="even"/>
          <w:type w:val="nextColumn"/>
          <w:pgSz w:w="11906" w:h="16838"/>
          <w:pgMar w:top="1135" w:right="1558" w:bottom="1418" w:left="1418" w:header="567" w:footer="394" w:gutter="0"/>
          <w:pgNumType w:start="1"/>
          <w:cols w:space="720" w:num="1"/>
          <w:docGrid w:type="linesAndChars" w:linePitch="331" w:charSpace="0"/>
        </w:sectPr>
      </w:pPr>
    </w:p>
    <w:p w14:paraId="3A3CEE87">
      <w:pPr>
        <w:pStyle w:val="5"/>
        <w:numPr>
          <w:ilvl w:val="0"/>
          <w:numId w:val="5"/>
        </w:numPr>
        <w:jc w:val="center"/>
        <w:rPr>
          <w:rFonts w:hint="eastAsia" w:eastAsia="宋体" w:cs="宋体"/>
          <w:bCs/>
          <w:sz w:val="32"/>
          <w:szCs w:val="32"/>
        </w:rPr>
      </w:pPr>
      <w:bookmarkStart w:id="2" w:name="_Toc69912388"/>
      <w:bookmarkStart w:id="3" w:name="_Toc91696396"/>
      <w:bookmarkStart w:id="4" w:name="_Toc12143"/>
      <w:r>
        <w:rPr>
          <w:rFonts w:hint="eastAsia" w:eastAsia="宋体" w:cs="宋体"/>
          <w:bCs/>
          <w:sz w:val="32"/>
          <w:szCs w:val="32"/>
        </w:rPr>
        <w:t>招标公告</w:t>
      </w:r>
      <w:bookmarkEnd w:id="2"/>
      <w:bookmarkEnd w:id="3"/>
      <w:bookmarkEnd w:id="4"/>
      <w:bookmarkStart w:id="5" w:name="OLE_LINK3"/>
      <w:bookmarkStart w:id="6" w:name="OLE_LINK1"/>
    </w:p>
    <w:p w14:paraId="4E97754E">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cs="宋体"/>
          <w:b/>
          <w:bCs/>
          <w:sz w:val="24"/>
        </w:rPr>
      </w:pPr>
      <w:bookmarkStart w:id="7" w:name="OLE_LINK4"/>
      <w:bookmarkStart w:id="8" w:name="OLE_LINK2"/>
      <w:bookmarkStart w:id="9" w:name="OLE_LINK7"/>
      <w:r>
        <w:rPr>
          <w:rFonts w:hint="eastAsia" w:cs="宋体"/>
          <w:b/>
          <w:bCs/>
          <w:sz w:val="24"/>
        </w:rPr>
        <w:t>项目概况</w:t>
      </w:r>
    </w:p>
    <w:p w14:paraId="237C0E06">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cs="宋体"/>
          <w:sz w:val="24"/>
        </w:rPr>
      </w:pPr>
      <w:r>
        <w:rPr>
          <w:rFonts w:hint="eastAsia" w:cs="宋体"/>
          <w:sz w:val="24"/>
          <w:u w:val="single"/>
        </w:rPr>
        <w:t>2025年防灾减灾专项资金基层应急能力提升项目</w:t>
      </w:r>
      <w:r>
        <w:rPr>
          <w:rFonts w:hint="eastAsia" w:cs="宋体"/>
          <w:sz w:val="24"/>
        </w:rPr>
        <w:t>招标项目的潜在投标人应在</w:t>
      </w:r>
      <w:r>
        <w:rPr>
          <w:rFonts w:hint="eastAsia" w:cs="宋体"/>
          <w:sz w:val="24"/>
          <w:u w:val="single"/>
        </w:rPr>
        <w:t>政府采购云平台（网址：</w:t>
      </w:r>
      <w:r>
        <w:fldChar w:fldCharType="begin"/>
      </w:r>
      <w:r>
        <w:instrText xml:space="preserve"> HYPERLINK "http://www.zcygov.cn）获取招标文件，并于202" </w:instrText>
      </w:r>
      <w:r>
        <w:fldChar w:fldCharType="separate"/>
      </w:r>
      <w:r>
        <w:rPr>
          <w:rStyle w:val="48"/>
          <w:rFonts w:hint="eastAsia" w:cs="宋体"/>
          <w:color w:val="auto"/>
          <w:sz w:val="24"/>
        </w:rPr>
        <w:t>www.zcygov.cn）获取招标文件，并于202</w:t>
      </w:r>
      <w:r>
        <w:rPr>
          <w:rStyle w:val="48"/>
          <w:rFonts w:hint="eastAsia" w:cs="宋体"/>
          <w:color w:val="auto"/>
          <w:sz w:val="24"/>
        </w:rPr>
        <w:fldChar w:fldCharType="end"/>
      </w:r>
      <w:r>
        <w:rPr>
          <w:rFonts w:hint="eastAsia" w:cs="宋体"/>
          <w:sz w:val="24"/>
          <w:u w:val="single"/>
        </w:rPr>
        <w:t>5年</w:t>
      </w:r>
      <w:r>
        <w:rPr>
          <w:rFonts w:hint="eastAsia" w:cs="宋体"/>
          <w:sz w:val="24"/>
          <w:u w:val="single"/>
          <w:lang w:val="en-US" w:eastAsia="zh-CN"/>
        </w:rPr>
        <w:t>12</w:t>
      </w:r>
      <w:r>
        <w:rPr>
          <w:rFonts w:hint="eastAsia" w:cs="宋体"/>
          <w:sz w:val="24"/>
          <w:u w:val="single"/>
        </w:rPr>
        <w:t>月</w:t>
      </w:r>
      <w:r>
        <w:rPr>
          <w:rFonts w:hint="eastAsia" w:cs="宋体"/>
          <w:sz w:val="24"/>
          <w:u w:val="single"/>
          <w:lang w:val="en-US" w:eastAsia="zh-CN"/>
        </w:rPr>
        <w:t>08</w:t>
      </w:r>
      <w:r>
        <w:rPr>
          <w:rFonts w:hint="eastAsia" w:cs="宋体"/>
          <w:sz w:val="24"/>
          <w:u w:val="single"/>
        </w:rPr>
        <w:t>日</w:t>
      </w:r>
      <w:r>
        <w:rPr>
          <w:rFonts w:hint="eastAsia" w:cs="宋体"/>
          <w:bCs/>
          <w:sz w:val="24"/>
          <w:u w:val="single"/>
        </w:rPr>
        <w:t>09时00分（</w:t>
      </w:r>
      <w:r>
        <w:rPr>
          <w:rFonts w:hint="eastAsia" w:cs="宋体"/>
          <w:bCs/>
          <w:sz w:val="24"/>
        </w:rPr>
        <w:t>北京时间）前递交投标文件</w:t>
      </w:r>
      <w:r>
        <w:rPr>
          <w:rFonts w:hint="eastAsia" w:cs="宋体"/>
          <w:sz w:val="24"/>
        </w:rPr>
        <w:t>。</w:t>
      </w:r>
    </w:p>
    <w:p w14:paraId="6932CA1A">
      <w:pPr>
        <w:pStyle w:val="6"/>
        <w:numPr>
          <w:ilvl w:val="0"/>
          <w:numId w:val="0"/>
        </w:numPr>
        <w:ind w:left="596"/>
        <w:rPr>
          <w:rFonts w:hint="eastAsia" w:eastAsia="宋体" w:cs="宋体"/>
          <w:bCs/>
          <w:sz w:val="24"/>
          <w:szCs w:val="24"/>
        </w:rPr>
      </w:pPr>
      <w:bookmarkStart w:id="10" w:name="_Toc35393621"/>
      <w:bookmarkStart w:id="11" w:name="_Toc69912389"/>
      <w:bookmarkStart w:id="12" w:name="_Toc28359079"/>
      <w:bookmarkStart w:id="13" w:name="_Toc28359002"/>
      <w:bookmarkStart w:id="14" w:name="_Toc91696397"/>
      <w:bookmarkStart w:id="15" w:name="_Toc35393790"/>
      <w:bookmarkStart w:id="16" w:name="_Toc30224"/>
      <w:bookmarkStart w:id="17" w:name="_Hlk24379207"/>
      <w:r>
        <w:rPr>
          <w:rFonts w:hint="eastAsia" w:eastAsia="宋体" w:cs="宋体"/>
          <w:bCs/>
          <w:sz w:val="24"/>
          <w:szCs w:val="24"/>
        </w:rPr>
        <w:t>一、项目基本情况</w:t>
      </w:r>
      <w:bookmarkEnd w:id="10"/>
      <w:bookmarkEnd w:id="11"/>
      <w:bookmarkEnd w:id="12"/>
      <w:bookmarkEnd w:id="13"/>
      <w:bookmarkEnd w:id="14"/>
      <w:bookmarkEnd w:id="15"/>
      <w:bookmarkEnd w:id="16"/>
    </w:p>
    <w:p w14:paraId="5C80440D">
      <w:pPr>
        <w:spacing w:line="360" w:lineRule="auto"/>
        <w:ind w:firstLine="480" w:firstLineChars="200"/>
        <w:rPr>
          <w:rFonts w:hint="eastAsia" w:cs="宋体"/>
          <w:sz w:val="24"/>
        </w:rPr>
      </w:pPr>
      <w:r>
        <w:rPr>
          <w:rFonts w:hint="eastAsia" w:cs="宋体"/>
          <w:sz w:val="24"/>
        </w:rPr>
        <w:t>项目编号：LDHYYN-KM-251102</w:t>
      </w:r>
    </w:p>
    <w:p w14:paraId="3FBF832F">
      <w:pPr>
        <w:spacing w:line="360" w:lineRule="auto"/>
        <w:ind w:firstLine="480" w:firstLineChars="200"/>
        <w:rPr>
          <w:rFonts w:hint="eastAsia" w:cs="宋体"/>
          <w:sz w:val="24"/>
        </w:rPr>
      </w:pPr>
      <w:r>
        <w:rPr>
          <w:rFonts w:hint="eastAsia" w:cs="宋体"/>
          <w:sz w:val="24"/>
        </w:rPr>
        <w:t>政府采购云平台编号：YNZC2025-G1-07191-LDHY-0003</w:t>
      </w:r>
    </w:p>
    <w:p w14:paraId="31188176">
      <w:pPr>
        <w:spacing w:line="360" w:lineRule="auto"/>
        <w:ind w:firstLine="480" w:firstLineChars="200"/>
        <w:rPr>
          <w:rFonts w:hint="eastAsia" w:cs="宋体"/>
          <w:sz w:val="24"/>
        </w:rPr>
      </w:pPr>
      <w:r>
        <w:rPr>
          <w:rFonts w:hint="eastAsia" w:cs="宋体"/>
          <w:sz w:val="24"/>
        </w:rPr>
        <w:t>项目名称：2025年防灾减灾专项资金基层应急能力提升项目</w:t>
      </w:r>
    </w:p>
    <w:bookmarkEnd w:id="17"/>
    <w:p w14:paraId="142B481D">
      <w:pPr>
        <w:spacing w:line="360" w:lineRule="auto"/>
        <w:ind w:firstLine="480" w:firstLineChars="200"/>
        <w:rPr>
          <w:rFonts w:hint="eastAsia" w:cs="宋体"/>
          <w:sz w:val="24"/>
        </w:rPr>
      </w:pPr>
      <w:r>
        <w:rPr>
          <w:rFonts w:hint="eastAsia" w:cs="宋体"/>
          <w:sz w:val="24"/>
        </w:rPr>
        <w:t>预算金额：人民币1000.81万元。</w:t>
      </w:r>
    </w:p>
    <w:p w14:paraId="5B7A3582">
      <w:pPr>
        <w:spacing w:line="360" w:lineRule="auto"/>
        <w:ind w:firstLine="480" w:firstLineChars="200"/>
        <w:rPr>
          <w:rFonts w:hint="eastAsia" w:cs="宋体"/>
          <w:sz w:val="24"/>
        </w:rPr>
      </w:pPr>
      <w:r>
        <w:rPr>
          <w:rFonts w:hint="eastAsia" w:cs="宋体"/>
          <w:sz w:val="24"/>
        </w:rPr>
        <w:t>最高限价：1标段人民币3016300.00元；2标段人民币3837400.00元；3标段人民币3154400.00元。</w:t>
      </w:r>
    </w:p>
    <w:p w14:paraId="7A63A62C">
      <w:pPr>
        <w:spacing w:line="360" w:lineRule="auto"/>
        <w:ind w:firstLine="480" w:firstLineChars="200"/>
        <w:rPr>
          <w:rFonts w:hint="eastAsia" w:cs="宋体"/>
          <w:sz w:val="24"/>
        </w:rPr>
      </w:pPr>
      <w:r>
        <w:rPr>
          <w:rFonts w:hint="eastAsia" w:cs="宋体"/>
          <w:sz w:val="24"/>
        </w:rPr>
        <w:t>采购需求：具体内容详见“第四章 货物需求及技术要求”</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2"/>
        <w:gridCol w:w="4661"/>
        <w:gridCol w:w="3069"/>
      </w:tblGrid>
      <w:tr w14:paraId="7EFD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836" w:type="pct"/>
            <w:vAlign w:val="center"/>
          </w:tcPr>
          <w:p w14:paraId="5BEAE00B">
            <w:pPr>
              <w:widowControl/>
              <w:spacing w:line="360" w:lineRule="auto"/>
              <w:jc w:val="center"/>
              <w:rPr>
                <w:rFonts w:hint="eastAsia" w:cs="宋体"/>
                <w:kern w:val="0"/>
                <w:sz w:val="24"/>
              </w:rPr>
            </w:pPr>
            <w:r>
              <w:rPr>
                <w:rFonts w:hint="eastAsia" w:cs="宋体"/>
                <w:kern w:val="0"/>
                <w:sz w:val="24"/>
              </w:rPr>
              <w:t>标段编号</w:t>
            </w:r>
          </w:p>
        </w:tc>
        <w:tc>
          <w:tcPr>
            <w:tcW w:w="2510" w:type="pct"/>
            <w:vAlign w:val="center"/>
          </w:tcPr>
          <w:p w14:paraId="5CA1DBCA">
            <w:pPr>
              <w:widowControl/>
              <w:spacing w:line="360" w:lineRule="auto"/>
              <w:jc w:val="center"/>
              <w:rPr>
                <w:rFonts w:hint="eastAsia" w:cs="宋体"/>
                <w:kern w:val="0"/>
                <w:sz w:val="24"/>
              </w:rPr>
            </w:pPr>
            <w:r>
              <w:rPr>
                <w:rFonts w:hint="eastAsia" w:cs="宋体"/>
                <w:kern w:val="0"/>
                <w:sz w:val="24"/>
              </w:rPr>
              <w:t>标段名称</w:t>
            </w:r>
          </w:p>
        </w:tc>
        <w:tc>
          <w:tcPr>
            <w:tcW w:w="1653" w:type="pct"/>
            <w:vAlign w:val="center"/>
          </w:tcPr>
          <w:p w14:paraId="4879AD66">
            <w:pPr>
              <w:widowControl/>
              <w:spacing w:line="360" w:lineRule="auto"/>
              <w:jc w:val="center"/>
              <w:rPr>
                <w:rFonts w:hint="eastAsia" w:cs="宋体"/>
                <w:kern w:val="0"/>
                <w:sz w:val="24"/>
              </w:rPr>
            </w:pPr>
            <w:r>
              <w:rPr>
                <w:rFonts w:hint="eastAsia" w:cs="宋体"/>
                <w:kern w:val="0"/>
                <w:sz w:val="24"/>
              </w:rPr>
              <w:t>预算合计（元）</w:t>
            </w:r>
          </w:p>
        </w:tc>
      </w:tr>
      <w:tr w14:paraId="75DCE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836" w:type="pct"/>
            <w:vAlign w:val="center"/>
          </w:tcPr>
          <w:p w14:paraId="6F7EDFD4">
            <w:pPr>
              <w:widowControl/>
              <w:spacing w:line="360" w:lineRule="auto"/>
              <w:jc w:val="center"/>
              <w:rPr>
                <w:rFonts w:hint="eastAsia" w:cs="宋体"/>
                <w:kern w:val="0"/>
                <w:sz w:val="24"/>
              </w:rPr>
            </w:pPr>
            <w:r>
              <w:rPr>
                <w:rFonts w:hint="eastAsia" w:cs="宋体"/>
                <w:kern w:val="0"/>
                <w:sz w:val="24"/>
              </w:rPr>
              <w:t>1</w:t>
            </w:r>
          </w:p>
        </w:tc>
        <w:tc>
          <w:tcPr>
            <w:tcW w:w="2510" w:type="pct"/>
            <w:vAlign w:val="center"/>
          </w:tcPr>
          <w:p w14:paraId="715DB8A1">
            <w:pPr>
              <w:widowControl/>
              <w:spacing w:line="360" w:lineRule="auto"/>
              <w:jc w:val="center"/>
              <w:rPr>
                <w:rFonts w:hint="eastAsia" w:cs="宋体"/>
                <w:kern w:val="0"/>
                <w:sz w:val="24"/>
              </w:rPr>
            </w:pPr>
            <w:r>
              <w:rPr>
                <w:rFonts w:hint="eastAsia" w:cs="宋体"/>
                <w:kern w:val="0"/>
                <w:sz w:val="24"/>
              </w:rPr>
              <w:t>应急救援单兵防护装备</w:t>
            </w:r>
          </w:p>
        </w:tc>
        <w:tc>
          <w:tcPr>
            <w:tcW w:w="1653" w:type="pct"/>
            <w:vAlign w:val="center"/>
          </w:tcPr>
          <w:p w14:paraId="3380F8FE">
            <w:pPr>
              <w:widowControl/>
              <w:spacing w:line="360" w:lineRule="auto"/>
              <w:jc w:val="center"/>
              <w:rPr>
                <w:rFonts w:hint="eastAsia" w:cs="宋体"/>
                <w:kern w:val="0"/>
                <w:sz w:val="24"/>
              </w:rPr>
            </w:pPr>
            <w:r>
              <w:rPr>
                <w:rFonts w:hint="eastAsia" w:cs="宋体"/>
                <w:kern w:val="0"/>
                <w:sz w:val="24"/>
              </w:rPr>
              <w:t>3016300.00</w:t>
            </w:r>
          </w:p>
        </w:tc>
      </w:tr>
      <w:tr w14:paraId="4078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836" w:type="pct"/>
            <w:vAlign w:val="center"/>
          </w:tcPr>
          <w:p w14:paraId="37DE0448">
            <w:pPr>
              <w:widowControl/>
              <w:spacing w:line="360" w:lineRule="auto"/>
              <w:jc w:val="center"/>
              <w:rPr>
                <w:rFonts w:hint="eastAsia" w:cs="宋体"/>
                <w:kern w:val="0"/>
                <w:sz w:val="24"/>
              </w:rPr>
            </w:pPr>
            <w:r>
              <w:rPr>
                <w:rFonts w:hint="eastAsia" w:cs="宋体"/>
                <w:kern w:val="0"/>
                <w:sz w:val="24"/>
              </w:rPr>
              <w:t>2</w:t>
            </w:r>
          </w:p>
        </w:tc>
        <w:tc>
          <w:tcPr>
            <w:tcW w:w="2510" w:type="pct"/>
            <w:vAlign w:val="center"/>
          </w:tcPr>
          <w:p w14:paraId="5B5709E8">
            <w:pPr>
              <w:widowControl/>
              <w:spacing w:line="360" w:lineRule="auto"/>
              <w:jc w:val="center"/>
              <w:rPr>
                <w:rFonts w:hint="eastAsia" w:cs="宋体"/>
                <w:kern w:val="0"/>
                <w:sz w:val="24"/>
              </w:rPr>
            </w:pPr>
            <w:r>
              <w:rPr>
                <w:rFonts w:hint="eastAsia" w:cs="宋体"/>
                <w:kern w:val="0"/>
                <w:sz w:val="24"/>
              </w:rPr>
              <w:t>地震灾害救援装备</w:t>
            </w:r>
          </w:p>
        </w:tc>
        <w:tc>
          <w:tcPr>
            <w:tcW w:w="1653" w:type="pct"/>
            <w:vAlign w:val="center"/>
          </w:tcPr>
          <w:p w14:paraId="3523FB9F">
            <w:pPr>
              <w:widowControl/>
              <w:spacing w:line="360" w:lineRule="auto"/>
              <w:jc w:val="center"/>
              <w:rPr>
                <w:rFonts w:hint="eastAsia" w:cs="宋体"/>
                <w:kern w:val="0"/>
                <w:sz w:val="24"/>
              </w:rPr>
            </w:pPr>
            <w:r>
              <w:rPr>
                <w:rFonts w:hint="eastAsia" w:cs="宋体"/>
                <w:kern w:val="0"/>
                <w:sz w:val="24"/>
              </w:rPr>
              <w:t>3837400.00</w:t>
            </w:r>
          </w:p>
        </w:tc>
      </w:tr>
      <w:tr w14:paraId="2314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836" w:type="pct"/>
            <w:vAlign w:val="center"/>
          </w:tcPr>
          <w:p w14:paraId="78C20575">
            <w:pPr>
              <w:widowControl/>
              <w:spacing w:line="360" w:lineRule="auto"/>
              <w:jc w:val="center"/>
              <w:rPr>
                <w:rFonts w:hint="eastAsia" w:cs="宋体"/>
                <w:kern w:val="0"/>
                <w:sz w:val="24"/>
              </w:rPr>
            </w:pPr>
            <w:r>
              <w:rPr>
                <w:rFonts w:hint="eastAsia" w:cs="宋体"/>
                <w:kern w:val="0"/>
                <w:sz w:val="24"/>
              </w:rPr>
              <w:t>3</w:t>
            </w:r>
          </w:p>
        </w:tc>
        <w:tc>
          <w:tcPr>
            <w:tcW w:w="2510" w:type="pct"/>
            <w:vAlign w:val="center"/>
          </w:tcPr>
          <w:p w14:paraId="46585583">
            <w:pPr>
              <w:widowControl/>
              <w:spacing w:line="360" w:lineRule="auto"/>
              <w:jc w:val="center"/>
              <w:rPr>
                <w:rFonts w:hint="eastAsia" w:cs="宋体"/>
                <w:kern w:val="0"/>
                <w:sz w:val="24"/>
              </w:rPr>
            </w:pPr>
            <w:r>
              <w:rPr>
                <w:rFonts w:hint="eastAsia" w:cs="宋体"/>
                <w:kern w:val="0"/>
                <w:sz w:val="24"/>
              </w:rPr>
              <w:t>通用及水域救援装备</w:t>
            </w:r>
          </w:p>
        </w:tc>
        <w:tc>
          <w:tcPr>
            <w:tcW w:w="1653" w:type="pct"/>
            <w:vAlign w:val="center"/>
          </w:tcPr>
          <w:p w14:paraId="45D54DBE">
            <w:pPr>
              <w:widowControl/>
              <w:spacing w:line="360" w:lineRule="auto"/>
              <w:jc w:val="center"/>
              <w:rPr>
                <w:rFonts w:hint="eastAsia" w:cs="宋体"/>
                <w:kern w:val="0"/>
                <w:sz w:val="24"/>
              </w:rPr>
            </w:pPr>
            <w:r>
              <w:rPr>
                <w:rFonts w:hint="eastAsia" w:cs="宋体"/>
                <w:kern w:val="0"/>
                <w:sz w:val="24"/>
              </w:rPr>
              <w:t>3154400.00</w:t>
            </w:r>
          </w:p>
        </w:tc>
      </w:tr>
    </w:tbl>
    <w:p w14:paraId="5DC042AB">
      <w:pPr>
        <w:spacing w:line="360" w:lineRule="auto"/>
        <w:ind w:firstLine="480" w:firstLineChars="200"/>
        <w:rPr>
          <w:rFonts w:hint="eastAsia" w:cs="宋体"/>
          <w:b/>
          <w:bCs/>
          <w:sz w:val="24"/>
        </w:rPr>
      </w:pPr>
      <w:r>
        <w:rPr>
          <w:rFonts w:hint="eastAsia" w:cs="宋体"/>
          <w:b/>
          <w:bCs/>
          <w:sz w:val="24"/>
        </w:rPr>
        <w:t>本项目分3个标段，投标人可以同时参与本项目中一个或多个标段的投标活动，但在评标和中标过程中，同一投标人最多只能获得一个标段的中标资格。</w:t>
      </w:r>
    </w:p>
    <w:p w14:paraId="33CA9202">
      <w:pPr>
        <w:spacing w:line="360" w:lineRule="auto"/>
        <w:ind w:firstLine="480" w:firstLineChars="200"/>
        <w:rPr>
          <w:rFonts w:hint="eastAsia" w:cs="宋体"/>
          <w:sz w:val="24"/>
        </w:rPr>
      </w:pPr>
      <w:r>
        <w:rPr>
          <w:rFonts w:hint="eastAsia" w:cs="宋体"/>
          <w:sz w:val="24"/>
        </w:rPr>
        <w:t>合同履行期限（交货期）：</w:t>
      </w:r>
      <w:r>
        <w:rPr>
          <w:rFonts w:hint="eastAsia" w:cs="宋体"/>
          <w:b/>
          <w:bCs/>
          <w:sz w:val="24"/>
        </w:rPr>
        <w:t>合同签订之日起60日历天内（投标人在此期限内自报最短交货期）（此要求为实质性条款，如不满足按废标处理）</w:t>
      </w:r>
      <w:r>
        <w:rPr>
          <w:rFonts w:hint="eastAsia" w:cs="宋体"/>
          <w:sz w:val="24"/>
        </w:rPr>
        <w:t>。</w:t>
      </w:r>
    </w:p>
    <w:p w14:paraId="7D50222D">
      <w:pPr>
        <w:spacing w:line="360" w:lineRule="auto"/>
        <w:ind w:firstLine="480" w:firstLineChars="200"/>
        <w:rPr>
          <w:rFonts w:hint="eastAsia" w:cs="宋体"/>
          <w:b/>
          <w:bCs/>
          <w:sz w:val="24"/>
        </w:rPr>
      </w:pPr>
      <w:r>
        <w:rPr>
          <w:rFonts w:hint="eastAsia" w:cs="宋体"/>
          <w:sz w:val="24"/>
        </w:rPr>
        <w:t>本项目</w:t>
      </w:r>
      <w:r>
        <w:rPr>
          <w:rFonts w:hint="eastAsia" w:cs="宋体"/>
          <w:b/>
          <w:bCs/>
          <w:sz w:val="24"/>
          <w:u w:val="single"/>
        </w:rPr>
        <w:t>不接受</w:t>
      </w:r>
      <w:r>
        <w:rPr>
          <w:rFonts w:hint="eastAsia" w:cs="宋体"/>
          <w:sz w:val="24"/>
        </w:rPr>
        <w:t>联合体投标。</w:t>
      </w:r>
    </w:p>
    <w:p w14:paraId="063C152F">
      <w:pPr>
        <w:pStyle w:val="6"/>
        <w:numPr>
          <w:ilvl w:val="0"/>
          <w:numId w:val="0"/>
        </w:numPr>
        <w:ind w:left="596"/>
        <w:rPr>
          <w:rFonts w:hint="eastAsia" w:eastAsia="宋体" w:cs="宋体"/>
          <w:bCs/>
          <w:sz w:val="24"/>
          <w:szCs w:val="24"/>
        </w:rPr>
      </w:pPr>
      <w:bookmarkStart w:id="18" w:name="_Toc69912390"/>
      <w:bookmarkStart w:id="19" w:name="_Toc28359080"/>
      <w:bookmarkStart w:id="20" w:name="_Toc35393622"/>
      <w:bookmarkStart w:id="21" w:name="_Toc28359003"/>
      <w:bookmarkStart w:id="22" w:name="_Toc91696398"/>
      <w:bookmarkStart w:id="23" w:name="_Toc35393791"/>
      <w:bookmarkStart w:id="24" w:name="_Toc8049"/>
      <w:r>
        <w:rPr>
          <w:rFonts w:hint="eastAsia" w:eastAsia="宋体" w:cs="宋体"/>
          <w:bCs/>
          <w:sz w:val="24"/>
          <w:szCs w:val="24"/>
        </w:rPr>
        <w:t>二、投标人的资格要求：</w:t>
      </w:r>
      <w:bookmarkEnd w:id="18"/>
      <w:bookmarkEnd w:id="19"/>
      <w:bookmarkEnd w:id="20"/>
      <w:bookmarkEnd w:id="21"/>
      <w:bookmarkEnd w:id="22"/>
      <w:bookmarkEnd w:id="23"/>
      <w:bookmarkEnd w:id="24"/>
    </w:p>
    <w:p w14:paraId="4A0550DD">
      <w:pPr>
        <w:spacing w:line="360" w:lineRule="auto"/>
        <w:ind w:firstLine="480" w:firstLineChars="200"/>
        <w:jc w:val="left"/>
        <w:rPr>
          <w:rFonts w:hint="eastAsia" w:cs="宋体"/>
          <w:sz w:val="24"/>
        </w:rPr>
      </w:pPr>
      <w:bookmarkStart w:id="25" w:name="_Toc28359004"/>
      <w:bookmarkStart w:id="26" w:name="_Toc28359081"/>
      <w:r>
        <w:rPr>
          <w:rFonts w:hint="eastAsia" w:cs="宋体"/>
          <w:sz w:val="24"/>
        </w:rPr>
        <w:t>1.满足《中华人民共和国政府采购法》第二十二条规定：</w:t>
      </w:r>
    </w:p>
    <w:p w14:paraId="48FC0F3E">
      <w:pPr>
        <w:spacing w:line="360" w:lineRule="auto"/>
        <w:ind w:firstLine="480" w:firstLineChars="200"/>
        <w:jc w:val="left"/>
        <w:rPr>
          <w:rFonts w:hint="eastAsia" w:cs="宋体"/>
          <w:sz w:val="24"/>
        </w:rPr>
      </w:pPr>
      <w:r>
        <w:rPr>
          <w:rFonts w:hint="eastAsia" w:cs="宋体"/>
          <w:sz w:val="24"/>
        </w:rPr>
        <w:t>1.1在中华人民共和国境内依法成立，具有独立承担民事责任的能力，提供法人或者非法人组织的营业执照或其他法定凭证等证明文件（提供营业执照或其他类似的法定凭证复印件/扫描件加盖公章）；</w:t>
      </w:r>
    </w:p>
    <w:p w14:paraId="08E19904">
      <w:pPr>
        <w:spacing w:line="360" w:lineRule="auto"/>
        <w:ind w:firstLine="480" w:firstLineChars="200"/>
        <w:jc w:val="left"/>
        <w:rPr>
          <w:rFonts w:hint="eastAsia" w:cs="宋体"/>
          <w:sz w:val="24"/>
        </w:rPr>
      </w:pPr>
      <w:r>
        <w:rPr>
          <w:rFonts w:hint="eastAsia" w:cs="宋体"/>
          <w:sz w:val="24"/>
        </w:rPr>
        <w:t>1.2</w:t>
      </w:r>
      <w:bookmarkStart w:id="27" w:name="_Hlk50386787"/>
      <w:r>
        <w:rPr>
          <w:rFonts w:hint="eastAsia" w:cs="宋体"/>
          <w:sz w:val="24"/>
        </w:rPr>
        <w:t>投标人</w:t>
      </w:r>
      <w:bookmarkEnd w:id="27"/>
      <w:r>
        <w:rPr>
          <w:rFonts w:hint="eastAsia" w:cs="宋体"/>
          <w:sz w:val="24"/>
        </w:rPr>
        <w:t>具有良好的商业信誉和健全的财务会计制度：提供2023-2024年度任意1个年度经第三方审计的财务会计报表（成立不满2年的投标人根据实际情况提供），包括财务审计报告、资产负债表、利润表、现金流量表、所有者权益变动表（执行小企业会计准则的投标人可不提供）及附注，事业单位投标人提供财务审计报告、资产负债表、收入费用表、净资产变动表及附注；或提供自响应文件提交截止时间前三个月内开户银行出具的资信证明；或提供财政部门认可的政府采购专业担保机构对投标人进行资信审查后出具的投标担保函。</w:t>
      </w:r>
      <w:r>
        <w:rPr>
          <w:rFonts w:hint="eastAsia" w:cs="宋体"/>
          <w:b/>
          <w:bCs/>
          <w:sz w:val="24"/>
        </w:rPr>
        <w:t>备注：投标人可根据自身情况提供上述任意一种证明材料</w:t>
      </w:r>
      <w:r>
        <w:rPr>
          <w:rFonts w:hint="eastAsia" w:cs="宋体"/>
          <w:sz w:val="24"/>
        </w:rPr>
        <w:t>，</w:t>
      </w:r>
      <w:r>
        <w:rPr>
          <w:rFonts w:hint="eastAsia" w:cs="宋体"/>
          <w:b/>
          <w:bCs/>
          <w:spacing w:val="6"/>
          <w:sz w:val="24"/>
        </w:rPr>
        <w:t>相关证明材料扫描件应加盖公章</w:t>
      </w:r>
      <w:r>
        <w:rPr>
          <w:rFonts w:hint="eastAsia" w:cs="宋体"/>
          <w:spacing w:val="6"/>
          <w:sz w:val="24"/>
        </w:rPr>
        <w:t>；</w:t>
      </w:r>
    </w:p>
    <w:p w14:paraId="51B7D99C">
      <w:pPr>
        <w:spacing w:line="360" w:lineRule="auto"/>
        <w:ind w:firstLine="480" w:firstLineChars="200"/>
        <w:jc w:val="left"/>
        <w:rPr>
          <w:rFonts w:hint="eastAsia" w:cs="宋体"/>
          <w:sz w:val="24"/>
        </w:rPr>
      </w:pPr>
      <w:r>
        <w:rPr>
          <w:rFonts w:hint="eastAsia" w:cs="宋体"/>
          <w:sz w:val="24"/>
        </w:rPr>
        <w:t>1.3投标人具有履行合同所必需的设备和专业技术能力（投标人提供书面声明或证明材料，书面声明或证明材料须加盖公章）；</w:t>
      </w:r>
    </w:p>
    <w:p w14:paraId="1524277E">
      <w:pPr>
        <w:spacing w:line="360" w:lineRule="auto"/>
        <w:ind w:firstLine="480" w:firstLineChars="200"/>
        <w:jc w:val="left"/>
        <w:rPr>
          <w:rFonts w:hint="eastAsia" w:cs="宋体"/>
          <w:sz w:val="24"/>
        </w:rPr>
      </w:pPr>
      <w:r>
        <w:rPr>
          <w:rFonts w:hint="eastAsia" w:cs="宋体"/>
          <w:sz w:val="24"/>
        </w:rPr>
        <w:t>1.4</w:t>
      </w:r>
      <w:bookmarkStart w:id="28" w:name="_Hlk50386862"/>
      <w:r>
        <w:rPr>
          <w:rFonts w:hint="eastAsia" w:cs="宋体"/>
          <w:sz w:val="24"/>
        </w:rPr>
        <w:t>投标人具有依法缴纳税收和社会保障资金的良好记录</w:t>
      </w:r>
      <w:bookmarkEnd w:id="28"/>
      <w:r>
        <w:rPr>
          <w:rFonts w:hint="eastAsia" w:cs="宋体"/>
          <w:sz w:val="24"/>
        </w:rPr>
        <w:t>（投标人须提供缴税所属时间在2025年01月至本项目投标文件提交截止时间前任意3个月的税务局税收通用缴款书或银行电子缴税（费）凭证或税务局出具纳税情况的相关证明，依法免税的，应提供依法免税的相关证明文件，成立不满三个月的提供相关承诺；投标人须提供缴费所属时间在2025年01月至本项目投标文件提交截止时间前任意3个月的社会保险费缴款书或银行电子缴税（费）凭证或社保管理部门出具的有效的缴款证明，依法免缴的，应提供依法免缴的相关证明文件），成立不满三个月的提供相关承诺（加盖公章），</w:t>
      </w:r>
      <w:r>
        <w:rPr>
          <w:rFonts w:hint="eastAsia" w:cs="宋体"/>
          <w:spacing w:val="6"/>
          <w:sz w:val="24"/>
        </w:rPr>
        <w:t>相关证明材料扫描件应加盖公章</w:t>
      </w:r>
      <w:r>
        <w:rPr>
          <w:rFonts w:hint="eastAsia" w:cs="宋体"/>
          <w:sz w:val="24"/>
        </w:rPr>
        <w:t>；</w:t>
      </w:r>
    </w:p>
    <w:p w14:paraId="270BBCE1">
      <w:pPr>
        <w:spacing w:line="360" w:lineRule="auto"/>
        <w:ind w:firstLine="480" w:firstLineChars="200"/>
        <w:jc w:val="left"/>
        <w:rPr>
          <w:rFonts w:hint="eastAsia" w:cs="宋体"/>
          <w:sz w:val="24"/>
        </w:rPr>
      </w:pPr>
      <w:bookmarkStart w:id="29" w:name="OLE_LINK9"/>
      <w:r>
        <w:rPr>
          <w:rFonts w:hint="eastAsia" w:cs="宋体"/>
          <w:sz w:val="24"/>
        </w:rPr>
        <w:t>1.</w:t>
      </w:r>
      <w:bookmarkStart w:id="30" w:name="_Hlk47699580"/>
      <w:r>
        <w:rPr>
          <w:rFonts w:hint="eastAsia" w:cs="宋体"/>
          <w:sz w:val="24"/>
        </w:rPr>
        <w:t>5</w:t>
      </w:r>
      <w:bookmarkStart w:id="31" w:name="_Hlk50386883"/>
      <w:r>
        <w:rPr>
          <w:rFonts w:hint="eastAsia" w:cs="宋体"/>
          <w:sz w:val="24"/>
        </w:rPr>
        <w:t>投标人参加政府采购活动前三年内，在经营活动中没有重大违法记录</w:t>
      </w:r>
      <w:bookmarkEnd w:id="30"/>
      <w:bookmarkStart w:id="32" w:name="OLE_LINK5"/>
      <w:r>
        <w:rPr>
          <w:rFonts w:hint="eastAsia" w:cs="宋体"/>
          <w:sz w:val="24"/>
        </w:rPr>
        <w:t>（投标人提供书面声明即可，书面声明须加盖公章）</w:t>
      </w:r>
      <w:bookmarkEnd w:id="31"/>
      <w:bookmarkEnd w:id="32"/>
      <w:r>
        <w:rPr>
          <w:rFonts w:hint="eastAsia" w:cs="宋体"/>
          <w:sz w:val="24"/>
        </w:rPr>
        <w:t>；</w:t>
      </w:r>
      <w:bookmarkEnd w:id="29"/>
    </w:p>
    <w:p w14:paraId="0859CEBF">
      <w:pPr>
        <w:spacing w:line="360" w:lineRule="auto"/>
        <w:ind w:firstLine="480" w:firstLineChars="200"/>
        <w:rPr>
          <w:rFonts w:hint="eastAsia" w:cs="宋体"/>
          <w:sz w:val="24"/>
        </w:rPr>
      </w:pPr>
      <w:r>
        <w:rPr>
          <w:rFonts w:hint="eastAsia" w:cs="宋体"/>
          <w:sz w:val="24"/>
        </w:rPr>
        <w:t>2.本项目特定资格要求：无。</w:t>
      </w:r>
    </w:p>
    <w:p w14:paraId="785D220A">
      <w:pPr>
        <w:spacing w:line="360" w:lineRule="auto"/>
        <w:ind w:firstLine="480" w:firstLineChars="200"/>
        <w:rPr>
          <w:rFonts w:hint="eastAsia" w:cs="宋体"/>
          <w:sz w:val="24"/>
        </w:rPr>
      </w:pPr>
      <w:r>
        <w:rPr>
          <w:rFonts w:hint="eastAsia" w:cs="宋体"/>
          <w:sz w:val="24"/>
        </w:rPr>
        <w:t>3.落实政府采购政策需满足的资格要求：</w:t>
      </w:r>
      <w:r>
        <w:rPr>
          <w:rFonts w:hint="eastAsia" w:cs="宋体"/>
          <w:sz w:val="24"/>
          <w:u w:val="single"/>
        </w:rPr>
        <w:t>本项目非专门面向中小企业采购的项目；小微企业价格扣除优惠比例:10%。</w:t>
      </w:r>
    </w:p>
    <w:p w14:paraId="27EFE3BA">
      <w:pPr>
        <w:spacing w:line="360" w:lineRule="auto"/>
        <w:ind w:firstLine="480" w:firstLineChars="200"/>
        <w:rPr>
          <w:rFonts w:hint="eastAsia" w:cs="宋体"/>
          <w:sz w:val="24"/>
        </w:rPr>
      </w:pPr>
      <w:r>
        <w:rPr>
          <w:rFonts w:hint="eastAsia" w:cs="宋体"/>
          <w:sz w:val="24"/>
        </w:rPr>
        <w:t>4.</w:t>
      </w:r>
      <w:bookmarkStart w:id="33" w:name="_Toc35393792"/>
      <w:bookmarkStart w:id="34" w:name="_Toc35393623"/>
      <w:r>
        <w:rPr>
          <w:rFonts w:hint="eastAsia" w:cs="宋体"/>
          <w:sz w:val="24"/>
        </w:rPr>
        <w:t>法律、行政法规规定的其他条件：</w:t>
      </w:r>
    </w:p>
    <w:p w14:paraId="3900276B">
      <w:pPr>
        <w:spacing w:line="360" w:lineRule="auto"/>
        <w:ind w:firstLine="480" w:firstLineChars="200"/>
        <w:rPr>
          <w:rFonts w:hint="eastAsia" w:cs="宋体"/>
          <w:sz w:val="24"/>
        </w:rPr>
      </w:pPr>
      <w:r>
        <w:rPr>
          <w:rFonts w:hint="eastAsia" w:cs="宋体"/>
          <w:sz w:val="24"/>
        </w:rPr>
        <w:t>4.1单位负责人为同一人或者存在直接控股、管理关系的不同投标人，不得参加同一合同项下的政府采购活动（拟书面说明函）；</w:t>
      </w:r>
    </w:p>
    <w:p w14:paraId="55F50D56">
      <w:pPr>
        <w:spacing w:line="360" w:lineRule="auto"/>
        <w:ind w:firstLine="480" w:firstLineChars="200"/>
        <w:rPr>
          <w:rFonts w:hint="eastAsia" w:cs="宋体"/>
          <w:sz w:val="24"/>
          <w:u w:val="single"/>
        </w:rPr>
      </w:pPr>
      <w:r>
        <w:rPr>
          <w:rFonts w:hint="eastAsia" w:cs="宋体"/>
          <w:sz w:val="24"/>
        </w:rPr>
        <w:t>4.2投标人未被列入①“中国执行信息公开网”网站中 “失信被执行人”、②“信用中国”网站中“重大税收违法失信主体”、“政府采购严重违法失信行为记录名单”，③“中国政府采购网（</w:t>
      </w:r>
      <w:r>
        <w:fldChar w:fldCharType="begin"/>
      </w:r>
      <w:r>
        <w:instrText xml:space="preserve"> HYPERLINK "http://www.ccgp" </w:instrText>
      </w:r>
      <w:r>
        <w:fldChar w:fldCharType="separate"/>
      </w:r>
      <w:r>
        <w:rPr>
          <w:rStyle w:val="48"/>
          <w:rFonts w:hint="eastAsia" w:cs="宋体"/>
          <w:color w:val="auto"/>
          <w:sz w:val="24"/>
        </w:rPr>
        <w:t>www.ccgp</w:t>
      </w:r>
      <w:r>
        <w:rPr>
          <w:rStyle w:val="48"/>
          <w:rFonts w:hint="eastAsia" w:cs="宋体"/>
          <w:color w:val="auto"/>
          <w:sz w:val="24"/>
        </w:rPr>
        <w:fldChar w:fldCharType="end"/>
      </w:r>
      <w:r>
        <w:rPr>
          <w:rFonts w:hint="eastAsia" w:cs="宋体"/>
          <w:sz w:val="24"/>
        </w:rPr>
        <w:t>.gov.cn）”网站中“政府采购严重违法失信行为信息记录”（以开标当天工作人员对上述信用信息进行查询核对的结果为准）。</w:t>
      </w:r>
    </w:p>
    <w:p w14:paraId="350D7170">
      <w:pPr>
        <w:pStyle w:val="6"/>
        <w:numPr>
          <w:ilvl w:val="0"/>
          <w:numId w:val="0"/>
        </w:numPr>
        <w:ind w:left="596"/>
        <w:rPr>
          <w:rFonts w:hint="eastAsia" w:eastAsia="宋体" w:cs="宋体"/>
          <w:bCs/>
          <w:sz w:val="24"/>
          <w:szCs w:val="24"/>
        </w:rPr>
      </w:pPr>
      <w:bookmarkStart w:id="35" w:name="_Toc69912391"/>
      <w:bookmarkStart w:id="36" w:name="_Toc91696399"/>
      <w:bookmarkStart w:id="37" w:name="_Toc5873"/>
      <w:r>
        <w:rPr>
          <w:rFonts w:hint="eastAsia" w:eastAsia="宋体" w:cs="宋体"/>
          <w:bCs/>
          <w:sz w:val="24"/>
          <w:szCs w:val="24"/>
        </w:rPr>
        <w:t>三、获取招标文件</w:t>
      </w:r>
      <w:bookmarkEnd w:id="25"/>
      <w:bookmarkEnd w:id="26"/>
      <w:bookmarkEnd w:id="33"/>
      <w:bookmarkEnd w:id="34"/>
      <w:bookmarkEnd w:id="35"/>
      <w:bookmarkEnd w:id="36"/>
      <w:bookmarkEnd w:id="37"/>
    </w:p>
    <w:p w14:paraId="5FC59D51">
      <w:pPr>
        <w:spacing w:line="360" w:lineRule="auto"/>
        <w:ind w:firstLine="480" w:firstLineChars="200"/>
        <w:rPr>
          <w:rFonts w:hint="eastAsia" w:cs="宋体"/>
          <w:sz w:val="24"/>
        </w:rPr>
      </w:pPr>
      <w:r>
        <w:rPr>
          <w:rFonts w:hint="eastAsia" w:cs="宋体"/>
          <w:sz w:val="24"/>
        </w:rPr>
        <w:t>时间：</w:t>
      </w:r>
      <w:r>
        <w:rPr>
          <w:rFonts w:hint="eastAsia" w:cs="宋体"/>
          <w:sz w:val="24"/>
          <w:u w:val="single"/>
        </w:rPr>
        <w:t>2025年</w:t>
      </w:r>
      <w:r>
        <w:rPr>
          <w:rFonts w:hint="eastAsia" w:cs="宋体"/>
          <w:sz w:val="24"/>
          <w:u w:val="single"/>
          <w:lang w:val="en-US" w:eastAsia="zh-CN"/>
        </w:rPr>
        <w:t>11</w:t>
      </w:r>
      <w:r>
        <w:rPr>
          <w:rFonts w:hint="eastAsia" w:cs="宋体"/>
          <w:sz w:val="24"/>
          <w:u w:val="single"/>
        </w:rPr>
        <w:t>月</w:t>
      </w:r>
      <w:r>
        <w:rPr>
          <w:rFonts w:hint="eastAsia" w:cs="宋体"/>
          <w:sz w:val="24"/>
          <w:u w:val="single"/>
          <w:lang w:val="en-US" w:eastAsia="zh-CN"/>
        </w:rPr>
        <w:t>16</w:t>
      </w:r>
      <w:r>
        <w:rPr>
          <w:rFonts w:hint="eastAsia" w:cs="宋体"/>
          <w:sz w:val="24"/>
          <w:u w:val="single"/>
        </w:rPr>
        <w:t>日</w:t>
      </w:r>
      <w:r>
        <w:rPr>
          <w:rFonts w:hint="eastAsia" w:cs="宋体"/>
          <w:sz w:val="24"/>
        </w:rPr>
        <w:t>至</w:t>
      </w:r>
      <w:r>
        <w:rPr>
          <w:rFonts w:hint="eastAsia" w:cs="宋体"/>
          <w:sz w:val="24"/>
          <w:u w:val="single"/>
        </w:rPr>
        <w:t>2025年</w:t>
      </w:r>
      <w:r>
        <w:rPr>
          <w:rFonts w:hint="eastAsia" w:cs="宋体"/>
          <w:sz w:val="24"/>
          <w:u w:val="single"/>
          <w:lang w:val="en-US" w:eastAsia="zh-CN"/>
        </w:rPr>
        <w:t>11</w:t>
      </w:r>
      <w:r>
        <w:rPr>
          <w:rFonts w:hint="eastAsia" w:cs="宋体"/>
          <w:sz w:val="24"/>
          <w:u w:val="single"/>
        </w:rPr>
        <w:t>月</w:t>
      </w:r>
      <w:r>
        <w:rPr>
          <w:rFonts w:hint="eastAsia" w:cs="宋体"/>
          <w:sz w:val="24"/>
          <w:u w:val="single"/>
          <w:lang w:val="en-US" w:eastAsia="zh-CN"/>
        </w:rPr>
        <w:t>21</w:t>
      </w:r>
      <w:r>
        <w:rPr>
          <w:rFonts w:hint="eastAsia" w:cs="宋体"/>
          <w:sz w:val="24"/>
          <w:u w:val="single"/>
        </w:rPr>
        <w:t>日</w:t>
      </w:r>
      <w:bookmarkStart w:id="38" w:name="_Toc28359082"/>
      <w:bookmarkStart w:id="39" w:name="_Toc28359005"/>
      <w:bookmarkStart w:id="40" w:name="_Toc35393793"/>
      <w:bookmarkStart w:id="41" w:name="_Toc91696400"/>
      <w:bookmarkStart w:id="42" w:name="_Toc35393624"/>
      <w:bookmarkStart w:id="43" w:name="_Toc69912392"/>
      <w:r>
        <w:rPr>
          <w:rFonts w:hint="eastAsia" w:cs="宋体"/>
          <w:sz w:val="24"/>
        </w:rPr>
        <w:t>，每天上午00时00分至12时00分，下午12时00分至23时59分（北京时间，法定节假日除外）</w:t>
      </w:r>
    </w:p>
    <w:p w14:paraId="3B311F24">
      <w:pPr>
        <w:spacing w:line="360" w:lineRule="auto"/>
        <w:ind w:firstLine="480" w:firstLineChars="200"/>
        <w:rPr>
          <w:rFonts w:hint="eastAsia" w:cs="宋体"/>
          <w:sz w:val="24"/>
        </w:rPr>
      </w:pPr>
      <w:r>
        <w:rPr>
          <w:rFonts w:hint="eastAsia" w:cs="宋体"/>
          <w:sz w:val="24"/>
        </w:rPr>
        <w:t>地点：政府采购云平台（网址：www.zcygov.cn）</w:t>
      </w:r>
    </w:p>
    <w:p w14:paraId="66848570">
      <w:pPr>
        <w:spacing w:line="360" w:lineRule="auto"/>
        <w:ind w:firstLine="480" w:firstLineChars="200"/>
        <w:rPr>
          <w:rFonts w:hint="eastAsia" w:cs="宋体"/>
          <w:sz w:val="24"/>
        </w:rPr>
      </w:pPr>
      <w:r>
        <w:rPr>
          <w:rFonts w:hint="eastAsia" w:cs="宋体"/>
          <w:sz w:val="24"/>
        </w:rPr>
        <w:t>方式：1.</w:t>
      </w:r>
      <w:bookmarkStart w:id="44" w:name="_Hlk150443230"/>
      <w:r>
        <w:rPr>
          <w:rFonts w:hint="eastAsia" w:cs="宋体"/>
          <w:sz w:val="24"/>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投标人视为合法获取了本项目采购文件，具备本项目的投标资格。</w:t>
      </w:r>
      <w:bookmarkEnd w:id="44"/>
    </w:p>
    <w:p w14:paraId="04FFFFF8">
      <w:pPr>
        <w:spacing w:line="360" w:lineRule="auto"/>
        <w:ind w:firstLine="480" w:firstLineChars="200"/>
        <w:rPr>
          <w:rFonts w:hint="eastAsia" w:cs="宋体"/>
          <w:sz w:val="24"/>
        </w:rPr>
      </w:pPr>
      <w:r>
        <w:rPr>
          <w:rFonts w:hint="eastAsia" w:cs="宋体"/>
          <w:sz w:val="24"/>
        </w:rPr>
        <w:t>售价：0元</w:t>
      </w:r>
    </w:p>
    <w:p w14:paraId="6C0B7E3F">
      <w:pPr>
        <w:pStyle w:val="6"/>
        <w:numPr>
          <w:ilvl w:val="0"/>
          <w:numId w:val="0"/>
        </w:numPr>
        <w:ind w:left="596"/>
        <w:rPr>
          <w:rFonts w:hint="eastAsia" w:eastAsia="宋体" w:cs="宋体"/>
          <w:bCs/>
          <w:sz w:val="24"/>
          <w:szCs w:val="24"/>
        </w:rPr>
      </w:pPr>
      <w:bookmarkStart w:id="45" w:name="_Toc152862062"/>
      <w:bookmarkStart w:id="46" w:name="_Toc21303"/>
      <w:r>
        <w:rPr>
          <w:rFonts w:hint="eastAsia" w:eastAsia="宋体" w:cs="宋体"/>
          <w:bCs/>
          <w:sz w:val="24"/>
          <w:szCs w:val="24"/>
        </w:rPr>
        <w:t>四、提交投标文件</w:t>
      </w:r>
      <w:bookmarkEnd w:id="38"/>
      <w:bookmarkEnd w:id="39"/>
      <w:r>
        <w:rPr>
          <w:rFonts w:hint="eastAsia" w:eastAsia="宋体" w:cs="宋体"/>
          <w:bCs/>
          <w:sz w:val="24"/>
          <w:szCs w:val="24"/>
        </w:rPr>
        <w:t>截止时间、开标时间和地点</w:t>
      </w:r>
      <w:bookmarkEnd w:id="40"/>
      <w:bookmarkEnd w:id="41"/>
      <w:bookmarkEnd w:id="42"/>
      <w:bookmarkEnd w:id="43"/>
      <w:bookmarkEnd w:id="45"/>
      <w:bookmarkEnd w:id="46"/>
    </w:p>
    <w:p w14:paraId="0FF716B9">
      <w:pPr>
        <w:spacing w:line="360" w:lineRule="auto"/>
        <w:ind w:firstLine="480" w:firstLineChars="200"/>
        <w:rPr>
          <w:rFonts w:hint="eastAsia" w:cs="宋体"/>
          <w:sz w:val="24"/>
        </w:rPr>
      </w:pPr>
      <w:r>
        <w:rPr>
          <w:rFonts w:hint="eastAsia" w:cs="宋体"/>
          <w:sz w:val="24"/>
        </w:rPr>
        <w:t>提交投标文件截止时间、开标时间：</w:t>
      </w:r>
      <w:r>
        <w:fldChar w:fldCharType="begin"/>
      </w:r>
      <w:r>
        <w:instrText xml:space="preserve"> HYPERLINK "http://www.zcygov.cn）获取招标文件，并于202" </w:instrText>
      </w:r>
      <w:r>
        <w:fldChar w:fldCharType="separate"/>
      </w:r>
      <w:r>
        <w:rPr>
          <w:rStyle w:val="48"/>
          <w:rFonts w:hint="eastAsia" w:cs="宋体"/>
          <w:b/>
          <w:bCs/>
          <w:color w:val="auto"/>
          <w:sz w:val="24"/>
        </w:rPr>
        <w:t>202</w:t>
      </w:r>
      <w:r>
        <w:rPr>
          <w:rStyle w:val="48"/>
          <w:rFonts w:hint="eastAsia" w:cs="宋体"/>
          <w:b/>
          <w:bCs/>
          <w:color w:val="auto"/>
          <w:sz w:val="24"/>
        </w:rPr>
        <w:fldChar w:fldCharType="end"/>
      </w:r>
      <w:r>
        <w:rPr>
          <w:rFonts w:hint="eastAsia" w:cs="宋体"/>
          <w:b/>
          <w:bCs/>
          <w:sz w:val="24"/>
          <w:u w:val="single"/>
        </w:rPr>
        <w:t>5年</w:t>
      </w:r>
      <w:r>
        <w:rPr>
          <w:rFonts w:hint="eastAsia" w:cs="宋体"/>
          <w:b/>
          <w:bCs/>
          <w:sz w:val="24"/>
          <w:u w:val="single"/>
          <w:lang w:val="en-US" w:eastAsia="zh-CN"/>
        </w:rPr>
        <w:t>12</w:t>
      </w:r>
      <w:r>
        <w:rPr>
          <w:rFonts w:hint="eastAsia" w:cs="宋体"/>
          <w:b/>
          <w:bCs/>
          <w:sz w:val="24"/>
          <w:u w:val="single"/>
        </w:rPr>
        <w:t>月</w:t>
      </w:r>
      <w:r>
        <w:rPr>
          <w:rFonts w:hint="eastAsia" w:cs="宋体"/>
          <w:b/>
          <w:bCs/>
          <w:sz w:val="24"/>
          <w:u w:val="single"/>
          <w:lang w:val="en-US" w:eastAsia="zh-CN"/>
        </w:rPr>
        <w:t>08</w:t>
      </w:r>
      <w:r>
        <w:rPr>
          <w:rFonts w:hint="eastAsia" w:cs="宋体"/>
          <w:b/>
          <w:bCs/>
          <w:sz w:val="24"/>
          <w:u w:val="single"/>
        </w:rPr>
        <w:t>日09时00分</w:t>
      </w:r>
      <w:r>
        <w:rPr>
          <w:rFonts w:hint="eastAsia" w:cs="宋体"/>
          <w:bCs/>
          <w:sz w:val="24"/>
        </w:rPr>
        <w:t>（北京时间）</w:t>
      </w:r>
    </w:p>
    <w:p w14:paraId="152F76F9">
      <w:pPr>
        <w:spacing w:line="360" w:lineRule="auto"/>
        <w:ind w:firstLine="480" w:firstLineChars="200"/>
        <w:rPr>
          <w:rFonts w:hint="eastAsia" w:cs="宋体"/>
          <w:sz w:val="24"/>
        </w:rPr>
      </w:pPr>
      <w:r>
        <w:rPr>
          <w:rFonts w:hint="eastAsia" w:cs="宋体"/>
          <w:sz w:val="24"/>
        </w:rPr>
        <w:t>地点：律道合一（云南）项目管理咨询有限公司政采云交易系统开标室，</w:t>
      </w:r>
      <w:r>
        <w:rPr>
          <w:rFonts w:hint="eastAsia" w:cs="宋体"/>
          <w:sz w:val="24"/>
          <w:u w:val="single"/>
        </w:rPr>
        <w:t>政府采购云平台（网址：www.zcygov.cn）线上开标（请登录政采云投标客户端投标，无需到达现场）</w:t>
      </w:r>
    </w:p>
    <w:p w14:paraId="58F3F809">
      <w:pPr>
        <w:pStyle w:val="6"/>
        <w:numPr>
          <w:ilvl w:val="0"/>
          <w:numId w:val="0"/>
        </w:numPr>
        <w:ind w:left="596"/>
        <w:rPr>
          <w:rFonts w:hint="eastAsia" w:eastAsia="宋体" w:cs="宋体"/>
          <w:bCs/>
          <w:sz w:val="24"/>
          <w:szCs w:val="24"/>
        </w:rPr>
      </w:pPr>
      <w:bookmarkStart w:id="47" w:name="_Toc28359007"/>
      <w:bookmarkStart w:id="48" w:name="_Toc35393625"/>
      <w:bookmarkStart w:id="49" w:name="_Toc69912393"/>
      <w:bookmarkStart w:id="50" w:name="_Toc28359084"/>
      <w:bookmarkStart w:id="51" w:name="_Toc35393794"/>
      <w:bookmarkStart w:id="52" w:name="_Toc91696401"/>
      <w:bookmarkStart w:id="53" w:name="_Toc32005"/>
      <w:r>
        <w:rPr>
          <w:rFonts w:hint="eastAsia" w:eastAsia="宋体" w:cs="宋体"/>
          <w:bCs/>
          <w:sz w:val="24"/>
          <w:szCs w:val="24"/>
        </w:rPr>
        <w:t>五、公告期限</w:t>
      </w:r>
      <w:bookmarkEnd w:id="47"/>
      <w:bookmarkEnd w:id="48"/>
      <w:bookmarkEnd w:id="49"/>
      <w:bookmarkEnd w:id="50"/>
      <w:bookmarkEnd w:id="51"/>
      <w:bookmarkEnd w:id="52"/>
      <w:bookmarkEnd w:id="53"/>
    </w:p>
    <w:p w14:paraId="227F5959">
      <w:pPr>
        <w:spacing w:line="360" w:lineRule="auto"/>
        <w:ind w:firstLine="480" w:firstLineChars="200"/>
        <w:rPr>
          <w:rFonts w:hint="eastAsia" w:cs="宋体"/>
          <w:sz w:val="24"/>
        </w:rPr>
      </w:pPr>
      <w:r>
        <w:rPr>
          <w:rFonts w:hint="eastAsia" w:cs="宋体"/>
          <w:sz w:val="24"/>
        </w:rPr>
        <w:t>自本公告发布之日起5个工作日。</w:t>
      </w:r>
    </w:p>
    <w:p w14:paraId="0A936A46">
      <w:pPr>
        <w:pStyle w:val="6"/>
        <w:numPr>
          <w:ilvl w:val="0"/>
          <w:numId w:val="0"/>
        </w:numPr>
        <w:ind w:left="596"/>
        <w:rPr>
          <w:rFonts w:hint="eastAsia" w:eastAsia="宋体" w:cs="宋体"/>
          <w:bCs/>
          <w:sz w:val="24"/>
          <w:szCs w:val="24"/>
        </w:rPr>
      </w:pPr>
      <w:bookmarkStart w:id="54" w:name="_Toc35393626"/>
      <w:bookmarkStart w:id="55" w:name="_Toc35393795"/>
      <w:bookmarkStart w:id="56" w:name="_Toc91696402"/>
      <w:bookmarkStart w:id="57" w:name="_Toc69912394"/>
      <w:bookmarkStart w:id="58" w:name="_Toc20199"/>
      <w:r>
        <w:rPr>
          <w:rFonts w:hint="eastAsia" w:eastAsia="宋体" w:cs="宋体"/>
          <w:bCs/>
          <w:sz w:val="24"/>
          <w:szCs w:val="24"/>
        </w:rPr>
        <w:t>六、其他补充事宜</w:t>
      </w:r>
      <w:bookmarkEnd w:id="54"/>
      <w:bookmarkEnd w:id="55"/>
      <w:bookmarkEnd w:id="56"/>
      <w:bookmarkEnd w:id="57"/>
      <w:bookmarkEnd w:id="58"/>
    </w:p>
    <w:p w14:paraId="5460C915">
      <w:pPr>
        <w:spacing w:line="360" w:lineRule="auto"/>
        <w:ind w:firstLine="480" w:firstLineChars="200"/>
        <w:rPr>
          <w:rFonts w:hint="eastAsia" w:cs="宋体"/>
          <w:sz w:val="24"/>
        </w:rPr>
      </w:pPr>
      <w:r>
        <w:rPr>
          <w:rFonts w:hint="eastAsia" w:cs="宋体"/>
          <w:sz w:val="24"/>
        </w:rPr>
        <w:t>开标方式：网上开标</w:t>
      </w:r>
    </w:p>
    <w:p w14:paraId="200F19AD">
      <w:pPr>
        <w:spacing w:line="360" w:lineRule="auto"/>
        <w:ind w:firstLine="480" w:firstLineChars="200"/>
        <w:rPr>
          <w:rFonts w:hint="eastAsia" w:cs="宋体"/>
          <w:sz w:val="24"/>
        </w:rPr>
      </w:pPr>
      <w:r>
        <w:rPr>
          <w:rFonts w:hint="eastAsia" w:cs="宋体"/>
          <w:sz w:val="24"/>
        </w:rPr>
        <w:t>是否需要缴纳投标保证金：否</w:t>
      </w:r>
    </w:p>
    <w:p w14:paraId="7E58BCAA">
      <w:pPr>
        <w:spacing w:line="360" w:lineRule="auto"/>
        <w:ind w:firstLine="480" w:firstLineChars="200"/>
        <w:rPr>
          <w:rFonts w:hint="eastAsia" w:cs="宋体"/>
          <w:sz w:val="24"/>
        </w:rPr>
      </w:pPr>
      <w:r>
        <w:rPr>
          <w:rFonts w:hint="eastAsia" w:cs="宋体"/>
          <w:sz w:val="24"/>
        </w:rPr>
        <w:t>保证金金额：本项目不收取投标保证金</w:t>
      </w:r>
    </w:p>
    <w:p w14:paraId="2D4AB627">
      <w:pPr>
        <w:spacing w:line="360" w:lineRule="auto"/>
        <w:ind w:firstLine="480" w:firstLineChars="200"/>
        <w:rPr>
          <w:rFonts w:hint="eastAsia" w:cs="宋体"/>
          <w:sz w:val="24"/>
        </w:rPr>
      </w:pPr>
      <w:r>
        <w:rPr>
          <w:rFonts w:hint="eastAsia" w:cs="宋体"/>
          <w:sz w:val="24"/>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本项目不收取投标保证金。</w:t>
      </w:r>
    </w:p>
    <w:p w14:paraId="263ABB54">
      <w:pPr>
        <w:spacing w:line="360" w:lineRule="auto"/>
        <w:ind w:firstLine="480" w:firstLineChars="200"/>
        <w:rPr>
          <w:rFonts w:hint="eastAsia" w:cs="宋体"/>
          <w:sz w:val="24"/>
        </w:rPr>
      </w:pPr>
      <w:r>
        <w:rPr>
          <w:rFonts w:hint="eastAsia" w:cs="宋体"/>
          <w:sz w:val="24"/>
        </w:rPr>
        <w:t>其他：</w:t>
      </w:r>
    </w:p>
    <w:p w14:paraId="36315218">
      <w:pPr>
        <w:spacing w:line="360" w:lineRule="auto"/>
        <w:ind w:firstLine="480" w:firstLineChars="200"/>
        <w:rPr>
          <w:rFonts w:hint="eastAsia" w:cs="宋体"/>
          <w:sz w:val="24"/>
        </w:rPr>
      </w:pPr>
      <w:bookmarkStart w:id="59" w:name="_Hlk50385363"/>
      <w:bookmarkStart w:id="60" w:name="_Toc28359008"/>
      <w:bookmarkStart w:id="61" w:name="_Toc35393627"/>
      <w:bookmarkStart w:id="62" w:name="_Toc35393796"/>
      <w:bookmarkStart w:id="63" w:name="_Toc28359085"/>
      <w:r>
        <w:rPr>
          <w:rFonts w:hint="eastAsia" w:cs="宋体"/>
          <w:sz w:val="24"/>
        </w:rPr>
        <w:t>1.本项目采购方式为公开招标。投标人应对照本项目拟采购的全部内容进行报价，不得缺项漏项，否则按不实质性响应招标文件要求处理。</w:t>
      </w:r>
    </w:p>
    <w:bookmarkEnd w:id="59"/>
    <w:p w14:paraId="1D272EA0">
      <w:pPr>
        <w:spacing w:line="360" w:lineRule="auto"/>
        <w:ind w:firstLine="480" w:firstLineChars="200"/>
        <w:rPr>
          <w:rFonts w:hint="eastAsia" w:cs="宋体"/>
          <w:sz w:val="24"/>
        </w:rPr>
      </w:pPr>
      <w:r>
        <w:rPr>
          <w:rFonts w:hint="eastAsia" w:cs="宋体"/>
          <w:sz w:val="24"/>
        </w:rPr>
        <w:t>2.交货方式：现场交货。</w:t>
      </w:r>
    </w:p>
    <w:p w14:paraId="033463AE">
      <w:pPr>
        <w:spacing w:line="360" w:lineRule="auto"/>
        <w:ind w:firstLine="480" w:firstLineChars="200"/>
        <w:rPr>
          <w:rFonts w:hint="eastAsia" w:cs="宋体"/>
          <w:sz w:val="24"/>
        </w:rPr>
      </w:pPr>
      <w:r>
        <w:rPr>
          <w:rFonts w:hint="eastAsia" w:cs="宋体"/>
          <w:sz w:val="24"/>
        </w:rPr>
        <w:t>3.交货地点：云南省应急管理厅指定地点。（丘北县、东川县、维西县及华坪县8个乡镇、楚雄市子午镇、云县爱华镇）</w:t>
      </w:r>
    </w:p>
    <w:p w14:paraId="0BE0BC7E">
      <w:pPr>
        <w:spacing w:line="360" w:lineRule="auto"/>
        <w:ind w:firstLine="480" w:firstLineChars="200"/>
        <w:rPr>
          <w:rFonts w:hint="eastAsia" w:cs="宋体"/>
          <w:sz w:val="24"/>
        </w:rPr>
      </w:pPr>
      <w:r>
        <w:rPr>
          <w:rFonts w:hint="eastAsia" w:cs="宋体"/>
          <w:sz w:val="24"/>
        </w:rPr>
        <w:t>4.质保期：2年（自验收完成之日为起始日期）。</w:t>
      </w:r>
    </w:p>
    <w:p w14:paraId="47ABDCAE">
      <w:pPr>
        <w:spacing w:line="360" w:lineRule="auto"/>
        <w:ind w:firstLine="460" w:firstLineChars="192"/>
        <w:rPr>
          <w:rFonts w:hint="eastAsia" w:cs="宋体"/>
          <w:sz w:val="24"/>
        </w:rPr>
      </w:pPr>
      <w:r>
        <w:rPr>
          <w:rFonts w:hint="eastAsia" w:cs="宋体"/>
          <w:sz w:val="24"/>
        </w:rPr>
        <w:t>5.本项目</w:t>
      </w:r>
      <w:r>
        <w:rPr>
          <w:rFonts w:hint="eastAsia" w:cs="宋体"/>
          <w:b/>
          <w:bCs/>
          <w:sz w:val="24"/>
          <w:u w:val="single"/>
        </w:rPr>
        <w:t>不接受进口</w:t>
      </w:r>
      <w:r>
        <w:rPr>
          <w:rFonts w:hint="eastAsia" w:cs="宋体"/>
          <w:sz w:val="24"/>
        </w:rPr>
        <w:t>产品参与投标。进口产品是指通过中国海关报关验放进入中国境内且产自关境外的产品。</w:t>
      </w:r>
    </w:p>
    <w:p w14:paraId="273DE4CE">
      <w:pPr>
        <w:spacing w:line="360" w:lineRule="auto"/>
        <w:ind w:firstLine="460" w:firstLineChars="192"/>
        <w:rPr>
          <w:rFonts w:hint="eastAsia" w:cs="宋体"/>
          <w:sz w:val="24"/>
        </w:rPr>
      </w:pPr>
      <w:r>
        <w:rPr>
          <w:rFonts w:hint="eastAsia" w:cs="宋体"/>
          <w:sz w:val="24"/>
        </w:rPr>
        <w:t>6. 中标服务费：招标代理服务费参照招标代理服务收费标准按云建招协(2024)58号下浮50%计算，由中标单位向代理机构支付。</w:t>
      </w:r>
    </w:p>
    <w:p w14:paraId="0C7F8915">
      <w:pPr>
        <w:spacing w:line="360" w:lineRule="auto"/>
        <w:ind w:firstLine="480" w:firstLineChars="200"/>
        <w:rPr>
          <w:rFonts w:hint="eastAsia" w:cs="宋体"/>
          <w:sz w:val="24"/>
        </w:rPr>
      </w:pPr>
      <w:r>
        <w:rPr>
          <w:rFonts w:hint="eastAsia" w:cs="宋体"/>
          <w:sz w:val="24"/>
        </w:rPr>
        <w:t>7.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投标人视为合法获取了本项目采购文件，具备本项目的投标资格。如果投标人已在云南CA在线数字证书办理网进行过注册并办理过企业数字证书CA，直接绑定即可，无需重复办理。</w:t>
      </w:r>
    </w:p>
    <w:p w14:paraId="13BAA0BB">
      <w:pPr>
        <w:spacing w:line="360" w:lineRule="auto"/>
        <w:ind w:firstLine="480" w:firstLineChars="200"/>
        <w:rPr>
          <w:rFonts w:hint="eastAsia" w:cs="宋体"/>
          <w:sz w:val="24"/>
        </w:rPr>
      </w:pPr>
      <w:r>
        <w:rPr>
          <w:rFonts w:hint="eastAsia" w:cs="宋体"/>
          <w:sz w:val="24"/>
        </w:rPr>
        <w:t>8.本项目为电子化采购项目，投标文件的提交、开启、评标等程序均通过政府采购云平台进行，投标人无需提交纸质文件、无需到达开标现场。</w:t>
      </w:r>
    </w:p>
    <w:p w14:paraId="79B4DEF3">
      <w:pPr>
        <w:spacing w:line="360" w:lineRule="auto"/>
        <w:ind w:firstLine="480" w:firstLineChars="200"/>
        <w:rPr>
          <w:rFonts w:hint="eastAsia" w:cs="宋体"/>
          <w:sz w:val="24"/>
        </w:rPr>
      </w:pPr>
      <w:r>
        <w:rPr>
          <w:rFonts w:hint="eastAsia" w:cs="宋体"/>
          <w:sz w:val="24"/>
        </w:rPr>
        <w:t>9.政府采购云平台电子交易客户端下载、安装完成后（建议使用WIN7（64位）及以上操作系统），投标人可通过账号密码或CA登录客户端进行投标文件的制作。投标人按照采购文件和政府采购云平台的要求编制投标文件，并在投标文件递交截止时间前将加密的投标文件上传至政府采购云平台。在投标文件递交截止时间前未完成投标文件上传的，视为撤回投标文件。投标人在政府采购云平台提交投标文件时，请同时填写参加远程采购活动经办人联系方式。</w:t>
      </w:r>
    </w:p>
    <w:p w14:paraId="2ADA193F">
      <w:pPr>
        <w:spacing w:line="360" w:lineRule="auto"/>
        <w:ind w:firstLine="480" w:firstLineChars="200"/>
        <w:rPr>
          <w:rFonts w:hint="eastAsia" w:cs="宋体"/>
          <w:sz w:val="24"/>
        </w:rPr>
      </w:pPr>
      <w:r>
        <w:rPr>
          <w:rFonts w:hint="eastAsia" w:cs="宋体"/>
          <w:sz w:val="24"/>
        </w:rPr>
        <w:t>10.使用政府采购云平台投标客户端时，如有问题可拨打政府采购云平台客户服务热线400-881-7190进行咨询。对云南CA操作问题请致电云南CA，4006727666；云南CA紧急联系方式：15288315056。云南壹证通CA操作问题，请致电云南壹证通CA：4000040628咨询；云南壹证通CA紧急联系方式：19988166369。如因投标人自身原因导致在规定时间内无法正常解密的（如：浏览器故障、未安装相关驱动、网络故障、加密CA与解密CA不一致等），代理机构不予异常处理，视为投标人自动弃标。</w:t>
      </w:r>
    </w:p>
    <w:p w14:paraId="0C07613A">
      <w:pPr>
        <w:spacing w:line="360" w:lineRule="auto"/>
        <w:ind w:firstLine="480" w:firstLineChars="200"/>
        <w:rPr>
          <w:rFonts w:hint="eastAsia" w:cs="宋体"/>
          <w:sz w:val="24"/>
        </w:rPr>
      </w:pPr>
      <w:r>
        <w:rPr>
          <w:rFonts w:hint="eastAsia" w:cs="宋体"/>
          <w:sz w:val="24"/>
        </w:rPr>
        <w:t>11.本项目公告在云南省政府采购网（www.yngp.com）公开发布。</w:t>
      </w:r>
    </w:p>
    <w:p w14:paraId="1229B1A9">
      <w:pPr>
        <w:pStyle w:val="6"/>
        <w:numPr>
          <w:ilvl w:val="0"/>
          <w:numId w:val="0"/>
        </w:numPr>
        <w:ind w:left="596"/>
        <w:rPr>
          <w:rFonts w:hint="eastAsia" w:eastAsia="宋体" w:cs="宋体"/>
          <w:bCs/>
          <w:sz w:val="24"/>
          <w:szCs w:val="24"/>
        </w:rPr>
      </w:pPr>
      <w:bookmarkStart w:id="64" w:name="_Toc91696403"/>
      <w:bookmarkStart w:id="65" w:name="_Toc69912395"/>
      <w:bookmarkStart w:id="66" w:name="_Toc27083"/>
      <w:r>
        <w:rPr>
          <w:rFonts w:hint="eastAsia" w:eastAsia="宋体" w:cs="宋体"/>
          <w:bCs/>
          <w:sz w:val="24"/>
          <w:szCs w:val="24"/>
        </w:rPr>
        <w:t>七、对本次招标提出询问，请按以下方式联系</w:t>
      </w:r>
      <w:bookmarkEnd w:id="60"/>
      <w:bookmarkEnd w:id="61"/>
      <w:bookmarkEnd w:id="62"/>
      <w:bookmarkEnd w:id="63"/>
      <w:r>
        <w:rPr>
          <w:rFonts w:hint="eastAsia" w:eastAsia="宋体" w:cs="宋体"/>
          <w:bCs/>
          <w:sz w:val="24"/>
          <w:szCs w:val="24"/>
        </w:rPr>
        <w:t>：</w:t>
      </w:r>
      <w:bookmarkEnd w:id="64"/>
      <w:bookmarkEnd w:id="65"/>
      <w:bookmarkEnd w:id="66"/>
    </w:p>
    <w:p w14:paraId="64914DB9">
      <w:pPr>
        <w:spacing w:line="360" w:lineRule="auto"/>
        <w:ind w:firstLine="480" w:firstLineChars="200"/>
        <w:rPr>
          <w:rFonts w:hint="eastAsia" w:cs="宋体"/>
          <w:sz w:val="24"/>
        </w:rPr>
      </w:pPr>
      <w:r>
        <w:rPr>
          <w:rFonts w:hint="eastAsia" w:cs="宋体"/>
          <w:sz w:val="24"/>
        </w:rPr>
        <w:t>1.采购人信息</w:t>
      </w:r>
    </w:p>
    <w:p w14:paraId="355FAE4A">
      <w:pPr>
        <w:spacing w:line="360" w:lineRule="auto"/>
        <w:ind w:firstLine="480" w:firstLineChars="200"/>
        <w:rPr>
          <w:rFonts w:hint="eastAsia" w:cs="宋体"/>
          <w:sz w:val="24"/>
        </w:rPr>
      </w:pPr>
      <w:r>
        <w:rPr>
          <w:rFonts w:hint="eastAsia" w:cs="宋体"/>
          <w:sz w:val="24"/>
        </w:rPr>
        <w:t>名称：云南省应急管理厅</w:t>
      </w:r>
    </w:p>
    <w:p w14:paraId="32AE1EEE">
      <w:pPr>
        <w:spacing w:line="360" w:lineRule="auto"/>
        <w:ind w:firstLine="480" w:firstLineChars="200"/>
        <w:rPr>
          <w:rFonts w:hint="eastAsia" w:cs="宋体"/>
          <w:sz w:val="24"/>
        </w:rPr>
      </w:pPr>
      <w:r>
        <w:rPr>
          <w:rFonts w:hint="eastAsia" w:cs="宋体"/>
          <w:sz w:val="24"/>
        </w:rPr>
        <w:t>地址：昆明市官渡区董家湾曙光中路1号</w:t>
      </w:r>
    </w:p>
    <w:p w14:paraId="5CE56654">
      <w:pPr>
        <w:spacing w:line="360" w:lineRule="auto"/>
        <w:ind w:firstLine="480" w:firstLineChars="200"/>
        <w:rPr>
          <w:rFonts w:hint="eastAsia" w:cs="宋体"/>
          <w:sz w:val="24"/>
        </w:rPr>
      </w:pPr>
      <w:r>
        <w:rPr>
          <w:rFonts w:hint="eastAsia" w:cs="宋体"/>
          <w:sz w:val="24"/>
        </w:rPr>
        <w:t>联系方式：0871-68025581</w:t>
      </w:r>
    </w:p>
    <w:p w14:paraId="6793847F">
      <w:pPr>
        <w:spacing w:line="360" w:lineRule="auto"/>
        <w:ind w:firstLine="480" w:firstLineChars="200"/>
        <w:rPr>
          <w:rFonts w:hint="eastAsia" w:cs="宋体"/>
          <w:sz w:val="24"/>
        </w:rPr>
      </w:pPr>
      <w:r>
        <w:rPr>
          <w:rFonts w:hint="eastAsia" w:cs="宋体"/>
          <w:sz w:val="24"/>
        </w:rPr>
        <w:t>2.采购代理机构信息</w:t>
      </w:r>
    </w:p>
    <w:bookmarkEnd w:id="5"/>
    <w:bookmarkEnd w:id="7"/>
    <w:bookmarkEnd w:id="8"/>
    <w:p w14:paraId="214EF021">
      <w:pPr>
        <w:spacing w:line="360" w:lineRule="auto"/>
        <w:ind w:firstLine="480" w:firstLineChars="200"/>
        <w:rPr>
          <w:rFonts w:hint="eastAsia" w:cs="宋体"/>
          <w:sz w:val="24"/>
        </w:rPr>
      </w:pPr>
      <w:r>
        <w:rPr>
          <w:rFonts w:hint="eastAsia" w:cs="宋体"/>
          <w:sz w:val="24"/>
        </w:rPr>
        <w:t>名称：律道合一（云南）项目管理咨询有限公司</w:t>
      </w:r>
    </w:p>
    <w:p w14:paraId="6C5EDC5B">
      <w:pPr>
        <w:spacing w:line="360" w:lineRule="auto"/>
        <w:ind w:firstLine="480" w:firstLineChars="200"/>
        <w:rPr>
          <w:rFonts w:hint="eastAsia" w:cs="宋体"/>
          <w:sz w:val="24"/>
        </w:rPr>
      </w:pPr>
      <w:r>
        <w:rPr>
          <w:rFonts w:hint="eastAsia" w:cs="宋体"/>
          <w:sz w:val="24"/>
        </w:rPr>
        <w:t>地    址：昆明市五华区红云街道办事处小康大道德润春城花园德润商务中心18幢3009号</w:t>
      </w:r>
    </w:p>
    <w:p w14:paraId="0E387C02">
      <w:pPr>
        <w:spacing w:line="360" w:lineRule="auto"/>
        <w:ind w:firstLine="480" w:firstLineChars="200"/>
        <w:rPr>
          <w:rFonts w:hint="eastAsia" w:cs="宋体"/>
          <w:sz w:val="24"/>
        </w:rPr>
      </w:pPr>
      <w:r>
        <w:rPr>
          <w:rFonts w:hint="eastAsia" w:cs="宋体"/>
          <w:sz w:val="24"/>
        </w:rPr>
        <w:t>联系人：王文佳、朱燚姝、颜瑞良</w:t>
      </w:r>
    </w:p>
    <w:p w14:paraId="27FA1066">
      <w:pPr>
        <w:spacing w:line="360" w:lineRule="auto"/>
        <w:ind w:firstLine="480" w:firstLineChars="200"/>
        <w:rPr>
          <w:rFonts w:hint="eastAsia" w:cs="宋体"/>
          <w:sz w:val="24"/>
        </w:rPr>
      </w:pPr>
      <w:r>
        <w:rPr>
          <w:rFonts w:hint="eastAsia" w:cs="宋体"/>
          <w:sz w:val="24"/>
        </w:rPr>
        <w:t>电话：13238680915、13278785361</w:t>
      </w:r>
    </w:p>
    <w:p w14:paraId="3F53F152">
      <w:pPr>
        <w:spacing w:line="360" w:lineRule="auto"/>
        <w:ind w:firstLine="480" w:firstLineChars="200"/>
        <w:rPr>
          <w:rFonts w:hint="eastAsia" w:cs="宋体"/>
          <w:sz w:val="24"/>
        </w:rPr>
      </w:pPr>
      <w:r>
        <w:rPr>
          <w:rFonts w:hint="eastAsia" w:cs="宋体"/>
          <w:sz w:val="24"/>
        </w:rPr>
        <w:t>3.项目联系方式</w:t>
      </w:r>
    </w:p>
    <w:p w14:paraId="125DAF95">
      <w:pPr>
        <w:spacing w:line="360" w:lineRule="auto"/>
        <w:ind w:firstLine="480" w:firstLineChars="200"/>
        <w:rPr>
          <w:rFonts w:hint="eastAsia" w:cs="宋体"/>
          <w:sz w:val="24"/>
        </w:rPr>
      </w:pPr>
      <w:r>
        <w:rPr>
          <w:rFonts w:hint="eastAsia" w:cs="宋体"/>
          <w:sz w:val="24"/>
        </w:rPr>
        <w:t>项目联系人：王文佳、朱燚姝、颜瑞良</w:t>
      </w:r>
    </w:p>
    <w:p w14:paraId="2F25A3F9">
      <w:pPr>
        <w:spacing w:line="360" w:lineRule="auto"/>
        <w:ind w:firstLine="480" w:firstLineChars="200"/>
        <w:rPr>
          <w:rFonts w:hint="eastAsia" w:cs="宋体"/>
          <w:sz w:val="24"/>
        </w:rPr>
      </w:pPr>
      <w:r>
        <w:rPr>
          <w:rFonts w:hint="eastAsia" w:cs="宋体"/>
          <w:sz w:val="24"/>
        </w:rPr>
        <w:t>电话：13238680915、13278785361</w:t>
      </w:r>
    </w:p>
    <w:p w14:paraId="52104DD0">
      <w:pPr>
        <w:spacing w:line="360" w:lineRule="auto"/>
        <w:rPr>
          <w:rFonts w:hint="eastAsia" w:cs="宋体"/>
          <w:sz w:val="24"/>
        </w:rPr>
      </w:pPr>
      <w:r>
        <w:rPr>
          <w:rFonts w:hint="eastAsia" w:cs="宋体"/>
          <w:b/>
          <w:sz w:val="24"/>
        </w:rPr>
        <w:br w:type="page"/>
      </w:r>
      <w:bookmarkEnd w:id="6"/>
      <w:bookmarkEnd w:id="9"/>
    </w:p>
    <w:p w14:paraId="568613E8">
      <w:pPr>
        <w:pStyle w:val="5"/>
        <w:numPr>
          <w:ilvl w:val="0"/>
          <w:numId w:val="0"/>
        </w:numPr>
        <w:jc w:val="center"/>
        <w:rPr>
          <w:rFonts w:hint="eastAsia" w:eastAsia="宋体" w:cs="宋体"/>
          <w:bCs/>
          <w:sz w:val="32"/>
          <w:szCs w:val="32"/>
        </w:rPr>
      </w:pPr>
      <w:bookmarkStart w:id="67" w:name="_Toc69912396"/>
      <w:bookmarkStart w:id="68" w:name="_Toc91696404"/>
      <w:bookmarkStart w:id="69" w:name="_Toc11315"/>
      <w:r>
        <w:rPr>
          <w:rFonts w:hint="eastAsia" w:eastAsia="宋体" w:cs="宋体"/>
          <w:bCs/>
          <w:sz w:val="32"/>
          <w:szCs w:val="32"/>
        </w:rPr>
        <w:t>第二章 投标人须知</w:t>
      </w:r>
      <w:bookmarkEnd w:id="67"/>
      <w:bookmarkEnd w:id="68"/>
      <w:bookmarkEnd w:id="69"/>
    </w:p>
    <w:p w14:paraId="70B681F8">
      <w:pPr>
        <w:pStyle w:val="6"/>
        <w:numPr>
          <w:ilvl w:val="1"/>
          <w:numId w:val="0"/>
        </w:numPr>
        <w:tabs>
          <w:tab w:val="left" w:pos="420"/>
          <w:tab w:val="left" w:pos="6090"/>
        </w:tabs>
        <w:ind w:left="-2" w:leftChars="-1"/>
        <w:jc w:val="center"/>
        <w:rPr>
          <w:rFonts w:hint="eastAsia" w:eastAsia="宋体" w:cs="宋体"/>
          <w:sz w:val="24"/>
          <w:szCs w:val="24"/>
        </w:rPr>
      </w:pPr>
      <w:bookmarkStart w:id="70" w:name="_Toc91696405"/>
      <w:bookmarkStart w:id="71" w:name="_Toc69912397"/>
      <w:bookmarkStart w:id="72" w:name="_Toc7600"/>
      <w:r>
        <w:rPr>
          <w:rFonts w:hint="eastAsia" w:eastAsia="宋体" w:cs="宋体"/>
          <w:sz w:val="24"/>
          <w:szCs w:val="24"/>
        </w:rPr>
        <w:t>投标人须知前附表</w:t>
      </w:r>
      <w:bookmarkEnd w:id="70"/>
      <w:bookmarkEnd w:id="71"/>
      <w:bookmarkEnd w:id="72"/>
    </w:p>
    <w:tbl>
      <w:tblPr>
        <w:tblStyle w:val="4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6148"/>
      </w:tblGrid>
      <w:tr w14:paraId="19E3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14:paraId="24A50D5E">
            <w:pPr>
              <w:spacing w:line="360" w:lineRule="auto"/>
              <w:jc w:val="center"/>
              <w:rPr>
                <w:rFonts w:hint="eastAsia" w:cs="宋体"/>
                <w:b/>
                <w:sz w:val="24"/>
              </w:rPr>
            </w:pPr>
            <w:r>
              <w:rPr>
                <w:rFonts w:hint="eastAsia" w:cs="宋体"/>
                <w:b/>
                <w:sz w:val="24"/>
              </w:rPr>
              <w:t>条款号</w:t>
            </w:r>
          </w:p>
        </w:tc>
        <w:tc>
          <w:tcPr>
            <w:tcW w:w="2432" w:type="dxa"/>
            <w:vAlign w:val="center"/>
          </w:tcPr>
          <w:p w14:paraId="6AFE95CE">
            <w:pPr>
              <w:spacing w:line="360" w:lineRule="auto"/>
              <w:jc w:val="center"/>
              <w:rPr>
                <w:rFonts w:hint="eastAsia" w:cs="宋体"/>
                <w:b/>
                <w:sz w:val="24"/>
              </w:rPr>
            </w:pPr>
            <w:r>
              <w:rPr>
                <w:rFonts w:hint="eastAsia" w:cs="宋体"/>
                <w:b/>
                <w:sz w:val="24"/>
              </w:rPr>
              <w:t>条 款 名 称</w:t>
            </w:r>
          </w:p>
        </w:tc>
        <w:tc>
          <w:tcPr>
            <w:tcW w:w="6148" w:type="dxa"/>
            <w:vAlign w:val="center"/>
          </w:tcPr>
          <w:p w14:paraId="43C5E4B1">
            <w:pPr>
              <w:spacing w:line="360" w:lineRule="auto"/>
              <w:jc w:val="center"/>
              <w:rPr>
                <w:rFonts w:hint="eastAsia" w:cs="宋体"/>
                <w:b/>
                <w:sz w:val="24"/>
              </w:rPr>
            </w:pPr>
            <w:r>
              <w:rPr>
                <w:rFonts w:hint="eastAsia" w:cs="宋体"/>
                <w:b/>
                <w:sz w:val="24"/>
              </w:rPr>
              <w:t>编 列 内 容</w:t>
            </w:r>
          </w:p>
        </w:tc>
      </w:tr>
      <w:tr w14:paraId="67F1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Merge w:val="restart"/>
            <w:vAlign w:val="center"/>
          </w:tcPr>
          <w:p w14:paraId="3968BC60">
            <w:pPr>
              <w:spacing w:line="360" w:lineRule="auto"/>
              <w:jc w:val="center"/>
              <w:rPr>
                <w:rFonts w:hint="eastAsia" w:cs="宋体"/>
                <w:sz w:val="24"/>
              </w:rPr>
            </w:pPr>
            <w:r>
              <w:rPr>
                <w:rFonts w:hint="eastAsia" w:cs="宋体"/>
                <w:sz w:val="24"/>
              </w:rPr>
              <w:t>1</w:t>
            </w:r>
          </w:p>
        </w:tc>
        <w:tc>
          <w:tcPr>
            <w:tcW w:w="2432" w:type="dxa"/>
            <w:vAlign w:val="center"/>
          </w:tcPr>
          <w:p w14:paraId="020F8592">
            <w:pPr>
              <w:spacing w:line="360" w:lineRule="auto"/>
              <w:rPr>
                <w:rFonts w:hint="eastAsia" w:cs="宋体"/>
                <w:sz w:val="24"/>
                <w:u w:val="single"/>
              </w:rPr>
            </w:pPr>
            <w:r>
              <w:rPr>
                <w:rFonts w:hint="eastAsia" w:cs="宋体"/>
                <w:bCs/>
                <w:sz w:val="24"/>
              </w:rPr>
              <w:t>采购人</w:t>
            </w:r>
          </w:p>
        </w:tc>
        <w:tc>
          <w:tcPr>
            <w:tcW w:w="6148" w:type="dxa"/>
            <w:vAlign w:val="center"/>
          </w:tcPr>
          <w:p w14:paraId="2883EB96">
            <w:pPr>
              <w:spacing w:line="360" w:lineRule="auto"/>
              <w:rPr>
                <w:rFonts w:hint="eastAsia" w:cs="宋体"/>
                <w:sz w:val="24"/>
              </w:rPr>
            </w:pPr>
            <w:r>
              <w:rPr>
                <w:rFonts w:hint="eastAsia" w:cs="宋体"/>
                <w:sz w:val="24"/>
              </w:rPr>
              <w:t>云南省应急管理厅</w:t>
            </w:r>
          </w:p>
        </w:tc>
      </w:tr>
      <w:tr w14:paraId="1C9B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Merge w:val="continue"/>
            <w:vAlign w:val="center"/>
          </w:tcPr>
          <w:p w14:paraId="3B99CDA9">
            <w:pPr>
              <w:spacing w:line="360" w:lineRule="auto"/>
              <w:rPr>
                <w:rFonts w:hint="eastAsia" w:cs="宋体"/>
                <w:sz w:val="24"/>
              </w:rPr>
            </w:pPr>
          </w:p>
        </w:tc>
        <w:tc>
          <w:tcPr>
            <w:tcW w:w="2432" w:type="dxa"/>
            <w:vAlign w:val="center"/>
          </w:tcPr>
          <w:p w14:paraId="1673AFE7">
            <w:pPr>
              <w:spacing w:line="360" w:lineRule="auto"/>
              <w:rPr>
                <w:rFonts w:hint="eastAsia" w:cs="宋体"/>
                <w:bCs/>
                <w:sz w:val="24"/>
              </w:rPr>
            </w:pPr>
            <w:r>
              <w:rPr>
                <w:rFonts w:hint="eastAsia" w:cs="宋体"/>
                <w:bCs/>
                <w:sz w:val="24"/>
              </w:rPr>
              <w:t>采购代理机构</w:t>
            </w:r>
          </w:p>
        </w:tc>
        <w:tc>
          <w:tcPr>
            <w:tcW w:w="6148" w:type="dxa"/>
            <w:vAlign w:val="center"/>
          </w:tcPr>
          <w:p w14:paraId="6F2FECC8">
            <w:pPr>
              <w:spacing w:line="360" w:lineRule="auto"/>
              <w:rPr>
                <w:rFonts w:hint="eastAsia" w:cs="宋体"/>
                <w:sz w:val="24"/>
              </w:rPr>
            </w:pPr>
            <w:r>
              <w:rPr>
                <w:rFonts w:hint="eastAsia" w:cs="宋体"/>
                <w:sz w:val="24"/>
              </w:rPr>
              <w:t>律道合一（云南）项目管理咨询有限公司</w:t>
            </w:r>
          </w:p>
        </w:tc>
      </w:tr>
      <w:tr w14:paraId="7BE1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480" w:type="dxa"/>
            <w:vMerge w:val="continue"/>
            <w:vAlign w:val="center"/>
          </w:tcPr>
          <w:p w14:paraId="1D36C515">
            <w:pPr>
              <w:spacing w:line="360" w:lineRule="auto"/>
              <w:rPr>
                <w:rFonts w:hint="eastAsia" w:cs="宋体"/>
                <w:sz w:val="24"/>
              </w:rPr>
            </w:pPr>
          </w:p>
        </w:tc>
        <w:tc>
          <w:tcPr>
            <w:tcW w:w="2432" w:type="dxa"/>
            <w:vAlign w:val="center"/>
          </w:tcPr>
          <w:p w14:paraId="59337006">
            <w:pPr>
              <w:spacing w:line="360" w:lineRule="auto"/>
              <w:rPr>
                <w:rFonts w:hint="eastAsia" w:cs="宋体"/>
                <w:sz w:val="24"/>
              </w:rPr>
            </w:pPr>
            <w:r>
              <w:rPr>
                <w:rFonts w:hint="eastAsia" w:cs="宋体"/>
                <w:sz w:val="24"/>
              </w:rPr>
              <w:t>项目名称及项目编号</w:t>
            </w:r>
          </w:p>
        </w:tc>
        <w:tc>
          <w:tcPr>
            <w:tcW w:w="6148" w:type="dxa"/>
            <w:vAlign w:val="center"/>
          </w:tcPr>
          <w:p w14:paraId="255D7544">
            <w:pPr>
              <w:spacing w:line="360" w:lineRule="auto"/>
              <w:rPr>
                <w:rFonts w:hint="eastAsia" w:cs="宋体"/>
                <w:sz w:val="24"/>
              </w:rPr>
            </w:pPr>
            <w:r>
              <w:rPr>
                <w:rFonts w:hint="eastAsia" w:cs="宋体"/>
                <w:sz w:val="24"/>
              </w:rPr>
              <w:t>项目名称：2025年防灾减灾专项资金基层应急能力提升项目（2标段）</w:t>
            </w:r>
          </w:p>
          <w:p w14:paraId="0D687870">
            <w:pPr>
              <w:spacing w:line="360" w:lineRule="auto"/>
              <w:rPr>
                <w:rFonts w:hint="eastAsia" w:cs="宋体"/>
                <w:sz w:val="24"/>
                <w:u w:val="single"/>
              </w:rPr>
            </w:pPr>
            <w:r>
              <w:rPr>
                <w:rFonts w:hint="eastAsia" w:cs="宋体"/>
                <w:sz w:val="24"/>
              </w:rPr>
              <w:t xml:space="preserve">项目编号：LDHYYN-KM-251102 </w:t>
            </w:r>
          </w:p>
        </w:tc>
      </w:tr>
      <w:tr w14:paraId="6FC9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480" w:type="dxa"/>
            <w:vAlign w:val="center"/>
          </w:tcPr>
          <w:p w14:paraId="078141E5">
            <w:pPr>
              <w:spacing w:line="360" w:lineRule="auto"/>
              <w:jc w:val="center"/>
              <w:rPr>
                <w:rFonts w:hint="eastAsia" w:cs="宋体"/>
                <w:sz w:val="24"/>
              </w:rPr>
            </w:pPr>
            <w:r>
              <w:rPr>
                <w:rFonts w:hint="eastAsia" w:cs="宋体"/>
                <w:sz w:val="24"/>
              </w:rPr>
              <w:t>2</w:t>
            </w:r>
          </w:p>
        </w:tc>
        <w:tc>
          <w:tcPr>
            <w:tcW w:w="2432" w:type="dxa"/>
            <w:vAlign w:val="center"/>
          </w:tcPr>
          <w:p w14:paraId="04C9A9C3">
            <w:pPr>
              <w:spacing w:line="360" w:lineRule="auto"/>
              <w:rPr>
                <w:rFonts w:hint="eastAsia" w:cs="宋体"/>
                <w:sz w:val="24"/>
              </w:rPr>
            </w:pPr>
            <w:r>
              <w:rPr>
                <w:rFonts w:hint="eastAsia" w:cs="宋体"/>
                <w:sz w:val="24"/>
              </w:rPr>
              <w:t>资金来源</w:t>
            </w:r>
          </w:p>
        </w:tc>
        <w:tc>
          <w:tcPr>
            <w:tcW w:w="6148" w:type="dxa"/>
            <w:vAlign w:val="center"/>
          </w:tcPr>
          <w:p w14:paraId="478260D3">
            <w:pPr>
              <w:spacing w:line="360" w:lineRule="auto"/>
              <w:rPr>
                <w:rFonts w:hint="eastAsia" w:cs="宋体"/>
                <w:sz w:val="24"/>
              </w:rPr>
            </w:pPr>
            <w:r>
              <w:rPr>
                <w:rFonts w:hint="eastAsia" w:cs="宋体"/>
                <w:sz w:val="24"/>
              </w:rPr>
              <w:t>财政性资金</w:t>
            </w:r>
          </w:p>
        </w:tc>
      </w:tr>
      <w:tr w14:paraId="2576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14:paraId="1C8DD1D7">
            <w:pPr>
              <w:spacing w:line="360" w:lineRule="auto"/>
              <w:jc w:val="center"/>
              <w:rPr>
                <w:rFonts w:hint="eastAsia" w:cs="宋体"/>
                <w:sz w:val="24"/>
              </w:rPr>
            </w:pPr>
            <w:r>
              <w:rPr>
                <w:rFonts w:hint="eastAsia" w:cs="宋体"/>
                <w:sz w:val="24"/>
              </w:rPr>
              <w:t>3.1</w:t>
            </w:r>
          </w:p>
        </w:tc>
        <w:tc>
          <w:tcPr>
            <w:tcW w:w="2432" w:type="dxa"/>
            <w:vAlign w:val="center"/>
          </w:tcPr>
          <w:p w14:paraId="07B7F429">
            <w:pPr>
              <w:spacing w:line="360" w:lineRule="auto"/>
              <w:rPr>
                <w:rFonts w:hint="eastAsia" w:cs="宋体"/>
                <w:sz w:val="24"/>
              </w:rPr>
            </w:pPr>
            <w:r>
              <w:rPr>
                <w:rFonts w:hint="eastAsia" w:cs="宋体"/>
                <w:sz w:val="24"/>
              </w:rPr>
              <w:t>招标范围</w:t>
            </w:r>
          </w:p>
        </w:tc>
        <w:tc>
          <w:tcPr>
            <w:tcW w:w="6148" w:type="dxa"/>
            <w:vAlign w:val="center"/>
          </w:tcPr>
          <w:p w14:paraId="371E6E36">
            <w:pPr>
              <w:spacing w:line="360" w:lineRule="auto"/>
              <w:jc w:val="left"/>
              <w:rPr>
                <w:rFonts w:hint="eastAsia" w:cs="宋体"/>
                <w:sz w:val="24"/>
              </w:rPr>
            </w:pPr>
            <w:r>
              <w:rPr>
                <w:rFonts w:hint="eastAsia" w:cs="宋体"/>
                <w:sz w:val="24"/>
              </w:rPr>
              <w:t>详见</w:t>
            </w:r>
            <w:r>
              <w:rPr>
                <w:rFonts w:hint="eastAsia" w:cs="宋体"/>
                <w:bCs/>
                <w:sz w:val="24"/>
              </w:rPr>
              <w:t>第四章 货物需求及技术要求</w:t>
            </w:r>
          </w:p>
        </w:tc>
      </w:tr>
      <w:tr w14:paraId="43BF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5A7B2921">
            <w:pPr>
              <w:spacing w:line="360" w:lineRule="auto"/>
              <w:jc w:val="center"/>
              <w:rPr>
                <w:rFonts w:hint="eastAsia" w:cs="宋体"/>
                <w:sz w:val="24"/>
              </w:rPr>
            </w:pPr>
            <w:r>
              <w:rPr>
                <w:rFonts w:hint="eastAsia" w:cs="宋体"/>
                <w:sz w:val="24"/>
              </w:rPr>
              <w:t>3.2</w:t>
            </w:r>
          </w:p>
        </w:tc>
        <w:tc>
          <w:tcPr>
            <w:tcW w:w="2432" w:type="dxa"/>
            <w:vAlign w:val="center"/>
          </w:tcPr>
          <w:p w14:paraId="41E5AB22">
            <w:pPr>
              <w:spacing w:line="360" w:lineRule="auto"/>
              <w:rPr>
                <w:rFonts w:hint="eastAsia" w:cs="宋体"/>
                <w:sz w:val="24"/>
              </w:rPr>
            </w:pPr>
            <w:r>
              <w:rPr>
                <w:rFonts w:hint="eastAsia" w:cs="宋体"/>
                <w:sz w:val="24"/>
              </w:rPr>
              <w:t>交货期、交货地点、交货方式</w:t>
            </w:r>
          </w:p>
        </w:tc>
        <w:tc>
          <w:tcPr>
            <w:tcW w:w="6148" w:type="dxa"/>
            <w:vAlign w:val="center"/>
          </w:tcPr>
          <w:p w14:paraId="22E31085">
            <w:pPr>
              <w:spacing w:line="360" w:lineRule="auto"/>
              <w:rPr>
                <w:rFonts w:hint="eastAsia" w:cs="宋体"/>
                <w:b/>
                <w:bCs/>
                <w:sz w:val="24"/>
              </w:rPr>
            </w:pPr>
            <w:r>
              <w:rPr>
                <w:rFonts w:hint="eastAsia" w:cs="宋体"/>
                <w:sz w:val="24"/>
              </w:rPr>
              <w:t>交货期：</w:t>
            </w:r>
            <w:r>
              <w:rPr>
                <w:rFonts w:hint="eastAsia" w:cs="宋体"/>
                <w:b/>
                <w:bCs/>
                <w:sz w:val="24"/>
              </w:rPr>
              <w:t>合同签订之日起60日历天内（投标人在此期限内自报最短交货期）（此要求为实质性条款，如不满足按废标处理）。</w:t>
            </w:r>
          </w:p>
          <w:p w14:paraId="7BFD77A2">
            <w:pPr>
              <w:spacing w:line="360" w:lineRule="auto"/>
              <w:rPr>
                <w:rFonts w:hint="eastAsia" w:cs="宋体"/>
                <w:sz w:val="24"/>
              </w:rPr>
            </w:pPr>
            <w:r>
              <w:rPr>
                <w:rFonts w:hint="eastAsia" w:cs="宋体"/>
                <w:sz w:val="24"/>
              </w:rPr>
              <w:t>云南省应急管理厅指定地点。（丘北县、东川县、维西县及华坪县8个乡镇、楚雄市子午镇、云县爱华镇）</w:t>
            </w:r>
          </w:p>
          <w:p w14:paraId="45E38055">
            <w:pPr>
              <w:spacing w:line="360" w:lineRule="auto"/>
              <w:rPr>
                <w:rFonts w:hint="eastAsia" w:cs="宋体"/>
                <w:sz w:val="24"/>
              </w:rPr>
            </w:pPr>
            <w:r>
              <w:rPr>
                <w:rFonts w:hint="eastAsia" w:cs="宋体"/>
                <w:sz w:val="24"/>
              </w:rPr>
              <w:t>交货方式：现场交货。</w:t>
            </w:r>
          </w:p>
        </w:tc>
      </w:tr>
      <w:tr w14:paraId="16D1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12987C62">
            <w:pPr>
              <w:spacing w:line="360" w:lineRule="auto"/>
              <w:jc w:val="center"/>
              <w:rPr>
                <w:rFonts w:hint="eastAsia" w:cs="宋体"/>
                <w:sz w:val="24"/>
              </w:rPr>
            </w:pPr>
            <w:r>
              <w:rPr>
                <w:rFonts w:hint="eastAsia" w:cs="宋体"/>
                <w:sz w:val="24"/>
              </w:rPr>
              <w:t>4.1.2</w:t>
            </w:r>
          </w:p>
        </w:tc>
        <w:tc>
          <w:tcPr>
            <w:tcW w:w="2432" w:type="dxa"/>
            <w:vAlign w:val="center"/>
          </w:tcPr>
          <w:p w14:paraId="7EE88135">
            <w:pPr>
              <w:spacing w:line="360" w:lineRule="auto"/>
              <w:rPr>
                <w:rFonts w:hint="eastAsia" w:cs="宋体"/>
                <w:sz w:val="24"/>
              </w:rPr>
            </w:pPr>
            <w:r>
              <w:rPr>
                <w:rFonts w:hint="eastAsia" w:cs="宋体"/>
                <w:sz w:val="24"/>
              </w:rPr>
              <w:t>投标人具有良好的商业信誉和健全的财务会计制度</w:t>
            </w:r>
          </w:p>
        </w:tc>
        <w:tc>
          <w:tcPr>
            <w:tcW w:w="6148" w:type="dxa"/>
            <w:vAlign w:val="center"/>
          </w:tcPr>
          <w:p w14:paraId="38B1C4A4">
            <w:pPr>
              <w:spacing w:line="360" w:lineRule="auto"/>
              <w:rPr>
                <w:rFonts w:hint="eastAsia" w:cs="宋体"/>
                <w:sz w:val="24"/>
              </w:rPr>
            </w:pPr>
            <w:r>
              <w:rPr>
                <w:rFonts w:hint="eastAsia" w:cs="宋体"/>
                <w:sz w:val="24"/>
              </w:rPr>
              <w:t>提供2023-2024年度任意1个年度经第三方审计的财务会计报表（成立不满2年的投标人根据实际情况提供），包括财务审计报告、资产负债表、利润表、现金流量表、所有者权益变动表（执行小企业会计准则的投标人可不提供）及附注，事业单位投标人提供财务审计报告、资产负债表、收入费用表、净资产变动表及附注；或提供自响应文件提交截止时间前三个月内开户银行出具的资信证明；或提供财政部门认可的政府采购专业担保机构对投标人进行资信审查后出具的投标担保函。</w:t>
            </w:r>
            <w:r>
              <w:rPr>
                <w:rFonts w:hint="eastAsia" w:cs="宋体"/>
                <w:b/>
                <w:bCs/>
                <w:sz w:val="24"/>
              </w:rPr>
              <w:t>备注：投标人可根据自身情况提供上述任意一种证明材料</w:t>
            </w:r>
            <w:r>
              <w:rPr>
                <w:rFonts w:hint="eastAsia" w:cs="宋体"/>
                <w:sz w:val="24"/>
              </w:rPr>
              <w:t>，</w:t>
            </w:r>
            <w:r>
              <w:rPr>
                <w:rFonts w:hint="eastAsia" w:cs="宋体"/>
                <w:b/>
                <w:bCs/>
                <w:spacing w:val="6"/>
                <w:sz w:val="24"/>
              </w:rPr>
              <w:t>相关证明材料扫描件应加盖公章</w:t>
            </w:r>
            <w:r>
              <w:rPr>
                <w:rFonts w:hint="eastAsia" w:cs="宋体"/>
                <w:spacing w:val="6"/>
                <w:sz w:val="24"/>
              </w:rPr>
              <w:t>；</w:t>
            </w:r>
          </w:p>
        </w:tc>
      </w:tr>
      <w:tr w14:paraId="69C7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14:paraId="031ED810">
            <w:pPr>
              <w:spacing w:line="360" w:lineRule="auto"/>
              <w:jc w:val="center"/>
              <w:rPr>
                <w:rFonts w:hint="eastAsia" w:cs="宋体"/>
                <w:sz w:val="24"/>
              </w:rPr>
            </w:pPr>
            <w:r>
              <w:rPr>
                <w:rFonts w:hint="eastAsia" w:cs="宋体"/>
                <w:sz w:val="24"/>
              </w:rPr>
              <w:t>4.1.3</w:t>
            </w:r>
          </w:p>
        </w:tc>
        <w:tc>
          <w:tcPr>
            <w:tcW w:w="2432" w:type="dxa"/>
            <w:vAlign w:val="center"/>
          </w:tcPr>
          <w:p w14:paraId="5153A152">
            <w:pPr>
              <w:autoSpaceDE w:val="0"/>
              <w:autoSpaceDN w:val="0"/>
              <w:snapToGrid w:val="0"/>
              <w:spacing w:line="360" w:lineRule="auto"/>
              <w:textAlignment w:val="bottom"/>
              <w:rPr>
                <w:rFonts w:hint="eastAsia" w:cs="宋体"/>
                <w:sz w:val="24"/>
              </w:rPr>
            </w:pPr>
            <w:r>
              <w:rPr>
                <w:rFonts w:hint="eastAsia" w:cs="宋体"/>
                <w:sz w:val="24"/>
              </w:rPr>
              <w:t>投标人具有依法缴纳税收的良好记录</w:t>
            </w:r>
          </w:p>
        </w:tc>
        <w:tc>
          <w:tcPr>
            <w:tcW w:w="6148" w:type="dxa"/>
            <w:vAlign w:val="center"/>
          </w:tcPr>
          <w:p w14:paraId="1060B9E2">
            <w:pPr>
              <w:autoSpaceDE w:val="0"/>
              <w:autoSpaceDN w:val="0"/>
              <w:snapToGrid w:val="0"/>
              <w:spacing w:line="360" w:lineRule="auto"/>
              <w:textAlignment w:val="bottom"/>
              <w:rPr>
                <w:rFonts w:hint="eastAsia" w:cs="宋体"/>
                <w:b/>
                <w:sz w:val="24"/>
              </w:rPr>
            </w:pPr>
            <w:r>
              <w:rPr>
                <w:rFonts w:hint="eastAsia" w:cs="宋体"/>
                <w:sz w:val="24"/>
              </w:rPr>
              <w:t>投标人须提供缴税所属时间在2025年01月至本项目投标文件提交截止时间前任意3个月的税务局税收通用缴款书或银行电子缴税（费）凭证或税务局出具纳税情况的相关证明，依法免税的，应提供依法免税的相关证明文件，成立不满三个月的提供相关承诺（加盖公章），</w:t>
            </w:r>
            <w:r>
              <w:rPr>
                <w:rFonts w:hint="eastAsia" w:cs="宋体"/>
                <w:spacing w:val="6"/>
                <w:sz w:val="24"/>
              </w:rPr>
              <w:t>相关证明材料扫描件应加盖公章</w:t>
            </w:r>
            <w:r>
              <w:rPr>
                <w:rFonts w:hint="eastAsia" w:cs="宋体"/>
                <w:sz w:val="24"/>
              </w:rPr>
              <w:t>；</w:t>
            </w:r>
          </w:p>
        </w:tc>
      </w:tr>
      <w:tr w14:paraId="4CB5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1480" w:type="dxa"/>
            <w:vAlign w:val="center"/>
          </w:tcPr>
          <w:p w14:paraId="338C65BC">
            <w:pPr>
              <w:spacing w:line="360" w:lineRule="auto"/>
              <w:jc w:val="center"/>
              <w:rPr>
                <w:rFonts w:hint="eastAsia" w:cs="宋体"/>
                <w:sz w:val="24"/>
              </w:rPr>
            </w:pPr>
            <w:r>
              <w:rPr>
                <w:rFonts w:hint="eastAsia" w:cs="宋体"/>
                <w:sz w:val="24"/>
              </w:rPr>
              <w:t>4.1.4</w:t>
            </w:r>
          </w:p>
        </w:tc>
        <w:tc>
          <w:tcPr>
            <w:tcW w:w="2432" w:type="dxa"/>
            <w:vAlign w:val="center"/>
          </w:tcPr>
          <w:p w14:paraId="2C27B783">
            <w:pPr>
              <w:spacing w:line="360" w:lineRule="auto"/>
              <w:rPr>
                <w:rFonts w:hint="eastAsia" w:cs="宋体"/>
                <w:sz w:val="24"/>
              </w:rPr>
            </w:pPr>
            <w:r>
              <w:rPr>
                <w:rFonts w:hint="eastAsia" w:cs="宋体"/>
                <w:sz w:val="24"/>
              </w:rPr>
              <w:t>投标人具有依法缴纳社会保障资金的良好记录</w:t>
            </w:r>
          </w:p>
        </w:tc>
        <w:tc>
          <w:tcPr>
            <w:tcW w:w="6148" w:type="dxa"/>
            <w:vAlign w:val="center"/>
          </w:tcPr>
          <w:p w14:paraId="0AB7EABE">
            <w:pPr>
              <w:autoSpaceDE w:val="0"/>
              <w:autoSpaceDN w:val="0"/>
              <w:snapToGrid w:val="0"/>
              <w:spacing w:line="360" w:lineRule="auto"/>
              <w:textAlignment w:val="bottom"/>
              <w:rPr>
                <w:rFonts w:hint="eastAsia" w:cs="宋体"/>
                <w:b/>
                <w:sz w:val="24"/>
              </w:rPr>
            </w:pPr>
            <w:r>
              <w:rPr>
                <w:rFonts w:hint="eastAsia" w:cs="宋体"/>
                <w:sz w:val="24"/>
              </w:rPr>
              <w:t>投标人须提供缴费所属时间在2025年01月至本项目投标文件提交截止时间前任意3个月的社会保险费缴款书或银行电子缴税（费）凭证或社保管理部门出具的有效的缴款证明，依法免缴的，应提供依法免缴的相关证明文件），成立不满三个月的提供相关承诺（加盖公章），</w:t>
            </w:r>
            <w:r>
              <w:rPr>
                <w:rFonts w:hint="eastAsia" w:cs="宋体"/>
                <w:spacing w:val="6"/>
                <w:sz w:val="24"/>
              </w:rPr>
              <w:t>相关证明材料扫描件应加盖公章；</w:t>
            </w:r>
          </w:p>
        </w:tc>
      </w:tr>
      <w:tr w14:paraId="3117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480" w:type="dxa"/>
            <w:vAlign w:val="center"/>
          </w:tcPr>
          <w:p w14:paraId="605DB84C">
            <w:pPr>
              <w:spacing w:line="360" w:lineRule="auto"/>
              <w:jc w:val="center"/>
              <w:rPr>
                <w:rFonts w:hint="eastAsia" w:cs="宋体"/>
                <w:sz w:val="24"/>
              </w:rPr>
            </w:pPr>
            <w:r>
              <w:rPr>
                <w:rFonts w:hint="eastAsia" w:cs="宋体"/>
                <w:sz w:val="24"/>
              </w:rPr>
              <w:t>4.2</w:t>
            </w:r>
          </w:p>
        </w:tc>
        <w:tc>
          <w:tcPr>
            <w:tcW w:w="2432" w:type="dxa"/>
            <w:vAlign w:val="center"/>
          </w:tcPr>
          <w:p w14:paraId="06741C1F">
            <w:pPr>
              <w:spacing w:line="360" w:lineRule="auto"/>
              <w:rPr>
                <w:rFonts w:hint="eastAsia" w:cs="宋体"/>
                <w:sz w:val="24"/>
              </w:rPr>
            </w:pPr>
            <w:r>
              <w:rPr>
                <w:rFonts w:hint="eastAsia" w:cs="宋体"/>
                <w:sz w:val="24"/>
              </w:rPr>
              <w:t>采购人根据采购项目的特殊要求规定的特定条件</w:t>
            </w:r>
          </w:p>
        </w:tc>
        <w:tc>
          <w:tcPr>
            <w:tcW w:w="6148" w:type="dxa"/>
            <w:vAlign w:val="center"/>
          </w:tcPr>
          <w:p w14:paraId="2F6782F1">
            <w:pPr>
              <w:autoSpaceDE w:val="0"/>
              <w:autoSpaceDN w:val="0"/>
              <w:snapToGrid w:val="0"/>
              <w:spacing w:line="360" w:lineRule="auto"/>
              <w:textAlignment w:val="bottom"/>
              <w:rPr>
                <w:rFonts w:hint="eastAsia" w:cs="宋体"/>
                <w:sz w:val="24"/>
              </w:rPr>
            </w:pPr>
            <w:r>
              <w:rPr>
                <w:rFonts w:hint="eastAsia" w:cs="宋体"/>
                <w:sz w:val="24"/>
              </w:rPr>
              <w:t>见第一章“招标公告”二、投标人的资格要求</w:t>
            </w:r>
          </w:p>
        </w:tc>
      </w:tr>
      <w:tr w14:paraId="318C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480" w:type="dxa"/>
            <w:vAlign w:val="center"/>
          </w:tcPr>
          <w:p w14:paraId="5E8460E4">
            <w:pPr>
              <w:spacing w:line="360" w:lineRule="auto"/>
              <w:jc w:val="center"/>
              <w:rPr>
                <w:rFonts w:hint="eastAsia" w:cs="宋体"/>
                <w:sz w:val="24"/>
              </w:rPr>
            </w:pPr>
            <w:r>
              <w:rPr>
                <w:rFonts w:hint="eastAsia" w:cs="宋体"/>
                <w:sz w:val="24"/>
              </w:rPr>
              <w:t>4.5</w:t>
            </w:r>
          </w:p>
        </w:tc>
        <w:tc>
          <w:tcPr>
            <w:tcW w:w="2432" w:type="dxa"/>
            <w:vAlign w:val="center"/>
          </w:tcPr>
          <w:p w14:paraId="1785F66E">
            <w:pPr>
              <w:spacing w:line="360" w:lineRule="auto"/>
              <w:rPr>
                <w:rFonts w:hint="eastAsia" w:cs="宋体"/>
                <w:b/>
                <w:bCs/>
                <w:sz w:val="24"/>
              </w:rPr>
            </w:pPr>
            <w:r>
              <w:rPr>
                <w:rFonts w:hint="eastAsia" w:cs="宋体"/>
                <w:b/>
                <w:bCs/>
                <w:sz w:val="24"/>
              </w:rPr>
              <w:t>是否接受联合体投标</w:t>
            </w:r>
          </w:p>
        </w:tc>
        <w:tc>
          <w:tcPr>
            <w:tcW w:w="6148" w:type="dxa"/>
            <w:vAlign w:val="center"/>
          </w:tcPr>
          <w:p w14:paraId="094B8725">
            <w:pPr>
              <w:spacing w:line="360" w:lineRule="auto"/>
              <w:jc w:val="left"/>
              <w:rPr>
                <w:rFonts w:hint="eastAsia" w:cs="宋体"/>
                <w:b/>
                <w:bCs/>
                <w:sz w:val="24"/>
              </w:rPr>
            </w:pPr>
            <w:r>
              <w:rPr>
                <w:rFonts w:hint="eastAsia" w:cs="宋体"/>
                <w:b/>
                <w:bCs/>
                <w:sz w:val="24"/>
              </w:rPr>
              <w:t>不接受</w:t>
            </w:r>
          </w:p>
        </w:tc>
      </w:tr>
      <w:tr w14:paraId="44BE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480" w:type="dxa"/>
            <w:vAlign w:val="center"/>
          </w:tcPr>
          <w:p w14:paraId="71078AFE">
            <w:pPr>
              <w:spacing w:line="360" w:lineRule="auto"/>
              <w:jc w:val="center"/>
              <w:rPr>
                <w:rFonts w:hint="eastAsia" w:cs="宋体"/>
                <w:sz w:val="24"/>
              </w:rPr>
            </w:pPr>
            <w:r>
              <w:rPr>
                <w:rFonts w:hint="eastAsia" w:cs="宋体"/>
                <w:sz w:val="24"/>
              </w:rPr>
              <w:t>9.1</w:t>
            </w:r>
          </w:p>
        </w:tc>
        <w:tc>
          <w:tcPr>
            <w:tcW w:w="2432" w:type="dxa"/>
            <w:vAlign w:val="center"/>
          </w:tcPr>
          <w:p w14:paraId="496C2DC1">
            <w:pPr>
              <w:autoSpaceDE w:val="0"/>
              <w:autoSpaceDN w:val="0"/>
              <w:snapToGrid w:val="0"/>
              <w:spacing w:line="360" w:lineRule="auto"/>
              <w:textAlignment w:val="bottom"/>
              <w:rPr>
                <w:rFonts w:hint="eastAsia" w:cs="宋体"/>
                <w:sz w:val="24"/>
              </w:rPr>
            </w:pPr>
            <w:r>
              <w:rPr>
                <w:rFonts w:hint="eastAsia" w:cs="宋体"/>
                <w:sz w:val="24"/>
              </w:rPr>
              <w:t>招标文件澄清截止时间</w:t>
            </w:r>
          </w:p>
        </w:tc>
        <w:tc>
          <w:tcPr>
            <w:tcW w:w="6148" w:type="dxa"/>
            <w:vAlign w:val="center"/>
          </w:tcPr>
          <w:p w14:paraId="56242C23">
            <w:pPr>
              <w:spacing w:line="360" w:lineRule="auto"/>
              <w:jc w:val="left"/>
              <w:rPr>
                <w:rFonts w:hint="eastAsia" w:cs="宋体"/>
                <w:bCs/>
                <w:sz w:val="24"/>
              </w:rPr>
            </w:pPr>
            <w:r>
              <w:rPr>
                <w:rFonts w:hint="eastAsia" w:cs="宋体"/>
                <w:sz w:val="24"/>
              </w:rPr>
              <w:t>提交投标文件截止时间十五日前</w:t>
            </w:r>
          </w:p>
        </w:tc>
      </w:tr>
      <w:tr w14:paraId="118B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4F7FCB35">
            <w:pPr>
              <w:spacing w:line="360" w:lineRule="auto"/>
              <w:jc w:val="center"/>
              <w:rPr>
                <w:rFonts w:hint="eastAsia" w:cs="宋体"/>
                <w:sz w:val="24"/>
              </w:rPr>
            </w:pPr>
            <w:r>
              <w:rPr>
                <w:rFonts w:hint="eastAsia" w:cs="宋体"/>
                <w:sz w:val="24"/>
              </w:rPr>
              <w:t>13.1.3（2）</w:t>
            </w:r>
          </w:p>
        </w:tc>
        <w:tc>
          <w:tcPr>
            <w:tcW w:w="2432" w:type="dxa"/>
            <w:vAlign w:val="center"/>
          </w:tcPr>
          <w:p w14:paraId="74A39A0D">
            <w:pPr>
              <w:spacing w:line="360" w:lineRule="auto"/>
              <w:rPr>
                <w:rFonts w:hint="eastAsia" w:cs="宋体"/>
                <w:sz w:val="24"/>
              </w:rPr>
            </w:pPr>
            <w:r>
              <w:rPr>
                <w:rFonts w:hint="eastAsia" w:cs="宋体"/>
                <w:sz w:val="24"/>
              </w:rPr>
              <w:t>构成投标文件商务部分的其他资料</w:t>
            </w:r>
          </w:p>
        </w:tc>
        <w:tc>
          <w:tcPr>
            <w:tcW w:w="6148" w:type="dxa"/>
            <w:vAlign w:val="center"/>
          </w:tcPr>
          <w:p w14:paraId="4359D0D8">
            <w:pPr>
              <w:autoSpaceDE w:val="0"/>
              <w:autoSpaceDN w:val="0"/>
              <w:snapToGrid w:val="0"/>
              <w:spacing w:line="360" w:lineRule="auto"/>
              <w:textAlignment w:val="bottom"/>
              <w:rPr>
                <w:rFonts w:hint="eastAsia" w:cs="宋体"/>
                <w:bCs/>
                <w:sz w:val="24"/>
              </w:rPr>
            </w:pPr>
            <w:r>
              <w:rPr>
                <w:rFonts w:hint="eastAsia" w:cs="宋体"/>
                <w:sz w:val="24"/>
              </w:rPr>
              <w:t>1、售后服务机构技术力量说明</w:t>
            </w:r>
            <w:r>
              <w:rPr>
                <w:rFonts w:hint="eastAsia" w:cs="宋体"/>
                <w:bCs/>
                <w:sz w:val="24"/>
              </w:rPr>
              <w:t>；</w:t>
            </w:r>
          </w:p>
          <w:p w14:paraId="67ADCC80">
            <w:pPr>
              <w:autoSpaceDE w:val="0"/>
              <w:autoSpaceDN w:val="0"/>
              <w:snapToGrid w:val="0"/>
              <w:spacing w:line="360" w:lineRule="auto"/>
              <w:textAlignment w:val="bottom"/>
              <w:rPr>
                <w:rFonts w:hint="eastAsia" w:cs="宋体"/>
                <w:bCs/>
                <w:sz w:val="24"/>
              </w:rPr>
            </w:pPr>
            <w:r>
              <w:rPr>
                <w:rFonts w:hint="eastAsia" w:cs="宋体"/>
                <w:bCs/>
                <w:sz w:val="24"/>
              </w:rPr>
              <w:t>2、招标文件中所涉及到的相关资料及证明文件或投标人认为必须提供的其他相关资料。</w:t>
            </w:r>
          </w:p>
        </w:tc>
      </w:tr>
      <w:tr w14:paraId="7020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27814FC8">
            <w:pPr>
              <w:spacing w:line="360" w:lineRule="auto"/>
              <w:jc w:val="center"/>
              <w:rPr>
                <w:rFonts w:hint="eastAsia" w:cs="宋体"/>
                <w:sz w:val="24"/>
              </w:rPr>
            </w:pPr>
            <w:r>
              <w:rPr>
                <w:rFonts w:hint="eastAsia" w:cs="宋体"/>
                <w:sz w:val="24"/>
              </w:rPr>
              <w:t>13.1.4（2）</w:t>
            </w:r>
          </w:p>
        </w:tc>
        <w:tc>
          <w:tcPr>
            <w:tcW w:w="2432" w:type="dxa"/>
            <w:vAlign w:val="center"/>
          </w:tcPr>
          <w:p w14:paraId="26DE6880">
            <w:pPr>
              <w:spacing w:line="360" w:lineRule="auto"/>
              <w:rPr>
                <w:rFonts w:hint="eastAsia" w:cs="宋体"/>
                <w:sz w:val="24"/>
              </w:rPr>
            </w:pPr>
            <w:r>
              <w:rPr>
                <w:rFonts w:hint="eastAsia" w:cs="宋体"/>
                <w:sz w:val="24"/>
              </w:rPr>
              <w:t>构成投标文件技术部分的其他资料</w:t>
            </w:r>
          </w:p>
        </w:tc>
        <w:tc>
          <w:tcPr>
            <w:tcW w:w="6148" w:type="dxa"/>
            <w:vAlign w:val="center"/>
          </w:tcPr>
          <w:p w14:paraId="3D5BBCDC">
            <w:pPr>
              <w:autoSpaceDE w:val="0"/>
              <w:autoSpaceDN w:val="0"/>
              <w:snapToGrid w:val="0"/>
              <w:spacing w:line="360" w:lineRule="auto"/>
              <w:textAlignment w:val="bottom"/>
              <w:rPr>
                <w:rFonts w:hint="eastAsia" w:cs="宋体"/>
                <w:bCs/>
                <w:sz w:val="24"/>
              </w:rPr>
            </w:pPr>
            <w:r>
              <w:rPr>
                <w:rFonts w:hint="eastAsia" w:cs="宋体"/>
                <w:bCs/>
                <w:sz w:val="24"/>
              </w:rPr>
              <w:t>1、第四章 货物需求及技术要求中要求提供的其他资料；</w:t>
            </w:r>
          </w:p>
          <w:p w14:paraId="03690CE8">
            <w:pPr>
              <w:autoSpaceDE w:val="0"/>
              <w:autoSpaceDN w:val="0"/>
              <w:snapToGrid w:val="0"/>
              <w:spacing w:line="360" w:lineRule="auto"/>
              <w:textAlignment w:val="bottom"/>
              <w:rPr>
                <w:rFonts w:hint="eastAsia" w:cs="宋体"/>
                <w:bCs/>
                <w:sz w:val="24"/>
              </w:rPr>
            </w:pPr>
            <w:r>
              <w:rPr>
                <w:rFonts w:hint="eastAsia" w:cs="宋体"/>
                <w:bCs/>
                <w:sz w:val="24"/>
              </w:rPr>
              <w:t>2、招标文件中所涉及到的相关资料及证明文件或投标人认为必须提供的其他相关资料。</w:t>
            </w:r>
          </w:p>
        </w:tc>
      </w:tr>
      <w:tr w14:paraId="5330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35EFD095">
            <w:pPr>
              <w:spacing w:line="360" w:lineRule="auto"/>
              <w:jc w:val="center"/>
              <w:rPr>
                <w:rFonts w:hint="eastAsia" w:cs="宋体"/>
                <w:sz w:val="24"/>
              </w:rPr>
            </w:pPr>
            <w:r>
              <w:rPr>
                <w:rFonts w:hint="eastAsia" w:cs="宋体"/>
                <w:sz w:val="24"/>
              </w:rPr>
              <w:t>15.1</w:t>
            </w:r>
          </w:p>
        </w:tc>
        <w:tc>
          <w:tcPr>
            <w:tcW w:w="2432" w:type="dxa"/>
            <w:vAlign w:val="center"/>
          </w:tcPr>
          <w:p w14:paraId="4C21AAC9">
            <w:pPr>
              <w:spacing w:line="360" w:lineRule="auto"/>
              <w:rPr>
                <w:rFonts w:hint="eastAsia" w:cs="宋体"/>
                <w:sz w:val="24"/>
              </w:rPr>
            </w:pPr>
            <w:r>
              <w:rPr>
                <w:rFonts w:hint="eastAsia" w:cs="宋体"/>
                <w:sz w:val="24"/>
              </w:rPr>
              <w:t>本项目预算金额及最高限价</w:t>
            </w:r>
          </w:p>
        </w:tc>
        <w:tc>
          <w:tcPr>
            <w:tcW w:w="6148" w:type="dxa"/>
            <w:vAlign w:val="center"/>
          </w:tcPr>
          <w:p w14:paraId="42A1C5E0">
            <w:pPr>
              <w:autoSpaceDE w:val="0"/>
              <w:autoSpaceDN w:val="0"/>
              <w:snapToGrid w:val="0"/>
              <w:spacing w:line="360" w:lineRule="auto"/>
              <w:textAlignment w:val="bottom"/>
              <w:rPr>
                <w:rFonts w:hint="eastAsia" w:cs="宋体"/>
                <w:bCs/>
                <w:sz w:val="24"/>
              </w:rPr>
            </w:pPr>
            <w:r>
              <w:rPr>
                <w:rFonts w:hint="eastAsia" w:cs="宋体"/>
                <w:sz w:val="24"/>
              </w:rPr>
              <w:t>见第一章“招标公告”</w:t>
            </w:r>
          </w:p>
        </w:tc>
      </w:tr>
      <w:tr w14:paraId="428F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16577D8A">
            <w:pPr>
              <w:spacing w:line="360" w:lineRule="auto"/>
              <w:jc w:val="center"/>
              <w:rPr>
                <w:rFonts w:hint="eastAsia" w:cs="宋体"/>
                <w:sz w:val="24"/>
              </w:rPr>
            </w:pPr>
            <w:r>
              <w:rPr>
                <w:rFonts w:hint="eastAsia" w:cs="宋体"/>
                <w:sz w:val="24"/>
              </w:rPr>
              <w:t>17.1</w:t>
            </w:r>
          </w:p>
        </w:tc>
        <w:tc>
          <w:tcPr>
            <w:tcW w:w="2432" w:type="dxa"/>
            <w:vAlign w:val="center"/>
          </w:tcPr>
          <w:p w14:paraId="3577CFB4">
            <w:pPr>
              <w:spacing w:line="360" w:lineRule="auto"/>
              <w:rPr>
                <w:rFonts w:hint="eastAsia" w:cs="宋体"/>
                <w:sz w:val="24"/>
              </w:rPr>
            </w:pPr>
            <w:r>
              <w:rPr>
                <w:rFonts w:hint="eastAsia" w:cs="宋体"/>
                <w:sz w:val="24"/>
              </w:rPr>
              <w:t>投标文件有效期</w:t>
            </w:r>
          </w:p>
        </w:tc>
        <w:tc>
          <w:tcPr>
            <w:tcW w:w="6148" w:type="dxa"/>
            <w:vAlign w:val="center"/>
          </w:tcPr>
          <w:p w14:paraId="50680B8D">
            <w:pPr>
              <w:spacing w:line="360" w:lineRule="auto"/>
              <w:rPr>
                <w:rFonts w:hint="eastAsia" w:cs="宋体"/>
                <w:sz w:val="24"/>
              </w:rPr>
            </w:pPr>
            <w:r>
              <w:rPr>
                <w:rFonts w:hint="eastAsia" w:cs="宋体"/>
                <w:sz w:val="24"/>
              </w:rPr>
              <w:t>从提交投标文件截止之日起</w:t>
            </w:r>
            <w:r>
              <w:rPr>
                <w:rFonts w:hint="eastAsia" w:cs="宋体"/>
                <w:sz w:val="24"/>
                <w:u w:val="single"/>
              </w:rPr>
              <w:t>90</w:t>
            </w:r>
            <w:r>
              <w:rPr>
                <w:rFonts w:hint="eastAsia" w:cs="宋体"/>
                <w:sz w:val="24"/>
              </w:rPr>
              <w:t>日历天</w:t>
            </w:r>
          </w:p>
        </w:tc>
      </w:tr>
      <w:tr w14:paraId="6E79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14:paraId="26A75E70">
            <w:pPr>
              <w:spacing w:line="360" w:lineRule="auto"/>
              <w:jc w:val="center"/>
              <w:rPr>
                <w:rFonts w:hint="eastAsia" w:cs="宋体"/>
                <w:sz w:val="24"/>
              </w:rPr>
            </w:pPr>
            <w:r>
              <w:rPr>
                <w:rFonts w:hint="eastAsia" w:cs="宋体"/>
                <w:sz w:val="24"/>
              </w:rPr>
              <w:t>18.1</w:t>
            </w:r>
          </w:p>
        </w:tc>
        <w:tc>
          <w:tcPr>
            <w:tcW w:w="2432" w:type="dxa"/>
            <w:vAlign w:val="center"/>
          </w:tcPr>
          <w:p w14:paraId="7DDEB125">
            <w:pPr>
              <w:spacing w:line="360" w:lineRule="auto"/>
              <w:rPr>
                <w:rFonts w:hint="eastAsia" w:cs="宋体"/>
                <w:sz w:val="24"/>
              </w:rPr>
            </w:pPr>
            <w:r>
              <w:rPr>
                <w:rFonts w:hint="eastAsia" w:cs="宋体"/>
                <w:sz w:val="24"/>
              </w:rPr>
              <w:t>分包</w:t>
            </w:r>
          </w:p>
        </w:tc>
        <w:tc>
          <w:tcPr>
            <w:tcW w:w="6148" w:type="dxa"/>
            <w:vAlign w:val="center"/>
          </w:tcPr>
          <w:p w14:paraId="633EDD10">
            <w:pPr>
              <w:spacing w:line="360" w:lineRule="auto"/>
              <w:rPr>
                <w:rFonts w:hint="eastAsia" w:cs="宋体"/>
                <w:sz w:val="24"/>
              </w:rPr>
            </w:pPr>
            <w:r>
              <w:rPr>
                <w:rFonts w:hint="eastAsia" w:cs="宋体"/>
                <w:sz w:val="24"/>
              </w:rPr>
              <w:t>■本项目不得分包。</w:t>
            </w:r>
          </w:p>
          <w:p w14:paraId="7DB39C21">
            <w:pPr>
              <w:spacing w:line="360" w:lineRule="auto"/>
              <w:rPr>
                <w:rFonts w:hint="eastAsia" w:cs="宋体"/>
                <w:sz w:val="24"/>
              </w:rPr>
            </w:pPr>
            <w:r>
              <w:rPr>
                <w:rFonts w:hint="eastAsia" w:cs="宋体"/>
                <w:sz w:val="24"/>
              </w:rPr>
              <w:t>□本项目中，可以分包。</w:t>
            </w:r>
          </w:p>
        </w:tc>
      </w:tr>
      <w:tr w14:paraId="5A29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480" w:type="dxa"/>
            <w:vAlign w:val="center"/>
          </w:tcPr>
          <w:p w14:paraId="4ACAAEB8">
            <w:pPr>
              <w:spacing w:line="360" w:lineRule="auto"/>
              <w:jc w:val="center"/>
              <w:rPr>
                <w:rFonts w:hint="eastAsia" w:cs="宋体"/>
                <w:sz w:val="24"/>
              </w:rPr>
            </w:pPr>
            <w:r>
              <w:rPr>
                <w:rFonts w:hint="eastAsia" w:cs="宋体"/>
                <w:sz w:val="24"/>
              </w:rPr>
              <w:t>21</w:t>
            </w:r>
          </w:p>
        </w:tc>
        <w:tc>
          <w:tcPr>
            <w:tcW w:w="2432" w:type="dxa"/>
            <w:vAlign w:val="center"/>
          </w:tcPr>
          <w:p w14:paraId="5C9D9365">
            <w:pPr>
              <w:spacing w:line="360" w:lineRule="auto"/>
              <w:rPr>
                <w:rFonts w:hint="eastAsia" w:cs="宋体"/>
                <w:sz w:val="24"/>
              </w:rPr>
            </w:pPr>
            <w:r>
              <w:rPr>
                <w:rFonts w:hint="eastAsia" w:cs="宋体"/>
                <w:sz w:val="24"/>
              </w:rPr>
              <w:t>投标保证金</w:t>
            </w:r>
          </w:p>
        </w:tc>
        <w:tc>
          <w:tcPr>
            <w:tcW w:w="6148" w:type="dxa"/>
            <w:vAlign w:val="center"/>
          </w:tcPr>
          <w:p w14:paraId="242C7FA1">
            <w:pPr>
              <w:spacing w:line="360" w:lineRule="auto"/>
              <w:rPr>
                <w:rFonts w:hint="eastAsia" w:cs="宋体"/>
                <w:kern w:val="0"/>
                <w:sz w:val="24"/>
              </w:rPr>
            </w:pPr>
            <w:r>
              <w:rPr>
                <w:rFonts w:hint="eastAsia" w:cs="宋体"/>
                <w:kern w:val="0"/>
                <w:sz w:val="24"/>
              </w:rPr>
              <w:t>本项目不收取投标保证金</w:t>
            </w:r>
          </w:p>
        </w:tc>
      </w:tr>
      <w:tr w14:paraId="2FCAD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480" w:type="dxa"/>
            <w:vAlign w:val="center"/>
          </w:tcPr>
          <w:p w14:paraId="75C737A7">
            <w:pPr>
              <w:spacing w:line="360" w:lineRule="auto"/>
              <w:jc w:val="center"/>
              <w:rPr>
                <w:rFonts w:hint="eastAsia" w:cs="宋体"/>
                <w:sz w:val="24"/>
              </w:rPr>
            </w:pPr>
            <w:r>
              <w:rPr>
                <w:rFonts w:hint="eastAsia" w:cs="宋体"/>
                <w:sz w:val="24"/>
              </w:rPr>
              <w:t>22.2</w:t>
            </w:r>
          </w:p>
        </w:tc>
        <w:tc>
          <w:tcPr>
            <w:tcW w:w="2432" w:type="dxa"/>
            <w:vAlign w:val="center"/>
          </w:tcPr>
          <w:p w14:paraId="76AEE94A">
            <w:pPr>
              <w:spacing w:line="360" w:lineRule="auto"/>
              <w:rPr>
                <w:rFonts w:hint="eastAsia" w:cs="宋体"/>
                <w:sz w:val="24"/>
              </w:rPr>
            </w:pPr>
            <w:r>
              <w:rPr>
                <w:rFonts w:hint="eastAsia" w:cs="宋体"/>
                <w:sz w:val="24"/>
              </w:rPr>
              <w:t>投标文件的提交</w:t>
            </w:r>
          </w:p>
        </w:tc>
        <w:tc>
          <w:tcPr>
            <w:tcW w:w="6148" w:type="dxa"/>
            <w:vAlign w:val="center"/>
          </w:tcPr>
          <w:p w14:paraId="2F38C42E">
            <w:pPr>
              <w:spacing w:line="360" w:lineRule="auto"/>
              <w:rPr>
                <w:rFonts w:hint="eastAsia" w:cs="宋体"/>
                <w:b/>
                <w:bCs/>
                <w:sz w:val="24"/>
                <w:u w:val="single"/>
              </w:rPr>
            </w:pPr>
            <w:r>
              <w:rPr>
                <w:rFonts w:hint="eastAsia" w:cs="宋体"/>
                <w:sz w:val="24"/>
              </w:rPr>
              <w:t>本项目为电子化采购项目，投标文件的提交、开启、评标等程序均通过政府采购云平台进行，投标人无需提交纸质文件、无需到达开标现场。</w:t>
            </w:r>
          </w:p>
        </w:tc>
      </w:tr>
      <w:tr w14:paraId="3DBB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480" w:type="dxa"/>
            <w:vAlign w:val="center"/>
          </w:tcPr>
          <w:p w14:paraId="145E0436">
            <w:pPr>
              <w:spacing w:line="360" w:lineRule="auto"/>
              <w:jc w:val="center"/>
              <w:rPr>
                <w:rFonts w:hint="eastAsia" w:cs="宋体"/>
                <w:sz w:val="24"/>
              </w:rPr>
            </w:pPr>
            <w:r>
              <w:rPr>
                <w:rFonts w:hint="eastAsia" w:cs="宋体"/>
                <w:sz w:val="24"/>
              </w:rPr>
              <w:t>23.1</w:t>
            </w:r>
          </w:p>
        </w:tc>
        <w:tc>
          <w:tcPr>
            <w:tcW w:w="2432" w:type="dxa"/>
            <w:vAlign w:val="center"/>
          </w:tcPr>
          <w:p w14:paraId="75D457D1">
            <w:pPr>
              <w:spacing w:line="360" w:lineRule="auto"/>
              <w:rPr>
                <w:rFonts w:hint="eastAsia" w:cs="宋体"/>
                <w:sz w:val="24"/>
              </w:rPr>
            </w:pPr>
            <w:r>
              <w:rPr>
                <w:rFonts w:hint="eastAsia" w:cs="宋体"/>
                <w:sz w:val="24"/>
              </w:rPr>
              <w:t>提交投标文件截止时间</w:t>
            </w:r>
          </w:p>
        </w:tc>
        <w:tc>
          <w:tcPr>
            <w:tcW w:w="6148" w:type="dxa"/>
            <w:vAlign w:val="center"/>
          </w:tcPr>
          <w:p w14:paraId="6E39E2B6">
            <w:pPr>
              <w:spacing w:line="360" w:lineRule="auto"/>
              <w:rPr>
                <w:rFonts w:hint="eastAsia" w:cs="宋体"/>
                <w:sz w:val="24"/>
              </w:rPr>
            </w:pPr>
            <w:r>
              <w:rPr>
                <w:rFonts w:hint="eastAsia" w:cs="宋体"/>
                <w:sz w:val="24"/>
              </w:rPr>
              <w:t>见招标公告</w:t>
            </w:r>
          </w:p>
        </w:tc>
      </w:tr>
      <w:tr w14:paraId="3454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480" w:type="dxa"/>
            <w:vAlign w:val="center"/>
          </w:tcPr>
          <w:p w14:paraId="55C49A0E">
            <w:pPr>
              <w:spacing w:line="360" w:lineRule="auto"/>
              <w:jc w:val="center"/>
              <w:rPr>
                <w:rFonts w:hint="eastAsia" w:cs="宋体"/>
                <w:sz w:val="24"/>
              </w:rPr>
            </w:pPr>
            <w:r>
              <w:rPr>
                <w:rFonts w:hint="eastAsia" w:cs="宋体"/>
                <w:sz w:val="24"/>
              </w:rPr>
              <w:t>23.2</w:t>
            </w:r>
          </w:p>
        </w:tc>
        <w:tc>
          <w:tcPr>
            <w:tcW w:w="2432" w:type="dxa"/>
            <w:vAlign w:val="center"/>
          </w:tcPr>
          <w:p w14:paraId="7256F8EE">
            <w:pPr>
              <w:spacing w:line="360" w:lineRule="auto"/>
              <w:rPr>
                <w:rFonts w:hint="eastAsia" w:cs="宋体"/>
                <w:sz w:val="24"/>
              </w:rPr>
            </w:pPr>
            <w:r>
              <w:rPr>
                <w:rFonts w:hint="eastAsia" w:cs="宋体"/>
                <w:sz w:val="24"/>
              </w:rPr>
              <w:t>提交投标文件的地点</w:t>
            </w:r>
          </w:p>
        </w:tc>
        <w:tc>
          <w:tcPr>
            <w:tcW w:w="6148" w:type="dxa"/>
            <w:vAlign w:val="center"/>
          </w:tcPr>
          <w:p w14:paraId="0D98A73E">
            <w:pPr>
              <w:spacing w:line="360" w:lineRule="auto"/>
              <w:ind w:left="794" w:hanging="794" w:hangingChars="331"/>
              <w:rPr>
                <w:rFonts w:hint="eastAsia" w:cs="宋体"/>
                <w:sz w:val="24"/>
                <w:u w:val="single"/>
              </w:rPr>
            </w:pPr>
            <w:r>
              <w:rPr>
                <w:rFonts w:hint="eastAsia" w:cs="宋体"/>
                <w:sz w:val="24"/>
              </w:rPr>
              <w:t>见招标公告</w:t>
            </w:r>
          </w:p>
        </w:tc>
      </w:tr>
      <w:tr w14:paraId="20B6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30AA623D">
            <w:pPr>
              <w:spacing w:line="360" w:lineRule="auto"/>
              <w:jc w:val="center"/>
              <w:rPr>
                <w:rFonts w:hint="eastAsia" w:cs="宋体"/>
                <w:sz w:val="24"/>
              </w:rPr>
            </w:pPr>
            <w:r>
              <w:rPr>
                <w:rFonts w:hint="eastAsia" w:cs="宋体"/>
                <w:sz w:val="24"/>
              </w:rPr>
              <w:t>23.3</w:t>
            </w:r>
          </w:p>
        </w:tc>
        <w:tc>
          <w:tcPr>
            <w:tcW w:w="2432" w:type="dxa"/>
            <w:vAlign w:val="center"/>
          </w:tcPr>
          <w:p w14:paraId="1387989A">
            <w:pPr>
              <w:spacing w:line="360" w:lineRule="auto"/>
              <w:rPr>
                <w:rFonts w:hint="eastAsia" w:cs="宋体"/>
                <w:sz w:val="24"/>
              </w:rPr>
            </w:pPr>
            <w:r>
              <w:rPr>
                <w:rFonts w:hint="eastAsia" w:cs="宋体"/>
                <w:sz w:val="24"/>
              </w:rPr>
              <w:t>投标文件的退还</w:t>
            </w:r>
          </w:p>
        </w:tc>
        <w:tc>
          <w:tcPr>
            <w:tcW w:w="6148" w:type="dxa"/>
            <w:vAlign w:val="center"/>
          </w:tcPr>
          <w:p w14:paraId="53F608A3">
            <w:pPr>
              <w:spacing w:line="360" w:lineRule="auto"/>
              <w:rPr>
                <w:rFonts w:hint="eastAsia" w:cs="宋体"/>
                <w:sz w:val="24"/>
              </w:rPr>
            </w:pPr>
            <w:r>
              <w:rPr>
                <w:rFonts w:hint="eastAsia" w:cs="宋体"/>
                <w:sz w:val="24"/>
              </w:rPr>
              <w:t>不予退还</w:t>
            </w:r>
          </w:p>
        </w:tc>
      </w:tr>
      <w:tr w14:paraId="1036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14:paraId="08F5B53A">
            <w:pPr>
              <w:spacing w:line="360" w:lineRule="auto"/>
              <w:jc w:val="center"/>
              <w:rPr>
                <w:rFonts w:hint="eastAsia" w:cs="宋体"/>
                <w:sz w:val="24"/>
              </w:rPr>
            </w:pPr>
            <w:r>
              <w:rPr>
                <w:rFonts w:hint="eastAsia" w:cs="宋体"/>
                <w:sz w:val="24"/>
              </w:rPr>
              <w:t>25.1</w:t>
            </w:r>
          </w:p>
        </w:tc>
        <w:tc>
          <w:tcPr>
            <w:tcW w:w="2432" w:type="dxa"/>
            <w:vAlign w:val="center"/>
          </w:tcPr>
          <w:p w14:paraId="553621A6">
            <w:pPr>
              <w:spacing w:line="360" w:lineRule="auto"/>
              <w:rPr>
                <w:rFonts w:hint="eastAsia" w:cs="宋体"/>
                <w:sz w:val="24"/>
              </w:rPr>
            </w:pPr>
            <w:r>
              <w:rPr>
                <w:rFonts w:hint="eastAsia" w:cs="宋体"/>
                <w:sz w:val="24"/>
              </w:rPr>
              <w:t>开标时间和地点</w:t>
            </w:r>
          </w:p>
        </w:tc>
        <w:tc>
          <w:tcPr>
            <w:tcW w:w="6148" w:type="dxa"/>
            <w:vAlign w:val="center"/>
          </w:tcPr>
          <w:p w14:paraId="18B5C442">
            <w:pPr>
              <w:spacing w:line="360" w:lineRule="auto"/>
              <w:rPr>
                <w:rFonts w:hint="eastAsia" w:cs="宋体"/>
                <w:sz w:val="24"/>
              </w:rPr>
            </w:pPr>
            <w:r>
              <w:rPr>
                <w:rFonts w:hint="eastAsia" w:cs="宋体"/>
                <w:sz w:val="24"/>
              </w:rPr>
              <w:t>同提交投标文件截止时间和地点</w:t>
            </w:r>
          </w:p>
        </w:tc>
      </w:tr>
      <w:tr w14:paraId="0E23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80" w:type="dxa"/>
            <w:vAlign w:val="center"/>
          </w:tcPr>
          <w:p w14:paraId="24750CCB">
            <w:pPr>
              <w:spacing w:line="360" w:lineRule="auto"/>
              <w:jc w:val="center"/>
              <w:rPr>
                <w:rFonts w:hint="eastAsia" w:cs="宋体"/>
                <w:sz w:val="24"/>
              </w:rPr>
            </w:pPr>
            <w:r>
              <w:rPr>
                <w:rFonts w:hint="eastAsia" w:cs="宋体"/>
                <w:sz w:val="24"/>
              </w:rPr>
              <w:t>27.3</w:t>
            </w:r>
          </w:p>
        </w:tc>
        <w:tc>
          <w:tcPr>
            <w:tcW w:w="2432" w:type="dxa"/>
            <w:vAlign w:val="center"/>
          </w:tcPr>
          <w:p w14:paraId="39788ACF">
            <w:pPr>
              <w:spacing w:line="360" w:lineRule="auto"/>
              <w:rPr>
                <w:rFonts w:hint="eastAsia" w:cs="宋体"/>
                <w:sz w:val="24"/>
              </w:rPr>
            </w:pPr>
            <w:r>
              <w:rPr>
                <w:rFonts w:hint="eastAsia" w:cs="宋体"/>
                <w:sz w:val="24"/>
              </w:rPr>
              <w:t>评标方法</w:t>
            </w:r>
          </w:p>
        </w:tc>
        <w:tc>
          <w:tcPr>
            <w:tcW w:w="6148" w:type="dxa"/>
            <w:vAlign w:val="center"/>
          </w:tcPr>
          <w:p w14:paraId="6071F07A">
            <w:pPr>
              <w:spacing w:line="360" w:lineRule="auto"/>
              <w:rPr>
                <w:rFonts w:hint="eastAsia" w:cs="宋体"/>
                <w:sz w:val="24"/>
              </w:rPr>
            </w:pPr>
            <w:r>
              <w:rPr>
                <w:rFonts w:hint="eastAsia" w:cs="宋体"/>
                <w:sz w:val="24"/>
              </w:rPr>
              <w:t>综合评分法</w:t>
            </w:r>
          </w:p>
        </w:tc>
      </w:tr>
      <w:tr w14:paraId="1E31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14:paraId="7FC855E3">
            <w:pPr>
              <w:spacing w:line="360" w:lineRule="auto"/>
              <w:jc w:val="center"/>
              <w:rPr>
                <w:rFonts w:hint="eastAsia" w:cs="宋体"/>
                <w:sz w:val="24"/>
              </w:rPr>
            </w:pPr>
            <w:r>
              <w:rPr>
                <w:rFonts w:hint="eastAsia" w:cs="宋体"/>
                <w:sz w:val="24"/>
              </w:rPr>
              <w:t>32.1</w:t>
            </w:r>
          </w:p>
        </w:tc>
        <w:tc>
          <w:tcPr>
            <w:tcW w:w="2432" w:type="dxa"/>
            <w:vAlign w:val="center"/>
          </w:tcPr>
          <w:p w14:paraId="4393D3FC">
            <w:pPr>
              <w:spacing w:line="360" w:lineRule="auto"/>
              <w:rPr>
                <w:rFonts w:hint="eastAsia" w:cs="宋体"/>
                <w:sz w:val="24"/>
              </w:rPr>
            </w:pPr>
            <w:r>
              <w:rPr>
                <w:rFonts w:hint="eastAsia" w:cs="宋体"/>
                <w:bCs/>
                <w:sz w:val="24"/>
              </w:rPr>
              <w:t>履约担保</w:t>
            </w:r>
          </w:p>
        </w:tc>
        <w:tc>
          <w:tcPr>
            <w:tcW w:w="6148" w:type="dxa"/>
            <w:vAlign w:val="center"/>
          </w:tcPr>
          <w:p w14:paraId="19384164">
            <w:pPr>
              <w:spacing w:line="360" w:lineRule="auto"/>
              <w:rPr>
                <w:rFonts w:hint="eastAsia" w:cs="宋体"/>
                <w:sz w:val="24"/>
              </w:rPr>
            </w:pPr>
            <w:r>
              <w:rPr>
                <w:rFonts w:hint="eastAsia" w:cs="宋体"/>
                <w:sz w:val="24"/>
              </w:rPr>
              <w:t>合同金额的5%</w:t>
            </w:r>
          </w:p>
        </w:tc>
      </w:tr>
      <w:tr w14:paraId="56FB8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480" w:type="dxa"/>
            <w:vAlign w:val="center"/>
          </w:tcPr>
          <w:p w14:paraId="675BC9FA">
            <w:pPr>
              <w:spacing w:line="360" w:lineRule="auto"/>
              <w:jc w:val="center"/>
              <w:rPr>
                <w:rFonts w:hint="eastAsia" w:cs="宋体"/>
                <w:sz w:val="24"/>
              </w:rPr>
            </w:pPr>
            <w:r>
              <w:rPr>
                <w:rFonts w:hint="eastAsia" w:cs="宋体"/>
                <w:sz w:val="24"/>
              </w:rPr>
              <w:t>33.1</w:t>
            </w:r>
          </w:p>
        </w:tc>
        <w:tc>
          <w:tcPr>
            <w:tcW w:w="2432" w:type="dxa"/>
            <w:vAlign w:val="center"/>
          </w:tcPr>
          <w:p w14:paraId="4760616C">
            <w:pPr>
              <w:spacing w:line="360" w:lineRule="auto"/>
              <w:rPr>
                <w:rFonts w:hint="eastAsia" w:cs="宋体"/>
                <w:sz w:val="24"/>
              </w:rPr>
            </w:pPr>
            <w:r>
              <w:rPr>
                <w:rFonts w:hint="eastAsia" w:cs="宋体"/>
                <w:sz w:val="24"/>
              </w:rPr>
              <w:t>备选方案</w:t>
            </w:r>
          </w:p>
        </w:tc>
        <w:tc>
          <w:tcPr>
            <w:tcW w:w="6148" w:type="dxa"/>
            <w:vAlign w:val="center"/>
          </w:tcPr>
          <w:p w14:paraId="578651C3">
            <w:pPr>
              <w:spacing w:line="360" w:lineRule="auto"/>
              <w:rPr>
                <w:rFonts w:hint="eastAsia" w:cs="宋体"/>
                <w:sz w:val="24"/>
              </w:rPr>
            </w:pPr>
            <w:r>
              <w:rPr>
                <w:rFonts w:hint="eastAsia" w:cs="宋体"/>
                <w:sz w:val="24"/>
              </w:rPr>
              <w:t>不接受</w:t>
            </w:r>
          </w:p>
        </w:tc>
      </w:tr>
      <w:tr w14:paraId="3908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480" w:type="dxa"/>
            <w:vAlign w:val="center"/>
          </w:tcPr>
          <w:p w14:paraId="0A131FBD">
            <w:pPr>
              <w:spacing w:line="360" w:lineRule="auto"/>
              <w:jc w:val="center"/>
              <w:rPr>
                <w:rFonts w:hint="eastAsia" w:cs="宋体"/>
                <w:sz w:val="24"/>
              </w:rPr>
            </w:pPr>
            <w:r>
              <w:rPr>
                <w:rFonts w:hint="eastAsia" w:cs="宋体"/>
                <w:sz w:val="24"/>
              </w:rPr>
              <w:t>33.2</w:t>
            </w:r>
          </w:p>
        </w:tc>
        <w:tc>
          <w:tcPr>
            <w:tcW w:w="8580" w:type="dxa"/>
            <w:gridSpan w:val="2"/>
            <w:vAlign w:val="center"/>
          </w:tcPr>
          <w:p w14:paraId="1AB5519B">
            <w:pPr>
              <w:spacing w:line="360" w:lineRule="auto"/>
              <w:jc w:val="left"/>
              <w:rPr>
                <w:rFonts w:hint="eastAsia" w:cs="宋体"/>
                <w:sz w:val="24"/>
              </w:rPr>
            </w:pPr>
            <w:r>
              <w:rPr>
                <w:rFonts w:hint="eastAsia" w:cs="宋体"/>
                <w:sz w:val="24"/>
              </w:rPr>
              <w:t>需要补充的其他内容</w:t>
            </w:r>
          </w:p>
        </w:tc>
      </w:tr>
      <w:tr w14:paraId="49A1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125B8E01">
            <w:pPr>
              <w:spacing w:line="360" w:lineRule="auto"/>
              <w:jc w:val="center"/>
              <w:rPr>
                <w:rFonts w:hint="eastAsia" w:cs="宋体"/>
                <w:sz w:val="24"/>
              </w:rPr>
            </w:pPr>
            <w:r>
              <w:rPr>
                <w:rFonts w:hint="eastAsia" w:cs="宋体"/>
                <w:sz w:val="24"/>
              </w:rPr>
              <w:t>1）</w:t>
            </w:r>
          </w:p>
        </w:tc>
        <w:tc>
          <w:tcPr>
            <w:tcW w:w="8580" w:type="dxa"/>
            <w:gridSpan w:val="2"/>
            <w:vAlign w:val="center"/>
          </w:tcPr>
          <w:p w14:paraId="5D636832">
            <w:pPr>
              <w:spacing w:line="360" w:lineRule="auto"/>
              <w:rPr>
                <w:rFonts w:hint="eastAsia" w:cs="宋体"/>
                <w:sz w:val="24"/>
              </w:rPr>
            </w:pPr>
            <w:r>
              <w:rPr>
                <w:rFonts w:hint="eastAsia" w:cs="宋体"/>
                <w:sz w:val="24"/>
              </w:rPr>
              <w:t>提交投标文件时，投标人应明确参加远程采购活动经办人联系方式。</w:t>
            </w:r>
          </w:p>
        </w:tc>
      </w:tr>
      <w:tr w14:paraId="4ACC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46D3E6D6">
            <w:pPr>
              <w:spacing w:line="360" w:lineRule="auto"/>
              <w:jc w:val="center"/>
              <w:rPr>
                <w:rFonts w:hint="eastAsia" w:cs="宋体"/>
                <w:sz w:val="24"/>
              </w:rPr>
            </w:pPr>
            <w:r>
              <w:rPr>
                <w:rFonts w:hint="eastAsia" w:cs="宋体"/>
                <w:sz w:val="24"/>
              </w:rPr>
              <w:t>2）</w:t>
            </w:r>
          </w:p>
        </w:tc>
        <w:tc>
          <w:tcPr>
            <w:tcW w:w="8580" w:type="dxa"/>
            <w:gridSpan w:val="2"/>
            <w:vAlign w:val="center"/>
          </w:tcPr>
          <w:p w14:paraId="4A4B6E1E">
            <w:pPr>
              <w:spacing w:line="360" w:lineRule="auto"/>
              <w:rPr>
                <w:rFonts w:hint="eastAsia" w:cs="宋体"/>
                <w:sz w:val="24"/>
              </w:rPr>
            </w:pPr>
            <w:r>
              <w:rPr>
                <w:rFonts w:hint="eastAsia" w:cs="宋体"/>
                <w:sz w:val="24"/>
              </w:rPr>
              <w:t>中标服务费：招标代理服务费参照招标代理服务收费标准按云建招协(2024)58号下浮50%计算，由中标单位向代理机构支付。</w:t>
            </w:r>
          </w:p>
        </w:tc>
      </w:tr>
      <w:tr w14:paraId="24DC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14:paraId="1AEFBA98">
            <w:pPr>
              <w:spacing w:line="360" w:lineRule="auto"/>
              <w:jc w:val="center"/>
              <w:rPr>
                <w:rFonts w:hint="eastAsia" w:cs="宋体"/>
                <w:sz w:val="24"/>
              </w:rPr>
            </w:pPr>
            <w:r>
              <w:rPr>
                <w:rFonts w:hint="eastAsia" w:cs="宋体"/>
                <w:sz w:val="24"/>
              </w:rPr>
              <w:t>3）</w:t>
            </w:r>
          </w:p>
        </w:tc>
        <w:tc>
          <w:tcPr>
            <w:tcW w:w="8580" w:type="dxa"/>
            <w:gridSpan w:val="2"/>
            <w:vAlign w:val="center"/>
          </w:tcPr>
          <w:p w14:paraId="79D6147C">
            <w:pPr>
              <w:spacing w:line="360" w:lineRule="auto"/>
              <w:rPr>
                <w:rFonts w:hint="eastAsia" w:cs="宋体"/>
                <w:sz w:val="24"/>
              </w:rPr>
            </w:pPr>
            <w:r>
              <w:rPr>
                <w:rFonts w:hint="eastAsia" w:cs="宋体"/>
                <w:sz w:val="24"/>
              </w:rPr>
              <w:t>质保期内发生非人为造成的损坏、破损或质量问题，应由投标人组织更换或维修，费用由投标人自行承担。</w:t>
            </w:r>
          </w:p>
        </w:tc>
      </w:tr>
    </w:tbl>
    <w:p w14:paraId="45ACF369">
      <w:pPr>
        <w:spacing w:line="360" w:lineRule="auto"/>
        <w:rPr>
          <w:rFonts w:hint="eastAsia" w:cs="宋体"/>
          <w:sz w:val="24"/>
        </w:rPr>
      </w:pPr>
    </w:p>
    <w:p w14:paraId="1702DFE9">
      <w:pPr>
        <w:widowControl/>
        <w:spacing w:line="360" w:lineRule="auto"/>
        <w:jc w:val="left"/>
        <w:rPr>
          <w:rFonts w:hint="eastAsia" w:cs="宋体"/>
          <w:sz w:val="24"/>
        </w:rPr>
      </w:pPr>
      <w:r>
        <w:rPr>
          <w:rFonts w:hint="eastAsia" w:cs="宋体"/>
          <w:sz w:val="24"/>
        </w:rPr>
        <w:br w:type="page"/>
      </w:r>
    </w:p>
    <w:p w14:paraId="64549C2C">
      <w:pPr>
        <w:pStyle w:val="6"/>
        <w:numPr>
          <w:ilvl w:val="1"/>
          <w:numId w:val="0"/>
        </w:numPr>
        <w:ind w:left="596" w:hanging="596"/>
        <w:jc w:val="center"/>
        <w:rPr>
          <w:rFonts w:hint="eastAsia" w:eastAsia="宋体" w:cs="宋体"/>
          <w:sz w:val="24"/>
          <w:szCs w:val="24"/>
        </w:rPr>
      </w:pPr>
      <w:bookmarkStart w:id="73" w:name="_Toc91696406"/>
      <w:bookmarkStart w:id="74" w:name="_Toc69912398"/>
      <w:bookmarkStart w:id="75" w:name="_Toc2380"/>
      <w:r>
        <w:rPr>
          <w:rFonts w:hint="eastAsia" w:eastAsia="宋体" w:cs="宋体"/>
          <w:sz w:val="24"/>
          <w:szCs w:val="24"/>
        </w:rPr>
        <w:t>一、总  则</w:t>
      </w:r>
      <w:bookmarkEnd w:id="73"/>
      <w:bookmarkEnd w:id="74"/>
      <w:bookmarkEnd w:id="75"/>
    </w:p>
    <w:p w14:paraId="1CF83C79">
      <w:pPr>
        <w:spacing w:line="360" w:lineRule="auto"/>
        <w:ind w:firstLine="480" w:firstLineChars="200"/>
        <w:jc w:val="left"/>
        <w:rPr>
          <w:rFonts w:hint="eastAsia" w:cs="宋体"/>
          <w:sz w:val="24"/>
        </w:rPr>
      </w:pPr>
      <w:bookmarkStart w:id="76" w:name="_Hlk50385447"/>
      <w:r>
        <w:rPr>
          <w:rFonts w:hint="eastAsia" w:cs="宋体"/>
          <w:bCs/>
          <w:sz w:val="24"/>
        </w:rPr>
        <w:t>1.采购人、采购代理机构、</w:t>
      </w:r>
      <w:r>
        <w:rPr>
          <w:rFonts w:hint="eastAsia" w:cs="宋体"/>
          <w:sz w:val="24"/>
        </w:rPr>
        <w:t>项目名称及项目编号，详见招标文件“投标人须知前附表”。</w:t>
      </w:r>
    </w:p>
    <w:p w14:paraId="7A34A46D">
      <w:pPr>
        <w:spacing w:line="360" w:lineRule="auto"/>
        <w:ind w:firstLine="480" w:firstLineChars="200"/>
        <w:jc w:val="left"/>
        <w:rPr>
          <w:rFonts w:hint="eastAsia" w:cs="宋体"/>
          <w:b/>
          <w:sz w:val="24"/>
        </w:rPr>
      </w:pPr>
      <w:r>
        <w:rPr>
          <w:rFonts w:hint="eastAsia" w:cs="宋体"/>
          <w:b/>
          <w:sz w:val="24"/>
        </w:rPr>
        <w:t>2.资金来源：</w:t>
      </w:r>
      <w:r>
        <w:rPr>
          <w:rFonts w:hint="eastAsia" w:cs="宋体"/>
          <w:sz w:val="24"/>
        </w:rPr>
        <w:t>“</w:t>
      </w:r>
      <w:r>
        <w:rPr>
          <w:rFonts w:hint="eastAsia" w:cs="宋体"/>
          <w:b/>
          <w:sz w:val="24"/>
        </w:rPr>
        <w:t>投标人须知前附表</w:t>
      </w:r>
      <w:r>
        <w:rPr>
          <w:rFonts w:hint="eastAsia" w:cs="宋体"/>
          <w:sz w:val="24"/>
        </w:rPr>
        <w:t>”中所述的资金，用于采购</w:t>
      </w:r>
      <w:r>
        <w:rPr>
          <w:rFonts w:hint="eastAsia" w:cs="宋体"/>
          <w:bCs/>
          <w:sz w:val="24"/>
        </w:rPr>
        <w:t>第四章 货物需求及技术要求</w:t>
      </w:r>
      <w:r>
        <w:rPr>
          <w:rFonts w:hint="eastAsia" w:cs="宋体"/>
          <w:sz w:val="24"/>
        </w:rPr>
        <w:t>所列内容。</w:t>
      </w:r>
    </w:p>
    <w:p w14:paraId="5094EBD3">
      <w:pPr>
        <w:spacing w:line="360" w:lineRule="auto"/>
        <w:ind w:firstLine="480" w:firstLineChars="200"/>
        <w:jc w:val="left"/>
        <w:rPr>
          <w:rFonts w:hint="eastAsia" w:cs="宋体"/>
          <w:b/>
          <w:sz w:val="24"/>
        </w:rPr>
      </w:pPr>
      <w:r>
        <w:rPr>
          <w:rFonts w:hint="eastAsia" w:cs="宋体"/>
          <w:b/>
          <w:sz w:val="24"/>
        </w:rPr>
        <w:t>3.招标范围</w:t>
      </w:r>
    </w:p>
    <w:p w14:paraId="7C27CBCD">
      <w:pPr>
        <w:spacing w:line="360" w:lineRule="auto"/>
        <w:ind w:firstLine="480" w:firstLineChars="200"/>
        <w:jc w:val="left"/>
        <w:rPr>
          <w:rFonts w:hint="eastAsia" w:cs="宋体"/>
          <w:sz w:val="24"/>
        </w:rPr>
      </w:pPr>
      <w:r>
        <w:rPr>
          <w:rFonts w:hint="eastAsia" w:cs="宋体"/>
          <w:sz w:val="24"/>
        </w:rPr>
        <w:t>3.1本项目招标范围：见“</w:t>
      </w:r>
      <w:r>
        <w:rPr>
          <w:rFonts w:hint="eastAsia" w:cs="宋体"/>
          <w:b/>
          <w:sz w:val="24"/>
        </w:rPr>
        <w:t>投标人须知前附表</w:t>
      </w:r>
      <w:r>
        <w:rPr>
          <w:rFonts w:hint="eastAsia" w:cs="宋体"/>
          <w:sz w:val="24"/>
        </w:rPr>
        <w:t>”。</w:t>
      </w:r>
    </w:p>
    <w:p w14:paraId="1DC2629F">
      <w:pPr>
        <w:spacing w:line="360" w:lineRule="auto"/>
        <w:ind w:firstLine="480" w:firstLineChars="200"/>
        <w:jc w:val="left"/>
        <w:rPr>
          <w:rFonts w:hint="eastAsia" w:cs="宋体"/>
          <w:sz w:val="24"/>
        </w:rPr>
      </w:pPr>
      <w:r>
        <w:rPr>
          <w:rFonts w:hint="eastAsia" w:cs="宋体"/>
          <w:sz w:val="24"/>
        </w:rPr>
        <w:t>3.2本项目交货期、交货地点、交货方式：见“</w:t>
      </w:r>
      <w:r>
        <w:rPr>
          <w:rFonts w:hint="eastAsia" w:cs="宋体"/>
          <w:b/>
          <w:sz w:val="24"/>
        </w:rPr>
        <w:t>投标人须知前附表</w:t>
      </w:r>
      <w:r>
        <w:rPr>
          <w:rFonts w:hint="eastAsia" w:cs="宋体"/>
          <w:sz w:val="24"/>
        </w:rPr>
        <w:t>”。</w:t>
      </w:r>
    </w:p>
    <w:p w14:paraId="454E3E03">
      <w:pPr>
        <w:spacing w:line="360" w:lineRule="auto"/>
        <w:ind w:firstLine="480" w:firstLineChars="200"/>
        <w:jc w:val="left"/>
        <w:rPr>
          <w:rFonts w:hint="eastAsia" w:cs="宋体"/>
          <w:b/>
          <w:sz w:val="24"/>
        </w:rPr>
      </w:pPr>
      <w:r>
        <w:rPr>
          <w:rFonts w:hint="eastAsia" w:cs="宋体"/>
          <w:b/>
          <w:sz w:val="24"/>
        </w:rPr>
        <w:t>4.合格的投标人</w:t>
      </w:r>
    </w:p>
    <w:p w14:paraId="65ADC12B">
      <w:pPr>
        <w:spacing w:line="360" w:lineRule="auto"/>
        <w:ind w:firstLine="480" w:firstLineChars="200"/>
        <w:jc w:val="left"/>
        <w:rPr>
          <w:rFonts w:hint="eastAsia" w:cs="宋体"/>
          <w:sz w:val="24"/>
        </w:rPr>
      </w:pPr>
      <w:r>
        <w:rPr>
          <w:rFonts w:hint="eastAsia" w:cs="宋体"/>
          <w:sz w:val="24"/>
        </w:rPr>
        <w:t>4.1投标人应具备《中华人民共和国政府采购法》第二十二条规定的条件，并提供下列材料：</w:t>
      </w:r>
    </w:p>
    <w:p w14:paraId="55D884C8">
      <w:pPr>
        <w:spacing w:line="360" w:lineRule="auto"/>
        <w:ind w:firstLine="480" w:firstLineChars="200"/>
        <w:jc w:val="left"/>
        <w:rPr>
          <w:rFonts w:hint="eastAsia" w:cs="宋体"/>
          <w:sz w:val="24"/>
        </w:rPr>
      </w:pPr>
      <w:r>
        <w:rPr>
          <w:rFonts w:hint="eastAsia" w:cs="宋体"/>
          <w:sz w:val="24"/>
        </w:rPr>
        <w:t>4.1.1投标人必须是具有独立承担民事责任能力的法人、其他组织或者自然人（提供营业执照或其他类似的法定凭证复印件/扫描件，加盖公章）；</w:t>
      </w:r>
    </w:p>
    <w:p w14:paraId="6E6AD7A7">
      <w:pPr>
        <w:spacing w:line="360" w:lineRule="auto"/>
        <w:ind w:firstLine="480" w:firstLineChars="200"/>
        <w:jc w:val="left"/>
        <w:rPr>
          <w:rFonts w:hint="eastAsia" w:cs="宋体"/>
          <w:sz w:val="24"/>
        </w:rPr>
      </w:pPr>
      <w:r>
        <w:rPr>
          <w:rFonts w:hint="eastAsia" w:cs="宋体"/>
          <w:sz w:val="24"/>
        </w:rPr>
        <w:t>4.1.2 投标人具有良好的商业信誉和健全的财务会计制度，内容见“投标人须知前附表”；</w:t>
      </w:r>
    </w:p>
    <w:p w14:paraId="13E00A32">
      <w:pPr>
        <w:spacing w:line="360" w:lineRule="auto"/>
        <w:ind w:firstLine="480" w:firstLineChars="200"/>
        <w:jc w:val="left"/>
        <w:rPr>
          <w:rFonts w:hint="eastAsia" w:cs="宋体"/>
          <w:sz w:val="24"/>
        </w:rPr>
      </w:pPr>
      <w:r>
        <w:rPr>
          <w:rFonts w:hint="eastAsia" w:cs="宋体"/>
          <w:sz w:val="24"/>
        </w:rPr>
        <w:t>4.1.3 投标人具有履行合同所必需的设备和专业技术能力（投标人提供书面声明或证明材料，书面声明或证明材料须加盖公章）；</w:t>
      </w:r>
    </w:p>
    <w:p w14:paraId="14F3E2A1">
      <w:pPr>
        <w:spacing w:line="360" w:lineRule="auto"/>
        <w:ind w:firstLine="480" w:firstLineChars="200"/>
        <w:jc w:val="left"/>
        <w:rPr>
          <w:rFonts w:hint="eastAsia" w:cs="宋体"/>
          <w:sz w:val="24"/>
        </w:rPr>
      </w:pPr>
      <w:r>
        <w:rPr>
          <w:rFonts w:hint="eastAsia" w:cs="宋体"/>
          <w:sz w:val="24"/>
        </w:rPr>
        <w:t>4.1.4 投标人具有依法缴纳税收和社会保障资金的良好记录，内容见“投标人须知前附表”；</w:t>
      </w:r>
    </w:p>
    <w:p w14:paraId="6B49F262">
      <w:pPr>
        <w:spacing w:line="360" w:lineRule="auto"/>
        <w:ind w:firstLine="480" w:firstLineChars="200"/>
        <w:jc w:val="left"/>
        <w:rPr>
          <w:rFonts w:hint="eastAsia" w:cs="宋体"/>
          <w:sz w:val="24"/>
        </w:rPr>
      </w:pPr>
      <w:r>
        <w:rPr>
          <w:rFonts w:hint="eastAsia" w:cs="宋体"/>
          <w:sz w:val="24"/>
        </w:rPr>
        <w:t>4.1.5 投标人参加政府采购活动前三年内，在经营活动中没有重大违法记录（投标人提供书面声明即可，书面声明须加盖公章）（重大违法记录，是指投标人因违法经营受到刑事处罚或者责令停产停业、吊销许可证或者执照、较大数额罚款等行政处罚）；</w:t>
      </w:r>
    </w:p>
    <w:p w14:paraId="0EE486C7">
      <w:pPr>
        <w:spacing w:line="360" w:lineRule="auto"/>
        <w:ind w:firstLine="480" w:firstLineChars="200"/>
        <w:jc w:val="left"/>
        <w:rPr>
          <w:rFonts w:hint="eastAsia" w:cs="宋体"/>
          <w:sz w:val="24"/>
        </w:rPr>
      </w:pPr>
      <w:r>
        <w:rPr>
          <w:rFonts w:hint="eastAsia" w:cs="宋体"/>
          <w:sz w:val="24"/>
        </w:rPr>
        <w:t>4.2 投标人应符合采购人根据采购项目的特殊要求规定的特定条件，见“投标人须知前附表”。</w:t>
      </w:r>
    </w:p>
    <w:p w14:paraId="7013266E">
      <w:pPr>
        <w:spacing w:line="360" w:lineRule="auto"/>
        <w:ind w:firstLine="480" w:firstLineChars="200"/>
        <w:jc w:val="left"/>
        <w:rPr>
          <w:rFonts w:hint="eastAsia" w:cs="宋体"/>
          <w:sz w:val="24"/>
        </w:rPr>
      </w:pPr>
      <w:r>
        <w:rPr>
          <w:rFonts w:hint="eastAsia" w:cs="宋体"/>
          <w:sz w:val="24"/>
        </w:rPr>
        <w:t>4.3 单位负责人为同一人或者存在直接控股、管理关系的不同投标人，不得参加同一合同项下的政府采购活动。</w:t>
      </w:r>
    </w:p>
    <w:p w14:paraId="29B63543">
      <w:pPr>
        <w:spacing w:line="360" w:lineRule="auto"/>
        <w:ind w:firstLine="480" w:firstLineChars="200"/>
        <w:jc w:val="left"/>
        <w:rPr>
          <w:rFonts w:hint="eastAsia" w:cs="宋体"/>
          <w:sz w:val="24"/>
        </w:rPr>
      </w:pPr>
      <w:r>
        <w:rPr>
          <w:rFonts w:hint="eastAsia" w:cs="宋体"/>
          <w:sz w:val="24"/>
        </w:rPr>
        <w:t>4.4 投标人未被列入①“中国执行信息公开网”网站中 “失信被执行人”、②“信用中国”网站中“重大税收违法失信主体”、“政府采购严重违法失信行为记录名单”，③“中国政府采购网（</w:t>
      </w:r>
      <w:r>
        <w:fldChar w:fldCharType="begin"/>
      </w:r>
      <w:r>
        <w:instrText xml:space="preserve"> HYPERLINK "http://www.ccgp" </w:instrText>
      </w:r>
      <w:r>
        <w:fldChar w:fldCharType="separate"/>
      </w:r>
      <w:r>
        <w:rPr>
          <w:rStyle w:val="48"/>
          <w:rFonts w:hint="eastAsia" w:cs="宋体"/>
          <w:color w:val="auto"/>
          <w:sz w:val="24"/>
        </w:rPr>
        <w:t>www.ccgp</w:t>
      </w:r>
      <w:r>
        <w:rPr>
          <w:rStyle w:val="48"/>
          <w:rFonts w:hint="eastAsia" w:cs="宋体"/>
          <w:color w:val="auto"/>
          <w:sz w:val="24"/>
        </w:rPr>
        <w:fldChar w:fldCharType="end"/>
      </w:r>
      <w:r>
        <w:rPr>
          <w:rFonts w:hint="eastAsia" w:cs="宋体"/>
          <w:sz w:val="24"/>
        </w:rPr>
        <w:t>.gov.cn）”网站中“政府采购严重违法失信行为信息记录”。</w:t>
      </w:r>
    </w:p>
    <w:p w14:paraId="4E260303">
      <w:pPr>
        <w:spacing w:line="360" w:lineRule="auto"/>
        <w:ind w:firstLine="480" w:firstLineChars="200"/>
        <w:jc w:val="left"/>
        <w:rPr>
          <w:rFonts w:hint="eastAsia" w:cs="宋体"/>
          <w:sz w:val="24"/>
        </w:rPr>
      </w:pPr>
      <w:r>
        <w:rPr>
          <w:rFonts w:hint="eastAsia" w:cs="宋体"/>
          <w:sz w:val="24"/>
        </w:rPr>
        <w:t>信用信息查询渠道及时间：采购代理机构将于开标当天在“中国执行信息公开网” （http://zxgk.court.gov.cn）、“信用中国”网站（www.creditchina.gov.cn）、中国政府采购网（www.ccgp.gov.cn）对投标人上述信用信息进行查询核对。投标人存在不良信用记录的，不得参与政府采购活动。</w:t>
      </w:r>
    </w:p>
    <w:p w14:paraId="234E625C">
      <w:pPr>
        <w:spacing w:line="360" w:lineRule="auto"/>
        <w:ind w:firstLine="480" w:firstLineChars="200"/>
        <w:jc w:val="left"/>
        <w:rPr>
          <w:rFonts w:hint="eastAsia" w:cs="宋体"/>
          <w:sz w:val="24"/>
        </w:rPr>
      </w:pPr>
      <w:r>
        <w:rPr>
          <w:rFonts w:hint="eastAsia" w:cs="宋体"/>
          <w:sz w:val="24"/>
        </w:rPr>
        <w:t>信用信息查询记录和证据留存的具体方式：采购代理机构将信用信息查询的网页截图（电子版）随项目资料（电子版）留存。</w:t>
      </w:r>
    </w:p>
    <w:p w14:paraId="112015DA">
      <w:pPr>
        <w:spacing w:line="360" w:lineRule="auto"/>
        <w:ind w:firstLine="480" w:firstLineChars="200"/>
        <w:jc w:val="left"/>
        <w:rPr>
          <w:rFonts w:hint="eastAsia" w:cs="宋体"/>
          <w:sz w:val="24"/>
        </w:rPr>
      </w:pPr>
      <w:r>
        <w:rPr>
          <w:rFonts w:hint="eastAsia" w:cs="宋体"/>
          <w:sz w:val="24"/>
        </w:rPr>
        <w:t>信用信息的使用规则：仅为本项目使用。</w:t>
      </w:r>
    </w:p>
    <w:p w14:paraId="16F3090A">
      <w:pPr>
        <w:spacing w:line="360" w:lineRule="auto"/>
        <w:ind w:firstLine="480" w:firstLineChars="200"/>
        <w:jc w:val="left"/>
        <w:rPr>
          <w:rFonts w:hint="eastAsia" w:cs="宋体"/>
          <w:sz w:val="24"/>
        </w:rPr>
      </w:pPr>
      <w:r>
        <w:rPr>
          <w:rFonts w:hint="eastAsia" w:cs="宋体"/>
          <w:sz w:val="24"/>
        </w:rPr>
        <w:t>4.5“投标人须知前附表”规定接受联合体投标的，除应符合本章第4.1-4.4项和“投标人须知前附表”的要求外，还应遵守以下规定：</w:t>
      </w:r>
    </w:p>
    <w:p w14:paraId="04AE8AFF">
      <w:pPr>
        <w:spacing w:line="360" w:lineRule="auto"/>
        <w:ind w:firstLine="480" w:firstLineChars="200"/>
        <w:jc w:val="left"/>
        <w:rPr>
          <w:rFonts w:hint="eastAsia" w:cs="宋体"/>
          <w:sz w:val="24"/>
        </w:rPr>
      </w:pPr>
      <w:r>
        <w:rPr>
          <w:rFonts w:hint="eastAsia" w:cs="宋体"/>
          <w:sz w:val="24"/>
        </w:rPr>
        <w:t>（1）联合体中有同类资质的投标人按照联合体分工承担相同工作的，应当按照资质等级较低的投标人确定资质等级；</w:t>
      </w:r>
    </w:p>
    <w:p w14:paraId="3716FB41">
      <w:pPr>
        <w:spacing w:line="360" w:lineRule="auto"/>
        <w:ind w:firstLine="480" w:firstLineChars="200"/>
        <w:jc w:val="left"/>
        <w:rPr>
          <w:rFonts w:hint="eastAsia" w:cs="宋体"/>
          <w:sz w:val="24"/>
        </w:rPr>
      </w:pPr>
      <w:r>
        <w:rPr>
          <w:rFonts w:hint="eastAsia" w:cs="宋体"/>
          <w:sz w:val="24"/>
        </w:rPr>
        <w:t>（2）联合体各方之间应当签订共同投标协议，明确约定联合体各方承担的工作和相应的责任；</w:t>
      </w:r>
    </w:p>
    <w:p w14:paraId="07B1C34F">
      <w:pPr>
        <w:spacing w:line="360" w:lineRule="auto"/>
        <w:ind w:firstLine="480" w:firstLineChars="200"/>
        <w:jc w:val="left"/>
        <w:rPr>
          <w:rFonts w:hint="eastAsia" w:cs="宋体"/>
          <w:sz w:val="24"/>
        </w:rPr>
      </w:pPr>
      <w:r>
        <w:rPr>
          <w:rFonts w:hint="eastAsia" w:cs="宋体"/>
          <w:sz w:val="24"/>
        </w:rPr>
        <w:t>（3）以联合体形式参加政府采购活动的，联合体各方不得再单独参加或者与其他投标人另外组成联合体参加同政府采购活动。</w:t>
      </w:r>
    </w:p>
    <w:p w14:paraId="499E673E">
      <w:pPr>
        <w:spacing w:line="360" w:lineRule="auto"/>
        <w:ind w:firstLine="480" w:firstLineChars="200"/>
        <w:jc w:val="left"/>
        <w:rPr>
          <w:rFonts w:hint="eastAsia" w:cs="宋体"/>
          <w:b/>
          <w:sz w:val="24"/>
        </w:rPr>
      </w:pPr>
      <w:r>
        <w:rPr>
          <w:rFonts w:hint="eastAsia" w:cs="宋体"/>
          <w:sz w:val="24"/>
        </w:rPr>
        <w:t>4.6 符合上述条件的投标人应承担投标及履约中应承担的全部责任与义务。</w:t>
      </w:r>
      <w:r>
        <w:rPr>
          <w:rFonts w:hint="eastAsia" w:cs="宋体"/>
          <w:sz w:val="24"/>
        </w:rPr>
        <w:cr/>
      </w:r>
      <w:r>
        <w:rPr>
          <w:rFonts w:hint="eastAsia" w:cs="宋体"/>
          <w:b/>
          <w:sz w:val="24"/>
        </w:rPr>
        <w:t>5.投标费用</w:t>
      </w:r>
    </w:p>
    <w:p w14:paraId="5CEBA28B">
      <w:pPr>
        <w:spacing w:line="360" w:lineRule="auto"/>
        <w:ind w:firstLine="480" w:firstLineChars="200"/>
        <w:rPr>
          <w:rFonts w:hint="eastAsia" w:cs="宋体"/>
          <w:sz w:val="24"/>
        </w:rPr>
      </w:pPr>
      <w:r>
        <w:rPr>
          <w:rFonts w:hint="eastAsia" w:cs="宋体"/>
          <w:sz w:val="24"/>
        </w:rPr>
        <w:t>5.1不论投标结果如何，投标人均应自行承担所有与准备和参加投标活动有关的全部费用。</w:t>
      </w:r>
    </w:p>
    <w:p w14:paraId="56C79359">
      <w:pPr>
        <w:spacing w:line="360" w:lineRule="auto"/>
        <w:ind w:firstLine="480" w:firstLineChars="200"/>
        <w:rPr>
          <w:rFonts w:hint="eastAsia" w:cs="宋体"/>
          <w:b/>
          <w:sz w:val="24"/>
        </w:rPr>
      </w:pPr>
      <w:r>
        <w:rPr>
          <w:rFonts w:hint="eastAsia" w:cs="宋体"/>
          <w:b/>
          <w:sz w:val="24"/>
        </w:rPr>
        <w:t>6.质疑</w:t>
      </w:r>
    </w:p>
    <w:p w14:paraId="416CA9E7">
      <w:pPr>
        <w:spacing w:line="360" w:lineRule="auto"/>
        <w:ind w:firstLine="480" w:firstLineChars="200"/>
        <w:jc w:val="left"/>
        <w:rPr>
          <w:rFonts w:hint="eastAsia" w:cs="宋体"/>
          <w:sz w:val="24"/>
        </w:rPr>
      </w:pPr>
      <w:r>
        <w:rPr>
          <w:rFonts w:hint="eastAsia" w:cs="宋体"/>
          <w:sz w:val="24"/>
        </w:rPr>
        <w:t>6.1投标人认为招标文件、招标过程和中标结果使自己的权益受到损害的，应当在知道或者应知其权益受到损害之日起7个工作日内，以书面形式向采购代理机构或采购人提出质疑（投标人应在法定质疑期内一次性提出针对同一采购程序环节的质疑）。质疑内容不得含有虚假、恶意成分。当事人对自己提出的主张，有责任提供证据，提出质疑时应同时提交相关证据材料和注明事实的确切来源。</w:t>
      </w:r>
    </w:p>
    <w:p w14:paraId="00BEE454">
      <w:pPr>
        <w:spacing w:line="360" w:lineRule="auto"/>
        <w:ind w:firstLine="480" w:firstLineChars="200"/>
        <w:jc w:val="left"/>
        <w:rPr>
          <w:rFonts w:hint="eastAsia" w:cs="宋体"/>
          <w:sz w:val="24"/>
        </w:rPr>
      </w:pPr>
      <w:r>
        <w:rPr>
          <w:rFonts w:hint="eastAsia" w:cs="宋体"/>
          <w:sz w:val="24"/>
        </w:rPr>
        <w:t>6.2投标人应知其权益受到损害之日，是指：</w:t>
      </w:r>
    </w:p>
    <w:p w14:paraId="364A2316">
      <w:pPr>
        <w:spacing w:line="360" w:lineRule="auto"/>
        <w:ind w:firstLine="480" w:firstLineChars="200"/>
        <w:jc w:val="left"/>
        <w:rPr>
          <w:rFonts w:hint="eastAsia" w:cs="宋体"/>
          <w:sz w:val="24"/>
        </w:rPr>
      </w:pPr>
      <w:r>
        <w:rPr>
          <w:rFonts w:hint="eastAsia" w:cs="宋体"/>
          <w:sz w:val="24"/>
        </w:rPr>
        <w:t>(1)对可以质疑的采购文件提出质疑的，为收到采购文件之日或者采购文件公告期限届满之日；</w:t>
      </w:r>
    </w:p>
    <w:p w14:paraId="5530E227">
      <w:pPr>
        <w:spacing w:line="360" w:lineRule="auto"/>
        <w:ind w:firstLine="480" w:firstLineChars="200"/>
        <w:jc w:val="left"/>
        <w:rPr>
          <w:rFonts w:hint="eastAsia" w:cs="宋体"/>
          <w:sz w:val="24"/>
        </w:rPr>
      </w:pPr>
      <w:r>
        <w:rPr>
          <w:rFonts w:hint="eastAsia" w:cs="宋体"/>
          <w:sz w:val="24"/>
        </w:rPr>
        <w:t>(2)对采购过程提出质疑的，为各采购程序环节结束之日；</w:t>
      </w:r>
    </w:p>
    <w:p w14:paraId="4F60CB55">
      <w:pPr>
        <w:spacing w:line="360" w:lineRule="auto"/>
        <w:ind w:firstLine="480" w:firstLineChars="200"/>
        <w:jc w:val="left"/>
        <w:rPr>
          <w:rFonts w:hint="eastAsia" w:cs="宋体"/>
          <w:sz w:val="24"/>
        </w:rPr>
      </w:pPr>
      <w:r>
        <w:rPr>
          <w:rFonts w:hint="eastAsia" w:cs="宋体"/>
          <w:sz w:val="24"/>
        </w:rPr>
        <w:t>(3)对中标结果提出质疑的，为中标结果公告期限届满之日。（中标公告发布之日起七个工作日内）</w:t>
      </w:r>
    </w:p>
    <w:p w14:paraId="4F655B90">
      <w:pPr>
        <w:spacing w:line="360" w:lineRule="auto"/>
        <w:ind w:firstLine="480" w:firstLineChars="200"/>
        <w:jc w:val="left"/>
        <w:rPr>
          <w:rFonts w:hint="eastAsia" w:cs="宋体"/>
          <w:sz w:val="24"/>
        </w:rPr>
      </w:pPr>
      <w:r>
        <w:rPr>
          <w:rFonts w:hint="eastAsia" w:cs="宋体"/>
          <w:sz w:val="24"/>
        </w:rPr>
        <w:t>6.3根据中华人民共和国财政部令第94号令《政府采购质疑和投诉办法》“第十二条 供应商提出质疑应当提交质疑函和必要的证明材料”的规定，投标人应在有效期限内提交质疑函及必要的证明材料。</w:t>
      </w:r>
    </w:p>
    <w:p w14:paraId="7E767B6D">
      <w:pPr>
        <w:spacing w:line="360" w:lineRule="auto"/>
        <w:ind w:firstLine="480" w:firstLineChars="200"/>
        <w:jc w:val="left"/>
        <w:rPr>
          <w:rFonts w:hint="eastAsia" w:cs="宋体"/>
          <w:sz w:val="24"/>
        </w:rPr>
      </w:pPr>
      <w:r>
        <w:rPr>
          <w:rFonts w:hint="eastAsia" w:cs="宋体"/>
          <w:sz w:val="24"/>
        </w:rPr>
        <w:t>投标人提供的质疑函（如材料中有外文资料应同时附上中文译本）应当包括以下主要内容：</w:t>
      </w:r>
    </w:p>
    <w:p w14:paraId="2269F5D1">
      <w:pPr>
        <w:spacing w:line="360" w:lineRule="auto"/>
        <w:ind w:firstLine="480" w:firstLineChars="200"/>
        <w:jc w:val="left"/>
        <w:rPr>
          <w:rFonts w:hint="eastAsia" w:cs="宋体"/>
          <w:sz w:val="24"/>
        </w:rPr>
      </w:pPr>
      <w:r>
        <w:rPr>
          <w:rFonts w:hint="eastAsia" w:cs="宋体"/>
          <w:sz w:val="24"/>
        </w:rPr>
        <w:t>（1）质疑项目名称；</w:t>
      </w:r>
    </w:p>
    <w:p w14:paraId="56081815">
      <w:pPr>
        <w:spacing w:line="360" w:lineRule="auto"/>
        <w:ind w:firstLine="480" w:firstLineChars="200"/>
        <w:jc w:val="left"/>
        <w:rPr>
          <w:rFonts w:hint="eastAsia" w:cs="宋体"/>
          <w:sz w:val="24"/>
        </w:rPr>
      </w:pPr>
      <w:r>
        <w:rPr>
          <w:rFonts w:hint="eastAsia" w:cs="宋体"/>
          <w:sz w:val="24"/>
        </w:rPr>
        <w:t>（2）质疑理由及事实依据；</w:t>
      </w:r>
    </w:p>
    <w:p w14:paraId="0F90D092">
      <w:pPr>
        <w:spacing w:line="360" w:lineRule="auto"/>
        <w:ind w:firstLine="480" w:firstLineChars="200"/>
        <w:jc w:val="left"/>
        <w:rPr>
          <w:rFonts w:hint="eastAsia" w:cs="宋体"/>
          <w:sz w:val="24"/>
        </w:rPr>
      </w:pPr>
      <w:r>
        <w:rPr>
          <w:rFonts w:hint="eastAsia" w:cs="宋体"/>
          <w:sz w:val="24"/>
        </w:rPr>
        <w:t>（3）质疑对象；</w:t>
      </w:r>
    </w:p>
    <w:p w14:paraId="419E3CF1">
      <w:pPr>
        <w:spacing w:line="360" w:lineRule="auto"/>
        <w:ind w:firstLine="480" w:firstLineChars="200"/>
        <w:jc w:val="left"/>
        <w:rPr>
          <w:rFonts w:hint="eastAsia" w:cs="宋体"/>
          <w:sz w:val="24"/>
        </w:rPr>
      </w:pPr>
      <w:r>
        <w:rPr>
          <w:rFonts w:hint="eastAsia" w:cs="宋体"/>
          <w:sz w:val="24"/>
        </w:rPr>
        <w:t>（4）联系电话和地址；</w:t>
      </w:r>
    </w:p>
    <w:p w14:paraId="6E94C376">
      <w:pPr>
        <w:spacing w:line="360" w:lineRule="auto"/>
        <w:ind w:firstLine="480" w:firstLineChars="200"/>
        <w:jc w:val="left"/>
        <w:rPr>
          <w:rFonts w:hint="eastAsia" w:cs="宋体"/>
          <w:sz w:val="24"/>
        </w:rPr>
      </w:pPr>
      <w:r>
        <w:rPr>
          <w:rFonts w:hint="eastAsia" w:cs="宋体"/>
          <w:sz w:val="24"/>
        </w:rPr>
        <w:t>（5）质疑的日期；</w:t>
      </w:r>
    </w:p>
    <w:p w14:paraId="5C1B84DF">
      <w:pPr>
        <w:spacing w:line="360" w:lineRule="auto"/>
        <w:ind w:firstLine="480" w:firstLineChars="200"/>
        <w:jc w:val="left"/>
        <w:rPr>
          <w:rFonts w:hint="eastAsia" w:cs="宋体"/>
          <w:sz w:val="24"/>
        </w:rPr>
      </w:pPr>
      <w:r>
        <w:rPr>
          <w:rFonts w:hint="eastAsia" w:cs="宋体"/>
          <w:sz w:val="24"/>
        </w:rPr>
        <w:t>（6）质疑人署名。</w:t>
      </w:r>
    </w:p>
    <w:p w14:paraId="26C5345B">
      <w:pPr>
        <w:spacing w:line="360" w:lineRule="auto"/>
        <w:ind w:firstLine="480" w:firstLineChars="200"/>
        <w:jc w:val="left"/>
        <w:rPr>
          <w:rFonts w:hint="eastAsia" w:cs="宋体"/>
          <w:sz w:val="24"/>
          <w:u w:val="single"/>
        </w:rPr>
      </w:pPr>
      <w:r>
        <w:rPr>
          <w:rFonts w:hint="eastAsia" w:cs="宋体"/>
          <w:sz w:val="24"/>
          <w:u w:val="single"/>
        </w:rPr>
        <w:t>质疑函实行实名制，并提交由法定代表人或其委托代理人签字且盖单位章的原件。</w:t>
      </w:r>
    </w:p>
    <w:p w14:paraId="76765CA0">
      <w:pPr>
        <w:spacing w:line="360" w:lineRule="auto"/>
        <w:ind w:firstLine="480" w:firstLineChars="200"/>
        <w:jc w:val="left"/>
        <w:rPr>
          <w:rFonts w:hint="eastAsia" w:cs="宋体"/>
          <w:bCs/>
          <w:sz w:val="24"/>
        </w:rPr>
      </w:pPr>
      <w:r>
        <w:rPr>
          <w:rFonts w:hint="eastAsia" w:cs="宋体"/>
          <w:sz w:val="24"/>
        </w:rPr>
        <w:t>6.4采购人、采购代理机构将在收到投标人的书面质疑后7个工作日内作出答复，但答复的内容不</w:t>
      </w:r>
      <w:r>
        <w:rPr>
          <w:rFonts w:hint="eastAsia" w:cs="宋体"/>
          <w:bCs/>
          <w:sz w:val="24"/>
        </w:rPr>
        <w:t>涉及商业秘密。</w:t>
      </w:r>
    </w:p>
    <w:p w14:paraId="35CC5099">
      <w:pPr>
        <w:spacing w:line="360" w:lineRule="auto"/>
        <w:ind w:firstLine="480" w:firstLineChars="200"/>
        <w:jc w:val="left"/>
        <w:rPr>
          <w:rFonts w:hint="eastAsia" w:cs="宋体"/>
          <w:sz w:val="24"/>
        </w:rPr>
      </w:pPr>
      <w:r>
        <w:rPr>
          <w:rFonts w:hint="eastAsia" w:cs="宋体"/>
          <w:sz w:val="24"/>
        </w:rPr>
        <w:t>6.5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7A3CDBC3">
      <w:pPr>
        <w:spacing w:line="360" w:lineRule="auto"/>
        <w:ind w:firstLine="480" w:firstLineChars="200"/>
        <w:rPr>
          <w:rFonts w:hint="eastAsia" w:cs="宋体"/>
          <w:b/>
          <w:sz w:val="24"/>
        </w:rPr>
      </w:pPr>
      <w:bookmarkStart w:id="77" w:name="_Toc321836357"/>
      <w:r>
        <w:rPr>
          <w:rFonts w:hint="eastAsia" w:cs="宋体"/>
          <w:b/>
          <w:sz w:val="24"/>
        </w:rPr>
        <w:t>7.投诉</w:t>
      </w:r>
      <w:bookmarkEnd w:id="77"/>
    </w:p>
    <w:p w14:paraId="0BC7D469">
      <w:pPr>
        <w:spacing w:line="360" w:lineRule="auto"/>
        <w:ind w:firstLine="480" w:firstLineChars="200"/>
        <w:rPr>
          <w:rFonts w:hint="eastAsia" w:cs="宋体"/>
          <w:sz w:val="24"/>
        </w:rPr>
      </w:pPr>
      <w:r>
        <w:rPr>
          <w:rFonts w:hint="eastAsia" w:cs="宋体"/>
          <w:sz w:val="24"/>
        </w:rPr>
        <w:t>7.1投诉必须首先经过质疑程序。质疑人对采购人、采购代理机构的答复不满意，或者采购人、采购代理机构未在规定的时间内做出答复的，可以在答复期满后15个工作日内书面向同级财政部门提出投诉</w:t>
      </w:r>
      <w:bookmarkEnd w:id="76"/>
      <w:r>
        <w:rPr>
          <w:rFonts w:hint="eastAsia" w:cs="宋体"/>
          <w:sz w:val="24"/>
        </w:rPr>
        <w:t>。</w:t>
      </w:r>
    </w:p>
    <w:p w14:paraId="0C2C6A55">
      <w:pPr>
        <w:pStyle w:val="6"/>
        <w:numPr>
          <w:ilvl w:val="1"/>
          <w:numId w:val="0"/>
        </w:numPr>
        <w:ind w:left="596" w:hanging="596"/>
        <w:jc w:val="center"/>
        <w:rPr>
          <w:rFonts w:hint="eastAsia" w:eastAsia="宋体" w:cs="宋体"/>
          <w:sz w:val="24"/>
          <w:szCs w:val="24"/>
        </w:rPr>
      </w:pPr>
      <w:bookmarkStart w:id="78" w:name="_Toc69912399"/>
      <w:bookmarkStart w:id="79" w:name="_Toc491076989"/>
      <w:bookmarkStart w:id="80" w:name="_Toc152172890"/>
      <w:bookmarkStart w:id="81" w:name="_Toc152862069"/>
      <w:bookmarkStart w:id="82" w:name="_Toc91696407"/>
      <w:bookmarkStart w:id="83" w:name="_Toc1969"/>
      <w:r>
        <w:rPr>
          <w:rFonts w:hint="eastAsia" w:eastAsia="宋体" w:cs="宋体"/>
          <w:sz w:val="24"/>
          <w:szCs w:val="24"/>
        </w:rPr>
        <w:t>二、招标文件</w:t>
      </w:r>
      <w:bookmarkEnd w:id="78"/>
      <w:bookmarkEnd w:id="79"/>
      <w:bookmarkEnd w:id="80"/>
      <w:bookmarkEnd w:id="81"/>
      <w:bookmarkEnd w:id="82"/>
      <w:bookmarkEnd w:id="83"/>
    </w:p>
    <w:p w14:paraId="1EF7FC79">
      <w:pPr>
        <w:spacing w:line="360" w:lineRule="auto"/>
        <w:ind w:firstLine="480" w:firstLineChars="200"/>
        <w:rPr>
          <w:rFonts w:hint="eastAsia" w:cs="宋体"/>
          <w:b/>
          <w:bCs/>
          <w:sz w:val="24"/>
        </w:rPr>
      </w:pPr>
      <w:r>
        <w:rPr>
          <w:rFonts w:hint="eastAsia" w:cs="宋体"/>
          <w:b/>
          <w:bCs/>
          <w:sz w:val="24"/>
        </w:rPr>
        <w:t>8.招标文件构成</w:t>
      </w:r>
    </w:p>
    <w:p w14:paraId="2A9D6D46">
      <w:pPr>
        <w:spacing w:line="360" w:lineRule="auto"/>
        <w:ind w:firstLine="480" w:firstLineChars="200"/>
        <w:jc w:val="left"/>
        <w:rPr>
          <w:rFonts w:hint="eastAsia" w:cs="宋体"/>
          <w:sz w:val="24"/>
        </w:rPr>
      </w:pPr>
      <w:r>
        <w:rPr>
          <w:rFonts w:hint="eastAsia" w:cs="宋体"/>
          <w:sz w:val="24"/>
        </w:rPr>
        <w:t>8.1要求提供的货物、采购过程及合同条款在招标文件中均有说明，招标文件共七章，各章的内容如下：</w:t>
      </w:r>
    </w:p>
    <w:p w14:paraId="7475DC8F">
      <w:pPr>
        <w:spacing w:line="360" w:lineRule="auto"/>
        <w:ind w:firstLine="480" w:firstLineChars="200"/>
        <w:jc w:val="left"/>
        <w:rPr>
          <w:rFonts w:hint="eastAsia" w:cs="宋体"/>
          <w:sz w:val="24"/>
        </w:rPr>
      </w:pPr>
      <w:r>
        <w:rPr>
          <w:rFonts w:hint="eastAsia" w:cs="宋体"/>
          <w:sz w:val="24"/>
        </w:rPr>
        <w:t>第一章  招标公告</w:t>
      </w:r>
    </w:p>
    <w:p w14:paraId="689B5AC0">
      <w:pPr>
        <w:spacing w:line="360" w:lineRule="auto"/>
        <w:ind w:firstLine="480" w:firstLineChars="200"/>
        <w:jc w:val="left"/>
        <w:rPr>
          <w:rFonts w:hint="eastAsia" w:cs="宋体"/>
          <w:sz w:val="24"/>
        </w:rPr>
      </w:pPr>
      <w:r>
        <w:rPr>
          <w:rFonts w:hint="eastAsia" w:cs="宋体"/>
          <w:sz w:val="24"/>
        </w:rPr>
        <w:t>第二章  投标人须知</w:t>
      </w:r>
    </w:p>
    <w:p w14:paraId="2AF55AE2">
      <w:pPr>
        <w:spacing w:line="360" w:lineRule="auto"/>
        <w:ind w:firstLine="480" w:firstLineChars="200"/>
        <w:jc w:val="left"/>
        <w:rPr>
          <w:rFonts w:hint="eastAsia" w:cs="宋体"/>
          <w:sz w:val="24"/>
        </w:rPr>
      </w:pPr>
      <w:r>
        <w:rPr>
          <w:rFonts w:hint="eastAsia" w:cs="宋体"/>
          <w:sz w:val="24"/>
        </w:rPr>
        <w:t>第三章  合同书样式及主要条款</w:t>
      </w:r>
    </w:p>
    <w:p w14:paraId="21AC4F7E">
      <w:pPr>
        <w:spacing w:line="360" w:lineRule="auto"/>
        <w:ind w:firstLine="480" w:firstLineChars="200"/>
        <w:jc w:val="left"/>
        <w:rPr>
          <w:rFonts w:hint="eastAsia" w:cs="宋体"/>
          <w:sz w:val="24"/>
        </w:rPr>
      </w:pPr>
      <w:r>
        <w:rPr>
          <w:rFonts w:hint="eastAsia" w:cs="宋体"/>
          <w:sz w:val="24"/>
        </w:rPr>
        <w:t>第四章  货物需求及技术要求</w:t>
      </w:r>
    </w:p>
    <w:p w14:paraId="6A7261DF">
      <w:pPr>
        <w:spacing w:line="360" w:lineRule="auto"/>
        <w:ind w:firstLine="480" w:firstLineChars="200"/>
        <w:jc w:val="left"/>
        <w:rPr>
          <w:rFonts w:hint="eastAsia" w:cs="宋体"/>
          <w:sz w:val="24"/>
        </w:rPr>
      </w:pPr>
      <w:r>
        <w:rPr>
          <w:rFonts w:hint="eastAsia" w:cs="宋体"/>
          <w:sz w:val="24"/>
        </w:rPr>
        <w:t>第五章  资格评审标准</w:t>
      </w:r>
    </w:p>
    <w:p w14:paraId="4121A4B1">
      <w:pPr>
        <w:spacing w:line="360" w:lineRule="auto"/>
        <w:ind w:firstLine="480" w:firstLineChars="200"/>
        <w:jc w:val="left"/>
        <w:rPr>
          <w:rFonts w:hint="eastAsia" w:cs="宋体"/>
          <w:sz w:val="24"/>
        </w:rPr>
      </w:pPr>
      <w:r>
        <w:rPr>
          <w:rFonts w:hint="eastAsia" w:cs="宋体"/>
          <w:sz w:val="24"/>
        </w:rPr>
        <w:t>第六章  评标办法</w:t>
      </w:r>
    </w:p>
    <w:p w14:paraId="42B7FDBB">
      <w:pPr>
        <w:spacing w:line="360" w:lineRule="auto"/>
        <w:ind w:firstLine="480" w:firstLineChars="200"/>
        <w:jc w:val="left"/>
        <w:rPr>
          <w:rFonts w:hint="eastAsia" w:cs="宋体"/>
          <w:sz w:val="24"/>
        </w:rPr>
      </w:pPr>
      <w:r>
        <w:rPr>
          <w:rFonts w:hint="eastAsia" w:cs="宋体"/>
          <w:sz w:val="24"/>
        </w:rPr>
        <w:t>第七章  投标文件格式</w:t>
      </w:r>
    </w:p>
    <w:p w14:paraId="278DCA33">
      <w:pPr>
        <w:spacing w:line="360" w:lineRule="auto"/>
        <w:ind w:firstLine="480" w:firstLineChars="200"/>
        <w:rPr>
          <w:rFonts w:hint="eastAsia" w:cs="宋体"/>
          <w:b/>
          <w:bCs/>
          <w:sz w:val="24"/>
        </w:rPr>
      </w:pPr>
      <w:r>
        <w:rPr>
          <w:rFonts w:hint="eastAsia" w:cs="宋体"/>
          <w:b/>
          <w:bCs/>
          <w:sz w:val="24"/>
        </w:rPr>
        <w:t>9.招标文件的澄清</w:t>
      </w:r>
    </w:p>
    <w:p w14:paraId="0592C326">
      <w:pPr>
        <w:spacing w:line="360" w:lineRule="auto"/>
        <w:ind w:firstLine="480" w:firstLineChars="200"/>
        <w:jc w:val="left"/>
        <w:rPr>
          <w:rFonts w:hint="eastAsia" w:cs="宋体"/>
          <w:sz w:val="24"/>
        </w:rPr>
      </w:pPr>
      <w:r>
        <w:rPr>
          <w:rFonts w:hint="eastAsia" w:cs="宋体"/>
          <w:sz w:val="24"/>
        </w:rPr>
        <w:t>9.1 投标人应认真核查招标文件，如有疑问的，投标人可以在“</w:t>
      </w:r>
      <w:r>
        <w:rPr>
          <w:rFonts w:hint="eastAsia" w:cs="宋体"/>
          <w:b/>
          <w:bCs/>
          <w:sz w:val="24"/>
        </w:rPr>
        <w:t>投标人须知前附表</w:t>
      </w:r>
      <w:r>
        <w:rPr>
          <w:rFonts w:hint="eastAsia" w:cs="宋体"/>
          <w:sz w:val="24"/>
        </w:rPr>
        <w:t>”规定截止时间前以澄清函形式（加盖单位章）要求采购人澄清，截止时间后送达的澄清要求不予接受。</w:t>
      </w:r>
    </w:p>
    <w:p w14:paraId="6A553A41">
      <w:pPr>
        <w:spacing w:line="360" w:lineRule="auto"/>
        <w:ind w:firstLine="480" w:firstLineChars="200"/>
        <w:jc w:val="left"/>
        <w:rPr>
          <w:rFonts w:hint="eastAsia" w:cs="宋体"/>
          <w:sz w:val="24"/>
        </w:rPr>
      </w:pPr>
      <w:r>
        <w:rPr>
          <w:rFonts w:hint="eastAsia" w:cs="宋体"/>
          <w:sz w:val="24"/>
        </w:rPr>
        <w:t>9.2 采购代理机构将以书面形式答复所有购买招标文件的投标人（答复中不包含问题的来源）要求澄清的问题，其他澄清方式为无效。</w:t>
      </w:r>
    </w:p>
    <w:p w14:paraId="62A8CB51">
      <w:pPr>
        <w:spacing w:line="360" w:lineRule="auto"/>
        <w:ind w:firstLine="480" w:firstLineChars="200"/>
        <w:jc w:val="left"/>
        <w:rPr>
          <w:rFonts w:hint="eastAsia" w:cs="宋体"/>
          <w:b/>
          <w:bCs/>
          <w:sz w:val="24"/>
        </w:rPr>
      </w:pPr>
      <w:r>
        <w:rPr>
          <w:rFonts w:hint="eastAsia" w:cs="宋体"/>
          <w:b/>
          <w:bCs/>
          <w:sz w:val="24"/>
        </w:rPr>
        <w:t>10.招标文件的澄清或者修改</w:t>
      </w:r>
    </w:p>
    <w:p w14:paraId="008CDE5D">
      <w:pPr>
        <w:spacing w:line="360" w:lineRule="auto"/>
        <w:ind w:firstLine="480" w:firstLineChars="200"/>
        <w:jc w:val="left"/>
        <w:rPr>
          <w:rFonts w:hint="eastAsia" w:cs="宋体"/>
          <w:sz w:val="24"/>
        </w:rPr>
      </w:pPr>
      <w:bookmarkStart w:id="84" w:name="_Toc91696408"/>
      <w:bookmarkStart w:id="85" w:name="_Toc491076990"/>
      <w:bookmarkStart w:id="86" w:name="_Toc69912400"/>
      <w:r>
        <w:rPr>
          <w:rFonts w:hint="eastAsia" w:cs="宋体"/>
          <w:sz w:val="24"/>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373B3388">
      <w:pPr>
        <w:spacing w:line="360" w:lineRule="auto"/>
        <w:ind w:firstLine="480" w:firstLineChars="200"/>
        <w:jc w:val="left"/>
        <w:rPr>
          <w:rFonts w:hint="eastAsia" w:cs="宋体"/>
          <w:sz w:val="24"/>
        </w:rPr>
      </w:pPr>
      <w:r>
        <w:rPr>
          <w:rFonts w:hint="eastAsia" w:cs="宋体"/>
          <w:sz w:val="24"/>
        </w:rPr>
        <w:t>10.2 采购代理机构和采购单位可以视采购具体情况，延长投标截止时间和开标时间，但至少在招标文件要求提交投标文件的截止时间3日前，将变更时间书面通知所有购买招标文件的投标人，并在财政部门指定的政府采购信息发布媒体上发布变更公告。</w:t>
      </w:r>
    </w:p>
    <w:p w14:paraId="7534C684">
      <w:pPr>
        <w:pStyle w:val="6"/>
        <w:numPr>
          <w:ilvl w:val="1"/>
          <w:numId w:val="0"/>
        </w:numPr>
        <w:ind w:left="596" w:hanging="596"/>
        <w:jc w:val="center"/>
        <w:rPr>
          <w:rFonts w:hint="eastAsia" w:eastAsia="宋体" w:cs="宋体"/>
          <w:sz w:val="24"/>
          <w:szCs w:val="24"/>
        </w:rPr>
      </w:pPr>
      <w:bookmarkStart w:id="87" w:name="_Toc152862070"/>
      <w:bookmarkStart w:id="88" w:name="_Toc152172891"/>
      <w:bookmarkStart w:id="89" w:name="_Toc1154"/>
      <w:r>
        <w:rPr>
          <w:rFonts w:hint="eastAsia" w:eastAsia="宋体" w:cs="宋体"/>
          <w:sz w:val="24"/>
          <w:szCs w:val="24"/>
        </w:rPr>
        <w:t>三、投标文件</w:t>
      </w:r>
      <w:bookmarkEnd w:id="84"/>
      <w:bookmarkEnd w:id="85"/>
      <w:bookmarkEnd w:id="86"/>
      <w:bookmarkEnd w:id="87"/>
      <w:bookmarkEnd w:id="88"/>
      <w:bookmarkEnd w:id="89"/>
    </w:p>
    <w:p w14:paraId="04B0A0A8">
      <w:pPr>
        <w:spacing w:line="360" w:lineRule="auto"/>
        <w:ind w:firstLine="480" w:firstLineChars="200"/>
        <w:jc w:val="left"/>
        <w:rPr>
          <w:rFonts w:hint="eastAsia" w:cs="宋体"/>
          <w:b/>
          <w:sz w:val="24"/>
        </w:rPr>
      </w:pPr>
      <w:r>
        <w:rPr>
          <w:rFonts w:hint="eastAsia" w:cs="宋体"/>
          <w:b/>
          <w:sz w:val="24"/>
        </w:rPr>
        <w:t>11.投标文件编写注意事项</w:t>
      </w:r>
    </w:p>
    <w:p w14:paraId="070FF353">
      <w:pPr>
        <w:spacing w:line="360" w:lineRule="auto"/>
        <w:ind w:firstLine="480" w:firstLineChars="200"/>
        <w:jc w:val="left"/>
        <w:rPr>
          <w:rFonts w:hint="eastAsia" w:cs="宋体"/>
          <w:sz w:val="24"/>
        </w:rPr>
      </w:pPr>
      <w:r>
        <w:rPr>
          <w:rFonts w:hint="eastAsia" w:cs="宋体"/>
          <w:sz w:val="24"/>
        </w:rPr>
        <w:t>11.1投标人应仔细阅读招标文件，在完全了解采购的内容、技术性能要求(详见</w:t>
      </w:r>
      <w:r>
        <w:rPr>
          <w:rFonts w:hint="eastAsia" w:cs="宋体"/>
          <w:bCs/>
          <w:sz w:val="24"/>
        </w:rPr>
        <w:t>第四章 货物需求及技术要求</w:t>
      </w:r>
      <w:r>
        <w:rPr>
          <w:rFonts w:hint="eastAsia" w:cs="宋体"/>
          <w:sz w:val="24"/>
        </w:rPr>
        <w:t>)和商务条件后，编写投标文件。投标文件必须响应招标文件的实质性要求和条件，不满足任何一条将导致投标无效。</w:t>
      </w:r>
    </w:p>
    <w:p w14:paraId="09F663AA">
      <w:pPr>
        <w:spacing w:line="360" w:lineRule="auto"/>
        <w:ind w:firstLine="480" w:firstLineChars="200"/>
        <w:jc w:val="left"/>
        <w:rPr>
          <w:rFonts w:hint="eastAsia" w:cs="宋体"/>
          <w:sz w:val="24"/>
        </w:rPr>
      </w:pPr>
      <w:r>
        <w:rPr>
          <w:rFonts w:hint="eastAsia" w:cs="宋体"/>
          <w:sz w:val="24"/>
        </w:rPr>
        <w:t>11.2 对招标文件提出的实质性要求和条件作出响应是指：投标人必须对招标文件中的实质性要求和条件的内容作出满足或者优于原要求和条件的承诺，并提供相应的材料。</w:t>
      </w:r>
    </w:p>
    <w:p w14:paraId="4C5A2030">
      <w:pPr>
        <w:spacing w:line="360" w:lineRule="auto"/>
        <w:ind w:firstLine="480" w:firstLineChars="200"/>
        <w:jc w:val="left"/>
        <w:rPr>
          <w:rFonts w:hint="eastAsia" w:cs="宋体"/>
          <w:b/>
          <w:sz w:val="24"/>
        </w:rPr>
      </w:pPr>
      <w:r>
        <w:rPr>
          <w:rFonts w:hint="eastAsia" w:cs="宋体"/>
          <w:b/>
          <w:sz w:val="24"/>
        </w:rPr>
        <w:t>12.投标的语言及计量单位</w:t>
      </w:r>
    </w:p>
    <w:p w14:paraId="3891AA74">
      <w:pPr>
        <w:spacing w:line="360" w:lineRule="auto"/>
        <w:ind w:firstLine="480" w:firstLineChars="200"/>
        <w:jc w:val="left"/>
        <w:rPr>
          <w:rFonts w:hint="eastAsia" w:cs="宋体"/>
          <w:sz w:val="24"/>
        </w:rPr>
      </w:pPr>
      <w:r>
        <w:rPr>
          <w:rFonts w:hint="eastAsia" w:cs="宋体"/>
          <w:sz w:val="24"/>
        </w:rPr>
        <w:t>12.1投标人的投标文件以及投标人与采购代理机构就有关投标的所有来往函电统一使用中文（特别规定除外）。</w:t>
      </w:r>
    </w:p>
    <w:p w14:paraId="4744F5E3">
      <w:pPr>
        <w:spacing w:line="360" w:lineRule="auto"/>
        <w:ind w:firstLine="480" w:firstLineChars="200"/>
        <w:jc w:val="left"/>
        <w:rPr>
          <w:rFonts w:hint="eastAsia" w:cs="宋体"/>
          <w:sz w:val="24"/>
        </w:rPr>
      </w:pPr>
      <w:r>
        <w:rPr>
          <w:rFonts w:hint="eastAsia" w:cs="宋体"/>
          <w:sz w:val="24"/>
        </w:rPr>
        <w:t>12.2投标文件中使用的计量单位除招标文件中有特殊规定外，一律使用中国法定计量单位。</w:t>
      </w:r>
    </w:p>
    <w:p w14:paraId="3B99E5D3">
      <w:pPr>
        <w:spacing w:line="360" w:lineRule="auto"/>
        <w:ind w:firstLine="480" w:firstLineChars="200"/>
        <w:jc w:val="left"/>
        <w:rPr>
          <w:rFonts w:hint="eastAsia" w:cs="宋体"/>
          <w:b/>
          <w:sz w:val="24"/>
        </w:rPr>
      </w:pPr>
      <w:r>
        <w:rPr>
          <w:rFonts w:hint="eastAsia" w:cs="宋体"/>
          <w:b/>
          <w:sz w:val="24"/>
        </w:rPr>
        <w:t>13.投标文件构成</w:t>
      </w:r>
    </w:p>
    <w:p w14:paraId="1A1299C2">
      <w:pPr>
        <w:spacing w:line="360" w:lineRule="auto"/>
        <w:ind w:firstLine="480" w:firstLineChars="200"/>
        <w:jc w:val="left"/>
        <w:rPr>
          <w:rFonts w:hint="eastAsia" w:cs="宋体"/>
          <w:sz w:val="24"/>
        </w:rPr>
      </w:pPr>
      <w:r>
        <w:rPr>
          <w:rFonts w:hint="eastAsia" w:cs="宋体"/>
          <w:sz w:val="24"/>
        </w:rPr>
        <w:t>13.1投标人编写的投标文件应由下列部分构成，并按第四章“投标文件格式”要求填写。有关文件的提交如未特别注明需提供原件的，可提供复印件/扫描件。</w:t>
      </w:r>
    </w:p>
    <w:p w14:paraId="56A1739A">
      <w:pPr>
        <w:spacing w:line="360" w:lineRule="auto"/>
        <w:ind w:firstLine="480" w:firstLineChars="200"/>
        <w:jc w:val="left"/>
        <w:rPr>
          <w:rFonts w:hint="eastAsia" w:cs="宋体"/>
          <w:sz w:val="24"/>
        </w:rPr>
      </w:pPr>
      <w:r>
        <w:rPr>
          <w:rFonts w:hint="eastAsia" w:cs="宋体"/>
          <w:sz w:val="24"/>
        </w:rPr>
        <w:t>13.1.1开标一览表；</w:t>
      </w:r>
    </w:p>
    <w:p w14:paraId="0ADCC9C5">
      <w:pPr>
        <w:spacing w:line="360" w:lineRule="auto"/>
        <w:ind w:firstLine="480" w:firstLineChars="200"/>
        <w:jc w:val="left"/>
        <w:rPr>
          <w:rFonts w:hint="eastAsia" w:cs="宋体"/>
          <w:sz w:val="24"/>
        </w:rPr>
      </w:pPr>
      <w:r>
        <w:rPr>
          <w:rFonts w:hint="eastAsia" w:cs="宋体"/>
          <w:sz w:val="24"/>
        </w:rPr>
        <w:t>13.1.2资格证明文件；</w:t>
      </w:r>
    </w:p>
    <w:p w14:paraId="5335307B">
      <w:pPr>
        <w:spacing w:line="360" w:lineRule="auto"/>
        <w:ind w:firstLine="480" w:firstLineChars="200"/>
        <w:jc w:val="left"/>
        <w:rPr>
          <w:rFonts w:hint="eastAsia" w:cs="宋体"/>
          <w:sz w:val="24"/>
        </w:rPr>
      </w:pPr>
      <w:r>
        <w:rPr>
          <w:rFonts w:hint="eastAsia" w:cs="宋体"/>
          <w:sz w:val="24"/>
        </w:rPr>
        <w:t>13.1.3投标文件商务部分</w:t>
      </w:r>
    </w:p>
    <w:p w14:paraId="3A91B514">
      <w:pPr>
        <w:spacing w:line="360" w:lineRule="auto"/>
        <w:ind w:firstLine="480" w:firstLineChars="200"/>
        <w:jc w:val="left"/>
        <w:rPr>
          <w:rFonts w:hint="eastAsia" w:cs="宋体"/>
          <w:sz w:val="24"/>
        </w:rPr>
      </w:pPr>
      <w:r>
        <w:rPr>
          <w:rFonts w:hint="eastAsia" w:cs="宋体"/>
          <w:sz w:val="24"/>
        </w:rPr>
        <w:t xml:space="preserve">（1）商务部分内容； </w:t>
      </w:r>
    </w:p>
    <w:p w14:paraId="02DC844E">
      <w:pPr>
        <w:spacing w:line="360" w:lineRule="auto"/>
        <w:ind w:firstLine="480" w:firstLineChars="200"/>
        <w:jc w:val="left"/>
        <w:rPr>
          <w:rFonts w:hint="eastAsia" w:cs="宋体"/>
          <w:sz w:val="24"/>
        </w:rPr>
      </w:pPr>
      <w:r>
        <w:rPr>
          <w:rFonts w:hint="eastAsia" w:cs="宋体"/>
          <w:sz w:val="24"/>
        </w:rPr>
        <w:t>（2）构成投标文件商务部分的其他资料：详见“投标人须知前附表”要求。</w:t>
      </w:r>
    </w:p>
    <w:p w14:paraId="60CC551D">
      <w:pPr>
        <w:spacing w:line="360" w:lineRule="auto"/>
        <w:ind w:firstLine="480" w:firstLineChars="200"/>
        <w:jc w:val="left"/>
        <w:rPr>
          <w:rFonts w:hint="eastAsia" w:cs="宋体"/>
          <w:sz w:val="24"/>
        </w:rPr>
      </w:pPr>
      <w:r>
        <w:rPr>
          <w:rFonts w:hint="eastAsia" w:cs="宋体"/>
          <w:sz w:val="24"/>
        </w:rPr>
        <w:t>13.1.4投标文件技术部分</w:t>
      </w:r>
    </w:p>
    <w:p w14:paraId="19EA1CE5">
      <w:pPr>
        <w:spacing w:line="360" w:lineRule="auto"/>
        <w:ind w:firstLine="480" w:firstLineChars="200"/>
        <w:jc w:val="left"/>
        <w:rPr>
          <w:rFonts w:hint="eastAsia" w:cs="宋体"/>
          <w:sz w:val="24"/>
        </w:rPr>
      </w:pPr>
      <w:r>
        <w:rPr>
          <w:rFonts w:hint="eastAsia" w:cs="宋体"/>
          <w:sz w:val="24"/>
        </w:rPr>
        <w:t>（1）技术部分内容；</w:t>
      </w:r>
    </w:p>
    <w:p w14:paraId="45634220">
      <w:pPr>
        <w:spacing w:line="360" w:lineRule="auto"/>
        <w:ind w:firstLine="480" w:firstLineChars="200"/>
        <w:jc w:val="left"/>
        <w:rPr>
          <w:rFonts w:hint="eastAsia" w:cs="宋体"/>
          <w:sz w:val="24"/>
        </w:rPr>
      </w:pPr>
      <w:r>
        <w:rPr>
          <w:rFonts w:hint="eastAsia" w:cs="宋体"/>
          <w:sz w:val="24"/>
        </w:rPr>
        <w:t>（2）构成投标文件技术部分的其他资料：详见“投标人须知前附表”要求。</w:t>
      </w:r>
    </w:p>
    <w:p w14:paraId="0BECA3AA">
      <w:pPr>
        <w:spacing w:line="360" w:lineRule="auto"/>
        <w:ind w:firstLine="480" w:firstLineChars="200"/>
        <w:jc w:val="left"/>
        <w:rPr>
          <w:rFonts w:hint="eastAsia" w:cs="宋体"/>
          <w:sz w:val="24"/>
        </w:rPr>
      </w:pPr>
      <w:r>
        <w:rPr>
          <w:rFonts w:hint="eastAsia" w:cs="宋体"/>
          <w:sz w:val="24"/>
        </w:rPr>
        <w:t>13.1.5资格证明文件；</w:t>
      </w:r>
    </w:p>
    <w:p w14:paraId="104F62AA">
      <w:pPr>
        <w:spacing w:line="360" w:lineRule="auto"/>
        <w:ind w:firstLine="480" w:firstLineChars="200"/>
        <w:jc w:val="left"/>
        <w:rPr>
          <w:rFonts w:hint="eastAsia" w:cs="宋体"/>
          <w:sz w:val="24"/>
        </w:rPr>
      </w:pPr>
      <w:r>
        <w:rPr>
          <w:rFonts w:hint="eastAsia" w:cs="宋体"/>
          <w:sz w:val="24"/>
        </w:rPr>
        <w:t>（1）本章第4款“合格的投标人”中要求提供的资格证明文件。</w:t>
      </w:r>
    </w:p>
    <w:p w14:paraId="5088C62F">
      <w:pPr>
        <w:spacing w:line="360" w:lineRule="auto"/>
        <w:ind w:firstLine="480" w:firstLineChars="200"/>
        <w:jc w:val="left"/>
        <w:rPr>
          <w:rFonts w:hint="eastAsia" w:cs="宋体"/>
          <w:sz w:val="24"/>
        </w:rPr>
      </w:pPr>
      <w:r>
        <w:rPr>
          <w:rFonts w:hint="eastAsia" w:cs="宋体"/>
          <w:sz w:val="24"/>
        </w:rPr>
        <w:t>13.1.6投标文件其他材料。</w:t>
      </w:r>
    </w:p>
    <w:p w14:paraId="2A27DC48">
      <w:pPr>
        <w:spacing w:line="360" w:lineRule="auto"/>
        <w:ind w:firstLine="480" w:firstLineChars="200"/>
        <w:jc w:val="left"/>
        <w:rPr>
          <w:rFonts w:hint="eastAsia" w:cs="宋体"/>
          <w:sz w:val="24"/>
          <w:u w:val="single"/>
        </w:rPr>
      </w:pPr>
      <w:r>
        <w:rPr>
          <w:rFonts w:hint="eastAsia" w:cs="宋体"/>
          <w:sz w:val="24"/>
        </w:rPr>
        <w:t>13.2</w:t>
      </w:r>
      <w:r>
        <w:rPr>
          <w:rFonts w:hint="eastAsia" w:cs="宋体"/>
          <w:sz w:val="24"/>
          <w:u w:val="single"/>
        </w:rPr>
        <w:t>投标人同时投多个标段（若分标段时）的，投标文件应按标段分别编制，并按标段单独递交。</w:t>
      </w:r>
    </w:p>
    <w:p w14:paraId="563A7C83">
      <w:pPr>
        <w:spacing w:line="360" w:lineRule="auto"/>
        <w:ind w:firstLine="480" w:firstLineChars="200"/>
        <w:jc w:val="left"/>
        <w:rPr>
          <w:rFonts w:hint="eastAsia" w:cs="宋体"/>
          <w:b/>
          <w:sz w:val="24"/>
        </w:rPr>
      </w:pPr>
      <w:r>
        <w:rPr>
          <w:rFonts w:hint="eastAsia" w:cs="宋体"/>
          <w:b/>
          <w:sz w:val="24"/>
        </w:rPr>
        <w:t>14.投标文件的格式要求</w:t>
      </w:r>
    </w:p>
    <w:p w14:paraId="1CC79CF0">
      <w:pPr>
        <w:tabs>
          <w:tab w:val="left" w:pos="3030"/>
        </w:tabs>
        <w:spacing w:line="360" w:lineRule="auto"/>
        <w:ind w:firstLine="480" w:firstLineChars="200"/>
        <w:rPr>
          <w:rFonts w:hint="eastAsia" w:cs="宋体"/>
          <w:sz w:val="24"/>
        </w:rPr>
      </w:pPr>
      <w:r>
        <w:rPr>
          <w:rFonts w:hint="eastAsia" w:cs="宋体"/>
          <w:sz w:val="24"/>
        </w:rPr>
        <w:t>14.1投标人应按第四章“投标文件格式”提供的格式完整地填写。</w:t>
      </w:r>
    </w:p>
    <w:p w14:paraId="30DC5384">
      <w:pPr>
        <w:spacing w:line="360" w:lineRule="auto"/>
        <w:ind w:firstLine="480" w:firstLineChars="200"/>
        <w:jc w:val="left"/>
        <w:rPr>
          <w:rFonts w:hint="eastAsia" w:cs="宋体"/>
          <w:b/>
          <w:sz w:val="24"/>
        </w:rPr>
      </w:pPr>
      <w:r>
        <w:rPr>
          <w:rFonts w:hint="eastAsia" w:cs="宋体"/>
          <w:b/>
          <w:sz w:val="24"/>
        </w:rPr>
        <w:t>15.投标报价</w:t>
      </w:r>
    </w:p>
    <w:p w14:paraId="0F7CCEDD">
      <w:pPr>
        <w:spacing w:line="360" w:lineRule="auto"/>
        <w:ind w:firstLine="480" w:firstLineChars="200"/>
        <w:rPr>
          <w:rFonts w:hint="eastAsia" w:cs="宋体"/>
          <w:bCs/>
          <w:sz w:val="24"/>
        </w:rPr>
      </w:pPr>
      <w:r>
        <w:rPr>
          <w:rFonts w:hint="eastAsia" w:cs="宋体"/>
          <w:bCs/>
          <w:sz w:val="24"/>
        </w:rPr>
        <w:t>15.1本项目预算金额及最高限价见“投标人须知前附表”，若投标人的投标报价超过最高限价，按未实质性响应招标文件要求处理。</w:t>
      </w:r>
    </w:p>
    <w:p w14:paraId="4218BAF1">
      <w:pPr>
        <w:spacing w:line="360" w:lineRule="auto"/>
        <w:ind w:firstLine="480" w:firstLineChars="200"/>
        <w:rPr>
          <w:rFonts w:hint="eastAsia" w:cs="宋体"/>
          <w:bCs/>
          <w:sz w:val="24"/>
        </w:rPr>
      </w:pPr>
      <w:r>
        <w:rPr>
          <w:rFonts w:hint="eastAsia" w:cs="宋体"/>
          <w:bCs/>
          <w:sz w:val="24"/>
        </w:rPr>
        <w:t>15.2投标人须就第四章 货物需求及技术要求中的项目所有内容作完整唯一报价。</w:t>
      </w:r>
    </w:p>
    <w:p w14:paraId="49C89467">
      <w:pPr>
        <w:spacing w:line="360" w:lineRule="auto"/>
        <w:ind w:firstLine="480" w:firstLineChars="200"/>
        <w:rPr>
          <w:rFonts w:hint="eastAsia" w:cs="宋体"/>
          <w:bCs/>
          <w:sz w:val="24"/>
        </w:rPr>
      </w:pPr>
      <w:r>
        <w:rPr>
          <w:rFonts w:hint="eastAsia" w:cs="宋体"/>
          <w:bCs/>
          <w:sz w:val="24"/>
        </w:rPr>
        <w:t>15.3投标人应依据招标文件的要求及有关资料，按国家或行业现行技术经济标准、定额及规范，自行测算出满足招标要求的投标货物的竞争性报价。</w:t>
      </w:r>
      <w:bookmarkStart w:id="90" w:name="_Hlk96688601"/>
      <w:r>
        <w:rPr>
          <w:rFonts w:hint="eastAsia" w:cs="宋体"/>
          <w:bCs/>
          <w:sz w:val="24"/>
        </w:rPr>
        <w:t>投标报价包括但不仅限于货物的出厂价，项目特别要求的备品备件（如有）的价格、运杂费、安装调试费，投标人技术服务费、货物验收费用，保证期内缺陷的修复补救费用，市场价格变化的风险费用、利润、税金等的总和，该报价应考虑市场风险、政策性风险、汇率风险等因素，并能保证投标人完成履行合同所需的全部工作，此价格在合同签订后将不作调整</w:t>
      </w:r>
      <w:bookmarkEnd w:id="90"/>
      <w:r>
        <w:rPr>
          <w:rFonts w:hint="eastAsia" w:cs="宋体"/>
          <w:bCs/>
          <w:sz w:val="24"/>
        </w:rPr>
        <w:t>。</w:t>
      </w:r>
    </w:p>
    <w:p w14:paraId="2EF21FFE">
      <w:pPr>
        <w:spacing w:line="360" w:lineRule="auto"/>
        <w:ind w:firstLine="480" w:firstLineChars="200"/>
        <w:rPr>
          <w:rFonts w:hint="eastAsia" w:cs="宋体"/>
          <w:bCs/>
          <w:sz w:val="24"/>
        </w:rPr>
      </w:pPr>
      <w:r>
        <w:rPr>
          <w:rFonts w:hint="eastAsia" w:cs="宋体"/>
          <w:bCs/>
          <w:sz w:val="24"/>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19C20E52">
      <w:pPr>
        <w:spacing w:line="360" w:lineRule="auto"/>
        <w:ind w:firstLine="480" w:firstLineChars="200"/>
        <w:rPr>
          <w:rFonts w:hint="eastAsia" w:cs="宋体"/>
          <w:bCs/>
          <w:sz w:val="24"/>
        </w:rPr>
      </w:pPr>
      <w:r>
        <w:rPr>
          <w:rFonts w:hint="eastAsia" w:cs="宋体"/>
          <w:bCs/>
          <w:sz w:val="24"/>
        </w:rPr>
        <w:t>15.5项目特别要求的备品备件，指质保期内</w:t>
      </w:r>
      <w:r>
        <w:rPr>
          <w:rFonts w:hint="eastAsia" w:cs="宋体"/>
          <w:sz w:val="24"/>
        </w:rPr>
        <w:t>所需的备品备件。</w:t>
      </w:r>
    </w:p>
    <w:p w14:paraId="44AC185C">
      <w:pPr>
        <w:spacing w:line="360" w:lineRule="auto"/>
        <w:ind w:firstLine="480" w:firstLineChars="200"/>
        <w:rPr>
          <w:rFonts w:hint="eastAsia" w:cs="宋体"/>
          <w:bCs/>
          <w:sz w:val="24"/>
        </w:rPr>
      </w:pPr>
      <w:r>
        <w:rPr>
          <w:rFonts w:hint="eastAsia" w:cs="宋体"/>
          <w:bCs/>
          <w:sz w:val="24"/>
        </w:rPr>
        <w:t>15.6进口组部件、元器件或全进口产品(如接受进口产品)的全部费用须折合成人民币报价，并注明进口件的原产地，交货时需提供商检证明。汇率风险由投标人自行承担。</w:t>
      </w:r>
    </w:p>
    <w:p w14:paraId="192F6095">
      <w:pPr>
        <w:spacing w:line="360" w:lineRule="auto"/>
        <w:ind w:firstLine="480" w:firstLineChars="200"/>
        <w:rPr>
          <w:rFonts w:hint="eastAsia" w:cs="宋体"/>
          <w:bCs/>
          <w:sz w:val="24"/>
        </w:rPr>
      </w:pPr>
      <w:r>
        <w:rPr>
          <w:rFonts w:hint="eastAsia" w:cs="宋体"/>
          <w:bCs/>
          <w:sz w:val="24"/>
        </w:rPr>
        <w:t>15.7运杂费用：即投标货物到交货地点前的所有费用，包括铁路或公路运费、提货及转运费用、短途运费、包装费、装卸费用、加固费用、保险费等。</w:t>
      </w:r>
    </w:p>
    <w:p w14:paraId="499901D4">
      <w:pPr>
        <w:spacing w:line="360" w:lineRule="auto"/>
        <w:ind w:firstLine="480" w:firstLineChars="200"/>
        <w:rPr>
          <w:rFonts w:hint="eastAsia" w:cs="宋体"/>
          <w:bCs/>
          <w:sz w:val="24"/>
        </w:rPr>
      </w:pPr>
      <w:r>
        <w:rPr>
          <w:rFonts w:hint="eastAsia" w:cs="宋体"/>
          <w:bCs/>
          <w:sz w:val="24"/>
        </w:rPr>
        <w:t>15.8技术服务费用包括：设计联络费用（若有）、现场服务（包括指导安装和调试费用）和人员培训的费用、技术资料费以及技术咨询协调费用等。</w:t>
      </w:r>
    </w:p>
    <w:p w14:paraId="0DE809B8">
      <w:pPr>
        <w:spacing w:line="360" w:lineRule="auto"/>
        <w:ind w:firstLine="480" w:firstLineChars="200"/>
        <w:jc w:val="left"/>
        <w:rPr>
          <w:rFonts w:hint="eastAsia" w:cs="宋体"/>
          <w:b/>
          <w:sz w:val="24"/>
        </w:rPr>
      </w:pPr>
      <w:r>
        <w:rPr>
          <w:rFonts w:hint="eastAsia" w:cs="宋体"/>
          <w:b/>
          <w:sz w:val="24"/>
        </w:rPr>
        <w:t>16.投标货币</w:t>
      </w:r>
    </w:p>
    <w:p w14:paraId="19C99A4F">
      <w:pPr>
        <w:spacing w:line="360" w:lineRule="auto"/>
        <w:ind w:firstLine="480" w:firstLineChars="200"/>
        <w:rPr>
          <w:rFonts w:hint="eastAsia" w:cs="宋体"/>
          <w:bCs/>
          <w:sz w:val="24"/>
        </w:rPr>
      </w:pPr>
      <w:r>
        <w:rPr>
          <w:rFonts w:hint="eastAsia" w:cs="宋体"/>
          <w:sz w:val="24"/>
        </w:rPr>
        <w:t>16.1投标以人民币报价。</w:t>
      </w:r>
    </w:p>
    <w:p w14:paraId="66318098">
      <w:pPr>
        <w:spacing w:line="360" w:lineRule="auto"/>
        <w:ind w:firstLine="480" w:firstLineChars="200"/>
        <w:jc w:val="left"/>
        <w:rPr>
          <w:rFonts w:hint="eastAsia" w:cs="宋体"/>
          <w:b/>
          <w:sz w:val="24"/>
        </w:rPr>
      </w:pPr>
      <w:r>
        <w:rPr>
          <w:rFonts w:hint="eastAsia" w:cs="宋体"/>
          <w:b/>
          <w:sz w:val="24"/>
        </w:rPr>
        <w:t>17.投标文件有效期</w:t>
      </w:r>
    </w:p>
    <w:p w14:paraId="141F3464">
      <w:pPr>
        <w:spacing w:line="360" w:lineRule="auto"/>
        <w:ind w:firstLine="480" w:firstLineChars="200"/>
        <w:jc w:val="left"/>
        <w:rPr>
          <w:rFonts w:hint="eastAsia" w:cs="宋体"/>
          <w:sz w:val="24"/>
        </w:rPr>
      </w:pPr>
      <w:r>
        <w:rPr>
          <w:rFonts w:hint="eastAsia" w:cs="宋体"/>
          <w:sz w:val="24"/>
        </w:rPr>
        <w:t>17.1在“投标人须知前附表”规定的投标有效期内，投标人不得要求撤销或修改其投标文件。</w:t>
      </w:r>
    </w:p>
    <w:p w14:paraId="0C29ACC2">
      <w:pPr>
        <w:spacing w:line="360" w:lineRule="auto"/>
        <w:ind w:firstLine="480" w:firstLineChars="200"/>
        <w:jc w:val="left"/>
        <w:rPr>
          <w:rFonts w:hint="eastAsia" w:cs="宋体"/>
          <w:sz w:val="24"/>
        </w:rPr>
      </w:pPr>
      <w:r>
        <w:rPr>
          <w:rFonts w:hint="eastAsia" w:cs="宋体"/>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35D54C71">
      <w:pPr>
        <w:spacing w:line="360" w:lineRule="auto"/>
        <w:ind w:firstLine="480" w:firstLineChars="200"/>
        <w:jc w:val="left"/>
        <w:rPr>
          <w:rFonts w:hint="eastAsia" w:cs="宋体"/>
          <w:sz w:val="24"/>
        </w:rPr>
      </w:pPr>
      <w:r>
        <w:rPr>
          <w:rFonts w:hint="eastAsia" w:cs="宋体"/>
          <w:sz w:val="24"/>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52E26D35">
      <w:pPr>
        <w:spacing w:line="360" w:lineRule="auto"/>
        <w:ind w:firstLine="480" w:firstLineChars="200"/>
        <w:jc w:val="left"/>
        <w:rPr>
          <w:rFonts w:hint="eastAsia" w:cs="宋体"/>
          <w:b/>
          <w:sz w:val="24"/>
        </w:rPr>
      </w:pPr>
      <w:r>
        <w:rPr>
          <w:rFonts w:hint="eastAsia" w:cs="宋体"/>
          <w:b/>
          <w:sz w:val="24"/>
        </w:rPr>
        <w:t>18.分包</w:t>
      </w:r>
    </w:p>
    <w:p w14:paraId="53846225">
      <w:pPr>
        <w:spacing w:line="360" w:lineRule="auto"/>
        <w:ind w:firstLine="480" w:firstLineChars="200"/>
        <w:jc w:val="left"/>
        <w:rPr>
          <w:rFonts w:hint="eastAsia" w:cs="宋体"/>
          <w:kern w:val="0"/>
          <w:sz w:val="24"/>
        </w:rPr>
      </w:pPr>
      <w:r>
        <w:rPr>
          <w:rFonts w:hint="eastAsia" w:cs="宋体"/>
          <w:sz w:val="24"/>
        </w:rPr>
        <w:t>18.1“投标人须知前附表”规定允许分包的项目，投标人在中标后只能将项目的非主体、</w:t>
      </w:r>
      <w:r>
        <w:rPr>
          <w:rFonts w:hint="eastAsia" w:cs="宋体"/>
          <w:kern w:val="0"/>
          <w:sz w:val="24"/>
        </w:rPr>
        <w:t>非关键性工作分包。投标人应当在投标文件中载明分包承担主体，分包承担主体应当具备相应资质条件且不得再次分包。</w:t>
      </w:r>
    </w:p>
    <w:p w14:paraId="18B601C1">
      <w:pPr>
        <w:spacing w:line="360" w:lineRule="auto"/>
        <w:ind w:firstLine="480" w:firstLineChars="200"/>
        <w:jc w:val="left"/>
        <w:rPr>
          <w:rFonts w:hint="eastAsia" w:cs="宋体"/>
          <w:kern w:val="0"/>
          <w:sz w:val="24"/>
        </w:rPr>
      </w:pPr>
      <w:r>
        <w:rPr>
          <w:rFonts w:hint="eastAsia" w:cs="宋体"/>
          <w:kern w:val="0"/>
          <w:sz w:val="24"/>
        </w:rPr>
        <w:t>19.投标人应当遵循公平竞争的原则，不得恶意串通，不得妨碍其他投标人的竞争行为，不得损害采购人或者其他投标人的合法权益。</w:t>
      </w:r>
    </w:p>
    <w:p w14:paraId="196E1A90">
      <w:pPr>
        <w:spacing w:line="360" w:lineRule="auto"/>
        <w:ind w:firstLine="480" w:firstLineChars="200"/>
        <w:jc w:val="left"/>
        <w:rPr>
          <w:rFonts w:hint="eastAsia" w:cs="宋体"/>
          <w:b/>
          <w:sz w:val="24"/>
        </w:rPr>
      </w:pPr>
      <w:r>
        <w:rPr>
          <w:rFonts w:hint="eastAsia" w:cs="宋体"/>
          <w:b/>
          <w:sz w:val="24"/>
        </w:rPr>
        <w:t>20.投标文件的编制</w:t>
      </w:r>
    </w:p>
    <w:p w14:paraId="2FFDCACC">
      <w:pPr>
        <w:spacing w:line="360" w:lineRule="auto"/>
        <w:ind w:firstLine="480" w:firstLineChars="200"/>
        <w:jc w:val="left"/>
        <w:rPr>
          <w:rFonts w:hint="eastAsia" w:cs="宋体"/>
          <w:sz w:val="24"/>
        </w:rPr>
      </w:pPr>
      <w:r>
        <w:rPr>
          <w:rFonts w:hint="eastAsia" w:cs="宋体"/>
          <w:sz w:val="24"/>
        </w:rPr>
        <w:t>20.1投标人应按照招标文件和政府采购云平台的要求编制投标文件，投标文件中涉及盖章签署的地方，建议使用电子签章进行签署。</w:t>
      </w:r>
    </w:p>
    <w:p w14:paraId="3659CEB3">
      <w:pPr>
        <w:spacing w:line="360" w:lineRule="auto"/>
        <w:ind w:firstLine="480" w:firstLineChars="200"/>
        <w:jc w:val="left"/>
        <w:rPr>
          <w:rFonts w:hint="eastAsia" w:cs="宋体"/>
          <w:sz w:val="24"/>
        </w:rPr>
      </w:pPr>
      <w:r>
        <w:rPr>
          <w:rFonts w:hint="eastAsia" w:cs="宋体"/>
          <w:sz w:val="24"/>
        </w:rPr>
        <w:t>20.2可靠的电子签名/公章，与手写签名或者盖章具有同等的法律效力。</w:t>
      </w:r>
    </w:p>
    <w:p w14:paraId="2E5B73A8">
      <w:pPr>
        <w:spacing w:line="360" w:lineRule="auto"/>
        <w:ind w:firstLine="480" w:firstLineChars="200"/>
        <w:jc w:val="left"/>
        <w:rPr>
          <w:rFonts w:hint="eastAsia" w:cs="宋体"/>
          <w:sz w:val="24"/>
        </w:rPr>
      </w:pPr>
      <w:r>
        <w:rPr>
          <w:rFonts w:hint="eastAsia" w:cs="宋体"/>
          <w:sz w:val="24"/>
        </w:rPr>
        <w:t>20.3 投标文件中提</w:t>
      </w:r>
      <w:r>
        <w:rPr>
          <w:rFonts w:hint="eastAsia" w:cs="宋体"/>
          <w:bCs/>
          <w:sz w:val="24"/>
        </w:rPr>
        <w:t>供的资料（包括复印件/扫描件），内容必须清晰可辨，若内容模糊，无法辨识，均视为未提供。</w:t>
      </w:r>
    </w:p>
    <w:p w14:paraId="0570CA94">
      <w:pPr>
        <w:spacing w:line="360" w:lineRule="auto"/>
        <w:ind w:firstLine="480" w:firstLineChars="200"/>
        <w:jc w:val="left"/>
        <w:rPr>
          <w:rFonts w:hint="eastAsia" w:cs="宋体"/>
          <w:b/>
          <w:sz w:val="24"/>
        </w:rPr>
      </w:pPr>
      <w:r>
        <w:rPr>
          <w:rFonts w:hint="eastAsia" w:cs="宋体"/>
          <w:b/>
          <w:sz w:val="24"/>
        </w:rPr>
        <w:t>21.投标保证金</w:t>
      </w:r>
    </w:p>
    <w:p w14:paraId="53183B60">
      <w:pPr>
        <w:pStyle w:val="19"/>
        <w:tabs>
          <w:tab w:val="left" w:pos="710"/>
        </w:tabs>
        <w:spacing w:line="360" w:lineRule="auto"/>
        <w:ind w:firstLine="480" w:firstLineChars="200"/>
        <w:rPr>
          <w:rFonts w:hint="eastAsia" w:cs="宋体"/>
          <w:sz w:val="24"/>
          <w:szCs w:val="24"/>
        </w:rPr>
      </w:pPr>
      <w:r>
        <w:rPr>
          <w:rFonts w:hint="eastAsia" w:cs="宋体"/>
          <w:sz w:val="24"/>
          <w:szCs w:val="24"/>
        </w:rPr>
        <w:t>21.1 投标保证金为人民币。投标人应在提交投标文件截止时间以前按“投标人须知前附表”的规定提交。</w:t>
      </w:r>
    </w:p>
    <w:p w14:paraId="63AAA0C6">
      <w:pPr>
        <w:pStyle w:val="19"/>
        <w:spacing w:line="360" w:lineRule="auto"/>
        <w:ind w:firstLine="480" w:firstLineChars="200"/>
        <w:rPr>
          <w:rFonts w:hint="eastAsia" w:cs="宋体"/>
          <w:sz w:val="24"/>
          <w:szCs w:val="24"/>
        </w:rPr>
      </w:pPr>
      <w:r>
        <w:rPr>
          <w:rFonts w:hint="eastAsia" w:cs="宋体"/>
          <w:sz w:val="24"/>
          <w:szCs w:val="24"/>
        </w:rPr>
        <w:t xml:space="preserve">21.2 </w:t>
      </w:r>
      <w:r>
        <w:rPr>
          <w:rFonts w:hint="eastAsia" w:cs="宋体"/>
          <w:kern w:val="0"/>
          <w:sz w:val="24"/>
          <w:szCs w:val="24"/>
        </w:rPr>
        <w:t>投标人在投标截止时间前撤回已提交的投标文件的，采购代理机构将在自收到投标人书面撤回通知之日起5个工作日内，退还已收取的投标保证金，但因投标人自身原因导致无法及时退还的除外</w:t>
      </w:r>
      <w:r>
        <w:rPr>
          <w:rFonts w:hint="eastAsia" w:cs="宋体"/>
          <w:sz w:val="24"/>
          <w:szCs w:val="24"/>
        </w:rPr>
        <w:t>。</w:t>
      </w:r>
    </w:p>
    <w:p w14:paraId="23E6B009">
      <w:pPr>
        <w:pStyle w:val="19"/>
        <w:spacing w:line="360" w:lineRule="auto"/>
        <w:ind w:firstLine="480" w:firstLineChars="200"/>
        <w:rPr>
          <w:rFonts w:hint="eastAsia" w:cs="宋体"/>
          <w:sz w:val="24"/>
          <w:szCs w:val="24"/>
        </w:rPr>
      </w:pPr>
      <w:r>
        <w:rPr>
          <w:rFonts w:hint="eastAsia" w:cs="宋体"/>
          <w:sz w:val="24"/>
          <w:szCs w:val="24"/>
        </w:rPr>
        <w:t>21.3 未中标人的投标保证金将在中标公告发出后5个工作日退还；中标人的投标保证金将在</w:t>
      </w:r>
      <w:r>
        <w:rPr>
          <w:rFonts w:hint="eastAsia" w:cs="宋体"/>
          <w:kern w:val="0"/>
          <w:sz w:val="24"/>
          <w:szCs w:val="24"/>
        </w:rPr>
        <w:t>采购合同签订之日起5个工作日内退还</w:t>
      </w:r>
      <w:r>
        <w:rPr>
          <w:rFonts w:hint="eastAsia" w:cs="宋体"/>
          <w:sz w:val="24"/>
          <w:szCs w:val="24"/>
        </w:rPr>
        <w:t>。</w:t>
      </w:r>
    </w:p>
    <w:p w14:paraId="63FC1685">
      <w:pPr>
        <w:pStyle w:val="19"/>
        <w:spacing w:line="360" w:lineRule="auto"/>
        <w:ind w:firstLine="480" w:firstLineChars="200"/>
        <w:rPr>
          <w:rFonts w:hint="eastAsia" w:cs="宋体"/>
          <w:sz w:val="24"/>
          <w:szCs w:val="24"/>
        </w:rPr>
      </w:pPr>
      <w:r>
        <w:rPr>
          <w:rFonts w:hint="eastAsia" w:cs="宋体"/>
          <w:sz w:val="24"/>
          <w:szCs w:val="24"/>
        </w:rPr>
        <w:t>21.4 （1）以电汇、网银、转账方式缴纳的保证金，以网银对公转账的方式退还到投标人打款账户；</w:t>
      </w:r>
      <w:r>
        <w:rPr>
          <w:rFonts w:hint="eastAsia" w:cs="宋体"/>
          <w:sz w:val="24"/>
          <w:szCs w:val="24"/>
        </w:rPr>
        <w:br w:type="textWrapping"/>
      </w:r>
      <w:r>
        <w:rPr>
          <w:rFonts w:hint="eastAsia" w:cs="宋体"/>
          <w:sz w:val="24"/>
          <w:szCs w:val="24"/>
        </w:rPr>
        <w:t>（2）以支票、汇票及本票等票据方式缴纳的保证金，经财务查账确认后以网银对公转账的方式退还到投标人开户账户；（3）以银行保函或者保证保险方式缴纳的保证金由投标人自行联系出函机构进行退还。</w:t>
      </w:r>
    </w:p>
    <w:p w14:paraId="58F8D092">
      <w:pPr>
        <w:pStyle w:val="19"/>
        <w:spacing w:line="360" w:lineRule="auto"/>
        <w:ind w:firstLine="480" w:firstLineChars="200"/>
        <w:rPr>
          <w:rFonts w:hint="eastAsia" w:cs="宋体"/>
          <w:sz w:val="24"/>
          <w:szCs w:val="24"/>
        </w:rPr>
      </w:pPr>
      <w:r>
        <w:rPr>
          <w:rFonts w:hint="eastAsia" w:cs="宋体"/>
          <w:sz w:val="24"/>
          <w:szCs w:val="24"/>
        </w:rPr>
        <w:t>21.5 下列情况发生时，投标保证金将不予退还</w:t>
      </w:r>
    </w:p>
    <w:p w14:paraId="5C664C3A">
      <w:pPr>
        <w:pStyle w:val="19"/>
        <w:spacing w:line="360" w:lineRule="auto"/>
        <w:ind w:firstLine="480" w:firstLineChars="200"/>
        <w:rPr>
          <w:rFonts w:hint="eastAsia" w:cs="宋体"/>
          <w:sz w:val="24"/>
          <w:szCs w:val="24"/>
        </w:rPr>
      </w:pPr>
      <w:r>
        <w:rPr>
          <w:rFonts w:hint="eastAsia" w:cs="宋体"/>
          <w:sz w:val="24"/>
          <w:szCs w:val="24"/>
        </w:rPr>
        <w:t>（1）投标人在投标有效期内要求撤回投标的；</w:t>
      </w:r>
    </w:p>
    <w:p w14:paraId="5B872915">
      <w:pPr>
        <w:spacing w:line="360" w:lineRule="auto"/>
        <w:ind w:firstLine="480" w:firstLineChars="200"/>
        <w:rPr>
          <w:rFonts w:hint="eastAsia" w:cs="宋体"/>
          <w:sz w:val="24"/>
        </w:rPr>
      </w:pPr>
      <w:r>
        <w:rPr>
          <w:rFonts w:hint="eastAsia" w:cs="宋体"/>
          <w:sz w:val="24"/>
        </w:rPr>
        <w:t>（2）中标人中标后无正当理由不与采购人签订合同的；</w:t>
      </w:r>
    </w:p>
    <w:p w14:paraId="6B3FE690">
      <w:pPr>
        <w:spacing w:line="360" w:lineRule="auto"/>
        <w:ind w:firstLine="480" w:firstLineChars="200"/>
        <w:rPr>
          <w:rFonts w:hint="eastAsia" w:cs="宋体"/>
          <w:sz w:val="24"/>
        </w:rPr>
      </w:pPr>
      <w:r>
        <w:rPr>
          <w:rFonts w:hint="eastAsia" w:cs="宋体"/>
          <w:sz w:val="24"/>
        </w:rPr>
        <w:t>（3）中标人将中标项目转让给他人，或者在投标文件中未说明，且未经采购人同意，将中标项目分包给他人的；</w:t>
      </w:r>
    </w:p>
    <w:p w14:paraId="0D7D1DA6">
      <w:pPr>
        <w:spacing w:line="360" w:lineRule="auto"/>
        <w:ind w:firstLine="480" w:firstLineChars="200"/>
        <w:jc w:val="left"/>
        <w:rPr>
          <w:rFonts w:hint="eastAsia" w:cs="宋体"/>
          <w:sz w:val="24"/>
        </w:rPr>
      </w:pPr>
      <w:r>
        <w:rPr>
          <w:rFonts w:hint="eastAsia" w:cs="宋体"/>
          <w:sz w:val="24"/>
        </w:rPr>
        <w:t>（4）中标人拒绝履行合同义务的。</w:t>
      </w:r>
    </w:p>
    <w:p w14:paraId="13E71C2F">
      <w:pPr>
        <w:pStyle w:val="6"/>
        <w:numPr>
          <w:ilvl w:val="1"/>
          <w:numId w:val="0"/>
        </w:numPr>
        <w:ind w:left="596" w:hanging="596"/>
        <w:jc w:val="center"/>
        <w:rPr>
          <w:rFonts w:hint="eastAsia" w:eastAsia="宋体" w:cs="宋体"/>
          <w:sz w:val="24"/>
          <w:szCs w:val="24"/>
        </w:rPr>
      </w:pPr>
      <w:bookmarkStart w:id="91" w:name="_Toc152172892"/>
      <w:bookmarkStart w:id="92" w:name="_Toc91696409"/>
      <w:bookmarkStart w:id="93" w:name="_Toc152862071"/>
      <w:bookmarkStart w:id="94" w:name="_Toc69912401"/>
      <w:bookmarkStart w:id="95" w:name="_Toc491076991"/>
      <w:bookmarkStart w:id="96" w:name="_Toc13060"/>
      <w:r>
        <w:rPr>
          <w:rFonts w:hint="eastAsia" w:eastAsia="宋体" w:cs="宋体"/>
          <w:sz w:val="24"/>
          <w:szCs w:val="24"/>
        </w:rPr>
        <w:t>四、投标文件的提交</w:t>
      </w:r>
      <w:bookmarkEnd w:id="91"/>
      <w:bookmarkEnd w:id="92"/>
      <w:bookmarkEnd w:id="93"/>
      <w:bookmarkEnd w:id="94"/>
      <w:bookmarkEnd w:id="95"/>
      <w:bookmarkEnd w:id="96"/>
    </w:p>
    <w:p w14:paraId="2430F75D">
      <w:pPr>
        <w:spacing w:line="360" w:lineRule="auto"/>
        <w:ind w:firstLine="480" w:firstLineChars="200"/>
        <w:rPr>
          <w:rFonts w:hint="eastAsia" w:cs="宋体"/>
          <w:b/>
          <w:bCs/>
          <w:sz w:val="24"/>
        </w:rPr>
      </w:pPr>
      <w:r>
        <w:rPr>
          <w:rFonts w:hint="eastAsia" w:cs="宋体"/>
          <w:b/>
          <w:bCs/>
          <w:sz w:val="24"/>
        </w:rPr>
        <w:t>22.投标文件的密封与标记</w:t>
      </w:r>
    </w:p>
    <w:p w14:paraId="058E7EC9">
      <w:pPr>
        <w:pStyle w:val="19"/>
        <w:spacing w:line="360" w:lineRule="auto"/>
        <w:ind w:firstLine="480" w:firstLineChars="200"/>
        <w:rPr>
          <w:rFonts w:hint="eastAsia" w:cs="宋体"/>
          <w:sz w:val="24"/>
          <w:szCs w:val="24"/>
        </w:rPr>
      </w:pPr>
      <w:r>
        <w:rPr>
          <w:rFonts w:hint="eastAsia" w:cs="宋体"/>
          <w:sz w:val="24"/>
          <w:szCs w:val="24"/>
        </w:rPr>
        <w:t>22.1 投标人应按照招标文件、政府采购云平台的要求对投标文件进行制作和加密，投标人未按照招标文件要求提交的投标文件将被拒收。</w:t>
      </w:r>
    </w:p>
    <w:p w14:paraId="46A289E2">
      <w:pPr>
        <w:spacing w:line="360" w:lineRule="auto"/>
        <w:ind w:firstLine="480" w:firstLineChars="200"/>
        <w:jc w:val="left"/>
        <w:rPr>
          <w:rFonts w:hint="eastAsia" w:cs="宋体"/>
          <w:sz w:val="24"/>
        </w:rPr>
      </w:pPr>
      <w:r>
        <w:rPr>
          <w:rFonts w:hint="eastAsia" w:cs="宋体"/>
          <w:sz w:val="24"/>
        </w:rPr>
        <w:t>22.2投标人应按“投标人须知前附表”中的规定提交投标文件。</w:t>
      </w:r>
    </w:p>
    <w:p w14:paraId="64908B06">
      <w:pPr>
        <w:spacing w:line="360" w:lineRule="auto"/>
        <w:ind w:firstLine="480" w:firstLineChars="200"/>
        <w:jc w:val="left"/>
        <w:rPr>
          <w:rFonts w:hint="eastAsia" w:cs="宋体"/>
          <w:b/>
          <w:sz w:val="24"/>
        </w:rPr>
      </w:pPr>
      <w:r>
        <w:rPr>
          <w:rFonts w:hint="eastAsia" w:cs="宋体"/>
          <w:b/>
          <w:sz w:val="24"/>
        </w:rPr>
        <w:t>23.提交投标文件截止时间和地点</w:t>
      </w:r>
    </w:p>
    <w:p w14:paraId="183262EA">
      <w:pPr>
        <w:pStyle w:val="19"/>
        <w:spacing w:line="360" w:lineRule="auto"/>
        <w:ind w:left="-10" w:leftChars="-5" w:firstLine="480" w:firstLineChars="200"/>
        <w:rPr>
          <w:rFonts w:hint="eastAsia" w:cs="宋体"/>
          <w:sz w:val="24"/>
          <w:szCs w:val="24"/>
        </w:rPr>
      </w:pPr>
      <w:r>
        <w:rPr>
          <w:rFonts w:hint="eastAsia" w:cs="宋体"/>
          <w:sz w:val="24"/>
          <w:szCs w:val="24"/>
        </w:rPr>
        <w:t>23.1 投标文件的提交不得迟于“投标人须知前附表”规定的提交投标文件截止时间。逾期送达的投标文件，将被拒收。</w:t>
      </w:r>
    </w:p>
    <w:p w14:paraId="6009568A">
      <w:pPr>
        <w:pStyle w:val="19"/>
        <w:spacing w:line="360" w:lineRule="auto"/>
        <w:ind w:left="-10" w:leftChars="-5" w:firstLine="480" w:firstLineChars="200"/>
        <w:rPr>
          <w:rFonts w:hint="eastAsia" w:cs="宋体"/>
          <w:sz w:val="24"/>
          <w:szCs w:val="24"/>
        </w:rPr>
      </w:pPr>
      <w:r>
        <w:rPr>
          <w:rFonts w:hint="eastAsia" w:cs="宋体"/>
          <w:sz w:val="24"/>
          <w:szCs w:val="24"/>
        </w:rPr>
        <w:t>23.2 投标人必须在规定时间内将投标文件提交到“投标人须知前附表”规定的地点。</w:t>
      </w:r>
    </w:p>
    <w:p w14:paraId="6149DA6D">
      <w:pPr>
        <w:spacing w:line="360" w:lineRule="auto"/>
        <w:ind w:firstLine="480" w:firstLineChars="200"/>
        <w:jc w:val="left"/>
        <w:rPr>
          <w:rFonts w:hint="eastAsia" w:cs="宋体"/>
          <w:bCs/>
          <w:sz w:val="24"/>
        </w:rPr>
      </w:pPr>
      <w:r>
        <w:rPr>
          <w:rFonts w:hint="eastAsia" w:cs="宋体"/>
          <w:sz w:val="24"/>
        </w:rPr>
        <w:t>23.3 除“投标人须知前附表”另有规定外，投标人所提交的投标文件不予退还。</w:t>
      </w:r>
    </w:p>
    <w:p w14:paraId="694D6FD2">
      <w:pPr>
        <w:spacing w:line="360" w:lineRule="auto"/>
        <w:ind w:firstLine="480" w:firstLineChars="200"/>
        <w:rPr>
          <w:rFonts w:hint="eastAsia" w:cs="宋体"/>
          <w:sz w:val="24"/>
        </w:rPr>
      </w:pPr>
      <w:r>
        <w:rPr>
          <w:rFonts w:hint="eastAsia" w:cs="宋体"/>
          <w:b/>
          <w:bCs/>
          <w:sz w:val="24"/>
        </w:rPr>
        <w:t>24.投标文件的修改与撤回</w:t>
      </w:r>
    </w:p>
    <w:p w14:paraId="5AC7BE87">
      <w:pPr>
        <w:spacing w:line="360" w:lineRule="auto"/>
        <w:ind w:firstLine="480" w:firstLineChars="200"/>
        <w:rPr>
          <w:rFonts w:hint="eastAsia" w:cs="宋体"/>
          <w:sz w:val="24"/>
        </w:rPr>
      </w:pPr>
      <w:r>
        <w:rPr>
          <w:rFonts w:hint="eastAsia" w:cs="宋体"/>
          <w:sz w:val="24"/>
        </w:rPr>
        <w:t>投标人在投标截止时间前，可以对所递交的投标文件进行补充、修改或者撤回，并书面通知采购人或者采购代理机构。补充、修改的内容应当按照招标文件要求签署、盖章、密封（加密）后，作为投标文件的组成部分。</w:t>
      </w:r>
    </w:p>
    <w:p w14:paraId="3BE528D2">
      <w:pPr>
        <w:pStyle w:val="6"/>
        <w:numPr>
          <w:ilvl w:val="1"/>
          <w:numId w:val="0"/>
        </w:numPr>
        <w:ind w:left="596" w:hanging="596"/>
        <w:jc w:val="center"/>
        <w:rPr>
          <w:rFonts w:hint="eastAsia" w:eastAsia="宋体" w:cs="宋体"/>
          <w:sz w:val="24"/>
          <w:szCs w:val="24"/>
        </w:rPr>
      </w:pPr>
      <w:bookmarkStart w:id="97" w:name="_Toc69912402"/>
      <w:bookmarkStart w:id="98" w:name="_Toc152172893"/>
      <w:bookmarkStart w:id="99" w:name="_Toc491076992"/>
      <w:bookmarkStart w:id="100" w:name="_Toc152862072"/>
      <w:bookmarkStart w:id="101" w:name="_Toc91696410"/>
      <w:bookmarkStart w:id="102" w:name="_Toc20943"/>
      <w:r>
        <w:rPr>
          <w:rFonts w:hint="eastAsia" w:eastAsia="宋体" w:cs="宋体"/>
          <w:sz w:val="24"/>
          <w:szCs w:val="24"/>
        </w:rPr>
        <w:t>五、开标与评标</w:t>
      </w:r>
      <w:bookmarkEnd w:id="97"/>
      <w:bookmarkEnd w:id="98"/>
      <w:bookmarkEnd w:id="99"/>
      <w:bookmarkEnd w:id="100"/>
      <w:bookmarkEnd w:id="101"/>
      <w:bookmarkEnd w:id="102"/>
    </w:p>
    <w:p w14:paraId="615BC9B8">
      <w:pPr>
        <w:spacing w:line="360" w:lineRule="auto"/>
        <w:ind w:firstLine="480" w:firstLineChars="200"/>
        <w:jc w:val="left"/>
        <w:rPr>
          <w:rFonts w:hint="eastAsia" w:cs="宋体"/>
          <w:b/>
          <w:sz w:val="24"/>
        </w:rPr>
      </w:pPr>
      <w:r>
        <w:rPr>
          <w:rFonts w:hint="eastAsia" w:cs="宋体"/>
          <w:b/>
          <w:sz w:val="24"/>
        </w:rPr>
        <w:t>25.开标</w:t>
      </w:r>
    </w:p>
    <w:p w14:paraId="195671FC">
      <w:pPr>
        <w:spacing w:line="360" w:lineRule="auto"/>
        <w:ind w:firstLine="480" w:firstLineChars="200"/>
        <w:rPr>
          <w:rFonts w:hint="eastAsia" w:cs="宋体"/>
          <w:sz w:val="24"/>
        </w:rPr>
      </w:pPr>
      <w:r>
        <w:rPr>
          <w:rFonts w:hint="eastAsia" w:cs="宋体"/>
          <w:sz w:val="24"/>
        </w:rPr>
        <w:t>25.1采购代理机构将在“</w:t>
      </w:r>
      <w:r>
        <w:rPr>
          <w:rFonts w:hint="eastAsia" w:cs="宋体"/>
          <w:b/>
          <w:bCs/>
          <w:sz w:val="24"/>
        </w:rPr>
        <w:t>投标人须知前附表</w:t>
      </w:r>
      <w:r>
        <w:rPr>
          <w:rFonts w:hint="eastAsia" w:cs="宋体"/>
          <w:sz w:val="24"/>
        </w:rPr>
        <w:t xml:space="preserve">”规定的时间和地点进行开标。 </w:t>
      </w:r>
    </w:p>
    <w:p w14:paraId="245F97BB">
      <w:pPr>
        <w:spacing w:line="360" w:lineRule="auto"/>
        <w:ind w:firstLine="480" w:firstLineChars="200"/>
        <w:jc w:val="left"/>
        <w:rPr>
          <w:rFonts w:hint="eastAsia" w:cs="宋体"/>
          <w:sz w:val="24"/>
        </w:rPr>
      </w:pPr>
      <w:r>
        <w:rPr>
          <w:rFonts w:hint="eastAsia" w:cs="宋体"/>
          <w:sz w:val="24"/>
        </w:rPr>
        <w:t>25.2投标截止后投标人不足3家的，不得开标。</w:t>
      </w:r>
    </w:p>
    <w:p w14:paraId="024CA9D8">
      <w:pPr>
        <w:spacing w:line="360" w:lineRule="auto"/>
        <w:ind w:firstLine="480" w:firstLineChars="200"/>
        <w:rPr>
          <w:rFonts w:hint="eastAsia" w:cs="宋体"/>
          <w:sz w:val="24"/>
        </w:rPr>
      </w:pPr>
      <w:r>
        <w:rPr>
          <w:rFonts w:hint="eastAsia" w:cs="宋体"/>
          <w:sz w:val="24"/>
        </w:rPr>
        <w:t>25.3开标程序：本项目按政府采购云平台的要求进行开标程序。</w:t>
      </w:r>
    </w:p>
    <w:p w14:paraId="521C6CD4">
      <w:pPr>
        <w:spacing w:line="360" w:lineRule="auto"/>
        <w:ind w:left="2" w:firstLine="480" w:firstLineChars="200"/>
        <w:jc w:val="left"/>
        <w:rPr>
          <w:rFonts w:hint="eastAsia" w:cs="宋体"/>
          <w:b/>
          <w:sz w:val="24"/>
        </w:rPr>
      </w:pPr>
      <w:r>
        <w:rPr>
          <w:rFonts w:hint="eastAsia" w:cs="宋体"/>
          <w:b/>
          <w:sz w:val="24"/>
        </w:rPr>
        <w:t>26.资格审查</w:t>
      </w:r>
    </w:p>
    <w:p w14:paraId="2787E50D">
      <w:pPr>
        <w:spacing w:line="360" w:lineRule="auto"/>
        <w:ind w:left="2" w:firstLine="480" w:firstLineChars="200"/>
        <w:jc w:val="left"/>
        <w:rPr>
          <w:rFonts w:hint="eastAsia" w:cs="宋体"/>
          <w:sz w:val="24"/>
        </w:rPr>
      </w:pPr>
      <w:r>
        <w:rPr>
          <w:rFonts w:hint="eastAsia" w:cs="宋体"/>
          <w:sz w:val="24"/>
        </w:rPr>
        <w:t>26.1开标结束后，采购人或者采购代理机构应当依法对投标人的资格进行审查。合格投标人不足3家的，不得评标。</w:t>
      </w:r>
    </w:p>
    <w:p w14:paraId="236ADAA6">
      <w:pPr>
        <w:spacing w:line="360" w:lineRule="auto"/>
        <w:ind w:firstLine="480" w:firstLineChars="200"/>
        <w:jc w:val="left"/>
        <w:rPr>
          <w:rFonts w:hint="eastAsia" w:cs="宋体"/>
          <w:b/>
          <w:sz w:val="24"/>
        </w:rPr>
      </w:pPr>
      <w:r>
        <w:rPr>
          <w:rFonts w:hint="eastAsia" w:cs="宋体"/>
          <w:b/>
          <w:sz w:val="24"/>
        </w:rPr>
        <w:t>27.评标</w:t>
      </w:r>
    </w:p>
    <w:p w14:paraId="5552CB40">
      <w:pPr>
        <w:spacing w:line="360" w:lineRule="auto"/>
        <w:ind w:firstLine="480" w:firstLineChars="200"/>
        <w:jc w:val="left"/>
        <w:rPr>
          <w:rFonts w:hint="eastAsia" w:cs="宋体"/>
          <w:sz w:val="24"/>
        </w:rPr>
      </w:pPr>
      <w:r>
        <w:rPr>
          <w:rFonts w:hint="eastAsia" w:cs="宋体"/>
          <w:sz w:val="24"/>
        </w:rPr>
        <w:t>27.1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644C31E3">
      <w:pPr>
        <w:spacing w:line="360" w:lineRule="auto"/>
        <w:ind w:firstLine="480" w:firstLineChars="200"/>
        <w:jc w:val="left"/>
        <w:rPr>
          <w:rFonts w:hint="eastAsia" w:cs="宋体"/>
          <w:sz w:val="24"/>
        </w:rPr>
      </w:pPr>
      <w:r>
        <w:rPr>
          <w:rFonts w:hint="eastAsia" w:cs="宋体"/>
          <w:sz w:val="24"/>
        </w:rPr>
        <w:t>采购人委派代表参加评标委员会的，要向采购代理机构出具授权函。</w:t>
      </w:r>
    </w:p>
    <w:p w14:paraId="5A22B0EC">
      <w:pPr>
        <w:spacing w:line="360" w:lineRule="auto"/>
        <w:ind w:firstLine="480" w:firstLineChars="200"/>
        <w:rPr>
          <w:rFonts w:hint="eastAsia" w:cs="宋体"/>
          <w:bCs/>
          <w:sz w:val="24"/>
        </w:rPr>
      </w:pPr>
      <w:bookmarkStart w:id="103" w:name="_Toc191374422"/>
      <w:r>
        <w:rPr>
          <w:rFonts w:hint="eastAsia" w:cs="宋体"/>
          <w:bCs/>
          <w:sz w:val="24"/>
        </w:rPr>
        <w:t>27.2评标原则</w:t>
      </w:r>
      <w:bookmarkEnd w:id="103"/>
      <w:r>
        <w:rPr>
          <w:rFonts w:hint="eastAsia" w:cs="宋体"/>
          <w:bCs/>
          <w:sz w:val="24"/>
        </w:rPr>
        <w:t>及方法</w:t>
      </w:r>
    </w:p>
    <w:p w14:paraId="7FEA374E">
      <w:pPr>
        <w:spacing w:line="360" w:lineRule="auto"/>
        <w:ind w:firstLine="480" w:firstLineChars="200"/>
        <w:jc w:val="left"/>
        <w:rPr>
          <w:rFonts w:hint="eastAsia" w:cs="宋体"/>
          <w:sz w:val="24"/>
        </w:rPr>
      </w:pPr>
      <w:r>
        <w:rPr>
          <w:rFonts w:hint="eastAsia" w:cs="宋体"/>
          <w:sz w:val="24"/>
        </w:rPr>
        <w:t>评标活动遵循公平、公正、科学和择优的原则。</w:t>
      </w:r>
    </w:p>
    <w:p w14:paraId="5758A8EA">
      <w:pPr>
        <w:spacing w:line="360" w:lineRule="auto"/>
        <w:ind w:firstLine="480" w:firstLineChars="200"/>
        <w:rPr>
          <w:rFonts w:hint="eastAsia" w:cs="宋体"/>
          <w:bCs/>
          <w:sz w:val="24"/>
        </w:rPr>
      </w:pPr>
      <w:r>
        <w:rPr>
          <w:rFonts w:hint="eastAsia" w:cs="宋体"/>
          <w:sz w:val="24"/>
        </w:rPr>
        <w:t>27.3</w:t>
      </w:r>
      <w:r>
        <w:rPr>
          <w:rFonts w:hint="eastAsia" w:cs="宋体"/>
          <w:bCs/>
          <w:sz w:val="24"/>
        </w:rPr>
        <w:t>评标方法</w:t>
      </w:r>
    </w:p>
    <w:p w14:paraId="7F550354">
      <w:pPr>
        <w:spacing w:line="360" w:lineRule="auto"/>
        <w:ind w:firstLine="480" w:firstLineChars="200"/>
        <w:jc w:val="left"/>
        <w:rPr>
          <w:rFonts w:hint="eastAsia" w:cs="宋体"/>
          <w:sz w:val="24"/>
        </w:rPr>
      </w:pPr>
      <w:r>
        <w:rPr>
          <w:rFonts w:hint="eastAsia" w:cs="宋体"/>
          <w:sz w:val="24"/>
        </w:rPr>
        <w:t>本项目按“投标人须知前附表”规定的评标方法评标。在评标中，不得改变招标文件中规定的评标标准、方法和中标条件。第七章“评标方法”没有规定的评审因素和标准，不作为评标依据。</w:t>
      </w:r>
    </w:p>
    <w:p w14:paraId="7B6DA40D">
      <w:pPr>
        <w:spacing w:line="360" w:lineRule="auto"/>
        <w:ind w:firstLine="480" w:firstLineChars="200"/>
        <w:rPr>
          <w:rFonts w:hint="eastAsia" w:cs="宋体"/>
          <w:sz w:val="24"/>
        </w:rPr>
      </w:pPr>
      <w:r>
        <w:rPr>
          <w:rFonts w:hint="eastAsia" w:cs="宋体"/>
          <w:sz w:val="24"/>
        </w:rPr>
        <w:t>27.4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383B6E59">
      <w:pPr>
        <w:spacing w:line="360" w:lineRule="auto"/>
        <w:ind w:firstLine="480" w:firstLineChars="200"/>
        <w:rPr>
          <w:rFonts w:hint="eastAsia" w:cs="宋体"/>
          <w:kern w:val="0"/>
          <w:sz w:val="24"/>
        </w:rPr>
      </w:pPr>
      <w:r>
        <w:rPr>
          <w:rFonts w:hint="eastAsia" w:cs="宋体"/>
          <w:sz w:val="24"/>
        </w:rPr>
        <w:t>27.5</w:t>
      </w:r>
      <w:r>
        <w:rPr>
          <w:rFonts w:hint="eastAsia" w:cs="宋体"/>
          <w:kern w:val="0"/>
          <w:sz w:val="24"/>
        </w:rPr>
        <w:t>在评标过程中，评标委员会发现投标人有本须知19条款规定的情形，应当认定其投标无效，并书面报告本级财政部门。</w:t>
      </w:r>
    </w:p>
    <w:p w14:paraId="5B052E43">
      <w:pPr>
        <w:spacing w:line="360" w:lineRule="auto"/>
        <w:ind w:firstLine="480" w:firstLineChars="200"/>
        <w:rPr>
          <w:rFonts w:hint="eastAsia" w:cs="宋体"/>
          <w:kern w:val="0"/>
          <w:sz w:val="24"/>
        </w:rPr>
      </w:pPr>
      <w:r>
        <w:rPr>
          <w:rFonts w:hint="eastAsia" w:cs="宋体"/>
          <w:sz w:val="24"/>
        </w:rPr>
        <w:t>27.6有</w:t>
      </w:r>
      <w:r>
        <w:rPr>
          <w:rFonts w:hint="eastAsia" w:cs="宋体"/>
          <w:kern w:val="0"/>
          <w:sz w:val="24"/>
        </w:rPr>
        <w:t>下列情形之一的，视为投标人串通投标，其投标无效：</w:t>
      </w:r>
    </w:p>
    <w:p w14:paraId="70CCA9B0">
      <w:pPr>
        <w:spacing w:line="360" w:lineRule="auto"/>
        <w:ind w:firstLine="480" w:firstLineChars="200"/>
        <w:jc w:val="left"/>
        <w:rPr>
          <w:rFonts w:hint="eastAsia" w:cs="宋体"/>
          <w:sz w:val="24"/>
        </w:rPr>
      </w:pPr>
      <w:r>
        <w:rPr>
          <w:rFonts w:hint="eastAsia" w:cs="宋体"/>
          <w:sz w:val="24"/>
        </w:rPr>
        <w:t>（一）不同投标人的投标文件由同一单位或者个人编制；</w:t>
      </w:r>
    </w:p>
    <w:p w14:paraId="7696AD9C">
      <w:pPr>
        <w:spacing w:line="360" w:lineRule="auto"/>
        <w:ind w:firstLine="480" w:firstLineChars="200"/>
        <w:jc w:val="left"/>
        <w:rPr>
          <w:rFonts w:hint="eastAsia" w:cs="宋体"/>
          <w:sz w:val="24"/>
        </w:rPr>
      </w:pPr>
      <w:r>
        <w:rPr>
          <w:rFonts w:hint="eastAsia" w:cs="宋体"/>
          <w:sz w:val="24"/>
        </w:rPr>
        <w:t>（二）不同投标人委托同一单位或者个人办理投标事宜；</w:t>
      </w:r>
    </w:p>
    <w:p w14:paraId="0D8F3070">
      <w:pPr>
        <w:spacing w:line="360" w:lineRule="auto"/>
        <w:ind w:firstLine="480" w:firstLineChars="200"/>
        <w:jc w:val="left"/>
        <w:rPr>
          <w:rFonts w:hint="eastAsia" w:cs="宋体"/>
          <w:sz w:val="24"/>
        </w:rPr>
      </w:pPr>
      <w:r>
        <w:rPr>
          <w:rFonts w:hint="eastAsia" w:cs="宋体"/>
          <w:sz w:val="24"/>
        </w:rPr>
        <w:t>（三）不同投标人的投标文件载明的项目管理成员或者联系人员为同一人；</w:t>
      </w:r>
    </w:p>
    <w:p w14:paraId="4941E86B">
      <w:pPr>
        <w:spacing w:line="360" w:lineRule="auto"/>
        <w:ind w:firstLine="480" w:firstLineChars="200"/>
        <w:jc w:val="left"/>
        <w:rPr>
          <w:rFonts w:hint="eastAsia" w:cs="宋体"/>
          <w:sz w:val="24"/>
        </w:rPr>
      </w:pPr>
      <w:r>
        <w:rPr>
          <w:rFonts w:hint="eastAsia" w:cs="宋体"/>
          <w:sz w:val="24"/>
        </w:rPr>
        <w:t>（四）不同投标人的投标文件异常一致或者投标报价呈规律性差异；</w:t>
      </w:r>
    </w:p>
    <w:p w14:paraId="007E1F66">
      <w:pPr>
        <w:spacing w:line="360" w:lineRule="auto"/>
        <w:ind w:firstLine="480" w:firstLineChars="200"/>
        <w:jc w:val="left"/>
        <w:rPr>
          <w:rFonts w:hint="eastAsia" w:cs="宋体"/>
          <w:sz w:val="24"/>
        </w:rPr>
      </w:pPr>
      <w:r>
        <w:rPr>
          <w:rFonts w:hint="eastAsia" w:cs="宋体"/>
          <w:sz w:val="24"/>
        </w:rPr>
        <w:t>（五）不同投标人的投标文件相互混装；</w:t>
      </w:r>
    </w:p>
    <w:p w14:paraId="01874D52">
      <w:pPr>
        <w:spacing w:line="360" w:lineRule="auto"/>
        <w:ind w:firstLine="480" w:firstLineChars="200"/>
        <w:jc w:val="left"/>
        <w:rPr>
          <w:rFonts w:hint="eastAsia" w:cs="宋体"/>
          <w:sz w:val="24"/>
        </w:rPr>
      </w:pPr>
      <w:r>
        <w:rPr>
          <w:rFonts w:hint="eastAsia" w:cs="宋体"/>
          <w:sz w:val="24"/>
        </w:rPr>
        <w:t>（六）不同投标人的投标保证金从同一单位或者个人的账户转出。</w:t>
      </w:r>
    </w:p>
    <w:p w14:paraId="3EADFE49">
      <w:pPr>
        <w:spacing w:line="360" w:lineRule="auto"/>
        <w:ind w:firstLine="480" w:firstLineChars="200"/>
        <w:rPr>
          <w:rFonts w:hint="eastAsia" w:cs="宋体"/>
          <w:sz w:val="24"/>
        </w:rPr>
      </w:pPr>
      <w:r>
        <w:rPr>
          <w:rFonts w:hint="eastAsia" w:cs="宋体"/>
          <w:sz w:val="24"/>
        </w:rPr>
        <w:t>27.7</w:t>
      </w:r>
      <w:r>
        <w:rPr>
          <w:rFonts w:hint="eastAsia" w:cs="宋体"/>
          <w:b/>
          <w:sz w:val="24"/>
        </w:rPr>
        <w:t>（适用于综合评分法）</w:t>
      </w:r>
      <w:r>
        <w:rPr>
          <w:rFonts w:hint="eastAsia" w:cs="宋体"/>
          <w:sz w:val="24"/>
        </w:rPr>
        <w:t>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交货时间短优先、故障到达时间短优先的顺序确定一个投标人获得中标人推荐资格，其他同品牌投标人不作为中标候选人。</w:t>
      </w:r>
    </w:p>
    <w:p w14:paraId="3400FE0A">
      <w:pPr>
        <w:spacing w:line="360" w:lineRule="auto"/>
        <w:ind w:firstLine="480" w:firstLineChars="200"/>
        <w:rPr>
          <w:rFonts w:hint="eastAsia" w:cs="宋体"/>
          <w:sz w:val="24"/>
        </w:rPr>
      </w:pPr>
      <w:r>
        <w:rPr>
          <w:rFonts w:hint="eastAsia" w:cs="宋体"/>
          <w:sz w:val="24"/>
        </w:rPr>
        <w:t>27.8</w:t>
      </w:r>
      <w:r>
        <w:rPr>
          <w:rFonts w:hint="eastAsia" w:cs="宋体"/>
          <w:b/>
          <w:sz w:val="24"/>
        </w:rPr>
        <w:t>（适用于最低评标价法）</w:t>
      </w:r>
      <w:r>
        <w:rPr>
          <w:rFonts w:hint="eastAsia" w:cs="宋体"/>
          <w:sz w:val="24"/>
        </w:rPr>
        <w:t>提供相同品牌产品的不同投标人参加同一合同项下投标的，以其中通过资格审查、符合性审查且报价最低的参加评标；报价相同的，评标委员会将依次按主要技术指标高优先、交货时间短优先、故障到达时间短优先的顺序确定一个参加评标的投标人，其他投标无效。</w:t>
      </w:r>
    </w:p>
    <w:p w14:paraId="251E83C0">
      <w:pPr>
        <w:spacing w:line="360" w:lineRule="auto"/>
        <w:ind w:firstLine="480" w:firstLineChars="200"/>
        <w:rPr>
          <w:rFonts w:hint="eastAsia" w:cs="宋体"/>
          <w:sz w:val="24"/>
        </w:rPr>
      </w:pPr>
      <w:r>
        <w:rPr>
          <w:rFonts w:hint="eastAsia" w:cs="宋体"/>
          <w:sz w:val="24"/>
        </w:rPr>
        <w:t>27.9若为非单一产品采购，对于招标文件第五章规定的核心产品，多家投标人提供的核心产品品牌有一项品牌相同的，按前两款规定处理。</w:t>
      </w:r>
    </w:p>
    <w:p w14:paraId="1EB1267B">
      <w:pPr>
        <w:spacing w:line="360" w:lineRule="auto"/>
        <w:ind w:firstLine="480" w:firstLineChars="200"/>
        <w:rPr>
          <w:rFonts w:hint="eastAsia" w:cs="宋体"/>
          <w:b/>
          <w:bCs/>
          <w:sz w:val="24"/>
        </w:rPr>
      </w:pPr>
      <w:r>
        <w:rPr>
          <w:rFonts w:hint="eastAsia" w:cs="宋体"/>
          <w:b/>
          <w:bCs/>
          <w:sz w:val="24"/>
        </w:rPr>
        <w:t>28.在招标采购中，出现下列情形之一的，应予废标：</w:t>
      </w:r>
    </w:p>
    <w:p w14:paraId="0D1E0C56">
      <w:pPr>
        <w:spacing w:line="360" w:lineRule="auto"/>
        <w:ind w:firstLine="480" w:firstLineChars="200"/>
        <w:jc w:val="left"/>
        <w:rPr>
          <w:rFonts w:hint="eastAsia" w:cs="宋体"/>
          <w:sz w:val="24"/>
        </w:rPr>
      </w:pPr>
      <w:r>
        <w:rPr>
          <w:rFonts w:hint="eastAsia" w:cs="宋体"/>
          <w:sz w:val="24"/>
        </w:rPr>
        <w:t>（1）符合专业条件的投标人或者对招标文件作实质响应的投标人不足3家的；</w:t>
      </w:r>
    </w:p>
    <w:p w14:paraId="54CBF5F0">
      <w:pPr>
        <w:spacing w:line="360" w:lineRule="auto"/>
        <w:ind w:firstLine="480" w:firstLineChars="200"/>
        <w:jc w:val="left"/>
        <w:rPr>
          <w:rFonts w:hint="eastAsia" w:cs="宋体"/>
          <w:sz w:val="24"/>
        </w:rPr>
      </w:pPr>
      <w:r>
        <w:rPr>
          <w:rFonts w:hint="eastAsia" w:cs="宋体"/>
          <w:sz w:val="24"/>
        </w:rPr>
        <w:t>（2）出现影响采购公正的违法、违规行为的；</w:t>
      </w:r>
    </w:p>
    <w:p w14:paraId="2FA6E8F5">
      <w:pPr>
        <w:spacing w:line="360" w:lineRule="auto"/>
        <w:ind w:firstLine="480" w:firstLineChars="200"/>
        <w:jc w:val="left"/>
        <w:rPr>
          <w:rFonts w:hint="eastAsia" w:cs="宋体"/>
          <w:sz w:val="24"/>
        </w:rPr>
      </w:pPr>
      <w:r>
        <w:rPr>
          <w:rFonts w:hint="eastAsia" w:cs="宋体"/>
          <w:sz w:val="24"/>
        </w:rPr>
        <w:t>（3）投标人的报价均超过了采购预算，采购人不能支付的；</w:t>
      </w:r>
    </w:p>
    <w:p w14:paraId="3143C0A4">
      <w:pPr>
        <w:spacing w:line="360" w:lineRule="auto"/>
        <w:ind w:firstLine="480" w:firstLineChars="200"/>
        <w:jc w:val="left"/>
        <w:rPr>
          <w:rFonts w:hint="eastAsia" w:cs="宋体"/>
          <w:sz w:val="24"/>
        </w:rPr>
      </w:pPr>
      <w:r>
        <w:rPr>
          <w:rFonts w:hint="eastAsia" w:cs="宋体"/>
          <w:sz w:val="24"/>
        </w:rPr>
        <w:t>（4）因重大变故，采购任务取消的。</w:t>
      </w:r>
    </w:p>
    <w:p w14:paraId="0F4231EB">
      <w:pPr>
        <w:spacing w:line="360" w:lineRule="auto"/>
        <w:ind w:firstLine="480" w:firstLineChars="200"/>
        <w:jc w:val="left"/>
        <w:rPr>
          <w:rFonts w:hint="eastAsia" w:cs="宋体"/>
          <w:sz w:val="24"/>
        </w:rPr>
      </w:pPr>
      <w:r>
        <w:rPr>
          <w:rFonts w:hint="eastAsia" w:cs="宋体"/>
          <w:sz w:val="24"/>
        </w:rPr>
        <w:t>废标后，应当将废标理由通知所有投标人。</w:t>
      </w:r>
    </w:p>
    <w:p w14:paraId="7981ABC8">
      <w:pPr>
        <w:pStyle w:val="6"/>
        <w:numPr>
          <w:ilvl w:val="1"/>
          <w:numId w:val="0"/>
        </w:numPr>
        <w:ind w:left="596" w:hanging="596"/>
        <w:jc w:val="center"/>
        <w:rPr>
          <w:rFonts w:hint="eastAsia" w:eastAsia="宋体" w:cs="宋体"/>
          <w:sz w:val="24"/>
          <w:szCs w:val="24"/>
        </w:rPr>
      </w:pPr>
      <w:bookmarkStart w:id="104" w:name="_Toc491076993"/>
      <w:bookmarkStart w:id="105" w:name="_Toc91696411"/>
      <w:bookmarkStart w:id="106" w:name="_Toc69912403"/>
      <w:bookmarkStart w:id="107" w:name="_Toc152862073"/>
      <w:bookmarkStart w:id="108" w:name="_Toc152172894"/>
      <w:bookmarkStart w:id="109" w:name="_Toc27366"/>
      <w:r>
        <w:rPr>
          <w:rFonts w:hint="eastAsia" w:eastAsia="宋体" w:cs="宋体"/>
          <w:sz w:val="24"/>
          <w:szCs w:val="24"/>
        </w:rPr>
        <w:t>六、中标结果</w:t>
      </w:r>
      <w:bookmarkEnd w:id="104"/>
      <w:bookmarkEnd w:id="105"/>
      <w:bookmarkEnd w:id="106"/>
      <w:bookmarkEnd w:id="107"/>
      <w:bookmarkEnd w:id="108"/>
      <w:bookmarkEnd w:id="109"/>
    </w:p>
    <w:p w14:paraId="7EA80652">
      <w:pPr>
        <w:spacing w:line="360" w:lineRule="auto"/>
        <w:ind w:firstLine="480" w:firstLineChars="200"/>
        <w:jc w:val="left"/>
        <w:rPr>
          <w:rFonts w:hint="eastAsia" w:cs="宋体"/>
          <w:b/>
          <w:bCs/>
          <w:sz w:val="24"/>
        </w:rPr>
      </w:pPr>
      <w:r>
        <w:rPr>
          <w:rFonts w:hint="eastAsia" w:cs="宋体"/>
          <w:b/>
          <w:bCs/>
          <w:sz w:val="24"/>
        </w:rPr>
        <w:t>29.中标人的确定</w:t>
      </w:r>
    </w:p>
    <w:p w14:paraId="0F0782EF">
      <w:pPr>
        <w:spacing w:line="360" w:lineRule="auto"/>
        <w:ind w:firstLine="480" w:firstLineChars="200"/>
        <w:jc w:val="left"/>
        <w:rPr>
          <w:rFonts w:hint="eastAsia" w:cs="宋体"/>
          <w:sz w:val="24"/>
        </w:rPr>
      </w:pPr>
      <w:r>
        <w:rPr>
          <w:rFonts w:hint="eastAsia" w:cs="宋体"/>
          <w:sz w:val="24"/>
        </w:rPr>
        <w:t>29.1采购代理机构应当在评标结束之日起2个工作日内将评标报告送采购人确认。</w:t>
      </w:r>
    </w:p>
    <w:p w14:paraId="2E36CA24">
      <w:pPr>
        <w:spacing w:line="360" w:lineRule="auto"/>
        <w:ind w:firstLine="480" w:firstLineChars="200"/>
        <w:jc w:val="left"/>
        <w:rPr>
          <w:rFonts w:hint="eastAsia" w:cs="宋体"/>
          <w:sz w:val="24"/>
        </w:rPr>
      </w:pPr>
      <w:r>
        <w:rPr>
          <w:rFonts w:hint="eastAsia" w:cs="宋体"/>
          <w:sz w:val="24"/>
        </w:rPr>
        <w:t>29.2采购人应当在收到评标报告之日起5个工作日内，在评标报告中推荐的中标候选人中按顺序确定中标人。</w:t>
      </w:r>
    </w:p>
    <w:p w14:paraId="06F58D37">
      <w:pPr>
        <w:spacing w:line="360" w:lineRule="auto"/>
        <w:ind w:firstLine="480" w:firstLineChars="200"/>
        <w:jc w:val="left"/>
        <w:rPr>
          <w:rFonts w:hint="eastAsia" w:cs="宋体"/>
          <w:b/>
          <w:bCs/>
          <w:sz w:val="24"/>
        </w:rPr>
      </w:pPr>
      <w:r>
        <w:rPr>
          <w:rFonts w:hint="eastAsia" w:cs="宋体"/>
          <w:b/>
          <w:bCs/>
          <w:sz w:val="24"/>
        </w:rPr>
        <w:t>30.中标通知书</w:t>
      </w:r>
    </w:p>
    <w:p w14:paraId="15372B0F">
      <w:pPr>
        <w:spacing w:line="360" w:lineRule="auto"/>
        <w:ind w:firstLine="480" w:firstLineChars="200"/>
        <w:jc w:val="left"/>
        <w:rPr>
          <w:rFonts w:hint="eastAsia" w:cs="宋体"/>
          <w:sz w:val="24"/>
        </w:rPr>
      </w:pPr>
      <w:r>
        <w:rPr>
          <w:rFonts w:hint="eastAsia" w:cs="宋体"/>
          <w:sz w:val="24"/>
        </w:rPr>
        <w:t>30.1中标人确定之日起2个工作日内，采购代理机构在上财政部门指定的媒体上公告中标结果，中标公告期限为1个工作日，同时向中标人发出中标通知书。</w:t>
      </w:r>
    </w:p>
    <w:p w14:paraId="007B9B25">
      <w:pPr>
        <w:spacing w:line="360" w:lineRule="auto"/>
        <w:ind w:firstLine="480" w:firstLineChars="200"/>
        <w:jc w:val="left"/>
        <w:rPr>
          <w:rFonts w:hint="eastAsia" w:cs="宋体"/>
          <w:sz w:val="24"/>
        </w:rPr>
      </w:pPr>
      <w:r>
        <w:rPr>
          <w:rFonts w:hint="eastAsia" w:cs="宋体"/>
          <w:sz w:val="24"/>
        </w:rPr>
        <w:t>30.2中标通知书是合同的一个组成部分。</w:t>
      </w:r>
    </w:p>
    <w:p w14:paraId="20FB92DD">
      <w:pPr>
        <w:spacing w:line="360" w:lineRule="auto"/>
        <w:ind w:firstLine="480" w:firstLineChars="200"/>
        <w:jc w:val="left"/>
        <w:rPr>
          <w:rFonts w:hint="eastAsia" w:cs="宋体"/>
          <w:b/>
          <w:bCs/>
          <w:sz w:val="24"/>
        </w:rPr>
      </w:pPr>
      <w:r>
        <w:rPr>
          <w:rFonts w:hint="eastAsia" w:cs="宋体"/>
          <w:b/>
          <w:bCs/>
          <w:sz w:val="24"/>
        </w:rPr>
        <w:t>31.签订合同</w:t>
      </w:r>
    </w:p>
    <w:p w14:paraId="6E3DF982">
      <w:pPr>
        <w:spacing w:line="360" w:lineRule="auto"/>
        <w:ind w:firstLine="480" w:firstLineChars="200"/>
        <w:jc w:val="left"/>
        <w:rPr>
          <w:rFonts w:hint="eastAsia" w:cs="宋体"/>
          <w:sz w:val="24"/>
        </w:rPr>
      </w:pPr>
      <w:r>
        <w:rPr>
          <w:rFonts w:hint="eastAsia" w:cs="宋体"/>
          <w:sz w:val="24"/>
        </w:rPr>
        <w:t>31.1采购人与中标人应当在中标通知书发出之日起30日内，按照招标文件和中标人投标文件的规定签订政府采购合同。</w:t>
      </w:r>
    </w:p>
    <w:p w14:paraId="5A99D1AB">
      <w:pPr>
        <w:spacing w:line="360" w:lineRule="auto"/>
        <w:ind w:firstLine="480" w:firstLineChars="200"/>
        <w:jc w:val="left"/>
        <w:rPr>
          <w:rFonts w:hint="eastAsia" w:cs="宋体"/>
          <w:sz w:val="24"/>
        </w:rPr>
      </w:pPr>
      <w:r>
        <w:rPr>
          <w:rFonts w:hint="eastAsia" w:cs="宋体"/>
          <w:sz w:val="24"/>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5A0D82D5">
      <w:pPr>
        <w:spacing w:line="360" w:lineRule="auto"/>
        <w:ind w:firstLine="480" w:firstLineChars="200"/>
        <w:jc w:val="left"/>
        <w:rPr>
          <w:rFonts w:hint="eastAsia" w:cs="宋体"/>
          <w:sz w:val="24"/>
        </w:rPr>
      </w:pPr>
      <w:r>
        <w:rPr>
          <w:rFonts w:hint="eastAsia" w:cs="宋体"/>
          <w:sz w:val="24"/>
        </w:rPr>
        <w:t>31.3政府采购合同履行中，采购人需追加与合同标的相同的货物的，在不改变合同其他条款的前提下，可以与中标人协商签订补充合同，但所有补充合同的采购金额不得超过原合同采购金额的百分之十。</w:t>
      </w:r>
    </w:p>
    <w:p w14:paraId="53610CEE">
      <w:pPr>
        <w:spacing w:line="360" w:lineRule="auto"/>
        <w:ind w:firstLine="480" w:firstLineChars="200"/>
        <w:jc w:val="left"/>
        <w:rPr>
          <w:rFonts w:hint="eastAsia" w:cs="宋体"/>
          <w:b/>
          <w:bCs/>
          <w:sz w:val="24"/>
        </w:rPr>
      </w:pPr>
      <w:r>
        <w:rPr>
          <w:rFonts w:hint="eastAsia" w:cs="宋体"/>
          <w:b/>
          <w:bCs/>
          <w:sz w:val="24"/>
        </w:rPr>
        <w:t>32.履约担保</w:t>
      </w:r>
    </w:p>
    <w:p w14:paraId="4D39E159">
      <w:pPr>
        <w:spacing w:line="360" w:lineRule="auto"/>
        <w:ind w:firstLine="480" w:firstLineChars="200"/>
        <w:jc w:val="left"/>
        <w:rPr>
          <w:rFonts w:hint="eastAsia" w:cs="宋体"/>
          <w:sz w:val="24"/>
        </w:rPr>
      </w:pPr>
      <w:r>
        <w:rPr>
          <w:rFonts w:hint="eastAsia" w:cs="宋体"/>
          <w:sz w:val="24"/>
        </w:rPr>
        <w:t>32.1签订合同前，中标人应按“投标人须知前附表”上确定的履约担保的金额，向采购人提交履约担保，联合体中标的，其履约担保由牵头人递交。否则，视为放弃中标项目，投标保证金将不予退还。</w:t>
      </w:r>
    </w:p>
    <w:p w14:paraId="4086F9D6">
      <w:pPr>
        <w:spacing w:line="360" w:lineRule="auto"/>
        <w:ind w:firstLine="480" w:firstLineChars="200"/>
        <w:jc w:val="left"/>
        <w:rPr>
          <w:rFonts w:hint="eastAsia" w:cs="宋体"/>
          <w:sz w:val="24"/>
        </w:rPr>
      </w:pPr>
      <w:r>
        <w:rPr>
          <w:rFonts w:hint="eastAsia" w:cs="宋体"/>
          <w:sz w:val="24"/>
        </w:rPr>
        <w:t>32.2签订合同后，如中标人不按双方签订合同约定履约，则没收其全部履约保证金，履约保证金不足以赔偿损失的，按实际损失赔偿。</w:t>
      </w:r>
    </w:p>
    <w:p w14:paraId="152B4CCE">
      <w:pPr>
        <w:spacing w:line="360" w:lineRule="auto"/>
        <w:ind w:firstLine="480" w:firstLineChars="200"/>
        <w:jc w:val="left"/>
        <w:rPr>
          <w:rFonts w:hint="eastAsia" w:cs="宋体"/>
          <w:sz w:val="24"/>
        </w:rPr>
      </w:pPr>
      <w:r>
        <w:rPr>
          <w:rFonts w:hint="eastAsia" w:cs="宋体"/>
          <w:sz w:val="24"/>
        </w:rPr>
        <w:t xml:space="preserve">32.3中标人按照合同约定供货并安装调试完成且项目终验合格3个月后，中标人向采购人提出书面申请退还履约保证金。 </w:t>
      </w:r>
    </w:p>
    <w:p w14:paraId="392E27F2">
      <w:pPr>
        <w:pStyle w:val="6"/>
        <w:numPr>
          <w:ilvl w:val="1"/>
          <w:numId w:val="0"/>
        </w:numPr>
        <w:ind w:left="596" w:hanging="596"/>
        <w:jc w:val="center"/>
        <w:rPr>
          <w:rFonts w:hint="eastAsia" w:eastAsia="宋体" w:cs="宋体"/>
          <w:sz w:val="24"/>
          <w:szCs w:val="24"/>
        </w:rPr>
      </w:pPr>
      <w:bookmarkStart w:id="110" w:name="_Toc491076994"/>
      <w:bookmarkStart w:id="111" w:name="_Toc69912404"/>
      <w:bookmarkStart w:id="112" w:name="_Toc152862074"/>
      <w:bookmarkStart w:id="113" w:name="_Toc91696412"/>
      <w:bookmarkStart w:id="114" w:name="_Toc152172895"/>
      <w:bookmarkStart w:id="115" w:name="_Toc8679"/>
      <w:r>
        <w:rPr>
          <w:rFonts w:hint="eastAsia" w:eastAsia="宋体" w:cs="宋体"/>
          <w:sz w:val="24"/>
          <w:szCs w:val="24"/>
        </w:rPr>
        <w:t>七、其他事项</w:t>
      </w:r>
      <w:bookmarkEnd w:id="110"/>
      <w:bookmarkEnd w:id="111"/>
      <w:bookmarkEnd w:id="112"/>
      <w:bookmarkEnd w:id="113"/>
      <w:bookmarkEnd w:id="114"/>
      <w:bookmarkEnd w:id="115"/>
    </w:p>
    <w:p w14:paraId="3ABF2FBA">
      <w:pPr>
        <w:spacing w:line="360" w:lineRule="auto"/>
        <w:ind w:firstLine="480" w:firstLineChars="200"/>
        <w:jc w:val="left"/>
        <w:rPr>
          <w:rFonts w:hint="eastAsia" w:cs="宋体"/>
          <w:b/>
          <w:bCs/>
          <w:sz w:val="24"/>
        </w:rPr>
      </w:pPr>
      <w:r>
        <w:rPr>
          <w:rFonts w:hint="eastAsia" w:cs="宋体"/>
          <w:b/>
          <w:bCs/>
          <w:sz w:val="24"/>
        </w:rPr>
        <w:t>33.需要补充的其他内容</w:t>
      </w:r>
    </w:p>
    <w:p w14:paraId="5396D0FB">
      <w:pPr>
        <w:spacing w:line="360" w:lineRule="auto"/>
        <w:ind w:firstLine="480" w:firstLineChars="200"/>
        <w:jc w:val="left"/>
        <w:rPr>
          <w:rFonts w:hint="eastAsia" w:cs="宋体"/>
          <w:sz w:val="24"/>
        </w:rPr>
      </w:pPr>
      <w:r>
        <w:rPr>
          <w:rFonts w:hint="eastAsia" w:cs="宋体"/>
          <w:sz w:val="24"/>
        </w:rPr>
        <w:t>33.1“投标人须知前附表”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5BDC01ED">
      <w:pPr>
        <w:spacing w:line="360" w:lineRule="auto"/>
        <w:ind w:firstLine="480" w:firstLineChars="200"/>
        <w:jc w:val="left"/>
        <w:rPr>
          <w:rFonts w:hint="eastAsia" w:cs="宋体"/>
          <w:sz w:val="24"/>
        </w:rPr>
      </w:pPr>
      <w:r>
        <w:rPr>
          <w:rFonts w:hint="eastAsia" w:cs="宋体"/>
          <w:sz w:val="24"/>
        </w:rPr>
        <w:t>评标委员会在对有备选方案的投标人进行评审时，应当以主选方案为准进行评审，如考虑备选方案的，备选方案必须实质性响应招标文件要求。</w:t>
      </w:r>
    </w:p>
    <w:p w14:paraId="2242CBA6">
      <w:pPr>
        <w:spacing w:line="360" w:lineRule="auto"/>
        <w:ind w:firstLine="480" w:firstLineChars="200"/>
        <w:jc w:val="left"/>
        <w:rPr>
          <w:rFonts w:hint="eastAsia" w:cs="宋体"/>
          <w:sz w:val="24"/>
        </w:rPr>
      </w:pPr>
      <w:r>
        <w:rPr>
          <w:rFonts w:hint="eastAsia" w:cs="宋体"/>
          <w:sz w:val="24"/>
        </w:rPr>
        <w:t>33.2其它需要补充的其他内容：见“投标人须知前附表”。</w:t>
      </w:r>
    </w:p>
    <w:p w14:paraId="778B5E04">
      <w:pPr>
        <w:spacing w:line="360" w:lineRule="auto"/>
        <w:ind w:firstLine="480" w:firstLineChars="200"/>
        <w:jc w:val="left"/>
        <w:rPr>
          <w:rFonts w:hint="eastAsia" w:cs="宋体"/>
          <w:b/>
          <w:bCs/>
          <w:sz w:val="24"/>
        </w:rPr>
      </w:pPr>
      <w:r>
        <w:rPr>
          <w:rFonts w:hint="eastAsia" w:cs="宋体"/>
          <w:b/>
          <w:bCs/>
          <w:sz w:val="24"/>
        </w:rPr>
        <w:t>34.招标文件编制依据</w:t>
      </w:r>
    </w:p>
    <w:p w14:paraId="38A2C0EE">
      <w:pPr>
        <w:widowControl/>
        <w:spacing w:line="360" w:lineRule="auto"/>
        <w:ind w:firstLine="480" w:firstLineChars="200"/>
        <w:jc w:val="left"/>
        <w:rPr>
          <w:rFonts w:hint="eastAsia" w:cs="宋体"/>
          <w:sz w:val="24"/>
        </w:rPr>
      </w:pPr>
      <w:r>
        <w:rPr>
          <w:rFonts w:hint="eastAsia" w:cs="宋体"/>
          <w:sz w:val="24"/>
        </w:rPr>
        <w:t>34.1本招标文件根据《中华人民共和国政府采购法》及相关法律法规编制。</w:t>
      </w:r>
      <w:r>
        <w:rPr>
          <w:rFonts w:hint="eastAsia" w:cs="宋体"/>
          <w:sz w:val="24"/>
        </w:rPr>
        <w:br w:type="page"/>
      </w:r>
    </w:p>
    <w:p w14:paraId="56D03F81">
      <w:pPr>
        <w:pStyle w:val="5"/>
        <w:numPr>
          <w:ilvl w:val="0"/>
          <w:numId w:val="0"/>
        </w:numPr>
        <w:jc w:val="center"/>
        <w:rPr>
          <w:rFonts w:hint="eastAsia" w:eastAsia="宋体" w:cs="宋体"/>
          <w:bCs/>
          <w:sz w:val="32"/>
          <w:szCs w:val="32"/>
        </w:rPr>
      </w:pPr>
      <w:bookmarkStart w:id="116" w:name="_Toc69912405"/>
      <w:bookmarkStart w:id="117" w:name="_Toc91696413"/>
      <w:bookmarkStart w:id="118" w:name="_Toc213141090"/>
      <w:bookmarkStart w:id="119" w:name="_Toc3590"/>
      <w:bookmarkStart w:id="120" w:name="_Hlk17287648"/>
      <w:r>
        <w:rPr>
          <w:rFonts w:hint="eastAsia" w:eastAsia="宋体" w:cs="宋体"/>
          <w:bCs/>
          <w:sz w:val="32"/>
          <w:szCs w:val="32"/>
        </w:rPr>
        <w:t xml:space="preserve">第三章 </w:t>
      </w:r>
      <w:bookmarkStart w:id="121" w:name="_Hlk77165097"/>
      <w:r>
        <w:rPr>
          <w:rFonts w:hint="eastAsia" w:eastAsia="宋体" w:cs="宋体"/>
          <w:bCs/>
          <w:sz w:val="32"/>
          <w:szCs w:val="32"/>
        </w:rPr>
        <w:t>合同书样式及主要条款</w:t>
      </w:r>
      <w:bookmarkEnd w:id="116"/>
      <w:bookmarkEnd w:id="117"/>
      <w:bookmarkEnd w:id="118"/>
      <w:bookmarkEnd w:id="119"/>
      <w:bookmarkEnd w:id="121"/>
    </w:p>
    <w:p w14:paraId="0E2117ED">
      <w:pPr>
        <w:rPr>
          <w:rFonts w:hint="eastAsia" w:cs="宋体"/>
          <w:sz w:val="24"/>
        </w:rPr>
      </w:pPr>
    </w:p>
    <w:p w14:paraId="269F8D55">
      <w:pPr>
        <w:spacing w:line="360" w:lineRule="auto"/>
        <w:ind w:left="396" w:leftChars="189" w:right="-48" w:rightChars="-23"/>
        <w:jc w:val="center"/>
        <w:rPr>
          <w:rFonts w:hint="eastAsia" w:cs="宋体"/>
          <w:sz w:val="24"/>
        </w:rPr>
      </w:pPr>
      <w:r>
        <w:rPr>
          <w:rFonts w:hint="eastAsia" w:cs="宋体"/>
          <w:sz w:val="24"/>
        </w:rPr>
        <w:t>（本合同文本仅供参考，具体由采购人及中标人最终商定，但不能改变招标文件、投标文件的实质性条件）</w:t>
      </w:r>
    </w:p>
    <w:p w14:paraId="51FDAC20">
      <w:pPr>
        <w:rPr>
          <w:rFonts w:hint="eastAsia" w:cs="宋体"/>
          <w:sz w:val="24"/>
        </w:rPr>
      </w:pPr>
    </w:p>
    <w:p w14:paraId="0BC134F3">
      <w:pPr>
        <w:spacing w:line="500" w:lineRule="exact"/>
        <w:rPr>
          <w:rFonts w:hint="eastAsia" w:cs="宋体"/>
          <w:sz w:val="24"/>
        </w:rPr>
      </w:pPr>
      <w:r>
        <w:rPr>
          <w:rFonts w:hint="eastAsia" w:cs="宋体"/>
          <w:sz w:val="24"/>
        </w:rPr>
        <w:t>合同编号：                         招标编号：</w:t>
      </w:r>
    </w:p>
    <w:p w14:paraId="0E190248">
      <w:pPr>
        <w:pStyle w:val="11"/>
        <w:ind w:firstLine="0"/>
        <w:rPr>
          <w:rFonts w:hint="eastAsia" w:cs="宋体"/>
          <w:kern w:val="0"/>
          <w:sz w:val="24"/>
          <w:szCs w:val="24"/>
        </w:rPr>
      </w:pPr>
    </w:p>
    <w:p w14:paraId="707939E1">
      <w:pPr>
        <w:pStyle w:val="11"/>
        <w:ind w:firstLine="0"/>
        <w:rPr>
          <w:rFonts w:hint="eastAsia" w:cs="宋体"/>
          <w:kern w:val="0"/>
          <w:sz w:val="24"/>
          <w:szCs w:val="24"/>
        </w:rPr>
      </w:pPr>
      <w:r>
        <w:rPr>
          <w:rFonts w:hint="eastAsia" w:cs="宋体"/>
          <w:kern w:val="0"/>
          <w:sz w:val="24"/>
          <w:szCs w:val="24"/>
        </w:rPr>
        <w:t>●本合同须加盖甲乙双方骑缝章有效</w:t>
      </w:r>
    </w:p>
    <w:p w14:paraId="75AE4FA4">
      <w:pPr>
        <w:pStyle w:val="11"/>
        <w:ind w:firstLine="0"/>
        <w:rPr>
          <w:rFonts w:hint="eastAsia" w:cs="宋体"/>
          <w:kern w:val="0"/>
          <w:sz w:val="24"/>
          <w:szCs w:val="24"/>
        </w:rPr>
      </w:pPr>
    </w:p>
    <w:p w14:paraId="3B323DCA">
      <w:pPr>
        <w:pStyle w:val="11"/>
        <w:ind w:firstLine="0"/>
        <w:jc w:val="center"/>
        <w:rPr>
          <w:rFonts w:hint="eastAsia" w:cs="宋体"/>
          <w:kern w:val="0"/>
          <w:sz w:val="44"/>
          <w:szCs w:val="44"/>
        </w:rPr>
      </w:pPr>
      <w:r>
        <w:rPr>
          <w:rFonts w:hint="eastAsia" w:cs="宋体"/>
          <w:kern w:val="0"/>
          <w:sz w:val="44"/>
          <w:szCs w:val="44"/>
        </w:rPr>
        <w:t>云南省省级政府采购</w:t>
      </w:r>
    </w:p>
    <w:p w14:paraId="117947ED">
      <w:pPr>
        <w:pStyle w:val="11"/>
        <w:ind w:firstLine="0"/>
        <w:jc w:val="center"/>
        <w:rPr>
          <w:rFonts w:hint="eastAsia" w:cs="宋体"/>
          <w:kern w:val="0"/>
          <w:sz w:val="28"/>
          <w:szCs w:val="28"/>
        </w:rPr>
      </w:pPr>
      <w:r>
        <w:rPr>
          <w:rFonts w:hint="eastAsia" w:cs="宋体"/>
          <w:kern w:val="0"/>
          <w:sz w:val="28"/>
          <w:szCs w:val="28"/>
        </w:rPr>
        <w:t>（委托采购）</w:t>
      </w:r>
    </w:p>
    <w:p w14:paraId="74C904E5">
      <w:pPr>
        <w:rPr>
          <w:rFonts w:hint="eastAsia" w:cs="宋体"/>
          <w:sz w:val="24"/>
        </w:rPr>
      </w:pPr>
    </w:p>
    <w:p w14:paraId="5ECDAF10">
      <w:pPr>
        <w:rPr>
          <w:rFonts w:hint="eastAsia" w:cs="宋体"/>
          <w:sz w:val="24"/>
        </w:rPr>
      </w:pPr>
    </w:p>
    <w:p w14:paraId="13C1EBFB">
      <w:pPr>
        <w:rPr>
          <w:rFonts w:hint="eastAsia" w:cs="宋体"/>
          <w:sz w:val="24"/>
        </w:rPr>
      </w:pPr>
    </w:p>
    <w:p w14:paraId="1186B6A1">
      <w:pPr>
        <w:pStyle w:val="11"/>
        <w:rPr>
          <w:rFonts w:hint="eastAsia" w:cs="宋体"/>
          <w:sz w:val="24"/>
          <w:szCs w:val="24"/>
        </w:rPr>
      </w:pPr>
    </w:p>
    <w:p w14:paraId="78190C09">
      <w:pPr>
        <w:pStyle w:val="11"/>
        <w:jc w:val="center"/>
        <w:rPr>
          <w:rFonts w:hint="eastAsia" w:cs="宋体"/>
          <w:b/>
          <w:bCs/>
          <w:sz w:val="84"/>
          <w:szCs w:val="84"/>
        </w:rPr>
      </w:pPr>
      <w:bookmarkStart w:id="122" w:name="_Toc30492"/>
      <w:r>
        <w:rPr>
          <w:rFonts w:hint="eastAsia" w:cs="宋体"/>
          <w:b/>
          <w:bCs/>
          <w:sz w:val="84"/>
          <w:szCs w:val="84"/>
        </w:rPr>
        <w:t>合</w:t>
      </w:r>
      <w:bookmarkEnd w:id="122"/>
    </w:p>
    <w:p w14:paraId="73EFB565">
      <w:pPr>
        <w:pStyle w:val="11"/>
        <w:jc w:val="center"/>
        <w:rPr>
          <w:rFonts w:hint="eastAsia" w:cs="宋体"/>
          <w:b/>
          <w:bCs/>
          <w:sz w:val="84"/>
          <w:szCs w:val="84"/>
        </w:rPr>
      </w:pPr>
      <w:r>
        <w:rPr>
          <w:rFonts w:hint="eastAsia" w:cs="宋体"/>
          <w:b/>
          <w:bCs/>
          <w:sz w:val="84"/>
          <w:szCs w:val="84"/>
        </w:rPr>
        <w:t>同</w:t>
      </w:r>
    </w:p>
    <w:p w14:paraId="4E0ED4E8">
      <w:pPr>
        <w:pStyle w:val="11"/>
        <w:jc w:val="center"/>
        <w:rPr>
          <w:rFonts w:hint="eastAsia" w:cs="宋体"/>
          <w:b/>
          <w:bCs/>
          <w:sz w:val="84"/>
          <w:szCs w:val="84"/>
        </w:rPr>
      </w:pPr>
      <w:r>
        <w:rPr>
          <w:rFonts w:hint="eastAsia" w:cs="宋体"/>
          <w:b/>
          <w:bCs/>
          <w:sz w:val="84"/>
          <w:szCs w:val="84"/>
        </w:rPr>
        <w:t>书</w:t>
      </w:r>
    </w:p>
    <w:p w14:paraId="2A0AB3CE">
      <w:pPr>
        <w:pStyle w:val="11"/>
        <w:rPr>
          <w:rFonts w:hint="eastAsia" w:cs="宋体"/>
          <w:sz w:val="24"/>
          <w:szCs w:val="24"/>
        </w:rPr>
      </w:pPr>
    </w:p>
    <w:p w14:paraId="77A0B269">
      <w:pPr>
        <w:pStyle w:val="11"/>
        <w:jc w:val="center"/>
        <w:rPr>
          <w:rFonts w:hint="eastAsia" w:cs="宋体"/>
          <w:sz w:val="28"/>
          <w:szCs w:val="28"/>
        </w:rPr>
      </w:pPr>
    </w:p>
    <w:p w14:paraId="6AE95868">
      <w:pPr>
        <w:pStyle w:val="11"/>
        <w:jc w:val="center"/>
        <w:rPr>
          <w:rFonts w:hint="eastAsia" w:cs="宋体"/>
          <w:sz w:val="28"/>
          <w:szCs w:val="28"/>
        </w:rPr>
      </w:pPr>
    </w:p>
    <w:p w14:paraId="14F18E23">
      <w:pPr>
        <w:pStyle w:val="11"/>
        <w:jc w:val="center"/>
        <w:rPr>
          <w:rFonts w:hint="eastAsia" w:cs="宋体"/>
          <w:sz w:val="28"/>
          <w:szCs w:val="28"/>
        </w:rPr>
      </w:pPr>
    </w:p>
    <w:p w14:paraId="11E68E0A">
      <w:pPr>
        <w:pStyle w:val="11"/>
        <w:jc w:val="center"/>
        <w:rPr>
          <w:rFonts w:hint="eastAsia" w:cs="宋体"/>
          <w:sz w:val="24"/>
          <w:szCs w:val="24"/>
        </w:rPr>
      </w:pPr>
      <w:r>
        <w:rPr>
          <w:rFonts w:hint="eastAsia" w:cs="宋体"/>
          <w:sz w:val="28"/>
          <w:szCs w:val="28"/>
        </w:rPr>
        <w:t>签订地点：</w:t>
      </w:r>
    </w:p>
    <w:p w14:paraId="54E3C762">
      <w:pPr>
        <w:pStyle w:val="11"/>
        <w:jc w:val="center"/>
        <w:rPr>
          <w:rStyle w:val="44"/>
          <w:rFonts w:hint="eastAsia" w:cs="宋体"/>
          <w:sz w:val="28"/>
          <w:szCs w:val="28"/>
        </w:rPr>
      </w:pPr>
    </w:p>
    <w:p w14:paraId="4164EBD2">
      <w:pPr>
        <w:pStyle w:val="11"/>
        <w:ind w:firstLine="0"/>
        <w:jc w:val="center"/>
        <w:rPr>
          <w:rFonts w:hint="eastAsia" w:cs="宋体"/>
          <w:b/>
          <w:sz w:val="28"/>
          <w:szCs w:val="28"/>
        </w:rPr>
      </w:pPr>
      <w:r>
        <w:rPr>
          <w:rStyle w:val="44"/>
          <w:rFonts w:hint="eastAsia" w:cs="宋体"/>
          <w:sz w:val="28"/>
          <w:szCs w:val="28"/>
        </w:rPr>
        <w:t>云南省财政厅　制</w:t>
      </w:r>
    </w:p>
    <w:p w14:paraId="57B79C5F">
      <w:pPr>
        <w:spacing w:line="360" w:lineRule="auto"/>
        <w:ind w:left="2891" w:hanging="2880" w:hangingChars="1200"/>
        <w:rPr>
          <w:rFonts w:hint="eastAsia" w:cs="宋体"/>
          <w:b/>
          <w:sz w:val="24"/>
        </w:rPr>
      </w:pPr>
    </w:p>
    <w:p w14:paraId="39F6D47C">
      <w:pPr>
        <w:spacing w:line="360" w:lineRule="auto"/>
        <w:ind w:left="2891" w:hanging="2880" w:hangingChars="1200"/>
        <w:rPr>
          <w:rFonts w:hint="eastAsia" w:cs="宋体"/>
          <w:b/>
          <w:sz w:val="24"/>
        </w:rPr>
      </w:pPr>
    </w:p>
    <w:p w14:paraId="4D426912">
      <w:pPr>
        <w:spacing w:line="360" w:lineRule="auto"/>
        <w:ind w:left="2891" w:hanging="2880" w:hangingChars="1200"/>
        <w:rPr>
          <w:rFonts w:hint="eastAsia" w:cs="宋体"/>
          <w:b/>
          <w:sz w:val="24"/>
        </w:rPr>
      </w:pPr>
      <w:r>
        <w:rPr>
          <w:rFonts w:hint="eastAsia" w:cs="宋体"/>
          <w:b/>
          <w:sz w:val="24"/>
        </w:rPr>
        <w:t>甲方（采购人公章）名 称：　</w:t>
      </w:r>
    </w:p>
    <w:p w14:paraId="07C5B115">
      <w:pPr>
        <w:spacing w:line="360" w:lineRule="auto"/>
        <w:ind w:left="2883" w:leftChars="1030" w:hanging="720" w:hangingChars="300"/>
        <w:rPr>
          <w:rFonts w:hint="eastAsia" w:cs="宋体"/>
          <w:sz w:val="24"/>
        </w:rPr>
      </w:pPr>
      <w:r>
        <w:rPr>
          <w:rFonts w:hint="eastAsia" w:cs="宋体"/>
          <w:b/>
          <w:sz w:val="24"/>
        </w:rPr>
        <w:t>地 址：　</w:t>
      </w:r>
    </w:p>
    <w:p w14:paraId="4627286D">
      <w:pPr>
        <w:spacing w:line="360" w:lineRule="auto"/>
        <w:ind w:firstLine="2160" w:firstLineChars="900"/>
        <w:rPr>
          <w:rFonts w:hint="eastAsia" w:cs="宋体"/>
          <w:sz w:val="24"/>
        </w:rPr>
      </w:pPr>
      <w:r>
        <w:rPr>
          <w:rFonts w:hint="eastAsia" w:cs="宋体"/>
          <w:b/>
          <w:sz w:val="24"/>
        </w:rPr>
        <w:t>邮 编：</w:t>
      </w:r>
    </w:p>
    <w:p w14:paraId="6746C778">
      <w:pPr>
        <w:spacing w:line="360" w:lineRule="auto"/>
        <w:ind w:firstLine="240" w:firstLineChars="100"/>
        <w:rPr>
          <w:rFonts w:hint="eastAsia" w:cs="宋体"/>
          <w:b/>
          <w:sz w:val="24"/>
        </w:rPr>
      </w:pPr>
      <w:r>
        <w:rPr>
          <w:rFonts w:hint="eastAsia" w:cs="宋体"/>
          <w:b/>
          <w:sz w:val="24"/>
        </w:rPr>
        <w:t>法定代表人或委托代理人：</w:t>
      </w:r>
    </w:p>
    <w:p w14:paraId="215F39B0">
      <w:pPr>
        <w:spacing w:line="360" w:lineRule="auto"/>
        <w:ind w:firstLine="720" w:firstLineChars="300"/>
        <w:rPr>
          <w:rFonts w:hint="eastAsia" w:cs="宋体"/>
          <w:b/>
          <w:sz w:val="24"/>
        </w:rPr>
      </w:pPr>
      <w:r>
        <w:rPr>
          <w:rFonts w:hint="eastAsia" w:cs="宋体"/>
          <w:b/>
          <w:sz w:val="24"/>
        </w:rPr>
        <w:t>项目（技术）负责人：</w:t>
      </w:r>
    </w:p>
    <w:p w14:paraId="5D34C869">
      <w:pPr>
        <w:spacing w:line="360" w:lineRule="auto"/>
        <w:ind w:firstLine="2160" w:firstLineChars="900"/>
        <w:rPr>
          <w:rFonts w:hint="eastAsia" w:cs="宋体"/>
          <w:sz w:val="24"/>
        </w:rPr>
      </w:pPr>
      <w:r>
        <w:rPr>
          <w:rFonts w:hint="eastAsia" w:cs="宋体"/>
          <w:b/>
          <w:sz w:val="24"/>
        </w:rPr>
        <w:t>电 话：</w:t>
      </w:r>
    </w:p>
    <w:p w14:paraId="4CF95C2E">
      <w:pPr>
        <w:spacing w:line="360" w:lineRule="auto"/>
        <w:ind w:firstLine="1920" w:firstLineChars="800"/>
        <w:rPr>
          <w:rFonts w:hint="eastAsia" w:cs="宋体"/>
          <w:b/>
          <w:sz w:val="24"/>
        </w:rPr>
      </w:pPr>
      <w:r>
        <w:rPr>
          <w:rFonts w:hint="eastAsia" w:cs="宋体"/>
          <w:b/>
          <w:sz w:val="24"/>
        </w:rPr>
        <w:t xml:space="preserve">签订日期：  </w:t>
      </w:r>
    </w:p>
    <w:p w14:paraId="15522A1A">
      <w:pPr>
        <w:spacing w:line="360" w:lineRule="auto"/>
        <w:rPr>
          <w:rFonts w:hint="eastAsia" w:cs="宋体"/>
          <w:b/>
          <w:sz w:val="24"/>
        </w:rPr>
      </w:pPr>
    </w:p>
    <w:p w14:paraId="0C25F5AD">
      <w:pPr>
        <w:spacing w:line="360" w:lineRule="auto"/>
        <w:rPr>
          <w:rFonts w:hint="eastAsia" w:cs="宋体"/>
          <w:b/>
          <w:sz w:val="24"/>
        </w:rPr>
      </w:pPr>
    </w:p>
    <w:p w14:paraId="274E933D">
      <w:pPr>
        <w:spacing w:line="360" w:lineRule="auto"/>
        <w:rPr>
          <w:rFonts w:hint="eastAsia" w:cs="宋体"/>
          <w:b/>
          <w:sz w:val="24"/>
        </w:rPr>
      </w:pPr>
      <w:r>
        <w:rPr>
          <w:rFonts w:hint="eastAsia" w:cs="宋体"/>
          <w:b/>
          <w:sz w:val="24"/>
        </w:rPr>
        <w:t xml:space="preserve">乙方（投标人公章）名 称： </w:t>
      </w:r>
    </w:p>
    <w:p w14:paraId="0C735724">
      <w:pPr>
        <w:spacing w:line="360" w:lineRule="auto"/>
        <w:ind w:firstLine="2160" w:firstLineChars="900"/>
        <w:rPr>
          <w:rFonts w:hint="eastAsia" w:cs="宋体"/>
          <w:b/>
          <w:sz w:val="24"/>
        </w:rPr>
      </w:pPr>
      <w:r>
        <w:rPr>
          <w:rFonts w:hint="eastAsia" w:cs="宋体"/>
          <w:b/>
          <w:sz w:val="24"/>
        </w:rPr>
        <w:t>地 址：</w:t>
      </w:r>
    </w:p>
    <w:p w14:paraId="3FE2BA99">
      <w:pPr>
        <w:spacing w:line="360" w:lineRule="auto"/>
        <w:ind w:firstLine="2160" w:firstLineChars="900"/>
        <w:rPr>
          <w:rFonts w:hint="eastAsia" w:cs="宋体"/>
          <w:b/>
          <w:sz w:val="24"/>
        </w:rPr>
      </w:pPr>
      <w:r>
        <w:rPr>
          <w:rFonts w:hint="eastAsia" w:cs="宋体"/>
          <w:b/>
          <w:sz w:val="24"/>
        </w:rPr>
        <w:t>邮 编：</w:t>
      </w:r>
    </w:p>
    <w:p w14:paraId="781D5419">
      <w:pPr>
        <w:spacing w:line="360" w:lineRule="auto"/>
        <w:ind w:firstLine="240" w:firstLineChars="100"/>
        <w:rPr>
          <w:rFonts w:hint="eastAsia" w:cs="宋体"/>
          <w:b/>
          <w:sz w:val="24"/>
        </w:rPr>
      </w:pPr>
      <w:r>
        <w:rPr>
          <w:rFonts w:hint="eastAsia" w:cs="宋体"/>
          <w:b/>
          <w:sz w:val="24"/>
        </w:rPr>
        <w:t>法定代表人或委托代理人：</w:t>
      </w:r>
    </w:p>
    <w:p w14:paraId="18303F17">
      <w:pPr>
        <w:spacing w:line="360" w:lineRule="auto"/>
        <w:ind w:firstLine="720" w:firstLineChars="300"/>
        <w:rPr>
          <w:rFonts w:hint="eastAsia" w:cs="宋体"/>
          <w:b/>
          <w:sz w:val="24"/>
        </w:rPr>
      </w:pPr>
      <w:r>
        <w:rPr>
          <w:rFonts w:hint="eastAsia" w:cs="宋体"/>
          <w:b/>
          <w:sz w:val="24"/>
        </w:rPr>
        <w:t>项目（技术）负责人：</w:t>
      </w:r>
    </w:p>
    <w:p w14:paraId="0DF12083">
      <w:pPr>
        <w:spacing w:line="360" w:lineRule="auto"/>
        <w:ind w:firstLine="2160" w:firstLineChars="900"/>
        <w:rPr>
          <w:rFonts w:hint="eastAsia" w:cs="宋体"/>
          <w:b/>
          <w:sz w:val="24"/>
        </w:rPr>
      </w:pPr>
      <w:r>
        <w:rPr>
          <w:rFonts w:hint="eastAsia" w:cs="宋体"/>
          <w:b/>
          <w:sz w:val="24"/>
        </w:rPr>
        <w:t>电 话：</w:t>
      </w:r>
    </w:p>
    <w:p w14:paraId="7678FC2E">
      <w:pPr>
        <w:spacing w:line="360" w:lineRule="auto"/>
        <w:ind w:firstLine="1920" w:firstLineChars="800"/>
        <w:rPr>
          <w:rFonts w:hint="eastAsia" w:cs="宋体"/>
          <w:b/>
          <w:sz w:val="24"/>
        </w:rPr>
      </w:pPr>
      <w:r>
        <w:rPr>
          <w:rFonts w:hint="eastAsia" w:cs="宋体"/>
          <w:b/>
          <w:sz w:val="24"/>
        </w:rPr>
        <w:t>签订日期：</w:t>
      </w:r>
    </w:p>
    <w:p w14:paraId="1A6F7290">
      <w:pPr>
        <w:spacing w:line="360" w:lineRule="auto"/>
        <w:rPr>
          <w:rFonts w:hint="eastAsia" w:cs="宋体"/>
          <w:b/>
          <w:sz w:val="24"/>
        </w:rPr>
      </w:pPr>
    </w:p>
    <w:p w14:paraId="408ACFE9">
      <w:pPr>
        <w:spacing w:line="360" w:lineRule="auto"/>
        <w:rPr>
          <w:rFonts w:hint="eastAsia" w:cs="宋体"/>
          <w:b/>
          <w:sz w:val="24"/>
        </w:rPr>
      </w:pPr>
    </w:p>
    <w:p w14:paraId="2856F011">
      <w:pPr>
        <w:spacing w:line="360" w:lineRule="auto"/>
        <w:rPr>
          <w:rFonts w:hint="eastAsia" w:cs="宋体"/>
          <w:b/>
          <w:sz w:val="24"/>
        </w:rPr>
      </w:pPr>
    </w:p>
    <w:p w14:paraId="2A448E86">
      <w:pPr>
        <w:spacing w:line="360" w:lineRule="auto"/>
        <w:rPr>
          <w:rFonts w:hint="eastAsia" w:cs="宋体"/>
          <w:b/>
          <w:sz w:val="24"/>
        </w:rPr>
      </w:pPr>
      <w:r>
        <w:rPr>
          <w:rFonts w:hint="eastAsia" w:cs="宋体"/>
          <w:b/>
          <w:sz w:val="24"/>
        </w:rPr>
        <w:t xml:space="preserve">丙方（鉴证方公章）名 称： </w:t>
      </w:r>
    </w:p>
    <w:p w14:paraId="231C760F">
      <w:pPr>
        <w:spacing w:line="360" w:lineRule="auto"/>
        <w:ind w:firstLine="2160" w:firstLineChars="900"/>
        <w:rPr>
          <w:rFonts w:hint="eastAsia" w:cs="宋体"/>
          <w:b/>
          <w:sz w:val="24"/>
        </w:rPr>
      </w:pPr>
      <w:r>
        <w:rPr>
          <w:rFonts w:hint="eastAsia" w:cs="宋体"/>
          <w:b/>
          <w:sz w:val="24"/>
        </w:rPr>
        <w:t>地 址：</w:t>
      </w:r>
    </w:p>
    <w:p w14:paraId="15E9ECF3">
      <w:pPr>
        <w:spacing w:line="360" w:lineRule="auto"/>
        <w:ind w:firstLine="240" w:firstLineChars="100"/>
        <w:rPr>
          <w:rFonts w:hint="eastAsia" w:cs="宋体"/>
          <w:b/>
          <w:sz w:val="24"/>
        </w:rPr>
      </w:pPr>
      <w:r>
        <w:rPr>
          <w:rFonts w:hint="eastAsia" w:cs="宋体"/>
          <w:b/>
          <w:sz w:val="24"/>
        </w:rPr>
        <w:t>法定代表人或委托代理人：</w:t>
      </w:r>
    </w:p>
    <w:p w14:paraId="4A33F567">
      <w:pPr>
        <w:spacing w:line="360" w:lineRule="auto"/>
        <w:ind w:firstLine="2160" w:firstLineChars="900"/>
        <w:rPr>
          <w:rFonts w:hint="eastAsia" w:cs="宋体"/>
          <w:b/>
          <w:sz w:val="24"/>
        </w:rPr>
      </w:pPr>
      <w:r>
        <w:rPr>
          <w:rFonts w:hint="eastAsia" w:cs="宋体"/>
          <w:b/>
          <w:sz w:val="24"/>
        </w:rPr>
        <w:t>经办人：</w:t>
      </w:r>
    </w:p>
    <w:p w14:paraId="465A4310">
      <w:pPr>
        <w:spacing w:line="360" w:lineRule="auto"/>
        <w:ind w:firstLine="2160" w:firstLineChars="900"/>
        <w:rPr>
          <w:rFonts w:hint="eastAsia" w:cs="宋体"/>
          <w:b/>
          <w:sz w:val="24"/>
        </w:rPr>
      </w:pPr>
      <w:r>
        <w:rPr>
          <w:rFonts w:hint="eastAsia" w:cs="宋体"/>
          <w:b/>
          <w:sz w:val="24"/>
        </w:rPr>
        <w:t>电 话：</w:t>
      </w:r>
    </w:p>
    <w:p w14:paraId="0FCBA411">
      <w:pPr>
        <w:rPr>
          <w:rFonts w:hint="eastAsia" w:cs="宋体"/>
          <w:b/>
          <w:bCs/>
          <w:sz w:val="32"/>
          <w:szCs w:val="32"/>
        </w:rPr>
      </w:pPr>
      <w:r>
        <w:rPr>
          <w:rFonts w:hint="eastAsia" w:cs="宋体"/>
          <w:b/>
          <w:bCs/>
          <w:sz w:val="32"/>
          <w:szCs w:val="32"/>
        </w:rPr>
        <w:br w:type="page"/>
      </w:r>
    </w:p>
    <w:p w14:paraId="1261DF32">
      <w:pPr>
        <w:spacing w:line="480" w:lineRule="exact"/>
        <w:ind w:firstLine="480" w:firstLineChars="200"/>
        <w:rPr>
          <w:rFonts w:hint="eastAsia" w:cs="宋体"/>
          <w:sz w:val="24"/>
        </w:rPr>
      </w:pPr>
      <w:r>
        <w:rPr>
          <w:rFonts w:hint="eastAsia" w:cs="宋体"/>
          <w:sz w:val="24"/>
        </w:rPr>
        <w:t>根据甲乙双方协商，签订以下内容：</w:t>
      </w:r>
    </w:p>
    <w:p w14:paraId="4FBC2B6C">
      <w:pPr>
        <w:spacing w:line="480" w:lineRule="exact"/>
        <w:ind w:firstLine="480" w:firstLineChars="200"/>
        <w:rPr>
          <w:rFonts w:hint="eastAsia" w:cs="宋体"/>
          <w:sz w:val="24"/>
          <w:u w:val="single"/>
        </w:rPr>
      </w:pPr>
      <w:r>
        <w:rPr>
          <w:rFonts w:hint="eastAsia" w:cs="宋体"/>
          <w:sz w:val="24"/>
        </w:rPr>
        <w:t>项目名称：2025年防灾减灾专项资金基层应急能力提升项目（2标段）</w:t>
      </w:r>
    </w:p>
    <w:p w14:paraId="00DAB929">
      <w:pPr>
        <w:spacing w:line="480" w:lineRule="exact"/>
        <w:ind w:firstLine="480" w:firstLineChars="200"/>
        <w:rPr>
          <w:rFonts w:hint="eastAsia" w:cs="宋体"/>
          <w:sz w:val="24"/>
          <w:u w:val="single"/>
        </w:rPr>
      </w:pPr>
      <w:r>
        <w:rPr>
          <w:rFonts w:hint="eastAsia" w:cs="宋体"/>
          <w:sz w:val="24"/>
        </w:rPr>
        <w:t>项目地址：</w:t>
      </w:r>
    </w:p>
    <w:p w14:paraId="61FE1516">
      <w:pPr>
        <w:spacing w:line="480" w:lineRule="exact"/>
        <w:ind w:firstLine="480" w:firstLineChars="200"/>
        <w:rPr>
          <w:rFonts w:hint="eastAsia" w:cs="宋体"/>
          <w:sz w:val="24"/>
        </w:rPr>
      </w:pPr>
      <w:r>
        <w:rPr>
          <w:rFonts w:hint="eastAsia" w:cs="宋体"/>
          <w:sz w:val="24"/>
        </w:rPr>
        <w:t>甲、乙双方根据</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r>
        <w:rPr>
          <w:rFonts w:hint="eastAsia" w:cs="宋体"/>
          <w:sz w:val="24"/>
          <w:u w:val="single"/>
        </w:rPr>
        <w:t>2025年防灾减灾专项资金基层应急能力提升项目（2标段）</w:t>
      </w:r>
      <w:r>
        <w:rPr>
          <w:rFonts w:hint="eastAsia" w:cs="宋体"/>
          <w:sz w:val="24"/>
        </w:rPr>
        <w:t>（项目编号：LDHYYN-KM-251102）（以下简称本项目）的中标结果，根据《中华人民共和国民法典》及有关法律规定，甲乙双方在平等、自愿的基础上，经协商一致订立本合同，甲乙双方共同遵守如下条款。</w:t>
      </w:r>
    </w:p>
    <w:p w14:paraId="6B7BD9DD">
      <w:pPr>
        <w:spacing w:line="480" w:lineRule="exact"/>
        <w:ind w:firstLine="480" w:firstLineChars="200"/>
        <w:outlineLvl w:val="1"/>
        <w:rPr>
          <w:rFonts w:hint="eastAsia" w:cs="宋体"/>
          <w:b/>
          <w:bCs/>
          <w:sz w:val="24"/>
        </w:rPr>
      </w:pPr>
      <w:bookmarkStart w:id="123" w:name="_Toc12856"/>
      <w:bookmarkStart w:id="124" w:name="_Toc26564"/>
      <w:bookmarkStart w:id="125" w:name="_Toc12953"/>
      <w:bookmarkStart w:id="126" w:name="_Toc3703"/>
      <w:r>
        <w:rPr>
          <w:rFonts w:hint="eastAsia" w:cs="宋体"/>
          <w:b/>
          <w:bCs/>
          <w:sz w:val="24"/>
        </w:rPr>
        <w:t>第一条  货物（装备）名称、型号、规格、配置、技术参数、数量及合同价款</w:t>
      </w:r>
      <w:bookmarkEnd w:id="123"/>
      <w:bookmarkEnd w:id="124"/>
      <w:bookmarkEnd w:id="125"/>
      <w:bookmarkEnd w:id="126"/>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
        <w:gridCol w:w="1178"/>
        <w:gridCol w:w="442"/>
        <w:gridCol w:w="1689"/>
        <w:gridCol w:w="839"/>
        <w:gridCol w:w="443"/>
        <w:gridCol w:w="443"/>
        <w:gridCol w:w="782"/>
        <w:gridCol w:w="1236"/>
        <w:gridCol w:w="1349"/>
        <w:gridCol w:w="443"/>
      </w:tblGrid>
      <w:tr w14:paraId="6222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423" w:type="pct"/>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0961D5AB">
            <w:pPr>
              <w:spacing w:line="480" w:lineRule="exact"/>
              <w:jc w:val="center"/>
              <w:rPr>
                <w:rFonts w:hint="eastAsia" w:cs="宋体"/>
                <w:sz w:val="24"/>
              </w:rPr>
            </w:pPr>
            <w:r>
              <w:rPr>
                <w:rFonts w:hint="eastAsia" w:cs="宋体"/>
                <w:sz w:val="24"/>
              </w:rPr>
              <w:t>序号</w:t>
            </w:r>
          </w:p>
        </w:tc>
        <w:tc>
          <w:tcPr>
            <w:tcW w:w="6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EC7A2">
            <w:pPr>
              <w:spacing w:line="480" w:lineRule="exact"/>
              <w:jc w:val="center"/>
              <w:rPr>
                <w:rFonts w:hint="eastAsia" w:cs="宋体"/>
                <w:bCs/>
                <w:sz w:val="24"/>
              </w:rPr>
            </w:pPr>
            <w:r>
              <w:rPr>
                <w:rFonts w:hint="eastAsia" w:cs="宋体"/>
                <w:bCs/>
                <w:sz w:val="24"/>
              </w:rPr>
              <w:t xml:space="preserve"> 货物（装备）名称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D4268">
            <w:pPr>
              <w:spacing w:line="480" w:lineRule="exact"/>
              <w:jc w:val="center"/>
              <w:rPr>
                <w:rFonts w:hint="eastAsia" w:cs="宋体"/>
                <w:bCs/>
                <w:sz w:val="24"/>
              </w:rPr>
            </w:pPr>
            <w:r>
              <w:rPr>
                <w:rFonts w:hint="eastAsia" w:cs="宋体"/>
                <w:sz w:val="24"/>
              </w:rPr>
              <w:t>品牌</w:t>
            </w:r>
          </w:p>
        </w:tc>
        <w:tc>
          <w:tcPr>
            <w:tcW w:w="85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95E3B">
            <w:pPr>
              <w:spacing w:line="480" w:lineRule="exact"/>
              <w:jc w:val="center"/>
              <w:rPr>
                <w:rFonts w:hint="eastAsia" w:cs="宋体"/>
                <w:bCs/>
                <w:sz w:val="24"/>
              </w:rPr>
            </w:pPr>
            <w:r>
              <w:rPr>
                <w:rFonts w:hint="eastAsia" w:cs="宋体"/>
                <w:bCs/>
                <w:sz w:val="24"/>
              </w:rPr>
              <w:t>型号、规格、配置、技术参数</w:t>
            </w:r>
          </w:p>
        </w:tc>
        <w:tc>
          <w:tcPr>
            <w:tcW w:w="5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A0DE17">
            <w:pPr>
              <w:spacing w:line="480" w:lineRule="exact"/>
              <w:jc w:val="center"/>
              <w:rPr>
                <w:rFonts w:hint="eastAsia" w:cs="宋体"/>
                <w:bCs/>
                <w:sz w:val="24"/>
              </w:rPr>
            </w:pPr>
            <w:r>
              <w:rPr>
                <w:rFonts w:hint="eastAsia" w:cs="宋体"/>
                <w:sz w:val="24"/>
              </w:rPr>
              <w:t>产地/制造商</w:t>
            </w:r>
          </w:p>
        </w:tc>
        <w:tc>
          <w:tcPr>
            <w:tcW w:w="32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4FE56">
            <w:pPr>
              <w:spacing w:line="480" w:lineRule="exact"/>
              <w:jc w:val="center"/>
              <w:rPr>
                <w:rFonts w:hint="eastAsia" w:cs="宋体"/>
                <w:bCs/>
                <w:sz w:val="24"/>
              </w:rPr>
            </w:pPr>
            <w:r>
              <w:rPr>
                <w:rFonts w:hint="eastAsia" w:cs="宋体"/>
                <w:sz w:val="24"/>
              </w:rPr>
              <w:t>数量</w:t>
            </w: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DE4E3">
            <w:pPr>
              <w:spacing w:line="480" w:lineRule="exact"/>
              <w:jc w:val="center"/>
              <w:rPr>
                <w:rFonts w:hint="eastAsia" w:cs="宋体"/>
                <w:bCs/>
                <w:sz w:val="24"/>
              </w:rPr>
            </w:pPr>
            <w:r>
              <w:rPr>
                <w:rFonts w:hint="eastAsia" w:cs="宋体"/>
                <w:sz w:val="24"/>
              </w:rPr>
              <w:t>单位</w:t>
            </w:r>
          </w:p>
        </w:tc>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2A26B">
            <w:pPr>
              <w:widowControl/>
              <w:spacing w:line="480" w:lineRule="exact"/>
              <w:jc w:val="center"/>
              <w:rPr>
                <w:rFonts w:hint="eastAsia" w:cs="宋体"/>
                <w:sz w:val="24"/>
              </w:rPr>
            </w:pPr>
            <w:r>
              <w:rPr>
                <w:rFonts w:hint="eastAsia" w:cs="宋体"/>
                <w:sz w:val="24"/>
              </w:rPr>
              <w:t>单价（元）</w:t>
            </w:r>
          </w:p>
        </w:tc>
        <w:tc>
          <w:tcPr>
            <w:tcW w:w="3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DC76D">
            <w:pPr>
              <w:widowControl/>
              <w:spacing w:line="480" w:lineRule="exact"/>
              <w:jc w:val="center"/>
              <w:rPr>
                <w:rFonts w:hint="eastAsia" w:cs="宋体"/>
                <w:sz w:val="24"/>
              </w:rPr>
            </w:pPr>
            <w:r>
              <w:rPr>
                <w:rFonts w:hint="eastAsia" w:cs="宋体"/>
                <w:sz w:val="24"/>
              </w:rPr>
              <w:t>总价（含税）（元）</w:t>
            </w:r>
          </w:p>
        </w:tc>
        <w:tc>
          <w:tcPr>
            <w:tcW w:w="3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8714C">
            <w:pPr>
              <w:widowControl/>
              <w:spacing w:line="480" w:lineRule="exact"/>
              <w:jc w:val="center"/>
              <w:rPr>
                <w:rFonts w:hint="eastAsia" w:cs="宋体"/>
                <w:sz w:val="24"/>
              </w:rPr>
            </w:pPr>
            <w:r>
              <w:rPr>
                <w:rFonts w:hint="eastAsia" w:cs="宋体"/>
                <w:sz w:val="24"/>
              </w:rPr>
              <w:t>总价（不含税）（元）</w:t>
            </w:r>
          </w:p>
        </w:tc>
        <w:tc>
          <w:tcPr>
            <w:tcW w:w="3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F3C23">
            <w:pPr>
              <w:widowControl/>
              <w:spacing w:line="480" w:lineRule="exact"/>
              <w:jc w:val="center"/>
              <w:rPr>
                <w:rFonts w:hint="eastAsia" w:cs="宋体"/>
                <w:sz w:val="24"/>
              </w:rPr>
            </w:pPr>
            <w:r>
              <w:rPr>
                <w:rFonts w:hint="eastAsia" w:cs="宋体"/>
                <w:sz w:val="24"/>
              </w:rPr>
              <w:t>税率</w:t>
            </w:r>
          </w:p>
        </w:tc>
      </w:tr>
      <w:tr w14:paraId="47C4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23" w:type="pct"/>
            <w:noWrap/>
            <w:vAlign w:val="center"/>
          </w:tcPr>
          <w:p w14:paraId="7030E70C">
            <w:pPr>
              <w:spacing w:line="480" w:lineRule="exact"/>
              <w:jc w:val="center"/>
              <w:rPr>
                <w:rFonts w:hint="eastAsia" w:cs="宋体"/>
                <w:sz w:val="24"/>
              </w:rPr>
            </w:pPr>
            <w:r>
              <w:rPr>
                <w:rFonts w:hint="eastAsia" w:cs="宋体"/>
                <w:sz w:val="24"/>
              </w:rPr>
              <w:t>1</w:t>
            </w:r>
          </w:p>
        </w:tc>
        <w:tc>
          <w:tcPr>
            <w:tcW w:w="650" w:type="pct"/>
            <w:noWrap/>
            <w:vAlign w:val="center"/>
          </w:tcPr>
          <w:p w14:paraId="1F1CB11F">
            <w:pPr>
              <w:spacing w:line="480" w:lineRule="exact"/>
              <w:rPr>
                <w:rFonts w:hint="eastAsia" w:cs="宋体"/>
                <w:sz w:val="24"/>
              </w:rPr>
            </w:pPr>
          </w:p>
        </w:tc>
        <w:tc>
          <w:tcPr>
            <w:tcW w:w="414" w:type="pct"/>
            <w:noWrap/>
            <w:vAlign w:val="center"/>
          </w:tcPr>
          <w:p w14:paraId="2AC3AC2F">
            <w:pPr>
              <w:spacing w:line="480" w:lineRule="exact"/>
              <w:jc w:val="center"/>
              <w:rPr>
                <w:rFonts w:hint="eastAsia" w:cs="宋体"/>
                <w:sz w:val="24"/>
              </w:rPr>
            </w:pPr>
          </w:p>
        </w:tc>
        <w:tc>
          <w:tcPr>
            <w:tcW w:w="856" w:type="pct"/>
            <w:noWrap/>
            <w:vAlign w:val="center"/>
          </w:tcPr>
          <w:p w14:paraId="2FB14A36">
            <w:pPr>
              <w:spacing w:line="480" w:lineRule="exact"/>
              <w:jc w:val="center"/>
              <w:rPr>
                <w:rFonts w:hint="eastAsia" w:cs="宋体"/>
                <w:sz w:val="24"/>
              </w:rPr>
            </w:pPr>
          </w:p>
        </w:tc>
        <w:tc>
          <w:tcPr>
            <w:tcW w:w="532" w:type="pct"/>
            <w:noWrap/>
            <w:vAlign w:val="center"/>
          </w:tcPr>
          <w:p w14:paraId="3F78C9DE">
            <w:pPr>
              <w:spacing w:line="480" w:lineRule="exact"/>
              <w:jc w:val="center"/>
              <w:rPr>
                <w:rFonts w:hint="eastAsia" w:cs="宋体"/>
                <w:sz w:val="24"/>
              </w:rPr>
            </w:pPr>
          </w:p>
        </w:tc>
        <w:tc>
          <w:tcPr>
            <w:tcW w:w="323" w:type="pct"/>
            <w:noWrap/>
            <w:vAlign w:val="center"/>
          </w:tcPr>
          <w:p w14:paraId="17E511BB">
            <w:pPr>
              <w:spacing w:line="480" w:lineRule="exact"/>
              <w:jc w:val="center"/>
              <w:rPr>
                <w:rFonts w:hint="eastAsia" w:cs="宋体"/>
                <w:sz w:val="24"/>
              </w:rPr>
            </w:pPr>
          </w:p>
        </w:tc>
        <w:tc>
          <w:tcPr>
            <w:tcW w:w="271" w:type="pct"/>
            <w:noWrap/>
            <w:vAlign w:val="center"/>
          </w:tcPr>
          <w:p w14:paraId="49E602BB">
            <w:pPr>
              <w:spacing w:line="480" w:lineRule="exact"/>
              <w:rPr>
                <w:rFonts w:hint="eastAsia" w:cs="宋体"/>
                <w:sz w:val="24"/>
              </w:rPr>
            </w:pPr>
          </w:p>
        </w:tc>
        <w:tc>
          <w:tcPr>
            <w:tcW w:w="367" w:type="pct"/>
            <w:shd w:val="clear" w:color="auto" w:fill="FFFFFF"/>
            <w:noWrap/>
            <w:vAlign w:val="center"/>
          </w:tcPr>
          <w:p w14:paraId="1803AAEF">
            <w:pPr>
              <w:spacing w:line="480" w:lineRule="exact"/>
              <w:jc w:val="center"/>
              <w:rPr>
                <w:rFonts w:hint="eastAsia" w:cs="宋体"/>
                <w:sz w:val="24"/>
              </w:rPr>
            </w:pPr>
          </w:p>
        </w:tc>
        <w:tc>
          <w:tcPr>
            <w:tcW w:w="386" w:type="pct"/>
            <w:shd w:val="clear" w:color="auto" w:fill="FFFFFF"/>
            <w:noWrap/>
            <w:vAlign w:val="center"/>
          </w:tcPr>
          <w:p w14:paraId="5FC154FC">
            <w:pPr>
              <w:spacing w:line="480" w:lineRule="exact"/>
              <w:jc w:val="center"/>
              <w:rPr>
                <w:rFonts w:hint="eastAsia" w:cs="宋体"/>
                <w:sz w:val="24"/>
              </w:rPr>
            </w:pPr>
          </w:p>
        </w:tc>
        <w:tc>
          <w:tcPr>
            <w:tcW w:w="386" w:type="pct"/>
            <w:shd w:val="clear" w:color="auto" w:fill="FFFFFF"/>
            <w:noWrap/>
            <w:vAlign w:val="center"/>
          </w:tcPr>
          <w:p w14:paraId="16E6304D">
            <w:pPr>
              <w:spacing w:line="480" w:lineRule="exact"/>
              <w:jc w:val="center"/>
              <w:rPr>
                <w:rFonts w:hint="eastAsia" w:cs="宋体"/>
                <w:sz w:val="24"/>
              </w:rPr>
            </w:pPr>
          </w:p>
        </w:tc>
        <w:tc>
          <w:tcPr>
            <w:tcW w:w="386" w:type="pct"/>
            <w:shd w:val="clear" w:color="auto" w:fill="FFFFFF"/>
            <w:noWrap/>
            <w:vAlign w:val="center"/>
          </w:tcPr>
          <w:p w14:paraId="17D7AAE7">
            <w:pPr>
              <w:spacing w:line="480" w:lineRule="exact"/>
              <w:jc w:val="center"/>
              <w:rPr>
                <w:rFonts w:hint="eastAsia" w:cs="宋体"/>
                <w:sz w:val="24"/>
              </w:rPr>
            </w:pPr>
          </w:p>
        </w:tc>
      </w:tr>
      <w:tr w14:paraId="75A7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23" w:type="pct"/>
            <w:noWrap/>
            <w:vAlign w:val="center"/>
          </w:tcPr>
          <w:p w14:paraId="4BAC92E2">
            <w:pPr>
              <w:spacing w:line="480" w:lineRule="exact"/>
              <w:jc w:val="center"/>
              <w:rPr>
                <w:rFonts w:hint="eastAsia" w:cs="宋体"/>
                <w:sz w:val="24"/>
              </w:rPr>
            </w:pPr>
            <w:r>
              <w:rPr>
                <w:rFonts w:hint="eastAsia" w:cs="宋体"/>
                <w:sz w:val="24"/>
              </w:rPr>
              <w:t>2</w:t>
            </w:r>
          </w:p>
        </w:tc>
        <w:tc>
          <w:tcPr>
            <w:tcW w:w="650" w:type="pct"/>
            <w:noWrap/>
            <w:vAlign w:val="center"/>
          </w:tcPr>
          <w:p w14:paraId="368BCFF4">
            <w:pPr>
              <w:spacing w:line="480" w:lineRule="exact"/>
              <w:rPr>
                <w:rFonts w:hint="eastAsia" w:cs="宋体"/>
                <w:sz w:val="24"/>
              </w:rPr>
            </w:pPr>
          </w:p>
        </w:tc>
        <w:tc>
          <w:tcPr>
            <w:tcW w:w="414" w:type="pct"/>
            <w:noWrap/>
            <w:vAlign w:val="center"/>
          </w:tcPr>
          <w:p w14:paraId="2CB5940A">
            <w:pPr>
              <w:spacing w:line="480" w:lineRule="exact"/>
              <w:jc w:val="center"/>
              <w:rPr>
                <w:rFonts w:hint="eastAsia" w:cs="宋体"/>
                <w:sz w:val="24"/>
              </w:rPr>
            </w:pPr>
          </w:p>
        </w:tc>
        <w:tc>
          <w:tcPr>
            <w:tcW w:w="856" w:type="pct"/>
            <w:noWrap/>
            <w:vAlign w:val="center"/>
          </w:tcPr>
          <w:p w14:paraId="4CFD19A6">
            <w:pPr>
              <w:spacing w:line="480" w:lineRule="exact"/>
              <w:jc w:val="center"/>
              <w:rPr>
                <w:rFonts w:hint="eastAsia" w:cs="宋体"/>
                <w:sz w:val="24"/>
              </w:rPr>
            </w:pPr>
          </w:p>
        </w:tc>
        <w:tc>
          <w:tcPr>
            <w:tcW w:w="532" w:type="pct"/>
            <w:noWrap/>
            <w:vAlign w:val="center"/>
          </w:tcPr>
          <w:p w14:paraId="24CDE33A">
            <w:pPr>
              <w:spacing w:line="480" w:lineRule="exact"/>
              <w:jc w:val="center"/>
              <w:rPr>
                <w:rFonts w:hint="eastAsia" w:cs="宋体"/>
                <w:sz w:val="24"/>
              </w:rPr>
            </w:pPr>
          </w:p>
        </w:tc>
        <w:tc>
          <w:tcPr>
            <w:tcW w:w="323" w:type="pct"/>
            <w:noWrap/>
            <w:vAlign w:val="center"/>
          </w:tcPr>
          <w:p w14:paraId="0992ED75">
            <w:pPr>
              <w:spacing w:line="480" w:lineRule="exact"/>
              <w:jc w:val="center"/>
              <w:rPr>
                <w:rFonts w:hint="eastAsia" w:cs="宋体"/>
                <w:sz w:val="24"/>
              </w:rPr>
            </w:pPr>
          </w:p>
        </w:tc>
        <w:tc>
          <w:tcPr>
            <w:tcW w:w="271" w:type="pct"/>
            <w:noWrap/>
            <w:vAlign w:val="center"/>
          </w:tcPr>
          <w:p w14:paraId="64AC5C9F">
            <w:pPr>
              <w:spacing w:line="480" w:lineRule="exact"/>
              <w:rPr>
                <w:rFonts w:hint="eastAsia" w:cs="宋体"/>
                <w:sz w:val="24"/>
              </w:rPr>
            </w:pPr>
          </w:p>
        </w:tc>
        <w:tc>
          <w:tcPr>
            <w:tcW w:w="367" w:type="pct"/>
            <w:shd w:val="clear" w:color="auto" w:fill="FFFFFF"/>
            <w:noWrap/>
            <w:vAlign w:val="center"/>
          </w:tcPr>
          <w:p w14:paraId="436A25AA">
            <w:pPr>
              <w:spacing w:line="480" w:lineRule="exact"/>
              <w:jc w:val="center"/>
              <w:rPr>
                <w:rFonts w:hint="eastAsia" w:cs="宋体"/>
                <w:sz w:val="24"/>
              </w:rPr>
            </w:pPr>
          </w:p>
        </w:tc>
        <w:tc>
          <w:tcPr>
            <w:tcW w:w="386" w:type="pct"/>
            <w:shd w:val="clear" w:color="auto" w:fill="FFFFFF"/>
            <w:noWrap/>
            <w:vAlign w:val="center"/>
          </w:tcPr>
          <w:p w14:paraId="5A33C5CB">
            <w:pPr>
              <w:spacing w:line="480" w:lineRule="exact"/>
              <w:jc w:val="center"/>
              <w:rPr>
                <w:rFonts w:hint="eastAsia" w:cs="宋体"/>
                <w:sz w:val="24"/>
              </w:rPr>
            </w:pPr>
          </w:p>
        </w:tc>
        <w:tc>
          <w:tcPr>
            <w:tcW w:w="386" w:type="pct"/>
            <w:shd w:val="clear" w:color="auto" w:fill="FFFFFF"/>
            <w:noWrap/>
            <w:vAlign w:val="center"/>
          </w:tcPr>
          <w:p w14:paraId="0F37F130">
            <w:pPr>
              <w:spacing w:line="480" w:lineRule="exact"/>
              <w:jc w:val="center"/>
              <w:rPr>
                <w:rFonts w:hint="eastAsia" w:cs="宋体"/>
                <w:sz w:val="24"/>
              </w:rPr>
            </w:pPr>
          </w:p>
        </w:tc>
        <w:tc>
          <w:tcPr>
            <w:tcW w:w="386" w:type="pct"/>
            <w:shd w:val="clear" w:color="auto" w:fill="FFFFFF"/>
            <w:noWrap/>
            <w:vAlign w:val="center"/>
          </w:tcPr>
          <w:p w14:paraId="702C7C40">
            <w:pPr>
              <w:spacing w:line="480" w:lineRule="exact"/>
              <w:jc w:val="center"/>
              <w:rPr>
                <w:rFonts w:hint="eastAsia" w:cs="宋体"/>
                <w:sz w:val="24"/>
              </w:rPr>
            </w:pPr>
          </w:p>
        </w:tc>
      </w:tr>
      <w:tr w14:paraId="5E70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23" w:type="pct"/>
            <w:noWrap/>
            <w:vAlign w:val="center"/>
          </w:tcPr>
          <w:p w14:paraId="3A5ED483">
            <w:pPr>
              <w:spacing w:line="480" w:lineRule="exact"/>
              <w:jc w:val="center"/>
              <w:rPr>
                <w:rFonts w:hint="eastAsia" w:cs="宋体"/>
                <w:sz w:val="24"/>
              </w:rPr>
            </w:pPr>
            <w:r>
              <w:rPr>
                <w:rFonts w:hint="eastAsia" w:cs="宋体"/>
                <w:sz w:val="24"/>
              </w:rPr>
              <w:t>3</w:t>
            </w:r>
          </w:p>
        </w:tc>
        <w:tc>
          <w:tcPr>
            <w:tcW w:w="650" w:type="pct"/>
            <w:noWrap/>
            <w:vAlign w:val="center"/>
          </w:tcPr>
          <w:p w14:paraId="630B813A">
            <w:pPr>
              <w:spacing w:line="480" w:lineRule="exact"/>
              <w:rPr>
                <w:rFonts w:hint="eastAsia" w:cs="宋体"/>
                <w:sz w:val="24"/>
              </w:rPr>
            </w:pPr>
          </w:p>
        </w:tc>
        <w:tc>
          <w:tcPr>
            <w:tcW w:w="414" w:type="pct"/>
            <w:noWrap/>
            <w:vAlign w:val="center"/>
          </w:tcPr>
          <w:p w14:paraId="4B696D87">
            <w:pPr>
              <w:spacing w:line="480" w:lineRule="exact"/>
              <w:jc w:val="center"/>
              <w:rPr>
                <w:rFonts w:hint="eastAsia" w:cs="宋体"/>
                <w:sz w:val="24"/>
              </w:rPr>
            </w:pPr>
          </w:p>
        </w:tc>
        <w:tc>
          <w:tcPr>
            <w:tcW w:w="856" w:type="pct"/>
            <w:noWrap/>
            <w:vAlign w:val="center"/>
          </w:tcPr>
          <w:p w14:paraId="269BBD9E">
            <w:pPr>
              <w:spacing w:line="480" w:lineRule="exact"/>
              <w:jc w:val="center"/>
              <w:rPr>
                <w:rFonts w:hint="eastAsia" w:cs="宋体"/>
                <w:sz w:val="24"/>
              </w:rPr>
            </w:pPr>
          </w:p>
        </w:tc>
        <w:tc>
          <w:tcPr>
            <w:tcW w:w="532" w:type="pct"/>
            <w:noWrap/>
            <w:vAlign w:val="center"/>
          </w:tcPr>
          <w:p w14:paraId="3FC62D9E">
            <w:pPr>
              <w:spacing w:line="480" w:lineRule="exact"/>
              <w:jc w:val="center"/>
              <w:rPr>
                <w:rFonts w:hint="eastAsia" w:cs="宋体"/>
                <w:sz w:val="24"/>
              </w:rPr>
            </w:pPr>
          </w:p>
        </w:tc>
        <w:tc>
          <w:tcPr>
            <w:tcW w:w="323" w:type="pct"/>
            <w:noWrap/>
            <w:vAlign w:val="center"/>
          </w:tcPr>
          <w:p w14:paraId="30D0CA5C">
            <w:pPr>
              <w:spacing w:line="480" w:lineRule="exact"/>
              <w:jc w:val="center"/>
              <w:rPr>
                <w:rFonts w:hint="eastAsia" w:cs="宋体"/>
                <w:sz w:val="24"/>
              </w:rPr>
            </w:pPr>
          </w:p>
        </w:tc>
        <w:tc>
          <w:tcPr>
            <w:tcW w:w="271" w:type="pct"/>
            <w:noWrap/>
            <w:vAlign w:val="center"/>
          </w:tcPr>
          <w:p w14:paraId="54EFFB98">
            <w:pPr>
              <w:spacing w:line="480" w:lineRule="exact"/>
              <w:rPr>
                <w:rFonts w:hint="eastAsia" w:cs="宋体"/>
                <w:sz w:val="24"/>
              </w:rPr>
            </w:pPr>
          </w:p>
        </w:tc>
        <w:tc>
          <w:tcPr>
            <w:tcW w:w="367" w:type="pct"/>
            <w:shd w:val="clear" w:color="auto" w:fill="FFFFFF"/>
            <w:noWrap/>
            <w:vAlign w:val="center"/>
          </w:tcPr>
          <w:p w14:paraId="1593DDB3">
            <w:pPr>
              <w:spacing w:line="480" w:lineRule="exact"/>
              <w:jc w:val="center"/>
              <w:rPr>
                <w:rFonts w:hint="eastAsia" w:cs="宋体"/>
                <w:sz w:val="24"/>
              </w:rPr>
            </w:pPr>
          </w:p>
        </w:tc>
        <w:tc>
          <w:tcPr>
            <w:tcW w:w="386" w:type="pct"/>
            <w:shd w:val="clear" w:color="auto" w:fill="FFFFFF"/>
            <w:noWrap/>
            <w:vAlign w:val="center"/>
          </w:tcPr>
          <w:p w14:paraId="64ACC995">
            <w:pPr>
              <w:spacing w:line="480" w:lineRule="exact"/>
              <w:jc w:val="center"/>
              <w:rPr>
                <w:rFonts w:hint="eastAsia" w:cs="宋体"/>
                <w:sz w:val="24"/>
              </w:rPr>
            </w:pPr>
          </w:p>
        </w:tc>
        <w:tc>
          <w:tcPr>
            <w:tcW w:w="386" w:type="pct"/>
            <w:shd w:val="clear" w:color="auto" w:fill="FFFFFF"/>
            <w:noWrap/>
            <w:vAlign w:val="center"/>
          </w:tcPr>
          <w:p w14:paraId="53BE43C0">
            <w:pPr>
              <w:spacing w:line="480" w:lineRule="exact"/>
              <w:jc w:val="center"/>
              <w:rPr>
                <w:rFonts w:hint="eastAsia" w:cs="宋体"/>
                <w:sz w:val="24"/>
              </w:rPr>
            </w:pPr>
          </w:p>
        </w:tc>
        <w:tc>
          <w:tcPr>
            <w:tcW w:w="386" w:type="pct"/>
            <w:shd w:val="clear" w:color="auto" w:fill="FFFFFF"/>
            <w:noWrap/>
            <w:vAlign w:val="center"/>
          </w:tcPr>
          <w:p w14:paraId="453A08CC">
            <w:pPr>
              <w:spacing w:line="480" w:lineRule="exact"/>
              <w:jc w:val="center"/>
              <w:rPr>
                <w:rFonts w:hint="eastAsia" w:cs="宋体"/>
                <w:sz w:val="24"/>
              </w:rPr>
            </w:pPr>
          </w:p>
        </w:tc>
      </w:tr>
      <w:tr w14:paraId="324A4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23" w:type="pct"/>
            <w:noWrap/>
            <w:vAlign w:val="center"/>
          </w:tcPr>
          <w:p w14:paraId="15E427DE">
            <w:pPr>
              <w:spacing w:line="480" w:lineRule="exact"/>
              <w:jc w:val="center"/>
              <w:rPr>
                <w:rFonts w:hint="eastAsia" w:cs="宋体"/>
                <w:sz w:val="24"/>
              </w:rPr>
            </w:pPr>
            <w:r>
              <w:rPr>
                <w:rFonts w:hint="eastAsia" w:cs="宋体"/>
                <w:sz w:val="24"/>
              </w:rPr>
              <w:t>4</w:t>
            </w:r>
          </w:p>
        </w:tc>
        <w:tc>
          <w:tcPr>
            <w:tcW w:w="650" w:type="pct"/>
            <w:noWrap/>
            <w:vAlign w:val="center"/>
          </w:tcPr>
          <w:p w14:paraId="6CDA25D2">
            <w:pPr>
              <w:spacing w:line="480" w:lineRule="exact"/>
              <w:rPr>
                <w:rFonts w:hint="eastAsia" w:cs="宋体"/>
                <w:sz w:val="24"/>
              </w:rPr>
            </w:pPr>
          </w:p>
        </w:tc>
        <w:tc>
          <w:tcPr>
            <w:tcW w:w="414" w:type="pct"/>
            <w:noWrap/>
            <w:vAlign w:val="center"/>
          </w:tcPr>
          <w:p w14:paraId="07E9CFA5">
            <w:pPr>
              <w:spacing w:line="480" w:lineRule="exact"/>
              <w:jc w:val="center"/>
              <w:rPr>
                <w:rFonts w:hint="eastAsia" w:cs="宋体"/>
                <w:sz w:val="24"/>
              </w:rPr>
            </w:pPr>
          </w:p>
        </w:tc>
        <w:tc>
          <w:tcPr>
            <w:tcW w:w="856" w:type="pct"/>
            <w:noWrap/>
            <w:vAlign w:val="center"/>
          </w:tcPr>
          <w:p w14:paraId="2FCFA537">
            <w:pPr>
              <w:spacing w:line="480" w:lineRule="exact"/>
              <w:jc w:val="center"/>
              <w:rPr>
                <w:rFonts w:hint="eastAsia" w:cs="宋体"/>
                <w:sz w:val="24"/>
              </w:rPr>
            </w:pPr>
          </w:p>
        </w:tc>
        <w:tc>
          <w:tcPr>
            <w:tcW w:w="532" w:type="pct"/>
            <w:noWrap/>
            <w:vAlign w:val="center"/>
          </w:tcPr>
          <w:p w14:paraId="4C01F244">
            <w:pPr>
              <w:spacing w:line="480" w:lineRule="exact"/>
              <w:jc w:val="center"/>
              <w:rPr>
                <w:rFonts w:hint="eastAsia" w:cs="宋体"/>
                <w:sz w:val="24"/>
              </w:rPr>
            </w:pPr>
          </w:p>
        </w:tc>
        <w:tc>
          <w:tcPr>
            <w:tcW w:w="323" w:type="pct"/>
            <w:noWrap/>
            <w:vAlign w:val="center"/>
          </w:tcPr>
          <w:p w14:paraId="01B7F8E4">
            <w:pPr>
              <w:spacing w:line="480" w:lineRule="exact"/>
              <w:jc w:val="center"/>
              <w:rPr>
                <w:rFonts w:hint="eastAsia" w:cs="宋体"/>
                <w:sz w:val="24"/>
              </w:rPr>
            </w:pPr>
          </w:p>
        </w:tc>
        <w:tc>
          <w:tcPr>
            <w:tcW w:w="271" w:type="pct"/>
            <w:noWrap/>
            <w:vAlign w:val="center"/>
          </w:tcPr>
          <w:p w14:paraId="09D402AC">
            <w:pPr>
              <w:spacing w:line="480" w:lineRule="exact"/>
              <w:rPr>
                <w:rFonts w:hint="eastAsia" w:cs="宋体"/>
                <w:sz w:val="24"/>
              </w:rPr>
            </w:pPr>
          </w:p>
        </w:tc>
        <w:tc>
          <w:tcPr>
            <w:tcW w:w="367" w:type="pct"/>
            <w:shd w:val="clear" w:color="auto" w:fill="FFFFFF"/>
            <w:noWrap/>
            <w:vAlign w:val="center"/>
          </w:tcPr>
          <w:p w14:paraId="25772AAC">
            <w:pPr>
              <w:spacing w:line="480" w:lineRule="exact"/>
              <w:jc w:val="center"/>
              <w:rPr>
                <w:rFonts w:hint="eastAsia" w:cs="宋体"/>
                <w:sz w:val="24"/>
              </w:rPr>
            </w:pPr>
          </w:p>
        </w:tc>
        <w:tc>
          <w:tcPr>
            <w:tcW w:w="386" w:type="pct"/>
            <w:shd w:val="clear" w:color="auto" w:fill="FFFFFF"/>
            <w:noWrap/>
            <w:vAlign w:val="center"/>
          </w:tcPr>
          <w:p w14:paraId="67ACDD11">
            <w:pPr>
              <w:spacing w:line="480" w:lineRule="exact"/>
              <w:jc w:val="center"/>
              <w:rPr>
                <w:rFonts w:hint="eastAsia" w:cs="宋体"/>
                <w:sz w:val="24"/>
              </w:rPr>
            </w:pPr>
          </w:p>
        </w:tc>
        <w:tc>
          <w:tcPr>
            <w:tcW w:w="386" w:type="pct"/>
            <w:shd w:val="clear" w:color="auto" w:fill="FFFFFF"/>
            <w:noWrap/>
            <w:vAlign w:val="center"/>
          </w:tcPr>
          <w:p w14:paraId="6DA9C8E6">
            <w:pPr>
              <w:spacing w:line="480" w:lineRule="exact"/>
              <w:jc w:val="center"/>
              <w:rPr>
                <w:rFonts w:hint="eastAsia" w:cs="宋体"/>
                <w:sz w:val="24"/>
              </w:rPr>
            </w:pPr>
          </w:p>
        </w:tc>
        <w:tc>
          <w:tcPr>
            <w:tcW w:w="386" w:type="pct"/>
            <w:shd w:val="clear" w:color="auto" w:fill="FFFFFF"/>
            <w:noWrap/>
            <w:vAlign w:val="center"/>
          </w:tcPr>
          <w:p w14:paraId="258D217B">
            <w:pPr>
              <w:spacing w:line="480" w:lineRule="exact"/>
              <w:jc w:val="center"/>
              <w:rPr>
                <w:rFonts w:hint="eastAsia" w:cs="宋体"/>
                <w:sz w:val="24"/>
              </w:rPr>
            </w:pPr>
          </w:p>
        </w:tc>
      </w:tr>
    </w:tbl>
    <w:p w14:paraId="662BF96B">
      <w:pPr>
        <w:spacing w:line="480" w:lineRule="exact"/>
        <w:rPr>
          <w:rFonts w:hint="eastAsia" w:cs="宋体"/>
          <w:sz w:val="24"/>
        </w:rPr>
      </w:pPr>
      <w:r>
        <w:rPr>
          <w:rFonts w:hint="eastAsia" w:cs="宋体"/>
          <w:sz w:val="24"/>
        </w:rPr>
        <w:t>（合同价款包括货物价格、标准配件、备品备件、包装费、运输、保管、税金、验收合格、各项技术服务所需的各种费用及必要的各项税金等完成采购项目所需的所有费用的总和。）</w:t>
      </w:r>
    </w:p>
    <w:p w14:paraId="400C72D6">
      <w:pPr>
        <w:spacing w:line="480" w:lineRule="exact"/>
        <w:ind w:firstLine="480" w:firstLineChars="200"/>
        <w:outlineLvl w:val="1"/>
        <w:rPr>
          <w:rFonts w:hint="eastAsia" w:cs="宋体"/>
          <w:b/>
          <w:bCs/>
          <w:sz w:val="24"/>
        </w:rPr>
      </w:pPr>
      <w:bookmarkStart w:id="127" w:name="_Toc22270"/>
      <w:bookmarkStart w:id="128" w:name="_Toc15249"/>
      <w:bookmarkStart w:id="129" w:name="_Toc19424"/>
      <w:bookmarkStart w:id="130" w:name="_Toc5670"/>
      <w:r>
        <w:rPr>
          <w:rFonts w:hint="eastAsia" w:cs="宋体"/>
          <w:b/>
          <w:bCs/>
          <w:sz w:val="24"/>
        </w:rPr>
        <w:t>第二条  交货及安装地点、交货期限及交货方式。</w:t>
      </w:r>
      <w:bookmarkEnd w:id="127"/>
      <w:bookmarkEnd w:id="128"/>
      <w:bookmarkEnd w:id="129"/>
      <w:bookmarkEnd w:id="130"/>
    </w:p>
    <w:p w14:paraId="389E43F9">
      <w:pPr>
        <w:spacing w:line="480" w:lineRule="exact"/>
        <w:ind w:firstLine="480" w:firstLineChars="200"/>
        <w:rPr>
          <w:rFonts w:hint="eastAsia" w:cs="宋体"/>
          <w:sz w:val="24"/>
        </w:rPr>
      </w:pPr>
      <w:r>
        <w:rPr>
          <w:rFonts w:hint="eastAsia" w:cs="宋体"/>
          <w:sz w:val="24"/>
        </w:rPr>
        <w:t>1. 交货及安装地点：采购人指定地点（丘北、东川、维西、华坪及楚雄市子午镇、云县爱华镇）。</w:t>
      </w:r>
    </w:p>
    <w:p w14:paraId="2AA28532">
      <w:pPr>
        <w:spacing w:line="480" w:lineRule="exact"/>
        <w:ind w:firstLine="480" w:firstLineChars="200"/>
        <w:rPr>
          <w:rFonts w:hint="eastAsia" w:cs="宋体"/>
          <w:sz w:val="24"/>
        </w:rPr>
      </w:pPr>
      <w:r>
        <w:rPr>
          <w:rFonts w:hint="eastAsia" w:cs="宋体"/>
          <w:sz w:val="24"/>
        </w:rPr>
        <w:t>2. 交货期限：自合同签订之日起   日历天内完成整个项目的供货，验收合格并交付使用。</w:t>
      </w:r>
    </w:p>
    <w:p w14:paraId="37DC8B8F">
      <w:pPr>
        <w:spacing w:line="480" w:lineRule="exact"/>
        <w:ind w:firstLine="480" w:firstLineChars="200"/>
        <w:rPr>
          <w:rFonts w:hint="eastAsia" w:cs="宋体"/>
          <w:sz w:val="24"/>
        </w:rPr>
      </w:pPr>
      <w:r>
        <w:rPr>
          <w:rFonts w:hint="eastAsia" w:cs="宋体"/>
          <w:sz w:val="24"/>
        </w:rPr>
        <w:t>3. 交货方式：乙方免费送至甲方指定地点并整体安装到位，直至完全满足第一条合同文件组成所规定条款。</w:t>
      </w:r>
    </w:p>
    <w:p w14:paraId="22E2AFDD">
      <w:pPr>
        <w:spacing w:line="480" w:lineRule="exact"/>
        <w:ind w:firstLine="480" w:firstLineChars="200"/>
        <w:outlineLvl w:val="1"/>
        <w:rPr>
          <w:rFonts w:hint="eastAsia" w:cs="宋体"/>
          <w:sz w:val="24"/>
        </w:rPr>
      </w:pPr>
      <w:bookmarkStart w:id="131" w:name="_Toc10598"/>
      <w:bookmarkStart w:id="132" w:name="_Toc19598"/>
      <w:bookmarkStart w:id="133" w:name="_Toc29861"/>
      <w:bookmarkStart w:id="134" w:name="_Toc7617"/>
      <w:r>
        <w:rPr>
          <w:rFonts w:hint="eastAsia" w:cs="宋体"/>
          <w:b/>
          <w:bCs/>
          <w:sz w:val="24"/>
        </w:rPr>
        <w:t>第三条  合同条款及特别条款</w:t>
      </w:r>
      <w:bookmarkEnd w:id="131"/>
      <w:bookmarkEnd w:id="132"/>
      <w:bookmarkEnd w:id="133"/>
      <w:bookmarkEnd w:id="134"/>
      <w:r>
        <w:rPr>
          <w:rFonts w:hint="eastAsia" w:cs="宋体"/>
          <w:sz w:val="24"/>
        </w:rPr>
        <w:t xml:space="preserve"> </w:t>
      </w:r>
    </w:p>
    <w:p w14:paraId="6D816CA0">
      <w:pPr>
        <w:spacing w:line="480" w:lineRule="exact"/>
        <w:ind w:firstLine="480" w:firstLineChars="200"/>
        <w:rPr>
          <w:rFonts w:hint="eastAsia" w:cs="宋体"/>
          <w:b/>
          <w:bCs/>
          <w:sz w:val="24"/>
        </w:rPr>
      </w:pPr>
      <w:r>
        <w:rPr>
          <w:rFonts w:hint="eastAsia" w:cs="宋体"/>
          <w:b/>
          <w:bCs/>
          <w:sz w:val="24"/>
        </w:rPr>
        <w:t>1. 付款方式：</w:t>
      </w:r>
    </w:p>
    <w:p w14:paraId="193130EF">
      <w:pPr>
        <w:adjustRightInd w:val="0"/>
        <w:snapToGrid w:val="0"/>
        <w:spacing w:line="480" w:lineRule="exact"/>
        <w:ind w:firstLine="480" w:firstLineChars="200"/>
        <w:rPr>
          <w:rFonts w:hint="eastAsia" w:cs="宋体"/>
          <w:sz w:val="24"/>
        </w:rPr>
      </w:pPr>
      <w:r>
        <w:rPr>
          <w:rFonts w:hint="eastAsia" w:cs="宋体"/>
          <w:b/>
          <w:bCs/>
          <w:sz w:val="24"/>
        </w:rPr>
        <w:t>1.1</w:t>
      </w:r>
      <w:r>
        <w:rPr>
          <w:rFonts w:hint="eastAsia" w:cs="宋体"/>
          <w:sz w:val="24"/>
        </w:rPr>
        <w:t>双方签订合同后，根据财政局拨款情况，支付给乙方合同总价的40%为项目启动资金即</w:t>
      </w:r>
      <w:r>
        <w:rPr>
          <w:rFonts w:hint="eastAsia" w:cs="宋体"/>
          <w:sz w:val="24"/>
          <w:u w:val="single"/>
        </w:rPr>
        <w:t xml:space="preserve">         </w:t>
      </w:r>
      <w:r>
        <w:rPr>
          <w:rFonts w:hint="eastAsia" w:cs="宋体"/>
          <w:sz w:val="24"/>
        </w:rPr>
        <w:t>元（大写；人民币</w:t>
      </w:r>
      <w:r>
        <w:rPr>
          <w:rFonts w:hint="eastAsia" w:cs="宋体"/>
          <w:sz w:val="24"/>
          <w:u w:val="single"/>
        </w:rPr>
        <w:t xml:space="preserve">           </w:t>
      </w:r>
      <w:r>
        <w:rPr>
          <w:rFonts w:hint="eastAsia" w:cs="宋体"/>
          <w:sz w:val="24"/>
        </w:rPr>
        <w:t>元整），待验收合格后支付合同总价的60%即：</w:t>
      </w:r>
      <w:r>
        <w:rPr>
          <w:rFonts w:hint="eastAsia" w:cs="宋体"/>
          <w:sz w:val="24"/>
          <w:u w:val="single"/>
        </w:rPr>
        <w:t xml:space="preserve">       </w:t>
      </w:r>
      <w:r>
        <w:rPr>
          <w:rFonts w:hint="eastAsia" w:cs="宋体"/>
          <w:sz w:val="24"/>
        </w:rPr>
        <w:t xml:space="preserve">元（大写：人民币 </w:t>
      </w:r>
      <w:r>
        <w:rPr>
          <w:rFonts w:hint="eastAsia" w:cs="宋体"/>
          <w:sz w:val="24"/>
          <w:u w:val="single"/>
        </w:rPr>
        <w:t xml:space="preserve">              </w:t>
      </w:r>
      <w:r>
        <w:rPr>
          <w:rFonts w:hint="eastAsia" w:cs="宋体"/>
          <w:sz w:val="24"/>
        </w:rPr>
        <w:t>元整）。甲方付款前，乙方须向甲方出具合法有效并符合甲方要求的正式发票，否则，甲方有权暂缓支付且不视为违约。</w:t>
      </w:r>
    </w:p>
    <w:p w14:paraId="0F2F0F94">
      <w:pPr>
        <w:adjustRightInd w:val="0"/>
        <w:snapToGrid w:val="0"/>
        <w:spacing w:line="480" w:lineRule="exact"/>
        <w:ind w:firstLine="480" w:firstLineChars="200"/>
        <w:rPr>
          <w:rFonts w:hint="eastAsia" w:cs="宋体"/>
          <w:bCs/>
          <w:sz w:val="24"/>
          <w:shd w:val="clear" w:color="auto" w:fill="FFFFFF"/>
        </w:rPr>
      </w:pPr>
      <w:r>
        <w:rPr>
          <w:rFonts w:hint="eastAsia" w:cs="宋体"/>
          <w:bCs/>
          <w:sz w:val="24"/>
          <w:shd w:val="clear" w:color="auto" w:fill="FFFFFF"/>
        </w:rPr>
        <w:t xml:space="preserve">乙方公司账户信息如下： </w:t>
      </w:r>
    </w:p>
    <w:p w14:paraId="1B755093">
      <w:pPr>
        <w:spacing w:line="480" w:lineRule="exact"/>
        <w:ind w:firstLine="480" w:firstLineChars="200"/>
        <w:rPr>
          <w:rFonts w:hint="eastAsia" w:cs="宋体"/>
          <w:sz w:val="24"/>
          <w:u w:val="single"/>
        </w:rPr>
      </w:pPr>
      <w:r>
        <w:rPr>
          <w:rFonts w:hint="eastAsia" w:cs="宋体"/>
          <w:sz w:val="24"/>
        </w:rPr>
        <w:t>账户名称：</w:t>
      </w:r>
      <w:r>
        <w:rPr>
          <w:rFonts w:hint="eastAsia" w:cs="宋体"/>
          <w:sz w:val="24"/>
          <w:u w:val="single"/>
        </w:rPr>
        <w:t xml:space="preserve">                 </w:t>
      </w:r>
    </w:p>
    <w:p w14:paraId="7EA0C687">
      <w:pPr>
        <w:spacing w:line="480" w:lineRule="exact"/>
        <w:ind w:firstLine="480" w:firstLineChars="200"/>
        <w:rPr>
          <w:rFonts w:hint="eastAsia" w:cs="宋体"/>
          <w:sz w:val="24"/>
          <w:u w:val="single"/>
        </w:rPr>
      </w:pPr>
      <w:r>
        <w:rPr>
          <w:rFonts w:hint="eastAsia" w:cs="宋体"/>
          <w:bCs/>
          <w:sz w:val="24"/>
        </w:rPr>
        <w:t>开户行名称</w:t>
      </w:r>
      <w:r>
        <w:rPr>
          <w:rFonts w:hint="eastAsia" w:cs="宋体"/>
          <w:sz w:val="24"/>
        </w:rPr>
        <w:t>：</w:t>
      </w:r>
      <w:r>
        <w:rPr>
          <w:rFonts w:hint="eastAsia" w:cs="宋体"/>
          <w:sz w:val="24"/>
          <w:u w:val="single"/>
        </w:rPr>
        <w:t xml:space="preserve">               </w:t>
      </w:r>
    </w:p>
    <w:p w14:paraId="78ED32E8">
      <w:pPr>
        <w:spacing w:line="480" w:lineRule="exact"/>
        <w:ind w:firstLine="480" w:firstLineChars="200"/>
        <w:rPr>
          <w:rFonts w:hint="eastAsia" w:cs="宋体"/>
          <w:sz w:val="24"/>
        </w:rPr>
      </w:pPr>
      <w:r>
        <w:rPr>
          <w:rFonts w:hint="eastAsia" w:cs="宋体"/>
          <w:sz w:val="24"/>
        </w:rPr>
        <w:t>账号：</w:t>
      </w:r>
      <w:r>
        <w:rPr>
          <w:rFonts w:hint="eastAsia" w:cs="宋体"/>
          <w:sz w:val="24"/>
          <w:u w:val="single"/>
        </w:rPr>
        <w:t xml:space="preserve">                     </w:t>
      </w:r>
      <w:r>
        <w:rPr>
          <w:rFonts w:hint="eastAsia" w:cs="宋体"/>
          <w:sz w:val="24"/>
        </w:rPr>
        <w:t xml:space="preserve"> </w:t>
      </w:r>
    </w:p>
    <w:p w14:paraId="3EC6F6E0">
      <w:pPr>
        <w:spacing w:line="480" w:lineRule="exact"/>
        <w:ind w:firstLine="480" w:firstLineChars="200"/>
        <w:rPr>
          <w:rFonts w:hint="eastAsia" w:cs="宋体"/>
          <w:sz w:val="24"/>
        </w:rPr>
      </w:pPr>
      <w:r>
        <w:rPr>
          <w:rFonts w:hint="eastAsia" w:cs="宋体"/>
          <w:sz w:val="24"/>
        </w:rPr>
        <w:t>统一社会信用代码：</w:t>
      </w:r>
      <w:r>
        <w:rPr>
          <w:rFonts w:hint="eastAsia" w:cs="宋体"/>
          <w:sz w:val="24"/>
          <w:u w:val="single"/>
        </w:rPr>
        <w:t xml:space="preserve">                          </w:t>
      </w:r>
    </w:p>
    <w:p w14:paraId="71F9CE4E">
      <w:pPr>
        <w:wordWrap w:val="0"/>
        <w:spacing w:line="480" w:lineRule="exact"/>
        <w:ind w:firstLine="480" w:firstLineChars="200"/>
        <w:rPr>
          <w:rFonts w:hint="eastAsia" w:cs="宋体"/>
          <w:sz w:val="24"/>
        </w:rPr>
      </w:pPr>
      <w:r>
        <w:rPr>
          <w:rFonts w:hint="eastAsia" w:cs="宋体"/>
          <w:sz w:val="24"/>
        </w:rPr>
        <w:t>1.2结算时按成交单价（或结算审计价）进行结算，数量以实际数量为准。</w:t>
      </w:r>
    </w:p>
    <w:p w14:paraId="176C8BDC">
      <w:pPr>
        <w:wordWrap w:val="0"/>
        <w:spacing w:line="480" w:lineRule="exact"/>
        <w:ind w:firstLine="480" w:firstLineChars="200"/>
        <w:rPr>
          <w:rFonts w:hint="eastAsia" w:cs="宋体"/>
          <w:sz w:val="24"/>
        </w:rPr>
      </w:pPr>
      <w:r>
        <w:rPr>
          <w:rFonts w:hint="eastAsia" w:cs="宋体"/>
          <w:sz w:val="24"/>
        </w:rPr>
        <w:t>1.3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14:paraId="3A3E44C6">
      <w:pPr>
        <w:wordWrap w:val="0"/>
        <w:spacing w:line="480" w:lineRule="exact"/>
        <w:ind w:firstLine="480" w:firstLineChars="200"/>
        <w:rPr>
          <w:rFonts w:hint="eastAsia" w:cs="宋体"/>
          <w:sz w:val="24"/>
        </w:rPr>
      </w:pPr>
      <w:r>
        <w:rPr>
          <w:rFonts w:hint="eastAsia" w:cs="宋体"/>
          <w:sz w:val="24"/>
        </w:rPr>
        <w:t xml:space="preserve">2.履约保证金 </w:t>
      </w:r>
    </w:p>
    <w:p w14:paraId="01E12F35">
      <w:pPr>
        <w:wordWrap w:val="0"/>
        <w:spacing w:line="480" w:lineRule="exact"/>
        <w:ind w:firstLine="480" w:firstLineChars="200"/>
        <w:rPr>
          <w:rFonts w:hint="eastAsia" w:cs="宋体"/>
          <w:sz w:val="24"/>
          <w:u w:val="single"/>
        </w:rPr>
      </w:pPr>
      <w:r>
        <w:rPr>
          <w:rFonts w:hint="eastAsia" w:cs="宋体"/>
          <w:sz w:val="24"/>
          <w:u w:val="single"/>
        </w:rPr>
        <w:t xml:space="preserve">合同价款的5%。 </w:t>
      </w:r>
    </w:p>
    <w:p w14:paraId="36DCBE79">
      <w:pPr>
        <w:wordWrap w:val="0"/>
        <w:spacing w:line="480" w:lineRule="exact"/>
        <w:ind w:firstLine="480" w:firstLineChars="200"/>
        <w:rPr>
          <w:rFonts w:hint="eastAsia" w:cs="宋体"/>
          <w:sz w:val="24"/>
        </w:rPr>
      </w:pPr>
      <w:r>
        <w:rPr>
          <w:rFonts w:hint="eastAsia" w:cs="宋体"/>
          <w:sz w:val="24"/>
        </w:rPr>
        <w:t xml:space="preserve">3.货物验收 </w:t>
      </w:r>
    </w:p>
    <w:p w14:paraId="4D8406F8">
      <w:pPr>
        <w:wordWrap w:val="0"/>
        <w:spacing w:line="480" w:lineRule="exact"/>
        <w:ind w:firstLine="480" w:firstLineChars="200"/>
        <w:rPr>
          <w:rFonts w:hint="eastAsia" w:cs="宋体"/>
          <w:sz w:val="24"/>
        </w:rPr>
      </w:pPr>
      <w:r>
        <w:rPr>
          <w:rFonts w:hint="eastAsia" w:cs="宋体"/>
          <w:sz w:val="24"/>
        </w:rPr>
        <w:t>（一）乙方提供的货物或服务应符合国家规定的标准、行业标准、招投标文件及合同约定，乙方提供的货物，应当是符合甲方要求的全新的、经出厂检验合格的、获得国家销售许可的合格产品。</w:t>
      </w:r>
    </w:p>
    <w:p w14:paraId="5D0C2EDC">
      <w:pPr>
        <w:wordWrap w:val="0"/>
        <w:spacing w:line="480" w:lineRule="exact"/>
        <w:ind w:firstLine="480" w:firstLineChars="200"/>
        <w:rPr>
          <w:rFonts w:hint="eastAsia" w:cs="宋体"/>
          <w:sz w:val="24"/>
        </w:rPr>
      </w:pPr>
      <w:r>
        <w:rPr>
          <w:rFonts w:hint="eastAsia" w:cs="宋体"/>
          <w:sz w:val="24"/>
        </w:rPr>
        <w:t>（二）全部货物运抵现场后，乙方应当于3个日历天内通知甲方验收，甲方应在接到乙方通知后7个工作日内对货物进行验收，即为到货验收。验收或检验不合格的，甲方有权要求乙方限期履行合同义务、无偿给予更换、维修、退货、解除本合同及采取其他有效补救措施，乙方同意服从。</w:t>
      </w:r>
    </w:p>
    <w:p w14:paraId="376E94CD">
      <w:pPr>
        <w:wordWrap w:val="0"/>
        <w:spacing w:line="480" w:lineRule="exact"/>
        <w:ind w:firstLine="480" w:firstLineChars="200"/>
        <w:rPr>
          <w:rFonts w:hint="eastAsia" w:cs="宋体"/>
          <w:sz w:val="24"/>
        </w:rPr>
      </w:pPr>
      <w:r>
        <w:rPr>
          <w:rFonts w:hint="eastAsia" w:cs="宋体"/>
          <w:sz w:val="24"/>
        </w:rPr>
        <w:t>（三）验收和检验应当按照甲方要求及安排进行，乙方配合甲方做好验收工作，合同货物及服务应当符合国家规定的标准以及行业标准。若发现交付货物或完成的服务不符合要求或存在质量问题，乙方应当按照甲方要求采取有效补救措施，如果超过45个日历天仍未有效解决的，视为验收不合格，一律终止履行合同，所供产品由乙方自行带回，乙方承担全部经济损失及法律责任；验收通过不免除产品隐藏的质量问题担保责任，如验收后发现产品存在隐藏的质量问题，乙方仍承担相应的产品质量责任，甲方有权要求乙方支付合同总价5%的违约金。</w:t>
      </w:r>
    </w:p>
    <w:p w14:paraId="284F3F03">
      <w:pPr>
        <w:spacing w:line="480" w:lineRule="exact"/>
        <w:ind w:firstLine="480" w:firstLineChars="200"/>
        <w:rPr>
          <w:rFonts w:hint="eastAsia" w:cs="宋体"/>
          <w:b/>
          <w:bCs/>
          <w:sz w:val="24"/>
        </w:rPr>
      </w:pPr>
      <w:r>
        <w:rPr>
          <w:rFonts w:hint="eastAsia" w:cs="宋体"/>
          <w:b/>
          <w:bCs/>
          <w:sz w:val="24"/>
        </w:rPr>
        <w:t>4.售后及技术服务</w:t>
      </w:r>
    </w:p>
    <w:p w14:paraId="033114F5">
      <w:pPr>
        <w:wordWrap w:val="0"/>
        <w:spacing w:line="480" w:lineRule="exact"/>
        <w:ind w:firstLine="480" w:firstLineChars="200"/>
        <w:rPr>
          <w:rFonts w:hint="eastAsia" w:cs="宋体"/>
          <w:sz w:val="24"/>
        </w:rPr>
      </w:pPr>
      <w:r>
        <w:rPr>
          <w:rFonts w:hint="eastAsia" w:cs="宋体"/>
          <w:sz w:val="24"/>
        </w:rPr>
        <w:t>（1）售后服务内容：提供</w:t>
      </w:r>
      <w:r>
        <w:rPr>
          <w:rFonts w:hint="eastAsia" w:cs="宋体"/>
          <w:sz w:val="24"/>
          <w:u w:val="single"/>
        </w:rPr>
        <w:t xml:space="preserve">    </w:t>
      </w:r>
      <w:r>
        <w:rPr>
          <w:rFonts w:hint="eastAsia" w:cs="宋体"/>
          <w:sz w:val="24"/>
        </w:rPr>
        <w:t>小时电话咨询服务，如产品遇到故障或质量问题，投标人接到采购人通知后</w:t>
      </w:r>
      <w:r>
        <w:rPr>
          <w:rFonts w:hint="eastAsia" w:cs="宋体"/>
          <w:sz w:val="24"/>
          <w:u w:val="single"/>
        </w:rPr>
        <w:t xml:space="preserve">    </w:t>
      </w:r>
      <w:r>
        <w:rPr>
          <w:rFonts w:hint="eastAsia" w:cs="宋体"/>
          <w:sz w:val="24"/>
        </w:rPr>
        <w:t>个小时内作出反应，如需现场服务的，</w:t>
      </w:r>
      <w:r>
        <w:rPr>
          <w:rFonts w:hint="eastAsia" w:cs="宋体"/>
          <w:sz w:val="24"/>
          <w:u w:val="single"/>
        </w:rPr>
        <w:t xml:space="preserve">   </w:t>
      </w:r>
      <w:r>
        <w:rPr>
          <w:rFonts w:hint="eastAsia" w:cs="宋体"/>
          <w:sz w:val="24"/>
        </w:rPr>
        <w:t>个小时之内须到达甲方指定地点。</w:t>
      </w:r>
    </w:p>
    <w:p w14:paraId="0CFDBDB2">
      <w:pPr>
        <w:wordWrap w:val="0"/>
        <w:spacing w:line="480" w:lineRule="exact"/>
        <w:ind w:firstLine="480" w:firstLineChars="200"/>
        <w:rPr>
          <w:rFonts w:hint="eastAsia" w:cs="宋体"/>
          <w:sz w:val="24"/>
        </w:rPr>
      </w:pPr>
      <w:r>
        <w:rPr>
          <w:rFonts w:hint="eastAsia" w:cs="宋体"/>
          <w:sz w:val="24"/>
        </w:rPr>
        <w:t>（2）提供培训服务，接到甲方通知后，按照甲方规定的时间及地点提供培训。</w:t>
      </w:r>
    </w:p>
    <w:p w14:paraId="7D62FC1A">
      <w:pPr>
        <w:spacing w:line="480" w:lineRule="exact"/>
        <w:ind w:firstLine="480" w:firstLineChars="200"/>
        <w:rPr>
          <w:rFonts w:hint="eastAsia" w:cs="宋体"/>
          <w:sz w:val="24"/>
        </w:rPr>
      </w:pPr>
      <w:r>
        <w:rPr>
          <w:rFonts w:hint="eastAsia" w:cs="宋体"/>
          <w:sz w:val="24"/>
        </w:rPr>
        <w:t>技术服务内容：甲方在产品使用过程中发生技术质量问题，乙方应提供及时有效的技术支持，质保期满后乙方必须无偿提供技术指导直至产品报废。乙方应向甲方提供在省内的维修服务中心、特约维修服务站等售后服务网点的名单、联系地址、联系电话。</w:t>
      </w:r>
    </w:p>
    <w:p w14:paraId="596E693F">
      <w:pPr>
        <w:spacing w:line="480" w:lineRule="exact"/>
        <w:ind w:firstLine="480" w:firstLineChars="200"/>
        <w:rPr>
          <w:rFonts w:hint="eastAsia" w:cs="宋体"/>
          <w:sz w:val="24"/>
          <w:u w:val="single"/>
        </w:rPr>
      </w:pPr>
      <w:r>
        <w:rPr>
          <w:rFonts w:hint="eastAsia" w:cs="宋体"/>
          <w:sz w:val="24"/>
        </w:rPr>
        <w:t>售后服务网点名称：</w:t>
      </w:r>
      <w:r>
        <w:rPr>
          <w:rFonts w:hint="eastAsia" w:cs="宋体"/>
          <w:sz w:val="24"/>
          <w:u w:val="single"/>
        </w:rPr>
        <w:t xml:space="preserve">           </w:t>
      </w:r>
    </w:p>
    <w:p w14:paraId="7BC87185">
      <w:pPr>
        <w:spacing w:line="480" w:lineRule="exact"/>
        <w:ind w:firstLine="480" w:firstLineChars="200"/>
        <w:rPr>
          <w:rFonts w:hint="eastAsia" w:cs="宋体"/>
          <w:sz w:val="24"/>
          <w:u w:val="single"/>
        </w:rPr>
      </w:pPr>
      <w:r>
        <w:rPr>
          <w:rFonts w:hint="eastAsia" w:cs="宋体"/>
          <w:sz w:val="24"/>
        </w:rPr>
        <w:t>售后服务网点地址：</w:t>
      </w:r>
      <w:r>
        <w:rPr>
          <w:rFonts w:hint="eastAsia" w:cs="宋体"/>
          <w:sz w:val="24"/>
          <w:u w:val="single"/>
        </w:rPr>
        <w:t xml:space="preserve">           </w:t>
      </w:r>
    </w:p>
    <w:p w14:paraId="53B80123">
      <w:pPr>
        <w:spacing w:line="480" w:lineRule="exact"/>
        <w:ind w:firstLine="480" w:firstLineChars="200"/>
        <w:rPr>
          <w:rFonts w:hint="eastAsia" w:cs="宋体"/>
          <w:sz w:val="24"/>
          <w:u w:val="single"/>
        </w:rPr>
      </w:pPr>
      <w:r>
        <w:rPr>
          <w:rFonts w:hint="eastAsia" w:cs="宋体"/>
          <w:sz w:val="24"/>
        </w:rPr>
        <w:t>第一联系人：电话：</w:t>
      </w:r>
      <w:r>
        <w:rPr>
          <w:rFonts w:hint="eastAsia" w:cs="宋体"/>
          <w:sz w:val="24"/>
          <w:u w:val="single"/>
        </w:rPr>
        <w:t xml:space="preserve">           </w:t>
      </w:r>
    </w:p>
    <w:p w14:paraId="55108570">
      <w:pPr>
        <w:spacing w:line="480" w:lineRule="exact"/>
        <w:ind w:firstLine="480" w:firstLineChars="200"/>
        <w:rPr>
          <w:rFonts w:hint="eastAsia" w:cs="宋体"/>
          <w:sz w:val="24"/>
        </w:rPr>
      </w:pPr>
      <w:r>
        <w:rPr>
          <w:rFonts w:hint="eastAsia" w:cs="宋体"/>
          <w:sz w:val="24"/>
        </w:rPr>
        <w:t>第二联系人：电话：</w:t>
      </w:r>
      <w:r>
        <w:rPr>
          <w:rFonts w:hint="eastAsia" w:cs="宋体"/>
          <w:sz w:val="24"/>
          <w:u w:val="single"/>
        </w:rPr>
        <w:t xml:space="preserve">           </w:t>
      </w:r>
    </w:p>
    <w:p w14:paraId="75DBFED6">
      <w:pPr>
        <w:spacing w:line="480" w:lineRule="exact"/>
        <w:ind w:firstLine="480" w:firstLineChars="200"/>
        <w:rPr>
          <w:rFonts w:hint="eastAsia" w:cs="宋体"/>
          <w:b/>
          <w:bCs/>
          <w:sz w:val="24"/>
        </w:rPr>
      </w:pPr>
      <w:r>
        <w:rPr>
          <w:rFonts w:hint="eastAsia" w:cs="宋体"/>
          <w:b/>
          <w:bCs/>
          <w:sz w:val="24"/>
        </w:rPr>
        <w:t>5.送货、安装调试等要求</w:t>
      </w:r>
    </w:p>
    <w:p w14:paraId="13CC6031">
      <w:pPr>
        <w:wordWrap w:val="0"/>
        <w:spacing w:line="480" w:lineRule="exact"/>
        <w:ind w:firstLine="480" w:firstLineChars="200"/>
        <w:rPr>
          <w:rFonts w:hint="eastAsia" w:cs="宋体"/>
          <w:sz w:val="24"/>
        </w:rPr>
      </w:pPr>
      <w:r>
        <w:rPr>
          <w:rFonts w:hint="eastAsia" w:cs="宋体"/>
          <w:sz w:val="24"/>
        </w:rPr>
        <w:t>（一）合同总价格为甲方指定地点交货价并包含安装运输调试等全部费用。</w:t>
      </w:r>
    </w:p>
    <w:p w14:paraId="2292E270">
      <w:pPr>
        <w:wordWrap w:val="0"/>
        <w:spacing w:line="480" w:lineRule="exact"/>
        <w:ind w:firstLine="480" w:firstLineChars="200"/>
        <w:rPr>
          <w:rFonts w:hint="eastAsia" w:cs="宋体"/>
          <w:sz w:val="24"/>
        </w:rPr>
      </w:pPr>
      <w:r>
        <w:rPr>
          <w:rFonts w:hint="eastAsia" w:cs="宋体"/>
          <w:sz w:val="24"/>
        </w:rPr>
        <w:t>（二）本合同的供货范围，除包括上述货物外，还包括随机的备品备件，相应的技术服务与质量保证文件。</w:t>
      </w:r>
    </w:p>
    <w:p w14:paraId="7805A3B9">
      <w:pPr>
        <w:wordWrap w:val="0"/>
        <w:spacing w:line="480" w:lineRule="exact"/>
        <w:ind w:firstLine="480" w:firstLineChars="200"/>
        <w:rPr>
          <w:rFonts w:hint="eastAsia" w:cs="宋体"/>
          <w:sz w:val="24"/>
        </w:rPr>
      </w:pPr>
      <w:r>
        <w:rPr>
          <w:rFonts w:hint="eastAsia" w:cs="宋体"/>
          <w:sz w:val="24"/>
        </w:rPr>
        <w:t>（三）设备安装调试符合国家行业标准，并满足甲方技术要求，乙方负责进行设备的免费安装测试同时完成。</w:t>
      </w:r>
    </w:p>
    <w:p w14:paraId="0B66E386">
      <w:pPr>
        <w:wordWrap w:val="0"/>
        <w:spacing w:line="480" w:lineRule="exact"/>
        <w:ind w:firstLine="480" w:firstLineChars="200"/>
        <w:rPr>
          <w:rFonts w:hint="eastAsia" w:cs="宋体"/>
          <w:sz w:val="24"/>
        </w:rPr>
      </w:pPr>
      <w:r>
        <w:rPr>
          <w:rFonts w:hint="eastAsia" w:cs="宋体"/>
          <w:sz w:val="24"/>
        </w:rPr>
        <w:t>（四）乙方应与收货单位共同完成货物数量当面清点、品牌型号核对、签收、验收、培训。双方当事人签字、盖章、留存。</w:t>
      </w:r>
    </w:p>
    <w:p w14:paraId="05335424">
      <w:pPr>
        <w:spacing w:line="480" w:lineRule="exact"/>
        <w:ind w:firstLine="480" w:firstLineChars="200"/>
        <w:outlineLvl w:val="1"/>
        <w:rPr>
          <w:rFonts w:hint="eastAsia" w:cs="宋体"/>
          <w:b/>
          <w:bCs/>
          <w:sz w:val="24"/>
        </w:rPr>
      </w:pPr>
      <w:bookmarkStart w:id="135" w:name="_Toc16398"/>
      <w:bookmarkStart w:id="136" w:name="_Toc15193"/>
      <w:bookmarkStart w:id="137" w:name="_Toc11990"/>
      <w:bookmarkStart w:id="138" w:name="_Toc15850"/>
      <w:r>
        <w:rPr>
          <w:rFonts w:hint="eastAsia" w:cs="宋体"/>
          <w:b/>
          <w:bCs/>
          <w:sz w:val="24"/>
        </w:rPr>
        <w:t>第四条  甲乙双方的权利和义务</w:t>
      </w:r>
      <w:bookmarkEnd w:id="135"/>
      <w:bookmarkEnd w:id="136"/>
      <w:bookmarkEnd w:id="137"/>
      <w:bookmarkEnd w:id="138"/>
    </w:p>
    <w:p w14:paraId="1D2F8EFF">
      <w:pPr>
        <w:wordWrap w:val="0"/>
        <w:spacing w:line="480" w:lineRule="exact"/>
        <w:ind w:firstLine="480" w:firstLineChars="200"/>
        <w:rPr>
          <w:rFonts w:hint="eastAsia" w:cs="宋体"/>
          <w:sz w:val="24"/>
        </w:rPr>
      </w:pPr>
      <w:r>
        <w:rPr>
          <w:rFonts w:hint="eastAsia" w:cs="宋体"/>
          <w:sz w:val="24"/>
        </w:rPr>
        <w:t>（一）甲方的权利和义务</w:t>
      </w:r>
    </w:p>
    <w:p w14:paraId="448D7CAA">
      <w:pPr>
        <w:wordWrap w:val="0"/>
        <w:spacing w:line="480" w:lineRule="exact"/>
        <w:ind w:firstLine="480" w:firstLineChars="200"/>
        <w:rPr>
          <w:rFonts w:hint="eastAsia" w:cs="宋体"/>
          <w:sz w:val="24"/>
        </w:rPr>
      </w:pPr>
      <w:r>
        <w:rPr>
          <w:rFonts w:hint="eastAsia" w:cs="宋体"/>
          <w:sz w:val="24"/>
        </w:rPr>
        <w:t>1、负责合同签订后项目协调的工作（如与乙方的具体联系和衔接，产品现场安装调试或项目建设施工时配备人员进行监管控制）；</w:t>
      </w:r>
    </w:p>
    <w:p w14:paraId="02F47029">
      <w:pPr>
        <w:wordWrap w:val="0"/>
        <w:spacing w:line="480" w:lineRule="exact"/>
        <w:ind w:firstLine="480" w:firstLineChars="200"/>
        <w:rPr>
          <w:rFonts w:hint="eastAsia" w:cs="宋体"/>
          <w:sz w:val="24"/>
        </w:rPr>
      </w:pPr>
      <w:r>
        <w:rPr>
          <w:rFonts w:hint="eastAsia" w:cs="宋体"/>
          <w:sz w:val="24"/>
        </w:rPr>
        <w:t>2、负责提供产品和安装调试或项目建设施工所必需的场地和环境；</w:t>
      </w:r>
    </w:p>
    <w:p w14:paraId="767F85AB">
      <w:pPr>
        <w:wordWrap w:val="0"/>
        <w:spacing w:line="480" w:lineRule="exact"/>
        <w:ind w:firstLine="480" w:firstLineChars="200"/>
        <w:rPr>
          <w:rFonts w:hint="eastAsia" w:cs="宋体"/>
          <w:sz w:val="24"/>
        </w:rPr>
      </w:pPr>
      <w:r>
        <w:rPr>
          <w:rFonts w:hint="eastAsia" w:cs="宋体"/>
          <w:sz w:val="24"/>
        </w:rPr>
        <w:t>3、负责组织成立验收小组对产品或项目进行验收并签署验收报告；</w:t>
      </w:r>
    </w:p>
    <w:p w14:paraId="1537FAD8">
      <w:pPr>
        <w:wordWrap w:val="0"/>
        <w:spacing w:line="480" w:lineRule="exact"/>
        <w:ind w:firstLine="480" w:firstLineChars="200"/>
        <w:rPr>
          <w:rFonts w:hint="eastAsia" w:cs="宋体"/>
          <w:sz w:val="24"/>
        </w:rPr>
      </w:pPr>
      <w:r>
        <w:rPr>
          <w:rFonts w:hint="eastAsia" w:cs="宋体"/>
          <w:sz w:val="24"/>
        </w:rPr>
        <w:t>4、按合同规定享有乙方提供的设备或项目服务。</w:t>
      </w:r>
    </w:p>
    <w:p w14:paraId="1F9EF57B">
      <w:pPr>
        <w:wordWrap w:val="0"/>
        <w:spacing w:line="480" w:lineRule="exact"/>
        <w:ind w:firstLine="480" w:firstLineChars="200"/>
        <w:rPr>
          <w:rFonts w:hint="eastAsia" w:cs="宋体"/>
          <w:sz w:val="24"/>
        </w:rPr>
      </w:pPr>
      <w:r>
        <w:rPr>
          <w:rFonts w:hint="eastAsia" w:cs="宋体"/>
          <w:sz w:val="24"/>
        </w:rPr>
        <w:t>（二）乙方的权利和义务</w:t>
      </w:r>
    </w:p>
    <w:p w14:paraId="303C2E53">
      <w:pPr>
        <w:wordWrap w:val="0"/>
        <w:spacing w:line="480" w:lineRule="exact"/>
        <w:ind w:firstLine="480" w:firstLineChars="200"/>
        <w:rPr>
          <w:rFonts w:hint="eastAsia" w:cs="宋体"/>
          <w:sz w:val="24"/>
        </w:rPr>
      </w:pPr>
      <w:r>
        <w:rPr>
          <w:rFonts w:hint="eastAsia" w:cs="宋体"/>
          <w:sz w:val="24"/>
        </w:rPr>
        <w:t>1、乙方保证按本合同条款负责完成甲方项目，并保证提供的设备是全新（包括零部件）、符合招标文件规定、具有国家有关部门注册并符合国家质量检测标准（进口产品具有国家有关部门完整手续）和产品出厂标准的设备；按合同质保条款提供售后服务，终身负责保修。</w:t>
      </w:r>
    </w:p>
    <w:p w14:paraId="0FC9FA4D">
      <w:pPr>
        <w:wordWrap w:val="0"/>
        <w:spacing w:line="480" w:lineRule="exact"/>
        <w:ind w:firstLine="480" w:firstLineChars="200"/>
        <w:rPr>
          <w:rFonts w:hint="eastAsia" w:cs="宋体"/>
          <w:sz w:val="24"/>
        </w:rPr>
      </w:pPr>
      <w:r>
        <w:rPr>
          <w:rFonts w:hint="eastAsia" w:cs="宋体"/>
          <w:sz w:val="24"/>
        </w:rPr>
        <w:t>2、保证甲方在合同设备或项目使用期间不受第三方提出侵犯其专利权、商标权和工业设计权的起诉，否则乙方予以处理并承担全部费用。</w:t>
      </w:r>
    </w:p>
    <w:p w14:paraId="52940EC6">
      <w:pPr>
        <w:wordWrap w:val="0"/>
        <w:spacing w:line="480" w:lineRule="exact"/>
        <w:ind w:firstLine="480" w:firstLineChars="200"/>
        <w:rPr>
          <w:rFonts w:hint="eastAsia" w:cs="宋体"/>
          <w:sz w:val="24"/>
        </w:rPr>
      </w:pPr>
      <w:r>
        <w:rPr>
          <w:rFonts w:hint="eastAsia" w:cs="宋体"/>
          <w:sz w:val="24"/>
        </w:rPr>
        <w:t>3、严格遵守投标、技术澄清、商务谈判、中标所承诺的一切规定和条款；</w:t>
      </w:r>
    </w:p>
    <w:p w14:paraId="1507A19E">
      <w:pPr>
        <w:wordWrap w:val="0"/>
        <w:spacing w:line="480" w:lineRule="exact"/>
        <w:ind w:firstLine="480" w:firstLineChars="200"/>
        <w:rPr>
          <w:rFonts w:hint="eastAsia" w:cs="宋体"/>
          <w:sz w:val="24"/>
        </w:rPr>
      </w:pPr>
      <w:r>
        <w:rPr>
          <w:rFonts w:hint="eastAsia" w:cs="宋体"/>
          <w:sz w:val="24"/>
        </w:rPr>
        <w:t>4、参与甲方共同进行设备和项目的验收。</w:t>
      </w:r>
    </w:p>
    <w:p w14:paraId="60CFDC26">
      <w:pPr>
        <w:spacing w:line="480" w:lineRule="exact"/>
        <w:ind w:firstLine="480" w:firstLineChars="200"/>
        <w:outlineLvl w:val="1"/>
        <w:rPr>
          <w:rFonts w:hint="eastAsia" w:cs="宋体"/>
          <w:b/>
          <w:bCs/>
          <w:sz w:val="24"/>
        </w:rPr>
      </w:pPr>
      <w:bookmarkStart w:id="139" w:name="_Toc22486"/>
      <w:bookmarkStart w:id="140" w:name="_Toc29924"/>
      <w:bookmarkStart w:id="141" w:name="_Toc13886"/>
      <w:bookmarkStart w:id="142" w:name="_Toc16311"/>
      <w:r>
        <w:rPr>
          <w:rFonts w:hint="eastAsia" w:cs="宋体"/>
          <w:b/>
          <w:bCs/>
          <w:sz w:val="24"/>
        </w:rPr>
        <w:t>第五条 违约责任</w:t>
      </w:r>
      <w:bookmarkEnd w:id="139"/>
      <w:bookmarkEnd w:id="140"/>
      <w:bookmarkEnd w:id="141"/>
      <w:bookmarkEnd w:id="142"/>
    </w:p>
    <w:p w14:paraId="213D8F06">
      <w:pPr>
        <w:wordWrap w:val="0"/>
        <w:spacing w:line="480" w:lineRule="exact"/>
        <w:ind w:firstLine="480" w:firstLineChars="200"/>
        <w:rPr>
          <w:rFonts w:hint="eastAsia" w:cs="宋体"/>
          <w:sz w:val="24"/>
        </w:rPr>
      </w:pPr>
      <w:r>
        <w:rPr>
          <w:rFonts w:hint="eastAsia" w:cs="宋体"/>
          <w:sz w:val="24"/>
        </w:rPr>
        <w:t>（一）乙方逾期履行本合同约定义务时，每逾期一日，应当按本合同总价的3‰向甲方支付履约逾期违约金；逾期超过7个工作日的，甲方有权单方解除本合同，并要求乙方退还全部或部分已收合同款，如给甲方造成的经济损失的，乙方应当承担全部违约责任并按实际损失额向甲方全额赔偿。</w:t>
      </w:r>
    </w:p>
    <w:p w14:paraId="51A49E43">
      <w:pPr>
        <w:wordWrap w:val="0"/>
        <w:spacing w:line="480" w:lineRule="exact"/>
        <w:ind w:firstLine="480" w:firstLineChars="200"/>
        <w:rPr>
          <w:rFonts w:hint="eastAsia" w:cs="宋体"/>
          <w:sz w:val="24"/>
        </w:rPr>
      </w:pPr>
      <w:r>
        <w:rPr>
          <w:rFonts w:hint="eastAsia" w:cs="宋体"/>
          <w:sz w:val="24"/>
        </w:rPr>
        <w:t>（二）除本合同另有约定，乙方违约的，甲方有权限期催告乙方停止违约行为、采取有效补救措施（包括但不限于继续履行合同、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14:paraId="33585C50">
      <w:pPr>
        <w:wordWrap w:val="0"/>
        <w:spacing w:line="480" w:lineRule="exact"/>
        <w:ind w:firstLine="480" w:firstLineChars="200"/>
        <w:rPr>
          <w:rFonts w:hint="eastAsia" w:cs="宋体"/>
          <w:sz w:val="24"/>
        </w:rPr>
      </w:pPr>
      <w:r>
        <w:rPr>
          <w:rFonts w:hint="eastAsia" w:cs="宋体"/>
          <w:sz w:val="24"/>
        </w:rPr>
        <w:t>（三）乙方必须向甲方提供全新的、经出厂检验合格的、获得国家销售许可的合格产品。若乙方所供货物是假货或走私等非法来源货物的，甲方有权无条件解除本合同，乙方必须无条件向甲方支付合同总价3倍的违约赔偿金。</w:t>
      </w:r>
    </w:p>
    <w:p w14:paraId="5FDA3916">
      <w:pPr>
        <w:wordWrap w:val="0"/>
        <w:spacing w:line="480" w:lineRule="exact"/>
        <w:ind w:firstLine="480" w:firstLineChars="200"/>
        <w:rPr>
          <w:rFonts w:hint="eastAsia" w:cs="宋体"/>
          <w:sz w:val="24"/>
        </w:rPr>
      </w:pPr>
      <w:r>
        <w:rPr>
          <w:rFonts w:hint="eastAsia" w:cs="宋体"/>
          <w:sz w:val="24"/>
        </w:rPr>
        <w:t>（四）乙方提供所有设备</w:t>
      </w:r>
      <w:r>
        <w:rPr>
          <w:rFonts w:hint="eastAsia" w:cs="宋体"/>
          <w:sz w:val="24"/>
          <w:u w:val="single"/>
        </w:rPr>
        <w:t xml:space="preserve">   </w:t>
      </w:r>
      <w:r>
        <w:rPr>
          <w:rFonts w:hint="eastAsia" w:cs="宋体"/>
          <w:sz w:val="24"/>
        </w:rPr>
        <w:t>年免费质保期和免费运行维护。质保期内应提供保修设备更换服务、软件免费版本升级服务，以及免费的相关业务功能完善服务；在质保期内，因质量或施工而更换或修复的零部件和设备，乙方保证使用相同的零件、部件或货物来更换有缺陷的部分或修补缺陷部分，并承担一切费用和风险，负担使用方所发生的一切直接费用；同时，乙方相应延长修补或更换件的质量保证期。若违约，甲方有权无条件解除本合同，乙方必须无条件向甲方支付合同总价5%违约赔偿金。</w:t>
      </w:r>
    </w:p>
    <w:p w14:paraId="51CCDA88">
      <w:pPr>
        <w:wordWrap w:val="0"/>
        <w:spacing w:line="480" w:lineRule="exact"/>
        <w:ind w:firstLine="480" w:firstLineChars="200"/>
        <w:rPr>
          <w:rFonts w:hint="eastAsia" w:cs="宋体"/>
          <w:sz w:val="24"/>
        </w:rPr>
      </w:pPr>
      <w:r>
        <w:rPr>
          <w:rFonts w:hint="eastAsia" w:cs="宋体"/>
          <w:sz w:val="24"/>
        </w:rPr>
        <w:t>（五）乙方向甲方开具等额、真实、合法的有效发票，若乙方提供的发票存在虚假、过期、失效或违法等情形的，按照《中华人民共和国发票管理办法》（2019年3月2日中华人民共和国国务院令第709号）第三十七条和第三十八条的规定移交税务机关进行相关的处罚。</w:t>
      </w:r>
    </w:p>
    <w:p w14:paraId="3AE86F92">
      <w:pPr>
        <w:spacing w:line="480" w:lineRule="exact"/>
        <w:ind w:firstLine="480" w:firstLineChars="200"/>
        <w:outlineLvl w:val="1"/>
        <w:rPr>
          <w:rFonts w:hint="eastAsia" w:cs="宋体"/>
          <w:b/>
          <w:bCs/>
          <w:sz w:val="24"/>
        </w:rPr>
      </w:pPr>
      <w:bookmarkStart w:id="143" w:name="_Toc28619"/>
      <w:bookmarkStart w:id="144" w:name="_Toc224"/>
      <w:bookmarkStart w:id="145" w:name="_Toc13550"/>
      <w:bookmarkStart w:id="146" w:name="_Toc15847"/>
      <w:r>
        <w:rPr>
          <w:rFonts w:hint="eastAsia" w:cs="宋体"/>
          <w:b/>
          <w:bCs/>
          <w:sz w:val="24"/>
        </w:rPr>
        <w:t>第六条  解决争议的方式</w:t>
      </w:r>
      <w:bookmarkEnd w:id="143"/>
      <w:bookmarkEnd w:id="144"/>
      <w:bookmarkEnd w:id="145"/>
      <w:bookmarkEnd w:id="146"/>
    </w:p>
    <w:p w14:paraId="020CF78E">
      <w:pPr>
        <w:spacing w:line="480" w:lineRule="exact"/>
        <w:ind w:firstLine="480" w:firstLineChars="200"/>
        <w:rPr>
          <w:rFonts w:hint="eastAsia" w:cs="宋体"/>
          <w:sz w:val="24"/>
        </w:rPr>
      </w:pPr>
      <w:r>
        <w:rPr>
          <w:rFonts w:hint="eastAsia" w:cs="宋体"/>
          <w:sz w:val="24"/>
        </w:rPr>
        <w:t>本合同如发生争议，甲、乙双方应当友好协商解决。如协商不成，任何一方均有权确定依法向甲方所在地人民法院起诉处理。</w:t>
      </w:r>
    </w:p>
    <w:p w14:paraId="4681A8F3">
      <w:pPr>
        <w:spacing w:line="480" w:lineRule="exact"/>
        <w:ind w:firstLine="480" w:firstLineChars="200"/>
        <w:rPr>
          <w:rFonts w:hint="eastAsia" w:cs="宋体"/>
          <w:sz w:val="24"/>
        </w:rPr>
      </w:pPr>
      <w:r>
        <w:rPr>
          <w:rFonts w:hint="eastAsia" w:cs="宋体"/>
          <w:b/>
          <w:bCs/>
          <w:sz w:val="24"/>
        </w:rPr>
        <w:t>第七条  本合同其他未尽事宜，按《中华人民共和国民法典》有关规定处理。</w:t>
      </w:r>
    </w:p>
    <w:p w14:paraId="773B4C1E">
      <w:pPr>
        <w:spacing w:line="480" w:lineRule="exact"/>
        <w:ind w:firstLine="480" w:firstLineChars="200"/>
        <w:outlineLvl w:val="1"/>
        <w:rPr>
          <w:rFonts w:hint="eastAsia" w:cs="宋体"/>
          <w:b/>
          <w:bCs/>
          <w:sz w:val="24"/>
        </w:rPr>
      </w:pPr>
      <w:bookmarkStart w:id="147" w:name="_Toc22863"/>
      <w:bookmarkStart w:id="148" w:name="_Toc20230"/>
      <w:bookmarkStart w:id="149" w:name="_Toc29571"/>
      <w:bookmarkStart w:id="150" w:name="_Toc31037"/>
      <w:r>
        <w:rPr>
          <w:rFonts w:hint="eastAsia" w:cs="宋体"/>
          <w:b/>
          <w:bCs/>
          <w:sz w:val="24"/>
        </w:rPr>
        <w:t>第八条 保密责任</w:t>
      </w:r>
      <w:bookmarkEnd w:id="147"/>
      <w:bookmarkEnd w:id="148"/>
      <w:bookmarkEnd w:id="149"/>
      <w:bookmarkEnd w:id="150"/>
    </w:p>
    <w:p w14:paraId="38E40393">
      <w:pPr>
        <w:tabs>
          <w:tab w:val="left" w:pos="5387"/>
        </w:tabs>
        <w:wordWrap w:val="0"/>
        <w:spacing w:line="480" w:lineRule="exact"/>
        <w:ind w:firstLine="480" w:firstLineChars="200"/>
        <w:rPr>
          <w:rFonts w:hint="eastAsia" w:cs="宋体"/>
          <w:sz w:val="24"/>
        </w:rPr>
      </w:pPr>
      <w:r>
        <w:rPr>
          <w:rFonts w:hint="eastAsia" w:cs="宋体"/>
          <w:sz w:val="24"/>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14:paraId="1E69EECE">
      <w:pPr>
        <w:tabs>
          <w:tab w:val="left" w:pos="5387"/>
        </w:tabs>
        <w:wordWrap w:val="0"/>
        <w:spacing w:line="480" w:lineRule="exact"/>
        <w:ind w:firstLine="480" w:firstLineChars="200"/>
        <w:rPr>
          <w:rFonts w:hint="eastAsia" w:cs="宋体"/>
          <w:sz w:val="24"/>
        </w:rPr>
      </w:pPr>
      <w:r>
        <w:rPr>
          <w:rFonts w:hint="eastAsia" w:cs="宋体"/>
          <w:sz w:val="24"/>
        </w:rPr>
        <w:t>（二）乙方在本合同签订、履行期间及终止后，无条件负有本合同约定的保密义务。</w:t>
      </w:r>
    </w:p>
    <w:p w14:paraId="60FB047D">
      <w:pPr>
        <w:spacing w:line="480" w:lineRule="exact"/>
        <w:ind w:firstLine="480" w:firstLineChars="200"/>
        <w:outlineLvl w:val="1"/>
        <w:rPr>
          <w:rFonts w:hint="eastAsia" w:cs="宋体"/>
          <w:b/>
          <w:bCs/>
          <w:sz w:val="24"/>
        </w:rPr>
      </w:pPr>
      <w:bookmarkStart w:id="151" w:name="_Toc10063"/>
      <w:bookmarkStart w:id="152" w:name="_Toc23585"/>
      <w:bookmarkStart w:id="153" w:name="_Toc11673"/>
      <w:bookmarkStart w:id="154" w:name="_Toc9080"/>
      <w:r>
        <w:rPr>
          <w:rFonts w:hint="eastAsia" w:cs="宋体"/>
          <w:b/>
          <w:bCs/>
          <w:sz w:val="24"/>
        </w:rPr>
        <w:t>第九条 不可抗力</w:t>
      </w:r>
      <w:bookmarkEnd w:id="151"/>
      <w:bookmarkEnd w:id="152"/>
      <w:bookmarkEnd w:id="153"/>
      <w:bookmarkEnd w:id="154"/>
    </w:p>
    <w:p w14:paraId="18E81D55">
      <w:pPr>
        <w:tabs>
          <w:tab w:val="left" w:pos="5387"/>
        </w:tabs>
        <w:wordWrap w:val="0"/>
        <w:spacing w:line="480" w:lineRule="exact"/>
        <w:ind w:firstLine="480" w:firstLineChars="200"/>
        <w:rPr>
          <w:rFonts w:hint="eastAsia" w:cs="宋体"/>
          <w:sz w:val="24"/>
        </w:rPr>
      </w:pPr>
      <w:r>
        <w:rPr>
          <w:rFonts w:hint="eastAsia" w:cs="宋体"/>
          <w:sz w:val="24"/>
        </w:rPr>
        <w:t>（一）如果甲乙双方中任何一方遭遇战争、自然灾害（火灾、水灾、台风、地震、重大疫情等）、政治动乱等不可抗力的因素，致使本合同履行受阻时，履行本合同的期限应予延长，延长的期限应相当于不可抗力所影响的时间。</w:t>
      </w:r>
    </w:p>
    <w:p w14:paraId="1BBA0B44">
      <w:pPr>
        <w:tabs>
          <w:tab w:val="left" w:pos="5387"/>
        </w:tabs>
        <w:wordWrap w:val="0"/>
        <w:spacing w:line="480" w:lineRule="exact"/>
        <w:ind w:firstLine="480" w:firstLineChars="200"/>
        <w:rPr>
          <w:rFonts w:hint="eastAsia" w:cs="宋体"/>
          <w:sz w:val="24"/>
        </w:rPr>
      </w:pPr>
      <w:r>
        <w:rPr>
          <w:rFonts w:hint="eastAsia" w:cs="宋体"/>
          <w:sz w:val="24"/>
        </w:rPr>
        <w:t>（二）受不可抗力影响的一方应在不可抗力发生后，以最快的方式在最短的时间内通知另一方，并在不可抗力发生后10日内，将有关部门出具的证明文件直接送达另一方。</w:t>
      </w:r>
    </w:p>
    <w:p w14:paraId="4B4EEAD2">
      <w:pPr>
        <w:tabs>
          <w:tab w:val="left" w:pos="5387"/>
        </w:tabs>
        <w:wordWrap w:val="0"/>
        <w:spacing w:line="480" w:lineRule="exact"/>
        <w:ind w:firstLine="480" w:firstLineChars="200"/>
        <w:rPr>
          <w:rFonts w:hint="eastAsia" w:cs="宋体"/>
          <w:sz w:val="24"/>
        </w:rPr>
      </w:pPr>
      <w:r>
        <w:rPr>
          <w:rFonts w:hint="eastAsia" w:cs="宋体"/>
          <w:sz w:val="24"/>
        </w:rPr>
        <w:t>（三）如果不可抗力影响导致合同迟延履行30日以上的，甲乙双方应友好协商解决，协商不成的，按照甲方要求执行。</w:t>
      </w:r>
    </w:p>
    <w:p w14:paraId="2D936031">
      <w:pPr>
        <w:tabs>
          <w:tab w:val="left" w:pos="432"/>
          <w:tab w:val="left" w:pos="720"/>
        </w:tabs>
        <w:spacing w:line="480" w:lineRule="exact"/>
        <w:ind w:firstLine="480" w:firstLineChars="200"/>
        <w:outlineLvl w:val="1"/>
        <w:rPr>
          <w:rFonts w:hint="eastAsia" w:cs="宋体"/>
          <w:b/>
          <w:sz w:val="24"/>
        </w:rPr>
      </w:pPr>
      <w:bookmarkStart w:id="155" w:name="_Toc2329"/>
      <w:bookmarkStart w:id="156" w:name="_Toc409"/>
      <w:bookmarkStart w:id="157" w:name="_Toc2057"/>
      <w:bookmarkStart w:id="158" w:name="_Toc22082"/>
      <w:r>
        <w:rPr>
          <w:rFonts w:hint="eastAsia" w:cs="宋体"/>
          <w:b/>
          <w:sz w:val="24"/>
        </w:rPr>
        <w:t>第十条 合同的生效</w:t>
      </w:r>
      <w:bookmarkEnd w:id="155"/>
      <w:bookmarkEnd w:id="156"/>
      <w:bookmarkEnd w:id="157"/>
      <w:bookmarkEnd w:id="158"/>
    </w:p>
    <w:p w14:paraId="09DE12D8">
      <w:pPr>
        <w:wordWrap w:val="0"/>
        <w:spacing w:line="480" w:lineRule="exact"/>
        <w:ind w:firstLine="480" w:firstLineChars="200"/>
        <w:rPr>
          <w:rFonts w:hint="eastAsia" w:cs="宋体"/>
          <w:sz w:val="24"/>
        </w:rPr>
      </w:pPr>
      <w:r>
        <w:rPr>
          <w:rFonts w:hint="eastAsia" w:cs="宋体"/>
          <w:sz w:val="24"/>
        </w:rPr>
        <w:t>本合同经双方签字并盖章后生效。本合同一式</w:t>
      </w:r>
      <w:r>
        <w:rPr>
          <w:rFonts w:hint="eastAsia" w:cs="宋体"/>
          <w:sz w:val="24"/>
          <w:u w:val="single"/>
        </w:rPr>
        <w:t xml:space="preserve">  </w:t>
      </w:r>
      <w:r>
        <w:rPr>
          <w:rFonts w:hint="eastAsia" w:cs="宋体"/>
          <w:sz w:val="24"/>
        </w:rPr>
        <w:t>份，甲方持</w:t>
      </w:r>
      <w:r>
        <w:rPr>
          <w:rFonts w:hint="eastAsia" w:cs="宋体"/>
          <w:sz w:val="24"/>
          <w:u w:val="single"/>
        </w:rPr>
        <w:t xml:space="preserve">    </w:t>
      </w:r>
      <w:r>
        <w:rPr>
          <w:rFonts w:hint="eastAsia" w:cs="宋体"/>
          <w:sz w:val="24"/>
        </w:rPr>
        <w:t>份，乙方持</w:t>
      </w:r>
      <w:r>
        <w:rPr>
          <w:rFonts w:hint="eastAsia" w:cs="宋体"/>
          <w:sz w:val="24"/>
          <w:u w:val="single"/>
        </w:rPr>
        <w:t xml:space="preserve">   </w:t>
      </w:r>
      <w:r>
        <w:rPr>
          <w:rFonts w:hint="eastAsia" w:cs="宋体"/>
          <w:sz w:val="24"/>
        </w:rPr>
        <w:t>份，具有同等法律效力。</w:t>
      </w:r>
    </w:p>
    <w:p w14:paraId="2785902F">
      <w:pPr>
        <w:tabs>
          <w:tab w:val="left" w:pos="432"/>
          <w:tab w:val="left" w:pos="720"/>
        </w:tabs>
        <w:spacing w:line="480" w:lineRule="exact"/>
        <w:ind w:firstLine="480" w:firstLineChars="200"/>
        <w:outlineLvl w:val="1"/>
        <w:rPr>
          <w:rFonts w:hint="eastAsia" w:cs="宋体"/>
          <w:b/>
          <w:sz w:val="24"/>
        </w:rPr>
      </w:pPr>
      <w:bookmarkStart w:id="159" w:name="_Toc24596"/>
      <w:bookmarkStart w:id="160" w:name="_Toc1870"/>
      <w:bookmarkStart w:id="161" w:name="_Toc18250"/>
      <w:bookmarkStart w:id="162" w:name="_Toc5855"/>
      <w:r>
        <w:rPr>
          <w:rFonts w:hint="eastAsia" w:cs="宋体"/>
          <w:b/>
          <w:sz w:val="24"/>
        </w:rPr>
        <w:t>第十一条  其他</w:t>
      </w:r>
      <w:bookmarkEnd w:id="159"/>
      <w:bookmarkEnd w:id="160"/>
      <w:bookmarkEnd w:id="161"/>
      <w:bookmarkEnd w:id="162"/>
    </w:p>
    <w:p w14:paraId="49F918E4">
      <w:pPr>
        <w:wordWrap w:val="0"/>
        <w:spacing w:line="480" w:lineRule="exact"/>
        <w:ind w:firstLine="480" w:firstLineChars="200"/>
        <w:rPr>
          <w:rFonts w:hint="eastAsia" w:cs="宋体"/>
          <w:b/>
          <w:bCs/>
          <w:sz w:val="24"/>
        </w:rPr>
      </w:pPr>
      <w:r>
        <w:rPr>
          <w:rFonts w:hint="eastAsia" w:cs="宋体"/>
          <w:sz w:val="24"/>
        </w:rPr>
        <w:t>本合同未尽事宜可签署补充协议，补充协议是本合同的重要组成，与本合同具有同等法律效力。</w:t>
      </w:r>
    </w:p>
    <w:p w14:paraId="743CB70B">
      <w:pPr>
        <w:spacing w:line="480" w:lineRule="exact"/>
        <w:ind w:firstLine="480" w:firstLineChars="200"/>
        <w:outlineLvl w:val="1"/>
        <w:rPr>
          <w:rFonts w:hint="eastAsia" w:cs="宋体"/>
          <w:sz w:val="24"/>
        </w:rPr>
      </w:pPr>
      <w:bookmarkStart w:id="163" w:name="_Toc14237"/>
      <w:bookmarkStart w:id="164" w:name="_Toc23952"/>
      <w:bookmarkStart w:id="165" w:name="_Toc21540"/>
      <w:bookmarkStart w:id="166" w:name="_Toc16842"/>
      <w:r>
        <w:rPr>
          <w:rFonts w:hint="eastAsia" w:cs="宋体"/>
          <w:b/>
          <w:bCs/>
          <w:sz w:val="24"/>
        </w:rPr>
        <w:t>第十二条</w:t>
      </w:r>
      <w:r>
        <w:rPr>
          <w:rFonts w:hint="eastAsia" w:cs="宋体"/>
          <w:sz w:val="24"/>
        </w:rPr>
        <w:t xml:space="preserve">  </w:t>
      </w:r>
      <w:r>
        <w:rPr>
          <w:rFonts w:hint="eastAsia" w:cs="宋体"/>
          <w:b/>
          <w:sz w:val="24"/>
        </w:rPr>
        <w:t>本合同不可分割之部分</w:t>
      </w:r>
      <w:r>
        <w:rPr>
          <w:rFonts w:hint="eastAsia" w:cs="宋体"/>
          <w:sz w:val="24"/>
        </w:rPr>
        <w:t>：</w:t>
      </w:r>
      <w:bookmarkEnd w:id="163"/>
      <w:bookmarkEnd w:id="164"/>
      <w:bookmarkEnd w:id="165"/>
      <w:bookmarkEnd w:id="166"/>
    </w:p>
    <w:p w14:paraId="5847277E">
      <w:pPr>
        <w:spacing w:line="480" w:lineRule="exact"/>
        <w:ind w:firstLine="480" w:firstLineChars="200"/>
        <w:rPr>
          <w:rFonts w:hint="eastAsia" w:cs="宋体"/>
          <w:sz w:val="24"/>
        </w:rPr>
      </w:pPr>
      <w:r>
        <w:rPr>
          <w:rFonts w:hint="eastAsia" w:cs="宋体"/>
          <w:sz w:val="24"/>
        </w:rPr>
        <w:t xml:space="preserve">1、招标文件；2、投标文件及澄清；3、中标通知书；4、合同书附件。   </w:t>
      </w:r>
    </w:p>
    <w:p w14:paraId="3CC2E869">
      <w:pPr>
        <w:spacing w:line="480" w:lineRule="exact"/>
        <w:ind w:firstLine="480" w:firstLineChars="200"/>
        <w:rPr>
          <w:rFonts w:hint="eastAsia" w:cs="宋体"/>
          <w:sz w:val="24"/>
        </w:rPr>
      </w:pPr>
      <w:r>
        <w:rPr>
          <w:rFonts w:hint="eastAsia" w:cs="宋体"/>
          <w:sz w:val="24"/>
        </w:rPr>
        <w:t xml:space="preserve"> </w:t>
      </w:r>
    </w:p>
    <w:p w14:paraId="1C5AE39B">
      <w:pPr>
        <w:spacing w:line="480" w:lineRule="exact"/>
        <w:ind w:firstLine="480" w:firstLineChars="200"/>
        <w:rPr>
          <w:rFonts w:hint="eastAsia" w:cs="宋体"/>
          <w:sz w:val="24"/>
        </w:rPr>
      </w:pPr>
      <w:r>
        <w:rPr>
          <w:rFonts w:hint="eastAsia" w:cs="宋体"/>
          <w:b/>
          <w:sz w:val="24"/>
        </w:rPr>
        <w:t>附件名称</w:t>
      </w:r>
      <w:r>
        <w:rPr>
          <w:rFonts w:hint="eastAsia" w:cs="宋体"/>
          <w:sz w:val="24"/>
        </w:rPr>
        <w:t>（如有请填写）：</w:t>
      </w:r>
    </w:p>
    <w:p w14:paraId="65DA7484">
      <w:pPr>
        <w:pStyle w:val="2"/>
        <w:spacing w:before="165"/>
        <w:ind w:firstLine="498"/>
        <w:jc w:val="center"/>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易损配件清单</w:t>
      </w:r>
    </w:p>
    <w:tbl>
      <w:tblPr>
        <w:tblStyle w:val="41"/>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1508"/>
        <w:gridCol w:w="961"/>
        <w:gridCol w:w="1985"/>
        <w:gridCol w:w="1234"/>
        <w:gridCol w:w="749"/>
        <w:gridCol w:w="629"/>
        <w:gridCol w:w="853"/>
        <w:gridCol w:w="895"/>
      </w:tblGrid>
      <w:tr w14:paraId="22A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982" w:type="dxa"/>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08B4E989">
            <w:pPr>
              <w:spacing w:line="480" w:lineRule="exact"/>
              <w:jc w:val="center"/>
              <w:rPr>
                <w:rFonts w:hint="eastAsia" w:cs="宋体"/>
                <w:sz w:val="24"/>
              </w:rPr>
            </w:pPr>
            <w:r>
              <w:rPr>
                <w:rFonts w:hint="eastAsia" w:cs="宋体"/>
                <w:sz w:val="24"/>
              </w:rPr>
              <w:t>序号</w:t>
            </w:r>
          </w:p>
        </w:tc>
        <w:tc>
          <w:tcPr>
            <w:tcW w:w="15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FF0BB">
            <w:pPr>
              <w:spacing w:line="480" w:lineRule="exact"/>
              <w:jc w:val="center"/>
              <w:rPr>
                <w:rFonts w:hint="eastAsia" w:cs="宋体"/>
                <w:bCs/>
                <w:sz w:val="24"/>
              </w:rPr>
            </w:pPr>
            <w:r>
              <w:rPr>
                <w:rFonts w:hint="eastAsia" w:cs="宋体"/>
                <w:bCs/>
                <w:sz w:val="24"/>
              </w:rPr>
              <w:t xml:space="preserve"> 货物（装备）名称</w:t>
            </w:r>
          </w:p>
        </w:tc>
        <w:tc>
          <w:tcPr>
            <w:tcW w:w="9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3061C">
            <w:pPr>
              <w:spacing w:line="480" w:lineRule="exact"/>
              <w:jc w:val="center"/>
              <w:rPr>
                <w:rFonts w:hint="eastAsia" w:cs="宋体"/>
                <w:bCs/>
                <w:sz w:val="24"/>
              </w:rPr>
            </w:pPr>
            <w:r>
              <w:rPr>
                <w:rFonts w:hint="eastAsia" w:cs="宋体"/>
                <w:sz w:val="24"/>
              </w:rPr>
              <w:t>品牌</w:t>
            </w:r>
          </w:p>
        </w:tc>
        <w:tc>
          <w:tcPr>
            <w:tcW w:w="19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BE2148">
            <w:pPr>
              <w:spacing w:line="480" w:lineRule="exact"/>
              <w:jc w:val="center"/>
              <w:rPr>
                <w:rFonts w:hint="eastAsia" w:cs="宋体"/>
                <w:bCs/>
                <w:sz w:val="24"/>
              </w:rPr>
            </w:pPr>
            <w:r>
              <w:rPr>
                <w:rFonts w:hint="eastAsia" w:cs="宋体"/>
                <w:bCs/>
                <w:sz w:val="24"/>
              </w:rPr>
              <w:t>型号、规格、配置、技术参数</w:t>
            </w:r>
          </w:p>
        </w:tc>
        <w:tc>
          <w:tcPr>
            <w:tcW w:w="12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FC170">
            <w:pPr>
              <w:spacing w:line="480" w:lineRule="exact"/>
              <w:jc w:val="center"/>
              <w:rPr>
                <w:rFonts w:hint="eastAsia" w:cs="宋体"/>
                <w:bCs/>
                <w:sz w:val="24"/>
              </w:rPr>
            </w:pPr>
            <w:r>
              <w:rPr>
                <w:rFonts w:hint="eastAsia" w:cs="宋体"/>
                <w:sz w:val="24"/>
              </w:rPr>
              <w:t>产地/制造商</w:t>
            </w:r>
          </w:p>
        </w:tc>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7CD050">
            <w:pPr>
              <w:spacing w:line="480" w:lineRule="exact"/>
              <w:jc w:val="center"/>
              <w:rPr>
                <w:rFonts w:hint="eastAsia" w:cs="宋体"/>
                <w:bCs/>
                <w:sz w:val="24"/>
              </w:rPr>
            </w:pPr>
            <w:r>
              <w:rPr>
                <w:rFonts w:hint="eastAsia" w:cs="宋体"/>
                <w:sz w:val="24"/>
              </w:rPr>
              <w:t>数量</w:t>
            </w:r>
          </w:p>
        </w:tc>
        <w:tc>
          <w:tcPr>
            <w:tcW w:w="6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052D2">
            <w:pPr>
              <w:spacing w:line="480" w:lineRule="exact"/>
              <w:jc w:val="center"/>
              <w:rPr>
                <w:rFonts w:hint="eastAsia" w:cs="宋体"/>
                <w:bCs/>
                <w:sz w:val="24"/>
              </w:rPr>
            </w:pPr>
            <w:r>
              <w:rPr>
                <w:rFonts w:hint="eastAsia" w:cs="宋体"/>
                <w:sz w:val="24"/>
              </w:rPr>
              <w:t>单位</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62040">
            <w:pPr>
              <w:widowControl/>
              <w:spacing w:line="480" w:lineRule="exact"/>
              <w:jc w:val="center"/>
              <w:rPr>
                <w:rFonts w:hint="eastAsia" w:cs="宋体"/>
                <w:sz w:val="24"/>
              </w:rPr>
            </w:pPr>
            <w:r>
              <w:rPr>
                <w:rFonts w:hint="eastAsia" w:cs="宋体"/>
                <w:sz w:val="24"/>
              </w:rPr>
              <w:t>单价（元）</w:t>
            </w:r>
          </w:p>
        </w:tc>
        <w:tc>
          <w:tcPr>
            <w:tcW w:w="8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0088D">
            <w:pPr>
              <w:widowControl/>
              <w:spacing w:line="480" w:lineRule="exact"/>
              <w:jc w:val="center"/>
              <w:rPr>
                <w:rFonts w:hint="eastAsia" w:cs="宋体"/>
                <w:sz w:val="24"/>
              </w:rPr>
            </w:pPr>
            <w:r>
              <w:rPr>
                <w:rFonts w:hint="eastAsia" w:cs="宋体"/>
                <w:sz w:val="24"/>
              </w:rPr>
              <w:t>总价（元）</w:t>
            </w:r>
          </w:p>
        </w:tc>
      </w:tr>
      <w:tr w14:paraId="3E74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2" w:type="dxa"/>
            <w:noWrap/>
            <w:vAlign w:val="center"/>
          </w:tcPr>
          <w:p w14:paraId="255DCB66">
            <w:pPr>
              <w:spacing w:line="480" w:lineRule="exact"/>
              <w:jc w:val="center"/>
              <w:rPr>
                <w:rFonts w:hint="eastAsia" w:cs="宋体"/>
                <w:sz w:val="24"/>
              </w:rPr>
            </w:pPr>
            <w:r>
              <w:rPr>
                <w:rFonts w:hint="eastAsia" w:cs="宋体"/>
                <w:sz w:val="24"/>
              </w:rPr>
              <w:t>1</w:t>
            </w:r>
          </w:p>
        </w:tc>
        <w:tc>
          <w:tcPr>
            <w:tcW w:w="1508" w:type="dxa"/>
            <w:noWrap/>
            <w:vAlign w:val="center"/>
          </w:tcPr>
          <w:p w14:paraId="1A50D1F0">
            <w:pPr>
              <w:spacing w:line="480" w:lineRule="exact"/>
              <w:rPr>
                <w:rFonts w:hint="eastAsia" w:cs="宋体"/>
                <w:sz w:val="24"/>
              </w:rPr>
            </w:pPr>
          </w:p>
        </w:tc>
        <w:tc>
          <w:tcPr>
            <w:tcW w:w="961" w:type="dxa"/>
            <w:noWrap/>
            <w:vAlign w:val="center"/>
          </w:tcPr>
          <w:p w14:paraId="29929B69">
            <w:pPr>
              <w:spacing w:line="480" w:lineRule="exact"/>
              <w:jc w:val="center"/>
              <w:rPr>
                <w:rFonts w:hint="eastAsia" w:cs="宋体"/>
                <w:sz w:val="24"/>
              </w:rPr>
            </w:pPr>
          </w:p>
        </w:tc>
        <w:tc>
          <w:tcPr>
            <w:tcW w:w="1985" w:type="dxa"/>
            <w:noWrap/>
            <w:vAlign w:val="center"/>
          </w:tcPr>
          <w:p w14:paraId="7860DFF6">
            <w:pPr>
              <w:spacing w:line="480" w:lineRule="exact"/>
              <w:jc w:val="center"/>
              <w:rPr>
                <w:rFonts w:hint="eastAsia" w:cs="宋体"/>
                <w:sz w:val="24"/>
              </w:rPr>
            </w:pPr>
          </w:p>
        </w:tc>
        <w:tc>
          <w:tcPr>
            <w:tcW w:w="1234" w:type="dxa"/>
            <w:noWrap/>
            <w:vAlign w:val="center"/>
          </w:tcPr>
          <w:p w14:paraId="377CD1E2">
            <w:pPr>
              <w:spacing w:line="480" w:lineRule="exact"/>
              <w:jc w:val="center"/>
              <w:rPr>
                <w:rFonts w:hint="eastAsia" w:cs="宋体"/>
                <w:sz w:val="24"/>
              </w:rPr>
            </w:pPr>
          </w:p>
        </w:tc>
        <w:tc>
          <w:tcPr>
            <w:tcW w:w="749" w:type="dxa"/>
            <w:noWrap/>
            <w:vAlign w:val="center"/>
          </w:tcPr>
          <w:p w14:paraId="4A8CAC22">
            <w:pPr>
              <w:spacing w:line="480" w:lineRule="exact"/>
              <w:jc w:val="center"/>
              <w:rPr>
                <w:rFonts w:hint="eastAsia" w:cs="宋体"/>
                <w:sz w:val="24"/>
              </w:rPr>
            </w:pPr>
          </w:p>
        </w:tc>
        <w:tc>
          <w:tcPr>
            <w:tcW w:w="629" w:type="dxa"/>
            <w:noWrap/>
            <w:vAlign w:val="center"/>
          </w:tcPr>
          <w:p w14:paraId="11B476CF">
            <w:pPr>
              <w:spacing w:line="480" w:lineRule="exact"/>
              <w:rPr>
                <w:rFonts w:hint="eastAsia" w:cs="宋体"/>
                <w:sz w:val="24"/>
              </w:rPr>
            </w:pPr>
          </w:p>
        </w:tc>
        <w:tc>
          <w:tcPr>
            <w:tcW w:w="853" w:type="dxa"/>
            <w:shd w:val="clear" w:color="auto" w:fill="FFFFFF"/>
            <w:noWrap/>
            <w:vAlign w:val="center"/>
          </w:tcPr>
          <w:p w14:paraId="533EB099">
            <w:pPr>
              <w:spacing w:line="480" w:lineRule="exact"/>
              <w:jc w:val="center"/>
              <w:rPr>
                <w:rFonts w:hint="eastAsia" w:cs="宋体"/>
                <w:sz w:val="24"/>
              </w:rPr>
            </w:pPr>
          </w:p>
        </w:tc>
        <w:tc>
          <w:tcPr>
            <w:tcW w:w="895" w:type="dxa"/>
            <w:shd w:val="clear" w:color="auto" w:fill="FFFFFF"/>
            <w:noWrap/>
            <w:vAlign w:val="center"/>
          </w:tcPr>
          <w:p w14:paraId="2709CFC6">
            <w:pPr>
              <w:spacing w:line="480" w:lineRule="exact"/>
              <w:jc w:val="center"/>
              <w:rPr>
                <w:rFonts w:hint="eastAsia" w:cs="宋体"/>
                <w:sz w:val="24"/>
              </w:rPr>
            </w:pPr>
          </w:p>
        </w:tc>
      </w:tr>
      <w:tr w14:paraId="3AB6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2" w:type="dxa"/>
            <w:noWrap/>
            <w:vAlign w:val="center"/>
          </w:tcPr>
          <w:p w14:paraId="1DD8BB23">
            <w:pPr>
              <w:spacing w:line="480" w:lineRule="exact"/>
              <w:jc w:val="center"/>
              <w:rPr>
                <w:rFonts w:hint="eastAsia" w:cs="宋体"/>
                <w:sz w:val="24"/>
              </w:rPr>
            </w:pPr>
            <w:r>
              <w:rPr>
                <w:rFonts w:hint="eastAsia" w:cs="宋体"/>
                <w:sz w:val="24"/>
              </w:rPr>
              <w:t>2</w:t>
            </w:r>
          </w:p>
        </w:tc>
        <w:tc>
          <w:tcPr>
            <w:tcW w:w="1508" w:type="dxa"/>
            <w:noWrap/>
            <w:vAlign w:val="center"/>
          </w:tcPr>
          <w:p w14:paraId="1E90029C">
            <w:pPr>
              <w:spacing w:line="480" w:lineRule="exact"/>
              <w:rPr>
                <w:rFonts w:hint="eastAsia" w:cs="宋体"/>
                <w:sz w:val="24"/>
              </w:rPr>
            </w:pPr>
          </w:p>
        </w:tc>
        <w:tc>
          <w:tcPr>
            <w:tcW w:w="961" w:type="dxa"/>
            <w:noWrap/>
            <w:vAlign w:val="center"/>
          </w:tcPr>
          <w:p w14:paraId="15C0ECCC">
            <w:pPr>
              <w:spacing w:line="480" w:lineRule="exact"/>
              <w:jc w:val="center"/>
              <w:rPr>
                <w:rFonts w:hint="eastAsia" w:cs="宋体"/>
                <w:sz w:val="24"/>
              </w:rPr>
            </w:pPr>
          </w:p>
        </w:tc>
        <w:tc>
          <w:tcPr>
            <w:tcW w:w="1985" w:type="dxa"/>
            <w:noWrap/>
            <w:vAlign w:val="center"/>
          </w:tcPr>
          <w:p w14:paraId="25490496">
            <w:pPr>
              <w:spacing w:line="480" w:lineRule="exact"/>
              <w:jc w:val="center"/>
              <w:rPr>
                <w:rFonts w:hint="eastAsia" w:cs="宋体"/>
                <w:sz w:val="24"/>
              </w:rPr>
            </w:pPr>
          </w:p>
        </w:tc>
        <w:tc>
          <w:tcPr>
            <w:tcW w:w="1234" w:type="dxa"/>
            <w:noWrap/>
            <w:vAlign w:val="center"/>
          </w:tcPr>
          <w:p w14:paraId="7D41A3FD">
            <w:pPr>
              <w:spacing w:line="480" w:lineRule="exact"/>
              <w:jc w:val="center"/>
              <w:rPr>
                <w:rFonts w:hint="eastAsia" w:cs="宋体"/>
                <w:sz w:val="24"/>
              </w:rPr>
            </w:pPr>
          </w:p>
        </w:tc>
        <w:tc>
          <w:tcPr>
            <w:tcW w:w="749" w:type="dxa"/>
            <w:noWrap/>
            <w:vAlign w:val="center"/>
          </w:tcPr>
          <w:p w14:paraId="5A3D1546">
            <w:pPr>
              <w:spacing w:line="480" w:lineRule="exact"/>
              <w:jc w:val="center"/>
              <w:rPr>
                <w:rFonts w:hint="eastAsia" w:cs="宋体"/>
                <w:sz w:val="24"/>
              </w:rPr>
            </w:pPr>
          </w:p>
        </w:tc>
        <w:tc>
          <w:tcPr>
            <w:tcW w:w="629" w:type="dxa"/>
            <w:noWrap/>
            <w:vAlign w:val="center"/>
          </w:tcPr>
          <w:p w14:paraId="7465FBB6">
            <w:pPr>
              <w:spacing w:line="480" w:lineRule="exact"/>
              <w:rPr>
                <w:rFonts w:hint="eastAsia" w:cs="宋体"/>
                <w:sz w:val="24"/>
              </w:rPr>
            </w:pPr>
          </w:p>
        </w:tc>
        <w:tc>
          <w:tcPr>
            <w:tcW w:w="853" w:type="dxa"/>
            <w:shd w:val="clear" w:color="auto" w:fill="FFFFFF"/>
            <w:noWrap/>
            <w:vAlign w:val="center"/>
          </w:tcPr>
          <w:p w14:paraId="07767ACB">
            <w:pPr>
              <w:spacing w:line="480" w:lineRule="exact"/>
              <w:jc w:val="center"/>
              <w:rPr>
                <w:rFonts w:hint="eastAsia" w:cs="宋体"/>
                <w:sz w:val="24"/>
              </w:rPr>
            </w:pPr>
          </w:p>
        </w:tc>
        <w:tc>
          <w:tcPr>
            <w:tcW w:w="895" w:type="dxa"/>
            <w:shd w:val="clear" w:color="auto" w:fill="FFFFFF"/>
            <w:noWrap/>
            <w:vAlign w:val="center"/>
          </w:tcPr>
          <w:p w14:paraId="67517305">
            <w:pPr>
              <w:spacing w:line="480" w:lineRule="exact"/>
              <w:jc w:val="center"/>
              <w:rPr>
                <w:rFonts w:hint="eastAsia" w:cs="宋体"/>
                <w:sz w:val="24"/>
              </w:rPr>
            </w:pPr>
          </w:p>
        </w:tc>
      </w:tr>
      <w:tr w14:paraId="578A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2" w:type="dxa"/>
            <w:noWrap/>
            <w:vAlign w:val="center"/>
          </w:tcPr>
          <w:p w14:paraId="027E7502">
            <w:pPr>
              <w:spacing w:line="480" w:lineRule="exact"/>
              <w:jc w:val="center"/>
              <w:rPr>
                <w:rFonts w:hint="eastAsia" w:cs="宋体"/>
                <w:sz w:val="24"/>
              </w:rPr>
            </w:pPr>
            <w:r>
              <w:rPr>
                <w:rFonts w:hint="eastAsia" w:cs="宋体"/>
                <w:sz w:val="24"/>
              </w:rPr>
              <w:t>3</w:t>
            </w:r>
          </w:p>
        </w:tc>
        <w:tc>
          <w:tcPr>
            <w:tcW w:w="1508" w:type="dxa"/>
            <w:noWrap/>
            <w:vAlign w:val="center"/>
          </w:tcPr>
          <w:p w14:paraId="485B7E94">
            <w:pPr>
              <w:spacing w:line="480" w:lineRule="exact"/>
              <w:rPr>
                <w:rFonts w:hint="eastAsia" w:cs="宋体"/>
                <w:sz w:val="24"/>
              </w:rPr>
            </w:pPr>
          </w:p>
        </w:tc>
        <w:tc>
          <w:tcPr>
            <w:tcW w:w="961" w:type="dxa"/>
            <w:noWrap/>
            <w:vAlign w:val="center"/>
          </w:tcPr>
          <w:p w14:paraId="7913DE17">
            <w:pPr>
              <w:spacing w:line="480" w:lineRule="exact"/>
              <w:jc w:val="center"/>
              <w:rPr>
                <w:rFonts w:hint="eastAsia" w:cs="宋体"/>
                <w:sz w:val="24"/>
              </w:rPr>
            </w:pPr>
          </w:p>
        </w:tc>
        <w:tc>
          <w:tcPr>
            <w:tcW w:w="1985" w:type="dxa"/>
            <w:noWrap/>
            <w:vAlign w:val="center"/>
          </w:tcPr>
          <w:p w14:paraId="0A3BFF89">
            <w:pPr>
              <w:spacing w:line="480" w:lineRule="exact"/>
              <w:jc w:val="center"/>
              <w:rPr>
                <w:rFonts w:hint="eastAsia" w:cs="宋体"/>
                <w:sz w:val="24"/>
              </w:rPr>
            </w:pPr>
          </w:p>
        </w:tc>
        <w:tc>
          <w:tcPr>
            <w:tcW w:w="1234" w:type="dxa"/>
            <w:noWrap/>
            <w:vAlign w:val="center"/>
          </w:tcPr>
          <w:p w14:paraId="3AC6E2E4">
            <w:pPr>
              <w:spacing w:line="480" w:lineRule="exact"/>
              <w:jc w:val="center"/>
              <w:rPr>
                <w:rFonts w:hint="eastAsia" w:cs="宋体"/>
                <w:sz w:val="24"/>
              </w:rPr>
            </w:pPr>
          </w:p>
        </w:tc>
        <w:tc>
          <w:tcPr>
            <w:tcW w:w="749" w:type="dxa"/>
            <w:noWrap/>
            <w:vAlign w:val="center"/>
          </w:tcPr>
          <w:p w14:paraId="7AFB2089">
            <w:pPr>
              <w:spacing w:line="480" w:lineRule="exact"/>
              <w:jc w:val="center"/>
              <w:rPr>
                <w:rFonts w:hint="eastAsia" w:cs="宋体"/>
                <w:sz w:val="24"/>
              </w:rPr>
            </w:pPr>
          </w:p>
        </w:tc>
        <w:tc>
          <w:tcPr>
            <w:tcW w:w="629" w:type="dxa"/>
            <w:noWrap/>
            <w:vAlign w:val="center"/>
          </w:tcPr>
          <w:p w14:paraId="0F1C3490">
            <w:pPr>
              <w:spacing w:line="480" w:lineRule="exact"/>
              <w:rPr>
                <w:rFonts w:hint="eastAsia" w:cs="宋体"/>
                <w:sz w:val="24"/>
              </w:rPr>
            </w:pPr>
          </w:p>
        </w:tc>
        <w:tc>
          <w:tcPr>
            <w:tcW w:w="853" w:type="dxa"/>
            <w:shd w:val="clear" w:color="auto" w:fill="FFFFFF"/>
            <w:noWrap/>
            <w:vAlign w:val="center"/>
          </w:tcPr>
          <w:p w14:paraId="4819377A">
            <w:pPr>
              <w:spacing w:line="480" w:lineRule="exact"/>
              <w:jc w:val="center"/>
              <w:rPr>
                <w:rFonts w:hint="eastAsia" w:cs="宋体"/>
                <w:sz w:val="24"/>
              </w:rPr>
            </w:pPr>
          </w:p>
        </w:tc>
        <w:tc>
          <w:tcPr>
            <w:tcW w:w="895" w:type="dxa"/>
            <w:shd w:val="clear" w:color="auto" w:fill="FFFFFF"/>
            <w:noWrap/>
            <w:vAlign w:val="center"/>
          </w:tcPr>
          <w:p w14:paraId="0A7221E2">
            <w:pPr>
              <w:spacing w:line="480" w:lineRule="exact"/>
              <w:jc w:val="center"/>
              <w:rPr>
                <w:rFonts w:hint="eastAsia" w:cs="宋体"/>
                <w:sz w:val="24"/>
              </w:rPr>
            </w:pPr>
          </w:p>
        </w:tc>
      </w:tr>
      <w:tr w14:paraId="0713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2" w:type="dxa"/>
            <w:noWrap/>
            <w:vAlign w:val="center"/>
          </w:tcPr>
          <w:p w14:paraId="7ADFC62C">
            <w:pPr>
              <w:spacing w:line="480" w:lineRule="exact"/>
              <w:jc w:val="center"/>
              <w:rPr>
                <w:rFonts w:hint="eastAsia" w:cs="宋体"/>
                <w:sz w:val="24"/>
              </w:rPr>
            </w:pPr>
            <w:r>
              <w:rPr>
                <w:rFonts w:hint="eastAsia" w:cs="宋体"/>
                <w:sz w:val="24"/>
              </w:rPr>
              <w:t>4</w:t>
            </w:r>
          </w:p>
        </w:tc>
        <w:tc>
          <w:tcPr>
            <w:tcW w:w="1508" w:type="dxa"/>
            <w:noWrap/>
            <w:vAlign w:val="center"/>
          </w:tcPr>
          <w:p w14:paraId="75C2922C">
            <w:pPr>
              <w:spacing w:line="480" w:lineRule="exact"/>
              <w:rPr>
                <w:rFonts w:hint="eastAsia" w:cs="宋体"/>
                <w:sz w:val="24"/>
              </w:rPr>
            </w:pPr>
          </w:p>
        </w:tc>
        <w:tc>
          <w:tcPr>
            <w:tcW w:w="961" w:type="dxa"/>
            <w:noWrap/>
            <w:vAlign w:val="center"/>
          </w:tcPr>
          <w:p w14:paraId="446E9C7E">
            <w:pPr>
              <w:spacing w:line="480" w:lineRule="exact"/>
              <w:jc w:val="center"/>
              <w:rPr>
                <w:rFonts w:hint="eastAsia" w:cs="宋体"/>
                <w:sz w:val="24"/>
              </w:rPr>
            </w:pPr>
          </w:p>
        </w:tc>
        <w:tc>
          <w:tcPr>
            <w:tcW w:w="1985" w:type="dxa"/>
            <w:noWrap/>
            <w:vAlign w:val="center"/>
          </w:tcPr>
          <w:p w14:paraId="62766703">
            <w:pPr>
              <w:spacing w:line="480" w:lineRule="exact"/>
              <w:jc w:val="center"/>
              <w:rPr>
                <w:rFonts w:hint="eastAsia" w:cs="宋体"/>
                <w:sz w:val="24"/>
              </w:rPr>
            </w:pPr>
          </w:p>
        </w:tc>
        <w:tc>
          <w:tcPr>
            <w:tcW w:w="1234" w:type="dxa"/>
            <w:noWrap/>
            <w:vAlign w:val="center"/>
          </w:tcPr>
          <w:p w14:paraId="735AC4BD">
            <w:pPr>
              <w:spacing w:line="480" w:lineRule="exact"/>
              <w:jc w:val="center"/>
              <w:rPr>
                <w:rFonts w:hint="eastAsia" w:cs="宋体"/>
                <w:sz w:val="24"/>
              </w:rPr>
            </w:pPr>
          </w:p>
        </w:tc>
        <w:tc>
          <w:tcPr>
            <w:tcW w:w="749" w:type="dxa"/>
            <w:noWrap/>
            <w:vAlign w:val="center"/>
          </w:tcPr>
          <w:p w14:paraId="7C3A8104">
            <w:pPr>
              <w:spacing w:line="480" w:lineRule="exact"/>
              <w:jc w:val="center"/>
              <w:rPr>
                <w:rFonts w:hint="eastAsia" w:cs="宋体"/>
                <w:sz w:val="24"/>
              </w:rPr>
            </w:pPr>
          </w:p>
        </w:tc>
        <w:tc>
          <w:tcPr>
            <w:tcW w:w="629" w:type="dxa"/>
            <w:noWrap/>
            <w:vAlign w:val="center"/>
          </w:tcPr>
          <w:p w14:paraId="6B74681E">
            <w:pPr>
              <w:spacing w:line="480" w:lineRule="exact"/>
              <w:rPr>
                <w:rFonts w:hint="eastAsia" w:cs="宋体"/>
                <w:sz w:val="24"/>
              </w:rPr>
            </w:pPr>
          </w:p>
        </w:tc>
        <w:tc>
          <w:tcPr>
            <w:tcW w:w="853" w:type="dxa"/>
            <w:shd w:val="clear" w:color="auto" w:fill="FFFFFF"/>
            <w:noWrap/>
            <w:vAlign w:val="center"/>
          </w:tcPr>
          <w:p w14:paraId="6BCB35DD">
            <w:pPr>
              <w:spacing w:line="480" w:lineRule="exact"/>
              <w:jc w:val="center"/>
              <w:rPr>
                <w:rFonts w:hint="eastAsia" w:cs="宋体"/>
                <w:sz w:val="24"/>
              </w:rPr>
            </w:pPr>
          </w:p>
        </w:tc>
        <w:tc>
          <w:tcPr>
            <w:tcW w:w="895" w:type="dxa"/>
            <w:shd w:val="clear" w:color="auto" w:fill="FFFFFF"/>
            <w:noWrap/>
            <w:vAlign w:val="center"/>
          </w:tcPr>
          <w:p w14:paraId="6DDE5FEF">
            <w:pPr>
              <w:spacing w:line="480" w:lineRule="exact"/>
              <w:jc w:val="center"/>
              <w:rPr>
                <w:rFonts w:hint="eastAsia" w:cs="宋体"/>
                <w:sz w:val="24"/>
              </w:rPr>
            </w:pPr>
          </w:p>
        </w:tc>
      </w:tr>
    </w:tbl>
    <w:p w14:paraId="0AD92A50">
      <w:pPr>
        <w:rPr>
          <w:rFonts w:hint="eastAsia" w:cs="宋体"/>
          <w:sz w:val="24"/>
        </w:rPr>
      </w:pPr>
      <w:r>
        <w:rPr>
          <w:rFonts w:hint="eastAsia" w:cs="宋体"/>
          <w:sz w:val="24"/>
        </w:rPr>
        <w:br w:type="page"/>
      </w:r>
    </w:p>
    <w:bookmarkEnd w:id="120"/>
    <w:p w14:paraId="4838EC05">
      <w:pPr>
        <w:pStyle w:val="5"/>
        <w:numPr>
          <w:ilvl w:val="0"/>
          <w:numId w:val="0"/>
        </w:numPr>
        <w:jc w:val="center"/>
        <w:rPr>
          <w:rFonts w:hint="eastAsia" w:eastAsia="宋体" w:cs="宋体"/>
          <w:bCs/>
          <w:sz w:val="32"/>
          <w:szCs w:val="32"/>
        </w:rPr>
      </w:pPr>
      <w:bookmarkStart w:id="167" w:name="_Toc69912448"/>
      <w:bookmarkStart w:id="168" w:name="_Toc91696452"/>
      <w:bookmarkStart w:id="169" w:name="_Toc21429"/>
      <w:r>
        <w:rPr>
          <w:rFonts w:hint="eastAsia" w:eastAsia="宋体" w:cs="宋体"/>
          <w:bCs/>
          <w:sz w:val="32"/>
          <w:szCs w:val="32"/>
        </w:rPr>
        <w:t>第四章  货物需求及技术要求</w:t>
      </w:r>
      <w:bookmarkEnd w:id="167"/>
      <w:bookmarkEnd w:id="168"/>
      <w:bookmarkEnd w:id="169"/>
    </w:p>
    <w:p w14:paraId="4AC3550E">
      <w:pPr>
        <w:spacing w:line="360" w:lineRule="auto"/>
        <w:jc w:val="center"/>
        <w:rPr>
          <w:rFonts w:hint="eastAsia" w:cs="宋体"/>
          <w:b/>
          <w:bCs/>
          <w:sz w:val="24"/>
        </w:rPr>
      </w:pPr>
      <w:bookmarkStart w:id="170" w:name="_Toc509500411"/>
      <w:bookmarkStart w:id="171" w:name="_Toc509829330"/>
      <w:bookmarkStart w:id="172" w:name="_Toc213141118"/>
      <w:bookmarkStart w:id="173" w:name="_Toc514663418"/>
      <w:r>
        <w:rPr>
          <w:rFonts w:hint="eastAsia" w:cs="宋体"/>
          <w:b/>
          <w:bCs/>
          <w:sz w:val="24"/>
        </w:rPr>
        <w:t>2标段（地震灾害救援装备）</w:t>
      </w:r>
    </w:p>
    <w:tbl>
      <w:tblPr>
        <w:tblStyle w:val="42"/>
        <w:tblpPr w:leftFromText="180" w:rightFromText="180" w:vertAnchor="text" w:horzAnchor="page" w:tblpX="1221" w:tblpY="535"/>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3525"/>
        <w:gridCol w:w="1878"/>
        <w:gridCol w:w="2669"/>
      </w:tblGrid>
      <w:tr w14:paraId="24178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42A2E0BD">
            <w:pPr>
              <w:spacing w:line="360" w:lineRule="auto"/>
              <w:jc w:val="center"/>
              <w:rPr>
                <w:rFonts w:hint="eastAsia" w:cs="宋体"/>
                <w:sz w:val="24"/>
              </w:rPr>
            </w:pPr>
            <w:r>
              <w:rPr>
                <w:rFonts w:hint="eastAsia" w:cs="宋体"/>
                <w:sz w:val="24"/>
              </w:rPr>
              <w:t>序号</w:t>
            </w:r>
          </w:p>
        </w:tc>
        <w:tc>
          <w:tcPr>
            <w:tcW w:w="1898" w:type="pct"/>
            <w:vAlign w:val="center"/>
          </w:tcPr>
          <w:p w14:paraId="7D9486A7">
            <w:pPr>
              <w:spacing w:line="360" w:lineRule="auto"/>
              <w:jc w:val="center"/>
              <w:rPr>
                <w:rFonts w:hint="eastAsia" w:cs="宋体"/>
                <w:sz w:val="24"/>
              </w:rPr>
            </w:pPr>
            <w:r>
              <w:rPr>
                <w:rFonts w:hint="eastAsia" w:cs="宋体"/>
                <w:sz w:val="24"/>
              </w:rPr>
              <w:t>产品名称</w:t>
            </w:r>
          </w:p>
        </w:tc>
        <w:tc>
          <w:tcPr>
            <w:tcW w:w="1011" w:type="pct"/>
            <w:vAlign w:val="center"/>
          </w:tcPr>
          <w:p w14:paraId="45FEA642">
            <w:pPr>
              <w:spacing w:line="360" w:lineRule="auto"/>
              <w:jc w:val="center"/>
              <w:rPr>
                <w:rFonts w:hint="eastAsia" w:cs="宋体"/>
                <w:sz w:val="24"/>
              </w:rPr>
            </w:pPr>
            <w:r>
              <w:rPr>
                <w:rFonts w:hint="eastAsia" w:cs="宋体"/>
                <w:sz w:val="24"/>
              </w:rPr>
              <w:t>计量单位</w:t>
            </w:r>
          </w:p>
        </w:tc>
        <w:tc>
          <w:tcPr>
            <w:tcW w:w="1437" w:type="pct"/>
            <w:vAlign w:val="center"/>
          </w:tcPr>
          <w:p w14:paraId="553D19E7">
            <w:pPr>
              <w:spacing w:line="360" w:lineRule="auto"/>
              <w:jc w:val="center"/>
              <w:rPr>
                <w:rFonts w:hint="eastAsia" w:cs="宋体"/>
                <w:sz w:val="24"/>
              </w:rPr>
            </w:pPr>
            <w:r>
              <w:rPr>
                <w:rFonts w:hint="eastAsia" w:cs="宋体"/>
                <w:sz w:val="24"/>
              </w:rPr>
              <w:t>数量</w:t>
            </w:r>
          </w:p>
        </w:tc>
      </w:tr>
      <w:tr w14:paraId="2B35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3620E46B">
            <w:pPr>
              <w:spacing w:line="360" w:lineRule="auto"/>
              <w:jc w:val="center"/>
              <w:rPr>
                <w:rFonts w:hint="eastAsia" w:cs="宋体"/>
                <w:sz w:val="24"/>
              </w:rPr>
            </w:pPr>
            <w:r>
              <w:rPr>
                <w:rFonts w:hint="eastAsia" w:cs="宋体"/>
                <w:sz w:val="24"/>
              </w:rPr>
              <w:t>1</w:t>
            </w:r>
          </w:p>
        </w:tc>
        <w:tc>
          <w:tcPr>
            <w:tcW w:w="1898" w:type="pct"/>
            <w:vAlign w:val="center"/>
          </w:tcPr>
          <w:p w14:paraId="26E7A4CE">
            <w:pPr>
              <w:spacing w:line="360" w:lineRule="auto"/>
              <w:jc w:val="center"/>
              <w:rPr>
                <w:rFonts w:hint="eastAsia" w:cs="宋体"/>
                <w:sz w:val="24"/>
              </w:rPr>
            </w:pPr>
            <w:r>
              <w:rPr>
                <w:rFonts w:hint="eastAsia" w:cs="宋体"/>
                <w:sz w:val="24"/>
              </w:rPr>
              <w:t>电动剪扩钳</w:t>
            </w:r>
          </w:p>
        </w:tc>
        <w:tc>
          <w:tcPr>
            <w:tcW w:w="1011" w:type="pct"/>
            <w:vAlign w:val="center"/>
          </w:tcPr>
          <w:p w14:paraId="1FAA34B3">
            <w:pPr>
              <w:spacing w:line="360" w:lineRule="auto"/>
              <w:jc w:val="center"/>
              <w:rPr>
                <w:rFonts w:hint="eastAsia" w:cs="宋体"/>
                <w:sz w:val="24"/>
              </w:rPr>
            </w:pPr>
            <w:r>
              <w:rPr>
                <w:rFonts w:hint="eastAsia" w:cs="宋体"/>
                <w:sz w:val="24"/>
              </w:rPr>
              <w:t>套</w:t>
            </w:r>
          </w:p>
        </w:tc>
        <w:tc>
          <w:tcPr>
            <w:tcW w:w="1437" w:type="pct"/>
            <w:vAlign w:val="center"/>
          </w:tcPr>
          <w:p w14:paraId="5FB483E7">
            <w:pPr>
              <w:spacing w:line="360" w:lineRule="auto"/>
              <w:jc w:val="center"/>
              <w:rPr>
                <w:rFonts w:hint="eastAsia" w:cs="宋体"/>
                <w:sz w:val="24"/>
              </w:rPr>
            </w:pPr>
            <w:r>
              <w:rPr>
                <w:rFonts w:hint="eastAsia" w:cs="宋体"/>
                <w:sz w:val="24"/>
              </w:rPr>
              <w:t>11</w:t>
            </w:r>
          </w:p>
        </w:tc>
      </w:tr>
      <w:tr w14:paraId="3879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2F9AA218">
            <w:pPr>
              <w:spacing w:line="360" w:lineRule="auto"/>
              <w:jc w:val="center"/>
              <w:rPr>
                <w:rFonts w:hint="eastAsia" w:cs="宋体"/>
                <w:sz w:val="24"/>
              </w:rPr>
            </w:pPr>
            <w:r>
              <w:rPr>
                <w:rFonts w:hint="eastAsia" w:cs="宋体"/>
                <w:sz w:val="24"/>
              </w:rPr>
              <w:t>2</w:t>
            </w:r>
          </w:p>
        </w:tc>
        <w:tc>
          <w:tcPr>
            <w:tcW w:w="1898" w:type="pct"/>
            <w:vAlign w:val="center"/>
          </w:tcPr>
          <w:p w14:paraId="5A494CDB">
            <w:pPr>
              <w:spacing w:line="360" w:lineRule="auto"/>
              <w:jc w:val="center"/>
              <w:rPr>
                <w:rFonts w:hint="eastAsia" w:cs="宋体"/>
                <w:sz w:val="24"/>
              </w:rPr>
            </w:pPr>
            <w:r>
              <w:rPr>
                <w:rFonts w:hint="eastAsia" w:cs="宋体"/>
                <w:sz w:val="24"/>
              </w:rPr>
              <w:t>高压起重气垫</w:t>
            </w:r>
          </w:p>
        </w:tc>
        <w:tc>
          <w:tcPr>
            <w:tcW w:w="1011" w:type="pct"/>
            <w:vAlign w:val="center"/>
          </w:tcPr>
          <w:p w14:paraId="49165B1B">
            <w:pPr>
              <w:spacing w:line="360" w:lineRule="auto"/>
              <w:jc w:val="center"/>
              <w:rPr>
                <w:rFonts w:hint="eastAsia" w:cs="宋体"/>
                <w:sz w:val="24"/>
              </w:rPr>
            </w:pPr>
            <w:r>
              <w:rPr>
                <w:rFonts w:hint="eastAsia" w:cs="宋体"/>
                <w:sz w:val="24"/>
              </w:rPr>
              <w:t>套</w:t>
            </w:r>
          </w:p>
        </w:tc>
        <w:tc>
          <w:tcPr>
            <w:tcW w:w="1437" w:type="pct"/>
            <w:vAlign w:val="center"/>
          </w:tcPr>
          <w:p w14:paraId="79B1E3B6">
            <w:pPr>
              <w:spacing w:line="360" w:lineRule="auto"/>
              <w:jc w:val="center"/>
              <w:rPr>
                <w:rFonts w:hint="eastAsia" w:cs="宋体"/>
                <w:sz w:val="24"/>
              </w:rPr>
            </w:pPr>
            <w:r>
              <w:rPr>
                <w:rFonts w:hint="eastAsia" w:cs="宋体"/>
                <w:sz w:val="24"/>
              </w:rPr>
              <w:t>6</w:t>
            </w:r>
          </w:p>
        </w:tc>
      </w:tr>
      <w:tr w14:paraId="5EE7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2FDCB5EC">
            <w:pPr>
              <w:spacing w:line="360" w:lineRule="auto"/>
              <w:jc w:val="center"/>
              <w:rPr>
                <w:rFonts w:hint="eastAsia" w:cs="宋体"/>
                <w:sz w:val="24"/>
              </w:rPr>
            </w:pPr>
            <w:r>
              <w:rPr>
                <w:rFonts w:hint="eastAsia" w:cs="宋体"/>
                <w:sz w:val="24"/>
              </w:rPr>
              <w:t>3</w:t>
            </w:r>
          </w:p>
        </w:tc>
        <w:tc>
          <w:tcPr>
            <w:tcW w:w="1898" w:type="pct"/>
            <w:vAlign w:val="center"/>
          </w:tcPr>
          <w:p w14:paraId="413BE504">
            <w:pPr>
              <w:spacing w:line="360" w:lineRule="auto"/>
              <w:jc w:val="center"/>
              <w:rPr>
                <w:rFonts w:hint="eastAsia" w:cs="宋体"/>
                <w:sz w:val="24"/>
              </w:rPr>
            </w:pPr>
            <w:r>
              <w:rPr>
                <w:rFonts w:hint="eastAsia" w:cs="宋体"/>
                <w:sz w:val="24"/>
              </w:rPr>
              <w:t>切割锯套装</w:t>
            </w:r>
          </w:p>
        </w:tc>
        <w:tc>
          <w:tcPr>
            <w:tcW w:w="1011" w:type="pct"/>
            <w:vAlign w:val="center"/>
          </w:tcPr>
          <w:p w14:paraId="31CDB2D4">
            <w:pPr>
              <w:spacing w:line="360" w:lineRule="auto"/>
              <w:jc w:val="center"/>
              <w:rPr>
                <w:rFonts w:hint="eastAsia" w:cs="宋体"/>
                <w:sz w:val="24"/>
              </w:rPr>
            </w:pPr>
            <w:r>
              <w:rPr>
                <w:rFonts w:hint="eastAsia" w:cs="宋体"/>
                <w:sz w:val="24"/>
              </w:rPr>
              <w:t>套</w:t>
            </w:r>
          </w:p>
        </w:tc>
        <w:tc>
          <w:tcPr>
            <w:tcW w:w="1437" w:type="pct"/>
            <w:vAlign w:val="center"/>
          </w:tcPr>
          <w:p w14:paraId="3B5249D4">
            <w:pPr>
              <w:spacing w:line="360" w:lineRule="auto"/>
              <w:jc w:val="center"/>
              <w:rPr>
                <w:rFonts w:hint="eastAsia" w:cs="宋体"/>
                <w:sz w:val="24"/>
              </w:rPr>
            </w:pPr>
            <w:r>
              <w:rPr>
                <w:rFonts w:hint="eastAsia" w:cs="宋体"/>
                <w:sz w:val="24"/>
              </w:rPr>
              <w:t>11</w:t>
            </w:r>
          </w:p>
        </w:tc>
      </w:tr>
      <w:tr w14:paraId="6FE2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6531D066">
            <w:pPr>
              <w:spacing w:line="360" w:lineRule="auto"/>
              <w:jc w:val="center"/>
              <w:rPr>
                <w:rFonts w:hint="eastAsia" w:cs="宋体"/>
                <w:sz w:val="24"/>
              </w:rPr>
            </w:pPr>
            <w:r>
              <w:rPr>
                <w:rFonts w:hint="eastAsia" w:cs="宋体"/>
                <w:sz w:val="24"/>
              </w:rPr>
              <w:t>4</w:t>
            </w:r>
          </w:p>
        </w:tc>
        <w:tc>
          <w:tcPr>
            <w:tcW w:w="1898" w:type="pct"/>
            <w:vAlign w:val="center"/>
          </w:tcPr>
          <w:p w14:paraId="4314D283">
            <w:pPr>
              <w:spacing w:line="360" w:lineRule="auto"/>
              <w:jc w:val="center"/>
              <w:rPr>
                <w:rFonts w:hint="eastAsia" w:cs="宋体"/>
                <w:sz w:val="24"/>
              </w:rPr>
            </w:pPr>
            <w:r>
              <w:rPr>
                <w:rFonts w:hint="eastAsia" w:cs="宋体"/>
                <w:sz w:val="24"/>
              </w:rPr>
              <w:t>绳索救援套装</w:t>
            </w:r>
          </w:p>
        </w:tc>
        <w:tc>
          <w:tcPr>
            <w:tcW w:w="1011" w:type="pct"/>
            <w:vAlign w:val="center"/>
          </w:tcPr>
          <w:p w14:paraId="10DCD64A">
            <w:pPr>
              <w:spacing w:line="360" w:lineRule="auto"/>
              <w:jc w:val="center"/>
              <w:rPr>
                <w:rFonts w:hint="eastAsia" w:cs="宋体"/>
                <w:sz w:val="24"/>
              </w:rPr>
            </w:pPr>
            <w:r>
              <w:rPr>
                <w:rFonts w:hint="eastAsia" w:cs="宋体"/>
                <w:sz w:val="24"/>
              </w:rPr>
              <w:t>套</w:t>
            </w:r>
          </w:p>
        </w:tc>
        <w:tc>
          <w:tcPr>
            <w:tcW w:w="1437" w:type="pct"/>
            <w:vAlign w:val="center"/>
          </w:tcPr>
          <w:p w14:paraId="0315A18A">
            <w:pPr>
              <w:spacing w:line="360" w:lineRule="auto"/>
              <w:jc w:val="center"/>
              <w:rPr>
                <w:rFonts w:hint="eastAsia" w:cs="宋体"/>
                <w:sz w:val="24"/>
              </w:rPr>
            </w:pPr>
            <w:r>
              <w:rPr>
                <w:rFonts w:hint="eastAsia" w:cs="宋体"/>
                <w:sz w:val="24"/>
              </w:rPr>
              <w:t>2</w:t>
            </w:r>
          </w:p>
        </w:tc>
      </w:tr>
      <w:tr w14:paraId="0D8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6C77845F">
            <w:pPr>
              <w:spacing w:line="360" w:lineRule="auto"/>
              <w:jc w:val="center"/>
              <w:rPr>
                <w:rFonts w:hint="eastAsia" w:cs="宋体"/>
                <w:sz w:val="24"/>
              </w:rPr>
            </w:pPr>
            <w:r>
              <w:rPr>
                <w:rFonts w:hint="eastAsia" w:cs="宋体"/>
                <w:sz w:val="24"/>
              </w:rPr>
              <w:t>5</w:t>
            </w:r>
          </w:p>
        </w:tc>
        <w:tc>
          <w:tcPr>
            <w:tcW w:w="1898" w:type="pct"/>
            <w:vAlign w:val="center"/>
          </w:tcPr>
          <w:p w14:paraId="401E2088">
            <w:pPr>
              <w:spacing w:line="360" w:lineRule="auto"/>
              <w:jc w:val="center"/>
              <w:rPr>
                <w:rFonts w:hint="eastAsia" w:cs="宋体"/>
                <w:sz w:val="24"/>
              </w:rPr>
            </w:pPr>
            <w:r>
              <w:rPr>
                <w:rFonts w:hint="eastAsia" w:cs="宋体"/>
                <w:sz w:val="24"/>
              </w:rPr>
              <w:t>手持钢筋速断器</w:t>
            </w:r>
          </w:p>
        </w:tc>
        <w:tc>
          <w:tcPr>
            <w:tcW w:w="1011" w:type="pct"/>
            <w:vAlign w:val="center"/>
          </w:tcPr>
          <w:p w14:paraId="5ED2CA29">
            <w:pPr>
              <w:spacing w:line="360" w:lineRule="auto"/>
              <w:jc w:val="center"/>
              <w:rPr>
                <w:rFonts w:hint="eastAsia" w:cs="宋体"/>
                <w:sz w:val="24"/>
              </w:rPr>
            </w:pPr>
            <w:r>
              <w:rPr>
                <w:rFonts w:hint="eastAsia" w:cs="宋体"/>
                <w:sz w:val="24"/>
              </w:rPr>
              <w:t>套</w:t>
            </w:r>
          </w:p>
        </w:tc>
        <w:tc>
          <w:tcPr>
            <w:tcW w:w="1437" w:type="pct"/>
            <w:vAlign w:val="center"/>
          </w:tcPr>
          <w:p w14:paraId="57A26F0B">
            <w:pPr>
              <w:spacing w:line="360" w:lineRule="auto"/>
              <w:jc w:val="center"/>
              <w:rPr>
                <w:rFonts w:hint="eastAsia" w:cs="宋体"/>
                <w:sz w:val="24"/>
              </w:rPr>
            </w:pPr>
            <w:r>
              <w:rPr>
                <w:rFonts w:hint="eastAsia" w:cs="宋体"/>
                <w:sz w:val="24"/>
              </w:rPr>
              <w:t>11</w:t>
            </w:r>
          </w:p>
        </w:tc>
      </w:tr>
      <w:tr w14:paraId="0F6E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248A4D9A">
            <w:pPr>
              <w:spacing w:line="360" w:lineRule="auto"/>
              <w:jc w:val="center"/>
              <w:rPr>
                <w:rFonts w:hint="eastAsia" w:cs="宋体"/>
                <w:sz w:val="24"/>
              </w:rPr>
            </w:pPr>
            <w:r>
              <w:rPr>
                <w:rFonts w:hint="eastAsia" w:cs="宋体"/>
                <w:sz w:val="24"/>
              </w:rPr>
              <w:t>6</w:t>
            </w:r>
          </w:p>
        </w:tc>
        <w:tc>
          <w:tcPr>
            <w:tcW w:w="1898" w:type="pct"/>
            <w:vAlign w:val="center"/>
          </w:tcPr>
          <w:p w14:paraId="68CFD600">
            <w:pPr>
              <w:widowControl/>
              <w:spacing w:line="360" w:lineRule="auto"/>
              <w:jc w:val="center"/>
              <w:rPr>
                <w:rFonts w:hint="eastAsia" w:cs="宋体"/>
                <w:sz w:val="24"/>
              </w:rPr>
            </w:pPr>
            <w:r>
              <w:rPr>
                <w:rFonts w:hint="eastAsia" w:cs="宋体"/>
                <w:sz w:val="24"/>
              </w:rPr>
              <w:t>液压破拆工具组</w:t>
            </w:r>
          </w:p>
        </w:tc>
        <w:tc>
          <w:tcPr>
            <w:tcW w:w="1011" w:type="pct"/>
            <w:vAlign w:val="center"/>
          </w:tcPr>
          <w:p w14:paraId="08519BAA">
            <w:pPr>
              <w:spacing w:line="360" w:lineRule="auto"/>
              <w:jc w:val="center"/>
              <w:rPr>
                <w:rFonts w:hint="eastAsia" w:cs="宋体"/>
                <w:sz w:val="24"/>
              </w:rPr>
            </w:pPr>
            <w:r>
              <w:rPr>
                <w:rFonts w:hint="eastAsia" w:cs="宋体"/>
                <w:sz w:val="24"/>
              </w:rPr>
              <w:t>套</w:t>
            </w:r>
          </w:p>
        </w:tc>
        <w:tc>
          <w:tcPr>
            <w:tcW w:w="1437" w:type="pct"/>
            <w:vAlign w:val="center"/>
          </w:tcPr>
          <w:p w14:paraId="3DCD7E2F">
            <w:pPr>
              <w:spacing w:line="360" w:lineRule="auto"/>
              <w:jc w:val="center"/>
              <w:rPr>
                <w:rFonts w:hint="eastAsia" w:cs="宋体"/>
                <w:sz w:val="24"/>
              </w:rPr>
            </w:pPr>
            <w:r>
              <w:rPr>
                <w:rFonts w:hint="eastAsia" w:cs="宋体"/>
                <w:sz w:val="24"/>
              </w:rPr>
              <w:t>4</w:t>
            </w:r>
          </w:p>
        </w:tc>
      </w:tr>
      <w:tr w14:paraId="051C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20CE2525">
            <w:pPr>
              <w:spacing w:line="360" w:lineRule="auto"/>
              <w:jc w:val="center"/>
              <w:rPr>
                <w:rFonts w:hint="eastAsia" w:cs="宋体"/>
                <w:sz w:val="24"/>
              </w:rPr>
            </w:pPr>
            <w:r>
              <w:rPr>
                <w:rFonts w:hint="eastAsia" w:cs="宋体"/>
                <w:sz w:val="24"/>
              </w:rPr>
              <w:t>7</w:t>
            </w:r>
          </w:p>
        </w:tc>
        <w:tc>
          <w:tcPr>
            <w:tcW w:w="1898" w:type="pct"/>
            <w:vAlign w:val="center"/>
          </w:tcPr>
          <w:p w14:paraId="1F73AE0C">
            <w:pPr>
              <w:spacing w:line="360" w:lineRule="auto"/>
              <w:jc w:val="center"/>
              <w:rPr>
                <w:rFonts w:hint="eastAsia" w:cs="宋体"/>
                <w:sz w:val="24"/>
              </w:rPr>
            </w:pPr>
            <w:r>
              <w:rPr>
                <w:rFonts w:hint="eastAsia" w:cs="宋体"/>
                <w:sz w:val="24"/>
              </w:rPr>
              <w:t>液压破碎机</w:t>
            </w:r>
          </w:p>
        </w:tc>
        <w:tc>
          <w:tcPr>
            <w:tcW w:w="1011" w:type="pct"/>
            <w:vAlign w:val="center"/>
          </w:tcPr>
          <w:p w14:paraId="33E8BF47">
            <w:pPr>
              <w:spacing w:line="360" w:lineRule="auto"/>
              <w:jc w:val="center"/>
              <w:rPr>
                <w:rFonts w:hint="eastAsia" w:cs="宋体"/>
                <w:sz w:val="24"/>
              </w:rPr>
            </w:pPr>
            <w:r>
              <w:rPr>
                <w:rFonts w:hint="eastAsia" w:cs="宋体"/>
                <w:sz w:val="24"/>
              </w:rPr>
              <w:t>套</w:t>
            </w:r>
          </w:p>
        </w:tc>
        <w:tc>
          <w:tcPr>
            <w:tcW w:w="1437" w:type="pct"/>
            <w:vAlign w:val="center"/>
          </w:tcPr>
          <w:p w14:paraId="02FED41F">
            <w:pPr>
              <w:spacing w:line="360" w:lineRule="auto"/>
              <w:jc w:val="center"/>
              <w:rPr>
                <w:rFonts w:hint="eastAsia" w:cs="宋体"/>
                <w:sz w:val="24"/>
              </w:rPr>
            </w:pPr>
            <w:r>
              <w:rPr>
                <w:rFonts w:hint="eastAsia" w:cs="宋体"/>
                <w:sz w:val="24"/>
              </w:rPr>
              <w:t>11</w:t>
            </w:r>
          </w:p>
        </w:tc>
      </w:tr>
      <w:tr w14:paraId="40BE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2EB97255">
            <w:pPr>
              <w:spacing w:line="360" w:lineRule="auto"/>
              <w:jc w:val="center"/>
              <w:rPr>
                <w:rFonts w:hint="eastAsia" w:cs="宋体"/>
                <w:sz w:val="24"/>
              </w:rPr>
            </w:pPr>
            <w:r>
              <w:rPr>
                <w:rFonts w:hint="eastAsia" w:cs="宋体"/>
                <w:sz w:val="24"/>
              </w:rPr>
              <w:t>8</w:t>
            </w:r>
          </w:p>
        </w:tc>
        <w:tc>
          <w:tcPr>
            <w:tcW w:w="1898" w:type="pct"/>
            <w:vAlign w:val="center"/>
          </w:tcPr>
          <w:p w14:paraId="1B63F3E6">
            <w:pPr>
              <w:spacing w:line="360" w:lineRule="auto"/>
              <w:jc w:val="center"/>
              <w:rPr>
                <w:rFonts w:hint="eastAsia" w:cs="宋体"/>
                <w:sz w:val="24"/>
              </w:rPr>
            </w:pPr>
            <w:r>
              <w:rPr>
                <w:rFonts w:hint="eastAsia" w:cs="宋体"/>
                <w:sz w:val="24"/>
              </w:rPr>
              <w:t>救援应急包</w:t>
            </w:r>
          </w:p>
        </w:tc>
        <w:tc>
          <w:tcPr>
            <w:tcW w:w="1011" w:type="pct"/>
            <w:vAlign w:val="center"/>
          </w:tcPr>
          <w:p w14:paraId="64907EA7">
            <w:pPr>
              <w:spacing w:line="360" w:lineRule="auto"/>
              <w:jc w:val="center"/>
              <w:rPr>
                <w:rFonts w:hint="eastAsia" w:cs="宋体"/>
                <w:sz w:val="24"/>
              </w:rPr>
            </w:pPr>
            <w:r>
              <w:rPr>
                <w:rFonts w:hint="eastAsia" w:cs="宋体"/>
                <w:sz w:val="24"/>
              </w:rPr>
              <w:t>套</w:t>
            </w:r>
          </w:p>
        </w:tc>
        <w:tc>
          <w:tcPr>
            <w:tcW w:w="1437" w:type="pct"/>
            <w:vAlign w:val="center"/>
          </w:tcPr>
          <w:p w14:paraId="1657C8CA">
            <w:pPr>
              <w:spacing w:line="360" w:lineRule="auto"/>
              <w:jc w:val="center"/>
              <w:rPr>
                <w:rFonts w:hint="eastAsia" w:cs="宋体"/>
                <w:sz w:val="24"/>
              </w:rPr>
            </w:pPr>
            <w:r>
              <w:rPr>
                <w:rFonts w:hint="eastAsia" w:cs="宋体"/>
                <w:sz w:val="24"/>
              </w:rPr>
              <w:t>252</w:t>
            </w:r>
          </w:p>
        </w:tc>
      </w:tr>
      <w:tr w14:paraId="4501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pct"/>
            <w:vAlign w:val="center"/>
          </w:tcPr>
          <w:p w14:paraId="6E69EFDB">
            <w:pPr>
              <w:spacing w:line="360" w:lineRule="auto"/>
              <w:jc w:val="center"/>
              <w:rPr>
                <w:rFonts w:hint="eastAsia" w:cs="宋体"/>
                <w:sz w:val="24"/>
              </w:rPr>
            </w:pPr>
            <w:r>
              <w:rPr>
                <w:rFonts w:hint="eastAsia" w:cs="宋体"/>
                <w:sz w:val="24"/>
              </w:rPr>
              <w:t>9</w:t>
            </w:r>
          </w:p>
        </w:tc>
        <w:tc>
          <w:tcPr>
            <w:tcW w:w="1898" w:type="pct"/>
            <w:vAlign w:val="center"/>
          </w:tcPr>
          <w:p w14:paraId="712395D9">
            <w:pPr>
              <w:spacing w:line="360" w:lineRule="auto"/>
              <w:jc w:val="center"/>
              <w:rPr>
                <w:rFonts w:hint="eastAsia" w:cs="宋体"/>
                <w:sz w:val="24"/>
              </w:rPr>
            </w:pPr>
            <w:r>
              <w:rPr>
                <w:rFonts w:hint="eastAsia" w:cs="宋体"/>
                <w:sz w:val="24"/>
              </w:rPr>
              <w:t>多功能手提探照灯</w:t>
            </w:r>
          </w:p>
        </w:tc>
        <w:tc>
          <w:tcPr>
            <w:tcW w:w="1011" w:type="pct"/>
            <w:vAlign w:val="center"/>
          </w:tcPr>
          <w:p w14:paraId="7D38983E">
            <w:pPr>
              <w:spacing w:line="360" w:lineRule="auto"/>
              <w:jc w:val="center"/>
              <w:rPr>
                <w:rFonts w:hint="eastAsia" w:cs="宋体"/>
                <w:sz w:val="24"/>
              </w:rPr>
            </w:pPr>
            <w:r>
              <w:rPr>
                <w:rFonts w:hint="eastAsia" w:cs="宋体"/>
                <w:sz w:val="24"/>
              </w:rPr>
              <w:t>套</w:t>
            </w:r>
          </w:p>
        </w:tc>
        <w:tc>
          <w:tcPr>
            <w:tcW w:w="1437" w:type="pct"/>
            <w:vAlign w:val="center"/>
          </w:tcPr>
          <w:p w14:paraId="7F3590CF">
            <w:pPr>
              <w:spacing w:line="360" w:lineRule="auto"/>
              <w:jc w:val="center"/>
              <w:rPr>
                <w:rFonts w:hint="eastAsia" w:cs="宋体"/>
                <w:sz w:val="24"/>
              </w:rPr>
            </w:pPr>
            <w:r>
              <w:rPr>
                <w:rFonts w:hint="eastAsia" w:cs="宋体"/>
                <w:sz w:val="24"/>
              </w:rPr>
              <w:t>26</w:t>
            </w:r>
          </w:p>
        </w:tc>
      </w:tr>
    </w:tbl>
    <w:p w14:paraId="5EDA264D">
      <w:pPr>
        <w:spacing w:line="360" w:lineRule="auto"/>
        <w:jc w:val="center"/>
        <w:rPr>
          <w:rFonts w:hint="eastAsia" w:cs="宋体"/>
          <w:b/>
          <w:bCs/>
          <w:sz w:val="24"/>
        </w:rPr>
      </w:pPr>
    </w:p>
    <w:p w14:paraId="71FC491D">
      <w:pPr>
        <w:spacing w:line="360" w:lineRule="auto"/>
        <w:jc w:val="center"/>
        <w:rPr>
          <w:rFonts w:hint="eastAsia" w:cs="宋体"/>
          <w:b/>
          <w:bCs/>
          <w:sz w:val="24"/>
        </w:rPr>
      </w:pPr>
    </w:p>
    <w:p w14:paraId="768DC203">
      <w:pPr>
        <w:widowControl/>
        <w:jc w:val="left"/>
        <w:rPr>
          <w:rFonts w:hint="eastAsia" w:cs="宋体"/>
          <w:b/>
          <w:bCs/>
          <w:sz w:val="24"/>
        </w:rPr>
      </w:pPr>
      <w:r>
        <w:rPr>
          <w:rFonts w:hint="eastAsia" w:cs="宋体"/>
          <w:b/>
          <w:bCs/>
          <w:sz w:val="24"/>
        </w:rPr>
        <w:br w:type="page"/>
      </w:r>
    </w:p>
    <w:p w14:paraId="3758DD42">
      <w:pPr>
        <w:spacing w:line="360" w:lineRule="auto"/>
        <w:rPr>
          <w:rFonts w:hint="eastAsia" w:cs="宋体"/>
          <w:b/>
          <w:bCs/>
          <w:sz w:val="24"/>
        </w:rPr>
      </w:pPr>
      <w:r>
        <w:rPr>
          <w:rFonts w:hint="eastAsia" w:cs="宋体"/>
          <w:b/>
          <w:bCs/>
          <w:sz w:val="24"/>
        </w:rPr>
        <w:t>核心产品：救援应急包</w:t>
      </w:r>
    </w:p>
    <w:p w14:paraId="672D03AB">
      <w:pPr>
        <w:spacing w:line="360" w:lineRule="auto"/>
        <w:rPr>
          <w:rFonts w:hint="eastAsia" w:cs="宋体"/>
          <w:b/>
          <w:bCs/>
          <w:sz w:val="24"/>
        </w:rPr>
      </w:pPr>
    </w:p>
    <w:p w14:paraId="44F29708">
      <w:pPr>
        <w:spacing w:line="360" w:lineRule="auto"/>
        <w:rPr>
          <w:rFonts w:hint="eastAsia" w:cs="宋体"/>
          <w:b/>
          <w:bCs/>
          <w:sz w:val="24"/>
        </w:rPr>
      </w:pPr>
      <w:r>
        <w:rPr>
          <w:rFonts w:hint="eastAsia" w:cs="宋体"/>
          <w:b/>
          <w:bCs/>
          <w:sz w:val="24"/>
        </w:rPr>
        <w:t>技术要求：</w:t>
      </w:r>
    </w:p>
    <w:p w14:paraId="2998D491">
      <w:pPr>
        <w:pStyle w:val="120"/>
        <w:spacing w:line="360" w:lineRule="auto"/>
        <w:ind w:firstLine="0" w:firstLineChars="0"/>
        <w:rPr>
          <w:rFonts w:hint="eastAsia" w:cs="宋体"/>
          <w:b/>
          <w:bCs/>
          <w:sz w:val="24"/>
          <w:szCs w:val="24"/>
          <w14:ligatures w14:val="standardContextual"/>
        </w:rPr>
      </w:pPr>
      <w:r>
        <w:rPr>
          <w:rFonts w:hint="eastAsia" w:cs="宋体"/>
          <w:b/>
          <w:bCs/>
          <w:sz w:val="24"/>
          <w:szCs w:val="24"/>
          <w14:ligatures w14:val="standardContextual"/>
        </w:rPr>
        <w:t>一、电动剪扩钳</w:t>
      </w:r>
    </w:p>
    <w:p w14:paraId="671F7D2A">
      <w:pPr>
        <w:spacing w:line="360" w:lineRule="auto"/>
        <w:rPr>
          <w:rFonts w:hint="eastAsia" w:cs="宋体"/>
          <w:b/>
          <w:bCs/>
          <w:sz w:val="24"/>
        </w:rPr>
      </w:pPr>
      <w:r>
        <w:rPr>
          <w:rFonts w:hint="eastAsia" w:cs="宋体"/>
          <w:b/>
          <w:bCs/>
          <w:sz w:val="24"/>
        </w:rPr>
        <w:t>1.电动破拆工具组，每套须含电动剪切器、电动扩张器、电动剪扩器、电动撑顶器各1件。</w:t>
      </w:r>
    </w:p>
    <w:p w14:paraId="3E11A0D4">
      <w:pPr>
        <w:spacing w:line="360" w:lineRule="auto"/>
        <w:rPr>
          <w:rFonts w:hint="eastAsia" w:cs="宋体"/>
          <w:sz w:val="24"/>
        </w:rPr>
      </w:pPr>
      <w:r>
        <w:rPr>
          <w:rFonts w:hint="eastAsia" w:cs="宋体"/>
          <w:sz w:val="24"/>
        </w:rPr>
        <w:t>▲2.一键式开关，无需外接动力源和油管。所有电动工具间的电池、充电器和电源线附件通用，可互换。具备电量显示功能。</w:t>
      </w:r>
    </w:p>
    <w:p w14:paraId="4553C66C">
      <w:pPr>
        <w:spacing w:line="360" w:lineRule="auto"/>
        <w:rPr>
          <w:rFonts w:hint="eastAsia" w:cs="宋体"/>
          <w:b/>
          <w:bCs/>
          <w:sz w:val="24"/>
        </w:rPr>
      </w:pPr>
      <w:r>
        <w:rPr>
          <w:rFonts w:hint="eastAsia" w:cs="宋体"/>
          <w:b/>
          <w:bCs/>
          <w:sz w:val="24"/>
        </w:rPr>
        <w:t>3.电动剪切器：</w:t>
      </w:r>
    </w:p>
    <w:p w14:paraId="39EFFC2B">
      <w:pPr>
        <w:spacing w:line="360" w:lineRule="auto"/>
        <w:rPr>
          <w:rFonts w:hint="eastAsia" w:cs="宋体"/>
          <w:sz w:val="24"/>
        </w:rPr>
      </w:pPr>
      <w:r>
        <w:rPr>
          <w:rFonts w:hint="eastAsia" w:cs="宋体"/>
          <w:sz w:val="24"/>
        </w:rPr>
        <w:t>▲3.1最大剪断力≥650kN,剪切圆钢直径≥36mm,最大开口距离≥160mm。</w:t>
      </w:r>
    </w:p>
    <w:p w14:paraId="46A9DCC8">
      <w:pPr>
        <w:spacing w:line="360" w:lineRule="auto"/>
        <w:rPr>
          <w:rFonts w:hint="eastAsia" w:cs="宋体"/>
          <w:sz w:val="24"/>
        </w:rPr>
      </w:pPr>
      <w:r>
        <w:rPr>
          <w:rFonts w:hint="eastAsia" w:cs="宋体"/>
          <w:sz w:val="24"/>
        </w:rPr>
        <w:t>3.2重量≤20kg，</w:t>
      </w:r>
    </w:p>
    <w:p w14:paraId="7D87B25A">
      <w:pPr>
        <w:spacing w:line="360" w:lineRule="auto"/>
        <w:rPr>
          <w:rFonts w:hint="eastAsia" w:cs="宋体"/>
          <w:sz w:val="24"/>
        </w:rPr>
      </w:pPr>
      <w:r>
        <w:rPr>
          <w:rFonts w:hint="eastAsia" w:cs="宋体"/>
          <w:sz w:val="24"/>
        </w:rPr>
        <w:t>3.3配原装电池2块，充电器1套，包装箱（包）1个。</w:t>
      </w:r>
    </w:p>
    <w:p w14:paraId="59D234C2">
      <w:pPr>
        <w:spacing w:line="360" w:lineRule="auto"/>
        <w:rPr>
          <w:rFonts w:hint="eastAsia" w:cs="宋体"/>
          <w:b/>
          <w:bCs/>
          <w:sz w:val="24"/>
        </w:rPr>
      </w:pPr>
      <w:r>
        <w:rPr>
          <w:rFonts w:hint="eastAsia" w:cs="宋体"/>
          <w:b/>
          <w:bCs/>
          <w:sz w:val="24"/>
        </w:rPr>
        <w:t>4. 电动扩张器：</w:t>
      </w:r>
    </w:p>
    <w:p w14:paraId="703EDF4C">
      <w:pPr>
        <w:spacing w:line="360" w:lineRule="auto"/>
        <w:rPr>
          <w:rFonts w:hint="eastAsia" w:cs="宋体"/>
          <w:sz w:val="24"/>
        </w:rPr>
      </w:pPr>
      <w:r>
        <w:rPr>
          <w:rFonts w:hint="eastAsia" w:cs="宋体"/>
          <w:sz w:val="24"/>
        </w:rPr>
        <w:t>▲4.1扩张力≥80kN，最大扩张距离≥730mm，</w:t>
      </w:r>
    </w:p>
    <w:p w14:paraId="37096B3C">
      <w:pPr>
        <w:spacing w:line="360" w:lineRule="auto"/>
        <w:rPr>
          <w:rFonts w:hint="eastAsia" w:cs="宋体"/>
          <w:sz w:val="24"/>
        </w:rPr>
      </w:pPr>
      <w:r>
        <w:rPr>
          <w:rFonts w:hint="eastAsia" w:cs="宋体"/>
          <w:sz w:val="24"/>
        </w:rPr>
        <w:t>4.2重量≤22kg。</w:t>
      </w:r>
    </w:p>
    <w:p w14:paraId="7F63A3C0">
      <w:pPr>
        <w:spacing w:line="360" w:lineRule="auto"/>
        <w:rPr>
          <w:rFonts w:hint="eastAsia" w:cs="宋体"/>
          <w:sz w:val="24"/>
        </w:rPr>
      </w:pPr>
      <w:r>
        <w:rPr>
          <w:rFonts w:hint="eastAsia" w:cs="宋体"/>
          <w:sz w:val="24"/>
        </w:rPr>
        <w:t>4.3配原装电池2块，充电器1套，包装箱（包）1个。</w:t>
      </w:r>
    </w:p>
    <w:p w14:paraId="2C8DFD7A">
      <w:pPr>
        <w:spacing w:line="360" w:lineRule="auto"/>
        <w:rPr>
          <w:rFonts w:hint="eastAsia" w:cs="宋体"/>
          <w:b/>
          <w:bCs/>
          <w:sz w:val="24"/>
        </w:rPr>
      </w:pPr>
      <w:r>
        <w:rPr>
          <w:rFonts w:hint="eastAsia" w:cs="宋体"/>
          <w:b/>
          <w:bCs/>
          <w:sz w:val="24"/>
        </w:rPr>
        <w:t>5、电动剪扩器：</w:t>
      </w:r>
    </w:p>
    <w:p w14:paraId="5E420D8E">
      <w:pPr>
        <w:spacing w:line="360" w:lineRule="auto"/>
        <w:rPr>
          <w:rFonts w:hint="eastAsia" w:cs="宋体"/>
          <w:sz w:val="24"/>
        </w:rPr>
      </w:pPr>
      <w:r>
        <w:rPr>
          <w:rFonts w:hint="eastAsia" w:cs="宋体"/>
          <w:sz w:val="24"/>
        </w:rPr>
        <w:t>▲5.1剪切圆钢直径≥35mm，剪切钢板厚度16mm</w:t>
      </w:r>
    </w:p>
    <w:p w14:paraId="270EF16E">
      <w:pPr>
        <w:spacing w:line="360" w:lineRule="auto"/>
        <w:rPr>
          <w:rFonts w:hint="eastAsia" w:cs="宋体"/>
          <w:sz w:val="24"/>
        </w:rPr>
      </w:pPr>
      <w:r>
        <w:rPr>
          <w:rFonts w:hint="eastAsia" w:cs="宋体"/>
          <w:sz w:val="24"/>
        </w:rPr>
        <w:t>▲5.2扩张力  ≥85KN</w:t>
      </w:r>
    </w:p>
    <w:p w14:paraId="0350D192">
      <w:pPr>
        <w:spacing w:line="360" w:lineRule="auto"/>
        <w:rPr>
          <w:rFonts w:hint="eastAsia" w:cs="宋体"/>
          <w:sz w:val="24"/>
        </w:rPr>
      </w:pPr>
      <w:r>
        <w:rPr>
          <w:rFonts w:hint="eastAsia" w:cs="宋体"/>
          <w:sz w:val="24"/>
        </w:rPr>
        <w:t>5.3重量≤21kg</w:t>
      </w:r>
    </w:p>
    <w:p w14:paraId="4E8481E4">
      <w:pPr>
        <w:spacing w:line="360" w:lineRule="auto"/>
        <w:rPr>
          <w:rFonts w:hint="eastAsia" w:cs="宋体"/>
          <w:sz w:val="24"/>
        </w:rPr>
      </w:pPr>
      <w:r>
        <w:rPr>
          <w:rFonts w:hint="eastAsia" w:cs="宋体"/>
          <w:sz w:val="24"/>
        </w:rPr>
        <w:t>5.4配原装电池2块，充电器1套，包装箱（包）1个。</w:t>
      </w:r>
    </w:p>
    <w:p w14:paraId="4C77D5FB">
      <w:pPr>
        <w:spacing w:line="360" w:lineRule="auto"/>
        <w:rPr>
          <w:rFonts w:hint="eastAsia" w:cs="宋体"/>
          <w:b/>
          <w:bCs/>
          <w:sz w:val="24"/>
        </w:rPr>
      </w:pPr>
      <w:r>
        <w:rPr>
          <w:rFonts w:hint="eastAsia" w:cs="宋体"/>
          <w:b/>
          <w:bCs/>
          <w:sz w:val="24"/>
        </w:rPr>
        <w:t>6.电动撑顶器：</w:t>
      </w:r>
    </w:p>
    <w:p w14:paraId="2C58D9F9">
      <w:pPr>
        <w:spacing w:line="360" w:lineRule="auto"/>
        <w:rPr>
          <w:rFonts w:hint="eastAsia" w:cs="宋体"/>
          <w:sz w:val="24"/>
        </w:rPr>
      </w:pPr>
      <w:r>
        <w:rPr>
          <w:rFonts w:hint="eastAsia" w:cs="宋体"/>
          <w:sz w:val="24"/>
        </w:rPr>
        <w:t>6.1撑顶长度≥950mm，</w:t>
      </w:r>
    </w:p>
    <w:p w14:paraId="67AEEC7D">
      <w:pPr>
        <w:spacing w:line="360" w:lineRule="auto"/>
        <w:rPr>
          <w:rFonts w:hint="eastAsia" w:cs="宋体"/>
          <w:sz w:val="24"/>
        </w:rPr>
      </w:pPr>
      <w:r>
        <w:rPr>
          <w:rFonts w:hint="eastAsia" w:cs="宋体"/>
          <w:sz w:val="24"/>
        </w:rPr>
        <w:t>▲6.2撑顶力≥125KN，</w:t>
      </w:r>
    </w:p>
    <w:p w14:paraId="3CB358BE">
      <w:pPr>
        <w:spacing w:line="360" w:lineRule="auto"/>
        <w:rPr>
          <w:rFonts w:hint="eastAsia" w:cs="宋体"/>
          <w:sz w:val="24"/>
        </w:rPr>
      </w:pPr>
      <w:r>
        <w:rPr>
          <w:rFonts w:hint="eastAsia" w:cs="宋体"/>
          <w:sz w:val="24"/>
        </w:rPr>
        <w:t>6.3闭合长度≤600mm，</w:t>
      </w:r>
    </w:p>
    <w:p w14:paraId="476048FD">
      <w:pPr>
        <w:spacing w:line="360" w:lineRule="auto"/>
        <w:rPr>
          <w:rFonts w:hint="eastAsia" w:cs="宋体"/>
          <w:sz w:val="24"/>
        </w:rPr>
      </w:pPr>
      <w:r>
        <w:rPr>
          <w:rFonts w:hint="eastAsia" w:cs="宋体"/>
          <w:sz w:val="24"/>
        </w:rPr>
        <w:t>6.4重量≤19kg。</w:t>
      </w:r>
    </w:p>
    <w:p w14:paraId="53DCF530">
      <w:pPr>
        <w:spacing w:line="360" w:lineRule="auto"/>
        <w:rPr>
          <w:rFonts w:hint="eastAsia" w:cs="宋体"/>
          <w:sz w:val="24"/>
        </w:rPr>
      </w:pPr>
      <w:r>
        <w:rPr>
          <w:rFonts w:hint="eastAsia" w:cs="宋体"/>
          <w:sz w:val="24"/>
        </w:rPr>
        <w:t>6.5配原装电池2块，充电器1套，包装箱（包）1个。</w:t>
      </w:r>
    </w:p>
    <w:p w14:paraId="5EB72620">
      <w:pPr>
        <w:spacing w:line="360" w:lineRule="auto"/>
        <w:rPr>
          <w:rFonts w:hint="eastAsia" w:cs="宋体"/>
          <w:sz w:val="24"/>
        </w:rPr>
      </w:pPr>
      <w:r>
        <w:rPr>
          <w:rFonts w:hint="eastAsia" w:cs="宋体"/>
          <w:sz w:val="24"/>
        </w:rPr>
        <w:t>▲7.须在投标文件中提供产品技术资料（包含但不限于配置方案、产品介绍、性能参数、检测报告等）作为技术评判的依据。</w:t>
      </w:r>
    </w:p>
    <w:p w14:paraId="333E84D9">
      <w:pPr>
        <w:spacing w:line="360" w:lineRule="auto"/>
        <w:rPr>
          <w:rFonts w:hint="eastAsia" w:cs="宋体"/>
          <w:sz w:val="24"/>
        </w:rPr>
      </w:pPr>
    </w:p>
    <w:p w14:paraId="007B4FE7">
      <w:pPr>
        <w:spacing w:line="360" w:lineRule="auto"/>
        <w:rPr>
          <w:rFonts w:hint="eastAsia" w:cs="宋体"/>
          <w:sz w:val="24"/>
        </w:rPr>
      </w:pPr>
    </w:p>
    <w:p w14:paraId="15B506F2">
      <w:pPr>
        <w:spacing w:line="360" w:lineRule="auto"/>
        <w:rPr>
          <w:rFonts w:hint="eastAsia" w:cs="宋体"/>
          <w:sz w:val="24"/>
        </w:rPr>
      </w:pPr>
    </w:p>
    <w:p w14:paraId="5CD823F7">
      <w:pPr>
        <w:pStyle w:val="120"/>
        <w:spacing w:line="360" w:lineRule="auto"/>
        <w:ind w:firstLine="0" w:firstLineChars="0"/>
        <w:rPr>
          <w:rFonts w:hint="eastAsia" w:cs="宋体"/>
          <w:b/>
          <w:bCs/>
          <w:sz w:val="24"/>
          <w:szCs w:val="24"/>
          <w14:ligatures w14:val="standardContextual"/>
        </w:rPr>
      </w:pPr>
      <w:r>
        <w:rPr>
          <w:rFonts w:hint="eastAsia" w:cs="宋体"/>
          <w:b/>
          <w:bCs/>
          <w:sz w:val="24"/>
          <w:szCs w:val="24"/>
          <w14:ligatures w14:val="standardContextual"/>
        </w:rPr>
        <w:t>二、高压起重气垫</w:t>
      </w:r>
    </w:p>
    <w:p w14:paraId="6AE8ACF5">
      <w:pPr>
        <w:spacing w:line="360" w:lineRule="auto"/>
        <w:rPr>
          <w:rFonts w:hint="eastAsia" w:cs="宋体"/>
          <w:sz w:val="24"/>
        </w:rPr>
      </w:pPr>
      <w:r>
        <w:rPr>
          <w:rFonts w:hint="eastAsia" w:cs="宋体"/>
          <w:sz w:val="24"/>
        </w:rPr>
        <w:t>1.满足《地震救援装备检测规程起重气垫系统》(YJ/T3-2011)，总体性能符合市场准入标准的要求，用于各种交通事故救援、地震等灾害救援、建筑物坍塌救援、有爆炸危险场合及崎岖不平地形救援。</w:t>
      </w:r>
    </w:p>
    <w:p w14:paraId="7B401CA6">
      <w:pPr>
        <w:spacing w:line="360" w:lineRule="auto"/>
        <w:rPr>
          <w:rFonts w:hint="eastAsia" w:cs="宋体"/>
          <w:sz w:val="24"/>
        </w:rPr>
      </w:pPr>
      <w:r>
        <w:rPr>
          <w:rFonts w:hint="eastAsia" w:cs="宋体"/>
          <w:sz w:val="24"/>
        </w:rPr>
        <w:t>2.每套设备须包括方形气垫9只和球形气垫1只，气垫操控组件1套，满足最小起重吨位≥3T，工作压力≥8bar</w:t>
      </w:r>
    </w:p>
    <w:p w14:paraId="65981100">
      <w:pPr>
        <w:spacing w:line="360" w:lineRule="auto"/>
        <w:rPr>
          <w:rFonts w:hint="eastAsia" w:cs="宋体"/>
          <w:sz w:val="24"/>
        </w:rPr>
      </w:pPr>
      <w:r>
        <w:rPr>
          <w:rFonts w:hint="eastAsia" w:cs="宋体"/>
          <w:sz w:val="24"/>
        </w:rPr>
        <w:t>技术要求:</w:t>
      </w:r>
    </w:p>
    <w:p w14:paraId="15D12137">
      <w:pPr>
        <w:spacing w:line="360" w:lineRule="auto"/>
        <w:rPr>
          <w:rFonts w:hint="eastAsia" w:cs="宋体"/>
          <w:b/>
          <w:bCs/>
          <w:sz w:val="24"/>
        </w:rPr>
      </w:pPr>
      <w:r>
        <w:rPr>
          <w:rFonts w:hint="eastAsia" w:cs="宋体"/>
          <w:b/>
          <w:bCs/>
          <w:sz w:val="24"/>
        </w:rPr>
        <w:t>小型方形平面起重气垫3只:</w:t>
      </w:r>
    </w:p>
    <w:p w14:paraId="12F40A42">
      <w:pPr>
        <w:spacing w:line="360" w:lineRule="auto"/>
        <w:rPr>
          <w:rFonts w:hint="eastAsia" w:cs="宋体"/>
          <w:sz w:val="24"/>
        </w:rPr>
      </w:pPr>
      <w:r>
        <w:rPr>
          <w:rFonts w:hint="eastAsia" w:cs="宋体"/>
          <w:sz w:val="24"/>
        </w:rPr>
        <w:t>气垫1最大举升力≥3T，外形尺寸≤250x250x25mm，最大举升高度≥12.5cm</w:t>
      </w:r>
    </w:p>
    <w:p w14:paraId="373A4032">
      <w:pPr>
        <w:spacing w:line="360" w:lineRule="auto"/>
        <w:rPr>
          <w:rFonts w:hint="eastAsia" w:cs="宋体"/>
          <w:sz w:val="24"/>
        </w:rPr>
      </w:pPr>
      <w:r>
        <w:rPr>
          <w:rFonts w:hint="eastAsia" w:cs="宋体"/>
          <w:sz w:val="24"/>
        </w:rPr>
        <w:t>气垫2最大举升力≥6T，外形尺寸≤300x300x25mm，最大举升高度≥16.5cm</w:t>
      </w:r>
    </w:p>
    <w:p w14:paraId="50BD9D2C">
      <w:pPr>
        <w:spacing w:line="360" w:lineRule="auto"/>
        <w:rPr>
          <w:rFonts w:hint="eastAsia" w:cs="宋体"/>
          <w:sz w:val="24"/>
        </w:rPr>
      </w:pPr>
      <w:r>
        <w:rPr>
          <w:rFonts w:hint="eastAsia" w:cs="宋体"/>
          <w:sz w:val="24"/>
        </w:rPr>
        <w:t>气垫3最大举升力≥8T，外形尺寸≤350x350x25mm，最大举升高度≥18.5cm</w:t>
      </w:r>
    </w:p>
    <w:p w14:paraId="1543871D">
      <w:pPr>
        <w:spacing w:line="360" w:lineRule="auto"/>
        <w:rPr>
          <w:rFonts w:hint="eastAsia" w:cs="宋体"/>
          <w:b/>
          <w:bCs/>
          <w:sz w:val="24"/>
        </w:rPr>
      </w:pPr>
      <w:r>
        <w:rPr>
          <w:rFonts w:hint="eastAsia" w:cs="宋体"/>
          <w:b/>
          <w:bCs/>
          <w:sz w:val="24"/>
        </w:rPr>
        <w:t>中型方形平面起重气垫3只:</w:t>
      </w:r>
    </w:p>
    <w:p w14:paraId="5AA32D1D">
      <w:pPr>
        <w:spacing w:line="360" w:lineRule="auto"/>
        <w:rPr>
          <w:rFonts w:hint="eastAsia" w:cs="宋体"/>
          <w:sz w:val="24"/>
        </w:rPr>
      </w:pPr>
      <w:r>
        <w:rPr>
          <w:rFonts w:hint="eastAsia" w:cs="宋体"/>
          <w:sz w:val="24"/>
        </w:rPr>
        <w:t>气垫4最大举升力≥14T，外形尺寸≤420x420x25mm，最大举升高度≥23cm</w:t>
      </w:r>
    </w:p>
    <w:p w14:paraId="4106999C">
      <w:pPr>
        <w:spacing w:line="360" w:lineRule="auto"/>
        <w:rPr>
          <w:rFonts w:hint="eastAsia" w:cs="宋体"/>
          <w:sz w:val="24"/>
        </w:rPr>
      </w:pPr>
      <w:r>
        <w:rPr>
          <w:rFonts w:hint="eastAsia" w:cs="宋体"/>
          <w:sz w:val="24"/>
        </w:rPr>
        <w:t>气垫5最大举升力≥16T，外形尺寸≤460x460x25mm，最大举升高度≥25cm</w:t>
      </w:r>
    </w:p>
    <w:p w14:paraId="353FDAFA">
      <w:pPr>
        <w:spacing w:line="360" w:lineRule="auto"/>
        <w:rPr>
          <w:rFonts w:hint="eastAsia" w:cs="宋体"/>
          <w:sz w:val="24"/>
        </w:rPr>
      </w:pPr>
      <w:r>
        <w:rPr>
          <w:rFonts w:hint="eastAsia" w:cs="宋体"/>
          <w:sz w:val="24"/>
        </w:rPr>
        <w:t>气垫6最大举升力≥18T，外形尺寸≤500x500x25mm，最大举升高度≥27cm</w:t>
      </w:r>
    </w:p>
    <w:p w14:paraId="6DC07279">
      <w:pPr>
        <w:spacing w:line="360" w:lineRule="auto"/>
        <w:rPr>
          <w:rFonts w:hint="eastAsia" w:cs="宋体"/>
          <w:b/>
          <w:bCs/>
          <w:sz w:val="24"/>
        </w:rPr>
      </w:pPr>
      <w:r>
        <w:rPr>
          <w:rFonts w:hint="eastAsia" w:cs="宋体"/>
          <w:b/>
          <w:bCs/>
          <w:sz w:val="24"/>
        </w:rPr>
        <w:t>大型方形平面起重气垫3只:</w:t>
      </w:r>
    </w:p>
    <w:p w14:paraId="0AF47B01">
      <w:pPr>
        <w:spacing w:line="360" w:lineRule="auto"/>
        <w:rPr>
          <w:rFonts w:hint="eastAsia" w:cs="宋体"/>
          <w:sz w:val="24"/>
        </w:rPr>
      </w:pPr>
      <w:r>
        <w:rPr>
          <w:rFonts w:hint="eastAsia" w:cs="宋体"/>
          <w:sz w:val="24"/>
        </w:rPr>
        <w:t>气垫7最大举升力≥30T，外形尺寸≤650x650x25mm，最大举升高度≥37cm</w:t>
      </w:r>
    </w:p>
    <w:p w14:paraId="601F9055">
      <w:pPr>
        <w:spacing w:line="360" w:lineRule="auto"/>
        <w:rPr>
          <w:rFonts w:hint="eastAsia" w:cs="宋体"/>
          <w:sz w:val="24"/>
        </w:rPr>
      </w:pPr>
      <w:r>
        <w:rPr>
          <w:rFonts w:hint="eastAsia" w:cs="宋体"/>
          <w:sz w:val="24"/>
        </w:rPr>
        <w:t>气垫8最大举升力≥40T，外形尺寸≤750x750x25mm，最大举升高度≥42cm</w:t>
      </w:r>
    </w:p>
    <w:p w14:paraId="35F0E4D8">
      <w:pPr>
        <w:spacing w:line="360" w:lineRule="auto"/>
        <w:rPr>
          <w:rFonts w:hint="eastAsia" w:cs="宋体"/>
          <w:sz w:val="24"/>
        </w:rPr>
      </w:pPr>
      <w:r>
        <w:rPr>
          <w:rFonts w:hint="eastAsia" w:cs="宋体"/>
          <w:sz w:val="24"/>
        </w:rPr>
        <w:t>气垫9最大举升力≥54T，外形尺寸≤860x860x25mm，最大举升高度≥50cm</w:t>
      </w:r>
    </w:p>
    <w:p w14:paraId="758815BF">
      <w:pPr>
        <w:spacing w:line="360" w:lineRule="auto"/>
        <w:rPr>
          <w:rFonts w:hint="eastAsia" w:cs="宋体"/>
          <w:b/>
          <w:bCs/>
          <w:sz w:val="24"/>
        </w:rPr>
      </w:pPr>
      <w:r>
        <w:rPr>
          <w:rFonts w:hint="eastAsia" w:cs="宋体"/>
          <w:b/>
          <w:bCs/>
          <w:sz w:val="24"/>
        </w:rPr>
        <w:t>球形起重气垫1只：</w:t>
      </w:r>
    </w:p>
    <w:p w14:paraId="00B73415">
      <w:pPr>
        <w:spacing w:line="360" w:lineRule="auto"/>
        <w:rPr>
          <w:rFonts w:hint="eastAsia" w:cs="宋体"/>
          <w:sz w:val="24"/>
        </w:rPr>
      </w:pPr>
      <w:r>
        <w:rPr>
          <w:rFonts w:hint="eastAsia" w:cs="宋体"/>
          <w:sz w:val="24"/>
        </w:rPr>
        <w:t>工作压力（MPa）≥1.3；</w:t>
      </w:r>
    </w:p>
    <w:p w14:paraId="0F55A821">
      <w:pPr>
        <w:spacing w:line="360" w:lineRule="auto"/>
        <w:rPr>
          <w:rFonts w:hint="eastAsia" w:cs="宋体"/>
          <w:sz w:val="24"/>
        </w:rPr>
      </w:pPr>
      <w:r>
        <w:rPr>
          <w:rFonts w:hint="eastAsia" w:cs="宋体"/>
          <w:sz w:val="24"/>
        </w:rPr>
        <w:t>最大举升力（T）≥32；</w:t>
      </w:r>
    </w:p>
    <w:p w14:paraId="641FAAB1">
      <w:pPr>
        <w:spacing w:line="360" w:lineRule="auto"/>
        <w:rPr>
          <w:rFonts w:hint="eastAsia" w:cs="宋体"/>
          <w:sz w:val="24"/>
        </w:rPr>
      </w:pPr>
      <w:r>
        <w:rPr>
          <w:rFonts w:hint="eastAsia" w:cs="宋体"/>
          <w:sz w:val="24"/>
        </w:rPr>
        <w:t>举升高度（cm）≥30；</w:t>
      </w:r>
    </w:p>
    <w:p w14:paraId="2DE43031">
      <w:pPr>
        <w:spacing w:line="360" w:lineRule="auto"/>
        <w:rPr>
          <w:rFonts w:hint="eastAsia" w:cs="宋体"/>
          <w:sz w:val="24"/>
        </w:rPr>
      </w:pPr>
      <w:r>
        <w:rPr>
          <w:rFonts w:hint="eastAsia" w:cs="宋体"/>
          <w:sz w:val="24"/>
        </w:rPr>
        <w:t>垫体厚度≤30mm</w:t>
      </w:r>
    </w:p>
    <w:p w14:paraId="2619888A">
      <w:pPr>
        <w:spacing w:line="360" w:lineRule="auto"/>
        <w:rPr>
          <w:rFonts w:hint="eastAsia" w:cs="宋体"/>
          <w:sz w:val="24"/>
        </w:rPr>
      </w:pPr>
      <w:r>
        <w:rPr>
          <w:rFonts w:hint="eastAsia" w:cs="宋体"/>
          <w:sz w:val="24"/>
        </w:rPr>
        <w:t>结构高度≤75mm</w:t>
      </w:r>
    </w:p>
    <w:p w14:paraId="3C97ED93">
      <w:pPr>
        <w:spacing w:line="360" w:lineRule="auto"/>
        <w:rPr>
          <w:rFonts w:hint="eastAsia" w:cs="宋体"/>
          <w:sz w:val="24"/>
        </w:rPr>
      </w:pPr>
      <w:r>
        <w:rPr>
          <w:rFonts w:hint="eastAsia" w:cs="宋体"/>
          <w:sz w:val="24"/>
        </w:rPr>
        <w:t>直径（cm）≤560；</w:t>
      </w:r>
    </w:p>
    <w:p w14:paraId="2B81F945">
      <w:pPr>
        <w:spacing w:line="360" w:lineRule="auto"/>
        <w:rPr>
          <w:rFonts w:hint="eastAsia" w:cs="宋体"/>
          <w:sz w:val="24"/>
        </w:rPr>
      </w:pPr>
      <w:r>
        <w:rPr>
          <w:rFonts w:hint="eastAsia" w:cs="宋体"/>
          <w:sz w:val="24"/>
        </w:rPr>
        <w:t>重量(kg)≤13；</w:t>
      </w:r>
    </w:p>
    <w:p w14:paraId="34448FE1">
      <w:pPr>
        <w:spacing w:line="360" w:lineRule="auto"/>
        <w:rPr>
          <w:rFonts w:hint="eastAsia" w:cs="宋体"/>
          <w:sz w:val="24"/>
        </w:rPr>
      </w:pPr>
      <w:r>
        <w:rPr>
          <w:rFonts w:hint="eastAsia" w:cs="宋体"/>
          <w:sz w:val="24"/>
        </w:rPr>
        <w:t>材料要求:由天然橡胶和增强型材料制成,，具备抗静电、抗裂耐磨、抗油、抗老化等和自熄灭特性，表层的特殊设计可提高在草地、泥沙等光滑地面上的抗滑性</w:t>
      </w:r>
    </w:p>
    <w:p w14:paraId="45506CFA">
      <w:pPr>
        <w:spacing w:line="360" w:lineRule="auto"/>
        <w:rPr>
          <w:rFonts w:hint="eastAsia" w:cs="宋体"/>
          <w:sz w:val="24"/>
        </w:rPr>
      </w:pPr>
    </w:p>
    <w:p w14:paraId="39717C2D">
      <w:pPr>
        <w:spacing w:line="360" w:lineRule="auto"/>
        <w:rPr>
          <w:rFonts w:hint="eastAsia" w:cs="宋体"/>
          <w:sz w:val="24"/>
        </w:rPr>
      </w:pPr>
      <w:r>
        <w:rPr>
          <w:rFonts w:hint="eastAsia" w:cs="宋体"/>
          <w:sz w:val="24"/>
        </w:rPr>
        <w:t>辅助配件:配备1具碳纤维高压气瓶≥6.8L,配备含气瓶阀、减压器、控制阀、高压软管快速接头的双控充气装置1套，带控制阀的截流管2根，铝合金箱多个。</w:t>
      </w:r>
    </w:p>
    <w:p w14:paraId="51B59D84">
      <w:pPr>
        <w:spacing w:line="360" w:lineRule="auto"/>
        <w:rPr>
          <w:rFonts w:hint="eastAsia" w:cs="宋体"/>
          <w:sz w:val="24"/>
        </w:rPr>
      </w:pPr>
      <w:r>
        <w:rPr>
          <w:rFonts w:hint="eastAsia" w:cs="宋体"/>
          <w:sz w:val="24"/>
        </w:rPr>
        <w:t>▲5.气垫爆破压力≥4.0Mpa,安全系数:4:1;</w:t>
      </w:r>
    </w:p>
    <w:p w14:paraId="3F68C29F">
      <w:pPr>
        <w:spacing w:line="360" w:lineRule="auto"/>
        <w:rPr>
          <w:rFonts w:hint="eastAsia" w:cs="宋体"/>
          <w:sz w:val="24"/>
        </w:rPr>
      </w:pPr>
      <w:r>
        <w:rPr>
          <w:rFonts w:hint="eastAsia" w:cs="宋体"/>
          <w:sz w:val="24"/>
        </w:rPr>
        <w:t>▲6.气垫抗穿刺性能：气垫经金属锥体在2KN作用力下穿刺试验，应无损伤；</w:t>
      </w:r>
    </w:p>
    <w:p w14:paraId="30FF164B">
      <w:pPr>
        <w:pStyle w:val="120"/>
        <w:spacing w:line="360" w:lineRule="auto"/>
        <w:ind w:firstLine="0" w:firstLineChars="0"/>
        <w:rPr>
          <w:rFonts w:hint="eastAsia" w:cs="宋体"/>
          <w:b/>
          <w:bCs/>
          <w:sz w:val="24"/>
          <w:szCs w:val="24"/>
          <w14:ligatures w14:val="standardContextual"/>
        </w:rPr>
      </w:pPr>
      <w:r>
        <w:rPr>
          <w:rFonts w:hint="eastAsia" w:cs="宋体"/>
          <w:sz w:val="24"/>
          <w:szCs w:val="24"/>
          <w14:ligatures w14:val="standardContextual"/>
        </w:rPr>
        <w:t>▲7.需提供第三方检测机构出具的检测报告。</w:t>
      </w:r>
    </w:p>
    <w:p w14:paraId="45070E7E">
      <w:pPr>
        <w:pStyle w:val="120"/>
        <w:spacing w:line="360" w:lineRule="auto"/>
        <w:ind w:firstLine="0" w:firstLineChars="0"/>
        <w:rPr>
          <w:rFonts w:hint="eastAsia" w:cs="宋体"/>
          <w:b/>
          <w:bCs/>
          <w:sz w:val="24"/>
          <w:szCs w:val="24"/>
          <w14:ligatures w14:val="standardContextual"/>
        </w:rPr>
      </w:pPr>
    </w:p>
    <w:p w14:paraId="3AC3CA0C">
      <w:pPr>
        <w:spacing w:line="360" w:lineRule="auto"/>
        <w:rPr>
          <w:rFonts w:hint="eastAsia" w:cs="宋体"/>
          <w:b/>
          <w:bCs/>
          <w:sz w:val="24"/>
          <w14:ligatures w14:val="standardContextual"/>
        </w:rPr>
      </w:pPr>
      <w:r>
        <w:rPr>
          <w:rFonts w:hint="eastAsia" w:cs="宋体"/>
          <w:b/>
          <w:bCs/>
          <w:sz w:val="24"/>
          <w14:ligatures w14:val="standardContextual"/>
        </w:rPr>
        <w:t>三、切割锯套装</w:t>
      </w:r>
    </w:p>
    <w:p w14:paraId="042AF2C6">
      <w:pPr>
        <w:spacing w:line="360" w:lineRule="auto"/>
        <w:rPr>
          <w:rFonts w:hint="eastAsia" w:cs="宋体"/>
          <w:sz w:val="24"/>
        </w:rPr>
      </w:pPr>
      <w:r>
        <w:rPr>
          <w:rFonts w:hint="eastAsia" w:cs="宋体"/>
          <w:sz w:val="24"/>
        </w:rPr>
        <w:t>1.产品应符合GB32460-2015消防应急救援装备破拆机具通用技术条件切割锯套装试验大纲。</w:t>
      </w:r>
    </w:p>
    <w:p w14:paraId="7EB0432F">
      <w:pPr>
        <w:spacing w:line="360" w:lineRule="auto"/>
        <w:rPr>
          <w:rFonts w:hint="eastAsia" w:cs="宋体"/>
          <w:sz w:val="24"/>
        </w:rPr>
      </w:pPr>
      <w:r>
        <w:rPr>
          <w:rFonts w:hint="eastAsia" w:cs="宋体"/>
          <w:sz w:val="24"/>
        </w:rPr>
        <w:t>2.破拆机具应标志清晰、内容正确，并有安全警示标识，外表面应光滑平整，无毛刺及加工缺陷，金属件表面应进行防腐蚀处理。</w:t>
      </w:r>
    </w:p>
    <w:p w14:paraId="4B0E5730">
      <w:pPr>
        <w:spacing w:line="360" w:lineRule="auto"/>
        <w:rPr>
          <w:rFonts w:hint="eastAsia" w:cs="宋体"/>
          <w:sz w:val="24"/>
        </w:rPr>
      </w:pPr>
      <w:r>
        <w:rPr>
          <w:rFonts w:hint="eastAsia" w:cs="宋体"/>
          <w:sz w:val="24"/>
        </w:rPr>
        <w:t>3.破拆机具应结构合理，操作简便、灵活。</w:t>
      </w:r>
    </w:p>
    <w:p w14:paraId="0033A2AF">
      <w:pPr>
        <w:spacing w:line="360" w:lineRule="auto"/>
        <w:rPr>
          <w:rFonts w:hint="eastAsia" w:cs="宋体"/>
          <w:sz w:val="24"/>
        </w:rPr>
      </w:pPr>
      <w:r>
        <w:rPr>
          <w:rFonts w:hint="eastAsia" w:cs="宋体"/>
          <w:sz w:val="24"/>
        </w:rPr>
        <w:t>4.破拆机具排气孔的排气射流方向不应喷射到操作者。</w:t>
      </w:r>
    </w:p>
    <w:p w14:paraId="57F4C9AC">
      <w:pPr>
        <w:spacing w:line="360" w:lineRule="auto"/>
        <w:rPr>
          <w:rFonts w:hint="eastAsia" w:cs="宋体"/>
          <w:sz w:val="24"/>
        </w:rPr>
      </w:pPr>
      <w:r>
        <w:rPr>
          <w:rFonts w:hint="eastAsia" w:cs="宋体"/>
          <w:sz w:val="24"/>
        </w:rPr>
        <w:t>5.防护罩功能试验:</w:t>
      </w:r>
    </w:p>
    <w:p w14:paraId="64E9AADE">
      <w:pPr>
        <w:spacing w:line="360" w:lineRule="auto"/>
        <w:rPr>
          <w:rFonts w:hint="eastAsia" w:cs="宋体"/>
          <w:sz w:val="24"/>
        </w:rPr>
      </w:pPr>
      <w:r>
        <w:rPr>
          <w:rFonts w:hint="eastAsia" w:cs="宋体"/>
          <w:sz w:val="24"/>
        </w:rPr>
        <w:t>5.1破拆机具的锯片应设置防护罩。</w:t>
      </w:r>
    </w:p>
    <w:p w14:paraId="734CF7A3">
      <w:pPr>
        <w:spacing w:line="360" w:lineRule="auto"/>
        <w:rPr>
          <w:rFonts w:hint="eastAsia" w:cs="宋体"/>
          <w:sz w:val="24"/>
        </w:rPr>
      </w:pPr>
      <w:r>
        <w:rPr>
          <w:rFonts w:hint="eastAsia" w:cs="宋体"/>
          <w:sz w:val="24"/>
        </w:rPr>
        <w:t>5.2防护罩应具有防止在正常工作时碎屑直接溅落于人身和机身的功能。</w:t>
      </w:r>
    </w:p>
    <w:p w14:paraId="6AC5251E">
      <w:pPr>
        <w:numPr>
          <w:ilvl w:val="0"/>
          <w:numId w:val="6"/>
        </w:numPr>
        <w:spacing w:line="360" w:lineRule="auto"/>
        <w:rPr>
          <w:rFonts w:hint="eastAsia" w:cs="宋体"/>
          <w:b/>
          <w:bCs/>
          <w:sz w:val="24"/>
        </w:rPr>
      </w:pPr>
      <w:r>
        <w:rPr>
          <w:rFonts w:hint="eastAsia" w:cs="宋体"/>
          <w:b/>
          <w:bCs/>
          <w:sz w:val="24"/>
        </w:rPr>
        <w:t>双轮异向切割锯</w:t>
      </w:r>
    </w:p>
    <w:p w14:paraId="282DE84F">
      <w:pPr>
        <w:spacing w:line="360" w:lineRule="auto"/>
        <w:rPr>
          <w:rFonts w:hint="eastAsia" w:cs="宋体"/>
          <w:sz w:val="24"/>
        </w:rPr>
      </w:pPr>
      <w:r>
        <w:rPr>
          <w:rFonts w:hint="eastAsia" w:cs="宋体"/>
          <w:sz w:val="24"/>
        </w:rPr>
        <w:t>▲6.1切割深度（mm)≥100</w:t>
      </w:r>
    </w:p>
    <w:p w14:paraId="0435F4A5">
      <w:pPr>
        <w:spacing w:line="360" w:lineRule="auto"/>
        <w:rPr>
          <w:rFonts w:hint="eastAsia" w:cs="宋体"/>
          <w:sz w:val="24"/>
        </w:rPr>
      </w:pPr>
      <w:r>
        <w:rPr>
          <w:rFonts w:hint="eastAsia" w:cs="宋体"/>
          <w:sz w:val="24"/>
        </w:rPr>
        <w:t>6.2切割速度(cm2/min)：切割钢筋速度≥20s</w:t>
      </w:r>
    </w:p>
    <w:p w14:paraId="24F71E88">
      <w:pPr>
        <w:spacing w:line="360" w:lineRule="auto"/>
        <w:rPr>
          <w:rFonts w:hint="eastAsia" w:cs="宋体"/>
          <w:sz w:val="24"/>
        </w:rPr>
      </w:pPr>
      <w:r>
        <w:rPr>
          <w:rFonts w:hint="eastAsia" w:cs="宋体"/>
          <w:sz w:val="24"/>
        </w:rPr>
        <w:t>6.3噪音检验(dB)：破拆机具空载最高转速时的噪声≤105db。</w:t>
      </w:r>
    </w:p>
    <w:p w14:paraId="375B10E9">
      <w:pPr>
        <w:spacing w:line="360" w:lineRule="auto"/>
        <w:rPr>
          <w:rFonts w:hint="eastAsia" w:cs="宋体"/>
          <w:sz w:val="24"/>
        </w:rPr>
      </w:pPr>
      <w:r>
        <w:rPr>
          <w:rFonts w:hint="eastAsia" w:cs="宋体"/>
          <w:sz w:val="24"/>
        </w:rPr>
        <w:t>▲6.4锯片直径315±10（mm)</w:t>
      </w:r>
    </w:p>
    <w:p w14:paraId="3BA49BC1">
      <w:pPr>
        <w:spacing w:line="360" w:lineRule="auto"/>
        <w:rPr>
          <w:rFonts w:hint="eastAsia" w:cs="宋体"/>
          <w:sz w:val="24"/>
        </w:rPr>
      </w:pPr>
      <w:r>
        <w:rPr>
          <w:rFonts w:hint="eastAsia" w:cs="宋体"/>
          <w:sz w:val="24"/>
        </w:rPr>
        <w:t>▲6.5质量≤10(kg)</w:t>
      </w:r>
    </w:p>
    <w:p w14:paraId="34F7FE2D">
      <w:pPr>
        <w:spacing w:line="360" w:lineRule="auto"/>
        <w:rPr>
          <w:rFonts w:hint="eastAsia" w:cs="宋体"/>
          <w:sz w:val="24"/>
        </w:rPr>
      </w:pPr>
      <w:r>
        <w:rPr>
          <w:rFonts w:hint="eastAsia" w:cs="宋体"/>
          <w:sz w:val="24"/>
        </w:rPr>
        <w:t>▲6.6空载最大转速≥12500(rpm)</w:t>
      </w:r>
    </w:p>
    <w:p w14:paraId="28DECDA1">
      <w:pPr>
        <w:spacing w:line="360" w:lineRule="auto"/>
        <w:rPr>
          <w:rFonts w:hint="eastAsia" w:cs="宋体"/>
          <w:sz w:val="24"/>
        </w:rPr>
      </w:pPr>
      <w:r>
        <w:rPr>
          <w:rFonts w:hint="eastAsia" w:cs="宋体"/>
          <w:sz w:val="24"/>
        </w:rPr>
        <w:t>6.7汽缸排量（cc）≥70.7</w:t>
      </w:r>
    </w:p>
    <w:p w14:paraId="068365B2">
      <w:pPr>
        <w:spacing w:line="360" w:lineRule="auto"/>
        <w:rPr>
          <w:rFonts w:hint="eastAsia" w:cs="宋体"/>
          <w:sz w:val="24"/>
        </w:rPr>
      </w:pPr>
      <w:r>
        <w:rPr>
          <w:rFonts w:hint="eastAsia" w:cs="宋体"/>
          <w:sz w:val="24"/>
        </w:rPr>
        <w:t>6.8功率（kW）≥4.4</w:t>
      </w:r>
    </w:p>
    <w:p w14:paraId="79E106B9">
      <w:pPr>
        <w:spacing w:line="360" w:lineRule="auto"/>
        <w:rPr>
          <w:rFonts w:hint="eastAsia" w:cs="宋体"/>
          <w:sz w:val="24"/>
        </w:rPr>
      </w:pPr>
      <w:r>
        <w:rPr>
          <w:rFonts w:hint="eastAsia" w:cs="宋体"/>
          <w:sz w:val="24"/>
        </w:rPr>
        <w:t>6.9燃油箱容量（L）≥0.77</w:t>
      </w:r>
    </w:p>
    <w:p w14:paraId="48CBD5BA">
      <w:pPr>
        <w:numPr>
          <w:ilvl w:val="0"/>
          <w:numId w:val="7"/>
        </w:numPr>
        <w:spacing w:line="360" w:lineRule="auto"/>
        <w:rPr>
          <w:rFonts w:hint="eastAsia" w:cs="宋体"/>
          <w:b/>
          <w:bCs/>
          <w:sz w:val="24"/>
        </w:rPr>
      </w:pPr>
      <w:r>
        <w:rPr>
          <w:rFonts w:hint="eastAsia" w:cs="宋体"/>
          <w:b/>
          <w:bCs/>
          <w:sz w:val="24"/>
        </w:rPr>
        <w:t>无齿锯</w:t>
      </w:r>
    </w:p>
    <w:p w14:paraId="4ED31769">
      <w:pPr>
        <w:spacing w:line="360" w:lineRule="auto"/>
        <w:rPr>
          <w:rFonts w:hint="eastAsia" w:cs="宋体"/>
          <w:sz w:val="24"/>
        </w:rPr>
      </w:pPr>
      <w:r>
        <w:rPr>
          <w:rFonts w:hint="eastAsia" w:cs="宋体"/>
          <w:sz w:val="24"/>
        </w:rPr>
        <w:t>▲7.1排量≥70cc</w:t>
      </w:r>
    </w:p>
    <w:p w14:paraId="133604FE">
      <w:pPr>
        <w:spacing w:line="360" w:lineRule="auto"/>
        <w:rPr>
          <w:rFonts w:hint="eastAsia" w:cs="宋体"/>
          <w:sz w:val="24"/>
        </w:rPr>
      </w:pPr>
      <w:r>
        <w:rPr>
          <w:rFonts w:hint="eastAsia" w:cs="宋体"/>
          <w:sz w:val="24"/>
        </w:rPr>
        <w:t>7.2噪音检验(dB)：破拆机具空载最高转速时的噪声应不大于105。</w:t>
      </w:r>
    </w:p>
    <w:p w14:paraId="1A6A42B1">
      <w:pPr>
        <w:spacing w:line="360" w:lineRule="auto"/>
        <w:rPr>
          <w:rFonts w:hint="eastAsia" w:cs="宋体"/>
          <w:sz w:val="24"/>
        </w:rPr>
      </w:pPr>
      <w:r>
        <w:rPr>
          <w:rFonts w:hint="eastAsia" w:cs="宋体"/>
          <w:sz w:val="24"/>
        </w:rPr>
        <w:t>▲7.3锯片直径≥350(mm)</w:t>
      </w:r>
    </w:p>
    <w:p w14:paraId="798D3F89">
      <w:pPr>
        <w:spacing w:line="360" w:lineRule="auto"/>
        <w:rPr>
          <w:rFonts w:hint="eastAsia" w:cs="宋体"/>
          <w:sz w:val="24"/>
        </w:rPr>
      </w:pPr>
      <w:r>
        <w:rPr>
          <w:rFonts w:hint="eastAsia" w:cs="宋体"/>
          <w:sz w:val="24"/>
        </w:rPr>
        <w:t>▲7.4质量(kg)≤10.5(不含锯片和燃油)</w:t>
      </w:r>
    </w:p>
    <w:p w14:paraId="3ACB76A9">
      <w:pPr>
        <w:spacing w:line="360" w:lineRule="auto"/>
        <w:rPr>
          <w:rFonts w:hint="eastAsia" w:cs="宋体"/>
          <w:sz w:val="24"/>
        </w:rPr>
      </w:pPr>
      <w:r>
        <w:rPr>
          <w:rFonts w:hint="eastAsia" w:cs="宋体"/>
          <w:sz w:val="24"/>
        </w:rPr>
        <w:t>7.5功率（kW）≥3.7</w:t>
      </w:r>
    </w:p>
    <w:p w14:paraId="2A941008">
      <w:pPr>
        <w:spacing w:line="360" w:lineRule="auto"/>
        <w:rPr>
          <w:rFonts w:hint="eastAsia" w:cs="宋体"/>
          <w:b/>
          <w:bCs/>
          <w:sz w:val="24"/>
        </w:rPr>
      </w:pPr>
      <w:r>
        <w:rPr>
          <w:rFonts w:hint="eastAsia" w:cs="宋体"/>
          <w:b/>
          <w:bCs/>
          <w:sz w:val="24"/>
        </w:rPr>
        <w:t>8.机动链锯</w:t>
      </w:r>
    </w:p>
    <w:p w14:paraId="0D37C632">
      <w:pPr>
        <w:spacing w:line="360" w:lineRule="auto"/>
        <w:rPr>
          <w:rFonts w:hint="eastAsia" w:cs="宋体"/>
          <w:sz w:val="24"/>
        </w:rPr>
      </w:pPr>
      <w:r>
        <w:rPr>
          <w:rFonts w:hint="eastAsia" w:cs="宋体"/>
          <w:sz w:val="24"/>
        </w:rPr>
        <w:t>▲8.1切割深度（mm)≥100</w:t>
      </w:r>
    </w:p>
    <w:p w14:paraId="2FBB23FD">
      <w:pPr>
        <w:spacing w:line="360" w:lineRule="auto"/>
        <w:rPr>
          <w:rFonts w:hint="eastAsia" w:cs="宋体"/>
          <w:sz w:val="24"/>
        </w:rPr>
      </w:pPr>
      <w:r>
        <w:rPr>
          <w:rFonts w:hint="eastAsia" w:cs="宋体"/>
          <w:sz w:val="24"/>
        </w:rPr>
        <w:t>8.2噪音检验(dB)：破拆机具空载最高转速时的噪声应不大于105。</w:t>
      </w:r>
    </w:p>
    <w:p w14:paraId="396060C0">
      <w:pPr>
        <w:spacing w:line="360" w:lineRule="auto"/>
        <w:rPr>
          <w:rFonts w:hint="eastAsia" w:cs="宋体"/>
          <w:sz w:val="24"/>
        </w:rPr>
      </w:pPr>
      <w:r>
        <w:rPr>
          <w:rFonts w:hint="eastAsia" w:cs="宋体"/>
          <w:sz w:val="24"/>
        </w:rPr>
        <w:t>▲8.3导板长度≥450(mm)</w:t>
      </w:r>
    </w:p>
    <w:p w14:paraId="416C764C">
      <w:pPr>
        <w:spacing w:line="360" w:lineRule="auto"/>
        <w:rPr>
          <w:rFonts w:hint="eastAsia" w:cs="宋体"/>
          <w:sz w:val="24"/>
        </w:rPr>
      </w:pPr>
      <w:r>
        <w:rPr>
          <w:rFonts w:hint="eastAsia" w:cs="宋体"/>
          <w:sz w:val="24"/>
        </w:rPr>
        <w:t>▲8.4质量(kg)≤5(不含锯片和燃油)</w:t>
      </w:r>
    </w:p>
    <w:p w14:paraId="79032590">
      <w:pPr>
        <w:spacing w:line="360" w:lineRule="auto"/>
        <w:rPr>
          <w:rFonts w:hint="eastAsia" w:cs="宋体"/>
          <w:sz w:val="24"/>
        </w:rPr>
      </w:pPr>
      <w:r>
        <w:rPr>
          <w:rFonts w:hint="eastAsia" w:cs="宋体"/>
          <w:sz w:val="24"/>
        </w:rPr>
        <w:t>8.5发动机怠速转速≥2000(r/min)</w:t>
      </w:r>
    </w:p>
    <w:p w14:paraId="08C4EAFE">
      <w:pPr>
        <w:spacing w:line="360" w:lineRule="auto"/>
        <w:rPr>
          <w:rFonts w:hint="eastAsia" w:cs="宋体"/>
          <w:sz w:val="24"/>
        </w:rPr>
      </w:pPr>
      <w:r>
        <w:rPr>
          <w:rFonts w:hint="eastAsia" w:cs="宋体"/>
          <w:sz w:val="24"/>
        </w:rPr>
        <w:t>8.6发动机空载最高转速≥13000(r/min)</w:t>
      </w:r>
    </w:p>
    <w:p w14:paraId="0577D87C">
      <w:pPr>
        <w:spacing w:line="360" w:lineRule="auto"/>
        <w:rPr>
          <w:rFonts w:hint="eastAsia" w:cs="宋体"/>
          <w:sz w:val="24"/>
        </w:rPr>
      </w:pPr>
      <w:r>
        <w:rPr>
          <w:rFonts w:hint="eastAsia" w:cs="宋体"/>
          <w:sz w:val="24"/>
        </w:rPr>
        <w:t>8.7气缸排量（cc）≥50.2</w:t>
      </w:r>
    </w:p>
    <w:p w14:paraId="61B8C817">
      <w:pPr>
        <w:spacing w:line="360" w:lineRule="auto"/>
        <w:rPr>
          <w:rFonts w:hint="eastAsia" w:cs="宋体"/>
          <w:sz w:val="24"/>
        </w:rPr>
      </w:pPr>
      <w:r>
        <w:rPr>
          <w:rFonts w:hint="eastAsia" w:cs="宋体"/>
          <w:sz w:val="24"/>
        </w:rPr>
        <w:t>8.8功率（kW）≥2.5</w:t>
      </w:r>
    </w:p>
    <w:p w14:paraId="08E0F94B">
      <w:pPr>
        <w:spacing w:line="360" w:lineRule="auto"/>
        <w:rPr>
          <w:rFonts w:hint="eastAsia" w:cs="宋体"/>
          <w:sz w:val="24"/>
        </w:rPr>
      </w:pPr>
      <w:r>
        <w:rPr>
          <w:rFonts w:hint="eastAsia" w:cs="宋体"/>
          <w:sz w:val="24"/>
        </w:rPr>
        <w:t>8.9燃油箱容量（L）≥0.45</w:t>
      </w:r>
    </w:p>
    <w:p w14:paraId="39C86B0B">
      <w:pPr>
        <w:spacing w:line="360" w:lineRule="auto"/>
        <w:rPr>
          <w:rFonts w:hint="eastAsia" w:cs="宋体"/>
          <w:sz w:val="24"/>
        </w:rPr>
      </w:pPr>
      <w:r>
        <w:rPr>
          <w:rFonts w:hint="eastAsia" w:cs="宋体"/>
          <w:sz w:val="24"/>
        </w:rPr>
        <w:t>注：▲</w:t>
      </w:r>
      <w:r>
        <w:rPr>
          <w:rFonts w:hint="eastAsia" w:cs="宋体"/>
          <w:sz w:val="24"/>
          <w14:ligatures w14:val="standardContextual"/>
        </w:rPr>
        <w:t>项需提供第三方检测机构出具的检测报告</w:t>
      </w:r>
    </w:p>
    <w:p w14:paraId="58BF52B2">
      <w:pPr>
        <w:spacing w:line="360" w:lineRule="auto"/>
        <w:rPr>
          <w:rFonts w:hint="eastAsia" w:cs="宋体"/>
          <w:sz w:val="24"/>
        </w:rPr>
      </w:pPr>
    </w:p>
    <w:p w14:paraId="3ED45E5D">
      <w:pPr>
        <w:pStyle w:val="120"/>
        <w:spacing w:line="360" w:lineRule="auto"/>
        <w:ind w:firstLine="0" w:firstLineChars="0"/>
        <w:rPr>
          <w:rFonts w:hint="eastAsia" w:cs="宋体"/>
          <w:b/>
          <w:bCs/>
          <w:sz w:val="24"/>
          <w:szCs w:val="24"/>
          <w14:ligatures w14:val="standardContextual"/>
        </w:rPr>
      </w:pPr>
      <w:r>
        <w:rPr>
          <w:rFonts w:hint="eastAsia" w:cs="宋体"/>
          <w:b/>
          <w:bCs/>
          <w:sz w:val="24"/>
          <w:szCs w:val="24"/>
          <w14:ligatures w14:val="standardContextual"/>
        </w:rPr>
        <w:t>四、绳索救援套装</w:t>
      </w:r>
    </w:p>
    <w:p w14:paraId="7434FE9B">
      <w:pPr>
        <w:spacing w:line="360" w:lineRule="auto"/>
        <w:rPr>
          <w:rFonts w:hint="eastAsia" w:cs="宋体"/>
          <w:sz w:val="24"/>
          <w14:ligatures w14:val="standardContextual"/>
        </w:rPr>
      </w:pPr>
      <w:r>
        <w:rPr>
          <w:rFonts w:hint="eastAsia" w:cs="宋体"/>
          <w:sz w:val="24"/>
          <w14:ligatures w14:val="standardContextual"/>
        </w:rPr>
        <w:t>配置须包含山岳救援头盔1顶、头灯1个，全身安全带1套、可调牛尾绳1套、安全绳（100米）1根、安全辅绳100米、安全钩两种型号各6个共12个、钢制安全钩两种型号各5个共10个、上升器1个、抓绳器1个、下降器1个、缓冲器1个、滑轮（单滑轮2个、双滑轮2个）共4个、分力板2个、可调节脚踏带1条、连接带三个型号各6根共18根、绳索保护套1个、绳索手套1副、器材包2个</w:t>
      </w:r>
    </w:p>
    <w:p w14:paraId="301884EF">
      <w:pPr>
        <w:spacing w:line="360" w:lineRule="auto"/>
        <w:rPr>
          <w:rFonts w:hint="eastAsia" w:cs="宋体"/>
          <w:b/>
          <w:bCs/>
          <w:sz w:val="24"/>
          <w14:ligatures w14:val="standardContextual"/>
        </w:rPr>
      </w:pPr>
      <w:r>
        <w:rPr>
          <w:rFonts w:hint="eastAsia" w:cs="宋体"/>
          <w:b/>
          <w:bCs/>
          <w:sz w:val="24"/>
          <w14:ligatures w14:val="standardContextual"/>
        </w:rPr>
        <w:t>1.山岳救援头盔</w:t>
      </w:r>
    </w:p>
    <w:p w14:paraId="37B08BC8">
      <w:pPr>
        <w:spacing w:line="360" w:lineRule="auto"/>
        <w:rPr>
          <w:rFonts w:hint="eastAsia" w:cs="宋体"/>
          <w:sz w:val="24"/>
          <w14:ligatures w14:val="standardContextual"/>
        </w:rPr>
      </w:pPr>
      <w:r>
        <w:rPr>
          <w:rFonts w:hint="eastAsia" w:cs="宋体"/>
          <w:sz w:val="24"/>
          <w14:ligatures w14:val="standardContextual"/>
        </w:rPr>
        <w:t>1.1适用范围:消防/警用/救援/工业/攀岩/攀冰/登山/探洞/攀树</w:t>
      </w:r>
    </w:p>
    <w:p w14:paraId="0AEF5206">
      <w:pPr>
        <w:spacing w:line="360" w:lineRule="auto"/>
        <w:rPr>
          <w:rFonts w:hint="eastAsia" w:cs="宋体"/>
          <w:sz w:val="24"/>
          <w14:ligatures w14:val="standardContextual"/>
        </w:rPr>
      </w:pPr>
      <w:r>
        <w:rPr>
          <w:rFonts w:hint="eastAsia" w:cs="宋体"/>
          <w:sz w:val="24"/>
          <w14:ligatures w14:val="standardContextual"/>
        </w:rPr>
        <w:t>1.2高空作业，山岳救援的专用安全头盔。</w:t>
      </w:r>
    </w:p>
    <w:p w14:paraId="1A2A65E8">
      <w:pPr>
        <w:spacing w:line="360" w:lineRule="auto"/>
        <w:rPr>
          <w:rFonts w:hint="eastAsia" w:cs="宋体"/>
          <w:sz w:val="24"/>
          <w14:ligatures w14:val="standardContextual"/>
        </w:rPr>
      </w:pPr>
      <w:r>
        <w:rPr>
          <w:rFonts w:hint="eastAsia" w:cs="宋体"/>
          <w:sz w:val="24"/>
          <w14:ligatures w14:val="standardContextual"/>
        </w:rPr>
        <w:t>1.3重量轻，拥有良好的舒适度和通风，带有轮式调节系统。</w:t>
      </w:r>
    </w:p>
    <w:p w14:paraId="679431D2">
      <w:pPr>
        <w:spacing w:line="360" w:lineRule="auto"/>
        <w:rPr>
          <w:rFonts w:hint="eastAsia" w:cs="宋体"/>
          <w:sz w:val="24"/>
          <w14:ligatures w14:val="standardContextual"/>
        </w:rPr>
      </w:pPr>
      <w:r>
        <w:rPr>
          <w:rFonts w:hint="eastAsia" w:cs="宋体"/>
          <w:sz w:val="24"/>
          <w14:ligatures w14:val="standardContextual"/>
        </w:rPr>
        <w:t>1.4下颌带设计用于在悬挂时打开并防止窒息：在 15 到 25 daN 承重之间打开</w:t>
      </w:r>
    </w:p>
    <w:p w14:paraId="3B483C80">
      <w:pPr>
        <w:spacing w:line="360" w:lineRule="auto"/>
        <w:rPr>
          <w:rFonts w:hint="eastAsia" w:cs="宋体"/>
          <w:sz w:val="24"/>
          <w14:ligatures w14:val="standardContextual"/>
        </w:rPr>
      </w:pPr>
      <w:r>
        <w:rPr>
          <w:rFonts w:hint="eastAsia" w:cs="宋体"/>
          <w:sz w:val="24"/>
          <w14:ligatures w14:val="standardContextual"/>
        </w:rPr>
        <w:t>1.5脑后调节开关调整方便，即使戴着手套也易于操作</w:t>
      </w:r>
    </w:p>
    <w:p w14:paraId="5D45D3F7">
      <w:pPr>
        <w:spacing w:line="360" w:lineRule="auto"/>
        <w:rPr>
          <w:rFonts w:hint="eastAsia" w:cs="宋体"/>
          <w:sz w:val="24"/>
          <w14:ligatures w14:val="standardContextual"/>
        </w:rPr>
      </w:pPr>
      <w:r>
        <w:rPr>
          <w:rFonts w:hint="eastAsia" w:cs="宋体"/>
          <w:sz w:val="24"/>
          <w14:ligatures w14:val="standardContextual"/>
        </w:rPr>
        <w:t>1.6外壳带有8个通风孔</w:t>
      </w:r>
    </w:p>
    <w:p w14:paraId="5AE17FEC">
      <w:pPr>
        <w:spacing w:line="360" w:lineRule="auto"/>
        <w:rPr>
          <w:rFonts w:hint="eastAsia" w:cs="宋体"/>
          <w:sz w:val="24"/>
          <w14:ligatures w14:val="standardContextual"/>
        </w:rPr>
      </w:pPr>
      <w:r>
        <w:rPr>
          <w:rFonts w:hint="eastAsia" w:cs="宋体"/>
          <w:sz w:val="24"/>
          <w14:ligatures w14:val="standardContextual"/>
        </w:rPr>
        <w:t>1.7带有安装带式头灯的夹子（前面两个固定夹，后面固定松紧绳）</w:t>
      </w:r>
    </w:p>
    <w:p w14:paraId="17F56EBB">
      <w:pPr>
        <w:spacing w:line="360" w:lineRule="auto"/>
        <w:rPr>
          <w:rFonts w:hint="eastAsia" w:cs="宋体"/>
          <w:sz w:val="24"/>
          <w14:ligatures w14:val="standardContextual"/>
        </w:rPr>
      </w:pPr>
      <w:r>
        <w:rPr>
          <w:rFonts w:hint="eastAsia" w:cs="宋体"/>
          <w:sz w:val="24"/>
          <w14:ligatures w14:val="standardContextual"/>
        </w:rPr>
        <w:t>1.8带有安装面罩、耳罩和无线电通信设备的预钻孔</w:t>
      </w:r>
    </w:p>
    <w:p w14:paraId="3DA5C849">
      <w:pPr>
        <w:spacing w:line="360" w:lineRule="auto"/>
        <w:rPr>
          <w:rFonts w:hint="eastAsia" w:cs="宋体"/>
          <w:sz w:val="24"/>
          <w14:ligatures w14:val="standardContextual"/>
        </w:rPr>
      </w:pPr>
      <w:r>
        <w:rPr>
          <w:rFonts w:hint="eastAsia" w:cs="宋体"/>
          <w:sz w:val="24"/>
          <w14:ligatures w14:val="standardContextual"/>
        </w:rPr>
        <w:t>1.9外壳由ABS材料制成</w:t>
      </w:r>
    </w:p>
    <w:p w14:paraId="1C0175E2">
      <w:pPr>
        <w:spacing w:line="360" w:lineRule="auto"/>
        <w:rPr>
          <w:rFonts w:hint="eastAsia" w:cs="宋体"/>
          <w:sz w:val="24"/>
          <w14:ligatures w14:val="standardContextual"/>
        </w:rPr>
      </w:pPr>
      <w:r>
        <w:rPr>
          <w:rFonts w:hint="eastAsia" w:cs="宋体"/>
          <w:sz w:val="24"/>
          <w14:ligatures w14:val="standardContextual"/>
        </w:rPr>
        <w:t>1.10内部织带悬挂系统，带有可拆洗衬垫。</w:t>
      </w:r>
    </w:p>
    <w:p w14:paraId="7F141F03">
      <w:pPr>
        <w:spacing w:line="360" w:lineRule="auto"/>
        <w:rPr>
          <w:rFonts w:hint="eastAsia" w:cs="宋体"/>
          <w:sz w:val="24"/>
          <w14:ligatures w14:val="standardContextual"/>
        </w:rPr>
      </w:pPr>
      <w:r>
        <w:rPr>
          <w:rFonts w:hint="eastAsia" w:cs="宋体"/>
          <w:sz w:val="24"/>
          <w14:ligatures w14:val="standardContextual"/>
        </w:rPr>
        <w:t>1.11提供多种参考颜色 （白色，黄色，红色，蓝色，黑色）</w:t>
      </w:r>
    </w:p>
    <w:p w14:paraId="41F6B3F8">
      <w:pPr>
        <w:spacing w:line="360" w:lineRule="auto"/>
        <w:rPr>
          <w:rFonts w:hint="eastAsia" w:cs="宋体"/>
          <w:sz w:val="24"/>
          <w14:ligatures w14:val="standardContextual"/>
        </w:rPr>
      </w:pPr>
      <w:r>
        <w:rPr>
          <w:rFonts w:hint="eastAsia" w:cs="宋体"/>
          <w:sz w:val="24"/>
          <w14:ligatures w14:val="standardContextual"/>
        </w:rPr>
        <w:t>1.12通用尺寸（52-64 厘米）（±5cm）</w:t>
      </w:r>
    </w:p>
    <w:p w14:paraId="306310EE">
      <w:pPr>
        <w:spacing w:line="360" w:lineRule="auto"/>
        <w:rPr>
          <w:rFonts w:hint="eastAsia" w:cs="宋体"/>
          <w:sz w:val="24"/>
          <w14:ligatures w14:val="standardContextual"/>
        </w:rPr>
      </w:pPr>
      <w:r>
        <w:rPr>
          <w:rFonts w:hint="eastAsia" w:cs="宋体"/>
          <w:sz w:val="24"/>
          <w14:ligatures w14:val="standardContextual"/>
        </w:rPr>
        <w:t>1.13重量：385g（±15g）</w:t>
      </w:r>
    </w:p>
    <w:p w14:paraId="638D3A26">
      <w:pPr>
        <w:spacing w:line="360" w:lineRule="auto"/>
        <w:rPr>
          <w:rFonts w:hint="eastAsia" w:cs="宋体"/>
          <w:sz w:val="24"/>
          <w14:ligatures w14:val="standardContextual"/>
        </w:rPr>
      </w:pPr>
      <w:r>
        <w:rPr>
          <w:rFonts w:hint="eastAsia" w:cs="宋体"/>
          <w:sz w:val="24"/>
          <w14:ligatures w14:val="standardContextual"/>
        </w:rPr>
        <w:t>1.14工作温度范围：–10至+50°C</w:t>
      </w:r>
    </w:p>
    <w:p w14:paraId="3BFCACC8">
      <w:pPr>
        <w:spacing w:line="360" w:lineRule="auto"/>
        <w:rPr>
          <w:rFonts w:hint="eastAsia" w:cs="宋体"/>
          <w:sz w:val="24"/>
          <w14:ligatures w14:val="standardContextual"/>
        </w:rPr>
      </w:pPr>
      <w:r>
        <w:rPr>
          <w:rFonts w:hint="eastAsia" w:cs="宋体"/>
          <w:sz w:val="24"/>
          <w14:ligatures w14:val="standardContextual"/>
        </w:rPr>
        <w:t>1.15执行标准：GB2811-2019《头部防护安全帽》</w:t>
      </w:r>
    </w:p>
    <w:p w14:paraId="677D3A7D">
      <w:pPr>
        <w:spacing w:line="360" w:lineRule="auto"/>
        <w:rPr>
          <w:rFonts w:hint="eastAsia" w:cs="宋体"/>
          <w:b/>
          <w:bCs/>
          <w:sz w:val="24"/>
          <w14:ligatures w14:val="standardContextual"/>
        </w:rPr>
      </w:pPr>
      <w:r>
        <w:rPr>
          <w:rFonts w:hint="eastAsia" w:cs="宋体"/>
          <w:b/>
          <w:bCs/>
          <w:sz w:val="24"/>
          <w14:ligatures w14:val="standardContextual"/>
        </w:rPr>
        <w:t>2.头灯</w:t>
      </w:r>
    </w:p>
    <w:p w14:paraId="4A39B257">
      <w:pPr>
        <w:spacing w:line="360" w:lineRule="auto"/>
        <w:rPr>
          <w:rFonts w:hint="eastAsia" w:cs="宋体"/>
          <w:sz w:val="24"/>
          <w14:ligatures w14:val="standardContextual"/>
        </w:rPr>
      </w:pPr>
      <w:r>
        <w:rPr>
          <w:rFonts w:hint="eastAsia" w:cs="宋体"/>
          <w:sz w:val="24"/>
          <w14:ligatures w14:val="standardContextual"/>
        </w:rPr>
        <w:t>2.1紧凑而强大的前照灯，最大光束≥120m。</w:t>
      </w:r>
    </w:p>
    <w:p w14:paraId="227B80C9">
      <w:pPr>
        <w:spacing w:line="360" w:lineRule="auto"/>
        <w:rPr>
          <w:rFonts w:hint="eastAsia" w:cs="宋体"/>
          <w:sz w:val="24"/>
          <w14:ligatures w14:val="standardContextual"/>
        </w:rPr>
      </w:pPr>
      <w:r>
        <w:rPr>
          <w:rFonts w:hint="eastAsia" w:cs="宋体"/>
          <w:sz w:val="24"/>
          <w14:ligatures w14:val="standardContextual"/>
        </w:rPr>
        <w:t>2.2由3节AAA电池供电，照明时间≥180h。</w:t>
      </w:r>
    </w:p>
    <w:p w14:paraId="770855F0">
      <w:pPr>
        <w:spacing w:line="360" w:lineRule="auto"/>
        <w:rPr>
          <w:rFonts w:hint="eastAsia" w:cs="宋体"/>
          <w:sz w:val="24"/>
          <w14:ligatures w14:val="standardContextual"/>
        </w:rPr>
      </w:pPr>
      <w:r>
        <w:rPr>
          <w:rFonts w:hint="eastAsia" w:cs="宋体"/>
          <w:sz w:val="24"/>
          <w14:ligatures w14:val="standardContextual"/>
        </w:rPr>
        <w:t>2.3前灯泡用于深度照明，侧面LED用于散射光。</w:t>
      </w:r>
    </w:p>
    <w:p w14:paraId="15D5DDDD">
      <w:pPr>
        <w:spacing w:line="360" w:lineRule="auto"/>
        <w:rPr>
          <w:rFonts w:hint="eastAsia" w:cs="宋体"/>
          <w:sz w:val="24"/>
          <w14:ligatures w14:val="standardContextual"/>
        </w:rPr>
      </w:pPr>
      <w:r>
        <w:rPr>
          <w:rFonts w:hint="eastAsia" w:cs="宋体"/>
          <w:sz w:val="24"/>
          <w14:ligatures w14:val="standardContextual"/>
        </w:rPr>
        <w:t>2.4种模式（前灯泡：中，高，低和SOS频闪-侧面LED：高，低和SOS频闪）。</w:t>
      </w:r>
    </w:p>
    <w:p w14:paraId="48AD1C8F">
      <w:pPr>
        <w:spacing w:line="360" w:lineRule="auto"/>
        <w:rPr>
          <w:rFonts w:hint="eastAsia" w:cs="宋体"/>
          <w:sz w:val="24"/>
          <w14:ligatures w14:val="standardContextual"/>
        </w:rPr>
      </w:pPr>
      <w:r>
        <w:rPr>
          <w:rFonts w:hint="eastAsia" w:cs="宋体"/>
          <w:sz w:val="24"/>
          <w14:ligatures w14:val="standardContextual"/>
        </w:rPr>
        <w:t>2.5防水等级：IPX6</w:t>
      </w:r>
    </w:p>
    <w:p w14:paraId="342D7969">
      <w:pPr>
        <w:spacing w:line="360" w:lineRule="auto"/>
        <w:rPr>
          <w:rFonts w:hint="eastAsia" w:cs="宋体"/>
          <w:sz w:val="24"/>
          <w14:ligatures w14:val="standardContextual"/>
        </w:rPr>
      </w:pPr>
      <w:r>
        <w:rPr>
          <w:rFonts w:hint="eastAsia" w:cs="宋体"/>
          <w:sz w:val="24"/>
          <w14:ligatures w14:val="standardContextual"/>
        </w:rPr>
        <w:t>2.6重量：≤62g（不含电池）</w:t>
      </w:r>
    </w:p>
    <w:p w14:paraId="4F97745B">
      <w:pPr>
        <w:spacing w:line="360" w:lineRule="auto"/>
        <w:rPr>
          <w:rFonts w:hint="eastAsia" w:cs="宋体"/>
          <w:sz w:val="24"/>
          <w14:ligatures w14:val="standardContextual"/>
        </w:rPr>
      </w:pPr>
      <w:r>
        <w:rPr>
          <w:rFonts w:hint="eastAsia" w:cs="宋体"/>
          <w:sz w:val="24"/>
          <w14:ligatures w14:val="standardContextual"/>
        </w:rPr>
        <w:t>2.7输出流明：≥122</w:t>
      </w:r>
    </w:p>
    <w:p w14:paraId="00579E48">
      <w:pPr>
        <w:spacing w:line="360" w:lineRule="auto"/>
        <w:rPr>
          <w:rFonts w:hint="eastAsia" w:cs="宋体"/>
          <w:sz w:val="24"/>
          <w14:ligatures w14:val="standardContextual"/>
        </w:rPr>
      </w:pPr>
      <w:r>
        <w:rPr>
          <w:rFonts w:hint="eastAsia" w:cs="宋体"/>
          <w:sz w:val="24"/>
          <w14:ligatures w14:val="standardContextual"/>
        </w:rPr>
        <w:t>2.8光照深度：≥120m</w:t>
      </w:r>
    </w:p>
    <w:p w14:paraId="3C5FCDC1">
      <w:pPr>
        <w:spacing w:line="360" w:lineRule="auto"/>
        <w:rPr>
          <w:rFonts w:hint="eastAsia" w:cs="宋体"/>
          <w:sz w:val="24"/>
          <w14:ligatures w14:val="standardContextual"/>
        </w:rPr>
      </w:pPr>
      <w:r>
        <w:rPr>
          <w:rFonts w:hint="eastAsia" w:cs="宋体"/>
          <w:sz w:val="24"/>
          <w14:ligatures w14:val="standardContextual"/>
        </w:rPr>
        <w:t>2.9电池寿命：≥180h</w:t>
      </w:r>
    </w:p>
    <w:p w14:paraId="4265354A">
      <w:pPr>
        <w:spacing w:line="360" w:lineRule="auto"/>
        <w:rPr>
          <w:rFonts w:hint="eastAsia" w:cs="宋体"/>
          <w:b/>
          <w:bCs/>
          <w:sz w:val="24"/>
          <w14:ligatures w14:val="standardContextual"/>
        </w:rPr>
      </w:pPr>
      <w:r>
        <w:rPr>
          <w:rFonts w:hint="eastAsia" w:cs="宋体"/>
          <w:b/>
          <w:bCs/>
          <w:sz w:val="24"/>
          <w14:ligatures w14:val="standardContextual"/>
        </w:rPr>
        <w:t>3.全身安全带</w:t>
      </w:r>
    </w:p>
    <w:p w14:paraId="3FBA2762">
      <w:pPr>
        <w:spacing w:line="360" w:lineRule="auto"/>
        <w:rPr>
          <w:rFonts w:hint="eastAsia" w:cs="宋体"/>
          <w:sz w:val="24"/>
          <w14:ligatures w14:val="standardContextual"/>
        </w:rPr>
      </w:pPr>
      <w:r>
        <w:rPr>
          <w:rFonts w:hint="eastAsia" w:cs="宋体"/>
          <w:sz w:val="24"/>
          <w14:ligatures w14:val="standardContextual"/>
        </w:rPr>
        <w:t>3.1超舒适绳索行进安全带。为使用者提供最好的舒适性，两个腿扣及左侧肩扣可以快速打开，方便使用者快速穿脱，两腰部侧面及背部拥有保护连接环，方便工作时定位及防坠落操作，拥有热压成型的半硬式宽大的腰带和腿环，内置式一体胸式上升器。拥有5个装备挂环，背部吊点后的海绵也为热压成型，悬挂时更加舒适，前肩部拥有左右各一个携带大型钩的塑料环。</w:t>
      </w:r>
    </w:p>
    <w:p w14:paraId="6385A9B9">
      <w:pPr>
        <w:spacing w:line="360" w:lineRule="auto"/>
        <w:rPr>
          <w:rFonts w:hint="eastAsia" w:cs="宋体"/>
          <w:sz w:val="24"/>
          <w14:ligatures w14:val="standardContextual"/>
        </w:rPr>
      </w:pPr>
      <w:r>
        <w:rPr>
          <w:rFonts w:hint="eastAsia" w:cs="宋体"/>
          <w:sz w:val="24"/>
          <w14:ligatures w14:val="standardContextual"/>
        </w:rPr>
        <w:t>3.2工作负荷：≥2.67kN，极限负荷：≥23kN。</w:t>
      </w:r>
    </w:p>
    <w:p w14:paraId="19CD1738">
      <w:pPr>
        <w:spacing w:line="360" w:lineRule="auto"/>
        <w:rPr>
          <w:rFonts w:hint="eastAsia" w:cs="宋体"/>
          <w:sz w:val="24"/>
          <w14:ligatures w14:val="standardContextual"/>
        </w:rPr>
      </w:pPr>
      <w:r>
        <w:rPr>
          <w:rFonts w:hint="eastAsia" w:cs="宋体"/>
          <w:sz w:val="24"/>
          <w14:ligatures w14:val="standardContextual"/>
        </w:rPr>
        <w:t>3.3最大使用重量：≥100kg。</w:t>
      </w:r>
    </w:p>
    <w:p w14:paraId="6C00803B">
      <w:pPr>
        <w:spacing w:line="360" w:lineRule="auto"/>
        <w:rPr>
          <w:rFonts w:hint="eastAsia" w:cs="宋体"/>
          <w:sz w:val="24"/>
          <w14:ligatures w14:val="standardContextual"/>
        </w:rPr>
      </w:pPr>
      <w:r>
        <w:rPr>
          <w:rFonts w:hint="eastAsia" w:cs="宋体"/>
          <w:sz w:val="24"/>
          <w14:ligatures w14:val="standardContextual"/>
        </w:rPr>
        <w:t>3.4 S-M（腰围76-98cm）（腿围47-70cm），重量：≤2.6kg</w:t>
      </w:r>
    </w:p>
    <w:p w14:paraId="6A443CCF">
      <w:pPr>
        <w:spacing w:line="360" w:lineRule="auto"/>
        <w:ind w:firstLine="480" w:firstLineChars="200"/>
        <w:rPr>
          <w:rFonts w:hint="eastAsia" w:cs="宋体"/>
          <w:sz w:val="24"/>
          <w14:ligatures w14:val="standardContextual"/>
        </w:rPr>
      </w:pPr>
      <w:r>
        <w:rPr>
          <w:rFonts w:hint="eastAsia" w:cs="宋体"/>
          <w:sz w:val="24"/>
          <w14:ligatures w14:val="standardContextual"/>
        </w:rPr>
        <w:t>M-L（腰围85-139cm）（腿围50-72cm），重量：≤2.7kg</w:t>
      </w:r>
    </w:p>
    <w:p w14:paraId="56DDC842">
      <w:pPr>
        <w:spacing w:line="360" w:lineRule="auto"/>
        <w:rPr>
          <w:rFonts w:hint="eastAsia" w:cs="宋体"/>
          <w:sz w:val="24"/>
          <w14:ligatures w14:val="standardContextual"/>
        </w:rPr>
      </w:pPr>
      <w:r>
        <w:rPr>
          <w:rFonts w:hint="eastAsia" w:cs="宋体"/>
          <w:sz w:val="24"/>
          <w14:ligatures w14:val="standardContextual"/>
        </w:rPr>
        <w:t>3.5 执行标准：XF494-2004 XF494-2023 GB 6095-2021</w:t>
      </w:r>
    </w:p>
    <w:p w14:paraId="15587DDF">
      <w:pPr>
        <w:spacing w:line="360" w:lineRule="auto"/>
        <w:rPr>
          <w:rFonts w:hint="eastAsia" w:cs="宋体"/>
          <w:b/>
          <w:bCs/>
          <w:sz w:val="24"/>
          <w14:ligatures w14:val="standardContextual"/>
        </w:rPr>
      </w:pPr>
      <w:r>
        <w:rPr>
          <w:rFonts w:hint="eastAsia" w:cs="宋体"/>
          <w:b/>
          <w:bCs/>
          <w:sz w:val="24"/>
          <w14:ligatures w14:val="standardContextual"/>
        </w:rPr>
        <w:t>4.可调牛尾绳</w:t>
      </w:r>
    </w:p>
    <w:p w14:paraId="7EE18B15">
      <w:pPr>
        <w:spacing w:line="360" w:lineRule="auto"/>
        <w:rPr>
          <w:rFonts w:hint="eastAsia" w:cs="宋体"/>
          <w:sz w:val="24"/>
          <w14:ligatures w14:val="standardContextual"/>
        </w:rPr>
      </w:pPr>
      <w:r>
        <w:rPr>
          <w:rFonts w:hint="eastAsia" w:cs="宋体"/>
          <w:sz w:val="24"/>
          <w14:ligatures w14:val="standardContextual"/>
        </w:rPr>
        <w:t>4.1符合XF494-2023《消防用防坠落装备》的标准</w:t>
      </w:r>
    </w:p>
    <w:p w14:paraId="2DA191E0">
      <w:pPr>
        <w:spacing w:line="360" w:lineRule="auto"/>
        <w:rPr>
          <w:rFonts w:hint="eastAsia" w:cs="宋体"/>
          <w:sz w:val="24"/>
          <w14:ligatures w14:val="standardContextual"/>
        </w:rPr>
      </w:pPr>
      <w:r>
        <w:rPr>
          <w:rFonts w:hint="eastAsia" w:cs="宋体"/>
          <w:sz w:val="24"/>
          <w14:ligatures w14:val="standardContextual"/>
        </w:rPr>
        <w:t>4.2可调动力绳单牛尾，动力绳可吸收冲击力</w:t>
      </w:r>
    </w:p>
    <w:p w14:paraId="2A6611EC">
      <w:pPr>
        <w:spacing w:line="360" w:lineRule="auto"/>
        <w:rPr>
          <w:rFonts w:hint="eastAsia" w:cs="宋体"/>
          <w:sz w:val="24"/>
          <w14:ligatures w14:val="standardContextual"/>
        </w:rPr>
      </w:pPr>
      <w:r>
        <w:rPr>
          <w:rFonts w:hint="eastAsia" w:cs="宋体"/>
          <w:sz w:val="24"/>
          <w14:ligatures w14:val="standardContextual"/>
        </w:rPr>
        <w:t>4.3配备有绳索调节器，可以很容易调节长度；配备不锈钢安全钩，安全钩拉力≥25KN</w:t>
      </w:r>
    </w:p>
    <w:p w14:paraId="28CA5284">
      <w:pPr>
        <w:spacing w:line="360" w:lineRule="auto"/>
        <w:rPr>
          <w:rFonts w:hint="eastAsia" w:cs="宋体"/>
          <w:sz w:val="24"/>
          <w14:ligatures w14:val="standardContextual"/>
        </w:rPr>
      </w:pPr>
      <w:r>
        <w:rPr>
          <w:rFonts w:hint="eastAsia" w:cs="宋体"/>
          <w:sz w:val="24"/>
          <w14:ligatures w14:val="standardContextual"/>
        </w:rPr>
        <w:t>4.4绳索直径：≥11mm</w:t>
      </w:r>
    </w:p>
    <w:p w14:paraId="74CC6C3D">
      <w:pPr>
        <w:spacing w:line="360" w:lineRule="auto"/>
        <w:rPr>
          <w:rFonts w:hint="eastAsia" w:cs="宋体"/>
          <w:sz w:val="24"/>
          <w14:ligatures w14:val="standardContextual"/>
        </w:rPr>
      </w:pPr>
      <w:r>
        <w:rPr>
          <w:rFonts w:hint="eastAsia" w:cs="宋体"/>
          <w:sz w:val="24"/>
          <w14:ligatures w14:val="standardContextual"/>
        </w:rPr>
        <w:t>4.5破断强度≥15kN</w:t>
      </w:r>
    </w:p>
    <w:p w14:paraId="61615BA4">
      <w:pPr>
        <w:spacing w:line="360" w:lineRule="auto"/>
        <w:rPr>
          <w:rFonts w:hint="eastAsia" w:cs="宋体"/>
          <w:sz w:val="24"/>
          <w14:ligatures w14:val="standardContextual"/>
        </w:rPr>
      </w:pPr>
      <w:r>
        <w:rPr>
          <w:rFonts w:hint="eastAsia" w:cs="宋体"/>
          <w:sz w:val="24"/>
          <w14:ligatures w14:val="standardContextual"/>
        </w:rPr>
        <w:t>4.6最大可调长度：≥1米</w:t>
      </w:r>
    </w:p>
    <w:p w14:paraId="6F05899A">
      <w:pPr>
        <w:spacing w:line="360" w:lineRule="auto"/>
        <w:rPr>
          <w:rFonts w:hint="eastAsia" w:cs="宋体"/>
          <w:sz w:val="24"/>
          <w14:ligatures w14:val="standardContextual"/>
        </w:rPr>
      </w:pPr>
      <w:r>
        <w:rPr>
          <w:rFonts w:hint="eastAsia" w:cs="宋体"/>
          <w:sz w:val="24"/>
          <w14:ligatures w14:val="standardContextual"/>
        </w:rPr>
        <w:t>4.7重量：≤355g</w:t>
      </w:r>
    </w:p>
    <w:p w14:paraId="427CCFC8">
      <w:pPr>
        <w:spacing w:line="360" w:lineRule="auto"/>
        <w:rPr>
          <w:rFonts w:hint="eastAsia" w:cs="宋体"/>
          <w:b/>
          <w:bCs/>
          <w:sz w:val="24"/>
          <w14:ligatures w14:val="standardContextual"/>
        </w:rPr>
      </w:pPr>
      <w:r>
        <w:rPr>
          <w:rFonts w:hint="eastAsia" w:cs="宋体"/>
          <w:b/>
          <w:bCs/>
          <w:sz w:val="24"/>
          <w14:ligatures w14:val="standardContextual"/>
        </w:rPr>
        <w:t>5.安全绳（100米）</w:t>
      </w:r>
    </w:p>
    <w:p w14:paraId="493C08CB">
      <w:pPr>
        <w:spacing w:line="360" w:lineRule="auto"/>
        <w:rPr>
          <w:rFonts w:hint="eastAsia" w:cs="宋体"/>
          <w:sz w:val="24"/>
          <w14:ligatures w14:val="standardContextual"/>
        </w:rPr>
      </w:pPr>
      <w:r>
        <w:rPr>
          <w:rFonts w:hint="eastAsia" w:cs="宋体"/>
          <w:sz w:val="24"/>
          <w14:ligatures w14:val="standardContextual"/>
        </w:rPr>
        <w:t>5.1直径10.5mm的静态绳索</w:t>
      </w:r>
    </w:p>
    <w:p w14:paraId="1F2A251F">
      <w:pPr>
        <w:spacing w:line="360" w:lineRule="auto"/>
        <w:rPr>
          <w:rFonts w:hint="eastAsia" w:cs="宋体"/>
          <w:sz w:val="24"/>
          <w14:ligatures w14:val="standardContextual"/>
        </w:rPr>
      </w:pPr>
      <w:r>
        <w:rPr>
          <w:rFonts w:hint="eastAsia" w:cs="宋体"/>
          <w:sz w:val="24"/>
          <w14:ligatures w14:val="standardContextual"/>
        </w:rPr>
        <w:t>5.2 重量轻，断裂强度高</w:t>
      </w:r>
    </w:p>
    <w:p w14:paraId="2EDED3C7">
      <w:pPr>
        <w:spacing w:line="360" w:lineRule="auto"/>
        <w:rPr>
          <w:rFonts w:hint="eastAsia" w:cs="宋体"/>
          <w:sz w:val="24"/>
          <w14:ligatures w14:val="standardContextual"/>
        </w:rPr>
      </w:pPr>
      <w:r>
        <w:rPr>
          <w:rFonts w:hint="eastAsia" w:cs="宋体"/>
          <w:sz w:val="24"/>
          <w14:ligatures w14:val="standardContextual"/>
        </w:rPr>
        <w:t>5.3 32股编织绳皮提供高耐污性，并且拥有更好的抓握力和高耐磨保护</w:t>
      </w:r>
    </w:p>
    <w:p w14:paraId="356F5801">
      <w:pPr>
        <w:spacing w:line="360" w:lineRule="auto"/>
        <w:rPr>
          <w:rFonts w:hint="eastAsia" w:cs="宋体"/>
          <w:sz w:val="24"/>
          <w14:ligatures w14:val="standardContextual"/>
        </w:rPr>
      </w:pPr>
      <w:r>
        <w:rPr>
          <w:rFonts w:hint="eastAsia" w:cs="宋体"/>
          <w:sz w:val="24"/>
          <w14:ligatures w14:val="standardContextual"/>
        </w:rPr>
        <w:t>5.4 材质：内芯：聚酰胺纤维，外罩：聚酰胺纤维</w:t>
      </w:r>
    </w:p>
    <w:p w14:paraId="0B8FE89F">
      <w:pPr>
        <w:spacing w:line="360" w:lineRule="auto"/>
        <w:rPr>
          <w:rFonts w:hint="eastAsia" w:cs="宋体"/>
          <w:sz w:val="24"/>
          <w14:ligatures w14:val="standardContextual"/>
        </w:rPr>
      </w:pPr>
      <w:r>
        <w:rPr>
          <w:rFonts w:hint="eastAsia" w:cs="宋体"/>
          <w:sz w:val="24"/>
          <w14:ligatures w14:val="standardContextual"/>
        </w:rPr>
        <w:t>5.5直径：≥10.5mm</w:t>
      </w:r>
    </w:p>
    <w:p w14:paraId="2ADBCF77">
      <w:pPr>
        <w:spacing w:line="360" w:lineRule="auto"/>
        <w:rPr>
          <w:rFonts w:hint="eastAsia" w:cs="宋体"/>
          <w:sz w:val="24"/>
          <w14:ligatures w14:val="standardContextual"/>
        </w:rPr>
      </w:pPr>
      <w:r>
        <w:rPr>
          <w:rFonts w:hint="eastAsia" w:cs="宋体"/>
          <w:sz w:val="24"/>
          <w14:ligatures w14:val="standardContextual"/>
        </w:rPr>
        <w:t>5.6重量：72g/米（±5g）</w:t>
      </w:r>
    </w:p>
    <w:p w14:paraId="4DB2C872">
      <w:pPr>
        <w:spacing w:line="360" w:lineRule="auto"/>
        <w:rPr>
          <w:rFonts w:hint="eastAsia" w:cs="宋体"/>
          <w:sz w:val="24"/>
          <w14:ligatures w14:val="standardContextual"/>
        </w:rPr>
      </w:pPr>
      <w:r>
        <w:rPr>
          <w:rFonts w:hint="eastAsia" w:cs="宋体"/>
          <w:sz w:val="24"/>
          <w14:ligatures w14:val="standardContextual"/>
        </w:rPr>
        <w:t>5.7收缩率：≤4%</w:t>
      </w:r>
    </w:p>
    <w:p w14:paraId="5EC08A70">
      <w:pPr>
        <w:spacing w:line="360" w:lineRule="auto"/>
        <w:rPr>
          <w:rFonts w:hint="eastAsia" w:cs="宋体"/>
          <w:sz w:val="24"/>
          <w14:ligatures w14:val="standardContextual"/>
        </w:rPr>
      </w:pPr>
      <w:r>
        <w:rPr>
          <w:rFonts w:hint="eastAsia" w:cs="宋体"/>
          <w:sz w:val="24"/>
          <w14:ligatures w14:val="standardContextual"/>
        </w:rPr>
        <w:t>5.8静态延展率：≤3%</w:t>
      </w:r>
    </w:p>
    <w:p w14:paraId="1B8BE067">
      <w:pPr>
        <w:spacing w:line="360" w:lineRule="auto"/>
        <w:rPr>
          <w:rFonts w:hint="eastAsia" w:cs="宋体"/>
          <w:sz w:val="24"/>
          <w14:ligatures w14:val="standardContextual"/>
        </w:rPr>
      </w:pPr>
      <w:r>
        <w:rPr>
          <w:rFonts w:hint="eastAsia" w:cs="宋体"/>
          <w:sz w:val="24"/>
          <w14:ligatures w14:val="standardContextual"/>
        </w:rPr>
        <w:t>5.9外皮滑动率：0%</w:t>
      </w:r>
    </w:p>
    <w:p w14:paraId="602C909B">
      <w:pPr>
        <w:spacing w:line="360" w:lineRule="auto"/>
        <w:rPr>
          <w:rFonts w:hint="eastAsia" w:cs="宋体"/>
          <w:sz w:val="24"/>
          <w14:ligatures w14:val="standardContextual"/>
        </w:rPr>
      </w:pPr>
      <w:r>
        <w:rPr>
          <w:rFonts w:hint="eastAsia" w:cs="宋体"/>
          <w:sz w:val="24"/>
          <w14:ligatures w14:val="standardContextual"/>
        </w:rPr>
        <w:t>5.10断裂强度：≥32KN</w:t>
      </w:r>
    </w:p>
    <w:p w14:paraId="28B46533">
      <w:pPr>
        <w:spacing w:line="360" w:lineRule="auto"/>
        <w:rPr>
          <w:rFonts w:hint="eastAsia" w:cs="宋体"/>
          <w:sz w:val="24"/>
          <w14:ligatures w14:val="standardContextual"/>
        </w:rPr>
      </w:pPr>
      <w:r>
        <w:rPr>
          <w:rFonts w:hint="eastAsia" w:cs="宋体"/>
          <w:sz w:val="24"/>
          <w14:ligatures w14:val="standardContextual"/>
        </w:rPr>
        <w:t>5.11 8字节点拉力：≥20KN</w:t>
      </w:r>
    </w:p>
    <w:p w14:paraId="2B9B15AB">
      <w:pPr>
        <w:spacing w:line="360" w:lineRule="auto"/>
        <w:rPr>
          <w:rFonts w:hint="eastAsia" w:cs="宋体"/>
          <w:sz w:val="24"/>
          <w14:ligatures w14:val="standardContextual"/>
        </w:rPr>
      </w:pPr>
      <w:r>
        <w:rPr>
          <w:rFonts w:hint="eastAsia" w:cs="宋体"/>
          <w:sz w:val="24"/>
          <w14:ligatures w14:val="standardContextual"/>
        </w:rPr>
        <w:t>5.12 缝制点断裂强度：≥26KN</w:t>
      </w:r>
    </w:p>
    <w:p w14:paraId="779B072D">
      <w:pPr>
        <w:spacing w:line="360" w:lineRule="auto"/>
        <w:rPr>
          <w:rFonts w:hint="eastAsia" w:cs="宋体"/>
          <w:sz w:val="24"/>
          <w14:ligatures w14:val="standardContextual"/>
        </w:rPr>
      </w:pPr>
      <w:r>
        <w:rPr>
          <w:rFonts w:hint="eastAsia" w:cs="宋体"/>
          <w:sz w:val="24"/>
          <w14:ligatures w14:val="standardContextual"/>
        </w:rPr>
        <w:t>5.13 绳皮覆盖率：≥37%</w:t>
      </w:r>
    </w:p>
    <w:p w14:paraId="116F432F">
      <w:pPr>
        <w:spacing w:line="360" w:lineRule="auto"/>
        <w:rPr>
          <w:rFonts w:hint="eastAsia" w:cs="宋体"/>
          <w:sz w:val="24"/>
          <w14:ligatures w14:val="standardContextual"/>
        </w:rPr>
      </w:pPr>
      <w:r>
        <w:rPr>
          <w:rFonts w:hint="eastAsia" w:cs="宋体"/>
          <w:sz w:val="24"/>
          <w14:ligatures w14:val="standardContextual"/>
        </w:rPr>
        <w:t>5.14坠落系数为0.3时的首次冲击力≤5.7KN</w:t>
      </w:r>
    </w:p>
    <w:p w14:paraId="74712309">
      <w:pPr>
        <w:spacing w:line="360" w:lineRule="auto"/>
        <w:rPr>
          <w:rFonts w:hint="eastAsia" w:cs="宋体"/>
          <w:sz w:val="24"/>
          <w14:ligatures w14:val="standardContextual"/>
        </w:rPr>
      </w:pPr>
      <w:r>
        <w:rPr>
          <w:rFonts w:hint="eastAsia" w:cs="宋体"/>
          <w:sz w:val="24"/>
          <w14:ligatures w14:val="standardContextual"/>
        </w:rPr>
        <w:t>5.15坠落系数为1时的坠落次数≥20（100kg）</w:t>
      </w:r>
    </w:p>
    <w:p w14:paraId="3359FC9E">
      <w:pPr>
        <w:spacing w:line="360" w:lineRule="auto"/>
        <w:rPr>
          <w:rFonts w:hint="eastAsia" w:cs="宋体"/>
          <w:sz w:val="24"/>
          <w14:ligatures w14:val="standardContextual"/>
        </w:rPr>
      </w:pPr>
      <w:r>
        <w:rPr>
          <w:rFonts w:hint="eastAsia" w:cs="宋体"/>
          <w:sz w:val="24"/>
          <w14:ligatures w14:val="standardContextual"/>
        </w:rPr>
        <w:t>5.16通过了XF494-2023检测报告</w:t>
      </w:r>
    </w:p>
    <w:p w14:paraId="1E3D060D">
      <w:pPr>
        <w:spacing w:line="360" w:lineRule="auto"/>
        <w:rPr>
          <w:rFonts w:hint="eastAsia" w:cs="宋体"/>
          <w:sz w:val="24"/>
          <w14:ligatures w14:val="standardContextual"/>
        </w:rPr>
      </w:pPr>
      <w:r>
        <w:rPr>
          <w:rFonts w:hint="eastAsia" w:cs="宋体"/>
          <w:sz w:val="24"/>
          <w14:ligatures w14:val="standardContextual"/>
        </w:rPr>
        <w:t>5.17参考颜色：白色，黑色，红色，蓝色，橙色</w:t>
      </w:r>
    </w:p>
    <w:p w14:paraId="261DF398">
      <w:pPr>
        <w:spacing w:line="360" w:lineRule="auto"/>
        <w:rPr>
          <w:rFonts w:hint="eastAsia" w:cs="宋体"/>
          <w:sz w:val="24"/>
          <w14:ligatures w14:val="standardContextual"/>
        </w:rPr>
      </w:pPr>
      <w:r>
        <w:rPr>
          <w:rFonts w:hint="eastAsia" w:cs="宋体"/>
          <w:sz w:val="24"/>
          <w14:ligatures w14:val="standardContextual"/>
        </w:rPr>
        <w:t>5.18需提供第三方检验机构出具的检测报告</w:t>
      </w:r>
    </w:p>
    <w:p w14:paraId="6616E402">
      <w:pPr>
        <w:spacing w:line="360" w:lineRule="auto"/>
        <w:rPr>
          <w:rFonts w:hint="eastAsia" w:cs="宋体"/>
          <w:b/>
          <w:bCs/>
          <w:sz w:val="24"/>
          <w14:ligatures w14:val="standardContextual"/>
        </w:rPr>
      </w:pPr>
      <w:r>
        <w:rPr>
          <w:rFonts w:hint="eastAsia" w:cs="宋体"/>
          <w:b/>
          <w:bCs/>
          <w:sz w:val="24"/>
          <w14:ligatures w14:val="standardContextual"/>
        </w:rPr>
        <w:t>6.安全辅绳（100米）</w:t>
      </w:r>
    </w:p>
    <w:p w14:paraId="1736201C">
      <w:pPr>
        <w:spacing w:line="360" w:lineRule="auto"/>
        <w:rPr>
          <w:rFonts w:hint="eastAsia" w:cs="宋体"/>
          <w:sz w:val="24"/>
          <w14:ligatures w14:val="standardContextual"/>
        </w:rPr>
      </w:pPr>
      <w:r>
        <w:rPr>
          <w:rFonts w:hint="eastAsia" w:cs="宋体"/>
          <w:sz w:val="24"/>
          <w14:ligatures w14:val="standardContextual"/>
        </w:rPr>
        <w:t>6.1直径9.6mm静态绳索</w:t>
      </w:r>
    </w:p>
    <w:p w14:paraId="127A7D8F">
      <w:pPr>
        <w:spacing w:line="360" w:lineRule="auto"/>
        <w:rPr>
          <w:rFonts w:hint="eastAsia" w:cs="宋体"/>
          <w:sz w:val="24"/>
          <w14:ligatures w14:val="standardContextual"/>
        </w:rPr>
      </w:pPr>
      <w:r>
        <w:rPr>
          <w:rFonts w:hint="eastAsia" w:cs="宋体"/>
          <w:sz w:val="24"/>
          <w14:ligatures w14:val="standardContextual"/>
        </w:rPr>
        <w:t>6.2具有独一无二的结构，三个编制内芯呈塔形分布和一个32股编织的绳皮组成</w:t>
      </w:r>
    </w:p>
    <w:p w14:paraId="002F90F3">
      <w:pPr>
        <w:spacing w:line="360" w:lineRule="auto"/>
        <w:rPr>
          <w:rFonts w:hint="eastAsia" w:cs="宋体"/>
          <w:sz w:val="24"/>
          <w14:ligatures w14:val="standardContextual"/>
        </w:rPr>
      </w:pPr>
      <w:r>
        <w:rPr>
          <w:rFonts w:hint="eastAsia" w:cs="宋体"/>
          <w:sz w:val="24"/>
          <w14:ligatures w14:val="standardContextual"/>
        </w:rPr>
        <w:t>6.3可以完美地适应滑轮，并在救援和电动升降机的使用时提供显着的优势</w:t>
      </w:r>
    </w:p>
    <w:p w14:paraId="3BD85E05">
      <w:pPr>
        <w:spacing w:line="360" w:lineRule="auto"/>
        <w:rPr>
          <w:rFonts w:hint="eastAsia" w:cs="宋体"/>
          <w:sz w:val="24"/>
          <w14:ligatures w14:val="standardContextual"/>
        </w:rPr>
      </w:pPr>
      <w:r>
        <w:rPr>
          <w:rFonts w:hint="eastAsia" w:cs="宋体"/>
          <w:sz w:val="24"/>
          <w14:ligatures w14:val="standardContextual"/>
        </w:rPr>
        <w:t>6.4在各种救援和保护装置提供高于平均水平的破断力</w:t>
      </w:r>
    </w:p>
    <w:p w14:paraId="769BB1F1">
      <w:pPr>
        <w:spacing w:line="360" w:lineRule="auto"/>
        <w:rPr>
          <w:rFonts w:hint="eastAsia" w:cs="宋体"/>
          <w:sz w:val="24"/>
          <w14:ligatures w14:val="standardContextual"/>
        </w:rPr>
      </w:pPr>
      <w:r>
        <w:rPr>
          <w:rFonts w:hint="eastAsia" w:cs="宋体"/>
          <w:sz w:val="24"/>
          <w14:ligatures w14:val="standardContextual"/>
        </w:rPr>
        <w:t>6.5特殊的三塔型编织结构在很大程度上防止了任何内芯/绳皮的位移，因此在速降过程中，绳皮几乎不会聚集，具有高耐磨性</w:t>
      </w:r>
    </w:p>
    <w:p w14:paraId="4E0667C1">
      <w:pPr>
        <w:spacing w:line="360" w:lineRule="auto"/>
        <w:rPr>
          <w:rFonts w:hint="eastAsia" w:cs="宋体"/>
          <w:sz w:val="24"/>
          <w14:ligatures w14:val="standardContextual"/>
        </w:rPr>
      </w:pPr>
      <w:r>
        <w:rPr>
          <w:rFonts w:hint="eastAsia" w:cs="宋体"/>
          <w:sz w:val="24"/>
          <w14:ligatures w14:val="standardContextual"/>
        </w:rPr>
        <w:t>6.6直径：≥9.6mm</w:t>
      </w:r>
    </w:p>
    <w:p w14:paraId="66C74508">
      <w:pPr>
        <w:spacing w:line="360" w:lineRule="auto"/>
        <w:rPr>
          <w:rFonts w:hint="eastAsia" w:cs="宋体"/>
          <w:sz w:val="24"/>
          <w14:ligatures w14:val="standardContextual"/>
        </w:rPr>
      </w:pPr>
      <w:r>
        <w:rPr>
          <w:rFonts w:hint="eastAsia" w:cs="宋体"/>
          <w:sz w:val="24"/>
          <w14:ligatures w14:val="standardContextual"/>
        </w:rPr>
        <w:t>6.7重量：61g/米（±5g）</w:t>
      </w:r>
    </w:p>
    <w:p w14:paraId="05B02FA8">
      <w:pPr>
        <w:spacing w:line="360" w:lineRule="auto"/>
        <w:rPr>
          <w:rFonts w:hint="eastAsia" w:cs="宋体"/>
          <w:sz w:val="24"/>
          <w14:ligatures w14:val="standardContextual"/>
        </w:rPr>
      </w:pPr>
      <w:r>
        <w:rPr>
          <w:rFonts w:hint="eastAsia" w:cs="宋体"/>
          <w:sz w:val="24"/>
          <w14:ligatures w14:val="standardContextual"/>
        </w:rPr>
        <w:t>6.8材料：聚酰胺</w:t>
      </w:r>
    </w:p>
    <w:p w14:paraId="5320FB26">
      <w:pPr>
        <w:spacing w:line="360" w:lineRule="auto"/>
        <w:rPr>
          <w:rFonts w:hint="eastAsia" w:cs="宋体"/>
          <w:sz w:val="24"/>
          <w14:ligatures w14:val="standardContextual"/>
        </w:rPr>
      </w:pPr>
      <w:r>
        <w:rPr>
          <w:rFonts w:hint="eastAsia" w:cs="宋体"/>
          <w:sz w:val="24"/>
          <w14:ligatures w14:val="standardContextual"/>
        </w:rPr>
        <w:t>6.9收缩率：≤3%</w:t>
      </w:r>
    </w:p>
    <w:p w14:paraId="334FC6B5">
      <w:pPr>
        <w:spacing w:line="360" w:lineRule="auto"/>
        <w:rPr>
          <w:rFonts w:hint="eastAsia" w:cs="宋体"/>
          <w:sz w:val="24"/>
          <w14:ligatures w14:val="standardContextual"/>
        </w:rPr>
      </w:pPr>
      <w:r>
        <w:rPr>
          <w:rFonts w:hint="eastAsia" w:cs="宋体"/>
          <w:sz w:val="24"/>
          <w14:ligatures w14:val="standardContextual"/>
        </w:rPr>
        <w:t>6.10静态延展率：≤4%</w:t>
      </w:r>
    </w:p>
    <w:p w14:paraId="1686E8CB">
      <w:pPr>
        <w:spacing w:line="360" w:lineRule="auto"/>
        <w:rPr>
          <w:rFonts w:hint="eastAsia" w:cs="宋体"/>
          <w:sz w:val="24"/>
          <w14:ligatures w14:val="standardContextual"/>
        </w:rPr>
      </w:pPr>
      <w:r>
        <w:rPr>
          <w:rFonts w:hint="eastAsia" w:cs="宋体"/>
          <w:sz w:val="24"/>
          <w14:ligatures w14:val="standardContextual"/>
        </w:rPr>
        <w:t>6.11断裂强度：≥25KN</w:t>
      </w:r>
    </w:p>
    <w:p w14:paraId="509D81D2">
      <w:pPr>
        <w:spacing w:line="360" w:lineRule="auto"/>
        <w:rPr>
          <w:rFonts w:hint="eastAsia" w:cs="宋体"/>
          <w:sz w:val="24"/>
          <w14:ligatures w14:val="standardContextual"/>
        </w:rPr>
      </w:pPr>
      <w:r>
        <w:rPr>
          <w:rFonts w:hint="eastAsia" w:cs="宋体"/>
          <w:sz w:val="24"/>
          <w14:ligatures w14:val="standardContextual"/>
        </w:rPr>
        <w:t>6.12 8字节点拉力：≥19KN</w:t>
      </w:r>
    </w:p>
    <w:p w14:paraId="458A3978">
      <w:pPr>
        <w:spacing w:line="360" w:lineRule="auto"/>
        <w:rPr>
          <w:rFonts w:hint="eastAsia" w:cs="宋体"/>
          <w:sz w:val="24"/>
          <w14:ligatures w14:val="standardContextual"/>
        </w:rPr>
      </w:pPr>
      <w:r>
        <w:rPr>
          <w:rFonts w:hint="eastAsia" w:cs="宋体"/>
          <w:sz w:val="24"/>
          <w14:ligatures w14:val="standardContextual"/>
        </w:rPr>
        <w:t>6.13 绳皮覆盖率：≥40%</w:t>
      </w:r>
    </w:p>
    <w:p w14:paraId="62CB84D0">
      <w:pPr>
        <w:spacing w:line="360" w:lineRule="auto"/>
        <w:rPr>
          <w:rFonts w:hint="eastAsia" w:cs="宋体"/>
          <w:sz w:val="24"/>
          <w14:ligatures w14:val="standardContextual"/>
        </w:rPr>
      </w:pPr>
      <w:r>
        <w:rPr>
          <w:rFonts w:hint="eastAsia" w:cs="宋体"/>
          <w:sz w:val="24"/>
          <w14:ligatures w14:val="standardContextual"/>
        </w:rPr>
        <w:t>6.14 缝制点断裂强度：≥22KN</w:t>
      </w:r>
    </w:p>
    <w:p w14:paraId="34B2FFB2">
      <w:pPr>
        <w:spacing w:line="360" w:lineRule="auto"/>
        <w:rPr>
          <w:rFonts w:hint="eastAsia" w:cs="宋体"/>
          <w:sz w:val="24"/>
          <w14:ligatures w14:val="standardContextual"/>
        </w:rPr>
      </w:pPr>
      <w:r>
        <w:rPr>
          <w:rFonts w:hint="eastAsia" w:cs="宋体"/>
          <w:sz w:val="24"/>
          <w14:ligatures w14:val="standardContextual"/>
        </w:rPr>
        <w:t xml:space="preserve">6.15 坠落系数为1时的坠落次数：≥20（100kg） </w:t>
      </w:r>
    </w:p>
    <w:p w14:paraId="52082B3A">
      <w:pPr>
        <w:spacing w:line="360" w:lineRule="auto"/>
        <w:rPr>
          <w:rFonts w:hint="eastAsia" w:cs="宋体"/>
          <w:b/>
          <w:bCs/>
          <w:sz w:val="24"/>
          <w14:ligatures w14:val="standardContextual"/>
        </w:rPr>
      </w:pPr>
      <w:r>
        <w:rPr>
          <w:rFonts w:hint="eastAsia" w:cs="宋体"/>
          <w:b/>
          <w:bCs/>
          <w:sz w:val="24"/>
          <w14:ligatures w14:val="standardContextual"/>
        </w:rPr>
        <w:t>7.安全钩</w:t>
      </w:r>
    </w:p>
    <w:p w14:paraId="1E6F2890">
      <w:pPr>
        <w:spacing w:line="360" w:lineRule="auto"/>
        <w:rPr>
          <w:rFonts w:hint="eastAsia" w:cs="宋体"/>
          <w:sz w:val="24"/>
          <w14:ligatures w14:val="standardContextual"/>
        </w:rPr>
      </w:pPr>
      <w:r>
        <w:rPr>
          <w:rFonts w:hint="eastAsia" w:cs="宋体"/>
          <w:sz w:val="24"/>
          <w14:ligatures w14:val="standardContextual"/>
        </w:rPr>
        <w:t>7.1 适用范围:消防/警用/救援/工业/攀岩/攀冰/登山/探洞/攀树</w:t>
      </w:r>
    </w:p>
    <w:p w14:paraId="2973E3A5">
      <w:pPr>
        <w:spacing w:line="360" w:lineRule="auto"/>
        <w:rPr>
          <w:rFonts w:hint="eastAsia" w:cs="宋体"/>
          <w:sz w:val="24"/>
          <w14:ligatures w14:val="standardContextual"/>
        </w:rPr>
      </w:pPr>
      <w:r>
        <w:rPr>
          <w:rFonts w:hint="eastAsia" w:cs="宋体"/>
          <w:sz w:val="24"/>
          <w14:ligatures w14:val="standardContextual"/>
        </w:rPr>
        <w:t>（2）材质：铝合金</w:t>
      </w:r>
    </w:p>
    <w:p w14:paraId="5DF107C8">
      <w:pPr>
        <w:spacing w:line="360" w:lineRule="auto"/>
        <w:rPr>
          <w:rFonts w:hint="eastAsia" w:cs="宋体"/>
          <w:sz w:val="24"/>
          <w14:ligatures w14:val="standardContextual"/>
        </w:rPr>
      </w:pPr>
      <w:r>
        <w:rPr>
          <w:rFonts w:hint="eastAsia" w:cs="宋体"/>
          <w:sz w:val="24"/>
          <w14:ligatures w14:val="standardContextual"/>
        </w:rPr>
        <w:t>（3）参考颜色：黑色</w:t>
      </w:r>
    </w:p>
    <w:p w14:paraId="02C47181">
      <w:pPr>
        <w:spacing w:line="360" w:lineRule="auto"/>
        <w:rPr>
          <w:rFonts w:hint="eastAsia" w:cs="宋体"/>
          <w:sz w:val="24"/>
          <w14:ligatures w14:val="standardContextual"/>
        </w:rPr>
      </w:pPr>
      <w:r>
        <w:rPr>
          <w:rFonts w:hint="eastAsia" w:cs="宋体"/>
          <w:sz w:val="24"/>
          <w14:ligatures w14:val="standardContextual"/>
        </w:rPr>
        <w:t>（4）横向拉力≥27KN，纵向拉力≥8KN，开门拉力≥9KN</w:t>
      </w:r>
    </w:p>
    <w:p w14:paraId="45432047">
      <w:pPr>
        <w:spacing w:line="360" w:lineRule="auto"/>
        <w:rPr>
          <w:rFonts w:hint="eastAsia" w:cs="宋体"/>
          <w:sz w:val="24"/>
          <w14:ligatures w14:val="standardContextual"/>
        </w:rPr>
      </w:pPr>
      <w:r>
        <w:rPr>
          <w:rFonts w:hint="eastAsia" w:cs="宋体"/>
          <w:sz w:val="24"/>
          <w14:ligatures w14:val="standardContextual"/>
        </w:rPr>
        <w:t>（5）重量：78g（±5g）</w:t>
      </w:r>
    </w:p>
    <w:p w14:paraId="3B3A2966">
      <w:pPr>
        <w:spacing w:line="360" w:lineRule="auto"/>
        <w:rPr>
          <w:rFonts w:hint="eastAsia" w:cs="宋体"/>
          <w:sz w:val="24"/>
          <w14:ligatures w14:val="standardContextual"/>
        </w:rPr>
      </w:pPr>
      <w:r>
        <w:rPr>
          <w:rFonts w:hint="eastAsia" w:cs="宋体"/>
          <w:sz w:val="24"/>
          <w14:ligatures w14:val="standardContextual"/>
        </w:rPr>
        <w:t>（6）长度：112mm（±2mm），宽度：72mm（±2mm）</w:t>
      </w:r>
    </w:p>
    <w:p w14:paraId="41530439">
      <w:pPr>
        <w:spacing w:line="360" w:lineRule="auto"/>
        <w:rPr>
          <w:rFonts w:hint="eastAsia" w:cs="宋体"/>
          <w:sz w:val="24"/>
          <w14:ligatures w14:val="standardContextual"/>
        </w:rPr>
      </w:pPr>
      <w:r>
        <w:rPr>
          <w:rFonts w:hint="eastAsia" w:cs="宋体"/>
          <w:sz w:val="24"/>
          <w14:ligatures w14:val="standardContextual"/>
        </w:rPr>
        <w:t>（7）开门尺寸：22mm（±2mm）</w:t>
      </w:r>
    </w:p>
    <w:p w14:paraId="28D5D434">
      <w:pPr>
        <w:spacing w:line="360" w:lineRule="auto"/>
        <w:rPr>
          <w:rFonts w:hint="eastAsia" w:cs="宋体"/>
          <w:sz w:val="24"/>
          <w14:ligatures w14:val="standardContextual"/>
        </w:rPr>
      </w:pPr>
      <w:r>
        <w:rPr>
          <w:rFonts w:hint="eastAsia" w:cs="宋体"/>
          <w:sz w:val="24"/>
          <w14:ligatures w14:val="standardContextual"/>
        </w:rPr>
        <w:t>7.2 适用范围:消防/警用/救援/工业/攀岩/攀冰/登山/探洞/攀树</w:t>
      </w:r>
    </w:p>
    <w:p w14:paraId="2E3A8C09">
      <w:pPr>
        <w:spacing w:line="360" w:lineRule="auto"/>
        <w:rPr>
          <w:rFonts w:hint="eastAsia" w:cs="宋体"/>
          <w:sz w:val="24"/>
          <w14:ligatures w14:val="standardContextual"/>
        </w:rPr>
      </w:pPr>
      <w:r>
        <w:rPr>
          <w:rFonts w:hint="eastAsia" w:cs="宋体"/>
          <w:sz w:val="24"/>
          <w14:ligatures w14:val="standardContextual"/>
        </w:rPr>
        <w:t>（4）材质：铝合金</w:t>
      </w:r>
    </w:p>
    <w:p w14:paraId="171AF124">
      <w:pPr>
        <w:spacing w:line="360" w:lineRule="auto"/>
        <w:rPr>
          <w:rFonts w:hint="eastAsia" w:cs="宋体"/>
          <w:sz w:val="24"/>
          <w14:ligatures w14:val="standardContextual"/>
        </w:rPr>
      </w:pPr>
      <w:r>
        <w:rPr>
          <w:rFonts w:hint="eastAsia" w:cs="宋体"/>
          <w:sz w:val="24"/>
          <w14:ligatures w14:val="standardContextual"/>
        </w:rPr>
        <w:t>（5）参考颜色：红色、黑色</w:t>
      </w:r>
    </w:p>
    <w:p w14:paraId="7FA1AA92">
      <w:pPr>
        <w:spacing w:line="360" w:lineRule="auto"/>
        <w:rPr>
          <w:rFonts w:hint="eastAsia" w:cs="宋体"/>
          <w:sz w:val="24"/>
          <w14:ligatures w14:val="standardContextual"/>
        </w:rPr>
      </w:pPr>
      <w:r>
        <w:rPr>
          <w:rFonts w:hint="eastAsia" w:cs="宋体"/>
          <w:sz w:val="24"/>
          <w14:ligatures w14:val="standardContextual"/>
        </w:rPr>
        <w:t>（6）横向拉力≥26KN，纵向拉力≥12KN，开门拉力≥8KN</w:t>
      </w:r>
    </w:p>
    <w:p w14:paraId="7819A197">
      <w:pPr>
        <w:spacing w:line="360" w:lineRule="auto"/>
        <w:rPr>
          <w:rFonts w:hint="eastAsia" w:cs="宋体"/>
          <w:sz w:val="24"/>
          <w14:ligatures w14:val="standardContextual"/>
        </w:rPr>
      </w:pPr>
      <w:r>
        <w:rPr>
          <w:rFonts w:hint="eastAsia" w:cs="宋体"/>
          <w:sz w:val="24"/>
          <w14:ligatures w14:val="standardContextual"/>
        </w:rPr>
        <w:t>（7）重量：72g（±5g）</w:t>
      </w:r>
    </w:p>
    <w:p w14:paraId="0A59161E">
      <w:pPr>
        <w:spacing w:line="360" w:lineRule="auto"/>
        <w:rPr>
          <w:rFonts w:hint="eastAsia" w:cs="宋体"/>
          <w:sz w:val="24"/>
          <w14:ligatures w14:val="standardContextual"/>
        </w:rPr>
      </w:pPr>
      <w:r>
        <w:rPr>
          <w:rFonts w:hint="eastAsia" w:cs="宋体"/>
          <w:sz w:val="24"/>
          <w14:ligatures w14:val="standardContextual"/>
        </w:rPr>
        <w:t>（8）长度：110mm（±2mm），宽度：62.6mm（±2mm）</w:t>
      </w:r>
    </w:p>
    <w:p w14:paraId="16B244E8">
      <w:pPr>
        <w:spacing w:line="360" w:lineRule="auto"/>
        <w:rPr>
          <w:rFonts w:hint="eastAsia" w:cs="宋体"/>
          <w:sz w:val="24"/>
          <w14:ligatures w14:val="standardContextual"/>
        </w:rPr>
      </w:pPr>
      <w:r>
        <w:rPr>
          <w:rFonts w:hint="eastAsia" w:cs="宋体"/>
          <w:sz w:val="24"/>
          <w14:ligatures w14:val="standardContextual"/>
        </w:rPr>
        <w:t>（9）开门尺寸：21mm（±2mm）</w:t>
      </w:r>
    </w:p>
    <w:p w14:paraId="500A411C">
      <w:pPr>
        <w:spacing w:line="360" w:lineRule="auto"/>
        <w:rPr>
          <w:rFonts w:hint="eastAsia" w:cs="宋体"/>
          <w:b/>
          <w:bCs/>
          <w:sz w:val="24"/>
          <w14:ligatures w14:val="standardContextual"/>
        </w:rPr>
      </w:pPr>
      <w:r>
        <w:rPr>
          <w:rFonts w:hint="eastAsia" w:cs="宋体"/>
          <w:b/>
          <w:bCs/>
          <w:sz w:val="24"/>
          <w14:ligatures w14:val="standardContextual"/>
        </w:rPr>
        <w:t>（10）需提供第三方检验机构出具的检测报告</w:t>
      </w:r>
    </w:p>
    <w:p w14:paraId="3470BE4B">
      <w:pPr>
        <w:spacing w:line="360" w:lineRule="auto"/>
        <w:rPr>
          <w:rFonts w:hint="eastAsia" w:cs="宋体"/>
          <w:b/>
          <w:bCs/>
          <w:sz w:val="24"/>
          <w14:ligatures w14:val="standardContextual"/>
        </w:rPr>
      </w:pPr>
      <w:r>
        <w:rPr>
          <w:rFonts w:hint="eastAsia" w:cs="宋体"/>
          <w:b/>
          <w:bCs/>
          <w:sz w:val="24"/>
          <w14:ligatures w14:val="standardContextual"/>
        </w:rPr>
        <w:t>8.钢制安全钩</w:t>
      </w:r>
    </w:p>
    <w:p w14:paraId="64410508">
      <w:pPr>
        <w:spacing w:line="360" w:lineRule="auto"/>
        <w:rPr>
          <w:rFonts w:hint="eastAsia" w:cs="宋体"/>
          <w:sz w:val="24"/>
          <w14:ligatures w14:val="standardContextual"/>
        </w:rPr>
      </w:pPr>
      <w:r>
        <w:rPr>
          <w:rFonts w:hint="eastAsia" w:cs="宋体"/>
          <w:sz w:val="24"/>
          <w14:ligatures w14:val="standardContextual"/>
        </w:rPr>
        <w:t>8.1 适用范围:消防/警用/救援/工业/攀岩/攀冰/登山/探洞/攀树</w:t>
      </w:r>
    </w:p>
    <w:p w14:paraId="2D6AF02E">
      <w:pPr>
        <w:spacing w:line="360" w:lineRule="auto"/>
        <w:rPr>
          <w:rFonts w:hint="eastAsia" w:cs="宋体"/>
          <w:sz w:val="24"/>
          <w14:ligatures w14:val="standardContextual"/>
        </w:rPr>
      </w:pPr>
      <w:r>
        <w:rPr>
          <w:rFonts w:hint="eastAsia" w:cs="宋体"/>
          <w:sz w:val="24"/>
          <w14:ligatures w14:val="standardContextual"/>
        </w:rPr>
        <w:t>（4）材质：碳钢主体经过锌镍处理，具有双重耐磨耐腐蚀性</w:t>
      </w:r>
    </w:p>
    <w:p w14:paraId="7A8CDA3E">
      <w:pPr>
        <w:spacing w:line="360" w:lineRule="auto"/>
        <w:rPr>
          <w:rFonts w:hint="eastAsia" w:cs="宋体"/>
          <w:sz w:val="24"/>
          <w14:ligatures w14:val="standardContextual"/>
        </w:rPr>
      </w:pPr>
      <w:r>
        <w:rPr>
          <w:rFonts w:hint="eastAsia" w:cs="宋体"/>
          <w:sz w:val="24"/>
          <w14:ligatures w14:val="standardContextual"/>
        </w:rPr>
        <w:t>（5）拉力：横向拉力≥40KN，纵向拉力≥15KN，开口拉力≥13KN</w:t>
      </w:r>
    </w:p>
    <w:p w14:paraId="089D6BF2">
      <w:pPr>
        <w:spacing w:line="360" w:lineRule="auto"/>
        <w:rPr>
          <w:rFonts w:hint="eastAsia" w:cs="宋体"/>
          <w:sz w:val="24"/>
          <w14:ligatures w14:val="standardContextual"/>
        </w:rPr>
      </w:pPr>
      <w:r>
        <w:rPr>
          <w:rFonts w:hint="eastAsia" w:cs="宋体"/>
          <w:sz w:val="24"/>
          <w14:ligatures w14:val="standardContextual"/>
        </w:rPr>
        <w:t>（6）重量：210g（±5g）</w:t>
      </w:r>
    </w:p>
    <w:p w14:paraId="1A42DA4A">
      <w:pPr>
        <w:spacing w:line="360" w:lineRule="auto"/>
        <w:rPr>
          <w:rFonts w:hint="eastAsia" w:cs="宋体"/>
          <w:sz w:val="24"/>
          <w14:ligatures w14:val="standardContextual"/>
        </w:rPr>
      </w:pPr>
      <w:r>
        <w:rPr>
          <w:rFonts w:hint="eastAsia" w:cs="宋体"/>
          <w:sz w:val="24"/>
          <w14:ligatures w14:val="standardContextual"/>
        </w:rPr>
        <w:t>（7）长度：110mm（±2mm），宽度：62.6mm（±2mm），开门尺寸：21mm（±2mm）</w:t>
      </w:r>
    </w:p>
    <w:p w14:paraId="11BD0547">
      <w:pPr>
        <w:spacing w:line="360" w:lineRule="auto"/>
        <w:rPr>
          <w:rFonts w:hint="eastAsia" w:cs="宋体"/>
          <w:sz w:val="24"/>
          <w14:ligatures w14:val="standardContextual"/>
        </w:rPr>
      </w:pPr>
      <w:r>
        <w:rPr>
          <w:rFonts w:hint="eastAsia" w:cs="宋体"/>
          <w:sz w:val="24"/>
          <w14:ligatures w14:val="standardContextual"/>
        </w:rPr>
        <w:t>8.2 适用范围:消防/警用/救援/工业/攀岩/攀冰/登山/探洞/攀树</w:t>
      </w:r>
    </w:p>
    <w:p w14:paraId="1B8037B5">
      <w:pPr>
        <w:spacing w:line="360" w:lineRule="auto"/>
        <w:rPr>
          <w:rFonts w:hint="eastAsia" w:cs="宋体"/>
          <w:sz w:val="24"/>
          <w14:ligatures w14:val="standardContextual"/>
        </w:rPr>
      </w:pPr>
      <w:r>
        <w:rPr>
          <w:rFonts w:hint="eastAsia" w:cs="宋体"/>
          <w:sz w:val="24"/>
          <w14:ligatures w14:val="standardContextual"/>
        </w:rPr>
        <w:t>（4）材质：碳钢主体经过锌镍处理，具有双重耐磨耐腐蚀性</w:t>
      </w:r>
    </w:p>
    <w:p w14:paraId="20E5D619">
      <w:pPr>
        <w:spacing w:line="360" w:lineRule="auto"/>
        <w:rPr>
          <w:rFonts w:hint="eastAsia" w:cs="宋体"/>
          <w:sz w:val="24"/>
          <w14:ligatures w14:val="standardContextual"/>
        </w:rPr>
      </w:pPr>
      <w:r>
        <w:rPr>
          <w:rFonts w:hint="eastAsia" w:cs="宋体"/>
          <w:sz w:val="24"/>
          <w14:ligatures w14:val="standardContextual"/>
        </w:rPr>
        <w:t>（5）拉力：横向拉力≥40KN，纵向拉力≥15KN，开口拉力：≥13KN）</w:t>
      </w:r>
    </w:p>
    <w:p w14:paraId="2C535187">
      <w:pPr>
        <w:spacing w:line="360" w:lineRule="auto"/>
        <w:rPr>
          <w:rFonts w:hint="eastAsia" w:cs="宋体"/>
          <w:sz w:val="24"/>
          <w14:ligatures w14:val="standardContextual"/>
        </w:rPr>
      </w:pPr>
      <w:r>
        <w:rPr>
          <w:rFonts w:hint="eastAsia" w:cs="宋体"/>
          <w:sz w:val="24"/>
          <w14:ligatures w14:val="standardContextual"/>
        </w:rPr>
        <w:t>（6）重量：220g（±5g）</w:t>
      </w:r>
    </w:p>
    <w:p w14:paraId="136B76B9">
      <w:pPr>
        <w:spacing w:line="360" w:lineRule="auto"/>
        <w:rPr>
          <w:rFonts w:hint="eastAsia" w:cs="宋体"/>
          <w:sz w:val="24"/>
          <w14:ligatures w14:val="standardContextual"/>
        </w:rPr>
      </w:pPr>
      <w:r>
        <w:rPr>
          <w:rFonts w:hint="eastAsia" w:cs="宋体"/>
          <w:sz w:val="24"/>
          <w14:ligatures w14:val="standardContextual"/>
        </w:rPr>
        <w:t>（7）长度：108mm（±2mm），宽度：63mm（±2mm），开门尺寸：19mm（±2mm）</w:t>
      </w:r>
    </w:p>
    <w:p w14:paraId="1CB6400C">
      <w:pPr>
        <w:spacing w:line="360" w:lineRule="auto"/>
        <w:rPr>
          <w:rFonts w:hint="eastAsia" w:cs="宋体"/>
          <w:b/>
          <w:bCs/>
          <w:sz w:val="24"/>
          <w14:ligatures w14:val="standardContextual"/>
        </w:rPr>
      </w:pPr>
      <w:r>
        <w:rPr>
          <w:rFonts w:hint="eastAsia" w:cs="宋体"/>
          <w:b/>
          <w:bCs/>
          <w:sz w:val="24"/>
          <w14:ligatures w14:val="standardContextual"/>
        </w:rPr>
        <w:t>（8）需提供第三方检验机构出具的检测报告</w:t>
      </w:r>
    </w:p>
    <w:p w14:paraId="16C3BF9D">
      <w:pPr>
        <w:spacing w:line="360" w:lineRule="auto"/>
        <w:rPr>
          <w:rFonts w:hint="eastAsia" w:cs="宋体"/>
          <w:b/>
          <w:bCs/>
          <w:sz w:val="24"/>
          <w14:ligatures w14:val="standardContextual"/>
        </w:rPr>
      </w:pPr>
      <w:r>
        <w:rPr>
          <w:rFonts w:hint="eastAsia" w:cs="宋体"/>
          <w:b/>
          <w:bCs/>
          <w:sz w:val="24"/>
          <w14:ligatures w14:val="standardContextual"/>
        </w:rPr>
        <w:t>9.上升器</w:t>
      </w:r>
    </w:p>
    <w:p w14:paraId="6E9AA6CD">
      <w:pPr>
        <w:spacing w:line="360" w:lineRule="auto"/>
        <w:rPr>
          <w:rFonts w:hint="eastAsia" w:cs="宋体"/>
          <w:sz w:val="24"/>
          <w14:ligatures w14:val="standardContextual"/>
        </w:rPr>
      </w:pPr>
      <w:r>
        <w:rPr>
          <w:rFonts w:hint="eastAsia" w:cs="宋体"/>
          <w:sz w:val="24"/>
          <w14:ligatures w14:val="standardContextual"/>
        </w:rPr>
        <w:t>9.1右手式上升器</w:t>
      </w:r>
    </w:p>
    <w:p w14:paraId="3DFDEC3A">
      <w:pPr>
        <w:spacing w:line="360" w:lineRule="auto"/>
        <w:rPr>
          <w:rFonts w:hint="eastAsia" w:cs="宋体"/>
          <w:sz w:val="24"/>
          <w14:ligatures w14:val="standardContextual"/>
        </w:rPr>
      </w:pPr>
      <w:r>
        <w:rPr>
          <w:rFonts w:hint="eastAsia" w:cs="宋体"/>
          <w:sz w:val="24"/>
          <w14:ligatures w14:val="standardContextual"/>
        </w:rPr>
        <w:t>9.2在绳索的任何位置都可以用单手打开或安装</w:t>
      </w:r>
    </w:p>
    <w:p w14:paraId="515C3A52">
      <w:pPr>
        <w:spacing w:line="360" w:lineRule="auto"/>
        <w:rPr>
          <w:rFonts w:hint="eastAsia" w:cs="宋体"/>
          <w:sz w:val="24"/>
          <w14:ligatures w14:val="standardContextual"/>
        </w:rPr>
      </w:pPr>
      <w:r>
        <w:rPr>
          <w:rFonts w:hint="eastAsia" w:cs="宋体"/>
          <w:sz w:val="24"/>
          <w14:ligatures w14:val="standardContextual"/>
        </w:rPr>
        <w:t>9.3上升器棘轮带有排泥及防冰雪设计，避免绳索结冰或沾满泥水时打滑</w:t>
      </w:r>
    </w:p>
    <w:p w14:paraId="5A36400B">
      <w:pPr>
        <w:spacing w:line="360" w:lineRule="auto"/>
        <w:rPr>
          <w:rFonts w:hint="eastAsia" w:cs="宋体"/>
          <w:sz w:val="24"/>
          <w14:ligatures w14:val="standardContextual"/>
        </w:rPr>
      </w:pPr>
      <w:r>
        <w:rPr>
          <w:rFonts w:hint="eastAsia" w:cs="宋体"/>
          <w:sz w:val="24"/>
          <w14:ligatures w14:val="standardContextual"/>
        </w:rPr>
        <w:t>9.4适用绳直径8-13mm，</w:t>
      </w:r>
    </w:p>
    <w:p w14:paraId="6E43C12E">
      <w:pPr>
        <w:spacing w:line="360" w:lineRule="auto"/>
        <w:rPr>
          <w:rFonts w:hint="eastAsia" w:cs="宋体"/>
          <w:sz w:val="24"/>
          <w14:ligatures w14:val="standardContextual"/>
        </w:rPr>
      </w:pPr>
      <w:r>
        <w:rPr>
          <w:rFonts w:hint="eastAsia" w:cs="宋体"/>
          <w:sz w:val="24"/>
          <w14:ligatures w14:val="standardContextual"/>
        </w:rPr>
        <w:t>9.5重量：≤210g</w:t>
      </w:r>
    </w:p>
    <w:p w14:paraId="38570416">
      <w:pPr>
        <w:spacing w:line="360" w:lineRule="auto"/>
        <w:rPr>
          <w:rFonts w:hint="eastAsia" w:cs="宋体"/>
          <w:sz w:val="24"/>
          <w14:ligatures w14:val="standardContextual"/>
        </w:rPr>
      </w:pPr>
      <w:r>
        <w:rPr>
          <w:rFonts w:hint="eastAsia" w:cs="宋体"/>
          <w:sz w:val="24"/>
          <w14:ligatures w14:val="standardContextual"/>
        </w:rPr>
        <w:t>9.6工作负荷：≥5kN</w:t>
      </w:r>
    </w:p>
    <w:p w14:paraId="7D449BED">
      <w:pPr>
        <w:spacing w:line="360" w:lineRule="auto"/>
        <w:rPr>
          <w:rFonts w:hint="eastAsia" w:cs="宋体"/>
          <w:sz w:val="24"/>
          <w14:ligatures w14:val="standardContextual"/>
        </w:rPr>
      </w:pPr>
      <w:r>
        <w:rPr>
          <w:rFonts w:hint="eastAsia" w:cs="宋体"/>
          <w:sz w:val="24"/>
          <w14:ligatures w14:val="standardContextual"/>
        </w:rPr>
        <w:t>9.7参考颜色：橘红色</w:t>
      </w:r>
    </w:p>
    <w:p w14:paraId="4C1ECE6E">
      <w:pPr>
        <w:spacing w:line="360" w:lineRule="auto"/>
        <w:rPr>
          <w:rFonts w:hint="eastAsia" w:cs="宋体"/>
          <w:sz w:val="24"/>
          <w14:ligatures w14:val="standardContextual"/>
        </w:rPr>
      </w:pPr>
      <w:r>
        <w:rPr>
          <w:rFonts w:hint="eastAsia" w:cs="宋体"/>
          <w:sz w:val="24"/>
          <w14:ligatures w14:val="standardContextual"/>
        </w:rPr>
        <w:t>9.8执行标准：XF494-2023</w:t>
      </w:r>
    </w:p>
    <w:p w14:paraId="54E22B33">
      <w:pPr>
        <w:spacing w:line="360" w:lineRule="auto"/>
        <w:rPr>
          <w:rFonts w:hint="eastAsia" w:cs="宋体"/>
          <w:b/>
          <w:bCs/>
          <w:sz w:val="24"/>
          <w14:ligatures w14:val="standardContextual"/>
        </w:rPr>
      </w:pPr>
      <w:r>
        <w:rPr>
          <w:rFonts w:hint="eastAsia" w:cs="宋体"/>
          <w:b/>
          <w:bCs/>
          <w:sz w:val="24"/>
          <w14:ligatures w14:val="standardContextual"/>
        </w:rPr>
        <w:t>10.抓绳器</w:t>
      </w:r>
    </w:p>
    <w:p w14:paraId="03A02A2F">
      <w:pPr>
        <w:spacing w:line="360" w:lineRule="auto"/>
        <w:rPr>
          <w:rFonts w:hint="eastAsia" w:cs="宋体"/>
          <w:sz w:val="24"/>
          <w14:ligatures w14:val="standardContextual"/>
        </w:rPr>
      </w:pPr>
      <w:r>
        <w:rPr>
          <w:rFonts w:hint="eastAsia" w:cs="宋体"/>
          <w:sz w:val="24"/>
          <w14:ligatures w14:val="standardContextual"/>
        </w:rPr>
        <w:t>10.1双向移动的挤压式止坠器，可双向跟踪使用者并保护有可能发生的坠落</w:t>
      </w:r>
    </w:p>
    <w:p w14:paraId="327EFAB5">
      <w:pPr>
        <w:spacing w:line="360" w:lineRule="auto"/>
        <w:rPr>
          <w:rFonts w:hint="eastAsia" w:cs="宋体"/>
          <w:sz w:val="24"/>
          <w14:ligatures w14:val="standardContextual"/>
        </w:rPr>
      </w:pPr>
      <w:r>
        <w:rPr>
          <w:rFonts w:hint="eastAsia" w:cs="宋体"/>
          <w:sz w:val="24"/>
          <w14:ligatures w14:val="standardContextual"/>
        </w:rPr>
        <w:t>10.2采用杠杆挤压式制动，制停时不会对绳索造成损伤</w:t>
      </w:r>
    </w:p>
    <w:p w14:paraId="4C64BCFB">
      <w:pPr>
        <w:spacing w:line="360" w:lineRule="auto"/>
        <w:rPr>
          <w:rFonts w:hint="eastAsia" w:cs="宋体"/>
          <w:sz w:val="24"/>
          <w14:ligatures w14:val="standardContextual"/>
        </w:rPr>
      </w:pPr>
      <w:r>
        <w:rPr>
          <w:rFonts w:hint="eastAsia" w:cs="宋体"/>
          <w:sz w:val="24"/>
          <w14:ligatures w14:val="standardContextual"/>
        </w:rPr>
        <w:t>10.3可开合的侧板便于在绳索的任何地方进行安装</w:t>
      </w:r>
    </w:p>
    <w:p w14:paraId="4FB2D11C">
      <w:pPr>
        <w:spacing w:line="360" w:lineRule="auto"/>
        <w:rPr>
          <w:rFonts w:hint="eastAsia" w:cs="宋体"/>
          <w:sz w:val="24"/>
          <w14:ligatures w14:val="standardContextual"/>
        </w:rPr>
      </w:pPr>
      <w:r>
        <w:rPr>
          <w:rFonts w:hint="eastAsia" w:cs="宋体"/>
          <w:sz w:val="24"/>
          <w14:ligatures w14:val="standardContextual"/>
        </w:rPr>
        <w:t>10.4在锁定模式下移动特殊按钮可以将止坠器固定在绳索上，以便进行高空作业</w:t>
      </w:r>
    </w:p>
    <w:p w14:paraId="1A0CF68A">
      <w:pPr>
        <w:spacing w:line="360" w:lineRule="auto"/>
        <w:rPr>
          <w:rFonts w:hint="eastAsia" w:cs="宋体"/>
          <w:sz w:val="24"/>
          <w14:ligatures w14:val="standardContextual"/>
        </w:rPr>
      </w:pPr>
      <w:r>
        <w:rPr>
          <w:rFonts w:hint="eastAsia" w:cs="宋体"/>
          <w:sz w:val="24"/>
          <w14:ligatures w14:val="standardContextual"/>
        </w:rPr>
        <w:t>10.5可以用作定位设备或普通锁定设备，发生坠落时能快速制动</w:t>
      </w:r>
    </w:p>
    <w:p w14:paraId="7E5ADE07">
      <w:pPr>
        <w:spacing w:line="360" w:lineRule="auto"/>
        <w:rPr>
          <w:rFonts w:hint="eastAsia" w:cs="宋体"/>
          <w:sz w:val="24"/>
          <w14:ligatures w14:val="standardContextual"/>
        </w:rPr>
      </w:pPr>
      <w:r>
        <w:rPr>
          <w:rFonts w:hint="eastAsia" w:cs="宋体"/>
          <w:sz w:val="24"/>
          <w14:ligatures w14:val="standardContextual"/>
        </w:rPr>
        <w:t>10.6可以独立使用，无需与势能缓冲带连接。</w:t>
      </w:r>
    </w:p>
    <w:p w14:paraId="7F04A0D5">
      <w:pPr>
        <w:spacing w:line="360" w:lineRule="auto"/>
        <w:rPr>
          <w:rFonts w:hint="eastAsia" w:cs="宋体"/>
          <w:sz w:val="24"/>
          <w14:ligatures w14:val="standardContextual"/>
        </w:rPr>
      </w:pPr>
      <w:r>
        <w:rPr>
          <w:rFonts w:hint="eastAsia" w:cs="宋体"/>
          <w:sz w:val="24"/>
          <w14:ligatures w14:val="standardContextual"/>
        </w:rPr>
        <w:t>10.7配备两重自动扣钢锁横向拉力：40KN，纵向拉力：15KN（可以调换扭曲钢锁）</w:t>
      </w:r>
    </w:p>
    <w:p w14:paraId="6F9B19F7">
      <w:pPr>
        <w:spacing w:line="360" w:lineRule="auto"/>
        <w:rPr>
          <w:rFonts w:hint="eastAsia" w:cs="宋体"/>
          <w:sz w:val="24"/>
          <w14:ligatures w14:val="standardContextual"/>
        </w:rPr>
      </w:pPr>
      <w:r>
        <w:rPr>
          <w:rFonts w:hint="eastAsia" w:cs="宋体"/>
          <w:sz w:val="24"/>
          <w14:ligatures w14:val="standardContextual"/>
        </w:rPr>
        <w:t>10.8工作负荷≥120kg，实际检测：拉力为5KN时，30秒内无任何变化。</w:t>
      </w:r>
    </w:p>
    <w:p w14:paraId="2C400C0C">
      <w:pPr>
        <w:spacing w:line="360" w:lineRule="auto"/>
        <w:rPr>
          <w:rFonts w:hint="eastAsia" w:cs="宋体"/>
          <w:sz w:val="24"/>
          <w14:ligatures w14:val="standardContextual"/>
        </w:rPr>
      </w:pPr>
      <w:r>
        <w:rPr>
          <w:rFonts w:hint="eastAsia" w:cs="宋体"/>
          <w:sz w:val="24"/>
          <w14:ligatures w14:val="standardContextual"/>
        </w:rPr>
        <w:t>10.9材质：铝合金</w:t>
      </w:r>
    </w:p>
    <w:p w14:paraId="301AF0D1">
      <w:pPr>
        <w:spacing w:line="360" w:lineRule="auto"/>
        <w:rPr>
          <w:rFonts w:hint="eastAsia" w:cs="宋体"/>
          <w:sz w:val="24"/>
          <w14:ligatures w14:val="standardContextual"/>
        </w:rPr>
      </w:pPr>
      <w:r>
        <w:rPr>
          <w:rFonts w:hint="eastAsia" w:cs="宋体"/>
          <w:sz w:val="24"/>
          <w14:ligatures w14:val="standardContextual"/>
        </w:rPr>
        <w:t>10.10可以通过绳索直径为10-12mm</w:t>
      </w:r>
    </w:p>
    <w:p w14:paraId="14954E35">
      <w:pPr>
        <w:spacing w:line="360" w:lineRule="auto"/>
        <w:rPr>
          <w:rFonts w:hint="eastAsia" w:cs="宋体"/>
          <w:sz w:val="24"/>
          <w14:ligatures w14:val="standardContextual"/>
        </w:rPr>
      </w:pPr>
      <w:r>
        <w:rPr>
          <w:rFonts w:hint="eastAsia" w:cs="宋体"/>
          <w:sz w:val="24"/>
          <w14:ligatures w14:val="standardContextual"/>
        </w:rPr>
        <w:t>10.11重量：420g（±10g）</w:t>
      </w:r>
    </w:p>
    <w:p w14:paraId="3EE5F749">
      <w:pPr>
        <w:spacing w:line="360" w:lineRule="auto"/>
        <w:rPr>
          <w:rFonts w:hint="eastAsia" w:cs="宋体"/>
          <w:sz w:val="24"/>
          <w14:ligatures w14:val="standardContextual"/>
        </w:rPr>
      </w:pPr>
      <w:r>
        <w:rPr>
          <w:rFonts w:hint="eastAsia" w:cs="宋体"/>
          <w:sz w:val="24"/>
          <w14:ligatures w14:val="standardContextual"/>
        </w:rPr>
        <w:t>10.12需提供第三方检验机构出具的检测报告</w:t>
      </w:r>
    </w:p>
    <w:p w14:paraId="174C6F8F">
      <w:pPr>
        <w:spacing w:line="360" w:lineRule="auto"/>
        <w:rPr>
          <w:rFonts w:hint="eastAsia" w:cs="宋体"/>
          <w:b/>
          <w:bCs/>
          <w:sz w:val="24"/>
          <w14:ligatures w14:val="standardContextual"/>
        </w:rPr>
      </w:pPr>
      <w:r>
        <w:rPr>
          <w:rFonts w:hint="eastAsia" w:cs="宋体"/>
          <w:b/>
          <w:bCs/>
          <w:sz w:val="24"/>
          <w14:ligatures w14:val="standardContextual"/>
        </w:rPr>
        <w:t>11.下降器</w:t>
      </w:r>
    </w:p>
    <w:p w14:paraId="6A6071BA">
      <w:pPr>
        <w:spacing w:line="360" w:lineRule="auto"/>
        <w:rPr>
          <w:rFonts w:hint="eastAsia" w:cs="宋体"/>
          <w:sz w:val="24"/>
          <w14:ligatures w14:val="standardContextual"/>
        </w:rPr>
      </w:pPr>
      <w:r>
        <w:rPr>
          <w:rFonts w:hint="eastAsia" w:cs="宋体"/>
          <w:sz w:val="24"/>
          <w14:ligatures w14:val="standardContextual"/>
        </w:rPr>
        <w:t>11.5下降速度：0.5-2米/秒</w:t>
      </w:r>
    </w:p>
    <w:p w14:paraId="10F7CFEE">
      <w:pPr>
        <w:spacing w:line="360" w:lineRule="auto"/>
        <w:rPr>
          <w:rFonts w:hint="eastAsia" w:cs="宋体"/>
          <w:sz w:val="24"/>
          <w14:ligatures w14:val="standardContextual"/>
        </w:rPr>
      </w:pPr>
      <w:r>
        <w:rPr>
          <w:rFonts w:hint="eastAsia" w:cs="宋体"/>
          <w:sz w:val="24"/>
          <w14:ligatures w14:val="standardContextual"/>
        </w:rPr>
        <w:t>11.6工作负荷：≥200kg</w:t>
      </w:r>
    </w:p>
    <w:p w14:paraId="0DF08B65">
      <w:pPr>
        <w:spacing w:line="360" w:lineRule="auto"/>
        <w:rPr>
          <w:rFonts w:hint="eastAsia" w:cs="宋体"/>
          <w:sz w:val="24"/>
          <w14:ligatures w14:val="standardContextual"/>
        </w:rPr>
      </w:pPr>
      <w:r>
        <w:rPr>
          <w:rFonts w:hint="eastAsia" w:cs="宋体"/>
          <w:sz w:val="24"/>
          <w14:ligatures w14:val="standardContextual"/>
        </w:rPr>
        <w:t>11.7重量：≤480g</w:t>
      </w:r>
    </w:p>
    <w:p w14:paraId="6020626E">
      <w:pPr>
        <w:spacing w:line="360" w:lineRule="auto"/>
        <w:rPr>
          <w:rFonts w:hint="eastAsia" w:cs="宋体"/>
          <w:sz w:val="24"/>
          <w14:ligatures w14:val="standardContextual"/>
        </w:rPr>
      </w:pPr>
      <w:r>
        <w:rPr>
          <w:rFonts w:hint="eastAsia" w:cs="宋体"/>
          <w:sz w:val="24"/>
          <w14:ligatures w14:val="standardContextual"/>
        </w:rPr>
        <w:t>11.8适用于绳索：10-12mm</w:t>
      </w:r>
    </w:p>
    <w:p w14:paraId="556CED67">
      <w:pPr>
        <w:spacing w:line="360" w:lineRule="auto"/>
        <w:rPr>
          <w:rFonts w:hint="eastAsia" w:cs="宋体"/>
          <w:sz w:val="24"/>
          <w14:ligatures w14:val="standardContextual"/>
        </w:rPr>
      </w:pPr>
      <w:r>
        <w:rPr>
          <w:rFonts w:hint="eastAsia" w:cs="宋体"/>
          <w:sz w:val="24"/>
          <w14:ligatures w14:val="standardContextual"/>
        </w:rPr>
        <w:t>11.9长度：190mm，宽度：55mm（整体±5mm）</w:t>
      </w:r>
    </w:p>
    <w:p w14:paraId="4EDC6148">
      <w:pPr>
        <w:spacing w:line="360" w:lineRule="auto"/>
        <w:rPr>
          <w:rFonts w:hint="eastAsia" w:cs="宋体"/>
          <w:sz w:val="24"/>
          <w14:ligatures w14:val="standardContextual"/>
        </w:rPr>
      </w:pPr>
      <w:r>
        <w:rPr>
          <w:rFonts w:hint="eastAsia" w:cs="宋体"/>
          <w:b/>
          <w:bCs/>
          <w:sz w:val="24"/>
          <w14:ligatures w14:val="standardContextual"/>
        </w:rPr>
        <w:t>12.缓冲器</w:t>
      </w:r>
    </w:p>
    <w:p w14:paraId="778CF154">
      <w:pPr>
        <w:spacing w:line="360" w:lineRule="auto"/>
        <w:rPr>
          <w:rFonts w:hint="eastAsia" w:cs="宋体"/>
          <w:sz w:val="24"/>
          <w14:ligatures w14:val="standardContextual"/>
        </w:rPr>
      </w:pPr>
      <w:r>
        <w:rPr>
          <w:rFonts w:hint="eastAsia" w:cs="宋体"/>
          <w:sz w:val="24"/>
          <w14:ligatures w14:val="standardContextual"/>
        </w:rPr>
        <w:t>12.5材质：聚酰胺纤维</w:t>
      </w:r>
    </w:p>
    <w:p w14:paraId="75130C1D">
      <w:pPr>
        <w:spacing w:line="360" w:lineRule="auto"/>
        <w:rPr>
          <w:rFonts w:hint="eastAsia" w:cs="宋体"/>
          <w:sz w:val="24"/>
          <w14:ligatures w14:val="standardContextual"/>
        </w:rPr>
      </w:pPr>
      <w:r>
        <w:rPr>
          <w:rFonts w:hint="eastAsia" w:cs="宋体"/>
          <w:sz w:val="24"/>
          <w14:ligatures w14:val="standardContextual"/>
        </w:rPr>
        <w:t>12.6长度：25CM（±5cm）</w:t>
      </w:r>
    </w:p>
    <w:p w14:paraId="76C4A440">
      <w:pPr>
        <w:spacing w:line="360" w:lineRule="auto"/>
        <w:rPr>
          <w:rFonts w:hint="eastAsia" w:cs="宋体"/>
          <w:sz w:val="24"/>
          <w14:ligatures w14:val="standardContextual"/>
        </w:rPr>
      </w:pPr>
      <w:r>
        <w:rPr>
          <w:rFonts w:hint="eastAsia" w:cs="宋体"/>
          <w:sz w:val="24"/>
          <w14:ligatures w14:val="standardContextual"/>
        </w:rPr>
        <w:t>12.7最大延展：1.4m（±10cm）</w:t>
      </w:r>
    </w:p>
    <w:p w14:paraId="70DE24DB">
      <w:pPr>
        <w:spacing w:line="360" w:lineRule="auto"/>
        <w:rPr>
          <w:rFonts w:hint="eastAsia" w:cs="宋体"/>
          <w:sz w:val="24"/>
          <w14:ligatures w14:val="standardContextual"/>
        </w:rPr>
      </w:pPr>
      <w:r>
        <w:rPr>
          <w:rFonts w:hint="eastAsia" w:cs="宋体"/>
          <w:sz w:val="24"/>
          <w14:ligatures w14:val="standardContextual"/>
        </w:rPr>
        <w:t>12.8最大负重：≥250kg</w:t>
      </w:r>
    </w:p>
    <w:p w14:paraId="1538DE45">
      <w:pPr>
        <w:spacing w:line="360" w:lineRule="auto"/>
        <w:rPr>
          <w:rFonts w:hint="eastAsia" w:cs="宋体"/>
          <w:sz w:val="24"/>
          <w14:ligatures w14:val="standardContextual"/>
        </w:rPr>
      </w:pPr>
      <w:r>
        <w:rPr>
          <w:rFonts w:hint="eastAsia" w:cs="宋体"/>
          <w:sz w:val="24"/>
          <w14:ligatures w14:val="standardContextual"/>
        </w:rPr>
        <w:t>12.9重量：175g（±5g）</w:t>
      </w:r>
    </w:p>
    <w:p w14:paraId="41B3C885">
      <w:pPr>
        <w:spacing w:line="360" w:lineRule="auto"/>
        <w:rPr>
          <w:rFonts w:hint="eastAsia" w:cs="宋体"/>
          <w:sz w:val="24"/>
          <w14:ligatures w14:val="standardContextual"/>
        </w:rPr>
      </w:pPr>
      <w:r>
        <w:rPr>
          <w:rFonts w:hint="eastAsia" w:cs="宋体"/>
          <w:sz w:val="24"/>
          <w14:ligatures w14:val="standardContextual"/>
        </w:rPr>
        <w:t>12.10需提供第三方检验机构出具的检测报告</w:t>
      </w:r>
    </w:p>
    <w:p w14:paraId="29206CC9">
      <w:pPr>
        <w:spacing w:line="360" w:lineRule="auto"/>
        <w:rPr>
          <w:rFonts w:hint="eastAsia" w:cs="宋体"/>
          <w:b/>
          <w:bCs/>
          <w:sz w:val="24"/>
          <w14:ligatures w14:val="standardContextual"/>
        </w:rPr>
      </w:pPr>
      <w:r>
        <w:rPr>
          <w:rFonts w:hint="eastAsia" w:cs="宋体"/>
          <w:b/>
          <w:bCs/>
          <w:sz w:val="24"/>
          <w14:ligatures w14:val="standardContextual"/>
        </w:rPr>
        <w:t>13.滑轮</w:t>
      </w:r>
    </w:p>
    <w:p w14:paraId="5BFA2605">
      <w:pPr>
        <w:spacing w:line="360" w:lineRule="auto"/>
        <w:rPr>
          <w:rFonts w:hint="eastAsia" w:cs="宋体"/>
          <w:sz w:val="24"/>
          <w14:ligatures w14:val="standardContextual"/>
        </w:rPr>
      </w:pPr>
      <w:r>
        <w:rPr>
          <w:rFonts w:hint="eastAsia" w:cs="宋体"/>
          <w:sz w:val="24"/>
          <w14:ligatures w14:val="standardContextual"/>
        </w:rPr>
        <w:t>13.1   1.5吋万向单滑轮</w:t>
      </w:r>
    </w:p>
    <w:p w14:paraId="26918734">
      <w:pPr>
        <w:spacing w:line="360" w:lineRule="auto"/>
        <w:rPr>
          <w:rFonts w:hint="eastAsia" w:cs="宋体"/>
          <w:sz w:val="24"/>
          <w14:ligatures w14:val="standardContextual"/>
        </w:rPr>
      </w:pPr>
      <w:r>
        <w:rPr>
          <w:rFonts w:hint="eastAsia" w:cs="宋体"/>
          <w:sz w:val="24"/>
          <w14:ligatures w14:val="standardContextual"/>
        </w:rPr>
        <w:t>（1）1.5吋万向单滑轮，主要材料7075铝合金，不锈钢。</w:t>
      </w:r>
    </w:p>
    <w:p w14:paraId="37FC9342">
      <w:pPr>
        <w:spacing w:line="360" w:lineRule="auto"/>
        <w:rPr>
          <w:rFonts w:hint="eastAsia" w:cs="宋体"/>
          <w:sz w:val="24"/>
          <w14:ligatures w14:val="standardContextual"/>
        </w:rPr>
      </w:pPr>
      <w:r>
        <w:rPr>
          <w:rFonts w:hint="eastAsia" w:cs="宋体"/>
          <w:sz w:val="24"/>
          <w14:ligatures w14:val="standardContextual"/>
        </w:rPr>
        <w:t>（2）尺寸：≥长13.3cm宽6.3cm</w:t>
      </w:r>
    </w:p>
    <w:p w14:paraId="6FAA1BBF">
      <w:pPr>
        <w:spacing w:line="360" w:lineRule="auto"/>
        <w:rPr>
          <w:rFonts w:hint="eastAsia" w:cs="宋体"/>
          <w:sz w:val="24"/>
          <w14:ligatures w14:val="standardContextual"/>
        </w:rPr>
      </w:pPr>
      <w:r>
        <w:rPr>
          <w:rFonts w:hint="eastAsia" w:cs="宋体"/>
          <w:sz w:val="24"/>
          <w14:ligatures w14:val="standardContextual"/>
        </w:rPr>
        <w:t>（3）滑轮直径：≥38mm</w:t>
      </w:r>
    </w:p>
    <w:p w14:paraId="6BF7673E">
      <w:pPr>
        <w:spacing w:line="360" w:lineRule="auto"/>
        <w:rPr>
          <w:rFonts w:hint="eastAsia" w:cs="宋体"/>
          <w:sz w:val="24"/>
          <w14:ligatures w14:val="standardContextual"/>
        </w:rPr>
      </w:pPr>
      <w:r>
        <w:rPr>
          <w:rFonts w:hint="eastAsia" w:cs="宋体"/>
          <w:sz w:val="24"/>
          <w14:ligatures w14:val="standardContextual"/>
        </w:rPr>
        <w:t>（4）绳索直径：7-13mm，</w:t>
      </w:r>
    </w:p>
    <w:p w14:paraId="0D40B548">
      <w:pPr>
        <w:spacing w:line="360" w:lineRule="auto"/>
        <w:rPr>
          <w:rFonts w:hint="eastAsia" w:cs="宋体"/>
          <w:sz w:val="24"/>
          <w14:ligatures w14:val="standardContextual"/>
        </w:rPr>
      </w:pPr>
      <w:r>
        <w:rPr>
          <w:rFonts w:hint="eastAsia" w:cs="宋体"/>
          <w:sz w:val="24"/>
          <w14:ligatures w14:val="standardContextual"/>
        </w:rPr>
        <w:t>（5）绳索最大工作负荷：≥8KN</w:t>
      </w:r>
    </w:p>
    <w:p w14:paraId="06773319">
      <w:pPr>
        <w:spacing w:line="360" w:lineRule="auto"/>
        <w:rPr>
          <w:rFonts w:hint="eastAsia" w:cs="宋体"/>
          <w:sz w:val="24"/>
          <w14:ligatures w14:val="standardContextual"/>
        </w:rPr>
      </w:pPr>
      <w:r>
        <w:rPr>
          <w:rFonts w:hint="eastAsia" w:cs="宋体"/>
          <w:sz w:val="24"/>
          <w14:ligatures w14:val="standardContextual"/>
        </w:rPr>
        <w:t>（6）断裂负荷：36KN，提拉效率：F=1.1Μ，效率：91%，</w:t>
      </w:r>
    </w:p>
    <w:p w14:paraId="25EFF271">
      <w:pPr>
        <w:spacing w:line="360" w:lineRule="auto"/>
        <w:rPr>
          <w:rFonts w:hint="eastAsia" w:cs="宋体"/>
          <w:sz w:val="24"/>
          <w14:ligatures w14:val="standardContextual"/>
        </w:rPr>
      </w:pPr>
      <w:r>
        <w:rPr>
          <w:rFonts w:hint="eastAsia" w:cs="宋体"/>
          <w:sz w:val="24"/>
          <w14:ligatures w14:val="standardContextual"/>
        </w:rPr>
        <w:t>（7）重量：≤275g</w:t>
      </w:r>
    </w:p>
    <w:p w14:paraId="0134A0E9">
      <w:pPr>
        <w:spacing w:line="360" w:lineRule="auto"/>
        <w:rPr>
          <w:rFonts w:hint="eastAsia" w:cs="宋体"/>
          <w:sz w:val="24"/>
          <w14:ligatures w14:val="standardContextual"/>
        </w:rPr>
      </w:pPr>
      <w:r>
        <w:rPr>
          <w:rFonts w:hint="eastAsia" w:cs="宋体"/>
          <w:sz w:val="24"/>
          <w14:ligatures w14:val="standardContextual"/>
        </w:rPr>
        <w:t>（8）执行标准：XF494-2023</w:t>
      </w:r>
    </w:p>
    <w:p w14:paraId="5B0DC589">
      <w:pPr>
        <w:spacing w:line="360" w:lineRule="auto"/>
        <w:rPr>
          <w:rFonts w:hint="eastAsia" w:cs="宋体"/>
          <w:sz w:val="24"/>
          <w14:ligatures w14:val="standardContextual"/>
        </w:rPr>
      </w:pPr>
      <w:r>
        <w:rPr>
          <w:rFonts w:hint="eastAsia" w:cs="宋体"/>
          <w:sz w:val="24"/>
          <w14:ligatures w14:val="standardContextual"/>
        </w:rPr>
        <w:t>13.2    2.0吋万向双滑轮</w:t>
      </w:r>
    </w:p>
    <w:p w14:paraId="3A601022">
      <w:pPr>
        <w:spacing w:line="360" w:lineRule="auto"/>
        <w:rPr>
          <w:rFonts w:hint="eastAsia" w:cs="宋体"/>
          <w:sz w:val="24"/>
          <w14:ligatures w14:val="standardContextual"/>
        </w:rPr>
      </w:pPr>
      <w:r>
        <w:rPr>
          <w:rFonts w:hint="eastAsia" w:cs="宋体"/>
          <w:sz w:val="24"/>
          <w14:ligatures w14:val="standardContextual"/>
        </w:rPr>
        <w:t>（1）2.0吋万向双滑轮，主要材料7075铝合金，不锈钢。</w:t>
      </w:r>
    </w:p>
    <w:p w14:paraId="1257B4DB">
      <w:pPr>
        <w:spacing w:line="360" w:lineRule="auto"/>
        <w:rPr>
          <w:rFonts w:hint="eastAsia" w:cs="宋体"/>
          <w:sz w:val="24"/>
          <w14:ligatures w14:val="standardContextual"/>
        </w:rPr>
      </w:pPr>
      <w:r>
        <w:rPr>
          <w:rFonts w:hint="eastAsia" w:cs="宋体"/>
          <w:sz w:val="24"/>
          <w14:ligatures w14:val="standardContextual"/>
        </w:rPr>
        <w:t>（2）尺寸：≥长18cm宽7.6cm</w:t>
      </w:r>
    </w:p>
    <w:p w14:paraId="49C1FA7E">
      <w:pPr>
        <w:spacing w:line="360" w:lineRule="auto"/>
        <w:rPr>
          <w:rFonts w:hint="eastAsia" w:cs="宋体"/>
          <w:sz w:val="24"/>
          <w14:ligatures w14:val="standardContextual"/>
        </w:rPr>
      </w:pPr>
      <w:r>
        <w:rPr>
          <w:rFonts w:hint="eastAsia" w:cs="宋体"/>
          <w:sz w:val="24"/>
          <w14:ligatures w14:val="standardContextual"/>
        </w:rPr>
        <w:t>（3）滑轮直径：≥50mm，</w:t>
      </w:r>
    </w:p>
    <w:p w14:paraId="31B391CF">
      <w:pPr>
        <w:spacing w:line="360" w:lineRule="auto"/>
        <w:rPr>
          <w:rFonts w:hint="eastAsia" w:cs="宋体"/>
          <w:sz w:val="24"/>
          <w14:ligatures w14:val="standardContextual"/>
        </w:rPr>
      </w:pPr>
      <w:r>
        <w:rPr>
          <w:rFonts w:hint="eastAsia" w:cs="宋体"/>
          <w:sz w:val="24"/>
          <w14:ligatures w14:val="standardContextual"/>
        </w:rPr>
        <w:t>（4）绳索直径：7-13mm，</w:t>
      </w:r>
    </w:p>
    <w:p w14:paraId="50ED8A77">
      <w:pPr>
        <w:spacing w:line="360" w:lineRule="auto"/>
        <w:rPr>
          <w:rFonts w:hint="eastAsia" w:cs="宋体"/>
          <w:sz w:val="24"/>
          <w14:ligatures w14:val="standardContextual"/>
        </w:rPr>
      </w:pPr>
      <w:r>
        <w:rPr>
          <w:rFonts w:hint="eastAsia" w:cs="宋体"/>
          <w:sz w:val="24"/>
          <w14:ligatures w14:val="standardContextual"/>
        </w:rPr>
        <w:t>（5）绳索最大工作负荷：≥8KN</w:t>
      </w:r>
    </w:p>
    <w:p w14:paraId="43E5D005">
      <w:pPr>
        <w:spacing w:line="360" w:lineRule="auto"/>
        <w:rPr>
          <w:rFonts w:hint="eastAsia" w:cs="宋体"/>
          <w:sz w:val="24"/>
          <w14:ligatures w14:val="standardContextual"/>
        </w:rPr>
      </w:pPr>
      <w:r>
        <w:rPr>
          <w:rFonts w:hint="eastAsia" w:cs="宋体"/>
          <w:sz w:val="24"/>
          <w14:ligatures w14:val="standardContextual"/>
        </w:rPr>
        <w:t>（6）断裂负荷：40KN，提拉效率：F=1.1Μ，效率：91%，</w:t>
      </w:r>
    </w:p>
    <w:p w14:paraId="626A3305">
      <w:pPr>
        <w:spacing w:line="360" w:lineRule="auto"/>
        <w:rPr>
          <w:rFonts w:hint="eastAsia" w:cs="宋体"/>
          <w:sz w:val="24"/>
          <w14:ligatures w14:val="standardContextual"/>
        </w:rPr>
      </w:pPr>
      <w:r>
        <w:rPr>
          <w:rFonts w:hint="eastAsia" w:cs="宋体"/>
          <w:sz w:val="24"/>
          <w14:ligatures w14:val="standardContextual"/>
        </w:rPr>
        <w:t>（7）重量：≤563g</w:t>
      </w:r>
    </w:p>
    <w:p w14:paraId="1F34338A">
      <w:pPr>
        <w:spacing w:line="360" w:lineRule="auto"/>
        <w:rPr>
          <w:rFonts w:hint="eastAsia" w:cs="宋体"/>
          <w:sz w:val="24"/>
          <w14:ligatures w14:val="standardContextual"/>
        </w:rPr>
      </w:pPr>
      <w:r>
        <w:rPr>
          <w:rFonts w:hint="eastAsia" w:cs="宋体"/>
          <w:sz w:val="24"/>
          <w14:ligatures w14:val="standardContextual"/>
        </w:rPr>
        <w:t>（8）执行标准：XF494-2023</w:t>
      </w:r>
    </w:p>
    <w:p w14:paraId="30A9FE1D">
      <w:pPr>
        <w:spacing w:line="360" w:lineRule="auto"/>
        <w:rPr>
          <w:rFonts w:hint="eastAsia" w:cs="宋体"/>
          <w:b/>
          <w:bCs/>
          <w:sz w:val="24"/>
          <w14:ligatures w14:val="standardContextual"/>
        </w:rPr>
      </w:pPr>
      <w:r>
        <w:rPr>
          <w:rFonts w:hint="eastAsia" w:cs="宋体"/>
          <w:b/>
          <w:bCs/>
          <w:sz w:val="24"/>
          <w14:ligatures w14:val="standardContextual"/>
        </w:rPr>
        <w:t>14.分力板</w:t>
      </w:r>
    </w:p>
    <w:p w14:paraId="0486753B">
      <w:pPr>
        <w:spacing w:line="360" w:lineRule="auto"/>
        <w:rPr>
          <w:rFonts w:hint="eastAsia" w:cs="宋体"/>
          <w:sz w:val="24"/>
          <w14:ligatures w14:val="standardContextual"/>
        </w:rPr>
      </w:pPr>
      <w:r>
        <w:rPr>
          <w:rFonts w:hint="eastAsia" w:cs="宋体"/>
          <w:sz w:val="24"/>
          <w14:ligatures w14:val="standardContextual"/>
        </w:rPr>
        <w:t>14.5材质：铝合金</w:t>
      </w:r>
    </w:p>
    <w:p w14:paraId="354C11FB">
      <w:pPr>
        <w:spacing w:line="360" w:lineRule="auto"/>
        <w:rPr>
          <w:rFonts w:hint="eastAsia" w:cs="宋体"/>
          <w:sz w:val="24"/>
          <w14:ligatures w14:val="standardContextual"/>
        </w:rPr>
      </w:pPr>
      <w:r>
        <w:rPr>
          <w:rFonts w:hint="eastAsia" w:cs="宋体"/>
          <w:sz w:val="24"/>
          <w14:ligatures w14:val="standardContextual"/>
        </w:rPr>
        <w:t>14.6参考颜色：黄色和黑色</w:t>
      </w:r>
    </w:p>
    <w:p w14:paraId="425A90D7">
      <w:pPr>
        <w:spacing w:line="360" w:lineRule="auto"/>
        <w:rPr>
          <w:rFonts w:hint="eastAsia" w:cs="宋体"/>
          <w:sz w:val="24"/>
          <w14:ligatures w14:val="standardContextual"/>
        </w:rPr>
      </w:pPr>
      <w:r>
        <w:rPr>
          <w:rFonts w:hint="eastAsia" w:cs="宋体"/>
          <w:sz w:val="24"/>
          <w14:ligatures w14:val="standardContextual"/>
        </w:rPr>
        <w:t>14.7重量：95g（±5g）</w:t>
      </w:r>
    </w:p>
    <w:p w14:paraId="27736CF6">
      <w:pPr>
        <w:spacing w:line="360" w:lineRule="auto"/>
        <w:rPr>
          <w:rFonts w:hint="eastAsia" w:cs="宋体"/>
          <w:sz w:val="24"/>
          <w14:ligatures w14:val="standardContextual"/>
        </w:rPr>
      </w:pPr>
      <w:r>
        <w:rPr>
          <w:rFonts w:hint="eastAsia" w:cs="宋体"/>
          <w:sz w:val="24"/>
          <w14:ligatures w14:val="standardContextual"/>
        </w:rPr>
        <w:t>14.8拉力：≥36KN</w:t>
      </w:r>
    </w:p>
    <w:p w14:paraId="1227DF94">
      <w:pPr>
        <w:spacing w:line="360" w:lineRule="auto"/>
        <w:rPr>
          <w:rFonts w:hint="eastAsia" w:cs="宋体"/>
          <w:sz w:val="24"/>
          <w14:ligatures w14:val="standardContextual"/>
        </w:rPr>
      </w:pPr>
      <w:r>
        <w:rPr>
          <w:rFonts w:hint="eastAsia" w:cs="宋体"/>
          <w:sz w:val="24"/>
          <w14:ligatures w14:val="standardContextual"/>
        </w:rPr>
        <w:t>14.9厚度：10mm（±1mm）</w:t>
      </w:r>
    </w:p>
    <w:p w14:paraId="1EB8EBD0">
      <w:pPr>
        <w:spacing w:line="360" w:lineRule="auto"/>
        <w:rPr>
          <w:rFonts w:hint="eastAsia" w:cs="宋体"/>
          <w:sz w:val="24"/>
          <w14:ligatures w14:val="standardContextual"/>
        </w:rPr>
      </w:pPr>
      <w:r>
        <w:rPr>
          <w:rFonts w:hint="eastAsia" w:cs="宋体"/>
          <w:sz w:val="24"/>
          <w14:ligatures w14:val="standardContextual"/>
        </w:rPr>
        <w:t>14.10长度：96mm（±2mm），上孔径：35mm（±2mm），下孔径：20mm（±1mm）</w:t>
      </w:r>
    </w:p>
    <w:p w14:paraId="373B4322">
      <w:pPr>
        <w:spacing w:line="360" w:lineRule="auto"/>
        <w:rPr>
          <w:rFonts w:hint="eastAsia" w:cs="宋体"/>
          <w:b/>
          <w:bCs/>
          <w:sz w:val="24"/>
          <w14:ligatures w14:val="standardContextual"/>
        </w:rPr>
      </w:pPr>
      <w:r>
        <w:rPr>
          <w:rFonts w:hint="eastAsia" w:cs="宋体"/>
          <w:b/>
          <w:bCs/>
          <w:sz w:val="24"/>
          <w14:ligatures w14:val="standardContextual"/>
        </w:rPr>
        <w:t>15.可调节脚踏带</w:t>
      </w:r>
    </w:p>
    <w:p w14:paraId="778B4E82">
      <w:pPr>
        <w:spacing w:line="360" w:lineRule="auto"/>
        <w:rPr>
          <w:rFonts w:hint="eastAsia" w:cs="宋体"/>
          <w:sz w:val="24"/>
          <w14:ligatures w14:val="standardContextual"/>
        </w:rPr>
      </w:pPr>
      <w:r>
        <w:rPr>
          <w:rFonts w:hint="eastAsia" w:cs="宋体"/>
          <w:sz w:val="24"/>
          <w14:ligatures w14:val="standardContextual"/>
        </w:rPr>
        <w:t>15.5可调节长度：50cm-150cm</w:t>
      </w:r>
    </w:p>
    <w:p w14:paraId="364FC54B">
      <w:pPr>
        <w:spacing w:line="360" w:lineRule="auto"/>
        <w:rPr>
          <w:rFonts w:hint="eastAsia" w:cs="宋体"/>
          <w:sz w:val="24"/>
          <w14:ligatures w14:val="standardContextual"/>
        </w:rPr>
      </w:pPr>
      <w:r>
        <w:rPr>
          <w:rFonts w:hint="eastAsia" w:cs="宋体"/>
          <w:sz w:val="24"/>
          <w14:ligatures w14:val="standardContextual"/>
        </w:rPr>
        <w:t>15.6破断力：≥5.3KN</w:t>
      </w:r>
    </w:p>
    <w:p w14:paraId="2D508FA9">
      <w:pPr>
        <w:spacing w:line="360" w:lineRule="auto"/>
        <w:rPr>
          <w:rFonts w:hint="eastAsia" w:cs="宋体"/>
          <w:sz w:val="24"/>
          <w14:ligatures w14:val="standardContextual"/>
        </w:rPr>
      </w:pPr>
      <w:r>
        <w:rPr>
          <w:rFonts w:hint="eastAsia" w:cs="宋体"/>
          <w:sz w:val="24"/>
          <w14:ligatures w14:val="standardContextual"/>
        </w:rPr>
        <w:t>15.7织带拉力：≥15KN</w:t>
      </w:r>
    </w:p>
    <w:p w14:paraId="06A40FD4">
      <w:pPr>
        <w:spacing w:line="360" w:lineRule="auto"/>
        <w:rPr>
          <w:rFonts w:hint="eastAsia" w:cs="宋体"/>
          <w:sz w:val="24"/>
          <w14:ligatures w14:val="standardContextual"/>
        </w:rPr>
      </w:pPr>
      <w:r>
        <w:rPr>
          <w:rFonts w:hint="eastAsia" w:cs="宋体"/>
          <w:sz w:val="24"/>
          <w14:ligatures w14:val="standardContextual"/>
        </w:rPr>
        <w:t>15.8重量：90g（±10g）</w:t>
      </w:r>
    </w:p>
    <w:p w14:paraId="5EFFEBCA">
      <w:pPr>
        <w:spacing w:line="360" w:lineRule="auto"/>
        <w:rPr>
          <w:rFonts w:hint="eastAsia" w:cs="宋体"/>
          <w:sz w:val="24"/>
          <w14:ligatures w14:val="standardContextual"/>
        </w:rPr>
      </w:pPr>
      <w:r>
        <w:rPr>
          <w:rFonts w:hint="eastAsia" w:cs="宋体"/>
          <w:sz w:val="24"/>
          <w14:ligatures w14:val="standardContextual"/>
        </w:rPr>
        <w:t>15.9材料：涤纶，不锈钢，尼龙</w:t>
      </w:r>
    </w:p>
    <w:p w14:paraId="1B0591EE">
      <w:pPr>
        <w:spacing w:line="360" w:lineRule="auto"/>
        <w:rPr>
          <w:rFonts w:hint="eastAsia" w:cs="宋体"/>
          <w:b/>
          <w:bCs/>
          <w:sz w:val="24"/>
          <w14:ligatures w14:val="standardContextual"/>
        </w:rPr>
      </w:pPr>
      <w:r>
        <w:rPr>
          <w:rFonts w:hint="eastAsia" w:cs="宋体"/>
          <w:b/>
          <w:bCs/>
          <w:sz w:val="24"/>
          <w14:ligatures w14:val="standardContextual"/>
        </w:rPr>
        <w:t>15.10需提供第三方检验机构出具的检测报告</w:t>
      </w:r>
    </w:p>
    <w:p w14:paraId="3FBC205E">
      <w:pPr>
        <w:spacing w:line="360" w:lineRule="auto"/>
        <w:rPr>
          <w:rFonts w:hint="eastAsia" w:cs="宋体"/>
          <w:b/>
          <w:bCs/>
          <w:sz w:val="24"/>
          <w14:ligatures w14:val="standardContextual"/>
        </w:rPr>
      </w:pPr>
      <w:r>
        <w:rPr>
          <w:rFonts w:hint="eastAsia" w:cs="宋体"/>
          <w:b/>
          <w:bCs/>
          <w:sz w:val="24"/>
          <w14:ligatures w14:val="standardContextual"/>
        </w:rPr>
        <w:t>16.连接带</w:t>
      </w:r>
    </w:p>
    <w:p w14:paraId="2F3285E0">
      <w:pPr>
        <w:spacing w:line="360" w:lineRule="auto"/>
        <w:rPr>
          <w:rFonts w:hint="eastAsia" w:cs="宋体"/>
          <w:sz w:val="24"/>
          <w14:ligatures w14:val="standardContextual"/>
        </w:rPr>
      </w:pPr>
      <w:r>
        <w:rPr>
          <w:rFonts w:hint="eastAsia" w:cs="宋体"/>
          <w:sz w:val="24"/>
          <w14:ligatures w14:val="standardContextual"/>
        </w:rPr>
        <w:t>16.1 连接带</w:t>
      </w:r>
    </w:p>
    <w:p w14:paraId="4046A00B">
      <w:pPr>
        <w:spacing w:line="360" w:lineRule="auto"/>
        <w:rPr>
          <w:rFonts w:hint="eastAsia" w:cs="宋体"/>
          <w:sz w:val="24"/>
          <w14:ligatures w14:val="standardContextual"/>
        </w:rPr>
      </w:pPr>
      <w:r>
        <w:rPr>
          <w:rFonts w:hint="eastAsia" w:cs="宋体"/>
          <w:sz w:val="24"/>
          <w14:ligatures w14:val="standardContextual"/>
        </w:rPr>
        <w:t>（1）16mm尼龙材质制成</w:t>
      </w:r>
    </w:p>
    <w:p w14:paraId="70768C47">
      <w:pPr>
        <w:spacing w:line="360" w:lineRule="auto"/>
        <w:rPr>
          <w:rFonts w:hint="eastAsia" w:cs="宋体"/>
          <w:sz w:val="24"/>
          <w14:ligatures w14:val="standardContextual"/>
        </w:rPr>
      </w:pPr>
      <w:r>
        <w:rPr>
          <w:rFonts w:hint="eastAsia" w:cs="宋体"/>
          <w:sz w:val="24"/>
          <w14:ligatures w14:val="standardContextual"/>
        </w:rPr>
        <w:t>（3）长度：≥60cm</w:t>
      </w:r>
    </w:p>
    <w:p w14:paraId="0EF0682C">
      <w:pPr>
        <w:spacing w:line="360" w:lineRule="auto"/>
        <w:rPr>
          <w:rFonts w:hint="eastAsia" w:cs="宋体"/>
          <w:sz w:val="24"/>
          <w14:ligatures w14:val="standardContextual"/>
        </w:rPr>
      </w:pPr>
      <w:r>
        <w:rPr>
          <w:rFonts w:hint="eastAsia" w:cs="宋体"/>
          <w:sz w:val="24"/>
          <w14:ligatures w14:val="standardContextual"/>
        </w:rPr>
        <w:t>（4）厚：≥2.7mm</w:t>
      </w:r>
    </w:p>
    <w:p w14:paraId="37D91483">
      <w:pPr>
        <w:spacing w:line="360" w:lineRule="auto"/>
        <w:rPr>
          <w:rFonts w:hint="eastAsia" w:cs="宋体"/>
          <w:sz w:val="24"/>
          <w14:ligatures w14:val="standardContextual"/>
        </w:rPr>
      </w:pPr>
      <w:r>
        <w:rPr>
          <w:rFonts w:hint="eastAsia" w:cs="宋体"/>
          <w:sz w:val="24"/>
          <w14:ligatures w14:val="standardContextual"/>
        </w:rPr>
        <w:t>（5）重量：≥43g</w:t>
      </w:r>
    </w:p>
    <w:p w14:paraId="1DF4A5BB">
      <w:pPr>
        <w:spacing w:line="360" w:lineRule="auto"/>
        <w:rPr>
          <w:rFonts w:hint="eastAsia" w:cs="宋体"/>
          <w:sz w:val="24"/>
          <w14:ligatures w14:val="standardContextual"/>
        </w:rPr>
      </w:pPr>
      <w:r>
        <w:rPr>
          <w:rFonts w:hint="eastAsia" w:cs="宋体"/>
          <w:sz w:val="24"/>
          <w14:ligatures w14:val="standardContextual"/>
        </w:rPr>
        <w:t>（6）承重：≥22KN</w:t>
      </w:r>
    </w:p>
    <w:p w14:paraId="4D86BCFE">
      <w:pPr>
        <w:spacing w:line="360" w:lineRule="auto"/>
        <w:rPr>
          <w:rFonts w:hint="eastAsia" w:cs="宋体"/>
          <w:sz w:val="24"/>
          <w14:ligatures w14:val="standardContextual"/>
        </w:rPr>
      </w:pPr>
      <w:r>
        <w:rPr>
          <w:rFonts w:hint="eastAsia" w:cs="宋体"/>
          <w:sz w:val="24"/>
          <w14:ligatures w14:val="standardContextual"/>
        </w:rPr>
        <w:t>（7）执行标准：XF494-2023</w:t>
      </w:r>
    </w:p>
    <w:p w14:paraId="450D2FBE">
      <w:pPr>
        <w:spacing w:line="360" w:lineRule="auto"/>
        <w:rPr>
          <w:rFonts w:hint="eastAsia" w:cs="宋体"/>
          <w:sz w:val="24"/>
          <w14:ligatures w14:val="standardContextual"/>
        </w:rPr>
      </w:pPr>
      <w:r>
        <w:rPr>
          <w:rFonts w:hint="eastAsia" w:cs="宋体"/>
          <w:sz w:val="24"/>
          <w14:ligatures w14:val="standardContextual"/>
        </w:rPr>
        <w:t>16.2 连接带</w:t>
      </w:r>
    </w:p>
    <w:p w14:paraId="25ED7334">
      <w:pPr>
        <w:spacing w:line="360" w:lineRule="auto"/>
        <w:rPr>
          <w:rFonts w:hint="eastAsia" w:cs="宋体"/>
          <w:sz w:val="24"/>
          <w14:ligatures w14:val="standardContextual"/>
        </w:rPr>
      </w:pPr>
      <w:r>
        <w:rPr>
          <w:rFonts w:hint="eastAsia" w:cs="宋体"/>
          <w:sz w:val="24"/>
          <w14:ligatures w14:val="standardContextual"/>
        </w:rPr>
        <w:t>（1）16mm尼龙材质制成</w:t>
      </w:r>
    </w:p>
    <w:p w14:paraId="216949F0">
      <w:pPr>
        <w:spacing w:line="360" w:lineRule="auto"/>
        <w:rPr>
          <w:rFonts w:hint="eastAsia" w:cs="宋体"/>
          <w:sz w:val="24"/>
          <w14:ligatures w14:val="standardContextual"/>
        </w:rPr>
      </w:pPr>
      <w:r>
        <w:rPr>
          <w:rFonts w:hint="eastAsia" w:cs="宋体"/>
          <w:sz w:val="24"/>
          <w14:ligatures w14:val="standardContextual"/>
        </w:rPr>
        <w:t xml:space="preserve">（3）长度：≥80cm </w:t>
      </w:r>
    </w:p>
    <w:p w14:paraId="5F4650EE">
      <w:pPr>
        <w:spacing w:line="360" w:lineRule="auto"/>
        <w:rPr>
          <w:rFonts w:hint="eastAsia" w:cs="宋体"/>
          <w:sz w:val="24"/>
          <w14:ligatures w14:val="standardContextual"/>
        </w:rPr>
      </w:pPr>
      <w:r>
        <w:rPr>
          <w:rFonts w:hint="eastAsia" w:cs="宋体"/>
          <w:sz w:val="24"/>
          <w14:ligatures w14:val="standardContextual"/>
        </w:rPr>
        <w:t>（4）厚：≥2.7mm</w:t>
      </w:r>
    </w:p>
    <w:p w14:paraId="279BA503">
      <w:pPr>
        <w:spacing w:line="360" w:lineRule="auto"/>
        <w:rPr>
          <w:rFonts w:hint="eastAsia" w:cs="宋体"/>
          <w:sz w:val="24"/>
          <w14:ligatures w14:val="standardContextual"/>
        </w:rPr>
      </w:pPr>
      <w:r>
        <w:rPr>
          <w:rFonts w:hint="eastAsia" w:cs="宋体"/>
          <w:sz w:val="24"/>
          <w14:ligatures w14:val="standardContextual"/>
        </w:rPr>
        <w:t>（5）重量：≥54g</w:t>
      </w:r>
    </w:p>
    <w:p w14:paraId="191622CF">
      <w:pPr>
        <w:spacing w:line="360" w:lineRule="auto"/>
        <w:rPr>
          <w:rFonts w:hint="eastAsia" w:cs="宋体"/>
          <w:sz w:val="24"/>
          <w14:ligatures w14:val="standardContextual"/>
        </w:rPr>
      </w:pPr>
      <w:r>
        <w:rPr>
          <w:rFonts w:hint="eastAsia" w:cs="宋体"/>
          <w:sz w:val="24"/>
          <w14:ligatures w14:val="standardContextual"/>
        </w:rPr>
        <w:t>（6）承重：≥22KN</w:t>
      </w:r>
    </w:p>
    <w:p w14:paraId="014213F4">
      <w:pPr>
        <w:spacing w:line="360" w:lineRule="auto"/>
        <w:rPr>
          <w:rFonts w:hint="eastAsia" w:cs="宋体"/>
          <w:sz w:val="24"/>
          <w14:ligatures w14:val="standardContextual"/>
        </w:rPr>
      </w:pPr>
      <w:r>
        <w:rPr>
          <w:rFonts w:hint="eastAsia" w:cs="宋体"/>
          <w:sz w:val="24"/>
          <w14:ligatures w14:val="standardContextual"/>
        </w:rPr>
        <w:t>（7）执行标准：XF494-2023</w:t>
      </w:r>
    </w:p>
    <w:p w14:paraId="5F042652">
      <w:pPr>
        <w:spacing w:line="360" w:lineRule="auto"/>
        <w:rPr>
          <w:rFonts w:hint="eastAsia" w:cs="宋体"/>
          <w:sz w:val="24"/>
          <w14:ligatures w14:val="standardContextual"/>
        </w:rPr>
      </w:pPr>
      <w:r>
        <w:rPr>
          <w:rFonts w:hint="eastAsia" w:cs="宋体"/>
          <w:sz w:val="24"/>
          <w14:ligatures w14:val="standardContextual"/>
        </w:rPr>
        <w:t>16.3  连接带</w:t>
      </w:r>
    </w:p>
    <w:p w14:paraId="3D3EF7D9">
      <w:pPr>
        <w:spacing w:line="360" w:lineRule="auto"/>
        <w:rPr>
          <w:rFonts w:hint="eastAsia" w:cs="宋体"/>
          <w:sz w:val="24"/>
          <w14:ligatures w14:val="standardContextual"/>
        </w:rPr>
      </w:pPr>
      <w:r>
        <w:rPr>
          <w:rFonts w:hint="eastAsia" w:cs="宋体"/>
          <w:sz w:val="24"/>
          <w14:ligatures w14:val="standardContextual"/>
        </w:rPr>
        <w:t>（1）16mm尼龙材质制成</w:t>
      </w:r>
    </w:p>
    <w:p w14:paraId="33B71FE4">
      <w:pPr>
        <w:spacing w:line="360" w:lineRule="auto"/>
        <w:rPr>
          <w:rFonts w:hint="eastAsia" w:cs="宋体"/>
          <w:sz w:val="24"/>
          <w14:ligatures w14:val="standardContextual"/>
        </w:rPr>
      </w:pPr>
      <w:r>
        <w:rPr>
          <w:rFonts w:hint="eastAsia" w:cs="宋体"/>
          <w:sz w:val="24"/>
          <w14:ligatures w14:val="standardContextual"/>
        </w:rPr>
        <w:t>（3）长度：≥120cm</w:t>
      </w:r>
    </w:p>
    <w:p w14:paraId="134F426D">
      <w:pPr>
        <w:spacing w:line="360" w:lineRule="auto"/>
        <w:rPr>
          <w:rFonts w:hint="eastAsia" w:cs="宋体"/>
          <w:sz w:val="24"/>
          <w14:ligatures w14:val="standardContextual"/>
        </w:rPr>
      </w:pPr>
      <w:r>
        <w:rPr>
          <w:rFonts w:hint="eastAsia" w:cs="宋体"/>
          <w:sz w:val="24"/>
          <w14:ligatures w14:val="standardContextual"/>
        </w:rPr>
        <w:t>（4）厚：≥2.7mm</w:t>
      </w:r>
    </w:p>
    <w:p w14:paraId="62B405D8">
      <w:pPr>
        <w:spacing w:line="360" w:lineRule="auto"/>
        <w:rPr>
          <w:rFonts w:hint="eastAsia" w:cs="宋体"/>
          <w:sz w:val="24"/>
          <w14:ligatures w14:val="standardContextual"/>
        </w:rPr>
      </w:pPr>
      <w:r>
        <w:rPr>
          <w:rFonts w:hint="eastAsia" w:cs="宋体"/>
          <w:sz w:val="24"/>
          <w14:ligatures w14:val="standardContextual"/>
        </w:rPr>
        <w:t>（5）重量：≥85g</w:t>
      </w:r>
    </w:p>
    <w:p w14:paraId="2F511CCA">
      <w:pPr>
        <w:spacing w:line="360" w:lineRule="auto"/>
        <w:rPr>
          <w:rFonts w:hint="eastAsia" w:cs="宋体"/>
          <w:sz w:val="24"/>
          <w14:ligatures w14:val="standardContextual"/>
        </w:rPr>
      </w:pPr>
      <w:r>
        <w:rPr>
          <w:rFonts w:hint="eastAsia" w:cs="宋体"/>
          <w:sz w:val="24"/>
          <w14:ligatures w14:val="standardContextual"/>
        </w:rPr>
        <w:t xml:space="preserve">（6）承重:≥22KN </w:t>
      </w:r>
    </w:p>
    <w:p w14:paraId="55CA4BBF">
      <w:pPr>
        <w:spacing w:line="360" w:lineRule="auto"/>
        <w:rPr>
          <w:rFonts w:hint="eastAsia" w:cs="宋体"/>
          <w:sz w:val="24"/>
          <w14:ligatures w14:val="standardContextual"/>
        </w:rPr>
      </w:pPr>
      <w:r>
        <w:rPr>
          <w:rFonts w:hint="eastAsia" w:cs="宋体"/>
          <w:sz w:val="24"/>
          <w14:ligatures w14:val="standardContextual"/>
        </w:rPr>
        <w:t>（7）执行标准：XF494-2023</w:t>
      </w:r>
    </w:p>
    <w:p w14:paraId="4CC8BA79">
      <w:pPr>
        <w:spacing w:line="360" w:lineRule="auto"/>
        <w:rPr>
          <w:rFonts w:hint="eastAsia" w:cs="宋体"/>
          <w:b/>
          <w:bCs/>
          <w:sz w:val="24"/>
          <w14:ligatures w14:val="standardContextual"/>
        </w:rPr>
      </w:pPr>
      <w:r>
        <w:rPr>
          <w:rFonts w:hint="eastAsia" w:cs="宋体"/>
          <w:b/>
          <w:bCs/>
          <w:sz w:val="24"/>
          <w14:ligatures w14:val="standardContextual"/>
        </w:rPr>
        <w:t>17.绳索保护套</w:t>
      </w:r>
    </w:p>
    <w:p w14:paraId="4BA696DD">
      <w:pPr>
        <w:spacing w:line="360" w:lineRule="auto"/>
        <w:rPr>
          <w:rFonts w:hint="eastAsia" w:cs="宋体"/>
          <w:sz w:val="24"/>
          <w14:ligatures w14:val="standardContextual"/>
        </w:rPr>
      </w:pPr>
      <w:r>
        <w:rPr>
          <w:rFonts w:hint="eastAsia" w:cs="宋体"/>
          <w:sz w:val="24"/>
          <w14:ligatures w14:val="standardContextual"/>
        </w:rPr>
        <w:t>17.6长度：≥700mm</w:t>
      </w:r>
    </w:p>
    <w:p w14:paraId="50F66D22">
      <w:pPr>
        <w:spacing w:line="360" w:lineRule="auto"/>
        <w:rPr>
          <w:rFonts w:hint="eastAsia" w:cs="宋体"/>
          <w:sz w:val="24"/>
          <w14:ligatures w14:val="standardContextual"/>
        </w:rPr>
      </w:pPr>
      <w:r>
        <w:rPr>
          <w:rFonts w:hint="eastAsia" w:cs="宋体"/>
          <w:sz w:val="24"/>
          <w14:ligatures w14:val="standardContextual"/>
        </w:rPr>
        <w:t>17.7重量：95g（±5g）</w:t>
      </w:r>
    </w:p>
    <w:p w14:paraId="18C58AD2">
      <w:pPr>
        <w:spacing w:line="360" w:lineRule="auto"/>
        <w:rPr>
          <w:rFonts w:hint="eastAsia" w:cs="宋体"/>
          <w:b/>
          <w:bCs/>
          <w:sz w:val="24"/>
          <w14:ligatures w14:val="standardContextual"/>
        </w:rPr>
      </w:pPr>
      <w:r>
        <w:rPr>
          <w:rFonts w:hint="eastAsia" w:cs="宋体"/>
          <w:b/>
          <w:bCs/>
          <w:sz w:val="24"/>
          <w14:ligatures w14:val="standardContextual"/>
        </w:rPr>
        <w:t>18.绳索手套</w:t>
      </w:r>
    </w:p>
    <w:p w14:paraId="6D6B491E">
      <w:pPr>
        <w:spacing w:line="360" w:lineRule="auto"/>
        <w:rPr>
          <w:rFonts w:hint="eastAsia" w:cs="宋体"/>
          <w:sz w:val="24"/>
          <w14:ligatures w14:val="standardContextual"/>
        </w:rPr>
      </w:pPr>
      <w:r>
        <w:rPr>
          <w:rFonts w:hint="eastAsia" w:cs="宋体"/>
          <w:sz w:val="24"/>
          <w14:ligatures w14:val="standardContextual"/>
        </w:rPr>
        <w:t>18.6材质：山羊皮，涤纶，氯丁橡胶</w:t>
      </w:r>
    </w:p>
    <w:p w14:paraId="47E0F1E5">
      <w:pPr>
        <w:spacing w:line="360" w:lineRule="auto"/>
        <w:rPr>
          <w:rFonts w:hint="eastAsia" w:cs="宋体"/>
          <w:sz w:val="24"/>
          <w14:ligatures w14:val="standardContextual"/>
        </w:rPr>
      </w:pPr>
      <w:r>
        <w:rPr>
          <w:rFonts w:hint="eastAsia" w:cs="宋体"/>
          <w:sz w:val="24"/>
          <w14:ligatures w14:val="standardContextual"/>
        </w:rPr>
        <w:t>18.7参考颜色：黑色</w:t>
      </w:r>
    </w:p>
    <w:p w14:paraId="1BACAA8C">
      <w:pPr>
        <w:spacing w:line="360" w:lineRule="auto"/>
        <w:rPr>
          <w:rFonts w:hint="eastAsia" w:cs="宋体"/>
          <w:sz w:val="24"/>
          <w14:ligatures w14:val="standardContextual"/>
        </w:rPr>
      </w:pPr>
      <w:r>
        <w:rPr>
          <w:rFonts w:hint="eastAsia" w:cs="宋体"/>
          <w:sz w:val="24"/>
          <w14:ligatures w14:val="standardContextual"/>
        </w:rPr>
        <w:t>18.8重量：120g（±5g）</w:t>
      </w:r>
    </w:p>
    <w:p w14:paraId="4A1773DB">
      <w:pPr>
        <w:spacing w:line="360" w:lineRule="auto"/>
        <w:rPr>
          <w:rFonts w:hint="eastAsia" w:cs="宋体"/>
          <w:b/>
          <w:bCs/>
          <w:sz w:val="24"/>
          <w14:ligatures w14:val="standardContextual"/>
        </w:rPr>
      </w:pPr>
      <w:r>
        <w:rPr>
          <w:rFonts w:hint="eastAsia" w:cs="宋体"/>
          <w:b/>
          <w:bCs/>
          <w:sz w:val="24"/>
          <w14:ligatures w14:val="standardContextual"/>
        </w:rPr>
        <w:t>19.器材包</w:t>
      </w:r>
    </w:p>
    <w:p w14:paraId="00C47ED7">
      <w:pPr>
        <w:spacing w:line="360" w:lineRule="auto"/>
        <w:rPr>
          <w:rFonts w:hint="eastAsia" w:cs="宋体"/>
          <w:sz w:val="24"/>
          <w14:ligatures w14:val="standardContextual"/>
        </w:rPr>
      </w:pPr>
      <w:r>
        <w:rPr>
          <w:rFonts w:hint="eastAsia" w:cs="宋体"/>
          <w:sz w:val="24"/>
          <w14:ligatures w14:val="standardContextual"/>
        </w:rPr>
        <w:t>19.1适用于装备收纳</w:t>
      </w:r>
    </w:p>
    <w:p w14:paraId="0D42AF43">
      <w:pPr>
        <w:spacing w:line="360" w:lineRule="auto"/>
        <w:rPr>
          <w:rFonts w:hint="eastAsia" w:cs="宋体"/>
          <w:sz w:val="24"/>
          <w14:ligatures w14:val="standardContextual"/>
        </w:rPr>
      </w:pPr>
      <w:r>
        <w:rPr>
          <w:rFonts w:hint="eastAsia" w:cs="宋体"/>
          <w:sz w:val="24"/>
          <w14:ligatures w14:val="standardContextual"/>
        </w:rPr>
        <w:t>19.3带有衬垫背负，加厚腰带和可调节肩带，舒适透气适合长距离背负</w:t>
      </w:r>
    </w:p>
    <w:p w14:paraId="524A56CF">
      <w:pPr>
        <w:spacing w:line="360" w:lineRule="auto"/>
        <w:rPr>
          <w:rFonts w:hint="eastAsia" w:cs="宋体"/>
          <w:sz w:val="24"/>
          <w14:ligatures w14:val="standardContextual"/>
        </w:rPr>
      </w:pPr>
      <w:r>
        <w:rPr>
          <w:rFonts w:hint="eastAsia" w:cs="宋体"/>
          <w:sz w:val="24"/>
          <w14:ligatures w14:val="standardContextual"/>
        </w:rPr>
        <w:t>19.4背负顶端有1个直向提手，侧面有1个横向提手</w:t>
      </w:r>
    </w:p>
    <w:p w14:paraId="08F134C2">
      <w:pPr>
        <w:spacing w:line="360" w:lineRule="auto"/>
        <w:rPr>
          <w:rFonts w:hint="eastAsia" w:cs="宋体"/>
          <w:sz w:val="24"/>
          <w14:ligatures w14:val="standardContextual"/>
        </w:rPr>
      </w:pPr>
      <w:r>
        <w:rPr>
          <w:rFonts w:hint="eastAsia" w:cs="宋体"/>
          <w:sz w:val="24"/>
          <w14:ligatures w14:val="standardContextual"/>
        </w:rPr>
        <w:t>19.5内置有1个拉链小件附袋，袋内置有5个挂点</w:t>
      </w:r>
    </w:p>
    <w:p w14:paraId="2881A156">
      <w:pPr>
        <w:spacing w:line="360" w:lineRule="auto"/>
        <w:rPr>
          <w:rFonts w:hint="eastAsia" w:cs="宋体"/>
          <w:sz w:val="24"/>
          <w14:ligatures w14:val="standardContextual"/>
        </w:rPr>
      </w:pPr>
      <w:r>
        <w:rPr>
          <w:rFonts w:hint="eastAsia" w:cs="宋体"/>
          <w:sz w:val="24"/>
          <w14:ligatures w14:val="standardContextual"/>
        </w:rPr>
        <w:t>19.6顶盖透明ID身份卡位</w:t>
      </w:r>
    </w:p>
    <w:p w14:paraId="10173630">
      <w:pPr>
        <w:spacing w:line="360" w:lineRule="auto"/>
        <w:rPr>
          <w:rFonts w:hint="eastAsia" w:cs="宋体"/>
          <w:sz w:val="24"/>
          <w14:ligatures w14:val="standardContextual"/>
        </w:rPr>
      </w:pPr>
      <w:r>
        <w:rPr>
          <w:rFonts w:hint="eastAsia" w:cs="宋体"/>
          <w:sz w:val="24"/>
          <w14:ligatures w14:val="standardContextual"/>
        </w:rPr>
        <w:t>19.7大开口设计方便收取绳索装备</w:t>
      </w:r>
    </w:p>
    <w:p w14:paraId="65869006">
      <w:pPr>
        <w:spacing w:line="360" w:lineRule="auto"/>
        <w:rPr>
          <w:rFonts w:hint="eastAsia" w:cs="宋体"/>
          <w:sz w:val="24"/>
          <w14:ligatures w14:val="standardContextual"/>
        </w:rPr>
      </w:pPr>
      <w:r>
        <w:rPr>
          <w:rFonts w:hint="eastAsia" w:cs="宋体"/>
          <w:sz w:val="24"/>
          <w14:ligatures w14:val="standardContextual"/>
        </w:rPr>
        <w:t>19.8材质：500DPVC黑色+210D材质</w:t>
      </w:r>
    </w:p>
    <w:p w14:paraId="7650260B">
      <w:pPr>
        <w:spacing w:line="360" w:lineRule="auto"/>
        <w:rPr>
          <w:rFonts w:hint="eastAsia" w:cs="宋体"/>
          <w:sz w:val="24"/>
          <w14:ligatures w14:val="standardContextual"/>
        </w:rPr>
      </w:pPr>
      <w:r>
        <w:rPr>
          <w:rFonts w:hint="eastAsia" w:cs="宋体"/>
          <w:sz w:val="24"/>
          <w14:ligatures w14:val="standardContextual"/>
        </w:rPr>
        <w:t>19.10容量：≥45L</w:t>
      </w:r>
    </w:p>
    <w:p w14:paraId="7BD07B77">
      <w:pPr>
        <w:spacing w:line="360" w:lineRule="auto"/>
        <w:rPr>
          <w:rFonts w:hint="eastAsia" w:cs="宋体"/>
          <w:sz w:val="24"/>
          <w14:ligatures w14:val="standardContextual"/>
        </w:rPr>
      </w:pPr>
      <w:r>
        <w:rPr>
          <w:rFonts w:hint="eastAsia" w:cs="宋体"/>
          <w:sz w:val="24"/>
          <w14:ligatures w14:val="standardContextual"/>
        </w:rPr>
        <w:t>19.11尺寸：≥34*24*65CM</w:t>
      </w:r>
    </w:p>
    <w:p w14:paraId="081D6DA9">
      <w:pPr>
        <w:spacing w:line="360" w:lineRule="auto"/>
        <w:rPr>
          <w:rFonts w:hint="eastAsia" w:cs="宋体"/>
          <w:sz w:val="24"/>
          <w14:ligatures w14:val="standardContextual"/>
        </w:rPr>
      </w:pPr>
      <w:r>
        <w:rPr>
          <w:rFonts w:hint="eastAsia" w:cs="宋体"/>
          <w:sz w:val="24"/>
          <w14:ligatures w14:val="standardContextual"/>
        </w:rPr>
        <w:t>19.12重量：≤1720g</w:t>
      </w:r>
    </w:p>
    <w:p w14:paraId="6C048F62">
      <w:pPr>
        <w:spacing w:line="360" w:lineRule="auto"/>
        <w:rPr>
          <w:rFonts w:hint="eastAsia" w:cs="宋体"/>
          <w:b/>
          <w:bCs/>
          <w:sz w:val="24"/>
          <w14:ligatures w14:val="standardContextual"/>
        </w:rPr>
      </w:pPr>
      <w:r>
        <w:rPr>
          <w:rFonts w:hint="eastAsia" w:cs="宋体"/>
          <w:b/>
          <w:bCs/>
          <w:sz w:val="24"/>
          <w14:ligatures w14:val="standardContextual"/>
        </w:rPr>
        <w:t>19.13需提供第三方检验机构出具的检测报告</w:t>
      </w:r>
    </w:p>
    <w:p w14:paraId="05FD9C24">
      <w:pPr>
        <w:spacing w:line="360" w:lineRule="auto"/>
        <w:rPr>
          <w:rFonts w:hint="eastAsia" w:cs="宋体"/>
          <w:sz w:val="24"/>
          <w14:ligatures w14:val="standardContextual"/>
        </w:rPr>
      </w:pPr>
    </w:p>
    <w:p w14:paraId="6D5BB62A">
      <w:pPr>
        <w:pStyle w:val="120"/>
        <w:spacing w:line="360" w:lineRule="auto"/>
        <w:ind w:left="480" w:hanging="480" w:firstLineChars="0"/>
        <w:rPr>
          <w:rFonts w:hint="eastAsia" w:cs="宋体"/>
          <w:b/>
          <w:bCs/>
          <w:sz w:val="24"/>
          <w:szCs w:val="24"/>
          <w14:ligatures w14:val="standardContextual"/>
        </w:rPr>
      </w:pPr>
      <w:r>
        <w:rPr>
          <w:rFonts w:hint="eastAsia" w:cs="宋体"/>
          <w:b/>
          <w:bCs/>
          <w:sz w:val="24"/>
          <w:szCs w:val="24"/>
          <w14:ligatures w14:val="standardContextual"/>
        </w:rPr>
        <w:t>五、手持钢筋速断器</w:t>
      </w:r>
    </w:p>
    <w:p w14:paraId="72686616">
      <w:pPr>
        <w:spacing w:line="360" w:lineRule="auto"/>
        <w:rPr>
          <w:rFonts w:hint="eastAsia" w:cs="宋体"/>
          <w:sz w:val="24"/>
        </w:rPr>
      </w:pPr>
      <w:r>
        <w:rPr>
          <w:rFonts w:hint="eastAsia" w:cs="宋体"/>
          <w:sz w:val="24"/>
          <w14:ligatures w14:val="standardContextual"/>
        </w:rPr>
        <w:t>1.</w:t>
      </w:r>
      <w:r>
        <w:rPr>
          <w:rFonts w:hint="eastAsia" w:cs="宋体"/>
          <w:sz w:val="24"/>
        </w:rPr>
        <w:t>符合 GB/T 17906-2021《消防应急救援装备液压破拆工具通用技术条件》的规定，提供第三方检验检测机构出具的检测报告。</w:t>
      </w:r>
    </w:p>
    <w:p w14:paraId="2A214B83">
      <w:pPr>
        <w:spacing w:line="360" w:lineRule="auto"/>
        <w:rPr>
          <w:rFonts w:hint="eastAsia" w:cs="宋体"/>
          <w:sz w:val="24"/>
        </w:rPr>
      </w:pPr>
      <w:r>
        <w:rPr>
          <w:rFonts w:hint="eastAsia" w:cs="宋体"/>
          <w:sz w:val="24"/>
          <w14:ligatures w14:val="standardContextual"/>
        </w:rPr>
        <w:t>2.</w:t>
      </w:r>
      <w:r>
        <w:rPr>
          <w:rFonts w:hint="eastAsia" w:cs="宋体"/>
          <w:sz w:val="24"/>
        </w:rPr>
        <w:t>最大剪切力290kN；最大切割钢筋直径22mm。</w:t>
      </w:r>
    </w:p>
    <w:p w14:paraId="5A5A9B42">
      <w:pPr>
        <w:spacing w:line="360" w:lineRule="auto"/>
        <w:rPr>
          <w:rFonts w:hint="eastAsia" w:cs="宋体"/>
          <w:sz w:val="24"/>
        </w:rPr>
      </w:pPr>
      <w:r>
        <w:rPr>
          <w:rFonts w:hint="eastAsia" w:cs="宋体"/>
          <w:sz w:val="24"/>
        </w:rPr>
        <w:t>3.最大开口距离≥23mm。</w:t>
      </w:r>
    </w:p>
    <w:p w14:paraId="6103156E">
      <w:pPr>
        <w:spacing w:line="360" w:lineRule="auto"/>
        <w:rPr>
          <w:rFonts w:hint="eastAsia" w:cs="宋体"/>
          <w:sz w:val="24"/>
        </w:rPr>
      </w:pPr>
      <w:r>
        <w:rPr>
          <w:rFonts w:hint="eastAsia" w:cs="宋体"/>
          <w:sz w:val="24"/>
        </w:rPr>
        <w:t>4.剪切能力：圆钢（Q235A 材质）≥22mm。</w:t>
      </w:r>
    </w:p>
    <w:p w14:paraId="4E5A10B9">
      <w:pPr>
        <w:spacing w:line="360" w:lineRule="auto"/>
        <w:rPr>
          <w:rFonts w:hint="eastAsia" w:cs="宋体"/>
          <w:sz w:val="24"/>
        </w:rPr>
      </w:pPr>
      <w:r>
        <w:rPr>
          <w:rFonts w:hint="eastAsia" w:cs="宋体"/>
          <w:sz w:val="24"/>
        </w:rPr>
        <w:t>5.电池持续工作能力：可连续切割直径 22mm 的圆钢（Q235A 材质）≥120 次。</w:t>
      </w:r>
    </w:p>
    <w:p w14:paraId="70407B65">
      <w:pPr>
        <w:spacing w:line="360" w:lineRule="auto"/>
        <w:rPr>
          <w:rFonts w:hint="eastAsia" w:cs="宋体"/>
          <w:sz w:val="24"/>
        </w:rPr>
      </w:pPr>
      <w:r>
        <w:rPr>
          <w:rFonts w:hint="eastAsia" w:cs="宋体"/>
          <w:sz w:val="24"/>
        </w:rPr>
        <w:t>6.最大行程：≥21mm。</w:t>
      </w:r>
    </w:p>
    <w:p w14:paraId="74CACAFF">
      <w:pPr>
        <w:spacing w:line="360" w:lineRule="auto"/>
        <w:rPr>
          <w:rFonts w:hint="eastAsia" w:cs="宋体"/>
          <w:sz w:val="24"/>
        </w:rPr>
      </w:pPr>
      <w:r>
        <w:rPr>
          <w:rFonts w:hint="eastAsia" w:cs="宋体"/>
          <w:sz w:val="24"/>
        </w:rPr>
        <w:t>7.质量：≤8kg。</w:t>
      </w:r>
    </w:p>
    <w:p w14:paraId="22DA9BD7">
      <w:pPr>
        <w:spacing w:line="360" w:lineRule="auto"/>
        <w:rPr>
          <w:rFonts w:hint="eastAsia" w:cs="宋体"/>
          <w:sz w:val="24"/>
        </w:rPr>
      </w:pPr>
      <w:r>
        <w:rPr>
          <w:rFonts w:hint="eastAsia" w:cs="宋体"/>
          <w:sz w:val="24"/>
        </w:rPr>
        <w:t>8.操作把手360°旋转，自带电池液压泵，无刷电机，夜间照明LED灯。</w:t>
      </w:r>
    </w:p>
    <w:p w14:paraId="37993CAE">
      <w:pPr>
        <w:spacing w:line="360" w:lineRule="auto"/>
        <w:rPr>
          <w:rFonts w:hint="eastAsia" w:cs="宋体"/>
          <w:sz w:val="24"/>
        </w:rPr>
      </w:pPr>
      <w:r>
        <w:rPr>
          <w:rFonts w:hint="eastAsia" w:cs="宋体"/>
          <w:sz w:val="24"/>
        </w:rPr>
        <w:t>9.配备：主机1台、充电器1个、锂电池2块、辅助手柄1个、专用扳手1个、备用油壶1瓶，专用工具箱1个。</w:t>
      </w:r>
    </w:p>
    <w:p w14:paraId="0CB9B42F">
      <w:pPr>
        <w:pStyle w:val="120"/>
        <w:spacing w:line="360" w:lineRule="auto"/>
        <w:ind w:firstLine="0" w:firstLineChars="0"/>
        <w:rPr>
          <w:rFonts w:hint="eastAsia" w:cs="宋体"/>
          <w:b/>
          <w:bCs/>
          <w:sz w:val="24"/>
          <w:szCs w:val="24"/>
          <w14:ligatures w14:val="standardContextual"/>
        </w:rPr>
      </w:pPr>
    </w:p>
    <w:p w14:paraId="4B4221CD">
      <w:pPr>
        <w:pStyle w:val="120"/>
        <w:spacing w:line="360" w:lineRule="auto"/>
        <w:ind w:left="480" w:hanging="480" w:firstLineChars="0"/>
        <w:rPr>
          <w:rFonts w:hint="eastAsia" w:cs="宋体"/>
          <w:b/>
          <w:bCs/>
          <w:sz w:val="24"/>
          <w:szCs w:val="24"/>
          <w14:ligatures w14:val="standardContextual"/>
        </w:rPr>
      </w:pPr>
      <w:r>
        <w:rPr>
          <w:rFonts w:hint="eastAsia" w:cs="宋体"/>
          <w:b/>
          <w:bCs/>
          <w:sz w:val="24"/>
          <w:szCs w:val="24"/>
          <w14:ligatures w14:val="standardContextual"/>
        </w:rPr>
        <w:t>六、液压破拆工具组</w:t>
      </w:r>
    </w:p>
    <w:p w14:paraId="43178E30">
      <w:pPr>
        <w:spacing w:line="360" w:lineRule="auto"/>
        <w:rPr>
          <w:rFonts w:hint="eastAsia" w:cs="宋体"/>
          <w:sz w:val="24"/>
          <w14:ligatures w14:val="standardContextual"/>
        </w:rPr>
      </w:pPr>
      <w:r>
        <w:rPr>
          <w:rFonts w:hint="eastAsia" w:cs="宋体"/>
          <w:sz w:val="24"/>
          <w14:ligatures w14:val="standardContextual"/>
        </w:rPr>
        <w:t>1.整体要求：破拆工具（除千斤顶外）符合GB/T17906-2021《液压破拆工具通用技术条件》标准要求，提供第三方检测结构出具的检测报告。</w:t>
      </w:r>
    </w:p>
    <w:p w14:paraId="79B6A3AC">
      <w:pPr>
        <w:spacing w:line="360" w:lineRule="auto"/>
        <w:rPr>
          <w:rFonts w:hint="eastAsia" w:cs="宋体"/>
          <w:sz w:val="24"/>
          <w14:ligatures w14:val="standardContextual"/>
        </w:rPr>
      </w:pPr>
      <w:r>
        <w:rPr>
          <w:rFonts w:hint="eastAsia" w:cs="宋体"/>
          <w:sz w:val="24"/>
          <w14:ligatures w14:val="standardContextual"/>
        </w:rPr>
        <w:t>2.用于地震、塌方、建筑物坍塌等灾害现场障碍物起重和支撑作业，对金属或非金属结构进行剪切、扩张、撑顶等，以保障救援行动的有序进行。</w:t>
      </w:r>
    </w:p>
    <w:p w14:paraId="6EB1EE53">
      <w:pPr>
        <w:spacing w:line="360" w:lineRule="auto"/>
        <w:rPr>
          <w:rFonts w:hint="eastAsia" w:cs="宋体"/>
          <w:sz w:val="24"/>
          <w14:ligatures w14:val="standardContextual"/>
        </w:rPr>
      </w:pPr>
      <w:r>
        <w:rPr>
          <w:rFonts w:hint="eastAsia" w:cs="宋体"/>
          <w:sz w:val="24"/>
        </w:rPr>
        <w:t>▲</w:t>
      </w:r>
      <w:r>
        <w:rPr>
          <w:rFonts w:hint="eastAsia" w:cs="宋体"/>
          <w:sz w:val="24"/>
          <w14:ligatures w14:val="standardContextual"/>
        </w:rPr>
        <w:t xml:space="preserve">3.液压破拆工具组须由液压泵（含两根≥5m 液压油管， 需要有 2 路输出，2 路可同时输出液压油）、手动泵、剪切器、剪扩器、扩张器、千斤顶、开缝器、救援顶杆等部件组成，配有收纳箱。 </w:t>
      </w:r>
    </w:p>
    <w:p w14:paraId="3B10D546">
      <w:pPr>
        <w:spacing w:line="360" w:lineRule="auto"/>
        <w:rPr>
          <w:rFonts w:hint="eastAsia" w:cs="宋体"/>
          <w:sz w:val="24"/>
          <w14:ligatures w14:val="standardContextual"/>
        </w:rPr>
      </w:pPr>
      <w:r>
        <w:rPr>
          <w:rFonts w:hint="eastAsia" w:cs="宋体"/>
          <w:sz w:val="24"/>
        </w:rPr>
        <w:t>▲</w:t>
      </w:r>
      <w:r>
        <w:rPr>
          <w:rFonts w:hint="eastAsia" w:cs="宋体"/>
          <w:sz w:val="24"/>
          <w14:ligatures w14:val="standardContextual"/>
        </w:rPr>
        <w:t xml:space="preserve">4.接口采用单接口，可带压插拔，便于清洁。 </w:t>
      </w:r>
    </w:p>
    <w:p w14:paraId="0FD2A04C">
      <w:pPr>
        <w:spacing w:line="360" w:lineRule="auto"/>
        <w:rPr>
          <w:rFonts w:hint="eastAsia" w:cs="宋体"/>
          <w:b/>
          <w:bCs/>
          <w:sz w:val="24"/>
          <w14:ligatures w14:val="standardContextual"/>
        </w:rPr>
      </w:pPr>
      <w:r>
        <w:rPr>
          <w:rFonts w:hint="eastAsia" w:cs="宋体"/>
          <w:b/>
          <w:bCs/>
          <w:sz w:val="24"/>
          <w14:ligatures w14:val="standardContextual"/>
        </w:rPr>
        <w:t>5.液压泵</w:t>
      </w:r>
    </w:p>
    <w:p w14:paraId="1E5C2A20">
      <w:pPr>
        <w:spacing w:line="360" w:lineRule="auto"/>
        <w:rPr>
          <w:rFonts w:hint="eastAsia" w:cs="宋体"/>
          <w:sz w:val="24"/>
          <w14:ligatures w14:val="standardContextual"/>
        </w:rPr>
      </w:pPr>
      <w:r>
        <w:rPr>
          <w:rFonts w:hint="eastAsia" w:cs="宋体"/>
          <w:sz w:val="24"/>
          <w14:ligatures w14:val="standardContextual"/>
        </w:rPr>
        <w:t>5.1质量：≤25kg</w:t>
      </w:r>
    </w:p>
    <w:p w14:paraId="50C8CF09">
      <w:pPr>
        <w:spacing w:line="360" w:lineRule="auto"/>
        <w:rPr>
          <w:rFonts w:hint="eastAsia" w:cs="宋体"/>
          <w:sz w:val="24"/>
          <w14:ligatures w14:val="standardContextual"/>
        </w:rPr>
      </w:pPr>
      <w:r>
        <w:rPr>
          <w:rFonts w:hint="eastAsia" w:cs="宋体"/>
          <w:sz w:val="24"/>
          <w14:ligatures w14:val="standardContextual"/>
        </w:rPr>
        <w:t>5.2额定工作压力：≥72MPa</w:t>
      </w:r>
    </w:p>
    <w:p w14:paraId="42BB7C10">
      <w:pPr>
        <w:spacing w:line="360" w:lineRule="auto"/>
        <w:rPr>
          <w:rFonts w:hint="eastAsia" w:cs="宋体"/>
          <w:sz w:val="24"/>
          <w14:ligatures w14:val="standardContextual"/>
        </w:rPr>
      </w:pPr>
      <w:r>
        <w:rPr>
          <w:rFonts w:hint="eastAsia" w:cs="宋体"/>
          <w:sz w:val="24"/>
          <w14:ligatures w14:val="standardContextual"/>
        </w:rPr>
        <w:t>5.3高压流量：≥0.8L/min</w:t>
      </w:r>
    </w:p>
    <w:p w14:paraId="2D934BF4">
      <w:pPr>
        <w:spacing w:line="360" w:lineRule="auto"/>
        <w:rPr>
          <w:rFonts w:hint="eastAsia" w:cs="宋体"/>
          <w:sz w:val="24"/>
          <w14:ligatures w14:val="standardContextual"/>
        </w:rPr>
      </w:pPr>
      <w:r>
        <w:rPr>
          <w:rFonts w:hint="eastAsia" w:cs="宋体"/>
          <w:sz w:val="24"/>
          <w14:ligatures w14:val="standardContextual"/>
        </w:rPr>
        <w:t>5.4低压流量：≥3.5L/min。</w:t>
      </w:r>
    </w:p>
    <w:p w14:paraId="06D596D4">
      <w:pPr>
        <w:spacing w:line="360" w:lineRule="auto"/>
        <w:rPr>
          <w:rFonts w:hint="eastAsia" w:cs="宋体"/>
          <w:b/>
          <w:bCs/>
          <w:sz w:val="24"/>
          <w14:ligatures w14:val="standardContextual"/>
        </w:rPr>
      </w:pPr>
      <w:r>
        <w:rPr>
          <w:rFonts w:hint="eastAsia" w:cs="宋体"/>
          <w:b/>
          <w:bCs/>
          <w:sz w:val="24"/>
          <w14:ligatures w14:val="standardContextual"/>
        </w:rPr>
        <w:t>6.手动泵</w:t>
      </w:r>
    </w:p>
    <w:p w14:paraId="4B07E58F">
      <w:pPr>
        <w:spacing w:line="360" w:lineRule="auto"/>
        <w:rPr>
          <w:rFonts w:hint="eastAsia" w:cs="宋体"/>
          <w:sz w:val="24"/>
          <w14:ligatures w14:val="standardContextual"/>
        </w:rPr>
      </w:pPr>
      <w:r>
        <w:rPr>
          <w:rFonts w:hint="eastAsia" w:cs="宋体"/>
          <w:sz w:val="24"/>
          <w14:ligatures w14:val="standardContextual"/>
        </w:rPr>
        <w:t>6.1质量：≤8Kg</w:t>
      </w:r>
    </w:p>
    <w:p w14:paraId="08FE6EAD">
      <w:pPr>
        <w:spacing w:line="360" w:lineRule="auto"/>
        <w:rPr>
          <w:rFonts w:hint="eastAsia" w:cs="宋体"/>
          <w:sz w:val="24"/>
          <w14:ligatures w14:val="standardContextual"/>
        </w:rPr>
      </w:pPr>
      <w:r>
        <w:rPr>
          <w:rFonts w:hint="eastAsia" w:cs="宋体"/>
          <w:sz w:val="24"/>
          <w14:ligatures w14:val="standardContextual"/>
        </w:rPr>
        <w:t>6.2额定工作压力：≥72MPa</w:t>
      </w:r>
    </w:p>
    <w:p w14:paraId="23E8A084">
      <w:pPr>
        <w:spacing w:line="360" w:lineRule="auto"/>
        <w:rPr>
          <w:rFonts w:hint="eastAsia" w:cs="宋体"/>
          <w:sz w:val="24"/>
          <w14:ligatures w14:val="standardContextual"/>
        </w:rPr>
      </w:pPr>
      <w:r>
        <w:rPr>
          <w:rFonts w:hint="eastAsia" w:cs="宋体"/>
          <w:sz w:val="24"/>
          <w14:ligatures w14:val="standardContextual"/>
        </w:rPr>
        <w:t>6.3高压流量：≥2.1ml/次</w:t>
      </w:r>
    </w:p>
    <w:p w14:paraId="2E62AE3D">
      <w:pPr>
        <w:spacing w:line="360" w:lineRule="auto"/>
        <w:rPr>
          <w:rFonts w:hint="eastAsia" w:cs="宋体"/>
          <w:sz w:val="24"/>
          <w14:ligatures w14:val="standardContextual"/>
        </w:rPr>
      </w:pPr>
      <w:r>
        <w:rPr>
          <w:rFonts w:hint="eastAsia" w:cs="宋体"/>
          <w:sz w:val="24"/>
          <w14:ligatures w14:val="standardContextual"/>
        </w:rPr>
        <w:t>6.4低压流量：≥16ml/次</w:t>
      </w:r>
    </w:p>
    <w:p w14:paraId="1AC31C2D">
      <w:pPr>
        <w:spacing w:line="360" w:lineRule="auto"/>
        <w:rPr>
          <w:rFonts w:hint="eastAsia" w:cs="宋体"/>
          <w:sz w:val="24"/>
          <w14:ligatures w14:val="standardContextual"/>
        </w:rPr>
      </w:pPr>
      <w:r>
        <w:rPr>
          <w:rFonts w:hint="eastAsia" w:cs="宋体"/>
          <w:sz w:val="24"/>
          <w14:ligatures w14:val="standardContextual"/>
        </w:rPr>
        <w:t>6.5液压油箱容量：≥2L</w:t>
      </w:r>
    </w:p>
    <w:p w14:paraId="4A1C9ECC">
      <w:pPr>
        <w:spacing w:line="360" w:lineRule="auto"/>
        <w:rPr>
          <w:rFonts w:hint="eastAsia" w:cs="宋体"/>
          <w:b/>
          <w:bCs/>
          <w:sz w:val="24"/>
          <w14:ligatures w14:val="standardContextual"/>
        </w:rPr>
      </w:pPr>
      <w:r>
        <w:rPr>
          <w:rFonts w:hint="eastAsia" w:cs="宋体"/>
          <w:b/>
          <w:bCs/>
          <w:sz w:val="24"/>
          <w14:ligatures w14:val="standardContextual"/>
        </w:rPr>
        <w:t>7.液压剪切器</w:t>
      </w:r>
    </w:p>
    <w:p w14:paraId="4704D7A5">
      <w:pPr>
        <w:spacing w:line="360" w:lineRule="auto"/>
        <w:rPr>
          <w:rFonts w:hint="eastAsia" w:cs="宋体"/>
          <w:sz w:val="24"/>
          <w14:ligatures w14:val="standardContextual"/>
        </w:rPr>
      </w:pPr>
      <w:r>
        <w:rPr>
          <w:rFonts w:hint="eastAsia" w:cs="宋体"/>
          <w:sz w:val="24"/>
          <w14:ligatures w14:val="standardContextual"/>
        </w:rPr>
        <w:t>7.1质量：≤14kg</w:t>
      </w:r>
    </w:p>
    <w:p w14:paraId="1FD19F1F">
      <w:pPr>
        <w:spacing w:line="360" w:lineRule="auto"/>
        <w:rPr>
          <w:rFonts w:hint="eastAsia" w:cs="宋体"/>
          <w:sz w:val="24"/>
          <w14:ligatures w14:val="standardContextual"/>
        </w:rPr>
      </w:pPr>
      <w:r>
        <w:rPr>
          <w:rFonts w:hint="eastAsia" w:cs="宋体"/>
          <w:sz w:val="24"/>
          <w14:ligatures w14:val="standardContextual"/>
        </w:rPr>
        <w:t>7.2额定工作压力：≥72MPa</w:t>
      </w:r>
    </w:p>
    <w:p w14:paraId="47D23B5B">
      <w:pPr>
        <w:spacing w:line="360" w:lineRule="auto"/>
        <w:rPr>
          <w:rFonts w:hint="eastAsia" w:cs="宋体"/>
          <w:sz w:val="24"/>
          <w14:ligatures w14:val="standardContextual"/>
        </w:rPr>
      </w:pPr>
      <w:r>
        <w:rPr>
          <w:rFonts w:hint="eastAsia" w:cs="宋体"/>
          <w:sz w:val="24"/>
          <w14:ligatures w14:val="standardContextual"/>
        </w:rPr>
        <w:t>7.3开口距离：≥320mm</w:t>
      </w:r>
    </w:p>
    <w:p w14:paraId="673BFCC1">
      <w:pPr>
        <w:spacing w:line="360" w:lineRule="auto"/>
        <w:rPr>
          <w:rFonts w:hint="eastAsia" w:cs="宋体"/>
          <w:sz w:val="24"/>
          <w14:ligatures w14:val="standardContextual"/>
        </w:rPr>
      </w:pPr>
      <w:r>
        <w:rPr>
          <w:rFonts w:hint="eastAsia" w:cs="宋体"/>
          <w:sz w:val="24"/>
          <w14:ligatures w14:val="standardContextual"/>
        </w:rPr>
        <w:t>7.4剪切能力：能一次剪断直径≥38mm 的 Q235A 圆钢；能一次剪断厚度≥20mm 的 Q235A 板材。</w:t>
      </w:r>
    </w:p>
    <w:p w14:paraId="035C6B22">
      <w:pPr>
        <w:spacing w:line="360" w:lineRule="auto"/>
        <w:rPr>
          <w:rFonts w:hint="eastAsia" w:cs="宋体"/>
          <w:b/>
          <w:bCs/>
          <w:sz w:val="24"/>
          <w14:ligatures w14:val="standardContextual"/>
        </w:rPr>
      </w:pPr>
      <w:r>
        <w:rPr>
          <w:rFonts w:hint="eastAsia" w:cs="宋体"/>
          <w:b/>
          <w:bCs/>
          <w:sz w:val="24"/>
          <w14:ligatures w14:val="standardContextual"/>
        </w:rPr>
        <w:t>8.液压剪扩器</w:t>
      </w:r>
    </w:p>
    <w:p w14:paraId="0B86A3DD">
      <w:pPr>
        <w:spacing w:line="360" w:lineRule="auto"/>
        <w:rPr>
          <w:rFonts w:hint="eastAsia" w:cs="宋体"/>
          <w:sz w:val="24"/>
          <w14:ligatures w14:val="standardContextual"/>
        </w:rPr>
      </w:pPr>
      <w:r>
        <w:rPr>
          <w:rFonts w:hint="eastAsia" w:cs="宋体"/>
          <w:sz w:val="24"/>
          <w14:ligatures w14:val="standardContextual"/>
        </w:rPr>
        <w:t>8.1质量：≤14kg；</w:t>
      </w:r>
    </w:p>
    <w:p w14:paraId="474904B7">
      <w:pPr>
        <w:spacing w:line="360" w:lineRule="auto"/>
        <w:rPr>
          <w:rFonts w:hint="eastAsia" w:cs="宋体"/>
          <w:sz w:val="24"/>
          <w14:ligatures w14:val="standardContextual"/>
        </w:rPr>
      </w:pPr>
      <w:r>
        <w:rPr>
          <w:rFonts w:hint="eastAsia" w:cs="宋体"/>
          <w:sz w:val="24"/>
          <w14:ligatures w14:val="standardContextual"/>
        </w:rPr>
        <w:t>8.2额定工作压力：≥72MPa；</w:t>
      </w:r>
    </w:p>
    <w:p w14:paraId="5746B97F">
      <w:pPr>
        <w:spacing w:line="360" w:lineRule="auto"/>
        <w:rPr>
          <w:rFonts w:hint="eastAsia" w:cs="宋体"/>
          <w:sz w:val="24"/>
          <w14:ligatures w14:val="standardContextual"/>
        </w:rPr>
      </w:pPr>
      <w:r>
        <w:rPr>
          <w:rFonts w:hint="eastAsia" w:cs="宋体"/>
          <w:sz w:val="24"/>
          <w14:ligatures w14:val="standardContextual"/>
        </w:rPr>
        <w:t>8.3最大扩张力：≥200kN；</w:t>
      </w:r>
    </w:p>
    <w:p w14:paraId="4F470EE2">
      <w:pPr>
        <w:spacing w:line="360" w:lineRule="auto"/>
        <w:rPr>
          <w:rFonts w:hint="eastAsia" w:cs="宋体"/>
          <w:sz w:val="24"/>
          <w14:ligatures w14:val="standardContextual"/>
        </w:rPr>
      </w:pPr>
      <w:r>
        <w:rPr>
          <w:rFonts w:hint="eastAsia" w:cs="宋体"/>
          <w:sz w:val="24"/>
          <w14:ligatures w14:val="standardContextual"/>
        </w:rPr>
        <w:t>8.4扩张距离：≥370mm</w:t>
      </w:r>
    </w:p>
    <w:p w14:paraId="7412D475">
      <w:pPr>
        <w:spacing w:line="360" w:lineRule="auto"/>
        <w:rPr>
          <w:rFonts w:hint="eastAsia" w:cs="宋体"/>
          <w:sz w:val="24"/>
          <w14:ligatures w14:val="standardContextual"/>
        </w:rPr>
      </w:pPr>
      <w:r>
        <w:rPr>
          <w:rFonts w:hint="eastAsia" w:cs="宋体"/>
          <w:sz w:val="24"/>
          <w14:ligatures w14:val="standardContextual"/>
        </w:rPr>
        <w:t>8.5剪切能力：能一次剪断直径≥38mm 的 Q235A 圆钢； 能一次剪断厚度≥25mm 的 Q235A 板材。</w:t>
      </w:r>
    </w:p>
    <w:p w14:paraId="116D7CF9">
      <w:pPr>
        <w:spacing w:line="360" w:lineRule="auto"/>
        <w:rPr>
          <w:rFonts w:hint="eastAsia" w:cs="宋体"/>
          <w:b/>
          <w:bCs/>
          <w:sz w:val="24"/>
          <w14:ligatures w14:val="standardContextual"/>
        </w:rPr>
      </w:pPr>
      <w:r>
        <w:rPr>
          <w:rFonts w:hint="eastAsia" w:cs="宋体"/>
          <w:b/>
          <w:bCs/>
          <w:sz w:val="24"/>
          <w14:ligatures w14:val="standardContextual"/>
        </w:rPr>
        <w:t>9.液压扩张器</w:t>
      </w:r>
    </w:p>
    <w:p w14:paraId="306028A9">
      <w:pPr>
        <w:spacing w:line="360" w:lineRule="auto"/>
        <w:rPr>
          <w:rFonts w:hint="eastAsia" w:cs="宋体"/>
          <w:sz w:val="24"/>
          <w14:ligatures w14:val="standardContextual"/>
        </w:rPr>
      </w:pPr>
      <w:r>
        <w:rPr>
          <w:rFonts w:hint="eastAsia" w:cs="宋体"/>
          <w:sz w:val="24"/>
          <w14:ligatures w14:val="standardContextual"/>
        </w:rPr>
        <w:t>9.1质量：≤16kg</w:t>
      </w:r>
    </w:p>
    <w:p w14:paraId="7404AAD1">
      <w:pPr>
        <w:spacing w:line="360" w:lineRule="auto"/>
        <w:rPr>
          <w:rFonts w:hint="eastAsia" w:cs="宋体"/>
          <w:sz w:val="24"/>
          <w14:ligatures w14:val="standardContextual"/>
        </w:rPr>
      </w:pPr>
      <w:r>
        <w:rPr>
          <w:rFonts w:hint="eastAsia" w:cs="宋体"/>
          <w:sz w:val="24"/>
          <w14:ligatures w14:val="standardContextual"/>
        </w:rPr>
        <w:t>9.2额定工作压力：≥72MPa</w:t>
      </w:r>
    </w:p>
    <w:p w14:paraId="721A0271">
      <w:pPr>
        <w:spacing w:line="360" w:lineRule="auto"/>
        <w:rPr>
          <w:rFonts w:hint="eastAsia" w:cs="宋体"/>
          <w:sz w:val="24"/>
          <w14:ligatures w14:val="standardContextual"/>
        </w:rPr>
      </w:pPr>
      <w:r>
        <w:rPr>
          <w:rFonts w:hint="eastAsia" w:cs="宋体"/>
          <w:sz w:val="24"/>
          <w14:ligatures w14:val="standardContextual"/>
        </w:rPr>
        <w:t>9.3最小扩张力：≥50kN</w:t>
      </w:r>
    </w:p>
    <w:p w14:paraId="6ADCA641">
      <w:pPr>
        <w:spacing w:line="360" w:lineRule="auto"/>
        <w:rPr>
          <w:rFonts w:hint="eastAsia" w:cs="宋体"/>
          <w:sz w:val="24"/>
          <w14:ligatures w14:val="standardContextual"/>
        </w:rPr>
      </w:pPr>
      <w:r>
        <w:rPr>
          <w:rFonts w:hint="eastAsia" w:cs="宋体"/>
          <w:sz w:val="24"/>
          <w14:ligatures w14:val="standardContextual"/>
        </w:rPr>
        <w:t>9.4扩张距离：≥730mm。</w:t>
      </w:r>
    </w:p>
    <w:p w14:paraId="2DE2F989">
      <w:pPr>
        <w:spacing w:line="360" w:lineRule="auto"/>
        <w:rPr>
          <w:rFonts w:hint="eastAsia" w:cs="宋体"/>
          <w:b/>
          <w:bCs/>
          <w:sz w:val="24"/>
          <w14:ligatures w14:val="standardContextual"/>
        </w:rPr>
      </w:pPr>
      <w:r>
        <w:rPr>
          <w:rFonts w:hint="eastAsia" w:cs="宋体"/>
          <w:b/>
          <w:bCs/>
          <w:sz w:val="24"/>
          <w14:ligatures w14:val="standardContextual"/>
        </w:rPr>
        <w:t>10.液压千斤顶：（包括5T、10T、20T三种千斤顶）</w:t>
      </w:r>
    </w:p>
    <w:p w14:paraId="778BC23A">
      <w:pPr>
        <w:spacing w:line="360" w:lineRule="auto"/>
        <w:rPr>
          <w:rFonts w:hint="eastAsia" w:cs="宋体"/>
          <w:sz w:val="24"/>
          <w14:ligatures w14:val="standardContextual"/>
        </w:rPr>
      </w:pPr>
      <w:r>
        <w:rPr>
          <w:rFonts w:hint="eastAsia" w:cs="宋体"/>
          <w:sz w:val="24"/>
          <w14:ligatures w14:val="standardContextual"/>
        </w:rPr>
        <w:t>10.1额定工作压力:≥70MPa</w:t>
      </w:r>
    </w:p>
    <w:p w14:paraId="47A71385">
      <w:pPr>
        <w:spacing w:line="360" w:lineRule="auto"/>
        <w:rPr>
          <w:rFonts w:hint="eastAsia" w:cs="宋体"/>
          <w:sz w:val="24"/>
          <w14:ligatures w14:val="standardContextual"/>
        </w:rPr>
      </w:pPr>
      <w:r>
        <w:rPr>
          <w:rFonts w:hint="eastAsia" w:cs="宋体"/>
          <w:sz w:val="24"/>
          <w14:ligatures w14:val="standardContextual"/>
        </w:rPr>
        <w:t>10.2需配手动泵</w:t>
      </w:r>
    </w:p>
    <w:p w14:paraId="6FA4B73F">
      <w:pPr>
        <w:spacing w:line="360" w:lineRule="auto"/>
        <w:rPr>
          <w:rFonts w:hint="eastAsia" w:cs="宋体"/>
          <w:sz w:val="24"/>
          <w14:ligatures w14:val="standardContextual"/>
        </w:rPr>
      </w:pPr>
      <w:r>
        <w:rPr>
          <w:rFonts w:hint="eastAsia" w:cs="宋体"/>
          <w:sz w:val="24"/>
          <w14:ligatures w14:val="standardContextual"/>
        </w:rPr>
        <w:t>10.3最大撑顶力: ≥5t/10t/20t;</w:t>
      </w:r>
    </w:p>
    <w:p w14:paraId="1D16D53D">
      <w:pPr>
        <w:spacing w:line="360" w:lineRule="auto"/>
        <w:rPr>
          <w:rFonts w:hint="eastAsia" w:cs="宋体"/>
          <w:sz w:val="24"/>
          <w14:ligatures w14:val="standardContextual"/>
        </w:rPr>
      </w:pPr>
      <w:r>
        <w:rPr>
          <w:rFonts w:hint="eastAsia" w:cs="宋体"/>
          <w:sz w:val="24"/>
          <w14:ligatures w14:val="standardContextual"/>
        </w:rPr>
        <w:t>10.4闭合长度:≤200/310/350mm</w:t>
      </w:r>
    </w:p>
    <w:p w14:paraId="0FFF47A0">
      <w:pPr>
        <w:spacing w:line="360" w:lineRule="auto"/>
        <w:rPr>
          <w:rFonts w:hint="eastAsia" w:cs="宋体"/>
          <w:sz w:val="24"/>
          <w14:ligatures w14:val="standardContextual"/>
        </w:rPr>
      </w:pPr>
      <w:r>
        <w:rPr>
          <w:rFonts w:hint="eastAsia" w:cs="宋体"/>
          <w:sz w:val="24"/>
          <w14:ligatures w14:val="standardContextual"/>
        </w:rPr>
        <w:t xml:space="preserve">10.5撑顶行程:≥100/200/230mm; </w:t>
      </w:r>
    </w:p>
    <w:p w14:paraId="4F6B7D05">
      <w:pPr>
        <w:spacing w:line="360" w:lineRule="auto"/>
        <w:rPr>
          <w:rFonts w:hint="eastAsia" w:cs="宋体"/>
          <w:sz w:val="24"/>
          <w14:ligatures w14:val="standardContextual"/>
        </w:rPr>
      </w:pPr>
      <w:r>
        <w:rPr>
          <w:rFonts w:hint="eastAsia" w:cs="宋体"/>
          <w:sz w:val="24"/>
          <w14:ligatures w14:val="standardContextual"/>
        </w:rPr>
        <w:t>10.6最大撑顶高度:≥290/500/570mm</w:t>
      </w:r>
    </w:p>
    <w:p w14:paraId="69A815FC">
      <w:pPr>
        <w:spacing w:line="360" w:lineRule="auto"/>
        <w:rPr>
          <w:rFonts w:hint="eastAsia" w:cs="宋体"/>
          <w:sz w:val="24"/>
          <w14:ligatures w14:val="standardContextual"/>
        </w:rPr>
      </w:pPr>
      <w:r>
        <w:rPr>
          <w:rFonts w:hint="eastAsia" w:cs="宋体"/>
          <w:sz w:val="24"/>
          <w14:ligatures w14:val="standardContextual"/>
        </w:rPr>
        <w:t>10.7质量:≤2/4/9kg</w:t>
      </w:r>
    </w:p>
    <w:p w14:paraId="70605756">
      <w:pPr>
        <w:spacing w:line="360" w:lineRule="auto"/>
        <w:rPr>
          <w:rFonts w:hint="eastAsia" w:cs="宋体"/>
          <w:b/>
          <w:bCs/>
          <w:sz w:val="24"/>
          <w14:ligatures w14:val="standardContextual"/>
        </w:rPr>
      </w:pPr>
      <w:r>
        <w:rPr>
          <w:rFonts w:hint="eastAsia" w:cs="宋体"/>
          <w:b/>
          <w:bCs/>
          <w:sz w:val="24"/>
          <w14:ligatures w14:val="standardContextual"/>
        </w:rPr>
        <w:t>11.液压开缝器</w:t>
      </w:r>
    </w:p>
    <w:p w14:paraId="3B036292">
      <w:pPr>
        <w:spacing w:line="360" w:lineRule="auto"/>
        <w:rPr>
          <w:rFonts w:hint="eastAsia" w:cs="宋体"/>
          <w:sz w:val="24"/>
          <w14:ligatures w14:val="standardContextual"/>
        </w:rPr>
      </w:pPr>
      <w:r>
        <w:rPr>
          <w:rFonts w:hint="eastAsia" w:cs="宋体"/>
          <w:sz w:val="24"/>
          <w14:ligatures w14:val="standardContextual"/>
        </w:rPr>
        <w:t>11.1额定工作压力：≥70MPa</w:t>
      </w:r>
    </w:p>
    <w:p w14:paraId="0BE95D46">
      <w:pPr>
        <w:spacing w:line="360" w:lineRule="auto"/>
        <w:rPr>
          <w:rFonts w:hint="eastAsia" w:cs="宋体"/>
          <w:sz w:val="24"/>
          <w14:ligatures w14:val="standardContextual"/>
        </w:rPr>
      </w:pPr>
      <w:r>
        <w:rPr>
          <w:rFonts w:hint="eastAsia" w:cs="宋体"/>
          <w:sz w:val="24"/>
          <w14:ligatures w14:val="standardContextual"/>
        </w:rPr>
        <w:t>11.2开启力：≥250KN</w:t>
      </w:r>
    </w:p>
    <w:p w14:paraId="12ABFEEE">
      <w:pPr>
        <w:spacing w:line="360" w:lineRule="auto"/>
        <w:rPr>
          <w:rFonts w:hint="eastAsia" w:cs="宋体"/>
          <w:sz w:val="24"/>
          <w14:ligatures w14:val="standardContextual"/>
        </w:rPr>
      </w:pPr>
      <w:r>
        <w:rPr>
          <w:rFonts w:hint="eastAsia" w:cs="宋体"/>
          <w:sz w:val="24"/>
          <w14:ligatures w14:val="standardContextual"/>
        </w:rPr>
        <w:t>11.3最大开启距离：≥50mm</w:t>
      </w:r>
    </w:p>
    <w:p w14:paraId="6B5FA249">
      <w:pPr>
        <w:spacing w:line="360" w:lineRule="auto"/>
        <w:rPr>
          <w:rFonts w:hint="eastAsia" w:cs="宋体"/>
          <w:sz w:val="24"/>
          <w14:ligatures w14:val="standardContextual"/>
        </w:rPr>
      </w:pPr>
      <w:r>
        <w:rPr>
          <w:rFonts w:hint="eastAsia" w:cs="宋体"/>
          <w:sz w:val="24"/>
          <w14:ligatures w14:val="standardContextual"/>
        </w:rPr>
        <w:t>11.4最小楔入缝隙：≤5mm</w:t>
      </w:r>
    </w:p>
    <w:p w14:paraId="4EE1C2B4">
      <w:pPr>
        <w:spacing w:line="360" w:lineRule="auto"/>
        <w:rPr>
          <w:rFonts w:hint="eastAsia" w:cs="宋体"/>
          <w:sz w:val="24"/>
          <w14:ligatures w14:val="standardContextual"/>
        </w:rPr>
      </w:pPr>
      <w:r>
        <w:rPr>
          <w:rFonts w:hint="eastAsia" w:cs="宋体"/>
          <w:sz w:val="24"/>
          <w14:ligatures w14:val="standardContextual"/>
        </w:rPr>
        <w:t>11.5质量：≤11kg</w:t>
      </w:r>
    </w:p>
    <w:p w14:paraId="45F75AB7">
      <w:pPr>
        <w:spacing w:line="360" w:lineRule="auto"/>
        <w:rPr>
          <w:rFonts w:hint="eastAsia" w:cs="宋体"/>
          <w:b/>
          <w:bCs/>
          <w:sz w:val="24"/>
          <w14:ligatures w14:val="standardContextual"/>
        </w:rPr>
      </w:pPr>
      <w:r>
        <w:rPr>
          <w:rFonts w:hint="eastAsia" w:cs="宋体"/>
          <w:b/>
          <w:bCs/>
          <w:sz w:val="24"/>
          <w14:ligatures w14:val="standardContextual"/>
        </w:rPr>
        <w:t>12.救援顶杆</w:t>
      </w:r>
    </w:p>
    <w:p w14:paraId="3D600AD4">
      <w:pPr>
        <w:spacing w:line="360" w:lineRule="auto"/>
        <w:rPr>
          <w:rFonts w:hint="eastAsia" w:cs="宋体"/>
          <w:sz w:val="24"/>
          <w14:ligatures w14:val="standardContextual"/>
        </w:rPr>
      </w:pPr>
      <w:r>
        <w:rPr>
          <w:rFonts w:hint="eastAsia" w:cs="宋体"/>
          <w:sz w:val="24"/>
          <w14:ligatures w14:val="standardContextual"/>
        </w:rPr>
        <w:t>12.1质量：≤15kg</w:t>
      </w:r>
    </w:p>
    <w:p w14:paraId="288C3385">
      <w:pPr>
        <w:spacing w:line="360" w:lineRule="auto"/>
        <w:rPr>
          <w:rFonts w:hint="eastAsia" w:cs="宋体"/>
          <w:sz w:val="24"/>
          <w14:ligatures w14:val="standardContextual"/>
        </w:rPr>
      </w:pPr>
      <w:r>
        <w:rPr>
          <w:rFonts w:hint="eastAsia" w:cs="宋体"/>
          <w:sz w:val="24"/>
          <w14:ligatures w14:val="standardContextual"/>
        </w:rPr>
        <w:t>12.2额定工作压力：≥72MPa</w:t>
      </w:r>
    </w:p>
    <w:p w14:paraId="25A13A41">
      <w:pPr>
        <w:spacing w:line="360" w:lineRule="auto"/>
        <w:rPr>
          <w:rFonts w:hint="eastAsia" w:cs="宋体"/>
          <w:sz w:val="24"/>
          <w14:ligatures w14:val="standardContextual"/>
        </w:rPr>
      </w:pPr>
      <w:r>
        <w:rPr>
          <w:rFonts w:hint="eastAsia" w:cs="宋体"/>
          <w:sz w:val="24"/>
          <w14:ligatures w14:val="standardContextual"/>
        </w:rPr>
        <w:t>12.3闭合长度：≥550mm</w:t>
      </w:r>
    </w:p>
    <w:p w14:paraId="35448749">
      <w:pPr>
        <w:spacing w:line="360" w:lineRule="auto"/>
        <w:rPr>
          <w:rFonts w:hint="eastAsia" w:cs="宋体"/>
          <w:sz w:val="24"/>
          <w14:ligatures w14:val="standardContextual"/>
        </w:rPr>
      </w:pPr>
      <w:r>
        <w:rPr>
          <w:rFonts w:hint="eastAsia" w:cs="宋体"/>
          <w:sz w:val="24"/>
          <w14:ligatures w14:val="standardContextual"/>
        </w:rPr>
        <w:t>12.4一级撑顶力：≥200kN</w:t>
      </w:r>
    </w:p>
    <w:p w14:paraId="2106D3CA">
      <w:pPr>
        <w:spacing w:line="360" w:lineRule="auto"/>
        <w:rPr>
          <w:rFonts w:hint="eastAsia" w:cs="宋体"/>
          <w:sz w:val="24"/>
          <w14:ligatures w14:val="standardContextual"/>
        </w:rPr>
      </w:pPr>
      <w:r>
        <w:rPr>
          <w:rFonts w:hint="eastAsia" w:cs="宋体"/>
          <w:sz w:val="24"/>
          <w14:ligatures w14:val="standardContextual"/>
        </w:rPr>
        <w:t>12.5一级撑顶长度：≥700mm</w:t>
      </w:r>
    </w:p>
    <w:p w14:paraId="1DF79ED0">
      <w:pPr>
        <w:spacing w:line="360" w:lineRule="auto"/>
        <w:rPr>
          <w:rFonts w:hint="eastAsia" w:cs="宋体"/>
          <w:sz w:val="24"/>
          <w14:ligatures w14:val="standardContextual"/>
        </w:rPr>
      </w:pPr>
      <w:r>
        <w:rPr>
          <w:rFonts w:hint="eastAsia" w:cs="宋体"/>
          <w:sz w:val="24"/>
          <w14:ligatures w14:val="standardContextual"/>
        </w:rPr>
        <w:t>12.6二级撑顶力：≥160kN</w:t>
      </w:r>
    </w:p>
    <w:p w14:paraId="3F944E68">
      <w:pPr>
        <w:spacing w:line="360" w:lineRule="auto"/>
        <w:rPr>
          <w:rFonts w:hint="eastAsia" w:cs="宋体"/>
          <w:sz w:val="24"/>
          <w14:ligatures w14:val="standardContextual"/>
        </w:rPr>
      </w:pPr>
      <w:r>
        <w:rPr>
          <w:rFonts w:hint="eastAsia" w:cs="宋体"/>
          <w:sz w:val="24"/>
          <w14:ligatures w14:val="standardContextual"/>
        </w:rPr>
        <w:t>12.7二级撑顶长度：≥1200mm</w:t>
      </w:r>
    </w:p>
    <w:p w14:paraId="3790B224">
      <w:pPr>
        <w:spacing w:line="360" w:lineRule="auto"/>
        <w:rPr>
          <w:rFonts w:hint="eastAsia" w:cs="宋体"/>
          <w:b/>
          <w:bCs/>
          <w:sz w:val="24"/>
          <w14:ligatures w14:val="standardContextual"/>
        </w:rPr>
      </w:pPr>
      <w:r>
        <w:rPr>
          <w:rFonts w:hint="eastAsia" w:cs="宋体"/>
          <w:sz w:val="24"/>
        </w:rPr>
        <w:t>▲</w:t>
      </w:r>
      <w:r>
        <w:rPr>
          <w:rFonts w:hint="eastAsia" w:cs="宋体"/>
          <w:b/>
          <w:bCs/>
          <w:sz w:val="24"/>
          <w14:ligatures w14:val="standardContextual"/>
        </w:rPr>
        <w:t>13.提供第三方检测机构出具的检测报告 。</w:t>
      </w:r>
    </w:p>
    <w:p w14:paraId="450ED80F">
      <w:pPr>
        <w:spacing w:line="360" w:lineRule="auto"/>
        <w:rPr>
          <w:rFonts w:hint="eastAsia" w:cs="宋体"/>
          <w:b/>
          <w:bCs/>
          <w:sz w:val="24"/>
          <w14:ligatures w14:val="standardContextual"/>
        </w:rPr>
      </w:pPr>
    </w:p>
    <w:p w14:paraId="65838E24">
      <w:pPr>
        <w:pStyle w:val="120"/>
        <w:spacing w:line="360" w:lineRule="auto"/>
        <w:ind w:left="480" w:hanging="480" w:firstLineChars="0"/>
        <w:rPr>
          <w:rFonts w:hint="eastAsia" w:cs="宋体"/>
          <w:b/>
          <w:bCs/>
          <w:sz w:val="24"/>
          <w:szCs w:val="24"/>
          <w14:ligatures w14:val="standardContextual"/>
        </w:rPr>
      </w:pPr>
      <w:r>
        <w:rPr>
          <w:rFonts w:hint="eastAsia" w:cs="宋体"/>
          <w:b/>
          <w:bCs/>
          <w:sz w:val="24"/>
          <w:szCs w:val="24"/>
          <w14:ligatures w14:val="standardContextual"/>
        </w:rPr>
        <w:t>七、液压破碎机</w:t>
      </w:r>
    </w:p>
    <w:p w14:paraId="02F0DAFE">
      <w:pPr>
        <w:pStyle w:val="120"/>
        <w:spacing w:line="360" w:lineRule="auto"/>
        <w:ind w:firstLine="0" w:firstLineChars="0"/>
        <w:rPr>
          <w:rFonts w:hint="eastAsia" w:cs="宋体"/>
          <w:b/>
          <w:bCs/>
          <w:sz w:val="24"/>
          <w:szCs w:val="24"/>
          <w14:ligatures w14:val="standardContextual"/>
        </w:rPr>
      </w:pPr>
      <w:r>
        <w:rPr>
          <w:rFonts w:hint="eastAsia" w:cs="宋体"/>
          <w:b/>
          <w:bCs/>
          <w:sz w:val="24"/>
          <w:szCs w:val="24"/>
          <w14:ligatures w14:val="standardContextual"/>
        </w:rPr>
        <w:t>1.全套产品须包含液压动力站1套、液压破碎镐1套、液压圆盘锯1套、液压链锯1套。</w:t>
      </w:r>
    </w:p>
    <w:p w14:paraId="6D0DE291">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2.设备即插即用，可轻松完成破拆、切削、开缝等作业要求</w:t>
      </w:r>
    </w:p>
    <w:p w14:paraId="48B9B988">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3.符合 GB 32460-2015 消防应急救援装备、破拆机具通用技术条件GB/T28391-2012 建筑施工机械与设备人力移动式液压动力站混凝土破拆工具组试验大纲</w:t>
      </w:r>
    </w:p>
    <w:p w14:paraId="180F73B2">
      <w:pPr>
        <w:pStyle w:val="120"/>
        <w:spacing w:line="360" w:lineRule="auto"/>
        <w:ind w:firstLine="0" w:firstLineChars="0"/>
        <w:rPr>
          <w:rFonts w:hint="eastAsia" w:cs="宋体"/>
          <w:b/>
          <w:bCs/>
          <w:sz w:val="24"/>
          <w:szCs w:val="24"/>
          <w14:ligatures w14:val="standardContextual"/>
        </w:rPr>
      </w:pPr>
      <w:r>
        <w:rPr>
          <w:rFonts w:hint="eastAsia" w:cs="宋体"/>
          <w:b/>
          <w:bCs/>
          <w:sz w:val="24"/>
          <w:szCs w:val="24"/>
          <w14:ligatures w14:val="standardContextual"/>
        </w:rPr>
        <w:t>4.液压动力站</w:t>
      </w:r>
    </w:p>
    <w:p w14:paraId="23D62C9D">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4.1发动机功率≥13HP</w:t>
      </w:r>
    </w:p>
    <w:p w14:paraId="6A7A384F">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4.2输出流量：1*30lpm，可适配不同流量要求液压工具</w:t>
      </w:r>
    </w:p>
    <w:p w14:paraId="6DCF0E28">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4.3输出压力：≥150bar</w:t>
      </w:r>
    </w:p>
    <w:p w14:paraId="3B5EFE1B">
      <w:pPr>
        <w:pStyle w:val="120"/>
        <w:spacing w:line="360" w:lineRule="auto"/>
        <w:ind w:firstLine="0" w:firstLineChars="0"/>
        <w:rPr>
          <w:rFonts w:hint="eastAsia" w:cs="宋体"/>
          <w:sz w:val="24"/>
          <w:szCs w:val="24"/>
          <w14:ligatures w14:val="standardContextual"/>
        </w:rPr>
      </w:pPr>
      <w:r>
        <w:rPr>
          <w:rFonts w:hint="eastAsia" w:cs="宋体"/>
          <w:sz w:val="24"/>
          <w:szCs w:val="24"/>
          <w14:ligatures w14:val="standardContextual"/>
        </w:rPr>
        <w:t>4.4重量：≤90Kg。</w:t>
      </w:r>
    </w:p>
    <w:p w14:paraId="4647291A">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4.5启动方式：反冲式启动</w:t>
      </w:r>
    </w:p>
    <w:p w14:paraId="33009560">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4.6连接方式：3/8in平面型快换接头</w:t>
      </w:r>
    </w:p>
    <w:p w14:paraId="386F4FEE">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4.7 标准配置≥7.5m液压油管一组，接口并能互相连接。</w:t>
      </w:r>
    </w:p>
    <w:p w14:paraId="215A1EF3">
      <w:pPr>
        <w:pStyle w:val="120"/>
        <w:spacing w:line="360" w:lineRule="auto"/>
        <w:ind w:left="480" w:hanging="480" w:firstLineChars="0"/>
        <w:rPr>
          <w:rFonts w:hint="eastAsia" w:cs="宋体"/>
          <w:b/>
          <w:bCs/>
          <w:sz w:val="24"/>
          <w:szCs w:val="24"/>
          <w14:ligatures w14:val="standardContextual"/>
        </w:rPr>
      </w:pPr>
      <w:r>
        <w:rPr>
          <w:rFonts w:hint="eastAsia" w:cs="宋体"/>
          <w:b/>
          <w:bCs/>
          <w:sz w:val="24"/>
          <w:szCs w:val="24"/>
          <w14:ligatures w14:val="standardContextual"/>
        </w:rPr>
        <w:t>5.液压破碎镐</w:t>
      </w:r>
    </w:p>
    <w:p w14:paraId="196220AE">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5.1重量（不含附件）：≤18kg</w:t>
      </w:r>
    </w:p>
    <w:p w14:paraId="648C62DD">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5.2输入流量：20-30lpm</w:t>
      </w:r>
    </w:p>
    <w:p w14:paraId="78B9A634">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5.3冲击能≥80J</w:t>
      </w:r>
    </w:p>
    <w:p w14:paraId="052A04A4">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5.4冲击频率：1500－ 2000 bpm</w:t>
      </w:r>
    </w:p>
    <w:p w14:paraId="3800C2D9">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5.5破碎混凝土厚度≥300mm</w:t>
      </w:r>
    </w:p>
    <w:p w14:paraId="103FCC50">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5.6 配备尖、 扁镐钎各一支。</w:t>
      </w:r>
    </w:p>
    <w:p w14:paraId="7A8DC57E">
      <w:pPr>
        <w:pStyle w:val="120"/>
        <w:spacing w:line="360" w:lineRule="auto"/>
        <w:ind w:left="480" w:hanging="480" w:firstLineChars="0"/>
        <w:rPr>
          <w:rFonts w:hint="eastAsia" w:cs="宋体"/>
          <w:sz w:val="24"/>
          <w:szCs w:val="24"/>
          <w14:ligatures w14:val="standardContextual"/>
        </w:rPr>
      </w:pPr>
      <w:r>
        <w:rPr>
          <w:rFonts w:hint="eastAsia" w:cs="宋体"/>
          <w:b/>
          <w:bCs/>
          <w:sz w:val="24"/>
          <w:szCs w:val="24"/>
          <w14:ligatures w14:val="standardContextual"/>
        </w:rPr>
        <w:t>6.液压圆盘锯</w:t>
      </w:r>
    </w:p>
    <w:p w14:paraId="2BDE67F6">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6.1 最大压力：160bar</w:t>
      </w:r>
    </w:p>
    <w:p w14:paraId="0E472582">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6.2锯片直径：≥355mm</w:t>
      </w:r>
    </w:p>
    <w:p w14:paraId="5A76973C">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6.3切割深度：≥130mm</w:t>
      </w:r>
    </w:p>
    <w:p w14:paraId="1294BCAE">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6.4最大转速：≥4500rpm配备金刚石锯片</w:t>
      </w:r>
    </w:p>
    <w:p w14:paraId="6F17178E">
      <w:pPr>
        <w:pStyle w:val="120"/>
        <w:spacing w:line="360" w:lineRule="auto"/>
        <w:ind w:left="480" w:hanging="480" w:firstLineChars="0"/>
        <w:rPr>
          <w:rFonts w:hint="eastAsia" w:cs="宋体"/>
          <w:sz w:val="24"/>
          <w:szCs w:val="24"/>
          <w14:ligatures w14:val="standardContextual"/>
        </w:rPr>
      </w:pPr>
      <w:r>
        <w:rPr>
          <w:rFonts w:hint="eastAsia" w:cs="宋体"/>
          <w:sz w:val="24"/>
          <w:szCs w:val="24"/>
          <w14:ligatures w14:val="standardContextual"/>
        </w:rPr>
        <w:t>6.5提供有效检测机构出具的检测报告。</w:t>
      </w:r>
    </w:p>
    <w:p w14:paraId="63EF9334">
      <w:pPr>
        <w:pStyle w:val="120"/>
        <w:spacing w:line="360" w:lineRule="auto"/>
        <w:ind w:left="480" w:hanging="480" w:firstLineChars="0"/>
        <w:rPr>
          <w:rFonts w:hint="eastAsia" w:cs="宋体"/>
          <w:b/>
          <w:bCs/>
          <w:sz w:val="24"/>
          <w:szCs w:val="24"/>
          <w14:ligatures w14:val="standardContextual"/>
        </w:rPr>
      </w:pPr>
      <w:r>
        <w:rPr>
          <w:rFonts w:hint="eastAsia" w:cs="宋体"/>
          <w:b/>
          <w:bCs/>
          <w:sz w:val="24"/>
          <w:szCs w:val="24"/>
          <w14:ligatures w14:val="standardContextual"/>
        </w:rPr>
        <w:t>7.液压链锯</w:t>
      </w:r>
    </w:p>
    <w:p w14:paraId="78EF0C07">
      <w:pPr>
        <w:pStyle w:val="120"/>
        <w:numPr>
          <w:ilvl w:val="1"/>
          <w:numId w:val="0"/>
        </w:numPr>
        <w:spacing w:line="360" w:lineRule="auto"/>
        <w:rPr>
          <w:rFonts w:hint="eastAsia" w:cs="宋体"/>
          <w:sz w:val="24"/>
          <w:szCs w:val="24"/>
          <w14:ligatures w14:val="standardContextual"/>
        </w:rPr>
      </w:pPr>
      <w:r>
        <w:rPr>
          <w:rFonts w:hint="eastAsia" w:cs="宋体"/>
          <w:sz w:val="24"/>
          <w:szCs w:val="24"/>
          <w14:ligatures w14:val="standardContextual"/>
        </w:rPr>
        <w:t>7.1重量：≤8kg（不含附件）</w:t>
      </w:r>
    </w:p>
    <w:p w14:paraId="05AD5618">
      <w:pPr>
        <w:pStyle w:val="120"/>
        <w:numPr>
          <w:ilvl w:val="1"/>
          <w:numId w:val="0"/>
        </w:numPr>
        <w:spacing w:line="360" w:lineRule="auto"/>
        <w:rPr>
          <w:rFonts w:hint="eastAsia" w:cs="宋体"/>
          <w:sz w:val="24"/>
          <w:szCs w:val="24"/>
          <w14:ligatures w14:val="standardContextual"/>
        </w:rPr>
      </w:pPr>
      <w:r>
        <w:rPr>
          <w:rFonts w:hint="eastAsia" w:cs="宋体"/>
          <w:sz w:val="24"/>
          <w:szCs w:val="24"/>
          <w14:ligatures w14:val="standardContextual"/>
        </w:rPr>
        <w:t xml:space="preserve">7.2切割深度≥330mm </w:t>
      </w:r>
    </w:p>
    <w:p w14:paraId="65CC7969">
      <w:pPr>
        <w:pStyle w:val="120"/>
        <w:numPr>
          <w:ilvl w:val="1"/>
          <w:numId w:val="0"/>
        </w:numPr>
        <w:spacing w:line="360" w:lineRule="auto"/>
        <w:rPr>
          <w:rFonts w:hint="eastAsia" w:cs="宋体"/>
          <w:sz w:val="24"/>
          <w:szCs w:val="24"/>
          <w14:ligatures w14:val="standardContextual"/>
        </w:rPr>
      </w:pPr>
      <w:r>
        <w:rPr>
          <w:rFonts w:hint="eastAsia" w:cs="宋体"/>
          <w:sz w:val="24"/>
          <w:szCs w:val="24"/>
          <w14:ligatures w14:val="standardContextual"/>
        </w:rPr>
        <w:t>7.3配备：≥16L 压力水箱。</w:t>
      </w:r>
    </w:p>
    <w:p w14:paraId="705A8ECD">
      <w:pPr>
        <w:pStyle w:val="120"/>
        <w:numPr>
          <w:ilvl w:val="1"/>
          <w:numId w:val="0"/>
        </w:numPr>
        <w:spacing w:line="360" w:lineRule="auto"/>
        <w:rPr>
          <w:rFonts w:hint="eastAsia" w:cs="宋体"/>
          <w:sz w:val="24"/>
          <w:szCs w:val="24"/>
          <w14:ligatures w14:val="standardContextual"/>
        </w:rPr>
      </w:pPr>
    </w:p>
    <w:p w14:paraId="5D25509F">
      <w:pPr>
        <w:pStyle w:val="120"/>
        <w:spacing w:line="360" w:lineRule="auto"/>
        <w:ind w:firstLine="0" w:firstLineChars="0"/>
        <w:rPr>
          <w:rFonts w:hint="eastAsia" w:cs="宋体"/>
          <w:b/>
          <w:bCs/>
          <w:sz w:val="24"/>
          <w:szCs w:val="24"/>
        </w:rPr>
      </w:pPr>
      <w:r>
        <w:rPr>
          <w:rFonts w:hint="eastAsia" w:cs="宋体"/>
          <w:b/>
          <w:bCs/>
          <w:sz w:val="24"/>
          <w:szCs w:val="24"/>
        </w:rPr>
        <w:t>八、救援应急包</w:t>
      </w:r>
    </w:p>
    <w:p w14:paraId="7B92D13B">
      <w:pPr>
        <w:pStyle w:val="120"/>
        <w:spacing w:line="360" w:lineRule="auto"/>
        <w:ind w:firstLine="0" w:firstLineChars="0"/>
        <w:rPr>
          <w:rFonts w:hint="eastAsia" w:cs="宋体"/>
          <w:sz w:val="24"/>
          <w:szCs w:val="24"/>
        </w:rPr>
      </w:pPr>
      <w:r>
        <w:rPr>
          <w:rFonts w:hint="eastAsia" w:cs="宋体"/>
          <w:sz w:val="24"/>
          <w:szCs w:val="24"/>
        </w:rPr>
        <w:t>材质：400D高密防水牛津布（或优于）</w:t>
      </w:r>
    </w:p>
    <w:p w14:paraId="4A71ACBC">
      <w:pPr>
        <w:pStyle w:val="120"/>
        <w:spacing w:line="360" w:lineRule="auto"/>
        <w:ind w:firstLine="0" w:firstLineChars="0"/>
        <w:rPr>
          <w:rFonts w:hint="eastAsia" w:cs="宋体"/>
          <w:sz w:val="24"/>
          <w:szCs w:val="24"/>
        </w:rPr>
      </w:pPr>
      <w:r>
        <w:rPr>
          <w:rFonts w:hint="eastAsia" w:cs="宋体"/>
          <w:sz w:val="24"/>
          <w:szCs w:val="24"/>
        </w:rPr>
        <w:t>尺寸：≥60*38*18cm</w:t>
      </w:r>
    </w:p>
    <w:p w14:paraId="05FC7C25">
      <w:pPr>
        <w:pStyle w:val="120"/>
        <w:spacing w:line="360" w:lineRule="auto"/>
        <w:ind w:firstLine="0" w:firstLineChars="0"/>
        <w:rPr>
          <w:rFonts w:hint="eastAsia" w:cs="宋体"/>
          <w:sz w:val="24"/>
          <w:szCs w:val="24"/>
        </w:rPr>
      </w:pPr>
      <w:r>
        <w:rPr>
          <w:rFonts w:hint="eastAsia" w:cs="宋体"/>
          <w:sz w:val="24"/>
          <w:szCs w:val="24"/>
        </w:rPr>
        <w:t>容积：≥55L</w:t>
      </w:r>
    </w:p>
    <w:p w14:paraId="423354BC">
      <w:pPr>
        <w:pStyle w:val="120"/>
        <w:spacing w:line="360" w:lineRule="auto"/>
        <w:ind w:firstLine="0" w:firstLineChars="0"/>
        <w:rPr>
          <w:rFonts w:hint="eastAsia" w:cs="宋体"/>
          <w:sz w:val="24"/>
          <w:szCs w:val="24"/>
        </w:rPr>
      </w:pPr>
      <w:r>
        <w:rPr>
          <w:rFonts w:hint="eastAsia" w:cs="宋体"/>
          <w:sz w:val="24"/>
          <w:szCs w:val="24"/>
        </w:rPr>
        <w:t>救援应急包须不少于以下配置：</w:t>
      </w:r>
    </w:p>
    <w:p w14:paraId="46467A1A">
      <w:pPr>
        <w:pStyle w:val="120"/>
        <w:spacing w:line="360" w:lineRule="auto"/>
        <w:ind w:firstLine="0" w:firstLineChars="0"/>
        <w:rPr>
          <w:rFonts w:hint="eastAsia" w:cs="宋体"/>
          <w:sz w:val="24"/>
          <w:szCs w:val="24"/>
        </w:rPr>
      </w:pPr>
      <w:r>
        <w:rPr>
          <w:rFonts w:hint="eastAsia" w:cs="宋体"/>
          <w:sz w:val="24"/>
          <w:szCs w:val="24"/>
        </w:rPr>
        <w:t>1、应急快速止血包</w:t>
      </w:r>
    </w:p>
    <w:p w14:paraId="18C70E11">
      <w:pPr>
        <w:pStyle w:val="120"/>
        <w:spacing w:line="360" w:lineRule="auto"/>
        <w:ind w:firstLine="0" w:firstLineChars="0"/>
        <w:rPr>
          <w:rFonts w:hint="eastAsia" w:cs="宋体"/>
          <w:sz w:val="24"/>
          <w:szCs w:val="24"/>
        </w:rPr>
      </w:pPr>
      <w:r>
        <w:rPr>
          <w:rFonts w:hint="eastAsia" w:cs="宋体"/>
          <w:sz w:val="24"/>
          <w:szCs w:val="24"/>
        </w:rPr>
        <w:t>(1)配置：止血材料*1； 橡胶止血带*1； 弹性绷带*1； 安全别针*10； 创可贴*6； 医用三角巾*1； 医用无纺胶带*1； 医用纱布*1；急救毯*1； 医用一次性手套*1； 酒精消毒棉巾*2； 圆头剪刀*1； 急救手册*1； 配置清单*1；应急救援信息卡*1</w:t>
      </w:r>
    </w:p>
    <w:p w14:paraId="277354C1">
      <w:pPr>
        <w:pStyle w:val="120"/>
        <w:spacing w:line="360" w:lineRule="auto"/>
        <w:ind w:firstLine="0" w:firstLineChars="0"/>
        <w:rPr>
          <w:rFonts w:hint="eastAsia" w:cs="宋体"/>
          <w:sz w:val="24"/>
          <w:szCs w:val="24"/>
        </w:rPr>
      </w:pPr>
      <w:r>
        <w:rPr>
          <w:rFonts w:hint="eastAsia" w:cs="宋体"/>
          <w:sz w:val="24"/>
          <w:szCs w:val="24"/>
        </w:rPr>
        <w:t>(2)止血材料技术要求：</w:t>
      </w:r>
    </w:p>
    <w:p w14:paraId="0E873AE5">
      <w:pPr>
        <w:pStyle w:val="120"/>
        <w:spacing w:line="360" w:lineRule="auto"/>
        <w:ind w:firstLine="0" w:firstLineChars="0"/>
        <w:rPr>
          <w:rFonts w:hint="eastAsia" w:cs="宋体"/>
          <w:sz w:val="24"/>
          <w:szCs w:val="24"/>
        </w:rPr>
      </w:pPr>
      <w:r>
        <w:rPr>
          <w:rFonts w:hint="eastAsia" w:cs="宋体"/>
          <w:sz w:val="24"/>
          <w:szCs w:val="24"/>
        </w:rPr>
        <w:t xml:space="preserve">▲规格：≥15g     </w:t>
      </w:r>
      <w:r>
        <w:rPr>
          <w:rFonts w:hint="eastAsia" w:cs="宋体"/>
          <w:b/>
          <w:bCs/>
          <w:sz w:val="24"/>
          <w:szCs w:val="24"/>
        </w:rPr>
        <w:t xml:space="preserve">   </w:t>
      </w:r>
      <w:r>
        <w:rPr>
          <w:rFonts w:hint="eastAsia" w:cs="宋体"/>
          <w:sz w:val="24"/>
          <w:szCs w:val="24"/>
        </w:rPr>
        <w:t xml:space="preserve">     </w:t>
      </w:r>
    </w:p>
    <w:p w14:paraId="74EB214E">
      <w:pPr>
        <w:pStyle w:val="120"/>
        <w:spacing w:line="360" w:lineRule="auto"/>
        <w:ind w:firstLine="0" w:firstLineChars="0"/>
        <w:rPr>
          <w:rFonts w:hint="eastAsia" w:cs="宋体"/>
          <w:sz w:val="24"/>
          <w:szCs w:val="24"/>
        </w:rPr>
      </w:pPr>
      <w:r>
        <w:rPr>
          <w:rFonts w:hint="eastAsia" w:cs="宋体"/>
          <w:sz w:val="24"/>
          <w:szCs w:val="24"/>
        </w:rPr>
        <w:t>▲细菌内毒素：≤0.5EU/mg</w:t>
      </w:r>
    </w:p>
    <w:p w14:paraId="7B699D6D">
      <w:pPr>
        <w:pStyle w:val="120"/>
        <w:spacing w:line="360" w:lineRule="auto"/>
        <w:ind w:firstLine="0" w:firstLineChars="0"/>
        <w:rPr>
          <w:rFonts w:hint="eastAsia" w:cs="宋体"/>
          <w:sz w:val="24"/>
          <w:szCs w:val="24"/>
        </w:rPr>
      </w:pPr>
      <w:r>
        <w:rPr>
          <w:rFonts w:hint="eastAsia" w:cs="宋体"/>
          <w:sz w:val="24"/>
          <w:szCs w:val="24"/>
        </w:rPr>
        <w:t>▲全血凝血时间：≤32s</w:t>
      </w:r>
    </w:p>
    <w:p w14:paraId="1DC9549D">
      <w:pPr>
        <w:pStyle w:val="120"/>
        <w:spacing w:line="360" w:lineRule="auto"/>
        <w:ind w:firstLine="0" w:firstLineChars="0"/>
        <w:rPr>
          <w:rFonts w:hint="eastAsia" w:cs="宋体"/>
          <w:sz w:val="24"/>
          <w:szCs w:val="24"/>
        </w:rPr>
      </w:pPr>
      <w:r>
        <w:rPr>
          <w:rFonts w:hint="eastAsia" w:cs="宋体"/>
          <w:sz w:val="24"/>
          <w:szCs w:val="24"/>
        </w:rPr>
        <w:t>▲低温血液凝血时间：≤35s</w:t>
      </w:r>
    </w:p>
    <w:p w14:paraId="4FBFC1CF">
      <w:pPr>
        <w:pStyle w:val="120"/>
        <w:spacing w:line="360" w:lineRule="auto"/>
        <w:ind w:firstLine="0" w:firstLineChars="0"/>
        <w:rPr>
          <w:rFonts w:hint="eastAsia" w:cs="宋体"/>
          <w:sz w:val="24"/>
          <w:szCs w:val="24"/>
        </w:rPr>
      </w:pPr>
      <w:r>
        <w:rPr>
          <w:rFonts w:hint="eastAsia" w:cs="宋体"/>
          <w:sz w:val="24"/>
          <w:szCs w:val="24"/>
        </w:rPr>
        <w:t>▲肝素化血液凝血时间：≤50s</w:t>
      </w:r>
    </w:p>
    <w:p w14:paraId="0A7AF393">
      <w:pPr>
        <w:pStyle w:val="120"/>
        <w:spacing w:line="360" w:lineRule="auto"/>
        <w:ind w:firstLine="0" w:firstLineChars="0"/>
        <w:rPr>
          <w:rFonts w:hint="eastAsia" w:cs="宋体"/>
          <w:sz w:val="24"/>
          <w:szCs w:val="24"/>
        </w:rPr>
      </w:pPr>
      <w:r>
        <w:rPr>
          <w:rFonts w:hint="eastAsia" w:cs="宋体"/>
          <w:sz w:val="24"/>
          <w:szCs w:val="24"/>
        </w:rPr>
        <w:t>▲紧急条件下止血时间：≤10m</w:t>
      </w:r>
    </w:p>
    <w:p w14:paraId="29DF0BEC">
      <w:pPr>
        <w:pStyle w:val="120"/>
        <w:spacing w:line="360" w:lineRule="auto"/>
        <w:ind w:firstLine="0" w:firstLineChars="0"/>
        <w:rPr>
          <w:rFonts w:hint="eastAsia" w:cs="宋体"/>
          <w:sz w:val="24"/>
          <w:szCs w:val="24"/>
        </w:rPr>
      </w:pPr>
      <w:r>
        <w:rPr>
          <w:rFonts w:hint="eastAsia" w:cs="宋体"/>
          <w:sz w:val="24"/>
          <w:szCs w:val="24"/>
        </w:rPr>
        <w:t>▲杀菌：抑菌率≥90%。</w:t>
      </w:r>
    </w:p>
    <w:p w14:paraId="6CD91514">
      <w:pPr>
        <w:pStyle w:val="120"/>
        <w:spacing w:line="360" w:lineRule="auto"/>
        <w:ind w:firstLine="0" w:firstLineChars="0"/>
        <w:rPr>
          <w:rFonts w:hint="eastAsia" w:cs="宋体"/>
          <w:sz w:val="24"/>
          <w:szCs w:val="24"/>
        </w:rPr>
      </w:pPr>
      <w:r>
        <w:rPr>
          <w:rFonts w:hint="eastAsia" w:cs="宋体"/>
          <w:sz w:val="24"/>
          <w:szCs w:val="24"/>
        </w:rPr>
        <w:t>▲促进组织再生：细胞增殖比≥155%。</w:t>
      </w:r>
    </w:p>
    <w:p w14:paraId="5F0A90E2">
      <w:pPr>
        <w:pStyle w:val="120"/>
        <w:spacing w:line="360" w:lineRule="auto"/>
        <w:ind w:firstLine="0" w:firstLineChars="0"/>
        <w:rPr>
          <w:rFonts w:hint="eastAsia" w:cs="宋体"/>
          <w:sz w:val="24"/>
          <w:szCs w:val="24"/>
        </w:rPr>
      </w:pPr>
      <w:r>
        <w:rPr>
          <w:rFonts w:hint="eastAsia" w:cs="宋体"/>
          <w:sz w:val="24"/>
          <w:szCs w:val="24"/>
        </w:rPr>
        <w:t>适用范围：全身各个部位不受限制。</w:t>
      </w:r>
    </w:p>
    <w:p w14:paraId="3365083E">
      <w:pPr>
        <w:pStyle w:val="120"/>
        <w:spacing w:line="360" w:lineRule="auto"/>
        <w:ind w:firstLine="0" w:firstLineChars="0"/>
        <w:rPr>
          <w:rFonts w:hint="eastAsia" w:cs="宋体"/>
          <w:sz w:val="24"/>
          <w:szCs w:val="24"/>
        </w:rPr>
      </w:pPr>
      <w:r>
        <w:rPr>
          <w:rFonts w:hint="eastAsia" w:cs="宋体"/>
          <w:sz w:val="24"/>
          <w:szCs w:val="24"/>
        </w:rPr>
        <w:t>用于控制紧急条件下人体表面各个部位严重出血的紧急处置，特别是动、静脉破损造成的中、重度出血。可有效防止因大量失血对生命造成的伤害。</w:t>
      </w:r>
    </w:p>
    <w:p w14:paraId="45F9F9B5">
      <w:pPr>
        <w:pStyle w:val="120"/>
        <w:spacing w:line="360" w:lineRule="auto"/>
        <w:ind w:firstLine="0" w:firstLineChars="0"/>
        <w:rPr>
          <w:rFonts w:hint="eastAsia" w:cs="宋体"/>
          <w:sz w:val="24"/>
          <w:szCs w:val="24"/>
        </w:rPr>
      </w:pPr>
      <w:r>
        <w:rPr>
          <w:rFonts w:hint="eastAsia" w:cs="宋体"/>
          <w:sz w:val="24"/>
          <w:szCs w:val="24"/>
        </w:rPr>
        <w:t>止血原理：带正电荷的小颗粒与带负电荷的红细胞交叉结合，达到快速止血的效果。</w:t>
      </w:r>
    </w:p>
    <w:p w14:paraId="21ED5DA9">
      <w:pPr>
        <w:pStyle w:val="120"/>
        <w:spacing w:line="360" w:lineRule="auto"/>
        <w:ind w:firstLine="0" w:firstLineChars="0"/>
        <w:rPr>
          <w:rFonts w:hint="eastAsia" w:cs="宋体"/>
          <w:sz w:val="24"/>
          <w:szCs w:val="24"/>
        </w:rPr>
      </w:pPr>
      <w:r>
        <w:rPr>
          <w:rFonts w:hint="eastAsia" w:cs="宋体"/>
          <w:sz w:val="24"/>
          <w:szCs w:val="24"/>
        </w:rPr>
        <w:t>产品使用无严重副作用和后遗症。</w:t>
      </w:r>
    </w:p>
    <w:p w14:paraId="2A2EEC1F">
      <w:pPr>
        <w:pStyle w:val="120"/>
        <w:spacing w:line="360" w:lineRule="auto"/>
        <w:ind w:firstLine="0" w:firstLineChars="0"/>
        <w:rPr>
          <w:rFonts w:hint="eastAsia" w:cs="宋体"/>
          <w:sz w:val="24"/>
          <w:szCs w:val="24"/>
        </w:rPr>
      </w:pPr>
      <w:r>
        <w:rPr>
          <w:rFonts w:hint="eastAsia" w:cs="宋体"/>
          <w:b/>
          <w:bCs/>
          <w:sz w:val="24"/>
          <w:szCs w:val="24"/>
        </w:rPr>
        <w:t></w:t>
      </w:r>
      <w:r>
        <w:rPr>
          <w:rFonts w:hint="eastAsia" w:cs="宋体"/>
          <w:sz w:val="24"/>
          <w:szCs w:val="24"/>
          <w14:ligatures w14:val="standardContextual"/>
        </w:rPr>
        <w:t>注：</w:t>
      </w:r>
      <w:r>
        <w:rPr>
          <w:rFonts w:hint="eastAsia" w:cs="宋体"/>
          <w:sz w:val="24"/>
          <w:szCs w:val="24"/>
        </w:rPr>
        <w:t>▲</w:t>
      </w:r>
      <w:r>
        <w:rPr>
          <w:rFonts w:hint="eastAsia" w:cs="宋体"/>
          <w:sz w:val="24"/>
          <w:szCs w:val="24"/>
          <w14:ligatures w14:val="standardContextual"/>
        </w:rPr>
        <w:t>项需提供第三方检测机构出具的检测报告</w:t>
      </w:r>
    </w:p>
    <w:p w14:paraId="65251EED">
      <w:pPr>
        <w:pStyle w:val="120"/>
        <w:spacing w:line="360" w:lineRule="auto"/>
        <w:ind w:firstLine="0" w:firstLineChars="0"/>
        <w:rPr>
          <w:rFonts w:hint="eastAsia" w:cs="宋体"/>
          <w:sz w:val="24"/>
          <w:szCs w:val="24"/>
        </w:rPr>
      </w:pPr>
      <w:r>
        <w:rPr>
          <w:rFonts w:hint="eastAsia" w:cs="宋体"/>
          <w:sz w:val="24"/>
          <w:szCs w:val="24"/>
        </w:rPr>
        <w:t>2、多功能工具*1：材质不锈钢，尺寸16.5*9.3*2.1cm，功能斧头、.平口钳、切线钳、大力钳、锤头、六角扳手、一字起、刮鳞刀、小切刀、锯子、十字起子、主刀、锉刀</w:t>
      </w:r>
    </w:p>
    <w:p w14:paraId="5C2056BE">
      <w:pPr>
        <w:pStyle w:val="120"/>
        <w:spacing w:line="360" w:lineRule="auto"/>
        <w:ind w:firstLine="0" w:firstLineChars="0"/>
        <w:rPr>
          <w:rFonts w:hint="eastAsia" w:cs="宋体"/>
          <w:sz w:val="24"/>
          <w:szCs w:val="24"/>
        </w:rPr>
      </w:pPr>
      <w:r>
        <w:rPr>
          <w:rFonts w:hint="eastAsia" w:cs="宋体"/>
          <w:sz w:val="24"/>
          <w:szCs w:val="24"/>
        </w:rPr>
        <w:t>3、充电宝*1：符合3C认证，容量≥5000毫安</w:t>
      </w:r>
    </w:p>
    <w:p w14:paraId="5FAC9F66">
      <w:pPr>
        <w:pStyle w:val="120"/>
        <w:spacing w:line="360" w:lineRule="auto"/>
        <w:ind w:firstLine="0" w:firstLineChars="0"/>
        <w:rPr>
          <w:rFonts w:hint="eastAsia" w:cs="宋体"/>
          <w:sz w:val="24"/>
          <w:szCs w:val="24"/>
        </w:rPr>
      </w:pPr>
      <w:r>
        <w:rPr>
          <w:rFonts w:hint="eastAsia" w:cs="宋体"/>
          <w:sz w:val="24"/>
          <w:szCs w:val="24"/>
        </w:rPr>
        <w:t>4、强光手电*1：材质铝合金，功率≥3W</w:t>
      </w:r>
    </w:p>
    <w:p w14:paraId="7C6BE6DD">
      <w:pPr>
        <w:pStyle w:val="120"/>
        <w:spacing w:line="360" w:lineRule="auto"/>
        <w:ind w:firstLine="0" w:firstLineChars="0"/>
        <w:rPr>
          <w:rFonts w:hint="eastAsia" w:cs="宋体"/>
          <w:sz w:val="24"/>
          <w:szCs w:val="24"/>
        </w:rPr>
      </w:pPr>
      <w:r>
        <w:rPr>
          <w:rFonts w:hint="eastAsia" w:cs="宋体"/>
          <w:sz w:val="24"/>
          <w:szCs w:val="24"/>
        </w:rPr>
        <w:t>5、指南针*1：尺寸85*63*30mm，材质铝合金（烤漆）阻尼，ABS盘面</w:t>
      </w:r>
    </w:p>
    <w:p w14:paraId="5284B22E">
      <w:pPr>
        <w:pStyle w:val="120"/>
        <w:spacing w:line="360" w:lineRule="auto"/>
        <w:ind w:firstLine="0" w:firstLineChars="0"/>
        <w:rPr>
          <w:rFonts w:hint="eastAsia" w:cs="宋体"/>
          <w:sz w:val="24"/>
          <w:szCs w:val="24"/>
        </w:rPr>
      </w:pPr>
      <w:r>
        <w:rPr>
          <w:rFonts w:hint="eastAsia" w:cs="宋体"/>
          <w:sz w:val="24"/>
          <w:szCs w:val="24"/>
        </w:rPr>
        <w:t>6、防汛救援绳*1：尺寸≥30米*6毫米，带钩带浮环</w:t>
      </w:r>
    </w:p>
    <w:p w14:paraId="47B47F54">
      <w:pPr>
        <w:pStyle w:val="120"/>
        <w:spacing w:line="360" w:lineRule="auto"/>
        <w:ind w:firstLine="0" w:firstLineChars="0"/>
        <w:rPr>
          <w:rFonts w:hint="eastAsia" w:cs="宋体"/>
          <w:sz w:val="24"/>
          <w:szCs w:val="24"/>
        </w:rPr>
      </w:pPr>
      <w:r>
        <w:rPr>
          <w:rFonts w:hint="eastAsia" w:cs="宋体"/>
          <w:sz w:val="24"/>
          <w:szCs w:val="24"/>
        </w:rPr>
        <w:t>7、暖贴*10：温度持续时间≥10h</w:t>
      </w:r>
    </w:p>
    <w:p w14:paraId="72859394">
      <w:pPr>
        <w:pStyle w:val="120"/>
        <w:spacing w:line="360" w:lineRule="auto"/>
        <w:ind w:firstLine="0" w:firstLineChars="0"/>
        <w:rPr>
          <w:rFonts w:hint="eastAsia" w:cs="宋体"/>
          <w:sz w:val="24"/>
          <w:szCs w:val="24"/>
        </w:rPr>
      </w:pPr>
      <w:r>
        <w:rPr>
          <w:rFonts w:hint="eastAsia" w:cs="宋体"/>
          <w:sz w:val="24"/>
          <w:szCs w:val="24"/>
        </w:rPr>
        <w:t>8、防护手套*1：材质纯棉，有防滑点胶</w:t>
      </w:r>
    </w:p>
    <w:p w14:paraId="097B7B59">
      <w:pPr>
        <w:pStyle w:val="120"/>
        <w:spacing w:line="360" w:lineRule="auto"/>
        <w:ind w:firstLine="0" w:firstLineChars="0"/>
        <w:rPr>
          <w:rFonts w:hint="eastAsia" w:cs="宋体"/>
          <w:sz w:val="24"/>
          <w:szCs w:val="24"/>
        </w:rPr>
      </w:pPr>
      <w:r>
        <w:rPr>
          <w:rFonts w:hint="eastAsia" w:cs="宋体"/>
          <w:sz w:val="24"/>
          <w:szCs w:val="24"/>
        </w:rPr>
        <w:t>9、求救口哨*1：长6.1cm，宽1.7cm，无滚珠</w:t>
      </w:r>
    </w:p>
    <w:p w14:paraId="6137AC11">
      <w:pPr>
        <w:pStyle w:val="120"/>
        <w:spacing w:line="360" w:lineRule="auto"/>
        <w:ind w:firstLine="0" w:firstLineChars="0"/>
        <w:rPr>
          <w:rFonts w:hint="eastAsia" w:cs="宋体"/>
          <w:sz w:val="24"/>
          <w:szCs w:val="24"/>
        </w:rPr>
      </w:pPr>
      <w:r>
        <w:rPr>
          <w:rFonts w:hint="eastAsia" w:cs="宋体"/>
          <w:sz w:val="24"/>
          <w:szCs w:val="24"/>
        </w:rPr>
        <w:t>10、反光背心*1</w:t>
      </w:r>
    </w:p>
    <w:p w14:paraId="2FD104DC">
      <w:pPr>
        <w:pStyle w:val="120"/>
        <w:spacing w:line="360" w:lineRule="auto"/>
        <w:ind w:firstLine="0" w:firstLineChars="0"/>
        <w:rPr>
          <w:rFonts w:hint="eastAsia" w:cs="宋体"/>
          <w:sz w:val="24"/>
          <w:szCs w:val="24"/>
        </w:rPr>
      </w:pPr>
      <w:r>
        <w:rPr>
          <w:rFonts w:hint="eastAsia" w:cs="宋体"/>
          <w:sz w:val="24"/>
          <w:szCs w:val="24"/>
        </w:rPr>
        <w:t>11、应急防灾蜡烛*1</w:t>
      </w:r>
    </w:p>
    <w:p w14:paraId="00B428FE">
      <w:pPr>
        <w:pStyle w:val="120"/>
        <w:spacing w:line="360" w:lineRule="auto"/>
        <w:ind w:firstLine="0" w:firstLineChars="0"/>
        <w:rPr>
          <w:rFonts w:hint="eastAsia" w:cs="宋体"/>
          <w:sz w:val="24"/>
          <w:szCs w:val="24"/>
        </w:rPr>
      </w:pPr>
      <w:r>
        <w:rPr>
          <w:rFonts w:hint="eastAsia" w:cs="宋体"/>
          <w:sz w:val="24"/>
          <w:szCs w:val="24"/>
        </w:rPr>
        <w:t>12、防风火柴*1：容量20支/桶</w:t>
      </w:r>
    </w:p>
    <w:p w14:paraId="1A954D2D">
      <w:pPr>
        <w:pStyle w:val="120"/>
        <w:spacing w:line="360" w:lineRule="auto"/>
        <w:ind w:firstLine="0" w:firstLineChars="0"/>
        <w:rPr>
          <w:rFonts w:hint="eastAsia" w:cs="宋体"/>
          <w:sz w:val="24"/>
          <w:szCs w:val="24"/>
        </w:rPr>
      </w:pPr>
      <w:r>
        <w:rPr>
          <w:rFonts w:hint="eastAsia" w:cs="宋体"/>
          <w:sz w:val="24"/>
          <w:szCs w:val="24"/>
        </w:rPr>
        <w:t>13、应急荧光棒*1：</w:t>
      </w:r>
    </w:p>
    <w:p w14:paraId="6CBE73F7">
      <w:pPr>
        <w:pStyle w:val="120"/>
        <w:spacing w:line="360" w:lineRule="auto"/>
        <w:ind w:firstLine="0" w:firstLineChars="0"/>
        <w:rPr>
          <w:rFonts w:hint="eastAsia" w:cs="宋体"/>
          <w:sz w:val="24"/>
          <w:szCs w:val="24"/>
        </w:rPr>
      </w:pPr>
      <w:r>
        <w:rPr>
          <w:rFonts w:hint="eastAsia" w:cs="宋体"/>
          <w:sz w:val="24"/>
          <w:szCs w:val="24"/>
        </w:rPr>
        <w:t>14、防汛救援铲*1：铲头材质碳钢，展开长度≥47cm，功能：铲、挖、刨、锄、凿、矛、撬、锯</w:t>
      </w:r>
    </w:p>
    <w:p w14:paraId="6173AE0C">
      <w:pPr>
        <w:pStyle w:val="120"/>
        <w:spacing w:line="360" w:lineRule="auto"/>
        <w:ind w:firstLine="0" w:firstLineChars="0"/>
        <w:rPr>
          <w:rFonts w:hint="eastAsia" w:cs="宋体"/>
          <w:sz w:val="24"/>
          <w:szCs w:val="24"/>
        </w:rPr>
      </w:pPr>
      <w:r>
        <w:rPr>
          <w:rFonts w:hint="eastAsia" w:cs="宋体"/>
          <w:sz w:val="24"/>
          <w:szCs w:val="24"/>
        </w:rPr>
        <w:t>15、救生衣*1：符合GB/T 32227-2015检测标准</w:t>
      </w:r>
    </w:p>
    <w:p w14:paraId="2DE8E664">
      <w:pPr>
        <w:pStyle w:val="120"/>
        <w:spacing w:line="360" w:lineRule="auto"/>
        <w:ind w:firstLine="0" w:firstLineChars="0"/>
        <w:rPr>
          <w:rFonts w:hint="eastAsia" w:cs="宋体"/>
          <w:sz w:val="24"/>
          <w:szCs w:val="24"/>
        </w:rPr>
      </w:pPr>
      <w:r>
        <w:rPr>
          <w:rFonts w:hint="eastAsia" w:cs="宋体"/>
          <w:sz w:val="24"/>
          <w:szCs w:val="24"/>
        </w:rPr>
        <w:t>16、防汛雨衣*1：分体或连体，非一次性</w:t>
      </w:r>
    </w:p>
    <w:p w14:paraId="5ADB509C">
      <w:pPr>
        <w:pStyle w:val="120"/>
        <w:spacing w:line="360" w:lineRule="auto"/>
        <w:ind w:firstLine="0" w:firstLineChars="0"/>
        <w:rPr>
          <w:rFonts w:hint="eastAsia" w:cs="宋体"/>
          <w:sz w:val="24"/>
          <w:szCs w:val="24"/>
        </w:rPr>
      </w:pPr>
      <w:r>
        <w:rPr>
          <w:rFonts w:hint="eastAsia" w:cs="宋体"/>
          <w:sz w:val="24"/>
          <w:szCs w:val="24"/>
        </w:rPr>
        <w:t>17、防汛雨鞋*1：材质PVC橡胶材质，耐酸碱，牛筋底，筒高≥37cm</w:t>
      </w:r>
    </w:p>
    <w:p w14:paraId="2AB0590C">
      <w:pPr>
        <w:pStyle w:val="120"/>
        <w:spacing w:line="360" w:lineRule="auto"/>
        <w:ind w:firstLine="0" w:firstLineChars="0"/>
        <w:rPr>
          <w:rFonts w:hint="eastAsia" w:cs="宋体"/>
          <w:sz w:val="24"/>
          <w:szCs w:val="24"/>
        </w:rPr>
      </w:pPr>
      <w:r>
        <w:rPr>
          <w:rFonts w:hint="eastAsia" w:cs="宋体"/>
          <w:sz w:val="24"/>
          <w:szCs w:val="24"/>
        </w:rPr>
        <w:t>18、防水手机套*1：材质PVC</w:t>
      </w:r>
    </w:p>
    <w:p w14:paraId="4A54FC2C">
      <w:pPr>
        <w:pStyle w:val="120"/>
        <w:spacing w:line="360" w:lineRule="auto"/>
        <w:ind w:firstLine="0" w:firstLineChars="0"/>
        <w:rPr>
          <w:rFonts w:hint="eastAsia" w:cs="宋体"/>
          <w:sz w:val="24"/>
          <w:szCs w:val="24"/>
        </w:rPr>
      </w:pPr>
      <w:r>
        <w:rPr>
          <w:rFonts w:hint="eastAsia" w:cs="宋体"/>
          <w:sz w:val="24"/>
          <w:szCs w:val="24"/>
        </w:rPr>
        <w:t>19、应急水袋*1：材质PE塑料，容积≥2L</w:t>
      </w:r>
    </w:p>
    <w:p w14:paraId="395B0385">
      <w:pPr>
        <w:pStyle w:val="120"/>
        <w:spacing w:line="360" w:lineRule="auto"/>
        <w:ind w:firstLine="0" w:firstLineChars="0"/>
        <w:rPr>
          <w:rFonts w:hint="eastAsia" w:cs="宋体"/>
          <w:sz w:val="24"/>
          <w:szCs w:val="24"/>
        </w:rPr>
      </w:pPr>
    </w:p>
    <w:p w14:paraId="73A2CF7E">
      <w:pPr>
        <w:pStyle w:val="120"/>
        <w:spacing w:line="360" w:lineRule="auto"/>
        <w:ind w:firstLine="0" w:firstLineChars="0"/>
        <w:rPr>
          <w:rFonts w:hint="eastAsia" w:cs="宋体"/>
          <w:b/>
          <w:bCs/>
          <w:sz w:val="24"/>
          <w:szCs w:val="24"/>
          <w14:ligatures w14:val="standardContextual"/>
        </w:rPr>
      </w:pPr>
      <w:r>
        <w:rPr>
          <w:rFonts w:hint="eastAsia" w:cs="宋体"/>
          <w:b/>
          <w:bCs/>
          <w:sz w:val="24"/>
          <w:szCs w:val="24"/>
        </w:rPr>
        <w:t>九、</w:t>
      </w:r>
      <w:r>
        <w:rPr>
          <w:rFonts w:hint="eastAsia" w:cs="宋体"/>
          <w:b/>
          <w:bCs/>
          <w:sz w:val="24"/>
          <w:szCs w:val="24"/>
          <w14:ligatures w14:val="standardContextual"/>
        </w:rPr>
        <w:t>多功能手提探照灯</w:t>
      </w:r>
    </w:p>
    <w:p w14:paraId="47FF0E3B">
      <w:pPr>
        <w:spacing w:line="360" w:lineRule="auto"/>
        <w:rPr>
          <w:rFonts w:hint="eastAsia" w:cs="宋体"/>
          <w:sz w:val="24"/>
          <w14:ligatures w14:val="standardContextual"/>
        </w:rPr>
      </w:pPr>
      <w:r>
        <w:rPr>
          <w:rFonts w:hint="eastAsia" w:cs="宋体"/>
          <w:sz w:val="24"/>
          <w14:ligatures w14:val="standardContextual"/>
        </w:rPr>
        <w:t>一．多功能应急灯：</w:t>
      </w:r>
    </w:p>
    <w:p w14:paraId="1ED1D835">
      <w:pPr>
        <w:spacing w:line="360" w:lineRule="auto"/>
        <w:rPr>
          <w:rFonts w:hint="eastAsia" w:cs="宋体"/>
          <w:sz w:val="24"/>
          <w14:ligatures w14:val="standardContextual"/>
        </w:rPr>
      </w:pPr>
      <w:r>
        <w:rPr>
          <w:rFonts w:hint="eastAsia" w:cs="宋体"/>
          <w:sz w:val="24"/>
          <w14:ligatures w14:val="standardContextual"/>
        </w:rPr>
        <w:t>1.额定电压：≥22.2V  ，额定功率：≥50W</w:t>
      </w:r>
    </w:p>
    <w:p w14:paraId="73603CDF">
      <w:pPr>
        <w:spacing w:line="360" w:lineRule="auto"/>
        <w:rPr>
          <w:rFonts w:hint="eastAsia" w:cs="宋体"/>
          <w:sz w:val="24"/>
          <w14:ligatures w14:val="standardContextual"/>
        </w:rPr>
      </w:pPr>
      <w:r>
        <w:rPr>
          <w:rFonts w:hint="eastAsia" w:cs="宋体"/>
          <w:sz w:val="24"/>
          <w14:ligatures w14:val="standardContextual"/>
        </w:rPr>
        <w:t>2.额定容量：≥10Ah ，工作时间：强光≥10小时，工作光≥16小时 ,警示光≥22小时，充电时间：≤6小时</w:t>
      </w:r>
    </w:p>
    <w:p w14:paraId="4E0C2C20">
      <w:pPr>
        <w:spacing w:line="360" w:lineRule="auto"/>
        <w:rPr>
          <w:rFonts w:hint="eastAsia" w:cs="宋体"/>
          <w:sz w:val="24"/>
          <w14:ligatures w14:val="standardContextual"/>
        </w:rPr>
      </w:pPr>
      <w:r>
        <w:rPr>
          <w:rFonts w:hint="eastAsia" w:cs="宋体"/>
          <w:sz w:val="24"/>
        </w:rPr>
        <w:t>▲</w:t>
      </w:r>
      <w:r>
        <w:rPr>
          <w:rFonts w:hint="eastAsia" w:cs="宋体"/>
          <w:sz w:val="24"/>
          <w14:ligatures w14:val="standardContextual"/>
        </w:rPr>
        <w:t>3.充满电后强光聚光模式下工作满10min时在测试距离6m处,测试光束中心的最大照度值，最大照度≥1500 1x, 充满电后强光泛光模式下工作满10min时在测试距离3m处，测试光東直径200mm上平均分布的5点照度值，平均照度≥1000 1x</w:t>
      </w:r>
    </w:p>
    <w:p w14:paraId="44059DDE">
      <w:pPr>
        <w:spacing w:line="360" w:lineRule="auto"/>
        <w:rPr>
          <w:rFonts w:hint="eastAsia" w:cs="宋体"/>
          <w:sz w:val="24"/>
          <w14:ligatures w14:val="standardContextual"/>
        </w:rPr>
      </w:pPr>
      <w:r>
        <w:rPr>
          <w:rFonts w:hint="eastAsia" w:cs="宋体"/>
          <w:sz w:val="24"/>
        </w:rPr>
        <w:t>▲</w:t>
      </w:r>
      <w:r>
        <w:rPr>
          <w:rFonts w:hint="eastAsia" w:cs="宋体"/>
          <w:sz w:val="24"/>
          <w14:ligatures w14:val="standardContextual"/>
        </w:rPr>
        <w:t>4.外形尺寸：升≤495*152*1245mm, 收≤495*152*178mm ，重量：≤6kg</w:t>
      </w:r>
    </w:p>
    <w:p w14:paraId="26862A1D">
      <w:pPr>
        <w:spacing w:line="360" w:lineRule="auto"/>
        <w:rPr>
          <w:rFonts w:hint="eastAsia" w:cs="宋体"/>
          <w:sz w:val="24"/>
          <w14:ligatures w14:val="standardContextual"/>
        </w:rPr>
      </w:pPr>
      <w:r>
        <w:rPr>
          <w:rFonts w:hint="eastAsia" w:cs="宋体"/>
          <w:sz w:val="24"/>
          <w14:ligatures w14:val="standardContextual"/>
        </w:rPr>
        <w:t>5.警示灯参考颜色/红/蓝，照明形式/聚光/泛光</w:t>
      </w:r>
    </w:p>
    <w:p w14:paraId="040A538F">
      <w:pPr>
        <w:spacing w:line="360" w:lineRule="auto"/>
        <w:rPr>
          <w:rFonts w:hint="eastAsia" w:cs="宋体"/>
          <w:sz w:val="24"/>
          <w14:ligatures w14:val="standardContextual"/>
        </w:rPr>
      </w:pPr>
      <w:r>
        <w:rPr>
          <w:rFonts w:hint="eastAsia" w:cs="宋体"/>
          <w:sz w:val="24"/>
          <w14:ligatures w14:val="standardContextual"/>
        </w:rPr>
        <w:t>6.外壳防护等级：≥IP66</w:t>
      </w:r>
    </w:p>
    <w:p w14:paraId="1B345132">
      <w:pPr>
        <w:spacing w:line="360" w:lineRule="auto"/>
        <w:rPr>
          <w:rFonts w:hint="eastAsia" w:cs="宋体"/>
          <w:sz w:val="24"/>
          <w14:ligatures w14:val="standardContextual"/>
        </w:rPr>
      </w:pPr>
      <w:r>
        <w:rPr>
          <w:rFonts w:hint="eastAsia" w:cs="宋体"/>
          <w:sz w:val="24"/>
        </w:rPr>
        <w:t>▲</w:t>
      </w:r>
      <w:r>
        <w:rPr>
          <w:rFonts w:hint="eastAsia" w:cs="宋体"/>
          <w:sz w:val="24"/>
          <w14:ligatures w14:val="standardContextual"/>
        </w:rPr>
        <w:t xml:space="preserve">7.结构形式:具有聚光、泛光、及聚泛光全开模式，灯头背面有红蓝警示灯,灯体表面具备电量显示功能;采用 LED 光源;配备有折叠式升降杆，升降杆采用快锁结构固定，升降高度1.25m,灯头照射角度可在上下 0-180°,左右 0-360°范围内调节,底部稳定可折叠支脚。采用可充电电池，配备专用充电。                                                               </w:t>
      </w:r>
    </w:p>
    <w:p w14:paraId="411BA023">
      <w:pPr>
        <w:spacing w:line="360" w:lineRule="auto"/>
        <w:rPr>
          <w:rFonts w:hint="eastAsia" w:cs="宋体"/>
          <w:sz w:val="24"/>
          <w14:ligatures w14:val="standardContextual"/>
        </w:rPr>
      </w:pPr>
      <w:r>
        <w:rPr>
          <w:rFonts w:hint="eastAsia" w:cs="宋体"/>
          <w:sz w:val="24"/>
          <w14:ligatures w14:val="standardContextual"/>
        </w:rPr>
        <w:t>二．配备手持灯具：</w:t>
      </w:r>
    </w:p>
    <w:p w14:paraId="5BDB48A9">
      <w:pPr>
        <w:spacing w:line="360" w:lineRule="auto"/>
        <w:rPr>
          <w:rFonts w:hint="eastAsia" w:cs="宋体"/>
          <w:sz w:val="24"/>
          <w14:ligatures w14:val="standardContextual"/>
        </w:rPr>
      </w:pPr>
      <w:r>
        <w:rPr>
          <w:rFonts w:hint="eastAsia" w:cs="宋体"/>
          <w:sz w:val="24"/>
          <w14:ligatures w14:val="standardContextual"/>
        </w:rPr>
        <w:t>1.光源功率:2x12W(聚光)，额定电压:≥DC22.2V</w:t>
      </w:r>
    </w:p>
    <w:p w14:paraId="067F7575">
      <w:pPr>
        <w:spacing w:line="360" w:lineRule="auto"/>
        <w:rPr>
          <w:rFonts w:hint="eastAsia" w:cs="宋体"/>
          <w:sz w:val="24"/>
          <w14:ligatures w14:val="standardContextual"/>
        </w:rPr>
      </w:pPr>
      <w:r>
        <w:rPr>
          <w:rFonts w:hint="eastAsia" w:cs="宋体"/>
          <w:sz w:val="24"/>
          <w14:ligatures w14:val="standardContextual"/>
        </w:rPr>
        <w:t>2.额定容量:≥2.6Ah</w:t>
      </w:r>
    </w:p>
    <w:p w14:paraId="62C9B8DB">
      <w:pPr>
        <w:spacing w:line="360" w:lineRule="auto"/>
        <w:rPr>
          <w:rFonts w:hint="eastAsia" w:cs="宋体"/>
          <w:sz w:val="24"/>
          <w14:ligatures w14:val="standardContextual"/>
        </w:rPr>
      </w:pPr>
      <w:r>
        <w:rPr>
          <w:rFonts w:hint="eastAsia" w:cs="宋体"/>
          <w:sz w:val="24"/>
          <w14:ligatures w14:val="standardContextual"/>
        </w:rPr>
        <w:t>3.连续放电时间:≥10h(聚光工作光)、≥5h(聚光强光)</w:t>
      </w:r>
    </w:p>
    <w:p w14:paraId="6FC5A1F7">
      <w:pPr>
        <w:spacing w:line="360" w:lineRule="auto"/>
        <w:rPr>
          <w:rFonts w:hint="eastAsia" w:cs="宋体"/>
          <w:sz w:val="24"/>
          <w14:ligatures w14:val="standardContextual"/>
        </w:rPr>
      </w:pPr>
      <w:r>
        <w:rPr>
          <w:rFonts w:hint="eastAsia" w:cs="宋体"/>
          <w:sz w:val="24"/>
          <w14:ligatures w14:val="standardContextual"/>
        </w:rPr>
        <w:t>4.充电时间:≤3h(灯具需采用快充设计)</w:t>
      </w:r>
    </w:p>
    <w:p w14:paraId="0BE37CF7">
      <w:pPr>
        <w:spacing w:line="360" w:lineRule="auto"/>
        <w:rPr>
          <w:rFonts w:hint="eastAsia" w:cs="宋体"/>
          <w:sz w:val="24"/>
          <w14:ligatures w14:val="standardContextual"/>
        </w:rPr>
      </w:pPr>
      <w:r>
        <w:rPr>
          <w:rFonts w:hint="eastAsia" w:cs="宋体"/>
          <w:sz w:val="24"/>
          <w14:ligatures w14:val="standardContextual"/>
        </w:rPr>
        <w:t>5.重量:≤1.3kg</w:t>
      </w:r>
    </w:p>
    <w:p w14:paraId="313DC980">
      <w:pPr>
        <w:spacing w:line="360" w:lineRule="auto"/>
        <w:rPr>
          <w:rFonts w:hint="eastAsia" w:cs="宋体"/>
          <w:sz w:val="24"/>
          <w14:ligatures w14:val="standardContextual"/>
        </w:rPr>
      </w:pPr>
      <w:r>
        <w:rPr>
          <w:rFonts w:hint="eastAsia" w:cs="宋体"/>
          <w:sz w:val="24"/>
          <w14:ligatures w14:val="standardContextual"/>
        </w:rPr>
        <w:t>6.外形尺寸:(ф70±3)x(190±3)mm(外径x长)</w:t>
      </w:r>
    </w:p>
    <w:p w14:paraId="2A680F10">
      <w:pPr>
        <w:spacing w:line="360" w:lineRule="auto"/>
        <w:rPr>
          <w:rFonts w:hint="eastAsia" w:cs="宋体"/>
          <w:sz w:val="24"/>
          <w14:ligatures w14:val="standardContextual"/>
        </w:rPr>
      </w:pPr>
      <w:r>
        <w:rPr>
          <w:rFonts w:hint="eastAsia" w:cs="宋体"/>
          <w:sz w:val="24"/>
          <w14:ligatures w14:val="standardContextual"/>
        </w:rPr>
        <w:t>7.防护等级:IP68，潜水深度5m，持续时间1h</w:t>
      </w:r>
    </w:p>
    <w:p w14:paraId="7516B14D">
      <w:pPr>
        <w:spacing w:line="360" w:lineRule="auto"/>
        <w:rPr>
          <w:rFonts w:hint="eastAsia" w:cs="宋体"/>
          <w:sz w:val="24"/>
          <w14:ligatures w14:val="standardContextual"/>
        </w:rPr>
      </w:pPr>
      <w:r>
        <w:rPr>
          <w:rFonts w:hint="eastAsia" w:cs="宋体"/>
          <w:sz w:val="24"/>
          <w14:ligatures w14:val="standardContextual"/>
        </w:rPr>
        <w:t>8.灯具需采用双开关双光型光源配置，双光型采用12W暖白+12W冷白设计;并具有聚光、泛光、红蓝警示多种工作模式需同时具有暖白光源及冷白光源可通过开关控制实现白光、黄光切换转换。</w:t>
      </w:r>
    </w:p>
    <w:p w14:paraId="029CC4AC">
      <w:pPr>
        <w:spacing w:line="360" w:lineRule="auto"/>
        <w:rPr>
          <w:rFonts w:hint="eastAsia" w:cs="宋体"/>
          <w:sz w:val="24"/>
          <w14:ligatures w14:val="standardContextual"/>
        </w:rPr>
      </w:pPr>
      <w:r>
        <w:rPr>
          <w:rFonts w:hint="eastAsia" w:cs="宋体"/>
          <w:sz w:val="24"/>
          <w14:ligatures w14:val="standardContextual"/>
        </w:rPr>
        <w:t>注：</w:t>
      </w:r>
      <w:r>
        <w:rPr>
          <w:rFonts w:hint="eastAsia" w:cs="宋体"/>
          <w:sz w:val="24"/>
        </w:rPr>
        <w:t>▲</w:t>
      </w:r>
      <w:r>
        <w:rPr>
          <w:rFonts w:hint="eastAsia" w:cs="宋体"/>
          <w:sz w:val="24"/>
          <w14:ligatures w14:val="standardContextual"/>
        </w:rPr>
        <w:t>项需提供第三方检测机构出具的检测报告。</w:t>
      </w:r>
    </w:p>
    <w:p w14:paraId="5331AAF6">
      <w:pPr>
        <w:jc w:val="center"/>
        <w:rPr>
          <w:rFonts w:hint="eastAsia" w:cs="宋体"/>
          <w:sz w:val="24"/>
        </w:rPr>
        <w:sectPr>
          <w:footerReference r:id="rId9" w:type="default"/>
          <w:pgSz w:w="11906" w:h="16838"/>
          <w:pgMar w:top="993" w:right="1418" w:bottom="993" w:left="1418" w:header="720" w:footer="624" w:gutter="0"/>
          <w:cols w:space="720" w:num="1"/>
          <w:docGrid w:type="linesAndChars" w:linePitch="331" w:charSpace="0"/>
        </w:sectPr>
      </w:pPr>
    </w:p>
    <w:p w14:paraId="33788D37">
      <w:pPr>
        <w:pStyle w:val="5"/>
        <w:numPr>
          <w:ilvl w:val="0"/>
          <w:numId w:val="0"/>
        </w:numPr>
        <w:jc w:val="center"/>
        <w:rPr>
          <w:rFonts w:hint="eastAsia" w:eastAsia="宋体" w:cs="宋体"/>
          <w:b w:val="0"/>
          <w:sz w:val="32"/>
          <w:szCs w:val="32"/>
        </w:rPr>
      </w:pPr>
      <w:bookmarkStart w:id="174" w:name="_Toc69912451"/>
      <w:bookmarkStart w:id="175" w:name="_Toc91696457"/>
      <w:bookmarkStart w:id="176" w:name="_Toc6944"/>
      <w:r>
        <w:rPr>
          <w:rStyle w:val="96"/>
          <w:rFonts w:hint="eastAsia" w:ascii="宋体" w:hAnsi="宋体" w:eastAsia="宋体" w:cs="宋体"/>
          <w:b/>
          <w:color w:val="auto"/>
          <w:sz w:val="32"/>
          <w:szCs w:val="32"/>
        </w:rPr>
        <w:t>第五章  资格评审标准</w:t>
      </w:r>
      <w:bookmarkEnd w:id="170"/>
      <w:bookmarkEnd w:id="171"/>
      <w:bookmarkEnd w:id="174"/>
      <w:bookmarkEnd w:id="175"/>
      <w:bookmarkEnd w:id="176"/>
    </w:p>
    <w:p w14:paraId="32CE4C66">
      <w:pPr>
        <w:tabs>
          <w:tab w:val="left" w:pos="2472"/>
        </w:tabs>
        <w:spacing w:line="360" w:lineRule="auto"/>
        <w:ind w:firstLine="480" w:firstLineChars="200"/>
        <w:rPr>
          <w:rFonts w:hint="eastAsia" w:cs="宋体"/>
          <w:b/>
          <w:sz w:val="24"/>
        </w:rPr>
      </w:pPr>
      <w:bookmarkStart w:id="177" w:name="_Hlk17286885"/>
      <w:r>
        <w:rPr>
          <w:rFonts w:hint="eastAsia" w:cs="宋体"/>
          <w:b/>
          <w:sz w:val="24"/>
        </w:rPr>
        <w:t>开标结束后，采购人或者采购代理机构应当依法对投标人的资格进行审查，见评审内容及标准。下列条款若有一条不符合要求的，即资格评审不予通过，当资格评审合格投标人不足3家的，不得评标。</w:t>
      </w:r>
    </w:p>
    <w:bookmarkEnd w:id="177"/>
    <w:tbl>
      <w:tblPr>
        <w:tblStyle w:val="41"/>
        <w:tblW w:w="10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690"/>
        <w:gridCol w:w="8801"/>
      </w:tblGrid>
      <w:tr w14:paraId="35D8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905" w:type="dxa"/>
            <w:vAlign w:val="center"/>
          </w:tcPr>
          <w:p w14:paraId="2F55C198">
            <w:pPr>
              <w:spacing w:before="100" w:beforeAutospacing="1" w:after="100" w:afterAutospacing="1" w:line="360" w:lineRule="auto"/>
              <w:jc w:val="center"/>
              <w:rPr>
                <w:rFonts w:hint="eastAsia" w:cs="宋体"/>
                <w:b/>
                <w:sz w:val="24"/>
              </w:rPr>
            </w:pPr>
            <w:r>
              <w:rPr>
                <w:rFonts w:hint="eastAsia" w:cs="宋体"/>
                <w:b/>
                <w:sz w:val="24"/>
              </w:rPr>
              <w:t>评审程序</w:t>
            </w:r>
          </w:p>
        </w:tc>
        <w:tc>
          <w:tcPr>
            <w:tcW w:w="9491" w:type="dxa"/>
            <w:gridSpan w:val="2"/>
            <w:vAlign w:val="center"/>
          </w:tcPr>
          <w:p w14:paraId="07F0A436">
            <w:pPr>
              <w:spacing w:before="100" w:beforeAutospacing="1" w:after="100" w:afterAutospacing="1" w:line="360" w:lineRule="auto"/>
              <w:jc w:val="center"/>
              <w:rPr>
                <w:rFonts w:hint="eastAsia" w:cs="宋体"/>
                <w:b/>
                <w:sz w:val="24"/>
              </w:rPr>
            </w:pPr>
            <w:r>
              <w:rPr>
                <w:rFonts w:hint="eastAsia" w:cs="宋体"/>
                <w:b/>
                <w:sz w:val="24"/>
              </w:rPr>
              <w:t>评 审 内 容 及 标 准</w:t>
            </w:r>
          </w:p>
        </w:tc>
      </w:tr>
      <w:tr w14:paraId="6E30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905" w:type="dxa"/>
            <w:vMerge w:val="restart"/>
            <w:vAlign w:val="center"/>
          </w:tcPr>
          <w:p w14:paraId="4977255F">
            <w:pPr>
              <w:spacing w:before="100" w:beforeAutospacing="1" w:after="100" w:afterAutospacing="1" w:line="360" w:lineRule="auto"/>
              <w:jc w:val="center"/>
              <w:rPr>
                <w:rFonts w:hint="eastAsia" w:cs="宋体"/>
                <w:b/>
                <w:sz w:val="24"/>
              </w:rPr>
            </w:pPr>
            <w:r>
              <w:rPr>
                <w:rFonts w:hint="eastAsia" w:cs="宋体"/>
                <w:sz w:val="24"/>
              </w:rPr>
              <w:t>资格评审标准</w:t>
            </w:r>
          </w:p>
        </w:tc>
        <w:tc>
          <w:tcPr>
            <w:tcW w:w="690" w:type="dxa"/>
            <w:vAlign w:val="center"/>
          </w:tcPr>
          <w:p w14:paraId="7AE193EF">
            <w:pPr>
              <w:spacing w:before="100" w:beforeAutospacing="1" w:after="100" w:afterAutospacing="1" w:line="360" w:lineRule="auto"/>
              <w:jc w:val="center"/>
              <w:rPr>
                <w:rFonts w:hint="eastAsia" w:cs="宋体"/>
                <w:b/>
                <w:sz w:val="24"/>
              </w:rPr>
            </w:pPr>
            <w:r>
              <w:rPr>
                <w:rFonts w:hint="eastAsia" w:cs="宋体"/>
                <w:b/>
                <w:sz w:val="24"/>
              </w:rPr>
              <w:t>1</w:t>
            </w:r>
          </w:p>
        </w:tc>
        <w:tc>
          <w:tcPr>
            <w:tcW w:w="8801" w:type="dxa"/>
            <w:vAlign w:val="center"/>
          </w:tcPr>
          <w:p w14:paraId="3AF543A4">
            <w:pPr>
              <w:spacing w:before="100" w:beforeAutospacing="1" w:after="100" w:afterAutospacing="1" w:line="360" w:lineRule="auto"/>
              <w:jc w:val="left"/>
              <w:rPr>
                <w:rFonts w:hint="eastAsia" w:cs="宋体"/>
                <w:b/>
                <w:sz w:val="24"/>
              </w:rPr>
            </w:pPr>
            <w:r>
              <w:rPr>
                <w:rFonts w:hint="eastAsia" w:cs="宋体"/>
                <w:b/>
                <w:sz w:val="24"/>
              </w:rPr>
              <w:t>投标人应具备《中华人民共和国政府采购法》第二十二条规定的条件，并提供下列材料：</w:t>
            </w:r>
          </w:p>
        </w:tc>
      </w:tr>
      <w:tr w14:paraId="2300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5F9B922A">
            <w:pPr>
              <w:spacing w:before="100" w:beforeAutospacing="1" w:after="100" w:afterAutospacing="1" w:line="360" w:lineRule="auto"/>
              <w:jc w:val="center"/>
              <w:rPr>
                <w:rFonts w:hint="eastAsia" w:cs="宋体"/>
                <w:sz w:val="24"/>
              </w:rPr>
            </w:pPr>
          </w:p>
        </w:tc>
        <w:tc>
          <w:tcPr>
            <w:tcW w:w="690" w:type="dxa"/>
            <w:vAlign w:val="center"/>
          </w:tcPr>
          <w:p w14:paraId="6E432F18">
            <w:pPr>
              <w:spacing w:before="100" w:beforeAutospacing="1" w:after="100" w:afterAutospacing="1" w:line="360" w:lineRule="auto"/>
              <w:jc w:val="center"/>
              <w:rPr>
                <w:rFonts w:hint="eastAsia" w:cs="宋体"/>
                <w:sz w:val="24"/>
              </w:rPr>
            </w:pPr>
            <w:r>
              <w:rPr>
                <w:rFonts w:hint="eastAsia" w:cs="宋体"/>
                <w:sz w:val="24"/>
              </w:rPr>
              <w:t>1.1</w:t>
            </w:r>
          </w:p>
        </w:tc>
        <w:tc>
          <w:tcPr>
            <w:tcW w:w="8801" w:type="dxa"/>
            <w:vAlign w:val="center"/>
          </w:tcPr>
          <w:p w14:paraId="2272A3C2">
            <w:pPr>
              <w:spacing w:before="100" w:beforeAutospacing="1" w:after="100" w:afterAutospacing="1" w:line="360" w:lineRule="auto"/>
              <w:jc w:val="left"/>
              <w:rPr>
                <w:rFonts w:hint="eastAsia" w:cs="宋体"/>
                <w:sz w:val="24"/>
              </w:rPr>
            </w:pPr>
            <w:r>
              <w:rPr>
                <w:rFonts w:hint="eastAsia" w:cs="宋体"/>
                <w:sz w:val="24"/>
              </w:rPr>
              <w:t>投标人必须是具有独立承担民事责任能力的法人、其他组织或者自然人（提供营业执照或其他类似的法定凭证复印件/扫描件加盖公章）；</w:t>
            </w:r>
          </w:p>
        </w:tc>
      </w:tr>
      <w:tr w14:paraId="77E8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77E96ED4">
            <w:pPr>
              <w:spacing w:before="100" w:beforeAutospacing="1" w:after="100" w:afterAutospacing="1" w:line="360" w:lineRule="auto"/>
              <w:jc w:val="center"/>
              <w:rPr>
                <w:rFonts w:hint="eastAsia" w:cs="宋体"/>
                <w:sz w:val="24"/>
              </w:rPr>
            </w:pPr>
          </w:p>
        </w:tc>
        <w:tc>
          <w:tcPr>
            <w:tcW w:w="690" w:type="dxa"/>
            <w:vAlign w:val="center"/>
          </w:tcPr>
          <w:p w14:paraId="514DA4E3">
            <w:pPr>
              <w:spacing w:before="100" w:beforeAutospacing="1" w:after="100" w:afterAutospacing="1" w:line="360" w:lineRule="auto"/>
              <w:jc w:val="center"/>
              <w:rPr>
                <w:rFonts w:hint="eastAsia" w:cs="宋体"/>
                <w:sz w:val="24"/>
              </w:rPr>
            </w:pPr>
            <w:r>
              <w:rPr>
                <w:rFonts w:hint="eastAsia" w:cs="宋体"/>
                <w:sz w:val="24"/>
              </w:rPr>
              <w:t>1.2</w:t>
            </w:r>
          </w:p>
        </w:tc>
        <w:tc>
          <w:tcPr>
            <w:tcW w:w="8801" w:type="dxa"/>
            <w:vAlign w:val="center"/>
          </w:tcPr>
          <w:p w14:paraId="2ABB8BA2">
            <w:pPr>
              <w:spacing w:line="360" w:lineRule="auto"/>
              <w:rPr>
                <w:rFonts w:hint="eastAsia" w:cs="宋体"/>
                <w:sz w:val="24"/>
              </w:rPr>
            </w:pPr>
            <w:r>
              <w:rPr>
                <w:rFonts w:hint="eastAsia" w:cs="宋体"/>
                <w:sz w:val="24"/>
              </w:rPr>
              <w:t>投标人具有良好的商业信誉和健全的财务会计制度：提供2023-2024年度任意1个年度经第三方审计的财务会计报表（成立不满2年的投标人根据实际情况提供），包括财务审计报告、资产负债表、利润表、现金流量表、所有者权益变动表（执行小企业会计准则的投标人可不提供）及附注，事业单位投标人提供财务审计报告、资产负债表、收入费用表、净资产变动表及附注；或提供自响应文件提交截止时间前三个月内开户银行出具的资信证明；或提供财政部门认可的政府采购专业担保机构对投标人进行资信审查后出具的投标担保函。</w:t>
            </w:r>
            <w:r>
              <w:rPr>
                <w:rFonts w:hint="eastAsia" w:cs="宋体"/>
                <w:b/>
                <w:bCs/>
                <w:sz w:val="24"/>
              </w:rPr>
              <w:t>备注：投标人可根据自身情况提供上述任意一种证明材料</w:t>
            </w:r>
            <w:r>
              <w:rPr>
                <w:rFonts w:hint="eastAsia" w:cs="宋体"/>
                <w:sz w:val="24"/>
              </w:rPr>
              <w:t>，</w:t>
            </w:r>
            <w:r>
              <w:rPr>
                <w:rFonts w:hint="eastAsia" w:cs="宋体"/>
                <w:b/>
                <w:bCs/>
                <w:spacing w:val="6"/>
                <w:sz w:val="24"/>
              </w:rPr>
              <w:t>相关证明材料扫描件应加盖公章</w:t>
            </w:r>
            <w:r>
              <w:rPr>
                <w:rFonts w:hint="eastAsia" w:cs="宋体"/>
                <w:spacing w:val="6"/>
                <w:sz w:val="24"/>
              </w:rPr>
              <w:t>；</w:t>
            </w:r>
          </w:p>
        </w:tc>
      </w:tr>
      <w:tr w14:paraId="1924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2D8EB129">
            <w:pPr>
              <w:spacing w:before="100" w:beforeAutospacing="1" w:after="100" w:afterAutospacing="1" w:line="360" w:lineRule="auto"/>
              <w:jc w:val="center"/>
              <w:rPr>
                <w:rFonts w:hint="eastAsia" w:cs="宋体"/>
                <w:sz w:val="24"/>
              </w:rPr>
            </w:pPr>
          </w:p>
        </w:tc>
        <w:tc>
          <w:tcPr>
            <w:tcW w:w="690" w:type="dxa"/>
            <w:vAlign w:val="center"/>
          </w:tcPr>
          <w:p w14:paraId="562F4BBC">
            <w:pPr>
              <w:spacing w:before="100" w:beforeAutospacing="1" w:after="100" w:afterAutospacing="1" w:line="360" w:lineRule="auto"/>
              <w:jc w:val="center"/>
              <w:rPr>
                <w:rFonts w:hint="eastAsia" w:cs="宋体"/>
                <w:sz w:val="24"/>
              </w:rPr>
            </w:pPr>
            <w:r>
              <w:rPr>
                <w:rFonts w:hint="eastAsia" w:cs="宋体"/>
                <w:sz w:val="24"/>
              </w:rPr>
              <w:t>1.3</w:t>
            </w:r>
          </w:p>
        </w:tc>
        <w:tc>
          <w:tcPr>
            <w:tcW w:w="8801" w:type="dxa"/>
            <w:vAlign w:val="center"/>
          </w:tcPr>
          <w:p w14:paraId="6F793CF7">
            <w:pPr>
              <w:spacing w:line="360" w:lineRule="auto"/>
              <w:rPr>
                <w:rFonts w:hint="eastAsia" w:cs="宋体"/>
                <w:sz w:val="24"/>
              </w:rPr>
            </w:pPr>
            <w:r>
              <w:rPr>
                <w:rFonts w:hint="eastAsia" w:cs="宋体"/>
                <w:sz w:val="24"/>
              </w:rPr>
              <w:t>投标人具有履行合同所必需的设备和专业技术能力（投标人提供书面声明或证明材料，书面声明或证明材料须加盖公章）；</w:t>
            </w:r>
          </w:p>
        </w:tc>
      </w:tr>
      <w:tr w14:paraId="2FF2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34389659">
            <w:pPr>
              <w:spacing w:before="100" w:beforeAutospacing="1" w:after="100" w:afterAutospacing="1" w:line="360" w:lineRule="auto"/>
              <w:rPr>
                <w:rFonts w:hint="eastAsia" w:cs="宋体"/>
                <w:sz w:val="24"/>
              </w:rPr>
            </w:pPr>
          </w:p>
        </w:tc>
        <w:tc>
          <w:tcPr>
            <w:tcW w:w="690" w:type="dxa"/>
            <w:vAlign w:val="center"/>
          </w:tcPr>
          <w:p w14:paraId="79ECA70D">
            <w:pPr>
              <w:spacing w:before="100" w:beforeAutospacing="1" w:after="100" w:afterAutospacing="1" w:line="360" w:lineRule="auto"/>
              <w:jc w:val="center"/>
              <w:rPr>
                <w:rFonts w:hint="eastAsia" w:cs="宋体"/>
                <w:sz w:val="24"/>
              </w:rPr>
            </w:pPr>
            <w:r>
              <w:rPr>
                <w:rFonts w:hint="eastAsia" w:cs="宋体"/>
                <w:sz w:val="24"/>
              </w:rPr>
              <w:t>1.4</w:t>
            </w:r>
          </w:p>
        </w:tc>
        <w:tc>
          <w:tcPr>
            <w:tcW w:w="8801" w:type="dxa"/>
          </w:tcPr>
          <w:p w14:paraId="06D18BF2">
            <w:pPr>
              <w:spacing w:line="360" w:lineRule="auto"/>
              <w:rPr>
                <w:rFonts w:hint="eastAsia" w:cs="宋体"/>
                <w:sz w:val="24"/>
              </w:rPr>
            </w:pPr>
            <w:r>
              <w:rPr>
                <w:rFonts w:hint="eastAsia" w:cs="宋体"/>
                <w:sz w:val="24"/>
              </w:rPr>
              <w:t>投标人具有依法缴纳税收和社会保障资金的良好记录（投标人须提供缴税所属时间在2025年01月至本项目投标文件提交截止时间前任意3个月的税务局税收通用缴款书或银行电子缴税（费）凭证或税务局出具纳税情况的相关证明，依法免税的，应提供依法免税的相关证明文件，成立不满三个月的提供相关承诺；投标人须提供缴费所属时间在2025年01月至本项目投标文件提交截止时间前任意3个月的社会保险费缴款书或银行电子缴税（费）凭证或社保管理部门出具的有效的缴款证明，依法免缴的，应提供依法免缴的相关证明文件），成立不满三个月的提供相关承诺（加盖公章），</w:t>
            </w:r>
            <w:r>
              <w:rPr>
                <w:rFonts w:hint="eastAsia" w:cs="宋体"/>
                <w:spacing w:val="6"/>
                <w:sz w:val="24"/>
              </w:rPr>
              <w:t>相关证明材料扫描件应加盖公章</w:t>
            </w:r>
            <w:r>
              <w:rPr>
                <w:rFonts w:hint="eastAsia" w:cs="宋体"/>
                <w:sz w:val="24"/>
              </w:rPr>
              <w:t>；</w:t>
            </w:r>
          </w:p>
        </w:tc>
      </w:tr>
      <w:tr w14:paraId="483D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905" w:type="dxa"/>
            <w:vMerge w:val="continue"/>
            <w:vAlign w:val="center"/>
          </w:tcPr>
          <w:p w14:paraId="04D41F12">
            <w:pPr>
              <w:spacing w:before="100" w:beforeAutospacing="1" w:after="100" w:afterAutospacing="1" w:line="360" w:lineRule="auto"/>
              <w:rPr>
                <w:rFonts w:hint="eastAsia" w:cs="宋体"/>
                <w:sz w:val="24"/>
              </w:rPr>
            </w:pPr>
          </w:p>
        </w:tc>
        <w:tc>
          <w:tcPr>
            <w:tcW w:w="690" w:type="dxa"/>
            <w:vAlign w:val="center"/>
          </w:tcPr>
          <w:p w14:paraId="58B8B274">
            <w:pPr>
              <w:spacing w:before="100" w:beforeAutospacing="1" w:after="100" w:afterAutospacing="1" w:line="360" w:lineRule="auto"/>
              <w:jc w:val="center"/>
              <w:rPr>
                <w:rFonts w:hint="eastAsia" w:cs="宋体"/>
                <w:sz w:val="24"/>
              </w:rPr>
            </w:pPr>
            <w:r>
              <w:rPr>
                <w:rFonts w:hint="eastAsia" w:cs="宋体"/>
                <w:sz w:val="24"/>
              </w:rPr>
              <w:t>1.5</w:t>
            </w:r>
          </w:p>
        </w:tc>
        <w:tc>
          <w:tcPr>
            <w:tcW w:w="8801" w:type="dxa"/>
            <w:vAlign w:val="center"/>
          </w:tcPr>
          <w:p w14:paraId="40A2FFD5">
            <w:pPr>
              <w:spacing w:before="100" w:beforeAutospacing="1" w:after="100" w:afterAutospacing="1" w:line="360" w:lineRule="auto"/>
              <w:jc w:val="left"/>
              <w:rPr>
                <w:rFonts w:hint="eastAsia" w:cs="宋体"/>
                <w:sz w:val="24"/>
              </w:rPr>
            </w:pPr>
            <w:r>
              <w:rPr>
                <w:rFonts w:hint="eastAsia" w:cs="宋体"/>
                <w:sz w:val="24"/>
              </w:rPr>
              <w:t>投标人参加政府采购活动前三年内，在经营活动中没有重大违法记录（投标人提供书面声明即可，书面声明须加盖公章）；</w:t>
            </w:r>
          </w:p>
        </w:tc>
      </w:tr>
      <w:tr w14:paraId="727C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905" w:type="dxa"/>
            <w:vMerge w:val="continue"/>
            <w:vAlign w:val="center"/>
          </w:tcPr>
          <w:p w14:paraId="73AF2239">
            <w:pPr>
              <w:spacing w:before="100" w:beforeAutospacing="1" w:after="100" w:afterAutospacing="1" w:line="360" w:lineRule="auto"/>
              <w:rPr>
                <w:rFonts w:hint="eastAsia" w:cs="宋体"/>
                <w:sz w:val="24"/>
              </w:rPr>
            </w:pPr>
          </w:p>
        </w:tc>
        <w:tc>
          <w:tcPr>
            <w:tcW w:w="690" w:type="dxa"/>
            <w:vAlign w:val="center"/>
          </w:tcPr>
          <w:p w14:paraId="20C0E776">
            <w:pPr>
              <w:spacing w:before="100" w:beforeAutospacing="1" w:after="100" w:afterAutospacing="1" w:line="360" w:lineRule="auto"/>
              <w:jc w:val="center"/>
              <w:rPr>
                <w:rFonts w:hint="eastAsia" w:cs="宋体"/>
                <w:sz w:val="24"/>
              </w:rPr>
            </w:pPr>
            <w:r>
              <w:rPr>
                <w:rFonts w:hint="eastAsia" w:cs="宋体"/>
                <w:sz w:val="24"/>
              </w:rPr>
              <w:t>1.6</w:t>
            </w:r>
          </w:p>
        </w:tc>
        <w:tc>
          <w:tcPr>
            <w:tcW w:w="8801" w:type="dxa"/>
            <w:vAlign w:val="center"/>
          </w:tcPr>
          <w:p w14:paraId="237C4BFF">
            <w:pPr>
              <w:spacing w:before="100" w:beforeAutospacing="1" w:after="100" w:afterAutospacing="1" w:line="360" w:lineRule="auto"/>
              <w:jc w:val="left"/>
              <w:rPr>
                <w:rFonts w:hint="eastAsia" w:cs="宋体"/>
                <w:sz w:val="24"/>
              </w:rPr>
            </w:pPr>
            <w:r>
              <w:rPr>
                <w:rFonts w:hint="eastAsia" w:cs="宋体"/>
                <w:sz w:val="24"/>
              </w:rPr>
              <w:t>法律、行政法规规定的其他条件。</w:t>
            </w:r>
          </w:p>
        </w:tc>
      </w:tr>
      <w:tr w14:paraId="4121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233BCCF0">
            <w:pPr>
              <w:spacing w:before="100" w:beforeAutospacing="1" w:after="100" w:afterAutospacing="1" w:line="360" w:lineRule="auto"/>
              <w:rPr>
                <w:rFonts w:hint="eastAsia" w:cs="宋体"/>
                <w:sz w:val="24"/>
              </w:rPr>
            </w:pPr>
          </w:p>
        </w:tc>
        <w:tc>
          <w:tcPr>
            <w:tcW w:w="690" w:type="dxa"/>
            <w:vAlign w:val="center"/>
          </w:tcPr>
          <w:p w14:paraId="4831DABE">
            <w:pPr>
              <w:spacing w:before="100" w:beforeAutospacing="1" w:after="100" w:afterAutospacing="1" w:line="360" w:lineRule="auto"/>
              <w:jc w:val="center"/>
              <w:rPr>
                <w:rFonts w:hint="eastAsia" w:cs="宋体"/>
                <w:b/>
                <w:sz w:val="24"/>
              </w:rPr>
            </w:pPr>
            <w:r>
              <w:rPr>
                <w:rFonts w:hint="eastAsia" w:cs="宋体"/>
                <w:b/>
                <w:sz w:val="24"/>
              </w:rPr>
              <w:t>2</w:t>
            </w:r>
          </w:p>
        </w:tc>
        <w:tc>
          <w:tcPr>
            <w:tcW w:w="8801" w:type="dxa"/>
            <w:vAlign w:val="center"/>
          </w:tcPr>
          <w:p w14:paraId="3BA196C5">
            <w:pPr>
              <w:spacing w:before="100" w:beforeAutospacing="1" w:after="100" w:afterAutospacing="1" w:line="360" w:lineRule="auto"/>
              <w:jc w:val="left"/>
              <w:rPr>
                <w:rFonts w:hint="eastAsia" w:cs="宋体"/>
                <w:b/>
                <w:sz w:val="24"/>
              </w:rPr>
            </w:pPr>
            <w:r>
              <w:rPr>
                <w:rFonts w:hint="eastAsia" w:cs="宋体"/>
                <w:b/>
                <w:sz w:val="24"/>
              </w:rPr>
              <w:t>法律、行政法规规定的其他条件：</w:t>
            </w:r>
          </w:p>
        </w:tc>
      </w:tr>
      <w:tr w14:paraId="3224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05" w:type="dxa"/>
            <w:vMerge w:val="continue"/>
            <w:vAlign w:val="center"/>
          </w:tcPr>
          <w:p w14:paraId="4C5CE343">
            <w:pPr>
              <w:spacing w:before="100" w:beforeAutospacing="1" w:after="100" w:afterAutospacing="1" w:line="360" w:lineRule="auto"/>
              <w:rPr>
                <w:rFonts w:hint="eastAsia" w:cs="宋体"/>
                <w:sz w:val="24"/>
              </w:rPr>
            </w:pPr>
          </w:p>
        </w:tc>
        <w:tc>
          <w:tcPr>
            <w:tcW w:w="690" w:type="dxa"/>
            <w:vAlign w:val="center"/>
          </w:tcPr>
          <w:p w14:paraId="22875C61">
            <w:pPr>
              <w:spacing w:before="100" w:beforeAutospacing="1" w:after="100" w:afterAutospacing="1" w:line="360" w:lineRule="auto"/>
              <w:jc w:val="center"/>
              <w:rPr>
                <w:rFonts w:hint="eastAsia" w:cs="宋体"/>
                <w:bCs/>
                <w:sz w:val="24"/>
              </w:rPr>
            </w:pPr>
            <w:r>
              <w:rPr>
                <w:rFonts w:hint="eastAsia" w:cs="宋体"/>
                <w:bCs/>
                <w:sz w:val="24"/>
              </w:rPr>
              <w:t>2.1</w:t>
            </w:r>
          </w:p>
        </w:tc>
        <w:tc>
          <w:tcPr>
            <w:tcW w:w="8801" w:type="dxa"/>
            <w:vAlign w:val="center"/>
          </w:tcPr>
          <w:p w14:paraId="3DEFC350">
            <w:pPr>
              <w:spacing w:before="100" w:beforeAutospacing="1" w:after="100" w:afterAutospacing="1" w:line="360" w:lineRule="auto"/>
              <w:jc w:val="left"/>
              <w:rPr>
                <w:rFonts w:hint="eastAsia" w:cs="宋体"/>
                <w:b/>
                <w:sz w:val="24"/>
              </w:rPr>
            </w:pPr>
            <w:r>
              <w:rPr>
                <w:rFonts w:hint="eastAsia" w:cs="宋体"/>
                <w:sz w:val="24"/>
              </w:rPr>
              <w:t>单位负责人为同一人或者存在直接控股、管理关系的不同投标人，不得参加同一合同项下的政府采购活动（拟书面说明函）；</w:t>
            </w:r>
          </w:p>
        </w:tc>
      </w:tr>
      <w:tr w14:paraId="3D52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05" w:type="dxa"/>
            <w:vMerge w:val="continue"/>
            <w:vAlign w:val="center"/>
          </w:tcPr>
          <w:p w14:paraId="45BCF6BE">
            <w:pPr>
              <w:spacing w:before="100" w:beforeAutospacing="1" w:after="100" w:afterAutospacing="1" w:line="360" w:lineRule="auto"/>
              <w:rPr>
                <w:rFonts w:hint="eastAsia" w:cs="宋体"/>
                <w:sz w:val="24"/>
              </w:rPr>
            </w:pPr>
          </w:p>
        </w:tc>
        <w:tc>
          <w:tcPr>
            <w:tcW w:w="690" w:type="dxa"/>
            <w:vAlign w:val="center"/>
          </w:tcPr>
          <w:p w14:paraId="7D52B727">
            <w:pPr>
              <w:spacing w:before="100" w:beforeAutospacing="1" w:after="100" w:afterAutospacing="1" w:line="360" w:lineRule="auto"/>
              <w:jc w:val="center"/>
              <w:rPr>
                <w:rFonts w:hint="eastAsia" w:cs="宋体"/>
                <w:bCs/>
                <w:sz w:val="24"/>
              </w:rPr>
            </w:pPr>
            <w:r>
              <w:rPr>
                <w:rFonts w:hint="eastAsia" w:cs="宋体"/>
                <w:bCs/>
                <w:sz w:val="24"/>
              </w:rPr>
              <w:t>2.2</w:t>
            </w:r>
          </w:p>
        </w:tc>
        <w:tc>
          <w:tcPr>
            <w:tcW w:w="8801" w:type="dxa"/>
            <w:vAlign w:val="center"/>
          </w:tcPr>
          <w:p w14:paraId="69495517">
            <w:pPr>
              <w:spacing w:before="100" w:beforeAutospacing="1" w:after="100" w:afterAutospacing="1" w:line="360" w:lineRule="auto"/>
              <w:jc w:val="left"/>
              <w:rPr>
                <w:rFonts w:hint="eastAsia" w:cs="宋体"/>
                <w:sz w:val="24"/>
              </w:rPr>
            </w:pPr>
            <w:r>
              <w:rPr>
                <w:rFonts w:hint="eastAsia" w:cs="宋体"/>
                <w:sz w:val="24"/>
              </w:rPr>
              <w:t>投标人未被列入①“中国执行信息公开网”网站中 “失信被执行人”、②“信用中国”网站中“重大税收违法失信主体”、“政府采购严重违法失信行为记录名单”，③“中国政府采购网（</w:t>
            </w:r>
            <w:r>
              <w:fldChar w:fldCharType="begin"/>
            </w:r>
            <w:r>
              <w:instrText xml:space="preserve"> HYPERLINK "http://www.ccgp" </w:instrText>
            </w:r>
            <w:r>
              <w:fldChar w:fldCharType="separate"/>
            </w:r>
            <w:r>
              <w:rPr>
                <w:rStyle w:val="48"/>
                <w:rFonts w:hint="eastAsia" w:cs="宋体"/>
                <w:color w:val="auto"/>
                <w:sz w:val="24"/>
              </w:rPr>
              <w:t>www.ccgp</w:t>
            </w:r>
            <w:r>
              <w:rPr>
                <w:rStyle w:val="48"/>
                <w:rFonts w:hint="eastAsia" w:cs="宋体"/>
                <w:color w:val="auto"/>
                <w:sz w:val="24"/>
              </w:rPr>
              <w:fldChar w:fldCharType="end"/>
            </w:r>
            <w:r>
              <w:rPr>
                <w:rFonts w:hint="eastAsia" w:cs="宋体"/>
                <w:sz w:val="24"/>
              </w:rPr>
              <w:t>.gov.cn）”网站中“政府采购严重违法失信行为信息记录”（以开标当天工作人员对上述信用信息进行查询核对的结果为准）。</w:t>
            </w:r>
          </w:p>
        </w:tc>
      </w:tr>
    </w:tbl>
    <w:p w14:paraId="1A2E68B1">
      <w:pPr>
        <w:widowControl/>
        <w:spacing w:line="360" w:lineRule="auto"/>
        <w:jc w:val="left"/>
        <w:rPr>
          <w:rFonts w:hint="eastAsia" w:cs="宋体"/>
          <w:kern w:val="44"/>
          <w:sz w:val="24"/>
        </w:rPr>
      </w:pPr>
      <w:r>
        <w:rPr>
          <w:rFonts w:hint="eastAsia" w:cs="宋体"/>
          <w:b/>
          <w:sz w:val="24"/>
        </w:rPr>
        <w:br w:type="page"/>
      </w:r>
    </w:p>
    <w:p w14:paraId="01731CE8">
      <w:pPr>
        <w:pStyle w:val="5"/>
        <w:numPr>
          <w:ilvl w:val="0"/>
          <w:numId w:val="0"/>
        </w:numPr>
        <w:jc w:val="center"/>
        <w:rPr>
          <w:rFonts w:hint="eastAsia" w:eastAsia="宋体" w:cs="宋体"/>
          <w:bCs/>
          <w:sz w:val="32"/>
          <w:szCs w:val="32"/>
        </w:rPr>
      </w:pPr>
      <w:bookmarkStart w:id="178" w:name="_Toc91696458"/>
      <w:bookmarkStart w:id="179" w:name="_Toc69912452"/>
      <w:bookmarkStart w:id="180" w:name="_Toc28102"/>
      <w:r>
        <w:rPr>
          <w:rFonts w:hint="eastAsia" w:eastAsia="宋体" w:cs="宋体"/>
          <w:bCs/>
          <w:sz w:val="32"/>
          <w:szCs w:val="32"/>
        </w:rPr>
        <w:t>第六章  评标办法</w:t>
      </w:r>
      <w:bookmarkEnd w:id="172"/>
      <w:bookmarkEnd w:id="173"/>
      <w:bookmarkEnd w:id="178"/>
      <w:bookmarkEnd w:id="179"/>
      <w:bookmarkEnd w:id="180"/>
    </w:p>
    <w:p w14:paraId="38289226">
      <w:pPr>
        <w:pStyle w:val="6"/>
        <w:numPr>
          <w:ilvl w:val="1"/>
          <w:numId w:val="0"/>
        </w:numPr>
        <w:jc w:val="center"/>
        <w:rPr>
          <w:rFonts w:hint="eastAsia" w:eastAsia="宋体" w:cs="宋体"/>
          <w:sz w:val="24"/>
          <w:szCs w:val="24"/>
        </w:rPr>
      </w:pPr>
      <w:bookmarkStart w:id="181" w:name="_Toc514663419"/>
      <w:bookmarkStart w:id="182" w:name="_Toc21600"/>
      <w:bookmarkStart w:id="183" w:name="_Toc326218110"/>
      <w:bookmarkStart w:id="184" w:name="_Toc91696459"/>
      <w:bookmarkStart w:id="185" w:name="_Toc69912453"/>
      <w:bookmarkStart w:id="186" w:name="_Toc22989"/>
      <w:bookmarkStart w:id="187" w:name="_Hlk17287793"/>
      <w:r>
        <w:rPr>
          <w:rFonts w:hint="eastAsia" w:eastAsia="宋体" w:cs="宋体"/>
          <w:sz w:val="24"/>
          <w:szCs w:val="24"/>
        </w:rPr>
        <w:t>评标办法前附表</w:t>
      </w:r>
      <w:bookmarkEnd w:id="181"/>
      <w:bookmarkEnd w:id="182"/>
      <w:bookmarkEnd w:id="183"/>
      <w:bookmarkEnd w:id="184"/>
      <w:bookmarkEnd w:id="185"/>
      <w:bookmarkEnd w:id="186"/>
    </w:p>
    <w:tbl>
      <w:tblPr>
        <w:tblStyle w:val="41"/>
        <w:tblW w:w="9894"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997"/>
        <w:gridCol w:w="1418"/>
        <w:gridCol w:w="6662"/>
      </w:tblGrid>
      <w:tr w14:paraId="3A782A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Align w:val="center"/>
          </w:tcPr>
          <w:p w14:paraId="077B998C">
            <w:pPr>
              <w:spacing w:line="360" w:lineRule="auto"/>
              <w:jc w:val="center"/>
              <w:rPr>
                <w:rFonts w:hint="eastAsia" w:cs="宋体"/>
                <w:b/>
                <w:sz w:val="24"/>
              </w:rPr>
            </w:pPr>
            <w:r>
              <w:rPr>
                <w:rFonts w:hint="eastAsia" w:cs="宋体"/>
                <w:b/>
                <w:sz w:val="24"/>
              </w:rPr>
              <w:t>条款号</w:t>
            </w:r>
          </w:p>
        </w:tc>
        <w:tc>
          <w:tcPr>
            <w:tcW w:w="8080" w:type="dxa"/>
            <w:gridSpan w:val="2"/>
            <w:vAlign w:val="center"/>
          </w:tcPr>
          <w:p w14:paraId="2BBE315B">
            <w:pPr>
              <w:spacing w:line="360" w:lineRule="auto"/>
              <w:jc w:val="center"/>
              <w:rPr>
                <w:rFonts w:hint="eastAsia" w:cs="宋体"/>
                <w:b/>
                <w:sz w:val="24"/>
              </w:rPr>
            </w:pPr>
            <w:r>
              <w:rPr>
                <w:rFonts w:hint="eastAsia" w:cs="宋体"/>
                <w:b/>
                <w:sz w:val="24"/>
              </w:rPr>
              <w:t>评 审 内 容 及 标 准</w:t>
            </w:r>
          </w:p>
        </w:tc>
      </w:tr>
      <w:tr w14:paraId="2857569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2" w:hRule="atLeast"/>
          <w:jc w:val="center"/>
        </w:trPr>
        <w:tc>
          <w:tcPr>
            <w:tcW w:w="817" w:type="dxa"/>
            <w:vMerge w:val="restart"/>
            <w:vAlign w:val="center"/>
          </w:tcPr>
          <w:p w14:paraId="2F14A3A4">
            <w:pPr>
              <w:spacing w:line="360" w:lineRule="auto"/>
              <w:jc w:val="center"/>
              <w:rPr>
                <w:rFonts w:hint="eastAsia" w:cs="宋体"/>
                <w:sz w:val="24"/>
              </w:rPr>
            </w:pPr>
            <w:bookmarkStart w:id="188" w:name="_Hlk149559862"/>
            <w:r>
              <w:rPr>
                <w:rFonts w:hint="eastAsia" w:cs="宋体"/>
                <w:sz w:val="24"/>
              </w:rPr>
              <w:t>3.1</w:t>
            </w:r>
          </w:p>
        </w:tc>
        <w:tc>
          <w:tcPr>
            <w:tcW w:w="997" w:type="dxa"/>
            <w:vMerge w:val="restart"/>
            <w:vAlign w:val="center"/>
          </w:tcPr>
          <w:p w14:paraId="45D68B9E">
            <w:pPr>
              <w:spacing w:line="360" w:lineRule="auto"/>
              <w:jc w:val="center"/>
              <w:rPr>
                <w:rFonts w:hint="eastAsia" w:cs="宋体"/>
                <w:sz w:val="24"/>
              </w:rPr>
            </w:pPr>
            <w:r>
              <w:rPr>
                <w:rFonts w:hint="eastAsia" w:cs="宋体"/>
                <w:sz w:val="24"/>
              </w:rPr>
              <w:t>符合性评审标准</w:t>
            </w:r>
          </w:p>
        </w:tc>
        <w:tc>
          <w:tcPr>
            <w:tcW w:w="1418" w:type="dxa"/>
            <w:vAlign w:val="center"/>
          </w:tcPr>
          <w:p w14:paraId="71F1B7A0">
            <w:pPr>
              <w:spacing w:before="100" w:beforeAutospacing="1" w:after="100" w:afterAutospacing="1" w:line="360" w:lineRule="auto"/>
              <w:jc w:val="center"/>
              <w:rPr>
                <w:rFonts w:hint="eastAsia" w:cs="宋体"/>
                <w:sz w:val="24"/>
              </w:rPr>
            </w:pPr>
            <w:r>
              <w:rPr>
                <w:rFonts w:hint="eastAsia" w:cs="宋体"/>
                <w:sz w:val="24"/>
              </w:rPr>
              <w:t>签署、盖章</w:t>
            </w:r>
          </w:p>
        </w:tc>
        <w:tc>
          <w:tcPr>
            <w:tcW w:w="6662" w:type="dxa"/>
            <w:tcBorders/>
            <w:vAlign w:val="center"/>
          </w:tcPr>
          <w:p w14:paraId="76C267C1">
            <w:pPr>
              <w:spacing w:before="100" w:beforeAutospacing="1" w:after="100" w:afterAutospacing="1" w:line="360" w:lineRule="auto"/>
              <w:jc w:val="left"/>
              <w:rPr>
                <w:rFonts w:hint="eastAsia" w:cs="宋体"/>
                <w:sz w:val="24"/>
              </w:rPr>
            </w:pPr>
            <w:r>
              <w:rPr>
                <w:rFonts w:hint="eastAsia" w:cs="宋体"/>
                <w:sz w:val="24"/>
              </w:rPr>
              <w:t>投标文件中“开标一览表”、“法定代表人身份证明书”、“法定代表人授权委托书”、“投标函”、“保证拟投产品在产品使用期间不受第三方提出侵犯其专利权、商标权、工业设计权、知识产权的起诉”的承诺”、“投标人在投标文件中未提供虚假材料的承诺”按招标文件要求签署、盖章的；</w:t>
            </w:r>
          </w:p>
        </w:tc>
      </w:tr>
      <w:tr w14:paraId="0011C35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4" w:hRule="atLeast"/>
          <w:jc w:val="center"/>
        </w:trPr>
        <w:tc>
          <w:tcPr>
            <w:tcW w:w="817" w:type="dxa"/>
            <w:vMerge w:val="continue"/>
            <w:vAlign w:val="center"/>
          </w:tcPr>
          <w:p w14:paraId="6CC37736">
            <w:pPr>
              <w:spacing w:line="360" w:lineRule="auto"/>
              <w:rPr>
                <w:rFonts w:hint="eastAsia" w:cs="宋体"/>
                <w:sz w:val="24"/>
              </w:rPr>
            </w:pPr>
          </w:p>
        </w:tc>
        <w:tc>
          <w:tcPr>
            <w:tcW w:w="997" w:type="dxa"/>
            <w:vMerge w:val="continue"/>
            <w:vAlign w:val="center"/>
          </w:tcPr>
          <w:p w14:paraId="21C140FD">
            <w:pPr>
              <w:spacing w:line="360" w:lineRule="auto"/>
              <w:rPr>
                <w:rFonts w:hint="eastAsia" w:cs="宋体"/>
                <w:sz w:val="24"/>
              </w:rPr>
            </w:pPr>
          </w:p>
        </w:tc>
        <w:tc>
          <w:tcPr>
            <w:tcW w:w="1418" w:type="dxa"/>
            <w:vAlign w:val="center"/>
          </w:tcPr>
          <w:p w14:paraId="0DE6F2D2">
            <w:pPr>
              <w:spacing w:line="360" w:lineRule="auto"/>
              <w:jc w:val="center"/>
              <w:rPr>
                <w:rFonts w:hint="eastAsia" w:cs="宋体"/>
                <w:sz w:val="24"/>
              </w:rPr>
            </w:pPr>
            <w:r>
              <w:rPr>
                <w:rFonts w:hint="eastAsia" w:cs="宋体"/>
                <w:sz w:val="24"/>
              </w:rPr>
              <w:t>投标报价</w:t>
            </w:r>
          </w:p>
        </w:tc>
        <w:tc>
          <w:tcPr>
            <w:tcW w:w="6662" w:type="dxa"/>
            <w:vAlign w:val="center"/>
          </w:tcPr>
          <w:p w14:paraId="6FFE0BA6">
            <w:pPr>
              <w:spacing w:before="100" w:beforeAutospacing="1" w:after="100" w:afterAutospacing="1" w:line="360" w:lineRule="auto"/>
              <w:jc w:val="left"/>
              <w:rPr>
                <w:rFonts w:hint="eastAsia" w:cs="宋体"/>
                <w:sz w:val="24"/>
              </w:rPr>
            </w:pPr>
            <w:r>
              <w:rPr>
                <w:rFonts w:hint="eastAsia" w:cs="宋体"/>
                <w:sz w:val="24"/>
              </w:rPr>
              <w:t>报价未超过招标文件中规定的预算金额或者招标最高限价的；</w:t>
            </w:r>
          </w:p>
        </w:tc>
      </w:tr>
      <w:tr w14:paraId="10E5330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04" w:hRule="atLeast"/>
          <w:jc w:val="center"/>
        </w:trPr>
        <w:tc>
          <w:tcPr>
            <w:tcW w:w="817" w:type="dxa"/>
            <w:vMerge w:val="continue"/>
            <w:vAlign w:val="center"/>
          </w:tcPr>
          <w:p w14:paraId="447F809A">
            <w:pPr>
              <w:spacing w:line="360" w:lineRule="auto"/>
              <w:rPr>
                <w:rFonts w:hint="eastAsia" w:cs="宋体"/>
                <w:sz w:val="24"/>
              </w:rPr>
            </w:pPr>
          </w:p>
        </w:tc>
        <w:tc>
          <w:tcPr>
            <w:tcW w:w="997" w:type="dxa"/>
            <w:vMerge w:val="continue"/>
            <w:vAlign w:val="center"/>
          </w:tcPr>
          <w:p w14:paraId="6A755CED">
            <w:pPr>
              <w:spacing w:line="360" w:lineRule="auto"/>
              <w:rPr>
                <w:rFonts w:hint="eastAsia" w:cs="宋体"/>
                <w:sz w:val="24"/>
              </w:rPr>
            </w:pPr>
          </w:p>
        </w:tc>
        <w:tc>
          <w:tcPr>
            <w:tcW w:w="1418" w:type="dxa"/>
            <w:vAlign w:val="center"/>
          </w:tcPr>
          <w:p w14:paraId="337AD46D">
            <w:pPr>
              <w:spacing w:line="360" w:lineRule="auto"/>
              <w:jc w:val="center"/>
              <w:rPr>
                <w:rFonts w:hint="eastAsia" w:cs="宋体"/>
                <w:sz w:val="24"/>
              </w:rPr>
            </w:pPr>
            <w:r>
              <w:rPr>
                <w:rFonts w:hint="eastAsia" w:cs="宋体"/>
                <w:sz w:val="24"/>
              </w:rPr>
              <w:t>实质性条件</w:t>
            </w:r>
          </w:p>
        </w:tc>
        <w:tc>
          <w:tcPr>
            <w:tcW w:w="6662" w:type="dxa"/>
            <w:vAlign w:val="center"/>
          </w:tcPr>
          <w:p w14:paraId="0A343BC2">
            <w:pPr>
              <w:spacing w:before="100" w:beforeAutospacing="1" w:after="100" w:afterAutospacing="1" w:line="360" w:lineRule="auto"/>
              <w:jc w:val="left"/>
              <w:rPr>
                <w:rFonts w:hint="eastAsia" w:cs="宋体"/>
                <w:sz w:val="24"/>
              </w:rPr>
            </w:pPr>
            <w:r>
              <w:rPr>
                <w:rFonts w:hint="eastAsia" w:cs="宋体"/>
                <w:sz w:val="24"/>
              </w:rPr>
              <w:t>实质性响应招标文件中条款内容的；</w:t>
            </w:r>
          </w:p>
        </w:tc>
      </w:tr>
      <w:tr w14:paraId="6BE65F6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17" w:type="dxa"/>
            <w:vMerge w:val="continue"/>
            <w:vAlign w:val="center"/>
          </w:tcPr>
          <w:p w14:paraId="43E289AD">
            <w:pPr>
              <w:spacing w:line="360" w:lineRule="auto"/>
              <w:rPr>
                <w:rFonts w:hint="eastAsia" w:cs="宋体"/>
                <w:sz w:val="24"/>
              </w:rPr>
            </w:pPr>
          </w:p>
        </w:tc>
        <w:tc>
          <w:tcPr>
            <w:tcW w:w="997" w:type="dxa"/>
            <w:vMerge w:val="continue"/>
            <w:vAlign w:val="center"/>
          </w:tcPr>
          <w:p w14:paraId="64C8834B">
            <w:pPr>
              <w:spacing w:line="360" w:lineRule="auto"/>
              <w:rPr>
                <w:rFonts w:hint="eastAsia" w:cs="宋体"/>
                <w:sz w:val="24"/>
              </w:rPr>
            </w:pPr>
          </w:p>
        </w:tc>
        <w:tc>
          <w:tcPr>
            <w:tcW w:w="1418" w:type="dxa"/>
            <w:vAlign w:val="center"/>
          </w:tcPr>
          <w:p w14:paraId="7B61BF17">
            <w:pPr>
              <w:spacing w:line="360" w:lineRule="auto"/>
              <w:jc w:val="center"/>
              <w:rPr>
                <w:rFonts w:hint="eastAsia" w:cs="宋体"/>
                <w:sz w:val="24"/>
              </w:rPr>
            </w:pPr>
            <w:r>
              <w:rPr>
                <w:rFonts w:hint="eastAsia" w:cs="宋体"/>
                <w:sz w:val="24"/>
              </w:rPr>
              <w:t>其他要求</w:t>
            </w:r>
          </w:p>
        </w:tc>
        <w:tc>
          <w:tcPr>
            <w:tcW w:w="6662" w:type="dxa"/>
            <w:vAlign w:val="center"/>
          </w:tcPr>
          <w:p w14:paraId="6FECD64E">
            <w:pPr>
              <w:spacing w:before="100" w:beforeAutospacing="1" w:after="100" w:afterAutospacing="1" w:line="360" w:lineRule="auto"/>
              <w:jc w:val="left"/>
              <w:rPr>
                <w:rFonts w:hint="eastAsia" w:cs="宋体"/>
                <w:sz w:val="24"/>
              </w:rPr>
            </w:pPr>
            <w:r>
              <w:rPr>
                <w:rFonts w:hint="eastAsia" w:cs="宋体"/>
                <w:sz w:val="24"/>
              </w:rPr>
              <w:t>投标文件未含有采购人不能接受的附加条件的，法律、法规和招标文件规定的其他无效情形。</w:t>
            </w:r>
          </w:p>
        </w:tc>
      </w:tr>
      <w:bookmarkEnd w:id="188"/>
      <w:tr w14:paraId="2AD9BC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Align w:val="center"/>
          </w:tcPr>
          <w:p w14:paraId="7FE6D000">
            <w:pPr>
              <w:spacing w:line="360" w:lineRule="auto"/>
              <w:jc w:val="center"/>
              <w:rPr>
                <w:rFonts w:hint="eastAsia" w:cs="宋体"/>
                <w:sz w:val="24"/>
              </w:rPr>
            </w:pPr>
            <w:r>
              <w:rPr>
                <w:rFonts w:hint="eastAsia" w:cs="宋体"/>
                <w:b/>
                <w:sz w:val="24"/>
              </w:rPr>
              <w:t>条款号</w:t>
            </w:r>
          </w:p>
        </w:tc>
        <w:tc>
          <w:tcPr>
            <w:tcW w:w="1418" w:type="dxa"/>
            <w:vAlign w:val="center"/>
          </w:tcPr>
          <w:p w14:paraId="54C68B42">
            <w:pPr>
              <w:spacing w:line="360" w:lineRule="auto"/>
              <w:jc w:val="center"/>
              <w:rPr>
                <w:rFonts w:hint="eastAsia" w:cs="宋体"/>
                <w:b/>
                <w:sz w:val="24"/>
              </w:rPr>
            </w:pPr>
            <w:r>
              <w:rPr>
                <w:rFonts w:hint="eastAsia" w:cs="宋体"/>
                <w:b/>
                <w:sz w:val="24"/>
              </w:rPr>
              <w:t>条款内容</w:t>
            </w:r>
          </w:p>
        </w:tc>
        <w:tc>
          <w:tcPr>
            <w:tcW w:w="6662" w:type="dxa"/>
            <w:vAlign w:val="center"/>
          </w:tcPr>
          <w:p w14:paraId="5FD9352C">
            <w:pPr>
              <w:spacing w:line="360" w:lineRule="auto"/>
              <w:jc w:val="center"/>
              <w:rPr>
                <w:rFonts w:hint="eastAsia" w:cs="宋体"/>
                <w:b/>
                <w:sz w:val="24"/>
              </w:rPr>
            </w:pPr>
            <w:r>
              <w:rPr>
                <w:rFonts w:hint="eastAsia" w:cs="宋体"/>
                <w:b/>
                <w:sz w:val="24"/>
              </w:rPr>
              <w:t>编列内容</w:t>
            </w:r>
          </w:p>
        </w:tc>
      </w:tr>
      <w:tr w14:paraId="406063C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Merge w:val="restart"/>
            <w:vAlign w:val="center"/>
          </w:tcPr>
          <w:p w14:paraId="7E2C691F">
            <w:pPr>
              <w:spacing w:line="360" w:lineRule="auto"/>
              <w:jc w:val="center"/>
              <w:rPr>
                <w:rFonts w:hint="eastAsia" w:cs="宋体"/>
                <w:sz w:val="24"/>
              </w:rPr>
            </w:pPr>
            <w:r>
              <w:rPr>
                <w:rFonts w:hint="eastAsia" w:cs="宋体"/>
                <w:sz w:val="24"/>
              </w:rPr>
              <w:t>3.2.1</w:t>
            </w:r>
          </w:p>
        </w:tc>
        <w:tc>
          <w:tcPr>
            <w:tcW w:w="1418" w:type="dxa"/>
            <w:vMerge w:val="restart"/>
            <w:vAlign w:val="center"/>
          </w:tcPr>
          <w:p w14:paraId="08C9BF01">
            <w:pPr>
              <w:spacing w:line="360" w:lineRule="auto"/>
              <w:jc w:val="center"/>
              <w:rPr>
                <w:rFonts w:hint="eastAsia" w:cs="宋体"/>
                <w:sz w:val="24"/>
              </w:rPr>
            </w:pPr>
            <w:r>
              <w:rPr>
                <w:rFonts w:hint="eastAsia" w:cs="宋体"/>
                <w:sz w:val="24"/>
              </w:rPr>
              <w:t>分值构成</w:t>
            </w:r>
          </w:p>
          <w:p w14:paraId="3EB13CD7">
            <w:pPr>
              <w:spacing w:line="360" w:lineRule="auto"/>
              <w:jc w:val="center"/>
              <w:rPr>
                <w:rFonts w:hint="eastAsia" w:cs="宋体"/>
                <w:sz w:val="24"/>
              </w:rPr>
            </w:pPr>
            <w:r>
              <w:rPr>
                <w:rFonts w:hint="eastAsia" w:cs="宋体"/>
                <w:sz w:val="24"/>
              </w:rPr>
              <w:t>（满分100分）</w:t>
            </w:r>
          </w:p>
        </w:tc>
        <w:tc>
          <w:tcPr>
            <w:tcW w:w="6662" w:type="dxa"/>
            <w:vAlign w:val="center"/>
          </w:tcPr>
          <w:p w14:paraId="3077D5C7">
            <w:pPr>
              <w:spacing w:line="360" w:lineRule="auto"/>
              <w:rPr>
                <w:rFonts w:hint="eastAsia" w:cs="宋体"/>
                <w:sz w:val="24"/>
              </w:rPr>
            </w:pPr>
            <w:r>
              <w:rPr>
                <w:rFonts w:hint="eastAsia" w:cs="宋体"/>
                <w:sz w:val="24"/>
              </w:rPr>
              <w:t>投标人的评标总得分＝F1＋F2</w:t>
            </w:r>
          </w:p>
          <w:p w14:paraId="00510CB0">
            <w:pPr>
              <w:spacing w:line="360" w:lineRule="auto"/>
              <w:rPr>
                <w:rFonts w:hint="eastAsia" w:cs="宋体"/>
                <w:sz w:val="24"/>
              </w:rPr>
            </w:pPr>
            <w:r>
              <w:rPr>
                <w:rFonts w:hint="eastAsia" w:cs="宋体"/>
                <w:sz w:val="24"/>
              </w:rPr>
              <w:t>其中：F1、F2分别为投标报价、技术部分2项评分因素的汇总得分。</w:t>
            </w:r>
          </w:p>
        </w:tc>
      </w:tr>
      <w:tr w14:paraId="0FD2A20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14" w:type="dxa"/>
            <w:gridSpan w:val="2"/>
            <w:vMerge w:val="continue"/>
            <w:vAlign w:val="center"/>
          </w:tcPr>
          <w:p w14:paraId="4CE17B3A">
            <w:pPr>
              <w:spacing w:line="360" w:lineRule="auto"/>
              <w:rPr>
                <w:rFonts w:hint="eastAsia" w:cs="宋体"/>
                <w:sz w:val="24"/>
              </w:rPr>
            </w:pPr>
          </w:p>
        </w:tc>
        <w:tc>
          <w:tcPr>
            <w:tcW w:w="1418" w:type="dxa"/>
            <w:vMerge w:val="continue"/>
            <w:vAlign w:val="center"/>
          </w:tcPr>
          <w:p w14:paraId="01413A70">
            <w:pPr>
              <w:spacing w:line="360" w:lineRule="auto"/>
              <w:rPr>
                <w:rFonts w:hint="eastAsia" w:cs="宋体"/>
                <w:sz w:val="24"/>
              </w:rPr>
            </w:pPr>
          </w:p>
        </w:tc>
        <w:tc>
          <w:tcPr>
            <w:tcW w:w="6662" w:type="dxa"/>
            <w:vAlign w:val="center"/>
          </w:tcPr>
          <w:p w14:paraId="3E6B9069">
            <w:pPr>
              <w:spacing w:line="360" w:lineRule="auto"/>
              <w:ind w:left="1258" w:hanging="1258"/>
              <w:rPr>
                <w:rFonts w:hint="eastAsia" w:cs="宋体"/>
                <w:sz w:val="24"/>
              </w:rPr>
            </w:pPr>
            <w:r>
              <w:rPr>
                <w:rFonts w:hint="eastAsia" w:cs="宋体"/>
                <w:sz w:val="24"/>
              </w:rPr>
              <w:t>投标报价F1：30.00分。</w:t>
            </w:r>
          </w:p>
          <w:p w14:paraId="3F8FEF0D">
            <w:pPr>
              <w:spacing w:line="360" w:lineRule="auto"/>
              <w:rPr>
                <w:rFonts w:hint="eastAsia" w:cs="宋体"/>
                <w:sz w:val="24"/>
              </w:rPr>
            </w:pPr>
            <w:r>
              <w:rPr>
                <w:rFonts w:hint="eastAsia" w:cs="宋体"/>
                <w:sz w:val="24"/>
              </w:rPr>
              <w:t>技术部分F2：70.00分。</w:t>
            </w:r>
          </w:p>
        </w:tc>
      </w:tr>
    </w:tbl>
    <w:p w14:paraId="1E9F04B8">
      <w:pPr>
        <w:widowControl/>
        <w:spacing w:line="360" w:lineRule="auto"/>
        <w:jc w:val="left"/>
        <w:rPr>
          <w:rFonts w:hint="eastAsia" w:cs="宋体"/>
          <w:b/>
          <w:sz w:val="24"/>
        </w:rPr>
      </w:pPr>
      <w:r>
        <w:rPr>
          <w:rFonts w:hint="eastAsia" w:cs="宋体"/>
          <w:b/>
          <w:sz w:val="24"/>
        </w:rPr>
        <w:br w:type="page"/>
      </w:r>
    </w:p>
    <w:p w14:paraId="5584CB54">
      <w:pPr>
        <w:tabs>
          <w:tab w:val="left" w:pos="1634"/>
          <w:tab w:val="left" w:pos="3373"/>
        </w:tabs>
        <w:spacing w:line="360" w:lineRule="auto"/>
        <w:jc w:val="center"/>
        <w:rPr>
          <w:rFonts w:hint="eastAsia" w:cs="宋体"/>
          <w:b/>
          <w:sz w:val="24"/>
        </w:rPr>
      </w:pPr>
      <w:r>
        <w:rPr>
          <w:rFonts w:hint="eastAsia" w:cs="宋体"/>
          <w:b/>
          <w:sz w:val="24"/>
        </w:rPr>
        <w:t>评审要求</w:t>
      </w:r>
    </w:p>
    <w:tbl>
      <w:tblPr>
        <w:tblStyle w:val="41"/>
        <w:tblW w:w="990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5"/>
        <w:gridCol w:w="766"/>
        <w:gridCol w:w="1298"/>
        <w:gridCol w:w="7079"/>
      </w:tblGrid>
      <w:tr w14:paraId="5C8662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531" w:type="dxa"/>
            <w:gridSpan w:val="2"/>
            <w:vAlign w:val="center"/>
          </w:tcPr>
          <w:p w14:paraId="6279301A">
            <w:pPr>
              <w:spacing w:line="360" w:lineRule="auto"/>
              <w:jc w:val="center"/>
              <w:rPr>
                <w:rFonts w:hint="eastAsia" w:cs="宋体"/>
                <w:color w:val="auto"/>
                <w:sz w:val="24"/>
              </w:rPr>
            </w:pPr>
            <w:bookmarkStart w:id="379" w:name="_GoBack"/>
            <w:r>
              <w:rPr>
                <w:rFonts w:hint="eastAsia" w:cs="宋体"/>
                <w:b/>
                <w:color w:val="auto"/>
                <w:sz w:val="24"/>
              </w:rPr>
              <w:t>条款号</w:t>
            </w:r>
          </w:p>
        </w:tc>
        <w:tc>
          <w:tcPr>
            <w:tcW w:w="1298" w:type="dxa"/>
            <w:vAlign w:val="center"/>
          </w:tcPr>
          <w:p w14:paraId="5E374670">
            <w:pPr>
              <w:spacing w:line="360" w:lineRule="auto"/>
              <w:jc w:val="center"/>
              <w:rPr>
                <w:rFonts w:hint="eastAsia" w:cs="宋体"/>
                <w:b/>
                <w:color w:val="auto"/>
                <w:sz w:val="24"/>
              </w:rPr>
            </w:pPr>
            <w:r>
              <w:rPr>
                <w:rFonts w:hint="eastAsia" w:cs="宋体"/>
                <w:b/>
                <w:color w:val="auto"/>
                <w:sz w:val="24"/>
              </w:rPr>
              <w:t>评分因素</w:t>
            </w:r>
          </w:p>
        </w:tc>
        <w:tc>
          <w:tcPr>
            <w:tcW w:w="7079" w:type="dxa"/>
            <w:vAlign w:val="center"/>
          </w:tcPr>
          <w:p w14:paraId="09960D3C">
            <w:pPr>
              <w:spacing w:line="360" w:lineRule="auto"/>
              <w:jc w:val="center"/>
              <w:rPr>
                <w:rFonts w:hint="eastAsia" w:cs="宋体"/>
                <w:b/>
                <w:color w:val="auto"/>
                <w:sz w:val="24"/>
              </w:rPr>
            </w:pPr>
            <w:r>
              <w:rPr>
                <w:rFonts w:hint="eastAsia" w:cs="宋体"/>
                <w:b/>
                <w:color w:val="auto"/>
                <w:sz w:val="24"/>
              </w:rPr>
              <w:t>评分标准</w:t>
            </w:r>
          </w:p>
        </w:tc>
      </w:tr>
      <w:tr w14:paraId="39A5DE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49" w:hRule="atLeast"/>
          <w:jc w:val="center"/>
        </w:trPr>
        <w:tc>
          <w:tcPr>
            <w:tcW w:w="765" w:type="dxa"/>
            <w:vAlign w:val="center"/>
          </w:tcPr>
          <w:p w14:paraId="2A79FEAF">
            <w:pPr>
              <w:spacing w:line="360" w:lineRule="auto"/>
              <w:jc w:val="center"/>
              <w:rPr>
                <w:rFonts w:hint="eastAsia" w:cs="宋体"/>
                <w:color w:val="auto"/>
                <w:sz w:val="24"/>
              </w:rPr>
            </w:pPr>
            <w:r>
              <w:rPr>
                <w:rFonts w:hint="eastAsia" w:cs="宋体"/>
                <w:color w:val="auto"/>
                <w:sz w:val="24"/>
              </w:rPr>
              <w:t>3.2.2（1）</w:t>
            </w:r>
          </w:p>
        </w:tc>
        <w:tc>
          <w:tcPr>
            <w:tcW w:w="766" w:type="dxa"/>
            <w:vAlign w:val="center"/>
          </w:tcPr>
          <w:p w14:paraId="252C3D51">
            <w:pPr>
              <w:spacing w:line="360" w:lineRule="auto"/>
              <w:jc w:val="center"/>
              <w:rPr>
                <w:rFonts w:hint="eastAsia" w:cs="宋体"/>
                <w:color w:val="auto"/>
                <w:sz w:val="24"/>
              </w:rPr>
            </w:pPr>
            <w:r>
              <w:rPr>
                <w:rFonts w:hint="eastAsia" w:cs="宋体"/>
                <w:color w:val="auto"/>
                <w:sz w:val="24"/>
              </w:rPr>
              <w:t>投标报价</w:t>
            </w:r>
          </w:p>
          <w:p w14:paraId="2D3919AE">
            <w:pPr>
              <w:spacing w:line="360" w:lineRule="auto"/>
              <w:jc w:val="center"/>
              <w:rPr>
                <w:rFonts w:hint="eastAsia" w:cs="宋体"/>
                <w:color w:val="auto"/>
                <w:sz w:val="24"/>
              </w:rPr>
            </w:pPr>
            <w:r>
              <w:rPr>
                <w:rFonts w:hint="eastAsia" w:cs="宋体"/>
                <w:color w:val="auto"/>
                <w:sz w:val="24"/>
              </w:rPr>
              <w:t>F1</w:t>
            </w:r>
          </w:p>
          <w:p w14:paraId="029AE61B">
            <w:pPr>
              <w:spacing w:line="360" w:lineRule="auto"/>
              <w:jc w:val="center"/>
              <w:rPr>
                <w:rFonts w:hint="eastAsia" w:cs="宋体"/>
                <w:color w:val="auto"/>
                <w:sz w:val="24"/>
              </w:rPr>
            </w:pPr>
            <w:r>
              <w:rPr>
                <w:rFonts w:hint="eastAsia" w:cs="宋体"/>
                <w:color w:val="auto"/>
                <w:sz w:val="24"/>
              </w:rPr>
              <w:t>评分标准</w:t>
            </w:r>
          </w:p>
        </w:tc>
        <w:tc>
          <w:tcPr>
            <w:tcW w:w="1298" w:type="dxa"/>
            <w:vAlign w:val="center"/>
          </w:tcPr>
          <w:p w14:paraId="0B7A4EA3">
            <w:pPr>
              <w:spacing w:line="360" w:lineRule="auto"/>
              <w:jc w:val="center"/>
              <w:rPr>
                <w:rFonts w:hint="eastAsia" w:cs="宋体"/>
                <w:color w:val="auto"/>
                <w:sz w:val="24"/>
              </w:rPr>
            </w:pPr>
            <w:r>
              <w:rPr>
                <w:rFonts w:hint="eastAsia" w:cs="宋体"/>
                <w:color w:val="auto"/>
                <w:sz w:val="24"/>
              </w:rPr>
              <w:t>投标报价评分计算公式</w:t>
            </w:r>
          </w:p>
        </w:tc>
        <w:tc>
          <w:tcPr>
            <w:tcW w:w="7079" w:type="dxa"/>
            <w:vAlign w:val="center"/>
          </w:tcPr>
          <w:p w14:paraId="6E2778DD">
            <w:pPr>
              <w:spacing w:line="360" w:lineRule="auto"/>
              <w:rPr>
                <w:rFonts w:hint="eastAsia" w:cs="宋体"/>
                <w:color w:val="auto"/>
                <w:sz w:val="24"/>
              </w:rPr>
            </w:pPr>
            <w:r>
              <w:rPr>
                <w:rFonts w:hint="eastAsia" w:cs="宋体"/>
                <w:color w:val="auto"/>
                <w:sz w:val="24"/>
              </w:rPr>
              <w:t>投标报价（含税）得分=(评标基准价／投标报价)×30</w:t>
            </w:r>
          </w:p>
          <w:p w14:paraId="7B54A936">
            <w:pPr>
              <w:spacing w:line="360" w:lineRule="auto"/>
              <w:rPr>
                <w:rFonts w:hint="eastAsia" w:cs="宋体"/>
                <w:color w:val="auto"/>
                <w:sz w:val="24"/>
              </w:rPr>
            </w:pPr>
            <w:r>
              <w:rPr>
                <w:rFonts w:hint="eastAsia" w:cs="宋体"/>
                <w:color w:val="auto"/>
                <w:sz w:val="24"/>
              </w:rPr>
              <w:t>即：F1=[C/（B1，B2，…，Bn）]×30</w:t>
            </w:r>
          </w:p>
          <w:p w14:paraId="79EC861B">
            <w:pPr>
              <w:spacing w:line="360" w:lineRule="auto"/>
              <w:rPr>
                <w:rFonts w:hint="eastAsia" w:cs="宋体"/>
                <w:color w:val="auto"/>
                <w:sz w:val="24"/>
              </w:rPr>
            </w:pPr>
            <w:r>
              <w:rPr>
                <w:rFonts w:hint="eastAsia" w:cs="宋体"/>
                <w:color w:val="auto"/>
                <w:sz w:val="24"/>
              </w:rPr>
              <w:t>注：C为评标基准价，即经初步审查合格且投标价格最低的有效投标报价；</w:t>
            </w:r>
          </w:p>
          <w:p w14:paraId="01E1C601">
            <w:pPr>
              <w:spacing w:line="360" w:lineRule="auto"/>
              <w:rPr>
                <w:rFonts w:hint="eastAsia" w:cs="宋体"/>
                <w:color w:val="auto"/>
                <w:sz w:val="24"/>
              </w:rPr>
            </w:pPr>
            <w:r>
              <w:rPr>
                <w:rFonts w:hint="eastAsia" w:cs="宋体"/>
                <w:color w:val="auto"/>
                <w:sz w:val="24"/>
              </w:rPr>
              <w:t>B1，B2，…，Bn为第n个经初步审查合格的有效投标报价。</w:t>
            </w:r>
          </w:p>
          <w:p w14:paraId="4D75C225">
            <w:pPr>
              <w:spacing w:line="360" w:lineRule="auto"/>
              <w:rPr>
                <w:rFonts w:hint="eastAsia" w:cs="宋体"/>
                <w:color w:val="auto"/>
                <w:sz w:val="24"/>
              </w:rPr>
            </w:pPr>
            <w:r>
              <w:rPr>
                <w:rFonts w:hint="eastAsia" w:cs="宋体"/>
                <w:color w:val="auto"/>
                <w:sz w:val="24"/>
              </w:rPr>
              <w:t>注：在计算投标报价得分时，对小型或微型企业产品的价格给予10%的扣除，监狱企业、残疾人福利性单位均视同小型或微型企业。（不重复享受优惠政策）</w:t>
            </w:r>
          </w:p>
        </w:tc>
      </w:tr>
      <w:tr w14:paraId="360999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restart"/>
            <w:vAlign w:val="center"/>
          </w:tcPr>
          <w:p w14:paraId="2B59D6FF">
            <w:pPr>
              <w:spacing w:line="360" w:lineRule="auto"/>
              <w:jc w:val="center"/>
              <w:rPr>
                <w:rFonts w:hint="eastAsia" w:cs="宋体"/>
                <w:color w:val="auto"/>
                <w:sz w:val="24"/>
              </w:rPr>
            </w:pPr>
            <w:r>
              <w:rPr>
                <w:rFonts w:hint="eastAsia" w:cs="宋体"/>
                <w:color w:val="auto"/>
                <w:sz w:val="24"/>
              </w:rPr>
              <w:t>3.2.2（2）</w:t>
            </w:r>
          </w:p>
        </w:tc>
        <w:tc>
          <w:tcPr>
            <w:tcW w:w="766" w:type="dxa"/>
            <w:vMerge w:val="restart"/>
            <w:vAlign w:val="center"/>
          </w:tcPr>
          <w:p w14:paraId="3099C3B0">
            <w:pPr>
              <w:spacing w:line="360" w:lineRule="auto"/>
              <w:jc w:val="center"/>
              <w:rPr>
                <w:rFonts w:hint="eastAsia" w:cs="宋体"/>
                <w:color w:val="auto"/>
                <w:sz w:val="24"/>
              </w:rPr>
            </w:pPr>
            <w:r>
              <w:rPr>
                <w:rFonts w:hint="eastAsia" w:cs="宋体"/>
                <w:color w:val="auto"/>
                <w:sz w:val="24"/>
              </w:rPr>
              <w:t>技术部分</w:t>
            </w:r>
          </w:p>
          <w:p w14:paraId="15F5029E">
            <w:pPr>
              <w:spacing w:line="360" w:lineRule="auto"/>
              <w:jc w:val="center"/>
              <w:rPr>
                <w:rFonts w:hint="eastAsia" w:cs="宋体"/>
                <w:color w:val="auto"/>
                <w:sz w:val="24"/>
              </w:rPr>
            </w:pPr>
            <w:r>
              <w:rPr>
                <w:rFonts w:hint="eastAsia" w:cs="宋体"/>
                <w:color w:val="auto"/>
                <w:sz w:val="24"/>
              </w:rPr>
              <w:t>F2</w:t>
            </w:r>
          </w:p>
          <w:p w14:paraId="73722C68">
            <w:pPr>
              <w:spacing w:line="360" w:lineRule="auto"/>
              <w:jc w:val="center"/>
              <w:rPr>
                <w:rFonts w:hint="eastAsia" w:cs="宋体"/>
                <w:color w:val="auto"/>
                <w:sz w:val="24"/>
              </w:rPr>
            </w:pPr>
            <w:r>
              <w:rPr>
                <w:rFonts w:hint="eastAsia" w:cs="宋体"/>
                <w:color w:val="auto"/>
                <w:sz w:val="24"/>
              </w:rPr>
              <w:t>评分标准</w:t>
            </w:r>
          </w:p>
        </w:tc>
        <w:tc>
          <w:tcPr>
            <w:tcW w:w="1298" w:type="dxa"/>
            <w:vAlign w:val="center"/>
          </w:tcPr>
          <w:p w14:paraId="7E1E76C8">
            <w:pPr>
              <w:spacing w:line="360" w:lineRule="auto"/>
              <w:jc w:val="center"/>
              <w:rPr>
                <w:rFonts w:hint="eastAsia" w:cs="宋体"/>
                <w:color w:val="auto"/>
                <w:sz w:val="24"/>
              </w:rPr>
            </w:pPr>
            <w:r>
              <w:rPr>
                <w:rFonts w:hint="eastAsia" w:cs="宋体"/>
                <w:color w:val="auto"/>
                <w:sz w:val="24"/>
              </w:rPr>
              <w:t>技术指标的响应程度（满分24分）</w:t>
            </w:r>
          </w:p>
        </w:tc>
        <w:tc>
          <w:tcPr>
            <w:tcW w:w="7079" w:type="dxa"/>
            <w:vAlign w:val="center"/>
          </w:tcPr>
          <w:p w14:paraId="71BFD129">
            <w:pPr>
              <w:snapToGrid w:val="0"/>
              <w:spacing w:line="360" w:lineRule="auto"/>
              <w:rPr>
                <w:rFonts w:hint="eastAsia" w:cs="宋体"/>
                <w:color w:val="auto"/>
                <w:sz w:val="24"/>
              </w:rPr>
            </w:pPr>
            <w:r>
              <w:rPr>
                <w:rFonts w:hint="eastAsia" w:cs="宋体"/>
                <w:color w:val="auto"/>
                <w:sz w:val="24"/>
              </w:rPr>
              <w:t>根据投标人对招标文件</w:t>
            </w:r>
            <w:r>
              <w:rPr>
                <w:rFonts w:hint="eastAsia" w:cs="宋体"/>
                <w:bCs/>
                <w:color w:val="auto"/>
                <w:sz w:val="24"/>
              </w:rPr>
              <w:t>第四章 货物需求及技术要求</w:t>
            </w:r>
            <w:r>
              <w:rPr>
                <w:rFonts w:hint="eastAsia" w:cs="宋体"/>
                <w:color w:val="auto"/>
                <w:sz w:val="24"/>
              </w:rPr>
              <w:t>的技术指标的响应情况进行评审，评审规则如下：</w:t>
            </w:r>
          </w:p>
          <w:p w14:paraId="66C8117F">
            <w:pPr>
              <w:snapToGrid w:val="0"/>
              <w:spacing w:line="360" w:lineRule="auto"/>
              <w:ind w:firstLine="480" w:firstLineChars="200"/>
              <w:rPr>
                <w:rFonts w:hint="eastAsia" w:cs="宋体"/>
                <w:color w:val="auto"/>
                <w:sz w:val="24"/>
              </w:rPr>
            </w:pPr>
            <w:r>
              <w:rPr>
                <w:rFonts w:hint="eastAsia" w:cs="宋体"/>
                <w:color w:val="auto"/>
                <w:sz w:val="24"/>
              </w:rPr>
              <w:t>1、重要技术指标的评审规则：</w:t>
            </w:r>
          </w:p>
          <w:p w14:paraId="24541BDE">
            <w:pPr>
              <w:snapToGrid w:val="0"/>
              <w:spacing w:line="360" w:lineRule="auto"/>
              <w:ind w:firstLine="480" w:firstLineChars="200"/>
              <w:rPr>
                <w:rFonts w:hint="eastAsia" w:cs="宋体"/>
                <w:color w:val="auto"/>
                <w:sz w:val="24"/>
              </w:rPr>
            </w:pPr>
            <w:r>
              <w:rPr>
                <w:rFonts w:hint="eastAsia" w:cs="宋体"/>
                <w:color w:val="auto"/>
                <w:sz w:val="24"/>
              </w:rPr>
              <w:t>（1）本项目▲为重要技术指标，技术指标划分详见第四章 货物需求及技术要求。</w:t>
            </w:r>
          </w:p>
          <w:p w14:paraId="49BDC83F">
            <w:pPr>
              <w:snapToGrid w:val="0"/>
              <w:spacing w:line="360" w:lineRule="auto"/>
              <w:ind w:firstLine="480" w:firstLineChars="200"/>
              <w:rPr>
                <w:rFonts w:hint="eastAsia" w:cs="宋体"/>
                <w:color w:val="auto"/>
                <w:sz w:val="24"/>
              </w:rPr>
            </w:pPr>
            <w:r>
              <w:rPr>
                <w:rFonts w:hint="eastAsia" w:cs="宋体"/>
                <w:color w:val="auto"/>
                <w:sz w:val="24"/>
              </w:rPr>
              <w:t>（2）评审标准：重要技术指标的响应程度部分共</w:t>
            </w:r>
            <w:r>
              <w:rPr>
                <w:rFonts w:hint="eastAsia" w:cs="宋体"/>
                <w:b/>
                <w:bCs/>
                <w:color w:val="auto"/>
                <w:sz w:val="24"/>
              </w:rPr>
              <w:t>12分</w:t>
            </w:r>
            <w:r>
              <w:rPr>
                <w:rFonts w:hint="eastAsia" w:cs="宋体"/>
                <w:color w:val="auto"/>
                <w:sz w:val="24"/>
              </w:rPr>
              <w:t>。投标人每出现任意内容不满足对应项下的重要技术指标要求的，每项扣0.5分，扣完为止。</w:t>
            </w:r>
          </w:p>
          <w:p w14:paraId="10B8065C">
            <w:pPr>
              <w:snapToGrid w:val="0"/>
              <w:spacing w:line="360" w:lineRule="auto"/>
              <w:ind w:firstLine="480" w:firstLineChars="200"/>
              <w:rPr>
                <w:rFonts w:hint="eastAsia" w:cs="宋体"/>
                <w:color w:val="auto"/>
                <w:sz w:val="24"/>
              </w:rPr>
            </w:pPr>
            <w:r>
              <w:rPr>
                <w:rFonts w:hint="eastAsia" w:cs="宋体"/>
                <w:color w:val="auto"/>
                <w:sz w:val="24"/>
              </w:rPr>
              <w:t>2、一般技术指标的评审规则：</w:t>
            </w:r>
          </w:p>
          <w:p w14:paraId="7ED8B95B">
            <w:pPr>
              <w:snapToGrid w:val="0"/>
              <w:spacing w:line="360" w:lineRule="auto"/>
              <w:ind w:firstLine="480" w:firstLineChars="200"/>
              <w:rPr>
                <w:rFonts w:hint="eastAsia" w:cs="宋体"/>
                <w:color w:val="auto"/>
                <w:sz w:val="24"/>
              </w:rPr>
            </w:pPr>
            <w:r>
              <w:rPr>
                <w:rFonts w:hint="eastAsia" w:cs="宋体"/>
                <w:color w:val="auto"/>
                <w:sz w:val="24"/>
              </w:rPr>
              <w:t>（1）本项目未标注</w:t>
            </w:r>
            <w:r>
              <w:rPr>
                <w:rFonts w:hint="eastAsia" w:cs="宋体"/>
                <w:color w:val="auto"/>
                <w:kern w:val="0"/>
                <w:sz w:val="24"/>
              </w:rPr>
              <w:t>▲的技术指标为一般技术指标，</w:t>
            </w:r>
            <w:r>
              <w:rPr>
                <w:rFonts w:hint="eastAsia" w:cs="宋体"/>
                <w:color w:val="auto"/>
                <w:sz w:val="24"/>
              </w:rPr>
              <w:t>技术指标划分详见第四章 货物需求及技术要求。</w:t>
            </w:r>
          </w:p>
          <w:p w14:paraId="5B4BD244">
            <w:pPr>
              <w:snapToGrid w:val="0"/>
              <w:spacing w:line="360" w:lineRule="auto"/>
              <w:ind w:firstLine="480" w:firstLineChars="200"/>
              <w:rPr>
                <w:rFonts w:hint="eastAsia" w:cs="宋体"/>
                <w:color w:val="auto"/>
                <w:sz w:val="24"/>
              </w:rPr>
            </w:pPr>
            <w:r>
              <w:rPr>
                <w:rFonts w:hint="eastAsia" w:cs="宋体"/>
                <w:color w:val="auto"/>
                <w:sz w:val="24"/>
              </w:rPr>
              <w:t>（2）评审标准：一般技术指标的响应程度部分共</w:t>
            </w:r>
            <w:r>
              <w:rPr>
                <w:rFonts w:hint="eastAsia" w:cs="宋体"/>
                <w:b/>
                <w:bCs/>
                <w:color w:val="auto"/>
                <w:sz w:val="24"/>
              </w:rPr>
              <w:t>12分</w:t>
            </w:r>
            <w:r>
              <w:rPr>
                <w:rFonts w:hint="eastAsia" w:cs="宋体"/>
                <w:color w:val="auto"/>
                <w:sz w:val="24"/>
              </w:rPr>
              <w:t>。投标人每出现任意内容不满足对应项下的一般技术指标要求的，每项扣0.2分，扣完为止。</w:t>
            </w:r>
          </w:p>
          <w:p w14:paraId="06CE5E70">
            <w:pPr>
              <w:spacing w:line="360" w:lineRule="auto"/>
              <w:rPr>
                <w:rFonts w:hint="eastAsia" w:cs="宋体"/>
                <w:color w:val="auto"/>
                <w:sz w:val="24"/>
              </w:rPr>
            </w:pPr>
            <w:r>
              <w:rPr>
                <w:rFonts w:hint="eastAsia" w:cs="宋体"/>
                <w:b/>
                <w:bCs/>
                <w:color w:val="auto"/>
                <w:sz w:val="24"/>
              </w:rPr>
              <w:t>技术指标的响应程度的评审参考投标人提供的技术偏离表，以投标人提供的技术支持资料为准。</w:t>
            </w:r>
          </w:p>
        </w:tc>
      </w:tr>
      <w:tr w14:paraId="03FC20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29432694">
            <w:pPr>
              <w:spacing w:line="360" w:lineRule="auto"/>
              <w:jc w:val="center"/>
              <w:rPr>
                <w:rFonts w:hint="eastAsia" w:cs="宋体"/>
                <w:color w:val="auto"/>
                <w:sz w:val="24"/>
              </w:rPr>
            </w:pPr>
          </w:p>
        </w:tc>
        <w:tc>
          <w:tcPr>
            <w:tcW w:w="766" w:type="dxa"/>
            <w:vMerge w:val="continue"/>
            <w:vAlign w:val="center"/>
          </w:tcPr>
          <w:p w14:paraId="102BD515">
            <w:pPr>
              <w:spacing w:line="360" w:lineRule="auto"/>
              <w:jc w:val="center"/>
              <w:rPr>
                <w:rFonts w:hint="eastAsia" w:cs="宋体"/>
                <w:color w:val="auto"/>
                <w:sz w:val="24"/>
              </w:rPr>
            </w:pPr>
          </w:p>
        </w:tc>
        <w:tc>
          <w:tcPr>
            <w:tcW w:w="1298" w:type="dxa"/>
            <w:vAlign w:val="center"/>
          </w:tcPr>
          <w:p w14:paraId="7C9A4DE2">
            <w:pPr>
              <w:spacing w:line="360" w:lineRule="auto"/>
              <w:jc w:val="center"/>
              <w:rPr>
                <w:rFonts w:hint="eastAsia" w:cs="宋体"/>
                <w:color w:val="auto"/>
                <w:sz w:val="24"/>
              </w:rPr>
            </w:pPr>
            <w:r>
              <w:rPr>
                <w:rFonts w:hint="eastAsia" w:cs="宋体"/>
                <w:bCs/>
                <w:color w:val="auto"/>
                <w:sz w:val="24"/>
              </w:rPr>
              <w:t>供货方案及进度计划（满分10分）</w:t>
            </w:r>
          </w:p>
        </w:tc>
        <w:tc>
          <w:tcPr>
            <w:tcW w:w="7079" w:type="dxa"/>
            <w:vAlign w:val="center"/>
          </w:tcPr>
          <w:p w14:paraId="46AACD57">
            <w:pPr>
              <w:spacing w:line="360" w:lineRule="auto"/>
              <w:jc w:val="left"/>
              <w:rPr>
                <w:rFonts w:hint="eastAsia" w:cs="宋体"/>
                <w:color w:val="auto"/>
                <w:sz w:val="24"/>
              </w:rPr>
            </w:pPr>
            <w:r>
              <w:rPr>
                <w:rFonts w:hint="eastAsia" w:cs="宋体"/>
                <w:color w:val="auto"/>
                <w:sz w:val="24"/>
              </w:rPr>
              <w:t>根据投标人供货方案及进度计划进行评审，评审规则如下：</w:t>
            </w:r>
          </w:p>
          <w:p w14:paraId="21944E5C">
            <w:pPr>
              <w:spacing w:line="360" w:lineRule="auto"/>
              <w:jc w:val="left"/>
              <w:rPr>
                <w:rFonts w:hint="eastAsia" w:cs="宋体"/>
                <w:color w:val="auto"/>
                <w:sz w:val="24"/>
              </w:rPr>
            </w:pPr>
            <w:r>
              <w:rPr>
                <w:rFonts w:hint="eastAsia" w:cs="宋体"/>
                <w:color w:val="auto"/>
                <w:sz w:val="24"/>
              </w:rPr>
              <w:t>1、供货方案（满分10分）</w:t>
            </w:r>
          </w:p>
          <w:p w14:paraId="518EEB66">
            <w:pPr>
              <w:spacing w:line="360" w:lineRule="auto"/>
              <w:jc w:val="left"/>
              <w:rPr>
                <w:rFonts w:hint="eastAsia" w:cs="宋体"/>
                <w:color w:val="auto"/>
                <w:sz w:val="24"/>
              </w:rPr>
            </w:pPr>
            <w:r>
              <w:rPr>
                <w:rFonts w:hint="eastAsia" w:cs="宋体"/>
                <w:color w:val="auto"/>
                <w:sz w:val="24"/>
              </w:rPr>
              <w:t>第一档次[10]分：有供货方案，对供货过程中的各阶段的工作内容、时间安排、保障措施均有详细说明，有对应违约处罚措施；</w:t>
            </w:r>
          </w:p>
          <w:p w14:paraId="72E988EF">
            <w:pPr>
              <w:spacing w:line="360" w:lineRule="auto"/>
              <w:jc w:val="left"/>
              <w:rPr>
                <w:rFonts w:hint="eastAsia" w:cs="宋体"/>
                <w:color w:val="auto"/>
                <w:sz w:val="24"/>
              </w:rPr>
            </w:pPr>
            <w:r>
              <w:rPr>
                <w:rFonts w:hint="eastAsia" w:cs="宋体"/>
                <w:color w:val="auto"/>
                <w:sz w:val="24"/>
              </w:rPr>
              <w:t>第二档次[5]分：有供货方案，对供货过程中的各阶段的工作内容、时间安排、保障措施有说明，但保障措施不完整、有缺漏，有对应违约处罚措施；</w:t>
            </w:r>
          </w:p>
          <w:p w14:paraId="043733B6">
            <w:pPr>
              <w:spacing w:line="360" w:lineRule="auto"/>
              <w:jc w:val="left"/>
              <w:rPr>
                <w:rFonts w:hint="eastAsia" w:cs="宋体"/>
                <w:color w:val="auto"/>
                <w:sz w:val="24"/>
              </w:rPr>
            </w:pPr>
            <w:r>
              <w:rPr>
                <w:rFonts w:hint="eastAsia" w:cs="宋体"/>
                <w:color w:val="auto"/>
                <w:sz w:val="24"/>
              </w:rPr>
              <w:t>第三档次[1]分：有供货方案，对供货过程中的各阶段的工作内容、时间安排、保障措施阐述均有缺漏，且保障措施不完整，无对应违约处罚措施；</w:t>
            </w:r>
          </w:p>
          <w:p w14:paraId="54C77C65">
            <w:pPr>
              <w:spacing w:line="360" w:lineRule="auto"/>
              <w:jc w:val="left"/>
              <w:rPr>
                <w:rFonts w:hint="eastAsia" w:cs="宋体"/>
                <w:b/>
                <w:bCs/>
                <w:color w:val="auto"/>
                <w:sz w:val="24"/>
              </w:rPr>
            </w:pPr>
            <w:r>
              <w:rPr>
                <w:rFonts w:hint="eastAsia" w:cs="宋体"/>
                <w:color w:val="auto"/>
                <w:sz w:val="24"/>
              </w:rPr>
              <w:t>第四档次[0]分：无供货方案的。</w:t>
            </w:r>
          </w:p>
        </w:tc>
      </w:tr>
      <w:tr w14:paraId="708BD8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7A699256">
            <w:pPr>
              <w:spacing w:line="360" w:lineRule="auto"/>
              <w:jc w:val="center"/>
              <w:rPr>
                <w:rFonts w:hint="eastAsia" w:cs="宋体"/>
                <w:color w:val="auto"/>
                <w:sz w:val="24"/>
              </w:rPr>
            </w:pPr>
          </w:p>
        </w:tc>
        <w:tc>
          <w:tcPr>
            <w:tcW w:w="766" w:type="dxa"/>
            <w:vMerge w:val="continue"/>
            <w:vAlign w:val="center"/>
          </w:tcPr>
          <w:p w14:paraId="3F1FF337">
            <w:pPr>
              <w:spacing w:line="360" w:lineRule="auto"/>
              <w:jc w:val="center"/>
              <w:rPr>
                <w:rFonts w:hint="eastAsia" w:cs="宋体"/>
                <w:color w:val="auto"/>
                <w:sz w:val="24"/>
              </w:rPr>
            </w:pPr>
          </w:p>
        </w:tc>
        <w:tc>
          <w:tcPr>
            <w:tcW w:w="1298" w:type="dxa"/>
            <w:vAlign w:val="center"/>
          </w:tcPr>
          <w:p w14:paraId="47C25621">
            <w:pPr>
              <w:spacing w:line="360" w:lineRule="auto"/>
              <w:jc w:val="center"/>
              <w:rPr>
                <w:rFonts w:hint="eastAsia" w:cs="宋体"/>
                <w:color w:val="auto"/>
                <w:sz w:val="24"/>
              </w:rPr>
            </w:pPr>
            <w:r>
              <w:rPr>
                <w:rFonts w:hint="eastAsia" w:cs="宋体"/>
                <w:color w:val="auto"/>
                <w:sz w:val="24"/>
              </w:rPr>
              <w:t>质量承诺及保障措施（满分10分）</w:t>
            </w:r>
          </w:p>
        </w:tc>
        <w:tc>
          <w:tcPr>
            <w:tcW w:w="7079" w:type="dxa"/>
            <w:vAlign w:val="center"/>
          </w:tcPr>
          <w:p w14:paraId="056EFEF7">
            <w:pPr>
              <w:spacing w:line="360" w:lineRule="auto"/>
              <w:jc w:val="left"/>
              <w:rPr>
                <w:rFonts w:hint="eastAsia" w:cs="宋体"/>
                <w:color w:val="auto"/>
                <w:sz w:val="24"/>
              </w:rPr>
            </w:pPr>
            <w:r>
              <w:rPr>
                <w:rFonts w:hint="eastAsia" w:cs="宋体"/>
                <w:color w:val="auto"/>
                <w:sz w:val="24"/>
              </w:rPr>
              <w:t>根据投标人拟投产品的质保期、质量保证承诺及质量保障措施进行评审，评审规则如下：</w:t>
            </w:r>
          </w:p>
          <w:p w14:paraId="0E380E71">
            <w:pPr>
              <w:spacing w:line="360" w:lineRule="auto"/>
              <w:jc w:val="left"/>
              <w:rPr>
                <w:rFonts w:hint="eastAsia" w:cs="宋体"/>
                <w:color w:val="auto"/>
                <w:sz w:val="24"/>
              </w:rPr>
            </w:pPr>
            <w:r>
              <w:rPr>
                <w:rFonts w:hint="eastAsia" w:cs="宋体"/>
                <w:color w:val="auto"/>
                <w:sz w:val="24"/>
              </w:rPr>
              <w:t>质量保证承诺及质量保障措施（满分10分）</w:t>
            </w:r>
            <w:r>
              <w:rPr>
                <w:rFonts w:hint="eastAsia" w:cs="宋体"/>
                <w:color w:val="auto"/>
                <w:sz w:val="24"/>
              </w:rPr>
              <w:br w:type="textWrapping"/>
            </w:r>
            <w:r>
              <w:rPr>
                <w:rFonts w:hint="eastAsia" w:cs="宋体"/>
                <w:color w:val="auto"/>
                <w:sz w:val="24"/>
              </w:rPr>
              <w:t>第一档次[10]分：提供了质量保证承诺，满足招标文件质保期要求，并制定了质量保障措施且措施合理可行的，且提供了相对应的如若出现质量问题的详细违约处罚措施，且措施完备明确的；</w:t>
            </w:r>
          </w:p>
          <w:p w14:paraId="178ECE2F">
            <w:pPr>
              <w:spacing w:line="360" w:lineRule="auto"/>
              <w:jc w:val="left"/>
              <w:rPr>
                <w:rFonts w:hint="eastAsia" w:cs="宋体"/>
                <w:color w:val="auto"/>
                <w:sz w:val="24"/>
              </w:rPr>
            </w:pPr>
            <w:r>
              <w:rPr>
                <w:rFonts w:hint="eastAsia" w:cs="宋体"/>
                <w:color w:val="auto"/>
                <w:sz w:val="24"/>
              </w:rPr>
              <w:t>第二档次[5]分：提供了质量保证承诺，满足招标文件质保期要求，并制定了质量保障措施，但措施不合理/不可行，且提供了相对应的如若出现质量问题的详细违约处罚措施，且措施完备明确的；</w:t>
            </w:r>
          </w:p>
          <w:p w14:paraId="5C889F57">
            <w:pPr>
              <w:spacing w:line="360" w:lineRule="auto"/>
              <w:jc w:val="left"/>
              <w:rPr>
                <w:rFonts w:hint="eastAsia" w:cs="宋体"/>
                <w:color w:val="auto"/>
                <w:sz w:val="24"/>
              </w:rPr>
            </w:pPr>
            <w:r>
              <w:rPr>
                <w:rFonts w:hint="eastAsia" w:cs="宋体"/>
                <w:color w:val="auto"/>
                <w:sz w:val="24"/>
              </w:rPr>
              <w:t>第三档次[1]分：提供了质量保证承诺，未明确质保期，措施不合理/不可行，且未提供相对应的如若出现质量问题的详细违约处罚措施；</w:t>
            </w:r>
          </w:p>
          <w:p w14:paraId="0055A447">
            <w:pPr>
              <w:spacing w:line="360" w:lineRule="auto"/>
              <w:jc w:val="left"/>
              <w:rPr>
                <w:rFonts w:hint="eastAsia" w:cs="宋体"/>
                <w:color w:val="auto"/>
                <w:sz w:val="24"/>
              </w:rPr>
            </w:pPr>
            <w:r>
              <w:rPr>
                <w:rFonts w:hint="eastAsia" w:cs="宋体"/>
                <w:color w:val="auto"/>
                <w:sz w:val="24"/>
              </w:rPr>
              <w:t>第四档次[0]分：未提供质量保证承诺的。</w:t>
            </w:r>
          </w:p>
        </w:tc>
      </w:tr>
      <w:tr w14:paraId="1C24AD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400A678E">
            <w:pPr>
              <w:spacing w:line="360" w:lineRule="auto"/>
              <w:jc w:val="center"/>
              <w:rPr>
                <w:rFonts w:hint="eastAsia" w:cs="宋体"/>
                <w:color w:val="auto"/>
                <w:sz w:val="24"/>
              </w:rPr>
            </w:pPr>
          </w:p>
        </w:tc>
        <w:tc>
          <w:tcPr>
            <w:tcW w:w="766" w:type="dxa"/>
            <w:vMerge w:val="continue"/>
            <w:vAlign w:val="center"/>
          </w:tcPr>
          <w:p w14:paraId="6A338455">
            <w:pPr>
              <w:spacing w:line="360" w:lineRule="auto"/>
              <w:jc w:val="center"/>
              <w:rPr>
                <w:rFonts w:hint="eastAsia" w:cs="宋体"/>
                <w:color w:val="auto"/>
                <w:sz w:val="24"/>
              </w:rPr>
            </w:pPr>
          </w:p>
        </w:tc>
        <w:tc>
          <w:tcPr>
            <w:tcW w:w="1298" w:type="dxa"/>
            <w:vAlign w:val="center"/>
          </w:tcPr>
          <w:p w14:paraId="5568913C">
            <w:pPr>
              <w:spacing w:line="360" w:lineRule="auto"/>
              <w:jc w:val="center"/>
              <w:rPr>
                <w:rFonts w:hint="eastAsia" w:cs="宋体"/>
                <w:bCs/>
                <w:color w:val="auto"/>
                <w:sz w:val="24"/>
              </w:rPr>
            </w:pPr>
            <w:r>
              <w:rPr>
                <w:rFonts w:hint="eastAsia" w:cs="宋体"/>
                <w:bCs/>
                <w:color w:val="auto"/>
                <w:sz w:val="24"/>
              </w:rPr>
              <w:t>售后服务方案、承诺及保证措施（满分16分）</w:t>
            </w:r>
          </w:p>
        </w:tc>
        <w:tc>
          <w:tcPr>
            <w:tcW w:w="7079" w:type="dxa"/>
            <w:vAlign w:val="center"/>
          </w:tcPr>
          <w:p w14:paraId="27989B44">
            <w:pPr>
              <w:spacing w:line="360" w:lineRule="auto"/>
              <w:jc w:val="left"/>
              <w:rPr>
                <w:rFonts w:hint="eastAsia" w:cs="宋体"/>
                <w:color w:val="auto"/>
                <w:sz w:val="24"/>
              </w:rPr>
            </w:pPr>
            <w:r>
              <w:rPr>
                <w:rFonts w:hint="eastAsia" w:cs="宋体"/>
                <w:color w:val="auto"/>
                <w:sz w:val="24"/>
              </w:rPr>
              <w:t>根据投标人提供的售后服务方案进行评审，方案包括但不限于：</w:t>
            </w:r>
          </w:p>
          <w:p w14:paraId="24894BD5">
            <w:pPr>
              <w:spacing w:line="360" w:lineRule="auto"/>
              <w:jc w:val="left"/>
              <w:rPr>
                <w:rFonts w:hint="eastAsia" w:cs="宋体"/>
                <w:color w:val="auto"/>
                <w:sz w:val="24"/>
              </w:rPr>
            </w:pPr>
            <w:r>
              <w:rPr>
                <w:rFonts w:hint="eastAsia" w:cs="宋体"/>
                <w:color w:val="auto"/>
                <w:sz w:val="24"/>
              </w:rPr>
              <w:t>（1）售后服务体系、流程、跟踪及保障措施；</w:t>
            </w:r>
          </w:p>
          <w:p w14:paraId="422EF2D6">
            <w:pPr>
              <w:spacing w:line="360" w:lineRule="auto"/>
              <w:jc w:val="left"/>
              <w:rPr>
                <w:rFonts w:hint="eastAsia" w:cs="宋体"/>
                <w:color w:val="auto"/>
                <w:sz w:val="24"/>
              </w:rPr>
            </w:pPr>
            <w:r>
              <w:rPr>
                <w:rFonts w:hint="eastAsia" w:cs="宋体"/>
                <w:color w:val="auto"/>
                <w:sz w:val="24"/>
              </w:rPr>
              <w:t>（2）退换货服务制度及承诺；</w:t>
            </w:r>
          </w:p>
          <w:p w14:paraId="1E26C806">
            <w:pPr>
              <w:spacing w:line="360" w:lineRule="auto"/>
              <w:jc w:val="left"/>
              <w:rPr>
                <w:rFonts w:hint="eastAsia" w:cs="宋体"/>
                <w:color w:val="auto"/>
              </w:rPr>
            </w:pPr>
            <w:r>
              <w:rPr>
                <w:rFonts w:hint="eastAsia" w:cs="宋体"/>
                <w:color w:val="auto"/>
                <w:sz w:val="24"/>
              </w:rPr>
              <w:t>（3）定期维护保养、维修响应时间、备件供货周期、本地化服务等承诺；</w:t>
            </w:r>
          </w:p>
          <w:p w14:paraId="50D43E35">
            <w:pPr>
              <w:spacing w:line="360" w:lineRule="auto"/>
              <w:jc w:val="left"/>
              <w:rPr>
                <w:rFonts w:hint="eastAsia" w:cs="宋体"/>
                <w:color w:val="auto"/>
                <w:sz w:val="24"/>
              </w:rPr>
            </w:pPr>
            <w:r>
              <w:rPr>
                <w:rFonts w:hint="eastAsia" w:cs="宋体"/>
                <w:color w:val="auto"/>
                <w:sz w:val="24"/>
              </w:rPr>
              <w:t>（4）违约责任承诺及处罚措施；</w:t>
            </w:r>
          </w:p>
          <w:p w14:paraId="796361A6">
            <w:pPr>
              <w:spacing w:line="360" w:lineRule="auto"/>
              <w:jc w:val="left"/>
              <w:rPr>
                <w:rFonts w:hint="eastAsia" w:cs="宋体"/>
                <w:color w:val="auto"/>
                <w:sz w:val="24"/>
              </w:rPr>
            </w:pPr>
            <w:r>
              <w:rPr>
                <w:rFonts w:hint="eastAsia" w:cs="宋体"/>
                <w:color w:val="auto"/>
                <w:sz w:val="24"/>
              </w:rPr>
              <w:t>以上内容无漏项、无缺陷得16分，每缺少一项扣4分；每有一项内容在缺陷的扣1分，未提供相关内容的不得分。</w:t>
            </w:r>
          </w:p>
          <w:p w14:paraId="74A61ACF">
            <w:pPr>
              <w:spacing w:line="360" w:lineRule="auto"/>
              <w:jc w:val="left"/>
              <w:rPr>
                <w:rFonts w:hint="eastAsia" w:cs="宋体"/>
                <w:color w:val="auto"/>
                <w:sz w:val="24"/>
              </w:rPr>
            </w:pPr>
            <w:r>
              <w:rPr>
                <w:rFonts w:hint="eastAsia" w:cs="宋体"/>
                <w:color w:val="auto"/>
                <w:sz w:val="24"/>
              </w:rPr>
              <w:t>（本项所称“缺陷”是指内容缺项、不完整或缺少关键点；非专门</w:t>
            </w:r>
          </w:p>
          <w:p w14:paraId="235F5AA2">
            <w:pPr>
              <w:spacing w:line="360" w:lineRule="auto"/>
              <w:jc w:val="left"/>
              <w:rPr>
                <w:rFonts w:hint="eastAsia" w:cs="宋体"/>
                <w:color w:val="auto"/>
                <w:sz w:val="24"/>
              </w:rPr>
            </w:pPr>
            <w:r>
              <w:rPr>
                <w:rFonts w:hint="eastAsia" w:cs="宋体"/>
                <w:color w:val="auto"/>
                <w:sz w:val="24"/>
              </w:rPr>
              <w:t>针对本项目或不适用本项目特性、引用其他项目内容；对同一问题前后表述矛盾；存在逻辑漏洞、科学原理或常识错误；不利于本项目目标的实现、现有技术条件下不可能出现的情形等任意一种情形）。</w:t>
            </w:r>
          </w:p>
        </w:tc>
      </w:tr>
      <w:tr w14:paraId="4EFF5D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462D619A">
            <w:pPr>
              <w:spacing w:line="360" w:lineRule="auto"/>
              <w:jc w:val="center"/>
              <w:rPr>
                <w:rFonts w:hint="eastAsia" w:cs="宋体"/>
                <w:color w:val="auto"/>
                <w:sz w:val="24"/>
              </w:rPr>
            </w:pPr>
          </w:p>
        </w:tc>
        <w:tc>
          <w:tcPr>
            <w:tcW w:w="766" w:type="dxa"/>
            <w:vMerge w:val="continue"/>
            <w:vAlign w:val="center"/>
          </w:tcPr>
          <w:p w14:paraId="560624A4">
            <w:pPr>
              <w:spacing w:line="360" w:lineRule="auto"/>
              <w:jc w:val="center"/>
              <w:rPr>
                <w:rFonts w:hint="eastAsia" w:cs="宋体"/>
                <w:color w:val="auto"/>
                <w:sz w:val="24"/>
              </w:rPr>
            </w:pPr>
          </w:p>
        </w:tc>
        <w:tc>
          <w:tcPr>
            <w:tcW w:w="1298" w:type="dxa"/>
            <w:vAlign w:val="center"/>
          </w:tcPr>
          <w:p w14:paraId="44B87D4C">
            <w:pPr>
              <w:spacing w:line="360" w:lineRule="auto"/>
              <w:jc w:val="center"/>
              <w:rPr>
                <w:rFonts w:hint="eastAsia" w:cs="宋体"/>
                <w:bCs/>
                <w:color w:val="auto"/>
                <w:sz w:val="24"/>
              </w:rPr>
            </w:pPr>
            <w:r>
              <w:rPr>
                <w:rFonts w:hint="eastAsia" w:cs="宋体"/>
                <w:bCs/>
                <w:color w:val="auto"/>
                <w:sz w:val="24"/>
              </w:rPr>
              <w:t>培训方案</w:t>
            </w:r>
          </w:p>
          <w:p w14:paraId="74AB9EA7">
            <w:pPr>
              <w:spacing w:line="360" w:lineRule="auto"/>
              <w:jc w:val="center"/>
              <w:rPr>
                <w:rFonts w:hint="eastAsia" w:cs="宋体"/>
                <w:color w:val="auto"/>
                <w:sz w:val="24"/>
              </w:rPr>
            </w:pPr>
            <w:r>
              <w:rPr>
                <w:rFonts w:hint="eastAsia" w:cs="宋体"/>
                <w:bCs/>
                <w:color w:val="auto"/>
                <w:sz w:val="24"/>
              </w:rPr>
              <w:t>（满分5分）</w:t>
            </w:r>
          </w:p>
        </w:tc>
        <w:tc>
          <w:tcPr>
            <w:tcW w:w="7079" w:type="dxa"/>
            <w:vAlign w:val="center"/>
          </w:tcPr>
          <w:p w14:paraId="76F268E5">
            <w:pPr>
              <w:spacing w:line="360" w:lineRule="auto"/>
              <w:jc w:val="left"/>
              <w:rPr>
                <w:rFonts w:hint="eastAsia" w:cs="宋体"/>
                <w:color w:val="auto"/>
                <w:sz w:val="24"/>
              </w:rPr>
            </w:pPr>
            <w:r>
              <w:rPr>
                <w:rFonts w:hint="eastAsia" w:cs="宋体"/>
                <w:color w:val="auto"/>
                <w:sz w:val="24"/>
              </w:rPr>
              <w:t>根据投标人提供的培训方案内容进行评审及评分，评审规则如下：</w:t>
            </w:r>
          </w:p>
          <w:p w14:paraId="4CAF1FB0">
            <w:pPr>
              <w:spacing w:line="360" w:lineRule="auto"/>
              <w:jc w:val="left"/>
              <w:rPr>
                <w:rFonts w:hint="eastAsia" w:cs="宋体"/>
                <w:color w:val="auto"/>
                <w:sz w:val="24"/>
              </w:rPr>
            </w:pPr>
            <w:r>
              <w:rPr>
                <w:rFonts w:hint="eastAsia" w:cs="宋体"/>
                <w:color w:val="auto"/>
                <w:sz w:val="24"/>
              </w:rPr>
              <w:t>第一档次[5]分：人员培训方案（培训大纲、培训计划、培训内容）编制完整并承诺一年内4次及以上的（含4次）培训次数，培训目标明确，培训形式灵活，切合采购项目实际，有违约处罚措施及保障措施。</w:t>
            </w:r>
          </w:p>
          <w:p w14:paraId="755F7E92">
            <w:pPr>
              <w:spacing w:line="360" w:lineRule="auto"/>
              <w:jc w:val="left"/>
              <w:rPr>
                <w:rFonts w:hint="eastAsia" w:cs="宋体"/>
                <w:color w:val="auto"/>
                <w:sz w:val="24"/>
              </w:rPr>
            </w:pPr>
            <w:r>
              <w:rPr>
                <w:rFonts w:hint="eastAsia" w:cs="宋体"/>
                <w:color w:val="auto"/>
                <w:sz w:val="24"/>
              </w:rPr>
              <w:t>第二档次[2]分：人员培训方案（培训大纲、培训计划、培训内容）编制简单并承诺一年内1次及以上的（含1次）培训次数，培训目标、培训形式不明确。</w:t>
            </w:r>
          </w:p>
          <w:p w14:paraId="6B87ACDC">
            <w:pPr>
              <w:spacing w:line="360" w:lineRule="auto"/>
              <w:jc w:val="left"/>
              <w:rPr>
                <w:rFonts w:hint="eastAsia" w:cs="宋体"/>
                <w:b/>
                <w:bCs/>
                <w:color w:val="auto"/>
                <w:sz w:val="24"/>
              </w:rPr>
            </w:pPr>
            <w:r>
              <w:rPr>
                <w:rFonts w:hint="eastAsia" w:cs="宋体"/>
                <w:color w:val="auto"/>
                <w:sz w:val="24"/>
              </w:rPr>
              <w:t>第三档次[0]分：无人员培训方案的。</w:t>
            </w:r>
          </w:p>
        </w:tc>
      </w:tr>
      <w:tr w14:paraId="2AA105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35B8682C">
            <w:pPr>
              <w:spacing w:line="360" w:lineRule="auto"/>
              <w:jc w:val="center"/>
              <w:rPr>
                <w:rFonts w:hint="eastAsia" w:cs="宋体"/>
                <w:color w:val="auto"/>
                <w:sz w:val="24"/>
              </w:rPr>
            </w:pPr>
          </w:p>
        </w:tc>
        <w:tc>
          <w:tcPr>
            <w:tcW w:w="766" w:type="dxa"/>
            <w:vMerge w:val="continue"/>
            <w:vAlign w:val="center"/>
          </w:tcPr>
          <w:p w14:paraId="7E8122AB">
            <w:pPr>
              <w:spacing w:line="360" w:lineRule="auto"/>
              <w:jc w:val="center"/>
              <w:rPr>
                <w:rFonts w:hint="eastAsia" w:cs="宋体"/>
                <w:color w:val="auto"/>
                <w:sz w:val="24"/>
              </w:rPr>
            </w:pPr>
          </w:p>
        </w:tc>
        <w:tc>
          <w:tcPr>
            <w:tcW w:w="1298" w:type="dxa"/>
            <w:vAlign w:val="center"/>
          </w:tcPr>
          <w:p w14:paraId="3B1BED49">
            <w:pPr>
              <w:spacing w:line="360" w:lineRule="auto"/>
              <w:jc w:val="center"/>
              <w:rPr>
                <w:rFonts w:hint="eastAsia" w:cs="宋体"/>
                <w:bCs/>
                <w:color w:val="auto"/>
                <w:sz w:val="24"/>
              </w:rPr>
            </w:pPr>
            <w:r>
              <w:rPr>
                <w:rFonts w:hint="eastAsia" w:cs="宋体"/>
                <w:bCs/>
                <w:color w:val="auto"/>
                <w:sz w:val="24"/>
              </w:rPr>
              <w:t>应急预案</w:t>
            </w:r>
          </w:p>
          <w:p w14:paraId="396AEA67">
            <w:pPr>
              <w:spacing w:line="360" w:lineRule="auto"/>
              <w:jc w:val="center"/>
              <w:rPr>
                <w:rFonts w:hint="eastAsia" w:cs="宋体"/>
                <w:color w:val="auto"/>
                <w:sz w:val="24"/>
              </w:rPr>
            </w:pPr>
            <w:r>
              <w:rPr>
                <w:rFonts w:hint="eastAsia" w:cs="宋体"/>
                <w:bCs/>
                <w:color w:val="auto"/>
                <w:sz w:val="24"/>
              </w:rPr>
              <w:t>（满分3分）</w:t>
            </w:r>
          </w:p>
        </w:tc>
        <w:tc>
          <w:tcPr>
            <w:tcW w:w="7079" w:type="dxa"/>
            <w:vAlign w:val="center"/>
          </w:tcPr>
          <w:p w14:paraId="55AF45F0">
            <w:pPr>
              <w:spacing w:line="360" w:lineRule="auto"/>
              <w:jc w:val="left"/>
              <w:rPr>
                <w:rFonts w:hint="eastAsia" w:cs="宋体"/>
                <w:color w:val="auto"/>
                <w:sz w:val="24"/>
              </w:rPr>
            </w:pPr>
            <w:r>
              <w:rPr>
                <w:rFonts w:hint="eastAsia" w:cs="宋体"/>
                <w:color w:val="auto"/>
                <w:sz w:val="24"/>
              </w:rPr>
              <w:t>第一档次[3]分：针对可能会发生的特殊（紧急）情况制定了应急预案，应急预案明确，切合采购项目实际，有违约处罚措施及保障措施，并与采购人实际情况相关联的；</w:t>
            </w:r>
          </w:p>
          <w:p w14:paraId="401ADDD5">
            <w:pPr>
              <w:spacing w:line="360" w:lineRule="auto"/>
              <w:jc w:val="left"/>
              <w:rPr>
                <w:rFonts w:hint="eastAsia" w:cs="宋体"/>
                <w:color w:val="auto"/>
                <w:sz w:val="24"/>
              </w:rPr>
            </w:pPr>
            <w:r>
              <w:rPr>
                <w:rFonts w:hint="eastAsia" w:cs="宋体"/>
                <w:color w:val="auto"/>
                <w:sz w:val="24"/>
              </w:rPr>
              <w:t>第二档次[1]分：针对可能会发生的特殊（紧急）情况制定了应急预案，应急预案不明确，不切合采购项目实际，未提供相应违约处罚措施及保障措施，且与采购人实际情况无关的；</w:t>
            </w:r>
          </w:p>
          <w:p w14:paraId="61BCFF75">
            <w:pPr>
              <w:spacing w:line="360" w:lineRule="auto"/>
              <w:jc w:val="left"/>
              <w:rPr>
                <w:rFonts w:hint="eastAsia" w:cs="宋体"/>
                <w:b/>
                <w:bCs/>
                <w:color w:val="auto"/>
                <w:sz w:val="24"/>
              </w:rPr>
            </w:pPr>
            <w:r>
              <w:rPr>
                <w:rFonts w:hint="eastAsia" w:cs="宋体"/>
                <w:color w:val="auto"/>
                <w:sz w:val="24"/>
              </w:rPr>
              <w:t>第三档次[0]分：无应急预案的。</w:t>
            </w:r>
          </w:p>
        </w:tc>
      </w:tr>
      <w:tr w14:paraId="6A8BF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65" w:type="dxa"/>
            <w:vMerge w:val="continue"/>
            <w:vAlign w:val="center"/>
          </w:tcPr>
          <w:p w14:paraId="7E5C9261">
            <w:pPr>
              <w:spacing w:line="360" w:lineRule="auto"/>
              <w:jc w:val="center"/>
              <w:rPr>
                <w:rFonts w:hint="eastAsia" w:cs="宋体"/>
                <w:color w:val="auto"/>
                <w:sz w:val="24"/>
              </w:rPr>
            </w:pPr>
          </w:p>
        </w:tc>
        <w:tc>
          <w:tcPr>
            <w:tcW w:w="766" w:type="dxa"/>
            <w:vMerge w:val="continue"/>
            <w:vAlign w:val="center"/>
          </w:tcPr>
          <w:p w14:paraId="40688AC0">
            <w:pPr>
              <w:spacing w:line="360" w:lineRule="auto"/>
              <w:jc w:val="center"/>
              <w:rPr>
                <w:rFonts w:hint="eastAsia" w:cs="宋体"/>
                <w:color w:val="auto"/>
                <w:sz w:val="24"/>
              </w:rPr>
            </w:pPr>
          </w:p>
        </w:tc>
        <w:tc>
          <w:tcPr>
            <w:tcW w:w="1298" w:type="dxa"/>
            <w:vAlign w:val="center"/>
          </w:tcPr>
          <w:p w14:paraId="059FB6CE">
            <w:pPr>
              <w:spacing w:line="360" w:lineRule="auto"/>
              <w:jc w:val="center"/>
              <w:rPr>
                <w:rFonts w:hint="eastAsia" w:cs="宋体"/>
                <w:color w:val="auto"/>
                <w:sz w:val="24"/>
              </w:rPr>
            </w:pPr>
            <w:r>
              <w:rPr>
                <w:rFonts w:hint="eastAsia" w:cs="宋体"/>
                <w:bCs/>
                <w:color w:val="auto"/>
                <w:sz w:val="24"/>
              </w:rPr>
              <w:t>增值服务（满分2分）</w:t>
            </w:r>
          </w:p>
        </w:tc>
        <w:tc>
          <w:tcPr>
            <w:tcW w:w="7079" w:type="dxa"/>
            <w:vAlign w:val="center"/>
          </w:tcPr>
          <w:p w14:paraId="5B34A226">
            <w:pPr>
              <w:spacing w:line="360" w:lineRule="auto"/>
              <w:jc w:val="left"/>
              <w:rPr>
                <w:rFonts w:hint="eastAsia" w:cs="宋体"/>
                <w:color w:val="auto"/>
                <w:sz w:val="24"/>
              </w:rPr>
            </w:pPr>
            <w:r>
              <w:rPr>
                <w:rFonts w:hint="eastAsia" w:cs="宋体"/>
                <w:color w:val="auto"/>
                <w:sz w:val="24"/>
              </w:rPr>
              <w:t>第一档次（2分）提供的增值服务为5项（含5项）及以上的；</w:t>
            </w:r>
          </w:p>
          <w:p w14:paraId="0D3D772E">
            <w:pPr>
              <w:spacing w:line="360" w:lineRule="auto"/>
              <w:jc w:val="left"/>
              <w:rPr>
                <w:rFonts w:hint="eastAsia" w:cs="宋体"/>
                <w:color w:val="auto"/>
                <w:sz w:val="24"/>
              </w:rPr>
            </w:pPr>
            <w:r>
              <w:rPr>
                <w:rFonts w:hint="eastAsia" w:cs="宋体"/>
                <w:color w:val="auto"/>
                <w:sz w:val="24"/>
              </w:rPr>
              <w:t>第二档次（1分）提供的增值服务为4项（含4项）及以下的；</w:t>
            </w:r>
          </w:p>
          <w:p w14:paraId="0A11DE5B">
            <w:pPr>
              <w:spacing w:line="360" w:lineRule="auto"/>
              <w:jc w:val="left"/>
              <w:rPr>
                <w:rFonts w:hint="eastAsia" w:cs="宋体"/>
                <w:b/>
                <w:bCs/>
                <w:color w:val="auto"/>
                <w:sz w:val="24"/>
              </w:rPr>
            </w:pPr>
            <w:r>
              <w:rPr>
                <w:rFonts w:hint="eastAsia" w:cs="宋体"/>
                <w:color w:val="auto"/>
                <w:sz w:val="24"/>
              </w:rPr>
              <w:t>增值服务为附属产品或者易损配件。</w:t>
            </w:r>
          </w:p>
        </w:tc>
      </w:tr>
      <w:bookmarkEnd w:id="379"/>
    </w:tbl>
    <w:p w14:paraId="16896F46">
      <w:pPr>
        <w:tabs>
          <w:tab w:val="left" w:pos="1634"/>
          <w:tab w:val="left" w:pos="3373"/>
        </w:tabs>
        <w:spacing w:line="360" w:lineRule="auto"/>
        <w:rPr>
          <w:rFonts w:hint="eastAsia" w:cs="宋体"/>
          <w:b/>
          <w:sz w:val="24"/>
        </w:rPr>
      </w:pPr>
      <w:r>
        <w:rPr>
          <w:rFonts w:hint="eastAsia" w:cs="宋体"/>
          <w:b/>
          <w:sz w:val="24"/>
        </w:rPr>
        <w:t>备注：根据进入详细评审的投标人的投标文件，对评分因素的响应情况进行打分。</w:t>
      </w:r>
    </w:p>
    <w:p w14:paraId="317E89C0">
      <w:pPr>
        <w:tabs>
          <w:tab w:val="left" w:pos="1634"/>
          <w:tab w:val="left" w:pos="3373"/>
        </w:tabs>
        <w:spacing w:line="360" w:lineRule="auto"/>
        <w:rPr>
          <w:rFonts w:hint="eastAsia" w:cs="宋体"/>
          <w:b/>
          <w:sz w:val="24"/>
        </w:rPr>
        <w:sectPr>
          <w:pgSz w:w="11906" w:h="16838"/>
          <w:pgMar w:top="993" w:right="1418" w:bottom="993" w:left="1418" w:header="720" w:footer="624" w:gutter="0"/>
          <w:cols w:space="720" w:num="1"/>
          <w:docGrid w:type="linesAndChars" w:linePitch="331" w:charSpace="0"/>
        </w:sectPr>
      </w:pPr>
    </w:p>
    <w:p w14:paraId="5E7762DD">
      <w:pPr>
        <w:pStyle w:val="6"/>
        <w:numPr>
          <w:ilvl w:val="1"/>
          <w:numId w:val="0"/>
        </w:numPr>
        <w:spacing w:before="0"/>
        <w:rPr>
          <w:rFonts w:hint="eastAsia" w:eastAsia="宋体" w:cs="宋体"/>
          <w:sz w:val="24"/>
          <w:szCs w:val="24"/>
        </w:rPr>
      </w:pPr>
      <w:bookmarkStart w:id="189" w:name="_Toc508191814"/>
      <w:bookmarkStart w:id="190" w:name="_Toc69912454"/>
      <w:bookmarkStart w:id="191" w:name="_Toc14625"/>
      <w:bookmarkStart w:id="192" w:name="_Toc91696460"/>
      <w:bookmarkStart w:id="193" w:name="_Toc3520"/>
      <w:r>
        <w:rPr>
          <w:rFonts w:hint="eastAsia" w:eastAsia="宋体" w:cs="宋体"/>
          <w:sz w:val="24"/>
          <w:szCs w:val="24"/>
        </w:rPr>
        <w:t>1. 评标方法</w:t>
      </w:r>
      <w:bookmarkEnd w:id="189"/>
      <w:bookmarkEnd w:id="190"/>
      <w:bookmarkEnd w:id="191"/>
      <w:bookmarkEnd w:id="192"/>
      <w:bookmarkEnd w:id="193"/>
    </w:p>
    <w:p w14:paraId="2518A981">
      <w:pPr>
        <w:adjustRightInd w:val="0"/>
        <w:spacing w:line="360" w:lineRule="auto"/>
        <w:ind w:firstLine="480" w:firstLineChars="200"/>
        <w:rPr>
          <w:rFonts w:hint="eastAsia" w:cs="宋体"/>
          <w:sz w:val="24"/>
        </w:rPr>
      </w:pPr>
      <w:bookmarkStart w:id="194" w:name="_Toc508191815"/>
      <w:r>
        <w:rPr>
          <w:rFonts w:hint="eastAsia" w:cs="宋体"/>
          <w:b/>
          <w:bCs/>
          <w:sz w:val="24"/>
        </w:rPr>
        <w:t>本次评标采用综合评分法。</w:t>
      </w:r>
      <w:bookmarkStart w:id="195" w:name="_Toc91696461"/>
      <w:bookmarkStart w:id="196" w:name="_Toc69912455"/>
    </w:p>
    <w:p w14:paraId="3E2B7EF3">
      <w:pPr>
        <w:adjustRightInd w:val="0"/>
        <w:spacing w:line="360" w:lineRule="auto"/>
        <w:ind w:firstLine="480" w:firstLineChars="200"/>
        <w:rPr>
          <w:rFonts w:hint="eastAsia" w:cs="宋体"/>
          <w:sz w:val="24"/>
        </w:rPr>
      </w:pPr>
      <w:r>
        <w:rPr>
          <w:rFonts w:hint="eastAsia" w:cs="宋体"/>
          <w:sz w:val="24"/>
        </w:rPr>
        <w:t>2.政府采购政策</w:t>
      </w:r>
      <w:bookmarkEnd w:id="194"/>
      <w:bookmarkEnd w:id="195"/>
      <w:bookmarkEnd w:id="196"/>
    </w:p>
    <w:p w14:paraId="25B1F5E3">
      <w:pPr>
        <w:spacing w:line="360" w:lineRule="auto"/>
        <w:ind w:firstLine="480" w:firstLineChars="200"/>
        <w:rPr>
          <w:rFonts w:hint="eastAsia" w:cs="宋体"/>
          <w:b/>
          <w:sz w:val="24"/>
        </w:rPr>
      </w:pPr>
      <w:bookmarkStart w:id="197" w:name="_Toc508191816"/>
      <w:bookmarkStart w:id="198" w:name="_Toc326218112"/>
      <w:bookmarkStart w:id="199" w:name="_Toc314817934"/>
      <w:r>
        <w:rPr>
          <w:rFonts w:hint="eastAsia" w:cs="宋体"/>
          <w:b/>
          <w:sz w:val="24"/>
        </w:rPr>
        <w:t>2.1中小企业</w:t>
      </w:r>
    </w:p>
    <w:p w14:paraId="3732D57D">
      <w:pPr>
        <w:adjustRightInd w:val="0"/>
        <w:spacing w:line="360" w:lineRule="auto"/>
        <w:ind w:firstLine="480" w:firstLineChars="200"/>
        <w:rPr>
          <w:rFonts w:hint="eastAsia" w:cs="宋体"/>
          <w:sz w:val="24"/>
        </w:rPr>
      </w:pPr>
      <w:r>
        <w:rPr>
          <w:rFonts w:hint="eastAsia" w:cs="宋体"/>
          <w:sz w:val="24"/>
        </w:rPr>
        <w:t>2.1.1根据财政部《政府采购促进中小企业发展管理办法》（财库〔2020〕46号）、《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3434F5F3">
      <w:pPr>
        <w:adjustRightInd w:val="0"/>
        <w:spacing w:line="360" w:lineRule="auto"/>
        <w:ind w:firstLine="480" w:firstLineChars="200"/>
        <w:rPr>
          <w:rFonts w:hint="eastAsia" w:cs="宋体"/>
          <w:sz w:val="24"/>
        </w:rPr>
      </w:pPr>
      <w:r>
        <w:rPr>
          <w:rFonts w:hint="eastAsia" w:cs="宋体"/>
          <w:sz w:val="24"/>
        </w:rPr>
        <w:t>2.1.2在政府采购活动中，供应商提供的货物、工程或者服务符合下列情形的，享受本办法规定的中小企业扶持政策：</w:t>
      </w:r>
    </w:p>
    <w:p w14:paraId="6ECC4770">
      <w:pPr>
        <w:adjustRightInd w:val="0"/>
        <w:spacing w:line="360" w:lineRule="auto"/>
        <w:ind w:firstLine="480" w:firstLineChars="200"/>
        <w:rPr>
          <w:rFonts w:hint="eastAsia" w:cs="宋体"/>
          <w:sz w:val="24"/>
        </w:rPr>
      </w:pPr>
      <w:r>
        <w:rPr>
          <w:rFonts w:hint="eastAsia" w:cs="宋体"/>
          <w:sz w:val="24"/>
        </w:rPr>
        <w:t>（一）在货物采购项目中，货物由中小企业制造，即货物由中小企业生产且使用该中小企业商号或者注册商标；</w:t>
      </w:r>
    </w:p>
    <w:p w14:paraId="2DDD7D90">
      <w:pPr>
        <w:adjustRightInd w:val="0"/>
        <w:spacing w:line="360" w:lineRule="auto"/>
        <w:ind w:firstLine="480" w:firstLineChars="200"/>
        <w:rPr>
          <w:rFonts w:hint="eastAsia" w:cs="宋体"/>
          <w:sz w:val="24"/>
        </w:rPr>
      </w:pPr>
      <w:r>
        <w:rPr>
          <w:rFonts w:hint="eastAsia" w:cs="宋体"/>
          <w:sz w:val="24"/>
        </w:rPr>
        <w:t>（二）在工程采购项目中，工程由中小企业承建，即工程施工单位为中小企业；</w:t>
      </w:r>
    </w:p>
    <w:p w14:paraId="2526CA1E">
      <w:pPr>
        <w:adjustRightInd w:val="0"/>
        <w:spacing w:line="360" w:lineRule="auto"/>
        <w:ind w:firstLine="480" w:firstLineChars="200"/>
        <w:rPr>
          <w:rFonts w:hint="eastAsia" w:cs="宋体"/>
          <w:sz w:val="24"/>
        </w:rPr>
      </w:pPr>
      <w:r>
        <w:rPr>
          <w:rFonts w:hint="eastAsia" w:cs="宋体"/>
          <w:sz w:val="24"/>
        </w:rPr>
        <w:t>（三）在服务采购项目中，服务由中小企业承接，即提供服务的人员为中小企业依照《中华人民共和国劳动合同法》订立劳动合同的从业人员。</w:t>
      </w:r>
    </w:p>
    <w:p w14:paraId="5C249B57">
      <w:pPr>
        <w:adjustRightInd w:val="0"/>
        <w:spacing w:line="360" w:lineRule="auto"/>
        <w:ind w:firstLine="480" w:firstLineChars="200"/>
        <w:rPr>
          <w:rFonts w:hint="eastAsia" w:cs="宋体"/>
          <w:sz w:val="24"/>
        </w:rPr>
      </w:pPr>
      <w:r>
        <w:rPr>
          <w:rFonts w:hint="eastAsia" w:cs="宋体"/>
          <w:sz w:val="24"/>
        </w:rPr>
        <w:t>2.1.3在货物采购项目中，供应商提供的货物既有中小企业制造货物，也有大型企业制造货物的，不享受本办法规定的中小企业扶持政策。</w:t>
      </w:r>
    </w:p>
    <w:p w14:paraId="03684C86">
      <w:pPr>
        <w:adjustRightInd w:val="0"/>
        <w:spacing w:line="360" w:lineRule="auto"/>
        <w:ind w:firstLine="480" w:firstLineChars="200"/>
        <w:rPr>
          <w:rFonts w:hint="eastAsia" w:cs="宋体"/>
          <w:sz w:val="24"/>
        </w:rPr>
      </w:pPr>
      <w:r>
        <w:rPr>
          <w:rFonts w:hint="eastAsia" w:cs="宋体"/>
          <w:sz w:val="24"/>
        </w:rPr>
        <w:t>2.1.4以联合体形式参加政府采购活动，联合体各方均为中小企业的，联合体视同中小企业。其中，联合体各方均为小微企业的，联合体视同小微企业。</w:t>
      </w:r>
    </w:p>
    <w:p w14:paraId="534C6414">
      <w:pPr>
        <w:adjustRightInd w:val="0"/>
        <w:spacing w:line="360" w:lineRule="auto"/>
        <w:ind w:firstLine="480" w:firstLineChars="200"/>
        <w:rPr>
          <w:rFonts w:hint="eastAsia" w:cs="宋体"/>
          <w:sz w:val="24"/>
        </w:rPr>
      </w:pPr>
      <w:r>
        <w:rPr>
          <w:rFonts w:hint="eastAsia" w:cs="宋体"/>
          <w:sz w:val="24"/>
        </w:rPr>
        <w:t>2.1.5本规定所称中小企业划分标准，是指国务院有关部门根据企业从业人员、营业收入、资产总额等指标制定的中小企业划型标准，详见《关于印发中小企业划型标准规定的通知》（工信部联企业〔2011〕300号）。</w:t>
      </w:r>
    </w:p>
    <w:p w14:paraId="34A84455">
      <w:pPr>
        <w:adjustRightInd w:val="0"/>
        <w:spacing w:line="360" w:lineRule="auto"/>
        <w:ind w:firstLine="480" w:firstLineChars="200"/>
        <w:rPr>
          <w:rFonts w:hint="eastAsia" w:cs="宋体"/>
          <w:sz w:val="24"/>
        </w:rPr>
      </w:pPr>
      <w:r>
        <w:rPr>
          <w:rFonts w:hint="eastAsia" w:cs="宋体"/>
          <w:sz w:val="24"/>
        </w:rPr>
        <w:t>2.1.6中小企业参加政府采购活动，应当出具本《政府采购促进中小企业发展管理办法》（财库【2020】46号）规定的《中小企业声明函》，否则不得享受相关中小企业扶持政策。</w:t>
      </w:r>
    </w:p>
    <w:p w14:paraId="36524E64">
      <w:pPr>
        <w:adjustRightInd w:val="0"/>
        <w:spacing w:line="360" w:lineRule="auto"/>
        <w:ind w:firstLine="480" w:firstLineChars="200"/>
        <w:rPr>
          <w:rFonts w:hint="eastAsia" w:cs="宋体"/>
          <w:sz w:val="24"/>
        </w:rPr>
      </w:pPr>
      <w:r>
        <w:rPr>
          <w:rFonts w:hint="eastAsia" w:cs="宋体"/>
          <w:sz w:val="24"/>
        </w:rPr>
        <w:t>注：本项目不接受联合体投标。</w:t>
      </w:r>
    </w:p>
    <w:p w14:paraId="0E96202F">
      <w:pPr>
        <w:tabs>
          <w:tab w:val="left" w:pos="2472"/>
        </w:tabs>
        <w:spacing w:line="360" w:lineRule="auto"/>
        <w:ind w:firstLine="480" w:firstLineChars="200"/>
        <w:rPr>
          <w:rFonts w:hint="eastAsia" w:cs="宋体"/>
          <w:b/>
          <w:sz w:val="24"/>
        </w:rPr>
      </w:pPr>
      <w:r>
        <w:rPr>
          <w:rFonts w:hint="eastAsia" w:cs="宋体"/>
          <w:b/>
          <w:sz w:val="24"/>
        </w:rPr>
        <w:t>2.2监狱企业</w:t>
      </w:r>
    </w:p>
    <w:p w14:paraId="305D53FD">
      <w:pPr>
        <w:tabs>
          <w:tab w:val="left" w:pos="2472"/>
        </w:tabs>
        <w:spacing w:line="360" w:lineRule="auto"/>
        <w:ind w:firstLine="480" w:firstLineChars="200"/>
        <w:rPr>
          <w:rFonts w:hint="eastAsia" w:cs="宋体"/>
          <w:sz w:val="24"/>
        </w:rPr>
      </w:pPr>
      <w:r>
        <w:rPr>
          <w:rFonts w:hint="eastAsia" w:cs="宋体"/>
          <w:sz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76BCB22">
      <w:pPr>
        <w:tabs>
          <w:tab w:val="left" w:pos="2472"/>
        </w:tabs>
        <w:spacing w:line="360" w:lineRule="auto"/>
        <w:ind w:firstLine="480" w:firstLineChars="200"/>
        <w:rPr>
          <w:rFonts w:hint="eastAsia" w:cs="宋体"/>
          <w:b/>
          <w:sz w:val="24"/>
        </w:rPr>
      </w:pPr>
      <w:r>
        <w:rPr>
          <w:rFonts w:hint="eastAsia" w:cs="宋体"/>
          <w:b/>
          <w:sz w:val="24"/>
        </w:rPr>
        <w:t>2.3残疾人福利性单位</w:t>
      </w:r>
    </w:p>
    <w:p w14:paraId="4D5C8FFF">
      <w:pPr>
        <w:tabs>
          <w:tab w:val="left" w:pos="2472"/>
        </w:tabs>
        <w:spacing w:line="360" w:lineRule="auto"/>
        <w:ind w:firstLine="480" w:firstLineChars="200"/>
        <w:rPr>
          <w:rFonts w:hint="eastAsia" w:cs="宋体"/>
          <w:sz w:val="24"/>
        </w:rPr>
      </w:pPr>
      <w:r>
        <w:rPr>
          <w:rFonts w:hint="eastAsia" w:cs="宋体"/>
          <w:sz w:val="24"/>
        </w:rPr>
        <w:t>2.3.1根据《财政部 民政部 中国残疾人联合会关于促进残疾人就业政府采购政策的通知》，享受政府采购支持政策的残疾人福利性单位应当同时满足以下条件：</w:t>
      </w:r>
    </w:p>
    <w:p w14:paraId="730D0FC3">
      <w:pPr>
        <w:spacing w:line="360" w:lineRule="auto"/>
        <w:ind w:firstLine="480" w:firstLineChars="200"/>
        <w:rPr>
          <w:rFonts w:hint="eastAsia" w:cs="宋体"/>
          <w:sz w:val="24"/>
        </w:rPr>
      </w:pPr>
      <w:r>
        <w:rPr>
          <w:rFonts w:hint="eastAsia" w:cs="宋体"/>
          <w:sz w:val="24"/>
        </w:rPr>
        <w:t>（1）安置的残疾人占本单位在职职工人数的比例不低于25%（含25%），并且安置的残疾人人数不少于10人（含10人）；</w:t>
      </w:r>
    </w:p>
    <w:p w14:paraId="57229BC8">
      <w:pPr>
        <w:spacing w:line="360" w:lineRule="auto"/>
        <w:ind w:firstLine="480" w:firstLineChars="200"/>
        <w:rPr>
          <w:rFonts w:hint="eastAsia" w:cs="宋体"/>
          <w:sz w:val="24"/>
        </w:rPr>
      </w:pPr>
      <w:r>
        <w:rPr>
          <w:rFonts w:hint="eastAsia" w:cs="宋体"/>
          <w:sz w:val="24"/>
        </w:rPr>
        <w:t>（2）依法与安置的每位残疾人签订了一年以上（含一年）的劳动合同或服务协议；</w:t>
      </w:r>
    </w:p>
    <w:p w14:paraId="65BF2FE1">
      <w:pPr>
        <w:spacing w:line="360" w:lineRule="auto"/>
        <w:ind w:firstLine="480" w:firstLineChars="200"/>
        <w:rPr>
          <w:rFonts w:hint="eastAsia" w:cs="宋体"/>
          <w:sz w:val="24"/>
        </w:rPr>
      </w:pPr>
      <w:r>
        <w:rPr>
          <w:rFonts w:hint="eastAsia" w:cs="宋体"/>
          <w:sz w:val="24"/>
        </w:rPr>
        <w:t>（3）为安置的每位残疾人按月足额缴纳了基本养老保险、基本医疗保险、失业保险、工伤保险和生育保险等社会保险费；</w:t>
      </w:r>
    </w:p>
    <w:p w14:paraId="729CBDFA">
      <w:pPr>
        <w:spacing w:line="360" w:lineRule="auto"/>
        <w:ind w:firstLine="480" w:firstLineChars="200"/>
        <w:rPr>
          <w:rFonts w:hint="eastAsia" w:cs="宋体"/>
          <w:sz w:val="24"/>
        </w:rPr>
      </w:pPr>
      <w:r>
        <w:rPr>
          <w:rFonts w:hint="eastAsia" w:cs="宋体"/>
          <w:sz w:val="24"/>
        </w:rPr>
        <w:t>（4）通过银行等金融机构向安置的每位残疾人，按月支付了不低于单位所在区县适用的经省级人民政府批准的月最低工资标准的工资；</w:t>
      </w:r>
    </w:p>
    <w:p w14:paraId="0231079A">
      <w:pPr>
        <w:spacing w:line="360" w:lineRule="auto"/>
        <w:ind w:firstLine="480" w:firstLineChars="200"/>
        <w:rPr>
          <w:rFonts w:hint="eastAsia" w:cs="宋体"/>
          <w:sz w:val="24"/>
        </w:rPr>
      </w:pPr>
      <w:r>
        <w:rPr>
          <w:rFonts w:hint="eastAsia" w:cs="宋体"/>
          <w:sz w:val="24"/>
        </w:rPr>
        <w:t>（5）提供本单位制造的货物、承担的工程或者服务（以下简称产品），或者提供其他残疾人福利性单位制造的货物（不包括使用非残疾人福利性单位注册商标的货物）。</w:t>
      </w:r>
    </w:p>
    <w:p w14:paraId="2DFD4217">
      <w:pPr>
        <w:spacing w:line="360" w:lineRule="auto"/>
        <w:ind w:firstLine="480" w:firstLineChars="200"/>
        <w:rPr>
          <w:rFonts w:hint="eastAsia" w:cs="宋体"/>
          <w:sz w:val="24"/>
        </w:rPr>
      </w:pPr>
      <w:r>
        <w:rPr>
          <w:rFonts w:hint="eastAsia" w:cs="宋体"/>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DD2719">
      <w:pPr>
        <w:tabs>
          <w:tab w:val="left" w:pos="2472"/>
        </w:tabs>
        <w:spacing w:line="360" w:lineRule="auto"/>
        <w:ind w:firstLine="480" w:firstLineChars="200"/>
        <w:rPr>
          <w:rFonts w:hint="eastAsia" w:cs="宋体"/>
          <w:sz w:val="24"/>
        </w:rPr>
      </w:pPr>
      <w:r>
        <w:rPr>
          <w:rFonts w:hint="eastAsia" w:cs="宋体"/>
          <w:sz w:val="24"/>
        </w:rPr>
        <w:t>2.3.2符合条件的残疾人福利性单位在参加政府采购活动时，应当提供《残疾人福利性单位声明函》，并对声明的真实性负责。</w:t>
      </w:r>
    </w:p>
    <w:p w14:paraId="2A31EA83">
      <w:pPr>
        <w:tabs>
          <w:tab w:val="left" w:pos="2472"/>
        </w:tabs>
        <w:spacing w:line="360" w:lineRule="auto"/>
        <w:ind w:firstLine="480" w:firstLineChars="200"/>
        <w:rPr>
          <w:rFonts w:hint="eastAsia" w:cs="宋体"/>
          <w:b/>
          <w:sz w:val="24"/>
        </w:rPr>
      </w:pPr>
      <w:r>
        <w:rPr>
          <w:rFonts w:hint="eastAsia" w:cs="宋体"/>
          <w:b/>
          <w:sz w:val="24"/>
        </w:rPr>
        <w:t>2.4节能、环境标志产品</w:t>
      </w:r>
    </w:p>
    <w:p w14:paraId="57FE63CD">
      <w:pPr>
        <w:adjustRightInd w:val="0"/>
        <w:spacing w:line="360" w:lineRule="auto"/>
        <w:ind w:firstLine="480" w:firstLineChars="200"/>
        <w:rPr>
          <w:rFonts w:hint="eastAsia" w:cs="宋体"/>
          <w:sz w:val="24"/>
        </w:rPr>
      </w:pPr>
      <w:r>
        <w:rPr>
          <w:rFonts w:hint="eastAsia" w:cs="宋体"/>
          <w:sz w:val="24"/>
        </w:rPr>
        <w:t>2.4.1节能产品是指列入财政部和国家发改委公布的《节能产品政府采购品目清单》中的产品。政府强制采购节能产品是指《节能产品政府采购品目清单》中以“★”标注类别的产品。</w:t>
      </w:r>
    </w:p>
    <w:p w14:paraId="5547A2DC">
      <w:pPr>
        <w:adjustRightInd w:val="0"/>
        <w:spacing w:line="360" w:lineRule="auto"/>
        <w:ind w:firstLine="480" w:firstLineChars="200"/>
        <w:rPr>
          <w:rFonts w:hint="eastAsia" w:cs="宋体"/>
          <w:sz w:val="24"/>
        </w:rPr>
      </w:pPr>
      <w:r>
        <w:rPr>
          <w:rFonts w:hint="eastAsia" w:cs="宋体"/>
          <w:sz w:val="24"/>
        </w:rPr>
        <w:t>2.4.2环境标志产品是指列入财政部、生态环境部公布的《环境标志产品政府采购品目清单》中的产品。</w:t>
      </w:r>
    </w:p>
    <w:p w14:paraId="383FC7A3">
      <w:pPr>
        <w:adjustRightInd w:val="0"/>
        <w:spacing w:line="360" w:lineRule="auto"/>
        <w:ind w:firstLine="480" w:firstLineChars="200"/>
        <w:rPr>
          <w:rFonts w:hint="eastAsia" w:cs="宋体"/>
          <w:sz w:val="24"/>
        </w:rPr>
      </w:pPr>
      <w:r>
        <w:rPr>
          <w:rFonts w:hint="eastAsia" w:cs="宋体"/>
          <w:sz w:val="24"/>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01DA7968">
      <w:pPr>
        <w:adjustRightInd w:val="0"/>
        <w:spacing w:line="360" w:lineRule="auto"/>
        <w:ind w:firstLine="480" w:firstLineChars="200"/>
        <w:rPr>
          <w:rFonts w:hint="eastAsia" w:cs="宋体"/>
          <w:sz w:val="24"/>
        </w:rPr>
      </w:pPr>
      <w:r>
        <w:rPr>
          <w:rFonts w:hint="eastAsia" w:cs="宋体"/>
          <w:sz w:val="24"/>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35703F4F">
      <w:pPr>
        <w:adjustRightInd w:val="0"/>
        <w:spacing w:line="360" w:lineRule="auto"/>
        <w:ind w:firstLine="480" w:firstLineChars="200"/>
        <w:rPr>
          <w:rFonts w:hint="eastAsia" w:cs="宋体"/>
          <w:bCs/>
          <w:sz w:val="24"/>
        </w:rPr>
      </w:pPr>
      <w:r>
        <w:rPr>
          <w:rFonts w:hint="eastAsia" w:cs="宋体"/>
          <w:b/>
          <w:sz w:val="24"/>
        </w:rPr>
        <w:t>2.5</w:t>
      </w:r>
      <w:r>
        <w:rPr>
          <w:rFonts w:hint="eastAsia" w:cs="宋体"/>
          <w:bCs/>
          <w:sz w:val="24"/>
        </w:rPr>
        <w:t>政府采购在同等条件下，优先采购列入品目清单内非强制采购的节能产品、环境标志产品，优先采购优质优价的可追溯产品,优先采购监狱企业、残疾人福利性单位、劳动关系和谐企业、新兴业态企业的产品和服务。</w:t>
      </w:r>
    </w:p>
    <w:p w14:paraId="2E3979D7">
      <w:pPr>
        <w:pStyle w:val="6"/>
        <w:numPr>
          <w:ilvl w:val="1"/>
          <w:numId w:val="0"/>
        </w:numPr>
        <w:spacing w:before="0"/>
        <w:rPr>
          <w:rFonts w:hint="eastAsia" w:eastAsia="宋体" w:cs="宋体"/>
          <w:sz w:val="24"/>
          <w:szCs w:val="24"/>
        </w:rPr>
      </w:pPr>
      <w:bookmarkStart w:id="200" w:name="_Toc69912456"/>
      <w:bookmarkStart w:id="201" w:name="_Toc91696462"/>
      <w:bookmarkStart w:id="202" w:name="_Toc5262"/>
      <w:bookmarkStart w:id="203" w:name="_Toc24066"/>
      <w:r>
        <w:rPr>
          <w:rFonts w:hint="eastAsia" w:eastAsia="宋体" w:cs="宋体"/>
          <w:sz w:val="24"/>
          <w:szCs w:val="24"/>
        </w:rPr>
        <w:t>3. 评审标准</w:t>
      </w:r>
      <w:bookmarkEnd w:id="197"/>
      <w:bookmarkEnd w:id="198"/>
      <w:bookmarkEnd w:id="199"/>
      <w:bookmarkEnd w:id="200"/>
      <w:bookmarkEnd w:id="201"/>
      <w:bookmarkEnd w:id="202"/>
      <w:bookmarkEnd w:id="203"/>
    </w:p>
    <w:p w14:paraId="6E040A2A">
      <w:pPr>
        <w:pStyle w:val="7"/>
        <w:numPr>
          <w:ilvl w:val="2"/>
          <w:numId w:val="0"/>
        </w:numPr>
        <w:spacing w:before="0"/>
        <w:ind w:firstLine="480" w:firstLineChars="200"/>
        <w:rPr>
          <w:rFonts w:hint="eastAsia" w:eastAsia="宋体" w:cs="宋体"/>
          <w:sz w:val="24"/>
          <w:szCs w:val="24"/>
        </w:rPr>
      </w:pPr>
      <w:bookmarkStart w:id="204" w:name="_Toc91696463"/>
      <w:bookmarkStart w:id="205" w:name="_Toc167"/>
      <w:bookmarkStart w:id="206" w:name="_Toc27741"/>
      <w:r>
        <w:rPr>
          <w:rFonts w:hint="eastAsia" w:eastAsia="宋体" w:cs="宋体"/>
          <w:sz w:val="24"/>
          <w:szCs w:val="24"/>
        </w:rPr>
        <w:t>3.1符合性评审</w:t>
      </w:r>
      <w:bookmarkEnd w:id="204"/>
      <w:bookmarkEnd w:id="205"/>
      <w:bookmarkEnd w:id="206"/>
    </w:p>
    <w:p w14:paraId="2C06DE07">
      <w:pPr>
        <w:tabs>
          <w:tab w:val="left" w:pos="2472"/>
        </w:tabs>
        <w:spacing w:line="360" w:lineRule="auto"/>
        <w:ind w:firstLine="480" w:firstLineChars="200"/>
        <w:rPr>
          <w:rFonts w:hint="eastAsia" w:cs="宋体"/>
          <w:sz w:val="24"/>
        </w:rPr>
      </w:pPr>
      <w:bookmarkStart w:id="207" w:name="_Hlk48744286"/>
      <w:r>
        <w:rPr>
          <w:rFonts w:hint="eastAsia" w:cs="宋体"/>
          <w:sz w:val="24"/>
        </w:rPr>
        <w:t>依据招标文件的规定，从投标文件的有效性、完整性和对招标文件的响应程度进行审查，以确定是否对招标文件的实质性要求作出响应；见评标办法前附表。</w:t>
      </w:r>
    </w:p>
    <w:bookmarkEnd w:id="207"/>
    <w:p w14:paraId="1E807442">
      <w:pPr>
        <w:pStyle w:val="7"/>
        <w:numPr>
          <w:ilvl w:val="2"/>
          <w:numId w:val="0"/>
        </w:numPr>
        <w:spacing w:before="0"/>
        <w:ind w:firstLine="480" w:firstLineChars="200"/>
        <w:rPr>
          <w:rFonts w:hint="eastAsia" w:eastAsia="宋体" w:cs="宋体"/>
          <w:sz w:val="24"/>
          <w:szCs w:val="24"/>
        </w:rPr>
      </w:pPr>
      <w:bookmarkStart w:id="208" w:name="_Toc91696464"/>
      <w:bookmarkStart w:id="209" w:name="_Toc326218114"/>
      <w:bookmarkStart w:id="210" w:name="_Toc314817936"/>
      <w:bookmarkStart w:id="211" w:name="_Toc12013"/>
      <w:bookmarkStart w:id="212" w:name="_Toc14742"/>
      <w:r>
        <w:rPr>
          <w:rFonts w:hint="eastAsia" w:eastAsia="宋体" w:cs="宋体"/>
          <w:sz w:val="24"/>
          <w:szCs w:val="24"/>
        </w:rPr>
        <w:t>3.2分值构成与评分标准</w:t>
      </w:r>
      <w:bookmarkEnd w:id="208"/>
      <w:bookmarkEnd w:id="209"/>
      <w:bookmarkEnd w:id="210"/>
      <w:bookmarkEnd w:id="211"/>
      <w:bookmarkEnd w:id="212"/>
    </w:p>
    <w:p w14:paraId="40F8C6EB">
      <w:pPr>
        <w:tabs>
          <w:tab w:val="left" w:pos="2472"/>
        </w:tabs>
        <w:spacing w:line="360" w:lineRule="auto"/>
        <w:ind w:firstLine="480" w:firstLineChars="200"/>
        <w:rPr>
          <w:rFonts w:hint="eastAsia" w:cs="宋体"/>
          <w:sz w:val="24"/>
        </w:rPr>
      </w:pPr>
      <w:bookmarkStart w:id="213" w:name="_Hlk48744311"/>
      <w:r>
        <w:rPr>
          <w:rFonts w:hint="eastAsia" w:cs="宋体"/>
          <w:sz w:val="24"/>
        </w:rPr>
        <w:t>3.2.1 分值构成</w:t>
      </w:r>
    </w:p>
    <w:p w14:paraId="22F3EF07">
      <w:pPr>
        <w:tabs>
          <w:tab w:val="left" w:pos="2472"/>
        </w:tabs>
        <w:spacing w:line="360" w:lineRule="auto"/>
        <w:ind w:firstLine="480" w:firstLineChars="200"/>
        <w:rPr>
          <w:rFonts w:hint="eastAsia" w:cs="宋体"/>
          <w:sz w:val="24"/>
        </w:rPr>
      </w:pPr>
      <w:r>
        <w:rPr>
          <w:rFonts w:hint="eastAsia" w:cs="宋体"/>
          <w:sz w:val="24"/>
        </w:rPr>
        <w:t>（1）投标报价：见评标办法前附表；</w:t>
      </w:r>
    </w:p>
    <w:p w14:paraId="0325A83A">
      <w:pPr>
        <w:tabs>
          <w:tab w:val="left" w:pos="2472"/>
        </w:tabs>
        <w:spacing w:line="360" w:lineRule="auto"/>
        <w:ind w:firstLine="480" w:firstLineChars="200"/>
        <w:rPr>
          <w:rFonts w:hint="eastAsia" w:cs="宋体"/>
          <w:sz w:val="24"/>
        </w:rPr>
      </w:pPr>
      <w:r>
        <w:rPr>
          <w:rFonts w:hint="eastAsia" w:cs="宋体"/>
          <w:sz w:val="24"/>
        </w:rPr>
        <w:t>（2）技术部分：见评标办法前附表。</w:t>
      </w:r>
    </w:p>
    <w:p w14:paraId="56B373E3">
      <w:pPr>
        <w:tabs>
          <w:tab w:val="left" w:pos="2472"/>
        </w:tabs>
        <w:spacing w:line="360" w:lineRule="auto"/>
        <w:ind w:firstLine="480" w:firstLineChars="200"/>
        <w:rPr>
          <w:rFonts w:hint="eastAsia" w:cs="宋体"/>
          <w:sz w:val="24"/>
        </w:rPr>
      </w:pPr>
      <w:r>
        <w:rPr>
          <w:rFonts w:hint="eastAsia" w:cs="宋体"/>
          <w:sz w:val="24"/>
        </w:rPr>
        <w:t>3.2.2评分标准</w:t>
      </w:r>
    </w:p>
    <w:p w14:paraId="3D71BBDC">
      <w:pPr>
        <w:tabs>
          <w:tab w:val="left" w:pos="2472"/>
        </w:tabs>
        <w:spacing w:line="360" w:lineRule="auto"/>
        <w:ind w:firstLine="480" w:firstLineChars="200"/>
        <w:rPr>
          <w:rFonts w:hint="eastAsia" w:cs="宋体"/>
          <w:sz w:val="24"/>
        </w:rPr>
      </w:pPr>
      <w:r>
        <w:rPr>
          <w:rFonts w:hint="eastAsia" w:cs="宋体"/>
          <w:sz w:val="24"/>
        </w:rPr>
        <w:t>按招标文件中规定的评标方法和标准，对资格评审和符合性评审合格的投标文件进行商务和技术评估，综合比较与评价。</w:t>
      </w:r>
    </w:p>
    <w:p w14:paraId="4F40C315">
      <w:pPr>
        <w:tabs>
          <w:tab w:val="left" w:pos="2472"/>
        </w:tabs>
        <w:spacing w:line="360" w:lineRule="auto"/>
        <w:ind w:firstLine="480" w:firstLineChars="200"/>
        <w:rPr>
          <w:rFonts w:hint="eastAsia" w:cs="宋体"/>
          <w:sz w:val="24"/>
        </w:rPr>
      </w:pPr>
      <w:r>
        <w:rPr>
          <w:rFonts w:hint="eastAsia" w:cs="宋体"/>
          <w:sz w:val="24"/>
        </w:rPr>
        <w:t>（1）投标报价评分标准：见评标办法前附表；</w:t>
      </w:r>
    </w:p>
    <w:p w14:paraId="0288E682">
      <w:pPr>
        <w:tabs>
          <w:tab w:val="left" w:pos="2472"/>
        </w:tabs>
        <w:spacing w:line="360" w:lineRule="auto"/>
        <w:ind w:firstLine="480" w:firstLineChars="200"/>
        <w:rPr>
          <w:rFonts w:hint="eastAsia" w:cs="宋体"/>
          <w:sz w:val="24"/>
        </w:rPr>
      </w:pPr>
      <w:r>
        <w:rPr>
          <w:rFonts w:hint="eastAsia" w:cs="宋体"/>
          <w:sz w:val="24"/>
        </w:rPr>
        <w:t>（2）技术部分评分标准：见评标办法前附表</w:t>
      </w:r>
      <w:bookmarkEnd w:id="213"/>
      <w:r>
        <w:rPr>
          <w:rFonts w:hint="eastAsia" w:cs="宋体"/>
          <w:sz w:val="24"/>
        </w:rPr>
        <w:t>。</w:t>
      </w:r>
    </w:p>
    <w:p w14:paraId="58FFAF97">
      <w:pPr>
        <w:pStyle w:val="6"/>
        <w:numPr>
          <w:ilvl w:val="1"/>
          <w:numId w:val="0"/>
        </w:numPr>
        <w:spacing w:before="0"/>
        <w:rPr>
          <w:rFonts w:hint="eastAsia" w:eastAsia="宋体" w:cs="宋体"/>
          <w:sz w:val="24"/>
          <w:szCs w:val="24"/>
        </w:rPr>
      </w:pPr>
      <w:bookmarkStart w:id="214" w:name="_Toc91696465"/>
      <w:bookmarkStart w:id="215" w:name="_Toc326218115"/>
      <w:bookmarkStart w:id="216" w:name="_Toc314817937"/>
      <w:bookmarkStart w:id="217" w:name="_Toc17241"/>
      <w:bookmarkStart w:id="218" w:name="_Toc508191817"/>
      <w:bookmarkStart w:id="219" w:name="_Toc69912457"/>
      <w:bookmarkStart w:id="220" w:name="_Toc18426"/>
      <w:r>
        <w:rPr>
          <w:rFonts w:hint="eastAsia" w:eastAsia="宋体" w:cs="宋体"/>
          <w:sz w:val="24"/>
          <w:szCs w:val="24"/>
        </w:rPr>
        <w:t>4. 评标程序</w:t>
      </w:r>
      <w:bookmarkEnd w:id="214"/>
      <w:bookmarkEnd w:id="215"/>
      <w:bookmarkEnd w:id="216"/>
      <w:bookmarkEnd w:id="217"/>
      <w:bookmarkEnd w:id="218"/>
      <w:bookmarkEnd w:id="219"/>
      <w:bookmarkEnd w:id="220"/>
    </w:p>
    <w:p w14:paraId="64000DB2">
      <w:pPr>
        <w:pStyle w:val="7"/>
        <w:numPr>
          <w:ilvl w:val="2"/>
          <w:numId w:val="0"/>
        </w:numPr>
        <w:spacing w:before="0"/>
        <w:ind w:firstLine="480" w:firstLineChars="200"/>
        <w:rPr>
          <w:rFonts w:hint="eastAsia" w:eastAsia="宋体" w:cs="宋体"/>
          <w:sz w:val="24"/>
          <w:szCs w:val="24"/>
        </w:rPr>
      </w:pPr>
      <w:bookmarkStart w:id="221" w:name="_Toc910"/>
      <w:bookmarkStart w:id="222" w:name="_Toc91696466"/>
      <w:bookmarkStart w:id="223" w:name="_Toc24019"/>
      <w:r>
        <w:rPr>
          <w:rFonts w:hint="eastAsia" w:eastAsia="宋体" w:cs="宋体"/>
          <w:sz w:val="24"/>
          <w:szCs w:val="24"/>
        </w:rPr>
        <w:t>4.1符合性评审</w:t>
      </w:r>
      <w:bookmarkEnd w:id="221"/>
      <w:bookmarkEnd w:id="222"/>
      <w:bookmarkEnd w:id="223"/>
    </w:p>
    <w:p w14:paraId="711A4E56">
      <w:pPr>
        <w:tabs>
          <w:tab w:val="left" w:pos="2472"/>
        </w:tabs>
        <w:spacing w:line="360" w:lineRule="auto"/>
        <w:ind w:firstLine="480" w:firstLineChars="200"/>
        <w:rPr>
          <w:rFonts w:hint="eastAsia" w:cs="宋体"/>
          <w:sz w:val="24"/>
        </w:rPr>
      </w:pPr>
      <w:r>
        <w:rPr>
          <w:rFonts w:hint="eastAsia" w:cs="宋体"/>
          <w:sz w:val="24"/>
        </w:rPr>
        <w:t>依据本章第3.2项规定的标准对投标文件进行符合性评审。有一项不符合评审标准的，作废标处理。</w:t>
      </w:r>
    </w:p>
    <w:p w14:paraId="193C2FEE">
      <w:pPr>
        <w:pStyle w:val="7"/>
        <w:numPr>
          <w:ilvl w:val="2"/>
          <w:numId w:val="0"/>
        </w:numPr>
        <w:spacing w:before="0"/>
        <w:ind w:firstLine="480" w:firstLineChars="200"/>
        <w:rPr>
          <w:rFonts w:hint="eastAsia" w:eastAsia="宋体" w:cs="宋体"/>
          <w:sz w:val="24"/>
          <w:szCs w:val="24"/>
        </w:rPr>
      </w:pPr>
      <w:bookmarkStart w:id="224" w:name="_Toc314817939"/>
      <w:bookmarkStart w:id="225" w:name="_Toc30964"/>
      <w:bookmarkStart w:id="226" w:name="_Toc91696467"/>
      <w:bookmarkStart w:id="227" w:name="_Toc326218117"/>
      <w:bookmarkStart w:id="228" w:name="_Toc12207"/>
      <w:r>
        <w:rPr>
          <w:rFonts w:hint="eastAsia" w:eastAsia="宋体" w:cs="宋体"/>
          <w:sz w:val="24"/>
          <w:szCs w:val="24"/>
        </w:rPr>
        <w:t>4.2 详细评审</w:t>
      </w:r>
      <w:bookmarkEnd w:id="224"/>
      <w:bookmarkEnd w:id="225"/>
      <w:bookmarkEnd w:id="226"/>
      <w:bookmarkEnd w:id="227"/>
      <w:bookmarkEnd w:id="228"/>
    </w:p>
    <w:p w14:paraId="35078C83">
      <w:pPr>
        <w:tabs>
          <w:tab w:val="left" w:pos="2472"/>
        </w:tabs>
        <w:spacing w:line="360" w:lineRule="auto"/>
        <w:ind w:firstLine="480" w:firstLineChars="200"/>
        <w:rPr>
          <w:rFonts w:hint="eastAsia" w:cs="宋体"/>
          <w:sz w:val="24"/>
        </w:rPr>
      </w:pPr>
      <w:r>
        <w:rPr>
          <w:rFonts w:hint="eastAsia" w:cs="宋体"/>
          <w:sz w:val="24"/>
        </w:rPr>
        <w:t>4.2.1 评标委员会按本章第3.2款规定的量化因素和分值进行打分，并计算出投标人的评标总得分。</w:t>
      </w:r>
    </w:p>
    <w:p w14:paraId="7DA64944">
      <w:pPr>
        <w:tabs>
          <w:tab w:val="left" w:pos="2472"/>
        </w:tabs>
        <w:spacing w:line="360" w:lineRule="auto"/>
        <w:ind w:firstLine="480" w:firstLineChars="200"/>
        <w:rPr>
          <w:rFonts w:hint="eastAsia" w:cs="宋体"/>
          <w:sz w:val="24"/>
        </w:rPr>
      </w:pPr>
      <w:r>
        <w:rPr>
          <w:rFonts w:hint="eastAsia" w:cs="宋体"/>
          <w:sz w:val="24"/>
        </w:rPr>
        <w:t>（1）按本章第3.2.2（1）目规定的评分因素和分值对投标报价计算出得分F1；</w:t>
      </w:r>
    </w:p>
    <w:p w14:paraId="6F55A113">
      <w:pPr>
        <w:tabs>
          <w:tab w:val="left" w:pos="2472"/>
        </w:tabs>
        <w:spacing w:line="360" w:lineRule="auto"/>
        <w:ind w:firstLine="480" w:firstLineChars="200"/>
        <w:rPr>
          <w:rFonts w:hint="eastAsia" w:cs="宋体"/>
          <w:sz w:val="24"/>
        </w:rPr>
      </w:pPr>
      <w:r>
        <w:rPr>
          <w:rFonts w:hint="eastAsia" w:cs="宋体"/>
          <w:sz w:val="24"/>
        </w:rPr>
        <w:t>（2）按本章第3.2.2（2）目规定的评分因素和分值对技术部分计算出得分F2；</w:t>
      </w:r>
    </w:p>
    <w:p w14:paraId="43113AFB">
      <w:pPr>
        <w:tabs>
          <w:tab w:val="left" w:pos="2472"/>
        </w:tabs>
        <w:spacing w:line="360" w:lineRule="auto"/>
        <w:ind w:firstLine="480" w:firstLineChars="200"/>
        <w:rPr>
          <w:rFonts w:hint="eastAsia" w:cs="宋体"/>
          <w:sz w:val="24"/>
        </w:rPr>
      </w:pPr>
      <w:r>
        <w:rPr>
          <w:rFonts w:hint="eastAsia" w:cs="宋体"/>
          <w:sz w:val="24"/>
        </w:rPr>
        <w:t>（3）按本章第3.2.1项所列公式计算评标总得分。</w:t>
      </w:r>
    </w:p>
    <w:p w14:paraId="07108A60">
      <w:pPr>
        <w:tabs>
          <w:tab w:val="left" w:pos="2472"/>
          <w:tab w:val="right" w:pos="8650"/>
        </w:tabs>
        <w:spacing w:line="360" w:lineRule="auto"/>
        <w:ind w:firstLine="480" w:firstLineChars="200"/>
        <w:rPr>
          <w:rFonts w:hint="eastAsia" w:cs="宋体"/>
          <w:sz w:val="24"/>
        </w:rPr>
      </w:pPr>
      <w:r>
        <w:rPr>
          <w:rFonts w:hint="eastAsia" w:cs="宋体"/>
          <w:sz w:val="24"/>
        </w:rPr>
        <w:t>4.2.2 投标文件如果出现计算或表达上的错误，修正错误的原则如下：</w:t>
      </w:r>
      <w:r>
        <w:rPr>
          <w:rFonts w:hint="eastAsia" w:cs="宋体"/>
          <w:sz w:val="24"/>
        </w:rPr>
        <w:tab/>
      </w:r>
    </w:p>
    <w:p w14:paraId="20993A87">
      <w:pPr>
        <w:spacing w:line="360" w:lineRule="auto"/>
        <w:ind w:firstLine="480" w:firstLineChars="200"/>
        <w:rPr>
          <w:rFonts w:hint="eastAsia" w:cs="宋体"/>
          <w:sz w:val="24"/>
        </w:rPr>
      </w:pPr>
      <w:r>
        <w:rPr>
          <w:rFonts w:hint="eastAsia" w:cs="宋体"/>
          <w:sz w:val="24"/>
        </w:rPr>
        <w:t>（一）投标文件中开标一览表（报价表）内容与投标文件中相应内容不一致的，以开标一览表（报价表）为准；</w:t>
      </w:r>
    </w:p>
    <w:p w14:paraId="3167029E">
      <w:pPr>
        <w:spacing w:line="360" w:lineRule="auto"/>
        <w:ind w:firstLine="480" w:firstLineChars="200"/>
        <w:rPr>
          <w:rFonts w:hint="eastAsia" w:cs="宋体"/>
          <w:sz w:val="24"/>
        </w:rPr>
      </w:pPr>
      <w:r>
        <w:rPr>
          <w:rFonts w:hint="eastAsia" w:cs="宋体"/>
          <w:sz w:val="24"/>
        </w:rPr>
        <w:t>（二）大写金额和小写金额不一致的，以大写金额为准；</w:t>
      </w:r>
    </w:p>
    <w:p w14:paraId="57DC3C5E">
      <w:pPr>
        <w:spacing w:line="360" w:lineRule="auto"/>
        <w:ind w:firstLine="480" w:firstLineChars="200"/>
        <w:rPr>
          <w:rFonts w:hint="eastAsia" w:cs="宋体"/>
          <w:sz w:val="24"/>
        </w:rPr>
      </w:pPr>
      <w:r>
        <w:rPr>
          <w:rFonts w:hint="eastAsia" w:cs="宋体"/>
          <w:sz w:val="24"/>
        </w:rPr>
        <w:t>（三）单价金额小数点或者百分比有明显错位的，以开标一览表的总价为准，并修改单价；</w:t>
      </w:r>
    </w:p>
    <w:p w14:paraId="3704BB3D">
      <w:pPr>
        <w:spacing w:line="360" w:lineRule="auto"/>
        <w:ind w:firstLine="480" w:firstLineChars="200"/>
        <w:rPr>
          <w:rFonts w:hint="eastAsia" w:cs="宋体"/>
          <w:sz w:val="24"/>
        </w:rPr>
      </w:pPr>
      <w:r>
        <w:rPr>
          <w:rFonts w:hint="eastAsia" w:cs="宋体"/>
          <w:sz w:val="24"/>
        </w:rPr>
        <w:t>（四）总价金额与按单价汇总金额不一致的，以单价金额计算结果为准。</w:t>
      </w:r>
    </w:p>
    <w:p w14:paraId="4B8FEBE0">
      <w:pPr>
        <w:spacing w:line="360" w:lineRule="auto"/>
        <w:ind w:firstLine="480" w:firstLineChars="200"/>
        <w:rPr>
          <w:rFonts w:hint="eastAsia" w:cs="宋体"/>
          <w:sz w:val="24"/>
        </w:rPr>
      </w:pPr>
      <w:r>
        <w:rPr>
          <w:rFonts w:hint="eastAsia" w:cs="宋体"/>
          <w:sz w:val="24"/>
        </w:rPr>
        <w:t>同时出现两种以上不一致的，按照前款规定的顺序修正。修正后的报价按照本章3.2款的规定经投标人确认后产生约束力，投标人不确认的，其投标无效。</w:t>
      </w:r>
    </w:p>
    <w:p w14:paraId="6B58CC9C">
      <w:pPr>
        <w:spacing w:line="360" w:lineRule="auto"/>
        <w:ind w:firstLine="480" w:firstLineChars="200"/>
        <w:jc w:val="left"/>
        <w:rPr>
          <w:rFonts w:hint="eastAsia" w:cs="宋体"/>
          <w:sz w:val="24"/>
        </w:rPr>
      </w:pPr>
      <w:r>
        <w:rPr>
          <w:rFonts w:hint="eastAsia" w:cs="宋体"/>
          <w:sz w:val="24"/>
        </w:rPr>
        <w:t>4.2.3技术部分（F2）得分由评标委员会成员独立评分，计算各投标人得分的算术平均值计入各投标人总分。评分分值计算保留小数点后两位，小数点后第三位“四舍五入”。</w:t>
      </w:r>
    </w:p>
    <w:p w14:paraId="48AE6D84">
      <w:pPr>
        <w:spacing w:line="360" w:lineRule="auto"/>
        <w:ind w:firstLine="480" w:firstLineChars="200"/>
        <w:jc w:val="left"/>
        <w:rPr>
          <w:rFonts w:hint="eastAsia" w:cs="宋体"/>
          <w:sz w:val="24"/>
        </w:rPr>
      </w:pPr>
      <w:r>
        <w:rPr>
          <w:rFonts w:hint="eastAsia" w:cs="宋体"/>
          <w:sz w:val="24"/>
        </w:rPr>
        <w:t>4.2.4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6AC29B5">
      <w:pPr>
        <w:spacing w:line="360" w:lineRule="auto"/>
        <w:ind w:firstLine="480" w:firstLineChars="200"/>
        <w:jc w:val="left"/>
        <w:rPr>
          <w:rFonts w:hint="eastAsia" w:cs="宋体"/>
          <w:sz w:val="24"/>
        </w:rPr>
      </w:pPr>
      <w:r>
        <w:rPr>
          <w:rFonts w:hint="eastAsia" w:cs="宋体"/>
          <w:sz w:val="24"/>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75C8ECE7">
      <w:pPr>
        <w:spacing w:line="360" w:lineRule="auto"/>
        <w:ind w:firstLine="480" w:firstLineChars="200"/>
        <w:jc w:val="left"/>
        <w:rPr>
          <w:rFonts w:hint="eastAsia" w:cs="宋体"/>
          <w:sz w:val="24"/>
        </w:rPr>
      </w:pPr>
      <w:r>
        <w:rPr>
          <w:rFonts w:hint="eastAsia" w:cs="宋体"/>
          <w:sz w:val="24"/>
        </w:rPr>
        <w:t>4.2.6评标中若遇特殊问题，由评标委员会根据有关法律、法规研究决定。</w:t>
      </w:r>
    </w:p>
    <w:p w14:paraId="38354631">
      <w:pPr>
        <w:pStyle w:val="7"/>
        <w:numPr>
          <w:ilvl w:val="2"/>
          <w:numId w:val="0"/>
        </w:numPr>
        <w:spacing w:before="0"/>
        <w:ind w:firstLine="480" w:firstLineChars="200"/>
        <w:rPr>
          <w:rFonts w:hint="eastAsia" w:eastAsia="宋体" w:cs="宋体"/>
          <w:sz w:val="24"/>
          <w:szCs w:val="24"/>
        </w:rPr>
      </w:pPr>
      <w:bookmarkStart w:id="229" w:name="_Toc326218118"/>
      <w:bookmarkStart w:id="230" w:name="_Toc11105"/>
      <w:bookmarkStart w:id="231" w:name="_Toc91696468"/>
      <w:bookmarkStart w:id="232" w:name="_Toc314817940"/>
      <w:bookmarkStart w:id="233" w:name="_Toc15507"/>
      <w:r>
        <w:rPr>
          <w:rFonts w:hint="eastAsia" w:eastAsia="宋体" w:cs="宋体"/>
          <w:sz w:val="24"/>
          <w:szCs w:val="24"/>
        </w:rPr>
        <w:t>4.3 投标文件的澄清和补正统计分数原则</w:t>
      </w:r>
      <w:bookmarkEnd w:id="229"/>
      <w:bookmarkEnd w:id="230"/>
      <w:bookmarkEnd w:id="231"/>
      <w:bookmarkEnd w:id="232"/>
      <w:bookmarkEnd w:id="233"/>
    </w:p>
    <w:p w14:paraId="6ED28B68">
      <w:pPr>
        <w:spacing w:line="360" w:lineRule="auto"/>
        <w:ind w:firstLine="480" w:firstLineChars="200"/>
        <w:jc w:val="left"/>
        <w:rPr>
          <w:rFonts w:hint="eastAsia" w:cs="宋体"/>
          <w:sz w:val="24"/>
        </w:rPr>
      </w:pPr>
      <w:r>
        <w:rPr>
          <w:rFonts w:hint="eastAsia" w:cs="宋体"/>
          <w:sz w:val="24"/>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E3B0B2C">
      <w:pPr>
        <w:spacing w:line="360" w:lineRule="auto"/>
        <w:ind w:firstLine="480" w:firstLineChars="200"/>
        <w:jc w:val="left"/>
        <w:rPr>
          <w:rFonts w:hint="eastAsia" w:cs="宋体"/>
          <w:sz w:val="24"/>
        </w:rPr>
      </w:pPr>
      <w:r>
        <w:rPr>
          <w:rFonts w:hint="eastAsia" w:cs="宋体"/>
          <w:sz w:val="24"/>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A284A29">
      <w:pPr>
        <w:spacing w:line="360" w:lineRule="auto"/>
        <w:ind w:firstLine="480" w:firstLineChars="200"/>
        <w:jc w:val="left"/>
        <w:rPr>
          <w:rFonts w:hint="eastAsia" w:cs="宋体"/>
          <w:sz w:val="24"/>
        </w:rPr>
      </w:pPr>
      <w:r>
        <w:rPr>
          <w:rFonts w:hint="eastAsia" w:cs="宋体"/>
          <w:sz w:val="24"/>
        </w:rPr>
        <w:t>4.3.3 评标委员会对投标人提交的澄清、说明有疑问的，可以要求投标人进一步澄清、说明。</w:t>
      </w:r>
    </w:p>
    <w:p w14:paraId="56B1E30E">
      <w:pPr>
        <w:pStyle w:val="7"/>
        <w:numPr>
          <w:ilvl w:val="2"/>
          <w:numId w:val="0"/>
        </w:numPr>
        <w:spacing w:before="0"/>
        <w:ind w:firstLine="480" w:firstLineChars="200"/>
        <w:rPr>
          <w:rFonts w:hint="eastAsia" w:eastAsia="宋体" w:cs="宋体"/>
          <w:sz w:val="24"/>
          <w:szCs w:val="24"/>
        </w:rPr>
      </w:pPr>
      <w:bookmarkStart w:id="234" w:name="_Toc32299"/>
      <w:bookmarkStart w:id="235" w:name="_Toc91696469"/>
      <w:bookmarkStart w:id="236" w:name="_Toc326218119"/>
      <w:bookmarkStart w:id="237" w:name="_Toc314817941"/>
      <w:bookmarkStart w:id="238" w:name="_Toc6249"/>
      <w:r>
        <w:rPr>
          <w:rFonts w:hint="eastAsia" w:eastAsia="宋体" w:cs="宋体"/>
          <w:sz w:val="24"/>
          <w:szCs w:val="24"/>
        </w:rPr>
        <w:t>4.4 评标结果</w:t>
      </w:r>
      <w:bookmarkEnd w:id="234"/>
      <w:bookmarkEnd w:id="235"/>
      <w:bookmarkEnd w:id="236"/>
      <w:bookmarkEnd w:id="237"/>
      <w:bookmarkEnd w:id="238"/>
    </w:p>
    <w:p w14:paraId="016079F7">
      <w:pPr>
        <w:adjustRightInd w:val="0"/>
        <w:spacing w:line="360" w:lineRule="auto"/>
        <w:ind w:firstLine="480" w:firstLineChars="200"/>
        <w:rPr>
          <w:rFonts w:hint="eastAsia" w:cs="宋体"/>
          <w:sz w:val="24"/>
        </w:rPr>
      </w:pPr>
      <w:r>
        <w:rPr>
          <w:rFonts w:hint="eastAsia" w:cs="宋体"/>
          <w:sz w:val="24"/>
        </w:rPr>
        <w:t>4.4.1评标委员会对满足招标文件资格评审及符合性评审要求的投标文件，</w:t>
      </w:r>
      <w:bookmarkStart w:id="239" w:name="_Hlk49243521"/>
      <w:r>
        <w:rPr>
          <w:rFonts w:hint="eastAsia" w:cs="宋体"/>
          <w:sz w:val="24"/>
        </w:rPr>
        <w:t>按照本章前附表规定的评分标准</w:t>
      </w:r>
      <w:bookmarkEnd w:id="239"/>
      <w:r>
        <w:rPr>
          <w:rFonts w:hint="eastAsia" w:cs="宋体"/>
          <w:sz w:val="24"/>
        </w:rPr>
        <w:t>进行打分。</w:t>
      </w:r>
    </w:p>
    <w:p w14:paraId="6D339F17">
      <w:pPr>
        <w:tabs>
          <w:tab w:val="left" w:pos="2472"/>
        </w:tabs>
        <w:spacing w:line="360" w:lineRule="auto"/>
        <w:ind w:firstLine="480" w:firstLineChars="200"/>
        <w:rPr>
          <w:rFonts w:hint="eastAsia" w:cs="宋体"/>
          <w:sz w:val="24"/>
        </w:rPr>
      </w:pPr>
      <w:r>
        <w:rPr>
          <w:rFonts w:hint="eastAsia" w:cs="宋体"/>
          <w:sz w:val="24"/>
        </w:rPr>
        <w:t>评标委员按照本章前附表规定的评分标准评审并计算评标总得分后，按总得分由高到低的顺序推荐中标候选人排序。评标总得分相等时，按投标报价由低到高顺序排序；评标总得分相等且投标报价相同时，按技术部分得分由高到低顺序排序；所有得分均相等时，按</w:t>
      </w:r>
      <w:r>
        <w:rPr>
          <w:rFonts w:hint="eastAsia" w:cs="宋体"/>
          <w:bCs/>
          <w:sz w:val="24"/>
        </w:rPr>
        <w:t>优先采购列入品目清单内非强制采购的节能产品、环境标志产品，优先采购优质优价的可追溯产品，优先采购监狱企业、残疾人福利性单位、劳动关系和谐企业、新兴业态企业的产品和服务</w:t>
      </w:r>
      <w:r>
        <w:rPr>
          <w:rFonts w:hint="eastAsia" w:cs="宋体"/>
          <w:sz w:val="24"/>
        </w:rPr>
        <w:t>的顺序排列；所有得分均相等且政府采购政策均相同时，按技术指标高优先、质保期长优先、响应时间短优先的原则进行投票推荐，根据投票结果推荐中标候选人排序。</w:t>
      </w:r>
    </w:p>
    <w:p w14:paraId="706B358E">
      <w:pPr>
        <w:tabs>
          <w:tab w:val="left" w:pos="2472"/>
        </w:tabs>
        <w:spacing w:line="360" w:lineRule="auto"/>
        <w:ind w:firstLine="480" w:firstLineChars="200"/>
        <w:rPr>
          <w:rFonts w:hint="eastAsia" w:cs="宋体"/>
          <w:sz w:val="24"/>
        </w:rPr>
      </w:pPr>
      <w:r>
        <w:rPr>
          <w:rFonts w:hint="eastAsia" w:cs="宋体"/>
          <w:sz w:val="24"/>
        </w:rPr>
        <w:t>评标委员会推荐3名中标候选人，并提出书面评标报告。</w:t>
      </w:r>
    </w:p>
    <w:p w14:paraId="5BF28C3C">
      <w:pPr>
        <w:spacing w:line="360" w:lineRule="auto"/>
        <w:ind w:firstLine="480" w:firstLineChars="200"/>
        <w:jc w:val="left"/>
        <w:rPr>
          <w:rFonts w:hint="eastAsia" w:cs="宋体"/>
          <w:sz w:val="24"/>
        </w:rPr>
      </w:pPr>
      <w:r>
        <w:rPr>
          <w:rFonts w:hint="eastAsia" w:cs="宋体"/>
          <w:sz w:val="24"/>
        </w:rPr>
        <w:t>4.4.2采购人根据评标委员会提出的书面评标报告和推荐的中标候选人名单，确定中标人。</w:t>
      </w:r>
    </w:p>
    <w:p w14:paraId="02FAB92F">
      <w:pPr>
        <w:spacing w:line="360" w:lineRule="auto"/>
        <w:ind w:firstLine="480" w:firstLineChars="200"/>
        <w:jc w:val="left"/>
        <w:rPr>
          <w:rFonts w:hint="eastAsia" w:cs="宋体"/>
          <w:sz w:val="24"/>
        </w:rPr>
      </w:pPr>
      <w:r>
        <w:rPr>
          <w:rFonts w:hint="eastAsia" w:cs="宋体"/>
          <w:sz w:val="24"/>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679EFC51">
      <w:pPr>
        <w:spacing w:line="360" w:lineRule="auto"/>
        <w:ind w:firstLine="480" w:firstLineChars="200"/>
        <w:jc w:val="left"/>
        <w:rPr>
          <w:rFonts w:hint="eastAsia" w:cs="宋体"/>
          <w:sz w:val="24"/>
        </w:rPr>
      </w:pPr>
    </w:p>
    <w:bookmarkEnd w:id="187"/>
    <w:p w14:paraId="59428AC4">
      <w:pPr>
        <w:pStyle w:val="7"/>
        <w:numPr>
          <w:ilvl w:val="2"/>
          <w:numId w:val="0"/>
        </w:numPr>
        <w:tabs>
          <w:tab w:val="clear" w:pos="360"/>
        </w:tabs>
        <w:spacing w:before="0"/>
        <w:ind w:firstLine="480" w:firstLineChars="200"/>
        <w:rPr>
          <w:rFonts w:hint="eastAsia" w:eastAsia="宋体" w:cs="宋体"/>
          <w:sz w:val="24"/>
          <w:szCs w:val="24"/>
        </w:rPr>
      </w:pPr>
      <w:bookmarkStart w:id="240" w:name="_Toc91696470"/>
      <w:bookmarkStart w:id="241" w:name="_Toc8650"/>
      <w:bookmarkStart w:id="242" w:name="_Toc8079"/>
      <w:r>
        <w:rPr>
          <w:rFonts w:hint="eastAsia" w:eastAsia="宋体" w:cs="宋体"/>
          <w:sz w:val="24"/>
          <w:szCs w:val="24"/>
        </w:rPr>
        <w:t>4.5其他</w:t>
      </w:r>
      <w:bookmarkEnd w:id="240"/>
      <w:bookmarkEnd w:id="241"/>
      <w:bookmarkEnd w:id="242"/>
    </w:p>
    <w:p w14:paraId="68D25BCA">
      <w:pPr>
        <w:spacing w:line="360" w:lineRule="auto"/>
        <w:ind w:firstLine="480" w:firstLineChars="200"/>
        <w:jc w:val="left"/>
        <w:rPr>
          <w:rFonts w:hint="eastAsia" w:cs="宋体"/>
          <w:sz w:val="24"/>
        </w:rPr>
        <w:sectPr>
          <w:pgSz w:w="11906" w:h="16838"/>
          <w:pgMar w:top="993" w:right="1418" w:bottom="993" w:left="1418" w:header="720" w:footer="624" w:gutter="0"/>
          <w:cols w:space="720" w:num="1"/>
          <w:docGrid w:type="linesAndChars" w:linePitch="331" w:charSpace="0"/>
        </w:sectPr>
      </w:pPr>
      <w:r>
        <w:rPr>
          <w:rFonts w:hint="eastAsia" w:cs="宋体"/>
          <w:sz w:val="24"/>
        </w:rPr>
        <w:t>其他未尽事宜遵照国家相关法律法规执行。</w:t>
      </w:r>
    </w:p>
    <w:p w14:paraId="6918455F">
      <w:pPr>
        <w:pStyle w:val="5"/>
        <w:numPr>
          <w:ilvl w:val="0"/>
          <w:numId w:val="8"/>
        </w:numPr>
        <w:jc w:val="center"/>
        <w:rPr>
          <w:rFonts w:hint="eastAsia" w:eastAsia="宋体" w:cs="宋体"/>
          <w:sz w:val="32"/>
          <w:szCs w:val="32"/>
        </w:rPr>
      </w:pPr>
      <w:r>
        <w:rPr>
          <w:rFonts w:hint="eastAsia" w:eastAsia="宋体" w:cs="宋体"/>
          <w:sz w:val="32"/>
          <w:szCs w:val="32"/>
        </w:rPr>
        <w:t xml:space="preserve">  </w:t>
      </w:r>
      <w:bookmarkStart w:id="243" w:name="_Toc5015"/>
      <w:r>
        <w:rPr>
          <w:rFonts w:hint="eastAsia" w:eastAsia="宋体" w:cs="宋体"/>
          <w:sz w:val="32"/>
          <w:szCs w:val="32"/>
        </w:rPr>
        <w:t>投标文件格式</w:t>
      </w:r>
      <w:bookmarkEnd w:id="243"/>
    </w:p>
    <w:p w14:paraId="632A4A6A">
      <w:pPr>
        <w:spacing w:line="360" w:lineRule="auto"/>
        <w:ind w:right="-504" w:rightChars="-240"/>
        <w:jc w:val="right"/>
        <w:rPr>
          <w:rFonts w:hint="eastAsia" w:cs="宋体"/>
          <w:b/>
          <w:sz w:val="44"/>
          <w:szCs w:val="44"/>
        </w:rPr>
      </w:pPr>
      <w:r>
        <w:rPr>
          <w:rFonts w:hint="eastAsia" w:cs="宋体"/>
          <w:b/>
          <w:sz w:val="44"/>
          <w:szCs w:val="44"/>
        </w:rPr>
        <w:t>封面</w:t>
      </w:r>
    </w:p>
    <w:p w14:paraId="6875BCD7">
      <w:pPr>
        <w:spacing w:line="360" w:lineRule="auto"/>
        <w:ind w:left="-540" w:leftChars="-257" w:right="-504" w:rightChars="-240" w:firstLine="539" w:firstLineChars="122"/>
        <w:jc w:val="center"/>
        <w:rPr>
          <w:rFonts w:hint="eastAsia" w:cs="宋体"/>
          <w:b/>
          <w:sz w:val="44"/>
          <w:szCs w:val="44"/>
        </w:rPr>
      </w:pPr>
      <w:r>
        <w:rPr>
          <w:rFonts w:hint="eastAsia" w:cs="宋体"/>
          <w:b/>
          <w:sz w:val="44"/>
          <w:szCs w:val="44"/>
        </w:rPr>
        <w:t>2025年防灾减灾专项资金基层应急能力提升项目</w:t>
      </w:r>
    </w:p>
    <w:p w14:paraId="07DA795F">
      <w:pPr>
        <w:spacing w:line="360" w:lineRule="auto"/>
        <w:ind w:left="-540" w:leftChars="-257" w:right="-504" w:rightChars="-240" w:firstLine="539" w:firstLineChars="122"/>
        <w:jc w:val="center"/>
        <w:rPr>
          <w:rFonts w:hint="eastAsia" w:cs="宋体"/>
          <w:b/>
          <w:sz w:val="44"/>
          <w:szCs w:val="44"/>
        </w:rPr>
      </w:pPr>
    </w:p>
    <w:p w14:paraId="636EEF40">
      <w:pPr>
        <w:spacing w:line="360" w:lineRule="auto"/>
        <w:ind w:left="-540" w:leftChars="-257" w:right="-504" w:rightChars="-240" w:firstLine="539" w:firstLineChars="122"/>
        <w:jc w:val="center"/>
        <w:rPr>
          <w:rFonts w:hint="eastAsia" w:cs="宋体"/>
          <w:b/>
          <w:sz w:val="44"/>
          <w:szCs w:val="44"/>
        </w:rPr>
      </w:pPr>
    </w:p>
    <w:p w14:paraId="31DD5DDE">
      <w:pPr>
        <w:spacing w:line="360" w:lineRule="auto"/>
        <w:ind w:left="-540" w:leftChars="-257" w:right="-504" w:rightChars="-240" w:firstLine="539" w:firstLineChars="122"/>
        <w:jc w:val="center"/>
        <w:rPr>
          <w:rFonts w:hint="eastAsia" w:cs="宋体"/>
          <w:b/>
          <w:sz w:val="44"/>
          <w:szCs w:val="44"/>
        </w:rPr>
      </w:pPr>
    </w:p>
    <w:p w14:paraId="1466CB8B">
      <w:pPr>
        <w:spacing w:line="360" w:lineRule="auto"/>
        <w:ind w:left="-540" w:leftChars="-257" w:right="-504" w:rightChars="-240" w:firstLine="539" w:firstLineChars="122"/>
        <w:jc w:val="center"/>
        <w:rPr>
          <w:rFonts w:hint="eastAsia" w:cs="宋体"/>
          <w:b/>
          <w:sz w:val="44"/>
          <w:szCs w:val="44"/>
        </w:rPr>
      </w:pPr>
    </w:p>
    <w:p w14:paraId="469B4852">
      <w:pPr>
        <w:spacing w:line="360" w:lineRule="auto"/>
        <w:ind w:left="-540" w:leftChars="-257" w:right="-504" w:rightChars="-240" w:firstLine="882" w:firstLineChars="122"/>
        <w:jc w:val="center"/>
        <w:rPr>
          <w:rFonts w:hint="eastAsia" w:cs="宋体"/>
          <w:b/>
          <w:sz w:val="72"/>
          <w:szCs w:val="52"/>
        </w:rPr>
      </w:pPr>
      <w:r>
        <w:rPr>
          <w:rFonts w:hint="eastAsia" w:cs="宋体"/>
          <w:b/>
          <w:sz w:val="72"/>
          <w:szCs w:val="52"/>
        </w:rPr>
        <w:t>投 标 文 件</w:t>
      </w:r>
    </w:p>
    <w:p w14:paraId="4E324DCD">
      <w:pPr>
        <w:spacing w:line="360" w:lineRule="auto"/>
        <w:ind w:left="-540" w:leftChars="-257" w:right="-504" w:rightChars="-240" w:firstLine="292" w:firstLineChars="122"/>
        <w:jc w:val="center"/>
        <w:rPr>
          <w:rFonts w:hint="eastAsia" w:cs="宋体"/>
          <w:sz w:val="24"/>
        </w:rPr>
      </w:pPr>
    </w:p>
    <w:p w14:paraId="7ADF8D68">
      <w:pPr>
        <w:spacing w:line="360" w:lineRule="auto"/>
        <w:ind w:left="-540" w:leftChars="-257" w:right="-504" w:rightChars="-240" w:firstLine="341" w:firstLineChars="122"/>
        <w:jc w:val="center"/>
        <w:rPr>
          <w:rFonts w:hint="eastAsia" w:cs="宋体"/>
          <w:sz w:val="28"/>
          <w:szCs w:val="28"/>
        </w:rPr>
      </w:pPr>
      <w:r>
        <w:rPr>
          <w:rFonts w:hint="eastAsia" w:cs="宋体"/>
          <w:sz w:val="28"/>
          <w:szCs w:val="28"/>
        </w:rPr>
        <w:t>项目编号：LDHYYN-KM-251102</w:t>
      </w:r>
    </w:p>
    <w:p w14:paraId="6D40CA1C">
      <w:pPr>
        <w:spacing w:line="360" w:lineRule="auto"/>
        <w:ind w:left="-540" w:leftChars="-257" w:right="-504" w:rightChars="-240" w:firstLine="341" w:firstLineChars="122"/>
        <w:jc w:val="center"/>
        <w:rPr>
          <w:rFonts w:hint="eastAsia" w:cs="宋体"/>
          <w:sz w:val="28"/>
          <w:szCs w:val="28"/>
        </w:rPr>
      </w:pPr>
      <w:r>
        <w:rPr>
          <w:rFonts w:hint="eastAsia" w:cs="宋体"/>
          <w:sz w:val="28"/>
          <w:szCs w:val="28"/>
        </w:rPr>
        <w:t>标段编号：2标段</w:t>
      </w:r>
    </w:p>
    <w:p w14:paraId="699693C6">
      <w:pPr>
        <w:spacing w:line="360" w:lineRule="auto"/>
        <w:ind w:left="-540" w:leftChars="-257" w:right="-504" w:rightChars="-240" w:firstLine="341" w:firstLineChars="122"/>
        <w:jc w:val="center"/>
        <w:rPr>
          <w:rFonts w:hint="eastAsia" w:cs="宋体"/>
          <w:sz w:val="28"/>
          <w:szCs w:val="28"/>
        </w:rPr>
      </w:pPr>
    </w:p>
    <w:p w14:paraId="50AFF9A8">
      <w:pPr>
        <w:spacing w:line="360" w:lineRule="auto"/>
        <w:ind w:left="-540" w:leftChars="-257" w:right="-504" w:rightChars="-240" w:firstLine="341" w:firstLineChars="122"/>
        <w:jc w:val="center"/>
        <w:rPr>
          <w:rFonts w:hint="eastAsia" w:cs="宋体"/>
          <w:sz w:val="28"/>
          <w:szCs w:val="28"/>
        </w:rPr>
      </w:pPr>
    </w:p>
    <w:p w14:paraId="0A097CFF">
      <w:pPr>
        <w:spacing w:line="360" w:lineRule="auto"/>
        <w:ind w:left="-540" w:leftChars="-257" w:right="-504" w:rightChars="-240" w:firstLine="341" w:firstLineChars="122"/>
        <w:jc w:val="center"/>
        <w:rPr>
          <w:rFonts w:hint="eastAsia" w:cs="宋体"/>
          <w:sz w:val="28"/>
          <w:szCs w:val="28"/>
        </w:rPr>
      </w:pPr>
    </w:p>
    <w:p w14:paraId="290D09BF">
      <w:pPr>
        <w:spacing w:line="360" w:lineRule="auto"/>
        <w:ind w:left="-540" w:leftChars="-257" w:right="-504" w:rightChars="-240" w:firstLine="341" w:firstLineChars="122"/>
        <w:rPr>
          <w:rFonts w:hint="eastAsia" w:cs="宋体"/>
          <w:sz w:val="28"/>
          <w:szCs w:val="28"/>
        </w:rPr>
      </w:pPr>
    </w:p>
    <w:p w14:paraId="743BA652">
      <w:pPr>
        <w:spacing w:line="360" w:lineRule="auto"/>
        <w:ind w:left="-540" w:leftChars="-257" w:right="-504" w:rightChars="-240" w:firstLine="341" w:firstLineChars="122"/>
        <w:rPr>
          <w:rFonts w:hint="eastAsia" w:cs="宋体"/>
          <w:sz w:val="28"/>
          <w:szCs w:val="28"/>
        </w:rPr>
      </w:pPr>
    </w:p>
    <w:p w14:paraId="2F689200">
      <w:pPr>
        <w:spacing w:line="360" w:lineRule="auto"/>
        <w:ind w:left="-540" w:leftChars="-257" w:right="-504" w:rightChars="-240" w:firstLine="341" w:firstLineChars="122"/>
        <w:rPr>
          <w:rFonts w:hint="eastAsia" w:cs="宋体"/>
          <w:sz w:val="28"/>
          <w:szCs w:val="28"/>
        </w:rPr>
      </w:pPr>
    </w:p>
    <w:p w14:paraId="59B5C75D">
      <w:pPr>
        <w:spacing w:line="360" w:lineRule="auto"/>
        <w:ind w:left="-540" w:leftChars="-257" w:right="-504" w:rightChars="-240" w:firstLine="1461" w:firstLineChars="522"/>
        <w:rPr>
          <w:rFonts w:hint="eastAsia" w:cs="宋体"/>
          <w:sz w:val="28"/>
          <w:szCs w:val="28"/>
        </w:rPr>
      </w:pPr>
      <w:r>
        <w:rPr>
          <w:rFonts w:hint="eastAsia" w:cs="宋体"/>
          <w:sz w:val="28"/>
          <w:szCs w:val="28"/>
        </w:rPr>
        <w:t>投  标  人：</w:t>
      </w:r>
      <w:r>
        <w:rPr>
          <w:rFonts w:hint="eastAsia" w:cs="宋体"/>
          <w:sz w:val="28"/>
          <w:szCs w:val="28"/>
          <w:u w:val="single"/>
        </w:rPr>
        <w:t xml:space="preserve">                         </w:t>
      </w:r>
      <w:r>
        <w:rPr>
          <w:rFonts w:hint="eastAsia" w:cs="宋体"/>
          <w:sz w:val="28"/>
          <w:szCs w:val="28"/>
        </w:rPr>
        <w:t>（盖单位电子公章）</w:t>
      </w:r>
    </w:p>
    <w:p w14:paraId="2DAE31EC">
      <w:pPr>
        <w:spacing w:line="360" w:lineRule="auto"/>
        <w:ind w:left="-540" w:leftChars="-257" w:right="-504" w:rightChars="-240" w:firstLine="1461" w:firstLineChars="522"/>
        <w:rPr>
          <w:rFonts w:hint="eastAsia" w:cs="宋体"/>
          <w:sz w:val="28"/>
          <w:szCs w:val="28"/>
        </w:rPr>
      </w:pPr>
      <w:r>
        <w:rPr>
          <w:rFonts w:hint="eastAsia" w:cs="宋体"/>
          <w:sz w:val="28"/>
          <w:szCs w:val="28"/>
        </w:rPr>
        <w:t>法定代表人或其委托代理人：</w:t>
      </w:r>
      <w:r>
        <w:rPr>
          <w:rFonts w:hint="eastAsia" w:cs="宋体"/>
          <w:sz w:val="28"/>
          <w:szCs w:val="28"/>
          <w:u w:val="single"/>
        </w:rPr>
        <w:t xml:space="preserve">                 </w:t>
      </w:r>
      <w:r>
        <w:rPr>
          <w:rFonts w:hint="eastAsia" w:cs="宋体"/>
          <w:sz w:val="28"/>
          <w:szCs w:val="28"/>
        </w:rPr>
        <w:t>（签字或盖电子签章）</w:t>
      </w:r>
    </w:p>
    <w:p w14:paraId="0EBDFD3C">
      <w:pPr>
        <w:spacing w:line="360" w:lineRule="auto"/>
        <w:ind w:left="-540" w:leftChars="-257" w:right="-504" w:rightChars="-240" w:firstLine="1461" w:firstLineChars="522"/>
        <w:rPr>
          <w:rFonts w:hint="eastAsia" w:cs="宋体"/>
          <w:sz w:val="28"/>
          <w:szCs w:val="28"/>
        </w:rPr>
      </w:pPr>
      <w:r>
        <w:rPr>
          <w:rFonts w:hint="eastAsia" w:cs="宋体"/>
          <w:sz w:val="28"/>
          <w:szCs w:val="28"/>
        </w:rPr>
        <w:t>日      期：</w:t>
      </w:r>
      <w:r>
        <w:rPr>
          <w:rFonts w:hint="eastAsia" w:cs="宋体"/>
          <w:sz w:val="28"/>
          <w:szCs w:val="28"/>
          <w:u w:val="single"/>
        </w:rPr>
        <w:t xml:space="preserve">     </w:t>
      </w:r>
      <w:r>
        <w:rPr>
          <w:rFonts w:hint="eastAsia" w:cs="宋体"/>
          <w:sz w:val="28"/>
          <w:szCs w:val="28"/>
        </w:rPr>
        <w:t>年</w:t>
      </w:r>
      <w:r>
        <w:rPr>
          <w:rFonts w:hint="eastAsia" w:cs="宋体"/>
          <w:sz w:val="28"/>
          <w:szCs w:val="28"/>
          <w:u w:val="single"/>
        </w:rPr>
        <w:t xml:space="preserve">    </w:t>
      </w:r>
      <w:r>
        <w:rPr>
          <w:rFonts w:hint="eastAsia" w:cs="宋体"/>
          <w:sz w:val="28"/>
          <w:szCs w:val="28"/>
        </w:rPr>
        <w:t xml:space="preserve"> 月</w:t>
      </w:r>
      <w:r>
        <w:rPr>
          <w:rFonts w:hint="eastAsia" w:cs="宋体"/>
          <w:sz w:val="28"/>
          <w:szCs w:val="28"/>
          <w:u w:val="single"/>
        </w:rPr>
        <w:t xml:space="preserve">    </w:t>
      </w:r>
      <w:r>
        <w:rPr>
          <w:rFonts w:hint="eastAsia" w:cs="宋体"/>
          <w:sz w:val="28"/>
          <w:szCs w:val="28"/>
        </w:rPr>
        <w:t>日</w:t>
      </w:r>
      <w:bookmarkStart w:id="244" w:name="_Toc16456"/>
    </w:p>
    <w:p w14:paraId="29A899C0">
      <w:pPr>
        <w:spacing w:line="360" w:lineRule="auto"/>
        <w:rPr>
          <w:rFonts w:hint="eastAsia" w:cs="宋体"/>
          <w:sz w:val="28"/>
          <w:szCs w:val="28"/>
        </w:rPr>
      </w:pPr>
      <w:r>
        <w:rPr>
          <w:rFonts w:hint="eastAsia" w:cs="宋体"/>
          <w:sz w:val="28"/>
          <w:szCs w:val="28"/>
        </w:rPr>
        <w:br w:type="page"/>
      </w:r>
    </w:p>
    <w:p w14:paraId="441F2202">
      <w:pPr>
        <w:pStyle w:val="6"/>
        <w:numPr>
          <w:ilvl w:val="0"/>
          <w:numId w:val="0"/>
        </w:numPr>
        <w:jc w:val="center"/>
        <w:rPr>
          <w:rFonts w:hint="eastAsia" w:eastAsia="宋体" w:cs="宋体"/>
          <w:sz w:val="30"/>
          <w:szCs w:val="30"/>
        </w:rPr>
      </w:pPr>
      <w:bookmarkStart w:id="245" w:name="_Toc20164"/>
      <w:r>
        <w:rPr>
          <w:rFonts w:hint="eastAsia" w:eastAsia="宋体" w:cs="宋体"/>
          <w:sz w:val="30"/>
          <w:szCs w:val="30"/>
        </w:rPr>
        <w:t>一、投标人资格审查部分</w:t>
      </w:r>
      <w:bookmarkEnd w:id="244"/>
      <w:bookmarkEnd w:id="245"/>
    </w:p>
    <w:p w14:paraId="79687699">
      <w:pPr>
        <w:pStyle w:val="6"/>
        <w:numPr>
          <w:ilvl w:val="1"/>
          <w:numId w:val="0"/>
        </w:numPr>
        <w:tabs>
          <w:tab w:val="clear" w:pos="596"/>
        </w:tabs>
        <w:ind w:left="596" w:hanging="596"/>
        <w:jc w:val="center"/>
        <w:rPr>
          <w:rFonts w:hint="eastAsia" w:eastAsia="宋体" w:cs="宋体"/>
        </w:rPr>
      </w:pPr>
      <w:bookmarkStart w:id="246" w:name="_Toc5287"/>
      <w:bookmarkStart w:id="247" w:name="_Toc24213"/>
      <w:bookmarkStart w:id="248" w:name="_Toc24154"/>
      <w:bookmarkStart w:id="249" w:name="_Toc26463"/>
      <w:bookmarkStart w:id="250" w:name="_Toc31839"/>
      <w:r>
        <w:rPr>
          <w:rFonts w:hint="eastAsia" w:eastAsia="宋体" w:cs="宋体"/>
        </w:rPr>
        <w:t>（一）投标人情况一览表</w:t>
      </w:r>
      <w:bookmarkEnd w:id="246"/>
      <w:bookmarkEnd w:id="247"/>
      <w:bookmarkEnd w:id="248"/>
      <w:bookmarkEnd w:id="249"/>
      <w:bookmarkEnd w:id="250"/>
    </w:p>
    <w:tbl>
      <w:tblPr>
        <w:tblStyle w:val="41"/>
        <w:tblW w:w="91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52"/>
        <w:gridCol w:w="2326"/>
        <w:gridCol w:w="1418"/>
        <w:gridCol w:w="2624"/>
      </w:tblGrid>
      <w:tr w14:paraId="66893B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379ABD8C">
            <w:pPr>
              <w:spacing w:line="360" w:lineRule="auto"/>
              <w:jc w:val="center"/>
              <w:rPr>
                <w:rFonts w:hint="eastAsia" w:cs="宋体"/>
                <w:sz w:val="24"/>
              </w:rPr>
            </w:pPr>
            <w:r>
              <w:rPr>
                <w:rFonts w:hint="eastAsia" w:cs="宋体"/>
                <w:sz w:val="24"/>
              </w:rPr>
              <w:t>投标人名称</w:t>
            </w:r>
          </w:p>
        </w:tc>
        <w:tc>
          <w:tcPr>
            <w:tcW w:w="7320" w:type="dxa"/>
            <w:gridSpan w:val="4"/>
            <w:vAlign w:val="center"/>
          </w:tcPr>
          <w:p w14:paraId="46668857">
            <w:pPr>
              <w:spacing w:line="360" w:lineRule="auto"/>
              <w:jc w:val="center"/>
              <w:rPr>
                <w:rFonts w:hint="eastAsia" w:cs="宋体"/>
                <w:sz w:val="24"/>
              </w:rPr>
            </w:pPr>
          </w:p>
        </w:tc>
      </w:tr>
      <w:tr w14:paraId="097854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39B621E4">
            <w:pPr>
              <w:spacing w:line="360" w:lineRule="auto"/>
              <w:jc w:val="center"/>
              <w:rPr>
                <w:rFonts w:hint="eastAsia" w:cs="宋体"/>
                <w:sz w:val="24"/>
              </w:rPr>
            </w:pPr>
            <w:r>
              <w:rPr>
                <w:rFonts w:hint="eastAsia" w:cs="宋体"/>
                <w:sz w:val="24"/>
              </w:rPr>
              <w:t>注册地址</w:t>
            </w:r>
          </w:p>
        </w:tc>
        <w:tc>
          <w:tcPr>
            <w:tcW w:w="3278" w:type="dxa"/>
            <w:gridSpan w:val="2"/>
            <w:vAlign w:val="center"/>
          </w:tcPr>
          <w:p w14:paraId="1B3F04E4">
            <w:pPr>
              <w:spacing w:line="360" w:lineRule="auto"/>
              <w:rPr>
                <w:rFonts w:hint="eastAsia" w:cs="宋体"/>
                <w:sz w:val="24"/>
              </w:rPr>
            </w:pPr>
          </w:p>
        </w:tc>
        <w:tc>
          <w:tcPr>
            <w:tcW w:w="1418" w:type="dxa"/>
            <w:vAlign w:val="center"/>
          </w:tcPr>
          <w:p w14:paraId="5BAB693B">
            <w:pPr>
              <w:spacing w:line="360" w:lineRule="auto"/>
              <w:jc w:val="center"/>
              <w:rPr>
                <w:rFonts w:hint="eastAsia" w:cs="宋体"/>
                <w:sz w:val="24"/>
              </w:rPr>
            </w:pPr>
            <w:r>
              <w:rPr>
                <w:rFonts w:hint="eastAsia" w:cs="宋体"/>
                <w:sz w:val="24"/>
              </w:rPr>
              <w:t>邮政编码</w:t>
            </w:r>
          </w:p>
        </w:tc>
        <w:tc>
          <w:tcPr>
            <w:tcW w:w="2624" w:type="dxa"/>
            <w:vAlign w:val="center"/>
          </w:tcPr>
          <w:p w14:paraId="59F0E46F">
            <w:pPr>
              <w:spacing w:line="360" w:lineRule="auto"/>
              <w:jc w:val="center"/>
              <w:rPr>
                <w:rFonts w:hint="eastAsia" w:cs="宋体"/>
                <w:sz w:val="24"/>
              </w:rPr>
            </w:pPr>
          </w:p>
        </w:tc>
      </w:tr>
      <w:tr w14:paraId="506405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restart"/>
            <w:vAlign w:val="center"/>
          </w:tcPr>
          <w:p w14:paraId="6854A52B">
            <w:pPr>
              <w:spacing w:line="360" w:lineRule="auto"/>
              <w:jc w:val="center"/>
              <w:rPr>
                <w:rFonts w:hint="eastAsia" w:cs="宋体"/>
                <w:sz w:val="24"/>
              </w:rPr>
            </w:pPr>
            <w:r>
              <w:rPr>
                <w:rFonts w:hint="eastAsia" w:cs="宋体"/>
                <w:sz w:val="24"/>
              </w:rPr>
              <w:t>联系方式</w:t>
            </w:r>
          </w:p>
        </w:tc>
        <w:tc>
          <w:tcPr>
            <w:tcW w:w="952" w:type="dxa"/>
            <w:vAlign w:val="center"/>
          </w:tcPr>
          <w:p w14:paraId="1251514B">
            <w:pPr>
              <w:spacing w:line="360" w:lineRule="auto"/>
              <w:jc w:val="center"/>
              <w:rPr>
                <w:rFonts w:hint="eastAsia" w:cs="宋体"/>
                <w:sz w:val="24"/>
              </w:rPr>
            </w:pPr>
            <w:r>
              <w:rPr>
                <w:rFonts w:hint="eastAsia" w:cs="宋体"/>
                <w:sz w:val="24"/>
              </w:rPr>
              <w:t>联系人</w:t>
            </w:r>
          </w:p>
        </w:tc>
        <w:tc>
          <w:tcPr>
            <w:tcW w:w="2326" w:type="dxa"/>
            <w:vAlign w:val="center"/>
          </w:tcPr>
          <w:p w14:paraId="54A86896">
            <w:pPr>
              <w:spacing w:line="360" w:lineRule="auto"/>
              <w:rPr>
                <w:rFonts w:hint="eastAsia" w:cs="宋体"/>
                <w:sz w:val="24"/>
              </w:rPr>
            </w:pPr>
          </w:p>
        </w:tc>
        <w:tc>
          <w:tcPr>
            <w:tcW w:w="1418" w:type="dxa"/>
            <w:vAlign w:val="center"/>
          </w:tcPr>
          <w:p w14:paraId="5BC12120">
            <w:pPr>
              <w:spacing w:line="360" w:lineRule="auto"/>
              <w:jc w:val="center"/>
              <w:rPr>
                <w:rFonts w:hint="eastAsia" w:cs="宋体"/>
                <w:sz w:val="24"/>
              </w:rPr>
            </w:pPr>
            <w:r>
              <w:rPr>
                <w:rFonts w:hint="eastAsia" w:cs="宋体"/>
                <w:sz w:val="24"/>
              </w:rPr>
              <w:t>电    话</w:t>
            </w:r>
          </w:p>
        </w:tc>
        <w:tc>
          <w:tcPr>
            <w:tcW w:w="2624" w:type="dxa"/>
            <w:vAlign w:val="center"/>
          </w:tcPr>
          <w:p w14:paraId="1B20B247">
            <w:pPr>
              <w:spacing w:line="360" w:lineRule="auto"/>
              <w:jc w:val="center"/>
              <w:rPr>
                <w:rFonts w:hint="eastAsia" w:cs="宋体"/>
                <w:sz w:val="24"/>
              </w:rPr>
            </w:pPr>
          </w:p>
        </w:tc>
      </w:tr>
      <w:tr w14:paraId="4E2BC0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Merge w:val="continue"/>
            <w:vAlign w:val="center"/>
          </w:tcPr>
          <w:p w14:paraId="28383E3D">
            <w:pPr>
              <w:spacing w:line="360" w:lineRule="auto"/>
              <w:jc w:val="center"/>
              <w:rPr>
                <w:rFonts w:hint="eastAsia" w:cs="宋体"/>
                <w:sz w:val="24"/>
              </w:rPr>
            </w:pPr>
          </w:p>
        </w:tc>
        <w:tc>
          <w:tcPr>
            <w:tcW w:w="952" w:type="dxa"/>
            <w:vAlign w:val="center"/>
          </w:tcPr>
          <w:p w14:paraId="10B87AB6">
            <w:pPr>
              <w:spacing w:line="360" w:lineRule="auto"/>
              <w:jc w:val="center"/>
              <w:rPr>
                <w:rFonts w:hint="eastAsia" w:cs="宋体"/>
                <w:sz w:val="24"/>
              </w:rPr>
            </w:pPr>
            <w:r>
              <w:rPr>
                <w:rFonts w:hint="eastAsia" w:cs="宋体"/>
                <w:sz w:val="24"/>
              </w:rPr>
              <w:t>传  真</w:t>
            </w:r>
          </w:p>
        </w:tc>
        <w:tc>
          <w:tcPr>
            <w:tcW w:w="2326" w:type="dxa"/>
            <w:vAlign w:val="center"/>
          </w:tcPr>
          <w:p w14:paraId="104855B6">
            <w:pPr>
              <w:spacing w:line="360" w:lineRule="auto"/>
              <w:rPr>
                <w:rFonts w:hint="eastAsia" w:cs="宋体"/>
                <w:sz w:val="24"/>
              </w:rPr>
            </w:pPr>
          </w:p>
        </w:tc>
        <w:tc>
          <w:tcPr>
            <w:tcW w:w="1418" w:type="dxa"/>
            <w:vAlign w:val="center"/>
          </w:tcPr>
          <w:p w14:paraId="420CE66F">
            <w:pPr>
              <w:spacing w:line="360" w:lineRule="auto"/>
              <w:jc w:val="center"/>
              <w:rPr>
                <w:rFonts w:hint="eastAsia" w:cs="宋体"/>
                <w:sz w:val="24"/>
              </w:rPr>
            </w:pPr>
            <w:r>
              <w:rPr>
                <w:rFonts w:hint="eastAsia" w:cs="宋体"/>
                <w:sz w:val="24"/>
              </w:rPr>
              <w:t>网    址</w:t>
            </w:r>
          </w:p>
        </w:tc>
        <w:tc>
          <w:tcPr>
            <w:tcW w:w="2624" w:type="dxa"/>
            <w:vAlign w:val="center"/>
          </w:tcPr>
          <w:p w14:paraId="03F0F676">
            <w:pPr>
              <w:spacing w:line="360" w:lineRule="auto"/>
              <w:jc w:val="center"/>
              <w:rPr>
                <w:rFonts w:hint="eastAsia" w:cs="宋体"/>
                <w:sz w:val="24"/>
              </w:rPr>
            </w:pPr>
          </w:p>
        </w:tc>
      </w:tr>
      <w:tr w14:paraId="440AA2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7F95C09A">
            <w:pPr>
              <w:spacing w:line="360" w:lineRule="auto"/>
              <w:jc w:val="center"/>
              <w:rPr>
                <w:rFonts w:hint="eastAsia" w:cs="宋体"/>
                <w:sz w:val="24"/>
              </w:rPr>
            </w:pPr>
            <w:r>
              <w:rPr>
                <w:rFonts w:hint="eastAsia" w:cs="宋体"/>
                <w:sz w:val="24"/>
              </w:rPr>
              <w:t>法定代表人</w:t>
            </w:r>
          </w:p>
        </w:tc>
        <w:tc>
          <w:tcPr>
            <w:tcW w:w="952" w:type="dxa"/>
            <w:vAlign w:val="center"/>
          </w:tcPr>
          <w:p w14:paraId="2F0AD918">
            <w:pPr>
              <w:spacing w:line="360" w:lineRule="auto"/>
              <w:jc w:val="center"/>
              <w:rPr>
                <w:rFonts w:hint="eastAsia" w:cs="宋体"/>
                <w:sz w:val="24"/>
              </w:rPr>
            </w:pPr>
            <w:r>
              <w:rPr>
                <w:rFonts w:hint="eastAsia" w:cs="宋体"/>
                <w:sz w:val="24"/>
              </w:rPr>
              <w:t>姓名</w:t>
            </w:r>
          </w:p>
        </w:tc>
        <w:tc>
          <w:tcPr>
            <w:tcW w:w="2326" w:type="dxa"/>
            <w:vAlign w:val="center"/>
          </w:tcPr>
          <w:p w14:paraId="4E373F04">
            <w:pPr>
              <w:spacing w:line="360" w:lineRule="auto"/>
              <w:jc w:val="center"/>
              <w:rPr>
                <w:rFonts w:hint="eastAsia" w:cs="宋体"/>
                <w:sz w:val="24"/>
              </w:rPr>
            </w:pPr>
          </w:p>
        </w:tc>
        <w:tc>
          <w:tcPr>
            <w:tcW w:w="1418" w:type="dxa"/>
            <w:vAlign w:val="center"/>
          </w:tcPr>
          <w:p w14:paraId="3879595D">
            <w:pPr>
              <w:spacing w:line="360" w:lineRule="auto"/>
              <w:jc w:val="center"/>
              <w:rPr>
                <w:rFonts w:hint="eastAsia" w:cs="宋体"/>
                <w:sz w:val="24"/>
              </w:rPr>
            </w:pPr>
            <w:r>
              <w:rPr>
                <w:rFonts w:hint="eastAsia" w:cs="宋体"/>
                <w:sz w:val="24"/>
              </w:rPr>
              <w:t>电话</w:t>
            </w:r>
          </w:p>
        </w:tc>
        <w:tc>
          <w:tcPr>
            <w:tcW w:w="2624" w:type="dxa"/>
            <w:vAlign w:val="center"/>
          </w:tcPr>
          <w:p w14:paraId="2266279E">
            <w:pPr>
              <w:spacing w:line="360" w:lineRule="auto"/>
              <w:jc w:val="center"/>
              <w:rPr>
                <w:rFonts w:hint="eastAsia" w:cs="宋体"/>
                <w:sz w:val="24"/>
              </w:rPr>
            </w:pPr>
          </w:p>
        </w:tc>
      </w:tr>
      <w:tr w14:paraId="1B8818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1843" w:type="dxa"/>
            <w:vAlign w:val="center"/>
          </w:tcPr>
          <w:p w14:paraId="67005B60">
            <w:pPr>
              <w:spacing w:line="360" w:lineRule="auto"/>
              <w:jc w:val="center"/>
              <w:rPr>
                <w:rFonts w:hint="eastAsia" w:cs="宋体"/>
                <w:sz w:val="24"/>
              </w:rPr>
            </w:pPr>
            <w:r>
              <w:rPr>
                <w:rFonts w:hint="eastAsia" w:cs="宋体"/>
                <w:sz w:val="24"/>
              </w:rPr>
              <w:t>成立时间</w:t>
            </w:r>
          </w:p>
        </w:tc>
        <w:tc>
          <w:tcPr>
            <w:tcW w:w="3278" w:type="dxa"/>
            <w:gridSpan w:val="2"/>
            <w:vAlign w:val="center"/>
          </w:tcPr>
          <w:p w14:paraId="13BE6D0F">
            <w:pPr>
              <w:spacing w:line="360" w:lineRule="auto"/>
              <w:jc w:val="center"/>
              <w:rPr>
                <w:rFonts w:hint="eastAsia" w:cs="宋体"/>
                <w:sz w:val="24"/>
              </w:rPr>
            </w:pPr>
          </w:p>
        </w:tc>
        <w:tc>
          <w:tcPr>
            <w:tcW w:w="1418" w:type="dxa"/>
            <w:vAlign w:val="center"/>
          </w:tcPr>
          <w:p w14:paraId="0B6AA39B">
            <w:pPr>
              <w:spacing w:line="360" w:lineRule="auto"/>
              <w:rPr>
                <w:rFonts w:hint="eastAsia" w:cs="宋体"/>
                <w:sz w:val="24"/>
              </w:rPr>
            </w:pPr>
            <w:r>
              <w:rPr>
                <w:rFonts w:hint="eastAsia" w:cs="宋体"/>
                <w:sz w:val="24"/>
              </w:rPr>
              <w:t>员工总人数</w:t>
            </w:r>
          </w:p>
        </w:tc>
        <w:tc>
          <w:tcPr>
            <w:tcW w:w="2624" w:type="dxa"/>
            <w:vAlign w:val="center"/>
          </w:tcPr>
          <w:p w14:paraId="15132BE8">
            <w:pPr>
              <w:spacing w:line="360" w:lineRule="auto"/>
              <w:rPr>
                <w:rFonts w:hint="eastAsia" w:cs="宋体"/>
                <w:sz w:val="24"/>
              </w:rPr>
            </w:pPr>
          </w:p>
        </w:tc>
      </w:tr>
      <w:tr w14:paraId="541221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4F1D1F4D">
            <w:pPr>
              <w:spacing w:line="360" w:lineRule="auto"/>
              <w:jc w:val="center"/>
              <w:rPr>
                <w:rFonts w:hint="eastAsia" w:cs="宋体"/>
                <w:sz w:val="24"/>
              </w:rPr>
            </w:pPr>
            <w:r>
              <w:rPr>
                <w:rFonts w:hint="eastAsia" w:cs="宋体"/>
                <w:sz w:val="24"/>
              </w:rPr>
              <w:t>营业执照号</w:t>
            </w:r>
          </w:p>
        </w:tc>
        <w:tc>
          <w:tcPr>
            <w:tcW w:w="7320" w:type="dxa"/>
            <w:gridSpan w:val="4"/>
            <w:vAlign w:val="center"/>
          </w:tcPr>
          <w:p w14:paraId="2B46BECA">
            <w:pPr>
              <w:spacing w:line="360" w:lineRule="auto"/>
              <w:jc w:val="center"/>
              <w:rPr>
                <w:rFonts w:hint="eastAsia" w:cs="宋体"/>
                <w:sz w:val="24"/>
              </w:rPr>
            </w:pPr>
          </w:p>
        </w:tc>
      </w:tr>
      <w:tr w14:paraId="6D2D64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56A97333">
            <w:pPr>
              <w:spacing w:line="360" w:lineRule="auto"/>
              <w:jc w:val="center"/>
              <w:rPr>
                <w:rFonts w:hint="eastAsia" w:cs="宋体"/>
                <w:sz w:val="24"/>
              </w:rPr>
            </w:pPr>
            <w:r>
              <w:rPr>
                <w:rFonts w:hint="eastAsia" w:cs="宋体"/>
                <w:sz w:val="24"/>
              </w:rPr>
              <w:t>注册资本金</w:t>
            </w:r>
          </w:p>
        </w:tc>
        <w:tc>
          <w:tcPr>
            <w:tcW w:w="7320" w:type="dxa"/>
            <w:gridSpan w:val="4"/>
            <w:vAlign w:val="center"/>
          </w:tcPr>
          <w:p w14:paraId="3DB53E8C">
            <w:pPr>
              <w:spacing w:line="360" w:lineRule="auto"/>
              <w:jc w:val="center"/>
              <w:rPr>
                <w:rFonts w:hint="eastAsia" w:cs="宋体"/>
                <w:sz w:val="24"/>
              </w:rPr>
            </w:pPr>
          </w:p>
        </w:tc>
      </w:tr>
      <w:tr w14:paraId="3FD3F3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0178C5A2">
            <w:pPr>
              <w:spacing w:line="360" w:lineRule="auto"/>
              <w:jc w:val="center"/>
              <w:rPr>
                <w:rFonts w:hint="eastAsia" w:cs="宋体"/>
                <w:sz w:val="24"/>
              </w:rPr>
            </w:pPr>
            <w:r>
              <w:rPr>
                <w:rFonts w:hint="eastAsia" w:cs="宋体"/>
                <w:sz w:val="24"/>
              </w:rPr>
              <w:t>开户银行</w:t>
            </w:r>
          </w:p>
        </w:tc>
        <w:tc>
          <w:tcPr>
            <w:tcW w:w="7320" w:type="dxa"/>
            <w:gridSpan w:val="4"/>
            <w:vAlign w:val="center"/>
          </w:tcPr>
          <w:p w14:paraId="11428423">
            <w:pPr>
              <w:spacing w:line="360" w:lineRule="auto"/>
              <w:jc w:val="center"/>
              <w:rPr>
                <w:rFonts w:hint="eastAsia" w:cs="宋体"/>
                <w:sz w:val="24"/>
              </w:rPr>
            </w:pPr>
          </w:p>
        </w:tc>
      </w:tr>
      <w:tr w14:paraId="15200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41354BD3">
            <w:pPr>
              <w:spacing w:line="360" w:lineRule="auto"/>
              <w:jc w:val="center"/>
              <w:rPr>
                <w:rFonts w:hint="eastAsia" w:cs="宋体"/>
                <w:sz w:val="24"/>
              </w:rPr>
            </w:pPr>
            <w:r>
              <w:rPr>
                <w:rFonts w:hint="eastAsia" w:cs="宋体"/>
                <w:sz w:val="24"/>
              </w:rPr>
              <w:t>账号</w:t>
            </w:r>
          </w:p>
        </w:tc>
        <w:tc>
          <w:tcPr>
            <w:tcW w:w="7320" w:type="dxa"/>
            <w:gridSpan w:val="4"/>
            <w:vAlign w:val="center"/>
          </w:tcPr>
          <w:p w14:paraId="34AABCF6">
            <w:pPr>
              <w:spacing w:line="360" w:lineRule="auto"/>
              <w:jc w:val="center"/>
              <w:rPr>
                <w:rFonts w:hint="eastAsia" w:cs="宋体"/>
                <w:sz w:val="24"/>
              </w:rPr>
            </w:pPr>
          </w:p>
        </w:tc>
      </w:tr>
      <w:tr w14:paraId="322538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843" w:type="dxa"/>
            <w:vAlign w:val="center"/>
          </w:tcPr>
          <w:p w14:paraId="086CD6D3">
            <w:pPr>
              <w:spacing w:line="360" w:lineRule="auto"/>
              <w:jc w:val="center"/>
              <w:rPr>
                <w:rFonts w:hint="eastAsia" w:cs="宋体"/>
                <w:sz w:val="24"/>
              </w:rPr>
            </w:pPr>
            <w:r>
              <w:rPr>
                <w:rFonts w:hint="eastAsia" w:cs="宋体"/>
                <w:sz w:val="24"/>
              </w:rPr>
              <w:t>经营范围</w:t>
            </w:r>
          </w:p>
        </w:tc>
        <w:tc>
          <w:tcPr>
            <w:tcW w:w="7320" w:type="dxa"/>
            <w:gridSpan w:val="4"/>
            <w:vAlign w:val="center"/>
          </w:tcPr>
          <w:p w14:paraId="527A1FDD">
            <w:pPr>
              <w:spacing w:line="360" w:lineRule="auto"/>
              <w:jc w:val="center"/>
              <w:rPr>
                <w:rFonts w:hint="eastAsia" w:cs="宋体"/>
                <w:sz w:val="24"/>
              </w:rPr>
            </w:pPr>
          </w:p>
        </w:tc>
      </w:tr>
      <w:tr w14:paraId="2F096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1843" w:type="dxa"/>
            <w:vAlign w:val="center"/>
          </w:tcPr>
          <w:p w14:paraId="58F570D2">
            <w:pPr>
              <w:spacing w:line="360" w:lineRule="auto"/>
              <w:jc w:val="center"/>
              <w:rPr>
                <w:rFonts w:hint="eastAsia" w:cs="宋体"/>
                <w:sz w:val="24"/>
              </w:rPr>
            </w:pPr>
            <w:r>
              <w:rPr>
                <w:rFonts w:hint="eastAsia" w:cs="宋体"/>
                <w:sz w:val="24"/>
              </w:rPr>
              <w:t>备    注</w:t>
            </w:r>
          </w:p>
        </w:tc>
        <w:tc>
          <w:tcPr>
            <w:tcW w:w="7320" w:type="dxa"/>
            <w:gridSpan w:val="4"/>
            <w:vAlign w:val="center"/>
          </w:tcPr>
          <w:p w14:paraId="5AF61ED3">
            <w:pPr>
              <w:spacing w:line="360" w:lineRule="auto"/>
              <w:jc w:val="center"/>
              <w:rPr>
                <w:rFonts w:hint="eastAsia" w:cs="宋体"/>
                <w:sz w:val="24"/>
              </w:rPr>
            </w:pPr>
          </w:p>
        </w:tc>
      </w:tr>
    </w:tbl>
    <w:p w14:paraId="178601E9">
      <w:pPr>
        <w:pStyle w:val="332"/>
        <w:spacing w:line="360" w:lineRule="auto"/>
        <w:ind w:firstLine="0" w:firstLineChars="0"/>
        <w:rPr>
          <w:rFonts w:hint="eastAsia" w:ascii="宋体" w:hAnsi="宋体" w:cs="宋体"/>
          <w:sz w:val="21"/>
          <w:szCs w:val="21"/>
        </w:rPr>
      </w:pPr>
      <w:r>
        <w:rPr>
          <w:rFonts w:hint="eastAsia" w:ascii="宋体" w:hAnsi="宋体" w:cs="宋体"/>
          <w:sz w:val="21"/>
          <w:szCs w:val="21"/>
        </w:rPr>
        <w:t>注：1、后附单位营业执照（事业单位法人证书）或其他主体资格证明文件、开户许可证等相关资料复印件（扫描件）。2、本表格中的具体内容投标人可根据实际情况进行修改，但应包含上述内容。3、此表所列情况应为投标人的真实情况。</w:t>
      </w:r>
    </w:p>
    <w:p w14:paraId="0B040BE8">
      <w:pPr>
        <w:pStyle w:val="11"/>
        <w:overflowPunct w:val="0"/>
        <w:spacing w:line="360" w:lineRule="auto"/>
        <w:rPr>
          <w:rFonts w:hint="eastAsia" w:cs="宋体"/>
          <w:sz w:val="24"/>
        </w:rPr>
      </w:pPr>
      <w:bookmarkStart w:id="251" w:name="_Toc29053"/>
      <w:r>
        <w:rPr>
          <w:rFonts w:hint="eastAsia" w:cs="宋体"/>
          <w:sz w:val="24"/>
        </w:rPr>
        <w:t>投标人（电子签章）：</w:t>
      </w:r>
      <w:r>
        <w:rPr>
          <w:rFonts w:hint="eastAsia" w:cs="宋体"/>
          <w:sz w:val="24"/>
          <w:u w:val="single"/>
        </w:rPr>
        <w:t xml:space="preserve">                </w:t>
      </w:r>
      <w:r>
        <w:rPr>
          <w:rFonts w:hint="eastAsia" w:cs="宋体"/>
          <w:sz w:val="24"/>
        </w:rPr>
        <w:t xml:space="preserve"> </w:t>
      </w:r>
    </w:p>
    <w:p w14:paraId="354988F7">
      <w:pPr>
        <w:pStyle w:val="11"/>
        <w:overflowPunct w:val="0"/>
        <w:spacing w:line="360" w:lineRule="auto"/>
        <w:rPr>
          <w:rFonts w:hint="eastAsia" w:cs="宋体"/>
          <w:sz w:val="24"/>
        </w:rPr>
      </w:pPr>
      <w:r>
        <w:rPr>
          <w:rFonts w:hint="eastAsia" w:cs="宋体"/>
          <w:sz w:val="24"/>
        </w:rPr>
        <w:t>法定代表人或委托代理人（电子签章或电子签名）：</w:t>
      </w:r>
      <w:r>
        <w:rPr>
          <w:rFonts w:hint="eastAsia" w:cs="宋体"/>
          <w:sz w:val="24"/>
          <w:u w:val="single"/>
        </w:rPr>
        <w:t xml:space="preserve">                   </w:t>
      </w:r>
      <w:r>
        <w:rPr>
          <w:rFonts w:hint="eastAsia" w:cs="宋体"/>
          <w:sz w:val="24"/>
        </w:rPr>
        <w:t xml:space="preserve"> </w:t>
      </w:r>
    </w:p>
    <w:p w14:paraId="611842B8">
      <w:pPr>
        <w:pStyle w:val="11"/>
        <w:overflowPunct w:val="0"/>
        <w:spacing w:line="360" w:lineRule="auto"/>
        <w:rPr>
          <w:rFonts w:hint="eastAsia" w:cs="宋体"/>
          <w:sz w:val="24"/>
        </w:rPr>
      </w:pPr>
      <w:r>
        <w:rPr>
          <w:rFonts w:hint="eastAsia" w:cs="宋体"/>
          <w:sz w:val="24"/>
        </w:rPr>
        <w:t>日    期：</w:t>
      </w:r>
      <w:r>
        <w:rPr>
          <w:rFonts w:hint="eastAsia" w:cs="宋体"/>
          <w:sz w:val="24"/>
          <w:u w:val="single"/>
        </w:rPr>
        <w:t xml:space="preserve">      </w:t>
      </w:r>
      <w:r>
        <w:rPr>
          <w:rFonts w:hint="eastAsia" w:cs="宋体"/>
          <w:sz w:val="24"/>
        </w:rPr>
        <w:t>年</w:t>
      </w:r>
      <w:r>
        <w:rPr>
          <w:rFonts w:hint="eastAsia" w:cs="宋体"/>
          <w:sz w:val="24"/>
          <w:u w:val="single"/>
        </w:rPr>
        <w:tab/>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u w:val="single"/>
        </w:rPr>
        <w:tab/>
      </w:r>
      <w:r>
        <w:rPr>
          <w:rFonts w:hint="eastAsia" w:cs="宋体"/>
          <w:sz w:val="24"/>
          <w:u w:val="single"/>
        </w:rPr>
        <w:t xml:space="preserve">   </w:t>
      </w:r>
      <w:r>
        <w:rPr>
          <w:rFonts w:hint="eastAsia" w:cs="宋体"/>
          <w:sz w:val="24"/>
        </w:rPr>
        <w:t>日</w:t>
      </w:r>
      <w:bookmarkStart w:id="252" w:name="_Toc6576"/>
      <w:bookmarkStart w:id="253" w:name="_Toc9027"/>
      <w:bookmarkStart w:id="254" w:name="_Toc32132"/>
    </w:p>
    <w:p w14:paraId="7AC4889F">
      <w:pPr>
        <w:pStyle w:val="6"/>
        <w:numPr>
          <w:ilvl w:val="1"/>
          <w:numId w:val="0"/>
        </w:numPr>
        <w:tabs>
          <w:tab w:val="clear" w:pos="596"/>
        </w:tabs>
        <w:ind w:left="596" w:hanging="596"/>
        <w:jc w:val="center"/>
        <w:rPr>
          <w:rFonts w:hint="eastAsia" w:eastAsia="宋体" w:cs="宋体"/>
        </w:rPr>
      </w:pPr>
      <w:bookmarkStart w:id="255" w:name="_Toc10072"/>
      <w:r>
        <w:rPr>
          <w:rFonts w:hint="eastAsia" w:eastAsia="宋体" w:cs="宋体"/>
        </w:rPr>
        <w:t>（二）具有履行合同所必需的设备和专业技术能力</w:t>
      </w:r>
      <w:bookmarkEnd w:id="251"/>
      <w:bookmarkEnd w:id="252"/>
      <w:bookmarkEnd w:id="253"/>
      <w:bookmarkEnd w:id="254"/>
      <w:bookmarkEnd w:id="255"/>
    </w:p>
    <w:p w14:paraId="60BA3EA9">
      <w:pPr>
        <w:spacing w:line="360" w:lineRule="auto"/>
        <w:jc w:val="center"/>
        <w:rPr>
          <w:rFonts w:hint="eastAsia" w:cs="宋体"/>
          <w:sz w:val="24"/>
        </w:rPr>
      </w:pPr>
      <w:r>
        <w:rPr>
          <w:rFonts w:hint="eastAsia" w:cs="宋体"/>
          <w:sz w:val="24"/>
        </w:rPr>
        <w:t>（提供书面声明，格式自拟或相关证明材料）</w:t>
      </w:r>
    </w:p>
    <w:p w14:paraId="6402BFD2">
      <w:pPr>
        <w:spacing w:line="360" w:lineRule="auto"/>
        <w:jc w:val="center"/>
        <w:rPr>
          <w:rFonts w:hint="eastAsia" w:cs="宋体"/>
          <w:sz w:val="24"/>
        </w:rPr>
      </w:pPr>
    </w:p>
    <w:p w14:paraId="5885C0BE">
      <w:pPr>
        <w:pStyle w:val="6"/>
        <w:numPr>
          <w:ilvl w:val="1"/>
          <w:numId w:val="0"/>
        </w:numPr>
        <w:tabs>
          <w:tab w:val="clear" w:pos="596"/>
        </w:tabs>
        <w:ind w:left="596" w:hanging="596"/>
        <w:jc w:val="center"/>
        <w:rPr>
          <w:rFonts w:hint="eastAsia" w:eastAsia="宋体" w:cs="宋体"/>
        </w:rPr>
      </w:pPr>
      <w:bookmarkStart w:id="256" w:name="_Toc2518"/>
      <w:bookmarkStart w:id="257" w:name="_Toc5717"/>
      <w:bookmarkStart w:id="258" w:name="_Toc12661"/>
      <w:bookmarkStart w:id="259" w:name="_Toc21467"/>
      <w:bookmarkStart w:id="260" w:name="_Toc22402"/>
      <w:r>
        <w:rPr>
          <w:rFonts w:hint="eastAsia" w:eastAsia="宋体" w:cs="宋体"/>
        </w:rPr>
        <w:t>（三）企业商业信誉良好</w:t>
      </w:r>
      <w:bookmarkEnd w:id="256"/>
      <w:bookmarkEnd w:id="257"/>
      <w:bookmarkEnd w:id="258"/>
      <w:bookmarkEnd w:id="259"/>
      <w:bookmarkEnd w:id="260"/>
    </w:p>
    <w:p w14:paraId="1E40109E">
      <w:pPr>
        <w:numPr>
          <w:ilvl w:val="0"/>
          <w:numId w:val="9"/>
        </w:numPr>
        <w:spacing w:line="360" w:lineRule="auto"/>
        <w:jc w:val="left"/>
        <w:rPr>
          <w:rFonts w:hint="eastAsia" w:cs="宋体"/>
          <w:sz w:val="24"/>
        </w:rPr>
      </w:pPr>
      <w:r>
        <w:rPr>
          <w:rFonts w:hint="eastAsia" w:cs="宋体"/>
          <w:sz w:val="24"/>
        </w:rPr>
        <w:t>没有被处于被责令停产，财产被冻结、接管、破产状态，近三年在经营活动中没有重大违法记录。</w:t>
      </w:r>
    </w:p>
    <w:p w14:paraId="1ACA3DD7">
      <w:pPr>
        <w:numPr>
          <w:ilvl w:val="0"/>
          <w:numId w:val="9"/>
        </w:numPr>
        <w:spacing w:line="360" w:lineRule="auto"/>
        <w:jc w:val="left"/>
        <w:rPr>
          <w:rFonts w:hint="eastAsia" w:cs="宋体"/>
          <w:sz w:val="24"/>
        </w:rPr>
      </w:pPr>
      <w:r>
        <w:rPr>
          <w:rFonts w:hint="eastAsia" w:cs="宋体"/>
          <w:sz w:val="24"/>
        </w:rPr>
        <w:t>投标人在投标截止时间前未被列入“信用中国”网站（www.creditchina.gov.cn）失信被执行人、重大税收违法失信主体、政府采购严重违法失信行为记录名单及中国政府采购网 (www.ccgp.gov.cn)“政府采购严重违法失信行为信息记录”。</w:t>
      </w:r>
    </w:p>
    <w:p w14:paraId="5BB31CAC">
      <w:pPr>
        <w:numPr>
          <w:ilvl w:val="2"/>
          <w:numId w:val="0"/>
        </w:numPr>
        <w:spacing w:line="360" w:lineRule="auto"/>
        <w:ind w:left="596" w:hanging="596"/>
        <w:jc w:val="center"/>
        <w:rPr>
          <w:rFonts w:hint="eastAsia" w:cs="宋体"/>
          <w:kern w:val="0"/>
          <w:sz w:val="28"/>
        </w:rPr>
      </w:pPr>
      <w:bookmarkStart w:id="261" w:name="_Toc14532"/>
      <w:bookmarkStart w:id="262" w:name="_Toc15954"/>
      <w:bookmarkStart w:id="263" w:name="_Toc437"/>
      <w:bookmarkStart w:id="264" w:name="_Toc21263"/>
      <w:bookmarkStart w:id="265" w:name="_Toc27287"/>
      <w:bookmarkStart w:id="266" w:name="_Toc18665"/>
      <w:bookmarkStart w:id="267" w:name="_Toc25131"/>
      <w:bookmarkStart w:id="268" w:name="_Toc6130"/>
    </w:p>
    <w:p w14:paraId="015FDBD6">
      <w:pPr>
        <w:pStyle w:val="7"/>
        <w:numPr>
          <w:ilvl w:val="2"/>
          <w:numId w:val="0"/>
        </w:numPr>
        <w:tabs>
          <w:tab w:val="clear" w:pos="360"/>
          <w:tab w:val="clear" w:pos="900"/>
          <w:tab w:val="clear" w:pos="1588"/>
        </w:tabs>
        <w:ind w:left="596" w:hanging="596"/>
        <w:jc w:val="center"/>
        <w:rPr>
          <w:rFonts w:hint="eastAsia" w:eastAsia="宋体" w:cs="宋体"/>
        </w:rPr>
      </w:pPr>
      <w:bookmarkStart w:id="269" w:name="_Toc3695"/>
      <w:r>
        <w:rPr>
          <w:rFonts w:hint="eastAsia" w:eastAsia="宋体" w:cs="宋体"/>
        </w:rPr>
        <w:t>附一：关于投标文件的声明</w:t>
      </w:r>
      <w:bookmarkEnd w:id="261"/>
      <w:bookmarkEnd w:id="262"/>
      <w:bookmarkEnd w:id="263"/>
      <w:bookmarkEnd w:id="264"/>
      <w:bookmarkEnd w:id="265"/>
      <w:bookmarkEnd w:id="266"/>
      <w:bookmarkEnd w:id="267"/>
      <w:bookmarkEnd w:id="268"/>
      <w:bookmarkEnd w:id="269"/>
    </w:p>
    <w:p w14:paraId="5581630E">
      <w:pPr>
        <w:spacing w:line="360" w:lineRule="auto"/>
        <w:rPr>
          <w:rFonts w:hint="eastAsia" w:cs="宋体"/>
        </w:rPr>
      </w:pPr>
    </w:p>
    <w:p w14:paraId="5FC1E069">
      <w:pPr>
        <w:spacing w:line="360" w:lineRule="auto"/>
        <w:rPr>
          <w:rFonts w:hint="eastAsia" w:cs="宋体"/>
        </w:rPr>
      </w:pPr>
    </w:p>
    <w:p w14:paraId="2BCAF6A9">
      <w:pPr>
        <w:pStyle w:val="11"/>
        <w:overflowPunct w:val="0"/>
        <w:spacing w:line="360" w:lineRule="auto"/>
        <w:rPr>
          <w:rFonts w:hint="eastAsia" w:cs="宋体"/>
        </w:rPr>
      </w:pPr>
      <w:r>
        <w:rPr>
          <w:rFonts w:hint="eastAsia" w:cs="宋体"/>
          <w:sz w:val="24"/>
          <w:u w:val="single"/>
        </w:rPr>
        <w:t>（采购人）</w:t>
      </w:r>
      <w:r>
        <w:rPr>
          <w:rFonts w:hint="eastAsia" w:cs="宋体"/>
        </w:rPr>
        <w:t>：</w:t>
      </w:r>
    </w:p>
    <w:p w14:paraId="2465750F">
      <w:pPr>
        <w:pStyle w:val="11"/>
        <w:overflowPunct w:val="0"/>
        <w:spacing w:line="360" w:lineRule="auto"/>
        <w:ind w:firstLine="480"/>
        <w:rPr>
          <w:rFonts w:hint="eastAsia" w:cs="宋体"/>
          <w:sz w:val="24"/>
        </w:rPr>
      </w:pPr>
      <w:r>
        <w:rPr>
          <w:rFonts w:hint="eastAsia" w:cs="宋体"/>
          <w:sz w:val="24"/>
        </w:rPr>
        <w:t>公司愿就由贵单位组织实施的编号为</w:t>
      </w:r>
      <w:r>
        <w:rPr>
          <w:rFonts w:hint="eastAsia" w:cs="宋体"/>
          <w:sz w:val="24"/>
          <w:u w:val="single"/>
        </w:rPr>
        <w:t xml:space="preserve">  （项目编号）    </w:t>
      </w:r>
      <w:r>
        <w:rPr>
          <w:rFonts w:hint="eastAsia" w:cs="宋体"/>
          <w:sz w:val="24"/>
        </w:rPr>
        <w:t xml:space="preserve">的 </w:t>
      </w:r>
      <w:r>
        <w:rPr>
          <w:rFonts w:hint="eastAsia" w:cs="宋体"/>
          <w:sz w:val="24"/>
          <w:u w:val="single"/>
        </w:rPr>
        <w:t xml:space="preserve">    （项目名称） </w:t>
      </w:r>
      <w:r>
        <w:rPr>
          <w:rFonts w:hint="eastAsia" w:cs="宋体"/>
          <w:sz w:val="24"/>
        </w:rPr>
        <w:t>采购活动进行投标。本公司郑重声明：</w:t>
      </w:r>
    </w:p>
    <w:p w14:paraId="634874BF">
      <w:pPr>
        <w:pStyle w:val="11"/>
        <w:overflowPunct w:val="0"/>
        <w:spacing w:line="360" w:lineRule="auto"/>
        <w:ind w:firstLine="480"/>
        <w:rPr>
          <w:rFonts w:hint="eastAsia" w:cs="宋体"/>
          <w:bCs/>
          <w:sz w:val="24"/>
        </w:rPr>
      </w:pPr>
      <w:r>
        <w:rPr>
          <w:rFonts w:hint="eastAsia" w:cs="宋体"/>
          <w:sz w:val="24"/>
        </w:rPr>
        <w:t>1、本公司</w:t>
      </w:r>
      <w:r>
        <w:rPr>
          <w:rFonts w:hint="eastAsia" w:cs="宋体"/>
          <w:bCs/>
          <w:sz w:val="24"/>
        </w:rPr>
        <w:t>没有被处于被责令停产，财产被冻结、接管、破产状态，近三年在经营活动中没有重大违法记录。</w:t>
      </w:r>
    </w:p>
    <w:p w14:paraId="6DB3BB58">
      <w:pPr>
        <w:pStyle w:val="11"/>
        <w:overflowPunct w:val="0"/>
        <w:spacing w:line="360" w:lineRule="auto"/>
        <w:ind w:firstLine="480"/>
        <w:rPr>
          <w:rFonts w:hint="eastAsia" w:cs="宋体"/>
          <w:bCs/>
          <w:sz w:val="24"/>
        </w:rPr>
      </w:pPr>
      <w:r>
        <w:rPr>
          <w:rFonts w:hint="eastAsia" w:cs="宋体"/>
          <w:sz w:val="24"/>
        </w:rPr>
        <w:t>2、本公司未被列入“信用中国”网站（www.creditchina.gov.cn）失信被执行人、重大税收违法失信主体及“中国政府采购网”（www.ccgp.gov.cn）政府采购严重违法失信行为信息记录。</w:t>
      </w:r>
    </w:p>
    <w:p w14:paraId="232717C1">
      <w:pPr>
        <w:pStyle w:val="11"/>
        <w:overflowPunct w:val="0"/>
        <w:spacing w:line="360" w:lineRule="auto"/>
        <w:ind w:firstLine="480"/>
        <w:rPr>
          <w:rFonts w:hint="eastAsia" w:cs="宋体"/>
          <w:sz w:val="24"/>
        </w:rPr>
      </w:pPr>
      <w:r>
        <w:rPr>
          <w:rFonts w:hint="eastAsia" w:cs="宋体"/>
          <w:bCs/>
          <w:sz w:val="24"/>
        </w:rPr>
        <w:t>3、本公司</w:t>
      </w:r>
      <w:r>
        <w:rPr>
          <w:rFonts w:hint="eastAsia" w:cs="宋体"/>
          <w:sz w:val="24"/>
        </w:rPr>
        <w:t>所提交的投标文件中所有关于投标资格的文件、证明和陈述均是真实的、准确的。若与真实情况不符，本公司愿意承担由此而产生的一切后果。</w:t>
      </w:r>
    </w:p>
    <w:p w14:paraId="2DC71976">
      <w:pPr>
        <w:pStyle w:val="11"/>
        <w:overflowPunct w:val="0"/>
        <w:spacing w:line="360" w:lineRule="auto"/>
        <w:ind w:firstLine="480"/>
        <w:rPr>
          <w:rFonts w:hint="eastAsia" w:cs="宋体"/>
          <w:sz w:val="24"/>
        </w:rPr>
      </w:pPr>
      <w:r>
        <w:rPr>
          <w:rFonts w:hint="eastAsia" w:cs="宋体"/>
          <w:sz w:val="24"/>
        </w:rPr>
        <w:t>注：附相关网站查询结果（若有）。</w:t>
      </w:r>
    </w:p>
    <w:p w14:paraId="4A288F3F">
      <w:pPr>
        <w:pStyle w:val="11"/>
        <w:overflowPunct w:val="0"/>
        <w:spacing w:line="360" w:lineRule="auto"/>
        <w:ind w:firstLine="480"/>
        <w:rPr>
          <w:rFonts w:hint="eastAsia" w:cs="宋体"/>
          <w:sz w:val="24"/>
        </w:rPr>
      </w:pPr>
    </w:p>
    <w:p w14:paraId="110C3364">
      <w:pPr>
        <w:pStyle w:val="11"/>
        <w:overflowPunct w:val="0"/>
        <w:spacing w:line="360" w:lineRule="auto"/>
        <w:rPr>
          <w:rFonts w:hint="eastAsia" w:cs="宋体"/>
          <w:sz w:val="24"/>
        </w:rPr>
      </w:pPr>
      <w:r>
        <w:rPr>
          <w:rFonts w:hint="eastAsia" w:cs="宋体"/>
          <w:sz w:val="24"/>
        </w:rPr>
        <w:t>投标人（电子签章）：</w:t>
      </w:r>
      <w:r>
        <w:rPr>
          <w:rFonts w:hint="eastAsia" w:cs="宋体"/>
          <w:sz w:val="24"/>
          <w:u w:val="single"/>
        </w:rPr>
        <w:t xml:space="preserve">                </w:t>
      </w:r>
      <w:r>
        <w:rPr>
          <w:rFonts w:hint="eastAsia" w:cs="宋体"/>
          <w:sz w:val="24"/>
        </w:rPr>
        <w:t xml:space="preserve"> </w:t>
      </w:r>
    </w:p>
    <w:p w14:paraId="1C1C2C17">
      <w:pPr>
        <w:pStyle w:val="11"/>
        <w:overflowPunct w:val="0"/>
        <w:spacing w:line="360" w:lineRule="auto"/>
        <w:rPr>
          <w:rFonts w:hint="eastAsia" w:cs="宋体"/>
          <w:sz w:val="24"/>
        </w:rPr>
      </w:pPr>
      <w:r>
        <w:rPr>
          <w:rFonts w:hint="eastAsia" w:cs="宋体"/>
          <w:sz w:val="24"/>
        </w:rPr>
        <w:t>法定代表人或委托代理人（电子签章或电子签名）：</w:t>
      </w:r>
      <w:r>
        <w:rPr>
          <w:rFonts w:hint="eastAsia" w:cs="宋体"/>
          <w:sz w:val="24"/>
          <w:u w:val="single"/>
        </w:rPr>
        <w:t xml:space="preserve">                   </w:t>
      </w:r>
      <w:r>
        <w:rPr>
          <w:rFonts w:hint="eastAsia" w:cs="宋体"/>
          <w:sz w:val="24"/>
        </w:rPr>
        <w:t xml:space="preserve">  </w:t>
      </w:r>
    </w:p>
    <w:p w14:paraId="7FD440FF">
      <w:pPr>
        <w:pStyle w:val="11"/>
        <w:overflowPunct w:val="0"/>
        <w:spacing w:line="360" w:lineRule="auto"/>
        <w:rPr>
          <w:rFonts w:hint="eastAsia" w:cs="宋体"/>
          <w:sz w:val="24"/>
        </w:rPr>
      </w:pPr>
      <w:r>
        <w:rPr>
          <w:rFonts w:hint="eastAsia" w:cs="宋体"/>
          <w:sz w:val="24"/>
        </w:rPr>
        <w:t>日    期：</w:t>
      </w:r>
      <w:r>
        <w:rPr>
          <w:rFonts w:hint="eastAsia" w:cs="宋体"/>
          <w:sz w:val="24"/>
          <w:u w:val="single"/>
        </w:rPr>
        <w:t xml:space="preserve">      </w:t>
      </w:r>
      <w:r>
        <w:rPr>
          <w:rFonts w:hint="eastAsia" w:cs="宋体"/>
          <w:sz w:val="24"/>
        </w:rPr>
        <w:t>年</w:t>
      </w:r>
      <w:r>
        <w:rPr>
          <w:rFonts w:hint="eastAsia" w:cs="宋体"/>
          <w:sz w:val="24"/>
          <w:u w:val="single"/>
        </w:rPr>
        <w:tab/>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u w:val="single"/>
        </w:rPr>
        <w:tab/>
      </w:r>
      <w:r>
        <w:rPr>
          <w:rFonts w:hint="eastAsia" w:cs="宋体"/>
          <w:sz w:val="24"/>
          <w:u w:val="single"/>
        </w:rPr>
        <w:t xml:space="preserve">   </w:t>
      </w:r>
      <w:r>
        <w:rPr>
          <w:rFonts w:hint="eastAsia" w:cs="宋体"/>
          <w:sz w:val="24"/>
        </w:rPr>
        <w:t>日</w:t>
      </w:r>
      <w:bookmarkStart w:id="270" w:name="_Toc18104"/>
      <w:bookmarkStart w:id="271" w:name="_Toc26601"/>
      <w:bookmarkStart w:id="272" w:name="_Toc519"/>
      <w:bookmarkStart w:id="273" w:name="_Toc25200"/>
      <w:bookmarkStart w:id="274" w:name="_Toc14465"/>
      <w:bookmarkStart w:id="275" w:name="_Toc29471"/>
      <w:bookmarkStart w:id="276" w:name="_Toc8815"/>
      <w:bookmarkStart w:id="277" w:name="_Toc8093"/>
    </w:p>
    <w:p w14:paraId="0CCE8441">
      <w:pPr>
        <w:spacing w:line="360" w:lineRule="auto"/>
        <w:rPr>
          <w:rFonts w:hint="eastAsia" w:cs="宋体"/>
          <w:sz w:val="24"/>
        </w:rPr>
      </w:pPr>
      <w:r>
        <w:rPr>
          <w:rFonts w:hint="eastAsia" w:cs="宋体"/>
          <w:sz w:val="24"/>
        </w:rPr>
        <w:br w:type="page"/>
      </w:r>
    </w:p>
    <w:p w14:paraId="69B470C7">
      <w:pPr>
        <w:pStyle w:val="7"/>
        <w:numPr>
          <w:ilvl w:val="1"/>
          <w:numId w:val="0"/>
        </w:numPr>
        <w:tabs>
          <w:tab w:val="clear" w:pos="360"/>
          <w:tab w:val="clear" w:pos="900"/>
          <w:tab w:val="clear" w:pos="1588"/>
        </w:tabs>
        <w:ind w:left="596" w:hanging="596"/>
        <w:jc w:val="center"/>
        <w:rPr>
          <w:rFonts w:hint="eastAsia" w:eastAsia="宋体" w:cs="宋体"/>
        </w:rPr>
      </w:pPr>
      <w:bookmarkStart w:id="278" w:name="_Toc17238"/>
      <w:r>
        <w:rPr>
          <w:rFonts w:hint="eastAsia" w:eastAsia="宋体" w:cs="宋体"/>
        </w:rPr>
        <w:t>附二：履约情况说明</w:t>
      </w:r>
      <w:bookmarkEnd w:id="270"/>
      <w:bookmarkEnd w:id="271"/>
      <w:bookmarkEnd w:id="272"/>
      <w:bookmarkEnd w:id="273"/>
      <w:bookmarkEnd w:id="274"/>
      <w:bookmarkEnd w:id="275"/>
      <w:bookmarkEnd w:id="276"/>
      <w:bookmarkEnd w:id="277"/>
      <w:bookmarkEnd w:id="278"/>
    </w:p>
    <w:p w14:paraId="4A5760DA">
      <w:pPr>
        <w:spacing w:line="360" w:lineRule="auto"/>
        <w:rPr>
          <w:rFonts w:hint="eastAsia" w:cs="宋体"/>
          <w:sz w:val="24"/>
        </w:rPr>
      </w:pPr>
      <w:r>
        <w:rPr>
          <w:rFonts w:hint="eastAsia" w:cs="宋体"/>
          <w:sz w:val="24"/>
        </w:rPr>
        <w:t>致：</w:t>
      </w:r>
      <w:r>
        <w:rPr>
          <w:rFonts w:hint="eastAsia" w:cs="宋体"/>
          <w:sz w:val="24"/>
          <w:u w:val="single"/>
        </w:rPr>
        <w:t xml:space="preserve">                  （采购人名称）</w:t>
      </w:r>
    </w:p>
    <w:p w14:paraId="152B6DE1">
      <w:pPr>
        <w:pStyle w:val="11"/>
        <w:overflowPunct w:val="0"/>
        <w:spacing w:line="360" w:lineRule="auto"/>
        <w:rPr>
          <w:rFonts w:hint="eastAsia" w:cs="宋体"/>
          <w:sz w:val="24"/>
        </w:rPr>
      </w:pPr>
      <w:r>
        <w:rPr>
          <w:rFonts w:hint="eastAsia" w:cs="宋体"/>
          <w:sz w:val="24"/>
        </w:rPr>
        <w:t>我公司参加</w:t>
      </w:r>
      <w:r>
        <w:rPr>
          <w:rFonts w:hint="eastAsia" w:cs="宋体"/>
          <w:sz w:val="24"/>
          <w:u w:val="single"/>
        </w:rPr>
        <w:t xml:space="preserve">     （项目名称）       </w:t>
      </w:r>
      <w:r>
        <w:rPr>
          <w:rFonts w:hint="eastAsia" w:cs="宋体"/>
          <w:sz w:val="24"/>
        </w:rPr>
        <w:t>的投标活动，当前我公司（此处填写“有”或“无”） 违约或不当履约引起的合同中止、纠纷、争议、仲裁和诉讼记录。（如有诉讼事件，投标人须承诺涉及诉讼事件不影响本投标人在本次项目的履约能力）。</w:t>
      </w:r>
    </w:p>
    <w:p w14:paraId="3E230CAE">
      <w:pPr>
        <w:pStyle w:val="11"/>
        <w:overflowPunct w:val="0"/>
        <w:spacing w:line="360" w:lineRule="auto"/>
        <w:rPr>
          <w:rFonts w:hint="eastAsia" w:cs="宋体"/>
          <w:sz w:val="24"/>
        </w:rPr>
      </w:pPr>
    </w:p>
    <w:p w14:paraId="61AA5509">
      <w:pPr>
        <w:pStyle w:val="11"/>
        <w:overflowPunct w:val="0"/>
        <w:spacing w:line="360" w:lineRule="auto"/>
        <w:rPr>
          <w:rFonts w:hint="eastAsia" w:cs="宋体"/>
          <w:sz w:val="24"/>
        </w:rPr>
      </w:pPr>
      <w:r>
        <w:rPr>
          <w:rFonts w:hint="eastAsia" w:cs="宋体"/>
          <w:sz w:val="24"/>
        </w:rPr>
        <w:t>投标人（电子签章）：</w:t>
      </w:r>
      <w:r>
        <w:rPr>
          <w:rFonts w:hint="eastAsia" w:cs="宋体"/>
          <w:sz w:val="24"/>
          <w:u w:val="single"/>
        </w:rPr>
        <w:t xml:space="preserve">                </w:t>
      </w:r>
      <w:r>
        <w:rPr>
          <w:rFonts w:hint="eastAsia" w:cs="宋体"/>
          <w:sz w:val="24"/>
        </w:rPr>
        <w:t xml:space="preserve"> </w:t>
      </w:r>
    </w:p>
    <w:p w14:paraId="5E8D34B3">
      <w:pPr>
        <w:pStyle w:val="11"/>
        <w:overflowPunct w:val="0"/>
        <w:spacing w:line="360" w:lineRule="auto"/>
        <w:rPr>
          <w:rFonts w:hint="eastAsia" w:cs="宋体"/>
          <w:sz w:val="24"/>
        </w:rPr>
      </w:pPr>
      <w:r>
        <w:rPr>
          <w:rFonts w:hint="eastAsia" w:cs="宋体"/>
          <w:sz w:val="24"/>
        </w:rPr>
        <w:t>法定代表人或委托代理人（电子签章或电子签名）：</w:t>
      </w:r>
      <w:r>
        <w:rPr>
          <w:rFonts w:hint="eastAsia" w:cs="宋体"/>
          <w:sz w:val="24"/>
          <w:u w:val="single"/>
        </w:rPr>
        <w:t xml:space="preserve">                   </w:t>
      </w:r>
      <w:r>
        <w:rPr>
          <w:rFonts w:hint="eastAsia" w:cs="宋体"/>
          <w:sz w:val="24"/>
        </w:rPr>
        <w:t xml:space="preserve">  </w:t>
      </w:r>
    </w:p>
    <w:p w14:paraId="6A2BAF96">
      <w:pPr>
        <w:pStyle w:val="11"/>
        <w:overflowPunct w:val="0"/>
        <w:spacing w:line="360" w:lineRule="auto"/>
        <w:rPr>
          <w:rFonts w:hint="eastAsia" w:cs="宋体"/>
          <w:sz w:val="24"/>
        </w:rPr>
      </w:pPr>
      <w:r>
        <w:rPr>
          <w:rFonts w:hint="eastAsia" w:cs="宋体"/>
          <w:sz w:val="24"/>
        </w:rPr>
        <w:t>日    期：      年</w:t>
      </w:r>
      <w:r>
        <w:rPr>
          <w:rFonts w:hint="eastAsia" w:cs="宋体"/>
          <w:sz w:val="24"/>
        </w:rPr>
        <w:tab/>
      </w:r>
      <w:r>
        <w:rPr>
          <w:rFonts w:hint="eastAsia" w:cs="宋体"/>
          <w:sz w:val="24"/>
        </w:rPr>
        <w:t xml:space="preserve">   月 </w:t>
      </w:r>
      <w:r>
        <w:rPr>
          <w:rFonts w:hint="eastAsia" w:cs="宋体"/>
          <w:sz w:val="24"/>
        </w:rPr>
        <w:tab/>
      </w:r>
      <w:r>
        <w:rPr>
          <w:rFonts w:hint="eastAsia" w:cs="宋体"/>
          <w:sz w:val="24"/>
        </w:rPr>
        <w:t xml:space="preserve">   日</w:t>
      </w:r>
      <w:bookmarkStart w:id="279" w:name="_Toc14240"/>
      <w:bookmarkStart w:id="280" w:name="_Toc26151"/>
      <w:bookmarkStart w:id="281" w:name="_Toc716"/>
      <w:bookmarkStart w:id="282" w:name="_Toc25512"/>
    </w:p>
    <w:p w14:paraId="28FBF14C">
      <w:pPr>
        <w:pStyle w:val="11"/>
        <w:overflowPunct w:val="0"/>
        <w:spacing w:line="360" w:lineRule="auto"/>
        <w:rPr>
          <w:rFonts w:hint="eastAsia" w:cs="宋体"/>
          <w:sz w:val="24"/>
        </w:rPr>
      </w:pPr>
    </w:p>
    <w:p w14:paraId="6464C859">
      <w:pPr>
        <w:pStyle w:val="6"/>
        <w:numPr>
          <w:ilvl w:val="1"/>
          <w:numId w:val="0"/>
        </w:numPr>
        <w:tabs>
          <w:tab w:val="clear" w:pos="596"/>
        </w:tabs>
        <w:ind w:left="596" w:hanging="596"/>
        <w:jc w:val="center"/>
        <w:rPr>
          <w:rFonts w:hint="eastAsia" w:eastAsia="宋体" w:cs="宋体"/>
          <w:sz w:val="24"/>
        </w:rPr>
      </w:pPr>
      <w:bookmarkStart w:id="283" w:name="_Toc18375"/>
      <w:r>
        <w:rPr>
          <w:rFonts w:hint="eastAsia" w:eastAsia="宋体" w:cs="宋体"/>
        </w:rPr>
        <w:t>（四）具有良好的商业信誉和健全的财务会计制度</w:t>
      </w:r>
      <w:bookmarkEnd w:id="279"/>
      <w:bookmarkEnd w:id="280"/>
      <w:bookmarkEnd w:id="281"/>
      <w:bookmarkEnd w:id="282"/>
      <w:bookmarkEnd w:id="283"/>
    </w:p>
    <w:p w14:paraId="0966F313">
      <w:pPr>
        <w:spacing w:line="360" w:lineRule="auto"/>
        <w:ind w:left="596" w:hanging="596"/>
        <w:jc w:val="center"/>
        <w:rPr>
          <w:rFonts w:hint="eastAsia" w:cs="宋体"/>
          <w:sz w:val="24"/>
        </w:rPr>
      </w:pPr>
      <w:r>
        <w:rPr>
          <w:rFonts w:hint="eastAsia" w:cs="宋体"/>
          <w:sz w:val="24"/>
        </w:rPr>
        <w:t>（提供相关证明材料，格式自拟）</w:t>
      </w:r>
      <w:bookmarkStart w:id="284" w:name="_Toc15911"/>
      <w:bookmarkStart w:id="285" w:name="_Toc11767"/>
      <w:bookmarkStart w:id="286" w:name="_Toc477"/>
      <w:bookmarkStart w:id="287" w:name="_Toc6342"/>
    </w:p>
    <w:p w14:paraId="4D87D33A">
      <w:pPr>
        <w:spacing w:line="360" w:lineRule="auto"/>
        <w:ind w:left="596" w:hanging="596"/>
        <w:jc w:val="center"/>
        <w:rPr>
          <w:rFonts w:hint="eastAsia" w:cs="宋体"/>
          <w:sz w:val="24"/>
        </w:rPr>
      </w:pPr>
    </w:p>
    <w:p w14:paraId="6EBF422B">
      <w:pPr>
        <w:pStyle w:val="6"/>
        <w:numPr>
          <w:ilvl w:val="1"/>
          <w:numId w:val="0"/>
        </w:numPr>
        <w:tabs>
          <w:tab w:val="clear" w:pos="596"/>
        </w:tabs>
        <w:ind w:left="596" w:hanging="596"/>
        <w:jc w:val="center"/>
        <w:rPr>
          <w:rFonts w:hint="eastAsia" w:eastAsia="宋体" w:cs="宋体"/>
          <w:sz w:val="24"/>
        </w:rPr>
      </w:pPr>
      <w:bookmarkStart w:id="288" w:name="_Toc118"/>
      <w:r>
        <w:rPr>
          <w:rFonts w:hint="eastAsia" w:eastAsia="宋体" w:cs="宋体"/>
        </w:rPr>
        <w:t>（五）有依法缴纳税收和社会保障资金的良好记录</w:t>
      </w:r>
      <w:bookmarkEnd w:id="284"/>
      <w:bookmarkEnd w:id="285"/>
      <w:bookmarkEnd w:id="286"/>
      <w:bookmarkEnd w:id="287"/>
      <w:bookmarkEnd w:id="288"/>
    </w:p>
    <w:p w14:paraId="3A5A4D41">
      <w:pPr>
        <w:spacing w:line="360" w:lineRule="auto"/>
        <w:ind w:left="596" w:hanging="596"/>
        <w:jc w:val="center"/>
        <w:rPr>
          <w:rFonts w:hint="eastAsia" w:cs="宋体"/>
          <w:sz w:val="24"/>
        </w:rPr>
      </w:pPr>
      <w:r>
        <w:rPr>
          <w:rFonts w:hint="eastAsia" w:cs="宋体"/>
          <w:sz w:val="24"/>
        </w:rPr>
        <w:t>（提供相关证明材料，格式自拟）</w:t>
      </w:r>
      <w:bookmarkStart w:id="289" w:name="_Toc9082"/>
      <w:bookmarkStart w:id="290" w:name="_Toc7744"/>
      <w:bookmarkStart w:id="291" w:name="_Hlk167620731"/>
    </w:p>
    <w:p w14:paraId="3552842A">
      <w:pPr>
        <w:spacing w:line="360" w:lineRule="auto"/>
        <w:ind w:left="596" w:hanging="596"/>
        <w:jc w:val="center"/>
        <w:rPr>
          <w:rFonts w:hint="eastAsia" w:cs="宋体"/>
          <w:sz w:val="24"/>
        </w:rPr>
      </w:pPr>
    </w:p>
    <w:p w14:paraId="39A51906">
      <w:pPr>
        <w:pStyle w:val="6"/>
        <w:numPr>
          <w:ilvl w:val="1"/>
          <w:numId w:val="0"/>
        </w:numPr>
        <w:tabs>
          <w:tab w:val="clear" w:pos="596"/>
        </w:tabs>
        <w:ind w:left="596" w:hanging="596"/>
        <w:jc w:val="center"/>
        <w:rPr>
          <w:rFonts w:hint="eastAsia" w:eastAsia="宋体" w:cs="宋体"/>
        </w:rPr>
      </w:pPr>
      <w:bookmarkStart w:id="292" w:name="_Toc13845"/>
      <w:r>
        <w:rPr>
          <w:rFonts w:hint="eastAsia" w:eastAsia="宋体" w:cs="宋体"/>
        </w:rPr>
        <w:t>（六）其他内容</w:t>
      </w:r>
      <w:bookmarkEnd w:id="289"/>
      <w:bookmarkEnd w:id="290"/>
      <w:bookmarkEnd w:id="292"/>
    </w:p>
    <w:p w14:paraId="0DBDC5E3">
      <w:pPr>
        <w:spacing w:line="360" w:lineRule="auto"/>
        <w:ind w:firstLine="480" w:firstLineChars="200"/>
        <w:jc w:val="left"/>
        <w:rPr>
          <w:rFonts w:hint="eastAsia" w:cs="宋体"/>
          <w:bCs/>
          <w:sz w:val="24"/>
        </w:rPr>
      </w:pPr>
      <w:r>
        <w:rPr>
          <w:rFonts w:hint="eastAsia" w:cs="宋体"/>
          <w:bCs/>
          <w:sz w:val="24"/>
        </w:rPr>
        <w:t>1、提供以下承诺</w:t>
      </w:r>
    </w:p>
    <w:bookmarkEnd w:id="291"/>
    <w:p w14:paraId="445D4C9D">
      <w:pPr>
        <w:spacing w:line="360" w:lineRule="auto"/>
        <w:ind w:firstLine="480" w:firstLineChars="200"/>
        <w:jc w:val="left"/>
        <w:rPr>
          <w:rFonts w:hint="eastAsia" w:cs="宋体"/>
          <w:sz w:val="24"/>
        </w:rPr>
      </w:pPr>
      <w:r>
        <w:rPr>
          <w:rFonts w:hint="eastAsia" w:cs="宋体"/>
          <w:sz w:val="24"/>
        </w:rPr>
        <w:t>（1）与采购人存在利害关系可能影响招标公正性的法人、其他组织或者个人，不得参加投标；</w:t>
      </w:r>
    </w:p>
    <w:p w14:paraId="4A50F0E3">
      <w:pPr>
        <w:spacing w:line="360" w:lineRule="auto"/>
        <w:ind w:firstLine="480" w:firstLineChars="200"/>
        <w:jc w:val="left"/>
        <w:rPr>
          <w:rFonts w:hint="eastAsia" w:cs="宋体"/>
          <w:sz w:val="24"/>
        </w:rPr>
      </w:pPr>
      <w:r>
        <w:rPr>
          <w:rFonts w:hint="eastAsia" w:cs="宋体"/>
          <w:sz w:val="24"/>
        </w:rPr>
        <w:t>（2）单位负责人为同一人或者存在控股、管理关系的不同单位，不得参加同一招标项目（或同一标段）投标。</w:t>
      </w:r>
    </w:p>
    <w:p w14:paraId="1E3603BE">
      <w:pPr>
        <w:spacing w:line="360" w:lineRule="auto"/>
        <w:ind w:firstLine="480" w:firstLineChars="200"/>
        <w:jc w:val="left"/>
        <w:rPr>
          <w:rFonts w:hint="eastAsia" w:cs="宋体"/>
          <w:bCs/>
          <w:sz w:val="24"/>
        </w:rPr>
      </w:pPr>
      <w:r>
        <w:rPr>
          <w:rFonts w:hint="eastAsia" w:cs="宋体"/>
          <w:bCs/>
          <w:sz w:val="24"/>
        </w:rPr>
        <w:t>（3）非联合体投标</w:t>
      </w:r>
    </w:p>
    <w:p w14:paraId="193A4A3F">
      <w:pPr>
        <w:spacing w:line="360" w:lineRule="auto"/>
        <w:ind w:firstLine="480" w:firstLineChars="200"/>
        <w:jc w:val="left"/>
        <w:rPr>
          <w:rFonts w:hint="eastAsia" w:cs="宋体"/>
          <w:bCs/>
          <w:sz w:val="24"/>
        </w:rPr>
      </w:pPr>
      <w:r>
        <w:rPr>
          <w:rFonts w:hint="eastAsia" w:cs="宋体"/>
          <w:bCs/>
          <w:sz w:val="24"/>
        </w:rPr>
        <w:t>2、根据“招标文件”资格要求，投标人认为需要提供的。有格式的请按给定格式填写，无格式要求的请自拟格式。</w:t>
      </w:r>
    </w:p>
    <w:p w14:paraId="6C3F0B88">
      <w:pPr>
        <w:spacing w:line="360" w:lineRule="auto"/>
        <w:ind w:firstLine="480" w:firstLineChars="200"/>
        <w:jc w:val="left"/>
        <w:rPr>
          <w:rFonts w:hint="eastAsia" w:cs="宋体"/>
          <w:bCs/>
          <w:sz w:val="24"/>
        </w:rPr>
      </w:pPr>
    </w:p>
    <w:p w14:paraId="49AA4689">
      <w:pPr>
        <w:pStyle w:val="6"/>
        <w:numPr>
          <w:ilvl w:val="0"/>
          <w:numId w:val="0"/>
        </w:numPr>
        <w:jc w:val="center"/>
        <w:rPr>
          <w:rFonts w:hint="eastAsia" w:eastAsia="宋体" w:cs="宋体"/>
          <w:sz w:val="30"/>
          <w:szCs w:val="30"/>
        </w:rPr>
      </w:pPr>
      <w:bookmarkStart w:id="293" w:name="_Toc21257"/>
      <w:bookmarkStart w:id="294" w:name="_Toc15100"/>
      <w:bookmarkStart w:id="295" w:name="_Toc23907"/>
      <w:bookmarkStart w:id="296" w:name="_Toc8479"/>
      <w:r>
        <w:rPr>
          <w:rFonts w:hint="eastAsia" w:eastAsia="宋体" w:cs="宋体"/>
          <w:sz w:val="30"/>
          <w:szCs w:val="30"/>
        </w:rPr>
        <w:t>二、投标文件商务部分</w:t>
      </w:r>
      <w:bookmarkEnd w:id="293"/>
      <w:bookmarkEnd w:id="294"/>
      <w:bookmarkEnd w:id="295"/>
      <w:bookmarkEnd w:id="296"/>
    </w:p>
    <w:p w14:paraId="2460BF6D">
      <w:pPr>
        <w:pStyle w:val="6"/>
        <w:numPr>
          <w:ilvl w:val="1"/>
          <w:numId w:val="0"/>
        </w:numPr>
        <w:tabs>
          <w:tab w:val="clear" w:pos="596"/>
        </w:tabs>
        <w:ind w:left="596" w:hanging="596"/>
        <w:jc w:val="center"/>
        <w:rPr>
          <w:rFonts w:hint="eastAsia" w:eastAsia="宋体" w:cs="宋体"/>
          <w:bCs/>
        </w:rPr>
      </w:pPr>
      <w:bookmarkStart w:id="297" w:name="_Toc7530"/>
      <w:bookmarkStart w:id="298" w:name="_Toc11843"/>
      <w:bookmarkStart w:id="299" w:name="_Toc10449"/>
      <w:bookmarkStart w:id="300" w:name="_Toc18290"/>
      <w:bookmarkStart w:id="301" w:name="_Toc31616"/>
      <w:r>
        <w:rPr>
          <w:rFonts w:hint="eastAsia" w:eastAsia="宋体" w:cs="宋体"/>
          <w:bCs/>
        </w:rPr>
        <w:t>（一）投标报价（唱标）一览表</w:t>
      </w:r>
      <w:bookmarkEnd w:id="297"/>
      <w:bookmarkEnd w:id="298"/>
      <w:bookmarkEnd w:id="299"/>
      <w:bookmarkEnd w:id="300"/>
      <w:bookmarkEnd w:id="301"/>
    </w:p>
    <w:p w14:paraId="2E9C8148">
      <w:pPr>
        <w:spacing w:line="360" w:lineRule="auto"/>
        <w:jc w:val="left"/>
        <w:rPr>
          <w:rFonts w:hint="eastAsia" w:cs="宋体"/>
          <w:sz w:val="24"/>
          <w:u w:val="single"/>
        </w:rPr>
      </w:pPr>
      <w:r>
        <w:rPr>
          <w:rFonts w:hint="eastAsia" w:cs="宋体"/>
          <w:sz w:val="24"/>
        </w:rPr>
        <w:t>项目编号：</w:t>
      </w:r>
    </w:p>
    <w:tbl>
      <w:tblPr>
        <w:tblStyle w:val="41"/>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5"/>
        <w:gridCol w:w="7048"/>
      </w:tblGrid>
      <w:tr w14:paraId="10AF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jc w:val="center"/>
        </w:trPr>
        <w:tc>
          <w:tcPr>
            <w:tcW w:w="2515" w:type="dxa"/>
            <w:vAlign w:val="center"/>
          </w:tcPr>
          <w:p w14:paraId="451861FA">
            <w:pPr>
              <w:spacing w:line="360" w:lineRule="auto"/>
              <w:jc w:val="center"/>
              <w:rPr>
                <w:rFonts w:hint="eastAsia" w:cs="宋体"/>
                <w:sz w:val="24"/>
              </w:rPr>
            </w:pPr>
            <w:r>
              <w:rPr>
                <w:rFonts w:hint="eastAsia" w:cs="宋体"/>
                <w:sz w:val="24"/>
              </w:rPr>
              <w:t>项目名称</w:t>
            </w:r>
          </w:p>
        </w:tc>
        <w:tc>
          <w:tcPr>
            <w:tcW w:w="7048" w:type="dxa"/>
            <w:vAlign w:val="center"/>
          </w:tcPr>
          <w:p w14:paraId="53737DD9">
            <w:pPr>
              <w:spacing w:line="360" w:lineRule="auto"/>
              <w:rPr>
                <w:rFonts w:hint="eastAsia" w:cs="宋体"/>
                <w:sz w:val="24"/>
              </w:rPr>
            </w:pPr>
          </w:p>
        </w:tc>
      </w:tr>
      <w:tr w14:paraId="00F3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2515" w:type="dxa"/>
            <w:vAlign w:val="center"/>
          </w:tcPr>
          <w:p w14:paraId="453244A3">
            <w:pPr>
              <w:pStyle w:val="3"/>
              <w:spacing w:line="360" w:lineRule="auto"/>
              <w:jc w:val="center"/>
              <w:rPr>
                <w:rFonts w:hint="eastAsia" w:ascii="宋体" w:hAnsi="宋体" w:eastAsia="宋体" w:cs="宋体"/>
                <w:bCs/>
                <w:sz w:val="24"/>
              </w:rPr>
            </w:pPr>
            <w:r>
              <w:rPr>
                <w:rFonts w:hint="eastAsia" w:ascii="宋体" w:hAnsi="宋体" w:eastAsia="宋体" w:cs="宋体"/>
                <w:b w:val="0"/>
                <w:spacing w:val="0"/>
                <w:sz w:val="24"/>
                <w:szCs w:val="24"/>
              </w:rPr>
              <w:t>投标报价（含税，元）</w:t>
            </w:r>
          </w:p>
        </w:tc>
        <w:tc>
          <w:tcPr>
            <w:tcW w:w="7048" w:type="dxa"/>
            <w:vAlign w:val="center"/>
          </w:tcPr>
          <w:p w14:paraId="347FED1E">
            <w:pPr>
              <w:spacing w:line="360" w:lineRule="auto"/>
              <w:rPr>
                <w:rFonts w:hint="eastAsia" w:cs="宋体"/>
                <w:sz w:val="24"/>
              </w:rPr>
            </w:pPr>
            <w:r>
              <w:rPr>
                <w:rFonts w:hint="eastAsia" w:cs="宋体"/>
                <w:sz w:val="24"/>
              </w:rPr>
              <w:t>小写：</w:t>
            </w:r>
          </w:p>
          <w:p w14:paraId="2AB871D0">
            <w:pPr>
              <w:spacing w:line="360" w:lineRule="auto"/>
              <w:rPr>
                <w:rFonts w:hint="eastAsia" w:cs="宋体"/>
              </w:rPr>
            </w:pPr>
            <w:r>
              <w:rPr>
                <w:rFonts w:hint="eastAsia" w:cs="宋体"/>
                <w:sz w:val="24"/>
              </w:rPr>
              <w:t>大写：</w:t>
            </w:r>
          </w:p>
        </w:tc>
      </w:tr>
      <w:tr w14:paraId="7339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2515" w:type="dxa"/>
            <w:vAlign w:val="center"/>
          </w:tcPr>
          <w:p w14:paraId="07E7CD2A">
            <w:pPr>
              <w:pStyle w:val="3"/>
              <w:spacing w:line="360" w:lineRule="auto"/>
              <w:jc w:val="center"/>
              <w:rPr>
                <w:rFonts w:hint="eastAsia" w:ascii="宋体" w:hAnsi="宋体" w:eastAsia="宋体" w:cs="宋体"/>
                <w:bCs/>
                <w:sz w:val="24"/>
              </w:rPr>
            </w:pPr>
            <w:r>
              <w:rPr>
                <w:rFonts w:hint="eastAsia" w:ascii="宋体" w:hAnsi="宋体" w:eastAsia="宋体" w:cs="宋体"/>
                <w:b w:val="0"/>
                <w:spacing w:val="0"/>
                <w:sz w:val="24"/>
                <w:szCs w:val="24"/>
              </w:rPr>
              <w:t>投标报价（不含税，元）</w:t>
            </w:r>
          </w:p>
        </w:tc>
        <w:tc>
          <w:tcPr>
            <w:tcW w:w="7048" w:type="dxa"/>
            <w:vAlign w:val="center"/>
          </w:tcPr>
          <w:p w14:paraId="62B66C7E">
            <w:pPr>
              <w:spacing w:line="360" w:lineRule="auto"/>
              <w:rPr>
                <w:rFonts w:hint="eastAsia" w:cs="宋体"/>
                <w:sz w:val="24"/>
              </w:rPr>
            </w:pPr>
            <w:r>
              <w:rPr>
                <w:rFonts w:hint="eastAsia" w:cs="宋体"/>
                <w:sz w:val="24"/>
              </w:rPr>
              <w:t>小写：</w:t>
            </w:r>
          </w:p>
          <w:p w14:paraId="0B6D17DF">
            <w:pPr>
              <w:spacing w:line="360" w:lineRule="auto"/>
              <w:rPr>
                <w:rFonts w:hint="eastAsia" w:cs="宋体"/>
              </w:rPr>
            </w:pPr>
            <w:r>
              <w:rPr>
                <w:rFonts w:hint="eastAsia" w:cs="宋体"/>
                <w:sz w:val="24"/>
              </w:rPr>
              <w:t>大写：</w:t>
            </w:r>
          </w:p>
        </w:tc>
      </w:tr>
      <w:tr w14:paraId="29E1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2515" w:type="dxa"/>
            <w:vAlign w:val="center"/>
          </w:tcPr>
          <w:p w14:paraId="01BC8225">
            <w:pPr>
              <w:pStyle w:val="3"/>
              <w:spacing w:line="360" w:lineRule="auto"/>
              <w:jc w:val="center"/>
              <w:rPr>
                <w:rFonts w:hint="eastAsia" w:ascii="宋体" w:hAnsi="宋体" w:eastAsia="宋体" w:cs="宋体"/>
                <w:b w:val="0"/>
                <w:spacing w:val="0"/>
                <w:sz w:val="24"/>
                <w:szCs w:val="24"/>
              </w:rPr>
            </w:pPr>
            <w:r>
              <w:rPr>
                <w:rFonts w:hint="eastAsia" w:ascii="宋体" w:hAnsi="宋体" w:eastAsia="宋体" w:cs="宋体"/>
                <w:b w:val="0"/>
                <w:spacing w:val="0"/>
                <w:sz w:val="24"/>
                <w:szCs w:val="24"/>
              </w:rPr>
              <w:t>税率</w:t>
            </w:r>
          </w:p>
        </w:tc>
        <w:tc>
          <w:tcPr>
            <w:tcW w:w="7048" w:type="dxa"/>
            <w:vAlign w:val="center"/>
          </w:tcPr>
          <w:p w14:paraId="37D96417">
            <w:pPr>
              <w:spacing w:line="360" w:lineRule="auto"/>
              <w:rPr>
                <w:rFonts w:hint="eastAsia" w:cs="宋体"/>
                <w:sz w:val="24"/>
              </w:rPr>
            </w:pPr>
          </w:p>
        </w:tc>
      </w:tr>
      <w:tr w14:paraId="5F2D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2515" w:type="dxa"/>
            <w:vAlign w:val="center"/>
          </w:tcPr>
          <w:p w14:paraId="4BB815C9">
            <w:pPr>
              <w:tabs>
                <w:tab w:val="left" w:pos="480"/>
              </w:tabs>
              <w:autoSpaceDE w:val="0"/>
              <w:autoSpaceDN w:val="0"/>
              <w:adjustRightInd w:val="0"/>
              <w:spacing w:line="360" w:lineRule="auto"/>
              <w:jc w:val="center"/>
              <w:rPr>
                <w:rFonts w:hint="eastAsia" w:cs="宋体"/>
                <w:sz w:val="24"/>
              </w:rPr>
            </w:pPr>
            <w:r>
              <w:rPr>
                <w:rFonts w:hint="eastAsia" w:cs="宋体"/>
                <w:sz w:val="24"/>
              </w:rPr>
              <w:t>合同履行期限</w:t>
            </w:r>
          </w:p>
        </w:tc>
        <w:tc>
          <w:tcPr>
            <w:tcW w:w="7048" w:type="dxa"/>
            <w:vAlign w:val="center"/>
          </w:tcPr>
          <w:p w14:paraId="7028901E">
            <w:pPr>
              <w:widowControl/>
              <w:adjustRightInd w:val="0"/>
              <w:snapToGrid w:val="0"/>
              <w:spacing w:line="360" w:lineRule="auto"/>
              <w:rPr>
                <w:rFonts w:hint="eastAsia" w:cs="宋体"/>
                <w:sz w:val="24"/>
              </w:rPr>
            </w:pPr>
          </w:p>
        </w:tc>
      </w:tr>
      <w:tr w14:paraId="7334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2515" w:type="dxa"/>
            <w:vAlign w:val="center"/>
          </w:tcPr>
          <w:p w14:paraId="76AF00D2">
            <w:pPr>
              <w:tabs>
                <w:tab w:val="left" w:pos="480"/>
              </w:tabs>
              <w:autoSpaceDE w:val="0"/>
              <w:autoSpaceDN w:val="0"/>
              <w:adjustRightInd w:val="0"/>
              <w:spacing w:line="360" w:lineRule="auto"/>
              <w:jc w:val="center"/>
              <w:rPr>
                <w:rFonts w:hint="eastAsia" w:cs="宋体"/>
                <w:sz w:val="24"/>
              </w:rPr>
            </w:pPr>
            <w:r>
              <w:rPr>
                <w:rFonts w:hint="eastAsia" w:cs="宋体"/>
                <w:sz w:val="24"/>
              </w:rPr>
              <w:t>质量承诺</w:t>
            </w:r>
          </w:p>
        </w:tc>
        <w:tc>
          <w:tcPr>
            <w:tcW w:w="7048" w:type="dxa"/>
            <w:vAlign w:val="center"/>
          </w:tcPr>
          <w:p w14:paraId="32BF628A">
            <w:pPr>
              <w:widowControl/>
              <w:adjustRightInd w:val="0"/>
              <w:snapToGrid w:val="0"/>
              <w:spacing w:line="360" w:lineRule="auto"/>
              <w:rPr>
                <w:rFonts w:hint="eastAsia" w:cs="宋体"/>
                <w:sz w:val="24"/>
              </w:rPr>
            </w:pPr>
          </w:p>
        </w:tc>
      </w:tr>
      <w:tr w14:paraId="2768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jc w:val="center"/>
        </w:trPr>
        <w:tc>
          <w:tcPr>
            <w:tcW w:w="2515" w:type="dxa"/>
            <w:vAlign w:val="center"/>
          </w:tcPr>
          <w:p w14:paraId="2F8FBB95">
            <w:pPr>
              <w:spacing w:line="360" w:lineRule="auto"/>
              <w:jc w:val="center"/>
              <w:rPr>
                <w:rFonts w:hint="eastAsia" w:cs="宋体"/>
                <w:sz w:val="24"/>
              </w:rPr>
            </w:pPr>
            <w:r>
              <w:rPr>
                <w:rFonts w:hint="eastAsia" w:cs="宋体"/>
                <w:sz w:val="24"/>
              </w:rPr>
              <w:t>备注</w:t>
            </w:r>
          </w:p>
        </w:tc>
        <w:tc>
          <w:tcPr>
            <w:tcW w:w="7048" w:type="dxa"/>
            <w:vAlign w:val="center"/>
          </w:tcPr>
          <w:p w14:paraId="381C0E95">
            <w:pPr>
              <w:tabs>
                <w:tab w:val="left" w:pos="480"/>
              </w:tabs>
              <w:autoSpaceDE w:val="0"/>
              <w:autoSpaceDN w:val="0"/>
              <w:adjustRightInd w:val="0"/>
              <w:spacing w:line="360" w:lineRule="auto"/>
              <w:jc w:val="left"/>
              <w:rPr>
                <w:rFonts w:hint="eastAsia" w:cs="宋体"/>
                <w:sz w:val="24"/>
              </w:rPr>
            </w:pPr>
          </w:p>
        </w:tc>
      </w:tr>
    </w:tbl>
    <w:p w14:paraId="6582F895">
      <w:pPr>
        <w:spacing w:line="360" w:lineRule="auto"/>
        <w:jc w:val="left"/>
        <w:rPr>
          <w:rFonts w:hint="eastAsia" w:cs="宋体"/>
          <w:b/>
          <w:sz w:val="24"/>
        </w:rPr>
      </w:pPr>
    </w:p>
    <w:p w14:paraId="6C876583">
      <w:pPr>
        <w:spacing w:line="360" w:lineRule="auto"/>
        <w:jc w:val="left"/>
        <w:rPr>
          <w:rFonts w:hint="eastAsia" w:cs="宋体"/>
          <w:b/>
          <w:sz w:val="24"/>
        </w:rPr>
      </w:pPr>
    </w:p>
    <w:p w14:paraId="214E3652">
      <w:pPr>
        <w:spacing w:line="360" w:lineRule="auto"/>
        <w:rPr>
          <w:rFonts w:hint="eastAsia" w:cs="宋体"/>
          <w:sz w:val="24"/>
        </w:rPr>
      </w:pPr>
    </w:p>
    <w:p w14:paraId="5086B8A3">
      <w:pPr>
        <w:spacing w:line="360" w:lineRule="auto"/>
        <w:rPr>
          <w:rFonts w:hint="eastAsia" w:cs="宋体"/>
          <w:sz w:val="24"/>
        </w:rPr>
      </w:pPr>
    </w:p>
    <w:p w14:paraId="5B661EAE">
      <w:pPr>
        <w:pStyle w:val="11"/>
        <w:overflowPunct w:val="0"/>
        <w:spacing w:line="360" w:lineRule="auto"/>
        <w:rPr>
          <w:rFonts w:hint="eastAsia" w:cs="宋体"/>
          <w:sz w:val="24"/>
        </w:rPr>
      </w:pPr>
      <w:r>
        <w:rPr>
          <w:rFonts w:hint="eastAsia" w:cs="宋体"/>
          <w:sz w:val="24"/>
        </w:rPr>
        <w:t>投标人（电子签章）：</w:t>
      </w:r>
      <w:r>
        <w:rPr>
          <w:rFonts w:hint="eastAsia" w:cs="宋体"/>
          <w:sz w:val="24"/>
          <w:u w:val="single"/>
        </w:rPr>
        <w:t xml:space="preserve">                </w:t>
      </w:r>
      <w:r>
        <w:rPr>
          <w:rFonts w:hint="eastAsia" w:cs="宋体"/>
          <w:sz w:val="24"/>
        </w:rPr>
        <w:t xml:space="preserve"> </w:t>
      </w:r>
    </w:p>
    <w:p w14:paraId="77B3CE67">
      <w:pPr>
        <w:pStyle w:val="11"/>
        <w:overflowPunct w:val="0"/>
        <w:spacing w:line="360" w:lineRule="auto"/>
        <w:rPr>
          <w:rFonts w:hint="eastAsia" w:cs="宋体"/>
          <w:sz w:val="24"/>
        </w:rPr>
      </w:pPr>
      <w:r>
        <w:rPr>
          <w:rFonts w:hint="eastAsia" w:cs="宋体"/>
          <w:sz w:val="24"/>
        </w:rPr>
        <w:t>法定代表人或委托代理人（电子签章或电子签名）：</w:t>
      </w:r>
      <w:r>
        <w:rPr>
          <w:rFonts w:hint="eastAsia" w:cs="宋体"/>
          <w:sz w:val="24"/>
          <w:u w:val="single"/>
        </w:rPr>
        <w:t xml:space="preserve">                   </w:t>
      </w:r>
      <w:r>
        <w:rPr>
          <w:rFonts w:hint="eastAsia" w:cs="宋体"/>
          <w:sz w:val="24"/>
        </w:rPr>
        <w:t xml:space="preserve">  </w:t>
      </w:r>
    </w:p>
    <w:p w14:paraId="4802336A">
      <w:pPr>
        <w:pStyle w:val="11"/>
        <w:overflowPunct w:val="0"/>
        <w:spacing w:line="360" w:lineRule="auto"/>
        <w:rPr>
          <w:rFonts w:hint="eastAsia" w:cs="宋体"/>
          <w:sz w:val="24"/>
          <w:u w:val="single"/>
        </w:rPr>
      </w:pPr>
      <w:r>
        <w:rPr>
          <w:rFonts w:hint="eastAsia" w:cs="宋体"/>
          <w:sz w:val="24"/>
        </w:rPr>
        <w:t>日    期：</w:t>
      </w:r>
      <w:r>
        <w:rPr>
          <w:rFonts w:hint="eastAsia" w:cs="宋体"/>
          <w:sz w:val="24"/>
          <w:u w:val="single"/>
        </w:rPr>
        <w:t xml:space="preserve">      </w:t>
      </w:r>
      <w:r>
        <w:rPr>
          <w:rFonts w:hint="eastAsia" w:cs="宋体"/>
          <w:sz w:val="24"/>
        </w:rPr>
        <w:t>年</w:t>
      </w:r>
      <w:r>
        <w:rPr>
          <w:rFonts w:hint="eastAsia" w:cs="宋体"/>
          <w:sz w:val="24"/>
          <w:u w:val="single"/>
        </w:rPr>
        <w:tab/>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u w:val="single"/>
        </w:rPr>
        <w:tab/>
      </w:r>
      <w:r>
        <w:rPr>
          <w:rFonts w:hint="eastAsia" w:cs="宋体"/>
          <w:sz w:val="24"/>
          <w:u w:val="single"/>
        </w:rPr>
        <w:t xml:space="preserve">   </w:t>
      </w:r>
      <w:r>
        <w:rPr>
          <w:rFonts w:hint="eastAsia" w:cs="宋体"/>
          <w:sz w:val="24"/>
        </w:rPr>
        <w:t>日</w:t>
      </w:r>
    </w:p>
    <w:p w14:paraId="177B35DD">
      <w:pPr>
        <w:pStyle w:val="6"/>
        <w:numPr>
          <w:ilvl w:val="1"/>
          <w:numId w:val="0"/>
        </w:numPr>
        <w:tabs>
          <w:tab w:val="clear" w:pos="596"/>
        </w:tabs>
        <w:ind w:left="596" w:hanging="596"/>
        <w:jc w:val="center"/>
        <w:rPr>
          <w:rFonts w:hint="eastAsia" w:eastAsia="宋体" w:cs="宋体"/>
        </w:rPr>
      </w:pPr>
      <w:r>
        <w:rPr>
          <w:rFonts w:hint="eastAsia" w:eastAsia="宋体" w:cs="宋体"/>
        </w:rPr>
        <w:br w:type="page"/>
      </w:r>
      <w:bookmarkStart w:id="302" w:name="_Toc11039"/>
      <w:bookmarkStart w:id="303" w:name="_Toc21202"/>
      <w:bookmarkStart w:id="304" w:name="_Toc6884"/>
      <w:bookmarkStart w:id="305" w:name="_Toc27446"/>
      <w:bookmarkStart w:id="306" w:name="_Toc19034"/>
      <w:bookmarkStart w:id="307" w:name="_Toc15701"/>
      <w:bookmarkStart w:id="308" w:name="_Toc27849"/>
      <w:bookmarkStart w:id="309" w:name="_Toc7252"/>
      <w:r>
        <w:rPr>
          <w:rFonts w:hint="eastAsia" w:eastAsia="宋体" w:cs="宋体"/>
          <w:bCs/>
        </w:rPr>
        <w:t>（二）投标函</w:t>
      </w:r>
      <w:bookmarkEnd w:id="302"/>
      <w:bookmarkEnd w:id="303"/>
      <w:bookmarkEnd w:id="304"/>
      <w:bookmarkEnd w:id="305"/>
      <w:bookmarkEnd w:id="306"/>
      <w:bookmarkEnd w:id="307"/>
      <w:bookmarkEnd w:id="308"/>
      <w:bookmarkEnd w:id="309"/>
    </w:p>
    <w:p w14:paraId="6CCE1648">
      <w:pPr>
        <w:spacing w:after="120" w:line="360" w:lineRule="auto"/>
        <w:jc w:val="left"/>
        <w:rPr>
          <w:rFonts w:hint="eastAsia" w:cs="宋体"/>
          <w:b/>
          <w:bCs/>
          <w:sz w:val="24"/>
        </w:rPr>
      </w:pPr>
      <w:r>
        <w:rPr>
          <w:rFonts w:hint="eastAsia" w:cs="宋体"/>
          <w:b/>
          <w:bCs/>
          <w:sz w:val="24"/>
        </w:rPr>
        <w:t>致：</w:t>
      </w:r>
      <w:r>
        <w:rPr>
          <w:rFonts w:hint="eastAsia" w:cs="宋体"/>
          <w:bCs/>
          <w:sz w:val="24"/>
          <w:u w:val="single"/>
        </w:rPr>
        <w:t>（采购人）</w:t>
      </w:r>
    </w:p>
    <w:p w14:paraId="3939AE6F">
      <w:pPr>
        <w:spacing w:line="360" w:lineRule="auto"/>
        <w:ind w:firstLine="510"/>
        <w:jc w:val="left"/>
        <w:rPr>
          <w:rFonts w:hint="eastAsia" w:cs="宋体"/>
          <w:sz w:val="24"/>
        </w:rPr>
      </w:pPr>
    </w:p>
    <w:p w14:paraId="74E5AFEA">
      <w:pPr>
        <w:pStyle w:val="19"/>
        <w:numPr>
          <w:ilvl w:val="0"/>
          <w:numId w:val="10"/>
        </w:numPr>
        <w:spacing w:line="360" w:lineRule="auto"/>
        <w:ind w:firstLine="480" w:firstLineChars="200"/>
        <w:jc w:val="left"/>
        <w:rPr>
          <w:rFonts w:hint="eastAsia" w:cs="宋体"/>
          <w:bCs/>
          <w:sz w:val="24"/>
          <w:szCs w:val="24"/>
        </w:rPr>
      </w:pPr>
      <w:r>
        <w:rPr>
          <w:rFonts w:hint="eastAsia" w:cs="宋体"/>
          <w:sz w:val="24"/>
          <w:szCs w:val="24"/>
        </w:rPr>
        <w:t>我方已仔细研究了</w:t>
      </w:r>
      <w:r>
        <w:rPr>
          <w:rFonts w:hint="eastAsia" w:cs="宋体"/>
          <w:sz w:val="24"/>
          <w:u w:val="single"/>
        </w:rPr>
        <w:t>（项目名称）（项目编号）（标段编号）</w:t>
      </w:r>
      <w:r>
        <w:rPr>
          <w:rFonts w:hint="eastAsia" w:cs="宋体"/>
          <w:sz w:val="24"/>
          <w:szCs w:val="24"/>
        </w:rPr>
        <w:t>招标文件的全部内容</w:t>
      </w:r>
      <w:r>
        <w:rPr>
          <w:rFonts w:hint="eastAsia" w:cs="宋体"/>
          <w:bCs/>
          <w:sz w:val="24"/>
          <w:szCs w:val="24"/>
        </w:rPr>
        <w:t>，完全响应招标文件要求，</w:t>
      </w:r>
      <w:r>
        <w:rPr>
          <w:rFonts w:hint="eastAsia" w:cs="宋体"/>
          <w:sz w:val="24"/>
          <w:szCs w:val="24"/>
        </w:rPr>
        <w:t>保证按招标文件的规定和投标文件的承诺以及合同约定完成本项目产品的交货及售后服务等工作</w:t>
      </w:r>
      <w:r>
        <w:rPr>
          <w:rFonts w:hint="eastAsia" w:cs="宋体"/>
          <w:bCs/>
          <w:sz w:val="24"/>
          <w:szCs w:val="24"/>
        </w:rPr>
        <w:t>。</w:t>
      </w:r>
    </w:p>
    <w:p w14:paraId="2A9A8AD0">
      <w:pPr>
        <w:pStyle w:val="19"/>
        <w:spacing w:line="360" w:lineRule="auto"/>
        <w:ind w:firstLine="480" w:firstLineChars="200"/>
        <w:jc w:val="left"/>
        <w:rPr>
          <w:rFonts w:hint="eastAsia" w:cs="宋体"/>
          <w:sz w:val="24"/>
          <w:szCs w:val="24"/>
        </w:rPr>
      </w:pPr>
      <w:r>
        <w:rPr>
          <w:rFonts w:hint="eastAsia" w:cs="宋体"/>
          <w:sz w:val="24"/>
          <w:szCs w:val="24"/>
        </w:rPr>
        <w:t>2、我方承诺在招标文件规定的投标有效期（90日历天）内不撤销投标文件。</w:t>
      </w:r>
    </w:p>
    <w:p w14:paraId="05CC0922">
      <w:pPr>
        <w:pStyle w:val="19"/>
        <w:spacing w:line="360" w:lineRule="auto"/>
        <w:ind w:firstLine="480" w:firstLineChars="200"/>
        <w:jc w:val="left"/>
        <w:rPr>
          <w:rFonts w:hint="eastAsia" w:cs="宋体"/>
          <w:sz w:val="24"/>
          <w:szCs w:val="24"/>
        </w:rPr>
      </w:pPr>
      <w:r>
        <w:rPr>
          <w:rFonts w:hint="eastAsia" w:cs="宋体"/>
          <w:sz w:val="24"/>
          <w:szCs w:val="24"/>
        </w:rPr>
        <w:t>3、如我方中标，我方承诺：</w:t>
      </w:r>
    </w:p>
    <w:p w14:paraId="7F872055">
      <w:pPr>
        <w:spacing w:line="360" w:lineRule="auto"/>
        <w:ind w:firstLine="960" w:firstLineChars="400"/>
        <w:jc w:val="left"/>
        <w:rPr>
          <w:rFonts w:hint="eastAsia" w:cs="宋体"/>
          <w:sz w:val="24"/>
        </w:rPr>
      </w:pPr>
      <w:r>
        <w:rPr>
          <w:rFonts w:hint="eastAsia" w:cs="宋体"/>
          <w:sz w:val="24"/>
        </w:rPr>
        <w:t>（1）在收到中标通知书后，在中标通知书规定的期限内与你方签订合同；</w:t>
      </w:r>
    </w:p>
    <w:p w14:paraId="7DF06BEA">
      <w:pPr>
        <w:spacing w:line="360" w:lineRule="auto"/>
        <w:ind w:firstLine="960" w:firstLineChars="400"/>
        <w:jc w:val="left"/>
        <w:rPr>
          <w:rFonts w:hint="eastAsia" w:cs="宋体"/>
          <w:sz w:val="24"/>
        </w:rPr>
      </w:pPr>
      <w:r>
        <w:rPr>
          <w:rFonts w:hint="eastAsia" w:cs="宋体"/>
          <w:sz w:val="24"/>
        </w:rPr>
        <w:t>（2）在签订合同时不向你方提出附加条件；</w:t>
      </w:r>
    </w:p>
    <w:p w14:paraId="0B68E6C6">
      <w:pPr>
        <w:spacing w:line="360" w:lineRule="auto"/>
        <w:ind w:firstLine="960" w:firstLineChars="400"/>
        <w:jc w:val="left"/>
        <w:rPr>
          <w:rFonts w:hint="eastAsia" w:cs="宋体"/>
          <w:sz w:val="24"/>
        </w:rPr>
      </w:pPr>
      <w:r>
        <w:rPr>
          <w:rFonts w:hint="eastAsia" w:cs="宋体"/>
          <w:sz w:val="24"/>
        </w:rPr>
        <w:t>（3）在合同约定的期限内完成合同规定的全部义务。</w:t>
      </w:r>
    </w:p>
    <w:p w14:paraId="5269E9A9">
      <w:pPr>
        <w:pStyle w:val="19"/>
        <w:spacing w:line="360" w:lineRule="auto"/>
        <w:ind w:firstLine="480" w:firstLineChars="200"/>
        <w:jc w:val="left"/>
        <w:rPr>
          <w:rFonts w:hint="eastAsia" w:cs="宋体"/>
          <w:sz w:val="24"/>
          <w:szCs w:val="24"/>
        </w:rPr>
      </w:pPr>
      <w:r>
        <w:rPr>
          <w:rFonts w:hint="eastAsia" w:cs="宋体"/>
          <w:sz w:val="24"/>
          <w:szCs w:val="24"/>
        </w:rPr>
        <w:t>4、如果在投标文件有效期内撤回投标或者有其他违约行为，我方的投标保证金可被贵方全部或部分没收并承担相应的法律责任。</w:t>
      </w:r>
    </w:p>
    <w:p w14:paraId="4435C6EB">
      <w:pPr>
        <w:pStyle w:val="19"/>
        <w:spacing w:line="360" w:lineRule="auto"/>
        <w:ind w:firstLine="480" w:firstLineChars="200"/>
        <w:jc w:val="left"/>
        <w:rPr>
          <w:rFonts w:hint="eastAsia" w:cs="宋体"/>
          <w:sz w:val="24"/>
          <w:szCs w:val="24"/>
        </w:rPr>
      </w:pPr>
      <w:r>
        <w:rPr>
          <w:rFonts w:hint="eastAsia" w:cs="宋体"/>
          <w:sz w:val="24"/>
          <w:szCs w:val="24"/>
        </w:rPr>
        <w:t>5、我方完全理解贵方不一定要接受最低报价的投标人为中标人的行为。</w:t>
      </w:r>
    </w:p>
    <w:p w14:paraId="5E1D0CFF">
      <w:pPr>
        <w:pStyle w:val="19"/>
        <w:spacing w:line="360" w:lineRule="auto"/>
        <w:ind w:firstLine="480" w:firstLineChars="200"/>
        <w:jc w:val="left"/>
        <w:rPr>
          <w:rFonts w:hint="eastAsia" w:cs="宋体"/>
          <w:sz w:val="24"/>
          <w:szCs w:val="24"/>
        </w:rPr>
      </w:pPr>
      <w:r>
        <w:rPr>
          <w:rFonts w:hint="eastAsia" w:cs="宋体"/>
          <w:sz w:val="24"/>
          <w:szCs w:val="24"/>
        </w:rPr>
        <w:t>6、同意应贵方要求提供与本投标有关的任何数据或资料。</w:t>
      </w:r>
    </w:p>
    <w:p w14:paraId="1B88747F">
      <w:pPr>
        <w:pStyle w:val="19"/>
        <w:spacing w:line="360" w:lineRule="auto"/>
        <w:ind w:firstLine="480" w:firstLineChars="200"/>
        <w:rPr>
          <w:rFonts w:hint="eastAsia" w:cs="宋体"/>
          <w:sz w:val="24"/>
          <w:szCs w:val="24"/>
        </w:rPr>
      </w:pPr>
      <w:r>
        <w:rPr>
          <w:rFonts w:hint="eastAsia" w:cs="宋体"/>
          <w:sz w:val="24"/>
          <w:szCs w:val="24"/>
        </w:rPr>
        <w:t>7、其他服务承诺和优惠承诺（由投标人自行承诺）：</w:t>
      </w:r>
      <w:r>
        <w:rPr>
          <w:rFonts w:hint="eastAsia" w:cs="宋体"/>
          <w:sz w:val="24"/>
          <w:szCs w:val="24"/>
          <w:u w:val="single"/>
        </w:rPr>
        <w:t xml:space="preserve">                </w:t>
      </w:r>
      <w:r>
        <w:rPr>
          <w:rFonts w:hint="eastAsia" w:cs="宋体"/>
          <w:sz w:val="24"/>
          <w:szCs w:val="24"/>
        </w:rPr>
        <w:t>。</w:t>
      </w:r>
    </w:p>
    <w:p w14:paraId="5CE9E827">
      <w:pPr>
        <w:pStyle w:val="19"/>
        <w:spacing w:line="360" w:lineRule="auto"/>
        <w:ind w:firstLine="480" w:firstLineChars="200"/>
        <w:rPr>
          <w:rFonts w:hint="eastAsia" w:cs="宋体"/>
          <w:sz w:val="24"/>
          <w:szCs w:val="24"/>
        </w:rPr>
      </w:pPr>
      <w:r>
        <w:rPr>
          <w:rFonts w:hint="eastAsia" w:cs="宋体"/>
          <w:sz w:val="24"/>
          <w:szCs w:val="24"/>
        </w:rPr>
        <w:t>与本投标有关的正式通讯地址为：</w:t>
      </w:r>
    </w:p>
    <w:p w14:paraId="147C0CF8">
      <w:pPr>
        <w:pStyle w:val="19"/>
        <w:spacing w:line="360" w:lineRule="auto"/>
        <w:ind w:firstLine="480" w:firstLineChars="200"/>
        <w:rPr>
          <w:rFonts w:hint="eastAsia" w:cs="宋体"/>
          <w:sz w:val="24"/>
          <w:szCs w:val="24"/>
        </w:rPr>
      </w:pPr>
      <w:r>
        <w:rPr>
          <w:rFonts w:hint="eastAsia" w:cs="宋体"/>
          <w:sz w:val="24"/>
          <w:szCs w:val="24"/>
        </w:rPr>
        <w:t>地址：</w:t>
      </w:r>
      <w:r>
        <w:rPr>
          <w:rFonts w:hint="eastAsia" w:cs="宋体"/>
          <w:sz w:val="24"/>
          <w:szCs w:val="24"/>
          <w:u w:val="single"/>
        </w:rPr>
        <w:t xml:space="preserve">                              </w:t>
      </w:r>
      <w:r>
        <w:rPr>
          <w:rFonts w:hint="eastAsia" w:cs="宋体"/>
          <w:sz w:val="24"/>
          <w:szCs w:val="24"/>
        </w:rPr>
        <w:t xml:space="preserve">   邮政编码：</w:t>
      </w:r>
      <w:r>
        <w:rPr>
          <w:rFonts w:hint="eastAsia" w:cs="宋体"/>
          <w:sz w:val="24"/>
          <w:szCs w:val="24"/>
          <w:u w:val="single"/>
        </w:rPr>
        <w:t xml:space="preserve">             </w:t>
      </w:r>
    </w:p>
    <w:p w14:paraId="760A2FAD">
      <w:pPr>
        <w:pStyle w:val="19"/>
        <w:spacing w:line="360" w:lineRule="auto"/>
        <w:ind w:firstLine="480" w:firstLineChars="200"/>
        <w:rPr>
          <w:rFonts w:hint="eastAsia" w:cs="宋体"/>
          <w:sz w:val="24"/>
          <w:szCs w:val="24"/>
        </w:rPr>
      </w:pPr>
      <w:r>
        <w:rPr>
          <w:rFonts w:hint="eastAsia" w:cs="宋体"/>
          <w:sz w:val="24"/>
          <w:szCs w:val="24"/>
        </w:rPr>
        <w:t>电话：</w:t>
      </w:r>
      <w:r>
        <w:rPr>
          <w:rFonts w:hint="eastAsia" w:cs="宋体"/>
          <w:sz w:val="24"/>
          <w:szCs w:val="24"/>
          <w:u w:val="single"/>
        </w:rPr>
        <w:t xml:space="preserve">                             </w:t>
      </w:r>
      <w:r>
        <w:rPr>
          <w:rFonts w:hint="eastAsia" w:cs="宋体"/>
          <w:sz w:val="24"/>
          <w:szCs w:val="24"/>
        </w:rPr>
        <w:t xml:space="preserve">  帐    号：</w:t>
      </w:r>
      <w:r>
        <w:rPr>
          <w:rFonts w:hint="eastAsia" w:cs="宋体"/>
          <w:sz w:val="24"/>
          <w:szCs w:val="24"/>
          <w:u w:val="single"/>
        </w:rPr>
        <w:t xml:space="preserve">               </w:t>
      </w:r>
      <w:r>
        <w:rPr>
          <w:rFonts w:hint="eastAsia" w:cs="宋体"/>
          <w:sz w:val="24"/>
          <w:szCs w:val="24"/>
        </w:rPr>
        <w:t xml:space="preserve"> </w:t>
      </w:r>
    </w:p>
    <w:p w14:paraId="7FD3F8C7">
      <w:pPr>
        <w:pStyle w:val="19"/>
        <w:spacing w:line="360" w:lineRule="auto"/>
        <w:ind w:firstLine="480" w:firstLineChars="200"/>
        <w:rPr>
          <w:rFonts w:hint="eastAsia" w:cs="宋体"/>
          <w:sz w:val="24"/>
          <w:szCs w:val="24"/>
          <w:u w:val="single"/>
        </w:rPr>
      </w:pPr>
      <w:r>
        <w:rPr>
          <w:rFonts w:hint="eastAsia" w:cs="宋体"/>
          <w:sz w:val="24"/>
          <w:szCs w:val="24"/>
        </w:rPr>
        <w:t>开户名称：</w:t>
      </w:r>
      <w:r>
        <w:rPr>
          <w:rFonts w:hint="eastAsia" w:cs="宋体"/>
          <w:sz w:val="24"/>
          <w:szCs w:val="24"/>
          <w:u w:val="single"/>
        </w:rPr>
        <w:t xml:space="preserve">                       </w:t>
      </w:r>
      <w:r>
        <w:rPr>
          <w:rFonts w:hint="eastAsia" w:cs="宋体"/>
          <w:sz w:val="24"/>
          <w:szCs w:val="24"/>
        </w:rPr>
        <w:t xml:space="preserve"> 开户银行：</w:t>
      </w:r>
      <w:r>
        <w:rPr>
          <w:rFonts w:hint="eastAsia" w:cs="宋体"/>
          <w:sz w:val="24"/>
          <w:szCs w:val="24"/>
          <w:u w:val="single"/>
        </w:rPr>
        <w:t xml:space="preserve">                    </w:t>
      </w:r>
    </w:p>
    <w:p w14:paraId="01FBF118">
      <w:pPr>
        <w:spacing w:line="360" w:lineRule="auto"/>
        <w:jc w:val="left"/>
        <w:rPr>
          <w:rFonts w:hint="eastAsia" w:cs="宋体"/>
          <w:sz w:val="24"/>
        </w:rPr>
      </w:pPr>
    </w:p>
    <w:p w14:paraId="395CD081">
      <w:pPr>
        <w:pStyle w:val="19"/>
        <w:spacing w:line="360" w:lineRule="auto"/>
        <w:ind w:firstLine="480" w:firstLineChars="200"/>
        <w:rPr>
          <w:rFonts w:hint="eastAsia" w:cs="宋体"/>
          <w:sz w:val="24"/>
          <w:szCs w:val="24"/>
        </w:rPr>
      </w:pPr>
      <w:bookmarkStart w:id="310" w:name="_Toc29294"/>
      <w:bookmarkStart w:id="311" w:name="_Toc22547"/>
      <w:bookmarkStart w:id="312" w:name="_Toc14824"/>
      <w:bookmarkStart w:id="313" w:name="_Toc32030"/>
      <w:bookmarkStart w:id="314" w:name="_Toc29726"/>
      <w:bookmarkStart w:id="315" w:name="_Toc10867"/>
    </w:p>
    <w:p w14:paraId="38B7B3D7">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7A7B1AD1">
      <w:pPr>
        <w:pStyle w:val="19"/>
        <w:spacing w:line="360" w:lineRule="auto"/>
        <w:ind w:firstLine="480" w:firstLineChars="200"/>
        <w:rPr>
          <w:rFonts w:hint="eastAsia" w:cs="宋体"/>
          <w:sz w:val="24"/>
          <w:szCs w:val="24"/>
          <w:u w:val="single"/>
        </w:rPr>
      </w:pPr>
      <w:r>
        <w:rPr>
          <w:rFonts w:hint="eastAsia" w:cs="宋体"/>
          <w:sz w:val="24"/>
          <w:szCs w:val="24"/>
        </w:rPr>
        <w:t>法定代表人或授权代理人：</w:t>
      </w:r>
      <w:r>
        <w:rPr>
          <w:rFonts w:hint="eastAsia" w:cs="宋体"/>
          <w:sz w:val="24"/>
          <w:szCs w:val="24"/>
          <w:u w:val="single"/>
        </w:rPr>
        <w:t xml:space="preserve">           </w:t>
      </w:r>
      <w:r>
        <w:rPr>
          <w:rFonts w:hint="eastAsia" w:cs="宋体"/>
          <w:sz w:val="24"/>
          <w:szCs w:val="24"/>
        </w:rPr>
        <w:t>（</w:t>
      </w:r>
      <w:r>
        <w:rPr>
          <w:rFonts w:hint="eastAsia" w:cs="宋体"/>
          <w:sz w:val="24"/>
        </w:rPr>
        <w:t>电子签章或电子签名</w:t>
      </w:r>
      <w:r>
        <w:rPr>
          <w:rFonts w:hint="eastAsia" w:cs="宋体"/>
          <w:sz w:val="24"/>
          <w:szCs w:val="24"/>
        </w:rPr>
        <w:t>）</w:t>
      </w:r>
    </w:p>
    <w:p w14:paraId="5FC0AA5A">
      <w:pPr>
        <w:spacing w:line="360" w:lineRule="auto"/>
        <w:ind w:firstLine="480" w:firstLineChars="200"/>
        <w:rPr>
          <w:rFonts w:hint="eastAsia" w:cs="宋体"/>
          <w:sz w:val="24"/>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7D542438">
      <w:pPr>
        <w:pStyle w:val="11"/>
        <w:spacing w:line="360" w:lineRule="auto"/>
        <w:rPr>
          <w:rFonts w:hint="eastAsia" w:cs="宋体"/>
          <w:sz w:val="24"/>
        </w:rPr>
      </w:pPr>
    </w:p>
    <w:p w14:paraId="1FFE7D45">
      <w:pPr>
        <w:spacing w:line="360" w:lineRule="auto"/>
        <w:rPr>
          <w:rFonts w:hint="eastAsia" w:cs="宋体"/>
          <w:sz w:val="24"/>
        </w:rPr>
      </w:pPr>
    </w:p>
    <w:p w14:paraId="01187C8A">
      <w:pPr>
        <w:spacing w:line="360" w:lineRule="auto"/>
        <w:rPr>
          <w:rFonts w:hint="eastAsia" w:cs="宋体"/>
          <w:sz w:val="24"/>
        </w:rPr>
      </w:pPr>
      <w:r>
        <w:rPr>
          <w:rFonts w:hint="eastAsia" w:cs="宋体"/>
          <w:sz w:val="24"/>
        </w:rPr>
        <w:br w:type="page"/>
      </w:r>
    </w:p>
    <w:bookmarkEnd w:id="310"/>
    <w:bookmarkEnd w:id="311"/>
    <w:p w14:paraId="236E5DA7">
      <w:pPr>
        <w:pStyle w:val="6"/>
        <w:numPr>
          <w:ilvl w:val="1"/>
          <w:numId w:val="0"/>
        </w:numPr>
        <w:tabs>
          <w:tab w:val="clear" w:pos="596"/>
        </w:tabs>
        <w:ind w:left="596" w:hanging="596"/>
        <w:jc w:val="center"/>
        <w:rPr>
          <w:rFonts w:hint="eastAsia" w:eastAsia="宋体" w:cs="宋体"/>
          <w:bCs/>
        </w:rPr>
      </w:pPr>
      <w:bookmarkStart w:id="316" w:name="_Toc5876"/>
      <w:bookmarkStart w:id="317" w:name="_Toc23856"/>
      <w:bookmarkStart w:id="318" w:name="_Toc4492"/>
      <w:bookmarkStart w:id="319" w:name="_Toc25252"/>
      <w:r>
        <w:rPr>
          <w:rFonts w:hint="eastAsia" w:eastAsia="宋体" w:cs="宋体"/>
          <w:bCs/>
        </w:rPr>
        <w:t>（三）分项报价明细表</w:t>
      </w:r>
      <w:bookmarkEnd w:id="316"/>
      <w:bookmarkEnd w:id="317"/>
      <w:bookmarkEnd w:id="318"/>
      <w:bookmarkEnd w:id="319"/>
    </w:p>
    <w:p w14:paraId="5C0B86E4">
      <w:pPr>
        <w:pStyle w:val="40"/>
        <w:tabs>
          <w:tab w:val="left" w:pos="360"/>
        </w:tabs>
        <w:spacing w:line="360" w:lineRule="auto"/>
        <w:ind w:left="0" w:leftChars="0" w:firstLine="0" w:firstLineChars="0"/>
        <w:rPr>
          <w:rFonts w:hint="eastAsia" w:cs="宋体"/>
          <w:sz w:val="24"/>
        </w:rPr>
      </w:pPr>
      <w:r>
        <w:rPr>
          <w:rFonts w:hint="eastAsia" w:cs="宋体"/>
          <w:sz w:val="24"/>
        </w:rPr>
        <w:t>项目名称：</w:t>
      </w:r>
    </w:p>
    <w:p w14:paraId="4142B926">
      <w:pPr>
        <w:pStyle w:val="40"/>
        <w:tabs>
          <w:tab w:val="left" w:pos="360"/>
        </w:tabs>
        <w:spacing w:line="360" w:lineRule="auto"/>
        <w:ind w:left="0" w:leftChars="0" w:firstLine="0" w:firstLineChars="0"/>
        <w:rPr>
          <w:rFonts w:hint="eastAsia" w:cs="宋体"/>
          <w:sz w:val="24"/>
        </w:rPr>
      </w:pPr>
      <w:r>
        <w:rPr>
          <w:rFonts w:hint="eastAsia" w:cs="宋体"/>
          <w:sz w:val="24"/>
        </w:rPr>
        <w:t>项目编号：</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1229"/>
        <w:gridCol w:w="454"/>
        <w:gridCol w:w="1409"/>
        <w:gridCol w:w="872"/>
        <w:gridCol w:w="574"/>
        <w:gridCol w:w="455"/>
        <w:gridCol w:w="455"/>
        <w:gridCol w:w="812"/>
        <w:gridCol w:w="1170"/>
        <w:gridCol w:w="1289"/>
        <w:gridCol w:w="455"/>
      </w:tblGrid>
      <w:tr w14:paraId="7B36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235" w:type="pct"/>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37C5C092">
            <w:pPr>
              <w:spacing w:line="360" w:lineRule="auto"/>
              <w:jc w:val="center"/>
              <w:rPr>
                <w:rFonts w:hint="eastAsia" w:cs="宋体"/>
                <w:sz w:val="24"/>
              </w:rPr>
            </w:pPr>
            <w:r>
              <w:rPr>
                <w:rFonts w:hint="eastAsia" w:cs="宋体"/>
                <w:sz w:val="24"/>
              </w:rPr>
              <w:t>序号</w:t>
            </w:r>
          </w:p>
        </w:tc>
        <w:tc>
          <w:tcPr>
            <w:tcW w:w="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96BBE">
            <w:pPr>
              <w:spacing w:line="360" w:lineRule="auto"/>
              <w:jc w:val="center"/>
              <w:rPr>
                <w:rFonts w:hint="eastAsia" w:cs="宋体"/>
                <w:bCs/>
                <w:sz w:val="24"/>
              </w:rPr>
            </w:pPr>
            <w:r>
              <w:rPr>
                <w:rFonts w:hint="eastAsia" w:cs="宋体"/>
                <w:bCs/>
                <w:sz w:val="24"/>
              </w:rPr>
              <w:t xml:space="preserve"> 货物（装备）名称</w:t>
            </w:r>
          </w:p>
        </w:tc>
        <w:tc>
          <w:tcPr>
            <w:tcW w:w="2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73589">
            <w:pPr>
              <w:spacing w:line="360" w:lineRule="auto"/>
              <w:jc w:val="center"/>
              <w:rPr>
                <w:rFonts w:hint="eastAsia" w:cs="宋体"/>
                <w:bCs/>
                <w:sz w:val="24"/>
              </w:rPr>
            </w:pPr>
            <w:r>
              <w:rPr>
                <w:rFonts w:hint="eastAsia" w:cs="宋体"/>
                <w:sz w:val="24"/>
              </w:rPr>
              <w:t>品牌</w:t>
            </w:r>
          </w:p>
        </w:tc>
        <w:tc>
          <w:tcPr>
            <w:tcW w:w="7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D969E">
            <w:pPr>
              <w:spacing w:line="360" w:lineRule="auto"/>
              <w:jc w:val="center"/>
              <w:rPr>
                <w:rFonts w:hint="eastAsia" w:cs="宋体"/>
                <w:bCs/>
                <w:sz w:val="24"/>
              </w:rPr>
            </w:pPr>
            <w:r>
              <w:rPr>
                <w:rFonts w:hint="eastAsia" w:cs="宋体"/>
                <w:bCs/>
                <w:sz w:val="24"/>
              </w:rPr>
              <w:t>型号、规格、技术参数</w:t>
            </w:r>
          </w:p>
        </w:tc>
        <w:tc>
          <w:tcPr>
            <w:tcW w:w="4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8210A">
            <w:pPr>
              <w:spacing w:line="360" w:lineRule="auto"/>
              <w:jc w:val="center"/>
              <w:rPr>
                <w:rFonts w:hint="eastAsia" w:cs="宋体"/>
                <w:bCs/>
                <w:sz w:val="24"/>
              </w:rPr>
            </w:pPr>
            <w:r>
              <w:rPr>
                <w:rFonts w:hint="eastAsia" w:cs="宋体"/>
                <w:sz w:val="24"/>
              </w:rPr>
              <w:t>产地/制造商</w:t>
            </w:r>
          </w:p>
        </w:tc>
        <w:tc>
          <w:tcPr>
            <w:tcW w:w="2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83700">
            <w:pPr>
              <w:spacing w:line="360" w:lineRule="auto"/>
              <w:jc w:val="center"/>
              <w:rPr>
                <w:rFonts w:hint="eastAsia" w:cs="宋体"/>
                <w:sz w:val="24"/>
              </w:rPr>
            </w:pPr>
            <w:r>
              <w:rPr>
                <w:rFonts w:hint="eastAsia" w:cs="宋体"/>
                <w:sz w:val="24"/>
              </w:rPr>
              <w:t>质保期</w:t>
            </w:r>
          </w:p>
        </w:tc>
        <w:tc>
          <w:tcPr>
            <w:tcW w:w="2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2E7F2">
            <w:pPr>
              <w:spacing w:line="360" w:lineRule="auto"/>
              <w:jc w:val="center"/>
              <w:rPr>
                <w:rFonts w:hint="eastAsia" w:cs="宋体"/>
                <w:bCs/>
                <w:sz w:val="24"/>
              </w:rPr>
            </w:pPr>
            <w:r>
              <w:rPr>
                <w:rFonts w:hint="eastAsia" w:cs="宋体"/>
                <w:sz w:val="24"/>
              </w:rPr>
              <w:t>数量</w:t>
            </w:r>
          </w:p>
        </w:tc>
        <w:tc>
          <w:tcPr>
            <w:tcW w:w="2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90CCD">
            <w:pPr>
              <w:spacing w:line="360" w:lineRule="auto"/>
              <w:jc w:val="center"/>
              <w:rPr>
                <w:rFonts w:hint="eastAsia" w:cs="宋体"/>
                <w:bCs/>
                <w:sz w:val="24"/>
              </w:rPr>
            </w:pPr>
            <w:r>
              <w:rPr>
                <w:rFonts w:hint="eastAsia" w:cs="宋体"/>
                <w:sz w:val="24"/>
              </w:rPr>
              <w:t>单位</w:t>
            </w:r>
          </w:p>
        </w:tc>
        <w:tc>
          <w:tcPr>
            <w:tcW w:w="4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CDECD">
            <w:pPr>
              <w:widowControl/>
              <w:spacing w:line="360" w:lineRule="auto"/>
              <w:jc w:val="center"/>
              <w:rPr>
                <w:rFonts w:hint="eastAsia" w:cs="宋体"/>
                <w:sz w:val="24"/>
              </w:rPr>
            </w:pPr>
            <w:r>
              <w:rPr>
                <w:rFonts w:hint="eastAsia" w:cs="宋体"/>
                <w:sz w:val="24"/>
              </w:rPr>
              <w:t>单价（元）</w:t>
            </w:r>
          </w:p>
        </w:tc>
        <w:tc>
          <w:tcPr>
            <w:tcW w:w="6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C3F81">
            <w:pPr>
              <w:widowControl/>
              <w:spacing w:line="360" w:lineRule="auto"/>
              <w:jc w:val="center"/>
              <w:rPr>
                <w:rFonts w:hint="eastAsia" w:cs="宋体"/>
                <w:sz w:val="24"/>
              </w:rPr>
            </w:pPr>
            <w:r>
              <w:rPr>
                <w:rFonts w:hint="eastAsia" w:cs="宋体"/>
                <w:sz w:val="24"/>
              </w:rPr>
              <w:t>总价（含税，元）</w:t>
            </w:r>
          </w:p>
        </w:tc>
        <w:tc>
          <w:tcPr>
            <w:tcW w:w="66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D1A52">
            <w:pPr>
              <w:widowControl/>
              <w:spacing w:line="360" w:lineRule="auto"/>
              <w:jc w:val="center"/>
              <w:rPr>
                <w:rFonts w:hint="eastAsia" w:cs="宋体"/>
                <w:sz w:val="24"/>
              </w:rPr>
            </w:pPr>
            <w:r>
              <w:rPr>
                <w:rFonts w:hint="eastAsia" w:cs="宋体"/>
                <w:sz w:val="24"/>
              </w:rPr>
              <w:t>总价（不含税，元）</w:t>
            </w:r>
          </w:p>
        </w:tc>
        <w:tc>
          <w:tcPr>
            <w:tcW w:w="2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78931">
            <w:pPr>
              <w:widowControl/>
              <w:spacing w:line="360" w:lineRule="auto"/>
              <w:jc w:val="center"/>
              <w:rPr>
                <w:rFonts w:hint="eastAsia" w:cs="宋体"/>
                <w:sz w:val="24"/>
              </w:rPr>
            </w:pPr>
            <w:r>
              <w:rPr>
                <w:rFonts w:hint="eastAsia" w:cs="宋体"/>
                <w:sz w:val="24"/>
              </w:rPr>
              <w:t>税率</w:t>
            </w:r>
          </w:p>
        </w:tc>
      </w:tr>
      <w:tr w14:paraId="46ACD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35" w:type="pct"/>
            <w:noWrap/>
            <w:vAlign w:val="center"/>
          </w:tcPr>
          <w:p w14:paraId="04873B70">
            <w:pPr>
              <w:spacing w:line="360" w:lineRule="auto"/>
              <w:jc w:val="center"/>
              <w:rPr>
                <w:rFonts w:hint="eastAsia" w:cs="宋体"/>
                <w:sz w:val="24"/>
              </w:rPr>
            </w:pPr>
            <w:r>
              <w:rPr>
                <w:rFonts w:hint="eastAsia" w:cs="宋体"/>
                <w:sz w:val="24"/>
              </w:rPr>
              <w:t>1</w:t>
            </w:r>
          </w:p>
        </w:tc>
        <w:tc>
          <w:tcPr>
            <w:tcW w:w="638" w:type="pct"/>
            <w:noWrap/>
            <w:vAlign w:val="center"/>
          </w:tcPr>
          <w:p w14:paraId="52FFEE29">
            <w:pPr>
              <w:spacing w:line="360" w:lineRule="auto"/>
              <w:rPr>
                <w:rFonts w:hint="eastAsia" w:cs="宋体"/>
                <w:sz w:val="24"/>
              </w:rPr>
            </w:pPr>
          </w:p>
        </w:tc>
        <w:tc>
          <w:tcPr>
            <w:tcW w:w="235" w:type="pct"/>
            <w:noWrap/>
            <w:vAlign w:val="center"/>
          </w:tcPr>
          <w:p w14:paraId="3F6076C2">
            <w:pPr>
              <w:spacing w:line="360" w:lineRule="auto"/>
              <w:jc w:val="center"/>
              <w:rPr>
                <w:rFonts w:hint="eastAsia" w:cs="宋体"/>
                <w:sz w:val="24"/>
              </w:rPr>
            </w:pPr>
          </w:p>
        </w:tc>
        <w:tc>
          <w:tcPr>
            <w:tcW w:w="731" w:type="pct"/>
            <w:noWrap/>
            <w:vAlign w:val="center"/>
          </w:tcPr>
          <w:p w14:paraId="72B8BE79">
            <w:pPr>
              <w:spacing w:line="360" w:lineRule="auto"/>
              <w:jc w:val="center"/>
              <w:rPr>
                <w:rFonts w:hint="eastAsia" w:cs="宋体"/>
                <w:sz w:val="24"/>
              </w:rPr>
            </w:pPr>
          </w:p>
        </w:tc>
        <w:tc>
          <w:tcPr>
            <w:tcW w:w="452" w:type="pct"/>
            <w:noWrap/>
            <w:vAlign w:val="center"/>
          </w:tcPr>
          <w:p w14:paraId="34702B88">
            <w:pPr>
              <w:spacing w:line="360" w:lineRule="auto"/>
              <w:jc w:val="center"/>
              <w:rPr>
                <w:rFonts w:hint="eastAsia" w:cs="宋体"/>
                <w:sz w:val="24"/>
              </w:rPr>
            </w:pPr>
          </w:p>
        </w:tc>
        <w:tc>
          <w:tcPr>
            <w:tcW w:w="298" w:type="pct"/>
            <w:noWrap/>
            <w:vAlign w:val="center"/>
          </w:tcPr>
          <w:p w14:paraId="4E42D8BF">
            <w:pPr>
              <w:spacing w:line="360" w:lineRule="auto"/>
              <w:jc w:val="center"/>
              <w:rPr>
                <w:rFonts w:hint="eastAsia" w:cs="宋体"/>
                <w:sz w:val="24"/>
              </w:rPr>
            </w:pPr>
          </w:p>
        </w:tc>
        <w:tc>
          <w:tcPr>
            <w:tcW w:w="236" w:type="pct"/>
            <w:noWrap/>
            <w:vAlign w:val="center"/>
          </w:tcPr>
          <w:p w14:paraId="7581F724">
            <w:pPr>
              <w:spacing w:line="360" w:lineRule="auto"/>
              <w:jc w:val="center"/>
              <w:rPr>
                <w:rFonts w:hint="eastAsia" w:cs="宋体"/>
                <w:sz w:val="24"/>
              </w:rPr>
            </w:pPr>
          </w:p>
        </w:tc>
        <w:tc>
          <w:tcPr>
            <w:tcW w:w="236" w:type="pct"/>
            <w:noWrap/>
            <w:vAlign w:val="center"/>
          </w:tcPr>
          <w:p w14:paraId="15F32587">
            <w:pPr>
              <w:spacing w:line="360" w:lineRule="auto"/>
              <w:rPr>
                <w:rFonts w:hint="eastAsia" w:cs="宋体"/>
                <w:sz w:val="24"/>
              </w:rPr>
            </w:pPr>
          </w:p>
        </w:tc>
        <w:tc>
          <w:tcPr>
            <w:tcW w:w="421" w:type="pct"/>
            <w:shd w:val="clear" w:color="auto" w:fill="FFFFFF"/>
            <w:noWrap/>
            <w:vAlign w:val="center"/>
          </w:tcPr>
          <w:p w14:paraId="2BF372DA">
            <w:pPr>
              <w:spacing w:line="360" w:lineRule="auto"/>
              <w:jc w:val="center"/>
              <w:rPr>
                <w:rFonts w:hint="eastAsia" w:cs="宋体"/>
                <w:sz w:val="24"/>
              </w:rPr>
            </w:pPr>
          </w:p>
        </w:tc>
        <w:tc>
          <w:tcPr>
            <w:tcW w:w="607" w:type="pct"/>
            <w:shd w:val="clear" w:color="auto" w:fill="FFFFFF"/>
            <w:noWrap/>
            <w:vAlign w:val="center"/>
          </w:tcPr>
          <w:p w14:paraId="3589E1A0">
            <w:pPr>
              <w:spacing w:line="360" w:lineRule="auto"/>
              <w:jc w:val="center"/>
              <w:rPr>
                <w:rFonts w:hint="eastAsia" w:cs="宋体"/>
                <w:sz w:val="24"/>
              </w:rPr>
            </w:pPr>
          </w:p>
        </w:tc>
        <w:tc>
          <w:tcPr>
            <w:tcW w:w="669" w:type="pct"/>
            <w:shd w:val="clear" w:color="auto" w:fill="FFFFFF"/>
            <w:noWrap/>
            <w:vAlign w:val="center"/>
          </w:tcPr>
          <w:p w14:paraId="05A17518">
            <w:pPr>
              <w:spacing w:line="360" w:lineRule="auto"/>
              <w:jc w:val="center"/>
              <w:rPr>
                <w:rFonts w:hint="eastAsia" w:cs="宋体"/>
                <w:sz w:val="24"/>
              </w:rPr>
            </w:pPr>
          </w:p>
        </w:tc>
        <w:tc>
          <w:tcPr>
            <w:tcW w:w="236" w:type="pct"/>
            <w:shd w:val="clear" w:color="auto" w:fill="FFFFFF"/>
            <w:noWrap/>
            <w:vAlign w:val="center"/>
          </w:tcPr>
          <w:p w14:paraId="1E15D584">
            <w:pPr>
              <w:spacing w:line="360" w:lineRule="auto"/>
              <w:jc w:val="center"/>
              <w:rPr>
                <w:rFonts w:hint="eastAsia" w:cs="宋体"/>
                <w:sz w:val="24"/>
              </w:rPr>
            </w:pPr>
          </w:p>
        </w:tc>
      </w:tr>
      <w:tr w14:paraId="314C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35" w:type="pct"/>
            <w:noWrap/>
            <w:vAlign w:val="center"/>
          </w:tcPr>
          <w:p w14:paraId="70467CFE">
            <w:pPr>
              <w:spacing w:line="360" w:lineRule="auto"/>
              <w:jc w:val="center"/>
              <w:rPr>
                <w:rFonts w:hint="eastAsia" w:cs="宋体"/>
                <w:sz w:val="24"/>
              </w:rPr>
            </w:pPr>
            <w:r>
              <w:rPr>
                <w:rFonts w:hint="eastAsia" w:cs="宋体"/>
                <w:sz w:val="24"/>
              </w:rPr>
              <w:t>2</w:t>
            </w:r>
          </w:p>
        </w:tc>
        <w:tc>
          <w:tcPr>
            <w:tcW w:w="638" w:type="pct"/>
            <w:noWrap/>
            <w:vAlign w:val="center"/>
          </w:tcPr>
          <w:p w14:paraId="5B361415">
            <w:pPr>
              <w:spacing w:line="360" w:lineRule="auto"/>
              <w:rPr>
                <w:rFonts w:hint="eastAsia" w:cs="宋体"/>
                <w:sz w:val="24"/>
              </w:rPr>
            </w:pPr>
          </w:p>
        </w:tc>
        <w:tc>
          <w:tcPr>
            <w:tcW w:w="235" w:type="pct"/>
            <w:noWrap/>
            <w:vAlign w:val="center"/>
          </w:tcPr>
          <w:p w14:paraId="44AD548D">
            <w:pPr>
              <w:spacing w:line="360" w:lineRule="auto"/>
              <w:jc w:val="center"/>
              <w:rPr>
                <w:rFonts w:hint="eastAsia" w:cs="宋体"/>
                <w:sz w:val="24"/>
              </w:rPr>
            </w:pPr>
          </w:p>
        </w:tc>
        <w:tc>
          <w:tcPr>
            <w:tcW w:w="731" w:type="pct"/>
            <w:noWrap/>
            <w:vAlign w:val="center"/>
          </w:tcPr>
          <w:p w14:paraId="489186C7">
            <w:pPr>
              <w:spacing w:line="360" w:lineRule="auto"/>
              <w:jc w:val="center"/>
              <w:rPr>
                <w:rFonts w:hint="eastAsia" w:cs="宋体"/>
                <w:sz w:val="24"/>
              </w:rPr>
            </w:pPr>
          </w:p>
        </w:tc>
        <w:tc>
          <w:tcPr>
            <w:tcW w:w="452" w:type="pct"/>
            <w:noWrap/>
            <w:vAlign w:val="center"/>
          </w:tcPr>
          <w:p w14:paraId="11EC6D2B">
            <w:pPr>
              <w:spacing w:line="360" w:lineRule="auto"/>
              <w:jc w:val="center"/>
              <w:rPr>
                <w:rFonts w:hint="eastAsia" w:cs="宋体"/>
                <w:sz w:val="24"/>
              </w:rPr>
            </w:pPr>
          </w:p>
        </w:tc>
        <w:tc>
          <w:tcPr>
            <w:tcW w:w="298" w:type="pct"/>
            <w:noWrap/>
            <w:vAlign w:val="center"/>
          </w:tcPr>
          <w:p w14:paraId="3624BB2D">
            <w:pPr>
              <w:spacing w:line="360" w:lineRule="auto"/>
              <w:jc w:val="center"/>
              <w:rPr>
                <w:rFonts w:hint="eastAsia" w:cs="宋体"/>
                <w:sz w:val="24"/>
              </w:rPr>
            </w:pPr>
          </w:p>
        </w:tc>
        <w:tc>
          <w:tcPr>
            <w:tcW w:w="236" w:type="pct"/>
            <w:noWrap/>
            <w:vAlign w:val="center"/>
          </w:tcPr>
          <w:p w14:paraId="3A2D7BCC">
            <w:pPr>
              <w:spacing w:line="360" w:lineRule="auto"/>
              <w:jc w:val="center"/>
              <w:rPr>
                <w:rFonts w:hint="eastAsia" w:cs="宋体"/>
                <w:sz w:val="24"/>
              </w:rPr>
            </w:pPr>
          </w:p>
        </w:tc>
        <w:tc>
          <w:tcPr>
            <w:tcW w:w="236" w:type="pct"/>
            <w:noWrap/>
            <w:vAlign w:val="center"/>
          </w:tcPr>
          <w:p w14:paraId="7DF321C3">
            <w:pPr>
              <w:spacing w:line="360" w:lineRule="auto"/>
              <w:rPr>
                <w:rFonts w:hint="eastAsia" w:cs="宋体"/>
                <w:sz w:val="24"/>
              </w:rPr>
            </w:pPr>
          </w:p>
        </w:tc>
        <w:tc>
          <w:tcPr>
            <w:tcW w:w="421" w:type="pct"/>
            <w:shd w:val="clear" w:color="auto" w:fill="FFFFFF"/>
            <w:noWrap/>
            <w:vAlign w:val="center"/>
          </w:tcPr>
          <w:p w14:paraId="7363422D">
            <w:pPr>
              <w:spacing w:line="360" w:lineRule="auto"/>
              <w:jc w:val="center"/>
              <w:rPr>
                <w:rFonts w:hint="eastAsia" w:cs="宋体"/>
                <w:sz w:val="24"/>
              </w:rPr>
            </w:pPr>
          </w:p>
        </w:tc>
        <w:tc>
          <w:tcPr>
            <w:tcW w:w="607" w:type="pct"/>
            <w:shd w:val="clear" w:color="auto" w:fill="FFFFFF"/>
            <w:noWrap/>
            <w:vAlign w:val="center"/>
          </w:tcPr>
          <w:p w14:paraId="41EEC0CB">
            <w:pPr>
              <w:spacing w:line="360" w:lineRule="auto"/>
              <w:jc w:val="center"/>
              <w:rPr>
                <w:rFonts w:hint="eastAsia" w:cs="宋体"/>
                <w:sz w:val="24"/>
              </w:rPr>
            </w:pPr>
          </w:p>
        </w:tc>
        <w:tc>
          <w:tcPr>
            <w:tcW w:w="669" w:type="pct"/>
            <w:shd w:val="clear" w:color="auto" w:fill="FFFFFF"/>
            <w:noWrap/>
            <w:vAlign w:val="center"/>
          </w:tcPr>
          <w:p w14:paraId="7F66FCBD">
            <w:pPr>
              <w:spacing w:line="360" w:lineRule="auto"/>
              <w:jc w:val="center"/>
              <w:rPr>
                <w:rFonts w:hint="eastAsia" w:cs="宋体"/>
                <w:sz w:val="24"/>
              </w:rPr>
            </w:pPr>
          </w:p>
        </w:tc>
        <w:tc>
          <w:tcPr>
            <w:tcW w:w="236" w:type="pct"/>
            <w:shd w:val="clear" w:color="auto" w:fill="FFFFFF"/>
            <w:noWrap/>
            <w:vAlign w:val="center"/>
          </w:tcPr>
          <w:p w14:paraId="2CFAEC6D">
            <w:pPr>
              <w:spacing w:line="360" w:lineRule="auto"/>
              <w:jc w:val="center"/>
              <w:rPr>
                <w:rFonts w:hint="eastAsia" w:cs="宋体"/>
                <w:sz w:val="24"/>
              </w:rPr>
            </w:pPr>
          </w:p>
        </w:tc>
      </w:tr>
      <w:tr w14:paraId="5793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35" w:type="pct"/>
            <w:noWrap/>
            <w:vAlign w:val="center"/>
          </w:tcPr>
          <w:p w14:paraId="6D028F9A">
            <w:pPr>
              <w:spacing w:line="360" w:lineRule="auto"/>
              <w:jc w:val="center"/>
              <w:rPr>
                <w:rFonts w:hint="eastAsia" w:cs="宋体"/>
                <w:sz w:val="24"/>
              </w:rPr>
            </w:pPr>
            <w:r>
              <w:rPr>
                <w:rFonts w:hint="eastAsia" w:cs="宋体"/>
                <w:sz w:val="24"/>
              </w:rPr>
              <w:t>3</w:t>
            </w:r>
          </w:p>
        </w:tc>
        <w:tc>
          <w:tcPr>
            <w:tcW w:w="638" w:type="pct"/>
            <w:noWrap/>
            <w:vAlign w:val="center"/>
          </w:tcPr>
          <w:p w14:paraId="164BF29F">
            <w:pPr>
              <w:spacing w:line="360" w:lineRule="auto"/>
              <w:rPr>
                <w:rFonts w:hint="eastAsia" w:cs="宋体"/>
                <w:sz w:val="24"/>
              </w:rPr>
            </w:pPr>
          </w:p>
        </w:tc>
        <w:tc>
          <w:tcPr>
            <w:tcW w:w="235" w:type="pct"/>
            <w:noWrap/>
            <w:vAlign w:val="center"/>
          </w:tcPr>
          <w:p w14:paraId="7AA771FC">
            <w:pPr>
              <w:spacing w:line="360" w:lineRule="auto"/>
              <w:jc w:val="center"/>
              <w:rPr>
                <w:rFonts w:hint="eastAsia" w:cs="宋体"/>
                <w:sz w:val="24"/>
              </w:rPr>
            </w:pPr>
          </w:p>
        </w:tc>
        <w:tc>
          <w:tcPr>
            <w:tcW w:w="731" w:type="pct"/>
            <w:noWrap/>
            <w:vAlign w:val="center"/>
          </w:tcPr>
          <w:p w14:paraId="04CCC18B">
            <w:pPr>
              <w:spacing w:line="360" w:lineRule="auto"/>
              <w:jc w:val="center"/>
              <w:rPr>
                <w:rFonts w:hint="eastAsia" w:cs="宋体"/>
                <w:sz w:val="24"/>
              </w:rPr>
            </w:pPr>
          </w:p>
        </w:tc>
        <w:tc>
          <w:tcPr>
            <w:tcW w:w="452" w:type="pct"/>
            <w:noWrap/>
            <w:vAlign w:val="center"/>
          </w:tcPr>
          <w:p w14:paraId="3E29A1AD">
            <w:pPr>
              <w:spacing w:line="360" w:lineRule="auto"/>
              <w:jc w:val="center"/>
              <w:rPr>
                <w:rFonts w:hint="eastAsia" w:cs="宋体"/>
                <w:sz w:val="24"/>
              </w:rPr>
            </w:pPr>
          </w:p>
        </w:tc>
        <w:tc>
          <w:tcPr>
            <w:tcW w:w="298" w:type="pct"/>
            <w:noWrap/>
            <w:vAlign w:val="center"/>
          </w:tcPr>
          <w:p w14:paraId="5E2C3BD1">
            <w:pPr>
              <w:spacing w:line="360" w:lineRule="auto"/>
              <w:jc w:val="center"/>
              <w:rPr>
                <w:rFonts w:hint="eastAsia" w:cs="宋体"/>
                <w:sz w:val="24"/>
              </w:rPr>
            </w:pPr>
          </w:p>
        </w:tc>
        <w:tc>
          <w:tcPr>
            <w:tcW w:w="236" w:type="pct"/>
            <w:noWrap/>
            <w:vAlign w:val="center"/>
          </w:tcPr>
          <w:p w14:paraId="61FFB630">
            <w:pPr>
              <w:spacing w:line="360" w:lineRule="auto"/>
              <w:jc w:val="center"/>
              <w:rPr>
                <w:rFonts w:hint="eastAsia" w:cs="宋体"/>
                <w:sz w:val="24"/>
              </w:rPr>
            </w:pPr>
          </w:p>
        </w:tc>
        <w:tc>
          <w:tcPr>
            <w:tcW w:w="236" w:type="pct"/>
            <w:noWrap/>
            <w:vAlign w:val="center"/>
          </w:tcPr>
          <w:p w14:paraId="29FD338B">
            <w:pPr>
              <w:spacing w:line="360" w:lineRule="auto"/>
              <w:rPr>
                <w:rFonts w:hint="eastAsia" w:cs="宋体"/>
                <w:sz w:val="24"/>
              </w:rPr>
            </w:pPr>
          </w:p>
        </w:tc>
        <w:tc>
          <w:tcPr>
            <w:tcW w:w="421" w:type="pct"/>
            <w:shd w:val="clear" w:color="auto" w:fill="FFFFFF"/>
            <w:noWrap/>
            <w:vAlign w:val="center"/>
          </w:tcPr>
          <w:p w14:paraId="71AF28BF">
            <w:pPr>
              <w:spacing w:line="360" w:lineRule="auto"/>
              <w:jc w:val="center"/>
              <w:rPr>
                <w:rFonts w:hint="eastAsia" w:cs="宋体"/>
                <w:sz w:val="24"/>
              </w:rPr>
            </w:pPr>
          </w:p>
        </w:tc>
        <w:tc>
          <w:tcPr>
            <w:tcW w:w="607" w:type="pct"/>
            <w:shd w:val="clear" w:color="auto" w:fill="FFFFFF"/>
            <w:noWrap/>
            <w:vAlign w:val="center"/>
          </w:tcPr>
          <w:p w14:paraId="67BB0BA4">
            <w:pPr>
              <w:spacing w:line="360" w:lineRule="auto"/>
              <w:jc w:val="center"/>
              <w:rPr>
                <w:rFonts w:hint="eastAsia" w:cs="宋体"/>
                <w:sz w:val="24"/>
              </w:rPr>
            </w:pPr>
          </w:p>
        </w:tc>
        <w:tc>
          <w:tcPr>
            <w:tcW w:w="669" w:type="pct"/>
            <w:shd w:val="clear" w:color="auto" w:fill="FFFFFF"/>
            <w:noWrap/>
            <w:vAlign w:val="center"/>
          </w:tcPr>
          <w:p w14:paraId="0DBA6DEB">
            <w:pPr>
              <w:spacing w:line="360" w:lineRule="auto"/>
              <w:jc w:val="center"/>
              <w:rPr>
                <w:rFonts w:hint="eastAsia" w:cs="宋体"/>
                <w:sz w:val="24"/>
              </w:rPr>
            </w:pPr>
          </w:p>
        </w:tc>
        <w:tc>
          <w:tcPr>
            <w:tcW w:w="236" w:type="pct"/>
            <w:shd w:val="clear" w:color="auto" w:fill="FFFFFF"/>
            <w:noWrap/>
            <w:vAlign w:val="center"/>
          </w:tcPr>
          <w:p w14:paraId="441793F5">
            <w:pPr>
              <w:spacing w:line="360" w:lineRule="auto"/>
              <w:jc w:val="center"/>
              <w:rPr>
                <w:rFonts w:hint="eastAsia" w:cs="宋体"/>
                <w:sz w:val="24"/>
              </w:rPr>
            </w:pPr>
          </w:p>
        </w:tc>
      </w:tr>
      <w:tr w14:paraId="4E20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35" w:type="pct"/>
            <w:noWrap/>
            <w:vAlign w:val="center"/>
          </w:tcPr>
          <w:p w14:paraId="61AC35BE">
            <w:pPr>
              <w:spacing w:line="360" w:lineRule="auto"/>
              <w:jc w:val="center"/>
              <w:rPr>
                <w:rFonts w:hint="eastAsia" w:cs="宋体"/>
                <w:sz w:val="24"/>
              </w:rPr>
            </w:pPr>
            <w:r>
              <w:rPr>
                <w:rFonts w:hint="eastAsia" w:cs="宋体"/>
                <w:sz w:val="24"/>
              </w:rPr>
              <w:t>4</w:t>
            </w:r>
          </w:p>
        </w:tc>
        <w:tc>
          <w:tcPr>
            <w:tcW w:w="638" w:type="pct"/>
            <w:noWrap/>
            <w:vAlign w:val="center"/>
          </w:tcPr>
          <w:p w14:paraId="2696B26F">
            <w:pPr>
              <w:spacing w:line="360" w:lineRule="auto"/>
              <w:rPr>
                <w:rFonts w:hint="eastAsia" w:cs="宋体"/>
                <w:sz w:val="24"/>
              </w:rPr>
            </w:pPr>
          </w:p>
        </w:tc>
        <w:tc>
          <w:tcPr>
            <w:tcW w:w="235" w:type="pct"/>
            <w:noWrap/>
            <w:vAlign w:val="center"/>
          </w:tcPr>
          <w:p w14:paraId="7E482230">
            <w:pPr>
              <w:spacing w:line="360" w:lineRule="auto"/>
              <w:jc w:val="center"/>
              <w:rPr>
                <w:rFonts w:hint="eastAsia" w:cs="宋体"/>
                <w:sz w:val="24"/>
              </w:rPr>
            </w:pPr>
          </w:p>
        </w:tc>
        <w:tc>
          <w:tcPr>
            <w:tcW w:w="731" w:type="pct"/>
            <w:noWrap/>
            <w:vAlign w:val="center"/>
          </w:tcPr>
          <w:p w14:paraId="305491C9">
            <w:pPr>
              <w:spacing w:line="360" w:lineRule="auto"/>
              <w:jc w:val="center"/>
              <w:rPr>
                <w:rFonts w:hint="eastAsia" w:cs="宋体"/>
                <w:sz w:val="24"/>
              </w:rPr>
            </w:pPr>
          </w:p>
        </w:tc>
        <w:tc>
          <w:tcPr>
            <w:tcW w:w="452" w:type="pct"/>
            <w:noWrap/>
            <w:vAlign w:val="center"/>
          </w:tcPr>
          <w:p w14:paraId="376999B9">
            <w:pPr>
              <w:spacing w:line="360" w:lineRule="auto"/>
              <w:jc w:val="center"/>
              <w:rPr>
                <w:rFonts w:hint="eastAsia" w:cs="宋体"/>
                <w:sz w:val="24"/>
              </w:rPr>
            </w:pPr>
          </w:p>
        </w:tc>
        <w:tc>
          <w:tcPr>
            <w:tcW w:w="298" w:type="pct"/>
            <w:noWrap/>
            <w:vAlign w:val="center"/>
          </w:tcPr>
          <w:p w14:paraId="693B0F8B">
            <w:pPr>
              <w:spacing w:line="360" w:lineRule="auto"/>
              <w:jc w:val="center"/>
              <w:rPr>
                <w:rFonts w:hint="eastAsia" w:cs="宋体"/>
                <w:sz w:val="24"/>
              </w:rPr>
            </w:pPr>
          </w:p>
        </w:tc>
        <w:tc>
          <w:tcPr>
            <w:tcW w:w="236" w:type="pct"/>
            <w:noWrap/>
            <w:vAlign w:val="center"/>
          </w:tcPr>
          <w:p w14:paraId="19D03053">
            <w:pPr>
              <w:spacing w:line="360" w:lineRule="auto"/>
              <w:jc w:val="center"/>
              <w:rPr>
                <w:rFonts w:hint="eastAsia" w:cs="宋体"/>
                <w:sz w:val="24"/>
              </w:rPr>
            </w:pPr>
          </w:p>
        </w:tc>
        <w:tc>
          <w:tcPr>
            <w:tcW w:w="236" w:type="pct"/>
            <w:noWrap/>
            <w:vAlign w:val="center"/>
          </w:tcPr>
          <w:p w14:paraId="62DA980C">
            <w:pPr>
              <w:spacing w:line="360" w:lineRule="auto"/>
              <w:rPr>
                <w:rFonts w:hint="eastAsia" w:cs="宋体"/>
                <w:sz w:val="24"/>
              </w:rPr>
            </w:pPr>
          </w:p>
        </w:tc>
        <w:tc>
          <w:tcPr>
            <w:tcW w:w="421" w:type="pct"/>
            <w:shd w:val="clear" w:color="auto" w:fill="FFFFFF"/>
            <w:noWrap/>
            <w:vAlign w:val="center"/>
          </w:tcPr>
          <w:p w14:paraId="7707F187">
            <w:pPr>
              <w:spacing w:line="360" w:lineRule="auto"/>
              <w:jc w:val="center"/>
              <w:rPr>
                <w:rFonts w:hint="eastAsia" w:cs="宋体"/>
                <w:sz w:val="24"/>
              </w:rPr>
            </w:pPr>
          </w:p>
        </w:tc>
        <w:tc>
          <w:tcPr>
            <w:tcW w:w="607" w:type="pct"/>
            <w:shd w:val="clear" w:color="auto" w:fill="FFFFFF"/>
            <w:noWrap/>
            <w:vAlign w:val="center"/>
          </w:tcPr>
          <w:p w14:paraId="06C9BAD6">
            <w:pPr>
              <w:spacing w:line="360" w:lineRule="auto"/>
              <w:jc w:val="center"/>
              <w:rPr>
                <w:rFonts w:hint="eastAsia" w:cs="宋体"/>
                <w:sz w:val="24"/>
              </w:rPr>
            </w:pPr>
          </w:p>
        </w:tc>
        <w:tc>
          <w:tcPr>
            <w:tcW w:w="669" w:type="pct"/>
            <w:shd w:val="clear" w:color="auto" w:fill="FFFFFF"/>
            <w:noWrap/>
            <w:vAlign w:val="center"/>
          </w:tcPr>
          <w:p w14:paraId="041161B6">
            <w:pPr>
              <w:spacing w:line="360" w:lineRule="auto"/>
              <w:jc w:val="center"/>
              <w:rPr>
                <w:rFonts w:hint="eastAsia" w:cs="宋体"/>
                <w:sz w:val="24"/>
              </w:rPr>
            </w:pPr>
          </w:p>
        </w:tc>
        <w:tc>
          <w:tcPr>
            <w:tcW w:w="236" w:type="pct"/>
            <w:shd w:val="clear" w:color="auto" w:fill="FFFFFF"/>
            <w:noWrap/>
            <w:vAlign w:val="center"/>
          </w:tcPr>
          <w:p w14:paraId="29DE3EE9">
            <w:pPr>
              <w:spacing w:line="360" w:lineRule="auto"/>
              <w:jc w:val="center"/>
              <w:rPr>
                <w:rFonts w:hint="eastAsia" w:cs="宋体"/>
                <w:sz w:val="24"/>
              </w:rPr>
            </w:pPr>
          </w:p>
        </w:tc>
      </w:tr>
    </w:tbl>
    <w:p w14:paraId="478B8C15">
      <w:pPr>
        <w:pStyle w:val="274"/>
        <w:rPr>
          <w:rFonts w:hint="eastAsia" w:eastAsia="宋体"/>
          <w:szCs w:val="21"/>
        </w:rPr>
      </w:pPr>
    </w:p>
    <w:p w14:paraId="4F89D313">
      <w:pPr>
        <w:pStyle w:val="274"/>
        <w:rPr>
          <w:rFonts w:hint="eastAsia" w:eastAsia="宋体"/>
          <w:b/>
          <w:bCs/>
          <w:sz w:val="24"/>
          <w:szCs w:val="24"/>
          <w:lang w:eastAsia="zh-CN"/>
        </w:rPr>
      </w:pPr>
      <w:r>
        <w:rPr>
          <w:rFonts w:hint="eastAsia" w:eastAsia="宋体"/>
          <w:b/>
          <w:bCs/>
          <w:sz w:val="24"/>
          <w:szCs w:val="24"/>
          <w:lang w:eastAsia="zh-CN"/>
        </w:rPr>
        <w:t>注：1、此表应按招标文件第四章货物需求及技术要求的顺序填写；各投标人不得调整采购人的产品清单数量，否则作为否决投标处理。</w:t>
      </w:r>
    </w:p>
    <w:p w14:paraId="75736ABF">
      <w:pPr>
        <w:pStyle w:val="274"/>
        <w:ind w:firstLine="482" w:firstLineChars="200"/>
        <w:rPr>
          <w:rFonts w:hint="eastAsia" w:eastAsia="宋体"/>
          <w:b/>
          <w:bCs/>
          <w:sz w:val="24"/>
          <w:szCs w:val="24"/>
          <w:lang w:eastAsia="zh-CN"/>
        </w:rPr>
      </w:pPr>
      <w:r>
        <w:rPr>
          <w:rFonts w:hint="eastAsia" w:eastAsia="宋体"/>
          <w:b/>
          <w:bCs/>
          <w:sz w:val="24"/>
          <w:szCs w:val="24"/>
          <w:lang w:eastAsia="zh-CN"/>
        </w:rPr>
        <w:t>2、本表所报价格包含</w:t>
      </w:r>
      <w:r>
        <w:rPr>
          <w:rFonts w:hint="eastAsia" w:eastAsia="宋体"/>
          <w:b/>
          <w:bCs/>
          <w:sz w:val="24"/>
          <w:lang w:eastAsia="zh-CN"/>
        </w:rPr>
        <w:t>货物价格、标准配件、备品备件、包装费、运输、保管、税金、验收合格、各项技术服务所需的各种费用及必要的各项税金等完成采购项目所需的所有费用的总和</w:t>
      </w:r>
      <w:r>
        <w:rPr>
          <w:rFonts w:hint="eastAsia" w:eastAsia="宋体"/>
          <w:b/>
          <w:bCs/>
          <w:sz w:val="24"/>
          <w:szCs w:val="24"/>
          <w:lang w:eastAsia="zh-CN"/>
        </w:rPr>
        <w:t xml:space="preserve">。投标人应充分考虑本项目合同实施期间可能发生的一切费用，并承担由此而带来的风险。凡投标人在报价中未列明但又为货物所必备的项目或遗漏项目，采购人将一律视为已包括在其报价中，在合同执行中将不予考虑。 </w:t>
      </w:r>
    </w:p>
    <w:p w14:paraId="67D32256">
      <w:pPr>
        <w:pStyle w:val="274"/>
        <w:ind w:firstLine="482" w:firstLineChars="200"/>
        <w:rPr>
          <w:rFonts w:hint="eastAsia" w:eastAsia="宋体"/>
          <w:b/>
          <w:bCs/>
          <w:sz w:val="24"/>
          <w:szCs w:val="24"/>
          <w:lang w:eastAsia="zh-CN"/>
        </w:rPr>
      </w:pPr>
      <w:r>
        <w:rPr>
          <w:rFonts w:hint="eastAsia" w:eastAsia="宋体"/>
          <w:b/>
          <w:bCs/>
          <w:sz w:val="24"/>
          <w:szCs w:val="24"/>
          <w:lang w:eastAsia="zh-CN"/>
        </w:rPr>
        <w:t>3、表格长度可根据需要自行调整，表中所列内容为必须填写项目，投标人可根据自身情况增加内容。</w:t>
      </w:r>
    </w:p>
    <w:p w14:paraId="29D92E50">
      <w:pPr>
        <w:pStyle w:val="19"/>
        <w:spacing w:line="360" w:lineRule="auto"/>
        <w:rPr>
          <w:rFonts w:hint="eastAsia" w:cs="宋体"/>
          <w:sz w:val="24"/>
          <w:szCs w:val="24"/>
        </w:rPr>
      </w:pPr>
    </w:p>
    <w:p w14:paraId="0BD26A37">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22416778">
      <w:pPr>
        <w:pStyle w:val="19"/>
        <w:spacing w:line="360" w:lineRule="auto"/>
        <w:ind w:firstLine="480" w:firstLineChars="200"/>
        <w:rPr>
          <w:rFonts w:hint="eastAsia" w:cs="宋体"/>
          <w:sz w:val="24"/>
          <w:szCs w:val="24"/>
          <w:u w:val="single"/>
        </w:rPr>
      </w:pPr>
      <w:r>
        <w:rPr>
          <w:rFonts w:hint="eastAsia" w:cs="宋体"/>
          <w:sz w:val="24"/>
          <w:szCs w:val="24"/>
        </w:rPr>
        <w:t>法定代表人或授权代理人：</w:t>
      </w:r>
      <w:r>
        <w:rPr>
          <w:rFonts w:hint="eastAsia" w:cs="宋体"/>
          <w:sz w:val="24"/>
          <w:szCs w:val="24"/>
          <w:u w:val="single"/>
        </w:rPr>
        <w:t xml:space="preserve">           </w:t>
      </w:r>
      <w:r>
        <w:rPr>
          <w:rFonts w:hint="eastAsia" w:cs="宋体"/>
          <w:sz w:val="24"/>
          <w:szCs w:val="24"/>
        </w:rPr>
        <w:t>（</w:t>
      </w:r>
      <w:r>
        <w:rPr>
          <w:rFonts w:hint="eastAsia" w:cs="宋体"/>
          <w:sz w:val="24"/>
        </w:rPr>
        <w:t>电子签章或电子签名</w:t>
      </w:r>
      <w:r>
        <w:rPr>
          <w:rFonts w:hint="eastAsia" w:cs="宋体"/>
          <w:sz w:val="24"/>
          <w:szCs w:val="24"/>
        </w:rPr>
        <w:t>）</w:t>
      </w:r>
    </w:p>
    <w:p w14:paraId="422B35DE">
      <w:pPr>
        <w:spacing w:line="360" w:lineRule="auto"/>
        <w:ind w:firstLine="480" w:firstLineChars="200"/>
        <w:rPr>
          <w:rFonts w:hint="eastAsia" w:cs="宋体"/>
          <w:sz w:val="24"/>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bookmarkEnd w:id="312"/>
      <w:bookmarkEnd w:id="313"/>
      <w:bookmarkEnd w:id="314"/>
      <w:bookmarkEnd w:id="315"/>
      <w:bookmarkStart w:id="320" w:name="_Toc15822"/>
      <w:bookmarkStart w:id="321" w:name="_Toc26384"/>
      <w:bookmarkStart w:id="322" w:name="_Toc17951"/>
    </w:p>
    <w:p w14:paraId="0EBE663C">
      <w:pPr>
        <w:spacing w:line="360" w:lineRule="auto"/>
        <w:rPr>
          <w:rFonts w:hint="eastAsia" w:cs="宋体"/>
          <w:sz w:val="24"/>
        </w:rPr>
      </w:pPr>
      <w:r>
        <w:rPr>
          <w:rFonts w:hint="eastAsia" w:cs="宋体"/>
          <w:sz w:val="24"/>
        </w:rPr>
        <w:br w:type="page"/>
      </w:r>
    </w:p>
    <w:p w14:paraId="3964C472">
      <w:pPr>
        <w:pStyle w:val="6"/>
        <w:numPr>
          <w:ilvl w:val="1"/>
          <w:numId w:val="0"/>
        </w:numPr>
        <w:tabs>
          <w:tab w:val="clear" w:pos="596"/>
        </w:tabs>
        <w:ind w:left="596" w:hanging="596"/>
        <w:jc w:val="center"/>
        <w:rPr>
          <w:rFonts w:hint="eastAsia" w:eastAsia="宋体" w:cs="宋体"/>
          <w:bCs/>
        </w:rPr>
      </w:pPr>
      <w:bookmarkStart w:id="323" w:name="_Toc11068"/>
      <w:r>
        <w:rPr>
          <w:rFonts w:hint="eastAsia" w:eastAsia="宋体" w:cs="宋体"/>
          <w:bCs/>
        </w:rPr>
        <w:t>（四）</w:t>
      </w:r>
      <w:bookmarkEnd w:id="320"/>
      <w:r>
        <w:rPr>
          <w:rFonts w:hint="eastAsia" w:eastAsia="宋体" w:cs="宋体"/>
          <w:bCs/>
        </w:rPr>
        <w:t>投标保证书</w:t>
      </w:r>
      <w:bookmarkEnd w:id="321"/>
      <w:bookmarkEnd w:id="322"/>
      <w:bookmarkEnd w:id="323"/>
    </w:p>
    <w:p w14:paraId="69D1092D">
      <w:pPr>
        <w:spacing w:line="360" w:lineRule="auto"/>
        <w:jc w:val="center"/>
        <w:rPr>
          <w:rFonts w:hint="eastAsia" w:cs="宋体"/>
        </w:rPr>
      </w:pPr>
    </w:p>
    <w:p w14:paraId="1359F34B">
      <w:pPr>
        <w:spacing w:line="360" w:lineRule="auto"/>
        <w:jc w:val="left"/>
        <w:rPr>
          <w:rFonts w:hint="eastAsia" w:cs="宋体"/>
          <w:sz w:val="24"/>
          <w:u w:val="single"/>
        </w:rPr>
      </w:pPr>
      <w:r>
        <w:rPr>
          <w:rFonts w:hint="eastAsia" w:cs="宋体"/>
          <w:sz w:val="24"/>
        </w:rPr>
        <w:t>致：</w:t>
      </w:r>
      <w:r>
        <w:rPr>
          <w:rFonts w:hint="eastAsia" w:cs="宋体"/>
          <w:sz w:val="24"/>
          <w:u w:val="single"/>
        </w:rPr>
        <w:t>（采购人、采购代理机构）</w:t>
      </w:r>
    </w:p>
    <w:p w14:paraId="7CD745F4">
      <w:pPr>
        <w:pStyle w:val="19"/>
        <w:spacing w:line="360" w:lineRule="auto"/>
        <w:ind w:firstLine="480" w:firstLineChars="200"/>
        <w:rPr>
          <w:rFonts w:hint="eastAsia" w:cs="宋体"/>
          <w:sz w:val="24"/>
        </w:rPr>
      </w:pPr>
      <w:r>
        <w:rPr>
          <w:rFonts w:hint="eastAsia" w:cs="宋体"/>
          <w:sz w:val="24"/>
        </w:rPr>
        <w:t>我方自愿参加</w:t>
      </w:r>
      <w:r>
        <w:rPr>
          <w:rFonts w:hint="eastAsia" w:cs="宋体"/>
          <w:sz w:val="24"/>
          <w:u w:val="single"/>
        </w:rPr>
        <w:t>（项目名称）（项目编号）</w:t>
      </w:r>
      <w:r>
        <w:rPr>
          <w:rFonts w:hint="eastAsia" w:cs="宋体"/>
          <w:sz w:val="24"/>
        </w:rPr>
        <w:t>的投标。</w:t>
      </w:r>
    </w:p>
    <w:p w14:paraId="69A3AD4E">
      <w:pPr>
        <w:spacing w:line="360" w:lineRule="auto"/>
        <w:ind w:firstLine="480" w:firstLineChars="200"/>
        <w:jc w:val="left"/>
        <w:rPr>
          <w:rFonts w:hint="eastAsia" w:cs="宋体"/>
          <w:sz w:val="24"/>
        </w:rPr>
      </w:pPr>
      <w:r>
        <w:rPr>
          <w:rFonts w:hint="eastAsia" w:cs="宋体"/>
          <w:sz w:val="24"/>
        </w:rPr>
        <w:t>一旦发生下述行为，我单位（或公司）将放弃追索保证金的权利：</w:t>
      </w:r>
    </w:p>
    <w:p w14:paraId="473C795B">
      <w:pPr>
        <w:spacing w:line="360" w:lineRule="auto"/>
        <w:ind w:firstLine="480" w:firstLineChars="200"/>
        <w:jc w:val="left"/>
        <w:rPr>
          <w:rFonts w:hint="eastAsia" w:cs="宋体"/>
          <w:sz w:val="24"/>
        </w:rPr>
      </w:pPr>
      <w:r>
        <w:rPr>
          <w:rFonts w:hint="eastAsia" w:cs="宋体"/>
          <w:sz w:val="24"/>
        </w:rPr>
        <w:t>（1）投标人在规定的投标有效期内撤销或修改其投标文件；</w:t>
      </w:r>
    </w:p>
    <w:p w14:paraId="760860BC">
      <w:pPr>
        <w:spacing w:line="360" w:lineRule="auto"/>
        <w:ind w:firstLine="480" w:firstLineChars="200"/>
        <w:rPr>
          <w:rFonts w:hint="eastAsia" w:cs="宋体"/>
          <w:sz w:val="24"/>
        </w:rPr>
      </w:pPr>
      <w:r>
        <w:rPr>
          <w:rFonts w:hint="eastAsia" w:cs="宋体"/>
          <w:sz w:val="24"/>
        </w:rPr>
        <w:t>（2）中标人在收到中标通知书后，无正当理由拒签合同协议书或未按招标文件规定提交履约担保。</w:t>
      </w:r>
    </w:p>
    <w:p w14:paraId="3A7413D8">
      <w:pPr>
        <w:spacing w:line="360" w:lineRule="auto"/>
        <w:ind w:firstLine="480" w:firstLineChars="200"/>
        <w:jc w:val="left"/>
        <w:rPr>
          <w:rFonts w:hint="eastAsia" w:cs="宋体"/>
          <w:sz w:val="24"/>
        </w:rPr>
      </w:pPr>
      <w:r>
        <w:rPr>
          <w:rFonts w:hint="eastAsia" w:cs="宋体"/>
          <w:sz w:val="24"/>
        </w:rPr>
        <w:t>（3）投标人无故不参加投标或者出现不廉洁行为的；</w:t>
      </w:r>
    </w:p>
    <w:p w14:paraId="122A0F93">
      <w:pPr>
        <w:spacing w:line="360" w:lineRule="auto"/>
        <w:ind w:firstLine="480" w:firstLineChars="200"/>
        <w:rPr>
          <w:rFonts w:hint="eastAsia" w:cs="宋体"/>
          <w:sz w:val="24"/>
        </w:rPr>
      </w:pPr>
      <w:r>
        <w:rPr>
          <w:rFonts w:hint="eastAsia" w:cs="宋体"/>
          <w:sz w:val="24"/>
        </w:rPr>
        <w:t>（4）投标人采用不正当的手段骗取中标的；</w:t>
      </w:r>
    </w:p>
    <w:p w14:paraId="72A44687">
      <w:pPr>
        <w:spacing w:line="360" w:lineRule="auto"/>
        <w:ind w:firstLine="480" w:firstLineChars="200"/>
        <w:rPr>
          <w:rFonts w:hint="eastAsia" w:cs="宋体"/>
          <w:sz w:val="24"/>
        </w:rPr>
      </w:pPr>
      <w:r>
        <w:rPr>
          <w:rFonts w:hint="eastAsia" w:cs="宋体"/>
          <w:sz w:val="24"/>
        </w:rPr>
        <w:t>（5）被相关管理部门认定投标人有串通投标行为的。</w:t>
      </w:r>
    </w:p>
    <w:p w14:paraId="233297DD">
      <w:pPr>
        <w:spacing w:line="360" w:lineRule="auto"/>
        <w:ind w:firstLine="480" w:firstLineChars="200"/>
        <w:jc w:val="left"/>
        <w:rPr>
          <w:rFonts w:hint="eastAsia" w:cs="宋体"/>
          <w:sz w:val="24"/>
        </w:rPr>
      </w:pPr>
      <w:r>
        <w:rPr>
          <w:rFonts w:hint="eastAsia" w:cs="宋体"/>
          <w:sz w:val="24"/>
        </w:rPr>
        <w:t>（6）将中标项目转让给他人或在投标文件中未说明且未经招标采购单位同意，将中标项目分包给他人的。</w:t>
      </w:r>
    </w:p>
    <w:p w14:paraId="66F8C5A3">
      <w:pPr>
        <w:spacing w:line="360" w:lineRule="auto"/>
        <w:ind w:firstLine="480" w:firstLineChars="200"/>
        <w:jc w:val="left"/>
        <w:rPr>
          <w:rFonts w:hint="eastAsia" w:cs="宋体"/>
          <w:sz w:val="24"/>
        </w:rPr>
      </w:pPr>
      <w:r>
        <w:rPr>
          <w:rFonts w:hint="eastAsia" w:cs="宋体"/>
          <w:sz w:val="24"/>
        </w:rPr>
        <w:t>（7）拒绝履行合同义务的。</w:t>
      </w:r>
    </w:p>
    <w:p w14:paraId="70C2DB93">
      <w:pPr>
        <w:spacing w:line="360" w:lineRule="auto"/>
        <w:ind w:firstLine="480" w:firstLineChars="200"/>
        <w:jc w:val="left"/>
        <w:rPr>
          <w:rFonts w:hint="eastAsia" w:cs="宋体"/>
          <w:sz w:val="24"/>
        </w:rPr>
      </w:pPr>
      <w:r>
        <w:rPr>
          <w:rFonts w:hint="eastAsia" w:cs="宋体"/>
          <w:sz w:val="24"/>
        </w:rPr>
        <w:t>（8）其他严重扰乱招投标程序的。</w:t>
      </w:r>
    </w:p>
    <w:p w14:paraId="7E6E7CAD">
      <w:pPr>
        <w:spacing w:line="360" w:lineRule="auto"/>
        <w:ind w:firstLine="480" w:firstLineChars="200"/>
        <w:jc w:val="left"/>
        <w:rPr>
          <w:rFonts w:hint="eastAsia" w:cs="宋体"/>
          <w:sz w:val="24"/>
        </w:rPr>
      </w:pPr>
      <w:r>
        <w:rPr>
          <w:rFonts w:hint="eastAsia" w:cs="宋体"/>
          <w:sz w:val="24"/>
        </w:rPr>
        <w:t>本保证书自开标日起90日有效，除非贵方提前终止或解除本保证书</w:t>
      </w:r>
    </w:p>
    <w:p w14:paraId="6FB1F6CD">
      <w:pPr>
        <w:pStyle w:val="19"/>
        <w:spacing w:line="360" w:lineRule="auto"/>
        <w:ind w:firstLine="480" w:firstLineChars="200"/>
        <w:rPr>
          <w:rFonts w:hint="eastAsia" w:cs="宋体"/>
          <w:sz w:val="24"/>
          <w:szCs w:val="24"/>
        </w:rPr>
      </w:pPr>
    </w:p>
    <w:p w14:paraId="1955FD5A">
      <w:pPr>
        <w:pStyle w:val="19"/>
        <w:spacing w:line="360" w:lineRule="auto"/>
        <w:ind w:firstLine="480" w:firstLineChars="200"/>
        <w:rPr>
          <w:rFonts w:hint="eastAsia" w:cs="宋体"/>
          <w:sz w:val="24"/>
          <w:szCs w:val="24"/>
        </w:rPr>
      </w:pPr>
    </w:p>
    <w:p w14:paraId="12E5284F">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7C482487">
      <w:pPr>
        <w:pStyle w:val="19"/>
        <w:spacing w:line="360" w:lineRule="auto"/>
        <w:ind w:firstLine="480" w:firstLineChars="200"/>
        <w:rPr>
          <w:rFonts w:hint="eastAsia" w:cs="宋体"/>
          <w:sz w:val="24"/>
          <w:szCs w:val="24"/>
          <w:u w:val="single"/>
        </w:rPr>
      </w:pPr>
      <w:r>
        <w:rPr>
          <w:rFonts w:hint="eastAsia" w:cs="宋体"/>
          <w:sz w:val="24"/>
          <w:szCs w:val="24"/>
        </w:rPr>
        <w:t>法定代表人或授权代理人：</w:t>
      </w:r>
      <w:r>
        <w:rPr>
          <w:rFonts w:hint="eastAsia" w:cs="宋体"/>
          <w:sz w:val="24"/>
          <w:szCs w:val="24"/>
          <w:u w:val="single"/>
        </w:rPr>
        <w:t xml:space="preserve">           </w:t>
      </w:r>
      <w:r>
        <w:rPr>
          <w:rFonts w:hint="eastAsia" w:cs="宋体"/>
          <w:sz w:val="24"/>
          <w:szCs w:val="24"/>
        </w:rPr>
        <w:t>（</w:t>
      </w:r>
      <w:r>
        <w:rPr>
          <w:rFonts w:hint="eastAsia" w:cs="宋体"/>
          <w:sz w:val="24"/>
        </w:rPr>
        <w:t>电子签章或电子签名</w:t>
      </w:r>
      <w:r>
        <w:rPr>
          <w:rFonts w:hint="eastAsia" w:cs="宋体"/>
          <w:sz w:val="24"/>
          <w:szCs w:val="24"/>
        </w:rPr>
        <w:t>）</w:t>
      </w:r>
    </w:p>
    <w:p w14:paraId="76AE5A55">
      <w:pPr>
        <w:spacing w:line="360" w:lineRule="auto"/>
        <w:ind w:firstLine="480" w:firstLineChars="200"/>
        <w:rPr>
          <w:rFonts w:hint="eastAsia" w:cs="宋体"/>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19CC627F">
      <w:pPr>
        <w:spacing w:line="360" w:lineRule="auto"/>
        <w:ind w:left="397" w:leftChars="189"/>
        <w:jc w:val="center"/>
        <w:rPr>
          <w:rFonts w:hint="eastAsia" w:cs="宋体"/>
          <w:bCs/>
          <w:szCs w:val="21"/>
        </w:rPr>
      </w:pPr>
    </w:p>
    <w:p w14:paraId="50EB601A">
      <w:pPr>
        <w:spacing w:line="360" w:lineRule="auto"/>
        <w:ind w:left="397" w:leftChars="189"/>
        <w:jc w:val="center"/>
        <w:rPr>
          <w:rFonts w:hint="eastAsia" w:cs="宋体"/>
          <w:b/>
          <w:sz w:val="24"/>
        </w:rPr>
      </w:pPr>
    </w:p>
    <w:p w14:paraId="70D2A799">
      <w:pPr>
        <w:pStyle w:val="6"/>
        <w:numPr>
          <w:ilvl w:val="1"/>
          <w:numId w:val="0"/>
        </w:numPr>
        <w:tabs>
          <w:tab w:val="clear" w:pos="596"/>
        </w:tabs>
        <w:ind w:left="596" w:hanging="596"/>
        <w:jc w:val="center"/>
        <w:rPr>
          <w:rFonts w:hint="eastAsia" w:eastAsia="宋体" w:cs="宋体"/>
        </w:rPr>
      </w:pPr>
      <w:r>
        <w:rPr>
          <w:rFonts w:hint="eastAsia" w:eastAsia="宋体" w:cs="宋体"/>
          <w:b w:val="0"/>
        </w:rPr>
        <w:br w:type="page"/>
      </w:r>
      <w:bookmarkStart w:id="324" w:name="_Toc32333"/>
      <w:bookmarkStart w:id="325" w:name="_Toc4415"/>
      <w:bookmarkStart w:id="326" w:name="_Toc23355"/>
      <w:bookmarkStart w:id="327" w:name="_Toc23616"/>
      <w:bookmarkStart w:id="328" w:name="_Toc7016"/>
      <w:bookmarkStart w:id="329" w:name="_Toc16484"/>
      <w:bookmarkStart w:id="330" w:name="_Toc5809"/>
      <w:bookmarkStart w:id="331" w:name="_Toc32009"/>
      <w:r>
        <w:rPr>
          <w:rFonts w:hint="eastAsia" w:eastAsia="宋体" w:cs="宋体"/>
        </w:rPr>
        <w:t>（五）法定代表人身份证明书</w:t>
      </w:r>
      <w:bookmarkEnd w:id="324"/>
      <w:bookmarkEnd w:id="325"/>
      <w:bookmarkEnd w:id="326"/>
      <w:bookmarkEnd w:id="327"/>
      <w:bookmarkEnd w:id="328"/>
      <w:bookmarkEnd w:id="329"/>
      <w:bookmarkEnd w:id="330"/>
      <w:bookmarkEnd w:id="331"/>
    </w:p>
    <w:p w14:paraId="5C7496D6">
      <w:pPr>
        <w:spacing w:line="360" w:lineRule="auto"/>
        <w:jc w:val="left"/>
        <w:rPr>
          <w:rFonts w:hint="eastAsia" w:cs="宋体"/>
          <w:b/>
          <w:bCs/>
          <w:sz w:val="36"/>
          <w:szCs w:val="36"/>
        </w:rPr>
      </w:pPr>
    </w:p>
    <w:p w14:paraId="7FCB6C20">
      <w:pPr>
        <w:spacing w:line="360" w:lineRule="auto"/>
        <w:ind w:firstLine="612"/>
        <w:jc w:val="left"/>
        <w:rPr>
          <w:rFonts w:hint="eastAsia" w:cs="宋体"/>
          <w:sz w:val="24"/>
        </w:rPr>
      </w:pPr>
      <w:r>
        <w:rPr>
          <w:rFonts w:hint="eastAsia" w:cs="宋体"/>
          <w:sz w:val="24"/>
        </w:rPr>
        <w:t>单位名称：</w:t>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p>
    <w:p w14:paraId="3A000668">
      <w:pPr>
        <w:spacing w:line="360" w:lineRule="auto"/>
        <w:ind w:firstLine="610"/>
        <w:jc w:val="left"/>
        <w:rPr>
          <w:rFonts w:hint="eastAsia" w:cs="宋体"/>
          <w:sz w:val="24"/>
          <w:u w:val="single"/>
        </w:rPr>
      </w:pPr>
      <w:r>
        <w:rPr>
          <w:rFonts w:hint="eastAsia" w:cs="宋体"/>
          <w:sz w:val="24"/>
        </w:rPr>
        <w:t>单位性质：</w:t>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p>
    <w:p w14:paraId="2E028425">
      <w:pPr>
        <w:spacing w:line="360" w:lineRule="auto"/>
        <w:ind w:firstLine="610"/>
        <w:jc w:val="left"/>
        <w:rPr>
          <w:rFonts w:hint="eastAsia" w:cs="宋体"/>
          <w:sz w:val="24"/>
          <w:u w:val="single"/>
        </w:rPr>
      </w:pPr>
      <w:r>
        <w:rPr>
          <w:rFonts w:hint="eastAsia" w:cs="宋体"/>
          <w:sz w:val="24"/>
        </w:rPr>
        <w:t>地    址：</w:t>
      </w:r>
      <w:r>
        <w:rPr>
          <w:rFonts w:hint="eastAsia" w:cs="宋体"/>
          <w:sz w:val="24"/>
          <w:u w:val="single"/>
        </w:rPr>
        <w:tab/>
      </w:r>
      <w:r>
        <w:rPr>
          <w:rFonts w:hint="eastAsia" w:cs="宋体"/>
          <w:sz w:val="24"/>
          <w:u w:val="single"/>
        </w:rPr>
        <w:tab/>
      </w:r>
      <w:r>
        <w:rPr>
          <w:rFonts w:hint="eastAsia" w:cs="宋体"/>
          <w:sz w:val="24"/>
          <w:u w:val="single"/>
        </w:rPr>
        <w:t xml:space="preserve">  </w:t>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 xml:space="preserve">       </w:t>
      </w:r>
      <w:r>
        <w:rPr>
          <w:rFonts w:hint="eastAsia" w:cs="宋体"/>
          <w:sz w:val="24"/>
          <w:u w:val="single"/>
        </w:rPr>
        <w:tab/>
      </w:r>
      <w:r>
        <w:rPr>
          <w:rFonts w:hint="eastAsia" w:cs="宋体"/>
          <w:sz w:val="24"/>
          <w:u w:val="single"/>
        </w:rPr>
        <w:tab/>
      </w:r>
      <w:r>
        <w:rPr>
          <w:rFonts w:hint="eastAsia" w:cs="宋体"/>
          <w:sz w:val="24"/>
          <w:u w:val="single"/>
        </w:rPr>
        <w:tab/>
      </w:r>
      <w:r>
        <w:rPr>
          <w:rFonts w:hint="eastAsia" w:cs="宋体"/>
          <w:sz w:val="24"/>
          <w:u w:val="single"/>
        </w:rPr>
        <w:tab/>
      </w:r>
    </w:p>
    <w:p w14:paraId="31945A68">
      <w:pPr>
        <w:spacing w:line="360" w:lineRule="auto"/>
        <w:ind w:firstLine="610"/>
        <w:jc w:val="left"/>
        <w:rPr>
          <w:rFonts w:hint="eastAsia" w:cs="宋体"/>
          <w:sz w:val="24"/>
        </w:rPr>
      </w:pPr>
      <w:r>
        <w:rPr>
          <w:rFonts w:hint="eastAsia" w:cs="宋体"/>
          <w:sz w:val="24"/>
        </w:rPr>
        <w:t>成立时间：</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235D0EE4">
      <w:pPr>
        <w:spacing w:line="360" w:lineRule="auto"/>
        <w:ind w:firstLine="610"/>
        <w:jc w:val="left"/>
        <w:rPr>
          <w:rFonts w:hint="eastAsia" w:cs="宋体"/>
          <w:sz w:val="24"/>
          <w:u w:val="single"/>
        </w:rPr>
      </w:pPr>
      <w:r>
        <w:rPr>
          <w:rFonts w:hint="eastAsia" w:cs="宋体"/>
          <w:sz w:val="24"/>
        </w:rPr>
        <w:t>经营期限：</w:t>
      </w:r>
      <w:r>
        <w:rPr>
          <w:rFonts w:hint="eastAsia" w:cs="宋体"/>
          <w:sz w:val="24"/>
          <w:u w:val="single"/>
        </w:rPr>
        <w:tab/>
      </w:r>
      <w:r>
        <w:rPr>
          <w:rFonts w:hint="eastAsia" w:cs="宋体"/>
          <w:sz w:val="24"/>
          <w:u w:val="single"/>
        </w:rPr>
        <w:t xml:space="preserve">                            </w:t>
      </w:r>
      <w:r>
        <w:rPr>
          <w:rFonts w:hint="eastAsia" w:cs="宋体"/>
          <w:sz w:val="24"/>
          <w:u w:val="single"/>
        </w:rPr>
        <w:tab/>
      </w:r>
    </w:p>
    <w:p w14:paraId="441102C4">
      <w:pPr>
        <w:spacing w:line="360" w:lineRule="auto"/>
        <w:ind w:firstLine="610"/>
        <w:jc w:val="left"/>
        <w:rPr>
          <w:rFonts w:hint="eastAsia" w:cs="宋体"/>
          <w:sz w:val="24"/>
          <w:u w:val="single"/>
        </w:rPr>
      </w:pPr>
      <w:r>
        <w:rPr>
          <w:rFonts w:hint="eastAsia" w:cs="宋体"/>
          <w:sz w:val="24"/>
        </w:rPr>
        <w:t>姓    名：</w:t>
      </w:r>
      <w:r>
        <w:rPr>
          <w:rFonts w:hint="eastAsia" w:cs="宋体"/>
          <w:sz w:val="24"/>
          <w:u w:val="single"/>
        </w:rPr>
        <w:t xml:space="preserve">        </w:t>
      </w:r>
      <w:r>
        <w:rPr>
          <w:rFonts w:hint="eastAsia" w:cs="宋体"/>
          <w:sz w:val="24"/>
        </w:rPr>
        <w:t>性别：</w:t>
      </w:r>
      <w:r>
        <w:rPr>
          <w:rFonts w:hint="eastAsia" w:cs="宋体"/>
          <w:sz w:val="24"/>
          <w:u w:val="single"/>
        </w:rPr>
        <w:t xml:space="preserve">    </w:t>
      </w:r>
      <w:r>
        <w:rPr>
          <w:rFonts w:hint="eastAsia" w:cs="宋体"/>
          <w:sz w:val="24"/>
        </w:rPr>
        <w:t>年龄：</w:t>
      </w:r>
      <w:r>
        <w:rPr>
          <w:rFonts w:hint="eastAsia" w:cs="宋体"/>
          <w:sz w:val="24"/>
          <w:u w:val="single"/>
        </w:rPr>
        <w:t xml:space="preserve">     </w:t>
      </w:r>
      <w:r>
        <w:rPr>
          <w:rFonts w:hint="eastAsia" w:cs="宋体"/>
          <w:sz w:val="24"/>
        </w:rPr>
        <w:t>职务：</w:t>
      </w:r>
      <w:r>
        <w:rPr>
          <w:rFonts w:hint="eastAsia" w:cs="宋体"/>
          <w:sz w:val="24"/>
          <w:u w:val="single"/>
        </w:rPr>
        <w:tab/>
      </w:r>
      <w:r>
        <w:rPr>
          <w:rFonts w:hint="eastAsia" w:cs="宋体"/>
          <w:sz w:val="24"/>
          <w:u w:val="single"/>
        </w:rPr>
        <w:tab/>
      </w:r>
    </w:p>
    <w:p w14:paraId="5BA3ED0C">
      <w:pPr>
        <w:spacing w:line="360" w:lineRule="auto"/>
        <w:ind w:firstLine="610"/>
        <w:jc w:val="left"/>
        <w:rPr>
          <w:rFonts w:hint="eastAsia" w:cs="宋体"/>
          <w:sz w:val="24"/>
        </w:rPr>
      </w:pPr>
      <w:r>
        <w:rPr>
          <w:rFonts w:hint="eastAsia" w:cs="宋体"/>
          <w:sz w:val="24"/>
        </w:rPr>
        <w:t>系</w:t>
      </w:r>
      <w:r>
        <w:rPr>
          <w:rFonts w:hint="eastAsia" w:cs="宋体"/>
          <w:sz w:val="24"/>
          <w:u w:val="single"/>
        </w:rPr>
        <w:t xml:space="preserve">     （单位名称）    </w:t>
      </w:r>
      <w:r>
        <w:rPr>
          <w:rFonts w:hint="eastAsia" w:cs="宋体"/>
          <w:sz w:val="24"/>
        </w:rPr>
        <w:t>的法定代表人。</w:t>
      </w:r>
    </w:p>
    <w:p w14:paraId="3AC9C904">
      <w:pPr>
        <w:spacing w:line="360" w:lineRule="auto"/>
        <w:ind w:firstLine="610"/>
        <w:jc w:val="left"/>
        <w:rPr>
          <w:rFonts w:hint="eastAsia" w:cs="宋体"/>
          <w:sz w:val="24"/>
        </w:rPr>
      </w:pPr>
    </w:p>
    <w:p w14:paraId="6A316841">
      <w:pPr>
        <w:spacing w:line="360" w:lineRule="auto"/>
        <w:ind w:firstLine="610"/>
        <w:jc w:val="left"/>
        <w:rPr>
          <w:rFonts w:hint="eastAsia" w:cs="宋体"/>
          <w:sz w:val="24"/>
        </w:rPr>
      </w:pPr>
      <w:r>
        <w:rPr>
          <w:rFonts w:hint="eastAsia" w:cs="宋体"/>
          <w:sz w:val="24"/>
        </w:rPr>
        <w:t>特此证明。</w:t>
      </w:r>
    </w:p>
    <w:p w14:paraId="04798299">
      <w:pPr>
        <w:spacing w:line="360" w:lineRule="auto"/>
        <w:ind w:firstLine="610"/>
        <w:rPr>
          <w:rFonts w:hint="eastAsia" w:cs="宋体"/>
          <w:b/>
          <w:sz w:val="24"/>
        </w:rPr>
      </w:pPr>
    </w:p>
    <w:p w14:paraId="4493DA29">
      <w:pPr>
        <w:spacing w:line="360" w:lineRule="auto"/>
        <w:ind w:firstLine="610"/>
        <w:rPr>
          <w:rFonts w:hint="eastAsia" w:cs="宋体"/>
          <w:b/>
          <w:sz w:val="24"/>
        </w:rPr>
      </w:pPr>
      <w:r>
        <w:rPr>
          <w:rFonts w:hint="eastAsia" w:cs="宋体"/>
          <w:b/>
          <w:sz w:val="24"/>
        </w:rPr>
        <w:t>附：法定代表人有效身份证正面、背面复印件（扫描件）。</w:t>
      </w:r>
    </w:p>
    <w:tbl>
      <w:tblPr>
        <w:tblStyle w:val="41"/>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1C05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772521AC">
            <w:pPr>
              <w:spacing w:line="360" w:lineRule="auto"/>
              <w:jc w:val="center"/>
              <w:rPr>
                <w:rFonts w:hint="eastAsia" w:cs="宋体"/>
                <w:sz w:val="24"/>
              </w:rPr>
            </w:pPr>
          </w:p>
        </w:tc>
        <w:tc>
          <w:tcPr>
            <w:tcW w:w="708" w:type="dxa"/>
            <w:tcBorders>
              <w:top w:val="nil"/>
              <w:left w:val="single" w:color="auto" w:sz="4" w:space="0"/>
              <w:bottom w:val="nil"/>
              <w:right w:val="single" w:color="auto" w:sz="4" w:space="0"/>
            </w:tcBorders>
          </w:tcPr>
          <w:p w14:paraId="6689A7F6">
            <w:pPr>
              <w:spacing w:line="360" w:lineRule="auto"/>
              <w:jc w:val="center"/>
              <w:rPr>
                <w:rFonts w:hint="eastAsia" w:cs="宋体"/>
                <w:sz w:val="24"/>
              </w:rPr>
            </w:pPr>
          </w:p>
        </w:tc>
        <w:tc>
          <w:tcPr>
            <w:tcW w:w="3969" w:type="dxa"/>
            <w:tcBorders>
              <w:left w:val="single" w:color="auto" w:sz="4" w:space="0"/>
            </w:tcBorders>
            <w:vAlign w:val="center"/>
          </w:tcPr>
          <w:p w14:paraId="49FD7889">
            <w:pPr>
              <w:spacing w:line="360" w:lineRule="auto"/>
              <w:jc w:val="center"/>
              <w:rPr>
                <w:rFonts w:hint="eastAsia" w:cs="宋体"/>
                <w:sz w:val="24"/>
              </w:rPr>
            </w:pPr>
          </w:p>
        </w:tc>
      </w:tr>
    </w:tbl>
    <w:p w14:paraId="2BCA0CE8">
      <w:pPr>
        <w:spacing w:line="360" w:lineRule="auto"/>
        <w:ind w:left="1680" w:firstLine="420"/>
        <w:rPr>
          <w:rFonts w:hint="eastAsia" w:cs="宋体"/>
          <w:b/>
          <w:bCs/>
          <w:sz w:val="24"/>
          <w:u w:val="single"/>
        </w:rPr>
      </w:pPr>
    </w:p>
    <w:p w14:paraId="015DEB10">
      <w:pPr>
        <w:spacing w:line="360" w:lineRule="auto"/>
        <w:ind w:firstLine="610"/>
        <w:jc w:val="left"/>
        <w:rPr>
          <w:rFonts w:hint="eastAsia" w:cs="宋体"/>
          <w:sz w:val="24"/>
        </w:rPr>
      </w:pPr>
    </w:p>
    <w:p w14:paraId="0B0F82EE">
      <w:pPr>
        <w:tabs>
          <w:tab w:val="left" w:pos="720"/>
          <w:tab w:val="left" w:pos="900"/>
        </w:tabs>
        <w:spacing w:line="360" w:lineRule="auto"/>
        <w:ind w:firstLine="4560" w:firstLineChars="1900"/>
        <w:jc w:val="left"/>
        <w:rPr>
          <w:rFonts w:hint="eastAsia" w:cs="宋体"/>
          <w:sz w:val="24"/>
        </w:rPr>
      </w:pPr>
    </w:p>
    <w:p w14:paraId="6D1EAE30">
      <w:pPr>
        <w:spacing w:line="360" w:lineRule="auto"/>
        <w:rPr>
          <w:rFonts w:hint="eastAsia" w:cs="宋体"/>
          <w:sz w:val="24"/>
        </w:rPr>
      </w:pPr>
      <w:r>
        <w:rPr>
          <w:rFonts w:hint="eastAsia" w:cs="宋体"/>
          <w:sz w:val="24"/>
        </w:rPr>
        <w:t>投标人（电子签章）：</w:t>
      </w:r>
      <w:r>
        <w:rPr>
          <w:rFonts w:hint="eastAsia" w:cs="宋体"/>
          <w:sz w:val="24"/>
          <w:u w:val="single"/>
        </w:rPr>
        <w:t xml:space="preserve">                     </w:t>
      </w:r>
    </w:p>
    <w:p w14:paraId="4D0D68F3">
      <w:pPr>
        <w:tabs>
          <w:tab w:val="left" w:pos="720"/>
          <w:tab w:val="left" w:pos="900"/>
        </w:tabs>
        <w:spacing w:line="360" w:lineRule="auto"/>
        <w:jc w:val="left"/>
        <w:rPr>
          <w:rFonts w:hint="eastAsia" w:cs="宋体"/>
          <w:sz w:val="24"/>
          <w:szCs w:val="28"/>
        </w:rPr>
      </w:pPr>
      <w:r>
        <w:rPr>
          <w:rFonts w:hint="eastAsia" w:cs="宋体"/>
          <w:sz w:val="24"/>
          <w:szCs w:val="28"/>
        </w:rPr>
        <w:t>日期：________年_____月_____日</w:t>
      </w:r>
    </w:p>
    <w:p w14:paraId="16801E1A">
      <w:pPr>
        <w:spacing w:line="360" w:lineRule="auto"/>
        <w:rPr>
          <w:rFonts w:hint="eastAsia" w:cs="宋体"/>
          <w:sz w:val="24"/>
          <w:szCs w:val="28"/>
        </w:rPr>
      </w:pPr>
      <w:r>
        <w:rPr>
          <w:rFonts w:hint="eastAsia" w:cs="宋体"/>
          <w:sz w:val="24"/>
          <w:szCs w:val="28"/>
        </w:rPr>
        <w:br w:type="page"/>
      </w:r>
    </w:p>
    <w:p w14:paraId="4C0F8D88">
      <w:pPr>
        <w:tabs>
          <w:tab w:val="left" w:pos="720"/>
          <w:tab w:val="left" w:pos="900"/>
        </w:tabs>
        <w:spacing w:line="360" w:lineRule="auto"/>
        <w:jc w:val="left"/>
        <w:rPr>
          <w:rFonts w:hint="eastAsia" w:cs="宋体"/>
          <w:sz w:val="24"/>
          <w:szCs w:val="28"/>
        </w:rPr>
      </w:pPr>
    </w:p>
    <w:p w14:paraId="0BB57C31">
      <w:pPr>
        <w:pStyle w:val="6"/>
        <w:numPr>
          <w:ilvl w:val="1"/>
          <w:numId w:val="0"/>
        </w:numPr>
        <w:tabs>
          <w:tab w:val="clear" w:pos="596"/>
        </w:tabs>
        <w:ind w:left="596" w:hanging="596"/>
        <w:jc w:val="center"/>
        <w:rPr>
          <w:rFonts w:hint="eastAsia" w:eastAsia="宋体" w:cs="宋体"/>
        </w:rPr>
      </w:pPr>
      <w:bookmarkStart w:id="332" w:name="_Toc15757"/>
      <w:bookmarkStart w:id="333" w:name="_Toc31752"/>
      <w:bookmarkStart w:id="334" w:name="_Toc30889"/>
      <w:bookmarkStart w:id="335" w:name="_Toc32390"/>
      <w:bookmarkStart w:id="336" w:name="_Toc3244"/>
      <w:bookmarkStart w:id="337" w:name="_Toc31293"/>
      <w:bookmarkStart w:id="338" w:name="_Toc26878"/>
      <w:bookmarkStart w:id="339" w:name="_Toc2542"/>
      <w:r>
        <w:rPr>
          <w:rFonts w:hint="eastAsia" w:eastAsia="宋体" w:cs="宋体"/>
        </w:rPr>
        <w:t>（六）法定代表人授权委托书</w:t>
      </w:r>
      <w:bookmarkEnd w:id="332"/>
      <w:bookmarkEnd w:id="333"/>
      <w:bookmarkEnd w:id="334"/>
      <w:bookmarkEnd w:id="335"/>
      <w:bookmarkEnd w:id="336"/>
      <w:bookmarkEnd w:id="337"/>
      <w:bookmarkEnd w:id="338"/>
      <w:bookmarkEnd w:id="339"/>
    </w:p>
    <w:p w14:paraId="4C6A18D9">
      <w:pPr>
        <w:spacing w:line="360" w:lineRule="auto"/>
        <w:jc w:val="left"/>
        <w:rPr>
          <w:rFonts w:hint="eastAsia" w:cs="宋体"/>
          <w:sz w:val="24"/>
        </w:rPr>
      </w:pPr>
    </w:p>
    <w:p w14:paraId="1D482DC0">
      <w:pPr>
        <w:spacing w:line="360" w:lineRule="auto"/>
        <w:ind w:firstLine="480" w:firstLineChars="200"/>
        <w:jc w:val="left"/>
        <w:rPr>
          <w:rFonts w:hint="eastAsia" w:cs="宋体"/>
          <w:sz w:val="24"/>
        </w:rPr>
      </w:pPr>
      <w:r>
        <w:rPr>
          <w:rFonts w:hint="eastAsia" w:cs="宋体"/>
          <w:sz w:val="24"/>
        </w:rPr>
        <w:t>本授权委托书声明：我</w:t>
      </w:r>
      <w:r>
        <w:rPr>
          <w:rFonts w:hint="eastAsia" w:cs="宋体"/>
          <w:sz w:val="24"/>
          <w:u w:val="single"/>
        </w:rPr>
        <w:t xml:space="preserve">        （</w:t>
      </w:r>
      <w:r>
        <w:rPr>
          <w:rFonts w:hint="eastAsia" w:cs="宋体"/>
          <w:sz w:val="24"/>
        </w:rPr>
        <w:t>姓名）系</w:t>
      </w:r>
      <w:r>
        <w:rPr>
          <w:rFonts w:hint="eastAsia" w:cs="宋体"/>
          <w:sz w:val="24"/>
          <w:u w:val="single"/>
        </w:rPr>
        <w:t xml:space="preserve">                       （</w:t>
      </w:r>
      <w:r>
        <w:rPr>
          <w:rFonts w:hint="eastAsia" w:cs="宋体"/>
          <w:sz w:val="24"/>
        </w:rPr>
        <w:t xml:space="preserve">投标人名称）的法定代表人，现授权委托我单位的 </w:t>
      </w:r>
      <w:r>
        <w:rPr>
          <w:rFonts w:hint="eastAsia" w:cs="宋体"/>
          <w:sz w:val="24"/>
          <w:u w:val="single"/>
        </w:rPr>
        <w:t xml:space="preserve">         （</w:t>
      </w:r>
      <w:r>
        <w:rPr>
          <w:rFonts w:hint="eastAsia" w:cs="宋体"/>
          <w:sz w:val="24"/>
        </w:rPr>
        <w:t>姓名）为我公司代理人，以公司名义参加</w:t>
      </w:r>
      <w:r>
        <w:rPr>
          <w:rFonts w:hint="eastAsia" w:cs="宋体"/>
          <w:b/>
          <w:bCs/>
          <w:sz w:val="24"/>
          <w:szCs w:val="36"/>
          <w:u w:val="single"/>
        </w:rPr>
        <w:t xml:space="preserve">  （项目名称）  </w:t>
      </w:r>
      <w:r>
        <w:rPr>
          <w:rFonts w:hint="eastAsia" w:cs="宋体"/>
          <w:sz w:val="24"/>
        </w:rPr>
        <w:t>（项目编号：</w:t>
      </w:r>
      <w:r>
        <w:rPr>
          <w:rFonts w:hint="eastAsia" w:cs="宋体"/>
          <w:bCs/>
          <w:sz w:val="24"/>
          <w:u w:val="single"/>
          <w:lang w:val="zh-CN"/>
        </w:rPr>
        <w:t xml:space="preserve">           </w:t>
      </w:r>
      <w:r>
        <w:rPr>
          <w:rFonts w:hint="eastAsia" w:cs="宋体"/>
          <w:sz w:val="24"/>
        </w:rPr>
        <w:t>）的投标活动。代理人在投标、合同签订过程中所签署的一切文件和处理与之有关的一切事务，我均予以承认。</w:t>
      </w:r>
    </w:p>
    <w:p w14:paraId="750FEE52">
      <w:pPr>
        <w:spacing w:line="360" w:lineRule="auto"/>
        <w:ind w:firstLine="420"/>
        <w:jc w:val="left"/>
        <w:rPr>
          <w:rFonts w:hint="eastAsia" w:cs="宋体"/>
          <w:sz w:val="24"/>
        </w:rPr>
      </w:pPr>
    </w:p>
    <w:p w14:paraId="7F36BC3E">
      <w:pPr>
        <w:spacing w:line="360" w:lineRule="auto"/>
        <w:jc w:val="left"/>
        <w:rPr>
          <w:rFonts w:hint="eastAsia" w:cs="宋体"/>
          <w:sz w:val="24"/>
        </w:rPr>
      </w:pPr>
      <w:r>
        <w:rPr>
          <w:rFonts w:hint="eastAsia" w:cs="宋体"/>
          <w:sz w:val="24"/>
        </w:rPr>
        <w:t>代理人：</w:t>
      </w:r>
      <w:r>
        <w:rPr>
          <w:rFonts w:hint="eastAsia" w:cs="宋体"/>
          <w:sz w:val="24"/>
          <w:u w:val="single"/>
        </w:rPr>
        <w:t xml:space="preserve">            </w:t>
      </w:r>
      <w:r>
        <w:rPr>
          <w:rFonts w:hint="eastAsia" w:cs="宋体"/>
          <w:sz w:val="24"/>
        </w:rPr>
        <w:t xml:space="preserve">    性别：</w:t>
      </w:r>
      <w:r>
        <w:rPr>
          <w:rFonts w:hint="eastAsia" w:cs="宋体"/>
          <w:sz w:val="24"/>
          <w:u w:val="single"/>
        </w:rPr>
        <w:t xml:space="preserve">             </w:t>
      </w:r>
      <w:r>
        <w:rPr>
          <w:rFonts w:hint="eastAsia" w:cs="宋体"/>
          <w:sz w:val="24"/>
        </w:rPr>
        <w:t xml:space="preserve">         年龄：</w:t>
      </w:r>
      <w:r>
        <w:rPr>
          <w:rFonts w:hint="eastAsia" w:cs="宋体"/>
          <w:sz w:val="24"/>
          <w:u w:val="single"/>
        </w:rPr>
        <w:t xml:space="preserve">          </w:t>
      </w:r>
    </w:p>
    <w:p w14:paraId="71E08B7C">
      <w:pPr>
        <w:spacing w:line="360" w:lineRule="auto"/>
        <w:jc w:val="left"/>
        <w:rPr>
          <w:rFonts w:hint="eastAsia" w:cs="宋体"/>
          <w:sz w:val="24"/>
        </w:rPr>
      </w:pPr>
      <w:r>
        <w:rPr>
          <w:rFonts w:hint="eastAsia" w:cs="宋体"/>
          <w:sz w:val="24"/>
        </w:rPr>
        <w:t>部门：</w:t>
      </w:r>
      <w:r>
        <w:rPr>
          <w:rFonts w:hint="eastAsia" w:cs="宋体"/>
          <w:sz w:val="24"/>
          <w:u w:val="single"/>
        </w:rPr>
        <w:t xml:space="preserve">             </w:t>
      </w:r>
      <w:r>
        <w:rPr>
          <w:rFonts w:hint="eastAsia" w:cs="宋体"/>
          <w:sz w:val="24"/>
        </w:rPr>
        <w:t xml:space="preserve">             职务：</w:t>
      </w:r>
      <w:r>
        <w:rPr>
          <w:rFonts w:hint="eastAsia" w:cs="宋体"/>
          <w:sz w:val="24"/>
          <w:u w:val="single"/>
        </w:rPr>
        <w:t xml:space="preserve">             </w:t>
      </w:r>
    </w:p>
    <w:p w14:paraId="4E5402B7">
      <w:pPr>
        <w:spacing w:line="360" w:lineRule="auto"/>
        <w:jc w:val="left"/>
        <w:rPr>
          <w:rFonts w:hint="eastAsia" w:cs="宋体"/>
          <w:sz w:val="24"/>
        </w:rPr>
      </w:pPr>
    </w:p>
    <w:p w14:paraId="07F90B43">
      <w:pPr>
        <w:spacing w:line="360" w:lineRule="auto"/>
        <w:jc w:val="left"/>
        <w:rPr>
          <w:rFonts w:hint="eastAsia" w:cs="宋体"/>
          <w:sz w:val="24"/>
        </w:rPr>
      </w:pPr>
      <w:r>
        <w:rPr>
          <w:rFonts w:hint="eastAsia" w:cs="宋体"/>
          <w:sz w:val="24"/>
        </w:rPr>
        <w:t>代理人无转委权。特此委托。</w:t>
      </w:r>
    </w:p>
    <w:p w14:paraId="7831C894">
      <w:pPr>
        <w:spacing w:line="360" w:lineRule="auto"/>
        <w:jc w:val="left"/>
        <w:rPr>
          <w:rFonts w:hint="eastAsia" w:cs="宋体"/>
          <w:sz w:val="24"/>
        </w:rPr>
      </w:pPr>
    </w:p>
    <w:p w14:paraId="28E8BB4C">
      <w:pPr>
        <w:pStyle w:val="36"/>
        <w:spacing w:beforeAutospacing="0" w:afterAutospacing="0" w:line="360" w:lineRule="auto"/>
        <w:rPr>
          <w:rFonts w:hint="eastAsia" w:ascii="宋体" w:hAnsi="宋体" w:eastAsia="宋体" w:cs="宋体"/>
        </w:rPr>
      </w:pPr>
      <w:r>
        <w:rPr>
          <w:rFonts w:hint="eastAsia" w:ascii="宋体" w:hAnsi="宋体" w:eastAsia="宋体" w:cs="宋体"/>
        </w:rPr>
        <w:t>附：委托代理人有效身份证正面、背面复印件（扫描件）。</w:t>
      </w:r>
    </w:p>
    <w:tbl>
      <w:tblPr>
        <w:tblStyle w:val="41"/>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969"/>
      </w:tblGrid>
      <w:tr w14:paraId="7B22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jc w:val="center"/>
        </w:trPr>
        <w:tc>
          <w:tcPr>
            <w:tcW w:w="3969" w:type="dxa"/>
            <w:tcBorders>
              <w:right w:val="single" w:color="auto" w:sz="4" w:space="0"/>
            </w:tcBorders>
            <w:vAlign w:val="center"/>
          </w:tcPr>
          <w:p w14:paraId="03660AE2">
            <w:pPr>
              <w:spacing w:line="360" w:lineRule="auto"/>
              <w:jc w:val="center"/>
              <w:rPr>
                <w:rFonts w:hint="eastAsia" w:cs="宋体"/>
                <w:sz w:val="24"/>
              </w:rPr>
            </w:pPr>
          </w:p>
        </w:tc>
        <w:tc>
          <w:tcPr>
            <w:tcW w:w="708" w:type="dxa"/>
            <w:tcBorders>
              <w:top w:val="nil"/>
              <w:left w:val="single" w:color="auto" w:sz="4" w:space="0"/>
              <w:bottom w:val="nil"/>
              <w:right w:val="single" w:color="auto" w:sz="4" w:space="0"/>
            </w:tcBorders>
          </w:tcPr>
          <w:p w14:paraId="7CBC4362">
            <w:pPr>
              <w:spacing w:line="360" w:lineRule="auto"/>
              <w:jc w:val="center"/>
              <w:rPr>
                <w:rFonts w:hint="eastAsia" w:cs="宋体"/>
                <w:sz w:val="24"/>
              </w:rPr>
            </w:pPr>
          </w:p>
        </w:tc>
        <w:tc>
          <w:tcPr>
            <w:tcW w:w="3969" w:type="dxa"/>
            <w:tcBorders>
              <w:left w:val="single" w:color="auto" w:sz="4" w:space="0"/>
            </w:tcBorders>
            <w:vAlign w:val="center"/>
          </w:tcPr>
          <w:p w14:paraId="5D720B26">
            <w:pPr>
              <w:spacing w:line="360" w:lineRule="auto"/>
              <w:jc w:val="center"/>
              <w:rPr>
                <w:rFonts w:hint="eastAsia" w:cs="宋体"/>
                <w:sz w:val="24"/>
              </w:rPr>
            </w:pPr>
          </w:p>
        </w:tc>
      </w:tr>
    </w:tbl>
    <w:p w14:paraId="790AD824">
      <w:pPr>
        <w:spacing w:line="360" w:lineRule="auto"/>
        <w:jc w:val="left"/>
        <w:rPr>
          <w:rFonts w:hint="eastAsia" w:cs="宋体"/>
          <w:sz w:val="24"/>
        </w:rPr>
      </w:pPr>
    </w:p>
    <w:p w14:paraId="3012E347">
      <w:pPr>
        <w:spacing w:line="360" w:lineRule="auto"/>
        <w:jc w:val="left"/>
        <w:rPr>
          <w:rFonts w:hint="eastAsia" w:cs="宋体"/>
          <w:sz w:val="24"/>
        </w:rPr>
      </w:pPr>
    </w:p>
    <w:p w14:paraId="5FA5DA8E">
      <w:pPr>
        <w:spacing w:line="360" w:lineRule="auto"/>
        <w:jc w:val="left"/>
        <w:rPr>
          <w:rFonts w:hint="eastAsia" w:cs="宋体"/>
          <w:sz w:val="24"/>
          <w:u w:val="single"/>
        </w:rPr>
      </w:pPr>
      <w:r>
        <w:rPr>
          <w:rFonts w:hint="eastAsia" w:cs="宋体"/>
          <w:bCs/>
          <w:sz w:val="24"/>
        </w:rPr>
        <w:t>投标人（电子签章）</w:t>
      </w:r>
      <w:r>
        <w:rPr>
          <w:rFonts w:hint="eastAsia" w:cs="宋体"/>
          <w:sz w:val="24"/>
        </w:rPr>
        <w:t xml:space="preserve">： </w:t>
      </w:r>
      <w:r>
        <w:rPr>
          <w:rFonts w:hint="eastAsia" w:cs="宋体"/>
          <w:sz w:val="24"/>
          <w:u w:val="single"/>
        </w:rPr>
        <w:t xml:space="preserve">                            </w:t>
      </w:r>
    </w:p>
    <w:p w14:paraId="78BE6987">
      <w:pPr>
        <w:spacing w:line="360" w:lineRule="auto"/>
        <w:jc w:val="left"/>
        <w:rPr>
          <w:rFonts w:hint="eastAsia" w:cs="宋体"/>
          <w:sz w:val="24"/>
          <w:szCs w:val="20"/>
          <w:u w:val="single"/>
        </w:rPr>
      </w:pPr>
      <w:r>
        <w:rPr>
          <w:rFonts w:hint="eastAsia" w:cs="宋体"/>
          <w:bCs/>
          <w:sz w:val="24"/>
          <w:szCs w:val="20"/>
        </w:rPr>
        <w:t>法定代表人（电子签章或电子签名）</w:t>
      </w:r>
      <w:r>
        <w:rPr>
          <w:rFonts w:hint="eastAsia" w:cs="宋体"/>
          <w:sz w:val="24"/>
          <w:szCs w:val="20"/>
        </w:rPr>
        <w:t xml:space="preserve">： </w:t>
      </w:r>
      <w:r>
        <w:rPr>
          <w:rFonts w:hint="eastAsia" w:cs="宋体"/>
          <w:sz w:val="24"/>
          <w:szCs w:val="20"/>
          <w:u w:val="single"/>
        </w:rPr>
        <w:t xml:space="preserve">                  </w:t>
      </w:r>
    </w:p>
    <w:p w14:paraId="3BE3481E">
      <w:pPr>
        <w:spacing w:line="360" w:lineRule="auto"/>
        <w:jc w:val="left"/>
        <w:rPr>
          <w:rFonts w:hint="eastAsia" w:cs="宋体"/>
          <w:sz w:val="24"/>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19528C47">
      <w:pPr>
        <w:pStyle w:val="16"/>
        <w:spacing w:line="360" w:lineRule="auto"/>
        <w:ind w:left="0" w:firstLine="0"/>
        <w:rPr>
          <w:rFonts w:hint="eastAsia" w:cs="宋体"/>
        </w:rPr>
        <w:sectPr>
          <w:footerReference r:id="rId10" w:type="default"/>
          <w:pgSz w:w="11906" w:h="16839"/>
          <w:pgMar w:top="1247" w:right="1247" w:bottom="1247" w:left="1247" w:header="0" w:footer="1038" w:gutter="0"/>
          <w:cols w:space="720" w:num="1"/>
        </w:sectPr>
      </w:pPr>
      <w:r>
        <w:rPr>
          <w:rFonts w:hint="eastAsia" w:cs="宋体"/>
          <w:sz w:val="24"/>
        </w:rPr>
        <w:br w:type="page"/>
      </w:r>
    </w:p>
    <w:p w14:paraId="0EDC506B">
      <w:pPr>
        <w:pStyle w:val="6"/>
        <w:numPr>
          <w:ilvl w:val="1"/>
          <w:numId w:val="0"/>
        </w:numPr>
        <w:tabs>
          <w:tab w:val="clear" w:pos="596"/>
        </w:tabs>
        <w:ind w:left="596" w:hanging="596"/>
        <w:jc w:val="center"/>
        <w:rPr>
          <w:rFonts w:hint="eastAsia" w:eastAsia="宋体" w:cs="宋体"/>
          <w:szCs w:val="28"/>
        </w:rPr>
      </w:pPr>
      <w:bookmarkStart w:id="340" w:name="_Toc13741"/>
      <w:bookmarkStart w:id="341" w:name="_Toc21846"/>
      <w:bookmarkStart w:id="342" w:name="_Toc8366"/>
      <w:bookmarkStart w:id="343" w:name="_Toc17802"/>
      <w:r>
        <w:rPr>
          <w:rFonts w:hint="eastAsia" w:eastAsia="宋体" w:cs="宋体"/>
          <w:szCs w:val="28"/>
        </w:rPr>
        <w:t>（七）</w:t>
      </w:r>
      <w:bookmarkStart w:id="344" w:name="_Toc16207"/>
      <w:r>
        <w:rPr>
          <w:rFonts w:hint="eastAsia" w:eastAsia="宋体" w:cs="宋体"/>
          <w:szCs w:val="28"/>
        </w:rPr>
        <w:t>质量保证书</w:t>
      </w:r>
      <w:bookmarkEnd w:id="340"/>
      <w:bookmarkEnd w:id="341"/>
      <w:bookmarkEnd w:id="342"/>
      <w:bookmarkEnd w:id="343"/>
      <w:bookmarkEnd w:id="344"/>
    </w:p>
    <w:p w14:paraId="3505DD6E">
      <w:pPr>
        <w:spacing w:line="360" w:lineRule="auto"/>
        <w:rPr>
          <w:rFonts w:hint="eastAsia" w:cs="宋体"/>
          <w:sz w:val="24"/>
        </w:rPr>
      </w:pPr>
      <w:r>
        <w:rPr>
          <w:rFonts w:hint="eastAsia" w:cs="宋体"/>
          <w:sz w:val="24"/>
        </w:rPr>
        <w:t>致：</w:t>
      </w:r>
      <w:r>
        <w:rPr>
          <w:rFonts w:hint="eastAsia" w:cs="宋体"/>
          <w:sz w:val="24"/>
          <w:u w:val="single"/>
        </w:rPr>
        <w:t xml:space="preserve">             （采购人）  </w:t>
      </w:r>
    </w:p>
    <w:p w14:paraId="3D0CA685">
      <w:pPr>
        <w:spacing w:line="360" w:lineRule="auto"/>
        <w:ind w:firstLine="480" w:firstLineChars="200"/>
        <w:rPr>
          <w:rFonts w:hint="eastAsia" w:cs="宋体"/>
          <w:sz w:val="24"/>
          <w:szCs w:val="21"/>
        </w:rPr>
      </w:pPr>
    </w:p>
    <w:p w14:paraId="295D02D3">
      <w:pPr>
        <w:spacing w:line="360" w:lineRule="auto"/>
        <w:ind w:firstLine="480" w:firstLineChars="200"/>
        <w:rPr>
          <w:rFonts w:hint="eastAsia" w:cs="宋体"/>
          <w:sz w:val="24"/>
          <w:szCs w:val="21"/>
        </w:rPr>
      </w:pPr>
      <w:r>
        <w:rPr>
          <w:rFonts w:hint="eastAsia" w:cs="宋体"/>
          <w:sz w:val="24"/>
          <w:szCs w:val="21"/>
        </w:rPr>
        <w:t>本书作为</w:t>
      </w:r>
      <w:r>
        <w:rPr>
          <w:rFonts w:hint="eastAsia" w:cs="宋体"/>
          <w:sz w:val="24"/>
          <w:szCs w:val="21"/>
          <w:u w:val="single"/>
        </w:rPr>
        <w:t xml:space="preserve">         （投标人名称） </w:t>
      </w:r>
      <w:r>
        <w:rPr>
          <w:rFonts w:hint="eastAsia" w:cs="宋体"/>
          <w:sz w:val="24"/>
          <w:szCs w:val="21"/>
        </w:rPr>
        <w:t>对</w:t>
      </w:r>
      <w:r>
        <w:rPr>
          <w:rFonts w:hint="eastAsia" w:cs="宋体"/>
          <w:sz w:val="24"/>
          <w:szCs w:val="21"/>
          <w:u w:val="single"/>
        </w:rPr>
        <w:t xml:space="preserve">     （项目名称）     </w:t>
      </w:r>
      <w:r>
        <w:rPr>
          <w:rFonts w:hint="eastAsia" w:cs="宋体"/>
          <w:sz w:val="24"/>
          <w:szCs w:val="21"/>
        </w:rPr>
        <w:t>（项目编号</w:t>
      </w:r>
      <w:r>
        <w:rPr>
          <w:rFonts w:hint="eastAsia" w:cs="宋体"/>
          <w:sz w:val="24"/>
          <w:szCs w:val="21"/>
          <w:u w:val="single"/>
        </w:rPr>
        <w:t xml:space="preserve">                  </w:t>
      </w:r>
      <w:r>
        <w:rPr>
          <w:rFonts w:hint="eastAsia" w:cs="宋体"/>
          <w:sz w:val="24"/>
          <w:szCs w:val="21"/>
        </w:rPr>
        <w:t>）的采购工作提供质量保证的证明。</w:t>
      </w:r>
    </w:p>
    <w:p w14:paraId="70422F91">
      <w:pPr>
        <w:spacing w:line="360" w:lineRule="auto"/>
        <w:ind w:firstLine="480" w:firstLineChars="200"/>
        <w:rPr>
          <w:rFonts w:hint="eastAsia" w:cs="宋体"/>
          <w:sz w:val="24"/>
          <w:szCs w:val="21"/>
        </w:rPr>
      </w:pPr>
      <w:r>
        <w:rPr>
          <w:rFonts w:hint="eastAsia" w:cs="宋体"/>
          <w:sz w:val="24"/>
          <w:szCs w:val="21"/>
        </w:rPr>
        <w:t>我方承诺提供以下质量保证并承担相应的法律责任：</w:t>
      </w:r>
    </w:p>
    <w:p w14:paraId="3627C27D">
      <w:pPr>
        <w:spacing w:line="360" w:lineRule="auto"/>
        <w:ind w:firstLine="480" w:firstLineChars="200"/>
        <w:rPr>
          <w:rFonts w:hint="eastAsia" w:cs="宋体"/>
          <w:sz w:val="24"/>
          <w:szCs w:val="21"/>
        </w:rPr>
      </w:pPr>
      <w:r>
        <w:rPr>
          <w:rFonts w:hint="eastAsia" w:cs="宋体"/>
          <w:sz w:val="24"/>
          <w:szCs w:val="21"/>
        </w:rPr>
        <w:t>1.提供的产品是全新的，符合国家质量标准和采购人的要求；</w:t>
      </w:r>
    </w:p>
    <w:p w14:paraId="2E5D1625">
      <w:pPr>
        <w:spacing w:line="360" w:lineRule="auto"/>
        <w:ind w:firstLine="480" w:firstLineChars="200"/>
        <w:rPr>
          <w:rFonts w:hint="eastAsia" w:cs="宋体"/>
          <w:sz w:val="24"/>
          <w:szCs w:val="21"/>
        </w:rPr>
      </w:pPr>
      <w:r>
        <w:rPr>
          <w:rFonts w:hint="eastAsia" w:cs="宋体"/>
          <w:sz w:val="24"/>
          <w:szCs w:val="21"/>
        </w:rPr>
        <w:t>2.提供的产品符合投标文件承诺及要求，并且满足所签合同规定的内容；</w:t>
      </w:r>
    </w:p>
    <w:p w14:paraId="44275006">
      <w:pPr>
        <w:spacing w:line="360" w:lineRule="auto"/>
        <w:ind w:firstLine="480" w:firstLineChars="200"/>
        <w:rPr>
          <w:rFonts w:hint="eastAsia" w:cs="宋体"/>
          <w:sz w:val="24"/>
          <w:szCs w:val="21"/>
        </w:rPr>
      </w:pPr>
      <w:r>
        <w:rPr>
          <w:rFonts w:hint="eastAsia" w:cs="宋体"/>
          <w:sz w:val="24"/>
          <w:szCs w:val="21"/>
        </w:rPr>
        <w:t>3.保证报价产品满足采购人提供的产品需求；</w:t>
      </w:r>
    </w:p>
    <w:p w14:paraId="3335D411">
      <w:pPr>
        <w:spacing w:line="360" w:lineRule="auto"/>
        <w:ind w:firstLine="480" w:firstLineChars="200"/>
        <w:rPr>
          <w:rFonts w:hint="eastAsia" w:cs="宋体"/>
          <w:sz w:val="24"/>
          <w:szCs w:val="21"/>
        </w:rPr>
      </w:pPr>
      <w:r>
        <w:rPr>
          <w:rFonts w:hint="eastAsia" w:cs="宋体"/>
          <w:sz w:val="24"/>
          <w:szCs w:val="21"/>
        </w:rPr>
        <w:t>4.保证使用方在产品使用期间不受第三方提出侵犯其知识产权的起诉；</w:t>
      </w:r>
    </w:p>
    <w:p w14:paraId="33155A81">
      <w:pPr>
        <w:spacing w:line="360" w:lineRule="auto"/>
        <w:ind w:firstLine="480" w:firstLineChars="200"/>
        <w:rPr>
          <w:rFonts w:hint="eastAsia" w:cs="宋体"/>
          <w:sz w:val="24"/>
          <w:szCs w:val="21"/>
          <w:u w:val="single"/>
        </w:rPr>
      </w:pPr>
      <w:r>
        <w:rPr>
          <w:rFonts w:hint="eastAsia" w:cs="宋体"/>
          <w:sz w:val="24"/>
          <w:szCs w:val="21"/>
        </w:rPr>
        <w:t>5.</w:t>
      </w:r>
      <w:r>
        <w:rPr>
          <w:rFonts w:hint="eastAsia" w:cs="宋体"/>
          <w:sz w:val="24"/>
          <w:szCs w:val="21"/>
          <w:u w:val="single"/>
        </w:rPr>
        <w:t xml:space="preserve">       （投标人其他承诺）        。</w:t>
      </w:r>
    </w:p>
    <w:p w14:paraId="553DE7E5">
      <w:pPr>
        <w:spacing w:line="360" w:lineRule="auto"/>
        <w:ind w:firstLine="480" w:firstLineChars="200"/>
        <w:rPr>
          <w:rFonts w:hint="eastAsia" w:cs="宋体"/>
          <w:sz w:val="24"/>
          <w:szCs w:val="21"/>
        </w:rPr>
      </w:pPr>
      <w:r>
        <w:rPr>
          <w:rFonts w:hint="eastAsia" w:cs="宋体"/>
          <w:sz w:val="24"/>
          <w:szCs w:val="21"/>
        </w:rPr>
        <w:t>本保证书自投标之日起90天内有效，如我方中标则按照招标文件及采购人要求执行。</w:t>
      </w:r>
    </w:p>
    <w:p w14:paraId="42F61EA6">
      <w:pPr>
        <w:pStyle w:val="16"/>
        <w:spacing w:line="360" w:lineRule="auto"/>
        <w:rPr>
          <w:rFonts w:hint="eastAsia" w:cs="宋体"/>
        </w:rPr>
      </w:pPr>
    </w:p>
    <w:p w14:paraId="770293B4">
      <w:pPr>
        <w:pStyle w:val="16"/>
        <w:spacing w:line="360" w:lineRule="auto"/>
        <w:rPr>
          <w:rFonts w:hint="eastAsia" w:cs="宋体"/>
        </w:rPr>
      </w:pPr>
    </w:p>
    <w:p w14:paraId="38E95295">
      <w:pPr>
        <w:spacing w:line="360" w:lineRule="auto"/>
        <w:jc w:val="left"/>
        <w:rPr>
          <w:rFonts w:hint="eastAsia" w:cs="宋体"/>
          <w:bCs/>
          <w:sz w:val="24"/>
        </w:rPr>
      </w:pPr>
    </w:p>
    <w:p w14:paraId="6A11F113">
      <w:pPr>
        <w:spacing w:line="360" w:lineRule="auto"/>
        <w:jc w:val="left"/>
        <w:rPr>
          <w:rFonts w:hint="eastAsia" w:cs="宋体"/>
          <w:sz w:val="24"/>
          <w:u w:val="single"/>
        </w:rPr>
      </w:pPr>
      <w:r>
        <w:rPr>
          <w:rFonts w:hint="eastAsia" w:cs="宋体"/>
          <w:bCs/>
          <w:sz w:val="24"/>
        </w:rPr>
        <w:t>投标人（电子签章）</w:t>
      </w:r>
      <w:r>
        <w:rPr>
          <w:rFonts w:hint="eastAsia" w:cs="宋体"/>
          <w:sz w:val="24"/>
        </w:rPr>
        <w:t xml:space="preserve">： </w:t>
      </w:r>
      <w:r>
        <w:rPr>
          <w:rFonts w:hint="eastAsia" w:cs="宋体"/>
          <w:sz w:val="24"/>
          <w:u w:val="single"/>
        </w:rPr>
        <w:t xml:space="preserve">                            </w:t>
      </w:r>
    </w:p>
    <w:p w14:paraId="4D5A42AA">
      <w:pPr>
        <w:spacing w:line="360" w:lineRule="auto"/>
        <w:jc w:val="left"/>
        <w:rPr>
          <w:rFonts w:hint="eastAsia" w:cs="宋体"/>
          <w:sz w:val="24"/>
          <w:szCs w:val="20"/>
          <w:u w:val="single"/>
        </w:rPr>
      </w:pPr>
      <w:r>
        <w:rPr>
          <w:rFonts w:hint="eastAsia" w:cs="宋体"/>
          <w:bCs/>
          <w:sz w:val="24"/>
          <w:szCs w:val="20"/>
        </w:rPr>
        <w:t>法定代表人（电子签章或电子签名）</w:t>
      </w:r>
      <w:r>
        <w:rPr>
          <w:rFonts w:hint="eastAsia" w:cs="宋体"/>
          <w:sz w:val="24"/>
          <w:szCs w:val="20"/>
        </w:rPr>
        <w:t xml:space="preserve">： </w:t>
      </w:r>
      <w:r>
        <w:rPr>
          <w:rFonts w:hint="eastAsia" w:cs="宋体"/>
          <w:sz w:val="24"/>
          <w:szCs w:val="20"/>
          <w:u w:val="single"/>
        </w:rPr>
        <w:t xml:space="preserve">                  </w:t>
      </w:r>
    </w:p>
    <w:p w14:paraId="1ABC48A7">
      <w:pPr>
        <w:spacing w:line="360" w:lineRule="auto"/>
        <w:jc w:val="left"/>
        <w:rPr>
          <w:rFonts w:hint="eastAsia" w:cs="宋体"/>
        </w:rPr>
        <w:sectPr>
          <w:pgSz w:w="11906" w:h="16839"/>
          <w:pgMar w:top="1247" w:right="1247" w:bottom="1247" w:left="1247" w:header="0" w:footer="1038" w:gutter="0"/>
          <w:cols w:space="720" w:num="1"/>
        </w:sect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443C00CA">
      <w:pPr>
        <w:pStyle w:val="16"/>
        <w:spacing w:line="360" w:lineRule="auto"/>
        <w:ind w:left="0" w:firstLine="0"/>
        <w:rPr>
          <w:rFonts w:hint="eastAsia" w:cs="宋体"/>
        </w:rPr>
      </w:pPr>
    </w:p>
    <w:p w14:paraId="4CF72238">
      <w:pPr>
        <w:pStyle w:val="6"/>
        <w:numPr>
          <w:ilvl w:val="0"/>
          <w:numId w:val="0"/>
        </w:numPr>
        <w:jc w:val="center"/>
        <w:rPr>
          <w:rFonts w:hint="eastAsia" w:eastAsia="宋体" w:cs="宋体"/>
          <w:bCs/>
          <w:sz w:val="32"/>
          <w:szCs w:val="28"/>
        </w:rPr>
      </w:pPr>
      <w:bookmarkStart w:id="345" w:name="_Toc16990"/>
      <w:bookmarkStart w:id="346" w:name="_Toc1706"/>
      <w:bookmarkStart w:id="347" w:name="_Toc6343"/>
      <w:bookmarkStart w:id="348" w:name="_Toc4316"/>
      <w:r>
        <w:rPr>
          <w:rFonts w:hint="eastAsia" w:eastAsia="宋体" w:cs="宋体"/>
          <w:bCs/>
          <w:kern w:val="2"/>
          <w:sz w:val="32"/>
          <w:szCs w:val="28"/>
        </w:rPr>
        <w:t>三、</w:t>
      </w:r>
      <w:r>
        <w:rPr>
          <w:rFonts w:hint="eastAsia" w:eastAsia="宋体" w:cs="宋体"/>
          <w:sz w:val="30"/>
          <w:szCs w:val="30"/>
        </w:rPr>
        <w:t>投标文件技术部分</w:t>
      </w:r>
      <w:bookmarkEnd w:id="345"/>
      <w:bookmarkEnd w:id="346"/>
      <w:bookmarkEnd w:id="347"/>
      <w:bookmarkEnd w:id="348"/>
    </w:p>
    <w:p w14:paraId="3FE89A35">
      <w:pPr>
        <w:pStyle w:val="7"/>
        <w:numPr>
          <w:ilvl w:val="2"/>
          <w:numId w:val="0"/>
        </w:numPr>
        <w:tabs>
          <w:tab w:val="clear" w:pos="360"/>
          <w:tab w:val="clear" w:pos="1588"/>
        </w:tabs>
        <w:ind w:left="1588" w:hanging="737"/>
        <w:jc w:val="center"/>
        <w:rPr>
          <w:rFonts w:hint="eastAsia" w:eastAsia="宋体" w:cs="宋体"/>
          <w:szCs w:val="28"/>
        </w:rPr>
      </w:pPr>
      <w:bookmarkStart w:id="349" w:name="_Toc11499"/>
      <w:r>
        <w:rPr>
          <w:rFonts w:hint="eastAsia" w:eastAsia="宋体" w:cs="宋体"/>
          <w:szCs w:val="28"/>
        </w:rPr>
        <w:t>（一）投标产品技术参数及偏离说明表</w:t>
      </w:r>
      <w:bookmarkEnd w:id="349"/>
    </w:p>
    <w:p w14:paraId="5970B141">
      <w:pPr>
        <w:pStyle w:val="19"/>
        <w:spacing w:line="360" w:lineRule="auto"/>
        <w:ind w:left="1200" w:hanging="1200" w:hangingChars="500"/>
        <w:rPr>
          <w:rFonts w:hint="eastAsia" w:cs="宋体"/>
          <w:sz w:val="24"/>
          <w:szCs w:val="24"/>
        </w:rPr>
      </w:pPr>
      <w:r>
        <w:rPr>
          <w:rFonts w:hint="eastAsia" w:cs="宋体"/>
          <w:sz w:val="24"/>
          <w:szCs w:val="24"/>
        </w:rPr>
        <w:t>项目名称：</w:t>
      </w:r>
    </w:p>
    <w:p w14:paraId="534CE7D3">
      <w:pPr>
        <w:spacing w:line="360" w:lineRule="auto"/>
        <w:rPr>
          <w:rFonts w:hint="eastAsia" w:cs="宋体"/>
          <w:sz w:val="24"/>
        </w:rPr>
      </w:pPr>
      <w:r>
        <w:rPr>
          <w:rFonts w:hint="eastAsia" w:cs="宋体"/>
          <w:sz w:val="24"/>
        </w:rPr>
        <w:t>项目编号：</w:t>
      </w:r>
    </w:p>
    <w:tbl>
      <w:tblPr>
        <w:tblStyle w:val="41"/>
        <w:tblW w:w="9957" w:type="dxa"/>
        <w:jc w:val="center"/>
        <w:tblLayout w:type="fixed"/>
        <w:tblCellMar>
          <w:top w:w="0" w:type="dxa"/>
          <w:left w:w="108" w:type="dxa"/>
          <w:bottom w:w="0" w:type="dxa"/>
          <w:right w:w="108" w:type="dxa"/>
        </w:tblCellMar>
      </w:tblPr>
      <w:tblGrid>
        <w:gridCol w:w="709"/>
        <w:gridCol w:w="1379"/>
        <w:gridCol w:w="2097"/>
        <w:gridCol w:w="2303"/>
        <w:gridCol w:w="1222"/>
        <w:gridCol w:w="1330"/>
        <w:gridCol w:w="917"/>
      </w:tblGrid>
      <w:tr w14:paraId="72D0B647">
        <w:tblPrEx>
          <w:tblCellMar>
            <w:top w:w="0" w:type="dxa"/>
            <w:left w:w="108" w:type="dxa"/>
            <w:bottom w:w="0" w:type="dxa"/>
            <w:right w:w="108" w:type="dxa"/>
          </w:tblCellMar>
        </w:tblPrEx>
        <w:trPr>
          <w:trHeight w:val="1407" w:hRule="atLeast"/>
          <w:jc w:val="center"/>
        </w:trPr>
        <w:tc>
          <w:tcPr>
            <w:tcW w:w="709" w:type="dxa"/>
            <w:tcBorders>
              <w:top w:val="single" w:color="000000" w:sz="4" w:space="0"/>
              <w:left w:val="single" w:color="000000" w:sz="4" w:space="0"/>
              <w:bottom w:val="single" w:color="000000" w:sz="4" w:space="0"/>
              <w:right w:val="single" w:color="000000" w:sz="4" w:space="0"/>
            </w:tcBorders>
            <w:vAlign w:val="center"/>
          </w:tcPr>
          <w:p w14:paraId="486661FE">
            <w:pPr>
              <w:spacing w:line="360" w:lineRule="auto"/>
              <w:jc w:val="center"/>
              <w:rPr>
                <w:rFonts w:hint="eastAsia" w:cs="宋体"/>
                <w:b/>
                <w:sz w:val="24"/>
              </w:rPr>
            </w:pPr>
            <w:r>
              <w:rPr>
                <w:rFonts w:hint="eastAsia" w:cs="宋体"/>
                <w:b/>
                <w:sz w:val="24"/>
              </w:rPr>
              <w:t>序号</w:t>
            </w:r>
          </w:p>
        </w:tc>
        <w:tc>
          <w:tcPr>
            <w:tcW w:w="1379" w:type="dxa"/>
            <w:tcBorders>
              <w:top w:val="single" w:color="000000" w:sz="4" w:space="0"/>
              <w:left w:val="nil"/>
              <w:bottom w:val="single" w:color="000000" w:sz="4" w:space="0"/>
              <w:right w:val="single" w:color="000000" w:sz="4" w:space="0"/>
            </w:tcBorders>
            <w:vAlign w:val="center"/>
          </w:tcPr>
          <w:p w14:paraId="1ACA2D09">
            <w:pPr>
              <w:spacing w:line="360" w:lineRule="auto"/>
              <w:jc w:val="center"/>
              <w:rPr>
                <w:rFonts w:hint="eastAsia" w:cs="宋体"/>
                <w:b/>
                <w:sz w:val="24"/>
              </w:rPr>
            </w:pPr>
            <w:r>
              <w:rPr>
                <w:rFonts w:hint="eastAsia" w:cs="宋体"/>
                <w:b/>
                <w:sz w:val="24"/>
              </w:rPr>
              <w:t>产品名称</w:t>
            </w:r>
          </w:p>
        </w:tc>
        <w:tc>
          <w:tcPr>
            <w:tcW w:w="2097" w:type="dxa"/>
            <w:tcBorders>
              <w:top w:val="single" w:color="000000" w:sz="4" w:space="0"/>
              <w:left w:val="nil"/>
              <w:bottom w:val="single" w:color="000000" w:sz="4" w:space="0"/>
              <w:right w:val="single" w:color="000000" w:sz="4" w:space="0"/>
            </w:tcBorders>
            <w:vAlign w:val="center"/>
          </w:tcPr>
          <w:p w14:paraId="592E6AFD">
            <w:pPr>
              <w:spacing w:line="360" w:lineRule="auto"/>
              <w:jc w:val="center"/>
              <w:rPr>
                <w:rFonts w:hint="eastAsia" w:cs="宋体"/>
                <w:b/>
                <w:sz w:val="24"/>
              </w:rPr>
            </w:pPr>
            <w:r>
              <w:rPr>
                <w:rFonts w:hint="eastAsia" w:cs="宋体"/>
                <w:b/>
                <w:sz w:val="24"/>
              </w:rPr>
              <w:t>招标文件要求的技术指标参数</w:t>
            </w:r>
          </w:p>
        </w:tc>
        <w:tc>
          <w:tcPr>
            <w:tcW w:w="2303" w:type="dxa"/>
            <w:tcBorders>
              <w:top w:val="single" w:color="000000" w:sz="4" w:space="0"/>
              <w:left w:val="nil"/>
              <w:bottom w:val="single" w:color="000000" w:sz="4" w:space="0"/>
              <w:right w:val="single" w:color="000000" w:sz="4" w:space="0"/>
            </w:tcBorders>
            <w:vAlign w:val="center"/>
          </w:tcPr>
          <w:p w14:paraId="64CB5901">
            <w:pPr>
              <w:spacing w:line="360" w:lineRule="auto"/>
              <w:jc w:val="center"/>
              <w:rPr>
                <w:rFonts w:hint="eastAsia" w:cs="宋体"/>
                <w:b/>
                <w:sz w:val="24"/>
              </w:rPr>
            </w:pPr>
            <w:r>
              <w:rPr>
                <w:rFonts w:hint="eastAsia" w:cs="宋体"/>
                <w:b/>
                <w:sz w:val="24"/>
              </w:rPr>
              <w:t>投标技术参数</w:t>
            </w:r>
          </w:p>
        </w:tc>
        <w:tc>
          <w:tcPr>
            <w:tcW w:w="1222" w:type="dxa"/>
            <w:tcBorders>
              <w:top w:val="single" w:color="000000" w:sz="4" w:space="0"/>
              <w:left w:val="nil"/>
              <w:bottom w:val="single" w:color="000000" w:sz="4" w:space="0"/>
              <w:right w:val="single" w:color="000000" w:sz="4" w:space="0"/>
            </w:tcBorders>
            <w:vAlign w:val="center"/>
          </w:tcPr>
          <w:p w14:paraId="6822672F">
            <w:pPr>
              <w:spacing w:line="360" w:lineRule="auto"/>
              <w:jc w:val="center"/>
              <w:rPr>
                <w:rFonts w:hint="eastAsia" w:cs="宋体"/>
                <w:b/>
                <w:sz w:val="24"/>
              </w:rPr>
            </w:pPr>
            <w:r>
              <w:rPr>
                <w:rFonts w:hint="eastAsia" w:cs="宋体"/>
                <w:b/>
                <w:sz w:val="24"/>
              </w:rPr>
              <w:t>偏离情况</w:t>
            </w:r>
          </w:p>
        </w:tc>
        <w:tc>
          <w:tcPr>
            <w:tcW w:w="1330" w:type="dxa"/>
            <w:tcBorders>
              <w:top w:val="single" w:color="000000" w:sz="4" w:space="0"/>
              <w:left w:val="nil"/>
              <w:bottom w:val="single" w:color="000000" w:sz="4" w:space="0"/>
              <w:right w:val="single" w:color="000000" w:sz="4" w:space="0"/>
            </w:tcBorders>
            <w:vAlign w:val="center"/>
          </w:tcPr>
          <w:p w14:paraId="0ADD5E87">
            <w:pPr>
              <w:spacing w:line="360" w:lineRule="auto"/>
              <w:jc w:val="center"/>
              <w:rPr>
                <w:rFonts w:hint="eastAsia" w:cs="宋体"/>
                <w:b/>
                <w:sz w:val="24"/>
              </w:rPr>
            </w:pPr>
            <w:r>
              <w:rPr>
                <w:rFonts w:hint="eastAsia" w:cs="宋体"/>
                <w:b/>
                <w:sz w:val="24"/>
              </w:rPr>
              <w:t>技术支持资料索引（页码及条目号等）</w:t>
            </w:r>
          </w:p>
        </w:tc>
        <w:tc>
          <w:tcPr>
            <w:tcW w:w="917" w:type="dxa"/>
            <w:tcBorders>
              <w:top w:val="single" w:color="000000" w:sz="4" w:space="0"/>
              <w:left w:val="nil"/>
              <w:bottom w:val="single" w:color="000000" w:sz="4" w:space="0"/>
              <w:right w:val="single" w:color="000000" w:sz="4" w:space="0"/>
            </w:tcBorders>
            <w:vAlign w:val="center"/>
          </w:tcPr>
          <w:p w14:paraId="69801C75">
            <w:pPr>
              <w:spacing w:line="360" w:lineRule="auto"/>
              <w:jc w:val="center"/>
              <w:rPr>
                <w:rFonts w:hint="eastAsia" w:cs="宋体"/>
                <w:b/>
                <w:sz w:val="24"/>
              </w:rPr>
            </w:pPr>
            <w:r>
              <w:rPr>
                <w:rFonts w:hint="eastAsia" w:cs="宋体"/>
                <w:b/>
                <w:sz w:val="24"/>
              </w:rPr>
              <w:t>备注</w:t>
            </w:r>
          </w:p>
        </w:tc>
      </w:tr>
      <w:tr w14:paraId="01A76AE8">
        <w:tblPrEx>
          <w:tblCellMar>
            <w:top w:w="0" w:type="dxa"/>
            <w:left w:w="108" w:type="dxa"/>
            <w:bottom w:w="0" w:type="dxa"/>
            <w:right w:w="108" w:type="dxa"/>
          </w:tblCellMar>
        </w:tblPrEx>
        <w:trPr>
          <w:trHeight w:val="588" w:hRule="atLeast"/>
          <w:jc w:val="center"/>
        </w:trPr>
        <w:tc>
          <w:tcPr>
            <w:tcW w:w="709" w:type="dxa"/>
            <w:tcBorders>
              <w:top w:val="single" w:color="000000" w:sz="4" w:space="0"/>
              <w:left w:val="single" w:color="000000" w:sz="4" w:space="0"/>
              <w:bottom w:val="single" w:color="000000" w:sz="4" w:space="0"/>
              <w:right w:val="single" w:color="000000" w:sz="4" w:space="0"/>
            </w:tcBorders>
            <w:vAlign w:val="center"/>
          </w:tcPr>
          <w:p w14:paraId="4BEDB2B6">
            <w:pPr>
              <w:spacing w:line="360" w:lineRule="auto"/>
              <w:jc w:val="center"/>
              <w:rPr>
                <w:rFonts w:hint="eastAsia" w:cs="宋体"/>
                <w:sz w:val="24"/>
              </w:rPr>
            </w:pPr>
            <w:r>
              <w:rPr>
                <w:rFonts w:hint="eastAsia" w:cs="宋体"/>
                <w:sz w:val="24"/>
              </w:rPr>
              <w:t>1</w:t>
            </w:r>
          </w:p>
        </w:tc>
        <w:tc>
          <w:tcPr>
            <w:tcW w:w="1379" w:type="dxa"/>
            <w:tcBorders>
              <w:top w:val="single" w:color="000000" w:sz="4" w:space="0"/>
              <w:left w:val="nil"/>
              <w:bottom w:val="single" w:color="000000" w:sz="4" w:space="0"/>
              <w:right w:val="single" w:color="000000" w:sz="4" w:space="0"/>
            </w:tcBorders>
            <w:vAlign w:val="center"/>
          </w:tcPr>
          <w:p w14:paraId="78EDBFC3">
            <w:pPr>
              <w:spacing w:line="360" w:lineRule="auto"/>
              <w:jc w:val="center"/>
              <w:rPr>
                <w:rFonts w:hint="eastAsia" w:cs="宋体"/>
                <w:sz w:val="24"/>
              </w:rPr>
            </w:pPr>
          </w:p>
        </w:tc>
        <w:tc>
          <w:tcPr>
            <w:tcW w:w="2097" w:type="dxa"/>
            <w:tcBorders>
              <w:top w:val="single" w:color="000000" w:sz="4" w:space="0"/>
              <w:left w:val="nil"/>
              <w:bottom w:val="single" w:color="000000" w:sz="4" w:space="0"/>
              <w:right w:val="single" w:color="000000" w:sz="4" w:space="0"/>
            </w:tcBorders>
            <w:vAlign w:val="center"/>
          </w:tcPr>
          <w:p w14:paraId="53E29F43">
            <w:pPr>
              <w:spacing w:line="360" w:lineRule="auto"/>
              <w:jc w:val="center"/>
              <w:rPr>
                <w:rFonts w:hint="eastAsia" w:cs="宋体"/>
                <w:sz w:val="24"/>
              </w:rPr>
            </w:pPr>
          </w:p>
        </w:tc>
        <w:tc>
          <w:tcPr>
            <w:tcW w:w="2303" w:type="dxa"/>
            <w:tcBorders>
              <w:top w:val="single" w:color="000000" w:sz="4" w:space="0"/>
              <w:left w:val="nil"/>
              <w:bottom w:val="single" w:color="000000" w:sz="4" w:space="0"/>
              <w:right w:val="single" w:color="000000" w:sz="4" w:space="0"/>
            </w:tcBorders>
            <w:vAlign w:val="center"/>
          </w:tcPr>
          <w:p w14:paraId="3804BE42">
            <w:pPr>
              <w:spacing w:line="360" w:lineRule="auto"/>
              <w:jc w:val="center"/>
              <w:rPr>
                <w:rFonts w:hint="eastAsia" w:cs="宋体"/>
                <w:sz w:val="24"/>
              </w:rPr>
            </w:pPr>
          </w:p>
        </w:tc>
        <w:tc>
          <w:tcPr>
            <w:tcW w:w="1222" w:type="dxa"/>
            <w:tcBorders>
              <w:top w:val="single" w:color="000000" w:sz="4" w:space="0"/>
              <w:left w:val="nil"/>
              <w:bottom w:val="single" w:color="000000" w:sz="4" w:space="0"/>
              <w:right w:val="single" w:color="000000" w:sz="4" w:space="0"/>
            </w:tcBorders>
            <w:vAlign w:val="center"/>
          </w:tcPr>
          <w:p w14:paraId="2903B98D">
            <w:pPr>
              <w:spacing w:line="360" w:lineRule="auto"/>
              <w:jc w:val="center"/>
              <w:rPr>
                <w:rFonts w:hint="eastAsia" w:cs="宋体"/>
                <w:sz w:val="24"/>
              </w:rPr>
            </w:pPr>
          </w:p>
        </w:tc>
        <w:tc>
          <w:tcPr>
            <w:tcW w:w="1330" w:type="dxa"/>
            <w:tcBorders>
              <w:top w:val="single" w:color="000000" w:sz="4" w:space="0"/>
              <w:left w:val="nil"/>
              <w:bottom w:val="single" w:color="000000" w:sz="4" w:space="0"/>
              <w:right w:val="single" w:color="000000" w:sz="4" w:space="0"/>
            </w:tcBorders>
            <w:vAlign w:val="center"/>
          </w:tcPr>
          <w:p w14:paraId="0EF22C52">
            <w:pPr>
              <w:spacing w:line="360" w:lineRule="auto"/>
              <w:jc w:val="center"/>
              <w:rPr>
                <w:rFonts w:hint="eastAsia" w:cs="宋体"/>
                <w:sz w:val="24"/>
              </w:rPr>
            </w:pPr>
          </w:p>
        </w:tc>
        <w:tc>
          <w:tcPr>
            <w:tcW w:w="917" w:type="dxa"/>
            <w:tcBorders>
              <w:top w:val="single" w:color="000000" w:sz="4" w:space="0"/>
              <w:left w:val="nil"/>
              <w:bottom w:val="single" w:color="000000" w:sz="4" w:space="0"/>
              <w:right w:val="single" w:color="000000" w:sz="4" w:space="0"/>
            </w:tcBorders>
            <w:vAlign w:val="center"/>
          </w:tcPr>
          <w:p w14:paraId="7B9AEDF3">
            <w:pPr>
              <w:spacing w:line="360" w:lineRule="auto"/>
              <w:jc w:val="center"/>
              <w:rPr>
                <w:rFonts w:hint="eastAsia" w:cs="宋体"/>
                <w:sz w:val="24"/>
              </w:rPr>
            </w:pPr>
          </w:p>
        </w:tc>
      </w:tr>
      <w:tr w14:paraId="67702A37">
        <w:tblPrEx>
          <w:tblCellMar>
            <w:top w:w="0" w:type="dxa"/>
            <w:left w:w="108" w:type="dxa"/>
            <w:bottom w:w="0" w:type="dxa"/>
            <w:right w:w="108" w:type="dxa"/>
          </w:tblCellMar>
        </w:tblPrEx>
        <w:trPr>
          <w:trHeight w:val="588" w:hRule="atLeast"/>
          <w:jc w:val="center"/>
        </w:trPr>
        <w:tc>
          <w:tcPr>
            <w:tcW w:w="709" w:type="dxa"/>
            <w:tcBorders>
              <w:top w:val="single" w:color="000000" w:sz="4" w:space="0"/>
              <w:left w:val="single" w:color="000000" w:sz="4" w:space="0"/>
              <w:bottom w:val="single" w:color="000000" w:sz="4" w:space="0"/>
              <w:right w:val="single" w:color="000000" w:sz="4" w:space="0"/>
            </w:tcBorders>
            <w:vAlign w:val="center"/>
          </w:tcPr>
          <w:p w14:paraId="0EBD01DA">
            <w:pPr>
              <w:spacing w:line="360" w:lineRule="auto"/>
              <w:jc w:val="center"/>
              <w:rPr>
                <w:rFonts w:hint="eastAsia" w:cs="宋体"/>
                <w:sz w:val="24"/>
              </w:rPr>
            </w:pPr>
            <w:r>
              <w:rPr>
                <w:rFonts w:hint="eastAsia" w:cs="宋体"/>
                <w:sz w:val="24"/>
              </w:rPr>
              <w:t>2</w:t>
            </w:r>
          </w:p>
        </w:tc>
        <w:tc>
          <w:tcPr>
            <w:tcW w:w="1379" w:type="dxa"/>
            <w:tcBorders>
              <w:top w:val="single" w:color="000000" w:sz="4" w:space="0"/>
              <w:left w:val="nil"/>
              <w:bottom w:val="single" w:color="000000" w:sz="4" w:space="0"/>
              <w:right w:val="single" w:color="000000" w:sz="4" w:space="0"/>
            </w:tcBorders>
            <w:vAlign w:val="center"/>
          </w:tcPr>
          <w:p w14:paraId="03FCCB30">
            <w:pPr>
              <w:spacing w:line="360" w:lineRule="auto"/>
              <w:jc w:val="center"/>
              <w:rPr>
                <w:rFonts w:hint="eastAsia" w:cs="宋体"/>
                <w:sz w:val="24"/>
              </w:rPr>
            </w:pPr>
          </w:p>
        </w:tc>
        <w:tc>
          <w:tcPr>
            <w:tcW w:w="2097" w:type="dxa"/>
            <w:tcBorders>
              <w:top w:val="single" w:color="000000" w:sz="4" w:space="0"/>
              <w:left w:val="nil"/>
              <w:bottom w:val="single" w:color="000000" w:sz="4" w:space="0"/>
              <w:right w:val="single" w:color="000000" w:sz="4" w:space="0"/>
            </w:tcBorders>
            <w:vAlign w:val="center"/>
          </w:tcPr>
          <w:p w14:paraId="140B97E4">
            <w:pPr>
              <w:spacing w:line="360" w:lineRule="auto"/>
              <w:jc w:val="center"/>
              <w:rPr>
                <w:rFonts w:hint="eastAsia" w:cs="宋体"/>
                <w:sz w:val="24"/>
              </w:rPr>
            </w:pPr>
          </w:p>
        </w:tc>
        <w:tc>
          <w:tcPr>
            <w:tcW w:w="2303" w:type="dxa"/>
            <w:tcBorders>
              <w:top w:val="single" w:color="000000" w:sz="4" w:space="0"/>
              <w:left w:val="nil"/>
              <w:bottom w:val="single" w:color="000000" w:sz="4" w:space="0"/>
              <w:right w:val="single" w:color="000000" w:sz="4" w:space="0"/>
            </w:tcBorders>
            <w:vAlign w:val="center"/>
          </w:tcPr>
          <w:p w14:paraId="1BCEBE70">
            <w:pPr>
              <w:spacing w:line="360" w:lineRule="auto"/>
              <w:jc w:val="center"/>
              <w:rPr>
                <w:rFonts w:hint="eastAsia" w:cs="宋体"/>
                <w:sz w:val="24"/>
              </w:rPr>
            </w:pPr>
          </w:p>
        </w:tc>
        <w:tc>
          <w:tcPr>
            <w:tcW w:w="1222" w:type="dxa"/>
            <w:tcBorders>
              <w:top w:val="single" w:color="000000" w:sz="4" w:space="0"/>
              <w:left w:val="nil"/>
              <w:bottom w:val="single" w:color="000000" w:sz="4" w:space="0"/>
              <w:right w:val="single" w:color="000000" w:sz="4" w:space="0"/>
            </w:tcBorders>
            <w:vAlign w:val="center"/>
          </w:tcPr>
          <w:p w14:paraId="656C9E26">
            <w:pPr>
              <w:spacing w:line="360" w:lineRule="auto"/>
              <w:jc w:val="center"/>
              <w:rPr>
                <w:rFonts w:hint="eastAsia" w:cs="宋体"/>
                <w:sz w:val="24"/>
              </w:rPr>
            </w:pPr>
          </w:p>
        </w:tc>
        <w:tc>
          <w:tcPr>
            <w:tcW w:w="1330" w:type="dxa"/>
            <w:tcBorders>
              <w:top w:val="single" w:color="000000" w:sz="4" w:space="0"/>
              <w:left w:val="nil"/>
              <w:bottom w:val="single" w:color="000000" w:sz="4" w:space="0"/>
              <w:right w:val="single" w:color="000000" w:sz="4" w:space="0"/>
            </w:tcBorders>
            <w:vAlign w:val="center"/>
          </w:tcPr>
          <w:p w14:paraId="12FBF6A1">
            <w:pPr>
              <w:spacing w:line="360" w:lineRule="auto"/>
              <w:jc w:val="center"/>
              <w:rPr>
                <w:rFonts w:hint="eastAsia" w:cs="宋体"/>
                <w:sz w:val="24"/>
              </w:rPr>
            </w:pPr>
          </w:p>
        </w:tc>
        <w:tc>
          <w:tcPr>
            <w:tcW w:w="917" w:type="dxa"/>
            <w:tcBorders>
              <w:top w:val="single" w:color="000000" w:sz="4" w:space="0"/>
              <w:left w:val="nil"/>
              <w:bottom w:val="single" w:color="000000" w:sz="4" w:space="0"/>
              <w:right w:val="single" w:color="000000" w:sz="4" w:space="0"/>
            </w:tcBorders>
            <w:vAlign w:val="center"/>
          </w:tcPr>
          <w:p w14:paraId="67313FF9">
            <w:pPr>
              <w:spacing w:line="360" w:lineRule="auto"/>
              <w:jc w:val="center"/>
              <w:rPr>
                <w:rFonts w:hint="eastAsia" w:cs="宋体"/>
                <w:sz w:val="24"/>
              </w:rPr>
            </w:pPr>
          </w:p>
        </w:tc>
      </w:tr>
      <w:tr w14:paraId="237B6DEC">
        <w:tblPrEx>
          <w:tblCellMar>
            <w:top w:w="0" w:type="dxa"/>
            <w:left w:w="108" w:type="dxa"/>
            <w:bottom w:w="0" w:type="dxa"/>
            <w:right w:w="108" w:type="dxa"/>
          </w:tblCellMar>
        </w:tblPrEx>
        <w:trPr>
          <w:trHeight w:val="588" w:hRule="atLeast"/>
          <w:jc w:val="center"/>
        </w:trPr>
        <w:tc>
          <w:tcPr>
            <w:tcW w:w="709" w:type="dxa"/>
            <w:tcBorders>
              <w:top w:val="single" w:color="000000" w:sz="4" w:space="0"/>
              <w:left w:val="single" w:color="000000" w:sz="4" w:space="0"/>
              <w:bottom w:val="single" w:color="000000" w:sz="4" w:space="0"/>
              <w:right w:val="single" w:color="000000" w:sz="4" w:space="0"/>
            </w:tcBorders>
            <w:vAlign w:val="center"/>
          </w:tcPr>
          <w:p w14:paraId="55107C5C">
            <w:pPr>
              <w:spacing w:line="360" w:lineRule="auto"/>
              <w:jc w:val="center"/>
              <w:rPr>
                <w:rFonts w:hint="eastAsia" w:cs="宋体"/>
                <w:sz w:val="24"/>
              </w:rPr>
            </w:pPr>
            <w:r>
              <w:rPr>
                <w:rFonts w:hint="eastAsia" w:cs="宋体"/>
                <w:sz w:val="24"/>
              </w:rPr>
              <w:t>3</w:t>
            </w:r>
          </w:p>
        </w:tc>
        <w:tc>
          <w:tcPr>
            <w:tcW w:w="1379" w:type="dxa"/>
            <w:tcBorders>
              <w:top w:val="single" w:color="000000" w:sz="4" w:space="0"/>
              <w:left w:val="nil"/>
              <w:bottom w:val="single" w:color="000000" w:sz="4" w:space="0"/>
              <w:right w:val="single" w:color="000000" w:sz="4" w:space="0"/>
            </w:tcBorders>
            <w:vAlign w:val="center"/>
          </w:tcPr>
          <w:p w14:paraId="747FC357">
            <w:pPr>
              <w:spacing w:line="360" w:lineRule="auto"/>
              <w:jc w:val="center"/>
              <w:rPr>
                <w:rFonts w:hint="eastAsia" w:cs="宋体"/>
                <w:sz w:val="24"/>
              </w:rPr>
            </w:pPr>
          </w:p>
        </w:tc>
        <w:tc>
          <w:tcPr>
            <w:tcW w:w="2097" w:type="dxa"/>
            <w:tcBorders>
              <w:top w:val="single" w:color="000000" w:sz="4" w:space="0"/>
              <w:left w:val="nil"/>
              <w:bottom w:val="single" w:color="000000" w:sz="4" w:space="0"/>
              <w:right w:val="single" w:color="000000" w:sz="4" w:space="0"/>
            </w:tcBorders>
            <w:vAlign w:val="center"/>
          </w:tcPr>
          <w:p w14:paraId="6475CC5A">
            <w:pPr>
              <w:spacing w:line="360" w:lineRule="auto"/>
              <w:jc w:val="center"/>
              <w:rPr>
                <w:rFonts w:hint="eastAsia" w:cs="宋体"/>
                <w:sz w:val="24"/>
              </w:rPr>
            </w:pPr>
          </w:p>
        </w:tc>
        <w:tc>
          <w:tcPr>
            <w:tcW w:w="2303" w:type="dxa"/>
            <w:tcBorders>
              <w:top w:val="single" w:color="000000" w:sz="4" w:space="0"/>
              <w:left w:val="nil"/>
              <w:bottom w:val="single" w:color="000000" w:sz="4" w:space="0"/>
              <w:right w:val="single" w:color="000000" w:sz="4" w:space="0"/>
            </w:tcBorders>
            <w:vAlign w:val="center"/>
          </w:tcPr>
          <w:p w14:paraId="162D7A54">
            <w:pPr>
              <w:spacing w:line="360" w:lineRule="auto"/>
              <w:jc w:val="center"/>
              <w:rPr>
                <w:rFonts w:hint="eastAsia" w:cs="宋体"/>
                <w:sz w:val="24"/>
              </w:rPr>
            </w:pPr>
          </w:p>
        </w:tc>
        <w:tc>
          <w:tcPr>
            <w:tcW w:w="1222" w:type="dxa"/>
            <w:tcBorders>
              <w:top w:val="single" w:color="000000" w:sz="4" w:space="0"/>
              <w:left w:val="nil"/>
              <w:bottom w:val="single" w:color="000000" w:sz="4" w:space="0"/>
              <w:right w:val="single" w:color="000000" w:sz="4" w:space="0"/>
            </w:tcBorders>
            <w:vAlign w:val="center"/>
          </w:tcPr>
          <w:p w14:paraId="69BAB5FD">
            <w:pPr>
              <w:spacing w:line="360" w:lineRule="auto"/>
              <w:jc w:val="center"/>
              <w:rPr>
                <w:rFonts w:hint="eastAsia" w:cs="宋体"/>
                <w:sz w:val="24"/>
              </w:rPr>
            </w:pPr>
          </w:p>
        </w:tc>
        <w:tc>
          <w:tcPr>
            <w:tcW w:w="1330" w:type="dxa"/>
            <w:tcBorders>
              <w:top w:val="single" w:color="000000" w:sz="4" w:space="0"/>
              <w:left w:val="nil"/>
              <w:bottom w:val="single" w:color="000000" w:sz="4" w:space="0"/>
              <w:right w:val="single" w:color="000000" w:sz="4" w:space="0"/>
            </w:tcBorders>
            <w:vAlign w:val="center"/>
          </w:tcPr>
          <w:p w14:paraId="3AE4A412">
            <w:pPr>
              <w:spacing w:line="360" w:lineRule="auto"/>
              <w:jc w:val="center"/>
              <w:rPr>
                <w:rFonts w:hint="eastAsia" w:cs="宋体"/>
                <w:sz w:val="24"/>
              </w:rPr>
            </w:pPr>
          </w:p>
        </w:tc>
        <w:tc>
          <w:tcPr>
            <w:tcW w:w="917" w:type="dxa"/>
            <w:tcBorders>
              <w:top w:val="single" w:color="000000" w:sz="4" w:space="0"/>
              <w:left w:val="nil"/>
              <w:bottom w:val="single" w:color="000000" w:sz="4" w:space="0"/>
              <w:right w:val="single" w:color="000000" w:sz="4" w:space="0"/>
            </w:tcBorders>
            <w:vAlign w:val="center"/>
          </w:tcPr>
          <w:p w14:paraId="7077155C">
            <w:pPr>
              <w:spacing w:line="360" w:lineRule="auto"/>
              <w:jc w:val="center"/>
              <w:rPr>
                <w:rFonts w:hint="eastAsia" w:cs="宋体"/>
                <w:sz w:val="24"/>
              </w:rPr>
            </w:pPr>
          </w:p>
        </w:tc>
      </w:tr>
      <w:tr w14:paraId="53E7D672">
        <w:tblPrEx>
          <w:tblCellMar>
            <w:top w:w="0" w:type="dxa"/>
            <w:left w:w="108" w:type="dxa"/>
            <w:bottom w:w="0" w:type="dxa"/>
            <w:right w:w="108" w:type="dxa"/>
          </w:tblCellMar>
        </w:tblPrEx>
        <w:trPr>
          <w:trHeight w:val="616" w:hRule="atLeast"/>
          <w:jc w:val="center"/>
        </w:trPr>
        <w:tc>
          <w:tcPr>
            <w:tcW w:w="709" w:type="dxa"/>
            <w:tcBorders>
              <w:top w:val="single" w:color="000000" w:sz="4" w:space="0"/>
              <w:left w:val="single" w:color="000000" w:sz="4" w:space="0"/>
              <w:bottom w:val="single" w:color="000000" w:sz="4" w:space="0"/>
              <w:right w:val="single" w:color="000000" w:sz="4" w:space="0"/>
            </w:tcBorders>
            <w:vAlign w:val="center"/>
          </w:tcPr>
          <w:p w14:paraId="5134C82E">
            <w:pPr>
              <w:spacing w:line="360" w:lineRule="auto"/>
              <w:jc w:val="center"/>
              <w:rPr>
                <w:rFonts w:hint="eastAsia" w:cs="宋体"/>
                <w:sz w:val="24"/>
              </w:rPr>
            </w:pPr>
            <w:r>
              <w:rPr>
                <w:rFonts w:hint="eastAsia" w:cs="宋体"/>
                <w:sz w:val="24"/>
              </w:rPr>
              <w:t>4</w:t>
            </w:r>
          </w:p>
        </w:tc>
        <w:tc>
          <w:tcPr>
            <w:tcW w:w="1379" w:type="dxa"/>
            <w:tcBorders>
              <w:top w:val="single" w:color="000000" w:sz="4" w:space="0"/>
              <w:left w:val="nil"/>
              <w:bottom w:val="single" w:color="000000" w:sz="4" w:space="0"/>
              <w:right w:val="single" w:color="000000" w:sz="4" w:space="0"/>
            </w:tcBorders>
            <w:vAlign w:val="center"/>
          </w:tcPr>
          <w:p w14:paraId="70F0778E">
            <w:pPr>
              <w:spacing w:line="360" w:lineRule="auto"/>
              <w:jc w:val="center"/>
              <w:rPr>
                <w:rFonts w:hint="eastAsia" w:cs="宋体"/>
                <w:sz w:val="24"/>
              </w:rPr>
            </w:pPr>
          </w:p>
        </w:tc>
        <w:tc>
          <w:tcPr>
            <w:tcW w:w="2097" w:type="dxa"/>
            <w:tcBorders>
              <w:top w:val="single" w:color="000000" w:sz="4" w:space="0"/>
              <w:left w:val="nil"/>
              <w:bottom w:val="single" w:color="000000" w:sz="4" w:space="0"/>
              <w:right w:val="single" w:color="000000" w:sz="4" w:space="0"/>
            </w:tcBorders>
            <w:vAlign w:val="center"/>
          </w:tcPr>
          <w:p w14:paraId="54278389">
            <w:pPr>
              <w:spacing w:line="360" w:lineRule="auto"/>
              <w:jc w:val="center"/>
              <w:rPr>
                <w:rFonts w:hint="eastAsia" w:cs="宋体"/>
                <w:sz w:val="24"/>
              </w:rPr>
            </w:pPr>
          </w:p>
        </w:tc>
        <w:tc>
          <w:tcPr>
            <w:tcW w:w="2303" w:type="dxa"/>
            <w:tcBorders>
              <w:top w:val="single" w:color="000000" w:sz="4" w:space="0"/>
              <w:left w:val="nil"/>
              <w:bottom w:val="single" w:color="000000" w:sz="4" w:space="0"/>
              <w:right w:val="single" w:color="000000" w:sz="4" w:space="0"/>
            </w:tcBorders>
            <w:vAlign w:val="center"/>
          </w:tcPr>
          <w:p w14:paraId="0AEE0FD7">
            <w:pPr>
              <w:spacing w:line="360" w:lineRule="auto"/>
              <w:jc w:val="center"/>
              <w:rPr>
                <w:rFonts w:hint="eastAsia" w:cs="宋体"/>
                <w:sz w:val="24"/>
              </w:rPr>
            </w:pPr>
          </w:p>
        </w:tc>
        <w:tc>
          <w:tcPr>
            <w:tcW w:w="1222" w:type="dxa"/>
            <w:tcBorders>
              <w:top w:val="single" w:color="000000" w:sz="4" w:space="0"/>
              <w:left w:val="nil"/>
              <w:bottom w:val="single" w:color="000000" w:sz="4" w:space="0"/>
              <w:right w:val="single" w:color="000000" w:sz="4" w:space="0"/>
            </w:tcBorders>
            <w:vAlign w:val="center"/>
          </w:tcPr>
          <w:p w14:paraId="69E26240">
            <w:pPr>
              <w:spacing w:line="360" w:lineRule="auto"/>
              <w:jc w:val="center"/>
              <w:rPr>
                <w:rFonts w:hint="eastAsia" w:cs="宋体"/>
                <w:sz w:val="24"/>
              </w:rPr>
            </w:pPr>
          </w:p>
        </w:tc>
        <w:tc>
          <w:tcPr>
            <w:tcW w:w="1330" w:type="dxa"/>
            <w:tcBorders>
              <w:top w:val="single" w:color="000000" w:sz="4" w:space="0"/>
              <w:left w:val="nil"/>
              <w:bottom w:val="single" w:color="000000" w:sz="4" w:space="0"/>
              <w:right w:val="single" w:color="000000" w:sz="4" w:space="0"/>
            </w:tcBorders>
            <w:vAlign w:val="center"/>
          </w:tcPr>
          <w:p w14:paraId="2CE02577">
            <w:pPr>
              <w:spacing w:line="360" w:lineRule="auto"/>
              <w:jc w:val="center"/>
              <w:rPr>
                <w:rFonts w:hint="eastAsia" w:cs="宋体"/>
                <w:sz w:val="24"/>
              </w:rPr>
            </w:pPr>
          </w:p>
        </w:tc>
        <w:tc>
          <w:tcPr>
            <w:tcW w:w="917" w:type="dxa"/>
            <w:tcBorders>
              <w:top w:val="single" w:color="000000" w:sz="4" w:space="0"/>
              <w:left w:val="nil"/>
              <w:bottom w:val="single" w:color="000000" w:sz="4" w:space="0"/>
              <w:right w:val="single" w:color="000000" w:sz="4" w:space="0"/>
            </w:tcBorders>
            <w:vAlign w:val="center"/>
          </w:tcPr>
          <w:p w14:paraId="2E0A1582">
            <w:pPr>
              <w:spacing w:line="360" w:lineRule="auto"/>
              <w:jc w:val="center"/>
              <w:rPr>
                <w:rFonts w:hint="eastAsia" w:cs="宋体"/>
                <w:sz w:val="24"/>
              </w:rPr>
            </w:pPr>
          </w:p>
        </w:tc>
      </w:tr>
    </w:tbl>
    <w:p w14:paraId="001AB26D">
      <w:pPr>
        <w:widowControl/>
        <w:spacing w:line="360" w:lineRule="auto"/>
        <w:jc w:val="left"/>
        <w:rPr>
          <w:rFonts w:hint="eastAsia" w:cs="宋体"/>
          <w:b/>
          <w:bCs/>
          <w:kern w:val="0"/>
          <w:szCs w:val="21"/>
          <w:lang w:bidi="ar"/>
        </w:rPr>
      </w:pPr>
    </w:p>
    <w:p w14:paraId="1B3BBF5D">
      <w:pPr>
        <w:widowControl/>
        <w:spacing w:line="360" w:lineRule="auto"/>
        <w:jc w:val="left"/>
        <w:rPr>
          <w:rFonts w:hint="eastAsia" w:cs="宋体"/>
          <w:sz w:val="24"/>
        </w:rPr>
      </w:pPr>
      <w:r>
        <w:rPr>
          <w:rFonts w:hint="eastAsia" w:cs="宋体"/>
          <w:b/>
          <w:bCs/>
          <w:kern w:val="0"/>
          <w:sz w:val="24"/>
          <w:lang w:bidi="ar"/>
        </w:rPr>
        <w:t xml:space="preserve">注： </w:t>
      </w:r>
      <w:r>
        <w:rPr>
          <w:rFonts w:hint="eastAsia" w:cs="宋体"/>
          <w:sz w:val="24"/>
        </w:rPr>
        <w:t xml:space="preserve">1、投标人须按本表将本次采购的所有产品及投标产品的产品型号和参数偏离逐一列出，并注明偏离情况，偏离一栏内填“正偏离（投标产品和参数优于采购产品和参数）”或“负偏离（投标产品和参数劣于采购产品和参数）”或“无偏离（投标产品和参数与采购产品和参数一致）”。 </w:t>
      </w:r>
    </w:p>
    <w:p w14:paraId="5E291C5D">
      <w:pPr>
        <w:widowControl/>
        <w:spacing w:line="360" w:lineRule="auto"/>
        <w:ind w:firstLine="480" w:firstLineChars="200"/>
        <w:jc w:val="left"/>
        <w:rPr>
          <w:rFonts w:hint="eastAsia" w:cs="宋体"/>
          <w:sz w:val="24"/>
        </w:rPr>
      </w:pPr>
      <w:r>
        <w:rPr>
          <w:rFonts w:hint="eastAsia" w:cs="宋体"/>
          <w:sz w:val="24"/>
        </w:rPr>
        <w:t xml:space="preserve">2、投标人所报所有投标产品均须在投标文件中提供最新技术支持资料支持本技术规格偏离表的应答并附于本表后，若投标文件中最新技术支持资料参数与技术规格偏离表应答不符或无技术资料支持该应答，而投标人又未在投标文件中作出说明和解释的，由评标委员会具体认定该项技术规格偏离情况。 </w:t>
      </w:r>
    </w:p>
    <w:p w14:paraId="6A32123F">
      <w:pPr>
        <w:pStyle w:val="333"/>
        <w:spacing w:line="360" w:lineRule="auto"/>
        <w:ind w:firstLine="420"/>
        <w:rPr>
          <w:rFonts w:hint="eastAsia" w:cs="宋体"/>
          <w:color w:val="auto"/>
        </w:rPr>
      </w:pPr>
    </w:p>
    <w:p w14:paraId="1DF2DB66">
      <w:pPr>
        <w:pStyle w:val="19"/>
        <w:spacing w:line="360" w:lineRule="auto"/>
        <w:ind w:firstLine="480" w:firstLineChars="200"/>
        <w:rPr>
          <w:rFonts w:hint="eastAsia" w:cs="宋体"/>
          <w:sz w:val="24"/>
          <w:szCs w:val="24"/>
        </w:rPr>
      </w:pPr>
    </w:p>
    <w:p w14:paraId="08D789BC">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4FCBB52E">
      <w:pPr>
        <w:pStyle w:val="19"/>
        <w:spacing w:line="360" w:lineRule="auto"/>
        <w:ind w:firstLine="480" w:firstLineChars="200"/>
        <w:rPr>
          <w:rFonts w:hint="eastAsia" w:cs="宋体"/>
          <w:sz w:val="24"/>
          <w:szCs w:val="24"/>
          <w:u w:val="single"/>
        </w:rPr>
      </w:pPr>
      <w:r>
        <w:rPr>
          <w:rFonts w:hint="eastAsia" w:cs="宋体"/>
          <w:sz w:val="24"/>
          <w:szCs w:val="24"/>
        </w:rPr>
        <w:t>法定代表人或授权代理人：</w:t>
      </w:r>
      <w:r>
        <w:rPr>
          <w:rFonts w:hint="eastAsia" w:cs="宋体"/>
          <w:sz w:val="24"/>
          <w:szCs w:val="24"/>
          <w:u w:val="single"/>
        </w:rPr>
        <w:t xml:space="preserve">           </w:t>
      </w:r>
      <w:r>
        <w:rPr>
          <w:rFonts w:hint="eastAsia" w:cs="宋体"/>
          <w:sz w:val="24"/>
          <w:szCs w:val="24"/>
        </w:rPr>
        <w:t>（</w:t>
      </w:r>
      <w:r>
        <w:rPr>
          <w:rFonts w:hint="eastAsia" w:cs="宋体"/>
          <w:sz w:val="24"/>
        </w:rPr>
        <w:t>电子签章或电子签名</w:t>
      </w:r>
      <w:r>
        <w:rPr>
          <w:rFonts w:hint="eastAsia" w:cs="宋体"/>
          <w:sz w:val="24"/>
          <w:szCs w:val="24"/>
        </w:rPr>
        <w:t>）</w:t>
      </w:r>
    </w:p>
    <w:p w14:paraId="54F29547">
      <w:pPr>
        <w:spacing w:line="360" w:lineRule="auto"/>
        <w:ind w:firstLine="480" w:firstLineChars="200"/>
        <w:rPr>
          <w:rFonts w:hint="eastAsia" w:cs="宋体"/>
          <w:sz w:val="28"/>
        </w:rPr>
        <w:sectPr>
          <w:footerReference r:id="rId11" w:type="default"/>
          <w:pgSz w:w="11906" w:h="16839"/>
          <w:pgMar w:top="1247" w:right="1247" w:bottom="1247" w:left="1247" w:header="0" w:footer="1038" w:gutter="0"/>
          <w:cols w:space="720" w:num="1"/>
        </w:sect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7955B063">
      <w:pPr>
        <w:pStyle w:val="7"/>
        <w:numPr>
          <w:ilvl w:val="2"/>
          <w:numId w:val="0"/>
        </w:numPr>
        <w:tabs>
          <w:tab w:val="clear" w:pos="360"/>
          <w:tab w:val="clear" w:pos="1588"/>
        </w:tabs>
        <w:ind w:left="1588" w:hanging="737"/>
        <w:jc w:val="center"/>
        <w:rPr>
          <w:rFonts w:hint="eastAsia" w:eastAsia="宋体" w:cs="宋体"/>
          <w:szCs w:val="28"/>
        </w:rPr>
      </w:pPr>
      <w:bookmarkStart w:id="350" w:name="_Toc13658"/>
      <w:r>
        <w:rPr>
          <w:rFonts w:hint="eastAsia" w:eastAsia="宋体" w:cs="宋体"/>
          <w:szCs w:val="28"/>
        </w:rPr>
        <w:t>（二）供货方案及进度计划</w:t>
      </w:r>
      <w:bookmarkEnd w:id="350"/>
    </w:p>
    <w:p w14:paraId="675CBFDF">
      <w:pPr>
        <w:pStyle w:val="19"/>
        <w:spacing w:line="360" w:lineRule="auto"/>
        <w:jc w:val="left"/>
        <w:rPr>
          <w:rFonts w:hint="eastAsia" w:cs="宋体"/>
          <w:sz w:val="24"/>
          <w:szCs w:val="24"/>
        </w:rPr>
      </w:pPr>
      <w:r>
        <w:rPr>
          <w:rFonts w:hint="eastAsia" w:cs="宋体"/>
          <w:sz w:val="24"/>
          <w:szCs w:val="24"/>
        </w:rPr>
        <w:t>格式自拟。</w:t>
      </w:r>
    </w:p>
    <w:p w14:paraId="6C39BC3B">
      <w:pPr>
        <w:spacing w:line="360" w:lineRule="auto"/>
        <w:ind w:firstLine="480" w:firstLineChars="200"/>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7DF704B0">
      <w:pPr>
        <w:pStyle w:val="7"/>
        <w:numPr>
          <w:ilvl w:val="2"/>
          <w:numId w:val="0"/>
        </w:numPr>
        <w:tabs>
          <w:tab w:val="clear" w:pos="360"/>
          <w:tab w:val="clear" w:pos="1588"/>
        </w:tabs>
        <w:ind w:left="1588" w:hanging="737"/>
        <w:jc w:val="center"/>
        <w:rPr>
          <w:rFonts w:hint="eastAsia" w:eastAsia="宋体" w:cs="宋体"/>
          <w:szCs w:val="28"/>
        </w:rPr>
      </w:pPr>
      <w:bookmarkStart w:id="351" w:name="_Toc16931"/>
      <w:r>
        <w:rPr>
          <w:rFonts w:hint="eastAsia" w:eastAsia="宋体" w:cs="宋体"/>
          <w:szCs w:val="28"/>
        </w:rPr>
        <w:t>（三）质量承诺及保障措施</w:t>
      </w:r>
      <w:bookmarkEnd w:id="351"/>
    </w:p>
    <w:p w14:paraId="087BCB74">
      <w:pPr>
        <w:pStyle w:val="19"/>
        <w:spacing w:line="360" w:lineRule="auto"/>
        <w:jc w:val="left"/>
        <w:rPr>
          <w:rFonts w:hint="eastAsia" w:cs="宋体"/>
          <w:sz w:val="24"/>
          <w:szCs w:val="24"/>
        </w:rPr>
      </w:pPr>
      <w:r>
        <w:rPr>
          <w:rFonts w:hint="eastAsia" w:cs="宋体"/>
          <w:sz w:val="24"/>
          <w:szCs w:val="24"/>
        </w:rPr>
        <w:t>格式自拟。</w:t>
      </w:r>
    </w:p>
    <w:p w14:paraId="1038C9D4">
      <w:pPr>
        <w:spacing w:line="360" w:lineRule="auto"/>
        <w:ind w:firstLine="480" w:firstLineChars="200"/>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6DA395B1">
      <w:pPr>
        <w:pStyle w:val="7"/>
        <w:numPr>
          <w:ilvl w:val="2"/>
          <w:numId w:val="0"/>
        </w:numPr>
        <w:tabs>
          <w:tab w:val="clear" w:pos="360"/>
          <w:tab w:val="clear" w:pos="1588"/>
        </w:tabs>
        <w:ind w:left="1588" w:hanging="737"/>
        <w:jc w:val="center"/>
        <w:rPr>
          <w:rFonts w:hint="eastAsia" w:eastAsia="宋体" w:cs="宋体"/>
          <w:szCs w:val="28"/>
        </w:rPr>
      </w:pPr>
      <w:bookmarkStart w:id="352" w:name="_Toc13754"/>
      <w:r>
        <w:rPr>
          <w:rFonts w:hint="eastAsia" w:eastAsia="宋体" w:cs="宋体"/>
          <w:szCs w:val="28"/>
        </w:rPr>
        <w:t>（四）售后服务方案、承诺及保证措施</w:t>
      </w:r>
      <w:bookmarkEnd w:id="352"/>
    </w:p>
    <w:p w14:paraId="37B292AD">
      <w:pPr>
        <w:pStyle w:val="19"/>
        <w:spacing w:line="360" w:lineRule="auto"/>
        <w:jc w:val="left"/>
        <w:rPr>
          <w:rFonts w:hint="eastAsia" w:cs="宋体"/>
          <w:sz w:val="24"/>
          <w:szCs w:val="24"/>
        </w:rPr>
      </w:pPr>
      <w:r>
        <w:rPr>
          <w:rFonts w:hint="eastAsia" w:cs="宋体"/>
          <w:sz w:val="24"/>
          <w:szCs w:val="24"/>
        </w:rPr>
        <w:t>格式自拟。</w:t>
      </w:r>
    </w:p>
    <w:p w14:paraId="58B1B590">
      <w:pPr>
        <w:spacing w:line="360" w:lineRule="auto"/>
        <w:ind w:firstLine="480" w:firstLineChars="200"/>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348F306D">
      <w:pPr>
        <w:pStyle w:val="7"/>
        <w:numPr>
          <w:ilvl w:val="2"/>
          <w:numId w:val="0"/>
        </w:numPr>
        <w:tabs>
          <w:tab w:val="clear" w:pos="360"/>
          <w:tab w:val="clear" w:pos="1588"/>
        </w:tabs>
        <w:ind w:left="1588" w:hanging="737"/>
        <w:jc w:val="center"/>
        <w:rPr>
          <w:rFonts w:hint="eastAsia" w:eastAsia="宋体" w:cs="宋体"/>
          <w:szCs w:val="28"/>
        </w:rPr>
      </w:pPr>
      <w:bookmarkStart w:id="353" w:name="_Toc10387"/>
      <w:r>
        <w:rPr>
          <w:rFonts w:hint="eastAsia" w:eastAsia="宋体" w:cs="宋体"/>
          <w:szCs w:val="28"/>
        </w:rPr>
        <w:t>（五）培训方案</w:t>
      </w:r>
      <w:bookmarkEnd w:id="353"/>
    </w:p>
    <w:p w14:paraId="74419AA3">
      <w:pPr>
        <w:pStyle w:val="19"/>
        <w:spacing w:line="360" w:lineRule="auto"/>
        <w:jc w:val="left"/>
        <w:rPr>
          <w:rFonts w:hint="eastAsia" w:cs="宋体"/>
          <w:sz w:val="24"/>
          <w:szCs w:val="24"/>
        </w:rPr>
      </w:pPr>
      <w:r>
        <w:rPr>
          <w:rFonts w:hint="eastAsia" w:cs="宋体"/>
          <w:sz w:val="24"/>
          <w:szCs w:val="24"/>
        </w:rPr>
        <w:t>格式自拟。</w:t>
      </w:r>
    </w:p>
    <w:p w14:paraId="13D665A4">
      <w:pPr>
        <w:spacing w:line="360" w:lineRule="auto"/>
        <w:ind w:firstLine="480" w:firstLineChars="200"/>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2305F2F6">
      <w:pPr>
        <w:pStyle w:val="7"/>
        <w:numPr>
          <w:ilvl w:val="2"/>
          <w:numId w:val="0"/>
        </w:numPr>
        <w:tabs>
          <w:tab w:val="clear" w:pos="360"/>
          <w:tab w:val="clear" w:pos="1588"/>
        </w:tabs>
        <w:ind w:left="1588" w:hanging="737"/>
        <w:jc w:val="center"/>
        <w:rPr>
          <w:rFonts w:hint="eastAsia" w:eastAsia="宋体" w:cs="宋体"/>
          <w:szCs w:val="28"/>
        </w:rPr>
      </w:pPr>
      <w:bookmarkStart w:id="354" w:name="_Toc21722"/>
      <w:r>
        <w:rPr>
          <w:rFonts w:hint="eastAsia" w:eastAsia="宋体" w:cs="宋体"/>
          <w:szCs w:val="28"/>
        </w:rPr>
        <w:t>（六）应急预案</w:t>
      </w:r>
      <w:bookmarkEnd w:id="354"/>
    </w:p>
    <w:p w14:paraId="36468B8E">
      <w:pPr>
        <w:pStyle w:val="19"/>
        <w:spacing w:line="360" w:lineRule="auto"/>
        <w:jc w:val="left"/>
        <w:rPr>
          <w:rFonts w:hint="eastAsia" w:cs="宋体"/>
          <w:sz w:val="24"/>
          <w:szCs w:val="24"/>
        </w:rPr>
      </w:pPr>
      <w:r>
        <w:rPr>
          <w:rFonts w:hint="eastAsia" w:cs="宋体"/>
          <w:sz w:val="24"/>
          <w:szCs w:val="24"/>
        </w:rPr>
        <w:t>格式自拟。</w:t>
      </w:r>
    </w:p>
    <w:p w14:paraId="4B64854D">
      <w:pPr>
        <w:spacing w:line="360" w:lineRule="auto"/>
        <w:ind w:firstLine="480" w:firstLineChars="200"/>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6A5AB615">
      <w:pPr>
        <w:pStyle w:val="7"/>
        <w:numPr>
          <w:ilvl w:val="2"/>
          <w:numId w:val="0"/>
        </w:numPr>
        <w:tabs>
          <w:tab w:val="clear" w:pos="360"/>
          <w:tab w:val="clear" w:pos="1588"/>
        </w:tabs>
        <w:ind w:left="1588" w:hanging="737"/>
        <w:jc w:val="center"/>
        <w:rPr>
          <w:rFonts w:hint="eastAsia" w:eastAsia="宋体" w:cs="宋体"/>
          <w:szCs w:val="28"/>
        </w:rPr>
      </w:pPr>
      <w:bookmarkStart w:id="355" w:name="_Toc14466"/>
      <w:r>
        <w:rPr>
          <w:rFonts w:hint="eastAsia" w:eastAsia="宋体" w:cs="宋体"/>
          <w:szCs w:val="28"/>
        </w:rPr>
        <w:t>（七）增值服务</w:t>
      </w:r>
      <w:bookmarkEnd w:id="355"/>
    </w:p>
    <w:p w14:paraId="35083F09">
      <w:pPr>
        <w:pStyle w:val="2"/>
        <w:spacing w:before="120"/>
        <w:ind w:firstLine="498"/>
        <w:jc w:val="center"/>
        <w:rPr>
          <w:rFonts w:hint="eastAsia" w:ascii="宋体" w:hAnsi="宋体" w:eastAsia="宋体" w:cs="宋体"/>
          <w:sz w:val="24"/>
        </w:rPr>
      </w:pPr>
      <w:r>
        <w:rPr>
          <w:rFonts w:hint="eastAsia" w:ascii="宋体" w:hAnsi="宋体" w:eastAsia="宋体" w:cs="宋体"/>
          <w:sz w:val="24"/>
        </w:rPr>
        <w:t>易损配件清单</w:t>
      </w:r>
    </w:p>
    <w:tbl>
      <w:tblPr>
        <w:tblStyle w:val="41"/>
        <w:tblW w:w="10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1508"/>
        <w:gridCol w:w="961"/>
        <w:gridCol w:w="1985"/>
        <w:gridCol w:w="1234"/>
        <w:gridCol w:w="749"/>
        <w:gridCol w:w="629"/>
        <w:gridCol w:w="853"/>
        <w:gridCol w:w="895"/>
        <w:gridCol w:w="895"/>
      </w:tblGrid>
      <w:tr w14:paraId="23FA5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982" w:type="dxa"/>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18671C55">
            <w:pPr>
              <w:spacing w:line="480" w:lineRule="exact"/>
              <w:jc w:val="center"/>
              <w:rPr>
                <w:rFonts w:hint="eastAsia" w:cs="宋体"/>
                <w:sz w:val="24"/>
              </w:rPr>
            </w:pPr>
            <w:r>
              <w:rPr>
                <w:rFonts w:hint="eastAsia" w:cs="宋体"/>
                <w:sz w:val="24"/>
              </w:rPr>
              <w:t>序号</w:t>
            </w:r>
          </w:p>
        </w:tc>
        <w:tc>
          <w:tcPr>
            <w:tcW w:w="15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B6971C">
            <w:pPr>
              <w:spacing w:line="480" w:lineRule="exact"/>
              <w:jc w:val="center"/>
              <w:rPr>
                <w:rFonts w:hint="eastAsia" w:cs="宋体"/>
                <w:bCs/>
                <w:sz w:val="24"/>
              </w:rPr>
            </w:pPr>
            <w:r>
              <w:rPr>
                <w:rFonts w:hint="eastAsia" w:cs="宋体"/>
                <w:bCs/>
                <w:sz w:val="24"/>
              </w:rPr>
              <w:t xml:space="preserve"> 货物（装备）名称</w:t>
            </w:r>
          </w:p>
        </w:tc>
        <w:tc>
          <w:tcPr>
            <w:tcW w:w="96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FE9C8">
            <w:pPr>
              <w:spacing w:line="480" w:lineRule="exact"/>
              <w:jc w:val="center"/>
              <w:rPr>
                <w:rFonts w:hint="eastAsia" w:cs="宋体"/>
                <w:bCs/>
                <w:sz w:val="24"/>
              </w:rPr>
            </w:pPr>
            <w:r>
              <w:rPr>
                <w:rFonts w:hint="eastAsia" w:cs="宋体"/>
                <w:sz w:val="24"/>
              </w:rPr>
              <w:t>品牌</w:t>
            </w:r>
          </w:p>
        </w:tc>
        <w:tc>
          <w:tcPr>
            <w:tcW w:w="19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88AF9">
            <w:pPr>
              <w:spacing w:line="480" w:lineRule="exact"/>
              <w:jc w:val="center"/>
              <w:rPr>
                <w:rFonts w:hint="eastAsia" w:cs="宋体"/>
                <w:bCs/>
                <w:sz w:val="24"/>
              </w:rPr>
            </w:pPr>
            <w:r>
              <w:rPr>
                <w:rFonts w:hint="eastAsia" w:cs="宋体"/>
                <w:bCs/>
                <w:sz w:val="24"/>
              </w:rPr>
              <w:t>型号、规格、配置、技术参数</w:t>
            </w:r>
          </w:p>
        </w:tc>
        <w:tc>
          <w:tcPr>
            <w:tcW w:w="12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87330">
            <w:pPr>
              <w:spacing w:line="480" w:lineRule="exact"/>
              <w:jc w:val="center"/>
              <w:rPr>
                <w:rFonts w:hint="eastAsia" w:cs="宋体"/>
                <w:bCs/>
                <w:sz w:val="24"/>
              </w:rPr>
            </w:pPr>
            <w:r>
              <w:rPr>
                <w:rFonts w:hint="eastAsia" w:cs="宋体"/>
                <w:sz w:val="24"/>
              </w:rPr>
              <w:t>产地/制造商</w:t>
            </w:r>
          </w:p>
        </w:tc>
        <w:tc>
          <w:tcPr>
            <w:tcW w:w="7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7AE50">
            <w:pPr>
              <w:spacing w:line="480" w:lineRule="exact"/>
              <w:jc w:val="center"/>
              <w:rPr>
                <w:rFonts w:hint="eastAsia" w:cs="宋体"/>
                <w:bCs/>
                <w:sz w:val="24"/>
              </w:rPr>
            </w:pPr>
            <w:r>
              <w:rPr>
                <w:rFonts w:hint="eastAsia" w:cs="宋体"/>
                <w:sz w:val="24"/>
              </w:rPr>
              <w:t>数量</w:t>
            </w:r>
          </w:p>
        </w:tc>
        <w:tc>
          <w:tcPr>
            <w:tcW w:w="6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6FD8C">
            <w:pPr>
              <w:spacing w:line="480" w:lineRule="exact"/>
              <w:jc w:val="center"/>
              <w:rPr>
                <w:rFonts w:hint="eastAsia" w:cs="宋体"/>
                <w:bCs/>
                <w:sz w:val="24"/>
              </w:rPr>
            </w:pPr>
            <w:r>
              <w:rPr>
                <w:rFonts w:hint="eastAsia" w:cs="宋体"/>
                <w:sz w:val="24"/>
              </w:rPr>
              <w:t>单位</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98619">
            <w:pPr>
              <w:widowControl/>
              <w:spacing w:line="480" w:lineRule="exact"/>
              <w:jc w:val="center"/>
              <w:rPr>
                <w:rFonts w:hint="eastAsia" w:cs="宋体"/>
                <w:sz w:val="24"/>
              </w:rPr>
            </w:pPr>
            <w:r>
              <w:rPr>
                <w:rFonts w:hint="eastAsia" w:cs="宋体"/>
                <w:sz w:val="24"/>
              </w:rPr>
              <w:t>是否收费</w:t>
            </w:r>
          </w:p>
        </w:tc>
        <w:tc>
          <w:tcPr>
            <w:tcW w:w="8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A6DA9">
            <w:pPr>
              <w:widowControl/>
              <w:spacing w:line="480" w:lineRule="exact"/>
              <w:jc w:val="center"/>
              <w:rPr>
                <w:rFonts w:hint="eastAsia" w:cs="宋体"/>
                <w:sz w:val="24"/>
              </w:rPr>
            </w:pPr>
            <w:r>
              <w:rPr>
                <w:rFonts w:hint="eastAsia" w:cs="宋体"/>
                <w:sz w:val="24"/>
              </w:rPr>
              <w:t>单价（元）</w:t>
            </w:r>
          </w:p>
        </w:tc>
        <w:tc>
          <w:tcPr>
            <w:tcW w:w="8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DBA8C">
            <w:pPr>
              <w:widowControl/>
              <w:spacing w:line="480" w:lineRule="exact"/>
              <w:jc w:val="center"/>
              <w:rPr>
                <w:rFonts w:hint="eastAsia" w:cs="宋体"/>
                <w:sz w:val="24"/>
              </w:rPr>
            </w:pPr>
            <w:r>
              <w:rPr>
                <w:rFonts w:hint="eastAsia" w:cs="宋体"/>
                <w:sz w:val="24"/>
              </w:rPr>
              <w:t>总价（元）</w:t>
            </w:r>
          </w:p>
        </w:tc>
      </w:tr>
      <w:tr w14:paraId="3587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82" w:type="dxa"/>
            <w:noWrap/>
            <w:vAlign w:val="center"/>
          </w:tcPr>
          <w:p w14:paraId="551AF70A">
            <w:pPr>
              <w:spacing w:line="480" w:lineRule="exact"/>
              <w:jc w:val="center"/>
              <w:rPr>
                <w:rFonts w:hint="eastAsia" w:cs="宋体"/>
                <w:sz w:val="24"/>
              </w:rPr>
            </w:pPr>
            <w:r>
              <w:rPr>
                <w:rFonts w:hint="eastAsia" w:cs="宋体"/>
                <w:sz w:val="24"/>
              </w:rPr>
              <w:t>1</w:t>
            </w:r>
          </w:p>
        </w:tc>
        <w:tc>
          <w:tcPr>
            <w:tcW w:w="1508" w:type="dxa"/>
            <w:noWrap/>
            <w:vAlign w:val="center"/>
          </w:tcPr>
          <w:p w14:paraId="06841B25">
            <w:pPr>
              <w:spacing w:line="480" w:lineRule="exact"/>
              <w:rPr>
                <w:rFonts w:hint="eastAsia" w:cs="宋体"/>
                <w:sz w:val="24"/>
              </w:rPr>
            </w:pPr>
          </w:p>
        </w:tc>
        <w:tc>
          <w:tcPr>
            <w:tcW w:w="961" w:type="dxa"/>
            <w:noWrap/>
            <w:vAlign w:val="center"/>
          </w:tcPr>
          <w:p w14:paraId="15120C1F">
            <w:pPr>
              <w:spacing w:line="480" w:lineRule="exact"/>
              <w:jc w:val="center"/>
              <w:rPr>
                <w:rFonts w:hint="eastAsia" w:cs="宋体"/>
                <w:sz w:val="24"/>
              </w:rPr>
            </w:pPr>
          </w:p>
        </w:tc>
        <w:tc>
          <w:tcPr>
            <w:tcW w:w="1985" w:type="dxa"/>
            <w:noWrap/>
            <w:vAlign w:val="center"/>
          </w:tcPr>
          <w:p w14:paraId="7067C525">
            <w:pPr>
              <w:spacing w:line="480" w:lineRule="exact"/>
              <w:jc w:val="center"/>
              <w:rPr>
                <w:rFonts w:hint="eastAsia" w:cs="宋体"/>
                <w:sz w:val="24"/>
              </w:rPr>
            </w:pPr>
          </w:p>
        </w:tc>
        <w:tc>
          <w:tcPr>
            <w:tcW w:w="1234" w:type="dxa"/>
            <w:noWrap/>
            <w:vAlign w:val="center"/>
          </w:tcPr>
          <w:p w14:paraId="58030C02">
            <w:pPr>
              <w:spacing w:line="480" w:lineRule="exact"/>
              <w:jc w:val="center"/>
              <w:rPr>
                <w:rFonts w:hint="eastAsia" w:cs="宋体"/>
                <w:sz w:val="24"/>
              </w:rPr>
            </w:pPr>
          </w:p>
        </w:tc>
        <w:tc>
          <w:tcPr>
            <w:tcW w:w="749" w:type="dxa"/>
            <w:noWrap/>
            <w:vAlign w:val="center"/>
          </w:tcPr>
          <w:p w14:paraId="07F09467">
            <w:pPr>
              <w:spacing w:line="480" w:lineRule="exact"/>
              <w:jc w:val="center"/>
              <w:rPr>
                <w:rFonts w:hint="eastAsia" w:cs="宋体"/>
                <w:sz w:val="24"/>
              </w:rPr>
            </w:pPr>
          </w:p>
        </w:tc>
        <w:tc>
          <w:tcPr>
            <w:tcW w:w="629" w:type="dxa"/>
            <w:noWrap/>
            <w:vAlign w:val="center"/>
          </w:tcPr>
          <w:p w14:paraId="3379E792">
            <w:pPr>
              <w:spacing w:line="480" w:lineRule="exact"/>
              <w:rPr>
                <w:rFonts w:hint="eastAsia" w:cs="宋体"/>
                <w:sz w:val="24"/>
              </w:rPr>
            </w:pPr>
          </w:p>
        </w:tc>
        <w:tc>
          <w:tcPr>
            <w:tcW w:w="853" w:type="dxa"/>
            <w:shd w:val="clear" w:color="auto" w:fill="FFFFFF"/>
            <w:noWrap/>
            <w:vAlign w:val="center"/>
          </w:tcPr>
          <w:p w14:paraId="66B58FB3">
            <w:pPr>
              <w:spacing w:line="480" w:lineRule="exact"/>
              <w:jc w:val="center"/>
              <w:rPr>
                <w:rFonts w:hint="eastAsia" w:cs="宋体"/>
                <w:sz w:val="24"/>
              </w:rPr>
            </w:pPr>
          </w:p>
        </w:tc>
        <w:tc>
          <w:tcPr>
            <w:tcW w:w="895" w:type="dxa"/>
            <w:shd w:val="clear" w:color="auto" w:fill="FFFFFF"/>
            <w:noWrap/>
            <w:vAlign w:val="center"/>
          </w:tcPr>
          <w:p w14:paraId="5E56A0B0">
            <w:pPr>
              <w:spacing w:line="480" w:lineRule="exact"/>
              <w:jc w:val="center"/>
              <w:rPr>
                <w:rFonts w:hint="eastAsia" w:cs="宋体"/>
                <w:sz w:val="24"/>
              </w:rPr>
            </w:pPr>
          </w:p>
        </w:tc>
        <w:tc>
          <w:tcPr>
            <w:tcW w:w="895" w:type="dxa"/>
            <w:shd w:val="clear" w:color="auto" w:fill="FFFFFF"/>
            <w:noWrap/>
            <w:vAlign w:val="center"/>
          </w:tcPr>
          <w:p w14:paraId="3C5F77E6">
            <w:pPr>
              <w:spacing w:line="480" w:lineRule="exact"/>
              <w:jc w:val="center"/>
              <w:rPr>
                <w:rFonts w:hint="eastAsia" w:cs="宋体"/>
                <w:sz w:val="24"/>
              </w:rPr>
            </w:pPr>
          </w:p>
        </w:tc>
      </w:tr>
    </w:tbl>
    <w:p w14:paraId="2B053D2B">
      <w:pPr>
        <w:spacing w:line="360" w:lineRule="auto"/>
        <w:jc w:val="left"/>
        <w:rPr>
          <w:rFonts w:hint="eastAsia" w:cs="宋体"/>
          <w:bCs/>
          <w:sz w:val="24"/>
        </w:rPr>
      </w:pPr>
      <w:r>
        <w:rPr>
          <w:rFonts w:hint="eastAsia" w:cs="宋体"/>
          <w:bCs/>
          <w:sz w:val="24"/>
        </w:rPr>
        <w:t>注：上述内容及格式由投标人根据 “评标办法”评审内容及标准和采购需求，并结合自身实际情况自行拟定。</w:t>
      </w:r>
    </w:p>
    <w:p w14:paraId="03086601">
      <w:pPr>
        <w:spacing w:line="360" w:lineRule="auto"/>
        <w:ind w:firstLine="480" w:firstLineChars="200"/>
        <w:jc w:val="left"/>
        <w:rPr>
          <w:rFonts w:hint="eastAsia" w:cs="宋体"/>
          <w:bCs/>
          <w:sz w:val="24"/>
        </w:rPr>
      </w:pPr>
    </w:p>
    <w:p w14:paraId="743DDD7F">
      <w:pPr>
        <w:pStyle w:val="7"/>
        <w:numPr>
          <w:ilvl w:val="2"/>
          <w:numId w:val="0"/>
        </w:numPr>
        <w:tabs>
          <w:tab w:val="clear" w:pos="360"/>
          <w:tab w:val="clear" w:pos="1588"/>
        </w:tabs>
        <w:ind w:left="1588" w:hanging="737"/>
        <w:jc w:val="center"/>
        <w:rPr>
          <w:rFonts w:hint="eastAsia" w:eastAsia="宋体" w:cs="宋体"/>
          <w:szCs w:val="28"/>
        </w:rPr>
      </w:pPr>
      <w:bookmarkStart w:id="356" w:name="_Toc13434"/>
      <w:bookmarkStart w:id="357" w:name="_Toc14802"/>
      <w:bookmarkStart w:id="358" w:name="_Toc19620"/>
      <w:bookmarkStart w:id="359" w:name="_Toc28267"/>
      <w:bookmarkStart w:id="360" w:name="_Toc17712"/>
      <w:bookmarkStart w:id="361" w:name="_Toc8918"/>
      <w:bookmarkStart w:id="362" w:name="_Toc12099"/>
      <w:r>
        <w:rPr>
          <w:rFonts w:hint="eastAsia" w:eastAsia="宋体" w:cs="宋体"/>
          <w:szCs w:val="28"/>
          <w:lang w:eastAsia="zh-CN"/>
        </w:rPr>
        <w:t>（</w:t>
      </w:r>
      <w:r>
        <w:rPr>
          <w:rFonts w:hint="eastAsia" w:eastAsia="宋体" w:cs="宋体"/>
          <w:szCs w:val="28"/>
          <w:lang w:val="en-US" w:eastAsia="zh-CN"/>
        </w:rPr>
        <w:t>八</w:t>
      </w:r>
      <w:r>
        <w:rPr>
          <w:rFonts w:hint="eastAsia" w:eastAsia="宋体" w:cs="宋体"/>
          <w:szCs w:val="28"/>
          <w:lang w:eastAsia="zh-CN"/>
        </w:rPr>
        <w:t>）</w:t>
      </w:r>
      <w:r>
        <w:rPr>
          <w:rFonts w:hint="eastAsia" w:eastAsia="宋体" w:cs="宋体"/>
          <w:szCs w:val="28"/>
        </w:rPr>
        <w:t>其他相关证明资料</w:t>
      </w:r>
      <w:bookmarkEnd w:id="356"/>
      <w:bookmarkEnd w:id="357"/>
      <w:bookmarkEnd w:id="358"/>
      <w:bookmarkEnd w:id="359"/>
      <w:bookmarkEnd w:id="360"/>
      <w:bookmarkEnd w:id="361"/>
      <w:bookmarkEnd w:id="362"/>
    </w:p>
    <w:p w14:paraId="046746A1">
      <w:pPr>
        <w:spacing w:line="360" w:lineRule="auto"/>
        <w:ind w:firstLine="480" w:firstLineChars="200"/>
        <w:rPr>
          <w:rFonts w:hint="eastAsia" w:cs="宋体"/>
          <w:b/>
          <w:sz w:val="28"/>
          <w:szCs w:val="28"/>
        </w:rPr>
      </w:pPr>
      <w:r>
        <w:rPr>
          <w:rFonts w:hint="eastAsia" w:cs="宋体"/>
          <w:sz w:val="24"/>
        </w:rPr>
        <w:t>招标文件其他部分要求提供的证明材料</w:t>
      </w:r>
      <w:r>
        <w:rPr>
          <w:rFonts w:hint="eastAsia" w:cs="宋体"/>
          <w:b/>
          <w:sz w:val="24"/>
        </w:rPr>
        <w:t>或投标人认为有必要提交的其他声明、补充承诺、证明资料等。</w:t>
      </w:r>
    </w:p>
    <w:p w14:paraId="090D51DA">
      <w:pPr>
        <w:pStyle w:val="5"/>
        <w:rPr>
          <w:rFonts w:hint="eastAsia" w:eastAsia="宋体" w:cs="宋体"/>
        </w:rPr>
        <w:sectPr>
          <w:pgSz w:w="11906" w:h="16839"/>
          <w:pgMar w:top="1247" w:right="1247" w:bottom="1247" w:left="1247" w:header="0" w:footer="1038" w:gutter="0"/>
          <w:cols w:space="720" w:num="1"/>
        </w:sectPr>
      </w:pPr>
    </w:p>
    <w:p w14:paraId="5F09D6FC">
      <w:pPr>
        <w:pStyle w:val="6"/>
        <w:numPr>
          <w:ilvl w:val="1"/>
          <w:numId w:val="0"/>
        </w:numPr>
        <w:tabs>
          <w:tab w:val="clear" w:pos="596"/>
        </w:tabs>
        <w:ind w:left="596" w:hanging="596"/>
        <w:jc w:val="center"/>
        <w:rPr>
          <w:rFonts w:hint="eastAsia" w:eastAsia="宋体" w:cs="宋体"/>
          <w:spacing w:val="6"/>
        </w:rPr>
      </w:pPr>
      <w:bookmarkStart w:id="363" w:name="_Toc14751"/>
      <w:bookmarkStart w:id="364" w:name="_Toc28930"/>
      <w:bookmarkStart w:id="365" w:name="_Toc31437"/>
      <w:bookmarkStart w:id="366" w:name="_Toc4398"/>
      <w:bookmarkStart w:id="367" w:name="_Toc28427"/>
      <w:bookmarkStart w:id="368" w:name="_Toc15901"/>
      <w:r>
        <w:rPr>
          <w:rFonts w:hint="eastAsia" w:eastAsia="宋体" w:cs="宋体"/>
          <w:spacing w:val="6"/>
        </w:rPr>
        <w:t>附件一：小微企业声明函（按需提供）</w:t>
      </w:r>
      <w:bookmarkEnd w:id="363"/>
      <w:bookmarkEnd w:id="364"/>
      <w:bookmarkEnd w:id="365"/>
      <w:bookmarkEnd w:id="366"/>
      <w:bookmarkEnd w:id="367"/>
      <w:bookmarkEnd w:id="368"/>
    </w:p>
    <w:p w14:paraId="178963A1">
      <w:pPr>
        <w:spacing w:line="360" w:lineRule="auto"/>
        <w:rPr>
          <w:rFonts w:hint="eastAsia" w:cs="宋体"/>
          <w:b/>
          <w:spacing w:val="6"/>
          <w:sz w:val="30"/>
          <w:szCs w:val="30"/>
        </w:rPr>
      </w:pPr>
    </w:p>
    <w:p w14:paraId="0CBFE86A">
      <w:pPr>
        <w:spacing w:line="360" w:lineRule="auto"/>
        <w:ind w:firstLine="480" w:firstLineChars="200"/>
        <w:jc w:val="left"/>
        <w:rPr>
          <w:rFonts w:hint="eastAsia" w:cs="宋体"/>
          <w:spacing w:val="4"/>
          <w:sz w:val="24"/>
          <w:u w:val="single"/>
        </w:rPr>
      </w:pPr>
      <w:r>
        <w:rPr>
          <w:rFonts w:hint="eastAsia" w:cs="宋体"/>
          <w:kern w:val="0"/>
          <w:sz w:val="24"/>
        </w:rPr>
        <w:t>本</w:t>
      </w:r>
      <w:r>
        <w:rPr>
          <w:rFonts w:hint="eastAsia" w:cs="宋体"/>
          <w:spacing w:val="4"/>
          <w:sz w:val="24"/>
        </w:rPr>
        <w:t>公司郑重声明，根据《政府采购促进中小企业发展管理办法》（财库﹝2020﹞46 号）的规定，本公司参加</w:t>
      </w:r>
      <w:r>
        <w:rPr>
          <w:rFonts w:hint="eastAsia" w:cs="宋体"/>
          <w:spacing w:val="4"/>
          <w:sz w:val="24"/>
          <w:u w:val="single"/>
        </w:rPr>
        <w:t xml:space="preserve">             </w:t>
      </w:r>
      <w:r>
        <w:rPr>
          <w:rFonts w:hint="eastAsia" w:cs="宋体"/>
          <w:spacing w:val="4"/>
          <w:sz w:val="24"/>
        </w:rPr>
        <w:t>（单位名称）的</w:t>
      </w:r>
      <w:r>
        <w:rPr>
          <w:rFonts w:hint="eastAsia" w:cs="宋体"/>
          <w:spacing w:val="4"/>
          <w:sz w:val="24"/>
          <w:u w:val="single"/>
        </w:rPr>
        <w:t xml:space="preserve">     </w:t>
      </w:r>
      <w:r>
        <w:rPr>
          <w:rFonts w:hint="eastAsia" w:cs="宋体"/>
          <w:spacing w:val="4"/>
          <w:sz w:val="24"/>
        </w:rPr>
        <w:t>（项目名称）采购活动，提供的货物全部由符合政策要求的中小企业制造。相关企业的具体情况如下：</w:t>
      </w:r>
    </w:p>
    <w:p w14:paraId="3943E494">
      <w:pPr>
        <w:spacing w:line="360" w:lineRule="auto"/>
        <w:ind w:firstLine="496" w:firstLineChars="200"/>
        <w:jc w:val="left"/>
        <w:rPr>
          <w:rFonts w:hint="eastAsia" w:cs="宋体"/>
          <w:spacing w:val="4"/>
          <w:sz w:val="24"/>
        </w:rPr>
      </w:pPr>
      <w:r>
        <w:rPr>
          <w:rFonts w:hint="eastAsia" w:cs="宋体"/>
          <w:spacing w:val="4"/>
          <w:sz w:val="24"/>
        </w:rPr>
        <w:t xml:space="preserve"> 1.</w:t>
      </w:r>
      <w:r>
        <w:rPr>
          <w:rFonts w:hint="eastAsia" w:cs="宋体"/>
          <w:spacing w:val="4"/>
          <w:sz w:val="24"/>
          <w:u w:val="single"/>
        </w:rPr>
        <w:t xml:space="preserve">      （标的名称）    </w:t>
      </w:r>
      <w:r>
        <w:rPr>
          <w:rFonts w:hint="eastAsia" w:cs="宋体"/>
          <w:spacing w:val="4"/>
          <w:sz w:val="24"/>
        </w:rPr>
        <w:t>，属于</w:t>
      </w:r>
      <w:r>
        <w:rPr>
          <w:rFonts w:hint="eastAsia" w:cs="宋体"/>
          <w:spacing w:val="4"/>
          <w:sz w:val="24"/>
          <w:u w:val="single"/>
        </w:rPr>
        <w:t xml:space="preserve">       （采购文件中明确的所属行业） 行业</w:t>
      </w:r>
      <w:r>
        <w:rPr>
          <w:rFonts w:hint="eastAsia" w:cs="宋体"/>
          <w:spacing w:val="4"/>
          <w:sz w:val="24"/>
        </w:rPr>
        <w:t>；制造商为</w:t>
      </w:r>
      <w:r>
        <w:rPr>
          <w:rFonts w:hint="eastAsia" w:cs="宋体"/>
          <w:spacing w:val="4"/>
          <w:sz w:val="24"/>
          <w:u w:val="single"/>
        </w:rPr>
        <w:t xml:space="preserve">    </w:t>
      </w:r>
      <w:r>
        <w:rPr>
          <w:rFonts w:hint="eastAsia" w:cs="宋体"/>
          <w:spacing w:val="4"/>
          <w:sz w:val="24"/>
        </w:rPr>
        <w:t>（企业名称），从业人员</w:t>
      </w:r>
      <w:r>
        <w:rPr>
          <w:rFonts w:hint="eastAsia" w:cs="宋体"/>
          <w:spacing w:val="4"/>
          <w:sz w:val="24"/>
          <w:u w:val="single"/>
        </w:rPr>
        <w:t xml:space="preserve">      </w:t>
      </w:r>
      <w:r>
        <w:rPr>
          <w:rFonts w:hint="eastAsia" w:cs="宋体"/>
          <w:spacing w:val="4"/>
          <w:sz w:val="24"/>
        </w:rPr>
        <w:t>人，营业收入为</w:t>
      </w:r>
      <w:r>
        <w:rPr>
          <w:rFonts w:hint="eastAsia" w:cs="宋体"/>
          <w:spacing w:val="4"/>
          <w:sz w:val="24"/>
          <w:u w:val="single"/>
        </w:rPr>
        <w:t xml:space="preserve">      </w:t>
      </w:r>
      <w:r>
        <w:rPr>
          <w:rFonts w:hint="eastAsia" w:cs="宋体"/>
          <w:spacing w:val="4"/>
          <w:sz w:val="24"/>
        </w:rPr>
        <w:t>万元，资产总额为</w:t>
      </w:r>
      <w:r>
        <w:rPr>
          <w:rFonts w:hint="eastAsia" w:cs="宋体"/>
          <w:spacing w:val="4"/>
          <w:sz w:val="24"/>
          <w:u w:val="single"/>
        </w:rPr>
        <w:t xml:space="preserve">      </w:t>
      </w:r>
      <w:r>
        <w:rPr>
          <w:rFonts w:hint="eastAsia" w:cs="宋体"/>
          <w:spacing w:val="4"/>
          <w:sz w:val="24"/>
        </w:rPr>
        <w:t>万元 ，属于</w:t>
      </w:r>
      <w:r>
        <w:rPr>
          <w:rFonts w:hint="eastAsia" w:cs="宋体"/>
          <w:spacing w:val="4"/>
          <w:sz w:val="24"/>
          <w:u w:val="single"/>
        </w:rPr>
        <w:t xml:space="preserve">      </w:t>
      </w:r>
      <w:r>
        <w:rPr>
          <w:rFonts w:hint="eastAsia" w:cs="宋体"/>
          <w:spacing w:val="4"/>
          <w:sz w:val="24"/>
        </w:rPr>
        <w:t>（中型企业、小型企业、微型企业）；</w:t>
      </w:r>
    </w:p>
    <w:p w14:paraId="7CA4D2D6">
      <w:pPr>
        <w:spacing w:line="360" w:lineRule="auto"/>
        <w:ind w:firstLine="496" w:firstLineChars="200"/>
        <w:jc w:val="left"/>
        <w:rPr>
          <w:rFonts w:hint="eastAsia" w:cs="宋体"/>
          <w:spacing w:val="4"/>
          <w:sz w:val="24"/>
        </w:rPr>
      </w:pPr>
      <w:r>
        <w:rPr>
          <w:rFonts w:hint="eastAsia" w:cs="宋体"/>
          <w:spacing w:val="4"/>
          <w:sz w:val="24"/>
        </w:rPr>
        <w:t xml:space="preserve"> 2.</w:t>
      </w:r>
      <w:r>
        <w:rPr>
          <w:rFonts w:hint="eastAsia" w:cs="宋体"/>
          <w:spacing w:val="4"/>
          <w:sz w:val="24"/>
          <w:u w:val="single"/>
        </w:rPr>
        <w:t xml:space="preserve">      （标的名称）    </w:t>
      </w:r>
      <w:r>
        <w:rPr>
          <w:rFonts w:hint="eastAsia" w:cs="宋体"/>
          <w:spacing w:val="4"/>
          <w:sz w:val="24"/>
        </w:rPr>
        <w:t>，属于</w:t>
      </w:r>
      <w:r>
        <w:rPr>
          <w:rFonts w:hint="eastAsia" w:cs="宋体"/>
          <w:spacing w:val="4"/>
          <w:sz w:val="24"/>
          <w:u w:val="single"/>
        </w:rPr>
        <w:t xml:space="preserve">       （采购文件中明确的所属行业） 行业</w:t>
      </w:r>
      <w:r>
        <w:rPr>
          <w:rFonts w:hint="eastAsia" w:cs="宋体"/>
          <w:spacing w:val="4"/>
          <w:sz w:val="24"/>
        </w:rPr>
        <w:t>；制造商为</w:t>
      </w:r>
      <w:r>
        <w:rPr>
          <w:rFonts w:hint="eastAsia" w:cs="宋体"/>
          <w:spacing w:val="4"/>
          <w:sz w:val="24"/>
          <w:u w:val="single"/>
        </w:rPr>
        <w:t xml:space="preserve">    </w:t>
      </w:r>
      <w:r>
        <w:rPr>
          <w:rFonts w:hint="eastAsia" w:cs="宋体"/>
          <w:spacing w:val="4"/>
          <w:sz w:val="24"/>
        </w:rPr>
        <w:t>（企业名称），从业人员</w:t>
      </w:r>
      <w:r>
        <w:rPr>
          <w:rFonts w:hint="eastAsia" w:cs="宋体"/>
          <w:spacing w:val="4"/>
          <w:sz w:val="24"/>
          <w:u w:val="single"/>
        </w:rPr>
        <w:t xml:space="preserve">      </w:t>
      </w:r>
      <w:r>
        <w:rPr>
          <w:rFonts w:hint="eastAsia" w:cs="宋体"/>
          <w:spacing w:val="4"/>
          <w:sz w:val="24"/>
        </w:rPr>
        <w:t>人，营业收入为</w:t>
      </w:r>
      <w:r>
        <w:rPr>
          <w:rFonts w:hint="eastAsia" w:cs="宋体"/>
          <w:spacing w:val="4"/>
          <w:sz w:val="24"/>
          <w:u w:val="single"/>
        </w:rPr>
        <w:t xml:space="preserve">      </w:t>
      </w:r>
      <w:r>
        <w:rPr>
          <w:rFonts w:hint="eastAsia" w:cs="宋体"/>
          <w:spacing w:val="4"/>
          <w:sz w:val="24"/>
        </w:rPr>
        <w:t>万元，资产总额为</w:t>
      </w:r>
      <w:r>
        <w:rPr>
          <w:rFonts w:hint="eastAsia" w:cs="宋体"/>
          <w:spacing w:val="4"/>
          <w:sz w:val="24"/>
          <w:u w:val="single"/>
        </w:rPr>
        <w:t xml:space="preserve">      </w:t>
      </w:r>
      <w:r>
        <w:rPr>
          <w:rFonts w:hint="eastAsia" w:cs="宋体"/>
          <w:spacing w:val="4"/>
          <w:sz w:val="24"/>
        </w:rPr>
        <w:t>万元 ，属于</w:t>
      </w:r>
      <w:r>
        <w:rPr>
          <w:rFonts w:hint="eastAsia" w:cs="宋体"/>
          <w:spacing w:val="4"/>
          <w:sz w:val="24"/>
          <w:u w:val="single"/>
        </w:rPr>
        <w:t xml:space="preserve">      </w:t>
      </w:r>
      <w:r>
        <w:rPr>
          <w:rFonts w:hint="eastAsia" w:cs="宋体"/>
          <w:spacing w:val="4"/>
          <w:sz w:val="24"/>
        </w:rPr>
        <w:t>（中型企业、小型企业、微型企业）；</w:t>
      </w:r>
    </w:p>
    <w:p w14:paraId="5A394A1C">
      <w:pPr>
        <w:spacing w:line="360" w:lineRule="auto"/>
        <w:ind w:firstLine="496" w:firstLineChars="200"/>
        <w:jc w:val="left"/>
        <w:rPr>
          <w:rFonts w:hint="eastAsia" w:cs="宋体"/>
          <w:spacing w:val="4"/>
          <w:sz w:val="24"/>
        </w:rPr>
      </w:pPr>
      <w:r>
        <w:rPr>
          <w:rFonts w:hint="eastAsia" w:cs="宋体"/>
          <w:spacing w:val="4"/>
          <w:sz w:val="24"/>
        </w:rPr>
        <w:t>……  ……</w:t>
      </w:r>
    </w:p>
    <w:p w14:paraId="62DD0370">
      <w:pPr>
        <w:spacing w:line="360" w:lineRule="auto"/>
        <w:ind w:firstLine="496" w:firstLineChars="200"/>
        <w:jc w:val="left"/>
        <w:rPr>
          <w:rFonts w:hint="eastAsia" w:cs="宋体"/>
          <w:spacing w:val="4"/>
          <w:sz w:val="24"/>
        </w:rPr>
      </w:pPr>
      <w:r>
        <w:rPr>
          <w:rFonts w:hint="eastAsia" w:cs="宋体"/>
          <w:spacing w:val="4"/>
          <w:sz w:val="24"/>
        </w:rPr>
        <w:t xml:space="preserve">以上企业，不属于大企业的分支机构，不存在控股股东为大企业的情形，也不存在与大企业的负责人为同一人的情形。 </w:t>
      </w:r>
    </w:p>
    <w:p w14:paraId="53D9D5C6">
      <w:pPr>
        <w:spacing w:line="360" w:lineRule="auto"/>
        <w:ind w:firstLine="496" w:firstLineChars="200"/>
        <w:jc w:val="left"/>
        <w:rPr>
          <w:rFonts w:hint="eastAsia" w:cs="宋体"/>
          <w:spacing w:val="4"/>
          <w:sz w:val="24"/>
        </w:rPr>
      </w:pPr>
      <w:r>
        <w:rPr>
          <w:rFonts w:hint="eastAsia" w:cs="宋体"/>
          <w:spacing w:val="4"/>
          <w:sz w:val="24"/>
        </w:rPr>
        <w:t>本企业对上述声明内容的真实性负责。如有虚假，将依法承担相应责任。</w:t>
      </w:r>
    </w:p>
    <w:p w14:paraId="66EAF0F5">
      <w:pPr>
        <w:spacing w:line="360" w:lineRule="auto"/>
        <w:ind w:firstLine="480" w:firstLineChars="200"/>
        <w:jc w:val="left"/>
        <w:rPr>
          <w:rFonts w:hint="eastAsia" w:cs="宋体"/>
          <w:sz w:val="24"/>
          <w:szCs w:val="21"/>
        </w:rPr>
      </w:pPr>
    </w:p>
    <w:p w14:paraId="5E2AD3A6">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2C066FAE">
      <w:pPr>
        <w:spacing w:line="360" w:lineRule="auto"/>
        <w:ind w:firstLine="480" w:firstLineChars="200"/>
        <w:rPr>
          <w:rFonts w:hint="eastAsia" w:cs="宋体"/>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0DF74107">
      <w:pPr>
        <w:spacing w:line="360" w:lineRule="auto"/>
        <w:jc w:val="left"/>
        <w:rPr>
          <w:rFonts w:hint="eastAsia" w:cs="宋体"/>
          <w:szCs w:val="21"/>
        </w:rPr>
      </w:pPr>
    </w:p>
    <w:p w14:paraId="618662B6">
      <w:pPr>
        <w:spacing w:line="360" w:lineRule="auto"/>
        <w:ind w:firstLine="420" w:firstLineChars="200"/>
        <w:jc w:val="left"/>
        <w:rPr>
          <w:rFonts w:hint="eastAsia" w:cs="宋体"/>
          <w:bCs/>
          <w:szCs w:val="21"/>
        </w:rPr>
      </w:pPr>
      <w:r>
        <w:rPr>
          <w:rFonts w:hint="eastAsia" w:cs="宋体"/>
          <w:szCs w:val="21"/>
        </w:rPr>
        <w:t>从业人员、营业收入、资产总额填报上一年度数据，无上一年度数据的新成立企业可不填报。</w:t>
      </w:r>
    </w:p>
    <w:p w14:paraId="7B85D0A8">
      <w:pPr>
        <w:widowControl/>
        <w:spacing w:line="360" w:lineRule="auto"/>
        <w:ind w:firstLine="6480" w:firstLineChars="2700"/>
        <w:rPr>
          <w:rFonts w:hint="eastAsia" w:cs="宋体"/>
          <w:sz w:val="24"/>
        </w:rPr>
      </w:pPr>
    </w:p>
    <w:p w14:paraId="57A2B67D">
      <w:pPr>
        <w:pStyle w:val="11"/>
        <w:spacing w:line="360" w:lineRule="auto"/>
        <w:rPr>
          <w:rFonts w:hint="eastAsia" w:cs="宋体"/>
        </w:rPr>
      </w:pPr>
    </w:p>
    <w:p w14:paraId="183FC430">
      <w:pPr>
        <w:spacing w:line="360" w:lineRule="auto"/>
        <w:rPr>
          <w:rFonts w:hint="eastAsia" w:cs="宋体"/>
          <w:spacing w:val="6"/>
          <w:sz w:val="28"/>
        </w:rPr>
      </w:pPr>
      <w:bookmarkStart w:id="369" w:name="_Toc11951"/>
      <w:bookmarkStart w:id="370" w:name="_Toc1907"/>
      <w:bookmarkStart w:id="371" w:name="_Toc16337"/>
      <w:bookmarkStart w:id="372" w:name="_Toc2623"/>
      <w:bookmarkStart w:id="373" w:name="_Toc21209"/>
      <w:r>
        <w:rPr>
          <w:rFonts w:hint="eastAsia" w:cs="宋体"/>
          <w:spacing w:val="6"/>
          <w:sz w:val="28"/>
        </w:rPr>
        <w:br w:type="page"/>
      </w:r>
    </w:p>
    <w:p w14:paraId="615612B1">
      <w:pPr>
        <w:pStyle w:val="6"/>
        <w:numPr>
          <w:ilvl w:val="1"/>
          <w:numId w:val="0"/>
        </w:numPr>
        <w:tabs>
          <w:tab w:val="clear" w:pos="596"/>
        </w:tabs>
        <w:ind w:left="596" w:hanging="596"/>
        <w:jc w:val="center"/>
        <w:rPr>
          <w:rFonts w:hint="eastAsia" w:eastAsia="宋体" w:cs="宋体"/>
        </w:rPr>
      </w:pPr>
      <w:bookmarkStart w:id="374" w:name="_Toc22504"/>
      <w:r>
        <w:rPr>
          <w:rFonts w:hint="eastAsia" w:eastAsia="宋体" w:cs="宋体"/>
          <w:spacing w:val="6"/>
        </w:rPr>
        <w:t>附件二：残疾人福利性单位声明函（按需提供）</w:t>
      </w:r>
      <w:bookmarkEnd w:id="369"/>
      <w:bookmarkEnd w:id="370"/>
      <w:bookmarkEnd w:id="371"/>
      <w:bookmarkEnd w:id="372"/>
      <w:bookmarkEnd w:id="373"/>
      <w:bookmarkEnd w:id="374"/>
    </w:p>
    <w:p w14:paraId="3E18056A">
      <w:pPr>
        <w:pStyle w:val="19"/>
        <w:spacing w:line="360" w:lineRule="auto"/>
        <w:ind w:firstLine="240"/>
        <w:rPr>
          <w:rFonts w:hint="eastAsia" w:cs="宋体"/>
          <w:sz w:val="24"/>
        </w:rPr>
      </w:pPr>
    </w:p>
    <w:p w14:paraId="3A9489AD">
      <w:pPr>
        <w:pStyle w:val="19"/>
        <w:spacing w:line="360" w:lineRule="auto"/>
        <w:ind w:firstLine="480" w:firstLineChars="200"/>
        <w:jc w:val="left"/>
        <w:rPr>
          <w:rFonts w:hint="eastAsia" w:cs="宋体"/>
          <w:sz w:val="24"/>
        </w:rPr>
      </w:pPr>
      <w:r>
        <w:rPr>
          <w:rFonts w:hint="eastAsia" w:cs="宋体"/>
          <w:sz w:val="24"/>
        </w:rPr>
        <w:t>本单位郑重声明，根据《财政部民政部中国残疾人联合会关于促进残疾人就业政府采购政策的通知》（财库〔2017〕141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F728757">
      <w:pPr>
        <w:pStyle w:val="19"/>
        <w:spacing w:line="360" w:lineRule="auto"/>
        <w:ind w:firstLine="480" w:firstLineChars="200"/>
        <w:jc w:val="left"/>
        <w:rPr>
          <w:rFonts w:hint="eastAsia" w:cs="宋体"/>
          <w:sz w:val="24"/>
        </w:rPr>
      </w:pPr>
      <w:r>
        <w:rPr>
          <w:rFonts w:hint="eastAsia" w:cs="宋体"/>
          <w:sz w:val="24"/>
        </w:rPr>
        <w:t>本单位对上述声明的真实性负责。如有虚假，将依法承担相应责任。</w:t>
      </w:r>
    </w:p>
    <w:p w14:paraId="17BEF81D">
      <w:pPr>
        <w:pStyle w:val="19"/>
        <w:spacing w:line="360" w:lineRule="auto"/>
        <w:ind w:firstLine="480" w:firstLineChars="200"/>
        <w:jc w:val="left"/>
        <w:rPr>
          <w:rFonts w:hint="eastAsia" w:cs="宋体"/>
          <w:sz w:val="24"/>
        </w:rPr>
      </w:pPr>
    </w:p>
    <w:p w14:paraId="14412C68">
      <w:pPr>
        <w:pStyle w:val="19"/>
        <w:spacing w:line="360" w:lineRule="auto"/>
        <w:ind w:firstLine="480" w:firstLineChars="200"/>
        <w:jc w:val="left"/>
        <w:rPr>
          <w:rFonts w:hint="eastAsia" w:cs="宋体"/>
          <w:sz w:val="24"/>
        </w:rPr>
      </w:pPr>
    </w:p>
    <w:p w14:paraId="23514A47">
      <w:pPr>
        <w:pStyle w:val="19"/>
        <w:spacing w:line="360" w:lineRule="auto"/>
        <w:ind w:firstLine="480" w:firstLineChars="200"/>
        <w:jc w:val="left"/>
        <w:rPr>
          <w:rFonts w:hint="eastAsia" w:cs="宋体"/>
          <w:sz w:val="24"/>
        </w:rPr>
      </w:pPr>
    </w:p>
    <w:p w14:paraId="009B5DFD">
      <w:pPr>
        <w:pStyle w:val="19"/>
        <w:spacing w:line="360" w:lineRule="auto"/>
        <w:ind w:firstLine="480" w:firstLineChars="200"/>
        <w:jc w:val="left"/>
        <w:rPr>
          <w:rFonts w:hint="eastAsia" w:cs="宋体"/>
          <w:sz w:val="24"/>
        </w:rPr>
      </w:pPr>
    </w:p>
    <w:p w14:paraId="63715E5E">
      <w:pPr>
        <w:pStyle w:val="19"/>
        <w:spacing w:line="360" w:lineRule="auto"/>
        <w:ind w:firstLine="480" w:firstLineChars="200"/>
        <w:rPr>
          <w:rFonts w:hint="eastAsia" w:cs="宋体"/>
          <w:sz w:val="24"/>
          <w:szCs w:val="24"/>
        </w:rPr>
      </w:pPr>
      <w:r>
        <w:rPr>
          <w:rFonts w:hint="eastAsia" w:cs="宋体"/>
          <w:sz w:val="24"/>
          <w:szCs w:val="24"/>
        </w:rPr>
        <w:t>投标人：</w:t>
      </w:r>
      <w:r>
        <w:rPr>
          <w:rFonts w:hint="eastAsia" w:cs="宋体"/>
          <w:sz w:val="24"/>
          <w:szCs w:val="24"/>
          <w:u w:val="single"/>
        </w:rPr>
        <w:t xml:space="preserve">                     </w:t>
      </w:r>
      <w:r>
        <w:rPr>
          <w:rFonts w:hint="eastAsia" w:cs="宋体"/>
          <w:sz w:val="24"/>
          <w:szCs w:val="24"/>
        </w:rPr>
        <w:t>（</w:t>
      </w:r>
      <w:r>
        <w:rPr>
          <w:rFonts w:hint="eastAsia" w:cs="宋体"/>
          <w:sz w:val="24"/>
        </w:rPr>
        <w:t>电子签章</w:t>
      </w:r>
      <w:r>
        <w:rPr>
          <w:rFonts w:hint="eastAsia" w:cs="宋体"/>
          <w:sz w:val="24"/>
          <w:szCs w:val="24"/>
        </w:rPr>
        <w:t>）</w:t>
      </w:r>
    </w:p>
    <w:p w14:paraId="0F3E237B">
      <w:pPr>
        <w:spacing w:line="360" w:lineRule="auto"/>
        <w:ind w:firstLine="480" w:firstLineChars="200"/>
        <w:rPr>
          <w:rFonts w:hint="eastAsia" w:cs="宋体"/>
        </w:rPr>
      </w:pPr>
      <w:r>
        <w:rPr>
          <w:rFonts w:hint="eastAsia" w:cs="宋体"/>
          <w:sz w:val="24"/>
        </w:rPr>
        <w:t>日期：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5DE3D0C4">
      <w:pPr>
        <w:spacing w:line="360" w:lineRule="auto"/>
        <w:ind w:firstLine="480" w:firstLineChars="200"/>
        <w:rPr>
          <w:rFonts w:hint="eastAsia" w:cs="宋体"/>
          <w:sz w:val="24"/>
        </w:rPr>
      </w:pPr>
    </w:p>
    <w:p w14:paraId="07CCDA0E">
      <w:pPr>
        <w:spacing w:line="360" w:lineRule="auto"/>
        <w:ind w:firstLine="480" w:firstLineChars="200"/>
        <w:rPr>
          <w:rFonts w:hint="eastAsia" w:cs="宋体"/>
          <w:sz w:val="24"/>
        </w:rPr>
      </w:pPr>
    </w:p>
    <w:p w14:paraId="58D5FF4F">
      <w:pPr>
        <w:spacing w:line="360" w:lineRule="auto"/>
        <w:ind w:firstLine="480" w:firstLineChars="200"/>
        <w:rPr>
          <w:rFonts w:hint="eastAsia" w:cs="宋体"/>
          <w:sz w:val="24"/>
        </w:rPr>
      </w:pPr>
    </w:p>
    <w:p w14:paraId="24B06AB1">
      <w:pPr>
        <w:spacing w:line="360" w:lineRule="auto"/>
        <w:ind w:firstLine="480" w:firstLineChars="200"/>
        <w:rPr>
          <w:rFonts w:hint="eastAsia" w:cs="宋体"/>
          <w:sz w:val="24"/>
        </w:rPr>
      </w:pPr>
    </w:p>
    <w:p w14:paraId="1EF9DED8">
      <w:pPr>
        <w:spacing w:line="360" w:lineRule="auto"/>
        <w:jc w:val="left"/>
        <w:rPr>
          <w:rFonts w:hint="eastAsia" w:cs="宋体"/>
          <w:sz w:val="24"/>
        </w:rPr>
      </w:pPr>
    </w:p>
    <w:p w14:paraId="72E6D670">
      <w:pPr>
        <w:spacing w:line="360" w:lineRule="auto"/>
        <w:rPr>
          <w:rFonts w:hint="eastAsia" w:cs="宋体"/>
          <w:spacing w:val="6"/>
          <w:sz w:val="28"/>
        </w:rPr>
      </w:pPr>
      <w:bookmarkStart w:id="375" w:name="_Toc5047"/>
      <w:r>
        <w:rPr>
          <w:rFonts w:hint="eastAsia" w:cs="宋体"/>
          <w:spacing w:val="6"/>
          <w:sz w:val="28"/>
        </w:rPr>
        <w:br w:type="page"/>
      </w:r>
    </w:p>
    <w:p w14:paraId="1CBD7BF4">
      <w:pPr>
        <w:pStyle w:val="6"/>
        <w:numPr>
          <w:ilvl w:val="1"/>
          <w:numId w:val="0"/>
        </w:numPr>
        <w:spacing w:before="0"/>
        <w:jc w:val="center"/>
        <w:rPr>
          <w:rFonts w:hint="eastAsia" w:eastAsia="宋体" w:cs="宋体"/>
        </w:rPr>
      </w:pPr>
      <w:bookmarkStart w:id="376" w:name="_Toc12083"/>
      <w:bookmarkStart w:id="377" w:name="_Toc6492"/>
      <w:bookmarkStart w:id="378" w:name="_Toc7876"/>
      <w:r>
        <w:rPr>
          <w:rFonts w:hint="eastAsia" w:eastAsia="宋体" w:cs="宋体"/>
          <w:spacing w:val="6"/>
        </w:rPr>
        <w:t>附件三：监狱企业证明文件（按需提供）</w:t>
      </w:r>
      <w:bookmarkEnd w:id="375"/>
      <w:bookmarkEnd w:id="376"/>
      <w:bookmarkEnd w:id="377"/>
      <w:bookmarkEnd w:id="378"/>
    </w:p>
    <w:p w14:paraId="2C48FD75">
      <w:pPr>
        <w:spacing w:line="360" w:lineRule="auto"/>
        <w:ind w:firstLine="480" w:firstLineChars="200"/>
        <w:jc w:val="left"/>
        <w:rPr>
          <w:rFonts w:hint="eastAsia" w:cs="宋体"/>
          <w:sz w:val="24"/>
        </w:rPr>
      </w:pPr>
      <w:r>
        <w:rPr>
          <w:rFonts w:hint="eastAsia"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3045BA">
      <w:pPr>
        <w:spacing w:line="360" w:lineRule="auto"/>
        <w:ind w:firstLine="360" w:firstLineChars="150"/>
        <w:jc w:val="left"/>
        <w:rPr>
          <w:rFonts w:hint="eastAsia" w:cs="宋体"/>
          <w:szCs w:val="21"/>
        </w:rPr>
      </w:pPr>
      <w:r>
        <w:rPr>
          <w:rFonts w:hint="eastAsia" w:cs="宋体"/>
          <w:sz w:val="24"/>
        </w:rPr>
        <w:t>监狱企业参加政府采购活动时，应当提供由省级以上监狱管理局、戒毒管理局（含新疆生产建设兵团）出具的属于监狱企业的证明文件。</w:t>
      </w:r>
    </w:p>
    <w:p w14:paraId="61EFAA57">
      <w:pPr>
        <w:spacing w:line="360" w:lineRule="auto"/>
        <w:jc w:val="center"/>
        <w:rPr>
          <w:rFonts w:hint="eastAsia" w:cs="宋体"/>
          <w:sz w:val="24"/>
        </w:rPr>
      </w:pPr>
      <w:r>
        <w:rPr>
          <w:rFonts w:hint="eastAsia" w:cs="宋体"/>
          <w:spacing w:val="6"/>
          <w:sz w:val="24"/>
        </w:rPr>
        <w:t>（注：不属于的无需提供）</w:t>
      </w:r>
    </w:p>
    <w:sectPr>
      <w:footerReference r:id="rId12" w:type="default"/>
      <w:pgSz w:w="11906" w:h="16838"/>
      <w:pgMar w:top="1247" w:right="1247" w:bottom="1247" w:left="1247" w:header="907" w:footer="737"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00" w:usb3="00000000" w:csb0="00040000" w:csb1="00000000"/>
  </w:font>
  <w:font w:name="金山简黑体">
    <w:altName w:val="黑体"/>
    <w:panose1 w:val="00000000000000000000"/>
    <w:charset w:val="86"/>
    <w:family w:val="modern"/>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Arial Unicode MS">
    <w:altName w:val="Arial"/>
    <w:panose1 w:val="020B0604020202020204"/>
    <w:charset w:val="00"/>
    <w:family w:val="roman"/>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方正小标宋_GBK">
    <w:altName w:val="微软雅黑"/>
    <w:panose1 w:val="00000000000000000000"/>
    <w:charset w:val="86"/>
    <w:family w:val="script"/>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20B71">
    <w:pPr>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D01B4D">
                          <w:pPr>
                            <w:pStyle w:val="24"/>
                            <w:rPr>
                              <w:rFonts w:hint="eastAsia"/>
                            </w:rP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7D01B4D">
                    <w:pPr>
                      <w:pStyle w:val="24"/>
                      <w:rPr>
                        <w:rFonts w:hint="eastAsia"/>
                      </w:rP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14CDA161">
    <w:pPr>
      <w:pStyle w:val="135"/>
      <w:ind w:right="9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D1DBA">
    <w:pPr>
      <w:pStyle w:val="135"/>
      <w:ind w:right="360"/>
      <w:rPr>
        <w:rFonts w:hint="eastAsia"/>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190C00E8">
                          <w:pPr>
                            <w:rPr>
                              <w:rFonts w:hint="eastAsia"/>
                            </w:rPr>
                          </w:pP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HJ6rQP+AQAADgQAAA4AAABkcnMvZTJvRG9jLnhtbK1TTW/bMAy9D9h/&#10;EHRfnBhYMhhxirZBhgHdB9DuByiybAuzRIFSYme/fpRsZ1136aEXgaLIR75HanszmI6dFXoNtuSr&#10;xZIzZSVU2jYl//l0+PCJMx+ErUQHVpX8ojy/2b1/t+1doXJooasUMgKxvuhdydsQXJFlXrbKCL8A&#10;pyw91oBGBLpik1UoekI3XZYvl+usB6wcglTek3c/PvIJEV8DCHWtpdqDPBllw4iKqhOBKPlWO893&#10;qdu6VjJ8r2uvAutKTkxDOqkI2cd4ZrutKBoUrtVyakG8poUXnIzQlopeofYiCHZC/R+U0RLBQx0W&#10;Ekw2EkmKEIvV8oU2j61wKnEhqb27iu7fDlZ+O/9ApquS55xZYWjgT2oI7A4Gtorq9M4XFPToKCwM&#10;5KadSUy9ewD5yzML962wjbpFhL5VoqLuUmb2LHXE8RHk2H+FisqIU4AENNRoonQkBiN0mszlOpnY&#10;iiTner3efORM0stqk2/yNLhMFHOuQx8+KzAsGiVHmnvCFucHH4gFhc4hsZSFg+66NPvO/uOgwNGj&#10;0vJM2ZFJbH6kEYbjMClzhOpCnBDGxaJvRUYL+Juznpaq5Jb+EGfdF0uqxP2bDZyN42wIKymx5IGz&#10;0bwP456eHOqmJdxZ91tS7qATrdjY2ANxjBdak8R2Wum4h8/vKervN9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dNXvrQAAAAAwEAAA8AAAAAAAAAAQAgAAAAIgAAAGRycy9kb3ducmV2LnhtbFBL&#10;AQIUABQAAAAIAIdO4kByeq0D/gEAAA4EAAAOAAAAAAAAAAEAIAAAAB8BAABkcnMvZTJvRG9jLnht&#10;bFBLBQYAAAAABgAGAFkBAACPBQAAAAA=&#10;">
              <v:fill on="f" focussize="0,0"/>
              <v:stroke on="f"/>
              <v:imagedata o:title=""/>
              <o:lock v:ext="edit" aspectratio="f"/>
              <v:textbox inset="0mm,0mm,0mm,0mm" style="mso-fit-shape-to-text:t;">
                <w:txbxContent>
                  <w:p w14:paraId="190C00E8">
                    <w:pPr>
                      <w:rPr>
                        <w:rFonts w:hint="eastAsia"/>
                      </w:rPr>
                    </w:pP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0D02C">
    <w:pPr>
      <w:pStyle w:val="135"/>
      <w:jc w:val="center"/>
      <w:rPr>
        <w:rFonts w:hint="eastAsia"/>
      </w:rPr>
    </w:pPr>
    <w:r>
      <w:fldChar w:fldCharType="begin"/>
    </w:r>
    <w:r>
      <w:instrText xml:space="preserve">PAGE   \* MERGEFORMAT</w:instrText>
    </w:r>
    <w:r>
      <w:fldChar w:fldCharType="separate"/>
    </w:r>
    <w:r>
      <w:rPr>
        <w:lang w:val="zh-CN"/>
      </w:rPr>
      <w:t>55</w:t>
    </w:r>
    <w:r>
      <w:rPr>
        <w:lang w:val="zh-CN"/>
      </w:rPr>
      <w:fldChar w:fldCharType="end"/>
    </w:r>
  </w:p>
  <w:p w14:paraId="224F1D2D">
    <w:pPr>
      <w:pStyle w:val="135"/>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7BCA2">
    <w:pPr>
      <w:rPr>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5AF4D">
                          <w:pPr>
                            <w:pStyle w:val="24"/>
                            <w:rPr>
                              <w:rFonts w:hint="eastAsia"/>
                            </w:rPr>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1A5AF4D">
                    <w:pPr>
                      <w:pStyle w:val="24"/>
                      <w:rPr>
                        <w:rFonts w:hint="eastAsia"/>
                      </w:rPr>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3C2A4">
    <w:pPr>
      <w:pStyle w:val="3"/>
      <w:spacing w:line="189" w:lineRule="auto"/>
      <w:ind w:left="371"/>
      <w:rPr>
        <w:rFonts w:hint="eastAsia"/>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A80D6A">
                          <w:pPr>
                            <w:pStyle w:val="24"/>
                            <w:rPr>
                              <w:rFonts w:hint="eastAsia"/>
                            </w:rPr>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BA80D6A">
                    <w:pPr>
                      <w:pStyle w:val="24"/>
                      <w:rPr>
                        <w:rFonts w:hint="eastAsia"/>
                      </w:rPr>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A9E3A">
    <w:pPr>
      <w:pStyle w:val="3"/>
      <w:spacing w:line="189" w:lineRule="auto"/>
      <w:ind w:left="371"/>
      <w:rPr>
        <w:rFonts w:hint="eastAsia"/>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14FEFD">
                          <w:pPr>
                            <w:pStyle w:val="24"/>
                            <w:rPr>
                              <w:rFonts w:hint="eastAsia"/>
                            </w:rPr>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214FEFD">
                    <w:pPr>
                      <w:pStyle w:val="24"/>
                      <w:rPr>
                        <w:rFonts w:hint="eastAsia"/>
                      </w:rPr>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39655">
    <w:pPr>
      <w:pStyle w:val="3"/>
      <w:spacing w:line="188" w:lineRule="auto"/>
      <w:ind w:left="372"/>
      <w:rPr>
        <w:rFonts w:hint="eastAsia"/>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DCBDF">
                          <w:pPr>
                            <w:pStyle w:val="24"/>
                            <w:rPr>
                              <w:rFonts w:hint="eastAsia"/>
                            </w:rPr>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0AFDCBDF">
                    <w:pPr>
                      <w:pStyle w:val="24"/>
                      <w:rPr>
                        <w:rFonts w:hint="eastAsia"/>
                      </w:rPr>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C9CB3">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55BBC">
    <w:pPr>
      <w:pStyle w:val="25"/>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53717">
    <w:pPr>
      <w:pStyle w:val="2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98AFF"/>
    <w:multiLevelType w:val="singleLevel"/>
    <w:tmpl w:val="85D98AFF"/>
    <w:lvl w:ilvl="0" w:tentative="0">
      <w:start w:val="1"/>
      <w:numFmt w:val="decimal"/>
      <w:suff w:val="nothing"/>
      <w:lvlText w:val="%1、"/>
      <w:lvlJc w:val="left"/>
    </w:lvl>
  </w:abstractNum>
  <w:abstractNum w:abstractNumId="1">
    <w:nsid w:val="E1ECA866"/>
    <w:multiLevelType w:val="singleLevel"/>
    <w:tmpl w:val="E1ECA866"/>
    <w:lvl w:ilvl="0" w:tentative="0">
      <w:start w:val="7"/>
      <w:numFmt w:val="decimal"/>
      <w:lvlText w:val="%1."/>
      <w:lvlJc w:val="left"/>
      <w:pPr>
        <w:tabs>
          <w:tab w:val="left" w:pos="312"/>
        </w:tabs>
      </w:pPr>
    </w:lvl>
  </w:abstractNum>
  <w:abstractNum w:abstractNumId="2">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9"/>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3">
    <w:nsid w:val="0315620E"/>
    <w:multiLevelType w:val="multilevel"/>
    <w:tmpl w:val="0315620E"/>
    <w:lvl w:ilvl="0" w:tentative="0">
      <w:start w:val="1"/>
      <w:numFmt w:val="decimal"/>
      <w:pStyle w:val="5"/>
      <w:lvlText w:val="%1"/>
      <w:lvlJc w:val="left"/>
      <w:pPr>
        <w:tabs>
          <w:tab w:val="left" w:pos="360"/>
        </w:tabs>
        <w:ind w:left="284" w:hanging="284"/>
      </w:pPr>
      <w:rPr>
        <w:rFonts w:hint="default" w:ascii="Times New Roman" w:hAnsi="Times New Roman"/>
        <w:b/>
        <w:i w:val="0"/>
        <w:sz w:val="28"/>
      </w:rPr>
    </w:lvl>
    <w:lvl w:ilvl="1" w:tentative="0">
      <w:start w:val="1"/>
      <w:numFmt w:val="decimal"/>
      <w:pStyle w:val="6"/>
      <w:lvlText w:val="%1.%2"/>
      <w:lvlJc w:val="left"/>
      <w:pPr>
        <w:tabs>
          <w:tab w:val="left" w:pos="596"/>
        </w:tabs>
        <w:ind w:left="596" w:hanging="596"/>
      </w:pPr>
      <w:rPr>
        <w:rFonts w:hint="default" w:ascii="Times New Roman" w:hAnsi="Times New Roman"/>
        <w:b/>
        <w:i w:val="0"/>
        <w:sz w:val="28"/>
      </w:rPr>
    </w:lvl>
    <w:lvl w:ilvl="2" w:tentative="0">
      <w:start w:val="1"/>
      <w:numFmt w:val="decimal"/>
      <w:pStyle w:val="7"/>
      <w:lvlText w:val="%1.%2.%3"/>
      <w:lvlJc w:val="left"/>
      <w:pPr>
        <w:tabs>
          <w:tab w:val="left" w:pos="1588"/>
        </w:tabs>
        <w:ind w:left="1588" w:hanging="737"/>
      </w:pPr>
      <w:rPr>
        <w:rFonts w:hint="default" w:ascii="Times New Roman" w:hAnsi="Times New Roman"/>
        <w:b/>
        <w:i w:val="0"/>
        <w:sz w:val="24"/>
      </w:rPr>
    </w:lvl>
    <w:lvl w:ilvl="3" w:tentative="0">
      <w:start w:val="1"/>
      <w:numFmt w:val="decimal"/>
      <w:pStyle w:val="8"/>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97907D7"/>
    <w:multiLevelType w:val="multilevel"/>
    <w:tmpl w:val="097907D7"/>
    <w:lvl w:ilvl="0" w:tentative="0">
      <w:start w:val="1"/>
      <w:numFmt w:val="decimal"/>
      <w:pStyle w:val="196"/>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4C46DC3"/>
    <w:multiLevelType w:val="singleLevel"/>
    <w:tmpl w:val="14C46DC3"/>
    <w:lvl w:ilvl="0" w:tentative="0">
      <w:start w:val="6"/>
      <w:numFmt w:val="decimal"/>
      <w:lvlText w:val="%1."/>
      <w:lvlJc w:val="left"/>
      <w:pPr>
        <w:tabs>
          <w:tab w:val="left" w:pos="312"/>
        </w:tabs>
      </w:pPr>
    </w:lvl>
  </w:abstractNum>
  <w:abstractNum w:abstractNumId="6">
    <w:nsid w:val="1666122C"/>
    <w:multiLevelType w:val="singleLevel"/>
    <w:tmpl w:val="1666122C"/>
    <w:lvl w:ilvl="0" w:tentative="0">
      <w:start w:val="7"/>
      <w:numFmt w:val="chineseCounting"/>
      <w:suff w:val="space"/>
      <w:lvlText w:val="第%1章"/>
      <w:lvlJc w:val="left"/>
      <w:rPr>
        <w:rFonts w:hint="eastAsia"/>
      </w:rPr>
    </w:lvl>
  </w:abstractNum>
  <w:abstractNum w:abstractNumId="7">
    <w:nsid w:val="3FA481AC"/>
    <w:multiLevelType w:val="singleLevel"/>
    <w:tmpl w:val="3FA481AC"/>
    <w:lvl w:ilvl="0" w:tentative="0">
      <w:start w:val="1"/>
      <w:numFmt w:val="decimal"/>
      <w:suff w:val="nothing"/>
      <w:lvlText w:val="%1、"/>
      <w:lvlJc w:val="left"/>
    </w:lvl>
  </w:abstractNum>
  <w:abstractNum w:abstractNumId="8">
    <w:nsid w:val="5A51101F"/>
    <w:multiLevelType w:val="multilevel"/>
    <w:tmpl w:val="5A51101F"/>
    <w:lvl w:ilvl="0" w:tentative="0">
      <w:start w:val="1"/>
      <w:numFmt w:val="japaneseCounting"/>
      <w:lvlText w:val="第%1章"/>
      <w:lvlJc w:val="left"/>
      <w:pPr>
        <w:ind w:left="1260" w:hanging="12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3852405"/>
    <w:multiLevelType w:val="multilevel"/>
    <w:tmpl w:val="63852405"/>
    <w:lvl w:ilvl="0" w:tentative="0">
      <w:start w:val="1"/>
      <w:numFmt w:val="decimal"/>
      <w:pStyle w:val="172"/>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3"/>
  </w:num>
  <w:num w:numId="2">
    <w:abstractNumId w:val="2"/>
  </w:num>
  <w:num w:numId="3">
    <w:abstractNumId w:val="9"/>
  </w:num>
  <w:num w:numId="4">
    <w:abstractNumId w:val="4"/>
  </w:num>
  <w:num w:numId="5">
    <w:abstractNumId w:val="8"/>
  </w:num>
  <w:num w:numId="6">
    <w:abstractNumId w:val="5"/>
  </w:num>
  <w:num w:numId="7">
    <w:abstractNumId w:val="1"/>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00A21078"/>
    <w:rsid w:val="00000416"/>
    <w:rsid w:val="00001920"/>
    <w:rsid w:val="00001932"/>
    <w:rsid w:val="0000241B"/>
    <w:rsid w:val="0000291B"/>
    <w:rsid w:val="00002B38"/>
    <w:rsid w:val="00003547"/>
    <w:rsid w:val="00003C4D"/>
    <w:rsid w:val="00003FD6"/>
    <w:rsid w:val="0000405C"/>
    <w:rsid w:val="00004374"/>
    <w:rsid w:val="00004EAB"/>
    <w:rsid w:val="00004EFD"/>
    <w:rsid w:val="000054BE"/>
    <w:rsid w:val="00005E4E"/>
    <w:rsid w:val="00007097"/>
    <w:rsid w:val="00007211"/>
    <w:rsid w:val="000072A0"/>
    <w:rsid w:val="00007846"/>
    <w:rsid w:val="00007A2A"/>
    <w:rsid w:val="00007F83"/>
    <w:rsid w:val="00010154"/>
    <w:rsid w:val="000101A8"/>
    <w:rsid w:val="000105AA"/>
    <w:rsid w:val="000107A4"/>
    <w:rsid w:val="000111B4"/>
    <w:rsid w:val="0001131E"/>
    <w:rsid w:val="000123A6"/>
    <w:rsid w:val="00012F3D"/>
    <w:rsid w:val="00013E6F"/>
    <w:rsid w:val="00014087"/>
    <w:rsid w:val="00014307"/>
    <w:rsid w:val="0001480F"/>
    <w:rsid w:val="0001575F"/>
    <w:rsid w:val="000161EB"/>
    <w:rsid w:val="000162CB"/>
    <w:rsid w:val="00016892"/>
    <w:rsid w:val="00016A8C"/>
    <w:rsid w:val="00016CB0"/>
    <w:rsid w:val="00016EBB"/>
    <w:rsid w:val="00017BE9"/>
    <w:rsid w:val="00017C95"/>
    <w:rsid w:val="00017FDA"/>
    <w:rsid w:val="000207FD"/>
    <w:rsid w:val="00020BD0"/>
    <w:rsid w:val="00020F88"/>
    <w:rsid w:val="0002140F"/>
    <w:rsid w:val="00021A39"/>
    <w:rsid w:val="00021B69"/>
    <w:rsid w:val="00021B8C"/>
    <w:rsid w:val="00021DD3"/>
    <w:rsid w:val="00021EC5"/>
    <w:rsid w:val="000223B2"/>
    <w:rsid w:val="0002297D"/>
    <w:rsid w:val="00022B49"/>
    <w:rsid w:val="00022F5E"/>
    <w:rsid w:val="0002497E"/>
    <w:rsid w:val="000253D2"/>
    <w:rsid w:val="0002557B"/>
    <w:rsid w:val="00025E3B"/>
    <w:rsid w:val="00026470"/>
    <w:rsid w:val="0002648E"/>
    <w:rsid w:val="000273FE"/>
    <w:rsid w:val="000274D9"/>
    <w:rsid w:val="000274E3"/>
    <w:rsid w:val="00030BF1"/>
    <w:rsid w:val="00030D67"/>
    <w:rsid w:val="000313A4"/>
    <w:rsid w:val="00031B31"/>
    <w:rsid w:val="000320AF"/>
    <w:rsid w:val="00032A6B"/>
    <w:rsid w:val="00032B7D"/>
    <w:rsid w:val="00032B8C"/>
    <w:rsid w:val="00033506"/>
    <w:rsid w:val="000343CA"/>
    <w:rsid w:val="0003443D"/>
    <w:rsid w:val="00034A12"/>
    <w:rsid w:val="00034E42"/>
    <w:rsid w:val="00035937"/>
    <w:rsid w:val="00035F18"/>
    <w:rsid w:val="000378CA"/>
    <w:rsid w:val="0004067B"/>
    <w:rsid w:val="00040B0F"/>
    <w:rsid w:val="00040DF3"/>
    <w:rsid w:val="00040FFB"/>
    <w:rsid w:val="00041031"/>
    <w:rsid w:val="00041180"/>
    <w:rsid w:val="000413B7"/>
    <w:rsid w:val="00041A62"/>
    <w:rsid w:val="0004218D"/>
    <w:rsid w:val="000421B3"/>
    <w:rsid w:val="000422F0"/>
    <w:rsid w:val="00042498"/>
    <w:rsid w:val="0004267B"/>
    <w:rsid w:val="00042A9E"/>
    <w:rsid w:val="00042E3D"/>
    <w:rsid w:val="00042FFA"/>
    <w:rsid w:val="000430D5"/>
    <w:rsid w:val="00043169"/>
    <w:rsid w:val="0004346B"/>
    <w:rsid w:val="000436A7"/>
    <w:rsid w:val="00043B3F"/>
    <w:rsid w:val="000450DA"/>
    <w:rsid w:val="0004515B"/>
    <w:rsid w:val="00045E5D"/>
    <w:rsid w:val="00045F72"/>
    <w:rsid w:val="00046B40"/>
    <w:rsid w:val="00047F83"/>
    <w:rsid w:val="00050840"/>
    <w:rsid w:val="0005148F"/>
    <w:rsid w:val="00051E14"/>
    <w:rsid w:val="0005226D"/>
    <w:rsid w:val="00052290"/>
    <w:rsid w:val="00052BAA"/>
    <w:rsid w:val="00052BAF"/>
    <w:rsid w:val="000530B8"/>
    <w:rsid w:val="000540E8"/>
    <w:rsid w:val="0005452A"/>
    <w:rsid w:val="000553D1"/>
    <w:rsid w:val="0005650D"/>
    <w:rsid w:val="00057031"/>
    <w:rsid w:val="00057281"/>
    <w:rsid w:val="00057FB5"/>
    <w:rsid w:val="00060901"/>
    <w:rsid w:val="000609A0"/>
    <w:rsid w:val="000611F0"/>
    <w:rsid w:val="000613E7"/>
    <w:rsid w:val="00061672"/>
    <w:rsid w:val="00061682"/>
    <w:rsid w:val="00061EBC"/>
    <w:rsid w:val="00063327"/>
    <w:rsid w:val="00063782"/>
    <w:rsid w:val="00063788"/>
    <w:rsid w:val="00064455"/>
    <w:rsid w:val="00064B5D"/>
    <w:rsid w:val="000659E4"/>
    <w:rsid w:val="00066082"/>
    <w:rsid w:val="000664AA"/>
    <w:rsid w:val="0007142B"/>
    <w:rsid w:val="00071B90"/>
    <w:rsid w:val="00071D5E"/>
    <w:rsid w:val="00072333"/>
    <w:rsid w:val="0007268E"/>
    <w:rsid w:val="0007273A"/>
    <w:rsid w:val="0007290C"/>
    <w:rsid w:val="00072912"/>
    <w:rsid w:val="00072AEC"/>
    <w:rsid w:val="0007302B"/>
    <w:rsid w:val="00073369"/>
    <w:rsid w:val="00073597"/>
    <w:rsid w:val="00073731"/>
    <w:rsid w:val="00073BF5"/>
    <w:rsid w:val="00073D63"/>
    <w:rsid w:val="0007439D"/>
    <w:rsid w:val="00074548"/>
    <w:rsid w:val="000747DA"/>
    <w:rsid w:val="00074B25"/>
    <w:rsid w:val="0007526C"/>
    <w:rsid w:val="000753B5"/>
    <w:rsid w:val="00075CA6"/>
    <w:rsid w:val="00075D47"/>
    <w:rsid w:val="00075EF7"/>
    <w:rsid w:val="00076444"/>
    <w:rsid w:val="0007646A"/>
    <w:rsid w:val="0007675A"/>
    <w:rsid w:val="000771D0"/>
    <w:rsid w:val="00077249"/>
    <w:rsid w:val="000779EE"/>
    <w:rsid w:val="00077A59"/>
    <w:rsid w:val="00077BF9"/>
    <w:rsid w:val="0008086C"/>
    <w:rsid w:val="000809A0"/>
    <w:rsid w:val="00081BB1"/>
    <w:rsid w:val="000825C6"/>
    <w:rsid w:val="0008261F"/>
    <w:rsid w:val="00082AF6"/>
    <w:rsid w:val="00082CB4"/>
    <w:rsid w:val="00082D41"/>
    <w:rsid w:val="000839DC"/>
    <w:rsid w:val="00084B40"/>
    <w:rsid w:val="00085163"/>
    <w:rsid w:val="00085C13"/>
    <w:rsid w:val="00086438"/>
    <w:rsid w:val="000865B4"/>
    <w:rsid w:val="000873F4"/>
    <w:rsid w:val="00087A6D"/>
    <w:rsid w:val="00087B59"/>
    <w:rsid w:val="000902BA"/>
    <w:rsid w:val="0009073F"/>
    <w:rsid w:val="00090ABB"/>
    <w:rsid w:val="00090FDF"/>
    <w:rsid w:val="00091180"/>
    <w:rsid w:val="00091226"/>
    <w:rsid w:val="000918E6"/>
    <w:rsid w:val="000921EE"/>
    <w:rsid w:val="00092605"/>
    <w:rsid w:val="00092616"/>
    <w:rsid w:val="000934BB"/>
    <w:rsid w:val="000936DE"/>
    <w:rsid w:val="00093CB8"/>
    <w:rsid w:val="00093E15"/>
    <w:rsid w:val="00094179"/>
    <w:rsid w:val="0009464C"/>
    <w:rsid w:val="00094C7C"/>
    <w:rsid w:val="000955DB"/>
    <w:rsid w:val="00095B23"/>
    <w:rsid w:val="00095C42"/>
    <w:rsid w:val="00095DBB"/>
    <w:rsid w:val="00096E5E"/>
    <w:rsid w:val="00096E66"/>
    <w:rsid w:val="00097142"/>
    <w:rsid w:val="0009719E"/>
    <w:rsid w:val="000971C5"/>
    <w:rsid w:val="0009793C"/>
    <w:rsid w:val="00097D16"/>
    <w:rsid w:val="000A0C07"/>
    <w:rsid w:val="000A1B2E"/>
    <w:rsid w:val="000A1DC2"/>
    <w:rsid w:val="000A1FA1"/>
    <w:rsid w:val="000A3C44"/>
    <w:rsid w:val="000A561B"/>
    <w:rsid w:val="000A615B"/>
    <w:rsid w:val="000A6395"/>
    <w:rsid w:val="000A6D64"/>
    <w:rsid w:val="000A6FDA"/>
    <w:rsid w:val="000A769F"/>
    <w:rsid w:val="000A7BB1"/>
    <w:rsid w:val="000A7CF0"/>
    <w:rsid w:val="000A7EB4"/>
    <w:rsid w:val="000B171F"/>
    <w:rsid w:val="000B1A70"/>
    <w:rsid w:val="000B1C18"/>
    <w:rsid w:val="000B2B6A"/>
    <w:rsid w:val="000B3328"/>
    <w:rsid w:val="000B3741"/>
    <w:rsid w:val="000B3A83"/>
    <w:rsid w:val="000B3D96"/>
    <w:rsid w:val="000B44F9"/>
    <w:rsid w:val="000B45F2"/>
    <w:rsid w:val="000B4897"/>
    <w:rsid w:val="000B4A65"/>
    <w:rsid w:val="000B53CA"/>
    <w:rsid w:val="000B5915"/>
    <w:rsid w:val="000B6177"/>
    <w:rsid w:val="000B7564"/>
    <w:rsid w:val="000B7873"/>
    <w:rsid w:val="000C0183"/>
    <w:rsid w:val="000C034D"/>
    <w:rsid w:val="000C0514"/>
    <w:rsid w:val="000C1550"/>
    <w:rsid w:val="000C16B5"/>
    <w:rsid w:val="000C1F8E"/>
    <w:rsid w:val="000C20E3"/>
    <w:rsid w:val="000C2298"/>
    <w:rsid w:val="000C2405"/>
    <w:rsid w:val="000C2C1A"/>
    <w:rsid w:val="000C2F86"/>
    <w:rsid w:val="000C3475"/>
    <w:rsid w:val="000C3BC1"/>
    <w:rsid w:val="000C3CF3"/>
    <w:rsid w:val="000C3F13"/>
    <w:rsid w:val="000C4EDC"/>
    <w:rsid w:val="000C5410"/>
    <w:rsid w:val="000C571B"/>
    <w:rsid w:val="000C5D65"/>
    <w:rsid w:val="000C5D9D"/>
    <w:rsid w:val="000C61B0"/>
    <w:rsid w:val="000C62E2"/>
    <w:rsid w:val="000C6A38"/>
    <w:rsid w:val="000C7404"/>
    <w:rsid w:val="000C75E7"/>
    <w:rsid w:val="000D0ED8"/>
    <w:rsid w:val="000D16AB"/>
    <w:rsid w:val="000D1A73"/>
    <w:rsid w:val="000D226F"/>
    <w:rsid w:val="000D2872"/>
    <w:rsid w:val="000D2E79"/>
    <w:rsid w:val="000D2F32"/>
    <w:rsid w:val="000D3248"/>
    <w:rsid w:val="000D3AB6"/>
    <w:rsid w:val="000D47CB"/>
    <w:rsid w:val="000D48C8"/>
    <w:rsid w:val="000D4C4A"/>
    <w:rsid w:val="000D55C7"/>
    <w:rsid w:val="000D5A02"/>
    <w:rsid w:val="000D5D91"/>
    <w:rsid w:val="000D612C"/>
    <w:rsid w:val="000D6371"/>
    <w:rsid w:val="000D63CF"/>
    <w:rsid w:val="000D68DA"/>
    <w:rsid w:val="000D6D3B"/>
    <w:rsid w:val="000D6E63"/>
    <w:rsid w:val="000D6E86"/>
    <w:rsid w:val="000D7187"/>
    <w:rsid w:val="000D7283"/>
    <w:rsid w:val="000D782E"/>
    <w:rsid w:val="000E0452"/>
    <w:rsid w:val="000E0D8D"/>
    <w:rsid w:val="000E0F20"/>
    <w:rsid w:val="000E1CD9"/>
    <w:rsid w:val="000E203B"/>
    <w:rsid w:val="000E213D"/>
    <w:rsid w:val="000E313C"/>
    <w:rsid w:val="000E482A"/>
    <w:rsid w:val="000E545A"/>
    <w:rsid w:val="000E5B62"/>
    <w:rsid w:val="000E60A7"/>
    <w:rsid w:val="000E7B0A"/>
    <w:rsid w:val="000F030A"/>
    <w:rsid w:val="000F0A90"/>
    <w:rsid w:val="000F0AB3"/>
    <w:rsid w:val="000F180B"/>
    <w:rsid w:val="000F226E"/>
    <w:rsid w:val="000F24D0"/>
    <w:rsid w:val="000F303D"/>
    <w:rsid w:val="000F3053"/>
    <w:rsid w:val="000F350B"/>
    <w:rsid w:val="000F3776"/>
    <w:rsid w:val="000F3BCD"/>
    <w:rsid w:val="000F3D67"/>
    <w:rsid w:val="000F42A3"/>
    <w:rsid w:val="000F47D9"/>
    <w:rsid w:val="000F48EF"/>
    <w:rsid w:val="000F57B2"/>
    <w:rsid w:val="000F5D0A"/>
    <w:rsid w:val="000F5E28"/>
    <w:rsid w:val="000F5F6F"/>
    <w:rsid w:val="000F6247"/>
    <w:rsid w:val="000F63AE"/>
    <w:rsid w:val="000F6950"/>
    <w:rsid w:val="000F6C46"/>
    <w:rsid w:val="000F6DD8"/>
    <w:rsid w:val="000F6DEE"/>
    <w:rsid w:val="000F6EF1"/>
    <w:rsid w:val="000F7865"/>
    <w:rsid w:val="000F7881"/>
    <w:rsid w:val="00100577"/>
    <w:rsid w:val="0010087A"/>
    <w:rsid w:val="00100E7A"/>
    <w:rsid w:val="00100F3D"/>
    <w:rsid w:val="00101336"/>
    <w:rsid w:val="001018F8"/>
    <w:rsid w:val="00101B2D"/>
    <w:rsid w:val="00101C23"/>
    <w:rsid w:val="001020AE"/>
    <w:rsid w:val="0010278B"/>
    <w:rsid w:val="0010285C"/>
    <w:rsid w:val="001029E7"/>
    <w:rsid w:val="00102B8F"/>
    <w:rsid w:val="00103265"/>
    <w:rsid w:val="00103400"/>
    <w:rsid w:val="0010366D"/>
    <w:rsid w:val="00103E0F"/>
    <w:rsid w:val="00103F2A"/>
    <w:rsid w:val="00104009"/>
    <w:rsid w:val="00104850"/>
    <w:rsid w:val="00104983"/>
    <w:rsid w:val="00105AE5"/>
    <w:rsid w:val="00106231"/>
    <w:rsid w:val="00106D72"/>
    <w:rsid w:val="00106DEC"/>
    <w:rsid w:val="00106EC9"/>
    <w:rsid w:val="00107C66"/>
    <w:rsid w:val="00107C9F"/>
    <w:rsid w:val="00107E48"/>
    <w:rsid w:val="0011072D"/>
    <w:rsid w:val="00110B44"/>
    <w:rsid w:val="00111B37"/>
    <w:rsid w:val="00111E0A"/>
    <w:rsid w:val="00111F12"/>
    <w:rsid w:val="00112A9C"/>
    <w:rsid w:val="00112B14"/>
    <w:rsid w:val="00112F38"/>
    <w:rsid w:val="00113BCC"/>
    <w:rsid w:val="00113F47"/>
    <w:rsid w:val="00115F05"/>
    <w:rsid w:val="00117883"/>
    <w:rsid w:val="00117B44"/>
    <w:rsid w:val="00117BF0"/>
    <w:rsid w:val="00117CBB"/>
    <w:rsid w:val="0012036E"/>
    <w:rsid w:val="00120873"/>
    <w:rsid w:val="00120995"/>
    <w:rsid w:val="001212CF"/>
    <w:rsid w:val="0012173D"/>
    <w:rsid w:val="00121877"/>
    <w:rsid w:val="00121D94"/>
    <w:rsid w:val="00122907"/>
    <w:rsid w:val="00122BDB"/>
    <w:rsid w:val="00122DDB"/>
    <w:rsid w:val="001233B3"/>
    <w:rsid w:val="00123531"/>
    <w:rsid w:val="00123D62"/>
    <w:rsid w:val="00123E60"/>
    <w:rsid w:val="00124243"/>
    <w:rsid w:val="001246EC"/>
    <w:rsid w:val="0012472D"/>
    <w:rsid w:val="00124810"/>
    <w:rsid w:val="00124B99"/>
    <w:rsid w:val="00125708"/>
    <w:rsid w:val="00125756"/>
    <w:rsid w:val="00125EC7"/>
    <w:rsid w:val="00125F73"/>
    <w:rsid w:val="001261D9"/>
    <w:rsid w:val="0012621F"/>
    <w:rsid w:val="00126D0C"/>
    <w:rsid w:val="0012723B"/>
    <w:rsid w:val="0012778E"/>
    <w:rsid w:val="00127CEC"/>
    <w:rsid w:val="00127CED"/>
    <w:rsid w:val="00127E84"/>
    <w:rsid w:val="00127F49"/>
    <w:rsid w:val="00130256"/>
    <w:rsid w:val="00130571"/>
    <w:rsid w:val="00131EC2"/>
    <w:rsid w:val="001320ED"/>
    <w:rsid w:val="00132B9C"/>
    <w:rsid w:val="00132BD5"/>
    <w:rsid w:val="0013308F"/>
    <w:rsid w:val="0013319F"/>
    <w:rsid w:val="00133449"/>
    <w:rsid w:val="00133D0C"/>
    <w:rsid w:val="00134827"/>
    <w:rsid w:val="00134B04"/>
    <w:rsid w:val="001350B4"/>
    <w:rsid w:val="0013580A"/>
    <w:rsid w:val="00135A7C"/>
    <w:rsid w:val="00135F16"/>
    <w:rsid w:val="00136754"/>
    <w:rsid w:val="00136AE4"/>
    <w:rsid w:val="00136C0B"/>
    <w:rsid w:val="00136F5E"/>
    <w:rsid w:val="00137E64"/>
    <w:rsid w:val="00140256"/>
    <w:rsid w:val="0014040D"/>
    <w:rsid w:val="00141629"/>
    <w:rsid w:val="00142044"/>
    <w:rsid w:val="0014229D"/>
    <w:rsid w:val="00142C47"/>
    <w:rsid w:val="00143168"/>
    <w:rsid w:val="001435A9"/>
    <w:rsid w:val="00143901"/>
    <w:rsid w:val="00143E51"/>
    <w:rsid w:val="00144C4D"/>
    <w:rsid w:val="00144EBF"/>
    <w:rsid w:val="0014610A"/>
    <w:rsid w:val="001462B6"/>
    <w:rsid w:val="00146B2F"/>
    <w:rsid w:val="00146D1E"/>
    <w:rsid w:val="00146D29"/>
    <w:rsid w:val="00146E8B"/>
    <w:rsid w:val="0014785E"/>
    <w:rsid w:val="00147D40"/>
    <w:rsid w:val="001501A9"/>
    <w:rsid w:val="001504D7"/>
    <w:rsid w:val="0015098B"/>
    <w:rsid w:val="001509BA"/>
    <w:rsid w:val="00150C1A"/>
    <w:rsid w:val="00150C8E"/>
    <w:rsid w:val="00151A1A"/>
    <w:rsid w:val="00151D3E"/>
    <w:rsid w:val="00151DB0"/>
    <w:rsid w:val="0015213D"/>
    <w:rsid w:val="001521DD"/>
    <w:rsid w:val="0015290A"/>
    <w:rsid w:val="00152ACF"/>
    <w:rsid w:val="00152C40"/>
    <w:rsid w:val="00153466"/>
    <w:rsid w:val="001534B3"/>
    <w:rsid w:val="0015351D"/>
    <w:rsid w:val="001538A3"/>
    <w:rsid w:val="00153906"/>
    <w:rsid w:val="00153C9D"/>
    <w:rsid w:val="00154E81"/>
    <w:rsid w:val="00155EDE"/>
    <w:rsid w:val="001572F2"/>
    <w:rsid w:val="00157ECD"/>
    <w:rsid w:val="00160FC7"/>
    <w:rsid w:val="0016101A"/>
    <w:rsid w:val="00161082"/>
    <w:rsid w:val="00161844"/>
    <w:rsid w:val="00162364"/>
    <w:rsid w:val="00162B24"/>
    <w:rsid w:val="00162BB3"/>
    <w:rsid w:val="00162F61"/>
    <w:rsid w:val="00163668"/>
    <w:rsid w:val="0016458A"/>
    <w:rsid w:val="00164A48"/>
    <w:rsid w:val="00165245"/>
    <w:rsid w:val="00165890"/>
    <w:rsid w:val="00165A32"/>
    <w:rsid w:val="001661CD"/>
    <w:rsid w:val="00166252"/>
    <w:rsid w:val="00166B51"/>
    <w:rsid w:val="00166C76"/>
    <w:rsid w:val="001678CD"/>
    <w:rsid w:val="0017050E"/>
    <w:rsid w:val="001709AF"/>
    <w:rsid w:val="00170F41"/>
    <w:rsid w:val="00171121"/>
    <w:rsid w:val="001714E5"/>
    <w:rsid w:val="00173408"/>
    <w:rsid w:val="00174B6B"/>
    <w:rsid w:val="00174DB0"/>
    <w:rsid w:val="00174FDD"/>
    <w:rsid w:val="00175056"/>
    <w:rsid w:val="00175532"/>
    <w:rsid w:val="00175EC8"/>
    <w:rsid w:val="00176628"/>
    <w:rsid w:val="001768E9"/>
    <w:rsid w:val="001769E4"/>
    <w:rsid w:val="00177676"/>
    <w:rsid w:val="0017774A"/>
    <w:rsid w:val="00177B7C"/>
    <w:rsid w:val="00180EAB"/>
    <w:rsid w:val="001812F4"/>
    <w:rsid w:val="00181622"/>
    <w:rsid w:val="00181DA7"/>
    <w:rsid w:val="00181E98"/>
    <w:rsid w:val="001839ED"/>
    <w:rsid w:val="00183CE1"/>
    <w:rsid w:val="001843B6"/>
    <w:rsid w:val="001844D4"/>
    <w:rsid w:val="00184510"/>
    <w:rsid w:val="00184639"/>
    <w:rsid w:val="00184BBA"/>
    <w:rsid w:val="00184CC5"/>
    <w:rsid w:val="0018510C"/>
    <w:rsid w:val="00185129"/>
    <w:rsid w:val="001861F2"/>
    <w:rsid w:val="00186D12"/>
    <w:rsid w:val="00186F86"/>
    <w:rsid w:val="00187B65"/>
    <w:rsid w:val="00187BF7"/>
    <w:rsid w:val="00187C37"/>
    <w:rsid w:val="00187D6F"/>
    <w:rsid w:val="001900C9"/>
    <w:rsid w:val="0019099F"/>
    <w:rsid w:val="00190AF7"/>
    <w:rsid w:val="0019112D"/>
    <w:rsid w:val="00191463"/>
    <w:rsid w:val="00191CB1"/>
    <w:rsid w:val="001926C5"/>
    <w:rsid w:val="00193135"/>
    <w:rsid w:val="00193459"/>
    <w:rsid w:val="0019520B"/>
    <w:rsid w:val="00195385"/>
    <w:rsid w:val="001954A8"/>
    <w:rsid w:val="00195744"/>
    <w:rsid w:val="0019682C"/>
    <w:rsid w:val="00196CB3"/>
    <w:rsid w:val="00197558"/>
    <w:rsid w:val="00197C02"/>
    <w:rsid w:val="00197FBD"/>
    <w:rsid w:val="001A01A0"/>
    <w:rsid w:val="001A0729"/>
    <w:rsid w:val="001A0890"/>
    <w:rsid w:val="001A0BDD"/>
    <w:rsid w:val="001A0FF8"/>
    <w:rsid w:val="001A1857"/>
    <w:rsid w:val="001A1908"/>
    <w:rsid w:val="001A1E4C"/>
    <w:rsid w:val="001A259A"/>
    <w:rsid w:val="001A2BBA"/>
    <w:rsid w:val="001A2C68"/>
    <w:rsid w:val="001A2F69"/>
    <w:rsid w:val="001A3CEE"/>
    <w:rsid w:val="001A406B"/>
    <w:rsid w:val="001A4CAA"/>
    <w:rsid w:val="001A4D34"/>
    <w:rsid w:val="001A4DFA"/>
    <w:rsid w:val="001A568E"/>
    <w:rsid w:val="001A5DB6"/>
    <w:rsid w:val="001A5F51"/>
    <w:rsid w:val="001A5FE4"/>
    <w:rsid w:val="001A66CD"/>
    <w:rsid w:val="001A6D48"/>
    <w:rsid w:val="001A6DEC"/>
    <w:rsid w:val="001A6F05"/>
    <w:rsid w:val="001A6F36"/>
    <w:rsid w:val="001A7005"/>
    <w:rsid w:val="001A74F8"/>
    <w:rsid w:val="001A76F4"/>
    <w:rsid w:val="001A7791"/>
    <w:rsid w:val="001A7C68"/>
    <w:rsid w:val="001B0243"/>
    <w:rsid w:val="001B07CE"/>
    <w:rsid w:val="001B0B76"/>
    <w:rsid w:val="001B0C0D"/>
    <w:rsid w:val="001B1037"/>
    <w:rsid w:val="001B1681"/>
    <w:rsid w:val="001B16C8"/>
    <w:rsid w:val="001B1771"/>
    <w:rsid w:val="001B1A25"/>
    <w:rsid w:val="001B27F3"/>
    <w:rsid w:val="001B2FF7"/>
    <w:rsid w:val="001B3446"/>
    <w:rsid w:val="001B36CD"/>
    <w:rsid w:val="001B4628"/>
    <w:rsid w:val="001B4831"/>
    <w:rsid w:val="001B501A"/>
    <w:rsid w:val="001B5E2D"/>
    <w:rsid w:val="001B7397"/>
    <w:rsid w:val="001B78A4"/>
    <w:rsid w:val="001B7A6E"/>
    <w:rsid w:val="001B7E4A"/>
    <w:rsid w:val="001B7F0B"/>
    <w:rsid w:val="001C0025"/>
    <w:rsid w:val="001C06D6"/>
    <w:rsid w:val="001C0AD0"/>
    <w:rsid w:val="001C0C05"/>
    <w:rsid w:val="001C0D8E"/>
    <w:rsid w:val="001C114D"/>
    <w:rsid w:val="001C1C72"/>
    <w:rsid w:val="001C1F7C"/>
    <w:rsid w:val="001C26F0"/>
    <w:rsid w:val="001C3050"/>
    <w:rsid w:val="001C30A8"/>
    <w:rsid w:val="001C3B2C"/>
    <w:rsid w:val="001C3E17"/>
    <w:rsid w:val="001C412A"/>
    <w:rsid w:val="001C4299"/>
    <w:rsid w:val="001C45B5"/>
    <w:rsid w:val="001C4613"/>
    <w:rsid w:val="001C4915"/>
    <w:rsid w:val="001C5F51"/>
    <w:rsid w:val="001C6773"/>
    <w:rsid w:val="001C6FCF"/>
    <w:rsid w:val="001C7197"/>
    <w:rsid w:val="001C729A"/>
    <w:rsid w:val="001D12B3"/>
    <w:rsid w:val="001D2EA8"/>
    <w:rsid w:val="001D3494"/>
    <w:rsid w:val="001D38A4"/>
    <w:rsid w:val="001D3E70"/>
    <w:rsid w:val="001D3FB6"/>
    <w:rsid w:val="001D42AF"/>
    <w:rsid w:val="001D43E5"/>
    <w:rsid w:val="001D49B6"/>
    <w:rsid w:val="001D4F00"/>
    <w:rsid w:val="001D5150"/>
    <w:rsid w:val="001D605D"/>
    <w:rsid w:val="001D6AE9"/>
    <w:rsid w:val="001D7501"/>
    <w:rsid w:val="001D75B1"/>
    <w:rsid w:val="001E06C8"/>
    <w:rsid w:val="001E0EB4"/>
    <w:rsid w:val="001E1A7D"/>
    <w:rsid w:val="001E1C8E"/>
    <w:rsid w:val="001E217B"/>
    <w:rsid w:val="001E21FD"/>
    <w:rsid w:val="001E2451"/>
    <w:rsid w:val="001E2487"/>
    <w:rsid w:val="001E2A5A"/>
    <w:rsid w:val="001E30EC"/>
    <w:rsid w:val="001E4C25"/>
    <w:rsid w:val="001E5148"/>
    <w:rsid w:val="001E526F"/>
    <w:rsid w:val="001E5800"/>
    <w:rsid w:val="001E5C44"/>
    <w:rsid w:val="001E5C8C"/>
    <w:rsid w:val="001E68DF"/>
    <w:rsid w:val="001E6981"/>
    <w:rsid w:val="001E6BF7"/>
    <w:rsid w:val="001E7260"/>
    <w:rsid w:val="001E7F85"/>
    <w:rsid w:val="001F0E1C"/>
    <w:rsid w:val="001F0F11"/>
    <w:rsid w:val="001F1112"/>
    <w:rsid w:val="001F21D0"/>
    <w:rsid w:val="001F2722"/>
    <w:rsid w:val="001F2794"/>
    <w:rsid w:val="001F2D98"/>
    <w:rsid w:val="001F33C2"/>
    <w:rsid w:val="001F33E0"/>
    <w:rsid w:val="001F465F"/>
    <w:rsid w:val="001F4B43"/>
    <w:rsid w:val="001F4D5F"/>
    <w:rsid w:val="001F4F7F"/>
    <w:rsid w:val="001F4FDA"/>
    <w:rsid w:val="001F6954"/>
    <w:rsid w:val="001F6BFD"/>
    <w:rsid w:val="001F75BA"/>
    <w:rsid w:val="001F76A8"/>
    <w:rsid w:val="001F7BD0"/>
    <w:rsid w:val="001F7D03"/>
    <w:rsid w:val="00200AB0"/>
    <w:rsid w:val="00200D02"/>
    <w:rsid w:val="002017DD"/>
    <w:rsid w:val="00201D94"/>
    <w:rsid w:val="002027A3"/>
    <w:rsid w:val="00202B5B"/>
    <w:rsid w:val="00204270"/>
    <w:rsid w:val="0020433B"/>
    <w:rsid w:val="00204354"/>
    <w:rsid w:val="00204690"/>
    <w:rsid w:val="00204A78"/>
    <w:rsid w:val="00204C34"/>
    <w:rsid w:val="0020511C"/>
    <w:rsid w:val="0020511E"/>
    <w:rsid w:val="00205190"/>
    <w:rsid w:val="00205C56"/>
    <w:rsid w:val="00206105"/>
    <w:rsid w:val="00206146"/>
    <w:rsid w:val="00206344"/>
    <w:rsid w:val="002066B5"/>
    <w:rsid w:val="0020718F"/>
    <w:rsid w:val="002075A2"/>
    <w:rsid w:val="00210367"/>
    <w:rsid w:val="002103F9"/>
    <w:rsid w:val="002107D5"/>
    <w:rsid w:val="00212945"/>
    <w:rsid w:val="00212F91"/>
    <w:rsid w:val="0021346F"/>
    <w:rsid w:val="00213504"/>
    <w:rsid w:val="00213B89"/>
    <w:rsid w:val="002140D5"/>
    <w:rsid w:val="0021424F"/>
    <w:rsid w:val="0021455B"/>
    <w:rsid w:val="002145AC"/>
    <w:rsid w:val="00214BF5"/>
    <w:rsid w:val="00214C58"/>
    <w:rsid w:val="00215644"/>
    <w:rsid w:val="0021591C"/>
    <w:rsid w:val="00215C6C"/>
    <w:rsid w:val="0021628F"/>
    <w:rsid w:val="002166CC"/>
    <w:rsid w:val="00216E2B"/>
    <w:rsid w:val="002175B1"/>
    <w:rsid w:val="002176EA"/>
    <w:rsid w:val="00220059"/>
    <w:rsid w:val="00220487"/>
    <w:rsid w:val="00220992"/>
    <w:rsid w:val="0022099F"/>
    <w:rsid w:val="00220A1A"/>
    <w:rsid w:val="00220DBB"/>
    <w:rsid w:val="00221211"/>
    <w:rsid w:val="00221432"/>
    <w:rsid w:val="00221D17"/>
    <w:rsid w:val="00221DB0"/>
    <w:rsid w:val="00222274"/>
    <w:rsid w:val="002233ED"/>
    <w:rsid w:val="00223F45"/>
    <w:rsid w:val="00224AD8"/>
    <w:rsid w:val="0022518C"/>
    <w:rsid w:val="002257FC"/>
    <w:rsid w:val="00225B5B"/>
    <w:rsid w:val="00226473"/>
    <w:rsid w:val="002271B7"/>
    <w:rsid w:val="002275CF"/>
    <w:rsid w:val="0022788E"/>
    <w:rsid w:val="00230534"/>
    <w:rsid w:val="00230CFB"/>
    <w:rsid w:val="00230E4F"/>
    <w:rsid w:val="002312BB"/>
    <w:rsid w:val="002315C1"/>
    <w:rsid w:val="0023165E"/>
    <w:rsid w:val="00231709"/>
    <w:rsid w:val="00231EB5"/>
    <w:rsid w:val="00232389"/>
    <w:rsid w:val="002325FE"/>
    <w:rsid w:val="002327C0"/>
    <w:rsid w:val="00232B9B"/>
    <w:rsid w:val="00232BB0"/>
    <w:rsid w:val="00232EE3"/>
    <w:rsid w:val="00232F4B"/>
    <w:rsid w:val="002333C6"/>
    <w:rsid w:val="002333C9"/>
    <w:rsid w:val="0023352F"/>
    <w:rsid w:val="00233BEC"/>
    <w:rsid w:val="00233F47"/>
    <w:rsid w:val="002345DF"/>
    <w:rsid w:val="002347E7"/>
    <w:rsid w:val="00234D4E"/>
    <w:rsid w:val="00234D6E"/>
    <w:rsid w:val="00234FC5"/>
    <w:rsid w:val="00235757"/>
    <w:rsid w:val="00236CE8"/>
    <w:rsid w:val="0023715B"/>
    <w:rsid w:val="00237207"/>
    <w:rsid w:val="002373BF"/>
    <w:rsid w:val="00237F26"/>
    <w:rsid w:val="00237FD1"/>
    <w:rsid w:val="002407FD"/>
    <w:rsid w:val="00240EC2"/>
    <w:rsid w:val="0024134F"/>
    <w:rsid w:val="00241ACE"/>
    <w:rsid w:val="002420E0"/>
    <w:rsid w:val="00243D25"/>
    <w:rsid w:val="0024425A"/>
    <w:rsid w:val="002443C3"/>
    <w:rsid w:val="0024544B"/>
    <w:rsid w:val="0024622E"/>
    <w:rsid w:val="00246432"/>
    <w:rsid w:val="00246DD3"/>
    <w:rsid w:val="00247879"/>
    <w:rsid w:val="00247AD2"/>
    <w:rsid w:val="002503F0"/>
    <w:rsid w:val="00250912"/>
    <w:rsid w:val="00250A10"/>
    <w:rsid w:val="00250CE6"/>
    <w:rsid w:val="00250DE7"/>
    <w:rsid w:val="00251B9B"/>
    <w:rsid w:val="00252357"/>
    <w:rsid w:val="00252AD5"/>
    <w:rsid w:val="00252CE5"/>
    <w:rsid w:val="002532B0"/>
    <w:rsid w:val="00253340"/>
    <w:rsid w:val="002535C7"/>
    <w:rsid w:val="002564F3"/>
    <w:rsid w:val="002568AE"/>
    <w:rsid w:val="00256D9E"/>
    <w:rsid w:val="00257096"/>
    <w:rsid w:val="002579C3"/>
    <w:rsid w:val="00257CEB"/>
    <w:rsid w:val="00260126"/>
    <w:rsid w:val="0026075B"/>
    <w:rsid w:val="002614E5"/>
    <w:rsid w:val="00261A4B"/>
    <w:rsid w:val="00261DF9"/>
    <w:rsid w:val="00261FB8"/>
    <w:rsid w:val="00262388"/>
    <w:rsid w:val="002624E3"/>
    <w:rsid w:val="002624EE"/>
    <w:rsid w:val="00262F39"/>
    <w:rsid w:val="00263A2A"/>
    <w:rsid w:val="00263B5F"/>
    <w:rsid w:val="00263B6C"/>
    <w:rsid w:val="0026446E"/>
    <w:rsid w:val="00264583"/>
    <w:rsid w:val="002646DA"/>
    <w:rsid w:val="002649D4"/>
    <w:rsid w:val="00264ED8"/>
    <w:rsid w:val="00265A1A"/>
    <w:rsid w:val="00265A6B"/>
    <w:rsid w:val="00265D3E"/>
    <w:rsid w:val="002660D7"/>
    <w:rsid w:val="002669F5"/>
    <w:rsid w:val="00266D67"/>
    <w:rsid w:val="00266DB9"/>
    <w:rsid w:val="00266DD9"/>
    <w:rsid w:val="0026740B"/>
    <w:rsid w:val="0026797D"/>
    <w:rsid w:val="0027042A"/>
    <w:rsid w:val="002706BD"/>
    <w:rsid w:val="00271289"/>
    <w:rsid w:val="00271474"/>
    <w:rsid w:val="0027191C"/>
    <w:rsid w:val="00271E56"/>
    <w:rsid w:val="00272230"/>
    <w:rsid w:val="00272B50"/>
    <w:rsid w:val="00272CE6"/>
    <w:rsid w:val="00272F21"/>
    <w:rsid w:val="00273437"/>
    <w:rsid w:val="002739F9"/>
    <w:rsid w:val="00273F7D"/>
    <w:rsid w:val="00274312"/>
    <w:rsid w:val="002760AE"/>
    <w:rsid w:val="00276DEF"/>
    <w:rsid w:val="00276F9B"/>
    <w:rsid w:val="00277080"/>
    <w:rsid w:val="0027739E"/>
    <w:rsid w:val="0027752C"/>
    <w:rsid w:val="002778F2"/>
    <w:rsid w:val="00277A27"/>
    <w:rsid w:val="00277E68"/>
    <w:rsid w:val="00277ECB"/>
    <w:rsid w:val="00280015"/>
    <w:rsid w:val="00280DE6"/>
    <w:rsid w:val="00280E45"/>
    <w:rsid w:val="00280FE5"/>
    <w:rsid w:val="002812BC"/>
    <w:rsid w:val="002818EA"/>
    <w:rsid w:val="00282679"/>
    <w:rsid w:val="00283181"/>
    <w:rsid w:val="00283507"/>
    <w:rsid w:val="00283538"/>
    <w:rsid w:val="00284359"/>
    <w:rsid w:val="00285302"/>
    <w:rsid w:val="002862FA"/>
    <w:rsid w:val="002869A3"/>
    <w:rsid w:val="00287019"/>
    <w:rsid w:val="002871C8"/>
    <w:rsid w:val="002879AE"/>
    <w:rsid w:val="00287EF9"/>
    <w:rsid w:val="00291967"/>
    <w:rsid w:val="00291EF2"/>
    <w:rsid w:val="00292BED"/>
    <w:rsid w:val="002933ED"/>
    <w:rsid w:val="00293413"/>
    <w:rsid w:val="00293D7D"/>
    <w:rsid w:val="00293FFD"/>
    <w:rsid w:val="0029414C"/>
    <w:rsid w:val="002943CC"/>
    <w:rsid w:val="00294A5C"/>
    <w:rsid w:val="00295FEF"/>
    <w:rsid w:val="0029665F"/>
    <w:rsid w:val="00296707"/>
    <w:rsid w:val="002974C3"/>
    <w:rsid w:val="0029779B"/>
    <w:rsid w:val="0029782E"/>
    <w:rsid w:val="00297F6F"/>
    <w:rsid w:val="002A03E4"/>
    <w:rsid w:val="002A04F3"/>
    <w:rsid w:val="002A0FA2"/>
    <w:rsid w:val="002A14A2"/>
    <w:rsid w:val="002A1D9A"/>
    <w:rsid w:val="002A25FE"/>
    <w:rsid w:val="002A28E2"/>
    <w:rsid w:val="002A2993"/>
    <w:rsid w:val="002A3FA8"/>
    <w:rsid w:val="002A4060"/>
    <w:rsid w:val="002A4A7B"/>
    <w:rsid w:val="002A51D3"/>
    <w:rsid w:val="002A52BD"/>
    <w:rsid w:val="002A5929"/>
    <w:rsid w:val="002A63B2"/>
    <w:rsid w:val="002A6821"/>
    <w:rsid w:val="002A6A2A"/>
    <w:rsid w:val="002A727C"/>
    <w:rsid w:val="002A72FE"/>
    <w:rsid w:val="002A77B2"/>
    <w:rsid w:val="002A7B8F"/>
    <w:rsid w:val="002B0C34"/>
    <w:rsid w:val="002B115E"/>
    <w:rsid w:val="002B17F3"/>
    <w:rsid w:val="002B1979"/>
    <w:rsid w:val="002B2291"/>
    <w:rsid w:val="002B35BD"/>
    <w:rsid w:val="002B3609"/>
    <w:rsid w:val="002B38E8"/>
    <w:rsid w:val="002B3A02"/>
    <w:rsid w:val="002B407E"/>
    <w:rsid w:val="002B40A6"/>
    <w:rsid w:val="002B425C"/>
    <w:rsid w:val="002B4A64"/>
    <w:rsid w:val="002B4B35"/>
    <w:rsid w:val="002B515B"/>
    <w:rsid w:val="002B5547"/>
    <w:rsid w:val="002B6B78"/>
    <w:rsid w:val="002B6D6F"/>
    <w:rsid w:val="002B7530"/>
    <w:rsid w:val="002B7BC0"/>
    <w:rsid w:val="002C07D5"/>
    <w:rsid w:val="002C0E5E"/>
    <w:rsid w:val="002C1558"/>
    <w:rsid w:val="002C1799"/>
    <w:rsid w:val="002C17D0"/>
    <w:rsid w:val="002C1BA1"/>
    <w:rsid w:val="002C2847"/>
    <w:rsid w:val="002C2D79"/>
    <w:rsid w:val="002C3125"/>
    <w:rsid w:val="002C3150"/>
    <w:rsid w:val="002C31DB"/>
    <w:rsid w:val="002C3692"/>
    <w:rsid w:val="002C371C"/>
    <w:rsid w:val="002C39C4"/>
    <w:rsid w:val="002C3B5B"/>
    <w:rsid w:val="002C3E1C"/>
    <w:rsid w:val="002C44CE"/>
    <w:rsid w:val="002C4573"/>
    <w:rsid w:val="002C49F0"/>
    <w:rsid w:val="002C4CEA"/>
    <w:rsid w:val="002C4D2C"/>
    <w:rsid w:val="002C50E4"/>
    <w:rsid w:val="002C5553"/>
    <w:rsid w:val="002C5733"/>
    <w:rsid w:val="002C57E3"/>
    <w:rsid w:val="002C5F96"/>
    <w:rsid w:val="002C6311"/>
    <w:rsid w:val="002C6316"/>
    <w:rsid w:val="002C64A3"/>
    <w:rsid w:val="002C65C3"/>
    <w:rsid w:val="002C6785"/>
    <w:rsid w:val="002C6FC8"/>
    <w:rsid w:val="002C73E4"/>
    <w:rsid w:val="002C7839"/>
    <w:rsid w:val="002C78BE"/>
    <w:rsid w:val="002D02CE"/>
    <w:rsid w:val="002D03DB"/>
    <w:rsid w:val="002D04E9"/>
    <w:rsid w:val="002D0CE3"/>
    <w:rsid w:val="002D22D9"/>
    <w:rsid w:val="002D26EF"/>
    <w:rsid w:val="002D310F"/>
    <w:rsid w:val="002D31DD"/>
    <w:rsid w:val="002D407C"/>
    <w:rsid w:val="002D4394"/>
    <w:rsid w:val="002D43C5"/>
    <w:rsid w:val="002D44DB"/>
    <w:rsid w:val="002D4F10"/>
    <w:rsid w:val="002D502B"/>
    <w:rsid w:val="002D5A53"/>
    <w:rsid w:val="002D5D25"/>
    <w:rsid w:val="002D686F"/>
    <w:rsid w:val="002D68DE"/>
    <w:rsid w:val="002D6C15"/>
    <w:rsid w:val="002D7662"/>
    <w:rsid w:val="002E0272"/>
    <w:rsid w:val="002E08B8"/>
    <w:rsid w:val="002E0E87"/>
    <w:rsid w:val="002E10B4"/>
    <w:rsid w:val="002E169C"/>
    <w:rsid w:val="002E1E94"/>
    <w:rsid w:val="002E23EC"/>
    <w:rsid w:val="002E2594"/>
    <w:rsid w:val="002E321A"/>
    <w:rsid w:val="002E4BE6"/>
    <w:rsid w:val="002E5711"/>
    <w:rsid w:val="002E5C93"/>
    <w:rsid w:val="002E5F70"/>
    <w:rsid w:val="002E62BA"/>
    <w:rsid w:val="002E6370"/>
    <w:rsid w:val="002E682A"/>
    <w:rsid w:val="002E753D"/>
    <w:rsid w:val="002E7B88"/>
    <w:rsid w:val="002F001C"/>
    <w:rsid w:val="002F02C8"/>
    <w:rsid w:val="002F0E0D"/>
    <w:rsid w:val="002F0E1B"/>
    <w:rsid w:val="002F116A"/>
    <w:rsid w:val="002F122E"/>
    <w:rsid w:val="002F1BA4"/>
    <w:rsid w:val="002F3D26"/>
    <w:rsid w:val="002F468C"/>
    <w:rsid w:val="002F472E"/>
    <w:rsid w:val="002F4B24"/>
    <w:rsid w:val="002F4FE2"/>
    <w:rsid w:val="002F4FF7"/>
    <w:rsid w:val="002F539C"/>
    <w:rsid w:val="002F54A7"/>
    <w:rsid w:val="002F619D"/>
    <w:rsid w:val="002F6633"/>
    <w:rsid w:val="002F6E5C"/>
    <w:rsid w:val="002F6E90"/>
    <w:rsid w:val="002F72C3"/>
    <w:rsid w:val="002F775A"/>
    <w:rsid w:val="003000E0"/>
    <w:rsid w:val="00300306"/>
    <w:rsid w:val="0030036C"/>
    <w:rsid w:val="003003DA"/>
    <w:rsid w:val="00300590"/>
    <w:rsid w:val="00300BA2"/>
    <w:rsid w:val="00301AC5"/>
    <w:rsid w:val="00301BE1"/>
    <w:rsid w:val="00303CC3"/>
    <w:rsid w:val="00303F76"/>
    <w:rsid w:val="0030427E"/>
    <w:rsid w:val="00304F2C"/>
    <w:rsid w:val="00304FA8"/>
    <w:rsid w:val="0030547E"/>
    <w:rsid w:val="003057D5"/>
    <w:rsid w:val="00305854"/>
    <w:rsid w:val="00305891"/>
    <w:rsid w:val="00305CEF"/>
    <w:rsid w:val="0030621D"/>
    <w:rsid w:val="003074B6"/>
    <w:rsid w:val="00307780"/>
    <w:rsid w:val="003078E2"/>
    <w:rsid w:val="00307983"/>
    <w:rsid w:val="00307D02"/>
    <w:rsid w:val="00307DA0"/>
    <w:rsid w:val="003103EC"/>
    <w:rsid w:val="00310864"/>
    <w:rsid w:val="003117AA"/>
    <w:rsid w:val="003119FA"/>
    <w:rsid w:val="00311F14"/>
    <w:rsid w:val="00312475"/>
    <w:rsid w:val="003127F5"/>
    <w:rsid w:val="00312EF9"/>
    <w:rsid w:val="003134E4"/>
    <w:rsid w:val="003136C0"/>
    <w:rsid w:val="0031388E"/>
    <w:rsid w:val="00313FDA"/>
    <w:rsid w:val="00314118"/>
    <w:rsid w:val="003143A7"/>
    <w:rsid w:val="0031477F"/>
    <w:rsid w:val="0031557E"/>
    <w:rsid w:val="003158D2"/>
    <w:rsid w:val="00315E1A"/>
    <w:rsid w:val="00315F49"/>
    <w:rsid w:val="003162B9"/>
    <w:rsid w:val="00316D2E"/>
    <w:rsid w:val="003170C6"/>
    <w:rsid w:val="003175AB"/>
    <w:rsid w:val="00317997"/>
    <w:rsid w:val="00317B85"/>
    <w:rsid w:val="00317DF6"/>
    <w:rsid w:val="003204FA"/>
    <w:rsid w:val="00320FD5"/>
    <w:rsid w:val="003213B1"/>
    <w:rsid w:val="0032245C"/>
    <w:rsid w:val="0032256A"/>
    <w:rsid w:val="00322ACD"/>
    <w:rsid w:val="003233F0"/>
    <w:rsid w:val="0032352B"/>
    <w:rsid w:val="00323605"/>
    <w:rsid w:val="003239CB"/>
    <w:rsid w:val="00323AE3"/>
    <w:rsid w:val="00323CFD"/>
    <w:rsid w:val="00324E32"/>
    <w:rsid w:val="00324F22"/>
    <w:rsid w:val="00325B36"/>
    <w:rsid w:val="00325EAA"/>
    <w:rsid w:val="0032620F"/>
    <w:rsid w:val="0032671D"/>
    <w:rsid w:val="00326812"/>
    <w:rsid w:val="00326B25"/>
    <w:rsid w:val="00327230"/>
    <w:rsid w:val="003273A2"/>
    <w:rsid w:val="00327578"/>
    <w:rsid w:val="00327666"/>
    <w:rsid w:val="00327A5D"/>
    <w:rsid w:val="00330680"/>
    <w:rsid w:val="0033080C"/>
    <w:rsid w:val="00330E7D"/>
    <w:rsid w:val="00331361"/>
    <w:rsid w:val="003313AE"/>
    <w:rsid w:val="003314E0"/>
    <w:rsid w:val="00331ABD"/>
    <w:rsid w:val="00331BF0"/>
    <w:rsid w:val="003322B4"/>
    <w:rsid w:val="00332AF7"/>
    <w:rsid w:val="00333526"/>
    <w:rsid w:val="00333A69"/>
    <w:rsid w:val="00333BE2"/>
    <w:rsid w:val="00334499"/>
    <w:rsid w:val="00334676"/>
    <w:rsid w:val="00334794"/>
    <w:rsid w:val="003349FB"/>
    <w:rsid w:val="003360CE"/>
    <w:rsid w:val="00336209"/>
    <w:rsid w:val="00337265"/>
    <w:rsid w:val="00337CA2"/>
    <w:rsid w:val="003403D7"/>
    <w:rsid w:val="0034078D"/>
    <w:rsid w:val="00341430"/>
    <w:rsid w:val="003415BB"/>
    <w:rsid w:val="00341B16"/>
    <w:rsid w:val="00341E91"/>
    <w:rsid w:val="003426AF"/>
    <w:rsid w:val="003428F1"/>
    <w:rsid w:val="003434C6"/>
    <w:rsid w:val="0034369E"/>
    <w:rsid w:val="00343A0A"/>
    <w:rsid w:val="003441E0"/>
    <w:rsid w:val="003442D2"/>
    <w:rsid w:val="00344326"/>
    <w:rsid w:val="00344611"/>
    <w:rsid w:val="0034464E"/>
    <w:rsid w:val="00344937"/>
    <w:rsid w:val="00345383"/>
    <w:rsid w:val="00345816"/>
    <w:rsid w:val="00345A7C"/>
    <w:rsid w:val="00347E89"/>
    <w:rsid w:val="0035025F"/>
    <w:rsid w:val="003502D3"/>
    <w:rsid w:val="00350A1D"/>
    <w:rsid w:val="00350A49"/>
    <w:rsid w:val="00351522"/>
    <w:rsid w:val="00351BDA"/>
    <w:rsid w:val="00351E54"/>
    <w:rsid w:val="00352927"/>
    <w:rsid w:val="00352A59"/>
    <w:rsid w:val="00352E30"/>
    <w:rsid w:val="003531B2"/>
    <w:rsid w:val="00353397"/>
    <w:rsid w:val="003535DF"/>
    <w:rsid w:val="00353694"/>
    <w:rsid w:val="00353B06"/>
    <w:rsid w:val="00353E13"/>
    <w:rsid w:val="0035406C"/>
    <w:rsid w:val="003540C1"/>
    <w:rsid w:val="0035420D"/>
    <w:rsid w:val="00354277"/>
    <w:rsid w:val="003550A5"/>
    <w:rsid w:val="0035529C"/>
    <w:rsid w:val="00355E33"/>
    <w:rsid w:val="0035629F"/>
    <w:rsid w:val="00356651"/>
    <w:rsid w:val="0035668C"/>
    <w:rsid w:val="00356A35"/>
    <w:rsid w:val="00356C6C"/>
    <w:rsid w:val="00356D69"/>
    <w:rsid w:val="0035707E"/>
    <w:rsid w:val="00357B30"/>
    <w:rsid w:val="00357D98"/>
    <w:rsid w:val="00357E15"/>
    <w:rsid w:val="00360175"/>
    <w:rsid w:val="003604E2"/>
    <w:rsid w:val="00360855"/>
    <w:rsid w:val="0036157F"/>
    <w:rsid w:val="00361A9F"/>
    <w:rsid w:val="0036202B"/>
    <w:rsid w:val="0036205F"/>
    <w:rsid w:val="003629F3"/>
    <w:rsid w:val="00362E15"/>
    <w:rsid w:val="00362E7D"/>
    <w:rsid w:val="00363D33"/>
    <w:rsid w:val="003640FC"/>
    <w:rsid w:val="003645BF"/>
    <w:rsid w:val="00364758"/>
    <w:rsid w:val="00364A23"/>
    <w:rsid w:val="00364ACE"/>
    <w:rsid w:val="00364BF8"/>
    <w:rsid w:val="00365478"/>
    <w:rsid w:val="00365667"/>
    <w:rsid w:val="00365727"/>
    <w:rsid w:val="003657E0"/>
    <w:rsid w:val="00365F5C"/>
    <w:rsid w:val="00366034"/>
    <w:rsid w:val="0036654F"/>
    <w:rsid w:val="003667EE"/>
    <w:rsid w:val="00366842"/>
    <w:rsid w:val="00366C2B"/>
    <w:rsid w:val="003675F5"/>
    <w:rsid w:val="00371231"/>
    <w:rsid w:val="00371617"/>
    <w:rsid w:val="00372B5E"/>
    <w:rsid w:val="00373182"/>
    <w:rsid w:val="0037397F"/>
    <w:rsid w:val="00373A10"/>
    <w:rsid w:val="00374074"/>
    <w:rsid w:val="00374591"/>
    <w:rsid w:val="0037476B"/>
    <w:rsid w:val="00374AD4"/>
    <w:rsid w:val="00374F51"/>
    <w:rsid w:val="00375DFC"/>
    <w:rsid w:val="0037651C"/>
    <w:rsid w:val="00376C1D"/>
    <w:rsid w:val="00376E62"/>
    <w:rsid w:val="0037700F"/>
    <w:rsid w:val="00377A8E"/>
    <w:rsid w:val="00380070"/>
    <w:rsid w:val="00380945"/>
    <w:rsid w:val="00381513"/>
    <w:rsid w:val="003815F5"/>
    <w:rsid w:val="00381F5B"/>
    <w:rsid w:val="00382371"/>
    <w:rsid w:val="00382685"/>
    <w:rsid w:val="00383B10"/>
    <w:rsid w:val="00385450"/>
    <w:rsid w:val="0038573E"/>
    <w:rsid w:val="00385B6C"/>
    <w:rsid w:val="00386577"/>
    <w:rsid w:val="003867BC"/>
    <w:rsid w:val="003878D9"/>
    <w:rsid w:val="00387B2A"/>
    <w:rsid w:val="00387EE3"/>
    <w:rsid w:val="003902F6"/>
    <w:rsid w:val="0039075B"/>
    <w:rsid w:val="0039079A"/>
    <w:rsid w:val="003910A7"/>
    <w:rsid w:val="003916D5"/>
    <w:rsid w:val="00392208"/>
    <w:rsid w:val="0039326C"/>
    <w:rsid w:val="0039424F"/>
    <w:rsid w:val="0039443A"/>
    <w:rsid w:val="00394D6F"/>
    <w:rsid w:val="00394EE8"/>
    <w:rsid w:val="00395585"/>
    <w:rsid w:val="00395988"/>
    <w:rsid w:val="00395A48"/>
    <w:rsid w:val="00395D41"/>
    <w:rsid w:val="00395F0B"/>
    <w:rsid w:val="00395F60"/>
    <w:rsid w:val="00395FF3"/>
    <w:rsid w:val="00396F5A"/>
    <w:rsid w:val="003977ED"/>
    <w:rsid w:val="003A007C"/>
    <w:rsid w:val="003A0373"/>
    <w:rsid w:val="003A06C7"/>
    <w:rsid w:val="003A0839"/>
    <w:rsid w:val="003A0CCE"/>
    <w:rsid w:val="003A1A29"/>
    <w:rsid w:val="003A226D"/>
    <w:rsid w:val="003A2422"/>
    <w:rsid w:val="003A3056"/>
    <w:rsid w:val="003A39FA"/>
    <w:rsid w:val="003A3A5A"/>
    <w:rsid w:val="003A3A67"/>
    <w:rsid w:val="003A3EE6"/>
    <w:rsid w:val="003A48E9"/>
    <w:rsid w:val="003A5066"/>
    <w:rsid w:val="003A507C"/>
    <w:rsid w:val="003A56FD"/>
    <w:rsid w:val="003A5F4D"/>
    <w:rsid w:val="003A6301"/>
    <w:rsid w:val="003A668A"/>
    <w:rsid w:val="003A6825"/>
    <w:rsid w:val="003A7277"/>
    <w:rsid w:val="003A75AA"/>
    <w:rsid w:val="003A7D75"/>
    <w:rsid w:val="003B0DEF"/>
    <w:rsid w:val="003B1260"/>
    <w:rsid w:val="003B1622"/>
    <w:rsid w:val="003B1647"/>
    <w:rsid w:val="003B1974"/>
    <w:rsid w:val="003B21AF"/>
    <w:rsid w:val="003B2FE7"/>
    <w:rsid w:val="003B337B"/>
    <w:rsid w:val="003B37DF"/>
    <w:rsid w:val="003B4863"/>
    <w:rsid w:val="003B4E3B"/>
    <w:rsid w:val="003B5136"/>
    <w:rsid w:val="003B5BD2"/>
    <w:rsid w:val="003B614A"/>
    <w:rsid w:val="003B654E"/>
    <w:rsid w:val="003B69A3"/>
    <w:rsid w:val="003B6A1F"/>
    <w:rsid w:val="003B7329"/>
    <w:rsid w:val="003B7838"/>
    <w:rsid w:val="003C0677"/>
    <w:rsid w:val="003C0861"/>
    <w:rsid w:val="003C0BE4"/>
    <w:rsid w:val="003C1D13"/>
    <w:rsid w:val="003C1E30"/>
    <w:rsid w:val="003C1EE2"/>
    <w:rsid w:val="003C2144"/>
    <w:rsid w:val="003C22C4"/>
    <w:rsid w:val="003C2B65"/>
    <w:rsid w:val="003C4869"/>
    <w:rsid w:val="003C4DE0"/>
    <w:rsid w:val="003C4F1E"/>
    <w:rsid w:val="003C549D"/>
    <w:rsid w:val="003C5D71"/>
    <w:rsid w:val="003C5E71"/>
    <w:rsid w:val="003C603A"/>
    <w:rsid w:val="003C63E2"/>
    <w:rsid w:val="003C66E2"/>
    <w:rsid w:val="003C6769"/>
    <w:rsid w:val="003C6818"/>
    <w:rsid w:val="003C7369"/>
    <w:rsid w:val="003C73C9"/>
    <w:rsid w:val="003C75AB"/>
    <w:rsid w:val="003C7BC3"/>
    <w:rsid w:val="003C7D73"/>
    <w:rsid w:val="003D02E1"/>
    <w:rsid w:val="003D1E9D"/>
    <w:rsid w:val="003D2191"/>
    <w:rsid w:val="003D2601"/>
    <w:rsid w:val="003D2901"/>
    <w:rsid w:val="003D3207"/>
    <w:rsid w:val="003D35C3"/>
    <w:rsid w:val="003D3DC9"/>
    <w:rsid w:val="003D40F9"/>
    <w:rsid w:val="003D439C"/>
    <w:rsid w:val="003D5673"/>
    <w:rsid w:val="003D57D1"/>
    <w:rsid w:val="003D6651"/>
    <w:rsid w:val="003D6ED8"/>
    <w:rsid w:val="003D7BA5"/>
    <w:rsid w:val="003E0398"/>
    <w:rsid w:val="003E097D"/>
    <w:rsid w:val="003E0D87"/>
    <w:rsid w:val="003E0DE1"/>
    <w:rsid w:val="003E0FCF"/>
    <w:rsid w:val="003E1042"/>
    <w:rsid w:val="003E1528"/>
    <w:rsid w:val="003E16A0"/>
    <w:rsid w:val="003E17E5"/>
    <w:rsid w:val="003E1E85"/>
    <w:rsid w:val="003E2C52"/>
    <w:rsid w:val="003E2C8B"/>
    <w:rsid w:val="003E2D71"/>
    <w:rsid w:val="003E37A1"/>
    <w:rsid w:val="003E3B08"/>
    <w:rsid w:val="003E3EB4"/>
    <w:rsid w:val="003E4D67"/>
    <w:rsid w:val="003E5862"/>
    <w:rsid w:val="003E5874"/>
    <w:rsid w:val="003E5C50"/>
    <w:rsid w:val="003E5D63"/>
    <w:rsid w:val="003E616E"/>
    <w:rsid w:val="003E6510"/>
    <w:rsid w:val="003E691B"/>
    <w:rsid w:val="003E7465"/>
    <w:rsid w:val="003E7656"/>
    <w:rsid w:val="003E7765"/>
    <w:rsid w:val="003F072A"/>
    <w:rsid w:val="003F0BA7"/>
    <w:rsid w:val="003F0EA0"/>
    <w:rsid w:val="003F1364"/>
    <w:rsid w:val="003F18D3"/>
    <w:rsid w:val="003F23EF"/>
    <w:rsid w:val="003F2E85"/>
    <w:rsid w:val="003F2EB5"/>
    <w:rsid w:val="003F370D"/>
    <w:rsid w:val="003F513C"/>
    <w:rsid w:val="003F51A4"/>
    <w:rsid w:val="003F5276"/>
    <w:rsid w:val="003F5612"/>
    <w:rsid w:val="003F5D5C"/>
    <w:rsid w:val="003F5F62"/>
    <w:rsid w:val="003F5FCA"/>
    <w:rsid w:val="003F62DD"/>
    <w:rsid w:val="003F69B2"/>
    <w:rsid w:val="003F7017"/>
    <w:rsid w:val="003F7242"/>
    <w:rsid w:val="003F72FA"/>
    <w:rsid w:val="003F7466"/>
    <w:rsid w:val="003F7F6C"/>
    <w:rsid w:val="004003AE"/>
    <w:rsid w:val="00400944"/>
    <w:rsid w:val="00400CC9"/>
    <w:rsid w:val="00400FA5"/>
    <w:rsid w:val="004010DB"/>
    <w:rsid w:val="00401605"/>
    <w:rsid w:val="004016B4"/>
    <w:rsid w:val="004019EA"/>
    <w:rsid w:val="00401B51"/>
    <w:rsid w:val="00401B8D"/>
    <w:rsid w:val="00401E59"/>
    <w:rsid w:val="00401FDB"/>
    <w:rsid w:val="00402476"/>
    <w:rsid w:val="00402994"/>
    <w:rsid w:val="00402D62"/>
    <w:rsid w:val="00402FEC"/>
    <w:rsid w:val="004035F3"/>
    <w:rsid w:val="0040362B"/>
    <w:rsid w:val="0040368A"/>
    <w:rsid w:val="00403776"/>
    <w:rsid w:val="00403BE3"/>
    <w:rsid w:val="004040E9"/>
    <w:rsid w:val="00404EF4"/>
    <w:rsid w:val="00405301"/>
    <w:rsid w:val="00405D21"/>
    <w:rsid w:val="00405E54"/>
    <w:rsid w:val="00405FAE"/>
    <w:rsid w:val="004063D5"/>
    <w:rsid w:val="00407321"/>
    <w:rsid w:val="00407D53"/>
    <w:rsid w:val="00410CF6"/>
    <w:rsid w:val="00411125"/>
    <w:rsid w:val="004124F1"/>
    <w:rsid w:val="00412614"/>
    <w:rsid w:val="0041334C"/>
    <w:rsid w:val="004142A8"/>
    <w:rsid w:val="00414591"/>
    <w:rsid w:val="00414B1A"/>
    <w:rsid w:val="00414DFD"/>
    <w:rsid w:val="00415B07"/>
    <w:rsid w:val="00415B5F"/>
    <w:rsid w:val="00415F68"/>
    <w:rsid w:val="00416846"/>
    <w:rsid w:val="004172F2"/>
    <w:rsid w:val="00417582"/>
    <w:rsid w:val="0042018D"/>
    <w:rsid w:val="0042021D"/>
    <w:rsid w:val="00420445"/>
    <w:rsid w:val="00420E61"/>
    <w:rsid w:val="0042159A"/>
    <w:rsid w:val="00421F09"/>
    <w:rsid w:val="004222BF"/>
    <w:rsid w:val="0042238B"/>
    <w:rsid w:val="004223E1"/>
    <w:rsid w:val="004226A7"/>
    <w:rsid w:val="00422AAA"/>
    <w:rsid w:val="0042339A"/>
    <w:rsid w:val="004236C4"/>
    <w:rsid w:val="00423721"/>
    <w:rsid w:val="00423E53"/>
    <w:rsid w:val="00423FF5"/>
    <w:rsid w:val="0042417E"/>
    <w:rsid w:val="0042428B"/>
    <w:rsid w:val="004243F8"/>
    <w:rsid w:val="004245E0"/>
    <w:rsid w:val="004257D2"/>
    <w:rsid w:val="00425861"/>
    <w:rsid w:val="00425A31"/>
    <w:rsid w:val="00425B63"/>
    <w:rsid w:val="00425FAC"/>
    <w:rsid w:val="004275BC"/>
    <w:rsid w:val="0042770F"/>
    <w:rsid w:val="004277D1"/>
    <w:rsid w:val="00427846"/>
    <w:rsid w:val="004302DC"/>
    <w:rsid w:val="004304E0"/>
    <w:rsid w:val="0043069D"/>
    <w:rsid w:val="004308F9"/>
    <w:rsid w:val="00430ABE"/>
    <w:rsid w:val="00430C37"/>
    <w:rsid w:val="00430E17"/>
    <w:rsid w:val="004313AA"/>
    <w:rsid w:val="004317B6"/>
    <w:rsid w:val="00431A3F"/>
    <w:rsid w:val="004320E8"/>
    <w:rsid w:val="0043227B"/>
    <w:rsid w:val="004327BD"/>
    <w:rsid w:val="00433739"/>
    <w:rsid w:val="004339A2"/>
    <w:rsid w:val="00433DFD"/>
    <w:rsid w:val="00433F58"/>
    <w:rsid w:val="004340AB"/>
    <w:rsid w:val="00434124"/>
    <w:rsid w:val="00434471"/>
    <w:rsid w:val="004349C3"/>
    <w:rsid w:val="0043500C"/>
    <w:rsid w:val="004353B5"/>
    <w:rsid w:val="0043567E"/>
    <w:rsid w:val="004358F6"/>
    <w:rsid w:val="00435B4E"/>
    <w:rsid w:val="004361CF"/>
    <w:rsid w:val="00436311"/>
    <w:rsid w:val="00436716"/>
    <w:rsid w:val="00436F76"/>
    <w:rsid w:val="00436FFE"/>
    <w:rsid w:val="004371B7"/>
    <w:rsid w:val="004371CC"/>
    <w:rsid w:val="004376A6"/>
    <w:rsid w:val="00437C77"/>
    <w:rsid w:val="00440332"/>
    <w:rsid w:val="004404B2"/>
    <w:rsid w:val="004409D5"/>
    <w:rsid w:val="00440B6A"/>
    <w:rsid w:val="00440F96"/>
    <w:rsid w:val="00440FC5"/>
    <w:rsid w:val="0044125A"/>
    <w:rsid w:val="004416EB"/>
    <w:rsid w:val="004420DD"/>
    <w:rsid w:val="00442717"/>
    <w:rsid w:val="00442AEB"/>
    <w:rsid w:val="00442E00"/>
    <w:rsid w:val="00442F62"/>
    <w:rsid w:val="004433A9"/>
    <w:rsid w:val="00444050"/>
    <w:rsid w:val="00444485"/>
    <w:rsid w:val="00444C9E"/>
    <w:rsid w:val="00444F23"/>
    <w:rsid w:val="00444F52"/>
    <w:rsid w:val="004450AA"/>
    <w:rsid w:val="004473E5"/>
    <w:rsid w:val="0044797F"/>
    <w:rsid w:val="00447980"/>
    <w:rsid w:val="00447AD9"/>
    <w:rsid w:val="0045008A"/>
    <w:rsid w:val="00450294"/>
    <w:rsid w:val="0045043B"/>
    <w:rsid w:val="004516CA"/>
    <w:rsid w:val="004518C4"/>
    <w:rsid w:val="0045282C"/>
    <w:rsid w:val="00452974"/>
    <w:rsid w:val="0045313A"/>
    <w:rsid w:val="00453811"/>
    <w:rsid w:val="0045421D"/>
    <w:rsid w:val="004546DE"/>
    <w:rsid w:val="00454E23"/>
    <w:rsid w:val="00454E2D"/>
    <w:rsid w:val="00454EC4"/>
    <w:rsid w:val="00454FAA"/>
    <w:rsid w:val="00456225"/>
    <w:rsid w:val="0045785F"/>
    <w:rsid w:val="004603A2"/>
    <w:rsid w:val="00460616"/>
    <w:rsid w:val="00460E94"/>
    <w:rsid w:val="00461006"/>
    <w:rsid w:val="004615DF"/>
    <w:rsid w:val="0046186F"/>
    <w:rsid w:val="00461A26"/>
    <w:rsid w:val="00461F92"/>
    <w:rsid w:val="00462277"/>
    <w:rsid w:val="00462DB0"/>
    <w:rsid w:val="0046320A"/>
    <w:rsid w:val="00463B58"/>
    <w:rsid w:val="004653EA"/>
    <w:rsid w:val="00465574"/>
    <w:rsid w:val="00465595"/>
    <w:rsid w:val="0046599C"/>
    <w:rsid w:val="004659E1"/>
    <w:rsid w:val="004662AA"/>
    <w:rsid w:val="00466465"/>
    <w:rsid w:val="00466C6D"/>
    <w:rsid w:val="0046713A"/>
    <w:rsid w:val="00467402"/>
    <w:rsid w:val="00467AD6"/>
    <w:rsid w:val="00470007"/>
    <w:rsid w:val="00470384"/>
    <w:rsid w:val="004706BE"/>
    <w:rsid w:val="00470E49"/>
    <w:rsid w:val="00471C9F"/>
    <w:rsid w:val="00471EC0"/>
    <w:rsid w:val="0047243D"/>
    <w:rsid w:val="00472C5F"/>
    <w:rsid w:val="00473A14"/>
    <w:rsid w:val="00474D78"/>
    <w:rsid w:val="00475CB2"/>
    <w:rsid w:val="004760F0"/>
    <w:rsid w:val="004767A7"/>
    <w:rsid w:val="004769DE"/>
    <w:rsid w:val="00476BDD"/>
    <w:rsid w:val="00476FE0"/>
    <w:rsid w:val="00477020"/>
    <w:rsid w:val="004778BF"/>
    <w:rsid w:val="00477950"/>
    <w:rsid w:val="00477A67"/>
    <w:rsid w:val="004801F7"/>
    <w:rsid w:val="00480261"/>
    <w:rsid w:val="0048085F"/>
    <w:rsid w:val="00480D45"/>
    <w:rsid w:val="00480F1F"/>
    <w:rsid w:val="00480FCB"/>
    <w:rsid w:val="004812E8"/>
    <w:rsid w:val="00482112"/>
    <w:rsid w:val="0048287A"/>
    <w:rsid w:val="00482968"/>
    <w:rsid w:val="00482D11"/>
    <w:rsid w:val="004832DC"/>
    <w:rsid w:val="00483314"/>
    <w:rsid w:val="00483380"/>
    <w:rsid w:val="00483519"/>
    <w:rsid w:val="00483685"/>
    <w:rsid w:val="0048377F"/>
    <w:rsid w:val="00483914"/>
    <w:rsid w:val="0048391D"/>
    <w:rsid w:val="00483E13"/>
    <w:rsid w:val="00484925"/>
    <w:rsid w:val="00484D7D"/>
    <w:rsid w:val="00484EFB"/>
    <w:rsid w:val="00485926"/>
    <w:rsid w:val="00485FFA"/>
    <w:rsid w:val="00486132"/>
    <w:rsid w:val="00486211"/>
    <w:rsid w:val="004862BF"/>
    <w:rsid w:val="00486A1E"/>
    <w:rsid w:val="00486E0F"/>
    <w:rsid w:val="0048774D"/>
    <w:rsid w:val="0049026B"/>
    <w:rsid w:val="004903B0"/>
    <w:rsid w:val="004908AE"/>
    <w:rsid w:val="00490A17"/>
    <w:rsid w:val="00490D05"/>
    <w:rsid w:val="00490E62"/>
    <w:rsid w:val="00491049"/>
    <w:rsid w:val="004910B5"/>
    <w:rsid w:val="0049172C"/>
    <w:rsid w:val="00491E72"/>
    <w:rsid w:val="00492062"/>
    <w:rsid w:val="004921A8"/>
    <w:rsid w:val="004923CF"/>
    <w:rsid w:val="00492448"/>
    <w:rsid w:val="00492474"/>
    <w:rsid w:val="00493289"/>
    <w:rsid w:val="004944E7"/>
    <w:rsid w:val="0049471A"/>
    <w:rsid w:val="004947E7"/>
    <w:rsid w:val="004949C6"/>
    <w:rsid w:val="00494F53"/>
    <w:rsid w:val="00495005"/>
    <w:rsid w:val="00495A2E"/>
    <w:rsid w:val="00495CC8"/>
    <w:rsid w:val="0049629F"/>
    <w:rsid w:val="00496497"/>
    <w:rsid w:val="0049658A"/>
    <w:rsid w:val="004969D3"/>
    <w:rsid w:val="00496A53"/>
    <w:rsid w:val="00496E9D"/>
    <w:rsid w:val="004A0301"/>
    <w:rsid w:val="004A0359"/>
    <w:rsid w:val="004A09B2"/>
    <w:rsid w:val="004A0D16"/>
    <w:rsid w:val="004A1152"/>
    <w:rsid w:val="004A11E9"/>
    <w:rsid w:val="004A2FBC"/>
    <w:rsid w:val="004A3315"/>
    <w:rsid w:val="004A3D33"/>
    <w:rsid w:val="004A3E65"/>
    <w:rsid w:val="004A4DBB"/>
    <w:rsid w:val="004A55C3"/>
    <w:rsid w:val="004A59E2"/>
    <w:rsid w:val="004A5AEC"/>
    <w:rsid w:val="004A5E7F"/>
    <w:rsid w:val="004A6972"/>
    <w:rsid w:val="004A78EB"/>
    <w:rsid w:val="004A7EC8"/>
    <w:rsid w:val="004B00D2"/>
    <w:rsid w:val="004B0F6A"/>
    <w:rsid w:val="004B1C4A"/>
    <w:rsid w:val="004B1F54"/>
    <w:rsid w:val="004B224C"/>
    <w:rsid w:val="004B2406"/>
    <w:rsid w:val="004B2EAB"/>
    <w:rsid w:val="004B3A90"/>
    <w:rsid w:val="004B400F"/>
    <w:rsid w:val="004B448A"/>
    <w:rsid w:val="004B4DDE"/>
    <w:rsid w:val="004B59AC"/>
    <w:rsid w:val="004B5C02"/>
    <w:rsid w:val="004B64F9"/>
    <w:rsid w:val="004B69B8"/>
    <w:rsid w:val="004B6CD9"/>
    <w:rsid w:val="004B6EAF"/>
    <w:rsid w:val="004B728C"/>
    <w:rsid w:val="004B7B81"/>
    <w:rsid w:val="004C0DF2"/>
    <w:rsid w:val="004C0F32"/>
    <w:rsid w:val="004C110C"/>
    <w:rsid w:val="004C16CD"/>
    <w:rsid w:val="004C283E"/>
    <w:rsid w:val="004C2F56"/>
    <w:rsid w:val="004C385E"/>
    <w:rsid w:val="004C3A59"/>
    <w:rsid w:val="004C3DD9"/>
    <w:rsid w:val="004C4691"/>
    <w:rsid w:val="004C47BA"/>
    <w:rsid w:val="004C4867"/>
    <w:rsid w:val="004C5335"/>
    <w:rsid w:val="004C59CA"/>
    <w:rsid w:val="004C6625"/>
    <w:rsid w:val="004C6775"/>
    <w:rsid w:val="004C6D63"/>
    <w:rsid w:val="004C6DD7"/>
    <w:rsid w:val="004C6E6D"/>
    <w:rsid w:val="004C73DE"/>
    <w:rsid w:val="004C79AE"/>
    <w:rsid w:val="004C79FB"/>
    <w:rsid w:val="004C7BEE"/>
    <w:rsid w:val="004D0038"/>
    <w:rsid w:val="004D1B52"/>
    <w:rsid w:val="004D248C"/>
    <w:rsid w:val="004D2DC7"/>
    <w:rsid w:val="004D3D98"/>
    <w:rsid w:val="004D401A"/>
    <w:rsid w:val="004D4328"/>
    <w:rsid w:val="004D488B"/>
    <w:rsid w:val="004D529F"/>
    <w:rsid w:val="004D5335"/>
    <w:rsid w:val="004D53B7"/>
    <w:rsid w:val="004D53C4"/>
    <w:rsid w:val="004D546C"/>
    <w:rsid w:val="004D5D04"/>
    <w:rsid w:val="004D6244"/>
    <w:rsid w:val="004D63C5"/>
    <w:rsid w:val="004D66BC"/>
    <w:rsid w:val="004D7C2D"/>
    <w:rsid w:val="004D7EF6"/>
    <w:rsid w:val="004E0026"/>
    <w:rsid w:val="004E016E"/>
    <w:rsid w:val="004E03AE"/>
    <w:rsid w:val="004E05BC"/>
    <w:rsid w:val="004E0892"/>
    <w:rsid w:val="004E3ADE"/>
    <w:rsid w:val="004E3F9D"/>
    <w:rsid w:val="004E4180"/>
    <w:rsid w:val="004E4500"/>
    <w:rsid w:val="004E450F"/>
    <w:rsid w:val="004E4BC3"/>
    <w:rsid w:val="004E4F66"/>
    <w:rsid w:val="004E52E0"/>
    <w:rsid w:val="004E545B"/>
    <w:rsid w:val="004E57BE"/>
    <w:rsid w:val="004E5AFA"/>
    <w:rsid w:val="004E5DFC"/>
    <w:rsid w:val="004E6299"/>
    <w:rsid w:val="004E6C44"/>
    <w:rsid w:val="004E6D03"/>
    <w:rsid w:val="004E6EDB"/>
    <w:rsid w:val="004E77A8"/>
    <w:rsid w:val="004E7935"/>
    <w:rsid w:val="004E7BB9"/>
    <w:rsid w:val="004F15B9"/>
    <w:rsid w:val="004F1A44"/>
    <w:rsid w:val="004F2304"/>
    <w:rsid w:val="004F23C4"/>
    <w:rsid w:val="004F2FF9"/>
    <w:rsid w:val="004F30E6"/>
    <w:rsid w:val="004F3891"/>
    <w:rsid w:val="004F39ED"/>
    <w:rsid w:val="004F4164"/>
    <w:rsid w:val="004F4E5B"/>
    <w:rsid w:val="004F4EA9"/>
    <w:rsid w:val="004F5751"/>
    <w:rsid w:val="004F5B5C"/>
    <w:rsid w:val="004F605E"/>
    <w:rsid w:val="004F613D"/>
    <w:rsid w:val="004F643B"/>
    <w:rsid w:val="004F64A1"/>
    <w:rsid w:val="004F6523"/>
    <w:rsid w:val="004F69BA"/>
    <w:rsid w:val="004F6E71"/>
    <w:rsid w:val="004F709A"/>
    <w:rsid w:val="004F7734"/>
    <w:rsid w:val="00500A53"/>
    <w:rsid w:val="00500DBB"/>
    <w:rsid w:val="00501C27"/>
    <w:rsid w:val="00501E93"/>
    <w:rsid w:val="0050225D"/>
    <w:rsid w:val="005024DA"/>
    <w:rsid w:val="00502B00"/>
    <w:rsid w:val="005036FB"/>
    <w:rsid w:val="00503966"/>
    <w:rsid w:val="00503B1B"/>
    <w:rsid w:val="00505861"/>
    <w:rsid w:val="00505A12"/>
    <w:rsid w:val="00505D90"/>
    <w:rsid w:val="00505F2C"/>
    <w:rsid w:val="00505FE9"/>
    <w:rsid w:val="00506282"/>
    <w:rsid w:val="00506425"/>
    <w:rsid w:val="00506650"/>
    <w:rsid w:val="00506863"/>
    <w:rsid w:val="005070D1"/>
    <w:rsid w:val="0050724C"/>
    <w:rsid w:val="00507583"/>
    <w:rsid w:val="00507F16"/>
    <w:rsid w:val="00507F42"/>
    <w:rsid w:val="005102EC"/>
    <w:rsid w:val="00510CF1"/>
    <w:rsid w:val="00510DB9"/>
    <w:rsid w:val="00511593"/>
    <w:rsid w:val="00511EC0"/>
    <w:rsid w:val="00511FBD"/>
    <w:rsid w:val="00512CA3"/>
    <w:rsid w:val="00512E55"/>
    <w:rsid w:val="00513AC0"/>
    <w:rsid w:val="00513D04"/>
    <w:rsid w:val="005143BB"/>
    <w:rsid w:val="005145BD"/>
    <w:rsid w:val="00514A90"/>
    <w:rsid w:val="00514B66"/>
    <w:rsid w:val="00515008"/>
    <w:rsid w:val="00515177"/>
    <w:rsid w:val="00516148"/>
    <w:rsid w:val="005163B4"/>
    <w:rsid w:val="0051663D"/>
    <w:rsid w:val="00516FE8"/>
    <w:rsid w:val="005209DC"/>
    <w:rsid w:val="0052244D"/>
    <w:rsid w:val="00522941"/>
    <w:rsid w:val="005229E7"/>
    <w:rsid w:val="00522A54"/>
    <w:rsid w:val="00522D9E"/>
    <w:rsid w:val="00522F5D"/>
    <w:rsid w:val="0052309A"/>
    <w:rsid w:val="00524E93"/>
    <w:rsid w:val="00525201"/>
    <w:rsid w:val="00525378"/>
    <w:rsid w:val="005259FC"/>
    <w:rsid w:val="005268C7"/>
    <w:rsid w:val="00526AAE"/>
    <w:rsid w:val="005270E8"/>
    <w:rsid w:val="005275C4"/>
    <w:rsid w:val="00527BF8"/>
    <w:rsid w:val="00527E0C"/>
    <w:rsid w:val="00530325"/>
    <w:rsid w:val="005306CC"/>
    <w:rsid w:val="00530AF5"/>
    <w:rsid w:val="00530C4D"/>
    <w:rsid w:val="005316D1"/>
    <w:rsid w:val="00531A2B"/>
    <w:rsid w:val="00531D6C"/>
    <w:rsid w:val="00531EC2"/>
    <w:rsid w:val="00532158"/>
    <w:rsid w:val="0053228E"/>
    <w:rsid w:val="005328A5"/>
    <w:rsid w:val="00532B4C"/>
    <w:rsid w:val="005334B3"/>
    <w:rsid w:val="005335E2"/>
    <w:rsid w:val="00533DAC"/>
    <w:rsid w:val="005344EB"/>
    <w:rsid w:val="005349FA"/>
    <w:rsid w:val="00535AE7"/>
    <w:rsid w:val="00536105"/>
    <w:rsid w:val="00536700"/>
    <w:rsid w:val="00536786"/>
    <w:rsid w:val="00536EDE"/>
    <w:rsid w:val="005371B1"/>
    <w:rsid w:val="0053753B"/>
    <w:rsid w:val="005413D2"/>
    <w:rsid w:val="0054174F"/>
    <w:rsid w:val="00541875"/>
    <w:rsid w:val="00541B19"/>
    <w:rsid w:val="00542120"/>
    <w:rsid w:val="0054252E"/>
    <w:rsid w:val="005426A6"/>
    <w:rsid w:val="00542D1E"/>
    <w:rsid w:val="0054376B"/>
    <w:rsid w:val="0054383D"/>
    <w:rsid w:val="00544188"/>
    <w:rsid w:val="00544F32"/>
    <w:rsid w:val="00544FA1"/>
    <w:rsid w:val="005451BA"/>
    <w:rsid w:val="00545249"/>
    <w:rsid w:val="005452FA"/>
    <w:rsid w:val="005453A7"/>
    <w:rsid w:val="0054651C"/>
    <w:rsid w:val="00546F11"/>
    <w:rsid w:val="00547047"/>
    <w:rsid w:val="00547203"/>
    <w:rsid w:val="00547269"/>
    <w:rsid w:val="005477C7"/>
    <w:rsid w:val="005477E3"/>
    <w:rsid w:val="0054790F"/>
    <w:rsid w:val="005501EE"/>
    <w:rsid w:val="00550741"/>
    <w:rsid w:val="00550BD7"/>
    <w:rsid w:val="00550FB0"/>
    <w:rsid w:val="00551AB6"/>
    <w:rsid w:val="005529C5"/>
    <w:rsid w:val="00553A03"/>
    <w:rsid w:val="00553D4F"/>
    <w:rsid w:val="00553E02"/>
    <w:rsid w:val="00554282"/>
    <w:rsid w:val="00554819"/>
    <w:rsid w:val="0055514C"/>
    <w:rsid w:val="005552D5"/>
    <w:rsid w:val="005558FA"/>
    <w:rsid w:val="00555F55"/>
    <w:rsid w:val="00557200"/>
    <w:rsid w:val="00557B64"/>
    <w:rsid w:val="005604AC"/>
    <w:rsid w:val="00560D92"/>
    <w:rsid w:val="005612EF"/>
    <w:rsid w:val="005626D6"/>
    <w:rsid w:val="00562B85"/>
    <w:rsid w:val="00563873"/>
    <w:rsid w:val="00564C6C"/>
    <w:rsid w:val="00565460"/>
    <w:rsid w:val="00565DFB"/>
    <w:rsid w:val="00565E67"/>
    <w:rsid w:val="00566131"/>
    <w:rsid w:val="0056678A"/>
    <w:rsid w:val="00566821"/>
    <w:rsid w:val="00566E12"/>
    <w:rsid w:val="005675D6"/>
    <w:rsid w:val="00567DE6"/>
    <w:rsid w:val="00567F47"/>
    <w:rsid w:val="00570598"/>
    <w:rsid w:val="00570D3E"/>
    <w:rsid w:val="00571005"/>
    <w:rsid w:val="00571121"/>
    <w:rsid w:val="005713A6"/>
    <w:rsid w:val="00571C49"/>
    <w:rsid w:val="00572684"/>
    <w:rsid w:val="0057273A"/>
    <w:rsid w:val="00573558"/>
    <w:rsid w:val="0057548B"/>
    <w:rsid w:val="0057556F"/>
    <w:rsid w:val="0057563E"/>
    <w:rsid w:val="00576D37"/>
    <w:rsid w:val="0057709C"/>
    <w:rsid w:val="00577146"/>
    <w:rsid w:val="0058097F"/>
    <w:rsid w:val="005811DD"/>
    <w:rsid w:val="005819AB"/>
    <w:rsid w:val="00581DC9"/>
    <w:rsid w:val="0058204C"/>
    <w:rsid w:val="0058258E"/>
    <w:rsid w:val="00582BC6"/>
    <w:rsid w:val="00582CD1"/>
    <w:rsid w:val="00583776"/>
    <w:rsid w:val="00583C16"/>
    <w:rsid w:val="00583D1D"/>
    <w:rsid w:val="00584E40"/>
    <w:rsid w:val="0058515F"/>
    <w:rsid w:val="005851D3"/>
    <w:rsid w:val="005852C2"/>
    <w:rsid w:val="005853E1"/>
    <w:rsid w:val="005858F7"/>
    <w:rsid w:val="00585F5E"/>
    <w:rsid w:val="00586653"/>
    <w:rsid w:val="005869BF"/>
    <w:rsid w:val="00586A23"/>
    <w:rsid w:val="00586AB0"/>
    <w:rsid w:val="00586F6A"/>
    <w:rsid w:val="005907A1"/>
    <w:rsid w:val="005915E1"/>
    <w:rsid w:val="0059171F"/>
    <w:rsid w:val="00591ABF"/>
    <w:rsid w:val="00592CD3"/>
    <w:rsid w:val="00592FE9"/>
    <w:rsid w:val="00593D31"/>
    <w:rsid w:val="005940B3"/>
    <w:rsid w:val="005942BF"/>
    <w:rsid w:val="005942CF"/>
    <w:rsid w:val="0059559B"/>
    <w:rsid w:val="00595BA0"/>
    <w:rsid w:val="00596EAA"/>
    <w:rsid w:val="005974C8"/>
    <w:rsid w:val="00597D54"/>
    <w:rsid w:val="00597E79"/>
    <w:rsid w:val="005A0CA3"/>
    <w:rsid w:val="005A0F90"/>
    <w:rsid w:val="005A1790"/>
    <w:rsid w:val="005A264A"/>
    <w:rsid w:val="005A27AD"/>
    <w:rsid w:val="005A2ECD"/>
    <w:rsid w:val="005A3622"/>
    <w:rsid w:val="005A36A4"/>
    <w:rsid w:val="005A3AE7"/>
    <w:rsid w:val="005A3CED"/>
    <w:rsid w:val="005A3DE9"/>
    <w:rsid w:val="005A3EEE"/>
    <w:rsid w:val="005A43CC"/>
    <w:rsid w:val="005A4DA2"/>
    <w:rsid w:val="005A6645"/>
    <w:rsid w:val="005A6957"/>
    <w:rsid w:val="005A72E6"/>
    <w:rsid w:val="005A74B0"/>
    <w:rsid w:val="005A77CB"/>
    <w:rsid w:val="005B035D"/>
    <w:rsid w:val="005B0DF4"/>
    <w:rsid w:val="005B10C9"/>
    <w:rsid w:val="005B11C8"/>
    <w:rsid w:val="005B1591"/>
    <w:rsid w:val="005B1A9D"/>
    <w:rsid w:val="005B1ECE"/>
    <w:rsid w:val="005B23D5"/>
    <w:rsid w:val="005B25F4"/>
    <w:rsid w:val="005B2CE0"/>
    <w:rsid w:val="005B3323"/>
    <w:rsid w:val="005B360C"/>
    <w:rsid w:val="005B4847"/>
    <w:rsid w:val="005B4C00"/>
    <w:rsid w:val="005B5992"/>
    <w:rsid w:val="005B6297"/>
    <w:rsid w:val="005B66BD"/>
    <w:rsid w:val="005B66D4"/>
    <w:rsid w:val="005B6DD8"/>
    <w:rsid w:val="005B77D6"/>
    <w:rsid w:val="005C0561"/>
    <w:rsid w:val="005C0590"/>
    <w:rsid w:val="005C12BB"/>
    <w:rsid w:val="005C19EC"/>
    <w:rsid w:val="005C1EC8"/>
    <w:rsid w:val="005C3527"/>
    <w:rsid w:val="005C39C1"/>
    <w:rsid w:val="005C3BA0"/>
    <w:rsid w:val="005C3C01"/>
    <w:rsid w:val="005C3CC5"/>
    <w:rsid w:val="005C423B"/>
    <w:rsid w:val="005C4493"/>
    <w:rsid w:val="005C474F"/>
    <w:rsid w:val="005C4EE9"/>
    <w:rsid w:val="005C542F"/>
    <w:rsid w:val="005C5685"/>
    <w:rsid w:val="005C6104"/>
    <w:rsid w:val="005C62C5"/>
    <w:rsid w:val="005C6AE9"/>
    <w:rsid w:val="005C6B2B"/>
    <w:rsid w:val="005C6E18"/>
    <w:rsid w:val="005C7118"/>
    <w:rsid w:val="005C782E"/>
    <w:rsid w:val="005C7853"/>
    <w:rsid w:val="005C79E8"/>
    <w:rsid w:val="005D0818"/>
    <w:rsid w:val="005D0BE5"/>
    <w:rsid w:val="005D1871"/>
    <w:rsid w:val="005D21D5"/>
    <w:rsid w:val="005D23E4"/>
    <w:rsid w:val="005D2F10"/>
    <w:rsid w:val="005D2FE1"/>
    <w:rsid w:val="005D3B71"/>
    <w:rsid w:val="005D42D4"/>
    <w:rsid w:val="005D443D"/>
    <w:rsid w:val="005D45AC"/>
    <w:rsid w:val="005D47D0"/>
    <w:rsid w:val="005D4B29"/>
    <w:rsid w:val="005D5A15"/>
    <w:rsid w:val="005D753B"/>
    <w:rsid w:val="005D7582"/>
    <w:rsid w:val="005D7C4B"/>
    <w:rsid w:val="005E01D1"/>
    <w:rsid w:val="005E063D"/>
    <w:rsid w:val="005E137D"/>
    <w:rsid w:val="005E1E1E"/>
    <w:rsid w:val="005E1F76"/>
    <w:rsid w:val="005E24F5"/>
    <w:rsid w:val="005E27A9"/>
    <w:rsid w:val="005E2814"/>
    <w:rsid w:val="005E2F7D"/>
    <w:rsid w:val="005E2FD2"/>
    <w:rsid w:val="005E30F0"/>
    <w:rsid w:val="005E51AC"/>
    <w:rsid w:val="005E560C"/>
    <w:rsid w:val="005E5B1E"/>
    <w:rsid w:val="005E6941"/>
    <w:rsid w:val="005E70D9"/>
    <w:rsid w:val="005E74C7"/>
    <w:rsid w:val="005E7CC7"/>
    <w:rsid w:val="005F049B"/>
    <w:rsid w:val="005F1096"/>
    <w:rsid w:val="005F1224"/>
    <w:rsid w:val="005F1329"/>
    <w:rsid w:val="005F1F1A"/>
    <w:rsid w:val="005F1F62"/>
    <w:rsid w:val="005F23D5"/>
    <w:rsid w:val="005F2C52"/>
    <w:rsid w:val="005F2D62"/>
    <w:rsid w:val="005F3624"/>
    <w:rsid w:val="005F37FF"/>
    <w:rsid w:val="005F3CB8"/>
    <w:rsid w:val="005F3EEE"/>
    <w:rsid w:val="005F3FB0"/>
    <w:rsid w:val="005F468E"/>
    <w:rsid w:val="005F469A"/>
    <w:rsid w:val="005F4C1D"/>
    <w:rsid w:val="005F4C9A"/>
    <w:rsid w:val="005F4EA4"/>
    <w:rsid w:val="005F5217"/>
    <w:rsid w:val="005F521F"/>
    <w:rsid w:val="005F59BB"/>
    <w:rsid w:val="005F6239"/>
    <w:rsid w:val="005F668A"/>
    <w:rsid w:val="005F6A7C"/>
    <w:rsid w:val="005F6D6A"/>
    <w:rsid w:val="005F6DC6"/>
    <w:rsid w:val="005F735B"/>
    <w:rsid w:val="005F7C41"/>
    <w:rsid w:val="005F7F33"/>
    <w:rsid w:val="006007FF"/>
    <w:rsid w:val="00600CA3"/>
    <w:rsid w:val="00601624"/>
    <w:rsid w:val="006018F9"/>
    <w:rsid w:val="00601921"/>
    <w:rsid w:val="00601DFA"/>
    <w:rsid w:val="00601F12"/>
    <w:rsid w:val="00602419"/>
    <w:rsid w:val="00602F06"/>
    <w:rsid w:val="006035CF"/>
    <w:rsid w:val="00604193"/>
    <w:rsid w:val="00604250"/>
    <w:rsid w:val="006045C1"/>
    <w:rsid w:val="00604FA0"/>
    <w:rsid w:val="0060502C"/>
    <w:rsid w:val="006060A7"/>
    <w:rsid w:val="006066CE"/>
    <w:rsid w:val="006074BA"/>
    <w:rsid w:val="0060784D"/>
    <w:rsid w:val="006079B6"/>
    <w:rsid w:val="00607A8F"/>
    <w:rsid w:val="00610295"/>
    <w:rsid w:val="0061073D"/>
    <w:rsid w:val="00610BC3"/>
    <w:rsid w:val="00610C32"/>
    <w:rsid w:val="006118FB"/>
    <w:rsid w:val="00611B6B"/>
    <w:rsid w:val="00612179"/>
    <w:rsid w:val="006121D3"/>
    <w:rsid w:val="006122E2"/>
    <w:rsid w:val="006125E4"/>
    <w:rsid w:val="00612C6B"/>
    <w:rsid w:val="006133E3"/>
    <w:rsid w:val="0061374C"/>
    <w:rsid w:val="00613CE9"/>
    <w:rsid w:val="00615D91"/>
    <w:rsid w:val="0061682A"/>
    <w:rsid w:val="00616A5C"/>
    <w:rsid w:val="00616C4B"/>
    <w:rsid w:val="0061717D"/>
    <w:rsid w:val="00620164"/>
    <w:rsid w:val="006203A8"/>
    <w:rsid w:val="006207D4"/>
    <w:rsid w:val="00621AC1"/>
    <w:rsid w:val="00621D73"/>
    <w:rsid w:val="00621F65"/>
    <w:rsid w:val="006223BC"/>
    <w:rsid w:val="00622DD0"/>
    <w:rsid w:val="00624FFE"/>
    <w:rsid w:val="00625403"/>
    <w:rsid w:val="00625520"/>
    <w:rsid w:val="00625789"/>
    <w:rsid w:val="00625F12"/>
    <w:rsid w:val="00626E9E"/>
    <w:rsid w:val="00626EA3"/>
    <w:rsid w:val="006274E3"/>
    <w:rsid w:val="00630A1B"/>
    <w:rsid w:val="00630AC3"/>
    <w:rsid w:val="00630BBE"/>
    <w:rsid w:val="006311E2"/>
    <w:rsid w:val="00631692"/>
    <w:rsid w:val="006319A9"/>
    <w:rsid w:val="00631AD8"/>
    <w:rsid w:val="00631B2E"/>
    <w:rsid w:val="0063237F"/>
    <w:rsid w:val="00632418"/>
    <w:rsid w:val="00632DFA"/>
    <w:rsid w:val="00632E61"/>
    <w:rsid w:val="006336F4"/>
    <w:rsid w:val="00633BFB"/>
    <w:rsid w:val="00634A34"/>
    <w:rsid w:val="006352C4"/>
    <w:rsid w:val="006353FA"/>
    <w:rsid w:val="00635B9D"/>
    <w:rsid w:val="00635C1F"/>
    <w:rsid w:val="00635DAF"/>
    <w:rsid w:val="006363E7"/>
    <w:rsid w:val="00636D0F"/>
    <w:rsid w:val="0063718C"/>
    <w:rsid w:val="00637E42"/>
    <w:rsid w:val="00637FAC"/>
    <w:rsid w:val="00640C15"/>
    <w:rsid w:val="006412DC"/>
    <w:rsid w:val="00641390"/>
    <w:rsid w:val="0064153A"/>
    <w:rsid w:val="00641CEC"/>
    <w:rsid w:val="0064205B"/>
    <w:rsid w:val="00642290"/>
    <w:rsid w:val="00642639"/>
    <w:rsid w:val="00642C2E"/>
    <w:rsid w:val="00642DF2"/>
    <w:rsid w:val="0064365C"/>
    <w:rsid w:val="00643A1A"/>
    <w:rsid w:val="00643C36"/>
    <w:rsid w:val="006440D1"/>
    <w:rsid w:val="0064421D"/>
    <w:rsid w:val="006447B1"/>
    <w:rsid w:val="00645412"/>
    <w:rsid w:val="00645821"/>
    <w:rsid w:val="00645AF3"/>
    <w:rsid w:val="00646BBC"/>
    <w:rsid w:val="00647093"/>
    <w:rsid w:val="00647584"/>
    <w:rsid w:val="006476BA"/>
    <w:rsid w:val="00650149"/>
    <w:rsid w:val="00650B93"/>
    <w:rsid w:val="00650FCF"/>
    <w:rsid w:val="00651425"/>
    <w:rsid w:val="006518FA"/>
    <w:rsid w:val="00652278"/>
    <w:rsid w:val="0065229D"/>
    <w:rsid w:val="006522E3"/>
    <w:rsid w:val="00652328"/>
    <w:rsid w:val="006523B7"/>
    <w:rsid w:val="00652B02"/>
    <w:rsid w:val="0065357F"/>
    <w:rsid w:val="0065393C"/>
    <w:rsid w:val="00653B2C"/>
    <w:rsid w:val="00653C3A"/>
    <w:rsid w:val="00653D19"/>
    <w:rsid w:val="00653DA7"/>
    <w:rsid w:val="00653F9B"/>
    <w:rsid w:val="0065431A"/>
    <w:rsid w:val="006543D6"/>
    <w:rsid w:val="00654CFE"/>
    <w:rsid w:val="0065526C"/>
    <w:rsid w:val="00656903"/>
    <w:rsid w:val="00657A45"/>
    <w:rsid w:val="0066055E"/>
    <w:rsid w:val="0066066B"/>
    <w:rsid w:val="00660B83"/>
    <w:rsid w:val="00660C8D"/>
    <w:rsid w:val="00660F75"/>
    <w:rsid w:val="006612CE"/>
    <w:rsid w:val="00661437"/>
    <w:rsid w:val="0066147A"/>
    <w:rsid w:val="00661EE4"/>
    <w:rsid w:val="0066222F"/>
    <w:rsid w:val="0066263E"/>
    <w:rsid w:val="006629B5"/>
    <w:rsid w:val="0066317C"/>
    <w:rsid w:val="006642E9"/>
    <w:rsid w:val="006648AF"/>
    <w:rsid w:val="00665635"/>
    <w:rsid w:val="0066578E"/>
    <w:rsid w:val="006658C5"/>
    <w:rsid w:val="00665B4B"/>
    <w:rsid w:val="00665B85"/>
    <w:rsid w:val="00666531"/>
    <w:rsid w:val="006665E6"/>
    <w:rsid w:val="00666777"/>
    <w:rsid w:val="00666AC6"/>
    <w:rsid w:val="00666C03"/>
    <w:rsid w:val="00666DBE"/>
    <w:rsid w:val="00666F65"/>
    <w:rsid w:val="00666F6F"/>
    <w:rsid w:val="00667018"/>
    <w:rsid w:val="00667E7C"/>
    <w:rsid w:val="00667F16"/>
    <w:rsid w:val="00667F6B"/>
    <w:rsid w:val="0067070D"/>
    <w:rsid w:val="00670ADD"/>
    <w:rsid w:val="00670C5A"/>
    <w:rsid w:val="0067125A"/>
    <w:rsid w:val="0067138F"/>
    <w:rsid w:val="0067149D"/>
    <w:rsid w:val="006716CC"/>
    <w:rsid w:val="0067185A"/>
    <w:rsid w:val="00671DC6"/>
    <w:rsid w:val="00671DFC"/>
    <w:rsid w:val="006722AB"/>
    <w:rsid w:val="00672618"/>
    <w:rsid w:val="00672ED3"/>
    <w:rsid w:val="0067346F"/>
    <w:rsid w:val="006737B0"/>
    <w:rsid w:val="00673FC4"/>
    <w:rsid w:val="00674597"/>
    <w:rsid w:val="00674818"/>
    <w:rsid w:val="00674C86"/>
    <w:rsid w:val="0067517E"/>
    <w:rsid w:val="00675DEF"/>
    <w:rsid w:val="00676929"/>
    <w:rsid w:val="0067751B"/>
    <w:rsid w:val="006779B2"/>
    <w:rsid w:val="00680360"/>
    <w:rsid w:val="006812E2"/>
    <w:rsid w:val="00681997"/>
    <w:rsid w:val="00681C38"/>
    <w:rsid w:val="00681D87"/>
    <w:rsid w:val="006823F4"/>
    <w:rsid w:val="00682649"/>
    <w:rsid w:val="00682D55"/>
    <w:rsid w:val="00682D91"/>
    <w:rsid w:val="0068372A"/>
    <w:rsid w:val="006842D0"/>
    <w:rsid w:val="006844B3"/>
    <w:rsid w:val="006846A3"/>
    <w:rsid w:val="006847CD"/>
    <w:rsid w:val="00684D74"/>
    <w:rsid w:val="006858B7"/>
    <w:rsid w:val="00685A18"/>
    <w:rsid w:val="00685F7E"/>
    <w:rsid w:val="00686077"/>
    <w:rsid w:val="00686786"/>
    <w:rsid w:val="00686DDF"/>
    <w:rsid w:val="00687378"/>
    <w:rsid w:val="00687516"/>
    <w:rsid w:val="0068792A"/>
    <w:rsid w:val="00687FB5"/>
    <w:rsid w:val="00690902"/>
    <w:rsid w:val="00690963"/>
    <w:rsid w:val="00691C71"/>
    <w:rsid w:val="00691EE7"/>
    <w:rsid w:val="006920B8"/>
    <w:rsid w:val="00692909"/>
    <w:rsid w:val="00693207"/>
    <w:rsid w:val="0069389F"/>
    <w:rsid w:val="00693B28"/>
    <w:rsid w:val="00693C3A"/>
    <w:rsid w:val="00693E83"/>
    <w:rsid w:val="006950E7"/>
    <w:rsid w:val="006950F7"/>
    <w:rsid w:val="006953E6"/>
    <w:rsid w:val="00695B3E"/>
    <w:rsid w:val="00695DE2"/>
    <w:rsid w:val="006962A9"/>
    <w:rsid w:val="006963FB"/>
    <w:rsid w:val="0069656D"/>
    <w:rsid w:val="006967EE"/>
    <w:rsid w:val="006969FE"/>
    <w:rsid w:val="00696D16"/>
    <w:rsid w:val="00697855"/>
    <w:rsid w:val="00697BF0"/>
    <w:rsid w:val="006A04E9"/>
    <w:rsid w:val="006A1A02"/>
    <w:rsid w:val="006A1AD7"/>
    <w:rsid w:val="006A2199"/>
    <w:rsid w:val="006A2751"/>
    <w:rsid w:val="006A2770"/>
    <w:rsid w:val="006A2A32"/>
    <w:rsid w:val="006A320F"/>
    <w:rsid w:val="006A34EB"/>
    <w:rsid w:val="006A3D51"/>
    <w:rsid w:val="006A4472"/>
    <w:rsid w:val="006A5287"/>
    <w:rsid w:val="006A5398"/>
    <w:rsid w:val="006A59DD"/>
    <w:rsid w:val="006A5C6B"/>
    <w:rsid w:val="006A6405"/>
    <w:rsid w:val="006A696B"/>
    <w:rsid w:val="006A6AB1"/>
    <w:rsid w:val="006A7387"/>
    <w:rsid w:val="006A772B"/>
    <w:rsid w:val="006A7C56"/>
    <w:rsid w:val="006B00B1"/>
    <w:rsid w:val="006B08BE"/>
    <w:rsid w:val="006B093E"/>
    <w:rsid w:val="006B139C"/>
    <w:rsid w:val="006B158B"/>
    <w:rsid w:val="006B1C82"/>
    <w:rsid w:val="006B1E86"/>
    <w:rsid w:val="006B216C"/>
    <w:rsid w:val="006B2267"/>
    <w:rsid w:val="006B22A9"/>
    <w:rsid w:val="006B22C7"/>
    <w:rsid w:val="006B2441"/>
    <w:rsid w:val="006B2804"/>
    <w:rsid w:val="006B2A95"/>
    <w:rsid w:val="006B31FD"/>
    <w:rsid w:val="006B3EB8"/>
    <w:rsid w:val="006B45F1"/>
    <w:rsid w:val="006B46AE"/>
    <w:rsid w:val="006B4814"/>
    <w:rsid w:val="006B4B71"/>
    <w:rsid w:val="006B4D2E"/>
    <w:rsid w:val="006B5F51"/>
    <w:rsid w:val="006B7B42"/>
    <w:rsid w:val="006B7BD5"/>
    <w:rsid w:val="006C05F7"/>
    <w:rsid w:val="006C07A1"/>
    <w:rsid w:val="006C0A1F"/>
    <w:rsid w:val="006C101B"/>
    <w:rsid w:val="006C14E0"/>
    <w:rsid w:val="006C16D9"/>
    <w:rsid w:val="006C1900"/>
    <w:rsid w:val="006C1E51"/>
    <w:rsid w:val="006C2323"/>
    <w:rsid w:val="006C3F76"/>
    <w:rsid w:val="006C46A0"/>
    <w:rsid w:val="006C4A8F"/>
    <w:rsid w:val="006C4D7C"/>
    <w:rsid w:val="006C4EB3"/>
    <w:rsid w:val="006C5088"/>
    <w:rsid w:val="006C50C3"/>
    <w:rsid w:val="006C5347"/>
    <w:rsid w:val="006C58CE"/>
    <w:rsid w:val="006C59DE"/>
    <w:rsid w:val="006C5D85"/>
    <w:rsid w:val="006C6077"/>
    <w:rsid w:val="006C63A2"/>
    <w:rsid w:val="006C6B24"/>
    <w:rsid w:val="006C6EA3"/>
    <w:rsid w:val="006C6F4A"/>
    <w:rsid w:val="006C7039"/>
    <w:rsid w:val="006C70EA"/>
    <w:rsid w:val="006C7263"/>
    <w:rsid w:val="006C76B4"/>
    <w:rsid w:val="006C7867"/>
    <w:rsid w:val="006D06F3"/>
    <w:rsid w:val="006D1FE5"/>
    <w:rsid w:val="006D28B2"/>
    <w:rsid w:val="006D3E1E"/>
    <w:rsid w:val="006D3FD1"/>
    <w:rsid w:val="006D4C34"/>
    <w:rsid w:val="006D5F7F"/>
    <w:rsid w:val="006D61DA"/>
    <w:rsid w:val="006D633B"/>
    <w:rsid w:val="006D6465"/>
    <w:rsid w:val="006D6751"/>
    <w:rsid w:val="006D6753"/>
    <w:rsid w:val="006D7112"/>
    <w:rsid w:val="006D7ABC"/>
    <w:rsid w:val="006D7B33"/>
    <w:rsid w:val="006D7B36"/>
    <w:rsid w:val="006D7D95"/>
    <w:rsid w:val="006E00B7"/>
    <w:rsid w:val="006E05C9"/>
    <w:rsid w:val="006E06B1"/>
    <w:rsid w:val="006E08C8"/>
    <w:rsid w:val="006E0957"/>
    <w:rsid w:val="006E10D9"/>
    <w:rsid w:val="006E1FF6"/>
    <w:rsid w:val="006E229B"/>
    <w:rsid w:val="006E2F30"/>
    <w:rsid w:val="006E32B1"/>
    <w:rsid w:val="006E3738"/>
    <w:rsid w:val="006E3F8C"/>
    <w:rsid w:val="006E4368"/>
    <w:rsid w:val="006E4ADB"/>
    <w:rsid w:val="006E5A19"/>
    <w:rsid w:val="006E5F1E"/>
    <w:rsid w:val="006E6532"/>
    <w:rsid w:val="006E725E"/>
    <w:rsid w:val="006E7625"/>
    <w:rsid w:val="006E7A1A"/>
    <w:rsid w:val="006E7E11"/>
    <w:rsid w:val="006F056D"/>
    <w:rsid w:val="006F11AF"/>
    <w:rsid w:val="006F293C"/>
    <w:rsid w:val="006F2E38"/>
    <w:rsid w:val="006F3433"/>
    <w:rsid w:val="006F4882"/>
    <w:rsid w:val="006F5190"/>
    <w:rsid w:val="006F51A2"/>
    <w:rsid w:val="006F5272"/>
    <w:rsid w:val="006F56EE"/>
    <w:rsid w:val="006F56F0"/>
    <w:rsid w:val="006F62A8"/>
    <w:rsid w:val="006F648B"/>
    <w:rsid w:val="006F684B"/>
    <w:rsid w:val="006F7112"/>
    <w:rsid w:val="0070051E"/>
    <w:rsid w:val="00700D64"/>
    <w:rsid w:val="00700D85"/>
    <w:rsid w:val="00700F90"/>
    <w:rsid w:val="0070100D"/>
    <w:rsid w:val="00701E40"/>
    <w:rsid w:val="00702888"/>
    <w:rsid w:val="00702CB5"/>
    <w:rsid w:val="00702D2F"/>
    <w:rsid w:val="00703307"/>
    <w:rsid w:val="00703383"/>
    <w:rsid w:val="0070469F"/>
    <w:rsid w:val="007051BE"/>
    <w:rsid w:val="0070567C"/>
    <w:rsid w:val="00705D4C"/>
    <w:rsid w:val="00706653"/>
    <w:rsid w:val="00706774"/>
    <w:rsid w:val="007069DA"/>
    <w:rsid w:val="00706B03"/>
    <w:rsid w:val="00706F15"/>
    <w:rsid w:val="00707DED"/>
    <w:rsid w:val="0071059F"/>
    <w:rsid w:val="0071129D"/>
    <w:rsid w:val="00711B13"/>
    <w:rsid w:val="00712183"/>
    <w:rsid w:val="00712651"/>
    <w:rsid w:val="00712CC0"/>
    <w:rsid w:val="00713DB4"/>
    <w:rsid w:val="0071439C"/>
    <w:rsid w:val="0071455A"/>
    <w:rsid w:val="007146A4"/>
    <w:rsid w:val="00714990"/>
    <w:rsid w:val="00715B5B"/>
    <w:rsid w:val="00715BF2"/>
    <w:rsid w:val="0071649C"/>
    <w:rsid w:val="007166A2"/>
    <w:rsid w:val="007166D0"/>
    <w:rsid w:val="007166E1"/>
    <w:rsid w:val="0071697E"/>
    <w:rsid w:val="00716C13"/>
    <w:rsid w:val="00716C53"/>
    <w:rsid w:val="00716FD1"/>
    <w:rsid w:val="00717B62"/>
    <w:rsid w:val="00717EA8"/>
    <w:rsid w:val="00717F5F"/>
    <w:rsid w:val="0072016C"/>
    <w:rsid w:val="007201AD"/>
    <w:rsid w:val="0072077D"/>
    <w:rsid w:val="007207BB"/>
    <w:rsid w:val="00721003"/>
    <w:rsid w:val="0072147F"/>
    <w:rsid w:val="00721F15"/>
    <w:rsid w:val="0072235A"/>
    <w:rsid w:val="00722B28"/>
    <w:rsid w:val="00722C6E"/>
    <w:rsid w:val="00723A27"/>
    <w:rsid w:val="00723A48"/>
    <w:rsid w:val="0072406D"/>
    <w:rsid w:val="007240D2"/>
    <w:rsid w:val="00725501"/>
    <w:rsid w:val="007255F1"/>
    <w:rsid w:val="00725E44"/>
    <w:rsid w:val="007269F9"/>
    <w:rsid w:val="0072749C"/>
    <w:rsid w:val="007279E3"/>
    <w:rsid w:val="007279FC"/>
    <w:rsid w:val="00727D8B"/>
    <w:rsid w:val="00727EA1"/>
    <w:rsid w:val="00730058"/>
    <w:rsid w:val="00730385"/>
    <w:rsid w:val="00730CAF"/>
    <w:rsid w:val="00731050"/>
    <w:rsid w:val="007318B3"/>
    <w:rsid w:val="00731A40"/>
    <w:rsid w:val="00731ABF"/>
    <w:rsid w:val="00731EFC"/>
    <w:rsid w:val="00731F22"/>
    <w:rsid w:val="007320A4"/>
    <w:rsid w:val="007328A7"/>
    <w:rsid w:val="007328AE"/>
    <w:rsid w:val="00733214"/>
    <w:rsid w:val="007334F7"/>
    <w:rsid w:val="00733B2E"/>
    <w:rsid w:val="007344FE"/>
    <w:rsid w:val="00734CD6"/>
    <w:rsid w:val="007361A7"/>
    <w:rsid w:val="007368C0"/>
    <w:rsid w:val="00736D93"/>
    <w:rsid w:val="0073711D"/>
    <w:rsid w:val="00737454"/>
    <w:rsid w:val="0073785C"/>
    <w:rsid w:val="00737B4B"/>
    <w:rsid w:val="00737CC5"/>
    <w:rsid w:val="007407AF"/>
    <w:rsid w:val="00740CA4"/>
    <w:rsid w:val="00741AA7"/>
    <w:rsid w:val="00742259"/>
    <w:rsid w:val="00742C0B"/>
    <w:rsid w:val="00742F7D"/>
    <w:rsid w:val="0074352D"/>
    <w:rsid w:val="007435DC"/>
    <w:rsid w:val="0074392C"/>
    <w:rsid w:val="00743CAA"/>
    <w:rsid w:val="00743D8C"/>
    <w:rsid w:val="00743E19"/>
    <w:rsid w:val="007446CB"/>
    <w:rsid w:val="0074472C"/>
    <w:rsid w:val="00745D4F"/>
    <w:rsid w:val="00745D63"/>
    <w:rsid w:val="0074637F"/>
    <w:rsid w:val="00746D5B"/>
    <w:rsid w:val="0074742A"/>
    <w:rsid w:val="00750664"/>
    <w:rsid w:val="00750907"/>
    <w:rsid w:val="00750A5B"/>
    <w:rsid w:val="00750C9D"/>
    <w:rsid w:val="00751055"/>
    <w:rsid w:val="00751166"/>
    <w:rsid w:val="00751AE1"/>
    <w:rsid w:val="007520DE"/>
    <w:rsid w:val="0075242E"/>
    <w:rsid w:val="007525D0"/>
    <w:rsid w:val="00753DE7"/>
    <w:rsid w:val="007544D4"/>
    <w:rsid w:val="00754A82"/>
    <w:rsid w:val="00754C21"/>
    <w:rsid w:val="00754CA2"/>
    <w:rsid w:val="0075501D"/>
    <w:rsid w:val="0075573E"/>
    <w:rsid w:val="00755F05"/>
    <w:rsid w:val="00755FBE"/>
    <w:rsid w:val="00756B6D"/>
    <w:rsid w:val="00756F9F"/>
    <w:rsid w:val="00757289"/>
    <w:rsid w:val="007572F6"/>
    <w:rsid w:val="00757608"/>
    <w:rsid w:val="007576B6"/>
    <w:rsid w:val="00757715"/>
    <w:rsid w:val="00760219"/>
    <w:rsid w:val="0076099F"/>
    <w:rsid w:val="00760A43"/>
    <w:rsid w:val="00761321"/>
    <w:rsid w:val="007616C5"/>
    <w:rsid w:val="00761E03"/>
    <w:rsid w:val="00761F5E"/>
    <w:rsid w:val="007621D8"/>
    <w:rsid w:val="00762611"/>
    <w:rsid w:val="00762B11"/>
    <w:rsid w:val="00762CDB"/>
    <w:rsid w:val="00762FCA"/>
    <w:rsid w:val="00763497"/>
    <w:rsid w:val="0076376A"/>
    <w:rsid w:val="007642B9"/>
    <w:rsid w:val="00764674"/>
    <w:rsid w:val="00764D21"/>
    <w:rsid w:val="00764EB1"/>
    <w:rsid w:val="00765EAA"/>
    <w:rsid w:val="00766AC7"/>
    <w:rsid w:val="00766BAA"/>
    <w:rsid w:val="00766D32"/>
    <w:rsid w:val="00767C85"/>
    <w:rsid w:val="00771289"/>
    <w:rsid w:val="00772524"/>
    <w:rsid w:val="007728E2"/>
    <w:rsid w:val="0077310E"/>
    <w:rsid w:val="007734B3"/>
    <w:rsid w:val="00773724"/>
    <w:rsid w:val="00773D8D"/>
    <w:rsid w:val="00774438"/>
    <w:rsid w:val="007745D1"/>
    <w:rsid w:val="0077547A"/>
    <w:rsid w:val="00775532"/>
    <w:rsid w:val="007756F6"/>
    <w:rsid w:val="00775846"/>
    <w:rsid w:val="007766C5"/>
    <w:rsid w:val="007766F9"/>
    <w:rsid w:val="007768E9"/>
    <w:rsid w:val="00776B87"/>
    <w:rsid w:val="00777588"/>
    <w:rsid w:val="00777925"/>
    <w:rsid w:val="007779F8"/>
    <w:rsid w:val="00777D9C"/>
    <w:rsid w:val="00780AB0"/>
    <w:rsid w:val="00780DC3"/>
    <w:rsid w:val="00781414"/>
    <w:rsid w:val="00782139"/>
    <w:rsid w:val="0078228E"/>
    <w:rsid w:val="00782B8C"/>
    <w:rsid w:val="00782BA3"/>
    <w:rsid w:val="00782DFC"/>
    <w:rsid w:val="0078375F"/>
    <w:rsid w:val="00784740"/>
    <w:rsid w:val="00784F0E"/>
    <w:rsid w:val="00785CE9"/>
    <w:rsid w:val="00785F6D"/>
    <w:rsid w:val="0078640A"/>
    <w:rsid w:val="00786460"/>
    <w:rsid w:val="00786713"/>
    <w:rsid w:val="007869F4"/>
    <w:rsid w:val="00786A25"/>
    <w:rsid w:val="00787582"/>
    <w:rsid w:val="00787F1B"/>
    <w:rsid w:val="00790E25"/>
    <w:rsid w:val="00790EAB"/>
    <w:rsid w:val="0079125A"/>
    <w:rsid w:val="00791551"/>
    <w:rsid w:val="0079158F"/>
    <w:rsid w:val="0079200B"/>
    <w:rsid w:val="007925DE"/>
    <w:rsid w:val="00792C00"/>
    <w:rsid w:val="00792F67"/>
    <w:rsid w:val="0079315A"/>
    <w:rsid w:val="00793231"/>
    <w:rsid w:val="0079385B"/>
    <w:rsid w:val="00793FC0"/>
    <w:rsid w:val="0079441A"/>
    <w:rsid w:val="00794904"/>
    <w:rsid w:val="00794BA8"/>
    <w:rsid w:val="00794E4E"/>
    <w:rsid w:val="0079540E"/>
    <w:rsid w:val="00795557"/>
    <w:rsid w:val="007958CE"/>
    <w:rsid w:val="007959C0"/>
    <w:rsid w:val="007967AC"/>
    <w:rsid w:val="00796C5C"/>
    <w:rsid w:val="00796D55"/>
    <w:rsid w:val="0079783D"/>
    <w:rsid w:val="00797A24"/>
    <w:rsid w:val="00797DE4"/>
    <w:rsid w:val="00797EAE"/>
    <w:rsid w:val="007A02C0"/>
    <w:rsid w:val="007A0629"/>
    <w:rsid w:val="007A0F45"/>
    <w:rsid w:val="007A1812"/>
    <w:rsid w:val="007A20BB"/>
    <w:rsid w:val="007A2184"/>
    <w:rsid w:val="007A2275"/>
    <w:rsid w:val="007A288D"/>
    <w:rsid w:val="007A2A1D"/>
    <w:rsid w:val="007A2B2B"/>
    <w:rsid w:val="007A334C"/>
    <w:rsid w:val="007A33BC"/>
    <w:rsid w:val="007A3D26"/>
    <w:rsid w:val="007A48EC"/>
    <w:rsid w:val="007A4A11"/>
    <w:rsid w:val="007A554D"/>
    <w:rsid w:val="007A5832"/>
    <w:rsid w:val="007A5DFB"/>
    <w:rsid w:val="007A5EF5"/>
    <w:rsid w:val="007A6C32"/>
    <w:rsid w:val="007A72BE"/>
    <w:rsid w:val="007A73B7"/>
    <w:rsid w:val="007A7B2D"/>
    <w:rsid w:val="007A7B2F"/>
    <w:rsid w:val="007A7B5F"/>
    <w:rsid w:val="007B0001"/>
    <w:rsid w:val="007B00C4"/>
    <w:rsid w:val="007B01AA"/>
    <w:rsid w:val="007B0492"/>
    <w:rsid w:val="007B065A"/>
    <w:rsid w:val="007B0ADB"/>
    <w:rsid w:val="007B0CA4"/>
    <w:rsid w:val="007B12EA"/>
    <w:rsid w:val="007B13F2"/>
    <w:rsid w:val="007B25AB"/>
    <w:rsid w:val="007B2D76"/>
    <w:rsid w:val="007B33B1"/>
    <w:rsid w:val="007B357D"/>
    <w:rsid w:val="007B3930"/>
    <w:rsid w:val="007B3B3A"/>
    <w:rsid w:val="007B3C3E"/>
    <w:rsid w:val="007B3C46"/>
    <w:rsid w:val="007B4C9C"/>
    <w:rsid w:val="007B5458"/>
    <w:rsid w:val="007B63F7"/>
    <w:rsid w:val="007B704C"/>
    <w:rsid w:val="007B70D2"/>
    <w:rsid w:val="007B7555"/>
    <w:rsid w:val="007B7790"/>
    <w:rsid w:val="007B7884"/>
    <w:rsid w:val="007C0139"/>
    <w:rsid w:val="007C0154"/>
    <w:rsid w:val="007C0A9B"/>
    <w:rsid w:val="007C181E"/>
    <w:rsid w:val="007C1880"/>
    <w:rsid w:val="007C23CE"/>
    <w:rsid w:val="007C2C10"/>
    <w:rsid w:val="007C30CC"/>
    <w:rsid w:val="007C3A83"/>
    <w:rsid w:val="007C3E83"/>
    <w:rsid w:val="007C52B6"/>
    <w:rsid w:val="007C5B46"/>
    <w:rsid w:val="007C63F2"/>
    <w:rsid w:val="007C63FA"/>
    <w:rsid w:val="007C66E5"/>
    <w:rsid w:val="007C6741"/>
    <w:rsid w:val="007C6F9B"/>
    <w:rsid w:val="007C7216"/>
    <w:rsid w:val="007C749C"/>
    <w:rsid w:val="007C7F87"/>
    <w:rsid w:val="007D008E"/>
    <w:rsid w:val="007D032F"/>
    <w:rsid w:val="007D2251"/>
    <w:rsid w:val="007D2440"/>
    <w:rsid w:val="007D2474"/>
    <w:rsid w:val="007D2D8D"/>
    <w:rsid w:val="007D2E6F"/>
    <w:rsid w:val="007D314F"/>
    <w:rsid w:val="007D3B39"/>
    <w:rsid w:val="007D469A"/>
    <w:rsid w:val="007D4EDA"/>
    <w:rsid w:val="007D611F"/>
    <w:rsid w:val="007D64B0"/>
    <w:rsid w:val="007D73DA"/>
    <w:rsid w:val="007D7775"/>
    <w:rsid w:val="007D7852"/>
    <w:rsid w:val="007D7D94"/>
    <w:rsid w:val="007E1060"/>
    <w:rsid w:val="007E10EC"/>
    <w:rsid w:val="007E13A1"/>
    <w:rsid w:val="007E170D"/>
    <w:rsid w:val="007E2243"/>
    <w:rsid w:val="007E27E0"/>
    <w:rsid w:val="007E2C8D"/>
    <w:rsid w:val="007E3DF4"/>
    <w:rsid w:val="007E3FF0"/>
    <w:rsid w:val="007E4519"/>
    <w:rsid w:val="007E49AF"/>
    <w:rsid w:val="007E4B39"/>
    <w:rsid w:val="007E52EA"/>
    <w:rsid w:val="007E55A0"/>
    <w:rsid w:val="007E5C64"/>
    <w:rsid w:val="007E5E57"/>
    <w:rsid w:val="007E5FFA"/>
    <w:rsid w:val="007E66C9"/>
    <w:rsid w:val="007E6FC8"/>
    <w:rsid w:val="007E72E1"/>
    <w:rsid w:val="007E732E"/>
    <w:rsid w:val="007E74C1"/>
    <w:rsid w:val="007F0172"/>
    <w:rsid w:val="007F0377"/>
    <w:rsid w:val="007F0489"/>
    <w:rsid w:val="007F0639"/>
    <w:rsid w:val="007F07D5"/>
    <w:rsid w:val="007F0AEE"/>
    <w:rsid w:val="007F0FBA"/>
    <w:rsid w:val="007F158D"/>
    <w:rsid w:val="007F1D17"/>
    <w:rsid w:val="007F2106"/>
    <w:rsid w:val="007F25EC"/>
    <w:rsid w:val="007F2C2C"/>
    <w:rsid w:val="007F307A"/>
    <w:rsid w:val="007F30E1"/>
    <w:rsid w:val="007F3176"/>
    <w:rsid w:val="007F32EE"/>
    <w:rsid w:val="007F3819"/>
    <w:rsid w:val="007F444D"/>
    <w:rsid w:val="007F47D9"/>
    <w:rsid w:val="007F4F87"/>
    <w:rsid w:val="007F58F5"/>
    <w:rsid w:val="007F5C32"/>
    <w:rsid w:val="007F616D"/>
    <w:rsid w:val="007F6423"/>
    <w:rsid w:val="007F79EF"/>
    <w:rsid w:val="007F7DEF"/>
    <w:rsid w:val="007F7FFE"/>
    <w:rsid w:val="00800115"/>
    <w:rsid w:val="00800DD2"/>
    <w:rsid w:val="00800F46"/>
    <w:rsid w:val="00801033"/>
    <w:rsid w:val="00801570"/>
    <w:rsid w:val="00801C0B"/>
    <w:rsid w:val="008020FC"/>
    <w:rsid w:val="00802662"/>
    <w:rsid w:val="008027D7"/>
    <w:rsid w:val="0080287A"/>
    <w:rsid w:val="00802F5A"/>
    <w:rsid w:val="00803562"/>
    <w:rsid w:val="00803B21"/>
    <w:rsid w:val="00803CA0"/>
    <w:rsid w:val="00803DA2"/>
    <w:rsid w:val="00803E98"/>
    <w:rsid w:val="00803F6E"/>
    <w:rsid w:val="00804048"/>
    <w:rsid w:val="00804B36"/>
    <w:rsid w:val="00804B55"/>
    <w:rsid w:val="00804CE4"/>
    <w:rsid w:val="0080588B"/>
    <w:rsid w:val="00806119"/>
    <w:rsid w:val="0080693A"/>
    <w:rsid w:val="00806D8D"/>
    <w:rsid w:val="0081021F"/>
    <w:rsid w:val="00810559"/>
    <w:rsid w:val="008105AD"/>
    <w:rsid w:val="008105B4"/>
    <w:rsid w:val="00810854"/>
    <w:rsid w:val="00810CB4"/>
    <w:rsid w:val="0081121C"/>
    <w:rsid w:val="008115AA"/>
    <w:rsid w:val="00811684"/>
    <w:rsid w:val="00811DE9"/>
    <w:rsid w:val="00811ED6"/>
    <w:rsid w:val="00811FA5"/>
    <w:rsid w:val="00812225"/>
    <w:rsid w:val="008138EC"/>
    <w:rsid w:val="00813D36"/>
    <w:rsid w:val="00813EC4"/>
    <w:rsid w:val="00814211"/>
    <w:rsid w:val="00814362"/>
    <w:rsid w:val="00814ABE"/>
    <w:rsid w:val="00815286"/>
    <w:rsid w:val="00815884"/>
    <w:rsid w:val="00816399"/>
    <w:rsid w:val="00817350"/>
    <w:rsid w:val="008174C8"/>
    <w:rsid w:val="008178C6"/>
    <w:rsid w:val="00817E07"/>
    <w:rsid w:val="00820AA3"/>
    <w:rsid w:val="00820F53"/>
    <w:rsid w:val="008216FD"/>
    <w:rsid w:val="00821BC9"/>
    <w:rsid w:val="00821FFA"/>
    <w:rsid w:val="00822DF4"/>
    <w:rsid w:val="008235DF"/>
    <w:rsid w:val="00823B99"/>
    <w:rsid w:val="008240E6"/>
    <w:rsid w:val="00824252"/>
    <w:rsid w:val="00824ABA"/>
    <w:rsid w:val="00824B1F"/>
    <w:rsid w:val="00824FEB"/>
    <w:rsid w:val="008251EE"/>
    <w:rsid w:val="0082588B"/>
    <w:rsid w:val="00825DAD"/>
    <w:rsid w:val="0082625A"/>
    <w:rsid w:val="00826A95"/>
    <w:rsid w:val="00826E45"/>
    <w:rsid w:val="00826FF4"/>
    <w:rsid w:val="00827B18"/>
    <w:rsid w:val="00830C10"/>
    <w:rsid w:val="00831279"/>
    <w:rsid w:val="00831296"/>
    <w:rsid w:val="0083144D"/>
    <w:rsid w:val="00831E45"/>
    <w:rsid w:val="00831F4A"/>
    <w:rsid w:val="008320D7"/>
    <w:rsid w:val="00832227"/>
    <w:rsid w:val="00832229"/>
    <w:rsid w:val="008322EF"/>
    <w:rsid w:val="008324F1"/>
    <w:rsid w:val="0083281A"/>
    <w:rsid w:val="008333F5"/>
    <w:rsid w:val="00833A6F"/>
    <w:rsid w:val="0083465F"/>
    <w:rsid w:val="00834697"/>
    <w:rsid w:val="008349CE"/>
    <w:rsid w:val="00834FC5"/>
    <w:rsid w:val="0083542A"/>
    <w:rsid w:val="00835635"/>
    <w:rsid w:val="008358A4"/>
    <w:rsid w:val="00835BBF"/>
    <w:rsid w:val="00836557"/>
    <w:rsid w:val="00836768"/>
    <w:rsid w:val="00836E2D"/>
    <w:rsid w:val="0083700D"/>
    <w:rsid w:val="0083734F"/>
    <w:rsid w:val="008377EA"/>
    <w:rsid w:val="008378FB"/>
    <w:rsid w:val="00840009"/>
    <w:rsid w:val="0084031C"/>
    <w:rsid w:val="00840F5E"/>
    <w:rsid w:val="0084162E"/>
    <w:rsid w:val="008416C3"/>
    <w:rsid w:val="008418EC"/>
    <w:rsid w:val="00842E61"/>
    <w:rsid w:val="00842E68"/>
    <w:rsid w:val="00842EDA"/>
    <w:rsid w:val="00843725"/>
    <w:rsid w:val="00843B05"/>
    <w:rsid w:val="00844277"/>
    <w:rsid w:val="00844AF7"/>
    <w:rsid w:val="00844ED2"/>
    <w:rsid w:val="008453D0"/>
    <w:rsid w:val="00845CF3"/>
    <w:rsid w:val="00845E9D"/>
    <w:rsid w:val="00846618"/>
    <w:rsid w:val="00846787"/>
    <w:rsid w:val="00846F62"/>
    <w:rsid w:val="008501C5"/>
    <w:rsid w:val="0085043C"/>
    <w:rsid w:val="008504E9"/>
    <w:rsid w:val="00850B89"/>
    <w:rsid w:val="00851BAC"/>
    <w:rsid w:val="00851C64"/>
    <w:rsid w:val="00851D24"/>
    <w:rsid w:val="00852638"/>
    <w:rsid w:val="008530CC"/>
    <w:rsid w:val="00853815"/>
    <w:rsid w:val="008538BE"/>
    <w:rsid w:val="00854452"/>
    <w:rsid w:val="00854F41"/>
    <w:rsid w:val="00855C1B"/>
    <w:rsid w:val="00855CDD"/>
    <w:rsid w:val="00856C78"/>
    <w:rsid w:val="008570A1"/>
    <w:rsid w:val="00857467"/>
    <w:rsid w:val="00857AEB"/>
    <w:rsid w:val="00857BFF"/>
    <w:rsid w:val="0086014C"/>
    <w:rsid w:val="0086039F"/>
    <w:rsid w:val="008604F8"/>
    <w:rsid w:val="00860704"/>
    <w:rsid w:val="00861363"/>
    <w:rsid w:val="00861FD6"/>
    <w:rsid w:val="00862519"/>
    <w:rsid w:val="00863150"/>
    <w:rsid w:val="0086368A"/>
    <w:rsid w:val="00864092"/>
    <w:rsid w:val="00865852"/>
    <w:rsid w:val="008659B8"/>
    <w:rsid w:val="00865E7C"/>
    <w:rsid w:val="008662BA"/>
    <w:rsid w:val="00867A73"/>
    <w:rsid w:val="00867B95"/>
    <w:rsid w:val="00867C15"/>
    <w:rsid w:val="00867E03"/>
    <w:rsid w:val="00870684"/>
    <w:rsid w:val="00870D5E"/>
    <w:rsid w:val="00871505"/>
    <w:rsid w:val="00871787"/>
    <w:rsid w:val="00871C4E"/>
    <w:rsid w:val="00872903"/>
    <w:rsid w:val="00872A95"/>
    <w:rsid w:val="00872CF5"/>
    <w:rsid w:val="00872E22"/>
    <w:rsid w:val="00873475"/>
    <w:rsid w:val="0087368E"/>
    <w:rsid w:val="008744C3"/>
    <w:rsid w:val="00874630"/>
    <w:rsid w:val="00874FC3"/>
    <w:rsid w:val="008750C2"/>
    <w:rsid w:val="0087560D"/>
    <w:rsid w:val="008761D8"/>
    <w:rsid w:val="00876656"/>
    <w:rsid w:val="00876A67"/>
    <w:rsid w:val="00876D4B"/>
    <w:rsid w:val="008771FE"/>
    <w:rsid w:val="008776CE"/>
    <w:rsid w:val="00877812"/>
    <w:rsid w:val="00877869"/>
    <w:rsid w:val="008809EA"/>
    <w:rsid w:val="00880A33"/>
    <w:rsid w:val="008816E2"/>
    <w:rsid w:val="008818DF"/>
    <w:rsid w:val="0088201B"/>
    <w:rsid w:val="0088242E"/>
    <w:rsid w:val="008824F0"/>
    <w:rsid w:val="0088257F"/>
    <w:rsid w:val="008825E6"/>
    <w:rsid w:val="008828AC"/>
    <w:rsid w:val="00882AA8"/>
    <w:rsid w:val="00883142"/>
    <w:rsid w:val="0088348B"/>
    <w:rsid w:val="00883889"/>
    <w:rsid w:val="00883AE4"/>
    <w:rsid w:val="00883CFA"/>
    <w:rsid w:val="00883E8F"/>
    <w:rsid w:val="00883F7C"/>
    <w:rsid w:val="0088460A"/>
    <w:rsid w:val="008849B4"/>
    <w:rsid w:val="00884A89"/>
    <w:rsid w:val="00884BC4"/>
    <w:rsid w:val="00884BCE"/>
    <w:rsid w:val="00885B73"/>
    <w:rsid w:val="00885D03"/>
    <w:rsid w:val="00885EFE"/>
    <w:rsid w:val="00886615"/>
    <w:rsid w:val="008873CE"/>
    <w:rsid w:val="00890305"/>
    <w:rsid w:val="00890809"/>
    <w:rsid w:val="0089085F"/>
    <w:rsid w:val="0089094D"/>
    <w:rsid w:val="00891059"/>
    <w:rsid w:val="008910CA"/>
    <w:rsid w:val="0089116B"/>
    <w:rsid w:val="008916E7"/>
    <w:rsid w:val="00891F6D"/>
    <w:rsid w:val="0089318E"/>
    <w:rsid w:val="00893CAA"/>
    <w:rsid w:val="00894184"/>
    <w:rsid w:val="00894340"/>
    <w:rsid w:val="00894B08"/>
    <w:rsid w:val="00895E96"/>
    <w:rsid w:val="00896840"/>
    <w:rsid w:val="00897735"/>
    <w:rsid w:val="00897F90"/>
    <w:rsid w:val="008A00C3"/>
    <w:rsid w:val="008A0C90"/>
    <w:rsid w:val="008A1062"/>
    <w:rsid w:val="008A11AE"/>
    <w:rsid w:val="008A186D"/>
    <w:rsid w:val="008A197D"/>
    <w:rsid w:val="008A1A6E"/>
    <w:rsid w:val="008A245C"/>
    <w:rsid w:val="008A2902"/>
    <w:rsid w:val="008A344D"/>
    <w:rsid w:val="008A490D"/>
    <w:rsid w:val="008A49DD"/>
    <w:rsid w:val="008A4B08"/>
    <w:rsid w:val="008A4B71"/>
    <w:rsid w:val="008A4DCC"/>
    <w:rsid w:val="008A4E84"/>
    <w:rsid w:val="008A516D"/>
    <w:rsid w:val="008A539A"/>
    <w:rsid w:val="008A59AF"/>
    <w:rsid w:val="008A5B50"/>
    <w:rsid w:val="008A5BF5"/>
    <w:rsid w:val="008A666C"/>
    <w:rsid w:val="008A7337"/>
    <w:rsid w:val="008A7FAE"/>
    <w:rsid w:val="008B06D4"/>
    <w:rsid w:val="008B1E59"/>
    <w:rsid w:val="008B1F31"/>
    <w:rsid w:val="008B26D4"/>
    <w:rsid w:val="008B2F18"/>
    <w:rsid w:val="008B318D"/>
    <w:rsid w:val="008B370D"/>
    <w:rsid w:val="008B383F"/>
    <w:rsid w:val="008B3EA8"/>
    <w:rsid w:val="008B3F47"/>
    <w:rsid w:val="008B43C5"/>
    <w:rsid w:val="008B6037"/>
    <w:rsid w:val="008B60D0"/>
    <w:rsid w:val="008B6453"/>
    <w:rsid w:val="008B6BB9"/>
    <w:rsid w:val="008B738C"/>
    <w:rsid w:val="008B76F8"/>
    <w:rsid w:val="008B7AF6"/>
    <w:rsid w:val="008B7E5A"/>
    <w:rsid w:val="008C003A"/>
    <w:rsid w:val="008C0041"/>
    <w:rsid w:val="008C096C"/>
    <w:rsid w:val="008C0C71"/>
    <w:rsid w:val="008C1515"/>
    <w:rsid w:val="008C162C"/>
    <w:rsid w:val="008C2FB6"/>
    <w:rsid w:val="008C38FC"/>
    <w:rsid w:val="008C42BB"/>
    <w:rsid w:val="008C4D6E"/>
    <w:rsid w:val="008C5140"/>
    <w:rsid w:val="008C53B1"/>
    <w:rsid w:val="008C556F"/>
    <w:rsid w:val="008C57C1"/>
    <w:rsid w:val="008C5BE9"/>
    <w:rsid w:val="008C5CC3"/>
    <w:rsid w:val="008C5F9A"/>
    <w:rsid w:val="008C689E"/>
    <w:rsid w:val="008C6961"/>
    <w:rsid w:val="008C69F4"/>
    <w:rsid w:val="008C6BF7"/>
    <w:rsid w:val="008C6DE3"/>
    <w:rsid w:val="008C6F1B"/>
    <w:rsid w:val="008C6F26"/>
    <w:rsid w:val="008C7624"/>
    <w:rsid w:val="008C76FE"/>
    <w:rsid w:val="008C7FF6"/>
    <w:rsid w:val="008D01D7"/>
    <w:rsid w:val="008D0C31"/>
    <w:rsid w:val="008D0CF2"/>
    <w:rsid w:val="008D0D01"/>
    <w:rsid w:val="008D0FA5"/>
    <w:rsid w:val="008D10D1"/>
    <w:rsid w:val="008D1453"/>
    <w:rsid w:val="008D16C8"/>
    <w:rsid w:val="008D1E33"/>
    <w:rsid w:val="008D2523"/>
    <w:rsid w:val="008D2BEF"/>
    <w:rsid w:val="008D2FDF"/>
    <w:rsid w:val="008D3155"/>
    <w:rsid w:val="008D4116"/>
    <w:rsid w:val="008D4233"/>
    <w:rsid w:val="008D439B"/>
    <w:rsid w:val="008D48D1"/>
    <w:rsid w:val="008D5457"/>
    <w:rsid w:val="008D5857"/>
    <w:rsid w:val="008D5A85"/>
    <w:rsid w:val="008D5C05"/>
    <w:rsid w:val="008D5E4A"/>
    <w:rsid w:val="008D6E62"/>
    <w:rsid w:val="008D71D1"/>
    <w:rsid w:val="008D7381"/>
    <w:rsid w:val="008D795C"/>
    <w:rsid w:val="008D7BAC"/>
    <w:rsid w:val="008D7EEB"/>
    <w:rsid w:val="008D7FAA"/>
    <w:rsid w:val="008E02B3"/>
    <w:rsid w:val="008E065D"/>
    <w:rsid w:val="008E0816"/>
    <w:rsid w:val="008E0D4E"/>
    <w:rsid w:val="008E1131"/>
    <w:rsid w:val="008E120D"/>
    <w:rsid w:val="008E1313"/>
    <w:rsid w:val="008E1706"/>
    <w:rsid w:val="008E20A7"/>
    <w:rsid w:val="008E2110"/>
    <w:rsid w:val="008E21D3"/>
    <w:rsid w:val="008E2B8B"/>
    <w:rsid w:val="008E2F19"/>
    <w:rsid w:val="008E2F82"/>
    <w:rsid w:val="008E3040"/>
    <w:rsid w:val="008E311F"/>
    <w:rsid w:val="008E3168"/>
    <w:rsid w:val="008E3794"/>
    <w:rsid w:val="008E3AEF"/>
    <w:rsid w:val="008E45E5"/>
    <w:rsid w:val="008E48CC"/>
    <w:rsid w:val="008E4BB5"/>
    <w:rsid w:val="008E4E30"/>
    <w:rsid w:val="008E559B"/>
    <w:rsid w:val="008E5BBA"/>
    <w:rsid w:val="008E6033"/>
    <w:rsid w:val="008E6D81"/>
    <w:rsid w:val="008E71CD"/>
    <w:rsid w:val="008E7587"/>
    <w:rsid w:val="008E7606"/>
    <w:rsid w:val="008E7C43"/>
    <w:rsid w:val="008F0033"/>
    <w:rsid w:val="008F0501"/>
    <w:rsid w:val="008F0AAE"/>
    <w:rsid w:val="008F19A1"/>
    <w:rsid w:val="008F1A62"/>
    <w:rsid w:val="008F267B"/>
    <w:rsid w:val="008F2900"/>
    <w:rsid w:val="008F2DDF"/>
    <w:rsid w:val="008F2F43"/>
    <w:rsid w:val="008F37F4"/>
    <w:rsid w:val="008F3E33"/>
    <w:rsid w:val="008F41E1"/>
    <w:rsid w:val="008F46E1"/>
    <w:rsid w:val="008F4F75"/>
    <w:rsid w:val="008F51EB"/>
    <w:rsid w:val="008F5AE1"/>
    <w:rsid w:val="008F5CD9"/>
    <w:rsid w:val="008F5ED2"/>
    <w:rsid w:val="008F64CB"/>
    <w:rsid w:val="008F6718"/>
    <w:rsid w:val="008F7591"/>
    <w:rsid w:val="008F7869"/>
    <w:rsid w:val="008F7F01"/>
    <w:rsid w:val="009009C4"/>
    <w:rsid w:val="00900B02"/>
    <w:rsid w:val="00900E19"/>
    <w:rsid w:val="00901790"/>
    <w:rsid w:val="0090199C"/>
    <w:rsid w:val="00901EED"/>
    <w:rsid w:val="00902063"/>
    <w:rsid w:val="0090210A"/>
    <w:rsid w:val="009026C2"/>
    <w:rsid w:val="00902956"/>
    <w:rsid w:val="00902A84"/>
    <w:rsid w:val="00902DA3"/>
    <w:rsid w:val="009031B8"/>
    <w:rsid w:val="00903E94"/>
    <w:rsid w:val="0090458E"/>
    <w:rsid w:val="00906B63"/>
    <w:rsid w:val="00907034"/>
    <w:rsid w:val="009073A9"/>
    <w:rsid w:val="009075A8"/>
    <w:rsid w:val="009078AB"/>
    <w:rsid w:val="00907944"/>
    <w:rsid w:val="009107B5"/>
    <w:rsid w:val="0091088D"/>
    <w:rsid w:val="009113A6"/>
    <w:rsid w:val="0091141F"/>
    <w:rsid w:val="009118AD"/>
    <w:rsid w:val="00911C29"/>
    <w:rsid w:val="00912072"/>
    <w:rsid w:val="009122FC"/>
    <w:rsid w:val="00912415"/>
    <w:rsid w:val="009124BD"/>
    <w:rsid w:val="009124E2"/>
    <w:rsid w:val="0091259B"/>
    <w:rsid w:val="009135F1"/>
    <w:rsid w:val="0091412F"/>
    <w:rsid w:val="00914224"/>
    <w:rsid w:val="009147C7"/>
    <w:rsid w:val="00914878"/>
    <w:rsid w:val="009152E4"/>
    <w:rsid w:val="0091545E"/>
    <w:rsid w:val="0091556A"/>
    <w:rsid w:val="00915689"/>
    <w:rsid w:val="0091568A"/>
    <w:rsid w:val="00915803"/>
    <w:rsid w:val="00915BD5"/>
    <w:rsid w:val="00915C31"/>
    <w:rsid w:val="009160E5"/>
    <w:rsid w:val="0091640B"/>
    <w:rsid w:val="009166AA"/>
    <w:rsid w:val="009168A0"/>
    <w:rsid w:val="00916D75"/>
    <w:rsid w:val="00916E54"/>
    <w:rsid w:val="00917305"/>
    <w:rsid w:val="009175B9"/>
    <w:rsid w:val="0091766F"/>
    <w:rsid w:val="00917BE8"/>
    <w:rsid w:val="0092057F"/>
    <w:rsid w:val="009209F7"/>
    <w:rsid w:val="00920B6B"/>
    <w:rsid w:val="00921496"/>
    <w:rsid w:val="0092192C"/>
    <w:rsid w:val="00921AF7"/>
    <w:rsid w:val="00921CF5"/>
    <w:rsid w:val="00923219"/>
    <w:rsid w:val="00923865"/>
    <w:rsid w:val="00923951"/>
    <w:rsid w:val="00923D8D"/>
    <w:rsid w:val="0092438C"/>
    <w:rsid w:val="00924A86"/>
    <w:rsid w:val="00924ED7"/>
    <w:rsid w:val="00925168"/>
    <w:rsid w:val="00925314"/>
    <w:rsid w:val="00925362"/>
    <w:rsid w:val="009257EE"/>
    <w:rsid w:val="00925A8E"/>
    <w:rsid w:val="00926081"/>
    <w:rsid w:val="0092609A"/>
    <w:rsid w:val="009264B2"/>
    <w:rsid w:val="00926F93"/>
    <w:rsid w:val="009274BC"/>
    <w:rsid w:val="009278D4"/>
    <w:rsid w:val="009279E6"/>
    <w:rsid w:val="00927C24"/>
    <w:rsid w:val="00927E8D"/>
    <w:rsid w:val="00927F31"/>
    <w:rsid w:val="009304FC"/>
    <w:rsid w:val="00931567"/>
    <w:rsid w:val="00933192"/>
    <w:rsid w:val="00933728"/>
    <w:rsid w:val="0093437E"/>
    <w:rsid w:val="009343A4"/>
    <w:rsid w:val="00934C09"/>
    <w:rsid w:val="00934D97"/>
    <w:rsid w:val="009351BB"/>
    <w:rsid w:val="00935AF8"/>
    <w:rsid w:val="00935CDF"/>
    <w:rsid w:val="00936413"/>
    <w:rsid w:val="00936466"/>
    <w:rsid w:val="00936FB1"/>
    <w:rsid w:val="00937005"/>
    <w:rsid w:val="00937190"/>
    <w:rsid w:val="00937844"/>
    <w:rsid w:val="00937AE1"/>
    <w:rsid w:val="00940326"/>
    <w:rsid w:val="009407BB"/>
    <w:rsid w:val="00940829"/>
    <w:rsid w:val="009412F0"/>
    <w:rsid w:val="009412FD"/>
    <w:rsid w:val="00941405"/>
    <w:rsid w:val="009418FD"/>
    <w:rsid w:val="009426E9"/>
    <w:rsid w:val="00942AC8"/>
    <w:rsid w:val="0094419C"/>
    <w:rsid w:val="0094428C"/>
    <w:rsid w:val="009454B4"/>
    <w:rsid w:val="0094564F"/>
    <w:rsid w:val="009472B1"/>
    <w:rsid w:val="009475A5"/>
    <w:rsid w:val="009479AC"/>
    <w:rsid w:val="009509C2"/>
    <w:rsid w:val="00950B2F"/>
    <w:rsid w:val="00951262"/>
    <w:rsid w:val="00951EB2"/>
    <w:rsid w:val="00952DF6"/>
    <w:rsid w:val="00953D6D"/>
    <w:rsid w:val="00954149"/>
    <w:rsid w:val="009554F3"/>
    <w:rsid w:val="00955743"/>
    <w:rsid w:val="0095639B"/>
    <w:rsid w:val="0095644E"/>
    <w:rsid w:val="00956B3A"/>
    <w:rsid w:val="00957ADF"/>
    <w:rsid w:val="009606DD"/>
    <w:rsid w:val="009607F2"/>
    <w:rsid w:val="00960C21"/>
    <w:rsid w:val="00962474"/>
    <w:rsid w:val="00962EC1"/>
    <w:rsid w:val="009635C9"/>
    <w:rsid w:val="00963D47"/>
    <w:rsid w:val="00963E68"/>
    <w:rsid w:val="00965B5C"/>
    <w:rsid w:val="00966262"/>
    <w:rsid w:val="00966F41"/>
    <w:rsid w:val="00967825"/>
    <w:rsid w:val="0097095F"/>
    <w:rsid w:val="00971EF7"/>
    <w:rsid w:val="009720D8"/>
    <w:rsid w:val="009728AC"/>
    <w:rsid w:val="00972EF9"/>
    <w:rsid w:val="00973D01"/>
    <w:rsid w:val="009741EF"/>
    <w:rsid w:val="00974721"/>
    <w:rsid w:val="00974B75"/>
    <w:rsid w:val="00974D64"/>
    <w:rsid w:val="009755B0"/>
    <w:rsid w:val="009766F8"/>
    <w:rsid w:val="0097724F"/>
    <w:rsid w:val="009774DB"/>
    <w:rsid w:val="0098026B"/>
    <w:rsid w:val="00980373"/>
    <w:rsid w:val="0098061D"/>
    <w:rsid w:val="00980B96"/>
    <w:rsid w:val="009815D4"/>
    <w:rsid w:val="009818BD"/>
    <w:rsid w:val="00982023"/>
    <w:rsid w:val="00982ECA"/>
    <w:rsid w:val="009831A7"/>
    <w:rsid w:val="0098366E"/>
    <w:rsid w:val="0098368A"/>
    <w:rsid w:val="00983A56"/>
    <w:rsid w:val="0098432B"/>
    <w:rsid w:val="00984940"/>
    <w:rsid w:val="0098495C"/>
    <w:rsid w:val="00984B89"/>
    <w:rsid w:val="009853C3"/>
    <w:rsid w:val="009857A5"/>
    <w:rsid w:val="00985C80"/>
    <w:rsid w:val="009862D1"/>
    <w:rsid w:val="009867F7"/>
    <w:rsid w:val="009869A6"/>
    <w:rsid w:val="00986AD8"/>
    <w:rsid w:val="00986CAA"/>
    <w:rsid w:val="00986E66"/>
    <w:rsid w:val="0098790E"/>
    <w:rsid w:val="00990791"/>
    <w:rsid w:val="00990D5C"/>
    <w:rsid w:val="009910EC"/>
    <w:rsid w:val="00991549"/>
    <w:rsid w:val="00991B84"/>
    <w:rsid w:val="0099207D"/>
    <w:rsid w:val="0099225F"/>
    <w:rsid w:val="00992414"/>
    <w:rsid w:val="00992579"/>
    <w:rsid w:val="009926E1"/>
    <w:rsid w:val="00992A7F"/>
    <w:rsid w:val="00992B7E"/>
    <w:rsid w:val="009932C9"/>
    <w:rsid w:val="0099338E"/>
    <w:rsid w:val="009935AD"/>
    <w:rsid w:val="009942CF"/>
    <w:rsid w:val="009947DA"/>
    <w:rsid w:val="00994E8A"/>
    <w:rsid w:val="009955ED"/>
    <w:rsid w:val="00995A96"/>
    <w:rsid w:val="009975EF"/>
    <w:rsid w:val="009A00FB"/>
    <w:rsid w:val="009A04E9"/>
    <w:rsid w:val="009A05EB"/>
    <w:rsid w:val="009A07CF"/>
    <w:rsid w:val="009A0AB2"/>
    <w:rsid w:val="009A2357"/>
    <w:rsid w:val="009A28A5"/>
    <w:rsid w:val="009A2E09"/>
    <w:rsid w:val="009A3785"/>
    <w:rsid w:val="009A37A3"/>
    <w:rsid w:val="009A39AB"/>
    <w:rsid w:val="009A3E5C"/>
    <w:rsid w:val="009A4524"/>
    <w:rsid w:val="009A469C"/>
    <w:rsid w:val="009A5CF7"/>
    <w:rsid w:val="009A5D90"/>
    <w:rsid w:val="009A7827"/>
    <w:rsid w:val="009B0AB3"/>
    <w:rsid w:val="009B10A7"/>
    <w:rsid w:val="009B12A3"/>
    <w:rsid w:val="009B1E61"/>
    <w:rsid w:val="009B2299"/>
    <w:rsid w:val="009B2ACE"/>
    <w:rsid w:val="009B2B6B"/>
    <w:rsid w:val="009B2BD5"/>
    <w:rsid w:val="009B34EF"/>
    <w:rsid w:val="009B39AA"/>
    <w:rsid w:val="009B3EA4"/>
    <w:rsid w:val="009B3F07"/>
    <w:rsid w:val="009B4247"/>
    <w:rsid w:val="009B42C9"/>
    <w:rsid w:val="009B4740"/>
    <w:rsid w:val="009B4918"/>
    <w:rsid w:val="009B4A39"/>
    <w:rsid w:val="009B4FFB"/>
    <w:rsid w:val="009B58AF"/>
    <w:rsid w:val="009B5BB2"/>
    <w:rsid w:val="009B6583"/>
    <w:rsid w:val="009B6E4B"/>
    <w:rsid w:val="009B7933"/>
    <w:rsid w:val="009C0332"/>
    <w:rsid w:val="009C2474"/>
    <w:rsid w:val="009C29FE"/>
    <w:rsid w:val="009C2F26"/>
    <w:rsid w:val="009C3075"/>
    <w:rsid w:val="009C35EC"/>
    <w:rsid w:val="009C3EA1"/>
    <w:rsid w:val="009C40C3"/>
    <w:rsid w:val="009C4136"/>
    <w:rsid w:val="009C4206"/>
    <w:rsid w:val="009C46F2"/>
    <w:rsid w:val="009C4756"/>
    <w:rsid w:val="009C47D2"/>
    <w:rsid w:val="009C4D48"/>
    <w:rsid w:val="009C500A"/>
    <w:rsid w:val="009C57C3"/>
    <w:rsid w:val="009C72DE"/>
    <w:rsid w:val="009C75BD"/>
    <w:rsid w:val="009D00FC"/>
    <w:rsid w:val="009D0266"/>
    <w:rsid w:val="009D03CD"/>
    <w:rsid w:val="009D0DAA"/>
    <w:rsid w:val="009D19D4"/>
    <w:rsid w:val="009D228C"/>
    <w:rsid w:val="009D32FA"/>
    <w:rsid w:val="009D3754"/>
    <w:rsid w:val="009D3FFD"/>
    <w:rsid w:val="009D47BD"/>
    <w:rsid w:val="009D5096"/>
    <w:rsid w:val="009D55AD"/>
    <w:rsid w:val="009D58E1"/>
    <w:rsid w:val="009D5CDD"/>
    <w:rsid w:val="009D5FC4"/>
    <w:rsid w:val="009D6356"/>
    <w:rsid w:val="009D6802"/>
    <w:rsid w:val="009D6E11"/>
    <w:rsid w:val="009D7539"/>
    <w:rsid w:val="009E1AC6"/>
    <w:rsid w:val="009E20C6"/>
    <w:rsid w:val="009E239B"/>
    <w:rsid w:val="009E260E"/>
    <w:rsid w:val="009E35DD"/>
    <w:rsid w:val="009E3B10"/>
    <w:rsid w:val="009E3CC8"/>
    <w:rsid w:val="009E461D"/>
    <w:rsid w:val="009E48B0"/>
    <w:rsid w:val="009E4C04"/>
    <w:rsid w:val="009E5605"/>
    <w:rsid w:val="009E5916"/>
    <w:rsid w:val="009E635D"/>
    <w:rsid w:val="009E6E06"/>
    <w:rsid w:val="009E752C"/>
    <w:rsid w:val="009E76D8"/>
    <w:rsid w:val="009E7B3E"/>
    <w:rsid w:val="009F13E4"/>
    <w:rsid w:val="009F1425"/>
    <w:rsid w:val="009F1476"/>
    <w:rsid w:val="009F1B0D"/>
    <w:rsid w:val="009F2503"/>
    <w:rsid w:val="009F28F3"/>
    <w:rsid w:val="009F2A8F"/>
    <w:rsid w:val="009F2BD4"/>
    <w:rsid w:val="009F32DF"/>
    <w:rsid w:val="009F33CB"/>
    <w:rsid w:val="009F3748"/>
    <w:rsid w:val="009F387C"/>
    <w:rsid w:val="009F3961"/>
    <w:rsid w:val="009F3A78"/>
    <w:rsid w:val="009F3B3E"/>
    <w:rsid w:val="009F3BC2"/>
    <w:rsid w:val="009F3C17"/>
    <w:rsid w:val="009F3FE3"/>
    <w:rsid w:val="009F495C"/>
    <w:rsid w:val="009F4CDF"/>
    <w:rsid w:val="009F57FC"/>
    <w:rsid w:val="009F59EC"/>
    <w:rsid w:val="009F61F9"/>
    <w:rsid w:val="009F6C95"/>
    <w:rsid w:val="009F71BF"/>
    <w:rsid w:val="009F79DC"/>
    <w:rsid w:val="00A00764"/>
    <w:rsid w:val="00A01850"/>
    <w:rsid w:val="00A01DA9"/>
    <w:rsid w:val="00A01E4E"/>
    <w:rsid w:val="00A02D19"/>
    <w:rsid w:val="00A03107"/>
    <w:rsid w:val="00A0323D"/>
    <w:rsid w:val="00A03A76"/>
    <w:rsid w:val="00A047DD"/>
    <w:rsid w:val="00A05543"/>
    <w:rsid w:val="00A0571F"/>
    <w:rsid w:val="00A057B9"/>
    <w:rsid w:val="00A05A1C"/>
    <w:rsid w:val="00A064AB"/>
    <w:rsid w:val="00A079C2"/>
    <w:rsid w:val="00A07E56"/>
    <w:rsid w:val="00A1019B"/>
    <w:rsid w:val="00A103BC"/>
    <w:rsid w:val="00A10CE2"/>
    <w:rsid w:val="00A11A4D"/>
    <w:rsid w:val="00A11EED"/>
    <w:rsid w:val="00A12C4E"/>
    <w:rsid w:val="00A12ED2"/>
    <w:rsid w:val="00A13582"/>
    <w:rsid w:val="00A1428A"/>
    <w:rsid w:val="00A1456F"/>
    <w:rsid w:val="00A148F1"/>
    <w:rsid w:val="00A14D2E"/>
    <w:rsid w:val="00A15391"/>
    <w:rsid w:val="00A15C7E"/>
    <w:rsid w:val="00A164A0"/>
    <w:rsid w:val="00A164C2"/>
    <w:rsid w:val="00A16DB1"/>
    <w:rsid w:val="00A17330"/>
    <w:rsid w:val="00A176E2"/>
    <w:rsid w:val="00A20317"/>
    <w:rsid w:val="00A2046D"/>
    <w:rsid w:val="00A20DB8"/>
    <w:rsid w:val="00A21078"/>
    <w:rsid w:val="00A21719"/>
    <w:rsid w:val="00A2193B"/>
    <w:rsid w:val="00A21A65"/>
    <w:rsid w:val="00A21E47"/>
    <w:rsid w:val="00A2268F"/>
    <w:rsid w:val="00A22801"/>
    <w:rsid w:val="00A22A6C"/>
    <w:rsid w:val="00A22DA8"/>
    <w:rsid w:val="00A22FBF"/>
    <w:rsid w:val="00A23D26"/>
    <w:rsid w:val="00A241EC"/>
    <w:rsid w:val="00A24203"/>
    <w:rsid w:val="00A246B4"/>
    <w:rsid w:val="00A252CE"/>
    <w:rsid w:val="00A25D9F"/>
    <w:rsid w:val="00A25DEC"/>
    <w:rsid w:val="00A263AE"/>
    <w:rsid w:val="00A26571"/>
    <w:rsid w:val="00A26C15"/>
    <w:rsid w:val="00A27E68"/>
    <w:rsid w:val="00A3023A"/>
    <w:rsid w:val="00A304D5"/>
    <w:rsid w:val="00A30641"/>
    <w:rsid w:val="00A309FC"/>
    <w:rsid w:val="00A31006"/>
    <w:rsid w:val="00A3147D"/>
    <w:rsid w:val="00A315D1"/>
    <w:rsid w:val="00A317A3"/>
    <w:rsid w:val="00A319A0"/>
    <w:rsid w:val="00A31F29"/>
    <w:rsid w:val="00A32FD7"/>
    <w:rsid w:val="00A334DB"/>
    <w:rsid w:val="00A335FC"/>
    <w:rsid w:val="00A3360B"/>
    <w:rsid w:val="00A33727"/>
    <w:rsid w:val="00A33BC5"/>
    <w:rsid w:val="00A347CF"/>
    <w:rsid w:val="00A34D0F"/>
    <w:rsid w:val="00A359FC"/>
    <w:rsid w:val="00A35DDB"/>
    <w:rsid w:val="00A36213"/>
    <w:rsid w:val="00A36852"/>
    <w:rsid w:val="00A36B09"/>
    <w:rsid w:val="00A37487"/>
    <w:rsid w:val="00A40DB8"/>
    <w:rsid w:val="00A40F71"/>
    <w:rsid w:val="00A41178"/>
    <w:rsid w:val="00A41752"/>
    <w:rsid w:val="00A41A05"/>
    <w:rsid w:val="00A41BCE"/>
    <w:rsid w:val="00A41D3B"/>
    <w:rsid w:val="00A42461"/>
    <w:rsid w:val="00A4321F"/>
    <w:rsid w:val="00A43A53"/>
    <w:rsid w:val="00A43BAF"/>
    <w:rsid w:val="00A43F01"/>
    <w:rsid w:val="00A43F9D"/>
    <w:rsid w:val="00A43F9F"/>
    <w:rsid w:val="00A44001"/>
    <w:rsid w:val="00A4558B"/>
    <w:rsid w:val="00A45A43"/>
    <w:rsid w:val="00A45A6B"/>
    <w:rsid w:val="00A45ECD"/>
    <w:rsid w:val="00A45F5C"/>
    <w:rsid w:val="00A46295"/>
    <w:rsid w:val="00A4641B"/>
    <w:rsid w:val="00A46AB6"/>
    <w:rsid w:val="00A46C65"/>
    <w:rsid w:val="00A46FBD"/>
    <w:rsid w:val="00A4707A"/>
    <w:rsid w:val="00A47889"/>
    <w:rsid w:val="00A47ED0"/>
    <w:rsid w:val="00A50136"/>
    <w:rsid w:val="00A504B1"/>
    <w:rsid w:val="00A5131C"/>
    <w:rsid w:val="00A51507"/>
    <w:rsid w:val="00A51596"/>
    <w:rsid w:val="00A5167E"/>
    <w:rsid w:val="00A51E44"/>
    <w:rsid w:val="00A53497"/>
    <w:rsid w:val="00A53AB8"/>
    <w:rsid w:val="00A53D20"/>
    <w:rsid w:val="00A5425F"/>
    <w:rsid w:val="00A548A8"/>
    <w:rsid w:val="00A54C62"/>
    <w:rsid w:val="00A54FD8"/>
    <w:rsid w:val="00A56196"/>
    <w:rsid w:val="00A56461"/>
    <w:rsid w:val="00A5647E"/>
    <w:rsid w:val="00A56706"/>
    <w:rsid w:val="00A56D07"/>
    <w:rsid w:val="00A5728A"/>
    <w:rsid w:val="00A57FFA"/>
    <w:rsid w:val="00A60249"/>
    <w:rsid w:val="00A60542"/>
    <w:rsid w:val="00A609E7"/>
    <w:rsid w:val="00A61F48"/>
    <w:rsid w:val="00A6215C"/>
    <w:rsid w:val="00A630C2"/>
    <w:rsid w:val="00A6391A"/>
    <w:rsid w:val="00A63CA4"/>
    <w:rsid w:val="00A6491D"/>
    <w:rsid w:val="00A64A2B"/>
    <w:rsid w:val="00A64AF4"/>
    <w:rsid w:val="00A64D6A"/>
    <w:rsid w:val="00A65205"/>
    <w:rsid w:val="00A6554C"/>
    <w:rsid w:val="00A657DA"/>
    <w:rsid w:val="00A65BDA"/>
    <w:rsid w:val="00A667EA"/>
    <w:rsid w:val="00A67314"/>
    <w:rsid w:val="00A675A6"/>
    <w:rsid w:val="00A67BDB"/>
    <w:rsid w:val="00A7027B"/>
    <w:rsid w:val="00A702A2"/>
    <w:rsid w:val="00A70433"/>
    <w:rsid w:val="00A7114F"/>
    <w:rsid w:val="00A72169"/>
    <w:rsid w:val="00A72461"/>
    <w:rsid w:val="00A72CCC"/>
    <w:rsid w:val="00A73086"/>
    <w:rsid w:val="00A73494"/>
    <w:rsid w:val="00A737E4"/>
    <w:rsid w:val="00A73FB3"/>
    <w:rsid w:val="00A74337"/>
    <w:rsid w:val="00A749AD"/>
    <w:rsid w:val="00A74EAC"/>
    <w:rsid w:val="00A7557A"/>
    <w:rsid w:val="00A75719"/>
    <w:rsid w:val="00A773A7"/>
    <w:rsid w:val="00A800BF"/>
    <w:rsid w:val="00A801D8"/>
    <w:rsid w:val="00A802EE"/>
    <w:rsid w:val="00A809A1"/>
    <w:rsid w:val="00A80A53"/>
    <w:rsid w:val="00A80D21"/>
    <w:rsid w:val="00A80E33"/>
    <w:rsid w:val="00A80E39"/>
    <w:rsid w:val="00A80FEA"/>
    <w:rsid w:val="00A810D1"/>
    <w:rsid w:val="00A81D7C"/>
    <w:rsid w:val="00A81E67"/>
    <w:rsid w:val="00A82064"/>
    <w:rsid w:val="00A82525"/>
    <w:rsid w:val="00A83B10"/>
    <w:rsid w:val="00A83CA2"/>
    <w:rsid w:val="00A83F90"/>
    <w:rsid w:val="00A845D7"/>
    <w:rsid w:val="00A8499D"/>
    <w:rsid w:val="00A852AC"/>
    <w:rsid w:val="00A854C2"/>
    <w:rsid w:val="00A85846"/>
    <w:rsid w:val="00A858A1"/>
    <w:rsid w:val="00A86B6E"/>
    <w:rsid w:val="00A87D58"/>
    <w:rsid w:val="00A87F6F"/>
    <w:rsid w:val="00A87FB9"/>
    <w:rsid w:val="00A9105F"/>
    <w:rsid w:val="00A91E77"/>
    <w:rsid w:val="00A92154"/>
    <w:rsid w:val="00A9225F"/>
    <w:rsid w:val="00A9238F"/>
    <w:rsid w:val="00A92688"/>
    <w:rsid w:val="00A9341E"/>
    <w:rsid w:val="00A93E13"/>
    <w:rsid w:val="00A93F23"/>
    <w:rsid w:val="00A943B9"/>
    <w:rsid w:val="00A94A55"/>
    <w:rsid w:val="00A94D27"/>
    <w:rsid w:val="00A95502"/>
    <w:rsid w:val="00A959E2"/>
    <w:rsid w:val="00A95CB3"/>
    <w:rsid w:val="00A9604D"/>
    <w:rsid w:val="00A96701"/>
    <w:rsid w:val="00A96ABC"/>
    <w:rsid w:val="00A96CE5"/>
    <w:rsid w:val="00A97216"/>
    <w:rsid w:val="00A9725A"/>
    <w:rsid w:val="00A9759A"/>
    <w:rsid w:val="00A97675"/>
    <w:rsid w:val="00A978A8"/>
    <w:rsid w:val="00A97D10"/>
    <w:rsid w:val="00AA0BDD"/>
    <w:rsid w:val="00AA1645"/>
    <w:rsid w:val="00AA2C98"/>
    <w:rsid w:val="00AA2E8D"/>
    <w:rsid w:val="00AA31BA"/>
    <w:rsid w:val="00AA3CD5"/>
    <w:rsid w:val="00AA40E1"/>
    <w:rsid w:val="00AA4224"/>
    <w:rsid w:val="00AA4A12"/>
    <w:rsid w:val="00AA4AC2"/>
    <w:rsid w:val="00AA5726"/>
    <w:rsid w:val="00AA5D60"/>
    <w:rsid w:val="00AA6231"/>
    <w:rsid w:val="00AA75DC"/>
    <w:rsid w:val="00AA7EFF"/>
    <w:rsid w:val="00AA7F0B"/>
    <w:rsid w:val="00AB012D"/>
    <w:rsid w:val="00AB04BE"/>
    <w:rsid w:val="00AB0C6A"/>
    <w:rsid w:val="00AB0CF5"/>
    <w:rsid w:val="00AB10EB"/>
    <w:rsid w:val="00AB13FA"/>
    <w:rsid w:val="00AB17DB"/>
    <w:rsid w:val="00AB1B2B"/>
    <w:rsid w:val="00AB1EDA"/>
    <w:rsid w:val="00AB2685"/>
    <w:rsid w:val="00AB2C8E"/>
    <w:rsid w:val="00AB2CFF"/>
    <w:rsid w:val="00AB2D4D"/>
    <w:rsid w:val="00AB3A24"/>
    <w:rsid w:val="00AB3D25"/>
    <w:rsid w:val="00AB4460"/>
    <w:rsid w:val="00AB465F"/>
    <w:rsid w:val="00AB5E5E"/>
    <w:rsid w:val="00AB6F32"/>
    <w:rsid w:val="00AB70C8"/>
    <w:rsid w:val="00AC06C1"/>
    <w:rsid w:val="00AC091F"/>
    <w:rsid w:val="00AC0FCA"/>
    <w:rsid w:val="00AC105E"/>
    <w:rsid w:val="00AC11CC"/>
    <w:rsid w:val="00AC1707"/>
    <w:rsid w:val="00AC17B3"/>
    <w:rsid w:val="00AC199D"/>
    <w:rsid w:val="00AC210E"/>
    <w:rsid w:val="00AC21B6"/>
    <w:rsid w:val="00AC318B"/>
    <w:rsid w:val="00AC3ADB"/>
    <w:rsid w:val="00AC3DEB"/>
    <w:rsid w:val="00AC45ED"/>
    <w:rsid w:val="00AC5303"/>
    <w:rsid w:val="00AC54D3"/>
    <w:rsid w:val="00AC573C"/>
    <w:rsid w:val="00AC5C5A"/>
    <w:rsid w:val="00AC614B"/>
    <w:rsid w:val="00AD01DC"/>
    <w:rsid w:val="00AD0DE9"/>
    <w:rsid w:val="00AD0E5D"/>
    <w:rsid w:val="00AD0EC3"/>
    <w:rsid w:val="00AD1385"/>
    <w:rsid w:val="00AD149A"/>
    <w:rsid w:val="00AD1585"/>
    <w:rsid w:val="00AD1B73"/>
    <w:rsid w:val="00AD2221"/>
    <w:rsid w:val="00AD3388"/>
    <w:rsid w:val="00AD3BE6"/>
    <w:rsid w:val="00AD3E91"/>
    <w:rsid w:val="00AD42CC"/>
    <w:rsid w:val="00AD43E8"/>
    <w:rsid w:val="00AD603F"/>
    <w:rsid w:val="00AD607E"/>
    <w:rsid w:val="00AD6A2A"/>
    <w:rsid w:val="00AD6F93"/>
    <w:rsid w:val="00AD7484"/>
    <w:rsid w:val="00AD7689"/>
    <w:rsid w:val="00AE03B6"/>
    <w:rsid w:val="00AE069B"/>
    <w:rsid w:val="00AE1874"/>
    <w:rsid w:val="00AE1B54"/>
    <w:rsid w:val="00AE208E"/>
    <w:rsid w:val="00AE20AF"/>
    <w:rsid w:val="00AE29DC"/>
    <w:rsid w:val="00AE2C1A"/>
    <w:rsid w:val="00AE2EC9"/>
    <w:rsid w:val="00AE449B"/>
    <w:rsid w:val="00AE46DA"/>
    <w:rsid w:val="00AE4865"/>
    <w:rsid w:val="00AE500A"/>
    <w:rsid w:val="00AE5295"/>
    <w:rsid w:val="00AE5D55"/>
    <w:rsid w:val="00AF061C"/>
    <w:rsid w:val="00AF11B6"/>
    <w:rsid w:val="00AF11CD"/>
    <w:rsid w:val="00AF1648"/>
    <w:rsid w:val="00AF16CF"/>
    <w:rsid w:val="00AF184F"/>
    <w:rsid w:val="00AF19E5"/>
    <w:rsid w:val="00AF2947"/>
    <w:rsid w:val="00AF2B3D"/>
    <w:rsid w:val="00AF2C48"/>
    <w:rsid w:val="00AF333B"/>
    <w:rsid w:val="00AF3F4C"/>
    <w:rsid w:val="00AF481F"/>
    <w:rsid w:val="00AF482C"/>
    <w:rsid w:val="00AF4D9D"/>
    <w:rsid w:val="00AF4DFF"/>
    <w:rsid w:val="00AF50EE"/>
    <w:rsid w:val="00AF5281"/>
    <w:rsid w:val="00AF52B1"/>
    <w:rsid w:val="00AF5540"/>
    <w:rsid w:val="00AF5A89"/>
    <w:rsid w:val="00AF5C1B"/>
    <w:rsid w:val="00AF5DFE"/>
    <w:rsid w:val="00AF690F"/>
    <w:rsid w:val="00AF7283"/>
    <w:rsid w:val="00B00AD0"/>
    <w:rsid w:val="00B00BF1"/>
    <w:rsid w:val="00B00E07"/>
    <w:rsid w:val="00B00F12"/>
    <w:rsid w:val="00B01582"/>
    <w:rsid w:val="00B018DB"/>
    <w:rsid w:val="00B01EF8"/>
    <w:rsid w:val="00B02372"/>
    <w:rsid w:val="00B031E4"/>
    <w:rsid w:val="00B0339B"/>
    <w:rsid w:val="00B03814"/>
    <w:rsid w:val="00B03877"/>
    <w:rsid w:val="00B03C88"/>
    <w:rsid w:val="00B03CCA"/>
    <w:rsid w:val="00B046A2"/>
    <w:rsid w:val="00B04753"/>
    <w:rsid w:val="00B04940"/>
    <w:rsid w:val="00B057CE"/>
    <w:rsid w:val="00B05C27"/>
    <w:rsid w:val="00B10B23"/>
    <w:rsid w:val="00B11406"/>
    <w:rsid w:val="00B1189F"/>
    <w:rsid w:val="00B11F0B"/>
    <w:rsid w:val="00B131C1"/>
    <w:rsid w:val="00B13303"/>
    <w:rsid w:val="00B134E6"/>
    <w:rsid w:val="00B13DEF"/>
    <w:rsid w:val="00B13E93"/>
    <w:rsid w:val="00B13F6F"/>
    <w:rsid w:val="00B14552"/>
    <w:rsid w:val="00B14654"/>
    <w:rsid w:val="00B1473D"/>
    <w:rsid w:val="00B14E5D"/>
    <w:rsid w:val="00B15343"/>
    <w:rsid w:val="00B1582C"/>
    <w:rsid w:val="00B15A97"/>
    <w:rsid w:val="00B15C7D"/>
    <w:rsid w:val="00B16270"/>
    <w:rsid w:val="00B162A5"/>
    <w:rsid w:val="00B162B2"/>
    <w:rsid w:val="00B16A41"/>
    <w:rsid w:val="00B16C4D"/>
    <w:rsid w:val="00B16C6B"/>
    <w:rsid w:val="00B16E43"/>
    <w:rsid w:val="00B1715E"/>
    <w:rsid w:val="00B17644"/>
    <w:rsid w:val="00B17F82"/>
    <w:rsid w:val="00B2071E"/>
    <w:rsid w:val="00B22908"/>
    <w:rsid w:val="00B22C35"/>
    <w:rsid w:val="00B22FCB"/>
    <w:rsid w:val="00B23032"/>
    <w:rsid w:val="00B2373A"/>
    <w:rsid w:val="00B244E5"/>
    <w:rsid w:val="00B24AE5"/>
    <w:rsid w:val="00B2577D"/>
    <w:rsid w:val="00B26411"/>
    <w:rsid w:val="00B26911"/>
    <w:rsid w:val="00B26E5B"/>
    <w:rsid w:val="00B272E0"/>
    <w:rsid w:val="00B276F1"/>
    <w:rsid w:val="00B277E0"/>
    <w:rsid w:val="00B27869"/>
    <w:rsid w:val="00B27A6A"/>
    <w:rsid w:val="00B301B5"/>
    <w:rsid w:val="00B3026D"/>
    <w:rsid w:val="00B302F2"/>
    <w:rsid w:val="00B3039E"/>
    <w:rsid w:val="00B31131"/>
    <w:rsid w:val="00B31713"/>
    <w:rsid w:val="00B319B3"/>
    <w:rsid w:val="00B31B48"/>
    <w:rsid w:val="00B31CD7"/>
    <w:rsid w:val="00B32C24"/>
    <w:rsid w:val="00B32E81"/>
    <w:rsid w:val="00B33574"/>
    <w:rsid w:val="00B337B9"/>
    <w:rsid w:val="00B33B17"/>
    <w:rsid w:val="00B33E9E"/>
    <w:rsid w:val="00B3487A"/>
    <w:rsid w:val="00B34A7D"/>
    <w:rsid w:val="00B34FFF"/>
    <w:rsid w:val="00B35156"/>
    <w:rsid w:val="00B35207"/>
    <w:rsid w:val="00B35B47"/>
    <w:rsid w:val="00B35C55"/>
    <w:rsid w:val="00B37579"/>
    <w:rsid w:val="00B37895"/>
    <w:rsid w:val="00B37EF0"/>
    <w:rsid w:val="00B40A2F"/>
    <w:rsid w:val="00B40E82"/>
    <w:rsid w:val="00B41A26"/>
    <w:rsid w:val="00B41AF6"/>
    <w:rsid w:val="00B41C1E"/>
    <w:rsid w:val="00B41C77"/>
    <w:rsid w:val="00B421D1"/>
    <w:rsid w:val="00B42DFF"/>
    <w:rsid w:val="00B43193"/>
    <w:rsid w:val="00B43823"/>
    <w:rsid w:val="00B43D10"/>
    <w:rsid w:val="00B43FFE"/>
    <w:rsid w:val="00B44666"/>
    <w:rsid w:val="00B4468A"/>
    <w:rsid w:val="00B44EF7"/>
    <w:rsid w:val="00B455CB"/>
    <w:rsid w:val="00B4578B"/>
    <w:rsid w:val="00B45DCD"/>
    <w:rsid w:val="00B462A8"/>
    <w:rsid w:val="00B47734"/>
    <w:rsid w:val="00B5008B"/>
    <w:rsid w:val="00B500FB"/>
    <w:rsid w:val="00B504F2"/>
    <w:rsid w:val="00B50939"/>
    <w:rsid w:val="00B50A6C"/>
    <w:rsid w:val="00B515F3"/>
    <w:rsid w:val="00B51CAE"/>
    <w:rsid w:val="00B51E9D"/>
    <w:rsid w:val="00B521B7"/>
    <w:rsid w:val="00B529DA"/>
    <w:rsid w:val="00B530FF"/>
    <w:rsid w:val="00B531D7"/>
    <w:rsid w:val="00B53889"/>
    <w:rsid w:val="00B538F7"/>
    <w:rsid w:val="00B54A64"/>
    <w:rsid w:val="00B551B8"/>
    <w:rsid w:val="00B55FE6"/>
    <w:rsid w:val="00B5646D"/>
    <w:rsid w:val="00B56528"/>
    <w:rsid w:val="00B56FB7"/>
    <w:rsid w:val="00B57390"/>
    <w:rsid w:val="00B57CBC"/>
    <w:rsid w:val="00B57FF9"/>
    <w:rsid w:val="00B608EE"/>
    <w:rsid w:val="00B6091E"/>
    <w:rsid w:val="00B609B9"/>
    <w:rsid w:val="00B60B40"/>
    <w:rsid w:val="00B61454"/>
    <w:rsid w:val="00B617BA"/>
    <w:rsid w:val="00B618AF"/>
    <w:rsid w:val="00B61C75"/>
    <w:rsid w:val="00B623AE"/>
    <w:rsid w:val="00B62529"/>
    <w:rsid w:val="00B6311D"/>
    <w:rsid w:val="00B6316C"/>
    <w:rsid w:val="00B63242"/>
    <w:rsid w:val="00B634AF"/>
    <w:rsid w:val="00B639D8"/>
    <w:rsid w:val="00B641D5"/>
    <w:rsid w:val="00B642BC"/>
    <w:rsid w:val="00B64B89"/>
    <w:rsid w:val="00B64D91"/>
    <w:rsid w:val="00B64FC0"/>
    <w:rsid w:val="00B65D77"/>
    <w:rsid w:val="00B66427"/>
    <w:rsid w:val="00B66548"/>
    <w:rsid w:val="00B66718"/>
    <w:rsid w:val="00B6685D"/>
    <w:rsid w:val="00B66B45"/>
    <w:rsid w:val="00B66F82"/>
    <w:rsid w:val="00B67391"/>
    <w:rsid w:val="00B67399"/>
    <w:rsid w:val="00B6740B"/>
    <w:rsid w:val="00B677DA"/>
    <w:rsid w:val="00B67BD0"/>
    <w:rsid w:val="00B70153"/>
    <w:rsid w:val="00B701A2"/>
    <w:rsid w:val="00B7045C"/>
    <w:rsid w:val="00B7054F"/>
    <w:rsid w:val="00B70565"/>
    <w:rsid w:val="00B70820"/>
    <w:rsid w:val="00B712D6"/>
    <w:rsid w:val="00B72474"/>
    <w:rsid w:val="00B72962"/>
    <w:rsid w:val="00B72D51"/>
    <w:rsid w:val="00B73014"/>
    <w:rsid w:val="00B73B12"/>
    <w:rsid w:val="00B73EC3"/>
    <w:rsid w:val="00B74394"/>
    <w:rsid w:val="00B743E5"/>
    <w:rsid w:val="00B749F3"/>
    <w:rsid w:val="00B74C42"/>
    <w:rsid w:val="00B74E09"/>
    <w:rsid w:val="00B757C4"/>
    <w:rsid w:val="00B766F9"/>
    <w:rsid w:val="00B76719"/>
    <w:rsid w:val="00B76E6F"/>
    <w:rsid w:val="00B76FA0"/>
    <w:rsid w:val="00B77065"/>
    <w:rsid w:val="00B773FB"/>
    <w:rsid w:val="00B777CB"/>
    <w:rsid w:val="00B77902"/>
    <w:rsid w:val="00B8021D"/>
    <w:rsid w:val="00B807D4"/>
    <w:rsid w:val="00B80A9A"/>
    <w:rsid w:val="00B814AD"/>
    <w:rsid w:val="00B81548"/>
    <w:rsid w:val="00B81BC9"/>
    <w:rsid w:val="00B81DA0"/>
    <w:rsid w:val="00B837D4"/>
    <w:rsid w:val="00B83DAE"/>
    <w:rsid w:val="00B8454A"/>
    <w:rsid w:val="00B84971"/>
    <w:rsid w:val="00B84D39"/>
    <w:rsid w:val="00B85740"/>
    <w:rsid w:val="00B8585C"/>
    <w:rsid w:val="00B85B86"/>
    <w:rsid w:val="00B864BB"/>
    <w:rsid w:val="00B87522"/>
    <w:rsid w:val="00B87BF9"/>
    <w:rsid w:val="00B87EEA"/>
    <w:rsid w:val="00B9029F"/>
    <w:rsid w:val="00B905E8"/>
    <w:rsid w:val="00B91A0B"/>
    <w:rsid w:val="00B9264D"/>
    <w:rsid w:val="00B927F8"/>
    <w:rsid w:val="00B92CBE"/>
    <w:rsid w:val="00B933E6"/>
    <w:rsid w:val="00B93557"/>
    <w:rsid w:val="00B944B0"/>
    <w:rsid w:val="00B958C2"/>
    <w:rsid w:val="00B958D5"/>
    <w:rsid w:val="00B95B7D"/>
    <w:rsid w:val="00B966E0"/>
    <w:rsid w:val="00B96FC5"/>
    <w:rsid w:val="00B978F2"/>
    <w:rsid w:val="00B9794C"/>
    <w:rsid w:val="00B979BD"/>
    <w:rsid w:val="00B97E1D"/>
    <w:rsid w:val="00BA04CC"/>
    <w:rsid w:val="00BA04DA"/>
    <w:rsid w:val="00BA0723"/>
    <w:rsid w:val="00BA0D70"/>
    <w:rsid w:val="00BA0FA5"/>
    <w:rsid w:val="00BA118E"/>
    <w:rsid w:val="00BA1455"/>
    <w:rsid w:val="00BA188E"/>
    <w:rsid w:val="00BA1D31"/>
    <w:rsid w:val="00BA20DC"/>
    <w:rsid w:val="00BA20DE"/>
    <w:rsid w:val="00BA227D"/>
    <w:rsid w:val="00BA2D46"/>
    <w:rsid w:val="00BA343E"/>
    <w:rsid w:val="00BA3CE8"/>
    <w:rsid w:val="00BA42BC"/>
    <w:rsid w:val="00BA4368"/>
    <w:rsid w:val="00BA436D"/>
    <w:rsid w:val="00BA5BBF"/>
    <w:rsid w:val="00BA5D53"/>
    <w:rsid w:val="00BA7885"/>
    <w:rsid w:val="00BA7ED0"/>
    <w:rsid w:val="00BA7F11"/>
    <w:rsid w:val="00BB0B55"/>
    <w:rsid w:val="00BB0E2F"/>
    <w:rsid w:val="00BB0EB7"/>
    <w:rsid w:val="00BB0F04"/>
    <w:rsid w:val="00BB10E0"/>
    <w:rsid w:val="00BB1245"/>
    <w:rsid w:val="00BB1861"/>
    <w:rsid w:val="00BB1A8A"/>
    <w:rsid w:val="00BB22CE"/>
    <w:rsid w:val="00BB23DD"/>
    <w:rsid w:val="00BB268D"/>
    <w:rsid w:val="00BB2A55"/>
    <w:rsid w:val="00BB2C2E"/>
    <w:rsid w:val="00BB3200"/>
    <w:rsid w:val="00BB3E43"/>
    <w:rsid w:val="00BB521E"/>
    <w:rsid w:val="00BB524F"/>
    <w:rsid w:val="00BB5450"/>
    <w:rsid w:val="00BB69D3"/>
    <w:rsid w:val="00BB6E01"/>
    <w:rsid w:val="00BB7D88"/>
    <w:rsid w:val="00BB7EAA"/>
    <w:rsid w:val="00BC0204"/>
    <w:rsid w:val="00BC083E"/>
    <w:rsid w:val="00BC0986"/>
    <w:rsid w:val="00BC0E87"/>
    <w:rsid w:val="00BC1210"/>
    <w:rsid w:val="00BC1D93"/>
    <w:rsid w:val="00BC205B"/>
    <w:rsid w:val="00BC20FA"/>
    <w:rsid w:val="00BC2960"/>
    <w:rsid w:val="00BC296D"/>
    <w:rsid w:val="00BC2F77"/>
    <w:rsid w:val="00BC44FE"/>
    <w:rsid w:val="00BC5566"/>
    <w:rsid w:val="00BC55E0"/>
    <w:rsid w:val="00BC56EF"/>
    <w:rsid w:val="00BC6213"/>
    <w:rsid w:val="00BC6983"/>
    <w:rsid w:val="00BC6A68"/>
    <w:rsid w:val="00BC6EF7"/>
    <w:rsid w:val="00BC703D"/>
    <w:rsid w:val="00BC7127"/>
    <w:rsid w:val="00BC7C31"/>
    <w:rsid w:val="00BD00A3"/>
    <w:rsid w:val="00BD099B"/>
    <w:rsid w:val="00BD0EB4"/>
    <w:rsid w:val="00BD10DB"/>
    <w:rsid w:val="00BD143D"/>
    <w:rsid w:val="00BD153E"/>
    <w:rsid w:val="00BD1C93"/>
    <w:rsid w:val="00BD283E"/>
    <w:rsid w:val="00BD297F"/>
    <w:rsid w:val="00BD2D0A"/>
    <w:rsid w:val="00BD3180"/>
    <w:rsid w:val="00BD342D"/>
    <w:rsid w:val="00BD425D"/>
    <w:rsid w:val="00BD4C01"/>
    <w:rsid w:val="00BD585D"/>
    <w:rsid w:val="00BD5BAB"/>
    <w:rsid w:val="00BD6E22"/>
    <w:rsid w:val="00BD722B"/>
    <w:rsid w:val="00BD75C1"/>
    <w:rsid w:val="00BD7DE0"/>
    <w:rsid w:val="00BE05D1"/>
    <w:rsid w:val="00BE0ED2"/>
    <w:rsid w:val="00BE16F8"/>
    <w:rsid w:val="00BE1966"/>
    <w:rsid w:val="00BE276C"/>
    <w:rsid w:val="00BE2A40"/>
    <w:rsid w:val="00BE3561"/>
    <w:rsid w:val="00BE37D9"/>
    <w:rsid w:val="00BE3DCF"/>
    <w:rsid w:val="00BE4499"/>
    <w:rsid w:val="00BE49A8"/>
    <w:rsid w:val="00BE5D68"/>
    <w:rsid w:val="00BE5DA2"/>
    <w:rsid w:val="00BE5E6C"/>
    <w:rsid w:val="00BE7447"/>
    <w:rsid w:val="00BE744F"/>
    <w:rsid w:val="00BE795D"/>
    <w:rsid w:val="00BF0239"/>
    <w:rsid w:val="00BF12A5"/>
    <w:rsid w:val="00BF2E23"/>
    <w:rsid w:val="00BF33B9"/>
    <w:rsid w:val="00BF362A"/>
    <w:rsid w:val="00BF366D"/>
    <w:rsid w:val="00BF37AC"/>
    <w:rsid w:val="00BF4BEF"/>
    <w:rsid w:val="00BF5DB2"/>
    <w:rsid w:val="00BF5EB2"/>
    <w:rsid w:val="00BF5F43"/>
    <w:rsid w:val="00BF62C3"/>
    <w:rsid w:val="00BF6B45"/>
    <w:rsid w:val="00BF6CAA"/>
    <w:rsid w:val="00BF6DE3"/>
    <w:rsid w:val="00BF6F95"/>
    <w:rsid w:val="00BF703A"/>
    <w:rsid w:val="00BF774D"/>
    <w:rsid w:val="00C00B30"/>
    <w:rsid w:val="00C01392"/>
    <w:rsid w:val="00C01D04"/>
    <w:rsid w:val="00C01EE5"/>
    <w:rsid w:val="00C01F17"/>
    <w:rsid w:val="00C01F4D"/>
    <w:rsid w:val="00C02001"/>
    <w:rsid w:val="00C03206"/>
    <w:rsid w:val="00C03681"/>
    <w:rsid w:val="00C03BC3"/>
    <w:rsid w:val="00C045C1"/>
    <w:rsid w:val="00C04A0D"/>
    <w:rsid w:val="00C05267"/>
    <w:rsid w:val="00C052EB"/>
    <w:rsid w:val="00C0581A"/>
    <w:rsid w:val="00C05ABC"/>
    <w:rsid w:val="00C06567"/>
    <w:rsid w:val="00C0659E"/>
    <w:rsid w:val="00C06663"/>
    <w:rsid w:val="00C06F94"/>
    <w:rsid w:val="00C076F4"/>
    <w:rsid w:val="00C07A60"/>
    <w:rsid w:val="00C07DBF"/>
    <w:rsid w:val="00C07F9B"/>
    <w:rsid w:val="00C107DF"/>
    <w:rsid w:val="00C109A7"/>
    <w:rsid w:val="00C10EE7"/>
    <w:rsid w:val="00C110F2"/>
    <w:rsid w:val="00C111CA"/>
    <w:rsid w:val="00C11253"/>
    <w:rsid w:val="00C11DC7"/>
    <w:rsid w:val="00C124B8"/>
    <w:rsid w:val="00C12B07"/>
    <w:rsid w:val="00C12D82"/>
    <w:rsid w:val="00C12E6F"/>
    <w:rsid w:val="00C13B7E"/>
    <w:rsid w:val="00C13FE2"/>
    <w:rsid w:val="00C14603"/>
    <w:rsid w:val="00C1499B"/>
    <w:rsid w:val="00C14FBA"/>
    <w:rsid w:val="00C1536B"/>
    <w:rsid w:val="00C15519"/>
    <w:rsid w:val="00C15555"/>
    <w:rsid w:val="00C15954"/>
    <w:rsid w:val="00C166AB"/>
    <w:rsid w:val="00C1670D"/>
    <w:rsid w:val="00C17DFF"/>
    <w:rsid w:val="00C2058C"/>
    <w:rsid w:val="00C20DA1"/>
    <w:rsid w:val="00C21590"/>
    <w:rsid w:val="00C21AD4"/>
    <w:rsid w:val="00C21E2A"/>
    <w:rsid w:val="00C22404"/>
    <w:rsid w:val="00C2272A"/>
    <w:rsid w:val="00C22EF0"/>
    <w:rsid w:val="00C22FBE"/>
    <w:rsid w:val="00C2316E"/>
    <w:rsid w:val="00C232FF"/>
    <w:rsid w:val="00C23E73"/>
    <w:rsid w:val="00C23F44"/>
    <w:rsid w:val="00C24639"/>
    <w:rsid w:val="00C248AA"/>
    <w:rsid w:val="00C24B8D"/>
    <w:rsid w:val="00C25A61"/>
    <w:rsid w:val="00C25BE6"/>
    <w:rsid w:val="00C26AFD"/>
    <w:rsid w:val="00C26E1E"/>
    <w:rsid w:val="00C27F1A"/>
    <w:rsid w:val="00C310CC"/>
    <w:rsid w:val="00C319E5"/>
    <w:rsid w:val="00C320CC"/>
    <w:rsid w:val="00C322C4"/>
    <w:rsid w:val="00C3244F"/>
    <w:rsid w:val="00C32550"/>
    <w:rsid w:val="00C3285D"/>
    <w:rsid w:val="00C3311C"/>
    <w:rsid w:val="00C33174"/>
    <w:rsid w:val="00C3340A"/>
    <w:rsid w:val="00C33A23"/>
    <w:rsid w:val="00C33AF7"/>
    <w:rsid w:val="00C343FB"/>
    <w:rsid w:val="00C344FF"/>
    <w:rsid w:val="00C34EAE"/>
    <w:rsid w:val="00C361E7"/>
    <w:rsid w:val="00C364B4"/>
    <w:rsid w:val="00C366CA"/>
    <w:rsid w:val="00C3693E"/>
    <w:rsid w:val="00C36F37"/>
    <w:rsid w:val="00C371F8"/>
    <w:rsid w:val="00C37B2A"/>
    <w:rsid w:val="00C4033C"/>
    <w:rsid w:val="00C41060"/>
    <w:rsid w:val="00C41165"/>
    <w:rsid w:val="00C412F3"/>
    <w:rsid w:val="00C413F6"/>
    <w:rsid w:val="00C42063"/>
    <w:rsid w:val="00C42E8A"/>
    <w:rsid w:val="00C4306A"/>
    <w:rsid w:val="00C446A4"/>
    <w:rsid w:val="00C4540E"/>
    <w:rsid w:val="00C45656"/>
    <w:rsid w:val="00C4576F"/>
    <w:rsid w:val="00C457CA"/>
    <w:rsid w:val="00C45D4E"/>
    <w:rsid w:val="00C46693"/>
    <w:rsid w:val="00C46B68"/>
    <w:rsid w:val="00C46B85"/>
    <w:rsid w:val="00C46C63"/>
    <w:rsid w:val="00C47516"/>
    <w:rsid w:val="00C477CA"/>
    <w:rsid w:val="00C4791F"/>
    <w:rsid w:val="00C47B4B"/>
    <w:rsid w:val="00C47CBF"/>
    <w:rsid w:val="00C47D8A"/>
    <w:rsid w:val="00C47E77"/>
    <w:rsid w:val="00C47F3A"/>
    <w:rsid w:val="00C50038"/>
    <w:rsid w:val="00C5058F"/>
    <w:rsid w:val="00C505EA"/>
    <w:rsid w:val="00C507AD"/>
    <w:rsid w:val="00C50CFD"/>
    <w:rsid w:val="00C51082"/>
    <w:rsid w:val="00C51A13"/>
    <w:rsid w:val="00C51AA2"/>
    <w:rsid w:val="00C52553"/>
    <w:rsid w:val="00C527ED"/>
    <w:rsid w:val="00C52952"/>
    <w:rsid w:val="00C52A60"/>
    <w:rsid w:val="00C5300A"/>
    <w:rsid w:val="00C530B7"/>
    <w:rsid w:val="00C53189"/>
    <w:rsid w:val="00C54848"/>
    <w:rsid w:val="00C54A1D"/>
    <w:rsid w:val="00C54B8A"/>
    <w:rsid w:val="00C54E09"/>
    <w:rsid w:val="00C5513F"/>
    <w:rsid w:val="00C5592B"/>
    <w:rsid w:val="00C56FCA"/>
    <w:rsid w:val="00C56FE4"/>
    <w:rsid w:val="00C57123"/>
    <w:rsid w:val="00C57CE8"/>
    <w:rsid w:val="00C6046B"/>
    <w:rsid w:val="00C60828"/>
    <w:rsid w:val="00C60CC2"/>
    <w:rsid w:val="00C60FC8"/>
    <w:rsid w:val="00C6121B"/>
    <w:rsid w:val="00C61C34"/>
    <w:rsid w:val="00C623A7"/>
    <w:rsid w:val="00C62843"/>
    <w:rsid w:val="00C62BD4"/>
    <w:rsid w:val="00C62D68"/>
    <w:rsid w:val="00C62F36"/>
    <w:rsid w:val="00C62FE7"/>
    <w:rsid w:val="00C63515"/>
    <w:rsid w:val="00C636D8"/>
    <w:rsid w:val="00C639AF"/>
    <w:rsid w:val="00C63A93"/>
    <w:rsid w:val="00C6501F"/>
    <w:rsid w:val="00C650E1"/>
    <w:rsid w:val="00C65514"/>
    <w:rsid w:val="00C655B0"/>
    <w:rsid w:val="00C65635"/>
    <w:rsid w:val="00C65A10"/>
    <w:rsid w:val="00C664B4"/>
    <w:rsid w:val="00C6656E"/>
    <w:rsid w:val="00C6694F"/>
    <w:rsid w:val="00C67ABA"/>
    <w:rsid w:val="00C7043A"/>
    <w:rsid w:val="00C70502"/>
    <w:rsid w:val="00C70E6F"/>
    <w:rsid w:val="00C719B0"/>
    <w:rsid w:val="00C72B10"/>
    <w:rsid w:val="00C72D41"/>
    <w:rsid w:val="00C74380"/>
    <w:rsid w:val="00C744E3"/>
    <w:rsid w:val="00C74CCB"/>
    <w:rsid w:val="00C74D15"/>
    <w:rsid w:val="00C755A6"/>
    <w:rsid w:val="00C75DAA"/>
    <w:rsid w:val="00C7676F"/>
    <w:rsid w:val="00C76F1B"/>
    <w:rsid w:val="00C77BD1"/>
    <w:rsid w:val="00C8079A"/>
    <w:rsid w:val="00C807FE"/>
    <w:rsid w:val="00C80811"/>
    <w:rsid w:val="00C80813"/>
    <w:rsid w:val="00C80D0B"/>
    <w:rsid w:val="00C815B0"/>
    <w:rsid w:val="00C819D2"/>
    <w:rsid w:val="00C8304F"/>
    <w:rsid w:val="00C8305E"/>
    <w:rsid w:val="00C8335E"/>
    <w:rsid w:val="00C8348E"/>
    <w:rsid w:val="00C83687"/>
    <w:rsid w:val="00C836C8"/>
    <w:rsid w:val="00C838CE"/>
    <w:rsid w:val="00C84051"/>
    <w:rsid w:val="00C8432C"/>
    <w:rsid w:val="00C84BA1"/>
    <w:rsid w:val="00C85781"/>
    <w:rsid w:val="00C857E4"/>
    <w:rsid w:val="00C858C5"/>
    <w:rsid w:val="00C85C98"/>
    <w:rsid w:val="00C85CEB"/>
    <w:rsid w:val="00C864B0"/>
    <w:rsid w:val="00C86736"/>
    <w:rsid w:val="00C86A7C"/>
    <w:rsid w:val="00C909D7"/>
    <w:rsid w:val="00C922AF"/>
    <w:rsid w:val="00C9232A"/>
    <w:rsid w:val="00C924A7"/>
    <w:rsid w:val="00C92974"/>
    <w:rsid w:val="00C9358B"/>
    <w:rsid w:val="00C93B0B"/>
    <w:rsid w:val="00C93DEE"/>
    <w:rsid w:val="00C94CF1"/>
    <w:rsid w:val="00C9540C"/>
    <w:rsid w:val="00C95529"/>
    <w:rsid w:val="00C95A17"/>
    <w:rsid w:val="00C9672C"/>
    <w:rsid w:val="00C96DCC"/>
    <w:rsid w:val="00C971E7"/>
    <w:rsid w:val="00C97228"/>
    <w:rsid w:val="00C97829"/>
    <w:rsid w:val="00C97B95"/>
    <w:rsid w:val="00C97CA7"/>
    <w:rsid w:val="00CA0225"/>
    <w:rsid w:val="00CA053C"/>
    <w:rsid w:val="00CA0DBE"/>
    <w:rsid w:val="00CA0F42"/>
    <w:rsid w:val="00CA146A"/>
    <w:rsid w:val="00CA1EB9"/>
    <w:rsid w:val="00CA21F9"/>
    <w:rsid w:val="00CA2A3F"/>
    <w:rsid w:val="00CA2FA0"/>
    <w:rsid w:val="00CA3388"/>
    <w:rsid w:val="00CA424B"/>
    <w:rsid w:val="00CA4925"/>
    <w:rsid w:val="00CA52A0"/>
    <w:rsid w:val="00CA5302"/>
    <w:rsid w:val="00CA6598"/>
    <w:rsid w:val="00CA6E50"/>
    <w:rsid w:val="00CA6E96"/>
    <w:rsid w:val="00CA76C8"/>
    <w:rsid w:val="00CA7C19"/>
    <w:rsid w:val="00CA7DD5"/>
    <w:rsid w:val="00CA7F62"/>
    <w:rsid w:val="00CB0C87"/>
    <w:rsid w:val="00CB0E8E"/>
    <w:rsid w:val="00CB1AAF"/>
    <w:rsid w:val="00CB1DA4"/>
    <w:rsid w:val="00CB29B6"/>
    <w:rsid w:val="00CB2AD7"/>
    <w:rsid w:val="00CB2DC4"/>
    <w:rsid w:val="00CB2F5A"/>
    <w:rsid w:val="00CB3030"/>
    <w:rsid w:val="00CB4018"/>
    <w:rsid w:val="00CB4102"/>
    <w:rsid w:val="00CB43CD"/>
    <w:rsid w:val="00CB47E9"/>
    <w:rsid w:val="00CB5585"/>
    <w:rsid w:val="00CB599F"/>
    <w:rsid w:val="00CB5AA6"/>
    <w:rsid w:val="00CB63BD"/>
    <w:rsid w:val="00CB7680"/>
    <w:rsid w:val="00CB78C0"/>
    <w:rsid w:val="00CB7D7D"/>
    <w:rsid w:val="00CB7DD0"/>
    <w:rsid w:val="00CC0B70"/>
    <w:rsid w:val="00CC1198"/>
    <w:rsid w:val="00CC136B"/>
    <w:rsid w:val="00CC1CBA"/>
    <w:rsid w:val="00CC20DE"/>
    <w:rsid w:val="00CC23E0"/>
    <w:rsid w:val="00CC297F"/>
    <w:rsid w:val="00CC29F6"/>
    <w:rsid w:val="00CC2B96"/>
    <w:rsid w:val="00CC2BDC"/>
    <w:rsid w:val="00CC2C10"/>
    <w:rsid w:val="00CC2DB9"/>
    <w:rsid w:val="00CC2F82"/>
    <w:rsid w:val="00CC30B7"/>
    <w:rsid w:val="00CC33F8"/>
    <w:rsid w:val="00CC4278"/>
    <w:rsid w:val="00CC45FD"/>
    <w:rsid w:val="00CC46E8"/>
    <w:rsid w:val="00CC50E9"/>
    <w:rsid w:val="00CC54B2"/>
    <w:rsid w:val="00CC5E5A"/>
    <w:rsid w:val="00CC64D5"/>
    <w:rsid w:val="00CC68D5"/>
    <w:rsid w:val="00CC6BEA"/>
    <w:rsid w:val="00CC6D88"/>
    <w:rsid w:val="00CC757B"/>
    <w:rsid w:val="00CD0062"/>
    <w:rsid w:val="00CD042D"/>
    <w:rsid w:val="00CD0F77"/>
    <w:rsid w:val="00CD131B"/>
    <w:rsid w:val="00CD25B1"/>
    <w:rsid w:val="00CD2C1A"/>
    <w:rsid w:val="00CD2D9F"/>
    <w:rsid w:val="00CD3475"/>
    <w:rsid w:val="00CD3B57"/>
    <w:rsid w:val="00CD407F"/>
    <w:rsid w:val="00CD43E9"/>
    <w:rsid w:val="00CD44EA"/>
    <w:rsid w:val="00CD45EC"/>
    <w:rsid w:val="00CD4B5B"/>
    <w:rsid w:val="00CD4BD5"/>
    <w:rsid w:val="00CD4BF3"/>
    <w:rsid w:val="00CD56CC"/>
    <w:rsid w:val="00CD5F3E"/>
    <w:rsid w:val="00CD6321"/>
    <w:rsid w:val="00CD66B3"/>
    <w:rsid w:val="00CD6895"/>
    <w:rsid w:val="00CD71CB"/>
    <w:rsid w:val="00CD7360"/>
    <w:rsid w:val="00CD7C46"/>
    <w:rsid w:val="00CD7F74"/>
    <w:rsid w:val="00CE00B5"/>
    <w:rsid w:val="00CE05B9"/>
    <w:rsid w:val="00CE05E6"/>
    <w:rsid w:val="00CE05F1"/>
    <w:rsid w:val="00CE09AA"/>
    <w:rsid w:val="00CE0BCF"/>
    <w:rsid w:val="00CE14CD"/>
    <w:rsid w:val="00CE17F1"/>
    <w:rsid w:val="00CE1C51"/>
    <w:rsid w:val="00CE235B"/>
    <w:rsid w:val="00CE269C"/>
    <w:rsid w:val="00CE2D2E"/>
    <w:rsid w:val="00CE314B"/>
    <w:rsid w:val="00CE397F"/>
    <w:rsid w:val="00CE3FE8"/>
    <w:rsid w:val="00CE4485"/>
    <w:rsid w:val="00CE473E"/>
    <w:rsid w:val="00CE474A"/>
    <w:rsid w:val="00CE4C26"/>
    <w:rsid w:val="00CE4C8E"/>
    <w:rsid w:val="00CE504D"/>
    <w:rsid w:val="00CE5551"/>
    <w:rsid w:val="00CE5865"/>
    <w:rsid w:val="00CE5E00"/>
    <w:rsid w:val="00CE5E6C"/>
    <w:rsid w:val="00CE60C9"/>
    <w:rsid w:val="00CE6290"/>
    <w:rsid w:val="00CE6569"/>
    <w:rsid w:val="00CE7665"/>
    <w:rsid w:val="00CE77CF"/>
    <w:rsid w:val="00CF099B"/>
    <w:rsid w:val="00CF0D5D"/>
    <w:rsid w:val="00CF1672"/>
    <w:rsid w:val="00CF237D"/>
    <w:rsid w:val="00CF31B5"/>
    <w:rsid w:val="00CF364F"/>
    <w:rsid w:val="00CF3E89"/>
    <w:rsid w:val="00CF3F36"/>
    <w:rsid w:val="00CF4083"/>
    <w:rsid w:val="00CF4283"/>
    <w:rsid w:val="00CF4510"/>
    <w:rsid w:val="00CF4B7E"/>
    <w:rsid w:val="00CF4BF9"/>
    <w:rsid w:val="00CF4F39"/>
    <w:rsid w:val="00CF51F1"/>
    <w:rsid w:val="00CF53DC"/>
    <w:rsid w:val="00CF59BE"/>
    <w:rsid w:val="00CF5A1F"/>
    <w:rsid w:val="00CF619A"/>
    <w:rsid w:val="00CF67C6"/>
    <w:rsid w:val="00CF6878"/>
    <w:rsid w:val="00CF6939"/>
    <w:rsid w:val="00CF6A15"/>
    <w:rsid w:val="00CF6E16"/>
    <w:rsid w:val="00CF752E"/>
    <w:rsid w:val="00CF76AB"/>
    <w:rsid w:val="00CF7A8B"/>
    <w:rsid w:val="00CF7BAE"/>
    <w:rsid w:val="00D00974"/>
    <w:rsid w:val="00D00E5A"/>
    <w:rsid w:val="00D0101E"/>
    <w:rsid w:val="00D019AE"/>
    <w:rsid w:val="00D01BC6"/>
    <w:rsid w:val="00D01E21"/>
    <w:rsid w:val="00D02748"/>
    <w:rsid w:val="00D02898"/>
    <w:rsid w:val="00D02B53"/>
    <w:rsid w:val="00D03104"/>
    <w:rsid w:val="00D0383A"/>
    <w:rsid w:val="00D03929"/>
    <w:rsid w:val="00D0477E"/>
    <w:rsid w:val="00D04AEF"/>
    <w:rsid w:val="00D05418"/>
    <w:rsid w:val="00D056AD"/>
    <w:rsid w:val="00D0577A"/>
    <w:rsid w:val="00D05C8D"/>
    <w:rsid w:val="00D06001"/>
    <w:rsid w:val="00D066CB"/>
    <w:rsid w:val="00D075E9"/>
    <w:rsid w:val="00D101EE"/>
    <w:rsid w:val="00D10440"/>
    <w:rsid w:val="00D10EC5"/>
    <w:rsid w:val="00D11603"/>
    <w:rsid w:val="00D118F4"/>
    <w:rsid w:val="00D1195F"/>
    <w:rsid w:val="00D121EE"/>
    <w:rsid w:val="00D12B02"/>
    <w:rsid w:val="00D135F7"/>
    <w:rsid w:val="00D13684"/>
    <w:rsid w:val="00D13905"/>
    <w:rsid w:val="00D13EF1"/>
    <w:rsid w:val="00D14174"/>
    <w:rsid w:val="00D148FB"/>
    <w:rsid w:val="00D1524D"/>
    <w:rsid w:val="00D1539F"/>
    <w:rsid w:val="00D15946"/>
    <w:rsid w:val="00D15D33"/>
    <w:rsid w:val="00D1645A"/>
    <w:rsid w:val="00D1652E"/>
    <w:rsid w:val="00D165EE"/>
    <w:rsid w:val="00D16732"/>
    <w:rsid w:val="00D16AD0"/>
    <w:rsid w:val="00D16B98"/>
    <w:rsid w:val="00D17491"/>
    <w:rsid w:val="00D20541"/>
    <w:rsid w:val="00D206EF"/>
    <w:rsid w:val="00D20720"/>
    <w:rsid w:val="00D20771"/>
    <w:rsid w:val="00D2080A"/>
    <w:rsid w:val="00D21330"/>
    <w:rsid w:val="00D214C7"/>
    <w:rsid w:val="00D21513"/>
    <w:rsid w:val="00D21C57"/>
    <w:rsid w:val="00D228B1"/>
    <w:rsid w:val="00D22948"/>
    <w:rsid w:val="00D22EFC"/>
    <w:rsid w:val="00D23013"/>
    <w:rsid w:val="00D235B4"/>
    <w:rsid w:val="00D23D62"/>
    <w:rsid w:val="00D23F82"/>
    <w:rsid w:val="00D2430C"/>
    <w:rsid w:val="00D24B36"/>
    <w:rsid w:val="00D25131"/>
    <w:rsid w:val="00D251AC"/>
    <w:rsid w:val="00D25775"/>
    <w:rsid w:val="00D26D47"/>
    <w:rsid w:val="00D26F64"/>
    <w:rsid w:val="00D27409"/>
    <w:rsid w:val="00D279C2"/>
    <w:rsid w:val="00D27D61"/>
    <w:rsid w:val="00D27E12"/>
    <w:rsid w:val="00D27E1E"/>
    <w:rsid w:val="00D30498"/>
    <w:rsid w:val="00D30F5C"/>
    <w:rsid w:val="00D3191E"/>
    <w:rsid w:val="00D31BA0"/>
    <w:rsid w:val="00D329B1"/>
    <w:rsid w:val="00D32B5B"/>
    <w:rsid w:val="00D330B4"/>
    <w:rsid w:val="00D3318B"/>
    <w:rsid w:val="00D33497"/>
    <w:rsid w:val="00D3366F"/>
    <w:rsid w:val="00D344C6"/>
    <w:rsid w:val="00D35213"/>
    <w:rsid w:val="00D3557E"/>
    <w:rsid w:val="00D3558A"/>
    <w:rsid w:val="00D356D1"/>
    <w:rsid w:val="00D359A9"/>
    <w:rsid w:val="00D35A41"/>
    <w:rsid w:val="00D35CDC"/>
    <w:rsid w:val="00D36372"/>
    <w:rsid w:val="00D37057"/>
    <w:rsid w:val="00D37352"/>
    <w:rsid w:val="00D3735F"/>
    <w:rsid w:val="00D40079"/>
    <w:rsid w:val="00D40485"/>
    <w:rsid w:val="00D411A5"/>
    <w:rsid w:val="00D41323"/>
    <w:rsid w:val="00D415D9"/>
    <w:rsid w:val="00D41C5F"/>
    <w:rsid w:val="00D41F5C"/>
    <w:rsid w:val="00D425DD"/>
    <w:rsid w:val="00D42C7F"/>
    <w:rsid w:val="00D42D39"/>
    <w:rsid w:val="00D430D9"/>
    <w:rsid w:val="00D43347"/>
    <w:rsid w:val="00D433C1"/>
    <w:rsid w:val="00D43754"/>
    <w:rsid w:val="00D437A5"/>
    <w:rsid w:val="00D43878"/>
    <w:rsid w:val="00D43D8C"/>
    <w:rsid w:val="00D43FC3"/>
    <w:rsid w:val="00D44A64"/>
    <w:rsid w:val="00D44CFA"/>
    <w:rsid w:val="00D45BCF"/>
    <w:rsid w:val="00D45C57"/>
    <w:rsid w:val="00D46C0B"/>
    <w:rsid w:val="00D47681"/>
    <w:rsid w:val="00D4788B"/>
    <w:rsid w:val="00D47E12"/>
    <w:rsid w:val="00D500E5"/>
    <w:rsid w:val="00D50347"/>
    <w:rsid w:val="00D50645"/>
    <w:rsid w:val="00D50F5D"/>
    <w:rsid w:val="00D51263"/>
    <w:rsid w:val="00D51D57"/>
    <w:rsid w:val="00D522E6"/>
    <w:rsid w:val="00D5238F"/>
    <w:rsid w:val="00D52442"/>
    <w:rsid w:val="00D524CD"/>
    <w:rsid w:val="00D52683"/>
    <w:rsid w:val="00D53B7D"/>
    <w:rsid w:val="00D5403D"/>
    <w:rsid w:val="00D544D7"/>
    <w:rsid w:val="00D559A8"/>
    <w:rsid w:val="00D559BC"/>
    <w:rsid w:val="00D55E67"/>
    <w:rsid w:val="00D56703"/>
    <w:rsid w:val="00D570ED"/>
    <w:rsid w:val="00D5764A"/>
    <w:rsid w:val="00D608DB"/>
    <w:rsid w:val="00D60E01"/>
    <w:rsid w:val="00D619CD"/>
    <w:rsid w:val="00D6256C"/>
    <w:rsid w:val="00D62638"/>
    <w:rsid w:val="00D627E9"/>
    <w:rsid w:val="00D62D29"/>
    <w:rsid w:val="00D6350C"/>
    <w:rsid w:val="00D63D84"/>
    <w:rsid w:val="00D64780"/>
    <w:rsid w:val="00D6491E"/>
    <w:rsid w:val="00D64E46"/>
    <w:rsid w:val="00D656DD"/>
    <w:rsid w:val="00D65733"/>
    <w:rsid w:val="00D664FD"/>
    <w:rsid w:val="00D6653C"/>
    <w:rsid w:val="00D66DD4"/>
    <w:rsid w:val="00D70079"/>
    <w:rsid w:val="00D7170E"/>
    <w:rsid w:val="00D71898"/>
    <w:rsid w:val="00D71A24"/>
    <w:rsid w:val="00D71A92"/>
    <w:rsid w:val="00D7280C"/>
    <w:rsid w:val="00D735CD"/>
    <w:rsid w:val="00D7379D"/>
    <w:rsid w:val="00D744AB"/>
    <w:rsid w:val="00D74B80"/>
    <w:rsid w:val="00D74CE8"/>
    <w:rsid w:val="00D75252"/>
    <w:rsid w:val="00D753BE"/>
    <w:rsid w:val="00D75422"/>
    <w:rsid w:val="00D7642A"/>
    <w:rsid w:val="00D76452"/>
    <w:rsid w:val="00D76657"/>
    <w:rsid w:val="00D76C67"/>
    <w:rsid w:val="00D77AD5"/>
    <w:rsid w:val="00D77DA8"/>
    <w:rsid w:val="00D801C8"/>
    <w:rsid w:val="00D81079"/>
    <w:rsid w:val="00D811E1"/>
    <w:rsid w:val="00D814D3"/>
    <w:rsid w:val="00D81A85"/>
    <w:rsid w:val="00D81F3F"/>
    <w:rsid w:val="00D82460"/>
    <w:rsid w:val="00D82631"/>
    <w:rsid w:val="00D82B6A"/>
    <w:rsid w:val="00D82CE5"/>
    <w:rsid w:val="00D82F14"/>
    <w:rsid w:val="00D83014"/>
    <w:rsid w:val="00D83159"/>
    <w:rsid w:val="00D831C1"/>
    <w:rsid w:val="00D83A36"/>
    <w:rsid w:val="00D841C7"/>
    <w:rsid w:val="00D843BF"/>
    <w:rsid w:val="00D84C9A"/>
    <w:rsid w:val="00D8546E"/>
    <w:rsid w:val="00D857E4"/>
    <w:rsid w:val="00D85830"/>
    <w:rsid w:val="00D85BD6"/>
    <w:rsid w:val="00D85E87"/>
    <w:rsid w:val="00D860C9"/>
    <w:rsid w:val="00D86C30"/>
    <w:rsid w:val="00D86C67"/>
    <w:rsid w:val="00D86D40"/>
    <w:rsid w:val="00D87034"/>
    <w:rsid w:val="00D877D5"/>
    <w:rsid w:val="00D904FC"/>
    <w:rsid w:val="00D90CAD"/>
    <w:rsid w:val="00D90DAF"/>
    <w:rsid w:val="00D91422"/>
    <w:rsid w:val="00D9171C"/>
    <w:rsid w:val="00D91734"/>
    <w:rsid w:val="00D91CFA"/>
    <w:rsid w:val="00D91F05"/>
    <w:rsid w:val="00D924B1"/>
    <w:rsid w:val="00D933BB"/>
    <w:rsid w:val="00D933F9"/>
    <w:rsid w:val="00D93806"/>
    <w:rsid w:val="00D938AE"/>
    <w:rsid w:val="00D9418C"/>
    <w:rsid w:val="00D948F8"/>
    <w:rsid w:val="00D94D67"/>
    <w:rsid w:val="00D9549E"/>
    <w:rsid w:val="00D95BD7"/>
    <w:rsid w:val="00D95CCA"/>
    <w:rsid w:val="00D95E69"/>
    <w:rsid w:val="00D965B8"/>
    <w:rsid w:val="00D9793A"/>
    <w:rsid w:val="00DA035C"/>
    <w:rsid w:val="00DA0E25"/>
    <w:rsid w:val="00DA11DC"/>
    <w:rsid w:val="00DA13EC"/>
    <w:rsid w:val="00DA166F"/>
    <w:rsid w:val="00DA185D"/>
    <w:rsid w:val="00DA187E"/>
    <w:rsid w:val="00DA27E5"/>
    <w:rsid w:val="00DA2897"/>
    <w:rsid w:val="00DA3D4D"/>
    <w:rsid w:val="00DA53EA"/>
    <w:rsid w:val="00DA563F"/>
    <w:rsid w:val="00DA59DD"/>
    <w:rsid w:val="00DA5EC4"/>
    <w:rsid w:val="00DA6A3C"/>
    <w:rsid w:val="00DA6FAC"/>
    <w:rsid w:val="00DA7319"/>
    <w:rsid w:val="00DA7E8F"/>
    <w:rsid w:val="00DB16DA"/>
    <w:rsid w:val="00DB217C"/>
    <w:rsid w:val="00DB2A82"/>
    <w:rsid w:val="00DB369E"/>
    <w:rsid w:val="00DB3B82"/>
    <w:rsid w:val="00DB4142"/>
    <w:rsid w:val="00DB45A7"/>
    <w:rsid w:val="00DB46DC"/>
    <w:rsid w:val="00DB52AB"/>
    <w:rsid w:val="00DB57C5"/>
    <w:rsid w:val="00DB5CE5"/>
    <w:rsid w:val="00DB60DC"/>
    <w:rsid w:val="00DB624E"/>
    <w:rsid w:val="00DB6505"/>
    <w:rsid w:val="00DB6666"/>
    <w:rsid w:val="00DB6CC2"/>
    <w:rsid w:val="00DB7C0D"/>
    <w:rsid w:val="00DC016F"/>
    <w:rsid w:val="00DC07D9"/>
    <w:rsid w:val="00DC1165"/>
    <w:rsid w:val="00DC1180"/>
    <w:rsid w:val="00DC119A"/>
    <w:rsid w:val="00DC1AC9"/>
    <w:rsid w:val="00DC22D2"/>
    <w:rsid w:val="00DC25BC"/>
    <w:rsid w:val="00DC40DA"/>
    <w:rsid w:val="00DC492C"/>
    <w:rsid w:val="00DC5A65"/>
    <w:rsid w:val="00DC5F94"/>
    <w:rsid w:val="00DC6306"/>
    <w:rsid w:val="00DC6418"/>
    <w:rsid w:val="00DC6547"/>
    <w:rsid w:val="00DC6D04"/>
    <w:rsid w:val="00DC753B"/>
    <w:rsid w:val="00DC76AC"/>
    <w:rsid w:val="00DC781C"/>
    <w:rsid w:val="00DD02BA"/>
    <w:rsid w:val="00DD0A39"/>
    <w:rsid w:val="00DD0AA5"/>
    <w:rsid w:val="00DD0B5D"/>
    <w:rsid w:val="00DD0E97"/>
    <w:rsid w:val="00DD1470"/>
    <w:rsid w:val="00DD15FA"/>
    <w:rsid w:val="00DD17F2"/>
    <w:rsid w:val="00DD1D5D"/>
    <w:rsid w:val="00DD2043"/>
    <w:rsid w:val="00DD22E4"/>
    <w:rsid w:val="00DD2896"/>
    <w:rsid w:val="00DD3216"/>
    <w:rsid w:val="00DD3221"/>
    <w:rsid w:val="00DD3F7D"/>
    <w:rsid w:val="00DD419F"/>
    <w:rsid w:val="00DD421E"/>
    <w:rsid w:val="00DD4DCB"/>
    <w:rsid w:val="00DD4E51"/>
    <w:rsid w:val="00DD5C2B"/>
    <w:rsid w:val="00DD64FF"/>
    <w:rsid w:val="00DD660D"/>
    <w:rsid w:val="00DD68D6"/>
    <w:rsid w:val="00DD694A"/>
    <w:rsid w:val="00DD71EF"/>
    <w:rsid w:val="00DD7356"/>
    <w:rsid w:val="00DE019B"/>
    <w:rsid w:val="00DE1515"/>
    <w:rsid w:val="00DE1DF3"/>
    <w:rsid w:val="00DE2EB8"/>
    <w:rsid w:val="00DE2F22"/>
    <w:rsid w:val="00DE3057"/>
    <w:rsid w:val="00DE3488"/>
    <w:rsid w:val="00DE391A"/>
    <w:rsid w:val="00DE3FCE"/>
    <w:rsid w:val="00DE416E"/>
    <w:rsid w:val="00DE463A"/>
    <w:rsid w:val="00DE58EB"/>
    <w:rsid w:val="00DE5A67"/>
    <w:rsid w:val="00DE648D"/>
    <w:rsid w:val="00DE671F"/>
    <w:rsid w:val="00DE683C"/>
    <w:rsid w:val="00DE6BB2"/>
    <w:rsid w:val="00DE6F2B"/>
    <w:rsid w:val="00DE7A4E"/>
    <w:rsid w:val="00DF089A"/>
    <w:rsid w:val="00DF092A"/>
    <w:rsid w:val="00DF1089"/>
    <w:rsid w:val="00DF119C"/>
    <w:rsid w:val="00DF1CF1"/>
    <w:rsid w:val="00DF1D19"/>
    <w:rsid w:val="00DF230B"/>
    <w:rsid w:val="00DF2786"/>
    <w:rsid w:val="00DF28C6"/>
    <w:rsid w:val="00DF2941"/>
    <w:rsid w:val="00DF2FD7"/>
    <w:rsid w:val="00DF312A"/>
    <w:rsid w:val="00DF3227"/>
    <w:rsid w:val="00DF32A5"/>
    <w:rsid w:val="00DF3ABA"/>
    <w:rsid w:val="00DF3ABD"/>
    <w:rsid w:val="00DF3B49"/>
    <w:rsid w:val="00DF3C70"/>
    <w:rsid w:val="00DF456F"/>
    <w:rsid w:val="00DF47DE"/>
    <w:rsid w:val="00DF4BEB"/>
    <w:rsid w:val="00DF5CC1"/>
    <w:rsid w:val="00DF5EBC"/>
    <w:rsid w:val="00DF61BB"/>
    <w:rsid w:val="00DF621A"/>
    <w:rsid w:val="00DF6291"/>
    <w:rsid w:val="00DF6BC4"/>
    <w:rsid w:val="00DF6E39"/>
    <w:rsid w:val="00DF71FF"/>
    <w:rsid w:val="00DF7B3F"/>
    <w:rsid w:val="00DF7BDD"/>
    <w:rsid w:val="00DF7DB2"/>
    <w:rsid w:val="00DF7F57"/>
    <w:rsid w:val="00E0025C"/>
    <w:rsid w:val="00E003F4"/>
    <w:rsid w:val="00E00C0E"/>
    <w:rsid w:val="00E0104E"/>
    <w:rsid w:val="00E01351"/>
    <w:rsid w:val="00E025F5"/>
    <w:rsid w:val="00E027A5"/>
    <w:rsid w:val="00E030FB"/>
    <w:rsid w:val="00E0321B"/>
    <w:rsid w:val="00E032DF"/>
    <w:rsid w:val="00E03472"/>
    <w:rsid w:val="00E03C3E"/>
    <w:rsid w:val="00E03E3F"/>
    <w:rsid w:val="00E041DF"/>
    <w:rsid w:val="00E05657"/>
    <w:rsid w:val="00E057AB"/>
    <w:rsid w:val="00E05A2B"/>
    <w:rsid w:val="00E06A4F"/>
    <w:rsid w:val="00E07721"/>
    <w:rsid w:val="00E07FFE"/>
    <w:rsid w:val="00E1046A"/>
    <w:rsid w:val="00E11211"/>
    <w:rsid w:val="00E114A9"/>
    <w:rsid w:val="00E1159D"/>
    <w:rsid w:val="00E119D4"/>
    <w:rsid w:val="00E119E1"/>
    <w:rsid w:val="00E11CCC"/>
    <w:rsid w:val="00E120C6"/>
    <w:rsid w:val="00E1211B"/>
    <w:rsid w:val="00E12420"/>
    <w:rsid w:val="00E1276B"/>
    <w:rsid w:val="00E12A4C"/>
    <w:rsid w:val="00E12A95"/>
    <w:rsid w:val="00E12DC1"/>
    <w:rsid w:val="00E12E40"/>
    <w:rsid w:val="00E131BD"/>
    <w:rsid w:val="00E138D1"/>
    <w:rsid w:val="00E13982"/>
    <w:rsid w:val="00E13B33"/>
    <w:rsid w:val="00E13B73"/>
    <w:rsid w:val="00E13C76"/>
    <w:rsid w:val="00E14037"/>
    <w:rsid w:val="00E149B7"/>
    <w:rsid w:val="00E14C37"/>
    <w:rsid w:val="00E14DD6"/>
    <w:rsid w:val="00E1526E"/>
    <w:rsid w:val="00E1584A"/>
    <w:rsid w:val="00E15ABA"/>
    <w:rsid w:val="00E15DA4"/>
    <w:rsid w:val="00E16568"/>
    <w:rsid w:val="00E178E5"/>
    <w:rsid w:val="00E1795A"/>
    <w:rsid w:val="00E17E20"/>
    <w:rsid w:val="00E205E5"/>
    <w:rsid w:val="00E20C5F"/>
    <w:rsid w:val="00E21309"/>
    <w:rsid w:val="00E213B0"/>
    <w:rsid w:val="00E2194D"/>
    <w:rsid w:val="00E21FB1"/>
    <w:rsid w:val="00E2254F"/>
    <w:rsid w:val="00E22802"/>
    <w:rsid w:val="00E22846"/>
    <w:rsid w:val="00E231D4"/>
    <w:rsid w:val="00E24311"/>
    <w:rsid w:val="00E24589"/>
    <w:rsid w:val="00E25352"/>
    <w:rsid w:val="00E2541B"/>
    <w:rsid w:val="00E259B7"/>
    <w:rsid w:val="00E263DF"/>
    <w:rsid w:val="00E264C7"/>
    <w:rsid w:val="00E26848"/>
    <w:rsid w:val="00E2719C"/>
    <w:rsid w:val="00E271AC"/>
    <w:rsid w:val="00E27495"/>
    <w:rsid w:val="00E278B1"/>
    <w:rsid w:val="00E27C90"/>
    <w:rsid w:val="00E27CC2"/>
    <w:rsid w:val="00E27D0D"/>
    <w:rsid w:val="00E30468"/>
    <w:rsid w:val="00E305BF"/>
    <w:rsid w:val="00E30EEF"/>
    <w:rsid w:val="00E311E1"/>
    <w:rsid w:val="00E32CB7"/>
    <w:rsid w:val="00E32F53"/>
    <w:rsid w:val="00E33311"/>
    <w:rsid w:val="00E33B2D"/>
    <w:rsid w:val="00E365C8"/>
    <w:rsid w:val="00E36B80"/>
    <w:rsid w:val="00E36EEE"/>
    <w:rsid w:val="00E376DB"/>
    <w:rsid w:val="00E37A87"/>
    <w:rsid w:val="00E37EDE"/>
    <w:rsid w:val="00E4023E"/>
    <w:rsid w:val="00E403C0"/>
    <w:rsid w:val="00E410E3"/>
    <w:rsid w:val="00E41454"/>
    <w:rsid w:val="00E415E2"/>
    <w:rsid w:val="00E41C07"/>
    <w:rsid w:val="00E41FB0"/>
    <w:rsid w:val="00E42153"/>
    <w:rsid w:val="00E42E0D"/>
    <w:rsid w:val="00E432E9"/>
    <w:rsid w:val="00E43835"/>
    <w:rsid w:val="00E4383C"/>
    <w:rsid w:val="00E447F9"/>
    <w:rsid w:val="00E44FB1"/>
    <w:rsid w:val="00E454E5"/>
    <w:rsid w:val="00E46542"/>
    <w:rsid w:val="00E46631"/>
    <w:rsid w:val="00E46C0D"/>
    <w:rsid w:val="00E46F55"/>
    <w:rsid w:val="00E47542"/>
    <w:rsid w:val="00E47934"/>
    <w:rsid w:val="00E47BEC"/>
    <w:rsid w:val="00E50114"/>
    <w:rsid w:val="00E5016E"/>
    <w:rsid w:val="00E50652"/>
    <w:rsid w:val="00E50DE8"/>
    <w:rsid w:val="00E51890"/>
    <w:rsid w:val="00E519AD"/>
    <w:rsid w:val="00E52024"/>
    <w:rsid w:val="00E527A5"/>
    <w:rsid w:val="00E5281C"/>
    <w:rsid w:val="00E52BAA"/>
    <w:rsid w:val="00E52F86"/>
    <w:rsid w:val="00E5306B"/>
    <w:rsid w:val="00E531A5"/>
    <w:rsid w:val="00E53597"/>
    <w:rsid w:val="00E535F9"/>
    <w:rsid w:val="00E546FA"/>
    <w:rsid w:val="00E54B02"/>
    <w:rsid w:val="00E54C35"/>
    <w:rsid w:val="00E54C89"/>
    <w:rsid w:val="00E55316"/>
    <w:rsid w:val="00E5583A"/>
    <w:rsid w:val="00E55AA4"/>
    <w:rsid w:val="00E55F50"/>
    <w:rsid w:val="00E56859"/>
    <w:rsid w:val="00E56CA2"/>
    <w:rsid w:val="00E572DF"/>
    <w:rsid w:val="00E60081"/>
    <w:rsid w:val="00E603BC"/>
    <w:rsid w:val="00E60408"/>
    <w:rsid w:val="00E61059"/>
    <w:rsid w:val="00E616A7"/>
    <w:rsid w:val="00E61D43"/>
    <w:rsid w:val="00E629CF"/>
    <w:rsid w:val="00E62E2C"/>
    <w:rsid w:val="00E62ED7"/>
    <w:rsid w:val="00E62FE8"/>
    <w:rsid w:val="00E63292"/>
    <w:rsid w:val="00E634ED"/>
    <w:rsid w:val="00E63739"/>
    <w:rsid w:val="00E637D2"/>
    <w:rsid w:val="00E639A4"/>
    <w:rsid w:val="00E63C1A"/>
    <w:rsid w:val="00E64151"/>
    <w:rsid w:val="00E64A6F"/>
    <w:rsid w:val="00E650B5"/>
    <w:rsid w:val="00E652A3"/>
    <w:rsid w:val="00E6542A"/>
    <w:rsid w:val="00E65539"/>
    <w:rsid w:val="00E6599A"/>
    <w:rsid w:val="00E65F50"/>
    <w:rsid w:val="00E66818"/>
    <w:rsid w:val="00E66C3A"/>
    <w:rsid w:val="00E67C81"/>
    <w:rsid w:val="00E67C98"/>
    <w:rsid w:val="00E67E2C"/>
    <w:rsid w:val="00E700BA"/>
    <w:rsid w:val="00E70473"/>
    <w:rsid w:val="00E7087E"/>
    <w:rsid w:val="00E71DA9"/>
    <w:rsid w:val="00E72644"/>
    <w:rsid w:val="00E728EF"/>
    <w:rsid w:val="00E72E95"/>
    <w:rsid w:val="00E73122"/>
    <w:rsid w:val="00E73232"/>
    <w:rsid w:val="00E7342C"/>
    <w:rsid w:val="00E73823"/>
    <w:rsid w:val="00E7389B"/>
    <w:rsid w:val="00E73C19"/>
    <w:rsid w:val="00E73D22"/>
    <w:rsid w:val="00E74398"/>
    <w:rsid w:val="00E7536B"/>
    <w:rsid w:val="00E76A61"/>
    <w:rsid w:val="00E76F8C"/>
    <w:rsid w:val="00E7784E"/>
    <w:rsid w:val="00E77DB9"/>
    <w:rsid w:val="00E77F81"/>
    <w:rsid w:val="00E80307"/>
    <w:rsid w:val="00E804A0"/>
    <w:rsid w:val="00E8074E"/>
    <w:rsid w:val="00E80949"/>
    <w:rsid w:val="00E80FF5"/>
    <w:rsid w:val="00E811E7"/>
    <w:rsid w:val="00E811FB"/>
    <w:rsid w:val="00E81B62"/>
    <w:rsid w:val="00E82A7B"/>
    <w:rsid w:val="00E82C77"/>
    <w:rsid w:val="00E83068"/>
    <w:rsid w:val="00E833EA"/>
    <w:rsid w:val="00E8346D"/>
    <w:rsid w:val="00E83EAA"/>
    <w:rsid w:val="00E84882"/>
    <w:rsid w:val="00E84B48"/>
    <w:rsid w:val="00E850BC"/>
    <w:rsid w:val="00E850D2"/>
    <w:rsid w:val="00E8547E"/>
    <w:rsid w:val="00E85D73"/>
    <w:rsid w:val="00E8681A"/>
    <w:rsid w:val="00E8688E"/>
    <w:rsid w:val="00E86D50"/>
    <w:rsid w:val="00E87772"/>
    <w:rsid w:val="00E87A39"/>
    <w:rsid w:val="00E87D53"/>
    <w:rsid w:val="00E9069D"/>
    <w:rsid w:val="00E90A6B"/>
    <w:rsid w:val="00E90A75"/>
    <w:rsid w:val="00E90F82"/>
    <w:rsid w:val="00E915DF"/>
    <w:rsid w:val="00E9169F"/>
    <w:rsid w:val="00E917DE"/>
    <w:rsid w:val="00E91BE9"/>
    <w:rsid w:val="00E9230E"/>
    <w:rsid w:val="00E92CED"/>
    <w:rsid w:val="00E92F19"/>
    <w:rsid w:val="00E93132"/>
    <w:rsid w:val="00E93577"/>
    <w:rsid w:val="00E9439A"/>
    <w:rsid w:val="00E94431"/>
    <w:rsid w:val="00E94B32"/>
    <w:rsid w:val="00E94CA5"/>
    <w:rsid w:val="00E9592A"/>
    <w:rsid w:val="00E968AE"/>
    <w:rsid w:val="00E96BAD"/>
    <w:rsid w:val="00E96DEE"/>
    <w:rsid w:val="00E96FB3"/>
    <w:rsid w:val="00E97084"/>
    <w:rsid w:val="00E971C4"/>
    <w:rsid w:val="00E977E5"/>
    <w:rsid w:val="00E97EE3"/>
    <w:rsid w:val="00EA0D5B"/>
    <w:rsid w:val="00EA0EF3"/>
    <w:rsid w:val="00EA117B"/>
    <w:rsid w:val="00EA142D"/>
    <w:rsid w:val="00EA15F8"/>
    <w:rsid w:val="00EA1C91"/>
    <w:rsid w:val="00EA1E53"/>
    <w:rsid w:val="00EA2217"/>
    <w:rsid w:val="00EA2301"/>
    <w:rsid w:val="00EA2454"/>
    <w:rsid w:val="00EA27CC"/>
    <w:rsid w:val="00EA2814"/>
    <w:rsid w:val="00EA28F1"/>
    <w:rsid w:val="00EA2949"/>
    <w:rsid w:val="00EA2AAC"/>
    <w:rsid w:val="00EA2DFC"/>
    <w:rsid w:val="00EA302B"/>
    <w:rsid w:val="00EA30C7"/>
    <w:rsid w:val="00EA3340"/>
    <w:rsid w:val="00EA3B01"/>
    <w:rsid w:val="00EA41E8"/>
    <w:rsid w:val="00EA48C6"/>
    <w:rsid w:val="00EA55AE"/>
    <w:rsid w:val="00EA56F1"/>
    <w:rsid w:val="00EA58DF"/>
    <w:rsid w:val="00EA6119"/>
    <w:rsid w:val="00EA624A"/>
    <w:rsid w:val="00EA6610"/>
    <w:rsid w:val="00EA7028"/>
    <w:rsid w:val="00EA71CE"/>
    <w:rsid w:val="00EA730D"/>
    <w:rsid w:val="00EA7AC3"/>
    <w:rsid w:val="00EB06F2"/>
    <w:rsid w:val="00EB1206"/>
    <w:rsid w:val="00EB159A"/>
    <w:rsid w:val="00EB15ED"/>
    <w:rsid w:val="00EB1938"/>
    <w:rsid w:val="00EB1C40"/>
    <w:rsid w:val="00EB1CC3"/>
    <w:rsid w:val="00EB1F27"/>
    <w:rsid w:val="00EB22E4"/>
    <w:rsid w:val="00EB2BCD"/>
    <w:rsid w:val="00EB36F4"/>
    <w:rsid w:val="00EB374B"/>
    <w:rsid w:val="00EB3E7A"/>
    <w:rsid w:val="00EB4CF2"/>
    <w:rsid w:val="00EB51E5"/>
    <w:rsid w:val="00EB59B7"/>
    <w:rsid w:val="00EB5D11"/>
    <w:rsid w:val="00EB66FF"/>
    <w:rsid w:val="00EB6953"/>
    <w:rsid w:val="00EB6A04"/>
    <w:rsid w:val="00EB6DCF"/>
    <w:rsid w:val="00EB7244"/>
    <w:rsid w:val="00EB7465"/>
    <w:rsid w:val="00EB748E"/>
    <w:rsid w:val="00EB767E"/>
    <w:rsid w:val="00EB798C"/>
    <w:rsid w:val="00EB7C0B"/>
    <w:rsid w:val="00EC01DE"/>
    <w:rsid w:val="00EC02AA"/>
    <w:rsid w:val="00EC0954"/>
    <w:rsid w:val="00EC0D04"/>
    <w:rsid w:val="00EC0E62"/>
    <w:rsid w:val="00EC1393"/>
    <w:rsid w:val="00EC2091"/>
    <w:rsid w:val="00EC27AC"/>
    <w:rsid w:val="00EC2837"/>
    <w:rsid w:val="00EC293D"/>
    <w:rsid w:val="00EC2B9E"/>
    <w:rsid w:val="00EC44BA"/>
    <w:rsid w:val="00EC457D"/>
    <w:rsid w:val="00EC45F8"/>
    <w:rsid w:val="00EC481C"/>
    <w:rsid w:val="00EC4C7F"/>
    <w:rsid w:val="00EC5748"/>
    <w:rsid w:val="00EC6266"/>
    <w:rsid w:val="00EC67C1"/>
    <w:rsid w:val="00EC6EC7"/>
    <w:rsid w:val="00EC7229"/>
    <w:rsid w:val="00EC77F0"/>
    <w:rsid w:val="00EC7B1F"/>
    <w:rsid w:val="00ED0C73"/>
    <w:rsid w:val="00ED1050"/>
    <w:rsid w:val="00ED208E"/>
    <w:rsid w:val="00ED25F1"/>
    <w:rsid w:val="00ED2776"/>
    <w:rsid w:val="00ED3528"/>
    <w:rsid w:val="00ED37EF"/>
    <w:rsid w:val="00ED3995"/>
    <w:rsid w:val="00ED3BEE"/>
    <w:rsid w:val="00ED3F2D"/>
    <w:rsid w:val="00ED48B4"/>
    <w:rsid w:val="00ED5088"/>
    <w:rsid w:val="00ED5386"/>
    <w:rsid w:val="00ED6774"/>
    <w:rsid w:val="00ED677B"/>
    <w:rsid w:val="00ED6788"/>
    <w:rsid w:val="00ED6970"/>
    <w:rsid w:val="00ED6C28"/>
    <w:rsid w:val="00ED6C48"/>
    <w:rsid w:val="00ED770F"/>
    <w:rsid w:val="00ED7CA4"/>
    <w:rsid w:val="00EE00BA"/>
    <w:rsid w:val="00EE0138"/>
    <w:rsid w:val="00EE0BC6"/>
    <w:rsid w:val="00EE0C3A"/>
    <w:rsid w:val="00EE0F3C"/>
    <w:rsid w:val="00EE104D"/>
    <w:rsid w:val="00EE1228"/>
    <w:rsid w:val="00EE12E1"/>
    <w:rsid w:val="00EE13F5"/>
    <w:rsid w:val="00EE14C6"/>
    <w:rsid w:val="00EE1F6D"/>
    <w:rsid w:val="00EE2476"/>
    <w:rsid w:val="00EE24BD"/>
    <w:rsid w:val="00EE250E"/>
    <w:rsid w:val="00EE2FBB"/>
    <w:rsid w:val="00EE3871"/>
    <w:rsid w:val="00EE3C4E"/>
    <w:rsid w:val="00EE48DA"/>
    <w:rsid w:val="00EE49AE"/>
    <w:rsid w:val="00EE49CB"/>
    <w:rsid w:val="00EE4F86"/>
    <w:rsid w:val="00EE515E"/>
    <w:rsid w:val="00EE6037"/>
    <w:rsid w:val="00EE610C"/>
    <w:rsid w:val="00EE61D4"/>
    <w:rsid w:val="00EE6F6A"/>
    <w:rsid w:val="00EF06C7"/>
    <w:rsid w:val="00EF1BF9"/>
    <w:rsid w:val="00EF1D7D"/>
    <w:rsid w:val="00EF233F"/>
    <w:rsid w:val="00EF2407"/>
    <w:rsid w:val="00EF29D0"/>
    <w:rsid w:val="00EF2C2F"/>
    <w:rsid w:val="00EF3545"/>
    <w:rsid w:val="00EF39C9"/>
    <w:rsid w:val="00EF3B82"/>
    <w:rsid w:val="00EF3D85"/>
    <w:rsid w:val="00EF446B"/>
    <w:rsid w:val="00EF4E3F"/>
    <w:rsid w:val="00EF4F93"/>
    <w:rsid w:val="00EF578D"/>
    <w:rsid w:val="00EF5A56"/>
    <w:rsid w:val="00EF6407"/>
    <w:rsid w:val="00EF671B"/>
    <w:rsid w:val="00EF6720"/>
    <w:rsid w:val="00EF6B78"/>
    <w:rsid w:val="00EF773C"/>
    <w:rsid w:val="00EF7925"/>
    <w:rsid w:val="00EF7CF5"/>
    <w:rsid w:val="00F0017B"/>
    <w:rsid w:val="00F00732"/>
    <w:rsid w:val="00F01DD0"/>
    <w:rsid w:val="00F0215E"/>
    <w:rsid w:val="00F021A9"/>
    <w:rsid w:val="00F02669"/>
    <w:rsid w:val="00F02820"/>
    <w:rsid w:val="00F02E06"/>
    <w:rsid w:val="00F032EB"/>
    <w:rsid w:val="00F03C94"/>
    <w:rsid w:val="00F041A0"/>
    <w:rsid w:val="00F04AC2"/>
    <w:rsid w:val="00F0557A"/>
    <w:rsid w:val="00F05BE8"/>
    <w:rsid w:val="00F06236"/>
    <w:rsid w:val="00F06320"/>
    <w:rsid w:val="00F06473"/>
    <w:rsid w:val="00F06C25"/>
    <w:rsid w:val="00F06D2B"/>
    <w:rsid w:val="00F07521"/>
    <w:rsid w:val="00F07B3F"/>
    <w:rsid w:val="00F10263"/>
    <w:rsid w:val="00F10302"/>
    <w:rsid w:val="00F109E4"/>
    <w:rsid w:val="00F10E50"/>
    <w:rsid w:val="00F111F0"/>
    <w:rsid w:val="00F1135D"/>
    <w:rsid w:val="00F11665"/>
    <w:rsid w:val="00F11D07"/>
    <w:rsid w:val="00F11D0C"/>
    <w:rsid w:val="00F12256"/>
    <w:rsid w:val="00F1227F"/>
    <w:rsid w:val="00F12884"/>
    <w:rsid w:val="00F14123"/>
    <w:rsid w:val="00F14C61"/>
    <w:rsid w:val="00F157DE"/>
    <w:rsid w:val="00F1586F"/>
    <w:rsid w:val="00F160D8"/>
    <w:rsid w:val="00F1642D"/>
    <w:rsid w:val="00F16E06"/>
    <w:rsid w:val="00F17AB2"/>
    <w:rsid w:val="00F2066E"/>
    <w:rsid w:val="00F20CE6"/>
    <w:rsid w:val="00F20F35"/>
    <w:rsid w:val="00F21160"/>
    <w:rsid w:val="00F21223"/>
    <w:rsid w:val="00F21302"/>
    <w:rsid w:val="00F21B94"/>
    <w:rsid w:val="00F233F4"/>
    <w:rsid w:val="00F234BD"/>
    <w:rsid w:val="00F24C35"/>
    <w:rsid w:val="00F24DCE"/>
    <w:rsid w:val="00F254AB"/>
    <w:rsid w:val="00F258E9"/>
    <w:rsid w:val="00F25A10"/>
    <w:rsid w:val="00F25B42"/>
    <w:rsid w:val="00F25B88"/>
    <w:rsid w:val="00F25C7D"/>
    <w:rsid w:val="00F26133"/>
    <w:rsid w:val="00F26369"/>
    <w:rsid w:val="00F264C3"/>
    <w:rsid w:val="00F2740D"/>
    <w:rsid w:val="00F279C3"/>
    <w:rsid w:val="00F300DF"/>
    <w:rsid w:val="00F30492"/>
    <w:rsid w:val="00F306FE"/>
    <w:rsid w:val="00F30CEF"/>
    <w:rsid w:val="00F31032"/>
    <w:rsid w:val="00F318FC"/>
    <w:rsid w:val="00F32998"/>
    <w:rsid w:val="00F33778"/>
    <w:rsid w:val="00F339B9"/>
    <w:rsid w:val="00F33A1A"/>
    <w:rsid w:val="00F33B4B"/>
    <w:rsid w:val="00F3485E"/>
    <w:rsid w:val="00F34A01"/>
    <w:rsid w:val="00F3515D"/>
    <w:rsid w:val="00F35325"/>
    <w:rsid w:val="00F35535"/>
    <w:rsid w:val="00F35A4F"/>
    <w:rsid w:val="00F35BEF"/>
    <w:rsid w:val="00F3602E"/>
    <w:rsid w:val="00F365C6"/>
    <w:rsid w:val="00F37109"/>
    <w:rsid w:val="00F375D5"/>
    <w:rsid w:val="00F37B0A"/>
    <w:rsid w:val="00F400B0"/>
    <w:rsid w:val="00F40236"/>
    <w:rsid w:val="00F402F8"/>
    <w:rsid w:val="00F404BB"/>
    <w:rsid w:val="00F40647"/>
    <w:rsid w:val="00F40D47"/>
    <w:rsid w:val="00F412B6"/>
    <w:rsid w:val="00F41C8F"/>
    <w:rsid w:val="00F42467"/>
    <w:rsid w:val="00F425E8"/>
    <w:rsid w:val="00F42938"/>
    <w:rsid w:val="00F43A9D"/>
    <w:rsid w:val="00F43B62"/>
    <w:rsid w:val="00F43E20"/>
    <w:rsid w:val="00F4441D"/>
    <w:rsid w:val="00F44B8C"/>
    <w:rsid w:val="00F454E8"/>
    <w:rsid w:val="00F456A1"/>
    <w:rsid w:val="00F45BB9"/>
    <w:rsid w:val="00F46373"/>
    <w:rsid w:val="00F46412"/>
    <w:rsid w:val="00F4670B"/>
    <w:rsid w:val="00F4684A"/>
    <w:rsid w:val="00F478F1"/>
    <w:rsid w:val="00F50521"/>
    <w:rsid w:val="00F50BC5"/>
    <w:rsid w:val="00F5195F"/>
    <w:rsid w:val="00F527D8"/>
    <w:rsid w:val="00F52B2C"/>
    <w:rsid w:val="00F52D8E"/>
    <w:rsid w:val="00F534A5"/>
    <w:rsid w:val="00F53706"/>
    <w:rsid w:val="00F53732"/>
    <w:rsid w:val="00F53769"/>
    <w:rsid w:val="00F53E74"/>
    <w:rsid w:val="00F53F6D"/>
    <w:rsid w:val="00F54348"/>
    <w:rsid w:val="00F54773"/>
    <w:rsid w:val="00F54BA1"/>
    <w:rsid w:val="00F54CA4"/>
    <w:rsid w:val="00F5559B"/>
    <w:rsid w:val="00F56017"/>
    <w:rsid w:val="00F561DA"/>
    <w:rsid w:val="00F569A8"/>
    <w:rsid w:val="00F56AAF"/>
    <w:rsid w:val="00F56D9B"/>
    <w:rsid w:val="00F57535"/>
    <w:rsid w:val="00F575EE"/>
    <w:rsid w:val="00F57DF4"/>
    <w:rsid w:val="00F60041"/>
    <w:rsid w:val="00F603E4"/>
    <w:rsid w:val="00F60B9C"/>
    <w:rsid w:val="00F60F96"/>
    <w:rsid w:val="00F61BB8"/>
    <w:rsid w:val="00F61C69"/>
    <w:rsid w:val="00F62064"/>
    <w:rsid w:val="00F632E7"/>
    <w:rsid w:val="00F6334A"/>
    <w:rsid w:val="00F63774"/>
    <w:rsid w:val="00F63783"/>
    <w:rsid w:val="00F63D8F"/>
    <w:rsid w:val="00F64591"/>
    <w:rsid w:val="00F65F2F"/>
    <w:rsid w:val="00F6610A"/>
    <w:rsid w:val="00F662EB"/>
    <w:rsid w:val="00F669EC"/>
    <w:rsid w:val="00F66E25"/>
    <w:rsid w:val="00F67452"/>
    <w:rsid w:val="00F67F97"/>
    <w:rsid w:val="00F70680"/>
    <w:rsid w:val="00F71C9B"/>
    <w:rsid w:val="00F725B4"/>
    <w:rsid w:val="00F7273C"/>
    <w:rsid w:val="00F7277A"/>
    <w:rsid w:val="00F72B7C"/>
    <w:rsid w:val="00F72DF3"/>
    <w:rsid w:val="00F73068"/>
    <w:rsid w:val="00F736F6"/>
    <w:rsid w:val="00F73EA6"/>
    <w:rsid w:val="00F7449A"/>
    <w:rsid w:val="00F74C5B"/>
    <w:rsid w:val="00F754D8"/>
    <w:rsid w:val="00F7594D"/>
    <w:rsid w:val="00F76233"/>
    <w:rsid w:val="00F769D2"/>
    <w:rsid w:val="00F76DAF"/>
    <w:rsid w:val="00F76F7F"/>
    <w:rsid w:val="00F77AB6"/>
    <w:rsid w:val="00F801A9"/>
    <w:rsid w:val="00F80CB1"/>
    <w:rsid w:val="00F80E2E"/>
    <w:rsid w:val="00F80E5C"/>
    <w:rsid w:val="00F8115F"/>
    <w:rsid w:val="00F81242"/>
    <w:rsid w:val="00F8178A"/>
    <w:rsid w:val="00F83375"/>
    <w:rsid w:val="00F833B0"/>
    <w:rsid w:val="00F83887"/>
    <w:rsid w:val="00F841AF"/>
    <w:rsid w:val="00F8425A"/>
    <w:rsid w:val="00F8473D"/>
    <w:rsid w:val="00F84A06"/>
    <w:rsid w:val="00F8582D"/>
    <w:rsid w:val="00F8594F"/>
    <w:rsid w:val="00F85E2A"/>
    <w:rsid w:val="00F86366"/>
    <w:rsid w:val="00F87837"/>
    <w:rsid w:val="00F8797D"/>
    <w:rsid w:val="00F87ECD"/>
    <w:rsid w:val="00F90057"/>
    <w:rsid w:val="00F90272"/>
    <w:rsid w:val="00F90F32"/>
    <w:rsid w:val="00F91072"/>
    <w:rsid w:val="00F915F2"/>
    <w:rsid w:val="00F91ED6"/>
    <w:rsid w:val="00F91FD6"/>
    <w:rsid w:val="00F927A5"/>
    <w:rsid w:val="00F932B3"/>
    <w:rsid w:val="00F9348E"/>
    <w:rsid w:val="00F934DF"/>
    <w:rsid w:val="00F9364F"/>
    <w:rsid w:val="00F937B7"/>
    <w:rsid w:val="00F94182"/>
    <w:rsid w:val="00F94294"/>
    <w:rsid w:val="00F945C6"/>
    <w:rsid w:val="00F946DA"/>
    <w:rsid w:val="00F94BC2"/>
    <w:rsid w:val="00F950F2"/>
    <w:rsid w:val="00F9535E"/>
    <w:rsid w:val="00F9588A"/>
    <w:rsid w:val="00F9601B"/>
    <w:rsid w:val="00F965CA"/>
    <w:rsid w:val="00F97037"/>
    <w:rsid w:val="00F97B5D"/>
    <w:rsid w:val="00FA03FD"/>
    <w:rsid w:val="00FA0B85"/>
    <w:rsid w:val="00FA0E8C"/>
    <w:rsid w:val="00FA0F0E"/>
    <w:rsid w:val="00FA1293"/>
    <w:rsid w:val="00FA19D5"/>
    <w:rsid w:val="00FA1E82"/>
    <w:rsid w:val="00FA346C"/>
    <w:rsid w:val="00FA3538"/>
    <w:rsid w:val="00FA3564"/>
    <w:rsid w:val="00FA5A12"/>
    <w:rsid w:val="00FA5BD3"/>
    <w:rsid w:val="00FA5F78"/>
    <w:rsid w:val="00FA633C"/>
    <w:rsid w:val="00FA6D9F"/>
    <w:rsid w:val="00FA6DBA"/>
    <w:rsid w:val="00FA7610"/>
    <w:rsid w:val="00FA78B6"/>
    <w:rsid w:val="00FA7954"/>
    <w:rsid w:val="00FA7C83"/>
    <w:rsid w:val="00FA7FF6"/>
    <w:rsid w:val="00FB0BB8"/>
    <w:rsid w:val="00FB180B"/>
    <w:rsid w:val="00FB20AB"/>
    <w:rsid w:val="00FB2547"/>
    <w:rsid w:val="00FB2779"/>
    <w:rsid w:val="00FB30B9"/>
    <w:rsid w:val="00FB3115"/>
    <w:rsid w:val="00FB36AD"/>
    <w:rsid w:val="00FB4D13"/>
    <w:rsid w:val="00FB58A2"/>
    <w:rsid w:val="00FB59F9"/>
    <w:rsid w:val="00FB5B5B"/>
    <w:rsid w:val="00FB621F"/>
    <w:rsid w:val="00FB6267"/>
    <w:rsid w:val="00FB6329"/>
    <w:rsid w:val="00FB6A70"/>
    <w:rsid w:val="00FB7CA4"/>
    <w:rsid w:val="00FC022C"/>
    <w:rsid w:val="00FC09C9"/>
    <w:rsid w:val="00FC1025"/>
    <w:rsid w:val="00FC119B"/>
    <w:rsid w:val="00FC1488"/>
    <w:rsid w:val="00FC15F4"/>
    <w:rsid w:val="00FC2406"/>
    <w:rsid w:val="00FC3433"/>
    <w:rsid w:val="00FC355E"/>
    <w:rsid w:val="00FC35D4"/>
    <w:rsid w:val="00FC38C2"/>
    <w:rsid w:val="00FC3BF4"/>
    <w:rsid w:val="00FC3C2B"/>
    <w:rsid w:val="00FC456F"/>
    <w:rsid w:val="00FC4D7C"/>
    <w:rsid w:val="00FC5333"/>
    <w:rsid w:val="00FC53D1"/>
    <w:rsid w:val="00FC5C96"/>
    <w:rsid w:val="00FC5FBA"/>
    <w:rsid w:val="00FC60CD"/>
    <w:rsid w:val="00FC647B"/>
    <w:rsid w:val="00FC664E"/>
    <w:rsid w:val="00FC6DAA"/>
    <w:rsid w:val="00FD04ED"/>
    <w:rsid w:val="00FD09D3"/>
    <w:rsid w:val="00FD0F2C"/>
    <w:rsid w:val="00FD100B"/>
    <w:rsid w:val="00FD1518"/>
    <w:rsid w:val="00FD16A6"/>
    <w:rsid w:val="00FD183D"/>
    <w:rsid w:val="00FD193A"/>
    <w:rsid w:val="00FD1CE8"/>
    <w:rsid w:val="00FD2088"/>
    <w:rsid w:val="00FD2E13"/>
    <w:rsid w:val="00FD31E5"/>
    <w:rsid w:val="00FD422E"/>
    <w:rsid w:val="00FD43EA"/>
    <w:rsid w:val="00FD4671"/>
    <w:rsid w:val="00FD51B5"/>
    <w:rsid w:val="00FD5294"/>
    <w:rsid w:val="00FD5F7E"/>
    <w:rsid w:val="00FD65CC"/>
    <w:rsid w:val="00FD6FEB"/>
    <w:rsid w:val="00FE0AAF"/>
    <w:rsid w:val="00FE0D2A"/>
    <w:rsid w:val="00FE108F"/>
    <w:rsid w:val="00FE28F5"/>
    <w:rsid w:val="00FE36EC"/>
    <w:rsid w:val="00FE4441"/>
    <w:rsid w:val="00FE49AD"/>
    <w:rsid w:val="00FE4B4F"/>
    <w:rsid w:val="00FE5BDB"/>
    <w:rsid w:val="00FE670E"/>
    <w:rsid w:val="00FE6E5F"/>
    <w:rsid w:val="00FE6ED9"/>
    <w:rsid w:val="00FE6F1A"/>
    <w:rsid w:val="00FE745A"/>
    <w:rsid w:val="00FF03CF"/>
    <w:rsid w:val="00FF15EB"/>
    <w:rsid w:val="00FF1E3F"/>
    <w:rsid w:val="00FF2B27"/>
    <w:rsid w:val="00FF2D46"/>
    <w:rsid w:val="00FF2DD9"/>
    <w:rsid w:val="00FF37E2"/>
    <w:rsid w:val="00FF3A29"/>
    <w:rsid w:val="00FF461C"/>
    <w:rsid w:val="00FF4D54"/>
    <w:rsid w:val="00FF61E3"/>
    <w:rsid w:val="00FF6499"/>
    <w:rsid w:val="00FF6616"/>
    <w:rsid w:val="00FF68E8"/>
    <w:rsid w:val="00FF6A60"/>
    <w:rsid w:val="00FF706B"/>
    <w:rsid w:val="00FF7DE6"/>
    <w:rsid w:val="015F61E0"/>
    <w:rsid w:val="01A81952"/>
    <w:rsid w:val="02CF0BED"/>
    <w:rsid w:val="032B5BB2"/>
    <w:rsid w:val="03EB70EB"/>
    <w:rsid w:val="067352A9"/>
    <w:rsid w:val="06A501CA"/>
    <w:rsid w:val="08DC60EB"/>
    <w:rsid w:val="09A22D62"/>
    <w:rsid w:val="09B8762E"/>
    <w:rsid w:val="0A153C2B"/>
    <w:rsid w:val="0A5F1409"/>
    <w:rsid w:val="0B5D4529"/>
    <w:rsid w:val="0BDB3989"/>
    <w:rsid w:val="0CDA441B"/>
    <w:rsid w:val="0D1E1590"/>
    <w:rsid w:val="0EF52BC9"/>
    <w:rsid w:val="0F5A476B"/>
    <w:rsid w:val="101428A6"/>
    <w:rsid w:val="10D85778"/>
    <w:rsid w:val="11085120"/>
    <w:rsid w:val="116024A1"/>
    <w:rsid w:val="11A135E6"/>
    <w:rsid w:val="11A32A8A"/>
    <w:rsid w:val="136B201F"/>
    <w:rsid w:val="13E60948"/>
    <w:rsid w:val="149572F8"/>
    <w:rsid w:val="154537CD"/>
    <w:rsid w:val="15A57B5E"/>
    <w:rsid w:val="187327BD"/>
    <w:rsid w:val="18BF3C55"/>
    <w:rsid w:val="193F4EA3"/>
    <w:rsid w:val="1B157E72"/>
    <w:rsid w:val="1B1A0862"/>
    <w:rsid w:val="1C9176B6"/>
    <w:rsid w:val="1CA53161"/>
    <w:rsid w:val="1CCC56DC"/>
    <w:rsid w:val="1CF904CA"/>
    <w:rsid w:val="1DBC2C27"/>
    <w:rsid w:val="1E8E1043"/>
    <w:rsid w:val="1EC12F93"/>
    <w:rsid w:val="1F7828B9"/>
    <w:rsid w:val="1FBB477E"/>
    <w:rsid w:val="1FCB1703"/>
    <w:rsid w:val="204038CD"/>
    <w:rsid w:val="20A77BA7"/>
    <w:rsid w:val="20D53CCE"/>
    <w:rsid w:val="238F4C3D"/>
    <w:rsid w:val="252D5599"/>
    <w:rsid w:val="26685070"/>
    <w:rsid w:val="26F854DC"/>
    <w:rsid w:val="276F7429"/>
    <w:rsid w:val="27787DF0"/>
    <w:rsid w:val="29A67A91"/>
    <w:rsid w:val="29FC44E4"/>
    <w:rsid w:val="2B6526C3"/>
    <w:rsid w:val="2CB979B4"/>
    <w:rsid w:val="2DB140EA"/>
    <w:rsid w:val="2EB226DD"/>
    <w:rsid w:val="2F552A6B"/>
    <w:rsid w:val="33A26F6E"/>
    <w:rsid w:val="33BD093C"/>
    <w:rsid w:val="346772DE"/>
    <w:rsid w:val="35591191"/>
    <w:rsid w:val="364B29FE"/>
    <w:rsid w:val="373F4A34"/>
    <w:rsid w:val="3779434B"/>
    <w:rsid w:val="394E09B1"/>
    <w:rsid w:val="3A7B3070"/>
    <w:rsid w:val="3B7D4576"/>
    <w:rsid w:val="3E136BDF"/>
    <w:rsid w:val="3E4D3301"/>
    <w:rsid w:val="3E5C04C3"/>
    <w:rsid w:val="3E621E2D"/>
    <w:rsid w:val="3E9C1A5E"/>
    <w:rsid w:val="3FBD6E1D"/>
    <w:rsid w:val="424C1C02"/>
    <w:rsid w:val="42701F79"/>
    <w:rsid w:val="42CD488F"/>
    <w:rsid w:val="45E35BB7"/>
    <w:rsid w:val="45F73300"/>
    <w:rsid w:val="46D55C28"/>
    <w:rsid w:val="48263F44"/>
    <w:rsid w:val="4A413841"/>
    <w:rsid w:val="4CB93828"/>
    <w:rsid w:val="4DE27972"/>
    <w:rsid w:val="4ECD1DD8"/>
    <w:rsid w:val="4F2A2B4F"/>
    <w:rsid w:val="52D72D2E"/>
    <w:rsid w:val="53BB5DB6"/>
    <w:rsid w:val="543604AD"/>
    <w:rsid w:val="56847F0C"/>
    <w:rsid w:val="56E91819"/>
    <w:rsid w:val="58BC6DED"/>
    <w:rsid w:val="58BD4DB3"/>
    <w:rsid w:val="59343C67"/>
    <w:rsid w:val="5A350910"/>
    <w:rsid w:val="5AC21DFD"/>
    <w:rsid w:val="5D6977F5"/>
    <w:rsid w:val="5E830E1F"/>
    <w:rsid w:val="5E91072E"/>
    <w:rsid w:val="5FEA2932"/>
    <w:rsid w:val="60340051"/>
    <w:rsid w:val="603F17AC"/>
    <w:rsid w:val="62CE52F7"/>
    <w:rsid w:val="63623703"/>
    <w:rsid w:val="63973621"/>
    <w:rsid w:val="643F52F9"/>
    <w:rsid w:val="64E97925"/>
    <w:rsid w:val="65E95C82"/>
    <w:rsid w:val="66AB7C09"/>
    <w:rsid w:val="66F4119F"/>
    <w:rsid w:val="67302657"/>
    <w:rsid w:val="680B53A9"/>
    <w:rsid w:val="68DA089B"/>
    <w:rsid w:val="69A70F18"/>
    <w:rsid w:val="69EE301F"/>
    <w:rsid w:val="6AD23AB6"/>
    <w:rsid w:val="6B421844"/>
    <w:rsid w:val="6B851F3D"/>
    <w:rsid w:val="6D751724"/>
    <w:rsid w:val="6F7B3F78"/>
    <w:rsid w:val="6F7F5D60"/>
    <w:rsid w:val="70B1470F"/>
    <w:rsid w:val="70C14F73"/>
    <w:rsid w:val="71F46FB9"/>
    <w:rsid w:val="720B4E0A"/>
    <w:rsid w:val="730B69EF"/>
    <w:rsid w:val="732C45A0"/>
    <w:rsid w:val="73FC6FA1"/>
    <w:rsid w:val="74062567"/>
    <w:rsid w:val="74A91B13"/>
    <w:rsid w:val="7562038E"/>
    <w:rsid w:val="76482F88"/>
    <w:rsid w:val="79316AFC"/>
    <w:rsid w:val="7C1F0A7B"/>
    <w:rsid w:val="7E181B17"/>
    <w:rsid w:val="7FE951C1"/>
    <w:rsid w:val="E7FE631A"/>
    <w:rsid w:val="F3BA4D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4"/>
      <w:lang w:val="en-US" w:eastAsia="zh-CN" w:bidi="ar-SA"/>
    </w:rPr>
  </w:style>
  <w:style w:type="paragraph" w:styleId="5">
    <w:name w:val="heading 1"/>
    <w:basedOn w:val="1"/>
    <w:next w:val="1"/>
    <w:link w:val="5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6">
    <w:name w:val="heading 2"/>
    <w:basedOn w:val="1"/>
    <w:next w:val="1"/>
    <w:link w:val="52"/>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7">
    <w:name w:val="heading 3"/>
    <w:basedOn w:val="1"/>
    <w:next w:val="1"/>
    <w:link w:val="53"/>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8">
    <w:name w:val="heading 4"/>
    <w:basedOn w:val="1"/>
    <w:next w:val="1"/>
    <w:link w:val="54"/>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9">
    <w:name w:val="heading 5"/>
    <w:basedOn w:val="1"/>
    <w:next w:val="1"/>
    <w:link w:val="55"/>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center" w:pos="2185"/>
      </w:tabs>
      <w:spacing w:before="156" w:beforeLines="50" w:line="300" w:lineRule="auto"/>
      <w:ind w:firstLine="200" w:firstLineChars="200"/>
    </w:pPr>
    <w:rPr>
      <w:rFonts w:ascii="楷体_GB2312" w:eastAsia="楷体_GB2312"/>
      <w:spacing w:val="4"/>
      <w:sz w:val="20"/>
    </w:rPr>
  </w:style>
  <w:style w:type="paragraph" w:styleId="3">
    <w:name w:val="Body Text"/>
    <w:basedOn w:val="1"/>
    <w:next w:val="4"/>
    <w:link w:val="60"/>
    <w:qFormat/>
    <w:uiPriority w:val="0"/>
    <w:rPr>
      <w:rFonts w:ascii="金山简黑体" w:hAnsi="金山简黑体" w:eastAsia="金山简黑体"/>
      <w:b/>
      <w:spacing w:val="-8"/>
      <w:sz w:val="44"/>
      <w:szCs w:val="20"/>
    </w:rPr>
  </w:style>
  <w:style w:type="paragraph" w:styleId="4">
    <w:name w:val="toc 5"/>
    <w:basedOn w:val="1"/>
    <w:next w:val="1"/>
    <w:qFormat/>
    <w:uiPriority w:val="0"/>
    <w:pPr>
      <w:ind w:left="840"/>
      <w:jc w:val="left"/>
    </w:pPr>
    <w:rPr>
      <w:sz w:val="18"/>
      <w:szCs w:val="18"/>
    </w:rPr>
  </w:style>
  <w:style w:type="paragraph" w:styleId="10">
    <w:name w:val="toc 7"/>
    <w:basedOn w:val="1"/>
    <w:next w:val="1"/>
    <w:qFormat/>
    <w:uiPriority w:val="0"/>
    <w:pPr>
      <w:ind w:left="1260"/>
      <w:jc w:val="left"/>
    </w:pPr>
    <w:rPr>
      <w:sz w:val="18"/>
      <w:szCs w:val="18"/>
    </w:rPr>
  </w:style>
  <w:style w:type="paragraph" w:styleId="11">
    <w:name w:val="Normal Indent"/>
    <w:basedOn w:val="1"/>
    <w:link w:val="56"/>
    <w:qFormat/>
    <w:uiPriority w:val="99"/>
    <w:pPr>
      <w:ind w:firstLine="420"/>
    </w:pPr>
    <w:rPr>
      <w:szCs w:val="21"/>
    </w:rPr>
  </w:style>
  <w:style w:type="paragraph" w:styleId="12">
    <w:name w:val="Document Map"/>
    <w:basedOn w:val="1"/>
    <w:link w:val="57"/>
    <w:qFormat/>
    <w:uiPriority w:val="0"/>
    <w:pPr>
      <w:shd w:val="clear" w:color="auto" w:fill="000080"/>
    </w:pPr>
  </w:style>
  <w:style w:type="paragraph" w:styleId="13">
    <w:name w:val="annotation text"/>
    <w:basedOn w:val="1"/>
    <w:link w:val="58"/>
    <w:qFormat/>
    <w:uiPriority w:val="0"/>
    <w:pPr>
      <w:jc w:val="left"/>
    </w:pPr>
  </w:style>
  <w:style w:type="paragraph" w:styleId="14">
    <w:name w:val="Body Text 3"/>
    <w:basedOn w:val="1"/>
    <w:link w:val="59"/>
    <w:qFormat/>
    <w:uiPriority w:val="0"/>
    <w:rPr>
      <w:sz w:val="24"/>
    </w:rPr>
  </w:style>
  <w:style w:type="paragraph" w:styleId="15">
    <w:name w:val="Body Text Indent"/>
    <w:basedOn w:val="1"/>
    <w:next w:val="1"/>
    <w:link w:val="61"/>
    <w:qFormat/>
    <w:uiPriority w:val="0"/>
    <w:pPr>
      <w:spacing w:line="200" w:lineRule="exact"/>
      <w:ind w:firstLine="301"/>
    </w:pPr>
    <w:rPr>
      <w:spacing w:val="-4"/>
      <w:sz w:val="18"/>
      <w:szCs w:val="20"/>
    </w:rPr>
  </w:style>
  <w:style w:type="paragraph" w:styleId="16">
    <w:name w:val="List 2"/>
    <w:basedOn w:val="1"/>
    <w:qFormat/>
    <w:uiPriority w:val="0"/>
    <w:pPr>
      <w:widowControl/>
      <w:ind w:left="840" w:hanging="420"/>
      <w:jc w:val="left"/>
    </w:pPr>
    <w:rPr>
      <w:kern w:val="0"/>
      <w:sz w:val="22"/>
      <w:szCs w:val="20"/>
    </w:rPr>
  </w:style>
  <w:style w:type="paragraph" w:styleId="17">
    <w:name w:val="Block Text"/>
    <w:basedOn w:val="1"/>
    <w:qFormat/>
    <w:uiPriority w:val="0"/>
    <w:pPr>
      <w:widowControl/>
      <w:ind w:left="720" w:right="-48" w:hanging="720"/>
    </w:pPr>
    <w:rPr>
      <w:rFonts w:ascii="Times New Roman" w:hAnsi="Times New Roman"/>
      <w:kern w:val="0"/>
      <w:sz w:val="20"/>
      <w:szCs w:val="20"/>
    </w:rPr>
  </w:style>
  <w:style w:type="paragraph" w:styleId="18">
    <w:name w:val="toc 3"/>
    <w:basedOn w:val="1"/>
    <w:next w:val="1"/>
    <w:qFormat/>
    <w:uiPriority w:val="39"/>
    <w:pPr>
      <w:ind w:firstLine="400" w:firstLineChars="400"/>
      <w:jc w:val="left"/>
    </w:pPr>
    <w:rPr>
      <w:i/>
      <w:iCs/>
      <w:sz w:val="20"/>
      <w:szCs w:val="20"/>
    </w:rPr>
  </w:style>
  <w:style w:type="paragraph" w:styleId="19">
    <w:name w:val="Plain Text"/>
    <w:basedOn w:val="1"/>
    <w:next w:val="1"/>
    <w:link w:val="62"/>
    <w:qFormat/>
    <w:uiPriority w:val="0"/>
    <w:rPr>
      <w:szCs w:val="20"/>
    </w:rPr>
  </w:style>
  <w:style w:type="paragraph" w:styleId="20">
    <w:name w:val="toc 8"/>
    <w:basedOn w:val="1"/>
    <w:next w:val="1"/>
    <w:qFormat/>
    <w:uiPriority w:val="0"/>
    <w:pPr>
      <w:ind w:left="1470"/>
      <w:jc w:val="left"/>
    </w:pPr>
    <w:rPr>
      <w:sz w:val="18"/>
      <w:szCs w:val="18"/>
    </w:rPr>
  </w:style>
  <w:style w:type="paragraph" w:styleId="21">
    <w:name w:val="Date"/>
    <w:basedOn w:val="1"/>
    <w:next w:val="1"/>
    <w:link w:val="63"/>
    <w:qFormat/>
    <w:uiPriority w:val="0"/>
    <w:pPr>
      <w:ind w:left="100" w:leftChars="2500"/>
    </w:pPr>
  </w:style>
  <w:style w:type="paragraph" w:styleId="22">
    <w:name w:val="Body Text Indent 2"/>
    <w:basedOn w:val="1"/>
    <w:link w:val="64"/>
    <w:qFormat/>
    <w:uiPriority w:val="0"/>
    <w:pPr>
      <w:spacing w:after="120" w:line="480" w:lineRule="auto"/>
      <w:ind w:left="200" w:leftChars="200"/>
    </w:pPr>
  </w:style>
  <w:style w:type="paragraph" w:styleId="23">
    <w:name w:val="Balloon Text"/>
    <w:basedOn w:val="1"/>
    <w:link w:val="65"/>
    <w:qFormat/>
    <w:uiPriority w:val="0"/>
    <w:rPr>
      <w:sz w:val="18"/>
      <w:szCs w:val="18"/>
    </w:rPr>
  </w:style>
  <w:style w:type="paragraph" w:styleId="24">
    <w:name w:val="footer"/>
    <w:basedOn w:val="1"/>
    <w:link w:val="66"/>
    <w:qFormat/>
    <w:uiPriority w:val="0"/>
    <w:pPr>
      <w:tabs>
        <w:tab w:val="center" w:pos="4153"/>
        <w:tab w:val="right" w:pos="8306"/>
      </w:tabs>
      <w:snapToGrid w:val="0"/>
      <w:jc w:val="left"/>
    </w:pPr>
    <w:rPr>
      <w:sz w:val="18"/>
      <w:szCs w:val="20"/>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9072"/>
      </w:tabs>
      <w:ind w:firstLine="74" w:firstLineChars="74"/>
      <w:jc w:val="left"/>
    </w:pPr>
    <w:rPr>
      <w:b/>
      <w:bCs/>
      <w:caps/>
      <w:sz w:val="20"/>
      <w:szCs w:val="20"/>
    </w:rPr>
  </w:style>
  <w:style w:type="paragraph" w:styleId="27">
    <w:name w:val="toc 4"/>
    <w:basedOn w:val="1"/>
    <w:next w:val="1"/>
    <w:qFormat/>
    <w:uiPriority w:val="0"/>
    <w:pPr>
      <w:ind w:left="630"/>
      <w:jc w:val="left"/>
    </w:pPr>
    <w:rPr>
      <w:sz w:val="18"/>
      <w:szCs w:val="18"/>
    </w:rPr>
  </w:style>
  <w:style w:type="paragraph" w:styleId="28">
    <w:name w:val="Subtitle"/>
    <w:basedOn w:val="1"/>
    <w:next w:val="1"/>
    <w:link w:val="68"/>
    <w:qFormat/>
    <w:uiPriority w:val="0"/>
    <w:pPr>
      <w:tabs>
        <w:tab w:val="left" w:pos="360"/>
      </w:tabs>
      <w:ind w:left="284" w:hanging="284"/>
      <w:jc w:val="left"/>
      <w:outlineLvl w:val="1"/>
    </w:pPr>
    <w:rPr>
      <w:rFonts w:ascii="Century Gothic" w:hAnsi="Century Gothic"/>
      <w:kern w:val="28"/>
      <w:szCs w:val="21"/>
    </w:rPr>
  </w:style>
  <w:style w:type="paragraph" w:styleId="29">
    <w:name w:val="footnote text"/>
    <w:basedOn w:val="1"/>
    <w:link w:val="69"/>
    <w:semiHidden/>
    <w:qFormat/>
    <w:uiPriority w:val="0"/>
    <w:pPr>
      <w:widowControl/>
      <w:jc w:val="left"/>
    </w:pPr>
    <w:rPr>
      <w:rFonts w:ascii="Times New Roman" w:hAnsi="Times New Roman"/>
      <w:kern w:val="0"/>
      <w:sz w:val="20"/>
      <w:szCs w:val="20"/>
      <w:lang w:val="de-DE"/>
    </w:rPr>
  </w:style>
  <w:style w:type="paragraph" w:styleId="30">
    <w:name w:val="toc 6"/>
    <w:basedOn w:val="1"/>
    <w:next w:val="1"/>
    <w:qFormat/>
    <w:uiPriority w:val="0"/>
    <w:pPr>
      <w:ind w:left="1050"/>
      <w:jc w:val="left"/>
    </w:pPr>
    <w:rPr>
      <w:sz w:val="18"/>
      <w:szCs w:val="18"/>
    </w:rPr>
  </w:style>
  <w:style w:type="paragraph" w:styleId="31">
    <w:name w:val="Body Text Indent 3"/>
    <w:basedOn w:val="1"/>
    <w:qFormat/>
    <w:uiPriority w:val="0"/>
    <w:pPr>
      <w:spacing w:line="400" w:lineRule="exact"/>
      <w:ind w:left="360"/>
    </w:pPr>
    <w:rPr>
      <w:sz w:val="24"/>
    </w:rPr>
  </w:style>
  <w:style w:type="paragraph" w:styleId="32">
    <w:name w:val="toc 2"/>
    <w:basedOn w:val="1"/>
    <w:next w:val="1"/>
    <w:qFormat/>
    <w:uiPriority w:val="39"/>
    <w:pPr>
      <w:tabs>
        <w:tab w:val="right" w:leader="dot" w:pos="9072"/>
      </w:tabs>
      <w:ind w:firstLine="200" w:firstLineChars="200"/>
      <w:jc w:val="left"/>
    </w:pPr>
    <w:rPr>
      <w:smallCaps/>
      <w:sz w:val="20"/>
      <w:szCs w:val="20"/>
    </w:rPr>
  </w:style>
  <w:style w:type="paragraph" w:styleId="33">
    <w:name w:val="toc 9"/>
    <w:basedOn w:val="1"/>
    <w:next w:val="1"/>
    <w:qFormat/>
    <w:uiPriority w:val="0"/>
    <w:pPr>
      <w:ind w:left="1680"/>
      <w:jc w:val="left"/>
    </w:pPr>
    <w:rPr>
      <w:sz w:val="18"/>
      <w:szCs w:val="18"/>
    </w:rPr>
  </w:style>
  <w:style w:type="paragraph" w:styleId="34">
    <w:name w:val="Body Text 2"/>
    <w:basedOn w:val="1"/>
    <w:link w:val="70"/>
    <w:qFormat/>
    <w:uiPriority w:val="0"/>
    <w:rPr>
      <w:sz w:val="13"/>
      <w:szCs w:val="20"/>
    </w:rPr>
  </w:style>
  <w:style w:type="paragraph" w:styleId="35">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36">
    <w:name w:val="Normal (Web)"/>
    <w:basedOn w:val="1"/>
    <w:qFormat/>
    <w:uiPriority w:val="0"/>
    <w:pPr>
      <w:widowControl/>
      <w:spacing w:before="100" w:beforeAutospacing="1" w:after="100" w:afterAutospacing="1"/>
      <w:jc w:val="left"/>
    </w:pPr>
    <w:rPr>
      <w:rFonts w:ascii="Arial Unicode MS" w:hAnsi="Arial Unicode MS" w:eastAsia="Arial Unicode MS" w:cs="华文仿宋"/>
      <w:kern w:val="0"/>
      <w:sz w:val="24"/>
    </w:rPr>
  </w:style>
  <w:style w:type="paragraph" w:styleId="37">
    <w:name w:val="index 1"/>
    <w:basedOn w:val="1"/>
    <w:next w:val="1"/>
    <w:qFormat/>
    <w:uiPriority w:val="0"/>
    <w:pPr>
      <w:tabs>
        <w:tab w:val="left" w:pos="780"/>
      </w:tabs>
      <w:spacing w:line="360" w:lineRule="auto"/>
      <w:ind w:left="780" w:hanging="360"/>
    </w:pPr>
    <w:rPr>
      <w:szCs w:val="20"/>
    </w:rPr>
  </w:style>
  <w:style w:type="paragraph" w:styleId="38">
    <w:name w:val="Title"/>
    <w:basedOn w:val="1"/>
    <w:next w:val="1"/>
    <w:link w:val="71"/>
    <w:qFormat/>
    <w:uiPriority w:val="0"/>
    <w:pPr>
      <w:spacing w:before="240" w:after="60"/>
      <w:jc w:val="center"/>
      <w:outlineLvl w:val="0"/>
    </w:pPr>
    <w:rPr>
      <w:rFonts w:ascii="Cambria" w:hAnsi="Cambria"/>
      <w:b/>
      <w:bCs/>
      <w:kern w:val="0"/>
      <w:sz w:val="32"/>
      <w:szCs w:val="32"/>
    </w:rPr>
  </w:style>
  <w:style w:type="paragraph" w:styleId="39">
    <w:name w:val="annotation subject"/>
    <w:basedOn w:val="13"/>
    <w:next w:val="13"/>
    <w:link w:val="72"/>
    <w:qFormat/>
    <w:uiPriority w:val="0"/>
    <w:rPr>
      <w:b/>
      <w:bCs/>
    </w:rPr>
  </w:style>
  <w:style w:type="paragraph" w:styleId="40">
    <w:name w:val="Body Text First Indent 2"/>
    <w:basedOn w:val="15"/>
    <w:next w:val="1"/>
    <w:unhideWhenUsed/>
    <w:qFormat/>
    <w:uiPriority w:val="99"/>
    <w:pPr>
      <w:spacing w:after="120" w:line="240" w:lineRule="auto"/>
      <w:ind w:left="420" w:leftChars="200" w:firstLine="420" w:firstLineChars="200"/>
    </w:pPr>
    <w:rPr>
      <w:szCs w:val="24"/>
    </w:rPr>
  </w:style>
  <w:style w:type="table" w:styleId="42">
    <w:name w:val="Table Grid"/>
    <w:basedOn w:val="4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qFormat/>
    <w:uiPriority w:val="0"/>
  </w:style>
  <w:style w:type="character" w:styleId="46">
    <w:name w:val="FollowedHyperlink"/>
    <w:qFormat/>
    <w:uiPriority w:val="99"/>
    <w:rPr>
      <w:color w:val="800080"/>
      <w:u w:val="single"/>
    </w:rPr>
  </w:style>
  <w:style w:type="character" w:styleId="47">
    <w:name w:val="Emphasis"/>
    <w:qFormat/>
    <w:uiPriority w:val="0"/>
    <w:rPr>
      <w:color w:val="CC0033"/>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paragraph" w:customStyle="1" w:styleId="50">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51">
    <w:name w:val="标题 1 字符"/>
    <w:basedOn w:val="43"/>
    <w:link w:val="5"/>
    <w:qFormat/>
    <w:uiPriority w:val="0"/>
    <w:rPr>
      <w:rFonts w:eastAsia="黑体"/>
      <w:b/>
      <w:kern w:val="44"/>
      <w:sz w:val="28"/>
    </w:rPr>
  </w:style>
  <w:style w:type="character" w:customStyle="1" w:styleId="52">
    <w:name w:val="标题 2 字符"/>
    <w:link w:val="6"/>
    <w:qFormat/>
    <w:uiPriority w:val="0"/>
    <w:rPr>
      <w:rFonts w:eastAsia="黑体"/>
      <w:b/>
      <w:sz w:val="28"/>
    </w:rPr>
  </w:style>
  <w:style w:type="character" w:customStyle="1" w:styleId="53">
    <w:name w:val="标题 3 字符"/>
    <w:link w:val="7"/>
    <w:qFormat/>
    <w:uiPriority w:val="0"/>
    <w:rPr>
      <w:rFonts w:eastAsia="黑体"/>
      <w:b/>
      <w:sz w:val="28"/>
    </w:rPr>
  </w:style>
  <w:style w:type="character" w:customStyle="1" w:styleId="54">
    <w:name w:val="标题 4 字符"/>
    <w:link w:val="8"/>
    <w:qFormat/>
    <w:uiPriority w:val="0"/>
    <w:rPr>
      <w:rFonts w:ascii="Arial" w:hAnsi="Arial" w:eastAsia="黑体"/>
      <w:sz w:val="28"/>
    </w:rPr>
  </w:style>
  <w:style w:type="character" w:customStyle="1" w:styleId="55">
    <w:name w:val="标题 5 字符1"/>
    <w:link w:val="9"/>
    <w:qFormat/>
    <w:uiPriority w:val="0"/>
    <w:rPr>
      <w:b/>
      <w:sz w:val="28"/>
      <w:szCs w:val="24"/>
    </w:rPr>
  </w:style>
  <w:style w:type="character" w:customStyle="1" w:styleId="56">
    <w:name w:val="正文缩进 字符"/>
    <w:link w:val="11"/>
    <w:qFormat/>
    <w:uiPriority w:val="0"/>
    <w:rPr>
      <w:kern w:val="2"/>
      <w:sz w:val="21"/>
      <w:szCs w:val="21"/>
    </w:rPr>
  </w:style>
  <w:style w:type="character" w:customStyle="1" w:styleId="57">
    <w:name w:val="文档结构图 字符"/>
    <w:link w:val="12"/>
    <w:qFormat/>
    <w:uiPriority w:val="99"/>
    <w:rPr>
      <w:kern w:val="2"/>
      <w:sz w:val="21"/>
      <w:szCs w:val="24"/>
      <w:shd w:val="clear" w:color="auto" w:fill="000080"/>
    </w:rPr>
  </w:style>
  <w:style w:type="character" w:customStyle="1" w:styleId="58">
    <w:name w:val="批注文字 字符"/>
    <w:link w:val="13"/>
    <w:qFormat/>
    <w:uiPriority w:val="0"/>
    <w:rPr>
      <w:kern w:val="2"/>
      <w:sz w:val="21"/>
      <w:szCs w:val="24"/>
    </w:rPr>
  </w:style>
  <w:style w:type="character" w:customStyle="1" w:styleId="59">
    <w:name w:val="正文文本 3 字符1"/>
    <w:link w:val="14"/>
    <w:qFormat/>
    <w:uiPriority w:val="0"/>
    <w:rPr>
      <w:kern w:val="2"/>
      <w:sz w:val="24"/>
      <w:szCs w:val="24"/>
    </w:rPr>
  </w:style>
  <w:style w:type="character" w:customStyle="1" w:styleId="60">
    <w:name w:val="正文文本 字符"/>
    <w:link w:val="3"/>
    <w:qFormat/>
    <w:uiPriority w:val="0"/>
    <w:rPr>
      <w:rFonts w:ascii="金山简黑体" w:hAnsi="金山简黑体" w:eastAsia="金山简黑体"/>
      <w:b/>
      <w:spacing w:val="-8"/>
      <w:kern w:val="2"/>
      <w:sz w:val="44"/>
    </w:rPr>
  </w:style>
  <w:style w:type="character" w:customStyle="1" w:styleId="61">
    <w:name w:val="正文文本缩进 字符"/>
    <w:link w:val="15"/>
    <w:qFormat/>
    <w:uiPriority w:val="99"/>
    <w:rPr>
      <w:rFonts w:ascii="宋体"/>
      <w:spacing w:val="-4"/>
      <w:kern w:val="2"/>
      <w:sz w:val="18"/>
    </w:rPr>
  </w:style>
  <w:style w:type="character" w:customStyle="1" w:styleId="62">
    <w:name w:val="纯文本 字符2"/>
    <w:link w:val="19"/>
    <w:qFormat/>
    <w:uiPriority w:val="0"/>
    <w:rPr>
      <w:rFonts w:ascii="宋体"/>
      <w:kern w:val="2"/>
      <w:sz w:val="21"/>
    </w:rPr>
  </w:style>
  <w:style w:type="character" w:customStyle="1" w:styleId="63">
    <w:name w:val="日期 字符"/>
    <w:link w:val="21"/>
    <w:qFormat/>
    <w:uiPriority w:val="0"/>
    <w:rPr>
      <w:kern w:val="2"/>
      <w:sz w:val="21"/>
      <w:szCs w:val="24"/>
    </w:rPr>
  </w:style>
  <w:style w:type="character" w:customStyle="1" w:styleId="64">
    <w:name w:val="正文文本缩进 2 字符"/>
    <w:link w:val="22"/>
    <w:qFormat/>
    <w:uiPriority w:val="0"/>
    <w:rPr>
      <w:kern w:val="2"/>
      <w:sz w:val="21"/>
      <w:szCs w:val="24"/>
    </w:rPr>
  </w:style>
  <w:style w:type="character" w:customStyle="1" w:styleId="65">
    <w:name w:val="批注框文本 字符"/>
    <w:link w:val="23"/>
    <w:qFormat/>
    <w:uiPriority w:val="0"/>
    <w:rPr>
      <w:kern w:val="2"/>
      <w:sz w:val="18"/>
      <w:szCs w:val="18"/>
    </w:rPr>
  </w:style>
  <w:style w:type="character" w:customStyle="1" w:styleId="66">
    <w:name w:val="页脚 字符1"/>
    <w:link w:val="24"/>
    <w:qFormat/>
    <w:uiPriority w:val="99"/>
    <w:rPr>
      <w:rFonts w:ascii="宋体"/>
      <w:kern w:val="2"/>
      <w:sz w:val="18"/>
    </w:rPr>
  </w:style>
  <w:style w:type="character" w:customStyle="1" w:styleId="67">
    <w:name w:val="页眉 字符"/>
    <w:link w:val="25"/>
    <w:qFormat/>
    <w:uiPriority w:val="99"/>
    <w:rPr>
      <w:kern w:val="2"/>
      <w:sz w:val="18"/>
      <w:szCs w:val="18"/>
    </w:rPr>
  </w:style>
  <w:style w:type="character" w:customStyle="1" w:styleId="68">
    <w:name w:val="副标题 字符"/>
    <w:link w:val="28"/>
    <w:qFormat/>
    <w:uiPriority w:val="0"/>
    <w:rPr>
      <w:rFonts w:ascii="Century Gothic" w:hAnsi="Century Gothic" w:cs="Century Gothic"/>
      <w:kern w:val="28"/>
      <w:sz w:val="21"/>
      <w:szCs w:val="21"/>
    </w:rPr>
  </w:style>
  <w:style w:type="character" w:customStyle="1" w:styleId="69">
    <w:name w:val="脚注文本 字符"/>
    <w:link w:val="29"/>
    <w:semiHidden/>
    <w:qFormat/>
    <w:uiPriority w:val="0"/>
    <w:rPr>
      <w:rFonts w:ascii="Times New Roman" w:hAnsi="Times New Roman"/>
      <w:lang w:val="de-DE"/>
    </w:rPr>
  </w:style>
  <w:style w:type="character" w:customStyle="1" w:styleId="70">
    <w:name w:val="正文文本 2 字符1"/>
    <w:link w:val="34"/>
    <w:qFormat/>
    <w:uiPriority w:val="0"/>
    <w:rPr>
      <w:rFonts w:ascii="宋体"/>
      <w:kern w:val="2"/>
      <w:sz w:val="13"/>
    </w:rPr>
  </w:style>
  <w:style w:type="character" w:customStyle="1" w:styleId="71">
    <w:name w:val="标题 字符"/>
    <w:link w:val="38"/>
    <w:qFormat/>
    <w:uiPriority w:val="0"/>
    <w:rPr>
      <w:rFonts w:ascii="Cambria" w:hAnsi="Cambria" w:cs="黑体"/>
      <w:b/>
      <w:bCs/>
      <w:sz w:val="32"/>
      <w:szCs w:val="32"/>
    </w:rPr>
  </w:style>
  <w:style w:type="character" w:customStyle="1" w:styleId="72">
    <w:name w:val="批注主题 字符"/>
    <w:link w:val="39"/>
    <w:qFormat/>
    <w:uiPriority w:val="0"/>
    <w:rPr>
      <w:b/>
      <w:bCs/>
      <w:kern w:val="2"/>
      <w:sz w:val="21"/>
      <w:szCs w:val="24"/>
    </w:rPr>
  </w:style>
  <w:style w:type="character" w:customStyle="1" w:styleId="73">
    <w:name w:val="font91"/>
    <w:qFormat/>
    <w:uiPriority w:val="0"/>
    <w:rPr>
      <w:rFonts w:hint="eastAsia" w:ascii="华文楷体" w:eastAsia="华文楷体"/>
      <w:color w:val="000000"/>
      <w:sz w:val="20"/>
      <w:szCs w:val="20"/>
      <w:u w:val="none"/>
    </w:rPr>
  </w:style>
  <w:style w:type="character" w:customStyle="1" w:styleId="74">
    <w:name w:val="font121"/>
    <w:qFormat/>
    <w:uiPriority w:val="0"/>
    <w:rPr>
      <w:rFonts w:hint="default" w:ascii="Arial" w:hAnsi="Arial" w:cs="Arial"/>
      <w:color w:val="000000"/>
      <w:sz w:val="18"/>
      <w:szCs w:val="18"/>
      <w:u w:val="none"/>
    </w:rPr>
  </w:style>
  <w:style w:type="character" w:customStyle="1" w:styleId="75">
    <w:name w:val="Anrede1IhrZeichen"/>
    <w:qFormat/>
    <w:uiPriority w:val="0"/>
    <w:rPr>
      <w:rFonts w:ascii="Arial" w:hAnsi="Arial"/>
      <w:sz w:val="20"/>
    </w:rPr>
  </w:style>
  <w:style w:type="character" w:customStyle="1" w:styleId="76">
    <w:name w:val="样式4 Char"/>
    <w:link w:val="77"/>
    <w:qFormat/>
    <w:uiPriority w:val="0"/>
    <w:rPr>
      <w:bCs/>
      <w:kern w:val="2"/>
      <w:sz w:val="18"/>
      <w:szCs w:val="18"/>
    </w:rPr>
  </w:style>
  <w:style w:type="paragraph" w:customStyle="1" w:styleId="77">
    <w:name w:val="样式4"/>
    <w:basedOn w:val="25"/>
    <w:link w:val="76"/>
    <w:qFormat/>
    <w:uiPriority w:val="0"/>
    <w:pPr>
      <w:pBdr>
        <w:bottom w:val="thickThinSmallGap" w:color="auto" w:sz="12" w:space="1"/>
      </w:pBdr>
      <w:jc w:val="both"/>
    </w:pPr>
    <w:rPr>
      <w:bCs/>
    </w:rPr>
  </w:style>
  <w:style w:type="character" w:customStyle="1" w:styleId="78">
    <w:name w:val="标题 3 Char2"/>
    <w:qFormat/>
    <w:uiPriority w:val="0"/>
    <w:rPr>
      <w:rFonts w:eastAsia="黑体"/>
      <w:b/>
      <w:sz w:val="28"/>
    </w:rPr>
  </w:style>
  <w:style w:type="character" w:customStyle="1" w:styleId="79">
    <w:name w:val="font01"/>
    <w:qFormat/>
    <w:uiPriority w:val="0"/>
    <w:rPr>
      <w:rFonts w:hint="eastAsia" w:ascii="宋体" w:hAnsi="宋体" w:eastAsia="宋体"/>
      <w:color w:val="000000"/>
      <w:sz w:val="20"/>
      <w:szCs w:val="20"/>
      <w:u w:val="none"/>
    </w:rPr>
  </w:style>
  <w:style w:type="character" w:customStyle="1" w:styleId="80">
    <w:name w:val="样式7 Char"/>
    <w:link w:val="81"/>
    <w:qFormat/>
    <w:uiPriority w:val="0"/>
    <w:rPr>
      <w:kern w:val="2"/>
      <w:sz w:val="18"/>
      <w:szCs w:val="18"/>
    </w:rPr>
  </w:style>
  <w:style w:type="paragraph" w:customStyle="1" w:styleId="81">
    <w:name w:val="样式7"/>
    <w:basedOn w:val="25"/>
    <w:link w:val="80"/>
    <w:qFormat/>
    <w:uiPriority w:val="0"/>
    <w:pPr>
      <w:pBdr>
        <w:top w:val="single" w:color="auto" w:sz="6" w:space="1"/>
        <w:left w:val="single" w:color="auto" w:sz="6" w:space="4"/>
        <w:bottom w:val="thickThinSmallGap" w:color="auto" w:sz="12" w:space="1"/>
        <w:right w:val="single" w:color="auto" w:sz="6" w:space="4"/>
      </w:pBdr>
    </w:pPr>
  </w:style>
  <w:style w:type="character" w:customStyle="1" w:styleId="82">
    <w:name w:val="样式8 Char"/>
    <w:link w:val="83"/>
    <w:qFormat/>
    <w:uiPriority w:val="0"/>
    <w:rPr>
      <w:kern w:val="2"/>
      <w:sz w:val="18"/>
      <w:szCs w:val="18"/>
    </w:rPr>
  </w:style>
  <w:style w:type="paragraph" w:customStyle="1" w:styleId="83">
    <w:name w:val="样式8"/>
    <w:basedOn w:val="81"/>
    <w:link w:val="82"/>
    <w:qFormat/>
    <w:uiPriority w:val="0"/>
    <w:pPr>
      <w:pBdr>
        <w:top w:val="none" w:color="auto" w:sz="0" w:space="0"/>
        <w:left w:val="none" w:color="auto" w:sz="0" w:space="0"/>
        <w:right w:val="none" w:color="auto" w:sz="0" w:space="0"/>
      </w:pBdr>
    </w:pPr>
  </w:style>
  <w:style w:type="character" w:customStyle="1" w:styleId="84">
    <w:name w:val="副标题 Char1"/>
    <w:qFormat/>
    <w:uiPriority w:val="0"/>
    <w:rPr>
      <w:rFonts w:ascii="Cambria" w:hAnsi="Cambria" w:cs="Times New Roman"/>
      <w:b/>
      <w:bCs/>
      <w:kern w:val="28"/>
      <w:sz w:val="32"/>
      <w:szCs w:val="32"/>
    </w:rPr>
  </w:style>
  <w:style w:type="character" w:customStyle="1" w:styleId="85">
    <w:name w:val="font61"/>
    <w:qFormat/>
    <w:uiPriority w:val="0"/>
    <w:rPr>
      <w:rFonts w:hint="default" w:ascii="宋体" w:hAnsi="宋体"/>
      <w:color w:val="000000"/>
      <w:sz w:val="18"/>
      <w:szCs w:val="18"/>
      <w:u w:val="none"/>
    </w:rPr>
  </w:style>
  <w:style w:type="character" w:customStyle="1" w:styleId="86">
    <w:name w:val="_Style 265"/>
    <w:qFormat/>
    <w:uiPriority w:val="0"/>
    <w:rPr>
      <w:rFonts w:eastAsia="仿宋_GB2312"/>
      <w:iCs/>
      <w:color w:val="auto"/>
      <w:sz w:val="24"/>
    </w:rPr>
  </w:style>
  <w:style w:type="character" w:customStyle="1" w:styleId="87">
    <w:name w:val="脚注文本 字符1"/>
    <w:semiHidden/>
    <w:qFormat/>
    <w:uiPriority w:val="0"/>
    <w:rPr>
      <w:kern w:val="2"/>
      <w:sz w:val="18"/>
      <w:szCs w:val="18"/>
    </w:rPr>
  </w:style>
  <w:style w:type="character" w:customStyle="1" w:styleId="88">
    <w:name w:val="纯文本 字符"/>
    <w:qFormat/>
    <w:uiPriority w:val="0"/>
    <w:rPr>
      <w:rFonts w:ascii="宋体"/>
      <w:kern w:val="2"/>
      <w:sz w:val="21"/>
    </w:rPr>
  </w:style>
  <w:style w:type="character" w:customStyle="1" w:styleId="89">
    <w:name w:val="_Style 273"/>
    <w:qFormat/>
    <w:uiPriority w:val="32"/>
    <w:rPr>
      <w:b/>
      <w:bCs/>
      <w:smallCaps/>
      <w:color w:val="C0504D"/>
      <w:spacing w:val="5"/>
      <w:u w:val="single"/>
    </w:rPr>
  </w:style>
  <w:style w:type="character" w:customStyle="1" w:styleId="90">
    <w:name w:val="px12h161"/>
    <w:qFormat/>
    <w:uiPriority w:val="0"/>
    <w:rPr>
      <w:sz w:val="14"/>
      <w:szCs w:val="14"/>
    </w:rPr>
  </w:style>
  <w:style w:type="character" w:customStyle="1" w:styleId="91">
    <w:name w:val="页脚 字符"/>
    <w:qFormat/>
    <w:uiPriority w:val="99"/>
    <w:rPr>
      <w:kern w:val="2"/>
      <w:sz w:val="18"/>
      <w:szCs w:val="18"/>
    </w:rPr>
  </w:style>
  <w:style w:type="character" w:customStyle="1" w:styleId="92">
    <w:name w:val="样式3 Char Char"/>
    <w:qFormat/>
    <w:uiPriority w:val="0"/>
    <w:rPr>
      <w:rFonts w:ascii="Century Gothic" w:hAnsi="Century Gothic" w:eastAsia="宋体"/>
      <w:kern w:val="2"/>
      <w:sz w:val="21"/>
      <w:szCs w:val="21"/>
      <w:lang w:val="en-US" w:eastAsia="zh-CN" w:bidi="ar-SA"/>
    </w:rPr>
  </w:style>
  <w:style w:type="character" w:customStyle="1" w:styleId="93">
    <w:name w:val="font112"/>
    <w:qFormat/>
    <w:uiPriority w:val="0"/>
    <w:rPr>
      <w:rFonts w:ascii="Wingdings" w:hAnsi="Wingdings" w:cs="Wingdings"/>
      <w:color w:val="000000"/>
      <w:sz w:val="18"/>
      <w:szCs w:val="18"/>
      <w:u w:val="none"/>
    </w:rPr>
  </w:style>
  <w:style w:type="character" w:customStyle="1" w:styleId="94">
    <w:name w:val="样式5 Char"/>
    <w:link w:val="95"/>
    <w:qFormat/>
    <w:uiPriority w:val="0"/>
    <w:rPr>
      <w:rFonts w:ascii="宋体"/>
      <w:kern w:val="2"/>
      <w:sz w:val="21"/>
      <w:u w:val="single"/>
    </w:rPr>
  </w:style>
  <w:style w:type="paragraph" w:customStyle="1" w:styleId="95">
    <w:name w:val="样式5"/>
    <w:basedOn w:val="19"/>
    <w:link w:val="94"/>
    <w:qFormat/>
    <w:uiPriority w:val="0"/>
    <w:pPr>
      <w:pBdr>
        <w:bottom w:val="thickThinSmallGap" w:color="auto" w:sz="12" w:space="1"/>
      </w:pBdr>
      <w:tabs>
        <w:tab w:val="center" w:pos="4535"/>
      </w:tabs>
      <w:jc w:val="center"/>
    </w:pPr>
    <w:rPr>
      <w:u w:val="single"/>
    </w:rPr>
  </w:style>
  <w:style w:type="character" w:customStyle="1" w:styleId="96">
    <w:name w:val="font41"/>
    <w:qFormat/>
    <w:uiPriority w:val="0"/>
    <w:rPr>
      <w:rFonts w:hint="default" w:ascii="Times New Roman" w:hAnsi="Times New Roman" w:cs="Times New Roman"/>
      <w:b/>
      <w:bCs/>
      <w:color w:val="000000"/>
      <w:sz w:val="20"/>
      <w:szCs w:val="20"/>
      <w:u w:val="none"/>
    </w:rPr>
  </w:style>
  <w:style w:type="character" w:customStyle="1" w:styleId="97">
    <w:name w:val="font81"/>
    <w:qFormat/>
    <w:uiPriority w:val="0"/>
    <w:rPr>
      <w:rFonts w:hint="default" w:ascii="宋体" w:hAnsi="宋体"/>
      <w:color w:val="000000"/>
      <w:sz w:val="24"/>
      <w:szCs w:val="24"/>
      <w:u w:val="none"/>
    </w:rPr>
  </w:style>
  <w:style w:type="character" w:customStyle="1" w:styleId="98">
    <w:name w:val="font151"/>
    <w:qFormat/>
    <w:uiPriority w:val="0"/>
    <w:rPr>
      <w:rFonts w:ascii="Calibri" w:hAnsi="Calibri" w:cs="Calibri"/>
      <w:color w:val="000000"/>
      <w:sz w:val="18"/>
      <w:szCs w:val="18"/>
      <w:u w:val="none"/>
    </w:rPr>
  </w:style>
  <w:style w:type="character" w:customStyle="1" w:styleId="99">
    <w:name w:val="正文文本 3 字符"/>
    <w:qFormat/>
    <w:uiPriority w:val="0"/>
    <w:rPr>
      <w:kern w:val="2"/>
      <w:sz w:val="16"/>
      <w:szCs w:val="16"/>
    </w:rPr>
  </w:style>
  <w:style w:type="character" w:customStyle="1" w:styleId="100">
    <w:name w:val="样式3 Char"/>
    <w:link w:val="101"/>
    <w:qFormat/>
    <w:uiPriority w:val="0"/>
    <w:rPr>
      <w:rFonts w:ascii="黑体" w:hAnsi="黑体" w:eastAsia="黑体"/>
      <w:bCs/>
      <w:kern w:val="2"/>
      <w:sz w:val="18"/>
      <w:szCs w:val="18"/>
    </w:rPr>
  </w:style>
  <w:style w:type="paragraph" w:customStyle="1" w:styleId="101">
    <w:name w:val="样式3"/>
    <w:basedOn w:val="25"/>
    <w:link w:val="100"/>
    <w:qFormat/>
    <w:uiPriority w:val="0"/>
    <w:pPr>
      <w:pBdr>
        <w:bottom w:val="thickThinSmallGap" w:color="auto" w:sz="12" w:space="1"/>
      </w:pBdr>
      <w:jc w:val="left"/>
    </w:pPr>
    <w:rPr>
      <w:rFonts w:ascii="黑体" w:hAnsi="黑体" w:eastAsia="黑体"/>
      <w:bCs/>
    </w:rPr>
  </w:style>
  <w:style w:type="character" w:customStyle="1" w:styleId="102">
    <w:name w:val="dy_biao_content1"/>
    <w:qFormat/>
    <w:uiPriority w:val="0"/>
    <w:rPr>
      <w:rFonts w:hint="eastAsia" w:ascii="宋体" w:hAnsi="宋体" w:eastAsia="宋体"/>
      <w:sz w:val="24"/>
      <w:szCs w:val="24"/>
    </w:rPr>
  </w:style>
  <w:style w:type="character" w:customStyle="1" w:styleId="103">
    <w:name w:val="font21"/>
    <w:qFormat/>
    <w:uiPriority w:val="0"/>
    <w:rPr>
      <w:rFonts w:hint="default" w:ascii="Times New Roman" w:hAnsi="Times New Roman" w:cs="Times New Roman"/>
      <w:color w:val="000000"/>
      <w:sz w:val="20"/>
      <w:szCs w:val="20"/>
      <w:u w:val="none"/>
    </w:rPr>
  </w:style>
  <w:style w:type="character" w:customStyle="1" w:styleId="104">
    <w:name w:val="Char Char2"/>
    <w:qFormat/>
    <w:uiPriority w:val="0"/>
    <w:rPr>
      <w:rFonts w:eastAsia="宋体"/>
      <w:kern w:val="2"/>
      <w:sz w:val="18"/>
      <w:szCs w:val="18"/>
      <w:lang w:val="en-US" w:eastAsia="zh-CN" w:bidi="ar-SA"/>
    </w:rPr>
  </w:style>
  <w:style w:type="character" w:customStyle="1" w:styleId="105">
    <w:name w:val="font31"/>
    <w:qFormat/>
    <w:uiPriority w:val="0"/>
    <w:rPr>
      <w:rFonts w:hint="eastAsia" w:ascii="宋体" w:hAnsi="宋体" w:eastAsia="宋体" w:cs="宋体"/>
      <w:color w:val="000000"/>
      <w:sz w:val="18"/>
      <w:szCs w:val="18"/>
      <w:u w:val="none"/>
    </w:rPr>
  </w:style>
  <w:style w:type="character" w:customStyle="1" w:styleId="106">
    <w:name w:val="标题 Char1"/>
    <w:qFormat/>
    <w:uiPriority w:val="0"/>
    <w:rPr>
      <w:rFonts w:ascii="Calibri Light" w:hAnsi="Calibri Light" w:cs="Times New Roman"/>
      <w:b/>
      <w:bCs/>
      <w:kern w:val="2"/>
      <w:sz w:val="32"/>
      <w:szCs w:val="32"/>
    </w:rPr>
  </w:style>
  <w:style w:type="character" w:customStyle="1" w:styleId="107">
    <w:name w:val="标题 3 Char1"/>
    <w:qFormat/>
    <w:uiPriority w:val="0"/>
    <w:rPr>
      <w:rFonts w:eastAsia="宋体"/>
      <w:b/>
      <w:bCs/>
      <w:kern w:val="2"/>
      <w:sz w:val="32"/>
      <w:szCs w:val="32"/>
      <w:lang w:val="en-US" w:eastAsia="zh-CN" w:bidi="ar-SA"/>
    </w:rPr>
  </w:style>
  <w:style w:type="character" w:customStyle="1" w:styleId="108">
    <w:name w:val="纯文本 字符1"/>
    <w:qFormat/>
    <w:uiPriority w:val="0"/>
    <w:rPr>
      <w:rFonts w:ascii="宋体" w:eastAsia="宋体"/>
      <w:kern w:val="2"/>
      <w:sz w:val="21"/>
      <w:lang w:val="en-US" w:eastAsia="zh-CN" w:bidi="ar-SA"/>
    </w:rPr>
  </w:style>
  <w:style w:type="character" w:customStyle="1" w:styleId="109">
    <w:name w:val="grame"/>
    <w:qFormat/>
    <w:uiPriority w:val="0"/>
  </w:style>
  <w:style w:type="character" w:customStyle="1" w:styleId="110">
    <w:name w:val="列出段落 字符"/>
    <w:qFormat/>
    <w:uiPriority w:val="0"/>
    <w:rPr>
      <w:rFonts w:ascii="Times New Roman" w:hAnsi="Times New Roman" w:eastAsia="宋体" w:cs="Times New Roman"/>
      <w:kern w:val="2"/>
      <w:sz w:val="21"/>
      <w:szCs w:val="24"/>
    </w:rPr>
  </w:style>
  <w:style w:type="character" w:customStyle="1" w:styleId="111">
    <w:name w:val="未处理的提及1"/>
    <w:unhideWhenUsed/>
    <w:qFormat/>
    <w:uiPriority w:val="99"/>
    <w:rPr>
      <w:color w:val="605E5C"/>
      <w:shd w:val="clear" w:color="auto" w:fill="E1DFDD"/>
    </w:rPr>
  </w:style>
  <w:style w:type="character" w:customStyle="1" w:styleId="112">
    <w:name w:val="font51"/>
    <w:qFormat/>
    <w:uiPriority w:val="0"/>
    <w:rPr>
      <w:rFonts w:hint="eastAsia" w:ascii="宋体" w:hAnsi="宋体" w:eastAsia="宋体"/>
      <w:b/>
      <w:bCs/>
      <w:color w:val="000000"/>
      <w:sz w:val="20"/>
      <w:szCs w:val="20"/>
      <w:u w:val="none"/>
    </w:rPr>
  </w:style>
  <w:style w:type="character" w:customStyle="1" w:styleId="113">
    <w:name w:val="承康医疗 Char"/>
    <w:link w:val="114"/>
    <w:qFormat/>
    <w:uiPriority w:val="0"/>
    <w:rPr>
      <w:rFonts w:ascii="微软雅黑" w:hAnsi="微软雅黑" w:eastAsia="微软雅黑"/>
      <w:sz w:val="21"/>
      <w:szCs w:val="21"/>
    </w:rPr>
  </w:style>
  <w:style w:type="paragraph" w:customStyle="1" w:styleId="114">
    <w:name w:val="承康医疗"/>
    <w:basedOn w:val="1"/>
    <w:link w:val="113"/>
    <w:qFormat/>
    <w:uiPriority w:val="0"/>
    <w:pPr>
      <w:widowControl/>
      <w:jc w:val="left"/>
    </w:pPr>
    <w:rPr>
      <w:rFonts w:ascii="微软雅黑" w:hAnsi="微软雅黑" w:eastAsia="微软雅黑"/>
      <w:kern w:val="0"/>
      <w:szCs w:val="21"/>
    </w:rPr>
  </w:style>
  <w:style w:type="character" w:customStyle="1" w:styleId="115">
    <w:name w:val="正文文本 2 字符"/>
    <w:qFormat/>
    <w:uiPriority w:val="0"/>
    <w:rPr>
      <w:kern w:val="2"/>
      <w:sz w:val="21"/>
      <w:szCs w:val="24"/>
    </w:rPr>
  </w:style>
  <w:style w:type="character" w:customStyle="1" w:styleId="116">
    <w:name w:val="font141"/>
    <w:qFormat/>
    <w:uiPriority w:val="0"/>
    <w:rPr>
      <w:rFonts w:ascii="Cambria Math" w:hAnsi="Cambria Math" w:eastAsia="Cambria Math" w:cs="Cambria Math"/>
      <w:color w:val="000000"/>
      <w:sz w:val="18"/>
      <w:szCs w:val="18"/>
      <w:u w:val="none"/>
    </w:rPr>
  </w:style>
  <w:style w:type="character" w:customStyle="1" w:styleId="117">
    <w:name w:val="Char Char"/>
    <w:qFormat/>
    <w:uiPriority w:val="0"/>
    <w:rPr>
      <w:rFonts w:ascii="Century Gothic" w:hAnsi="Century Gothic"/>
      <w:bCs/>
      <w:kern w:val="28"/>
      <w:sz w:val="21"/>
      <w:szCs w:val="32"/>
    </w:rPr>
  </w:style>
  <w:style w:type="character" w:customStyle="1" w:styleId="118">
    <w:name w:val="不明显参考1"/>
    <w:qFormat/>
    <w:uiPriority w:val="31"/>
    <w:rPr>
      <w:smallCaps/>
      <w:color w:val="5A5A5A"/>
    </w:rPr>
  </w:style>
  <w:style w:type="character" w:customStyle="1" w:styleId="119">
    <w:name w:val="列表段落 字符"/>
    <w:link w:val="120"/>
    <w:qFormat/>
    <w:uiPriority w:val="34"/>
    <w:rPr>
      <w:kern w:val="2"/>
      <w:sz w:val="21"/>
      <w:szCs w:val="21"/>
    </w:rPr>
  </w:style>
  <w:style w:type="paragraph" w:styleId="120">
    <w:name w:val="List Paragraph"/>
    <w:basedOn w:val="1"/>
    <w:link w:val="119"/>
    <w:qFormat/>
    <w:uiPriority w:val="34"/>
    <w:pPr>
      <w:ind w:firstLine="420" w:firstLineChars="200"/>
    </w:pPr>
    <w:rPr>
      <w:szCs w:val="21"/>
    </w:rPr>
  </w:style>
  <w:style w:type="character" w:customStyle="1" w:styleId="121">
    <w:name w:val="样式6 Char"/>
    <w:link w:val="122"/>
    <w:qFormat/>
    <w:uiPriority w:val="0"/>
    <w:rPr>
      <w:kern w:val="2"/>
      <w:sz w:val="18"/>
      <w:szCs w:val="18"/>
    </w:rPr>
  </w:style>
  <w:style w:type="paragraph" w:customStyle="1" w:styleId="122">
    <w:name w:val="样式6"/>
    <w:basedOn w:val="25"/>
    <w:link w:val="121"/>
    <w:qFormat/>
    <w:uiPriority w:val="0"/>
    <w:pPr>
      <w:pBdr>
        <w:bottom w:val="thickThinSmallGap" w:color="auto" w:sz="12" w:space="1"/>
      </w:pBdr>
      <w:jc w:val="both"/>
    </w:pPr>
  </w:style>
  <w:style w:type="character" w:customStyle="1" w:styleId="123">
    <w:name w:val="标题 5 字符"/>
    <w:semiHidden/>
    <w:qFormat/>
    <w:uiPriority w:val="0"/>
    <w:rPr>
      <w:b/>
      <w:bCs/>
      <w:kern w:val="2"/>
      <w:sz w:val="28"/>
      <w:szCs w:val="28"/>
    </w:rPr>
  </w:style>
  <w:style w:type="character" w:customStyle="1" w:styleId="124">
    <w:name w:val="font71"/>
    <w:qFormat/>
    <w:uiPriority w:val="0"/>
    <w:rPr>
      <w:rFonts w:hint="eastAsia" w:ascii="宋体" w:hAnsi="宋体" w:eastAsia="宋体"/>
      <w:b/>
      <w:bCs/>
      <w:color w:val="000000"/>
      <w:sz w:val="24"/>
      <w:szCs w:val="24"/>
      <w:u w:val="none"/>
    </w:rPr>
  </w:style>
  <w:style w:type="character" w:customStyle="1" w:styleId="125">
    <w:name w:val="普通文字1 Char1"/>
    <w:qFormat/>
    <w:uiPriority w:val="0"/>
    <w:rPr>
      <w:rFonts w:ascii="宋体" w:eastAsia="宋体"/>
      <w:kern w:val="2"/>
      <w:sz w:val="21"/>
      <w:lang w:val="en-US" w:eastAsia="zh-CN" w:bidi="ar-SA"/>
    </w:rPr>
  </w:style>
  <w:style w:type="character" w:customStyle="1" w:styleId="126">
    <w:name w:val="未处理的提及2"/>
    <w:unhideWhenUsed/>
    <w:qFormat/>
    <w:uiPriority w:val="99"/>
    <w:rPr>
      <w:color w:val="605E5C"/>
      <w:shd w:val="clear" w:color="auto" w:fill="E1DFDD"/>
    </w:rPr>
  </w:style>
  <w:style w:type="character" w:customStyle="1" w:styleId="127">
    <w:name w:val="纯文本 字符4"/>
    <w:qFormat/>
    <w:uiPriority w:val="0"/>
    <w:rPr>
      <w:rFonts w:ascii="宋体"/>
      <w:kern w:val="2"/>
      <w:sz w:val="21"/>
    </w:rPr>
  </w:style>
  <w:style w:type="character" w:customStyle="1" w:styleId="128">
    <w:name w:val="font131"/>
    <w:qFormat/>
    <w:uiPriority w:val="0"/>
    <w:rPr>
      <w:rFonts w:ascii="Tahoma" w:hAnsi="Tahoma" w:eastAsia="Tahoma" w:cs="Tahoma"/>
      <w:color w:val="000000"/>
      <w:sz w:val="18"/>
      <w:szCs w:val="18"/>
      <w:u w:val="none"/>
    </w:rPr>
  </w:style>
  <w:style w:type="character" w:customStyle="1" w:styleId="129">
    <w:name w:val="Date Char Char"/>
    <w:link w:val="130"/>
    <w:qFormat/>
    <w:uiPriority w:val="0"/>
    <w:rPr>
      <w:kern w:val="2"/>
      <w:sz w:val="21"/>
    </w:rPr>
  </w:style>
  <w:style w:type="paragraph" w:customStyle="1" w:styleId="130">
    <w:name w:val="日期1"/>
    <w:basedOn w:val="1"/>
    <w:next w:val="1"/>
    <w:link w:val="129"/>
    <w:qFormat/>
    <w:uiPriority w:val="0"/>
    <w:rPr>
      <w:szCs w:val="20"/>
    </w:rPr>
  </w:style>
  <w:style w:type="character" w:customStyle="1" w:styleId="131">
    <w:name w:val="纯文本 Char1"/>
    <w:qFormat/>
    <w:uiPriority w:val="0"/>
    <w:rPr>
      <w:rFonts w:ascii="宋体" w:eastAsia="宋体"/>
      <w:kern w:val="2"/>
      <w:sz w:val="21"/>
      <w:lang w:val="en-US" w:eastAsia="zh-CN" w:bidi="ar-SA"/>
    </w:rPr>
  </w:style>
  <w:style w:type="character" w:customStyle="1" w:styleId="132">
    <w:name w:val="纯文本 Char2"/>
    <w:qFormat/>
    <w:uiPriority w:val="0"/>
    <w:rPr>
      <w:rFonts w:ascii="宋体" w:hAnsi="Times New Roman" w:eastAsia="宋体" w:cs="Times New Roman"/>
      <w:kern w:val="2"/>
      <w:sz w:val="21"/>
      <w:lang w:val="en-US" w:eastAsia="zh-CN" w:bidi="ar-SA"/>
    </w:rPr>
  </w:style>
  <w:style w:type="paragraph" w:customStyle="1" w:styleId="133">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4">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5">
    <w:name w:val="普通(网站) New"/>
    <w:basedOn w:val="136"/>
    <w:qFormat/>
    <w:uiPriority w:val="0"/>
    <w:pPr>
      <w:widowControl/>
      <w:spacing w:before="100" w:beforeAutospacing="1" w:after="100" w:afterAutospacing="1"/>
      <w:jc w:val="left"/>
    </w:pPr>
    <w:rPr>
      <w:kern w:val="0"/>
      <w:sz w:val="24"/>
      <w:szCs w:val="24"/>
    </w:rPr>
  </w:style>
  <w:style w:type="paragraph" w:customStyle="1" w:styleId="136">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7">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138">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39">
    <w:name w:val="样式1"/>
    <w:basedOn w:val="6"/>
    <w:qFormat/>
    <w:uiPriority w:val="0"/>
    <w:pPr>
      <w:tabs>
        <w:tab w:val="left" w:pos="360"/>
      </w:tabs>
    </w:pPr>
  </w:style>
  <w:style w:type="paragraph" w:customStyle="1" w:styleId="140">
    <w:name w:val="缺省文本"/>
    <w:basedOn w:val="1"/>
    <w:qFormat/>
    <w:uiPriority w:val="0"/>
    <w:pPr>
      <w:autoSpaceDE w:val="0"/>
      <w:autoSpaceDN w:val="0"/>
      <w:adjustRightInd w:val="0"/>
      <w:jc w:val="left"/>
    </w:pPr>
    <w:rPr>
      <w:kern w:val="0"/>
      <w:sz w:val="24"/>
      <w:szCs w:val="20"/>
    </w:rPr>
  </w:style>
  <w:style w:type="paragraph" w:customStyle="1" w:styleId="14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42">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43">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4">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4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46">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147">
    <w:name w:val="说明"/>
    <w:basedOn w:val="1"/>
    <w:qFormat/>
    <w:uiPriority w:val="0"/>
    <w:pPr>
      <w:ind w:left="1" w:leftChars="-52" w:hanging="110" w:hangingChars="61"/>
      <w:jc w:val="center"/>
    </w:pPr>
    <w:rPr>
      <w:szCs w:val="20"/>
    </w:rPr>
  </w:style>
  <w:style w:type="paragraph" w:customStyle="1" w:styleId="14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styleId="149">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150">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51">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152">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3">
    <w:name w:val="列出段落1"/>
    <w:basedOn w:val="1"/>
    <w:qFormat/>
    <w:uiPriority w:val="34"/>
    <w:pPr>
      <w:ind w:firstLine="420" w:firstLineChars="200"/>
    </w:pPr>
    <w:rPr>
      <w:szCs w:val="20"/>
    </w:rPr>
  </w:style>
  <w:style w:type="paragraph" w:customStyle="1" w:styleId="154">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55">
    <w:name w:val="正文五号"/>
    <w:basedOn w:val="1"/>
    <w:qFormat/>
    <w:uiPriority w:val="0"/>
    <w:rPr>
      <w:rFonts w:hint="eastAsia" w:eastAsia="仿宋_GB2312"/>
      <w:szCs w:val="20"/>
    </w:rPr>
  </w:style>
  <w:style w:type="paragraph" w:customStyle="1" w:styleId="156">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1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158">
    <w:name w:val="Char"/>
    <w:basedOn w:val="1"/>
    <w:qFormat/>
    <w:uiPriority w:val="0"/>
    <w:rPr>
      <w:rFonts w:ascii="Tahoma" w:hAnsi="Tahoma"/>
      <w:sz w:val="24"/>
      <w:szCs w:val="20"/>
    </w:rPr>
  </w:style>
  <w:style w:type="paragraph" w:customStyle="1" w:styleId="159">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160">
    <w:name w:val="Char Char Char Char Char Char Char Char Char Char"/>
    <w:basedOn w:val="1"/>
    <w:qFormat/>
    <w:uiPriority w:val="0"/>
    <w:pPr>
      <w:tabs>
        <w:tab w:val="left" w:pos="360"/>
      </w:tabs>
      <w:ind w:left="360" w:hanging="360" w:hangingChars="200"/>
    </w:pPr>
    <w:rPr>
      <w:szCs w:val="20"/>
    </w:rPr>
  </w:style>
  <w:style w:type="paragraph" w:customStyle="1" w:styleId="161">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62">
    <w:name w:val="Char Char Char Char Char Char"/>
    <w:basedOn w:val="1"/>
    <w:qFormat/>
    <w:uiPriority w:val="0"/>
    <w:rPr>
      <w:rFonts w:ascii="Tahoma" w:hAnsi="Tahoma"/>
      <w:sz w:val="24"/>
      <w:szCs w:val="20"/>
    </w:rPr>
  </w:style>
  <w:style w:type="paragraph" w:customStyle="1" w:styleId="163">
    <w:name w:val="H-TextFormat"/>
    <w:qFormat/>
    <w:uiPriority w:val="0"/>
    <w:pPr>
      <w:autoSpaceDE w:val="0"/>
      <w:autoSpaceDN w:val="0"/>
      <w:adjustRightInd w:val="0"/>
    </w:pPr>
    <w:rPr>
      <w:rFonts w:ascii="Arial" w:hAnsi="Arial" w:eastAsia="宋体" w:cs="Arial"/>
      <w:sz w:val="22"/>
      <w:szCs w:val="22"/>
      <w:lang w:val="en-US" w:eastAsia="en-US" w:bidi="ar-SA"/>
    </w:rPr>
  </w:style>
  <w:style w:type="paragraph" w:customStyle="1" w:styleId="164">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165">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6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167">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8">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70">
    <w:name w:val="表格"/>
    <w:basedOn w:val="1"/>
    <w:qFormat/>
    <w:uiPriority w:val="0"/>
    <w:pPr>
      <w:tabs>
        <w:tab w:val="left" w:pos="1200"/>
      </w:tabs>
      <w:spacing w:line="500" w:lineRule="exact"/>
      <w:jc w:val="center"/>
    </w:pPr>
    <w:rPr>
      <w:sz w:val="24"/>
      <w:szCs w:val="18"/>
    </w:rPr>
  </w:style>
  <w:style w:type="paragraph" w:customStyle="1" w:styleId="171">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2">
    <w:name w:val="副标题 New New New"/>
    <w:basedOn w:val="173"/>
    <w:next w:val="173"/>
    <w:qFormat/>
    <w:uiPriority w:val="0"/>
    <w:pPr>
      <w:numPr>
        <w:ilvl w:val="0"/>
        <w:numId w:val="3"/>
      </w:numPr>
      <w:jc w:val="left"/>
      <w:outlineLvl w:val="1"/>
    </w:pPr>
    <w:rPr>
      <w:rFonts w:ascii="Century Gothic" w:hAnsi="Century Gothic"/>
      <w:bCs/>
      <w:kern w:val="28"/>
      <w:szCs w:val="32"/>
    </w:rPr>
  </w:style>
  <w:style w:type="paragraph" w:customStyle="1" w:styleId="173">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175">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6">
    <w:name w:val="TOC 标题1"/>
    <w:basedOn w:val="5"/>
    <w:next w:val="1"/>
    <w:unhideWhenUsed/>
    <w:qFormat/>
    <w:uiPriority w:val="39"/>
    <w:pPr>
      <w:widowControl/>
      <w:numPr>
        <w:numId w:val="0"/>
      </w:numPr>
      <w:tabs>
        <w:tab w:val="clear" w:pos="360"/>
      </w:tabs>
      <w:adjustRightInd/>
      <w:spacing w:before="240" w:line="259" w:lineRule="auto"/>
      <w:jc w:val="left"/>
      <w:textAlignment w:val="auto"/>
      <w:outlineLvl w:val="9"/>
    </w:pPr>
    <w:rPr>
      <w:rFonts w:ascii="Cambria" w:hAnsi="Cambria" w:eastAsia="宋体"/>
      <w:b w:val="0"/>
      <w:color w:val="366091"/>
      <w:kern w:val="0"/>
      <w:sz w:val="32"/>
      <w:szCs w:val="32"/>
    </w:rPr>
  </w:style>
  <w:style w:type="paragraph" w:customStyle="1" w:styleId="177">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178">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7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81">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82">
    <w:name w:val="AbsatzTableFormat"/>
    <w:basedOn w:val="1"/>
    <w:qFormat/>
    <w:uiPriority w:val="0"/>
    <w:pPr>
      <w:widowControl/>
      <w:jc w:val="left"/>
    </w:pPr>
    <w:rPr>
      <w:rFonts w:ascii="Times New Roman" w:hAnsi="Times New Roman"/>
      <w:bCs/>
      <w:kern w:val="0"/>
      <w:sz w:val="22"/>
      <w:szCs w:val="20"/>
      <w:lang w:val="pt-BR" w:eastAsia="en-US"/>
    </w:rPr>
  </w:style>
  <w:style w:type="paragraph" w:customStyle="1" w:styleId="183">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84">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85">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6">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87">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8">
    <w:name w:val="文档正文"/>
    <w:basedOn w:val="1"/>
    <w:qFormat/>
    <w:uiPriority w:val="0"/>
    <w:pPr>
      <w:adjustRightInd w:val="0"/>
      <w:snapToGrid w:val="0"/>
      <w:spacing w:line="360" w:lineRule="auto"/>
      <w:ind w:left="13" w:leftChars="-45" w:hanging="107" w:hangingChars="51"/>
    </w:pPr>
    <w:rPr>
      <w:color w:val="FF0000"/>
      <w:kern w:val="0"/>
      <w:szCs w:val="20"/>
    </w:rPr>
  </w:style>
  <w:style w:type="paragraph" w:customStyle="1" w:styleId="189">
    <w:name w:val="修订1"/>
    <w:semiHidden/>
    <w:qFormat/>
    <w:uiPriority w:val="99"/>
    <w:rPr>
      <w:rFonts w:ascii="宋体" w:hAnsi="宋体" w:eastAsia="宋体" w:cs="Times New Roman"/>
      <w:kern w:val="2"/>
      <w:sz w:val="21"/>
      <w:szCs w:val="24"/>
      <w:lang w:val="en-US" w:eastAsia="zh-CN" w:bidi="ar-SA"/>
    </w:rPr>
  </w:style>
  <w:style w:type="paragraph" w:customStyle="1" w:styleId="19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1">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2">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93">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4">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5">
    <w:name w:val="无间隔11"/>
    <w:basedOn w:val="1"/>
    <w:qFormat/>
    <w:uiPriority w:val="0"/>
    <w:pPr>
      <w:widowControl/>
      <w:jc w:val="left"/>
    </w:pPr>
    <w:rPr>
      <w:kern w:val="0"/>
      <w:sz w:val="22"/>
      <w:szCs w:val="20"/>
      <w:lang w:eastAsia="en-US" w:bidi="en-US"/>
    </w:rPr>
  </w:style>
  <w:style w:type="paragraph" w:customStyle="1" w:styleId="196">
    <w:name w:val="副标题 New"/>
    <w:basedOn w:val="1"/>
    <w:next w:val="1"/>
    <w:qFormat/>
    <w:uiPriority w:val="0"/>
    <w:pPr>
      <w:numPr>
        <w:ilvl w:val="0"/>
        <w:numId w:val="4"/>
      </w:numPr>
      <w:jc w:val="left"/>
      <w:outlineLvl w:val="1"/>
    </w:pPr>
    <w:rPr>
      <w:rFonts w:ascii="Century Gothic" w:hAnsi="Century Gothic" w:cs="Century Gothic"/>
      <w:kern w:val="28"/>
      <w:szCs w:val="21"/>
    </w:rPr>
  </w:style>
  <w:style w:type="paragraph" w:customStyle="1" w:styleId="197">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8">
    <w:name w:val="Char1"/>
    <w:basedOn w:val="1"/>
    <w:qFormat/>
    <w:uiPriority w:val="0"/>
    <w:rPr>
      <w:szCs w:val="20"/>
    </w:rPr>
  </w:style>
  <w:style w:type="paragraph" w:customStyle="1" w:styleId="199">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200">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01">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202">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03">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04">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05">
    <w:name w:val="Char Char Char"/>
    <w:basedOn w:val="1"/>
    <w:qFormat/>
    <w:uiPriority w:val="0"/>
    <w:pPr>
      <w:ind w:firstLine="200" w:firstLineChars="200"/>
    </w:pPr>
    <w:rPr>
      <w:sz w:val="24"/>
    </w:rPr>
  </w:style>
  <w:style w:type="paragraph" w:customStyle="1" w:styleId="20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07">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20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209">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210">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1">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12">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213">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14">
    <w:name w:val="抬头"/>
    <w:basedOn w:val="1"/>
    <w:qFormat/>
    <w:uiPriority w:val="0"/>
    <w:pPr>
      <w:spacing w:beforeLines="50" w:line="360" w:lineRule="auto"/>
    </w:pPr>
    <w:rPr>
      <w:sz w:val="24"/>
    </w:rPr>
  </w:style>
  <w:style w:type="paragraph" w:customStyle="1" w:styleId="215">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6">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217">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18">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9">
    <w:name w:val="Table Paragraph"/>
    <w:basedOn w:val="1"/>
    <w:qFormat/>
    <w:uiPriority w:val="1"/>
    <w:pPr>
      <w:widowControl/>
      <w:spacing w:before="40"/>
      <w:ind w:left="327"/>
      <w:jc w:val="left"/>
    </w:pPr>
    <w:rPr>
      <w:rFonts w:cs="宋体"/>
      <w:kern w:val="0"/>
      <w:sz w:val="24"/>
      <w:szCs w:val="20"/>
      <w:lang w:val="zh-CN" w:bidi="zh-CN"/>
    </w:rPr>
  </w:style>
  <w:style w:type="paragraph" w:customStyle="1" w:styleId="22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21">
    <w:name w:val="Char2 Char Char Char Char Char Char"/>
    <w:basedOn w:val="12"/>
    <w:qFormat/>
    <w:uiPriority w:val="0"/>
    <w:rPr>
      <w:rFonts w:ascii="Tahoma" w:hAnsi="Tahoma"/>
      <w:sz w:val="24"/>
    </w:rPr>
  </w:style>
  <w:style w:type="paragraph" w:customStyle="1" w:styleId="222">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3">
    <w:name w:val="注"/>
    <w:basedOn w:val="1"/>
    <w:qFormat/>
    <w:uiPriority w:val="0"/>
    <w:pPr>
      <w:spacing w:line="360" w:lineRule="auto"/>
      <w:ind w:left="200" w:hanging="200" w:hangingChars="200"/>
    </w:pPr>
    <w:rPr>
      <w:b/>
    </w:rPr>
  </w:style>
  <w:style w:type="paragraph" w:customStyle="1" w:styleId="22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25">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226">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227">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8">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229">
    <w:name w:val="纯文本 New New"/>
    <w:basedOn w:val="227"/>
    <w:qFormat/>
    <w:uiPriority w:val="0"/>
    <w:pPr>
      <w:widowControl/>
      <w:spacing w:before="100" w:beforeAutospacing="1" w:after="100" w:afterAutospacing="1"/>
      <w:jc w:val="left"/>
    </w:pPr>
    <w:rPr>
      <w:rFonts w:cs="宋体"/>
      <w:sz w:val="24"/>
      <w:szCs w:val="24"/>
    </w:rPr>
  </w:style>
  <w:style w:type="paragraph" w:customStyle="1" w:styleId="230">
    <w:name w:val="xl23"/>
    <w:next w:val="33"/>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231">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32">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33">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234">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3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36">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3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38">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39">
    <w:name w:val="p0"/>
    <w:basedOn w:val="1"/>
    <w:qFormat/>
    <w:uiPriority w:val="0"/>
    <w:pPr>
      <w:widowControl/>
    </w:pPr>
    <w:rPr>
      <w:kern w:val="0"/>
      <w:szCs w:val="21"/>
    </w:rPr>
  </w:style>
  <w:style w:type="paragraph" w:customStyle="1" w:styleId="24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41">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24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3">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244">
    <w:name w:val="列出段落11"/>
    <w:basedOn w:val="1"/>
    <w:qFormat/>
    <w:uiPriority w:val="0"/>
    <w:pPr>
      <w:ind w:firstLine="420" w:firstLineChars="200"/>
    </w:pPr>
    <w:rPr>
      <w:szCs w:val="21"/>
    </w:rPr>
  </w:style>
  <w:style w:type="paragraph" w:customStyle="1" w:styleId="245">
    <w:name w:val="清單段落"/>
    <w:basedOn w:val="1"/>
    <w:qFormat/>
    <w:uiPriority w:val="99"/>
    <w:pPr>
      <w:ind w:left="480" w:leftChars="200"/>
    </w:pPr>
  </w:style>
  <w:style w:type="paragraph" w:customStyle="1" w:styleId="246">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4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248">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49">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250">
    <w:name w:val="清單段落1"/>
    <w:basedOn w:val="1"/>
    <w:qFormat/>
    <w:uiPriority w:val="34"/>
    <w:pPr>
      <w:ind w:left="720"/>
      <w:contextualSpacing/>
    </w:pPr>
  </w:style>
  <w:style w:type="paragraph" w:customStyle="1" w:styleId="25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2">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253">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54">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255">
    <w:name w:val="纯文本 New"/>
    <w:basedOn w:val="138"/>
    <w:qFormat/>
    <w:uiPriority w:val="0"/>
    <w:pPr>
      <w:widowControl/>
      <w:spacing w:before="100" w:beforeAutospacing="1" w:after="100" w:afterAutospacing="1"/>
      <w:jc w:val="left"/>
    </w:pPr>
    <w:rPr>
      <w:rFonts w:cs="宋体"/>
      <w:sz w:val="24"/>
      <w:szCs w:val="24"/>
    </w:rPr>
  </w:style>
  <w:style w:type="paragraph" w:customStyle="1" w:styleId="256">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257">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25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259">
    <w:name w:val="Absatz2AL"/>
    <w:basedOn w:val="3"/>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60">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6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62">
    <w:name w:val="Char1 Char Char"/>
    <w:basedOn w:val="1"/>
    <w:qFormat/>
    <w:uiPriority w:val="0"/>
    <w:pPr>
      <w:adjustRightInd w:val="0"/>
      <w:spacing w:line="360" w:lineRule="auto"/>
    </w:pPr>
    <w:rPr>
      <w:rFonts w:ascii="Times New Roman" w:hAnsi="Times New Roman"/>
      <w:kern w:val="0"/>
      <w:sz w:val="24"/>
      <w:szCs w:val="20"/>
    </w:rPr>
  </w:style>
  <w:style w:type="paragraph" w:customStyle="1" w:styleId="263">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64">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26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66">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67">
    <w:name w:val="xl145"/>
    <w:basedOn w:val="1"/>
    <w:qFormat/>
    <w:uiPriority w:val="0"/>
    <w:pPr>
      <w:widowControl/>
      <w:spacing w:before="100" w:beforeAutospacing="1" w:after="100" w:afterAutospacing="1"/>
      <w:jc w:val="left"/>
    </w:pPr>
    <w:rPr>
      <w:rFonts w:cs="宋体"/>
      <w:kern w:val="0"/>
      <w:sz w:val="24"/>
    </w:rPr>
  </w:style>
  <w:style w:type="paragraph" w:customStyle="1" w:styleId="268">
    <w:name w:val="纯文本 New New New"/>
    <w:basedOn w:val="202"/>
    <w:qFormat/>
    <w:uiPriority w:val="0"/>
  </w:style>
  <w:style w:type="paragraph" w:customStyle="1" w:styleId="26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70">
    <w:name w:val="5"/>
    <w:basedOn w:val="1"/>
    <w:qFormat/>
    <w:uiPriority w:val="0"/>
    <w:pPr>
      <w:tabs>
        <w:tab w:val="right" w:pos="-2120"/>
      </w:tabs>
      <w:snapToGrid w:val="0"/>
    </w:pPr>
    <w:rPr>
      <w:rFonts w:ascii="Tahoma" w:hAnsi="Tahoma"/>
      <w:spacing w:val="6"/>
      <w:sz w:val="24"/>
      <w:szCs w:val="20"/>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72">
    <w:name w:val="彩色列表 - 强调文字颜色 11"/>
    <w:basedOn w:val="1"/>
    <w:qFormat/>
    <w:uiPriority w:val="34"/>
    <w:pPr>
      <w:ind w:firstLine="420" w:firstLineChars="200"/>
    </w:pPr>
    <w:rPr>
      <w:rFonts w:ascii="Cambria" w:hAnsi="Cambria"/>
      <w:sz w:val="24"/>
    </w:rPr>
  </w:style>
  <w:style w:type="paragraph" w:customStyle="1" w:styleId="27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74">
    <w:name w:val="正文1"/>
    <w:basedOn w:val="1"/>
    <w:next w:val="275"/>
    <w:qFormat/>
    <w:uiPriority w:val="0"/>
    <w:pPr>
      <w:spacing w:line="360" w:lineRule="auto"/>
      <w:ind w:firstLine="200"/>
      <w:jc w:val="left"/>
    </w:pPr>
    <w:rPr>
      <w:rFonts w:eastAsia="Times New Roman" w:cs="宋体"/>
      <w:kern w:val="0"/>
      <w:sz w:val="28"/>
      <w:szCs w:val="20"/>
      <w:lang w:eastAsia="en-US"/>
    </w:rPr>
  </w:style>
  <w:style w:type="paragraph" w:customStyle="1" w:styleId="275">
    <w:name w:val="正文缩进1"/>
    <w:basedOn w:val="274"/>
    <w:qFormat/>
    <w:uiPriority w:val="0"/>
    <w:pPr>
      <w:widowControl/>
      <w:ind w:firstLine="420"/>
    </w:pPr>
    <w:rPr>
      <w:sz w:val="20"/>
    </w:rPr>
  </w:style>
  <w:style w:type="paragraph" w:customStyle="1" w:styleId="27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277">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278">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279">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80">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81">
    <w:name w:val="列出段落2"/>
    <w:basedOn w:val="1"/>
    <w:qFormat/>
    <w:uiPriority w:val="0"/>
    <w:pPr>
      <w:ind w:firstLine="420" w:firstLineChars="200"/>
    </w:pPr>
    <w:rPr>
      <w:rFonts w:ascii="Calibri" w:hAnsi="Calibri"/>
      <w:szCs w:val="22"/>
    </w:rPr>
  </w:style>
  <w:style w:type="paragraph" w:customStyle="1" w:styleId="282">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3">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8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85">
    <w:name w:val="列表段落1"/>
    <w:basedOn w:val="1"/>
    <w:qFormat/>
    <w:uiPriority w:val="34"/>
    <w:pPr>
      <w:ind w:firstLine="420" w:firstLineChars="200"/>
    </w:pPr>
  </w:style>
  <w:style w:type="paragraph" w:customStyle="1" w:styleId="28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87">
    <w:name w:val="列表段落2"/>
    <w:basedOn w:val="1"/>
    <w:qFormat/>
    <w:uiPriority w:val="0"/>
    <w:pPr>
      <w:ind w:firstLine="420" w:firstLineChars="200"/>
    </w:pPr>
    <w:rPr>
      <w:rFonts w:ascii="Calibri" w:hAnsi="Calibri"/>
      <w:szCs w:val="22"/>
    </w:rPr>
  </w:style>
  <w:style w:type="paragraph" w:customStyle="1" w:styleId="28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89">
    <w:name w:val="Char2"/>
    <w:basedOn w:val="1"/>
    <w:qFormat/>
    <w:uiPriority w:val="0"/>
    <w:pPr>
      <w:widowControl/>
      <w:spacing w:after="160" w:line="240" w:lineRule="exact"/>
      <w:jc w:val="left"/>
    </w:pPr>
    <w:rPr>
      <w:szCs w:val="20"/>
    </w:rPr>
  </w:style>
  <w:style w:type="paragraph" w:customStyle="1" w:styleId="290">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91">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292">
    <w:name w:val="xl146"/>
    <w:basedOn w:val="1"/>
    <w:qFormat/>
    <w:uiPriority w:val="0"/>
    <w:pPr>
      <w:widowControl/>
      <w:spacing w:before="100" w:beforeAutospacing="1" w:after="100" w:afterAutospacing="1"/>
      <w:jc w:val="center"/>
    </w:pPr>
    <w:rPr>
      <w:rFonts w:cs="宋体"/>
      <w:kern w:val="0"/>
      <w:sz w:val="24"/>
    </w:rPr>
  </w:style>
  <w:style w:type="paragraph" w:customStyle="1" w:styleId="29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94">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95">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296">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29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98">
    <w:name w:val="样式2"/>
    <w:basedOn w:val="6"/>
    <w:qFormat/>
    <w:uiPriority w:val="0"/>
    <w:pPr>
      <w:tabs>
        <w:tab w:val="left" w:pos="360"/>
      </w:tabs>
      <w:spacing w:line="440" w:lineRule="exact"/>
      <w:jc w:val="center"/>
    </w:pPr>
    <w:rPr>
      <w:b w:val="0"/>
      <w:sz w:val="32"/>
    </w:rPr>
  </w:style>
  <w:style w:type="paragraph" w:customStyle="1" w:styleId="29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0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301">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302">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3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304">
    <w:name w:val="default"/>
    <w:basedOn w:val="1"/>
    <w:qFormat/>
    <w:uiPriority w:val="0"/>
    <w:pPr>
      <w:widowControl/>
      <w:spacing w:before="100" w:beforeAutospacing="1" w:after="100" w:afterAutospacing="1"/>
      <w:jc w:val="left"/>
    </w:pPr>
    <w:rPr>
      <w:rFonts w:cs="宋体"/>
      <w:kern w:val="0"/>
      <w:sz w:val="24"/>
    </w:rPr>
  </w:style>
  <w:style w:type="paragraph" w:customStyle="1" w:styleId="305">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306">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07">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309">
    <w:name w:val="Char Char1 Char Char"/>
    <w:basedOn w:val="1"/>
    <w:qFormat/>
    <w:uiPriority w:val="0"/>
    <w:pPr>
      <w:tabs>
        <w:tab w:val="left" w:pos="360"/>
      </w:tabs>
    </w:pPr>
    <w:rPr>
      <w:szCs w:val="20"/>
    </w:rPr>
  </w:style>
  <w:style w:type="paragraph" w:customStyle="1" w:styleId="31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311">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312">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313">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314">
    <w:name w:val="Char13"/>
    <w:basedOn w:val="1"/>
    <w:qFormat/>
    <w:uiPriority w:val="0"/>
  </w:style>
  <w:style w:type="paragraph" w:customStyle="1" w:styleId="315">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31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317">
    <w:name w:val="Char Char Char1"/>
    <w:basedOn w:val="1"/>
    <w:qFormat/>
    <w:uiPriority w:val="0"/>
    <w:pPr>
      <w:ind w:firstLine="200" w:firstLineChars="200"/>
    </w:pPr>
    <w:rPr>
      <w:sz w:val="24"/>
    </w:rPr>
  </w:style>
  <w:style w:type="paragraph" w:customStyle="1" w:styleId="318">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31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32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character" w:customStyle="1" w:styleId="321">
    <w:name w:val="_Style 317"/>
    <w:qFormat/>
    <w:uiPriority w:val="31"/>
    <w:rPr>
      <w:smallCaps/>
      <w:color w:val="5A5A5A"/>
    </w:rPr>
  </w:style>
  <w:style w:type="paragraph" w:customStyle="1" w:styleId="322">
    <w:name w:val="_Style 318"/>
    <w:basedOn w:val="5"/>
    <w:next w:val="1"/>
    <w:qFormat/>
    <w:uiPriority w:val="39"/>
    <w:pPr>
      <w:widowControl/>
      <w:numPr>
        <w:numId w:val="0"/>
      </w:numPr>
      <w:tabs>
        <w:tab w:val="clear" w:pos="360"/>
      </w:tabs>
      <w:adjustRightInd/>
      <w:spacing w:before="240" w:line="259" w:lineRule="auto"/>
      <w:jc w:val="left"/>
      <w:textAlignment w:val="auto"/>
      <w:outlineLvl w:val="9"/>
    </w:pPr>
    <w:rPr>
      <w:rFonts w:ascii="Cambria" w:hAnsi="Cambria" w:eastAsia="宋体"/>
      <w:b w:val="0"/>
      <w:color w:val="365F91"/>
      <w:kern w:val="0"/>
      <w:sz w:val="32"/>
      <w:szCs w:val="32"/>
    </w:rPr>
  </w:style>
  <w:style w:type="paragraph" w:customStyle="1" w:styleId="323">
    <w:name w:val="p1"/>
    <w:basedOn w:val="1"/>
    <w:qFormat/>
    <w:uiPriority w:val="0"/>
    <w:pPr>
      <w:widowControl/>
      <w:spacing w:line="480" w:lineRule="auto"/>
      <w:jc w:val="center"/>
    </w:pPr>
    <w:rPr>
      <w:rFonts w:cs="宋体"/>
      <w:kern w:val="0"/>
      <w:sz w:val="28"/>
      <w:szCs w:val="28"/>
    </w:rPr>
  </w:style>
  <w:style w:type="paragraph" w:customStyle="1" w:styleId="324">
    <w:name w:val="p2"/>
    <w:basedOn w:val="1"/>
    <w:qFormat/>
    <w:uiPriority w:val="0"/>
    <w:pPr>
      <w:widowControl/>
      <w:spacing w:line="480" w:lineRule="auto"/>
      <w:ind w:firstLine="420"/>
      <w:jc w:val="left"/>
    </w:pPr>
    <w:rPr>
      <w:rFonts w:cs="宋体"/>
      <w:kern w:val="0"/>
      <w:szCs w:val="21"/>
    </w:rPr>
  </w:style>
  <w:style w:type="paragraph" w:customStyle="1" w:styleId="325">
    <w:name w:val="Bullet_Title"/>
    <w:basedOn w:val="1"/>
    <w:qFormat/>
    <w:uiPriority w:val="0"/>
    <w:pPr>
      <w:tabs>
        <w:tab w:val="left" w:pos="814"/>
      </w:tabs>
      <w:spacing w:after="78" w:line="300" w:lineRule="auto"/>
      <w:ind w:left="794" w:hanging="340"/>
    </w:pPr>
    <w:rPr>
      <w:rFonts w:ascii="Arial Narrow" w:hAnsi="Arial Narrow"/>
      <w:sz w:val="24"/>
      <w:szCs w:val="20"/>
    </w:rPr>
  </w:style>
  <w:style w:type="character" w:customStyle="1" w:styleId="326">
    <w:name w:val="_Style 322"/>
    <w:unhideWhenUsed/>
    <w:qFormat/>
    <w:uiPriority w:val="99"/>
    <w:rPr>
      <w:color w:val="605E5C"/>
      <w:shd w:val="clear" w:color="auto" w:fill="E1DFDD"/>
    </w:rPr>
  </w:style>
  <w:style w:type="paragraph" w:customStyle="1" w:styleId="327">
    <w:name w:val="_Style 323"/>
    <w:unhideWhenUsed/>
    <w:qFormat/>
    <w:uiPriority w:val="99"/>
    <w:rPr>
      <w:rFonts w:ascii="宋体" w:hAnsi="宋体" w:eastAsia="宋体" w:cs="Times New Roman"/>
      <w:kern w:val="2"/>
      <w:sz w:val="21"/>
      <w:szCs w:val="24"/>
      <w:lang w:val="en-US" w:eastAsia="zh-CN" w:bidi="ar-SA"/>
    </w:rPr>
  </w:style>
  <w:style w:type="paragraph" w:customStyle="1" w:styleId="32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Header or footer|2"/>
    <w:basedOn w:val="1"/>
    <w:qFormat/>
    <w:uiPriority w:val="0"/>
    <w:rPr>
      <w:sz w:val="20"/>
      <w:szCs w:val="20"/>
      <w:lang w:val="zh-TW" w:eastAsia="zh-TW" w:bidi="zh-TW"/>
    </w:rPr>
  </w:style>
  <w:style w:type="paragraph" w:customStyle="1" w:styleId="330">
    <w:name w:val="Body text|1"/>
    <w:basedOn w:val="1"/>
    <w:qFormat/>
    <w:uiPriority w:val="0"/>
    <w:pPr>
      <w:spacing w:line="372" w:lineRule="auto"/>
      <w:ind w:firstLine="400"/>
    </w:pPr>
    <w:rPr>
      <w:rFonts w:cs="宋体"/>
      <w:sz w:val="30"/>
      <w:szCs w:val="30"/>
      <w:lang w:val="zh-TW" w:eastAsia="zh-TW" w:bidi="zh-TW"/>
    </w:rPr>
  </w:style>
  <w:style w:type="paragraph" w:customStyle="1" w:styleId="331">
    <w:name w:val="Body text|2"/>
    <w:basedOn w:val="1"/>
    <w:qFormat/>
    <w:uiPriority w:val="0"/>
    <w:pPr>
      <w:ind w:hanging="770"/>
    </w:pPr>
    <w:rPr>
      <w:rFonts w:cs="宋体"/>
      <w:sz w:val="17"/>
      <w:szCs w:val="17"/>
      <w:lang w:val="zh-TW" w:eastAsia="zh-TW" w:bidi="zh-TW"/>
    </w:rPr>
  </w:style>
  <w:style w:type="paragraph" w:customStyle="1" w:styleId="332">
    <w:name w:val="09正文_wh"/>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333">
    <w:name w:val="表格文字"/>
    <w:basedOn w:val="334"/>
    <w:next w:val="1"/>
    <w:qFormat/>
    <w:uiPriority w:val="0"/>
    <w:pPr>
      <w:adjustRightInd w:val="0"/>
      <w:spacing w:line="420" w:lineRule="atLeast"/>
      <w:jc w:val="left"/>
      <w:textAlignment w:val="baseline"/>
    </w:pPr>
    <w:rPr>
      <w:kern w:val="0"/>
    </w:rPr>
  </w:style>
  <w:style w:type="paragraph" w:customStyle="1" w:styleId="334">
    <w:name w:val="表格文字图表文字"/>
    <w:basedOn w:val="1"/>
    <w:qFormat/>
    <w:uiPriority w:val="0"/>
    <w:pPr>
      <w:snapToGrid w:val="0"/>
      <w:ind w:firstLine="200" w:firstLineChars="200"/>
      <w:jc w:val="center"/>
    </w:pPr>
    <w:rPr>
      <w:color w:val="7030A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18986</Words>
  <Characters>20748</Characters>
  <Lines>1603</Lines>
  <Paragraphs>1806</Paragraphs>
  <TotalTime>2</TotalTime>
  <ScaleCrop>false</ScaleCrop>
  <LinksUpToDate>false</LinksUpToDate>
  <CharactersWithSpaces>21241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2024-09-12T17:42:00Z</dcterms:created>
  <dc:creator>xskf</dc:creator>
  <cp:lastModifiedBy>Z.</cp:lastModifiedBy>
  <cp:lastPrinted>2021-05-27T14:00:00Z</cp:lastPrinted>
  <dcterms:modified xsi:type="dcterms:W3CDTF">2025-11-16T09:15:21Z</dcterms:modified>
  <dc:title>政府采购招标文件</dc:title>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269283E2FEDC44559C281BF1C05B32E6_13</vt:lpwstr>
  </property>
  <property fmtid="{D5CDD505-2E9C-101B-9397-08002B2CF9AE}" pid="4" name="KSOTemplateDocerSaveRecord">
    <vt:lpwstr>eyJoZGlkIjoiNWQyYjRjMmFkM2U4ODMyYjZlZDM3M2YzYWJmNTk5YmUiLCJ1c2VySWQiOiI3MTA0ODQxNjcifQ==</vt:lpwstr>
  </property>
</Properties>
</file>