
<file path=[Content_Types].xml><?xml version="1.0" encoding="utf-8"?>
<Types xmlns="http://schemas.openxmlformats.org/package/2006/content-types">
  <Default Extension="xml" ContentType="application/xml"/>
  <Default Extension="jpeg" ContentType="image/jpeg"/>
  <Default Extension="JPG" ContentType="image/.jpg"/>
  <Default Extension="rels" ContentType="application/vnd.openxmlformats-package.relationships+xml"/>
  <Override PartName="/customXml/itemProps1.xml" ContentType="application/vnd.openxmlformats-officedocument.customXmlProperties+xml"/>
  <Override PartName="/customXml/itemProps2.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header1.xml" ContentType="application/vnd.openxmlformats-officedocument.wordprocessingml.header+xml"/>
  <Override PartName="/word/header2.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ackground w:color="FFFFFF"/>
  <w:body>
    <w:p w14:paraId="44ABC82D">
      <w:pPr>
        <w:spacing w:line="360" w:lineRule="auto"/>
        <w:jc w:val="center"/>
        <w:rPr>
          <w:rFonts w:hint="eastAsia" w:ascii="宋体" w:hAnsi="宋体" w:cs="宋体"/>
          <w:b/>
          <w:sz w:val="52"/>
          <w:szCs w:val="52"/>
          <w:lang w:eastAsia="zh-CN"/>
        </w:rPr>
      </w:pPr>
    </w:p>
    <w:p w14:paraId="3027915B">
      <w:pPr>
        <w:spacing w:line="360" w:lineRule="auto"/>
        <w:jc w:val="center"/>
        <w:rPr>
          <w:rFonts w:hint="eastAsia" w:ascii="宋体" w:hAnsi="宋体" w:eastAsia="宋体" w:cs="宋体"/>
          <w:b/>
          <w:sz w:val="72"/>
          <w:szCs w:val="72"/>
          <w:lang w:eastAsia="zh-CN"/>
        </w:rPr>
      </w:pPr>
      <w:r>
        <w:rPr>
          <w:rFonts w:hint="eastAsia" w:ascii="宋体" w:hAnsi="宋体" w:cs="宋体"/>
          <w:b/>
          <w:sz w:val="56"/>
          <w:szCs w:val="56"/>
          <w:lang w:eastAsia="zh-CN"/>
        </w:rPr>
        <w:t>石屏县坝心镇2026年白浪村委会大过细村产业道路建设项目</w:t>
      </w:r>
    </w:p>
    <w:p w14:paraId="52892EAC">
      <w:pPr>
        <w:spacing w:line="360" w:lineRule="auto"/>
        <w:rPr>
          <w:rFonts w:ascii="宋体" w:hAnsi="宋体" w:cs="宋体"/>
          <w:b/>
          <w:szCs w:val="21"/>
        </w:rPr>
      </w:pPr>
    </w:p>
    <w:p w14:paraId="5CBF1920">
      <w:pPr>
        <w:tabs>
          <w:tab w:val="left" w:pos="3619"/>
        </w:tabs>
        <w:spacing w:line="360" w:lineRule="auto"/>
        <w:jc w:val="left"/>
        <w:rPr>
          <w:rFonts w:hint="eastAsia" w:ascii="宋体" w:hAnsi="宋体" w:eastAsia="宋体" w:cs="宋体"/>
          <w:b/>
          <w:szCs w:val="21"/>
          <w:lang w:val="en-US" w:eastAsia="zh-CN"/>
        </w:rPr>
      </w:pPr>
      <w:r>
        <w:rPr>
          <w:rFonts w:hint="eastAsia" w:ascii="宋体" w:hAnsi="宋体" w:cs="宋体"/>
          <w:b/>
          <w:szCs w:val="21"/>
        </w:rPr>
        <w:tab/>
      </w:r>
      <w:r>
        <w:rPr>
          <w:rFonts w:hint="eastAsia" w:ascii="宋体" w:hAnsi="宋体" w:cs="宋体"/>
          <w:b/>
          <w:szCs w:val="21"/>
          <w:lang w:val="en-US" w:eastAsia="zh-CN"/>
        </w:rPr>
        <w:tab/>
      </w:r>
    </w:p>
    <w:p w14:paraId="69CAF61E">
      <w:pPr>
        <w:spacing w:line="360" w:lineRule="auto"/>
        <w:jc w:val="center"/>
        <w:rPr>
          <w:rFonts w:hint="eastAsia" w:ascii="宋体" w:hAnsi="宋体" w:cs="宋体"/>
          <w:sz w:val="72"/>
          <w:szCs w:val="72"/>
        </w:rPr>
      </w:pPr>
    </w:p>
    <w:p w14:paraId="4FBEBFD0">
      <w:pPr>
        <w:spacing w:line="360" w:lineRule="auto"/>
        <w:jc w:val="center"/>
        <w:rPr>
          <w:rFonts w:hint="eastAsia" w:ascii="宋体" w:hAnsi="宋体" w:cs="宋体"/>
          <w:sz w:val="72"/>
          <w:szCs w:val="72"/>
        </w:rPr>
      </w:pPr>
    </w:p>
    <w:p w14:paraId="45C59553">
      <w:pPr>
        <w:spacing w:line="360" w:lineRule="auto"/>
        <w:jc w:val="center"/>
        <w:rPr>
          <w:rFonts w:ascii="宋体" w:hAnsi="宋体" w:cs="宋体"/>
          <w:sz w:val="72"/>
          <w:szCs w:val="72"/>
        </w:rPr>
      </w:pPr>
      <w:r>
        <w:rPr>
          <w:rFonts w:hint="eastAsia" w:ascii="宋体" w:hAnsi="宋体" w:cs="宋体"/>
          <w:sz w:val="72"/>
          <w:szCs w:val="72"/>
        </w:rPr>
        <w:t>竞争性磋商文件</w:t>
      </w:r>
    </w:p>
    <w:p w14:paraId="60778B1D">
      <w:pPr>
        <w:spacing w:line="360" w:lineRule="auto"/>
        <w:jc w:val="center"/>
        <w:rPr>
          <w:rFonts w:ascii="宋体" w:hAnsi="宋体" w:cs="宋体"/>
          <w:szCs w:val="21"/>
        </w:rPr>
      </w:pPr>
      <w:r>
        <w:rPr>
          <w:rFonts w:hint="eastAsia" w:ascii="宋体" w:hAnsi="宋体" w:cs="宋体"/>
          <w:color w:val="auto"/>
          <w:sz w:val="28"/>
          <w:szCs w:val="28"/>
          <w:lang w:val="en-US" w:eastAsia="zh-CN"/>
        </w:rPr>
        <w:t>采购</w:t>
      </w:r>
      <w:r>
        <w:rPr>
          <w:rFonts w:hint="eastAsia" w:ascii="宋体" w:hAnsi="宋体" w:cs="宋体"/>
          <w:color w:val="auto"/>
          <w:sz w:val="28"/>
          <w:szCs w:val="28"/>
        </w:rPr>
        <w:t>编号：YNYY-202608106</w:t>
      </w:r>
      <w:r>
        <w:rPr>
          <w:rFonts w:hint="eastAsia" w:ascii="宋体" w:hAnsi="宋体" w:cs="宋体"/>
          <w:color w:val="auto"/>
          <w:sz w:val="28"/>
          <w:szCs w:val="28"/>
          <w:lang w:val="en-US" w:eastAsia="zh-CN"/>
        </w:rPr>
        <w:t xml:space="preserve"> </w:t>
      </w:r>
    </w:p>
    <w:p w14:paraId="49339D77">
      <w:pPr>
        <w:spacing w:line="360" w:lineRule="auto"/>
        <w:jc w:val="center"/>
        <w:rPr>
          <w:rFonts w:ascii="宋体" w:hAnsi="宋体" w:cs="宋体"/>
          <w:szCs w:val="21"/>
        </w:rPr>
      </w:pPr>
    </w:p>
    <w:p w14:paraId="41851450">
      <w:pPr>
        <w:spacing w:line="360" w:lineRule="auto"/>
        <w:jc w:val="center"/>
        <w:rPr>
          <w:rFonts w:ascii="宋体" w:hAnsi="宋体" w:cs="宋体"/>
          <w:szCs w:val="21"/>
        </w:rPr>
      </w:pPr>
    </w:p>
    <w:p w14:paraId="12A2D1E6">
      <w:pPr>
        <w:spacing w:line="360" w:lineRule="auto"/>
        <w:jc w:val="center"/>
        <w:rPr>
          <w:rFonts w:ascii="宋体" w:hAnsi="宋体" w:cs="宋体"/>
          <w:szCs w:val="21"/>
        </w:rPr>
      </w:pPr>
    </w:p>
    <w:p w14:paraId="3F5ADAFD">
      <w:pPr>
        <w:spacing w:line="360" w:lineRule="auto"/>
        <w:jc w:val="center"/>
        <w:rPr>
          <w:rFonts w:ascii="宋体" w:hAnsi="宋体" w:cs="宋体"/>
          <w:szCs w:val="21"/>
        </w:rPr>
      </w:pPr>
    </w:p>
    <w:p w14:paraId="095E6F61">
      <w:pPr>
        <w:spacing w:line="360" w:lineRule="auto"/>
        <w:jc w:val="center"/>
        <w:rPr>
          <w:rFonts w:ascii="宋体" w:hAnsi="宋体" w:cs="宋体"/>
          <w:szCs w:val="21"/>
        </w:rPr>
      </w:pPr>
    </w:p>
    <w:p w14:paraId="6731C9D2">
      <w:pPr>
        <w:spacing w:line="360" w:lineRule="auto"/>
        <w:jc w:val="center"/>
        <w:rPr>
          <w:rFonts w:ascii="宋体" w:hAnsi="宋体" w:cs="宋体"/>
          <w:szCs w:val="21"/>
        </w:rPr>
      </w:pPr>
    </w:p>
    <w:p w14:paraId="6C536C82">
      <w:pPr>
        <w:pStyle w:val="15"/>
      </w:pPr>
    </w:p>
    <w:p w14:paraId="414EC8CB">
      <w:pPr>
        <w:spacing w:line="360" w:lineRule="auto"/>
        <w:jc w:val="both"/>
        <w:rPr>
          <w:rFonts w:ascii="宋体" w:hAnsi="宋体" w:cs="宋体"/>
          <w:szCs w:val="21"/>
        </w:rPr>
      </w:pPr>
    </w:p>
    <w:p w14:paraId="21DECD59">
      <w:pPr>
        <w:spacing w:line="360" w:lineRule="auto"/>
        <w:jc w:val="both"/>
        <w:rPr>
          <w:rFonts w:ascii="宋体" w:hAnsi="宋体" w:cs="宋体"/>
          <w:szCs w:val="21"/>
        </w:rPr>
      </w:pPr>
    </w:p>
    <w:p w14:paraId="2CC003AE">
      <w:pPr>
        <w:spacing w:line="360" w:lineRule="auto"/>
        <w:jc w:val="both"/>
        <w:rPr>
          <w:rFonts w:ascii="宋体" w:hAnsi="宋体" w:cs="宋体"/>
          <w:szCs w:val="21"/>
        </w:rPr>
      </w:pPr>
    </w:p>
    <w:p w14:paraId="5F6A73FE">
      <w:pPr>
        <w:widowControl/>
        <w:spacing w:line="360" w:lineRule="auto"/>
        <w:ind w:firstLine="1680" w:firstLineChars="600"/>
        <w:jc w:val="left"/>
        <w:rPr>
          <w:rFonts w:hint="eastAsia" w:ascii="宋体" w:hAnsi="宋体" w:eastAsia="宋体" w:cs="宋体"/>
          <w:kern w:val="0"/>
          <w:sz w:val="28"/>
          <w:szCs w:val="28"/>
          <w:lang w:eastAsia="zh-CN" w:bidi="en-US"/>
        </w:rPr>
      </w:pPr>
      <w:r>
        <w:rPr>
          <w:rFonts w:hint="eastAsia" w:ascii="宋体" w:hAnsi="宋体" w:cs="宋体"/>
          <w:kern w:val="0"/>
          <w:sz w:val="28"/>
          <w:szCs w:val="28"/>
          <w:lang w:bidi="en-US"/>
        </w:rPr>
        <w:t>采购单位：</w:t>
      </w:r>
      <w:r>
        <w:rPr>
          <w:rFonts w:hint="eastAsia" w:ascii="宋体" w:hAnsi="宋体" w:cs="宋体"/>
          <w:kern w:val="0"/>
          <w:sz w:val="28"/>
          <w:szCs w:val="28"/>
          <w:lang w:eastAsia="zh-CN" w:bidi="en-US"/>
        </w:rPr>
        <w:t>石屏县坝心镇人民政府</w:t>
      </w:r>
    </w:p>
    <w:p w14:paraId="1B64304B">
      <w:pPr>
        <w:widowControl/>
        <w:spacing w:line="360" w:lineRule="auto"/>
        <w:ind w:firstLine="1680" w:firstLineChars="600"/>
        <w:jc w:val="left"/>
        <w:rPr>
          <w:rFonts w:hint="eastAsia" w:ascii="宋体" w:hAnsi="宋体" w:eastAsia="宋体" w:cs="宋体"/>
          <w:kern w:val="0"/>
          <w:sz w:val="28"/>
          <w:szCs w:val="28"/>
          <w:lang w:eastAsia="zh-CN" w:bidi="en-US"/>
        </w:rPr>
      </w:pPr>
      <w:r>
        <w:rPr>
          <w:rFonts w:hint="eastAsia" w:ascii="宋体" w:hAnsi="宋体" w:cs="宋体"/>
          <w:kern w:val="0"/>
          <w:sz w:val="28"/>
          <w:szCs w:val="28"/>
          <w:lang w:bidi="en-US"/>
        </w:rPr>
        <w:t>代理机构：</w:t>
      </w:r>
      <w:bookmarkStart w:id="0" w:name="_Hlk533411479"/>
      <w:r>
        <w:rPr>
          <w:rFonts w:hint="eastAsia" w:ascii="宋体" w:hAnsi="宋体" w:cs="宋体"/>
          <w:kern w:val="0"/>
          <w:sz w:val="28"/>
          <w:szCs w:val="28"/>
          <w:lang w:eastAsia="zh-CN" w:bidi="en-US"/>
        </w:rPr>
        <w:t>云南银源项目管理咨询有限公司</w:t>
      </w:r>
    </w:p>
    <w:bookmarkEnd w:id="0"/>
    <w:p w14:paraId="20D28813">
      <w:pPr>
        <w:widowControl/>
        <w:spacing w:line="360" w:lineRule="auto"/>
        <w:ind w:firstLine="1680" w:firstLineChars="600"/>
        <w:jc w:val="left"/>
        <w:rPr>
          <w:rFonts w:hint="eastAsia" w:ascii="宋体" w:hAnsi="宋体" w:eastAsia="宋体" w:cs="宋体"/>
          <w:kern w:val="0"/>
          <w:sz w:val="28"/>
          <w:szCs w:val="28"/>
          <w:lang w:eastAsia="zh-CN" w:bidi="en-US"/>
        </w:rPr>
      </w:pPr>
      <w:r>
        <w:rPr>
          <w:rFonts w:hint="eastAsia" w:ascii="宋体" w:hAnsi="宋体" w:cs="宋体"/>
          <w:kern w:val="0"/>
          <w:sz w:val="28"/>
          <w:szCs w:val="28"/>
          <w:lang w:bidi="en-US"/>
        </w:rPr>
        <w:t>日    期：</w:t>
      </w:r>
      <w:r>
        <w:rPr>
          <w:rFonts w:hint="eastAsia" w:ascii="宋体" w:hAnsi="宋体" w:cs="宋体"/>
          <w:kern w:val="0"/>
          <w:sz w:val="28"/>
          <w:szCs w:val="28"/>
          <w:lang w:val="en-US" w:eastAsia="zh-CN" w:bidi="en-US"/>
        </w:rPr>
        <w:t>二〇二六</w:t>
      </w:r>
      <w:r>
        <w:rPr>
          <w:rFonts w:hint="eastAsia" w:ascii="宋体" w:hAnsi="宋体" w:cs="宋体"/>
          <w:kern w:val="0"/>
          <w:sz w:val="28"/>
          <w:szCs w:val="28"/>
          <w:lang w:eastAsia="zh-CN" w:bidi="en-US"/>
        </w:rPr>
        <w:t>年</w:t>
      </w:r>
      <w:r>
        <w:rPr>
          <w:rFonts w:hint="eastAsia" w:ascii="宋体" w:hAnsi="宋体" w:cs="宋体"/>
          <w:kern w:val="0"/>
          <w:sz w:val="28"/>
          <w:szCs w:val="28"/>
          <w:lang w:val="en-US" w:eastAsia="zh-CN" w:bidi="en-US"/>
        </w:rPr>
        <w:t>八</w:t>
      </w:r>
      <w:r>
        <w:rPr>
          <w:rFonts w:hint="eastAsia" w:ascii="宋体" w:hAnsi="宋体" w:cs="宋体"/>
          <w:kern w:val="0"/>
          <w:sz w:val="28"/>
          <w:szCs w:val="28"/>
          <w:lang w:eastAsia="zh-CN" w:bidi="en-US"/>
        </w:rPr>
        <w:t>月</w:t>
      </w:r>
    </w:p>
    <w:p w14:paraId="65B665C9">
      <w:pPr>
        <w:widowControl/>
        <w:jc w:val="left"/>
        <w:rPr>
          <w:rFonts w:ascii="宋体" w:hAnsi="宋体" w:cs="宋体"/>
          <w:b/>
          <w:bCs/>
          <w:szCs w:val="21"/>
        </w:rPr>
      </w:pPr>
      <w:r>
        <w:rPr>
          <w:rFonts w:hint="eastAsia" w:ascii="宋体" w:hAnsi="宋体" w:cs="宋体"/>
          <w:b/>
          <w:bCs/>
          <w:szCs w:val="21"/>
        </w:rPr>
        <w:br w:type="page"/>
      </w:r>
    </w:p>
    <w:p w14:paraId="0C1F6A86">
      <w:pPr>
        <w:jc w:val="center"/>
        <w:rPr>
          <w:rFonts w:ascii="宋体" w:hAnsi="宋体" w:cs="宋体"/>
          <w:sz w:val="28"/>
          <w:szCs w:val="24"/>
        </w:rPr>
      </w:pPr>
      <w:r>
        <w:rPr>
          <w:rFonts w:hint="eastAsia" w:ascii="宋体" w:hAnsi="宋体" w:cs="宋体"/>
          <w:sz w:val="28"/>
          <w:szCs w:val="24"/>
        </w:rPr>
        <w:t>目录</w:t>
      </w:r>
    </w:p>
    <w:p w14:paraId="14103F93">
      <w:pPr>
        <w:pStyle w:val="26"/>
        <w:keepNext w:val="0"/>
        <w:keepLines w:val="0"/>
        <w:pageBreakBefore w:val="0"/>
        <w:widowControl w:val="0"/>
        <w:tabs>
          <w:tab w:val="right" w:leader="dot" w:pos="9072"/>
        </w:tabs>
        <w:kinsoku/>
        <w:wordWrap/>
        <w:overflowPunct/>
        <w:topLinePunct w:val="0"/>
        <w:autoSpaceDE/>
        <w:autoSpaceDN/>
        <w:bidi w:val="0"/>
        <w:spacing w:line="360" w:lineRule="auto"/>
        <w:textAlignment w:val="auto"/>
        <w:rPr>
          <w:rFonts w:hint="eastAsia" w:ascii="宋体" w:hAnsi="宋体" w:eastAsia="宋体" w:cs="宋体"/>
        </w:rPr>
      </w:pPr>
      <w:r>
        <w:rPr>
          <w:rFonts w:hint="eastAsia" w:ascii="宋体" w:hAnsi="宋体" w:eastAsia="宋体" w:cs="宋体"/>
          <w:sz w:val="21"/>
          <w:szCs w:val="21"/>
        </w:rPr>
        <w:fldChar w:fldCharType="begin"/>
      </w:r>
      <w:r>
        <w:rPr>
          <w:rFonts w:hint="eastAsia" w:ascii="宋体" w:hAnsi="宋体" w:eastAsia="宋体" w:cs="宋体"/>
          <w:sz w:val="21"/>
          <w:szCs w:val="21"/>
        </w:rPr>
        <w:instrText xml:space="preserve">TOC \o "1-3" \h \u </w:instrText>
      </w:r>
      <w:r>
        <w:rPr>
          <w:rFonts w:hint="eastAsia" w:ascii="宋体" w:hAnsi="宋体" w:eastAsia="宋体" w:cs="宋体"/>
          <w:sz w:val="21"/>
          <w:szCs w:val="21"/>
        </w:rPr>
        <w:fldChar w:fldCharType="separate"/>
      </w:r>
      <w:r>
        <w:rPr>
          <w:rFonts w:hint="eastAsia" w:ascii="宋体" w:hAnsi="宋体" w:eastAsia="宋体" w:cs="宋体"/>
          <w:szCs w:val="21"/>
        </w:rPr>
        <w:fldChar w:fldCharType="begin"/>
      </w:r>
      <w:r>
        <w:rPr>
          <w:rFonts w:hint="eastAsia" w:ascii="宋体" w:hAnsi="宋体" w:eastAsia="宋体" w:cs="宋体"/>
          <w:szCs w:val="21"/>
        </w:rPr>
        <w:instrText xml:space="preserve"> HYPERLINK \l _Toc9419 </w:instrText>
      </w:r>
      <w:r>
        <w:rPr>
          <w:rFonts w:hint="eastAsia" w:ascii="宋体" w:hAnsi="宋体" w:eastAsia="宋体" w:cs="宋体"/>
          <w:szCs w:val="21"/>
        </w:rPr>
        <w:fldChar w:fldCharType="separate"/>
      </w:r>
      <w:r>
        <w:rPr>
          <w:rFonts w:hint="eastAsia" w:ascii="宋体" w:hAnsi="宋体" w:eastAsia="宋体" w:cs="宋体"/>
          <w:bCs/>
          <w:szCs w:val="28"/>
        </w:rPr>
        <w:t xml:space="preserve">第一章 </w:t>
      </w:r>
      <w:r>
        <w:rPr>
          <w:rFonts w:hint="eastAsia" w:ascii="宋体" w:hAnsi="宋体" w:eastAsia="宋体" w:cs="宋体"/>
          <w:szCs w:val="28"/>
          <w:lang w:bidi="en-US"/>
        </w:rPr>
        <w:t>竞争性磋商公告</w:t>
      </w:r>
      <w:r>
        <w:rPr>
          <w:rFonts w:hint="eastAsia" w:ascii="宋体" w:hAnsi="宋体" w:eastAsia="宋体" w:cs="宋体"/>
        </w:rPr>
        <w:tab/>
      </w:r>
      <w:r>
        <w:rPr>
          <w:rFonts w:hint="eastAsia" w:ascii="宋体" w:hAnsi="宋体" w:eastAsia="宋体" w:cs="宋体"/>
        </w:rPr>
        <w:fldChar w:fldCharType="begin"/>
      </w:r>
      <w:r>
        <w:rPr>
          <w:rFonts w:hint="eastAsia" w:ascii="宋体" w:hAnsi="宋体" w:eastAsia="宋体" w:cs="宋体"/>
        </w:rPr>
        <w:instrText xml:space="preserve"> PAGEREF _Toc9419 \h </w:instrText>
      </w:r>
      <w:r>
        <w:rPr>
          <w:rFonts w:hint="eastAsia" w:ascii="宋体" w:hAnsi="宋体" w:eastAsia="宋体" w:cs="宋体"/>
        </w:rPr>
        <w:fldChar w:fldCharType="separate"/>
      </w:r>
      <w:r>
        <w:rPr>
          <w:rFonts w:hint="eastAsia" w:ascii="宋体" w:hAnsi="宋体" w:eastAsia="宋体" w:cs="宋体"/>
        </w:rPr>
        <w:t>3</w:t>
      </w:r>
      <w:r>
        <w:rPr>
          <w:rFonts w:hint="eastAsia" w:ascii="宋体" w:hAnsi="宋体" w:eastAsia="宋体" w:cs="宋体"/>
        </w:rPr>
        <w:fldChar w:fldCharType="end"/>
      </w:r>
      <w:r>
        <w:rPr>
          <w:rFonts w:hint="eastAsia" w:ascii="宋体" w:hAnsi="宋体" w:eastAsia="宋体" w:cs="宋体"/>
          <w:szCs w:val="21"/>
        </w:rPr>
        <w:fldChar w:fldCharType="end"/>
      </w:r>
    </w:p>
    <w:p w14:paraId="37E6F19F">
      <w:pPr>
        <w:pStyle w:val="26"/>
        <w:keepNext w:val="0"/>
        <w:keepLines w:val="0"/>
        <w:pageBreakBefore w:val="0"/>
        <w:widowControl w:val="0"/>
        <w:tabs>
          <w:tab w:val="right" w:leader="dot" w:pos="9072"/>
        </w:tabs>
        <w:kinsoku/>
        <w:wordWrap/>
        <w:overflowPunct/>
        <w:topLinePunct w:val="0"/>
        <w:autoSpaceDE/>
        <w:autoSpaceDN/>
        <w:bidi w:val="0"/>
        <w:spacing w:line="360" w:lineRule="auto"/>
        <w:textAlignment w:val="auto"/>
        <w:rPr>
          <w:rFonts w:hint="eastAsia" w:ascii="宋体" w:hAnsi="宋体" w:eastAsia="宋体" w:cs="宋体"/>
        </w:rPr>
      </w:pPr>
      <w:r>
        <w:rPr>
          <w:rFonts w:hint="eastAsia" w:ascii="宋体" w:hAnsi="宋体" w:eastAsia="宋体" w:cs="宋体"/>
          <w:szCs w:val="21"/>
        </w:rPr>
        <w:fldChar w:fldCharType="begin"/>
      </w:r>
      <w:r>
        <w:rPr>
          <w:rFonts w:hint="eastAsia" w:ascii="宋体" w:hAnsi="宋体" w:eastAsia="宋体" w:cs="宋体"/>
          <w:szCs w:val="21"/>
        </w:rPr>
        <w:instrText xml:space="preserve"> HYPERLINK \l _Toc8551 </w:instrText>
      </w:r>
      <w:r>
        <w:rPr>
          <w:rFonts w:hint="eastAsia" w:ascii="宋体" w:hAnsi="宋体" w:eastAsia="宋体" w:cs="宋体"/>
          <w:szCs w:val="21"/>
        </w:rPr>
        <w:fldChar w:fldCharType="separate"/>
      </w:r>
      <w:r>
        <w:rPr>
          <w:rFonts w:hint="eastAsia" w:ascii="宋体" w:hAnsi="宋体" w:eastAsia="宋体" w:cs="宋体"/>
          <w:szCs w:val="28"/>
          <w:lang w:bidi="en-US"/>
        </w:rPr>
        <w:t>竞争性磋商公告</w:t>
      </w:r>
      <w:r>
        <w:rPr>
          <w:rFonts w:hint="eastAsia" w:ascii="宋体" w:hAnsi="宋体" w:eastAsia="宋体" w:cs="宋体"/>
        </w:rPr>
        <w:tab/>
      </w:r>
      <w:r>
        <w:rPr>
          <w:rFonts w:hint="eastAsia" w:ascii="宋体" w:hAnsi="宋体" w:eastAsia="宋体" w:cs="宋体"/>
          <w:lang w:val="en-US" w:eastAsia="zh-CN"/>
        </w:rPr>
        <w:t>4</w:t>
      </w:r>
      <w:r>
        <w:rPr>
          <w:rFonts w:hint="eastAsia" w:ascii="宋体" w:hAnsi="宋体" w:eastAsia="宋体" w:cs="宋体"/>
          <w:szCs w:val="21"/>
        </w:rPr>
        <w:fldChar w:fldCharType="end"/>
      </w:r>
    </w:p>
    <w:p w14:paraId="366F8B7F">
      <w:pPr>
        <w:pStyle w:val="30"/>
        <w:keepNext w:val="0"/>
        <w:keepLines w:val="0"/>
        <w:pageBreakBefore w:val="0"/>
        <w:widowControl w:val="0"/>
        <w:tabs>
          <w:tab w:val="right" w:leader="dot" w:pos="9072"/>
        </w:tabs>
        <w:kinsoku/>
        <w:wordWrap/>
        <w:overflowPunct/>
        <w:topLinePunct w:val="0"/>
        <w:autoSpaceDE/>
        <w:autoSpaceDN/>
        <w:bidi w:val="0"/>
        <w:spacing w:line="360" w:lineRule="auto"/>
        <w:textAlignment w:val="auto"/>
        <w:rPr>
          <w:rFonts w:hint="eastAsia" w:ascii="宋体" w:hAnsi="宋体" w:eastAsia="宋体" w:cs="宋体"/>
        </w:rPr>
      </w:pPr>
      <w:r>
        <w:rPr>
          <w:rFonts w:hint="eastAsia" w:ascii="宋体" w:hAnsi="宋体" w:eastAsia="宋体" w:cs="宋体"/>
          <w:szCs w:val="21"/>
        </w:rPr>
        <w:fldChar w:fldCharType="begin"/>
      </w:r>
      <w:r>
        <w:rPr>
          <w:rFonts w:hint="eastAsia" w:ascii="宋体" w:hAnsi="宋体" w:eastAsia="宋体" w:cs="宋体"/>
          <w:szCs w:val="21"/>
        </w:rPr>
        <w:instrText xml:space="preserve"> HYPERLINK \l _Toc30265 </w:instrText>
      </w:r>
      <w:r>
        <w:rPr>
          <w:rFonts w:hint="eastAsia" w:ascii="宋体" w:hAnsi="宋体" w:eastAsia="宋体" w:cs="宋体"/>
          <w:szCs w:val="21"/>
        </w:rPr>
        <w:fldChar w:fldCharType="separate"/>
      </w:r>
      <w:r>
        <w:rPr>
          <w:rFonts w:hint="eastAsia" w:ascii="宋体" w:hAnsi="宋体" w:eastAsia="宋体" w:cs="宋体"/>
          <w:bCs/>
          <w:szCs w:val="21"/>
        </w:rPr>
        <w:t>一、项目基本情况</w:t>
      </w:r>
      <w:r>
        <w:rPr>
          <w:rFonts w:hint="eastAsia" w:ascii="宋体" w:hAnsi="宋体" w:eastAsia="宋体" w:cs="宋体"/>
        </w:rPr>
        <w:tab/>
      </w:r>
      <w:r>
        <w:rPr>
          <w:rFonts w:hint="eastAsia" w:ascii="宋体" w:hAnsi="宋体" w:eastAsia="宋体" w:cs="宋体"/>
        </w:rPr>
        <w:fldChar w:fldCharType="begin"/>
      </w:r>
      <w:r>
        <w:rPr>
          <w:rFonts w:hint="eastAsia" w:ascii="宋体" w:hAnsi="宋体" w:eastAsia="宋体" w:cs="宋体"/>
        </w:rPr>
        <w:instrText xml:space="preserve"> PAGEREF _Toc30265 \h </w:instrText>
      </w:r>
      <w:r>
        <w:rPr>
          <w:rFonts w:hint="eastAsia" w:ascii="宋体" w:hAnsi="宋体" w:eastAsia="宋体" w:cs="宋体"/>
        </w:rPr>
        <w:fldChar w:fldCharType="separate"/>
      </w:r>
      <w:r>
        <w:rPr>
          <w:rFonts w:hint="eastAsia" w:ascii="宋体" w:hAnsi="宋体" w:eastAsia="宋体" w:cs="宋体"/>
        </w:rPr>
        <w:t>3</w:t>
      </w:r>
      <w:r>
        <w:rPr>
          <w:rFonts w:hint="eastAsia" w:ascii="宋体" w:hAnsi="宋体" w:eastAsia="宋体" w:cs="宋体"/>
        </w:rPr>
        <w:fldChar w:fldCharType="end"/>
      </w:r>
      <w:r>
        <w:rPr>
          <w:rFonts w:hint="eastAsia" w:ascii="宋体" w:hAnsi="宋体" w:eastAsia="宋体" w:cs="宋体"/>
          <w:szCs w:val="21"/>
        </w:rPr>
        <w:fldChar w:fldCharType="end"/>
      </w:r>
    </w:p>
    <w:p w14:paraId="13AF7E64">
      <w:pPr>
        <w:pStyle w:val="30"/>
        <w:keepNext w:val="0"/>
        <w:keepLines w:val="0"/>
        <w:pageBreakBefore w:val="0"/>
        <w:widowControl w:val="0"/>
        <w:tabs>
          <w:tab w:val="right" w:leader="dot" w:pos="9072"/>
        </w:tabs>
        <w:kinsoku/>
        <w:wordWrap/>
        <w:overflowPunct/>
        <w:topLinePunct w:val="0"/>
        <w:autoSpaceDE/>
        <w:autoSpaceDN/>
        <w:bidi w:val="0"/>
        <w:spacing w:line="360" w:lineRule="auto"/>
        <w:textAlignment w:val="auto"/>
        <w:rPr>
          <w:rFonts w:hint="eastAsia" w:ascii="宋体" w:hAnsi="宋体" w:eastAsia="宋体" w:cs="宋体"/>
        </w:rPr>
      </w:pPr>
      <w:r>
        <w:rPr>
          <w:rFonts w:hint="eastAsia" w:ascii="宋体" w:hAnsi="宋体" w:eastAsia="宋体" w:cs="宋体"/>
          <w:szCs w:val="21"/>
        </w:rPr>
        <w:fldChar w:fldCharType="begin"/>
      </w:r>
      <w:r>
        <w:rPr>
          <w:rFonts w:hint="eastAsia" w:ascii="宋体" w:hAnsi="宋体" w:eastAsia="宋体" w:cs="宋体"/>
          <w:szCs w:val="21"/>
        </w:rPr>
        <w:instrText xml:space="preserve"> HYPERLINK \l _Toc5728 </w:instrText>
      </w:r>
      <w:r>
        <w:rPr>
          <w:rFonts w:hint="eastAsia" w:ascii="宋体" w:hAnsi="宋体" w:eastAsia="宋体" w:cs="宋体"/>
          <w:szCs w:val="21"/>
        </w:rPr>
        <w:fldChar w:fldCharType="separate"/>
      </w:r>
      <w:r>
        <w:rPr>
          <w:rFonts w:hint="eastAsia" w:ascii="宋体" w:hAnsi="宋体" w:eastAsia="宋体" w:cs="宋体"/>
          <w:bCs/>
          <w:szCs w:val="21"/>
        </w:rPr>
        <w:t>二、供应商的资格要求：</w:t>
      </w:r>
      <w:r>
        <w:rPr>
          <w:rFonts w:hint="eastAsia" w:ascii="宋体" w:hAnsi="宋体" w:eastAsia="宋体" w:cs="宋体"/>
        </w:rPr>
        <w:tab/>
      </w:r>
      <w:r>
        <w:rPr>
          <w:rFonts w:hint="eastAsia" w:ascii="宋体" w:hAnsi="宋体" w:eastAsia="宋体" w:cs="宋体"/>
        </w:rPr>
        <w:fldChar w:fldCharType="begin"/>
      </w:r>
      <w:r>
        <w:rPr>
          <w:rFonts w:hint="eastAsia" w:ascii="宋体" w:hAnsi="宋体" w:eastAsia="宋体" w:cs="宋体"/>
        </w:rPr>
        <w:instrText xml:space="preserve"> PAGEREF _Toc5728 \h </w:instrText>
      </w:r>
      <w:r>
        <w:rPr>
          <w:rFonts w:hint="eastAsia" w:ascii="宋体" w:hAnsi="宋体" w:eastAsia="宋体" w:cs="宋体"/>
        </w:rPr>
        <w:fldChar w:fldCharType="separate"/>
      </w:r>
      <w:r>
        <w:rPr>
          <w:rFonts w:hint="eastAsia" w:ascii="宋体" w:hAnsi="宋体" w:eastAsia="宋体" w:cs="宋体"/>
        </w:rPr>
        <w:t>3</w:t>
      </w:r>
      <w:r>
        <w:rPr>
          <w:rFonts w:hint="eastAsia" w:ascii="宋体" w:hAnsi="宋体" w:eastAsia="宋体" w:cs="宋体"/>
        </w:rPr>
        <w:fldChar w:fldCharType="end"/>
      </w:r>
      <w:r>
        <w:rPr>
          <w:rFonts w:hint="eastAsia" w:ascii="宋体" w:hAnsi="宋体" w:eastAsia="宋体" w:cs="宋体"/>
          <w:szCs w:val="21"/>
        </w:rPr>
        <w:fldChar w:fldCharType="end"/>
      </w:r>
    </w:p>
    <w:p w14:paraId="31E6DD4D">
      <w:pPr>
        <w:pStyle w:val="30"/>
        <w:keepNext w:val="0"/>
        <w:keepLines w:val="0"/>
        <w:pageBreakBefore w:val="0"/>
        <w:widowControl w:val="0"/>
        <w:tabs>
          <w:tab w:val="right" w:leader="dot" w:pos="9072"/>
        </w:tabs>
        <w:kinsoku/>
        <w:wordWrap/>
        <w:overflowPunct/>
        <w:topLinePunct w:val="0"/>
        <w:autoSpaceDE/>
        <w:autoSpaceDN/>
        <w:bidi w:val="0"/>
        <w:spacing w:line="360" w:lineRule="auto"/>
        <w:textAlignment w:val="auto"/>
        <w:rPr>
          <w:rFonts w:hint="eastAsia" w:ascii="宋体" w:hAnsi="宋体" w:eastAsia="宋体" w:cs="宋体"/>
        </w:rPr>
      </w:pPr>
      <w:r>
        <w:rPr>
          <w:rFonts w:hint="eastAsia" w:ascii="宋体" w:hAnsi="宋体" w:eastAsia="宋体" w:cs="宋体"/>
          <w:szCs w:val="21"/>
        </w:rPr>
        <w:fldChar w:fldCharType="begin"/>
      </w:r>
      <w:r>
        <w:rPr>
          <w:rFonts w:hint="eastAsia" w:ascii="宋体" w:hAnsi="宋体" w:eastAsia="宋体" w:cs="宋体"/>
          <w:szCs w:val="21"/>
        </w:rPr>
        <w:instrText xml:space="preserve"> HYPERLINK \l _Toc24324 </w:instrText>
      </w:r>
      <w:r>
        <w:rPr>
          <w:rFonts w:hint="eastAsia" w:ascii="宋体" w:hAnsi="宋体" w:eastAsia="宋体" w:cs="宋体"/>
          <w:szCs w:val="21"/>
        </w:rPr>
        <w:fldChar w:fldCharType="separate"/>
      </w:r>
      <w:r>
        <w:rPr>
          <w:rFonts w:hint="eastAsia" w:ascii="宋体" w:hAnsi="宋体" w:eastAsia="宋体" w:cs="宋体"/>
          <w:bCs/>
          <w:szCs w:val="21"/>
        </w:rPr>
        <w:t>三、获取采购文件</w:t>
      </w:r>
      <w:r>
        <w:rPr>
          <w:rFonts w:hint="eastAsia" w:ascii="宋体" w:hAnsi="宋体" w:eastAsia="宋体" w:cs="宋体"/>
        </w:rPr>
        <w:tab/>
      </w:r>
      <w:r>
        <w:rPr>
          <w:rFonts w:hint="eastAsia" w:ascii="宋体" w:hAnsi="宋体" w:eastAsia="宋体" w:cs="宋体"/>
        </w:rPr>
        <w:fldChar w:fldCharType="begin"/>
      </w:r>
      <w:r>
        <w:rPr>
          <w:rFonts w:hint="eastAsia" w:ascii="宋体" w:hAnsi="宋体" w:eastAsia="宋体" w:cs="宋体"/>
        </w:rPr>
        <w:instrText xml:space="preserve"> PAGEREF _Toc24324 \h </w:instrText>
      </w:r>
      <w:r>
        <w:rPr>
          <w:rFonts w:hint="eastAsia" w:ascii="宋体" w:hAnsi="宋体" w:eastAsia="宋体" w:cs="宋体"/>
        </w:rPr>
        <w:fldChar w:fldCharType="separate"/>
      </w:r>
      <w:r>
        <w:rPr>
          <w:rFonts w:hint="eastAsia" w:ascii="宋体" w:hAnsi="宋体" w:eastAsia="宋体" w:cs="宋体"/>
        </w:rPr>
        <w:t>4</w:t>
      </w:r>
      <w:r>
        <w:rPr>
          <w:rFonts w:hint="eastAsia" w:ascii="宋体" w:hAnsi="宋体" w:eastAsia="宋体" w:cs="宋体"/>
        </w:rPr>
        <w:fldChar w:fldCharType="end"/>
      </w:r>
      <w:r>
        <w:rPr>
          <w:rFonts w:hint="eastAsia" w:ascii="宋体" w:hAnsi="宋体" w:eastAsia="宋体" w:cs="宋体"/>
          <w:szCs w:val="21"/>
        </w:rPr>
        <w:fldChar w:fldCharType="end"/>
      </w:r>
    </w:p>
    <w:p w14:paraId="3574F0DB">
      <w:pPr>
        <w:pStyle w:val="30"/>
        <w:keepNext w:val="0"/>
        <w:keepLines w:val="0"/>
        <w:pageBreakBefore w:val="0"/>
        <w:widowControl w:val="0"/>
        <w:tabs>
          <w:tab w:val="right" w:leader="dot" w:pos="9072"/>
        </w:tabs>
        <w:kinsoku/>
        <w:wordWrap/>
        <w:overflowPunct/>
        <w:topLinePunct w:val="0"/>
        <w:autoSpaceDE/>
        <w:autoSpaceDN/>
        <w:bidi w:val="0"/>
        <w:spacing w:line="360" w:lineRule="auto"/>
        <w:textAlignment w:val="auto"/>
        <w:rPr>
          <w:rFonts w:hint="eastAsia" w:ascii="宋体" w:hAnsi="宋体" w:eastAsia="宋体" w:cs="宋体"/>
        </w:rPr>
      </w:pPr>
      <w:r>
        <w:rPr>
          <w:rFonts w:hint="eastAsia" w:ascii="宋体" w:hAnsi="宋体" w:eastAsia="宋体" w:cs="宋体"/>
          <w:szCs w:val="21"/>
        </w:rPr>
        <w:fldChar w:fldCharType="begin"/>
      </w:r>
      <w:r>
        <w:rPr>
          <w:rFonts w:hint="eastAsia" w:ascii="宋体" w:hAnsi="宋体" w:eastAsia="宋体" w:cs="宋体"/>
          <w:szCs w:val="21"/>
        </w:rPr>
        <w:instrText xml:space="preserve"> HYPERLINK \l _Toc15097 </w:instrText>
      </w:r>
      <w:r>
        <w:rPr>
          <w:rFonts w:hint="eastAsia" w:ascii="宋体" w:hAnsi="宋体" w:eastAsia="宋体" w:cs="宋体"/>
          <w:szCs w:val="21"/>
        </w:rPr>
        <w:fldChar w:fldCharType="separate"/>
      </w:r>
      <w:r>
        <w:rPr>
          <w:rFonts w:hint="eastAsia" w:ascii="宋体" w:hAnsi="宋体" w:eastAsia="宋体" w:cs="宋体"/>
          <w:bCs/>
          <w:szCs w:val="21"/>
        </w:rPr>
        <w:t>四、响应文件提交</w:t>
      </w:r>
      <w:r>
        <w:rPr>
          <w:rFonts w:hint="eastAsia" w:ascii="宋体" w:hAnsi="宋体" w:eastAsia="宋体" w:cs="宋体"/>
        </w:rPr>
        <w:tab/>
      </w:r>
      <w:r>
        <w:rPr>
          <w:rFonts w:hint="eastAsia" w:ascii="宋体" w:hAnsi="宋体" w:eastAsia="宋体" w:cs="宋体"/>
        </w:rPr>
        <w:fldChar w:fldCharType="begin"/>
      </w:r>
      <w:r>
        <w:rPr>
          <w:rFonts w:hint="eastAsia" w:ascii="宋体" w:hAnsi="宋体" w:eastAsia="宋体" w:cs="宋体"/>
        </w:rPr>
        <w:instrText xml:space="preserve"> PAGEREF _Toc15097 \h </w:instrText>
      </w:r>
      <w:r>
        <w:rPr>
          <w:rFonts w:hint="eastAsia" w:ascii="宋体" w:hAnsi="宋体" w:eastAsia="宋体" w:cs="宋体"/>
        </w:rPr>
        <w:fldChar w:fldCharType="separate"/>
      </w:r>
      <w:r>
        <w:rPr>
          <w:rFonts w:hint="eastAsia" w:ascii="宋体" w:hAnsi="宋体" w:eastAsia="宋体" w:cs="宋体"/>
        </w:rPr>
        <w:t>4</w:t>
      </w:r>
      <w:r>
        <w:rPr>
          <w:rFonts w:hint="eastAsia" w:ascii="宋体" w:hAnsi="宋体" w:eastAsia="宋体" w:cs="宋体"/>
        </w:rPr>
        <w:fldChar w:fldCharType="end"/>
      </w:r>
      <w:r>
        <w:rPr>
          <w:rFonts w:hint="eastAsia" w:ascii="宋体" w:hAnsi="宋体" w:eastAsia="宋体" w:cs="宋体"/>
          <w:szCs w:val="21"/>
        </w:rPr>
        <w:fldChar w:fldCharType="end"/>
      </w:r>
    </w:p>
    <w:p w14:paraId="7F2B2C7D">
      <w:pPr>
        <w:pStyle w:val="30"/>
        <w:keepNext w:val="0"/>
        <w:keepLines w:val="0"/>
        <w:pageBreakBefore w:val="0"/>
        <w:widowControl w:val="0"/>
        <w:tabs>
          <w:tab w:val="right" w:leader="dot" w:pos="9072"/>
        </w:tabs>
        <w:kinsoku/>
        <w:wordWrap/>
        <w:overflowPunct/>
        <w:topLinePunct w:val="0"/>
        <w:autoSpaceDE/>
        <w:autoSpaceDN/>
        <w:bidi w:val="0"/>
        <w:spacing w:line="360" w:lineRule="auto"/>
        <w:textAlignment w:val="auto"/>
        <w:rPr>
          <w:rFonts w:hint="eastAsia" w:ascii="宋体" w:hAnsi="宋体" w:eastAsia="宋体" w:cs="宋体"/>
        </w:rPr>
      </w:pPr>
      <w:r>
        <w:rPr>
          <w:rFonts w:hint="eastAsia" w:ascii="宋体" w:hAnsi="宋体" w:eastAsia="宋体" w:cs="宋体"/>
          <w:szCs w:val="21"/>
        </w:rPr>
        <w:fldChar w:fldCharType="begin"/>
      </w:r>
      <w:r>
        <w:rPr>
          <w:rFonts w:hint="eastAsia" w:ascii="宋体" w:hAnsi="宋体" w:eastAsia="宋体" w:cs="宋体"/>
          <w:szCs w:val="21"/>
        </w:rPr>
        <w:instrText xml:space="preserve"> HYPERLINK \l _Toc12778 </w:instrText>
      </w:r>
      <w:r>
        <w:rPr>
          <w:rFonts w:hint="eastAsia" w:ascii="宋体" w:hAnsi="宋体" w:eastAsia="宋体" w:cs="宋体"/>
          <w:szCs w:val="21"/>
        </w:rPr>
        <w:fldChar w:fldCharType="separate"/>
      </w:r>
      <w:r>
        <w:rPr>
          <w:rFonts w:hint="eastAsia" w:ascii="宋体" w:hAnsi="宋体" w:eastAsia="宋体" w:cs="宋体"/>
          <w:bCs/>
          <w:szCs w:val="21"/>
        </w:rPr>
        <w:t>五、开启</w:t>
      </w:r>
      <w:r>
        <w:rPr>
          <w:rFonts w:hint="eastAsia" w:ascii="宋体" w:hAnsi="宋体" w:eastAsia="宋体" w:cs="宋体"/>
        </w:rPr>
        <w:tab/>
      </w:r>
      <w:r>
        <w:rPr>
          <w:rFonts w:hint="eastAsia" w:ascii="宋体" w:hAnsi="宋体" w:eastAsia="宋体" w:cs="宋体"/>
        </w:rPr>
        <w:fldChar w:fldCharType="begin"/>
      </w:r>
      <w:r>
        <w:rPr>
          <w:rFonts w:hint="eastAsia" w:ascii="宋体" w:hAnsi="宋体" w:eastAsia="宋体" w:cs="宋体"/>
        </w:rPr>
        <w:instrText xml:space="preserve"> PAGEREF _Toc12778 \h </w:instrText>
      </w:r>
      <w:r>
        <w:rPr>
          <w:rFonts w:hint="eastAsia" w:ascii="宋体" w:hAnsi="宋体" w:eastAsia="宋体" w:cs="宋体"/>
        </w:rPr>
        <w:fldChar w:fldCharType="separate"/>
      </w:r>
      <w:r>
        <w:rPr>
          <w:rFonts w:hint="eastAsia" w:ascii="宋体" w:hAnsi="宋体" w:eastAsia="宋体" w:cs="宋体"/>
        </w:rPr>
        <w:t>5</w:t>
      </w:r>
      <w:r>
        <w:rPr>
          <w:rFonts w:hint="eastAsia" w:ascii="宋体" w:hAnsi="宋体" w:eastAsia="宋体" w:cs="宋体"/>
        </w:rPr>
        <w:fldChar w:fldCharType="end"/>
      </w:r>
      <w:r>
        <w:rPr>
          <w:rFonts w:hint="eastAsia" w:ascii="宋体" w:hAnsi="宋体" w:eastAsia="宋体" w:cs="宋体"/>
          <w:szCs w:val="21"/>
        </w:rPr>
        <w:fldChar w:fldCharType="end"/>
      </w:r>
    </w:p>
    <w:p w14:paraId="2159EBA3">
      <w:pPr>
        <w:pStyle w:val="30"/>
        <w:keepNext w:val="0"/>
        <w:keepLines w:val="0"/>
        <w:pageBreakBefore w:val="0"/>
        <w:widowControl w:val="0"/>
        <w:tabs>
          <w:tab w:val="right" w:leader="dot" w:pos="9072"/>
        </w:tabs>
        <w:kinsoku/>
        <w:wordWrap/>
        <w:overflowPunct/>
        <w:topLinePunct w:val="0"/>
        <w:autoSpaceDE/>
        <w:autoSpaceDN/>
        <w:bidi w:val="0"/>
        <w:spacing w:line="360" w:lineRule="auto"/>
        <w:textAlignment w:val="auto"/>
        <w:rPr>
          <w:rFonts w:hint="eastAsia" w:ascii="宋体" w:hAnsi="宋体" w:eastAsia="宋体" w:cs="宋体"/>
        </w:rPr>
      </w:pPr>
      <w:r>
        <w:rPr>
          <w:rFonts w:hint="eastAsia" w:ascii="宋体" w:hAnsi="宋体" w:eastAsia="宋体" w:cs="宋体"/>
          <w:szCs w:val="21"/>
        </w:rPr>
        <w:fldChar w:fldCharType="begin"/>
      </w:r>
      <w:r>
        <w:rPr>
          <w:rFonts w:hint="eastAsia" w:ascii="宋体" w:hAnsi="宋体" w:eastAsia="宋体" w:cs="宋体"/>
          <w:szCs w:val="21"/>
        </w:rPr>
        <w:instrText xml:space="preserve"> HYPERLINK \l _Toc26459 </w:instrText>
      </w:r>
      <w:r>
        <w:rPr>
          <w:rFonts w:hint="eastAsia" w:ascii="宋体" w:hAnsi="宋体" w:eastAsia="宋体" w:cs="宋体"/>
          <w:szCs w:val="21"/>
        </w:rPr>
        <w:fldChar w:fldCharType="separate"/>
      </w:r>
      <w:r>
        <w:rPr>
          <w:rFonts w:hint="eastAsia" w:ascii="宋体" w:hAnsi="宋体" w:eastAsia="宋体" w:cs="宋体"/>
          <w:bCs/>
          <w:szCs w:val="21"/>
        </w:rPr>
        <w:t>六、公告期限</w:t>
      </w:r>
      <w:r>
        <w:rPr>
          <w:rFonts w:hint="eastAsia" w:ascii="宋体" w:hAnsi="宋体" w:eastAsia="宋体" w:cs="宋体"/>
        </w:rPr>
        <w:tab/>
      </w:r>
      <w:r>
        <w:rPr>
          <w:rFonts w:hint="eastAsia" w:ascii="宋体" w:hAnsi="宋体" w:eastAsia="宋体" w:cs="宋体"/>
        </w:rPr>
        <w:fldChar w:fldCharType="begin"/>
      </w:r>
      <w:r>
        <w:rPr>
          <w:rFonts w:hint="eastAsia" w:ascii="宋体" w:hAnsi="宋体" w:eastAsia="宋体" w:cs="宋体"/>
        </w:rPr>
        <w:instrText xml:space="preserve"> PAGEREF _Toc26459 \h </w:instrText>
      </w:r>
      <w:r>
        <w:rPr>
          <w:rFonts w:hint="eastAsia" w:ascii="宋体" w:hAnsi="宋体" w:eastAsia="宋体" w:cs="宋体"/>
        </w:rPr>
        <w:fldChar w:fldCharType="separate"/>
      </w:r>
      <w:r>
        <w:rPr>
          <w:rFonts w:hint="eastAsia" w:ascii="宋体" w:hAnsi="宋体" w:eastAsia="宋体" w:cs="宋体"/>
        </w:rPr>
        <w:t>5</w:t>
      </w:r>
      <w:r>
        <w:rPr>
          <w:rFonts w:hint="eastAsia" w:ascii="宋体" w:hAnsi="宋体" w:eastAsia="宋体" w:cs="宋体"/>
        </w:rPr>
        <w:fldChar w:fldCharType="end"/>
      </w:r>
      <w:r>
        <w:rPr>
          <w:rFonts w:hint="eastAsia" w:ascii="宋体" w:hAnsi="宋体" w:eastAsia="宋体" w:cs="宋体"/>
          <w:szCs w:val="21"/>
        </w:rPr>
        <w:fldChar w:fldCharType="end"/>
      </w:r>
    </w:p>
    <w:p w14:paraId="7C49CB88">
      <w:pPr>
        <w:pStyle w:val="26"/>
        <w:keepNext w:val="0"/>
        <w:keepLines w:val="0"/>
        <w:pageBreakBefore w:val="0"/>
        <w:widowControl w:val="0"/>
        <w:tabs>
          <w:tab w:val="right" w:leader="dot" w:pos="9072"/>
        </w:tabs>
        <w:kinsoku/>
        <w:wordWrap/>
        <w:overflowPunct/>
        <w:topLinePunct w:val="0"/>
        <w:autoSpaceDE/>
        <w:autoSpaceDN/>
        <w:bidi w:val="0"/>
        <w:spacing w:line="360" w:lineRule="auto"/>
        <w:textAlignment w:val="auto"/>
        <w:rPr>
          <w:rFonts w:hint="eastAsia" w:ascii="宋体" w:hAnsi="宋体" w:eastAsia="宋体" w:cs="宋体"/>
        </w:rPr>
      </w:pPr>
      <w:r>
        <w:rPr>
          <w:rFonts w:hint="eastAsia" w:ascii="宋体" w:hAnsi="宋体" w:eastAsia="宋体" w:cs="宋体"/>
          <w:szCs w:val="21"/>
        </w:rPr>
        <w:fldChar w:fldCharType="begin"/>
      </w:r>
      <w:r>
        <w:rPr>
          <w:rFonts w:hint="eastAsia" w:ascii="宋体" w:hAnsi="宋体" w:eastAsia="宋体" w:cs="宋体"/>
          <w:szCs w:val="21"/>
        </w:rPr>
        <w:instrText xml:space="preserve"> HYPERLINK \l _Toc30867 </w:instrText>
      </w:r>
      <w:r>
        <w:rPr>
          <w:rFonts w:hint="eastAsia" w:ascii="宋体" w:hAnsi="宋体" w:eastAsia="宋体" w:cs="宋体"/>
          <w:szCs w:val="21"/>
        </w:rPr>
        <w:fldChar w:fldCharType="separate"/>
      </w:r>
      <w:r>
        <w:rPr>
          <w:rFonts w:hint="eastAsia" w:ascii="宋体" w:hAnsi="宋体" w:eastAsia="宋体" w:cs="宋体"/>
          <w:bCs/>
          <w:szCs w:val="28"/>
        </w:rPr>
        <w:t>第二章 供应商须知</w:t>
      </w:r>
      <w:r>
        <w:rPr>
          <w:rFonts w:hint="eastAsia" w:ascii="宋体" w:hAnsi="宋体" w:eastAsia="宋体" w:cs="宋体"/>
        </w:rPr>
        <w:tab/>
      </w:r>
      <w:r>
        <w:rPr>
          <w:rFonts w:hint="eastAsia" w:ascii="宋体" w:hAnsi="宋体" w:eastAsia="宋体" w:cs="宋体"/>
        </w:rPr>
        <w:fldChar w:fldCharType="begin"/>
      </w:r>
      <w:r>
        <w:rPr>
          <w:rFonts w:hint="eastAsia" w:ascii="宋体" w:hAnsi="宋体" w:eastAsia="宋体" w:cs="宋体"/>
        </w:rPr>
        <w:instrText xml:space="preserve"> PAGEREF _Toc30867 \h </w:instrText>
      </w:r>
      <w:r>
        <w:rPr>
          <w:rFonts w:hint="eastAsia" w:ascii="宋体" w:hAnsi="宋体" w:eastAsia="宋体" w:cs="宋体"/>
        </w:rPr>
        <w:fldChar w:fldCharType="separate"/>
      </w:r>
      <w:r>
        <w:rPr>
          <w:rFonts w:hint="eastAsia" w:ascii="宋体" w:hAnsi="宋体" w:eastAsia="宋体" w:cs="宋体"/>
        </w:rPr>
        <w:t>8</w:t>
      </w:r>
      <w:r>
        <w:rPr>
          <w:rFonts w:hint="eastAsia" w:ascii="宋体" w:hAnsi="宋体" w:eastAsia="宋体" w:cs="宋体"/>
        </w:rPr>
        <w:fldChar w:fldCharType="end"/>
      </w:r>
      <w:r>
        <w:rPr>
          <w:rFonts w:hint="eastAsia" w:ascii="宋体" w:hAnsi="宋体" w:eastAsia="宋体" w:cs="宋体"/>
          <w:szCs w:val="21"/>
        </w:rPr>
        <w:fldChar w:fldCharType="end"/>
      </w:r>
    </w:p>
    <w:p w14:paraId="20AB83BB">
      <w:pPr>
        <w:pStyle w:val="30"/>
        <w:keepNext w:val="0"/>
        <w:keepLines w:val="0"/>
        <w:pageBreakBefore w:val="0"/>
        <w:widowControl w:val="0"/>
        <w:tabs>
          <w:tab w:val="right" w:leader="dot" w:pos="9072"/>
        </w:tabs>
        <w:kinsoku/>
        <w:wordWrap/>
        <w:overflowPunct/>
        <w:topLinePunct w:val="0"/>
        <w:autoSpaceDE/>
        <w:autoSpaceDN/>
        <w:bidi w:val="0"/>
        <w:spacing w:line="360" w:lineRule="auto"/>
        <w:textAlignment w:val="auto"/>
        <w:rPr>
          <w:rFonts w:hint="eastAsia" w:ascii="宋体" w:hAnsi="宋体" w:eastAsia="宋体" w:cs="宋体"/>
        </w:rPr>
      </w:pPr>
      <w:r>
        <w:rPr>
          <w:rFonts w:hint="eastAsia" w:ascii="宋体" w:hAnsi="宋体" w:eastAsia="宋体" w:cs="宋体"/>
          <w:szCs w:val="21"/>
        </w:rPr>
        <w:fldChar w:fldCharType="begin"/>
      </w:r>
      <w:r>
        <w:rPr>
          <w:rFonts w:hint="eastAsia" w:ascii="宋体" w:hAnsi="宋体" w:eastAsia="宋体" w:cs="宋体"/>
          <w:szCs w:val="21"/>
        </w:rPr>
        <w:instrText xml:space="preserve"> HYPERLINK \l _Toc28150 </w:instrText>
      </w:r>
      <w:r>
        <w:rPr>
          <w:rFonts w:hint="eastAsia" w:ascii="宋体" w:hAnsi="宋体" w:eastAsia="宋体" w:cs="宋体"/>
          <w:szCs w:val="21"/>
        </w:rPr>
        <w:fldChar w:fldCharType="separate"/>
      </w:r>
      <w:r>
        <w:rPr>
          <w:rFonts w:hint="eastAsia" w:ascii="宋体" w:hAnsi="宋体" w:eastAsia="宋体" w:cs="宋体"/>
          <w:bCs/>
          <w:szCs w:val="24"/>
        </w:rPr>
        <w:t>一、供应商须知前附表</w:t>
      </w:r>
      <w:r>
        <w:rPr>
          <w:rFonts w:hint="eastAsia" w:ascii="宋体" w:hAnsi="宋体" w:eastAsia="宋体" w:cs="宋体"/>
        </w:rPr>
        <w:tab/>
      </w:r>
      <w:r>
        <w:rPr>
          <w:rFonts w:hint="eastAsia" w:ascii="宋体" w:hAnsi="宋体" w:eastAsia="宋体" w:cs="宋体"/>
        </w:rPr>
        <w:fldChar w:fldCharType="begin"/>
      </w:r>
      <w:r>
        <w:rPr>
          <w:rFonts w:hint="eastAsia" w:ascii="宋体" w:hAnsi="宋体" w:eastAsia="宋体" w:cs="宋体"/>
        </w:rPr>
        <w:instrText xml:space="preserve"> PAGEREF _Toc28150 \h </w:instrText>
      </w:r>
      <w:r>
        <w:rPr>
          <w:rFonts w:hint="eastAsia" w:ascii="宋体" w:hAnsi="宋体" w:eastAsia="宋体" w:cs="宋体"/>
        </w:rPr>
        <w:fldChar w:fldCharType="separate"/>
      </w:r>
      <w:r>
        <w:rPr>
          <w:rFonts w:hint="eastAsia" w:ascii="宋体" w:hAnsi="宋体" w:eastAsia="宋体" w:cs="宋体"/>
        </w:rPr>
        <w:t>8</w:t>
      </w:r>
      <w:r>
        <w:rPr>
          <w:rFonts w:hint="eastAsia" w:ascii="宋体" w:hAnsi="宋体" w:eastAsia="宋体" w:cs="宋体"/>
        </w:rPr>
        <w:fldChar w:fldCharType="end"/>
      </w:r>
      <w:r>
        <w:rPr>
          <w:rFonts w:hint="eastAsia" w:ascii="宋体" w:hAnsi="宋体" w:eastAsia="宋体" w:cs="宋体"/>
          <w:szCs w:val="21"/>
        </w:rPr>
        <w:fldChar w:fldCharType="end"/>
      </w:r>
    </w:p>
    <w:p w14:paraId="37FAAE05">
      <w:pPr>
        <w:pStyle w:val="30"/>
        <w:keepNext w:val="0"/>
        <w:keepLines w:val="0"/>
        <w:pageBreakBefore w:val="0"/>
        <w:widowControl w:val="0"/>
        <w:tabs>
          <w:tab w:val="right" w:leader="dot" w:pos="9072"/>
        </w:tabs>
        <w:kinsoku/>
        <w:wordWrap/>
        <w:overflowPunct/>
        <w:topLinePunct w:val="0"/>
        <w:autoSpaceDE/>
        <w:autoSpaceDN/>
        <w:bidi w:val="0"/>
        <w:spacing w:line="360" w:lineRule="auto"/>
        <w:textAlignment w:val="auto"/>
        <w:rPr>
          <w:rFonts w:hint="eastAsia" w:ascii="宋体" w:hAnsi="宋体" w:eastAsia="宋体" w:cs="宋体"/>
        </w:rPr>
      </w:pPr>
      <w:r>
        <w:rPr>
          <w:rFonts w:hint="eastAsia" w:ascii="宋体" w:hAnsi="宋体" w:eastAsia="宋体" w:cs="宋体"/>
          <w:szCs w:val="21"/>
        </w:rPr>
        <w:fldChar w:fldCharType="begin"/>
      </w:r>
      <w:r>
        <w:rPr>
          <w:rFonts w:hint="eastAsia" w:ascii="宋体" w:hAnsi="宋体" w:eastAsia="宋体" w:cs="宋体"/>
          <w:szCs w:val="21"/>
        </w:rPr>
        <w:instrText xml:space="preserve"> HYPERLINK \l _Toc8828 </w:instrText>
      </w:r>
      <w:r>
        <w:rPr>
          <w:rFonts w:hint="eastAsia" w:ascii="宋体" w:hAnsi="宋体" w:eastAsia="宋体" w:cs="宋体"/>
          <w:szCs w:val="21"/>
        </w:rPr>
        <w:fldChar w:fldCharType="separate"/>
      </w:r>
      <w:r>
        <w:rPr>
          <w:rFonts w:hint="eastAsia" w:ascii="宋体" w:hAnsi="宋体" w:eastAsia="宋体" w:cs="宋体"/>
          <w:bCs/>
          <w:szCs w:val="24"/>
        </w:rPr>
        <w:t>二、供应商须知正文</w:t>
      </w:r>
      <w:r>
        <w:rPr>
          <w:rFonts w:hint="eastAsia" w:ascii="宋体" w:hAnsi="宋体" w:eastAsia="宋体" w:cs="宋体"/>
        </w:rPr>
        <w:tab/>
      </w:r>
      <w:r>
        <w:rPr>
          <w:rFonts w:hint="eastAsia" w:ascii="宋体" w:hAnsi="宋体" w:eastAsia="宋体" w:cs="宋体"/>
        </w:rPr>
        <w:fldChar w:fldCharType="begin"/>
      </w:r>
      <w:r>
        <w:rPr>
          <w:rFonts w:hint="eastAsia" w:ascii="宋体" w:hAnsi="宋体" w:eastAsia="宋体" w:cs="宋体"/>
        </w:rPr>
        <w:instrText xml:space="preserve"> PAGEREF _Toc8828 \h </w:instrText>
      </w:r>
      <w:r>
        <w:rPr>
          <w:rFonts w:hint="eastAsia" w:ascii="宋体" w:hAnsi="宋体" w:eastAsia="宋体" w:cs="宋体"/>
        </w:rPr>
        <w:fldChar w:fldCharType="separate"/>
      </w:r>
      <w:r>
        <w:rPr>
          <w:rFonts w:hint="eastAsia" w:ascii="宋体" w:hAnsi="宋体" w:eastAsia="宋体" w:cs="宋体"/>
        </w:rPr>
        <w:t>11</w:t>
      </w:r>
      <w:r>
        <w:rPr>
          <w:rFonts w:hint="eastAsia" w:ascii="宋体" w:hAnsi="宋体" w:eastAsia="宋体" w:cs="宋体"/>
        </w:rPr>
        <w:fldChar w:fldCharType="end"/>
      </w:r>
      <w:r>
        <w:rPr>
          <w:rFonts w:hint="eastAsia" w:ascii="宋体" w:hAnsi="宋体" w:eastAsia="宋体" w:cs="宋体"/>
          <w:szCs w:val="21"/>
        </w:rPr>
        <w:fldChar w:fldCharType="end"/>
      </w:r>
    </w:p>
    <w:p w14:paraId="7AF5CCCE">
      <w:pPr>
        <w:pStyle w:val="30"/>
        <w:keepNext w:val="0"/>
        <w:keepLines w:val="0"/>
        <w:pageBreakBefore w:val="0"/>
        <w:widowControl w:val="0"/>
        <w:tabs>
          <w:tab w:val="right" w:leader="dot" w:pos="9072"/>
        </w:tabs>
        <w:kinsoku/>
        <w:wordWrap/>
        <w:overflowPunct/>
        <w:topLinePunct w:val="0"/>
        <w:autoSpaceDE/>
        <w:autoSpaceDN/>
        <w:bidi w:val="0"/>
        <w:spacing w:line="360" w:lineRule="auto"/>
        <w:textAlignment w:val="auto"/>
        <w:rPr>
          <w:rFonts w:hint="eastAsia" w:ascii="宋体" w:hAnsi="宋体" w:eastAsia="宋体" w:cs="宋体"/>
        </w:rPr>
      </w:pPr>
      <w:r>
        <w:rPr>
          <w:rFonts w:hint="eastAsia" w:ascii="宋体" w:hAnsi="宋体" w:eastAsia="宋体" w:cs="宋体"/>
          <w:szCs w:val="21"/>
        </w:rPr>
        <w:fldChar w:fldCharType="begin"/>
      </w:r>
      <w:r>
        <w:rPr>
          <w:rFonts w:hint="eastAsia" w:ascii="宋体" w:hAnsi="宋体" w:eastAsia="宋体" w:cs="宋体"/>
          <w:szCs w:val="21"/>
        </w:rPr>
        <w:instrText xml:space="preserve"> HYPERLINK \l _Toc24461 </w:instrText>
      </w:r>
      <w:r>
        <w:rPr>
          <w:rFonts w:hint="eastAsia" w:ascii="宋体" w:hAnsi="宋体" w:eastAsia="宋体" w:cs="宋体"/>
          <w:szCs w:val="21"/>
        </w:rPr>
        <w:fldChar w:fldCharType="separate"/>
      </w:r>
      <w:r>
        <w:rPr>
          <w:rFonts w:hint="eastAsia" w:ascii="宋体" w:hAnsi="宋体" w:eastAsia="宋体" w:cs="宋体"/>
          <w:szCs w:val="21"/>
        </w:rPr>
        <w:t>（一）总则</w:t>
      </w:r>
      <w:r>
        <w:rPr>
          <w:rFonts w:hint="eastAsia" w:ascii="宋体" w:hAnsi="宋体" w:eastAsia="宋体" w:cs="宋体"/>
        </w:rPr>
        <w:tab/>
      </w:r>
      <w:r>
        <w:rPr>
          <w:rFonts w:hint="eastAsia" w:ascii="宋体" w:hAnsi="宋体" w:eastAsia="宋体" w:cs="宋体"/>
        </w:rPr>
        <w:fldChar w:fldCharType="begin"/>
      </w:r>
      <w:r>
        <w:rPr>
          <w:rFonts w:hint="eastAsia" w:ascii="宋体" w:hAnsi="宋体" w:eastAsia="宋体" w:cs="宋体"/>
        </w:rPr>
        <w:instrText xml:space="preserve"> PAGEREF _Toc24461 \h </w:instrText>
      </w:r>
      <w:r>
        <w:rPr>
          <w:rFonts w:hint="eastAsia" w:ascii="宋体" w:hAnsi="宋体" w:eastAsia="宋体" w:cs="宋体"/>
        </w:rPr>
        <w:fldChar w:fldCharType="separate"/>
      </w:r>
      <w:r>
        <w:rPr>
          <w:rFonts w:hint="eastAsia" w:ascii="宋体" w:hAnsi="宋体" w:eastAsia="宋体" w:cs="宋体"/>
        </w:rPr>
        <w:t>11</w:t>
      </w:r>
      <w:r>
        <w:rPr>
          <w:rFonts w:hint="eastAsia" w:ascii="宋体" w:hAnsi="宋体" w:eastAsia="宋体" w:cs="宋体"/>
        </w:rPr>
        <w:fldChar w:fldCharType="end"/>
      </w:r>
      <w:r>
        <w:rPr>
          <w:rFonts w:hint="eastAsia" w:ascii="宋体" w:hAnsi="宋体" w:eastAsia="宋体" w:cs="宋体"/>
          <w:szCs w:val="21"/>
        </w:rPr>
        <w:fldChar w:fldCharType="end"/>
      </w:r>
    </w:p>
    <w:p w14:paraId="10DAC921">
      <w:pPr>
        <w:pStyle w:val="30"/>
        <w:keepNext w:val="0"/>
        <w:keepLines w:val="0"/>
        <w:pageBreakBefore w:val="0"/>
        <w:widowControl w:val="0"/>
        <w:tabs>
          <w:tab w:val="right" w:leader="dot" w:pos="9072"/>
        </w:tabs>
        <w:kinsoku/>
        <w:wordWrap/>
        <w:overflowPunct/>
        <w:topLinePunct w:val="0"/>
        <w:autoSpaceDE/>
        <w:autoSpaceDN/>
        <w:bidi w:val="0"/>
        <w:spacing w:line="360" w:lineRule="auto"/>
        <w:textAlignment w:val="auto"/>
        <w:rPr>
          <w:rFonts w:hint="eastAsia" w:ascii="宋体" w:hAnsi="宋体" w:eastAsia="宋体" w:cs="宋体"/>
        </w:rPr>
      </w:pPr>
      <w:r>
        <w:rPr>
          <w:rFonts w:hint="eastAsia" w:ascii="宋体" w:hAnsi="宋体" w:eastAsia="宋体" w:cs="宋体"/>
          <w:szCs w:val="21"/>
        </w:rPr>
        <w:fldChar w:fldCharType="begin"/>
      </w:r>
      <w:r>
        <w:rPr>
          <w:rFonts w:hint="eastAsia" w:ascii="宋体" w:hAnsi="宋体" w:eastAsia="宋体" w:cs="宋体"/>
          <w:szCs w:val="21"/>
        </w:rPr>
        <w:instrText xml:space="preserve"> HYPERLINK \l _Toc3676 </w:instrText>
      </w:r>
      <w:r>
        <w:rPr>
          <w:rFonts w:hint="eastAsia" w:ascii="宋体" w:hAnsi="宋体" w:eastAsia="宋体" w:cs="宋体"/>
          <w:szCs w:val="21"/>
        </w:rPr>
        <w:fldChar w:fldCharType="separate"/>
      </w:r>
      <w:r>
        <w:rPr>
          <w:rFonts w:hint="eastAsia" w:ascii="宋体" w:hAnsi="宋体" w:eastAsia="宋体" w:cs="宋体"/>
          <w:szCs w:val="21"/>
        </w:rPr>
        <w:t>（二）磋商文件</w:t>
      </w:r>
      <w:r>
        <w:rPr>
          <w:rFonts w:hint="eastAsia" w:ascii="宋体" w:hAnsi="宋体" w:eastAsia="宋体" w:cs="宋体"/>
        </w:rPr>
        <w:tab/>
      </w:r>
      <w:r>
        <w:rPr>
          <w:rFonts w:hint="eastAsia" w:ascii="宋体" w:hAnsi="宋体" w:eastAsia="宋体" w:cs="宋体"/>
        </w:rPr>
        <w:fldChar w:fldCharType="begin"/>
      </w:r>
      <w:r>
        <w:rPr>
          <w:rFonts w:hint="eastAsia" w:ascii="宋体" w:hAnsi="宋体" w:eastAsia="宋体" w:cs="宋体"/>
        </w:rPr>
        <w:instrText xml:space="preserve"> PAGEREF _Toc3676 \h </w:instrText>
      </w:r>
      <w:r>
        <w:rPr>
          <w:rFonts w:hint="eastAsia" w:ascii="宋体" w:hAnsi="宋体" w:eastAsia="宋体" w:cs="宋体"/>
        </w:rPr>
        <w:fldChar w:fldCharType="separate"/>
      </w:r>
      <w:r>
        <w:rPr>
          <w:rFonts w:hint="eastAsia" w:ascii="宋体" w:hAnsi="宋体" w:eastAsia="宋体" w:cs="宋体"/>
        </w:rPr>
        <w:t>11</w:t>
      </w:r>
      <w:r>
        <w:rPr>
          <w:rFonts w:hint="eastAsia" w:ascii="宋体" w:hAnsi="宋体" w:eastAsia="宋体" w:cs="宋体"/>
        </w:rPr>
        <w:fldChar w:fldCharType="end"/>
      </w:r>
      <w:r>
        <w:rPr>
          <w:rFonts w:hint="eastAsia" w:ascii="宋体" w:hAnsi="宋体" w:eastAsia="宋体" w:cs="宋体"/>
          <w:szCs w:val="21"/>
        </w:rPr>
        <w:fldChar w:fldCharType="end"/>
      </w:r>
    </w:p>
    <w:p w14:paraId="4A9D17E1">
      <w:pPr>
        <w:pStyle w:val="30"/>
        <w:keepNext w:val="0"/>
        <w:keepLines w:val="0"/>
        <w:pageBreakBefore w:val="0"/>
        <w:widowControl w:val="0"/>
        <w:tabs>
          <w:tab w:val="right" w:leader="dot" w:pos="9072"/>
        </w:tabs>
        <w:kinsoku/>
        <w:wordWrap/>
        <w:overflowPunct/>
        <w:topLinePunct w:val="0"/>
        <w:autoSpaceDE/>
        <w:autoSpaceDN/>
        <w:bidi w:val="0"/>
        <w:spacing w:line="360" w:lineRule="auto"/>
        <w:textAlignment w:val="auto"/>
        <w:rPr>
          <w:rFonts w:hint="eastAsia" w:ascii="宋体" w:hAnsi="宋体" w:eastAsia="宋体" w:cs="宋体"/>
        </w:rPr>
      </w:pPr>
      <w:r>
        <w:rPr>
          <w:rFonts w:hint="eastAsia" w:ascii="宋体" w:hAnsi="宋体" w:eastAsia="宋体" w:cs="宋体"/>
          <w:szCs w:val="21"/>
        </w:rPr>
        <w:fldChar w:fldCharType="begin"/>
      </w:r>
      <w:r>
        <w:rPr>
          <w:rFonts w:hint="eastAsia" w:ascii="宋体" w:hAnsi="宋体" w:eastAsia="宋体" w:cs="宋体"/>
          <w:szCs w:val="21"/>
        </w:rPr>
        <w:instrText xml:space="preserve"> HYPERLINK \l _Toc11803 </w:instrText>
      </w:r>
      <w:r>
        <w:rPr>
          <w:rFonts w:hint="eastAsia" w:ascii="宋体" w:hAnsi="宋体" w:eastAsia="宋体" w:cs="宋体"/>
          <w:szCs w:val="21"/>
        </w:rPr>
        <w:fldChar w:fldCharType="separate"/>
      </w:r>
      <w:r>
        <w:rPr>
          <w:rFonts w:hint="eastAsia" w:ascii="宋体" w:hAnsi="宋体" w:eastAsia="宋体" w:cs="宋体"/>
          <w:szCs w:val="21"/>
        </w:rPr>
        <w:t>（三）磋商响应文件</w:t>
      </w:r>
      <w:r>
        <w:rPr>
          <w:rFonts w:hint="eastAsia" w:ascii="宋体" w:hAnsi="宋体" w:eastAsia="宋体" w:cs="宋体"/>
        </w:rPr>
        <w:tab/>
      </w:r>
      <w:r>
        <w:rPr>
          <w:rFonts w:hint="eastAsia" w:ascii="宋体" w:hAnsi="宋体" w:eastAsia="宋体" w:cs="宋体"/>
        </w:rPr>
        <w:fldChar w:fldCharType="begin"/>
      </w:r>
      <w:r>
        <w:rPr>
          <w:rFonts w:hint="eastAsia" w:ascii="宋体" w:hAnsi="宋体" w:eastAsia="宋体" w:cs="宋体"/>
        </w:rPr>
        <w:instrText xml:space="preserve"> PAGEREF _Toc11803 \h </w:instrText>
      </w:r>
      <w:r>
        <w:rPr>
          <w:rFonts w:hint="eastAsia" w:ascii="宋体" w:hAnsi="宋体" w:eastAsia="宋体" w:cs="宋体"/>
        </w:rPr>
        <w:fldChar w:fldCharType="separate"/>
      </w:r>
      <w:r>
        <w:rPr>
          <w:rFonts w:hint="eastAsia" w:ascii="宋体" w:hAnsi="宋体" w:eastAsia="宋体" w:cs="宋体"/>
        </w:rPr>
        <w:t>13</w:t>
      </w:r>
      <w:r>
        <w:rPr>
          <w:rFonts w:hint="eastAsia" w:ascii="宋体" w:hAnsi="宋体" w:eastAsia="宋体" w:cs="宋体"/>
        </w:rPr>
        <w:fldChar w:fldCharType="end"/>
      </w:r>
      <w:r>
        <w:rPr>
          <w:rFonts w:hint="eastAsia" w:ascii="宋体" w:hAnsi="宋体" w:eastAsia="宋体" w:cs="宋体"/>
          <w:szCs w:val="21"/>
        </w:rPr>
        <w:fldChar w:fldCharType="end"/>
      </w:r>
    </w:p>
    <w:p w14:paraId="32AA8083">
      <w:pPr>
        <w:pStyle w:val="30"/>
        <w:keepNext w:val="0"/>
        <w:keepLines w:val="0"/>
        <w:pageBreakBefore w:val="0"/>
        <w:widowControl w:val="0"/>
        <w:tabs>
          <w:tab w:val="right" w:leader="dot" w:pos="9072"/>
        </w:tabs>
        <w:kinsoku/>
        <w:wordWrap/>
        <w:overflowPunct/>
        <w:topLinePunct w:val="0"/>
        <w:autoSpaceDE/>
        <w:autoSpaceDN/>
        <w:bidi w:val="0"/>
        <w:spacing w:line="360" w:lineRule="auto"/>
        <w:textAlignment w:val="auto"/>
        <w:rPr>
          <w:rFonts w:hint="eastAsia" w:ascii="宋体" w:hAnsi="宋体" w:eastAsia="宋体" w:cs="宋体"/>
        </w:rPr>
      </w:pPr>
      <w:r>
        <w:rPr>
          <w:rFonts w:hint="eastAsia" w:ascii="宋体" w:hAnsi="宋体" w:eastAsia="宋体" w:cs="宋体"/>
          <w:szCs w:val="21"/>
        </w:rPr>
        <w:fldChar w:fldCharType="begin"/>
      </w:r>
      <w:r>
        <w:rPr>
          <w:rFonts w:hint="eastAsia" w:ascii="宋体" w:hAnsi="宋体" w:eastAsia="宋体" w:cs="宋体"/>
          <w:szCs w:val="21"/>
        </w:rPr>
        <w:instrText xml:space="preserve"> HYPERLINK \l _Toc28621 </w:instrText>
      </w:r>
      <w:r>
        <w:rPr>
          <w:rFonts w:hint="eastAsia" w:ascii="宋体" w:hAnsi="宋体" w:eastAsia="宋体" w:cs="宋体"/>
          <w:szCs w:val="21"/>
        </w:rPr>
        <w:fldChar w:fldCharType="separate"/>
      </w:r>
      <w:r>
        <w:rPr>
          <w:rFonts w:hint="eastAsia" w:ascii="宋体" w:hAnsi="宋体" w:eastAsia="宋体" w:cs="宋体"/>
          <w:szCs w:val="21"/>
        </w:rPr>
        <w:t>（四）磋商响应文件的提交</w:t>
      </w:r>
      <w:r>
        <w:rPr>
          <w:rFonts w:hint="eastAsia" w:ascii="宋体" w:hAnsi="宋体" w:eastAsia="宋体" w:cs="宋体"/>
        </w:rPr>
        <w:tab/>
      </w:r>
      <w:r>
        <w:rPr>
          <w:rFonts w:hint="eastAsia" w:ascii="宋体" w:hAnsi="宋体" w:eastAsia="宋体" w:cs="宋体"/>
        </w:rPr>
        <w:fldChar w:fldCharType="begin"/>
      </w:r>
      <w:r>
        <w:rPr>
          <w:rFonts w:hint="eastAsia" w:ascii="宋体" w:hAnsi="宋体" w:eastAsia="宋体" w:cs="宋体"/>
        </w:rPr>
        <w:instrText xml:space="preserve"> PAGEREF _Toc28621 \h </w:instrText>
      </w:r>
      <w:r>
        <w:rPr>
          <w:rFonts w:hint="eastAsia" w:ascii="宋体" w:hAnsi="宋体" w:eastAsia="宋体" w:cs="宋体"/>
        </w:rPr>
        <w:fldChar w:fldCharType="separate"/>
      </w:r>
      <w:r>
        <w:rPr>
          <w:rFonts w:hint="eastAsia" w:ascii="宋体" w:hAnsi="宋体" w:eastAsia="宋体" w:cs="宋体"/>
        </w:rPr>
        <w:t>16</w:t>
      </w:r>
      <w:r>
        <w:rPr>
          <w:rFonts w:hint="eastAsia" w:ascii="宋体" w:hAnsi="宋体" w:eastAsia="宋体" w:cs="宋体"/>
        </w:rPr>
        <w:fldChar w:fldCharType="end"/>
      </w:r>
      <w:r>
        <w:rPr>
          <w:rFonts w:hint="eastAsia" w:ascii="宋体" w:hAnsi="宋体" w:eastAsia="宋体" w:cs="宋体"/>
          <w:szCs w:val="21"/>
        </w:rPr>
        <w:fldChar w:fldCharType="end"/>
      </w:r>
    </w:p>
    <w:p w14:paraId="7FF3B969">
      <w:pPr>
        <w:pStyle w:val="30"/>
        <w:keepNext w:val="0"/>
        <w:keepLines w:val="0"/>
        <w:pageBreakBefore w:val="0"/>
        <w:widowControl w:val="0"/>
        <w:tabs>
          <w:tab w:val="right" w:leader="dot" w:pos="9072"/>
        </w:tabs>
        <w:kinsoku/>
        <w:wordWrap/>
        <w:overflowPunct/>
        <w:topLinePunct w:val="0"/>
        <w:autoSpaceDE/>
        <w:autoSpaceDN/>
        <w:bidi w:val="0"/>
        <w:spacing w:line="360" w:lineRule="auto"/>
        <w:textAlignment w:val="auto"/>
        <w:rPr>
          <w:rFonts w:hint="eastAsia" w:ascii="宋体" w:hAnsi="宋体" w:eastAsia="宋体" w:cs="宋体"/>
        </w:rPr>
      </w:pPr>
      <w:r>
        <w:rPr>
          <w:rFonts w:hint="eastAsia" w:ascii="宋体" w:hAnsi="宋体" w:eastAsia="宋体" w:cs="宋体"/>
          <w:szCs w:val="21"/>
        </w:rPr>
        <w:fldChar w:fldCharType="begin"/>
      </w:r>
      <w:r>
        <w:rPr>
          <w:rFonts w:hint="eastAsia" w:ascii="宋体" w:hAnsi="宋体" w:eastAsia="宋体" w:cs="宋体"/>
          <w:szCs w:val="21"/>
        </w:rPr>
        <w:instrText xml:space="preserve"> HYPERLINK \l _Toc6038 </w:instrText>
      </w:r>
      <w:r>
        <w:rPr>
          <w:rFonts w:hint="eastAsia" w:ascii="宋体" w:hAnsi="宋体" w:eastAsia="宋体" w:cs="宋体"/>
          <w:szCs w:val="21"/>
        </w:rPr>
        <w:fldChar w:fldCharType="separate"/>
      </w:r>
      <w:r>
        <w:rPr>
          <w:rFonts w:hint="eastAsia" w:ascii="宋体" w:hAnsi="宋体" w:eastAsia="宋体" w:cs="宋体"/>
          <w:szCs w:val="21"/>
        </w:rPr>
        <w:t>（五）磋商</w:t>
      </w:r>
      <w:r>
        <w:rPr>
          <w:rFonts w:hint="eastAsia" w:ascii="宋体" w:hAnsi="宋体" w:eastAsia="宋体" w:cs="宋体"/>
        </w:rPr>
        <w:tab/>
      </w:r>
      <w:r>
        <w:rPr>
          <w:rFonts w:hint="eastAsia" w:ascii="宋体" w:hAnsi="宋体" w:eastAsia="宋体" w:cs="宋体"/>
        </w:rPr>
        <w:fldChar w:fldCharType="begin"/>
      </w:r>
      <w:r>
        <w:rPr>
          <w:rFonts w:hint="eastAsia" w:ascii="宋体" w:hAnsi="宋体" w:eastAsia="宋体" w:cs="宋体"/>
        </w:rPr>
        <w:instrText xml:space="preserve"> PAGEREF _Toc6038 \h </w:instrText>
      </w:r>
      <w:r>
        <w:rPr>
          <w:rFonts w:hint="eastAsia" w:ascii="宋体" w:hAnsi="宋体" w:eastAsia="宋体" w:cs="宋体"/>
        </w:rPr>
        <w:fldChar w:fldCharType="separate"/>
      </w:r>
      <w:r>
        <w:rPr>
          <w:rFonts w:hint="eastAsia" w:ascii="宋体" w:hAnsi="宋体" w:eastAsia="宋体" w:cs="宋体"/>
        </w:rPr>
        <w:t>16</w:t>
      </w:r>
      <w:r>
        <w:rPr>
          <w:rFonts w:hint="eastAsia" w:ascii="宋体" w:hAnsi="宋体" w:eastAsia="宋体" w:cs="宋体"/>
        </w:rPr>
        <w:fldChar w:fldCharType="end"/>
      </w:r>
      <w:r>
        <w:rPr>
          <w:rFonts w:hint="eastAsia" w:ascii="宋体" w:hAnsi="宋体" w:eastAsia="宋体" w:cs="宋体"/>
          <w:szCs w:val="21"/>
        </w:rPr>
        <w:fldChar w:fldCharType="end"/>
      </w:r>
    </w:p>
    <w:p w14:paraId="75134DAB">
      <w:pPr>
        <w:pStyle w:val="30"/>
        <w:keepNext w:val="0"/>
        <w:keepLines w:val="0"/>
        <w:pageBreakBefore w:val="0"/>
        <w:widowControl w:val="0"/>
        <w:tabs>
          <w:tab w:val="right" w:leader="dot" w:pos="9072"/>
        </w:tabs>
        <w:kinsoku/>
        <w:wordWrap/>
        <w:overflowPunct/>
        <w:topLinePunct w:val="0"/>
        <w:autoSpaceDE/>
        <w:autoSpaceDN/>
        <w:bidi w:val="0"/>
        <w:spacing w:line="360" w:lineRule="auto"/>
        <w:textAlignment w:val="auto"/>
        <w:rPr>
          <w:rFonts w:hint="eastAsia" w:ascii="宋体" w:hAnsi="宋体" w:eastAsia="宋体" w:cs="宋体"/>
        </w:rPr>
      </w:pPr>
      <w:r>
        <w:rPr>
          <w:rFonts w:hint="eastAsia" w:ascii="宋体" w:hAnsi="宋体" w:eastAsia="宋体" w:cs="宋体"/>
          <w:szCs w:val="21"/>
        </w:rPr>
        <w:fldChar w:fldCharType="begin"/>
      </w:r>
      <w:r>
        <w:rPr>
          <w:rFonts w:hint="eastAsia" w:ascii="宋体" w:hAnsi="宋体" w:eastAsia="宋体" w:cs="宋体"/>
          <w:szCs w:val="21"/>
        </w:rPr>
        <w:instrText xml:space="preserve"> HYPERLINK \l _Toc10894 </w:instrText>
      </w:r>
      <w:r>
        <w:rPr>
          <w:rFonts w:hint="eastAsia" w:ascii="宋体" w:hAnsi="宋体" w:eastAsia="宋体" w:cs="宋体"/>
          <w:szCs w:val="21"/>
        </w:rPr>
        <w:fldChar w:fldCharType="separate"/>
      </w:r>
      <w:r>
        <w:rPr>
          <w:rFonts w:hint="eastAsia" w:ascii="宋体" w:hAnsi="宋体" w:eastAsia="宋体" w:cs="宋体"/>
          <w:szCs w:val="21"/>
        </w:rPr>
        <w:t>（六）成交结果</w:t>
      </w:r>
      <w:r>
        <w:rPr>
          <w:rFonts w:hint="eastAsia" w:ascii="宋体" w:hAnsi="宋体" w:eastAsia="宋体" w:cs="宋体"/>
        </w:rPr>
        <w:tab/>
      </w:r>
      <w:r>
        <w:rPr>
          <w:rFonts w:hint="eastAsia" w:ascii="宋体" w:hAnsi="宋体" w:eastAsia="宋体" w:cs="宋体"/>
        </w:rPr>
        <w:fldChar w:fldCharType="begin"/>
      </w:r>
      <w:r>
        <w:rPr>
          <w:rFonts w:hint="eastAsia" w:ascii="宋体" w:hAnsi="宋体" w:eastAsia="宋体" w:cs="宋体"/>
        </w:rPr>
        <w:instrText xml:space="preserve"> PAGEREF _Toc10894 \h </w:instrText>
      </w:r>
      <w:r>
        <w:rPr>
          <w:rFonts w:hint="eastAsia" w:ascii="宋体" w:hAnsi="宋体" w:eastAsia="宋体" w:cs="宋体"/>
        </w:rPr>
        <w:fldChar w:fldCharType="separate"/>
      </w:r>
      <w:r>
        <w:rPr>
          <w:rFonts w:hint="eastAsia" w:ascii="宋体" w:hAnsi="宋体" w:eastAsia="宋体" w:cs="宋体"/>
        </w:rPr>
        <w:t>17</w:t>
      </w:r>
      <w:r>
        <w:rPr>
          <w:rFonts w:hint="eastAsia" w:ascii="宋体" w:hAnsi="宋体" w:eastAsia="宋体" w:cs="宋体"/>
        </w:rPr>
        <w:fldChar w:fldCharType="end"/>
      </w:r>
      <w:r>
        <w:rPr>
          <w:rFonts w:hint="eastAsia" w:ascii="宋体" w:hAnsi="宋体" w:eastAsia="宋体" w:cs="宋体"/>
          <w:szCs w:val="21"/>
        </w:rPr>
        <w:fldChar w:fldCharType="end"/>
      </w:r>
    </w:p>
    <w:p w14:paraId="65A12CCC">
      <w:pPr>
        <w:pStyle w:val="30"/>
        <w:keepNext w:val="0"/>
        <w:keepLines w:val="0"/>
        <w:pageBreakBefore w:val="0"/>
        <w:widowControl w:val="0"/>
        <w:tabs>
          <w:tab w:val="right" w:leader="dot" w:pos="9072"/>
        </w:tabs>
        <w:kinsoku/>
        <w:wordWrap/>
        <w:overflowPunct/>
        <w:topLinePunct w:val="0"/>
        <w:autoSpaceDE/>
        <w:autoSpaceDN/>
        <w:bidi w:val="0"/>
        <w:spacing w:line="360" w:lineRule="auto"/>
        <w:textAlignment w:val="auto"/>
        <w:rPr>
          <w:rFonts w:hint="eastAsia" w:ascii="宋体" w:hAnsi="宋体" w:eastAsia="宋体" w:cs="宋体"/>
        </w:rPr>
      </w:pPr>
      <w:r>
        <w:rPr>
          <w:rFonts w:hint="eastAsia" w:ascii="宋体" w:hAnsi="宋体" w:eastAsia="宋体" w:cs="宋体"/>
          <w:szCs w:val="21"/>
        </w:rPr>
        <w:fldChar w:fldCharType="begin"/>
      </w:r>
      <w:r>
        <w:rPr>
          <w:rFonts w:hint="eastAsia" w:ascii="宋体" w:hAnsi="宋体" w:eastAsia="宋体" w:cs="宋体"/>
          <w:szCs w:val="21"/>
        </w:rPr>
        <w:instrText xml:space="preserve"> HYPERLINK \l _Toc8161 </w:instrText>
      </w:r>
      <w:r>
        <w:rPr>
          <w:rFonts w:hint="eastAsia" w:ascii="宋体" w:hAnsi="宋体" w:eastAsia="宋体" w:cs="宋体"/>
          <w:szCs w:val="21"/>
        </w:rPr>
        <w:fldChar w:fldCharType="separate"/>
      </w:r>
      <w:r>
        <w:rPr>
          <w:rFonts w:hint="eastAsia" w:ascii="宋体" w:hAnsi="宋体" w:eastAsia="宋体" w:cs="宋体"/>
          <w:szCs w:val="21"/>
        </w:rPr>
        <w:t>（七）其他事项</w:t>
      </w:r>
      <w:r>
        <w:rPr>
          <w:rFonts w:hint="eastAsia" w:ascii="宋体" w:hAnsi="宋体" w:eastAsia="宋体" w:cs="宋体"/>
        </w:rPr>
        <w:tab/>
      </w:r>
      <w:r>
        <w:rPr>
          <w:rFonts w:hint="eastAsia" w:ascii="宋体" w:hAnsi="宋体" w:eastAsia="宋体" w:cs="宋体"/>
        </w:rPr>
        <w:fldChar w:fldCharType="begin"/>
      </w:r>
      <w:r>
        <w:rPr>
          <w:rFonts w:hint="eastAsia" w:ascii="宋体" w:hAnsi="宋体" w:eastAsia="宋体" w:cs="宋体"/>
        </w:rPr>
        <w:instrText xml:space="preserve"> PAGEREF _Toc8161 \h </w:instrText>
      </w:r>
      <w:r>
        <w:rPr>
          <w:rFonts w:hint="eastAsia" w:ascii="宋体" w:hAnsi="宋体" w:eastAsia="宋体" w:cs="宋体"/>
        </w:rPr>
        <w:fldChar w:fldCharType="separate"/>
      </w:r>
      <w:r>
        <w:rPr>
          <w:rFonts w:hint="eastAsia" w:ascii="宋体" w:hAnsi="宋体" w:eastAsia="宋体" w:cs="宋体"/>
        </w:rPr>
        <w:t>18</w:t>
      </w:r>
      <w:r>
        <w:rPr>
          <w:rFonts w:hint="eastAsia" w:ascii="宋体" w:hAnsi="宋体" w:eastAsia="宋体" w:cs="宋体"/>
        </w:rPr>
        <w:fldChar w:fldCharType="end"/>
      </w:r>
      <w:r>
        <w:rPr>
          <w:rFonts w:hint="eastAsia" w:ascii="宋体" w:hAnsi="宋体" w:eastAsia="宋体" w:cs="宋体"/>
          <w:szCs w:val="21"/>
        </w:rPr>
        <w:fldChar w:fldCharType="end"/>
      </w:r>
    </w:p>
    <w:p w14:paraId="4F1BF831">
      <w:pPr>
        <w:pStyle w:val="26"/>
        <w:keepNext w:val="0"/>
        <w:keepLines w:val="0"/>
        <w:pageBreakBefore w:val="0"/>
        <w:widowControl w:val="0"/>
        <w:tabs>
          <w:tab w:val="right" w:leader="dot" w:pos="9072"/>
        </w:tabs>
        <w:kinsoku/>
        <w:wordWrap/>
        <w:overflowPunct/>
        <w:topLinePunct w:val="0"/>
        <w:autoSpaceDE/>
        <w:autoSpaceDN/>
        <w:bidi w:val="0"/>
        <w:spacing w:line="360" w:lineRule="auto"/>
        <w:textAlignment w:val="auto"/>
        <w:rPr>
          <w:rFonts w:hint="eastAsia" w:ascii="宋体" w:hAnsi="宋体" w:eastAsia="宋体" w:cs="宋体"/>
        </w:rPr>
      </w:pPr>
      <w:r>
        <w:rPr>
          <w:rFonts w:hint="eastAsia" w:ascii="宋体" w:hAnsi="宋体" w:eastAsia="宋体" w:cs="宋体"/>
          <w:szCs w:val="21"/>
        </w:rPr>
        <w:fldChar w:fldCharType="begin"/>
      </w:r>
      <w:r>
        <w:rPr>
          <w:rFonts w:hint="eastAsia" w:ascii="宋体" w:hAnsi="宋体" w:eastAsia="宋体" w:cs="宋体"/>
          <w:szCs w:val="21"/>
        </w:rPr>
        <w:instrText xml:space="preserve"> HYPERLINK \l _Toc3495 </w:instrText>
      </w:r>
      <w:r>
        <w:rPr>
          <w:rFonts w:hint="eastAsia" w:ascii="宋体" w:hAnsi="宋体" w:eastAsia="宋体" w:cs="宋体"/>
          <w:szCs w:val="21"/>
        </w:rPr>
        <w:fldChar w:fldCharType="separate"/>
      </w:r>
      <w:r>
        <w:rPr>
          <w:rFonts w:hint="eastAsia" w:ascii="宋体" w:hAnsi="宋体" w:eastAsia="宋体" w:cs="宋体"/>
          <w:kern w:val="0"/>
          <w:szCs w:val="28"/>
          <w:lang w:bidi="en-US"/>
        </w:rPr>
        <w:t>第三章 合同书样式及主要条款</w:t>
      </w:r>
      <w:r>
        <w:rPr>
          <w:rFonts w:hint="eastAsia" w:ascii="宋体" w:hAnsi="宋体" w:eastAsia="宋体" w:cs="宋体"/>
        </w:rPr>
        <w:tab/>
      </w:r>
      <w:r>
        <w:rPr>
          <w:rFonts w:hint="eastAsia" w:ascii="宋体" w:hAnsi="宋体" w:eastAsia="宋体" w:cs="宋体"/>
        </w:rPr>
        <w:fldChar w:fldCharType="begin"/>
      </w:r>
      <w:r>
        <w:rPr>
          <w:rFonts w:hint="eastAsia" w:ascii="宋体" w:hAnsi="宋体" w:eastAsia="宋体" w:cs="宋体"/>
        </w:rPr>
        <w:instrText xml:space="preserve"> PAGEREF _Toc3495 \h </w:instrText>
      </w:r>
      <w:r>
        <w:rPr>
          <w:rFonts w:hint="eastAsia" w:ascii="宋体" w:hAnsi="宋体" w:eastAsia="宋体" w:cs="宋体"/>
        </w:rPr>
        <w:fldChar w:fldCharType="separate"/>
      </w:r>
      <w:r>
        <w:rPr>
          <w:rFonts w:hint="eastAsia" w:ascii="宋体" w:hAnsi="宋体" w:eastAsia="宋体" w:cs="宋体"/>
        </w:rPr>
        <w:t>19</w:t>
      </w:r>
      <w:r>
        <w:rPr>
          <w:rFonts w:hint="eastAsia" w:ascii="宋体" w:hAnsi="宋体" w:eastAsia="宋体" w:cs="宋体"/>
        </w:rPr>
        <w:fldChar w:fldCharType="end"/>
      </w:r>
      <w:r>
        <w:rPr>
          <w:rFonts w:hint="eastAsia" w:ascii="宋体" w:hAnsi="宋体" w:eastAsia="宋体" w:cs="宋体"/>
          <w:szCs w:val="21"/>
        </w:rPr>
        <w:fldChar w:fldCharType="end"/>
      </w:r>
    </w:p>
    <w:p w14:paraId="552C4196">
      <w:pPr>
        <w:pStyle w:val="26"/>
        <w:keepNext w:val="0"/>
        <w:keepLines w:val="0"/>
        <w:pageBreakBefore w:val="0"/>
        <w:widowControl w:val="0"/>
        <w:tabs>
          <w:tab w:val="right" w:leader="dot" w:pos="9072"/>
        </w:tabs>
        <w:kinsoku/>
        <w:wordWrap/>
        <w:overflowPunct/>
        <w:topLinePunct w:val="0"/>
        <w:autoSpaceDE/>
        <w:autoSpaceDN/>
        <w:bidi w:val="0"/>
        <w:spacing w:line="360" w:lineRule="auto"/>
        <w:textAlignment w:val="auto"/>
        <w:rPr>
          <w:rFonts w:hint="eastAsia" w:ascii="宋体" w:hAnsi="宋体" w:eastAsia="宋体" w:cs="宋体"/>
        </w:rPr>
      </w:pPr>
      <w:r>
        <w:rPr>
          <w:rFonts w:hint="eastAsia" w:ascii="宋体" w:hAnsi="宋体" w:eastAsia="宋体" w:cs="宋体"/>
          <w:szCs w:val="21"/>
        </w:rPr>
        <w:fldChar w:fldCharType="begin"/>
      </w:r>
      <w:r>
        <w:rPr>
          <w:rFonts w:hint="eastAsia" w:ascii="宋体" w:hAnsi="宋体" w:eastAsia="宋体" w:cs="宋体"/>
          <w:szCs w:val="21"/>
        </w:rPr>
        <w:instrText xml:space="preserve"> HYPERLINK \l _Toc1914 </w:instrText>
      </w:r>
      <w:r>
        <w:rPr>
          <w:rFonts w:hint="eastAsia" w:ascii="宋体" w:hAnsi="宋体" w:eastAsia="宋体" w:cs="宋体"/>
          <w:szCs w:val="21"/>
        </w:rPr>
        <w:fldChar w:fldCharType="separate"/>
      </w:r>
      <w:r>
        <w:rPr>
          <w:rFonts w:hint="eastAsia" w:ascii="宋体" w:hAnsi="宋体" w:eastAsia="宋体" w:cs="宋体"/>
          <w:kern w:val="0"/>
          <w:szCs w:val="28"/>
          <w:lang w:bidi="en-US"/>
        </w:rPr>
        <w:t>第四章 磋商响应文件格式</w:t>
      </w:r>
      <w:r>
        <w:rPr>
          <w:rFonts w:hint="eastAsia" w:ascii="宋体" w:hAnsi="宋体" w:eastAsia="宋体" w:cs="宋体"/>
        </w:rPr>
        <w:tab/>
      </w:r>
      <w:r>
        <w:rPr>
          <w:rFonts w:hint="eastAsia" w:ascii="宋体" w:hAnsi="宋体" w:eastAsia="宋体" w:cs="宋体"/>
        </w:rPr>
        <w:fldChar w:fldCharType="begin"/>
      </w:r>
      <w:r>
        <w:rPr>
          <w:rFonts w:hint="eastAsia" w:ascii="宋体" w:hAnsi="宋体" w:eastAsia="宋体" w:cs="宋体"/>
        </w:rPr>
        <w:instrText xml:space="preserve"> PAGEREF _Toc1914 \h </w:instrText>
      </w:r>
      <w:r>
        <w:rPr>
          <w:rFonts w:hint="eastAsia" w:ascii="宋体" w:hAnsi="宋体" w:eastAsia="宋体" w:cs="宋体"/>
        </w:rPr>
        <w:fldChar w:fldCharType="separate"/>
      </w:r>
      <w:r>
        <w:rPr>
          <w:rFonts w:hint="eastAsia" w:ascii="宋体" w:hAnsi="宋体" w:eastAsia="宋体" w:cs="宋体"/>
        </w:rPr>
        <w:t>19</w:t>
      </w:r>
      <w:r>
        <w:rPr>
          <w:rFonts w:hint="eastAsia" w:ascii="宋体" w:hAnsi="宋体" w:eastAsia="宋体" w:cs="宋体"/>
        </w:rPr>
        <w:fldChar w:fldCharType="end"/>
      </w:r>
      <w:r>
        <w:rPr>
          <w:rFonts w:hint="eastAsia" w:ascii="宋体" w:hAnsi="宋体" w:eastAsia="宋体" w:cs="宋体"/>
          <w:szCs w:val="21"/>
        </w:rPr>
        <w:fldChar w:fldCharType="end"/>
      </w:r>
    </w:p>
    <w:p w14:paraId="3454218D">
      <w:pPr>
        <w:pStyle w:val="26"/>
        <w:keepNext w:val="0"/>
        <w:keepLines w:val="0"/>
        <w:pageBreakBefore w:val="0"/>
        <w:widowControl w:val="0"/>
        <w:tabs>
          <w:tab w:val="right" w:leader="dot" w:pos="9072"/>
        </w:tabs>
        <w:kinsoku/>
        <w:wordWrap/>
        <w:overflowPunct/>
        <w:topLinePunct w:val="0"/>
        <w:autoSpaceDE/>
        <w:autoSpaceDN/>
        <w:bidi w:val="0"/>
        <w:spacing w:line="360" w:lineRule="auto"/>
        <w:textAlignment w:val="auto"/>
        <w:rPr>
          <w:rFonts w:hint="eastAsia" w:ascii="宋体" w:hAnsi="宋体" w:eastAsia="宋体" w:cs="宋体"/>
        </w:rPr>
      </w:pPr>
      <w:r>
        <w:rPr>
          <w:rFonts w:hint="eastAsia" w:ascii="宋体" w:hAnsi="宋体" w:eastAsia="宋体" w:cs="宋体"/>
          <w:szCs w:val="21"/>
        </w:rPr>
        <w:fldChar w:fldCharType="begin"/>
      </w:r>
      <w:r>
        <w:rPr>
          <w:rFonts w:hint="eastAsia" w:ascii="宋体" w:hAnsi="宋体" w:eastAsia="宋体" w:cs="宋体"/>
          <w:szCs w:val="21"/>
        </w:rPr>
        <w:instrText xml:space="preserve"> HYPERLINK \l _Toc10809 </w:instrText>
      </w:r>
      <w:r>
        <w:rPr>
          <w:rFonts w:hint="eastAsia" w:ascii="宋体" w:hAnsi="宋体" w:eastAsia="宋体" w:cs="宋体"/>
          <w:szCs w:val="21"/>
        </w:rPr>
        <w:fldChar w:fldCharType="separate"/>
      </w:r>
      <w:r>
        <w:rPr>
          <w:rFonts w:hint="eastAsia" w:ascii="宋体" w:hAnsi="宋体" w:eastAsia="宋体" w:cs="宋体"/>
          <w:kern w:val="0"/>
          <w:szCs w:val="28"/>
          <w:lang w:bidi="en-US"/>
        </w:rPr>
        <w:t>第五章 采购要求</w:t>
      </w:r>
      <w:r>
        <w:rPr>
          <w:rFonts w:hint="eastAsia" w:ascii="宋体" w:hAnsi="宋体" w:eastAsia="宋体" w:cs="宋体"/>
        </w:rPr>
        <w:tab/>
      </w:r>
      <w:r>
        <w:rPr>
          <w:rFonts w:hint="eastAsia" w:ascii="宋体" w:hAnsi="宋体" w:eastAsia="宋体" w:cs="宋体"/>
        </w:rPr>
        <w:fldChar w:fldCharType="begin"/>
      </w:r>
      <w:r>
        <w:rPr>
          <w:rFonts w:hint="eastAsia" w:ascii="宋体" w:hAnsi="宋体" w:eastAsia="宋体" w:cs="宋体"/>
        </w:rPr>
        <w:instrText xml:space="preserve"> PAGEREF _Toc10809 \h </w:instrText>
      </w:r>
      <w:r>
        <w:rPr>
          <w:rFonts w:hint="eastAsia" w:ascii="宋体" w:hAnsi="宋体" w:eastAsia="宋体" w:cs="宋体"/>
        </w:rPr>
        <w:fldChar w:fldCharType="separate"/>
      </w:r>
      <w:r>
        <w:rPr>
          <w:rFonts w:hint="eastAsia" w:ascii="宋体" w:hAnsi="宋体" w:eastAsia="宋体" w:cs="宋体"/>
        </w:rPr>
        <w:t>49</w:t>
      </w:r>
      <w:r>
        <w:rPr>
          <w:rFonts w:hint="eastAsia" w:ascii="宋体" w:hAnsi="宋体" w:eastAsia="宋体" w:cs="宋体"/>
        </w:rPr>
        <w:fldChar w:fldCharType="end"/>
      </w:r>
      <w:r>
        <w:rPr>
          <w:rFonts w:hint="eastAsia" w:ascii="宋体" w:hAnsi="宋体" w:eastAsia="宋体" w:cs="宋体"/>
          <w:szCs w:val="21"/>
        </w:rPr>
        <w:fldChar w:fldCharType="end"/>
      </w:r>
    </w:p>
    <w:p w14:paraId="64D3FF32">
      <w:pPr>
        <w:pStyle w:val="26"/>
        <w:keepNext w:val="0"/>
        <w:keepLines w:val="0"/>
        <w:pageBreakBefore w:val="0"/>
        <w:widowControl w:val="0"/>
        <w:tabs>
          <w:tab w:val="right" w:leader="dot" w:pos="9072"/>
        </w:tabs>
        <w:kinsoku/>
        <w:wordWrap/>
        <w:overflowPunct/>
        <w:topLinePunct w:val="0"/>
        <w:autoSpaceDE/>
        <w:autoSpaceDN/>
        <w:bidi w:val="0"/>
        <w:spacing w:line="360" w:lineRule="auto"/>
        <w:textAlignment w:val="auto"/>
        <w:rPr>
          <w:rFonts w:hint="eastAsia" w:ascii="宋体" w:hAnsi="宋体" w:eastAsia="宋体" w:cs="宋体"/>
        </w:rPr>
      </w:pPr>
      <w:r>
        <w:rPr>
          <w:rFonts w:hint="eastAsia" w:ascii="宋体" w:hAnsi="宋体" w:eastAsia="宋体" w:cs="宋体"/>
          <w:szCs w:val="21"/>
        </w:rPr>
        <w:fldChar w:fldCharType="begin"/>
      </w:r>
      <w:r>
        <w:rPr>
          <w:rFonts w:hint="eastAsia" w:ascii="宋体" w:hAnsi="宋体" w:eastAsia="宋体" w:cs="宋体"/>
          <w:szCs w:val="21"/>
        </w:rPr>
        <w:instrText xml:space="preserve"> HYPERLINK \l _Toc13523 </w:instrText>
      </w:r>
      <w:r>
        <w:rPr>
          <w:rFonts w:hint="eastAsia" w:ascii="宋体" w:hAnsi="宋体" w:eastAsia="宋体" w:cs="宋体"/>
          <w:szCs w:val="21"/>
        </w:rPr>
        <w:fldChar w:fldCharType="separate"/>
      </w:r>
      <w:r>
        <w:rPr>
          <w:rFonts w:hint="eastAsia" w:ascii="宋体" w:hAnsi="宋体" w:eastAsia="宋体" w:cs="宋体"/>
          <w:kern w:val="0"/>
          <w:szCs w:val="28"/>
          <w:lang w:bidi="en-US"/>
        </w:rPr>
        <w:t>第六章 磋商程序及方法</w:t>
      </w:r>
      <w:r>
        <w:rPr>
          <w:rFonts w:hint="eastAsia" w:ascii="宋体" w:hAnsi="宋体" w:eastAsia="宋体" w:cs="宋体"/>
        </w:rPr>
        <w:tab/>
      </w:r>
      <w:r>
        <w:rPr>
          <w:rFonts w:hint="eastAsia" w:ascii="宋体" w:hAnsi="宋体" w:eastAsia="宋体" w:cs="宋体"/>
        </w:rPr>
        <w:fldChar w:fldCharType="begin"/>
      </w:r>
      <w:r>
        <w:rPr>
          <w:rFonts w:hint="eastAsia" w:ascii="宋体" w:hAnsi="宋体" w:eastAsia="宋体" w:cs="宋体"/>
        </w:rPr>
        <w:instrText xml:space="preserve"> PAGEREF _Toc13523 \h </w:instrText>
      </w:r>
      <w:r>
        <w:rPr>
          <w:rFonts w:hint="eastAsia" w:ascii="宋体" w:hAnsi="宋体" w:eastAsia="宋体" w:cs="宋体"/>
        </w:rPr>
        <w:fldChar w:fldCharType="separate"/>
      </w:r>
      <w:r>
        <w:rPr>
          <w:rFonts w:hint="eastAsia" w:ascii="宋体" w:hAnsi="宋体" w:eastAsia="宋体" w:cs="宋体"/>
        </w:rPr>
        <w:t>64</w:t>
      </w:r>
      <w:r>
        <w:rPr>
          <w:rFonts w:hint="eastAsia" w:ascii="宋体" w:hAnsi="宋体" w:eastAsia="宋体" w:cs="宋体"/>
        </w:rPr>
        <w:fldChar w:fldCharType="end"/>
      </w:r>
      <w:r>
        <w:rPr>
          <w:rFonts w:hint="eastAsia" w:ascii="宋体" w:hAnsi="宋体" w:eastAsia="宋体" w:cs="宋体"/>
          <w:szCs w:val="21"/>
        </w:rPr>
        <w:fldChar w:fldCharType="end"/>
      </w:r>
    </w:p>
    <w:p w14:paraId="3472B891">
      <w:pPr>
        <w:pStyle w:val="126"/>
        <w:keepNext w:val="0"/>
        <w:keepLines w:val="0"/>
        <w:pageBreakBefore w:val="0"/>
        <w:widowControl w:val="0"/>
        <w:kinsoku/>
        <w:wordWrap/>
        <w:overflowPunct/>
        <w:topLinePunct w:val="0"/>
        <w:autoSpaceDE/>
        <w:autoSpaceDN/>
        <w:bidi w:val="0"/>
        <w:adjustRightInd w:val="0"/>
        <w:snapToGrid w:val="0"/>
        <w:spacing w:line="360" w:lineRule="auto"/>
        <w:ind w:firstLine="360"/>
        <w:jc w:val="center"/>
        <w:textAlignment w:val="auto"/>
        <w:outlineLvl w:val="0"/>
        <w:rPr>
          <w:rFonts w:ascii="宋体" w:hAnsi="宋体" w:cs="宋体"/>
          <w:sz w:val="28"/>
          <w:szCs w:val="28"/>
          <w:lang w:bidi="en-US"/>
        </w:rPr>
      </w:pPr>
      <w:r>
        <w:rPr>
          <w:rFonts w:hint="eastAsia" w:ascii="宋体" w:hAnsi="宋体" w:eastAsia="宋体" w:cs="宋体"/>
          <w:szCs w:val="21"/>
        </w:rPr>
        <w:fldChar w:fldCharType="end"/>
      </w:r>
      <w:bookmarkStart w:id="1" w:name="_Toc9419"/>
      <w:r>
        <w:rPr>
          <w:rFonts w:hint="eastAsia" w:ascii="宋体" w:hAnsi="宋体" w:cs="宋体"/>
          <w:bCs/>
          <w:szCs w:val="21"/>
        </w:rPr>
        <w:br w:type="page"/>
      </w:r>
      <w:bookmarkStart w:id="2" w:name="_Toc58081257"/>
      <w:bookmarkStart w:id="3" w:name="_Toc427306777"/>
      <w:bookmarkStart w:id="4" w:name="_Toc427339158"/>
      <w:r>
        <w:rPr>
          <w:rFonts w:hint="eastAsia" w:ascii="宋体" w:hAnsi="宋体" w:cs="宋体"/>
          <w:bCs/>
          <w:sz w:val="28"/>
          <w:szCs w:val="28"/>
        </w:rPr>
        <w:t xml:space="preserve">第一章 </w:t>
      </w:r>
      <w:bookmarkStart w:id="5" w:name="_Hlk58077579"/>
      <w:r>
        <w:rPr>
          <w:rFonts w:hint="eastAsia" w:ascii="宋体" w:hAnsi="宋体" w:cs="宋体"/>
          <w:sz w:val="28"/>
          <w:szCs w:val="28"/>
          <w:lang w:bidi="en-US"/>
        </w:rPr>
        <w:t>竞争性磋商</w:t>
      </w:r>
      <w:bookmarkEnd w:id="5"/>
      <w:r>
        <w:rPr>
          <w:rFonts w:hint="eastAsia" w:ascii="宋体" w:hAnsi="宋体" w:cs="宋体"/>
          <w:sz w:val="28"/>
          <w:szCs w:val="28"/>
          <w:lang w:bidi="en-US"/>
        </w:rPr>
        <w:t>公告</w:t>
      </w:r>
      <w:bookmarkEnd w:id="1"/>
      <w:bookmarkEnd w:id="2"/>
    </w:p>
    <w:bookmarkEnd w:id="3"/>
    <w:bookmarkEnd w:id="4"/>
    <w:tbl>
      <w:tblPr>
        <w:tblStyle w:val="38"/>
        <w:tblW w:w="8920" w:type="dxa"/>
        <w:tblInd w:w="254"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8920"/>
      </w:tblGrid>
      <w:tr w14:paraId="7FD3B4B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20" w:hRule="atLeast"/>
        </w:trPr>
        <w:tc>
          <w:tcPr>
            <w:tcW w:w="8920" w:type="dxa"/>
          </w:tcPr>
          <w:p w14:paraId="3BF54BE7">
            <w:pPr>
              <w:spacing w:line="360" w:lineRule="auto"/>
              <w:ind w:firstLine="420" w:firstLineChars="200"/>
              <w:rPr>
                <w:rFonts w:hint="eastAsia" w:ascii="宋体" w:hAnsi="宋体" w:cs="宋体"/>
                <w:szCs w:val="21"/>
              </w:rPr>
            </w:pPr>
            <w:bookmarkStart w:id="6" w:name="_Toc185540023"/>
            <w:bookmarkStart w:id="7" w:name="_Toc171930040"/>
            <w:bookmarkStart w:id="8" w:name="_Toc185539565"/>
            <w:bookmarkStart w:id="9" w:name="_Toc183075141"/>
            <w:bookmarkStart w:id="10" w:name="_Toc209516062"/>
            <w:r>
              <w:rPr>
                <w:rFonts w:hint="eastAsia" w:ascii="宋体" w:hAnsi="宋体" w:cs="宋体"/>
                <w:szCs w:val="21"/>
              </w:rPr>
              <w:t>项目概况</w:t>
            </w:r>
          </w:p>
          <w:p w14:paraId="16DEA407">
            <w:pPr>
              <w:keepNext w:val="0"/>
              <w:keepLines w:val="0"/>
              <w:pageBreakBefore w:val="0"/>
              <w:widowControl w:val="0"/>
              <w:kinsoku w:val="0"/>
              <w:wordWrap w:val="0"/>
              <w:overflowPunct/>
              <w:topLinePunct w:val="0"/>
              <w:autoSpaceDE/>
              <w:autoSpaceDN/>
              <w:bidi w:val="0"/>
              <w:adjustRightInd/>
              <w:snapToGrid/>
              <w:spacing w:line="360" w:lineRule="auto"/>
              <w:ind w:firstLine="420" w:firstLineChars="200"/>
              <w:textAlignment w:val="auto"/>
              <w:rPr>
                <w:rFonts w:ascii="宋体" w:hAnsi="宋体" w:cs="宋体"/>
                <w:szCs w:val="21"/>
              </w:rPr>
            </w:pPr>
            <w:r>
              <w:rPr>
                <w:rFonts w:hint="eastAsia" w:ascii="宋体" w:hAnsi="宋体" w:cs="宋体"/>
                <w:szCs w:val="21"/>
                <w:u w:val="single"/>
                <w:lang w:eastAsia="zh-CN"/>
              </w:rPr>
              <w:t>石屏县坝心镇2026年白浪村委会大过细村产业道路建设项目</w:t>
            </w:r>
            <w:r>
              <w:rPr>
                <w:rFonts w:hint="eastAsia" w:ascii="宋体" w:hAnsi="宋体" w:cs="宋体"/>
                <w:szCs w:val="21"/>
              </w:rPr>
              <w:t>的潜在供应商应</w:t>
            </w:r>
            <w:r>
              <w:rPr>
                <w:rFonts w:hint="eastAsia" w:ascii="宋体" w:hAnsi="宋体" w:cs="宋体"/>
                <w:szCs w:val="21"/>
                <w:lang w:val="en-US" w:eastAsia="zh-CN"/>
              </w:rPr>
              <w:t>在</w:t>
            </w:r>
            <w:r>
              <w:rPr>
                <w:rFonts w:hint="eastAsia" w:ascii="宋体" w:hAnsi="宋体" w:cs="宋体"/>
                <w:szCs w:val="21"/>
              </w:rPr>
              <w:t>政采云平台（https://www.zcygov.cn/）获取采购文件，</w:t>
            </w:r>
            <w:r>
              <w:rPr>
                <w:rFonts w:hint="eastAsia" w:ascii="宋体" w:hAnsi="宋体" w:cs="宋体"/>
                <w:szCs w:val="21"/>
                <w:lang w:eastAsia="zh-CN"/>
              </w:rPr>
              <w:t>并在</w:t>
            </w:r>
            <w:r>
              <w:rPr>
                <w:rFonts w:hint="eastAsia" w:ascii="宋体" w:hAnsi="宋体" w:cs="宋体"/>
                <w:color w:val="000000" w:themeColor="text1"/>
                <w:szCs w:val="21"/>
                <w14:textFill>
                  <w14:solidFill>
                    <w14:schemeClr w14:val="tx1"/>
                  </w14:solidFill>
                </w14:textFill>
              </w:rPr>
              <w:t>202</w:t>
            </w:r>
            <w:r>
              <w:rPr>
                <w:rFonts w:hint="eastAsia" w:ascii="宋体" w:hAnsi="宋体" w:cs="宋体"/>
                <w:color w:val="000000" w:themeColor="text1"/>
                <w:szCs w:val="21"/>
                <w:lang w:val="en-US" w:eastAsia="zh-CN"/>
                <w14:textFill>
                  <w14:solidFill>
                    <w14:schemeClr w14:val="tx1"/>
                  </w14:solidFill>
                </w14:textFill>
              </w:rPr>
              <w:t>6</w:t>
            </w:r>
            <w:r>
              <w:rPr>
                <w:rFonts w:hint="eastAsia" w:ascii="宋体" w:hAnsi="宋体" w:cs="宋体"/>
                <w:color w:val="000000" w:themeColor="text1"/>
                <w:szCs w:val="21"/>
                <w14:textFill>
                  <w14:solidFill>
                    <w14:schemeClr w14:val="tx1"/>
                  </w14:solidFill>
                </w14:textFill>
              </w:rPr>
              <w:t>年</w:t>
            </w:r>
            <w:r>
              <w:rPr>
                <w:rFonts w:hint="eastAsia" w:ascii="宋体" w:hAnsi="宋体" w:cs="宋体"/>
                <w:color w:val="000000" w:themeColor="text1"/>
                <w:szCs w:val="21"/>
                <w:lang w:val="en-US" w:eastAsia="zh-CN"/>
                <w14:textFill>
                  <w14:solidFill>
                    <w14:schemeClr w14:val="tx1"/>
                  </w14:solidFill>
                </w14:textFill>
              </w:rPr>
              <w:t>08</w:t>
            </w:r>
            <w:r>
              <w:rPr>
                <w:rFonts w:hint="eastAsia" w:ascii="宋体" w:hAnsi="宋体" w:cs="宋体"/>
                <w:color w:val="000000" w:themeColor="text1"/>
                <w:szCs w:val="21"/>
                <w14:textFill>
                  <w14:solidFill>
                    <w14:schemeClr w14:val="tx1"/>
                  </w14:solidFill>
                </w14:textFill>
              </w:rPr>
              <w:t>月</w:t>
            </w:r>
            <w:r>
              <w:rPr>
                <w:rFonts w:hint="eastAsia" w:ascii="宋体" w:hAnsi="宋体" w:cs="宋体"/>
                <w:color w:val="000000" w:themeColor="text1"/>
                <w:szCs w:val="21"/>
                <w:lang w:val="en-US" w:eastAsia="zh-CN"/>
                <w14:textFill>
                  <w14:solidFill>
                    <w14:schemeClr w14:val="tx1"/>
                  </w14:solidFill>
                </w14:textFill>
              </w:rPr>
              <w:t xml:space="preserve">24 </w:t>
            </w:r>
            <w:r>
              <w:rPr>
                <w:rFonts w:hint="eastAsia" w:ascii="宋体" w:hAnsi="宋体" w:cs="宋体"/>
                <w:color w:val="000000" w:themeColor="text1"/>
                <w:szCs w:val="21"/>
                <w14:textFill>
                  <w14:solidFill>
                    <w14:schemeClr w14:val="tx1"/>
                  </w14:solidFill>
                </w14:textFill>
              </w:rPr>
              <w:t>日</w:t>
            </w:r>
            <w:r>
              <w:rPr>
                <w:rFonts w:hint="eastAsia" w:ascii="宋体" w:hAnsi="宋体" w:cs="宋体"/>
                <w:color w:val="000000" w:themeColor="text1"/>
                <w:szCs w:val="21"/>
                <w:lang w:val="en-US" w:eastAsia="zh-CN"/>
                <w14:textFill>
                  <w14:solidFill>
                    <w14:schemeClr w14:val="tx1"/>
                  </w14:solidFill>
                </w14:textFill>
              </w:rPr>
              <w:t>14时30</w:t>
            </w:r>
            <w:r>
              <w:rPr>
                <w:rFonts w:hint="eastAsia" w:ascii="宋体" w:hAnsi="宋体" w:cs="宋体"/>
                <w:color w:val="000000" w:themeColor="text1"/>
                <w:szCs w:val="21"/>
                <w14:textFill>
                  <w14:solidFill>
                    <w14:schemeClr w14:val="tx1"/>
                  </w14:solidFill>
                </w14:textFill>
              </w:rPr>
              <w:t>分</w:t>
            </w:r>
            <w:r>
              <w:rPr>
                <w:rFonts w:hint="eastAsia" w:ascii="宋体" w:hAnsi="宋体" w:cs="宋体"/>
                <w:szCs w:val="21"/>
              </w:rPr>
              <w:t>（北京时间）前提交响应文件。</w:t>
            </w:r>
          </w:p>
        </w:tc>
      </w:tr>
    </w:tbl>
    <w:p w14:paraId="39433D75">
      <w:pPr>
        <w:keepNext w:val="0"/>
        <w:keepLines w:val="0"/>
        <w:pageBreakBefore w:val="0"/>
        <w:widowControl w:val="0"/>
        <w:overflowPunct/>
        <w:topLinePunct w:val="0"/>
        <w:bidi w:val="0"/>
        <w:adjustRightInd/>
        <w:snapToGrid/>
        <w:spacing w:line="360" w:lineRule="auto"/>
        <w:ind w:firstLine="422" w:firstLineChars="200"/>
        <w:textAlignment w:val="auto"/>
        <w:outlineLvl w:val="1"/>
        <w:rPr>
          <w:rFonts w:ascii="宋体" w:hAnsi="宋体" w:cs="宋体"/>
          <w:b/>
          <w:bCs/>
          <w:szCs w:val="21"/>
        </w:rPr>
      </w:pPr>
      <w:bookmarkStart w:id="11" w:name="_Toc30265"/>
      <w:bookmarkStart w:id="12" w:name="_Toc28359012"/>
      <w:bookmarkStart w:id="13" w:name="_Toc28359089"/>
      <w:bookmarkStart w:id="14" w:name="_Toc35393629"/>
      <w:bookmarkStart w:id="15" w:name="_Toc35393798"/>
      <w:r>
        <w:rPr>
          <w:rFonts w:hint="eastAsia" w:ascii="宋体" w:hAnsi="宋体" w:cs="宋体"/>
          <w:b/>
          <w:bCs/>
          <w:szCs w:val="21"/>
        </w:rPr>
        <w:t>一、项目基本情况</w:t>
      </w:r>
      <w:bookmarkEnd w:id="11"/>
      <w:bookmarkEnd w:id="12"/>
      <w:bookmarkEnd w:id="13"/>
      <w:bookmarkEnd w:id="14"/>
      <w:bookmarkEnd w:id="15"/>
    </w:p>
    <w:p w14:paraId="4B5D97E2">
      <w:pPr>
        <w:keepNext w:val="0"/>
        <w:keepLines w:val="0"/>
        <w:pageBreakBefore w:val="0"/>
        <w:widowControl w:val="0"/>
        <w:overflowPunct/>
        <w:topLinePunct w:val="0"/>
        <w:bidi w:val="0"/>
        <w:adjustRightInd/>
        <w:snapToGrid/>
        <w:spacing w:line="360" w:lineRule="auto"/>
        <w:ind w:firstLine="422" w:firstLineChars="200"/>
        <w:textAlignment w:val="auto"/>
        <w:rPr>
          <w:rFonts w:hint="eastAsia" w:ascii="宋体" w:hAnsi="宋体" w:eastAsia="宋体" w:cs="宋体"/>
          <w:b w:val="0"/>
          <w:bCs w:val="0"/>
          <w:color w:val="auto"/>
          <w:szCs w:val="21"/>
          <w:lang w:val="en-US" w:eastAsia="zh-CN"/>
        </w:rPr>
      </w:pPr>
      <w:r>
        <w:rPr>
          <w:rFonts w:hint="eastAsia" w:ascii="宋体" w:hAnsi="宋体" w:cs="宋体"/>
          <w:b/>
          <w:bCs/>
          <w:color w:val="auto"/>
          <w:szCs w:val="21"/>
        </w:rPr>
        <w:t>1.1项目编号：</w:t>
      </w:r>
      <w:r>
        <w:rPr>
          <w:rFonts w:hint="eastAsia" w:ascii="宋体" w:hAnsi="宋体" w:cs="宋体"/>
          <w:b w:val="0"/>
          <w:bCs w:val="0"/>
          <w:color w:val="000000" w:themeColor="text1"/>
          <w:szCs w:val="21"/>
          <w:lang w:val="en-US" w:eastAsia="zh-CN"/>
          <w14:textFill>
            <w14:solidFill>
              <w14:schemeClr w14:val="tx1"/>
            </w14:solidFill>
          </w14:textFill>
        </w:rPr>
        <w:t>HHZC2026-C2-01800-YYXM-0037</w:t>
      </w:r>
    </w:p>
    <w:p w14:paraId="7E48E362">
      <w:pPr>
        <w:keepNext w:val="0"/>
        <w:keepLines w:val="0"/>
        <w:pageBreakBefore w:val="0"/>
        <w:widowControl w:val="0"/>
        <w:overflowPunct/>
        <w:topLinePunct w:val="0"/>
        <w:bidi w:val="0"/>
        <w:adjustRightInd/>
        <w:snapToGrid/>
        <w:spacing w:line="360" w:lineRule="auto"/>
        <w:ind w:firstLine="422" w:firstLineChars="200"/>
        <w:textAlignment w:val="auto"/>
        <w:rPr>
          <w:rFonts w:hint="eastAsia" w:ascii="宋体" w:hAnsi="宋体" w:cs="宋体"/>
          <w:szCs w:val="21"/>
          <w:lang w:eastAsia="zh-CN"/>
        </w:rPr>
      </w:pPr>
      <w:r>
        <w:rPr>
          <w:rFonts w:hint="eastAsia" w:ascii="宋体" w:hAnsi="宋体" w:cs="宋体"/>
          <w:b/>
          <w:bCs/>
          <w:szCs w:val="21"/>
        </w:rPr>
        <w:t>1.</w:t>
      </w:r>
      <w:r>
        <w:rPr>
          <w:rFonts w:hint="eastAsia" w:ascii="宋体" w:hAnsi="宋体" w:cs="宋体"/>
          <w:b/>
          <w:bCs/>
          <w:szCs w:val="21"/>
          <w:lang w:val="en-US" w:eastAsia="zh-CN"/>
        </w:rPr>
        <w:t>2</w:t>
      </w:r>
      <w:r>
        <w:rPr>
          <w:rFonts w:hint="eastAsia" w:ascii="宋体" w:hAnsi="宋体" w:cs="宋体"/>
          <w:b/>
          <w:bCs/>
          <w:szCs w:val="21"/>
        </w:rPr>
        <w:t>项目名称：</w:t>
      </w:r>
      <w:r>
        <w:rPr>
          <w:rFonts w:hint="eastAsia" w:ascii="宋体" w:hAnsi="宋体" w:cs="宋体"/>
          <w:szCs w:val="21"/>
          <w:lang w:eastAsia="zh-CN"/>
        </w:rPr>
        <w:t>石屏县坝心镇2026年白浪村委会大过细村产业道路建设项目</w:t>
      </w:r>
    </w:p>
    <w:p w14:paraId="17170530">
      <w:pPr>
        <w:keepNext w:val="0"/>
        <w:keepLines w:val="0"/>
        <w:pageBreakBefore w:val="0"/>
        <w:widowControl w:val="0"/>
        <w:overflowPunct/>
        <w:topLinePunct w:val="0"/>
        <w:bidi w:val="0"/>
        <w:adjustRightInd/>
        <w:snapToGrid/>
        <w:spacing w:line="360" w:lineRule="auto"/>
        <w:ind w:firstLine="422" w:firstLineChars="200"/>
        <w:textAlignment w:val="auto"/>
        <w:rPr>
          <w:rFonts w:ascii="宋体" w:hAnsi="宋体" w:cs="宋体"/>
          <w:szCs w:val="21"/>
        </w:rPr>
      </w:pPr>
      <w:r>
        <w:rPr>
          <w:rFonts w:hint="eastAsia" w:ascii="宋体" w:hAnsi="宋体" w:cs="宋体"/>
          <w:b/>
          <w:bCs/>
          <w:szCs w:val="21"/>
        </w:rPr>
        <w:t>1.</w:t>
      </w:r>
      <w:r>
        <w:rPr>
          <w:rFonts w:hint="eastAsia" w:ascii="宋体" w:hAnsi="宋体" w:cs="宋体"/>
          <w:b/>
          <w:bCs/>
          <w:szCs w:val="21"/>
          <w:lang w:val="en-US" w:eastAsia="zh-CN"/>
        </w:rPr>
        <w:t>3</w:t>
      </w:r>
      <w:r>
        <w:rPr>
          <w:rFonts w:hint="eastAsia" w:ascii="宋体" w:hAnsi="宋体" w:cs="宋体"/>
          <w:b/>
          <w:bCs/>
          <w:szCs w:val="21"/>
        </w:rPr>
        <w:t>采购方式：</w:t>
      </w:r>
      <w:r>
        <w:rPr>
          <w:rFonts w:hint="eastAsia" w:ascii="宋体" w:hAnsi="宋体" w:cs="宋体"/>
          <w:szCs w:val="21"/>
        </w:rPr>
        <w:t>竞争性磋商</w:t>
      </w:r>
    </w:p>
    <w:p w14:paraId="466E7EBF">
      <w:pPr>
        <w:keepNext w:val="0"/>
        <w:keepLines w:val="0"/>
        <w:pageBreakBefore w:val="0"/>
        <w:widowControl w:val="0"/>
        <w:overflowPunct/>
        <w:topLinePunct w:val="0"/>
        <w:bidi w:val="0"/>
        <w:adjustRightInd/>
        <w:snapToGrid/>
        <w:spacing w:line="360" w:lineRule="auto"/>
        <w:ind w:firstLine="422" w:firstLineChars="200"/>
        <w:textAlignment w:val="auto"/>
        <w:rPr>
          <w:rFonts w:hint="eastAsia" w:ascii="宋体" w:hAnsi="宋体" w:cs="宋体"/>
          <w:b w:val="0"/>
          <w:bCs w:val="0"/>
          <w:color w:val="auto"/>
          <w:szCs w:val="21"/>
        </w:rPr>
      </w:pPr>
      <w:r>
        <w:rPr>
          <w:rFonts w:hint="eastAsia" w:ascii="宋体" w:hAnsi="宋体" w:cs="宋体"/>
          <w:b/>
          <w:bCs/>
          <w:color w:val="auto"/>
          <w:szCs w:val="21"/>
        </w:rPr>
        <w:t>1.</w:t>
      </w:r>
      <w:r>
        <w:rPr>
          <w:rFonts w:hint="eastAsia" w:ascii="宋体" w:hAnsi="宋体" w:cs="宋体"/>
          <w:b/>
          <w:bCs/>
          <w:color w:val="auto"/>
          <w:szCs w:val="21"/>
          <w:lang w:val="en-US" w:eastAsia="zh-CN"/>
        </w:rPr>
        <w:t>4</w:t>
      </w:r>
      <w:r>
        <w:rPr>
          <w:rFonts w:hint="eastAsia" w:ascii="宋体" w:hAnsi="宋体" w:cs="宋体"/>
          <w:b/>
          <w:bCs/>
          <w:color w:val="auto"/>
          <w:szCs w:val="21"/>
        </w:rPr>
        <w:t>预算金额：</w:t>
      </w:r>
      <w:r>
        <w:rPr>
          <w:rFonts w:hint="eastAsia" w:ascii="宋体" w:hAnsi="宋体" w:cs="宋体"/>
          <w:b w:val="0"/>
          <w:bCs w:val="0"/>
          <w:color w:val="auto"/>
          <w:szCs w:val="21"/>
          <w:lang w:val="en-US" w:eastAsia="zh-CN"/>
        </w:rPr>
        <w:t>800000.00</w:t>
      </w:r>
      <w:r>
        <w:rPr>
          <w:rFonts w:hint="eastAsia" w:ascii="宋体" w:hAnsi="宋体" w:cs="宋体"/>
          <w:b w:val="0"/>
          <w:bCs w:val="0"/>
          <w:color w:val="auto"/>
          <w:szCs w:val="21"/>
        </w:rPr>
        <w:t>元。</w:t>
      </w:r>
    </w:p>
    <w:p w14:paraId="2692E4BD">
      <w:pPr>
        <w:keepNext w:val="0"/>
        <w:keepLines w:val="0"/>
        <w:pageBreakBefore w:val="0"/>
        <w:widowControl w:val="0"/>
        <w:overflowPunct/>
        <w:topLinePunct w:val="0"/>
        <w:bidi w:val="0"/>
        <w:adjustRightInd/>
        <w:snapToGrid/>
        <w:spacing w:line="360" w:lineRule="auto"/>
        <w:ind w:firstLine="422" w:firstLineChars="200"/>
        <w:textAlignment w:val="auto"/>
        <w:rPr>
          <w:rFonts w:hint="eastAsia" w:ascii="宋体" w:hAnsi="宋体" w:cs="宋体"/>
          <w:b w:val="0"/>
          <w:bCs w:val="0"/>
          <w:color w:val="auto"/>
          <w:szCs w:val="21"/>
        </w:rPr>
      </w:pPr>
      <w:r>
        <w:rPr>
          <w:rFonts w:hint="eastAsia" w:ascii="宋体" w:hAnsi="宋体" w:cs="宋体"/>
          <w:b/>
          <w:bCs/>
          <w:color w:val="auto"/>
          <w:szCs w:val="21"/>
        </w:rPr>
        <w:t>1.</w:t>
      </w:r>
      <w:bookmarkStart w:id="16" w:name="_Hlk62120373"/>
      <w:r>
        <w:rPr>
          <w:rFonts w:hint="eastAsia" w:ascii="宋体" w:hAnsi="宋体" w:cs="宋体"/>
          <w:b/>
          <w:bCs/>
          <w:color w:val="auto"/>
          <w:szCs w:val="21"/>
          <w:lang w:val="en-US" w:eastAsia="zh-CN"/>
        </w:rPr>
        <w:t>5</w:t>
      </w:r>
      <w:r>
        <w:rPr>
          <w:rFonts w:hint="eastAsia" w:ascii="宋体" w:hAnsi="宋体" w:cs="宋体"/>
          <w:b/>
          <w:bCs/>
          <w:color w:val="auto"/>
          <w:szCs w:val="21"/>
        </w:rPr>
        <w:t>最高限价</w:t>
      </w:r>
      <w:bookmarkEnd w:id="16"/>
      <w:r>
        <w:rPr>
          <w:rFonts w:hint="eastAsia" w:ascii="宋体" w:hAnsi="宋体" w:cs="宋体"/>
          <w:b/>
          <w:bCs/>
          <w:color w:val="auto"/>
          <w:szCs w:val="21"/>
        </w:rPr>
        <w:t>：</w:t>
      </w:r>
      <w:r>
        <w:rPr>
          <w:rFonts w:hint="eastAsia" w:ascii="宋体" w:hAnsi="宋体" w:cs="宋体"/>
          <w:b w:val="0"/>
          <w:bCs w:val="0"/>
          <w:color w:val="auto"/>
          <w:szCs w:val="21"/>
          <w:lang w:val="en-US" w:eastAsia="zh-CN"/>
        </w:rPr>
        <w:t>799299.37</w:t>
      </w:r>
      <w:r>
        <w:rPr>
          <w:rFonts w:hint="eastAsia" w:ascii="宋体" w:hAnsi="宋体" w:cs="宋体"/>
          <w:b w:val="0"/>
          <w:bCs w:val="0"/>
          <w:color w:val="auto"/>
          <w:szCs w:val="21"/>
        </w:rPr>
        <w:t>元。</w:t>
      </w:r>
    </w:p>
    <w:p w14:paraId="7A46B8FE">
      <w:pPr>
        <w:keepNext w:val="0"/>
        <w:keepLines w:val="0"/>
        <w:pageBreakBefore w:val="0"/>
        <w:widowControl w:val="0"/>
        <w:overflowPunct/>
        <w:topLinePunct w:val="0"/>
        <w:bidi w:val="0"/>
        <w:adjustRightInd/>
        <w:snapToGrid/>
        <w:spacing w:line="360" w:lineRule="auto"/>
        <w:ind w:firstLine="422" w:firstLineChars="200"/>
        <w:textAlignment w:val="auto"/>
        <w:rPr>
          <w:rFonts w:hint="default" w:ascii="宋体" w:hAnsi="宋体" w:eastAsia="宋体" w:cs="宋体"/>
          <w:b w:val="0"/>
          <w:bCs w:val="0"/>
          <w:szCs w:val="21"/>
          <w:lang w:val="en-US" w:eastAsia="zh-CN"/>
        </w:rPr>
      </w:pPr>
      <w:r>
        <w:rPr>
          <w:rFonts w:hint="eastAsia" w:ascii="宋体" w:hAnsi="宋体" w:cs="宋体"/>
          <w:b/>
          <w:bCs/>
          <w:szCs w:val="21"/>
        </w:rPr>
        <w:t>1.</w:t>
      </w:r>
      <w:r>
        <w:rPr>
          <w:rFonts w:hint="eastAsia" w:ascii="宋体" w:hAnsi="宋体" w:cs="宋体"/>
          <w:b/>
          <w:bCs/>
          <w:szCs w:val="21"/>
          <w:lang w:val="en-US" w:eastAsia="zh-CN"/>
        </w:rPr>
        <w:t>6</w:t>
      </w:r>
      <w:r>
        <w:rPr>
          <w:rFonts w:hint="eastAsia" w:ascii="宋体" w:hAnsi="宋体" w:cs="宋体"/>
          <w:b/>
          <w:bCs/>
          <w:szCs w:val="21"/>
        </w:rPr>
        <w:t>采购需求</w:t>
      </w:r>
      <w:r>
        <w:rPr>
          <w:rFonts w:hint="eastAsia" w:ascii="宋体" w:hAnsi="宋体" w:cs="宋体"/>
          <w:b w:val="0"/>
          <w:bCs w:val="0"/>
          <w:szCs w:val="21"/>
        </w:rPr>
        <w:t>：1.新建产业路1200米，宽3.5米；2.新建排水沟1200米；3.护坡680立方米。</w:t>
      </w:r>
      <w:r>
        <w:rPr>
          <w:rFonts w:hint="eastAsia" w:ascii="宋体" w:hAnsi="宋体" w:eastAsia="宋体" w:cs="宋体"/>
          <w:color w:val="auto"/>
          <w:szCs w:val="21"/>
          <w:highlight w:val="none"/>
          <w:lang w:val="en-US" w:eastAsia="zh-CN"/>
        </w:rPr>
        <w:t>具体内容及各部分技术需求参数详见</w:t>
      </w:r>
      <w:r>
        <w:rPr>
          <w:rFonts w:hint="eastAsia" w:ascii="宋体" w:hAnsi="宋体" w:eastAsia="宋体" w:cs="宋体"/>
          <w:color w:val="auto"/>
          <w:sz w:val="21"/>
          <w:szCs w:val="21"/>
          <w:highlight w:val="none"/>
        </w:rPr>
        <w:t>第五章“采购需求”及工程量清单所包括</w:t>
      </w:r>
      <w:r>
        <w:rPr>
          <w:rFonts w:hint="eastAsia" w:ascii="宋体" w:hAnsi="宋体" w:cs="宋体"/>
          <w:color w:val="auto"/>
          <w:sz w:val="21"/>
          <w:szCs w:val="21"/>
          <w:highlight w:val="none"/>
          <w:lang w:eastAsia="zh-CN"/>
        </w:rPr>
        <w:t>内容</w:t>
      </w:r>
      <w:r>
        <w:rPr>
          <w:rFonts w:hint="eastAsia" w:ascii="宋体" w:hAnsi="宋体" w:eastAsia="宋体" w:cs="宋体"/>
          <w:color w:val="auto"/>
          <w:sz w:val="21"/>
          <w:szCs w:val="21"/>
          <w:highlight w:val="none"/>
        </w:rPr>
        <w:t>。</w:t>
      </w:r>
    </w:p>
    <w:p w14:paraId="1990A4B6">
      <w:pPr>
        <w:keepNext w:val="0"/>
        <w:keepLines w:val="0"/>
        <w:pageBreakBefore w:val="0"/>
        <w:widowControl w:val="0"/>
        <w:overflowPunct/>
        <w:topLinePunct w:val="0"/>
        <w:bidi w:val="0"/>
        <w:adjustRightInd/>
        <w:snapToGrid/>
        <w:spacing w:line="360" w:lineRule="auto"/>
        <w:ind w:firstLine="422" w:firstLineChars="200"/>
        <w:textAlignment w:val="auto"/>
        <w:rPr>
          <w:rFonts w:ascii="宋体" w:hAnsi="宋体" w:cs="宋体"/>
          <w:color w:val="auto"/>
          <w:szCs w:val="21"/>
          <w:highlight w:val="none"/>
        </w:rPr>
      </w:pPr>
      <w:r>
        <w:rPr>
          <w:rFonts w:hint="eastAsia" w:ascii="宋体" w:hAnsi="宋体" w:cs="宋体"/>
          <w:b/>
          <w:bCs/>
          <w:color w:val="auto"/>
          <w:szCs w:val="21"/>
          <w:highlight w:val="none"/>
        </w:rPr>
        <w:t>1.</w:t>
      </w:r>
      <w:r>
        <w:rPr>
          <w:rFonts w:hint="eastAsia" w:ascii="宋体" w:hAnsi="宋体" w:cs="宋体"/>
          <w:b/>
          <w:bCs/>
          <w:color w:val="auto"/>
          <w:szCs w:val="21"/>
          <w:highlight w:val="none"/>
          <w:lang w:val="en-US" w:eastAsia="zh-CN"/>
        </w:rPr>
        <w:t>7</w:t>
      </w:r>
      <w:r>
        <w:rPr>
          <w:rFonts w:hint="eastAsia" w:ascii="宋体" w:hAnsi="宋体" w:cs="宋体"/>
          <w:b/>
          <w:bCs/>
          <w:color w:val="auto"/>
          <w:szCs w:val="21"/>
          <w:highlight w:val="none"/>
        </w:rPr>
        <w:t>合同履行期限：</w:t>
      </w:r>
      <w:r>
        <w:rPr>
          <w:rFonts w:hint="eastAsia" w:ascii="宋体" w:hAnsi="宋体" w:cs="宋体"/>
          <w:b w:val="0"/>
          <w:bCs w:val="0"/>
          <w:color w:val="000000" w:themeColor="text1"/>
          <w:szCs w:val="21"/>
          <w:highlight w:val="none"/>
          <w:lang w:val="en-US" w:eastAsia="zh-CN"/>
          <w14:textFill>
            <w14:solidFill>
              <w14:schemeClr w14:val="tx1"/>
            </w14:solidFill>
          </w14:textFill>
        </w:rPr>
        <w:t>60日历天</w:t>
      </w:r>
      <w:r>
        <w:rPr>
          <w:rFonts w:hint="eastAsia" w:ascii="宋体" w:hAnsi="宋体" w:cs="宋体"/>
          <w:color w:val="000000" w:themeColor="text1"/>
          <w:szCs w:val="21"/>
          <w:highlight w:val="none"/>
          <w14:textFill>
            <w14:solidFill>
              <w14:schemeClr w14:val="tx1"/>
            </w14:solidFill>
          </w14:textFill>
        </w:rPr>
        <w:t>。</w:t>
      </w:r>
    </w:p>
    <w:p w14:paraId="472EAA4B">
      <w:pPr>
        <w:keepNext w:val="0"/>
        <w:keepLines w:val="0"/>
        <w:pageBreakBefore w:val="0"/>
        <w:widowControl w:val="0"/>
        <w:overflowPunct/>
        <w:topLinePunct w:val="0"/>
        <w:bidi w:val="0"/>
        <w:adjustRightInd/>
        <w:snapToGrid/>
        <w:spacing w:line="360" w:lineRule="auto"/>
        <w:ind w:firstLine="422" w:firstLineChars="200"/>
        <w:textAlignment w:val="auto"/>
        <w:rPr>
          <w:rFonts w:hint="eastAsia" w:ascii="宋体" w:hAnsi="宋体" w:eastAsia="宋体" w:cs="宋体"/>
          <w:szCs w:val="21"/>
          <w:lang w:eastAsia="zh-CN"/>
        </w:rPr>
      </w:pPr>
      <w:r>
        <w:rPr>
          <w:rFonts w:hint="eastAsia" w:ascii="宋体" w:hAnsi="宋体" w:cs="宋体"/>
          <w:b/>
          <w:bCs/>
          <w:szCs w:val="21"/>
        </w:rPr>
        <w:t>1.</w:t>
      </w:r>
      <w:r>
        <w:rPr>
          <w:rFonts w:hint="eastAsia" w:ascii="宋体" w:hAnsi="宋体" w:cs="宋体"/>
          <w:b/>
          <w:bCs/>
          <w:szCs w:val="21"/>
          <w:lang w:val="en-US" w:eastAsia="zh-CN"/>
        </w:rPr>
        <w:t>8</w:t>
      </w:r>
      <w:r>
        <w:rPr>
          <w:rFonts w:hint="eastAsia" w:ascii="宋体" w:hAnsi="宋体" w:cs="宋体"/>
          <w:b/>
          <w:bCs/>
          <w:szCs w:val="21"/>
        </w:rPr>
        <w:t>质量要求：</w:t>
      </w:r>
      <w:r>
        <w:rPr>
          <w:rFonts w:hint="eastAsia" w:ascii="宋体" w:hAnsi="宋体" w:cs="宋体"/>
          <w:b w:val="0"/>
          <w:bCs w:val="0"/>
          <w:szCs w:val="21"/>
          <w:lang w:eastAsia="zh-CN"/>
        </w:rPr>
        <w:t>符合国家、行业及地方现行施工质量验收规范标准，竣工验收一次性验收合格。</w:t>
      </w:r>
    </w:p>
    <w:p w14:paraId="05646199">
      <w:pPr>
        <w:keepNext w:val="0"/>
        <w:keepLines w:val="0"/>
        <w:pageBreakBefore w:val="0"/>
        <w:widowControl w:val="0"/>
        <w:overflowPunct/>
        <w:topLinePunct w:val="0"/>
        <w:bidi w:val="0"/>
        <w:adjustRightInd/>
        <w:snapToGrid/>
        <w:spacing w:line="360" w:lineRule="auto"/>
        <w:ind w:firstLine="422" w:firstLineChars="200"/>
        <w:textAlignment w:val="auto"/>
        <w:rPr>
          <w:rFonts w:ascii="宋体" w:hAnsi="宋体" w:cs="宋体"/>
          <w:b/>
          <w:bCs/>
          <w:szCs w:val="21"/>
        </w:rPr>
      </w:pPr>
      <w:r>
        <w:rPr>
          <w:rFonts w:hint="eastAsia" w:ascii="宋体" w:hAnsi="宋体" w:cs="宋体"/>
          <w:b/>
          <w:bCs/>
          <w:szCs w:val="21"/>
        </w:rPr>
        <w:t>1.</w:t>
      </w:r>
      <w:r>
        <w:rPr>
          <w:rFonts w:hint="eastAsia" w:ascii="宋体" w:hAnsi="宋体" w:cs="宋体"/>
          <w:b/>
          <w:bCs/>
          <w:szCs w:val="21"/>
          <w:lang w:val="en-US" w:eastAsia="zh-CN"/>
        </w:rPr>
        <w:t>9</w:t>
      </w:r>
      <w:r>
        <w:rPr>
          <w:rFonts w:hint="eastAsia" w:ascii="宋体" w:hAnsi="宋体" w:cs="宋体"/>
          <w:b/>
          <w:bCs/>
          <w:szCs w:val="21"/>
        </w:rPr>
        <w:t>本项目不接受联合体。</w:t>
      </w:r>
    </w:p>
    <w:p w14:paraId="3C7AC7E6">
      <w:pPr>
        <w:keepNext w:val="0"/>
        <w:keepLines w:val="0"/>
        <w:pageBreakBefore w:val="0"/>
        <w:widowControl w:val="0"/>
        <w:overflowPunct/>
        <w:topLinePunct w:val="0"/>
        <w:bidi w:val="0"/>
        <w:adjustRightInd/>
        <w:snapToGrid/>
        <w:spacing w:line="360" w:lineRule="auto"/>
        <w:ind w:firstLine="480"/>
        <w:textAlignment w:val="auto"/>
        <w:outlineLvl w:val="1"/>
        <w:rPr>
          <w:rFonts w:ascii="宋体" w:hAnsi="宋体" w:cs="宋体"/>
          <w:b/>
          <w:bCs/>
          <w:szCs w:val="21"/>
        </w:rPr>
      </w:pPr>
      <w:bookmarkStart w:id="17" w:name="_Toc28359013"/>
      <w:bookmarkStart w:id="18" w:name="_Toc35393799"/>
      <w:bookmarkStart w:id="19" w:name="_Toc28359090"/>
      <w:bookmarkStart w:id="20" w:name="_Toc35393630"/>
      <w:bookmarkStart w:id="21" w:name="_Toc5728"/>
      <w:r>
        <w:rPr>
          <w:rFonts w:hint="eastAsia" w:ascii="宋体" w:hAnsi="宋体" w:cs="宋体"/>
          <w:b/>
          <w:bCs/>
          <w:szCs w:val="21"/>
        </w:rPr>
        <w:t>二、申请人的资格要求：</w:t>
      </w:r>
      <w:bookmarkEnd w:id="17"/>
      <w:bookmarkEnd w:id="18"/>
      <w:bookmarkEnd w:id="19"/>
      <w:bookmarkEnd w:id="20"/>
      <w:bookmarkEnd w:id="21"/>
    </w:p>
    <w:p w14:paraId="0A12502F">
      <w:pPr>
        <w:keepNext w:val="0"/>
        <w:keepLines w:val="0"/>
        <w:pageBreakBefore w:val="0"/>
        <w:widowControl w:val="0"/>
        <w:overflowPunct/>
        <w:topLinePunct w:val="0"/>
        <w:bidi w:val="0"/>
        <w:adjustRightInd/>
        <w:snapToGrid/>
        <w:spacing w:line="360" w:lineRule="auto"/>
        <w:ind w:firstLine="480"/>
        <w:textAlignment w:val="auto"/>
        <w:rPr>
          <w:rFonts w:ascii="宋体" w:hAnsi="宋体" w:cs="宋体"/>
          <w:b/>
          <w:bCs/>
          <w:szCs w:val="21"/>
        </w:rPr>
      </w:pPr>
      <w:r>
        <w:rPr>
          <w:rFonts w:hint="eastAsia" w:ascii="宋体" w:hAnsi="宋体" w:cs="宋体"/>
          <w:b/>
          <w:bCs/>
          <w:szCs w:val="21"/>
        </w:rPr>
        <w:t>1.满足《中华人民共和国政府采购法》第二十二条规定，并提供下列材料：</w:t>
      </w:r>
    </w:p>
    <w:p w14:paraId="15CFBCB4">
      <w:pPr>
        <w:keepNext w:val="0"/>
        <w:keepLines w:val="0"/>
        <w:pageBreakBefore w:val="0"/>
        <w:widowControl w:val="0"/>
        <w:overflowPunct/>
        <w:topLinePunct w:val="0"/>
        <w:bidi w:val="0"/>
        <w:adjustRightInd/>
        <w:snapToGrid/>
        <w:spacing w:line="360" w:lineRule="auto"/>
        <w:ind w:firstLine="480"/>
        <w:textAlignment w:val="auto"/>
        <w:rPr>
          <w:rFonts w:ascii="宋体" w:hAnsi="宋体" w:cs="宋体"/>
          <w:szCs w:val="21"/>
        </w:rPr>
      </w:pPr>
      <w:r>
        <w:rPr>
          <w:rFonts w:hint="eastAsia" w:ascii="宋体" w:hAnsi="宋体" w:cs="宋体"/>
          <w:szCs w:val="21"/>
        </w:rPr>
        <w:t>1.1在中华人民共和国境内依法成立，具有独立承担民事责任的能力，提供法人或者非法人组织的营业执照或其他法定凭证等证明文件。</w:t>
      </w:r>
    </w:p>
    <w:p w14:paraId="7254D4BA">
      <w:pPr>
        <w:keepNext w:val="0"/>
        <w:keepLines w:val="0"/>
        <w:pageBreakBefore w:val="0"/>
        <w:widowControl w:val="0"/>
        <w:tabs>
          <w:tab w:val="left" w:pos="720"/>
          <w:tab w:val="left" w:pos="4200"/>
          <w:tab w:val="left" w:pos="8295"/>
        </w:tabs>
        <w:overflowPunct/>
        <w:topLinePunct w:val="0"/>
        <w:bidi w:val="0"/>
        <w:adjustRightInd/>
        <w:snapToGrid/>
        <w:spacing w:line="360" w:lineRule="auto"/>
        <w:ind w:firstLine="420" w:firstLineChars="200"/>
        <w:textAlignment w:val="auto"/>
        <w:rPr>
          <w:rFonts w:hint="eastAsia" w:ascii="宋体" w:hAnsi="宋体" w:cs="宋体"/>
        </w:rPr>
      </w:pPr>
      <w:r>
        <w:rPr>
          <w:rFonts w:hint="eastAsia" w:ascii="宋体" w:hAnsi="宋体" w:cs="宋体"/>
          <w:szCs w:val="21"/>
        </w:rPr>
        <w:t>1.2</w:t>
      </w:r>
      <w:r>
        <w:rPr>
          <w:rFonts w:hint="eastAsia" w:ascii="宋体" w:hAnsi="宋体" w:cs="宋体"/>
        </w:rPr>
        <w:t>供应商须具有良好的商业信誉和健全的财务会计制度，</w:t>
      </w:r>
      <w:bookmarkStart w:id="22" w:name="_Hlk46053837"/>
      <w:r>
        <w:rPr>
          <w:rFonts w:hint="eastAsia" w:ascii="宋体" w:hAnsi="宋体" w:cs="宋体"/>
          <w:color w:val="000000"/>
          <w:sz w:val="21"/>
          <w:szCs w:val="21"/>
        </w:rPr>
        <w:t xml:space="preserve">供应商须提供财务状况报告，内容可为以下三者之一： </w:t>
      </w:r>
    </w:p>
    <w:bookmarkEnd w:id="22"/>
    <w:p w14:paraId="4E716704">
      <w:pPr>
        <w:keepNext w:val="0"/>
        <w:keepLines w:val="0"/>
        <w:pageBreakBefore w:val="0"/>
        <w:widowControl w:val="0"/>
        <w:tabs>
          <w:tab w:val="left" w:pos="720"/>
          <w:tab w:val="left" w:pos="4200"/>
          <w:tab w:val="left" w:pos="8295"/>
        </w:tabs>
        <w:overflowPunct/>
        <w:topLinePunct w:val="0"/>
        <w:bidi w:val="0"/>
        <w:adjustRightInd/>
        <w:snapToGrid/>
        <w:spacing w:line="360" w:lineRule="auto"/>
        <w:ind w:firstLine="420" w:firstLineChars="200"/>
        <w:textAlignment w:val="auto"/>
        <w:rPr>
          <w:rFonts w:hint="eastAsia" w:ascii="宋体" w:hAnsi="宋体" w:cs="宋体"/>
          <w:color w:val="000000"/>
          <w:sz w:val="21"/>
          <w:szCs w:val="21"/>
        </w:rPr>
      </w:pPr>
      <w:r>
        <w:rPr>
          <w:rFonts w:hint="eastAsia" w:ascii="宋体" w:hAnsi="宋体" w:cs="宋体"/>
          <w:color w:val="000000"/>
          <w:sz w:val="21"/>
          <w:szCs w:val="21"/>
        </w:rPr>
        <w:t>①提供202</w:t>
      </w:r>
      <w:r>
        <w:rPr>
          <w:rFonts w:hint="eastAsia" w:ascii="宋体" w:hAnsi="宋体" w:cs="宋体"/>
          <w:color w:val="000000"/>
          <w:sz w:val="21"/>
          <w:szCs w:val="21"/>
          <w:lang w:val="en-US" w:eastAsia="zh-CN"/>
        </w:rPr>
        <w:t>4</w:t>
      </w:r>
      <w:r>
        <w:rPr>
          <w:rFonts w:hint="eastAsia" w:ascii="宋体" w:hAnsi="宋体" w:cs="宋体"/>
          <w:color w:val="000000"/>
          <w:sz w:val="21"/>
          <w:szCs w:val="21"/>
        </w:rPr>
        <w:t>或者202</w:t>
      </w:r>
      <w:r>
        <w:rPr>
          <w:rFonts w:hint="eastAsia" w:ascii="宋体" w:hAnsi="宋体" w:cs="宋体"/>
          <w:color w:val="000000"/>
          <w:sz w:val="21"/>
          <w:szCs w:val="21"/>
          <w:lang w:val="en-US" w:eastAsia="zh-CN"/>
        </w:rPr>
        <w:t>5</w:t>
      </w:r>
      <w:r>
        <w:rPr>
          <w:rFonts w:hint="eastAsia" w:ascii="宋体" w:hAnsi="宋体" w:cs="宋体"/>
          <w:color w:val="000000"/>
          <w:sz w:val="21"/>
          <w:szCs w:val="21"/>
        </w:rPr>
        <w:t>任意年度经第三方审计的财务报告及报表（报表至少应包括资产负债表、利润表（损益表）、现金流量表），事业单位可提供内部财务报表，新成立不满1年的供应商提供自成立至今的财务报表；</w:t>
      </w:r>
    </w:p>
    <w:p w14:paraId="732A1482">
      <w:pPr>
        <w:keepNext w:val="0"/>
        <w:keepLines w:val="0"/>
        <w:pageBreakBefore w:val="0"/>
        <w:widowControl w:val="0"/>
        <w:tabs>
          <w:tab w:val="left" w:pos="720"/>
          <w:tab w:val="left" w:pos="4200"/>
          <w:tab w:val="left" w:pos="8295"/>
        </w:tabs>
        <w:overflowPunct/>
        <w:topLinePunct w:val="0"/>
        <w:bidi w:val="0"/>
        <w:adjustRightInd/>
        <w:snapToGrid/>
        <w:spacing w:line="360" w:lineRule="auto"/>
        <w:ind w:firstLine="420" w:firstLineChars="200"/>
        <w:textAlignment w:val="auto"/>
        <w:rPr>
          <w:rFonts w:hint="eastAsia" w:ascii="宋体" w:hAnsi="宋体" w:cs="宋体"/>
          <w:color w:val="000000"/>
          <w:sz w:val="21"/>
          <w:szCs w:val="21"/>
        </w:rPr>
      </w:pPr>
      <w:r>
        <w:rPr>
          <w:rFonts w:hint="eastAsia" w:ascii="宋体" w:hAnsi="宋体" w:cs="宋体"/>
          <w:color w:val="000000"/>
          <w:sz w:val="21"/>
          <w:szCs w:val="21"/>
        </w:rPr>
        <w:t>②提供自响应文件提交截止时间前三个月内基本开户银行出具的资信证明；</w:t>
      </w:r>
    </w:p>
    <w:p w14:paraId="1E6422F3">
      <w:pPr>
        <w:keepNext w:val="0"/>
        <w:keepLines w:val="0"/>
        <w:pageBreakBefore w:val="0"/>
        <w:widowControl w:val="0"/>
        <w:tabs>
          <w:tab w:val="left" w:pos="720"/>
          <w:tab w:val="left" w:pos="4200"/>
          <w:tab w:val="left" w:pos="8295"/>
        </w:tabs>
        <w:overflowPunct/>
        <w:topLinePunct w:val="0"/>
        <w:bidi w:val="0"/>
        <w:adjustRightInd/>
        <w:snapToGrid/>
        <w:spacing w:line="360" w:lineRule="auto"/>
        <w:ind w:firstLine="420" w:firstLineChars="200"/>
        <w:textAlignment w:val="auto"/>
        <w:rPr>
          <w:rFonts w:hint="eastAsia" w:ascii="宋体" w:hAnsi="宋体" w:cs="宋体"/>
          <w:color w:val="000000"/>
          <w:sz w:val="21"/>
          <w:szCs w:val="21"/>
        </w:rPr>
      </w:pPr>
      <w:r>
        <w:rPr>
          <w:rFonts w:hint="eastAsia" w:ascii="宋体" w:hAnsi="宋体" w:cs="宋体"/>
          <w:color w:val="000000"/>
          <w:sz w:val="21"/>
          <w:szCs w:val="21"/>
        </w:rPr>
        <w:t>③提供财政部门认可的政府采购专业担保机构出具的投标担保函。</w:t>
      </w:r>
    </w:p>
    <w:p w14:paraId="5EF1DCE5">
      <w:pPr>
        <w:keepNext w:val="0"/>
        <w:keepLines w:val="0"/>
        <w:pageBreakBefore w:val="0"/>
        <w:widowControl w:val="0"/>
        <w:tabs>
          <w:tab w:val="left" w:pos="720"/>
          <w:tab w:val="left" w:pos="4200"/>
          <w:tab w:val="left" w:pos="8295"/>
        </w:tabs>
        <w:overflowPunct/>
        <w:topLinePunct w:val="0"/>
        <w:bidi w:val="0"/>
        <w:adjustRightInd/>
        <w:snapToGrid/>
        <w:spacing w:line="360" w:lineRule="auto"/>
        <w:ind w:firstLine="422" w:firstLineChars="200"/>
        <w:textAlignment w:val="auto"/>
        <w:rPr>
          <w:rFonts w:hint="eastAsia" w:ascii="宋体" w:hAnsi="宋体" w:cs="宋体"/>
          <w:color w:val="000000"/>
          <w:sz w:val="21"/>
          <w:szCs w:val="21"/>
        </w:rPr>
      </w:pPr>
      <w:r>
        <w:rPr>
          <w:rFonts w:hint="eastAsia" w:ascii="宋体" w:hAnsi="宋体" w:eastAsia="宋体" w:cs="宋体"/>
          <w:b/>
          <w:bCs/>
          <w:color w:val="auto"/>
          <w:szCs w:val="21"/>
          <w:lang w:val="en-US" w:eastAsia="zh-CN"/>
        </w:rPr>
        <w:t>注：</w:t>
      </w:r>
      <w:r>
        <w:rPr>
          <w:rFonts w:hint="eastAsia" w:ascii="宋体" w:hAnsi="宋体" w:eastAsia="宋体" w:cs="宋体"/>
          <w:b/>
          <w:bCs/>
          <w:color w:val="auto"/>
          <w:kern w:val="0"/>
          <w:szCs w:val="21"/>
          <w:u w:val="none"/>
          <w:lang w:val="en-US" w:eastAsia="zh-CN"/>
        </w:rPr>
        <w:t>若提供2022年及以后的审计报告须按“财办〔2022〕32号</w:t>
      </w:r>
      <w:r>
        <w:rPr>
          <w:rFonts w:hint="eastAsia" w:ascii="宋体" w:hAnsi="宋体" w:cs="宋体"/>
          <w:b/>
          <w:bCs/>
          <w:color w:val="auto"/>
          <w:kern w:val="0"/>
          <w:szCs w:val="21"/>
          <w:u w:val="none"/>
          <w:lang w:val="en-US" w:eastAsia="zh-CN"/>
        </w:rPr>
        <w:t>”“</w:t>
      </w:r>
      <w:r>
        <w:rPr>
          <w:rFonts w:hint="eastAsia" w:ascii="宋体" w:hAnsi="宋体" w:eastAsia="宋体" w:cs="宋体"/>
          <w:b/>
          <w:bCs/>
          <w:color w:val="auto"/>
          <w:kern w:val="0"/>
          <w:szCs w:val="21"/>
          <w:u w:val="none"/>
          <w:lang w:val="en-US" w:eastAsia="zh-CN"/>
        </w:rPr>
        <w:t>财会〔2023〕15号、云财会〔2026〕23号”文件要求在注册会计师行业统一监管平台报备并赋予验证码。</w:t>
      </w:r>
    </w:p>
    <w:p w14:paraId="720E99FE">
      <w:pPr>
        <w:keepNext w:val="0"/>
        <w:keepLines w:val="0"/>
        <w:pageBreakBefore w:val="0"/>
        <w:widowControl w:val="0"/>
        <w:overflowPunct/>
        <w:topLinePunct w:val="0"/>
        <w:bidi w:val="0"/>
        <w:adjustRightInd/>
        <w:snapToGrid/>
        <w:spacing w:line="360" w:lineRule="auto"/>
        <w:ind w:firstLine="480"/>
        <w:textAlignment w:val="auto"/>
        <w:rPr>
          <w:rFonts w:hint="eastAsia" w:ascii="宋体" w:hAnsi="宋体" w:cs="宋体"/>
          <w:szCs w:val="21"/>
        </w:rPr>
      </w:pPr>
      <w:r>
        <w:rPr>
          <w:rFonts w:hint="eastAsia" w:ascii="宋体" w:hAnsi="宋体" w:cs="宋体"/>
          <w:szCs w:val="21"/>
        </w:rPr>
        <w:t>1.3供应商有依法缴纳税收和社会保障资金的良好记录：</w:t>
      </w:r>
    </w:p>
    <w:p w14:paraId="661BE234">
      <w:pPr>
        <w:keepNext w:val="0"/>
        <w:keepLines w:val="0"/>
        <w:pageBreakBefore w:val="0"/>
        <w:widowControl w:val="0"/>
        <w:overflowPunct/>
        <w:topLinePunct w:val="0"/>
        <w:bidi w:val="0"/>
        <w:adjustRightInd/>
        <w:snapToGrid/>
        <w:spacing w:line="360" w:lineRule="auto"/>
        <w:ind w:firstLine="480"/>
        <w:textAlignment w:val="auto"/>
        <w:rPr>
          <w:rFonts w:hint="eastAsia" w:ascii="宋体" w:hAnsi="宋体" w:cs="宋体"/>
          <w:color w:val="auto"/>
          <w:szCs w:val="21"/>
        </w:rPr>
      </w:pPr>
      <w:r>
        <w:rPr>
          <w:rFonts w:hint="eastAsia" w:ascii="宋体" w:hAnsi="宋体" w:cs="宋体"/>
          <w:color w:val="auto"/>
          <w:szCs w:val="21"/>
        </w:rPr>
        <w:t>A、纳税证明材料：缴税所属时间在202</w:t>
      </w:r>
      <w:r>
        <w:rPr>
          <w:rFonts w:hint="eastAsia" w:ascii="宋体" w:hAnsi="宋体" w:cs="宋体"/>
          <w:color w:val="auto"/>
          <w:szCs w:val="21"/>
          <w:lang w:val="en-US" w:eastAsia="zh-CN"/>
        </w:rPr>
        <w:t>5</w:t>
      </w:r>
      <w:r>
        <w:rPr>
          <w:rFonts w:hint="eastAsia" w:ascii="宋体" w:hAnsi="宋体" w:cs="宋体"/>
          <w:color w:val="auto"/>
          <w:szCs w:val="21"/>
        </w:rPr>
        <w:t>年</w:t>
      </w:r>
      <w:r>
        <w:rPr>
          <w:rFonts w:hint="eastAsia" w:ascii="宋体" w:hAnsi="宋体" w:cs="宋体"/>
          <w:color w:val="auto"/>
          <w:szCs w:val="21"/>
          <w:lang w:val="en-US" w:eastAsia="zh-CN"/>
        </w:rPr>
        <w:t>7</w:t>
      </w:r>
      <w:r>
        <w:rPr>
          <w:rFonts w:hint="eastAsia" w:ascii="宋体" w:hAnsi="宋体" w:cs="宋体"/>
          <w:color w:val="auto"/>
          <w:szCs w:val="21"/>
        </w:rPr>
        <w:t>月份以来任意</w:t>
      </w:r>
      <w:r>
        <w:rPr>
          <w:rFonts w:hint="eastAsia" w:ascii="宋体" w:hAnsi="宋体" w:cs="宋体"/>
          <w:color w:val="auto"/>
          <w:szCs w:val="21"/>
          <w:lang w:val="en-US" w:eastAsia="zh-CN"/>
        </w:rPr>
        <w:t>1</w:t>
      </w:r>
      <w:r>
        <w:rPr>
          <w:rFonts w:hint="eastAsia" w:ascii="宋体" w:hAnsi="宋体" w:cs="宋体"/>
          <w:color w:val="auto"/>
          <w:szCs w:val="21"/>
        </w:rPr>
        <w:t>个月的税务局税收通用缴款书扫描件或银行电子缴税（费）凭证扫描件或税务局出具纳税情况的相关证明扫描件；</w:t>
      </w:r>
    </w:p>
    <w:p w14:paraId="4C8A0A98">
      <w:pPr>
        <w:keepNext w:val="0"/>
        <w:keepLines w:val="0"/>
        <w:pageBreakBefore w:val="0"/>
        <w:widowControl w:val="0"/>
        <w:overflowPunct/>
        <w:topLinePunct w:val="0"/>
        <w:bidi w:val="0"/>
        <w:adjustRightInd/>
        <w:snapToGrid/>
        <w:spacing w:line="360" w:lineRule="auto"/>
        <w:ind w:firstLine="480"/>
        <w:textAlignment w:val="auto"/>
        <w:rPr>
          <w:rFonts w:hint="eastAsia" w:ascii="宋体" w:hAnsi="宋体" w:cs="宋体"/>
          <w:color w:val="auto"/>
          <w:szCs w:val="21"/>
        </w:rPr>
      </w:pPr>
      <w:r>
        <w:rPr>
          <w:rFonts w:hint="eastAsia" w:ascii="宋体" w:hAnsi="宋体" w:cs="宋体"/>
          <w:color w:val="auto"/>
          <w:szCs w:val="21"/>
        </w:rPr>
        <w:t>B、缴纳社会保险证明材料：缴费所属时间在202</w:t>
      </w:r>
      <w:r>
        <w:rPr>
          <w:rFonts w:hint="eastAsia" w:ascii="宋体" w:hAnsi="宋体" w:cs="宋体"/>
          <w:color w:val="auto"/>
          <w:szCs w:val="21"/>
          <w:lang w:val="en-US" w:eastAsia="zh-CN"/>
        </w:rPr>
        <w:t>5</w:t>
      </w:r>
      <w:r>
        <w:rPr>
          <w:rFonts w:hint="eastAsia" w:ascii="宋体" w:hAnsi="宋体" w:cs="宋体"/>
          <w:color w:val="auto"/>
          <w:szCs w:val="21"/>
        </w:rPr>
        <w:t>年</w:t>
      </w:r>
      <w:r>
        <w:rPr>
          <w:rFonts w:hint="eastAsia" w:ascii="宋体" w:hAnsi="宋体" w:cs="宋体"/>
          <w:color w:val="auto"/>
          <w:szCs w:val="21"/>
          <w:lang w:val="en-US" w:eastAsia="zh-CN"/>
        </w:rPr>
        <w:t>7</w:t>
      </w:r>
      <w:r>
        <w:rPr>
          <w:rFonts w:hint="eastAsia" w:ascii="宋体" w:hAnsi="宋体" w:cs="宋体"/>
          <w:color w:val="auto"/>
          <w:szCs w:val="21"/>
        </w:rPr>
        <w:t>月份以来任意</w:t>
      </w:r>
      <w:r>
        <w:rPr>
          <w:rFonts w:hint="eastAsia" w:ascii="宋体" w:hAnsi="宋体" w:cs="宋体"/>
          <w:color w:val="auto"/>
          <w:szCs w:val="21"/>
          <w:lang w:val="en-US" w:eastAsia="zh-CN"/>
        </w:rPr>
        <w:t>1</w:t>
      </w:r>
      <w:r>
        <w:rPr>
          <w:rFonts w:hint="eastAsia" w:ascii="宋体" w:hAnsi="宋体" w:cs="宋体"/>
          <w:color w:val="auto"/>
          <w:szCs w:val="21"/>
        </w:rPr>
        <w:t>个月的社会保险费缴款书扫描件或银行电子缴税（费）凭证扫描件或社保管理部门出具的有效的缴款证明扫描件。</w:t>
      </w:r>
    </w:p>
    <w:p w14:paraId="165266A1">
      <w:pPr>
        <w:keepNext w:val="0"/>
        <w:keepLines w:val="0"/>
        <w:pageBreakBefore w:val="0"/>
        <w:widowControl w:val="0"/>
        <w:overflowPunct/>
        <w:topLinePunct w:val="0"/>
        <w:bidi w:val="0"/>
        <w:adjustRightInd/>
        <w:snapToGrid/>
        <w:spacing w:line="360" w:lineRule="auto"/>
        <w:ind w:firstLine="480"/>
        <w:textAlignment w:val="auto"/>
        <w:rPr>
          <w:rFonts w:hint="eastAsia" w:ascii="宋体" w:hAnsi="宋体" w:cs="宋体"/>
          <w:szCs w:val="21"/>
        </w:rPr>
      </w:pPr>
      <w:r>
        <w:rPr>
          <w:rFonts w:hint="eastAsia" w:ascii="宋体" w:hAnsi="宋体" w:cs="宋体"/>
          <w:szCs w:val="21"/>
        </w:rPr>
        <w:t>依法免税或不需要缴纳社会保障资金的供应商，应提供相应文件证明其依法免税或不需要缴纳社会保障资金。</w:t>
      </w:r>
    </w:p>
    <w:p w14:paraId="5CF4BFD4">
      <w:pPr>
        <w:keepNext w:val="0"/>
        <w:keepLines w:val="0"/>
        <w:pageBreakBefore w:val="0"/>
        <w:widowControl w:val="0"/>
        <w:overflowPunct/>
        <w:topLinePunct w:val="0"/>
        <w:bidi w:val="0"/>
        <w:adjustRightInd/>
        <w:snapToGrid/>
        <w:spacing w:line="360" w:lineRule="auto"/>
        <w:ind w:firstLine="480"/>
        <w:textAlignment w:val="auto"/>
        <w:rPr>
          <w:rFonts w:ascii="宋体" w:hAnsi="宋体" w:cs="宋体"/>
          <w:szCs w:val="21"/>
        </w:rPr>
      </w:pPr>
      <w:r>
        <w:rPr>
          <w:rFonts w:hint="eastAsia" w:ascii="宋体" w:hAnsi="宋体" w:cs="宋体"/>
          <w:szCs w:val="21"/>
        </w:rPr>
        <w:t>1.4供应商必须具有履行合同所必需的设备和专业技术能力（提供承诺书）。</w:t>
      </w:r>
    </w:p>
    <w:p w14:paraId="2B3895E0">
      <w:pPr>
        <w:keepNext w:val="0"/>
        <w:keepLines w:val="0"/>
        <w:pageBreakBefore w:val="0"/>
        <w:widowControl w:val="0"/>
        <w:overflowPunct/>
        <w:topLinePunct w:val="0"/>
        <w:bidi w:val="0"/>
        <w:adjustRightInd/>
        <w:snapToGrid/>
        <w:spacing w:line="360" w:lineRule="auto"/>
        <w:ind w:firstLine="480"/>
        <w:textAlignment w:val="auto"/>
        <w:rPr>
          <w:rFonts w:ascii="宋体" w:hAnsi="宋体" w:cs="宋体"/>
          <w:szCs w:val="21"/>
        </w:rPr>
      </w:pPr>
      <w:r>
        <w:rPr>
          <w:rFonts w:hint="eastAsia" w:ascii="宋体" w:hAnsi="宋体" w:cs="宋体"/>
          <w:szCs w:val="21"/>
        </w:rPr>
        <w:t>1.5供应商“参加本项目政府采购活动前3年内在经营活动中没有重大违法记录的书面声明”（重大违法记录是指：因违法经营受到刑事处罚或者责令停产停业、吊销许可证或者执照、较大数额罚款等行政处罚）。</w:t>
      </w:r>
    </w:p>
    <w:p w14:paraId="12C57332">
      <w:pPr>
        <w:keepNext w:val="0"/>
        <w:keepLines w:val="0"/>
        <w:pageBreakBefore w:val="0"/>
        <w:widowControl w:val="0"/>
        <w:overflowPunct/>
        <w:topLinePunct w:val="0"/>
        <w:bidi w:val="0"/>
        <w:adjustRightInd/>
        <w:snapToGrid/>
        <w:spacing w:line="360" w:lineRule="auto"/>
        <w:ind w:firstLine="422" w:firstLineChars="200"/>
        <w:textAlignment w:val="auto"/>
        <w:rPr>
          <w:rFonts w:hint="eastAsia" w:ascii="宋体" w:hAnsi="宋体" w:cs="宋体"/>
          <w:szCs w:val="21"/>
          <w:lang w:eastAsia="zh-CN"/>
        </w:rPr>
      </w:pPr>
      <w:bookmarkStart w:id="23" w:name="_Toc35393800"/>
      <w:bookmarkStart w:id="24" w:name="_Toc35393631"/>
      <w:bookmarkStart w:id="25" w:name="_Toc28359014"/>
      <w:bookmarkStart w:id="26" w:name="_Toc28359091"/>
      <w:r>
        <w:rPr>
          <w:rFonts w:hint="eastAsia" w:ascii="宋体" w:hAnsi="宋体" w:cs="宋体"/>
          <w:b/>
          <w:bCs/>
          <w:szCs w:val="21"/>
          <w:highlight w:val="none"/>
        </w:rPr>
        <w:t>2.落实政府采购政策需满足的资格要求：</w:t>
      </w:r>
      <w:r>
        <w:rPr>
          <w:rFonts w:hint="eastAsia" w:ascii="宋体" w:hAnsi="宋体"/>
          <w:szCs w:val="21"/>
          <w:highlight w:val="none"/>
        </w:rPr>
        <w:t>本</w:t>
      </w:r>
      <w:r>
        <w:rPr>
          <w:rFonts w:hint="eastAsia" w:ascii="宋体" w:hAnsi="宋体" w:cs="宋体"/>
          <w:szCs w:val="21"/>
        </w:rPr>
        <w:t>项目专门面向中小企业采购的项目</w:t>
      </w:r>
      <w:r>
        <w:rPr>
          <w:rFonts w:hint="eastAsia" w:ascii="宋体" w:hAnsi="宋体" w:cs="宋体"/>
          <w:szCs w:val="21"/>
          <w:lang w:eastAsia="zh-CN"/>
        </w:rPr>
        <w:t>(中小企业所属行业类型为</w:t>
      </w:r>
      <w:r>
        <w:rPr>
          <w:rFonts w:hint="eastAsia" w:ascii="宋体" w:hAnsi="宋体" w:cs="宋体"/>
          <w:b/>
          <w:bCs/>
          <w:szCs w:val="21"/>
          <w:lang w:eastAsia="zh-CN"/>
        </w:rPr>
        <w:t>建筑业</w:t>
      </w:r>
      <w:r>
        <w:rPr>
          <w:rFonts w:hint="eastAsia" w:ascii="宋体" w:hAnsi="宋体" w:cs="宋体"/>
          <w:szCs w:val="21"/>
          <w:lang w:eastAsia="zh-CN"/>
        </w:rPr>
        <w:t>；满足条件的供应商须按要求提供承接工程的《中小企业声明函》)。</w:t>
      </w:r>
    </w:p>
    <w:p w14:paraId="2D3C980A">
      <w:pPr>
        <w:keepNext w:val="0"/>
        <w:keepLines w:val="0"/>
        <w:pageBreakBefore w:val="0"/>
        <w:widowControl w:val="0"/>
        <w:overflowPunct/>
        <w:topLinePunct w:val="0"/>
        <w:bidi w:val="0"/>
        <w:adjustRightInd/>
        <w:snapToGrid/>
        <w:spacing w:line="360" w:lineRule="auto"/>
        <w:ind w:firstLine="422" w:firstLineChars="200"/>
        <w:textAlignment w:val="auto"/>
        <w:rPr>
          <w:rFonts w:ascii="宋体" w:hAnsi="宋体" w:cs="宋体"/>
          <w:szCs w:val="21"/>
        </w:rPr>
      </w:pPr>
      <w:bookmarkStart w:id="27" w:name="_Hlk57980145"/>
      <w:r>
        <w:rPr>
          <w:rFonts w:hint="eastAsia" w:ascii="宋体" w:hAnsi="宋体" w:cs="宋体"/>
          <w:b/>
          <w:bCs/>
          <w:szCs w:val="21"/>
        </w:rPr>
        <w:t>3.本项目的特定资格要求：</w:t>
      </w:r>
      <w:bookmarkEnd w:id="27"/>
      <w:bookmarkStart w:id="28" w:name="_Hlk57980177"/>
    </w:p>
    <w:bookmarkEnd w:id="28"/>
    <w:p w14:paraId="700567E5">
      <w:pPr>
        <w:pStyle w:val="10"/>
        <w:keepNext w:val="0"/>
        <w:keepLines w:val="0"/>
        <w:pageBreakBefore w:val="0"/>
        <w:widowControl w:val="0"/>
        <w:overflowPunct/>
        <w:topLinePunct w:val="0"/>
        <w:bidi w:val="0"/>
        <w:adjustRightInd/>
        <w:snapToGrid/>
        <w:spacing w:line="360" w:lineRule="auto"/>
        <w:textAlignment w:val="auto"/>
        <w:rPr>
          <w:rFonts w:ascii="宋体" w:hAnsi="宋体"/>
          <w:color w:val="auto"/>
          <w:szCs w:val="21"/>
        </w:rPr>
      </w:pPr>
      <w:r>
        <w:rPr>
          <w:rFonts w:hint="eastAsia" w:ascii="宋体" w:hAnsi="宋体"/>
          <w:color w:val="auto"/>
          <w:szCs w:val="21"/>
        </w:rPr>
        <w:t>3.1 资质要求：</w:t>
      </w:r>
      <w:r>
        <w:rPr>
          <w:rFonts w:hint="eastAsia" w:ascii="宋体" w:hAnsi="宋体" w:cs="宋体"/>
          <w:color w:val="auto"/>
          <w:szCs w:val="21"/>
          <w:lang w:val="en-US" w:eastAsia="zh-CN"/>
        </w:rPr>
        <w:t>具备有效的建设行政主管部门颁发的市政公用工程施工总承包叁级及以上（含叁级）资质，且具备有效的安全生产许可证（证书在有效期内）。</w:t>
      </w:r>
    </w:p>
    <w:p w14:paraId="1EE9198C">
      <w:pPr>
        <w:pStyle w:val="10"/>
        <w:keepNext w:val="0"/>
        <w:keepLines w:val="0"/>
        <w:pageBreakBefore w:val="0"/>
        <w:widowControl w:val="0"/>
        <w:overflowPunct/>
        <w:topLinePunct w:val="0"/>
        <w:bidi w:val="0"/>
        <w:adjustRightInd/>
        <w:snapToGrid/>
        <w:spacing w:line="360" w:lineRule="auto"/>
        <w:textAlignment w:val="auto"/>
        <w:rPr>
          <w:rFonts w:hint="eastAsia" w:ascii="宋体" w:hAnsi="宋体" w:eastAsia="宋体"/>
          <w:color w:val="auto"/>
          <w:szCs w:val="21"/>
          <w:lang w:eastAsia="zh-CN"/>
        </w:rPr>
      </w:pPr>
      <w:r>
        <w:rPr>
          <w:rFonts w:hint="eastAsia" w:ascii="宋体" w:hAnsi="宋体"/>
          <w:color w:val="auto"/>
          <w:szCs w:val="21"/>
        </w:rPr>
        <w:t>3.2</w:t>
      </w:r>
      <w:r>
        <w:rPr>
          <w:rFonts w:ascii="宋体" w:hAnsi="宋体"/>
          <w:color w:val="auto"/>
          <w:szCs w:val="21"/>
        </w:rPr>
        <w:t>项目经理要求：</w:t>
      </w:r>
      <w:r>
        <w:rPr>
          <w:rFonts w:hint="eastAsia" w:ascii="宋体" w:hAnsi="宋体"/>
          <w:color w:val="auto"/>
          <w:szCs w:val="21"/>
          <w:lang w:eastAsia="zh-CN"/>
        </w:rPr>
        <w:t>拟投入本项目的项目经理须具备</w:t>
      </w:r>
      <w:r>
        <w:rPr>
          <w:rFonts w:hint="eastAsia" w:ascii="宋体" w:hAnsi="宋体" w:cs="宋体"/>
          <w:color w:val="auto"/>
          <w:szCs w:val="21"/>
          <w:lang w:val="en-US" w:eastAsia="zh-CN"/>
        </w:rPr>
        <w:t>市政公用工程</w:t>
      </w:r>
      <w:r>
        <w:rPr>
          <w:rFonts w:hint="eastAsia" w:ascii="宋体" w:hAnsi="宋体"/>
          <w:color w:val="auto"/>
          <w:szCs w:val="21"/>
          <w:lang w:eastAsia="zh-CN"/>
        </w:rPr>
        <w:t>专业贰级以上（含贰级）</w:t>
      </w:r>
      <w:r>
        <w:rPr>
          <w:rFonts w:hint="eastAsia" w:ascii="宋体" w:hAnsi="宋体"/>
          <w:color w:val="auto"/>
          <w:szCs w:val="21"/>
          <w:lang w:val="en-US" w:eastAsia="zh-CN"/>
        </w:rPr>
        <w:t>注册</w:t>
      </w:r>
      <w:r>
        <w:rPr>
          <w:rFonts w:hint="eastAsia" w:ascii="宋体" w:hAnsi="宋体"/>
          <w:color w:val="auto"/>
          <w:szCs w:val="21"/>
          <w:lang w:eastAsia="zh-CN"/>
        </w:rPr>
        <w:t>建造师，且具备有效的安全生产考核合格证书（B证）（证书在有效期内）且不得担任其他在建项目的项目经理。</w:t>
      </w:r>
    </w:p>
    <w:p w14:paraId="2CDDA1D6">
      <w:pPr>
        <w:keepNext w:val="0"/>
        <w:keepLines w:val="0"/>
        <w:pageBreakBefore w:val="0"/>
        <w:widowControl w:val="0"/>
        <w:kinsoku w:val="0"/>
        <w:wordWrap w:val="0"/>
        <w:overflowPunct/>
        <w:topLinePunct w:val="0"/>
        <w:autoSpaceDE/>
        <w:autoSpaceDN/>
        <w:bidi w:val="0"/>
        <w:adjustRightInd/>
        <w:snapToGrid/>
        <w:spacing w:line="360" w:lineRule="auto"/>
        <w:ind w:firstLine="420" w:firstLineChars="200"/>
        <w:jc w:val="left"/>
        <w:textAlignment w:val="auto"/>
        <w:outlineLvl w:val="9"/>
        <w:rPr>
          <w:rFonts w:hint="eastAsia" w:ascii="宋体" w:hAnsi="宋体"/>
          <w:szCs w:val="21"/>
        </w:rPr>
      </w:pPr>
      <w:bookmarkStart w:id="29" w:name="_Toc24324"/>
      <w:r>
        <w:rPr>
          <w:rFonts w:hint="eastAsia" w:ascii="宋体" w:hAnsi="宋体" w:eastAsia="宋体" w:cs="Times New Roman"/>
          <w:kern w:val="2"/>
          <w:sz w:val="21"/>
          <w:szCs w:val="21"/>
          <w:lang w:val="en-US" w:eastAsia="zh-CN" w:bidi="ar-SA"/>
        </w:rPr>
        <w:t>3.3信</w:t>
      </w:r>
      <w:r>
        <w:rPr>
          <w:rFonts w:hint="eastAsia" w:ascii="宋体" w:hAnsi="宋体"/>
          <w:szCs w:val="21"/>
        </w:rPr>
        <w:t>誉要求：按照《政府采购货物和服务招标投标管理办法》(财政部令第87号）、《财政部关于在政府采购活动中查询及使用信用记录有关问题的通知》(财库</w:t>
      </w:r>
      <w:r>
        <w:rPr>
          <w:rFonts w:hint="eastAsia" w:ascii="宋体" w:hAnsi="宋体"/>
          <w:szCs w:val="21"/>
          <w:lang w:eastAsia="zh-CN"/>
        </w:rPr>
        <w:t>〔2016〕125号</w:t>
      </w:r>
      <w:r>
        <w:rPr>
          <w:rFonts w:hint="eastAsia" w:ascii="宋体" w:hAnsi="宋体"/>
          <w:szCs w:val="21"/>
        </w:rPr>
        <w:t>）的相关要求，采购人或采购代理机构在响应文件递交的截止时间后将对供应商的信用信息在“信用中国”网站（www.creditchina.gov.cn）及中国政府采购网上进行查询，供应商如被列入“信用中国”网站（www.creditchina.gov.cn）失信被执行人（或严重失信主体名单查询）、重大税收违法失信主体及中国政府采购网（www.ccgp.gov.cn）政府采购严重违法失信行为信息记录（被禁止在一定期限内参加政府采购活动但期限届满的除外）名单的，其响应文件按废标处理。</w:t>
      </w:r>
    </w:p>
    <w:p w14:paraId="776246CD">
      <w:pPr>
        <w:keepNext w:val="0"/>
        <w:keepLines w:val="0"/>
        <w:pageBreakBefore w:val="0"/>
        <w:widowControl w:val="0"/>
        <w:overflowPunct/>
        <w:topLinePunct w:val="0"/>
        <w:autoSpaceDE/>
        <w:autoSpaceDN/>
        <w:bidi w:val="0"/>
        <w:adjustRightInd/>
        <w:snapToGrid/>
        <w:spacing w:line="360" w:lineRule="auto"/>
        <w:ind w:firstLine="420" w:firstLineChars="200"/>
        <w:textAlignment w:val="auto"/>
        <w:outlineLvl w:val="9"/>
        <w:rPr>
          <w:rFonts w:hint="eastAsia" w:ascii="宋体" w:hAnsi="宋体"/>
          <w:szCs w:val="21"/>
        </w:rPr>
      </w:pPr>
      <w:bookmarkStart w:id="30" w:name="_Toc4917"/>
      <w:r>
        <w:rPr>
          <w:rFonts w:hint="eastAsia" w:ascii="宋体" w:hAnsi="宋体"/>
          <w:szCs w:val="21"/>
        </w:rPr>
        <w:t>3.</w:t>
      </w:r>
      <w:r>
        <w:rPr>
          <w:rFonts w:hint="eastAsia" w:ascii="宋体" w:hAnsi="宋体"/>
          <w:szCs w:val="21"/>
          <w:lang w:val="en-US" w:eastAsia="zh-CN"/>
        </w:rPr>
        <w:t>4</w:t>
      </w:r>
      <w:r>
        <w:rPr>
          <w:rFonts w:hint="eastAsia" w:ascii="宋体" w:hAnsi="宋体"/>
          <w:szCs w:val="21"/>
        </w:rPr>
        <w:t>单位负责人为同一人或者存在直接控股、管理关系的不同供应商，不得参加同一合同项下的政府采购活动</w:t>
      </w:r>
      <w:r>
        <w:rPr>
          <w:rFonts w:hint="eastAsia" w:ascii="宋体" w:hAnsi="宋体"/>
          <w:szCs w:val="21"/>
          <w:lang w:eastAsia="zh-CN"/>
        </w:rPr>
        <w:t>（</w:t>
      </w:r>
      <w:r>
        <w:rPr>
          <w:rFonts w:hint="eastAsia" w:ascii="宋体" w:hAnsi="宋体"/>
          <w:szCs w:val="21"/>
          <w:lang w:val="en-US" w:eastAsia="zh-CN"/>
        </w:rPr>
        <w:t>提供承诺书</w:t>
      </w:r>
      <w:r>
        <w:rPr>
          <w:rFonts w:hint="eastAsia" w:ascii="宋体" w:hAnsi="宋体"/>
          <w:szCs w:val="21"/>
          <w:lang w:eastAsia="zh-CN"/>
        </w:rPr>
        <w:t>）</w:t>
      </w:r>
      <w:r>
        <w:rPr>
          <w:rFonts w:hint="eastAsia" w:ascii="宋体" w:hAnsi="宋体"/>
          <w:szCs w:val="21"/>
        </w:rPr>
        <w:t>。</w:t>
      </w:r>
      <w:bookmarkEnd w:id="30"/>
    </w:p>
    <w:p w14:paraId="0F2CB462">
      <w:pPr>
        <w:keepNext w:val="0"/>
        <w:keepLines w:val="0"/>
        <w:pageBreakBefore w:val="0"/>
        <w:widowControl w:val="0"/>
        <w:overflowPunct/>
        <w:topLinePunct w:val="0"/>
        <w:autoSpaceDE/>
        <w:autoSpaceDN/>
        <w:bidi w:val="0"/>
        <w:adjustRightInd/>
        <w:snapToGrid/>
        <w:spacing w:line="360" w:lineRule="auto"/>
        <w:ind w:firstLine="420" w:firstLineChars="200"/>
        <w:textAlignment w:val="auto"/>
        <w:outlineLvl w:val="9"/>
        <w:rPr>
          <w:rFonts w:hint="default" w:ascii="宋体" w:hAnsi="宋体"/>
          <w:szCs w:val="21"/>
          <w:lang w:val="en-US" w:eastAsia="zh-CN"/>
        </w:rPr>
      </w:pPr>
      <w:bookmarkStart w:id="31" w:name="_Toc21748"/>
      <w:r>
        <w:rPr>
          <w:rFonts w:hint="eastAsia" w:ascii="宋体" w:hAnsi="宋体"/>
          <w:szCs w:val="21"/>
          <w:lang w:val="en-US" w:eastAsia="zh-CN"/>
        </w:rPr>
        <w:t>3.5 若为采购项目提供整体设计、规范编制或者项目管理、监理、检测等服务的供应商，不得参加本采购项目</w:t>
      </w:r>
      <w:r>
        <w:rPr>
          <w:rFonts w:hint="eastAsia" w:ascii="宋体" w:hAnsi="宋体"/>
          <w:szCs w:val="21"/>
          <w:lang w:eastAsia="zh-CN"/>
        </w:rPr>
        <w:t>（</w:t>
      </w:r>
      <w:r>
        <w:rPr>
          <w:rFonts w:hint="eastAsia" w:ascii="宋体" w:hAnsi="宋体"/>
          <w:szCs w:val="21"/>
          <w:lang w:val="en-US" w:eastAsia="zh-CN"/>
        </w:rPr>
        <w:t>提供承诺书</w:t>
      </w:r>
      <w:r>
        <w:rPr>
          <w:rFonts w:hint="eastAsia" w:ascii="宋体" w:hAnsi="宋体"/>
          <w:szCs w:val="21"/>
          <w:lang w:eastAsia="zh-CN"/>
        </w:rPr>
        <w:t>）</w:t>
      </w:r>
      <w:r>
        <w:rPr>
          <w:rFonts w:hint="eastAsia" w:ascii="宋体" w:hAnsi="宋体"/>
          <w:szCs w:val="21"/>
          <w:lang w:val="en-US" w:eastAsia="zh-CN"/>
        </w:rPr>
        <w:t>。</w:t>
      </w:r>
      <w:bookmarkEnd w:id="31"/>
    </w:p>
    <w:p w14:paraId="2ACFAED4">
      <w:pPr>
        <w:keepNext w:val="0"/>
        <w:keepLines w:val="0"/>
        <w:pageBreakBefore w:val="0"/>
        <w:widowControl w:val="0"/>
        <w:overflowPunct/>
        <w:topLinePunct w:val="0"/>
        <w:bidi w:val="0"/>
        <w:adjustRightInd/>
        <w:snapToGrid/>
        <w:spacing w:line="360" w:lineRule="auto"/>
        <w:ind w:firstLine="480"/>
        <w:textAlignment w:val="auto"/>
        <w:outlineLvl w:val="1"/>
        <w:rPr>
          <w:rFonts w:ascii="宋体" w:hAnsi="宋体" w:cs="宋体"/>
          <w:b/>
          <w:bCs/>
          <w:szCs w:val="21"/>
        </w:rPr>
      </w:pPr>
      <w:r>
        <w:rPr>
          <w:rFonts w:hint="eastAsia" w:ascii="宋体" w:hAnsi="宋体" w:cs="宋体"/>
          <w:b/>
          <w:bCs/>
          <w:szCs w:val="21"/>
        </w:rPr>
        <w:t>三、获取采购文件</w:t>
      </w:r>
      <w:bookmarkEnd w:id="23"/>
      <w:bookmarkEnd w:id="24"/>
      <w:bookmarkEnd w:id="25"/>
      <w:bookmarkEnd w:id="26"/>
      <w:bookmarkEnd w:id="29"/>
    </w:p>
    <w:p w14:paraId="74C3C921">
      <w:pPr>
        <w:keepNext w:val="0"/>
        <w:keepLines w:val="0"/>
        <w:pageBreakBefore w:val="0"/>
        <w:widowControl w:val="0"/>
        <w:overflowPunct/>
        <w:topLinePunct w:val="0"/>
        <w:autoSpaceDE/>
        <w:autoSpaceDN/>
        <w:bidi w:val="0"/>
        <w:adjustRightInd/>
        <w:snapToGrid/>
        <w:spacing w:after="0" w:line="360" w:lineRule="auto"/>
        <w:ind w:firstLine="422" w:firstLineChars="200"/>
        <w:jc w:val="both"/>
        <w:textAlignment w:val="auto"/>
        <w:rPr>
          <w:rFonts w:hint="eastAsia" w:ascii="宋体" w:hAnsi="宋体" w:eastAsia="宋体" w:cs="宋体"/>
          <w:snapToGrid w:val="0"/>
          <w:kern w:val="21"/>
          <w:sz w:val="21"/>
          <w:szCs w:val="21"/>
          <w:lang w:eastAsia="zh-CN" w:bidi="ar-SA"/>
        </w:rPr>
      </w:pPr>
      <w:bookmarkStart w:id="32" w:name="_Toc35393801"/>
      <w:bookmarkStart w:id="33" w:name="_Toc28359015"/>
      <w:bookmarkStart w:id="34" w:name="_Toc15097"/>
      <w:bookmarkStart w:id="35" w:name="_Toc28359092"/>
      <w:bookmarkStart w:id="36" w:name="_Toc35393632"/>
      <w:r>
        <w:rPr>
          <w:rFonts w:hint="eastAsia" w:ascii="宋体" w:hAnsi="宋体" w:eastAsia="宋体" w:cs="宋体"/>
          <w:b/>
          <w:bCs/>
          <w:sz w:val="21"/>
          <w:szCs w:val="21"/>
          <w:lang w:eastAsia="zh-CN"/>
        </w:rPr>
        <w:t>时间：</w:t>
      </w:r>
      <w:r>
        <w:rPr>
          <w:rFonts w:hint="eastAsia" w:ascii="宋体" w:hAnsi="宋体" w:eastAsia="宋体" w:cs="宋体"/>
          <w:sz w:val="21"/>
          <w:szCs w:val="21"/>
          <w:lang w:eastAsia="zh-CN"/>
        </w:rPr>
        <w:t>凡有意参加者，请于202</w:t>
      </w:r>
      <w:r>
        <w:rPr>
          <w:rFonts w:hint="eastAsia" w:ascii="宋体" w:hAnsi="宋体" w:cs="宋体"/>
          <w:sz w:val="21"/>
          <w:szCs w:val="21"/>
          <w:lang w:val="en-US" w:eastAsia="zh-CN"/>
        </w:rPr>
        <w:t>6</w:t>
      </w:r>
      <w:r>
        <w:rPr>
          <w:rFonts w:hint="eastAsia" w:ascii="宋体" w:hAnsi="宋体" w:eastAsia="宋体" w:cs="宋体"/>
          <w:sz w:val="21"/>
          <w:szCs w:val="21"/>
          <w:lang w:eastAsia="zh-CN"/>
        </w:rPr>
        <w:t>年</w:t>
      </w:r>
      <w:r>
        <w:rPr>
          <w:rFonts w:hint="eastAsia" w:ascii="宋体" w:hAnsi="宋体" w:cs="宋体"/>
          <w:sz w:val="21"/>
          <w:szCs w:val="21"/>
          <w:lang w:val="en-US" w:eastAsia="zh-CN"/>
        </w:rPr>
        <w:t>08</w:t>
      </w:r>
      <w:r>
        <w:rPr>
          <w:rFonts w:hint="eastAsia" w:ascii="宋体" w:hAnsi="宋体" w:eastAsia="宋体" w:cs="宋体"/>
          <w:sz w:val="21"/>
          <w:szCs w:val="21"/>
          <w:lang w:eastAsia="zh-CN"/>
        </w:rPr>
        <w:t>月</w:t>
      </w:r>
      <w:r>
        <w:rPr>
          <w:rFonts w:hint="eastAsia" w:ascii="宋体" w:hAnsi="宋体" w:cs="宋体"/>
          <w:sz w:val="21"/>
          <w:szCs w:val="21"/>
          <w:lang w:val="en-US" w:eastAsia="zh-CN"/>
        </w:rPr>
        <w:t>11</w:t>
      </w:r>
      <w:r>
        <w:rPr>
          <w:rFonts w:hint="eastAsia" w:ascii="宋体" w:hAnsi="宋体" w:eastAsia="宋体" w:cs="宋体"/>
          <w:sz w:val="21"/>
          <w:szCs w:val="21"/>
          <w:lang w:eastAsia="zh-CN"/>
        </w:rPr>
        <w:t>日</w:t>
      </w:r>
      <w:r>
        <w:rPr>
          <w:rFonts w:hint="eastAsia" w:ascii="宋体" w:hAnsi="宋体" w:cs="宋体"/>
          <w:sz w:val="21"/>
          <w:szCs w:val="21"/>
          <w:lang w:val="en-US" w:eastAsia="zh-CN"/>
        </w:rPr>
        <w:t>06</w:t>
      </w:r>
      <w:r>
        <w:rPr>
          <w:rFonts w:hint="eastAsia" w:ascii="宋体" w:hAnsi="宋体" w:eastAsia="宋体" w:cs="宋体"/>
          <w:sz w:val="21"/>
          <w:szCs w:val="21"/>
          <w:lang w:eastAsia="zh-CN"/>
        </w:rPr>
        <w:t>时</w:t>
      </w:r>
      <w:r>
        <w:rPr>
          <w:rFonts w:hint="eastAsia" w:ascii="宋体" w:hAnsi="宋体" w:cs="宋体"/>
          <w:sz w:val="21"/>
          <w:szCs w:val="21"/>
          <w:lang w:val="en-US" w:eastAsia="zh-CN"/>
        </w:rPr>
        <w:t>00</w:t>
      </w:r>
      <w:r>
        <w:rPr>
          <w:rFonts w:hint="eastAsia" w:ascii="宋体" w:hAnsi="宋体" w:eastAsia="宋体" w:cs="宋体"/>
          <w:sz w:val="21"/>
          <w:szCs w:val="21"/>
          <w:lang w:eastAsia="zh-CN"/>
        </w:rPr>
        <w:t>分至202</w:t>
      </w:r>
      <w:r>
        <w:rPr>
          <w:rFonts w:hint="eastAsia" w:ascii="宋体" w:hAnsi="宋体" w:cs="宋体"/>
          <w:sz w:val="21"/>
          <w:szCs w:val="21"/>
          <w:lang w:val="en-US" w:eastAsia="zh-CN"/>
        </w:rPr>
        <w:t>6</w:t>
      </w:r>
      <w:r>
        <w:rPr>
          <w:rFonts w:hint="eastAsia" w:ascii="宋体" w:hAnsi="宋体" w:eastAsia="宋体" w:cs="宋体"/>
          <w:sz w:val="21"/>
          <w:szCs w:val="21"/>
          <w:lang w:eastAsia="zh-CN"/>
        </w:rPr>
        <w:t>年</w:t>
      </w:r>
      <w:r>
        <w:rPr>
          <w:rFonts w:hint="eastAsia" w:ascii="宋体" w:hAnsi="宋体" w:cs="宋体"/>
          <w:sz w:val="21"/>
          <w:szCs w:val="21"/>
          <w:lang w:val="en-US" w:eastAsia="zh-CN"/>
        </w:rPr>
        <w:t>08</w:t>
      </w:r>
      <w:r>
        <w:rPr>
          <w:rFonts w:hint="eastAsia" w:ascii="宋体" w:hAnsi="宋体" w:eastAsia="宋体" w:cs="宋体"/>
          <w:sz w:val="21"/>
          <w:szCs w:val="21"/>
          <w:lang w:eastAsia="zh-CN"/>
        </w:rPr>
        <w:t>月</w:t>
      </w:r>
      <w:r>
        <w:rPr>
          <w:rFonts w:hint="eastAsia" w:ascii="宋体" w:hAnsi="宋体" w:cs="宋体"/>
          <w:sz w:val="21"/>
          <w:szCs w:val="21"/>
          <w:lang w:val="en-US" w:eastAsia="zh-CN"/>
        </w:rPr>
        <w:t>18</w:t>
      </w:r>
      <w:r>
        <w:rPr>
          <w:rFonts w:hint="eastAsia" w:ascii="宋体" w:hAnsi="宋体" w:eastAsia="宋体" w:cs="宋体"/>
          <w:sz w:val="21"/>
          <w:szCs w:val="21"/>
          <w:lang w:eastAsia="zh-CN"/>
        </w:rPr>
        <w:t>日23时59分（北京时间，下同），登录政采云平台（https://www.zcygov.cn</w:t>
      </w:r>
      <w:r>
        <w:rPr>
          <w:rFonts w:hint="eastAsia" w:ascii="宋体" w:hAnsi="宋体" w:cs="宋体"/>
          <w:sz w:val="21"/>
          <w:szCs w:val="21"/>
          <w:lang w:eastAsia="zh-CN"/>
        </w:rPr>
        <w:t>）</w:t>
      </w:r>
      <w:r>
        <w:rPr>
          <w:rFonts w:hint="eastAsia" w:ascii="宋体" w:hAnsi="宋体" w:eastAsia="宋体" w:cs="宋体"/>
          <w:sz w:val="21"/>
          <w:szCs w:val="21"/>
          <w:lang w:eastAsia="zh-CN"/>
        </w:rPr>
        <w:t>，凭企业数字证书（CA）在网上获取电子采购文件及其他采购资料，此为获取采购文件的唯一途径</w:t>
      </w:r>
      <w:r>
        <w:rPr>
          <w:rFonts w:hint="eastAsia" w:ascii="宋体" w:hAnsi="宋体" w:eastAsia="宋体" w:cs="宋体"/>
          <w:snapToGrid w:val="0"/>
          <w:kern w:val="21"/>
          <w:sz w:val="21"/>
          <w:szCs w:val="21"/>
          <w:lang w:eastAsia="zh-CN" w:bidi="ar-SA"/>
        </w:rPr>
        <w:t>。</w:t>
      </w:r>
    </w:p>
    <w:p w14:paraId="4A0465B5">
      <w:pPr>
        <w:keepNext w:val="0"/>
        <w:keepLines w:val="0"/>
        <w:pageBreakBefore w:val="0"/>
        <w:widowControl w:val="0"/>
        <w:kinsoku w:val="0"/>
        <w:wordWrap w:val="0"/>
        <w:overflowPunct/>
        <w:topLinePunct w:val="0"/>
        <w:autoSpaceDE/>
        <w:autoSpaceDN/>
        <w:bidi w:val="0"/>
        <w:adjustRightInd/>
        <w:snapToGrid/>
        <w:spacing w:after="0" w:line="360" w:lineRule="auto"/>
        <w:ind w:firstLine="422" w:firstLineChars="200"/>
        <w:jc w:val="both"/>
        <w:textAlignment w:val="auto"/>
        <w:rPr>
          <w:rFonts w:hint="eastAsia" w:ascii="宋体" w:hAnsi="宋体" w:eastAsia="宋体" w:cs="宋体"/>
          <w:snapToGrid w:val="0"/>
          <w:kern w:val="21"/>
          <w:sz w:val="21"/>
          <w:szCs w:val="21"/>
          <w:lang w:eastAsia="zh-CN" w:bidi="ar-SA"/>
        </w:rPr>
      </w:pPr>
      <w:r>
        <w:rPr>
          <w:rFonts w:hint="eastAsia" w:ascii="宋体" w:hAnsi="宋体" w:eastAsia="宋体" w:cs="宋体"/>
          <w:b/>
          <w:bCs/>
          <w:sz w:val="21"/>
          <w:szCs w:val="21"/>
          <w:lang w:eastAsia="zh-CN"/>
        </w:rPr>
        <w:t>地点：</w:t>
      </w:r>
      <w:r>
        <w:rPr>
          <w:rFonts w:hint="eastAsia" w:ascii="宋体" w:hAnsi="宋体" w:cs="宋体"/>
          <w:sz w:val="21"/>
          <w:szCs w:val="21"/>
          <w:lang w:eastAsia="zh-CN"/>
        </w:rPr>
        <w:t>“</w:t>
      </w:r>
      <w:r>
        <w:rPr>
          <w:rFonts w:hint="eastAsia" w:ascii="宋体" w:hAnsi="宋体" w:eastAsia="宋体" w:cs="宋体"/>
          <w:sz w:val="21"/>
          <w:szCs w:val="21"/>
          <w:lang w:eastAsia="zh-CN"/>
        </w:rPr>
        <w:t>政采云”平台（http://www.zcygov.cn）（操作路径：登录“政采云”平台-项目采购-获取采购文件 -找到本项目-点击“申请获取采购文件”）。</w:t>
      </w:r>
    </w:p>
    <w:p w14:paraId="7DC3179E">
      <w:pPr>
        <w:keepNext w:val="0"/>
        <w:keepLines w:val="0"/>
        <w:pageBreakBefore w:val="0"/>
        <w:widowControl w:val="0"/>
        <w:kinsoku/>
        <w:wordWrap w:val="0"/>
        <w:overflowPunct/>
        <w:topLinePunct w:val="0"/>
        <w:autoSpaceDE/>
        <w:autoSpaceDN/>
        <w:bidi w:val="0"/>
        <w:adjustRightInd/>
        <w:snapToGrid/>
        <w:spacing w:after="0" w:line="360" w:lineRule="auto"/>
        <w:ind w:firstLine="422" w:firstLineChars="200"/>
        <w:jc w:val="both"/>
        <w:textAlignment w:val="auto"/>
        <w:rPr>
          <w:rFonts w:hint="eastAsia" w:ascii="宋体" w:hAnsi="宋体" w:eastAsia="宋体" w:cs="宋体"/>
          <w:b w:val="0"/>
          <w:bCs w:val="0"/>
          <w:snapToGrid w:val="0"/>
          <w:kern w:val="21"/>
          <w:sz w:val="21"/>
          <w:szCs w:val="21"/>
          <w:lang w:eastAsia="zh-CN" w:bidi="ar-SA"/>
        </w:rPr>
      </w:pPr>
      <w:r>
        <w:rPr>
          <w:rFonts w:hint="eastAsia" w:ascii="宋体" w:hAnsi="宋体" w:eastAsia="宋体" w:cs="宋体"/>
          <w:b/>
          <w:bCs/>
          <w:snapToGrid w:val="0"/>
          <w:kern w:val="21"/>
          <w:sz w:val="21"/>
          <w:szCs w:val="21"/>
          <w:lang w:eastAsia="zh-CN" w:bidi="ar-SA"/>
        </w:rPr>
        <w:t>方式：</w:t>
      </w:r>
      <w:r>
        <w:rPr>
          <w:rFonts w:hint="eastAsia" w:ascii="宋体" w:hAnsi="宋体" w:eastAsia="宋体" w:cs="宋体"/>
          <w:b w:val="0"/>
          <w:bCs w:val="0"/>
          <w:snapToGrid w:val="0"/>
          <w:kern w:val="21"/>
          <w:sz w:val="21"/>
          <w:szCs w:val="21"/>
          <w:lang w:eastAsia="zh-CN" w:bidi="ar-SA"/>
        </w:rPr>
        <w:t>1.凡有意参加投标者，须持与云南省政府采购电子交易平台（政采云）兼容的数字证书（CA），在平台绑定后，线上获取采购文件及其它采购资料。CA申领链接：https://middle.zcygov.cn/ca/apply/list?_app_=zcy.sys</w:t>
      </w:r>
    </w:p>
    <w:p w14:paraId="4278EC8C">
      <w:pPr>
        <w:keepNext w:val="0"/>
        <w:keepLines w:val="0"/>
        <w:pageBreakBefore w:val="0"/>
        <w:widowControl w:val="0"/>
        <w:kinsoku/>
        <w:wordWrap w:val="0"/>
        <w:overflowPunct/>
        <w:topLinePunct w:val="0"/>
        <w:autoSpaceDE/>
        <w:autoSpaceDN/>
        <w:bidi w:val="0"/>
        <w:adjustRightInd/>
        <w:snapToGrid/>
        <w:spacing w:after="0" w:line="360" w:lineRule="auto"/>
        <w:ind w:firstLine="420" w:firstLineChars="200"/>
        <w:jc w:val="left"/>
        <w:textAlignment w:val="auto"/>
        <w:rPr>
          <w:rFonts w:hint="eastAsia" w:ascii="宋体" w:hAnsi="宋体" w:eastAsia="宋体" w:cs="宋体"/>
          <w:b w:val="0"/>
          <w:bCs w:val="0"/>
          <w:snapToGrid w:val="0"/>
          <w:kern w:val="21"/>
          <w:sz w:val="21"/>
          <w:szCs w:val="21"/>
          <w:lang w:eastAsia="zh-CN" w:bidi="ar-SA"/>
        </w:rPr>
      </w:pPr>
      <w:r>
        <w:rPr>
          <w:rFonts w:hint="eastAsia" w:ascii="宋体" w:hAnsi="宋体" w:eastAsia="宋体" w:cs="宋体"/>
          <w:b w:val="0"/>
          <w:bCs w:val="0"/>
          <w:snapToGrid w:val="0"/>
          <w:kern w:val="21"/>
          <w:sz w:val="21"/>
          <w:szCs w:val="21"/>
          <w:lang w:eastAsia="zh-CN" w:bidi="ar-SA"/>
        </w:rPr>
        <w:t>2.按上述要求获取文件的供应商视为合法获取了本项目采购文件，具备本项目的投标资格。</w:t>
      </w:r>
      <w:r>
        <w:rPr>
          <w:rFonts w:hint="eastAsia" w:ascii="宋体" w:hAnsi="宋体" w:eastAsia="宋体" w:cs="宋体"/>
          <w:snapToGrid w:val="0"/>
          <w:kern w:val="21"/>
          <w:sz w:val="21"/>
          <w:szCs w:val="21"/>
          <w:lang w:eastAsia="zh-CN" w:bidi="ar-SA"/>
        </w:rPr>
        <w:t>各供应商应在开标前确保成为政采云平台供应商，并完成CA数字证书申领。因未注册入库，未办理CA数字证书等原因造成无法</w:t>
      </w:r>
      <w:r>
        <w:rPr>
          <w:rFonts w:hint="eastAsia" w:ascii="宋体" w:hAnsi="宋体" w:cs="宋体"/>
          <w:snapToGrid w:val="0"/>
          <w:kern w:val="21"/>
          <w:sz w:val="21"/>
          <w:szCs w:val="21"/>
          <w:lang w:val="en-US" w:eastAsia="zh-CN" w:bidi="ar-SA"/>
        </w:rPr>
        <w:t>磋商</w:t>
      </w:r>
      <w:r>
        <w:rPr>
          <w:rFonts w:hint="eastAsia" w:ascii="宋体" w:hAnsi="宋体" w:eastAsia="宋体" w:cs="宋体"/>
          <w:snapToGrid w:val="0"/>
          <w:kern w:val="21"/>
          <w:sz w:val="21"/>
          <w:szCs w:val="21"/>
          <w:lang w:eastAsia="zh-CN" w:bidi="ar-SA"/>
        </w:rPr>
        <w:t>或</w:t>
      </w:r>
      <w:r>
        <w:rPr>
          <w:rFonts w:hint="eastAsia" w:ascii="宋体" w:hAnsi="宋体" w:cs="宋体"/>
          <w:snapToGrid w:val="0"/>
          <w:kern w:val="21"/>
          <w:sz w:val="21"/>
          <w:szCs w:val="21"/>
          <w:lang w:val="en-US" w:eastAsia="zh-CN" w:bidi="ar-SA"/>
        </w:rPr>
        <w:t>磋商</w:t>
      </w:r>
      <w:r>
        <w:rPr>
          <w:rFonts w:hint="eastAsia" w:ascii="宋体" w:hAnsi="宋体" w:eastAsia="宋体" w:cs="宋体"/>
          <w:snapToGrid w:val="0"/>
          <w:kern w:val="21"/>
          <w:sz w:val="21"/>
          <w:szCs w:val="21"/>
          <w:lang w:eastAsia="zh-CN" w:bidi="ar-SA"/>
        </w:rPr>
        <w:t>失败等由供应商自行承担。有意参加</w:t>
      </w:r>
      <w:r>
        <w:rPr>
          <w:rFonts w:hint="eastAsia" w:ascii="宋体" w:hAnsi="宋体" w:cs="宋体"/>
          <w:snapToGrid w:val="0"/>
          <w:kern w:val="21"/>
          <w:sz w:val="21"/>
          <w:szCs w:val="21"/>
          <w:lang w:eastAsia="zh-CN" w:bidi="ar-SA"/>
        </w:rPr>
        <w:t>磋商</w:t>
      </w:r>
      <w:r>
        <w:rPr>
          <w:rFonts w:hint="eastAsia" w:ascii="宋体" w:hAnsi="宋体" w:eastAsia="宋体" w:cs="宋体"/>
          <w:snapToGrid w:val="0"/>
          <w:kern w:val="21"/>
          <w:sz w:val="21"/>
          <w:szCs w:val="21"/>
          <w:lang w:eastAsia="zh-CN" w:bidi="ar-SA"/>
        </w:rPr>
        <w:t>的供应商，须在政采云</w:t>
      </w:r>
      <w:r>
        <w:rPr>
          <w:rFonts w:hint="eastAsia" w:ascii="宋体" w:hAnsi="宋体" w:cs="宋体"/>
          <w:snapToGrid w:val="0"/>
          <w:kern w:val="21"/>
          <w:sz w:val="21"/>
          <w:szCs w:val="21"/>
          <w:lang w:eastAsia="zh-CN" w:bidi="ar-SA"/>
        </w:rPr>
        <w:t>平台</w:t>
      </w:r>
      <w:r>
        <w:rPr>
          <w:rFonts w:hint="eastAsia" w:ascii="宋体" w:hAnsi="宋体" w:eastAsia="宋体" w:cs="宋体"/>
          <w:snapToGrid w:val="0"/>
          <w:kern w:val="21"/>
          <w:sz w:val="21"/>
          <w:szCs w:val="21"/>
          <w:lang w:eastAsia="zh-CN" w:bidi="ar-SA"/>
        </w:rPr>
        <w:t>办理数字证书（CA），</w:t>
      </w:r>
      <w:r>
        <w:rPr>
          <w:rFonts w:hint="eastAsia" w:ascii="宋体" w:hAnsi="宋体" w:cs="宋体"/>
          <w:snapToGrid w:val="0"/>
          <w:kern w:val="21"/>
          <w:sz w:val="21"/>
          <w:szCs w:val="21"/>
          <w:lang w:val="en-US" w:eastAsia="zh-CN" w:bidi="ar-SA"/>
        </w:rPr>
        <w:t>数字证书（</w:t>
      </w:r>
      <w:r>
        <w:rPr>
          <w:rFonts w:hint="eastAsia" w:ascii="宋体" w:hAnsi="宋体" w:eastAsia="宋体" w:cs="宋体"/>
          <w:snapToGrid w:val="0"/>
          <w:kern w:val="21"/>
          <w:sz w:val="21"/>
          <w:szCs w:val="21"/>
          <w:lang w:eastAsia="zh-CN" w:bidi="ar-SA"/>
        </w:rPr>
        <w:t>CA</w:t>
      </w:r>
      <w:r>
        <w:rPr>
          <w:rFonts w:hint="eastAsia" w:ascii="宋体" w:hAnsi="宋体" w:cs="宋体"/>
          <w:snapToGrid w:val="0"/>
          <w:kern w:val="21"/>
          <w:sz w:val="21"/>
          <w:szCs w:val="21"/>
          <w:lang w:val="en-US" w:eastAsia="zh-CN" w:bidi="ar-SA"/>
        </w:rPr>
        <w:t>）</w:t>
      </w:r>
      <w:r>
        <w:rPr>
          <w:rFonts w:hint="eastAsia" w:ascii="宋体" w:hAnsi="宋体" w:eastAsia="宋体" w:cs="宋体"/>
          <w:snapToGrid w:val="0"/>
          <w:kern w:val="21"/>
          <w:sz w:val="21"/>
          <w:szCs w:val="21"/>
          <w:lang w:eastAsia="zh-CN" w:bidi="ar-SA"/>
        </w:rPr>
        <w:t>申领链接：http://yzt.ynsmartcert.cn/cms/yztyncszb.html。</w:t>
      </w:r>
    </w:p>
    <w:p w14:paraId="5D3DFFFC">
      <w:pPr>
        <w:keepNext w:val="0"/>
        <w:keepLines w:val="0"/>
        <w:pageBreakBefore w:val="0"/>
        <w:widowControl w:val="0"/>
        <w:overflowPunct/>
        <w:topLinePunct w:val="0"/>
        <w:autoSpaceDE/>
        <w:autoSpaceDN/>
        <w:bidi w:val="0"/>
        <w:adjustRightInd/>
        <w:snapToGrid/>
        <w:spacing w:after="0" w:line="360" w:lineRule="auto"/>
        <w:ind w:firstLine="420" w:firstLineChars="200"/>
        <w:jc w:val="both"/>
        <w:textAlignment w:val="auto"/>
        <w:rPr>
          <w:rFonts w:hint="eastAsia" w:ascii="宋体" w:hAnsi="宋体" w:eastAsia="宋体" w:cs="宋体"/>
          <w:snapToGrid w:val="0"/>
          <w:kern w:val="21"/>
          <w:sz w:val="21"/>
          <w:szCs w:val="21"/>
          <w:lang w:eastAsia="zh-CN" w:bidi="ar-SA"/>
        </w:rPr>
      </w:pPr>
      <w:r>
        <w:rPr>
          <w:rFonts w:hint="eastAsia" w:ascii="宋体" w:hAnsi="宋体" w:eastAsia="宋体" w:cs="宋体"/>
          <w:snapToGrid w:val="0"/>
          <w:kern w:val="21"/>
          <w:sz w:val="21"/>
          <w:szCs w:val="21"/>
          <w:lang w:eastAsia="zh-CN" w:bidi="ar-SA"/>
        </w:rPr>
        <w:t>（1）如有问题可拨打政采云客户服务热线95763</w:t>
      </w:r>
      <w:r>
        <w:rPr>
          <w:rFonts w:hint="eastAsia" w:ascii="宋体" w:hAnsi="宋体" w:cs="宋体"/>
          <w:snapToGrid w:val="0"/>
          <w:kern w:val="21"/>
          <w:sz w:val="21"/>
          <w:szCs w:val="21"/>
          <w:lang w:eastAsia="zh-CN" w:bidi="ar-SA"/>
        </w:rPr>
        <w:t>进行</w:t>
      </w:r>
      <w:r>
        <w:rPr>
          <w:rFonts w:hint="eastAsia" w:ascii="宋体" w:hAnsi="宋体" w:eastAsia="宋体" w:cs="宋体"/>
          <w:snapToGrid w:val="0"/>
          <w:kern w:val="21"/>
          <w:sz w:val="21"/>
          <w:szCs w:val="21"/>
          <w:lang w:eastAsia="zh-CN" w:bidi="ar-SA"/>
        </w:rPr>
        <w:t>咨询，数字证书问题可咨询云南壹证通CA：0871-67276028（紧急可拨19988166369）。</w:t>
      </w:r>
    </w:p>
    <w:p w14:paraId="2959A67C">
      <w:pPr>
        <w:keepNext w:val="0"/>
        <w:keepLines w:val="0"/>
        <w:pageBreakBefore w:val="0"/>
        <w:widowControl w:val="0"/>
        <w:overflowPunct/>
        <w:topLinePunct w:val="0"/>
        <w:autoSpaceDE/>
        <w:autoSpaceDN/>
        <w:bidi w:val="0"/>
        <w:adjustRightInd/>
        <w:snapToGrid/>
        <w:spacing w:after="0" w:line="360" w:lineRule="auto"/>
        <w:ind w:firstLine="420" w:firstLineChars="200"/>
        <w:jc w:val="both"/>
        <w:textAlignment w:val="auto"/>
        <w:rPr>
          <w:rFonts w:hint="eastAsia" w:ascii="宋体" w:hAnsi="宋体" w:eastAsia="宋体" w:cs="宋体"/>
          <w:snapToGrid w:val="0"/>
          <w:kern w:val="21"/>
          <w:sz w:val="21"/>
          <w:szCs w:val="21"/>
          <w:lang w:eastAsia="zh-CN" w:bidi="ar-SA"/>
        </w:rPr>
      </w:pPr>
      <w:r>
        <w:rPr>
          <w:rFonts w:hint="eastAsia" w:ascii="宋体" w:hAnsi="宋体" w:eastAsia="宋体" w:cs="宋体"/>
          <w:snapToGrid w:val="0"/>
          <w:kern w:val="21"/>
          <w:sz w:val="21"/>
          <w:szCs w:val="21"/>
          <w:lang w:eastAsia="zh-CN" w:bidi="ar-SA"/>
        </w:rPr>
        <w:t>如因供应商自身原因导致在规定时间内无法正常解密的（如：浏览器故障、未安装相关驱动、网络故障、加密CA与解密CA不一致等），视为供应商自动弃标，代理机构不予处理。</w:t>
      </w:r>
    </w:p>
    <w:p w14:paraId="17CA5013">
      <w:pPr>
        <w:keepNext w:val="0"/>
        <w:keepLines w:val="0"/>
        <w:pageBreakBefore w:val="0"/>
        <w:widowControl w:val="0"/>
        <w:overflowPunct/>
        <w:topLinePunct w:val="0"/>
        <w:autoSpaceDE/>
        <w:autoSpaceDN/>
        <w:bidi w:val="0"/>
        <w:adjustRightInd/>
        <w:snapToGrid/>
        <w:spacing w:after="0" w:line="360" w:lineRule="auto"/>
        <w:ind w:firstLine="420" w:firstLineChars="200"/>
        <w:jc w:val="both"/>
        <w:textAlignment w:val="auto"/>
        <w:rPr>
          <w:rFonts w:hint="eastAsia" w:ascii="宋体" w:hAnsi="宋体" w:eastAsia="宋体" w:cs="宋体"/>
          <w:snapToGrid w:val="0"/>
          <w:kern w:val="21"/>
          <w:sz w:val="21"/>
          <w:szCs w:val="21"/>
          <w:lang w:eastAsia="zh-CN" w:bidi="ar-SA"/>
        </w:rPr>
      </w:pPr>
      <w:r>
        <w:rPr>
          <w:rFonts w:hint="eastAsia" w:ascii="宋体" w:hAnsi="宋体" w:eastAsia="宋体" w:cs="宋体"/>
          <w:snapToGrid w:val="0"/>
          <w:kern w:val="21"/>
          <w:sz w:val="21"/>
          <w:szCs w:val="21"/>
          <w:lang w:eastAsia="zh-CN" w:bidi="ar-SA"/>
        </w:rPr>
        <w:t>（2）云南本地供应商如之前已在云南CA在线数字证书办理网进行过注册并办理过企业数字证书（CA），直接绑定即可，无需重复办理（2022年1月1日前办理的云南CA需到云南CA办理处进行升级）。</w:t>
      </w:r>
    </w:p>
    <w:p w14:paraId="007AF5E6">
      <w:pPr>
        <w:keepNext w:val="0"/>
        <w:keepLines w:val="0"/>
        <w:pageBreakBefore w:val="0"/>
        <w:widowControl w:val="0"/>
        <w:overflowPunct/>
        <w:topLinePunct w:val="0"/>
        <w:bidi w:val="0"/>
        <w:adjustRightInd/>
        <w:snapToGrid/>
        <w:spacing w:after="0" w:line="360" w:lineRule="auto"/>
        <w:ind w:firstLine="422" w:firstLineChars="200"/>
        <w:jc w:val="both"/>
        <w:textAlignment w:val="auto"/>
        <w:rPr>
          <w:rFonts w:hint="eastAsia" w:ascii="宋体" w:hAnsi="宋体" w:eastAsia="宋体" w:cs="宋体"/>
          <w:b w:val="0"/>
          <w:bCs w:val="0"/>
          <w:snapToGrid w:val="0"/>
          <w:kern w:val="21"/>
          <w:sz w:val="21"/>
          <w:szCs w:val="21"/>
          <w:lang w:eastAsia="zh-CN" w:bidi="ar-SA"/>
        </w:rPr>
      </w:pPr>
      <w:r>
        <w:rPr>
          <w:rFonts w:hint="eastAsia" w:ascii="宋体" w:hAnsi="宋体" w:eastAsia="宋体" w:cs="宋体"/>
          <w:b/>
          <w:bCs/>
          <w:snapToGrid w:val="0"/>
          <w:kern w:val="21"/>
          <w:sz w:val="21"/>
          <w:szCs w:val="21"/>
          <w:lang w:eastAsia="zh-CN" w:bidi="ar-SA"/>
        </w:rPr>
        <w:t>售价：</w:t>
      </w:r>
      <w:r>
        <w:rPr>
          <w:rFonts w:hint="eastAsia" w:ascii="宋体" w:hAnsi="宋体" w:eastAsia="宋体" w:cs="宋体"/>
          <w:b w:val="0"/>
          <w:bCs w:val="0"/>
          <w:snapToGrid w:val="0"/>
          <w:kern w:val="21"/>
          <w:sz w:val="21"/>
          <w:szCs w:val="21"/>
          <w:lang w:eastAsia="zh-CN" w:bidi="ar-SA"/>
        </w:rPr>
        <w:t>0元。</w:t>
      </w:r>
    </w:p>
    <w:p w14:paraId="4CD616C3">
      <w:pPr>
        <w:keepNext w:val="0"/>
        <w:keepLines w:val="0"/>
        <w:pageBreakBefore w:val="0"/>
        <w:widowControl w:val="0"/>
        <w:overflowPunct/>
        <w:topLinePunct w:val="0"/>
        <w:bidi w:val="0"/>
        <w:adjustRightInd/>
        <w:snapToGrid/>
        <w:spacing w:line="360" w:lineRule="auto"/>
        <w:ind w:firstLine="480"/>
        <w:textAlignment w:val="auto"/>
        <w:outlineLvl w:val="1"/>
        <w:rPr>
          <w:rFonts w:ascii="宋体" w:hAnsi="宋体" w:cs="宋体"/>
          <w:b/>
          <w:bCs/>
          <w:szCs w:val="21"/>
        </w:rPr>
      </w:pPr>
      <w:r>
        <w:rPr>
          <w:rFonts w:hint="eastAsia" w:ascii="宋体" w:hAnsi="宋体" w:cs="宋体"/>
          <w:b/>
          <w:bCs/>
          <w:szCs w:val="21"/>
        </w:rPr>
        <w:t>四、响应文件提交</w:t>
      </w:r>
      <w:bookmarkEnd w:id="32"/>
      <w:bookmarkEnd w:id="33"/>
      <w:bookmarkEnd w:id="34"/>
      <w:bookmarkEnd w:id="35"/>
      <w:bookmarkEnd w:id="36"/>
    </w:p>
    <w:p w14:paraId="32366901">
      <w:pPr>
        <w:keepNext w:val="0"/>
        <w:keepLines w:val="0"/>
        <w:pageBreakBefore w:val="0"/>
        <w:widowControl w:val="0"/>
        <w:overflowPunct/>
        <w:topLinePunct w:val="0"/>
        <w:bidi w:val="0"/>
        <w:adjustRightInd/>
        <w:snapToGrid/>
        <w:spacing w:line="360" w:lineRule="auto"/>
        <w:ind w:firstLine="420" w:firstLineChars="200"/>
        <w:textAlignment w:val="auto"/>
        <w:rPr>
          <w:rFonts w:ascii="宋体" w:hAnsi="宋体" w:cs="宋体"/>
          <w:bCs/>
          <w:szCs w:val="21"/>
        </w:rPr>
      </w:pPr>
      <w:r>
        <w:rPr>
          <w:rFonts w:hint="eastAsia" w:ascii="宋体" w:hAnsi="宋体" w:cs="宋体"/>
          <w:szCs w:val="21"/>
        </w:rPr>
        <w:t>截止时间：202</w:t>
      </w:r>
      <w:r>
        <w:rPr>
          <w:rFonts w:hint="eastAsia" w:ascii="宋体" w:hAnsi="宋体" w:cs="宋体"/>
          <w:szCs w:val="21"/>
          <w:lang w:val="en-US" w:eastAsia="zh-CN"/>
        </w:rPr>
        <w:t>6</w:t>
      </w:r>
      <w:r>
        <w:rPr>
          <w:rFonts w:hint="eastAsia" w:ascii="宋体" w:hAnsi="宋体" w:cs="宋体"/>
          <w:szCs w:val="21"/>
        </w:rPr>
        <w:t>年</w:t>
      </w:r>
      <w:r>
        <w:rPr>
          <w:rFonts w:hint="eastAsia" w:ascii="宋体" w:hAnsi="宋体" w:cs="宋体"/>
          <w:szCs w:val="21"/>
          <w:lang w:val="en-US" w:eastAsia="zh-CN"/>
        </w:rPr>
        <w:t>08</w:t>
      </w:r>
      <w:r>
        <w:rPr>
          <w:rFonts w:hint="eastAsia" w:ascii="宋体" w:hAnsi="宋体" w:cs="宋体"/>
          <w:szCs w:val="21"/>
        </w:rPr>
        <w:t>月</w:t>
      </w:r>
      <w:r>
        <w:rPr>
          <w:rFonts w:hint="eastAsia" w:ascii="宋体" w:hAnsi="宋体" w:cs="宋体"/>
          <w:szCs w:val="21"/>
          <w:lang w:val="en-US" w:eastAsia="zh-CN"/>
        </w:rPr>
        <w:t>24</w:t>
      </w:r>
      <w:r>
        <w:rPr>
          <w:rFonts w:hint="eastAsia" w:ascii="宋体" w:hAnsi="宋体" w:cs="宋体"/>
          <w:szCs w:val="21"/>
        </w:rPr>
        <w:t>日</w:t>
      </w:r>
      <w:r>
        <w:rPr>
          <w:rFonts w:hint="eastAsia" w:ascii="宋体" w:hAnsi="宋体" w:cs="宋体"/>
          <w:szCs w:val="21"/>
          <w:lang w:val="en-US" w:eastAsia="zh-CN"/>
        </w:rPr>
        <w:t>14</w:t>
      </w:r>
      <w:r>
        <w:rPr>
          <w:rFonts w:hint="eastAsia" w:ascii="宋体" w:hAnsi="宋体" w:cs="宋体"/>
          <w:szCs w:val="21"/>
        </w:rPr>
        <w:t>时</w:t>
      </w:r>
      <w:r>
        <w:rPr>
          <w:rFonts w:hint="eastAsia" w:ascii="宋体" w:hAnsi="宋体" w:cs="宋体"/>
          <w:szCs w:val="21"/>
          <w:lang w:val="en-US" w:eastAsia="zh-CN"/>
        </w:rPr>
        <w:t>30</w:t>
      </w:r>
      <w:r>
        <w:rPr>
          <w:rFonts w:hint="eastAsia" w:ascii="宋体" w:hAnsi="宋体" w:cs="宋体"/>
          <w:szCs w:val="21"/>
        </w:rPr>
        <w:t>分</w:t>
      </w:r>
      <w:r>
        <w:rPr>
          <w:rFonts w:hint="eastAsia" w:ascii="宋体" w:hAnsi="宋体" w:cs="宋体"/>
          <w:bCs/>
          <w:szCs w:val="21"/>
        </w:rPr>
        <w:t>（北京时间）</w:t>
      </w:r>
      <w:r>
        <w:rPr>
          <w:rFonts w:hint="eastAsia" w:ascii="宋体" w:hAnsi="宋体" w:cs="宋体"/>
          <w:szCs w:val="21"/>
        </w:rPr>
        <w:t>。</w:t>
      </w:r>
    </w:p>
    <w:p w14:paraId="16E15E9B">
      <w:pPr>
        <w:keepNext w:val="0"/>
        <w:keepLines w:val="0"/>
        <w:pageBreakBefore w:val="0"/>
        <w:widowControl w:val="0"/>
        <w:overflowPunct/>
        <w:topLinePunct w:val="0"/>
        <w:autoSpaceDE w:val="0"/>
        <w:autoSpaceDN w:val="0"/>
        <w:bidi w:val="0"/>
        <w:adjustRightInd/>
        <w:snapToGrid/>
        <w:spacing w:line="360" w:lineRule="auto"/>
        <w:ind w:firstLine="420" w:firstLineChars="200"/>
        <w:textAlignment w:val="auto"/>
        <w:rPr>
          <w:rFonts w:ascii="宋体" w:hAnsi="宋体" w:cs="宋体"/>
          <w:szCs w:val="21"/>
        </w:rPr>
      </w:pPr>
      <w:bookmarkStart w:id="37" w:name="_Toc28359016"/>
      <w:bookmarkStart w:id="38" w:name="_Toc28359093"/>
      <w:bookmarkStart w:id="39" w:name="_Toc35393802"/>
      <w:bookmarkStart w:id="40" w:name="_Toc12778"/>
      <w:bookmarkStart w:id="41" w:name="_Toc35393633"/>
      <w:r>
        <w:rPr>
          <w:rFonts w:hint="eastAsia" w:ascii="宋体" w:hAnsi="宋体" w:cs="宋体"/>
          <w:szCs w:val="21"/>
        </w:rPr>
        <w:t>地点：</w:t>
      </w:r>
      <w:r>
        <w:rPr>
          <w:rFonts w:hint="eastAsia" w:ascii="宋体" w:hAnsi="宋体" w:eastAsia="宋体" w:cs="宋体"/>
          <w:snapToGrid w:val="0"/>
          <w:kern w:val="21"/>
          <w:sz w:val="21"/>
          <w:szCs w:val="21"/>
          <w:lang w:eastAsia="zh-CN" w:bidi="ar-SA"/>
        </w:rPr>
        <w:t>供应商应按照本项目竞争性</w:t>
      </w:r>
      <w:r>
        <w:rPr>
          <w:rFonts w:hint="eastAsia" w:ascii="宋体" w:hAnsi="宋体" w:cs="宋体"/>
          <w:snapToGrid w:val="0"/>
          <w:kern w:val="21"/>
          <w:sz w:val="21"/>
          <w:szCs w:val="21"/>
          <w:lang w:val="en-US" w:eastAsia="zh-CN" w:bidi="ar-SA"/>
        </w:rPr>
        <w:t>磋商</w:t>
      </w:r>
      <w:r>
        <w:rPr>
          <w:rFonts w:hint="eastAsia" w:ascii="宋体" w:hAnsi="宋体" w:eastAsia="宋体" w:cs="宋体"/>
          <w:snapToGrid w:val="0"/>
          <w:kern w:val="21"/>
          <w:sz w:val="21"/>
          <w:szCs w:val="21"/>
          <w:lang w:eastAsia="zh-CN" w:bidi="ar-SA"/>
        </w:rPr>
        <w:t>文件和</w:t>
      </w:r>
      <w:r>
        <w:rPr>
          <w:rFonts w:hint="eastAsia" w:ascii="宋体" w:hAnsi="宋体" w:cs="宋体"/>
          <w:snapToGrid w:val="0"/>
          <w:kern w:val="21"/>
          <w:sz w:val="21"/>
          <w:szCs w:val="21"/>
          <w:lang w:eastAsia="zh-CN" w:bidi="ar-SA"/>
        </w:rPr>
        <w:t>政采云平台</w:t>
      </w:r>
      <w:r>
        <w:rPr>
          <w:rFonts w:hint="eastAsia" w:ascii="宋体" w:hAnsi="宋体" w:eastAsia="宋体" w:cs="宋体"/>
          <w:snapToGrid w:val="0"/>
          <w:kern w:val="21"/>
          <w:sz w:val="21"/>
          <w:szCs w:val="21"/>
          <w:lang w:eastAsia="zh-CN" w:bidi="ar-SA"/>
        </w:rPr>
        <w:t>的要求编制、加密响应文件后在响应文件提交截止时间前上传至</w:t>
      </w:r>
      <w:r>
        <w:rPr>
          <w:rFonts w:hint="eastAsia" w:ascii="宋体" w:hAnsi="宋体" w:cs="宋体"/>
          <w:snapToGrid w:val="0"/>
          <w:kern w:val="21"/>
          <w:sz w:val="21"/>
          <w:szCs w:val="21"/>
          <w:lang w:eastAsia="zh-CN" w:bidi="ar-SA"/>
        </w:rPr>
        <w:t>政采云平台</w:t>
      </w:r>
      <w:r>
        <w:rPr>
          <w:rFonts w:hint="eastAsia" w:ascii="宋体" w:hAnsi="宋体" w:eastAsia="宋体" w:cs="宋体"/>
          <w:snapToGrid w:val="0"/>
          <w:kern w:val="21"/>
          <w:sz w:val="21"/>
          <w:szCs w:val="21"/>
          <w:lang w:eastAsia="zh-CN" w:bidi="ar-SA"/>
        </w:rPr>
        <w:t>，供应商须在响应文件提交截止时间前完成所有电子响应文件的上传，响应文件提交截止时间前未完成响应文件传输的，视为撤回响应文件。供应商在</w:t>
      </w:r>
      <w:r>
        <w:rPr>
          <w:rFonts w:hint="eastAsia" w:ascii="宋体" w:hAnsi="宋体" w:cs="宋体"/>
          <w:snapToGrid w:val="0"/>
          <w:kern w:val="21"/>
          <w:sz w:val="21"/>
          <w:szCs w:val="21"/>
          <w:lang w:eastAsia="zh-CN" w:bidi="ar-SA"/>
        </w:rPr>
        <w:t>政采云平台</w:t>
      </w:r>
      <w:r>
        <w:rPr>
          <w:rFonts w:hint="eastAsia" w:ascii="宋体" w:hAnsi="宋体" w:eastAsia="宋体" w:cs="宋体"/>
          <w:snapToGrid w:val="0"/>
          <w:kern w:val="21"/>
          <w:sz w:val="21"/>
          <w:szCs w:val="21"/>
          <w:lang w:eastAsia="zh-CN" w:bidi="ar-SA"/>
        </w:rPr>
        <w:t>提交电子版响应文件时，请填写参加远程采购活动经办人联系方式。供应商无需到达开启地点，须在</w:t>
      </w:r>
      <w:r>
        <w:rPr>
          <w:rFonts w:hint="eastAsia" w:ascii="宋体" w:hAnsi="宋体" w:cs="宋体"/>
          <w:snapToGrid w:val="0"/>
          <w:kern w:val="21"/>
          <w:sz w:val="21"/>
          <w:szCs w:val="21"/>
          <w:lang w:eastAsia="zh-CN" w:bidi="ar-SA"/>
        </w:rPr>
        <w:t>政采云平台</w:t>
      </w:r>
      <w:r>
        <w:rPr>
          <w:rFonts w:hint="eastAsia" w:ascii="宋体" w:hAnsi="宋体" w:eastAsia="宋体" w:cs="宋体"/>
          <w:snapToGrid w:val="0"/>
          <w:kern w:val="21"/>
          <w:sz w:val="21"/>
          <w:szCs w:val="21"/>
          <w:lang w:eastAsia="zh-CN" w:bidi="ar-SA"/>
        </w:rPr>
        <w:t>进行远程解密电子版响应文件。</w:t>
      </w:r>
    </w:p>
    <w:p w14:paraId="5C9ADBD0">
      <w:pPr>
        <w:keepNext w:val="0"/>
        <w:keepLines w:val="0"/>
        <w:pageBreakBefore w:val="0"/>
        <w:widowControl w:val="0"/>
        <w:overflowPunct/>
        <w:topLinePunct w:val="0"/>
        <w:bidi w:val="0"/>
        <w:adjustRightInd/>
        <w:snapToGrid/>
        <w:spacing w:line="360" w:lineRule="auto"/>
        <w:ind w:firstLine="480"/>
        <w:textAlignment w:val="auto"/>
        <w:outlineLvl w:val="1"/>
        <w:rPr>
          <w:rFonts w:ascii="宋体" w:hAnsi="宋体" w:cs="宋体"/>
          <w:b/>
          <w:bCs/>
          <w:szCs w:val="21"/>
        </w:rPr>
      </w:pPr>
      <w:r>
        <w:rPr>
          <w:rFonts w:hint="eastAsia" w:ascii="宋体" w:hAnsi="宋体" w:cs="宋体"/>
          <w:b/>
          <w:bCs/>
          <w:szCs w:val="21"/>
        </w:rPr>
        <w:t>五、开启</w:t>
      </w:r>
      <w:bookmarkEnd w:id="37"/>
      <w:bookmarkEnd w:id="38"/>
      <w:bookmarkEnd w:id="39"/>
      <w:bookmarkEnd w:id="40"/>
      <w:bookmarkEnd w:id="41"/>
    </w:p>
    <w:p w14:paraId="6394A9C8">
      <w:pPr>
        <w:keepNext w:val="0"/>
        <w:keepLines w:val="0"/>
        <w:pageBreakBefore w:val="0"/>
        <w:widowControl w:val="0"/>
        <w:overflowPunct/>
        <w:topLinePunct w:val="0"/>
        <w:bidi w:val="0"/>
        <w:adjustRightInd/>
        <w:snapToGrid/>
        <w:spacing w:line="360" w:lineRule="auto"/>
        <w:ind w:firstLine="420" w:firstLineChars="200"/>
        <w:textAlignment w:val="auto"/>
        <w:rPr>
          <w:rFonts w:ascii="宋体" w:hAnsi="宋体" w:cs="宋体"/>
          <w:bCs/>
          <w:szCs w:val="21"/>
        </w:rPr>
      </w:pPr>
      <w:bookmarkStart w:id="42" w:name="_Toc35393803"/>
      <w:bookmarkStart w:id="43" w:name="_Toc28359017"/>
      <w:bookmarkStart w:id="44" w:name="_Toc35393634"/>
      <w:bookmarkStart w:id="45" w:name="_Toc28359094"/>
      <w:r>
        <w:rPr>
          <w:rFonts w:hint="eastAsia" w:ascii="宋体" w:hAnsi="宋体" w:cs="宋体"/>
          <w:szCs w:val="21"/>
        </w:rPr>
        <w:t>时间：202</w:t>
      </w:r>
      <w:r>
        <w:rPr>
          <w:rFonts w:hint="eastAsia" w:ascii="宋体" w:hAnsi="宋体" w:cs="宋体"/>
          <w:szCs w:val="21"/>
          <w:lang w:val="en-US" w:eastAsia="zh-CN"/>
        </w:rPr>
        <w:t>6</w:t>
      </w:r>
      <w:r>
        <w:rPr>
          <w:rFonts w:hint="eastAsia" w:ascii="宋体" w:hAnsi="宋体" w:cs="宋体"/>
          <w:szCs w:val="21"/>
        </w:rPr>
        <w:t>年</w:t>
      </w:r>
      <w:r>
        <w:rPr>
          <w:rFonts w:hint="eastAsia" w:ascii="宋体" w:hAnsi="宋体" w:cs="宋体"/>
          <w:szCs w:val="21"/>
          <w:lang w:val="en-US" w:eastAsia="zh-CN"/>
        </w:rPr>
        <w:t>08</w:t>
      </w:r>
      <w:r>
        <w:rPr>
          <w:rFonts w:hint="eastAsia" w:ascii="宋体" w:hAnsi="宋体" w:cs="宋体"/>
          <w:szCs w:val="21"/>
        </w:rPr>
        <w:t>月</w:t>
      </w:r>
      <w:r>
        <w:rPr>
          <w:rFonts w:hint="eastAsia" w:ascii="宋体" w:hAnsi="宋体" w:cs="宋体"/>
          <w:szCs w:val="21"/>
          <w:lang w:val="en-US" w:eastAsia="zh-CN"/>
        </w:rPr>
        <w:t>24</w:t>
      </w:r>
      <w:r>
        <w:rPr>
          <w:rFonts w:hint="eastAsia" w:ascii="宋体" w:hAnsi="宋体" w:cs="宋体"/>
          <w:szCs w:val="21"/>
        </w:rPr>
        <w:t>日</w:t>
      </w:r>
      <w:r>
        <w:rPr>
          <w:rFonts w:hint="eastAsia" w:ascii="宋体" w:hAnsi="宋体" w:cs="宋体"/>
          <w:szCs w:val="21"/>
          <w:lang w:val="en-US" w:eastAsia="zh-CN"/>
        </w:rPr>
        <w:t>14</w:t>
      </w:r>
      <w:r>
        <w:rPr>
          <w:rFonts w:hint="eastAsia" w:ascii="宋体" w:hAnsi="宋体" w:cs="宋体"/>
          <w:szCs w:val="21"/>
        </w:rPr>
        <w:t>时</w:t>
      </w:r>
      <w:r>
        <w:rPr>
          <w:rFonts w:hint="eastAsia" w:ascii="宋体" w:hAnsi="宋体" w:cs="宋体"/>
          <w:szCs w:val="21"/>
          <w:lang w:val="en-US" w:eastAsia="zh-CN"/>
        </w:rPr>
        <w:t>30</w:t>
      </w:r>
      <w:r>
        <w:rPr>
          <w:rFonts w:hint="eastAsia" w:ascii="宋体" w:hAnsi="宋体" w:cs="宋体"/>
          <w:szCs w:val="21"/>
        </w:rPr>
        <w:t>分</w:t>
      </w:r>
      <w:r>
        <w:rPr>
          <w:rFonts w:hint="eastAsia" w:ascii="宋体" w:hAnsi="宋体" w:cs="宋体"/>
          <w:bCs/>
          <w:szCs w:val="21"/>
        </w:rPr>
        <w:t>（北京时间）</w:t>
      </w:r>
      <w:r>
        <w:rPr>
          <w:rFonts w:hint="eastAsia" w:ascii="宋体" w:hAnsi="宋体" w:cs="宋体"/>
          <w:szCs w:val="21"/>
        </w:rPr>
        <w:t>。</w:t>
      </w:r>
    </w:p>
    <w:p w14:paraId="3A2F1E53">
      <w:pPr>
        <w:keepNext w:val="0"/>
        <w:keepLines w:val="0"/>
        <w:pageBreakBefore w:val="0"/>
        <w:widowControl w:val="0"/>
        <w:overflowPunct/>
        <w:topLinePunct w:val="0"/>
        <w:autoSpaceDE/>
        <w:autoSpaceDN/>
        <w:bidi w:val="0"/>
        <w:adjustRightInd/>
        <w:snapToGrid/>
        <w:spacing w:line="360" w:lineRule="auto"/>
        <w:ind w:firstLine="420" w:firstLineChars="200"/>
        <w:textAlignment w:val="auto"/>
        <w:rPr>
          <w:rFonts w:hint="eastAsia" w:ascii="宋体" w:hAnsi="宋体"/>
          <w:sz w:val="21"/>
          <w:szCs w:val="21"/>
        </w:rPr>
      </w:pPr>
      <w:bookmarkStart w:id="46" w:name="_Toc26459"/>
      <w:r>
        <w:rPr>
          <w:rFonts w:hint="eastAsia" w:ascii="宋体" w:hAnsi="宋体" w:cs="宋体"/>
          <w:sz w:val="21"/>
          <w:szCs w:val="21"/>
        </w:rPr>
        <w:t>地点：</w:t>
      </w:r>
      <w:r>
        <w:rPr>
          <w:rFonts w:hint="eastAsia" w:ascii="宋体" w:hAnsi="宋体"/>
          <w:sz w:val="21"/>
          <w:szCs w:val="21"/>
        </w:rPr>
        <w:t>通过“政采云”平台在线提交（政采云平台https://www.zcygov.cn/）。</w:t>
      </w:r>
    </w:p>
    <w:p w14:paraId="11A8B715">
      <w:pPr>
        <w:keepNext w:val="0"/>
        <w:keepLines w:val="0"/>
        <w:pageBreakBefore w:val="0"/>
        <w:widowControl w:val="0"/>
        <w:overflowPunct/>
        <w:topLinePunct w:val="0"/>
        <w:bidi w:val="0"/>
        <w:adjustRightInd/>
        <w:snapToGrid/>
        <w:spacing w:line="360" w:lineRule="auto"/>
        <w:ind w:firstLine="422" w:firstLineChars="201"/>
        <w:textAlignment w:val="auto"/>
        <w:rPr>
          <w:rFonts w:ascii="宋体" w:hAnsi="宋体" w:cs="宋体"/>
          <w:b w:val="0"/>
          <w:bCs w:val="0"/>
          <w:color w:val="auto"/>
          <w:sz w:val="21"/>
          <w:szCs w:val="21"/>
          <w:highlight w:val="none"/>
          <w:shd w:val="clear" w:color="auto" w:fill="FFFFFF"/>
        </w:rPr>
      </w:pPr>
      <w:r>
        <w:rPr>
          <w:rFonts w:hint="eastAsia" w:ascii="宋体" w:hAnsi="宋体"/>
          <w:b w:val="0"/>
          <w:bCs w:val="0"/>
          <w:color w:val="auto"/>
          <w:sz w:val="21"/>
          <w:szCs w:val="21"/>
          <w:lang w:val="en-US" w:eastAsia="zh-CN"/>
        </w:rPr>
        <w:t>注：</w:t>
      </w:r>
      <w:r>
        <w:rPr>
          <w:rFonts w:hint="eastAsia" w:ascii="宋体" w:hAnsi="宋体" w:cs="宋体"/>
          <w:b w:val="0"/>
          <w:bCs w:val="0"/>
          <w:color w:val="auto"/>
          <w:sz w:val="21"/>
          <w:szCs w:val="21"/>
          <w:highlight w:val="none"/>
          <w:shd w:val="clear" w:color="auto" w:fill="FFFFFF"/>
          <w:lang w:val="en-US" w:eastAsia="zh-CN"/>
        </w:rPr>
        <w:t>①</w:t>
      </w:r>
      <w:r>
        <w:rPr>
          <w:rFonts w:hint="eastAsia" w:ascii="宋体" w:hAnsi="宋体" w:cs="宋体"/>
          <w:b w:val="0"/>
          <w:bCs w:val="0"/>
          <w:color w:val="auto"/>
          <w:sz w:val="21"/>
          <w:szCs w:val="21"/>
          <w:highlight w:val="none"/>
          <w:shd w:val="clear" w:color="auto" w:fill="FFFFFF"/>
        </w:rPr>
        <w:t>若供应商熟悉</w:t>
      </w:r>
      <w:r>
        <w:rPr>
          <w:rFonts w:hint="eastAsia" w:ascii="宋体" w:hAnsi="宋体" w:cs="宋体"/>
          <w:b w:val="0"/>
          <w:bCs w:val="0"/>
          <w:color w:val="auto"/>
          <w:sz w:val="21"/>
          <w:szCs w:val="21"/>
          <w:highlight w:val="none"/>
          <w:shd w:val="clear" w:color="auto" w:fill="FFFFFF"/>
          <w:lang w:val="zh-CN"/>
        </w:rPr>
        <w:t>“政</w:t>
      </w:r>
      <w:r>
        <w:rPr>
          <w:rFonts w:hint="eastAsia" w:ascii="宋体" w:hAnsi="宋体" w:cs="宋体"/>
          <w:b w:val="0"/>
          <w:bCs w:val="0"/>
          <w:color w:val="auto"/>
          <w:sz w:val="21"/>
          <w:szCs w:val="21"/>
          <w:highlight w:val="none"/>
          <w:shd w:val="clear" w:color="auto" w:fill="FFFFFF"/>
          <w:lang w:eastAsia="zh-CN"/>
        </w:rPr>
        <w:t>采</w:t>
      </w:r>
      <w:r>
        <w:rPr>
          <w:rFonts w:hint="eastAsia" w:ascii="宋体" w:hAnsi="宋体" w:cs="宋体"/>
          <w:b w:val="0"/>
          <w:bCs w:val="0"/>
          <w:color w:val="auto"/>
          <w:sz w:val="21"/>
          <w:szCs w:val="21"/>
          <w:highlight w:val="none"/>
          <w:shd w:val="clear" w:color="auto" w:fill="FFFFFF"/>
        </w:rPr>
        <w:t>云</w:t>
      </w:r>
      <w:r>
        <w:rPr>
          <w:rFonts w:hint="eastAsia" w:ascii="宋体" w:hAnsi="宋体" w:cs="宋体"/>
          <w:b w:val="0"/>
          <w:bCs w:val="0"/>
          <w:color w:val="auto"/>
          <w:sz w:val="21"/>
          <w:szCs w:val="21"/>
          <w:highlight w:val="none"/>
          <w:shd w:val="clear" w:color="auto" w:fill="FFFFFF"/>
          <w:lang w:val="zh-CN"/>
        </w:rPr>
        <w:t>”相</w:t>
      </w:r>
      <w:r>
        <w:rPr>
          <w:rFonts w:hint="eastAsia" w:ascii="宋体" w:hAnsi="宋体" w:cs="宋体"/>
          <w:b w:val="0"/>
          <w:bCs w:val="0"/>
          <w:color w:val="auto"/>
          <w:sz w:val="21"/>
          <w:szCs w:val="21"/>
          <w:highlight w:val="none"/>
          <w:shd w:val="clear" w:color="auto" w:fill="FFFFFF"/>
        </w:rPr>
        <w:t>关投标程序，不到现场参加投标的，应提前在自有场地配置有音视频通话（带摄像头及话筒的电脑） 功能的相应设备及稳定网络环境，并按“政</w:t>
      </w:r>
      <w:r>
        <w:rPr>
          <w:rFonts w:hint="eastAsia" w:ascii="宋体" w:hAnsi="宋体" w:cs="宋体"/>
          <w:b w:val="0"/>
          <w:bCs w:val="0"/>
          <w:color w:val="auto"/>
          <w:sz w:val="21"/>
          <w:szCs w:val="21"/>
          <w:highlight w:val="none"/>
          <w:shd w:val="clear" w:color="auto" w:fill="FFFFFF"/>
          <w:lang w:eastAsia="zh-CN"/>
        </w:rPr>
        <w:t>采</w:t>
      </w:r>
      <w:r>
        <w:rPr>
          <w:rFonts w:hint="eastAsia" w:ascii="宋体" w:hAnsi="宋体" w:cs="宋体"/>
          <w:b w:val="0"/>
          <w:bCs w:val="0"/>
          <w:color w:val="auto"/>
          <w:sz w:val="21"/>
          <w:szCs w:val="21"/>
          <w:highlight w:val="none"/>
          <w:shd w:val="clear" w:color="auto" w:fill="FFFFFF"/>
        </w:rPr>
        <w:t>云</w:t>
      </w:r>
      <w:r>
        <w:rPr>
          <w:rFonts w:hint="eastAsia" w:ascii="宋体" w:hAnsi="宋体" w:cs="宋体"/>
          <w:b w:val="0"/>
          <w:bCs w:val="0"/>
          <w:color w:val="auto"/>
          <w:sz w:val="21"/>
          <w:szCs w:val="21"/>
          <w:highlight w:val="none"/>
          <w:shd w:val="clear" w:color="auto" w:fill="FFFFFF"/>
          <w:lang w:val="zh-CN"/>
        </w:rPr>
        <w:t>”开标</w:t>
      </w:r>
      <w:r>
        <w:rPr>
          <w:rFonts w:hint="eastAsia" w:ascii="宋体" w:hAnsi="宋体" w:cs="宋体"/>
          <w:b w:val="0"/>
          <w:bCs w:val="0"/>
          <w:color w:val="auto"/>
          <w:sz w:val="21"/>
          <w:szCs w:val="21"/>
          <w:highlight w:val="none"/>
          <w:shd w:val="clear" w:color="auto" w:fill="FFFFFF"/>
        </w:rPr>
        <w:t>大厅中的提示完成</w:t>
      </w:r>
      <w:r>
        <w:rPr>
          <w:rFonts w:hint="eastAsia" w:ascii="宋体" w:hAnsi="宋体" w:cs="宋体"/>
          <w:b w:val="0"/>
          <w:bCs w:val="0"/>
          <w:color w:val="auto"/>
          <w:sz w:val="21"/>
          <w:szCs w:val="21"/>
          <w:highlight w:val="none"/>
          <w:shd w:val="clear" w:color="auto" w:fill="FFFFFF"/>
          <w:lang w:eastAsia="zh-CN"/>
        </w:rPr>
        <w:t>采</w:t>
      </w:r>
      <w:r>
        <w:rPr>
          <w:rFonts w:hint="eastAsia" w:ascii="宋体" w:hAnsi="宋体" w:cs="宋体"/>
          <w:b w:val="0"/>
          <w:bCs w:val="0"/>
          <w:color w:val="auto"/>
          <w:sz w:val="21"/>
          <w:szCs w:val="21"/>
          <w:highlight w:val="none"/>
          <w:shd w:val="clear" w:color="auto" w:fill="FFFFFF"/>
        </w:rPr>
        <w:t>购活动。</w:t>
      </w:r>
    </w:p>
    <w:p w14:paraId="290A1A59">
      <w:pPr>
        <w:keepNext w:val="0"/>
        <w:keepLines w:val="0"/>
        <w:pageBreakBefore w:val="0"/>
        <w:widowControl w:val="0"/>
        <w:overflowPunct/>
        <w:topLinePunct w:val="0"/>
        <w:bidi w:val="0"/>
        <w:adjustRightInd/>
        <w:snapToGrid/>
        <w:spacing w:line="360" w:lineRule="auto"/>
        <w:ind w:firstLine="422" w:firstLineChars="201"/>
        <w:textAlignment w:val="auto"/>
        <w:rPr>
          <w:rFonts w:hint="eastAsia" w:eastAsia="宋体"/>
          <w:b w:val="0"/>
          <w:bCs w:val="0"/>
          <w:color w:val="auto"/>
          <w:lang w:val="en-US" w:eastAsia="zh-CN"/>
        </w:rPr>
      </w:pPr>
      <w:r>
        <w:rPr>
          <w:rFonts w:hint="eastAsia" w:ascii="宋体" w:hAnsi="宋体" w:cs="宋体"/>
          <w:b w:val="0"/>
          <w:bCs w:val="0"/>
          <w:color w:val="auto"/>
          <w:sz w:val="21"/>
          <w:szCs w:val="21"/>
          <w:highlight w:val="none"/>
          <w:shd w:val="clear" w:color="auto" w:fill="FFFFFF"/>
          <w:lang w:val="en-US" w:eastAsia="zh-CN"/>
        </w:rPr>
        <w:t>②</w:t>
      </w:r>
      <w:r>
        <w:rPr>
          <w:rFonts w:hint="eastAsia" w:ascii="宋体" w:hAnsi="宋体" w:cs="宋体"/>
          <w:b w:val="0"/>
          <w:bCs w:val="0"/>
          <w:color w:val="auto"/>
          <w:sz w:val="21"/>
          <w:szCs w:val="21"/>
          <w:highlight w:val="none"/>
          <w:shd w:val="clear" w:color="auto" w:fill="FFFFFF"/>
        </w:rPr>
        <w:t>到现场参与投标的供应商，建议于响应文件提交截止时间前携带编制响应文件时的加密数字证书（CA）、具有摄像头及话筒的笔记本电脑至</w:t>
      </w:r>
      <w:r>
        <w:rPr>
          <w:rFonts w:hint="eastAsia" w:ascii="宋体" w:hAnsi="宋体" w:cs="宋体"/>
          <w:b w:val="0"/>
          <w:bCs w:val="0"/>
          <w:color w:val="auto"/>
          <w:sz w:val="21"/>
          <w:szCs w:val="21"/>
          <w:highlight w:val="none"/>
          <w:shd w:val="clear" w:color="auto" w:fill="FFFFFF"/>
          <w:lang w:eastAsia="zh-CN"/>
        </w:rPr>
        <w:t>采</w:t>
      </w:r>
      <w:r>
        <w:rPr>
          <w:rFonts w:hint="eastAsia" w:ascii="宋体" w:hAnsi="宋体" w:cs="宋体"/>
          <w:b w:val="0"/>
          <w:bCs w:val="0"/>
          <w:color w:val="auto"/>
          <w:sz w:val="21"/>
          <w:szCs w:val="21"/>
          <w:highlight w:val="none"/>
          <w:shd w:val="clear" w:color="auto" w:fill="FFFFFF"/>
        </w:rPr>
        <w:t>购代理机构开标地点参与投标。</w:t>
      </w:r>
    </w:p>
    <w:p w14:paraId="5D0507B5">
      <w:pPr>
        <w:keepNext w:val="0"/>
        <w:keepLines w:val="0"/>
        <w:pageBreakBefore w:val="0"/>
        <w:widowControl w:val="0"/>
        <w:overflowPunct/>
        <w:topLinePunct w:val="0"/>
        <w:bidi w:val="0"/>
        <w:adjustRightInd/>
        <w:snapToGrid/>
        <w:spacing w:line="360" w:lineRule="auto"/>
        <w:ind w:firstLine="480"/>
        <w:textAlignment w:val="auto"/>
        <w:outlineLvl w:val="1"/>
        <w:rPr>
          <w:rFonts w:ascii="宋体" w:hAnsi="宋体" w:cs="宋体"/>
          <w:b/>
          <w:bCs/>
          <w:szCs w:val="21"/>
        </w:rPr>
      </w:pPr>
      <w:r>
        <w:rPr>
          <w:rFonts w:hint="eastAsia" w:ascii="宋体" w:hAnsi="宋体" w:cs="宋体"/>
          <w:b/>
          <w:bCs/>
          <w:szCs w:val="21"/>
        </w:rPr>
        <w:t>六、公告期限</w:t>
      </w:r>
      <w:bookmarkEnd w:id="42"/>
      <w:bookmarkEnd w:id="43"/>
      <w:bookmarkEnd w:id="44"/>
      <w:bookmarkEnd w:id="45"/>
      <w:bookmarkEnd w:id="46"/>
    </w:p>
    <w:p w14:paraId="23A9FD4E">
      <w:pPr>
        <w:keepNext w:val="0"/>
        <w:keepLines w:val="0"/>
        <w:pageBreakBefore w:val="0"/>
        <w:widowControl w:val="0"/>
        <w:overflowPunct/>
        <w:topLinePunct w:val="0"/>
        <w:bidi w:val="0"/>
        <w:adjustRightInd/>
        <w:snapToGrid/>
        <w:spacing w:line="360" w:lineRule="auto"/>
        <w:ind w:firstLine="420" w:firstLineChars="200"/>
        <w:textAlignment w:val="auto"/>
        <w:rPr>
          <w:rFonts w:ascii="宋体" w:hAnsi="宋体" w:cs="宋体"/>
          <w:kern w:val="0"/>
          <w:szCs w:val="21"/>
        </w:rPr>
      </w:pPr>
      <w:r>
        <w:rPr>
          <w:rFonts w:hint="eastAsia" w:ascii="宋体" w:hAnsi="宋体" w:cs="宋体"/>
          <w:kern w:val="0"/>
          <w:szCs w:val="21"/>
        </w:rPr>
        <w:t>自本公告发布之日起5个工作日。</w:t>
      </w:r>
    </w:p>
    <w:p w14:paraId="31ED37B4">
      <w:pPr>
        <w:keepNext w:val="0"/>
        <w:keepLines w:val="0"/>
        <w:pageBreakBefore w:val="0"/>
        <w:widowControl w:val="0"/>
        <w:overflowPunct/>
        <w:topLinePunct w:val="0"/>
        <w:bidi w:val="0"/>
        <w:adjustRightInd/>
        <w:snapToGrid/>
        <w:spacing w:line="360" w:lineRule="auto"/>
        <w:ind w:firstLine="480"/>
        <w:textAlignment w:val="auto"/>
        <w:outlineLvl w:val="1"/>
        <w:rPr>
          <w:rFonts w:hint="eastAsia" w:ascii="宋体" w:hAnsi="宋体" w:cs="宋体"/>
          <w:b/>
          <w:bCs/>
          <w:szCs w:val="21"/>
        </w:rPr>
      </w:pPr>
      <w:bookmarkStart w:id="47" w:name="_Toc29295"/>
      <w:bookmarkStart w:id="48" w:name="_Toc28359095"/>
      <w:bookmarkStart w:id="49" w:name="_Toc35393805"/>
      <w:bookmarkStart w:id="50" w:name="_Toc35393636"/>
      <w:bookmarkStart w:id="51" w:name="_Toc28359018"/>
      <w:r>
        <w:rPr>
          <w:rFonts w:hint="eastAsia" w:ascii="宋体" w:hAnsi="宋体" w:cs="宋体"/>
          <w:b/>
          <w:bCs/>
          <w:szCs w:val="21"/>
        </w:rPr>
        <w:t>七、其他补充事宜</w:t>
      </w:r>
    </w:p>
    <w:p w14:paraId="7EEAD37F">
      <w:pPr>
        <w:keepNext w:val="0"/>
        <w:keepLines w:val="0"/>
        <w:pageBreakBefore w:val="0"/>
        <w:widowControl w:val="0"/>
        <w:kinsoku/>
        <w:wordWrap/>
        <w:overflowPunct/>
        <w:topLinePunct w:val="0"/>
        <w:autoSpaceDE/>
        <w:autoSpaceDN/>
        <w:bidi w:val="0"/>
        <w:adjustRightInd/>
        <w:snapToGrid/>
        <w:spacing w:line="360" w:lineRule="auto"/>
        <w:ind w:left="420" w:leftChars="200" w:firstLine="0" w:firstLineChars="0"/>
        <w:textAlignment w:val="auto"/>
        <w:rPr>
          <w:rFonts w:hint="eastAsia" w:ascii="宋体" w:hAnsi="宋体" w:cs="Malgun Gothic"/>
          <w:bCs/>
          <w:szCs w:val="21"/>
        </w:rPr>
      </w:pPr>
      <w:r>
        <w:rPr>
          <w:rFonts w:hint="eastAsia" w:ascii="宋体" w:hAnsi="宋体" w:cs="微软雅黑"/>
          <w:bCs/>
          <w:szCs w:val="21"/>
        </w:rPr>
        <w:t>开标</w:t>
      </w:r>
      <w:r>
        <w:rPr>
          <w:rFonts w:hint="eastAsia" w:ascii="宋体" w:hAnsi="宋体" w:cs="Malgun Gothic"/>
          <w:bCs/>
          <w:szCs w:val="21"/>
        </w:rPr>
        <w:t>方式：网上开标</w:t>
      </w:r>
      <w:r>
        <w:rPr>
          <w:rFonts w:hint="eastAsia" w:ascii="宋体" w:hAnsi="宋体"/>
          <w:bCs/>
          <w:szCs w:val="21"/>
        </w:rPr>
        <w:br w:type="textWrapping"/>
      </w:r>
      <w:r>
        <w:rPr>
          <w:rFonts w:hint="eastAsia" w:ascii="宋体" w:hAnsi="宋体"/>
          <w:bCs/>
          <w:szCs w:val="21"/>
        </w:rPr>
        <w:t>是否需要</w:t>
      </w:r>
      <w:r>
        <w:rPr>
          <w:rFonts w:hint="eastAsia" w:ascii="宋体" w:hAnsi="宋体" w:cs="微软雅黑"/>
          <w:bCs/>
          <w:szCs w:val="21"/>
        </w:rPr>
        <w:t>缴纳</w:t>
      </w:r>
      <w:r>
        <w:rPr>
          <w:rFonts w:hint="eastAsia" w:ascii="宋体" w:hAnsi="宋体" w:cs="Malgun Gothic"/>
          <w:bCs/>
          <w:szCs w:val="21"/>
          <w:lang w:val="en-US" w:eastAsia="zh-CN"/>
        </w:rPr>
        <w:t>磋商</w:t>
      </w:r>
      <w:r>
        <w:rPr>
          <w:rFonts w:hint="eastAsia" w:ascii="宋体" w:hAnsi="宋体" w:cs="Malgun Gothic"/>
          <w:bCs/>
          <w:szCs w:val="21"/>
        </w:rPr>
        <w:t>保</w:t>
      </w:r>
      <w:r>
        <w:rPr>
          <w:rFonts w:hint="eastAsia" w:ascii="宋体" w:hAnsi="宋体" w:cs="微软雅黑"/>
          <w:bCs/>
          <w:szCs w:val="21"/>
        </w:rPr>
        <w:t>证</w:t>
      </w:r>
      <w:r>
        <w:rPr>
          <w:rFonts w:hint="eastAsia" w:ascii="宋体" w:hAnsi="宋体" w:cs="Malgun Gothic"/>
          <w:bCs/>
          <w:szCs w:val="21"/>
        </w:rPr>
        <w:t>金：是</w:t>
      </w:r>
    </w:p>
    <w:p w14:paraId="7B8D7B24">
      <w:pPr>
        <w:keepNext w:val="0"/>
        <w:keepLines w:val="0"/>
        <w:pageBreakBefore w:val="0"/>
        <w:widowControl w:val="0"/>
        <w:kinsoku/>
        <w:wordWrap/>
        <w:overflowPunct/>
        <w:topLinePunct w:val="0"/>
        <w:autoSpaceDE/>
        <w:autoSpaceDN/>
        <w:bidi w:val="0"/>
        <w:adjustRightInd/>
        <w:snapToGrid/>
        <w:spacing w:line="360" w:lineRule="auto"/>
        <w:ind w:firstLine="420"/>
        <w:textAlignment w:val="auto"/>
        <w:rPr>
          <w:rFonts w:hint="eastAsia" w:ascii="宋体" w:hAnsi="宋体" w:cs="宋体"/>
          <w:color w:val="000000" w:themeColor="text1"/>
          <w:szCs w:val="21"/>
          <w:highlight w:val="none"/>
          <w:lang w:val="en-US" w:eastAsia="zh-CN"/>
          <w14:textFill>
            <w14:solidFill>
              <w14:schemeClr w14:val="tx1"/>
            </w14:solidFill>
          </w14:textFill>
        </w:rPr>
      </w:pPr>
      <w:r>
        <w:rPr>
          <w:rFonts w:hint="eastAsia" w:ascii="宋体" w:hAnsi="宋体" w:cs="宋体"/>
          <w:color w:val="000000" w:themeColor="text1"/>
          <w:szCs w:val="21"/>
          <w:highlight w:val="none"/>
          <w:lang w:val="en-US" w:eastAsia="zh-CN"/>
          <w14:textFill>
            <w14:solidFill>
              <w14:schemeClr w14:val="tx1"/>
            </w14:solidFill>
          </w14:textFill>
        </w:rPr>
        <w:t>其他：</w:t>
      </w:r>
    </w:p>
    <w:p w14:paraId="46D81252">
      <w:pPr>
        <w:keepNext w:val="0"/>
        <w:keepLines w:val="0"/>
        <w:pageBreakBefore w:val="0"/>
        <w:widowControl w:val="0"/>
        <w:kinsoku/>
        <w:wordWrap/>
        <w:overflowPunct/>
        <w:topLinePunct w:val="0"/>
        <w:autoSpaceDE/>
        <w:autoSpaceDN/>
        <w:bidi w:val="0"/>
        <w:adjustRightInd/>
        <w:snapToGrid/>
        <w:spacing w:line="360" w:lineRule="auto"/>
        <w:ind w:firstLine="420"/>
        <w:textAlignment w:val="auto"/>
        <w:rPr>
          <w:rFonts w:hint="eastAsia" w:ascii="宋体" w:hAnsi="宋体" w:cs="宋体"/>
          <w:color w:val="000000" w:themeColor="text1"/>
          <w:szCs w:val="21"/>
          <w:highlight w:val="none"/>
          <w:lang w:val="en-US" w:eastAsia="zh-CN"/>
          <w14:textFill>
            <w14:solidFill>
              <w14:schemeClr w14:val="tx1"/>
            </w14:solidFill>
          </w14:textFill>
        </w:rPr>
      </w:pPr>
      <w:r>
        <w:rPr>
          <w:rFonts w:hint="eastAsia" w:ascii="宋体" w:hAnsi="宋体" w:cs="宋体"/>
          <w:color w:val="000000" w:themeColor="text1"/>
          <w:szCs w:val="21"/>
          <w:highlight w:val="none"/>
          <w:lang w:val="en-US" w:eastAsia="zh-CN"/>
          <w14:textFill>
            <w14:solidFill>
              <w14:schemeClr w14:val="tx1"/>
            </w14:solidFill>
          </w14:textFill>
        </w:rPr>
        <w:t>1.本次采购公告在云南省政府采购网上发布。请各位供应商在递交投标（响应）文件前随时查看，以获取最新的消息。</w:t>
      </w:r>
    </w:p>
    <w:p w14:paraId="5786BD3E">
      <w:pPr>
        <w:keepNext w:val="0"/>
        <w:keepLines w:val="0"/>
        <w:pageBreakBefore w:val="0"/>
        <w:widowControl w:val="0"/>
        <w:kinsoku/>
        <w:wordWrap w:val="0"/>
        <w:overflowPunct/>
        <w:topLinePunct w:val="0"/>
        <w:autoSpaceDE/>
        <w:autoSpaceDN/>
        <w:bidi w:val="0"/>
        <w:adjustRightInd/>
        <w:snapToGrid/>
        <w:spacing w:line="360" w:lineRule="auto"/>
        <w:ind w:firstLine="420"/>
        <w:textAlignment w:val="auto"/>
        <w:rPr>
          <w:rFonts w:hint="eastAsia" w:ascii="宋体" w:hAnsi="宋体" w:cs="宋体"/>
          <w:color w:val="000000" w:themeColor="text1"/>
          <w:szCs w:val="21"/>
          <w:highlight w:val="none"/>
          <w:lang w:val="en-US" w:eastAsia="zh-CN"/>
          <w14:textFill>
            <w14:solidFill>
              <w14:schemeClr w14:val="tx1"/>
            </w14:solidFill>
          </w14:textFill>
        </w:rPr>
      </w:pPr>
      <w:r>
        <w:rPr>
          <w:rFonts w:hint="eastAsia" w:ascii="宋体" w:hAnsi="宋体" w:cs="宋体"/>
          <w:color w:val="000000" w:themeColor="text1"/>
          <w:szCs w:val="21"/>
          <w:highlight w:val="none"/>
          <w:lang w:val="en-US" w:eastAsia="zh-CN"/>
          <w14:textFill>
            <w14:solidFill>
              <w14:schemeClr w14:val="tx1"/>
            </w14:solidFill>
          </w14:textFill>
        </w:rPr>
        <w:t>2.本次项目采用全流程电子化采购方式，各供应商认真学习云南省政府采购电子交易平台（政采云）发布的相关操作手册。操作手册查询链接：https://helpcenter.zcygov.cn/document/#/document/dashboard?siteCode=yunnan。如有疑问联系95763。</w:t>
      </w:r>
    </w:p>
    <w:p w14:paraId="031CEBB1">
      <w:pPr>
        <w:keepNext w:val="0"/>
        <w:keepLines w:val="0"/>
        <w:pageBreakBefore w:val="0"/>
        <w:widowControl w:val="0"/>
        <w:kinsoku/>
        <w:wordWrap w:val="0"/>
        <w:overflowPunct/>
        <w:topLinePunct w:val="0"/>
        <w:autoSpaceDE/>
        <w:autoSpaceDN/>
        <w:bidi w:val="0"/>
        <w:adjustRightInd/>
        <w:snapToGrid/>
        <w:spacing w:line="360" w:lineRule="auto"/>
        <w:ind w:firstLine="420"/>
        <w:textAlignment w:val="auto"/>
        <w:rPr>
          <w:rFonts w:hint="eastAsia" w:ascii="宋体" w:hAnsi="宋体" w:cs="宋体"/>
          <w:color w:val="000000" w:themeColor="text1"/>
          <w:szCs w:val="21"/>
          <w:highlight w:val="none"/>
          <w:lang w:val="en-US" w:eastAsia="zh-CN"/>
          <w14:textFill>
            <w14:solidFill>
              <w14:schemeClr w14:val="tx1"/>
            </w14:solidFill>
          </w14:textFill>
        </w:rPr>
      </w:pPr>
      <w:r>
        <w:rPr>
          <w:rFonts w:hint="eastAsia" w:ascii="宋体" w:hAnsi="宋体" w:cs="宋体"/>
          <w:color w:val="000000" w:themeColor="text1"/>
          <w:szCs w:val="21"/>
          <w:highlight w:val="none"/>
          <w:lang w:val="en-US" w:eastAsia="zh-CN"/>
          <w14:textFill>
            <w14:solidFill>
              <w14:schemeClr w14:val="tx1"/>
            </w14:solidFill>
          </w14:textFill>
        </w:rPr>
        <w:t>（1）供应商注册。供应商须在云南省政府采购电子交易平台注册后，方可参与项目。操作路径：云南省政府采购电子交易平台-业务支持-用户注册-供应商模块。</w:t>
      </w:r>
    </w:p>
    <w:p w14:paraId="0478500F">
      <w:pPr>
        <w:keepNext w:val="0"/>
        <w:keepLines w:val="0"/>
        <w:pageBreakBefore w:val="0"/>
        <w:widowControl w:val="0"/>
        <w:kinsoku/>
        <w:wordWrap w:val="0"/>
        <w:overflowPunct/>
        <w:topLinePunct w:val="0"/>
        <w:autoSpaceDE/>
        <w:autoSpaceDN/>
        <w:bidi w:val="0"/>
        <w:adjustRightInd/>
        <w:snapToGrid/>
        <w:spacing w:line="360" w:lineRule="auto"/>
        <w:ind w:firstLine="420"/>
        <w:textAlignment w:val="auto"/>
        <w:rPr>
          <w:rFonts w:hint="eastAsia" w:ascii="宋体" w:hAnsi="宋体" w:cs="宋体"/>
          <w:color w:val="000000" w:themeColor="text1"/>
          <w:szCs w:val="21"/>
          <w:highlight w:val="none"/>
          <w:lang w:val="en-US" w:eastAsia="zh-CN"/>
          <w14:textFill>
            <w14:solidFill>
              <w14:schemeClr w14:val="tx1"/>
            </w14:solidFill>
          </w14:textFill>
        </w:rPr>
      </w:pPr>
      <w:r>
        <w:rPr>
          <w:rFonts w:hint="eastAsia" w:ascii="宋体" w:hAnsi="宋体" w:cs="宋体"/>
          <w:color w:val="000000" w:themeColor="text1"/>
          <w:szCs w:val="21"/>
          <w:highlight w:val="none"/>
          <w:lang w:val="en-US" w:eastAsia="zh-CN"/>
          <w14:textFill>
            <w14:solidFill>
              <w14:schemeClr w14:val="tx1"/>
            </w14:solidFill>
          </w14:textFill>
        </w:rPr>
        <w:t>（2）CA数字证书办理。供应商须办理有效CA数字证书。申领链接：</w:t>
      </w:r>
      <w:r>
        <w:rPr>
          <w:rFonts w:hint="eastAsia" w:ascii="宋体" w:hAnsi="宋体" w:cs="宋体"/>
          <w:color w:val="000000" w:themeColor="text1"/>
          <w:szCs w:val="21"/>
          <w:highlight w:val="none"/>
          <w:lang w:val="en-US" w:eastAsia="zh-CN"/>
          <w14:textFill>
            <w14:solidFill>
              <w14:schemeClr w14:val="tx1"/>
            </w14:solidFill>
          </w14:textFill>
        </w:rPr>
        <w:fldChar w:fldCharType="begin"/>
      </w:r>
      <w:r>
        <w:rPr>
          <w:rFonts w:hint="eastAsia" w:ascii="宋体" w:hAnsi="宋体" w:cs="宋体"/>
          <w:color w:val="000000" w:themeColor="text1"/>
          <w:szCs w:val="21"/>
          <w:highlight w:val="none"/>
          <w:lang w:val="en-US" w:eastAsia="zh-CN"/>
          <w14:textFill>
            <w14:solidFill>
              <w14:schemeClr w14:val="tx1"/>
            </w14:solidFill>
          </w14:textFill>
        </w:rPr>
        <w:instrText xml:space="preserve"> HYPERLINK "https://middle.zcygov.cn/ca/apply/choose。" </w:instrText>
      </w:r>
      <w:r>
        <w:rPr>
          <w:rFonts w:hint="eastAsia" w:ascii="宋体" w:hAnsi="宋体" w:cs="宋体"/>
          <w:color w:val="000000" w:themeColor="text1"/>
          <w:szCs w:val="21"/>
          <w:highlight w:val="none"/>
          <w:lang w:val="en-US" w:eastAsia="zh-CN"/>
          <w14:textFill>
            <w14:solidFill>
              <w14:schemeClr w14:val="tx1"/>
            </w14:solidFill>
          </w14:textFill>
        </w:rPr>
        <w:fldChar w:fldCharType="separate"/>
      </w:r>
      <w:r>
        <w:rPr>
          <w:rFonts w:hint="eastAsia" w:ascii="宋体" w:hAnsi="宋体" w:cs="宋体"/>
          <w:color w:val="000000" w:themeColor="text1"/>
          <w:szCs w:val="21"/>
          <w:highlight w:val="none"/>
          <w:lang w:val="en-US" w:eastAsia="zh-CN"/>
          <w14:textFill>
            <w14:solidFill>
              <w14:schemeClr w14:val="tx1"/>
            </w14:solidFill>
          </w14:textFill>
        </w:rPr>
        <w:t>https://middle.zcygov.cn/ca/apply/choose。</w:t>
      </w:r>
      <w:r>
        <w:rPr>
          <w:rFonts w:hint="eastAsia" w:ascii="宋体" w:hAnsi="宋体" w:cs="宋体"/>
          <w:color w:val="000000" w:themeColor="text1"/>
          <w:szCs w:val="21"/>
          <w:highlight w:val="none"/>
          <w:lang w:val="en-US" w:eastAsia="zh-CN"/>
          <w14:textFill>
            <w14:solidFill>
              <w14:schemeClr w14:val="tx1"/>
            </w14:solidFill>
          </w14:textFill>
        </w:rPr>
        <w:fldChar w:fldCharType="end"/>
      </w:r>
    </w:p>
    <w:p w14:paraId="5FDED7C6">
      <w:pPr>
        <w:keepNext w:val="0"/>
        <w:keepLines w:val="0"/>
        <w:pageBreakBefore w:val="0"/>
        <w:widowControl w:val="0"/>
        <w:kinsoku/>
        <w:wordWrap w:val="0"/>
        <w:overflowPunct/>
        <w:topLinePunct w:val="0"/>
        <w:autoSpaceDE/>
        <w:autoSpaceDN/>
        <w:bidi w:val="0"/>
        <w:adjustRightInd/>
        <w:snapToGrid/>
        <w:spacing w:line="360" w:lineRule="auto"/>
        <w:ind w:firstLine="420"/>
        <w:textAlignment w:val="auto"/>
        <w:rPr>
          <w:rFonts w:hint="eastAsia" w:ascii="宋体" w:hAnsi="宋体" w:cs="宋体"/>
          <w:color w:val="000000" w:themeColor="text1"/>
          <w:szCs w:val="21"/>
          <w:highlight w:val="none"/>
          <w:lang w:val="en-US" w:eastAsia="zh-CN"/>
          <w14:textFill>
            <w14:solidFill>
              <w14:schemeClr w14:val="tx1"/>
            </w14:solidFill>
          </w14:textFill>
        </w:rPr>
      </w:pPr>
      <w:r>
        <w:rPr>
          <w:rFonts w:hint="eastAsia" w:ascii="宋体" w:hAnsi="宋体" w:cs="宋体"/>
          <w:color w:val="000000" w:themeColor="text1"/>
          <w:szCs w:val="21"/>
          <w:highlight w:val="none"/>
          <w:lang w:val="en-US" w:eastAsia="zh-CN"/>
          <w14:textFill>
            <w14:solidFill>
              <w14:schemeClr w14:val="tx1"/>
            </w14:solidFill>
          </w14:textFill>
        </w:rPr>
        <w:t>（3）CA数字证书绑定。供应商进行CA绑定。操作路径：云南省政府采购电子交易平台-我的工作台-系统管理-ca管理-ca绑定。</w:t>
      </w:r>
    </w:p>
    <w:p w14:paraId="66C85768">
      <w:pPr>
        <w:keepNext w:val="0"/>
        <w:keepLines w:val="0"/>
        <w:pageBreakBefore w:val="0"/>
        <w:widowControl w:val="0"/>
        <w:kinsoku/>
        <w:wordWrap w:val="0"/>
        <w:overflowPunct/>
        <w:topLinePunct w:val="0"/>
        <w:autoSpaceDE/>
        <w:autoSpaceDN/>
        <w:bidi w:val="0"/>
        <w:adjustRightInd/>
        <w:snapToGrid/>
        <w:spacing w:line="360" w:lineRule="auto"/>
        <w:ind w:firstLine="420"/>
        <w:textAlignment w:val="auto"/>
        <w:rPr>
          <w:rFonts w:hint="eastAsia" w:ascii="宋体" w:hAnsi="宋体" w:cs="宋体"/>
          <w:color w:val="000000" w:themeColor="text1"/>
          <w:szCs w:val="21"/>
          <w:highlight w:val="none"/>
          <w:lang w:val="en-US" w:eastAsia="zh-CN"/>
          <w14:textFill>
            <w14:solidFill>
              <w14:schemeClr w14:val="tx1"/>
            </w14:solidFill>
          </w14:textFill>
        </w:rPr>
      </w:pPr>
      <w:r>
        <w:rPr>
          <w:rFonts w:hint="eastAsia" w:ascii="宋体" w:hAnsi="宋体" w:cs="宋体"/>
          <w:color w:val="000000" w:themeColor="text1"/>
          <w:szCs w:val="21"/>
          <w:highlight w:val="none"/>
          <w:lang w:val="en-US" w:eastAsia="zh-CN"/>
          <w14:textFill>
            <w14:solidFill>
              <w14:schemeClr w14:val="tx1"/>
            </w14:solidFill>
          </w14:textFill>
        </w:rPr>
        <w:t>（4）采购文件获取。供应商须在采购公告规定的文件获取期限内，使用账号密码或ca数字证书登录平台，获取采购文件。操作路径：云南省政府采购电子交易平台-我的工作台-项目采购--获取采购文件。请务必在规定期限内获取采购文件，逾期将无法获取。</w:t>
      </w:r>
    </w:p>
    <w:p w14:paraId="330ECE68">
      <w:pPr>
        <w:keepNext w:val="0"/>
        <w:keepLines w:val="0"/>
        <w:pageBreakBefore w:val="0"/>
        <w:widowControl w:val="0"/>
        <w:kinsoku/>
        <w:wordWrap w:val="0"/>
        <w:overflowPunct/>
        <w:topLinePunct w:val="0"/>
        <w:autoSpaceDE/>
        <w:autoSpaceDN/>
        <w:bidi w:val="0"/>
        <w:adjustRightInd/>
        <w:snapToGrid/>
        <w:spacing w:line="360" w:lineRule="auto"/>
        <w:ind w:firstLine="420"/>
        <w:textAlignment w:val="auto"/>
        <w:rPr>
          <w:rFonts w:hint="eastAsia" w:ascii="宋体" w:hAnsi="宋体" w:cs="宋体"/>
          <w:color w:val="000000" w:themeColor="text1"/>
          <w:szCs w:val="21"/>
          <w:highlight w:val="none"/>
          <w:lang w:val="en-US" w:eastAsia="zh-CN"/>
          <w14:textFill>
            <w14:solidFill>
              <w14:schemeClr w14:val="tx1"/>
            </w14:solidFill>
          </w14:textFill>
        </w:rPr>
      </w:pPr>
      <w:r>
        <w:rPr>
          <w:rFonts w:hint="eastAsia" w:ascii="宋体" w:hAnsi="宋体" w:cs="宋体"/>
          <w:color w:val="000000" w:themeColor="text1"/>
          <w:szCs w:val="21"/>
          <w:highlight w:val="none"/>
          <w:lang w:val="en-US" w:eastAsia="zh-CN"/>
          <w14:textFill>
            <w14:solidFill>
              <w14:schemeClr w14:val="tx1"/>
            </w14:solidFill>
          </w14:textFill>
        </w:rPr>
        <w:t>（5）投标（响应）文件编制与递交。供应商须下载投标（响应）客户端，通过客户端编制投标（响应）文件，并线上递交。投标客户端下载路径：</w:t>
      </w:r>
      <w:r>
        <w:rPr>
          <w:rFonts w:hint="eastAsia" w:ascii="宋体" w:hAnsi="宋体" w:cs="宋体"/>
          <w:color w:val="000000" w:themeColor="text1"/>
          <w:szCs w:val="21"/>
          <w:highlight w:val="none"/>
          <w:lang w:val="en-US" w:eastAsia="zh-CN"/>
          <w14:textFill>
            <w14:solidFill>
              <w14:schemeClr w14:val="tx1"/>
            </w14:solidFill>
          </w14:textFill>
        </w:rPr>
        <w:fldChar w:fldCharType="begin"/>
      </w:r>
      <w:r>
        <w:rPr>
          <w:rFonts w:hint="eastAsia" w:ascii="宋体" w:hAnsi="宋体" w:cs="宋体"/>
          <w:color w:val="000000" w:themeColor="text1"/>
          <w:szCs w:val="21"/>
          <w:highlight w:val="none"/>
          <w:lang w:val="en-US" w:eastAsia="zh-CN"/>
          <w14:textFill>
            <w14:solidFill>
              <w14:schemeClr w14:val="tx1"/>
            </w14:solidFill>
          </w14:textFill>
        </w:rPr>
        <w:instrText xml:space="preserve"> HYPERLINK "https://market.zcygov.cn/application-market/#/download/list" </w:instrText>
      </w:r>
      <w:r>
        <w:rPr>
          <w:rFonts w:hint="eastAsia" w:ascii="宋体" w:hAnsi="宋体" w:cs="宋体"/>
          <w:color w:val="000000" w:themeColor="text1"/>
          <w:szCs w:val="21"/>
          <w:highlight w:val="none"/>
          <w:lang w:val="en-US" w:eastAsia="zh-CN"/>
          <w14:textFill>
            <w14:solidFill>
              <w14:schemeClr w14:val="tx1"/>
            </w14:solidFill>
          </w14:textFill>
        </w:rPr>
        <w:fldChar w:fldCharType="separate"/>
      </w:r>
      <w:r>
        <w:rPr>
          <w:rFonts w:hint="eastAsia" w:ascii="宋体" w:hAnsi="宋体" w:cs="宋体"/>
          <w:color w:val="000000" w:themeColor="text1"/>
          <w:szCs w:val="21"/>
          <w:highlight w:val="none"/>
          <w:lang w:val="en-US" w:eastAsia="zh-CN"/>
          <w14:textFill>
            <w14:solidFill>
              <w14:schemeClr w14:val="tx1"/>
            </w14:solidFill>
          </w14:textFill>
        </w:rPr>
        <w:t>https://market.zcygov.cn/application-market/#/download/list</w:t>
      </w:r>
      <w:r>
        <w:rPr>
          <w:rFonts w:hint="eastAsia" w:ascii="宋体" w:hAnsi="宋体" w:cs="宋体"/>
          <w:color w:val="000000" w:themeColor="text1"/>
          <w:szCs w:val="21"/>
          <w:highlight w:val="none"/>
          <w:lang w:val="en-US" w:eastAsia="zh-CN"/>
          <w14:textFill>
            <w14:solidFill>
              <w14:schemeClr w14:val="tx1"/>
            </w14:solidFill>
          </w14:textFill>
        </w:rPr>
        <w:fldChar w:fldCharType="end"/>
      </w:r>
    </w:p>
    <w:p w14:paraId="581A758B">
      <w:pPr>
        <w:keepNext w:val="0"/>
        <w:keepLines w:val="0"/>
        <w:pageBreakBefore w:val="0"/>
        <w:widowControl w:val="0"/>
        <w:kinsoku/>
        <w:wordWrap w:val="0"/>
        <w:overflowPunct/>
        <w:topLinePunct w:val="0"/>
        <w:autoSpaceDE/>
        <w:autoSpaceDN/>
        <w:bidi w:val="0"/>
        <w:adjustRightInd/>
        <w:snapToGrid/>
        <w:spacing w:line="360" w:lineRule="auto"/>
        <w:ind w:firstLine="420"/>
        <w:textAlignment w:val="auto"/>
        <w:rPr>
          <w:rFonts w:hint="eastAsia" w:ascii="宋体" w:hAnsi="宋体" w:cs="宋体"/>
          <w:color w:val="000000" w:themeColor="text1"/>
          <w:szCs w:val="21"/>
          <w:highlight w:val="none"/>
          <w:lang w:val="en-US" w:eastAsia="zh-CN"/>
          <w14:textFill>
            <w14:solidFill>
              <w14:schemeClr w14:val="tx1"/>
            </w14:solidFill>
          </w14:textFill>
        </w:rPr>
      </w:pPr>
      <w:r>
        <w:rPr>
          <w:rFonts w:hint="eastAsia" w:ascii="宋体" w:hAnsi="宋体" w:cs="宋体"/>
          <w:color w:val="000000" w:themeColor="text1"/>
          <w:szCs w:val="21"/>
          <w:highlight w:val="none"/>
          <w:lang w:val="en-US" w:eastAsia="zh-CN"/>
          <w14:textFill>
            <w14:solidFill>
              <w14:schemeClr w14:val="tx1"/>
            </w14:solidFill>
          </w14:textFill>
        </w:rPr>
        <w:t>（6）开评标。供应商须在项目指定的开标时间前，提前登录政府采购电子交易平台，并在规定时间内完成解密，如供应商因自身原因，无法在规定时间内解密的，自行承担后果（如：设备故障、浏览器故障、未安装相关驱动、网络故障、加密CA与解密CA不一致等）。操作路径：云南省政府采购电子交易平台-我的工作台-项目采购-开标评标-进入开标大厅。</w:t>
      </w:r>
    </w:p>
    <w:p w14:paraId="5F2F5C6F">
      <w:pPr>
        <w:keepNext w:val="0"/>
        <w:keepLines w:val="0"/>
        <w:pageBreakBefore w:val="0"/>
        <w:widowControl w:val="0"/>
        <w:overflowPunct/>
        <w:topLinePunct w:val="0"/>
        <w:bidi w:val="0"/>
        <w:adjustRightInd/>
        <w:snapToGrid/>
        <w:spacing w:line="360" w:lineRule="auto"/>
        <w:ind w:firstLine="480"/>
        <w:textAlignment w:val="auto"/>
        <w:outlineLvl w:val="1"/>
        <w:rPr>
          <w:rFonts w:ascii="宋体" w:hAnsi="宋体" w:cs="宋体"/>
          <w:b/>
          <w:bCs/>
          <w:szCs w:val="21"/>
        </w:rPr>
      </w:pPr>
      <w:r>
        <w:rPr>
          <w:rFonts w:hint="eastAsia" w:ascii="宋体" w:hAnsi="宋体" w:cs="宋体"/>
          <w:b/>
          <w:bCs/>
          <w:szCs w:val="21"/>
        </w:rPr>
        <w:t>八、联系方式</w:t>
      </w:r>
      <w:bookmarkEnd w:id="47"/>
    </w:p>
    <w:p w14:paraId="48DCAED6">
      <w:pPr>
        <w:keepNext w:val="0"/>
        <w:keepLines w:val="0"/>
        <w:pageBreakBefore w:val="0"/>
        <w:widowControl w:val="0"/>
        <w:overflowPunct/>
        <w:topLinePunct w:val="0"/>
        <w:bidi w:val="0"/>
        <w:adjustRightInd/>
        <w:snapToGrid/>
        <w:spacing w:line="360" w:lineRule="auto"/>
        <w:ind w:firstLine="480"/>
        <w:textAlignment w:val="auto"/>
        <w:outlineLvl w:val="1"/>
        <w:rPr>
          <w:rFonts w:ascii="宋体" w:hAnsi="宋体" w:cs="宋体"/>
          <w:b/>
          <w:bCs/>
          <w:szCs w:val="21"/>
        </w:rPr>
      </w:pPr>
      <w:bookmarkStart w:id="52" w:name="_Toc23784"/>
      <w:r>
        <w:rPr>
          <w:rFonts w:hint="eastAsia" w:ascii="宋体" w:hAnsi="宋体" w:cs="宋体"/>
          <w:b/>
          <w:bCs/>
          <w:szCs w:val="21"/>
        </w:rPr>
        <w:t>凡对本次采购提出询问，请按以下方式联系。</w:t>
      </w:r>
      <w:bookmarkEnd w:id="48"/>
      <w:bookmarkEnd w:id="49"/>
      <w:bookmarkEnd w:id="50"/>
      <w:bookmarkEnd w:id="51"/>
      <w:bookmarkEnd w:id="52"/>
    </w:p>
    <w:p w14:paraId="2CAC6C7E">
      <w:pPr>
        <w:keepNext w:val="0"/>
        <w:keepLines w:val="0"/>
        <w:pageBreakBefore w:val="0"/>
        <w:widowControl w:val="0"/>
        <w:overflowPunct/>
        <w:topLinePunct w:val="0"/>
        <w:bidi w:val="0"/>
        <w:adjustRightInd/>
        <w:snapToGrid/>
        <w:spacing w:line="360" w:lineRule="auto"/>
        <w:ind w:firstLine="422" w:firstLineChars="200"/>
        <w:textAlignment w:val="auto"/>
        <w:outlineLvl w:val="1"/>
        <w:rPr>
          <w:rFonts w:ascii="宋体" w:hAnsi="宋体" w:cs="宋体"/>
          <w:b/>
          <w:bCs/>
          <w:szCs w:val="21"/>
        </w:rPr>
      </w:pPr>
      <w:bookmarkStart w:id="53" w:name="_Toc13186"/>
      <w:bookmarkStart w:id="54" w:name="_Toc11207"/>
      <w:bookmarkStart w:id="55" w:name="_Toc35393637"/>
      <w:bookmarkStart w:id="56" w:name="_Toc28359019"/>
      <w:bookmarkStart w:id="57" w:name="_Toc28359096"/>
      <w:bookmarkStart w:id="58" w:name="_Toc35393806"/>
      <w:r>
        <w:rPr>
          <w:rFonts w:hint="eastAsia" w:ascii="宋体" w:hAnsi="宋体" w:cs="宋体"/>
          <w:b/>
          <w:bCs/>
          <w:szCs w:val="21"/>
        </w:rPr>
        <w:t>8.1采购人信息</w:t>
      </w:r>
      <w:bookmarkEnd w:id="53"/>
      <w:bookmarkEnd w:id="54"/>
      <w:bookmarkEnd w:id="55"/>
      <w:bookmarkEnd w:id="56"/>
      <w:bookmarkEnd w:id="57"/>
      <w:bookmarkEnd w:id="58"/>
    </w:p>
    <w:p w14:paraId="52DB97A2">
      <w:pPr>
        <w:keepNext w:val="0"/>
        <w:keepLines w:val="0"/>
        <w:pageBreakBefore w:val="0"/>
        <w:widowControl w:val="0"/>
        <w:overflowPunct/>
        <w:topLinePunct w:val="0"/>
        <w:autoSpaceDE w:val="0"/>
        <w:autoSpaceDN w:val="0"/>
        <w:bidi w:val="0"/>
        <w:adjustRightInd/>
        <w:snapToGrid/>
        <w:spacing w:line="360" w:lineRule="auto"/>
        <w:ind w:firstLine="420" w:firstLineChars="200"/>
        <w:textAlignment w:val="auto"/>
        <w:rPr>
          <w:rFonts w:hint="eastAsia" w:ascii="宋体" w:hAnsi="宋体" w:eastAsia="宋体" w:cs="宋体"/>
          <w:szCs w:val="21"/>
          <w:lang w:eastAsia="zh-CN"/>
        </w:rPr>
      </w:pPr>
      <w:r>
        <w:rPr>
          <w:rFonts w:hint="eastAsia" w:ascii="宋体" w:hAnsi="宋体" w:cs="宋体"/>
          <w:szCs w:val="21"/>
        </w:rPr>
        <w:t>名    称：</w:t>
      </w:r>
      <w:r>
        <w:rPr>
          <w:rFonts w:hint="eastAsia" w:ascii="宋体" w:hAnsi="宋体" w:cs="宋体"/>
          <w:szCs w:val="21"/>
          <w:lang w:eastAsia="zh-CN"/>
        </w:rPr>
        <w:t>石屏县坝心镇人民政府</w:t>
      </w:r>
    </w:p>
    <w:p w14:paraId="03B553D7">
      <w:pPr>
        <w:keepNext w:val="0"/>
        <w:keepLines w:val="0"/>
        <w:pageBreakBefore w:val="0"/>
        <w:widowControl w:val="0"/>
        <w:overflowPunct/>
        <w:topLinePunct w:val="0"/>
        <w:autoSpaceDE w:val="0"/>
        <w:autoSpaceDN w:val="0"/>
        <w:bidi w:val="0"/>
        <w:adjustRightInd/>
        <w:snapToGrid/>
        <w:spacing w:line="360" w:lineRule="auto"/>
        <w:ind w:firstLine="420" w:firstLineChars="200"/>
        <w:textAlignment w:val="auto"/>
        <w:rPr>
          <w:rFonts w:hint="eastAsia" w:ascii="宋体" w:hAnsi="宋体" w:cs="宋体"/>
          <w:szCs w:val="21"/>
        </w:rPr>
      </w:pPr>
      <w:r>
        <w:rPr>
          <w:rFonts w:hint="eastAsia" w:ascii="宋体" w:hAnsi="宋体" w:cs="宋体"/>
          <w:szCs w:val="21"/>
        </w:rPr>
        <w:t>地   址：</w:t>
      </w:r>
      <w:bookmarkStart w:id="59" w:name="_Toc28359097"/>
      <w:bookmarkStart w:id="60" w:name="_Toc35393638"/>
      <w:bookmarkStart w:id="61" w:name="_Toc31415"/>
      <w:bookmarkStart w:id="62" w:name="_Toc28359020"/>
      <w:bookmarkStart w:id="63" w:name="_Toc35393807"/>
      <w:r>
        <w:rPr>
          <w:rFonts w:hint="eastAsia" w:ascii="宋体" w:hAnsi="宋体" w:cs="宋体"/>
          <w:szCs w:val="21"/>
        </w:rPr>
        <w:t>石屏县坝心镇坝心街正南方向160米</w:t>
      </w:r>
    </w:p>
    <w:p w14:paraId="0395EB99">
      <w:pPr>
        <w:keepNext w:val="0"/>
        <w:keepLines w:val="0"/>
        <w:pageBreakBefore w:val="0"/>
        <w:widowControl w:val="0"/>
        <w:overflowPunct/>
        <w:topLinePunct w:val="0"/>
        <w:autoSpaceDE w:val="0"/>
        <w:autoSpaceDN w:val="0"/>
        <w:bidi w:val="0"/>
        <w:adjustRightInd/>
        <w:snapToGrid/>
        <w:spacing w:line="360" w:lineRule="auto"/>
        <w:ind w:firstLine="420" w:firstLineChars="200"/>
        <w:textAlignment w:val="auto"/>
        <w:rPr>
          <w:rFonts w:hint="default" w:ascii="宋体" w:hAnsi="宋体" w:eastAsia="宋体" w:cs="宋体"/>
          <w:b w:val="0"/>
          <w:bCs w:val="0"/>
          <w:color w:val="auto"/>
          <w:szCs w:val="21"/>
          <w:highlight w:val="none"/>
          <w:lang w:val="en-US" w:eastAsia="zh-CN"/>
        </w:rPr>
      </w:pPr>
      <w:r>
        <w:rPr>
          <w:rFonts w:hint="eastAsia" w:ascii="宋体" w:hAnsi="宋体" w:cs="宋体"/>
          <w:b w:val="0"/>
          <w:bCs w:val="0"/>
          <w:color w:val="auto"/>
          <w:szCs w:val="21"/>
          <w:highlight w:val="none"/>
        </w:rPr>
        <w:t>联系方式：</w:t>
      </w:r>
      <w:r>
        <w:rPr>
          <w:rFonts w:hint="eastAsia" w:ascii="宋体" w:hAnsi="宋体" w:cs="宋体"/>
          <w:b w:val="0"/>
          <w:bCs w:val="0"/>
          <w:color w:val="auto"/>
          <w:szCs w:val="21"/>
          <w:highlight w:val="none"/>
          <w:lang w:val="en-US" w:eastAsia="zh-CN"/>
        </w:rPr>
        <w:t xml:space="preserve">李文峰 </w:t>
      </w:r>
      <w:r>
        <w:rPr>
          <w:rFonts w:hint="eastAsia" w:ascii="宋体" w:hAnsi="宋体" w:cs="宋体"/>
          <w:color w:val="auto"/>
          <w:lang w:val="en-US" w:eastAsia="zh-CN"/>
        </w:rPr>
        <w:t>0873-4912025</w:t>
      </w:r>
    </w:p>
    <w:p w14:paraId="5851A8A1">
      <w:pPr>
        <w:keepNext w:val="0"/>
        <w:keepLines w:val="0"/>
        <w:pageBreakBefore w:val="0"/>
        <w:widowControl w:val="0"/>
        <w:overflowPunct/>
        <w:topLinePunct w:val="0"/>
        <w:autoSpaceDE w:val="0"/>
        <w:autoSpaceDN w:val="0"/>
        <w:bidi w:val="0"/>
        <w:adjustRightInd/>
        <w:snapToGrid/>
        <w:spacing w:line="360" w:lineRule="auto"/>
        <w:ind w:firstLine="422" w:firstLineChars="200"/>
        <w:textAlignment w:val="auto"/>
        <w:rPr>
          <w:rFonts w:ascii="宋体" w:hAnsi="宋体" w:cs="宋体"/>
          <w:b/>
          <w:bCs/>
          <w:szCs w:val="21"/>
        </w:rPr>
      </w:pPr>
      <w:r>
        <w:rPr>
          <w:rFonts w:hint="eastAsia" w:ascii="宋体" w:hAnsi="宋体" w:cs="宋体"/>
          <w:b/>
          <w:bCs/>
          <w:szCs w:val="21"/>
        </w:rPr>
        <w:t>8.2采购代理机构信息</w:t>
      </w:r>
      <w:bookmarkEnd w:id="59"/>
      <w:bookmarkEnd w:id="60"/>
      <w:bookmarkEnd w:id="61"/>
      <w:bookmarkEnd w:id="62"/>
      <w:bookmarkEnd w:id="63"/>
    </w:p>
    <w:p w14:paraId="6C479F7C">
      <w:pPr>
        <w:keepNext w:val="0"/>
        <w:keepLines w:val="0"/>
        <w:pageBreakBefore w:val="0"/>
        <w:widowControl w:val="0"/>
        <w:overflowPunct/>
        <w:topLinePunct w:val="0"/>
        <w:autoSpaceDE w:val="0"/>
        <w:autoSpaceDN w:val="0"/>
        <w:bidi w:val="0"/>
        <w:adjustRightInd/>
        <w:snapToGrid/>
        <w:spacing w:line="360" w:lineRule="auto"/>
        <w:ind w:firstLine="420" w:firstLineChars="200"/>
        <w:textAlignment w:val="auto"/>
        <w:rPr>
          <w:rFonts w:ascii="宋体" w:hAnsi="宋体" w:cs="宋体"/>
          <w:szCs w:val="21"/>
        </w:rPr>
      </w:pPr>
      <w:bookmarkStart w:id="64" w:name="_Toc28359098"/>
      <w:bookmarkStart w:id="65" w:name="_Toc35393639"/>
      <w:bookmarkStart w:id="66" w:name="_Toc28359021"/>
      <w:bookmarkStart w:id="67" w:name="_Toc15650"/>
      <w:bookmarkStart w:id="68" w:name="_Toc35393808"/>
      <w:r>
        <w:rPr>
          <w:rFonts w:hint="eastAsia" w:ascii="宋体" w:hAnsi="宋体" w:cs="宋体"/>
          <w:szCs w:val="21"/>
        </w:rPr>
        <w:t>名    称：</w:t>
      </w:r>
      <w:r>
        <w:rPr>
          <w:rFonts w:hint="eastAsia" w:ascii="宋体" w:hAnsi="宋体" w:cs="宋体"/>
          <w:szCs w:val="21"/>
          <w:lang w:eastAsia="zh-CN"/>
        </w:rPr>
        <w:t>云南银源项目管理咨询有限公司</w:t>
      </w:r>
      <w:r>
        <w:rPr>
          <w:rFonts w:hint="eastAsia" w:ascii="宋体" w:hAnsi="宋体" w:cs="宋体"/>
          <w:szCs w:val="21"/>
        </w:rPr>
        <w:t xml:space="preserve">    </w:t>
      </w:r>
    </w:p>
    <w:p w14:paraId="24C4664B">
      <w:pPr>
        <w:keepNext w:val="0"/>
        <w:keepLines w:val="0"/>
        <w:pageBreakBefore w:val="0"/>
        <w:widowControl w:val="0"/>
        <w:overflowPunct/>
        <w:topLinePunct w:val="0"/>
        <w:autoSpaceDE w:val="0"/>
        <w:autoSpaceDN w:val="0"/>
        <w:bidi w:val="0"/>
        <w:adjustRightInd/>
        <w:snapToGrid/>
        <w:spacing w:line="360" w:lineRule="auto"/>
        <w:ind w:firstLine="420" w:firstLineChars="200"/>
        <w:textAlignment w:val="auto"/>
        <w:rPr>
          <w:rFonts w:ascii="宋体" w:hAnsi="宋体" w:cs="宋体"/>
          <w:szCs w:val="21"/>
        </w:rPr>
      </w:pPr>
      <w:r>
        <w:rPr>
          <w:rFonts w:hint="eastAsia" w:ascii="宋体" w:hAnsi="宋体" w:cs="宋体"/>
          <w:szCs w:val="21"/>
        </w:rPr>
        <w:t>地　　址：蒙自市观澜街道护国路起龙九社A-1幢</w:t>
      </w:r>
    </w:p>
    <w:p w14:paraId="479A7711">
      <w:pPr>
        <w:keepNext w:val="0"/>
        <w:keepLines w:val="0"/>
        <w:pageBreakBefore w:val="0"/>
        <w:widowControl w:val="0"/>
        <w:overflowPunct/>
        <w:topLinePunct w:val="0"/>
        <w:autoSpaceDE w:val="0"/>
        <w:autoSpaceDN w:val="0"/>
        <w:bidi w:val="0"/>
        <w:adjustRightInd/>
        <w:snapToGrid/>
        <w:spacing w:line="360" w:lineRule="auto"/>
        <w:ind w:firstLine="420" w:firstLineChars="200"/>
        <w:textAlignment w:val="auto"/>
        <w:rPr>
          <w:rFonts w:hint="default" w:ascii="宋体" w:hAnsi="宋体" w:eastAsia="宋体" w:cs="宋体"/>
          <w:szCs w:val="21"/>
          <w:lang w:val="en-US" w:eastAsia="zh-CN"/>
        </w:rPr>
      </w:pPr>
      <w:r>
        <w:rPr>
          <w:rFonts w:hint="eastAsia" w:ascii="宋体" w:hAnsi="宋体" w:cs="宋体"/>
          <w:szCs w:val="21"/>
        </w:rPr>
        <w:t>联系方式：</w:t>
      </w:r>
      <w:r>
        <w:rPr>
          <w:rFonts w:hint="eastAsia" w:ascii="宋体" w:hAnsi="宋体"/>
          <w:sz w:val="21"/>
          <w:szCs w:val="21"/>
          <w:u w:val="none"/>
          <w:lang w:val="en-US" w:eastAsia="zh-CN"/>
        </w:rPr>
        <w:t>17874369019、</w:t>
      </w:r>
      <w:r>
        <w:rPr>
          <w:rFonts w:hint="eastAsia" w:ascii="宋体" w:hAnsi="宋体" w:cs="宋体"/>
          <w:szCs w:val="21"/>
        </w:rPr>
        <w:t>15887706212</w:t>
      </w:r>
    </w:p>
    <w:p w14:paraId="0053A68E">
      <w:pPr>
        <w:keepNext w:val="0"/>
        <w:keepLines w:val="0"/>
        <w:pageBreakBefore w:val="0"/>
        <w:widowControl w:val="0"/>
        <w:overflowPunct/>
        <w:topLinePunct w:val="0"/>
        <w:autoSpaceDE w:val="0"/>
        <w:autoSpaceDN w:val="0"/>
        <w:bidi w:val="0"/>
        <w:adjustRightInd/>
        <w:snapToGrid/>
        <w:spacing w:line="360" w:lineRule="auto"/>
        <w:ind w:firstLine="422" w:firstLineChars="200"/>
        <w:textAlignment w:val="auto"/>
        <w:rPr>
          <w:rFonts w:ascii="宋体" w:hAnsi="宋体" w:cs="宋体"/>
          <w:b/>
          <w:bCs/>
          <w:szCs w:val="21"/>
        </w:rPr>
      </w:pPr>
      <w:r>
        <w:rPr>
          <w:rFonts w:hint="eastAsia" w:ascii="宋体" w:hAnsi="宋体" w:cs="宋体"/>
          <w:b/>
          <w:bCs/>
          <w:szCs w:val="21"/>
        </w:rPr>
        <w:t>8.3项目联系方式</w:t>
      </w:r>
      <w:bookmarkEnd w:id="64"/>
      <w:bookmarkEnd w:id="65"/>
      <w:bookmarkEnd w:id="66"/>
      <w:bookmarkEnd w:id="67"/>
      <w:bookmarkEnd w:id="68"/>
    </w:p>
    <w:p w14:paraId="1D72B189">
      <w:pPr>
        <w:keepNext w:val="0"/>
        <w:keepLines w:val="0"/>
        <w:pageBreakBefore w:val="0"/>
        <w:widowControl w:val="0"/>
        <w:kinsoku/>
        <w:wordWrap/>
        <w:overflowPunct/>
        <w:topLinePunct w:val="0"/>
        <w:autoSpaceDE/>
        <w:autoSpaceDN/>
        <w:bidi w:val="0"/>
        <w:adjustRightInd/>
        <w:snapToGrid/>
        <w:spacing w:line="360" w:lineRule="auto"/>
        <w:ind w:left="420" w:leftChars="200"/>
        <w:textAlignment w:val="auto"/>
        <w:rPr>
          <w:rFonts w:hint="default" w:ascii="宋体" w:hAnsi="宋体" w:eastAsia="宋体"/>
          <w:sz w:val="21"/>
          <w:szCs w:val="21"/>
          <w:u w:val="none"/>
          <w:lang w:val="en-US"/>
        </w:rPr>
      </w:pPr>
      <w:r>
        <w:rPr>
          <w:rFonts w:hint="eastAsia" w:ascii="宋体" w:hAnsi="宋体" w:eastAsia="宋体"/>
          <w:sz w:val="21"/>
          <w:szCs w:val="21"/>
          <w:u w:val="none"/>
        </w:rPr>
        <w:t>项目联系人：</w:t>
      </w:r>
      <w:r>
        <w:rPr>
          <w:rFonts w:hint="eastAsia" w:ascii="宋体" w:hAnsi="宋体"/>
          <w:sz w:val="21"/>
          <w:szCs w:val="21"/>
          <w:u w:val="none"/>
          <w:lang w:val="en-US" w:eastAsia="zh-CN"/>
        </w:rPr>
        <w:t xml:space="preserve">唐雄、冯琦        </w:t>
      </w:r>
    </w:p>
    <w:p w14:paraId="591B9212">
      <w:pPr>
        <w:keepNext w:val="0"/>
        <w:keepLines w:val="0"/>
        <w:pageBreakBefore w:val="0"/>
        <w:widowControl w:val="0"/>
        <w:overflowPunct/>
        <w:topLinePunct w:val="0"/>
        <w:autoSpaceDE w:val="0"/>
        <w:autoSpaceDN w:val="0"/>
        <w:bidi w:val="0"/>
        <w:adjustRightInd/>
        <w:snapToGrid/>
        <w:spacing w:line="360" w:lineRule="auto"/>
        <w:ind w:firstLine="420" w:firstLineChars="200"/>
        <w:textAlignment w:val="auto"/>
        <w:rPr>
          <w:rFonts w:hint="eastAsia" w:ascii="宋体" w:hAnsi="宋体" w:eastAsia="宋体"/>
          <w:sz w:val="21"/>
          <w:szCs w:val="21"/>
          <w:u w:val="none"/>
        </w:rPr>
      </w:pPr>
      <w:r>
        <w:rPr>
          <w:rFonts w:hint="eastAsia" w:ascii="宋体" w:hAnsi="宋体" w:eastAsia="宋体"/>
          <w:sz w:val="21"/>
          <w:szCs w:val="21"/>
          <w:u w:val="none"/>
        </w:rPr>
        <w:t>电　　 话：</w:t>
      </w:r>
      <w:r>
        <w:rPr>
          <w:rFonts w:hint="eastAsia" w:ascii="宋体" w:hAnsi="宋体"/>
          <w:sz w:val="21"/>
          <w:szCs w:val="21"/>
          <w:u w:val="none"/>
          <w:lang w:val="en-US" w:eastAsia="zh-CN"/>
        </w:rPr>
        <w:t>17874369019</w:t>
      </w:r>
      <w:r>
        <w:rPr>
          <w:rFonts w:hint="eastAsia" w:ascii="宋体" w:hAnsi="宋体"/>
          <w:sz w:val="21"/>
          <w:szCs w:val="21"/>
          <w:u w:val="none"/>
          <w:lang w:eastAsia="zh-CN"/>
        </w:rPr>
        <w:t>、</w:t>
      </w:r>
      <w:r>
        <w:rPr>
          <w:rFonts w:hint="eastAsia" w:ascii="宋体" w:hAnsi="宋体" w:eastAsia="宋体"/>
          <w:sz w:val="21"/>
          <w:szCs w:val="21"/>
          <w:u w:val="none"/>
        </w:rPr>
        <w:t>15887706212</w:t>
      </w:r>
    </w:p>
    <w:p w14:paraId="6476E25F">
      <w:pPr>
        <w:autoSpaceDE w:val="0"/>
        <w:autoSpaceDN w:val="0"/>
        <w:adjustRightInd w:val="0"/>
        <w:snapToGrid w:val="0"/>
        <w:spacing w:line="360" w:lineRule="auto"/>
        <w:rPr>
          <w:rFonts w:ascii="宋体" w:hAnsi="宋体" w:cs="宋体"/>
          <w:b/>
          <w:szCs w:val="21"/>
        </w:rPr>
      </w:pPr>
      <w:r>
        <w:rPr>
          <w:rFonts w:hint="eastAsia" w:ascii="宋体" w:hAnsi="宋体" w:cs="宋体"/>
          <w:b/>
          <w:szCs w:val="21"/>
        </w:rPr>
        <w:br w:type="page"/>
      </w:r>
    </w:p>
    <w:p w14:paraId="06B3E36E">
      <w:pPr>
        <w:widowControl/>
        <w:spacing w:line="360" w:lineRule="auto"/>
        <w:jc w:val="center"/>
        <w:outlineLvl w:val="0"/>
        <w:rPr>
          <w:rFonts w:ascii="宋体" w:hAnsi="宋体" w:cs="宋体"/>
          <w:b/>
          <w:bCs/>
          <w:sz w:val="28"/>
          <w:szCs w:val="28"/>
        </w:rPr>
      </w:pPr>
      <w:bookmarkStart w:id="69" w:name="_Toc427306785"/>
      <w:bookmarkStart w:id="70" w:name="_Toc58081260"/>
      <w:bookmarkStart w:id="71" w:name="_Toc427339166"/>
      <w:bookmarkStart w:id="72" w:name="_Toc30867"/>
      <w:r>
        <w:rPr>
          <w:rFonts w:hint="eastAsia" w:ascii="宋体" w:hAnsi="宋体" w:cs="宋体"/>
          <w:b/>
          <w:bCs/>
          <w:sz w:val="28"/>
          <w:szCs w:val="28"/>
        </w:rPr>
        <w:t>第二章 供应商须知</w:t>
      </w:r>
      <w:bookmarkEnd w:id="6"/>
      <w:bookmarkEnd w:id="7"/>
      <w:bookmarkEnd w:id="8"/>
      <w:bookmarkEnd w:id="9"/>
      <w:bookmarkEnd w:id="10"/>
      <w:bookmarkEnd w:id="69"/>
      <w:bookmarkEnd w:id="70"/>
      <w:bookmarkEnd w:id="71"/>
      <w:bookmarkEnd w:id="72"/>
    </w:p>
    <w:p w14:paraId="28922225">
      <w:pPr>
        <w:widowControl/>
        <w:spacing w:line="360" w:lineRule="auto"/>
        <w:jc w:val="center"/>
        <w:outlineLvl w:val="1"/>
        <w:rPr>
          <w:rFonts w:ascii="宋体" w:hAnsi="宋体" w:cs="宋体"/>
          <w:b/>
          <w:bCs/>
          <w:sz w:val="24"/>
          <w:szCs w:val="24"/>
        </w:rPr>
      </w:pPr>
      <w:bookmarkStart w:id="73" w:name="_Toc86124039"/>
      <w:bookmarkStart w:id="74" w:name="_Toc373844095"/>
      <w:bookmarkStart w:id="75" w:name="_Toc8300780"/>
      <w:bookmarkStart w:id="76" w:name="_Toc427339167"/>
      <w:bookmarkStart w:id="77" w:name="_Toc58081261"/>
      <w:bookmarkStart w:id="78" w:name="_Toc373844162"/>
      <w:bookmarkStart w:id="79" w:name="_Toc427306786"/>
      <w:bookmarkStart w:id="80" w:name="_Toc28150"/>
      <w:bookmarkStart w:id="81" w:name="_Toc348011922"/>
      <w:r>
        <w:rPr>
          <w:rFonts w:hint="eastAsia" w:ascii="宋体" w:hAnsi="宋体" w:cs="宋体"/>
          <w:b/>
          <w:bCs/>
          <w:sz w:val="24"/>
          <w:szCs w:val="24"/>
        </w:rPr>
        <w:t>一、供应商须知前附表</w:t>
      </w:r>
      <w:bookmarkEnd w:id="73"/>
      <w:bookmarkEnd w:id="74"/>
      <w:bookmarkEnd w:id="75"/>
      <w:bookmarkEnd w:id="76"/>
      <w:bookmarkEnd w:id="77"/>
      <w:bookmarkEnd w:id="78"/>
      <w:bookmarkEnd w:id="79"/>
      <w:bookmarkEnd w:id="80"/>
      <w:bookmarkEnd w:id="81"/>
    </w:p>
    <w:tbl>
      <w:tblPr>
        <w:tblStyle w:val="38"/>
        <w:tblpPr w:leftFromText="180" w:rightFromText="180" w:vertAnchor="text" w:tblpXSpec="left" w:tblpY="1"/>
        <w:tblOverlap w:val="never"/>
        <w:tblW w:w="9214"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062"/>
        <w:gridCol w:w="1763"/>
        <w:gridCol w:w="6389"/>
      </w:tblGrid>
      <w:tr w14:paraId="2332BFD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07" w:hRule="atLeast"/>
          <w:tblHeader/>
        </w:trPr>
        <w:tc>
          <w:tcPr>
            <w:tcW w:w="1062" w:type="dxa"/>
            <w:vAlign w:val="center"/>
          </w:tcPr>
          <w:p w14:paraId="4925EB8E">
            <w:pPr>
              <w:pStyle w:val="20"/>
              <w:keepLines/>
              <w:spacing w:line="276" w:lineRule="auto"/>
              <w:jc w:val="center"/>
              <w:rPr>
                <w:rFonts w:hAnsi="宋体" w:cs="宋体"/>
                <w:b/>
                <w:color w:val="auto"/>
                <w:szCs w:val="21"/>
              </w:rPr>
            </w:pPr>
            <w:r>
              <w:rPr>
                <w:rFonts w:hint="eastAsia" w:hAnsi="宋体" w:cs="宋体"/>
                <w:b/>
                <w:color w:val="auto"/>
                <w:szCs w:val="21"/>
              </w:rPr>
              <w:t>条款号</w:t>
            </w:r>
          </w:p>
        </w:tc>
        <w:tc>
          <w:tcPr>
            <w:tcW w:w="1763" w:type="dxa"/>
            <w:vAlign w:val="center"/>
          </w:tcPr>
          <w:p w14:paraId="48642E9B">
            <w:pPr>
              <w:pStyle w:val="20"/>
              <w:keepLines/>
              <w:spacing w:line="276" w:lineRule="auto"/>
              <w:jc w:val="center"/>
              <w:rPr>
                <w:rFonts w:hAnsi="宋体" w:cs="宋体"/>
                <w:b/>
                <w:color w:val="auto"/>
                <w:szCs w:val="21"/>
              </w:rPr>
            </w:pPr>
            <w:r>
              <w:rPr>
                <w:rFonts w:hint="eastAsia" w:hAnsi="宋体" w:cs="宋体"/>
                <w:b/>
                <w:color w:val="auto"/>
                <w:szCs w:val="21"/>
              </w:rPr>
              <w:t>条款名称</w:t>
            </w:r>
          </w:p>
        </w:tc>
        <w:tc>
          <w:tcPr>
            <w:tcW w:w="6389" w:type="dxa"/>
            <w:vAlign w:val="center"/>
          </w:tcPr>
          <w:p w14:paraId="2369B729">
            <w:pPr>
              <w:pStyle w:val="20"/>
              <w:keepLines/>
              <w:spacing w:line="276" w:lineRule="auto"/>
              <w:jc w:val="center"/>
              <w:rPr>
                <w:rFonts w:hAnsi="宋体" w:cs="宋体"/>
                <w:b/>
                <w:color w:val="auto"/>
                <w:szCs w:val="21"/>
              </w:rPr>
            </w:pPr>
            <w:r>
              <w:rPr>
                <w:rFonts w:hint="eastAsia" w:hAnsi="宋体" w:cs="宋体"/>
                <w:b/>
                <w:color w:val="auto"/>
                <w:szCs w:val="21"/>
              </w:rPr>
              <w:t>编列内容</w:t>
            </w:r>
          </w:p>
        </w:tc>
      </w:tr>
      <w:tr w14:paraId="2AB8436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1062" w:type="dxa"/>
            <w:vMerge w:val="restart"/>
            <w:vAlign w:val="center"/>
          </w:tcPr>
          <w:p w14:paraId="28467606">
            <w:pPr>
              <w:pStyle w:val="20"/>
              <w:keepLines/>
              <w:spacing w:line="276" w:lineRule="auto"/>
              <w:jc w:val="center"/>
              <w:rPr>
                <w:rFonts w:hAnsi="宋体" w:cs="宋体"/>
                <w:color w:val="auto"/>
                <w:szCs w:val="21"/>
              </w:rPr>
            </w:pPr>
            <w:r>
              <w:rPr>
                <w:rFonts w:hint="eastAsia" w:hAnsi="宋体" w:cs="宋体"/>
                <w:color w:val="auto"/>
                <w:szCs w:val="21"/>
              </w:rPr>
              <w:t>1</w:t>
            </w:r>
          </w:p>
        </w:tc>
        <w:tc>
          <w:tcPr>
            <w:tcW w:w="1763" w:type="dxa"/>
            <w:vAlign w:val="center"/>
          </w:tcPr>
          <w:p w14:paraId="33E05E22">
            <w:pPr>
              <w:pStyle w:val="20"/>
              <w:keepLines/>
              <w:spacing w:line="276" w:lineRule="auto"/>
              <w:jc w:val="center"/>
              <w:rPr>
                <w:rFonts w:hAnsi="宋体" w:cs="宋体"/>
                <w:color w:val="auto"/>
                <w:szCs w:val="21"/>
                <w:u w:val="single"/>
              </w:rPr>
            </w:pPr>
            <w:r>
              <w:rPr>
                <w:rFonts w:hint="eastAsia" w:hAnsi="宋体" w:cs="宋体"/>
                <w:bCs/>
                <w:color w:val="auto"/>
                <w:szCs w:val="21"/>
              </w:rPr>
              <w:t>采购人</w:t>
            </w:r>
          </w:p>
        </w:tc>
        <w:tc>
          <w:tcPr>
            <w:tcW w:w="6389" w:type="dxa"/>
            <w:vAlign w:val="center"/>
          </w:tcPr>
          <w:p w14:paraId="16DB3A7E">
            <w:pPr>
              <w:pStyle w:val="20"/>
              <w:keepLines/>
              <w:spacing w:line="276" w:lineRule="auto"/>
              <w:rPr>
                <w:rFonts w:hint="eastAsia" w:hAnsi="宋体" w:eastAsia="宋体" w:cs="宋体"/>
                <w:color w:val="auto"/>
                <w:szCs w:val="21"/>
                <w:lang w:eastAsia="zh-CN"/>
              </w:rPr>
            </w:pPr>
            <w:r>
              <w:rPr>
                <w:rFonts w:hint="eastAsia" w:hAnsi="宋体" w:cs="宋体"/>
                <w:color w:val="auto"/>
                <w:szCs w:val="21"/>
                <w:lang w:eastAsia="zh-CN"/>
              </w:rPr>
              <w:t>石屏县坝心镇人民政府</w:t>
            </w:r>
          </w:p>
        </w:tc>
      </w:tr>
      <w:tr w14:paraId="5FFA61D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1062" w:type="dxa"/>
            <w:vMerge w:val="continue"/>
            <w:vAlign w:val="center"/>
          </w:tcPr>
          <w:p w14:paraId="6361E73E">
            <w:pPr>
              <w:keepLines/>
              <w:spacing w:line="276" w:lineRule="auto"/>
              <w:rPr>
                <w:rFonts w:ascii="宋体" w:hAnsi="宋体" w:cs="宋体"/>
                <w:color w:val="auto"/>
                <w:szCs w:val="21"/>
              </w:rPr>
            </w:pPr>
          </w:p>
        </w:tc>
        <w:tc>
          <w:tcPr>
            <w:tcW w:w="1763" w:type="dxa"/>
            <w:vAlign w:val="center"/>
          </w:tcPr>
          <w:p w14:paraId="0658CB65">
            <w:pPr>
              <w:pStyle w:val="20"/>
              <w:keepLines/>
              <w:spacing w:line="276" w:lineRule="auto"/>
              <w:jc w:val="center"/>
              <w:rPr>
                <w:rFonts w:hAnsi="宋体" w:cs="宋体"/>
                <w:bCs/>
                <w:color w:val="auto"/>
                <w:szCs w:val="21"/>
              </w:rPr>
            </w:pPr>
            <w:r>
              <w:rPr>
                <w:rFonts w:hint="eastAsia" w:hAnsi="宋体" w:cs="宋体"/>
                <w:bCs/>
                <w:color w:val="auto"/>
                <w:szCs w:val="21"/>
              </w:rPr>
              <w:t>采购代理机构</w:t>
            </w:r>
          </w:p>
        </w:tc>
        <w:tc>
          <w:tcPr>
            <w:tcW w:w="6389" w:type="dxa"/>
            <w:vAlign w:val="center"/>
          </w:tcPr>
          <w:p w14:paraId="413913CA">
            <w:pPr>
              <w:pStyle w:val="20"/>
              <w:keepLines/>
              <w:spacing w:line="276" w:lineRule="auto"/>
              <w:rPr>
                <w:rFonts w:hint="eastAsia" w:hAnsi="宋体" w:eastAsia="宋体" w:cs="宋体"/>
                <w:color w:val="auto"/>
                <w:szCs w:val="21"/>
                <w:lang w:eastAsia="zh-CN"/>
              </w:rPr>
            </w:pPr>
            <w:r>
              <w:rPr>
                <w:rFonts w:hint="eastAsia" w:hAnsi="宋体" w:cs="宋体"/>
                <w:color w:val="auto"/>
                <w:szCs w:val="21"/>
                <w:lang w:eastAsia="zh-CN"/>
              </w:rPr>
              <w:t>云南银源项目管理咨询有限公司</w:t>
            </w:r>
          </w:p>
        </w:tc>
      </w:tr>
      <w:tr w14:paraId="420A216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1062" w:type="dxa"/>
            <w:vMerge w:val="continue"/>
            <w:vAlign w:val="center"/>
          </w:tcPr>
          <w:p w14:paraId="07593C18">
            <w:pPr>
              <w:keepLines/>
              <w:spacing w:line="276" w:lineRule="auto"/>
              <w:rPr>
                <w:rFonts w:ascii="宋体" w:hAnsi="宋体" w:cs="宋体"/>
                <w:color w:val="auto"/>
                <w:szCs w:val="21"/>
              </w:rPr>
            </w:pPr>
          </w:p>
        </w:tc>
        <w:tc>
          <w:tcPr>
            <w:tcW w:w="1763" w:type="dxa"/>
            <w:vAlign w:val="center"/>
          </w:tcPr>
          <w:p w14:paraId="71E7CD56">
            <w:pPr>
              <w:pStyle w:val="20"/>
              <w:keepLines/>
              <w:spacing w:line="276" w:lineRule="auto"/>
              <w:jc w:val="center"/>
              <w:rPr>
                <w:rFonts w:hAnsi="宋体" w:cs="宋体"/>
                <w:color w:val="auto"/>
                <w:szCs w:val="21"/>
              </w:rPr>
            </w:pPr>
            <w:r>
              <w:rPr>
                <w:rFonts w:hint="eastAsia" w:hAnsi="宋体" w:cs="宋体"/>
                <w:color w:val="auto"/>
                <w:szCs w:val="21"/>
              </w:rPr>
              <w:t>项目名称</w:t>
            </w:r>
          </w:p>
        </w:tc>
        <w:tc>
          <w:tcPr>
            <w:tcW w:w="6389" w:type="dxa"/>
            <w:vAlign w:val="center"/>
          </w:tcPr>
          <w:p w14:paraId="53ECF493">
            <w:pPr>
              <w:pStyle w:val="20"/>
              <w:keepLines/>
              <w:spacing w:line="276" w:lineRule="auto"/>
              <w:rPr>
                <w:rFonts w:hint="eastAsia" w:hAnsi="宋体" w:eastAsia="宋体" w:cs="宋体"/>
                <w:color w:val="auto"/>
                <w:szCs w:val="21"/>
                <w:lang w:eastAsia="zh-CN"/>
              </w:rPr>
            </w:pPr>
            <w:r>
              <w:rPr>
                <w:rFonts w:hint="eastAsia" w:hAnsi="宋体" w:cs="宋体"/>
                <w:color w:val="auto"/>
                <w:szCs w:val="21"/>
                <w:lang w:eastAsia="zh-CN"/>
              </w:rPr>
              <w:t>石屏县坝心镇2026年白浪村委会大过细村产业道路建设项目</w:t>
            </w:r>
          </w:p>
        </w:tc>
      </w:tr>
      <w:tr w14:paraId="4834231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60" w:hRule="atLeast"/>
        </w:trPr>
        <w:tc>
          <w:tcPr>
            <w:tcW w:w="1062" w:type="dxa"/>
            <w:vMerge w:val="continue"/>
            <w:vAlign w:val="center"/>
          </w:tcPr>
          <w:p w14:paraId="2A3A8F34">
            <w:pPr>
              <w:keepLines/>
              <w:spacing w:line="276" w:lineRule="auto"/>
              <w:rPr>
                <w:rFonts w:ascii="宋体" w:hAnsi="宋体" w:cs="宋体"/>
                <w:color w:val="auto"/>
                <w:szCs w:val="21"/>
              </w:rPr>
            </w:pPr>
          </w:p>
        </w:tc>
        <w:tc>
          <w:tcPr>
            <w:tcW w:w="1763" w:type="dxa"/>
            <w:vAlign w:val="center"/>
          </w:tcPr>
          <w:p w14:paraId="0B666F29">
            <w:pPr>
              <w:pStyle w:val="20"/>
              <w:keepNext w:val="0"/>
              <w:keepLines/>
              <w:pageBreakBefore w:val="0"/>
              <w:widowControl w:val="0"/>
              <w:kinsoku/>
              <w:wordWrap/>
              <w:overflowPunct/>
              <w:topLinePunct w:val="0"/>
              <w:autoSpaceDE/>
              <w:autoSpaceDN/>
              <w:bidi w:val="0"/>
              <w:adjustRightInd/>
              <w:snapToGrid/>
              <w:spacing w:line="240" w:lineRule="auto"/>
              <w:jc w:val="center"/>
              <w:textAlignment w:val="auto"/>
              <w:rPr>
                <w:rFonts w:hAnsi="宋体" w:cs="宋体"/>
                <w:color w:val="FF0000"/>
                <w:szCs w:val="21"/>
              </w:rPr>
            </w:pPr>
            <w:r>
              <w:rPr>
                <w:rFonts w:hint="eastAsia" w:hAnsi="宋体" w:cs="宋体"/>
                <w:color w:val="000000" w:themeColor="text1"/>
                <w:szCs w:val="21"/>
                <w14:textFill>
                  <w14:solidFill>
                    <w14:schemeClr w14:val="tx1"/>
                  </w14:solidFill>
                </w14:textFill>
              </w:rPr>
              <w:t>项目编号</w:t>
            </w:r>
          </w:p>
        </w:tc>
        <w:tc>
          <w:tcPr>
            <w:tcW w:w="6389" w:type="dxa"/>
            <w:vAlign w:val="center"/>
          </w:tcPr>
          <w:p w14:paraId="24D447DA">
            <w:pPr>
              <w:pStyle w:val="20"/>
              <w:keepNext w:val="0"/>
              <w:keepLines/>
              <w:pageBreakBefore w:val="0"/>
              <w:widowControl w:val="0"/>
              <w:kinsoku/>
              <w:wordWrap/>
              <w:overflowPunct/>
              <w:topLinePunct w:val="0"/>
              <w:autoSpaceDE/>
              <w:autoSpaceDN/>
              <w:bidi w:val="0"/>
              <w:adjustRightInd/>
              <w:snapToGrid/>
              <w:spacing w:line="240" w:lineRule="auto"/>
              <w:textAlignment w:val="auto"/>
              <w:rPr>
                <w:rFonts w:hint="default" w:hAnsi="宋体" w:eastAsia="宋体" w:cs="宋体"/>
                <w:color w:val="FF0000"/>
                <w:szCs w:val="21"/>
                <w:lang w:val="en-US" w:eastAsia="zh-CN"/>
              </w:rPr>
            </w:pPr>
            <w:r>
              <w:rPr>
                <w:rFonts w:hint="eastAsia" w:hAnsi="宋体" w:cs="宋体"/>
                <w:b w:val="0"/>
                <w:bCs w:val="0"/>
                <w:color w:val="000000" w:themeColor="text1"/>
                <w:szCs w:val="21"/>
                <w:lang w:val="en-US" w:eastAsia="zh-CN"/>
                <w14:textFill>
                  <w14:solidFill>
                    <w14:schemeClr w14:val="tx1"/>
                  </w14:solidFill>
                </w14:textFill>
              </w:rPr>
              <w:t>HHZC2026-C2-01800-YYXM-0037</w:t>
            </w:r>
          </w:p>
        </w:tc>
      </w:tr>
      <w:tr w14:paraId="02F61D8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12" w:hRule="atLeast"/>
        </w:trPr>
        <w:tc>
          <w:tcPr>
            <w:tcW w:w="1062" w:type="dxa"/>
            <w:vAlign w:val="center"/>
          </w:tcPr>
          <w:p w14:paraId="7995B619">
            <w:pPr>
              <w:keepNext w:val="0"/>
              <w:keepLines/>
              <w:pageBreakBefore w:val="0"/>
              <w:widowControl w:val="0"/>
              <w:kinsoku/>
              <w:wordWrap/>
              <w:overflowPunct/>
              <w:topLinePunct w:val="0"/>
              <w:autoSpaceDE/>
              <w:autoSpaceDN/>
              <w:bidi w:val="0"/>
              <w:adjustRightInd/>
              <w:snapToGrid/>
              <w:spacing w:line="240" w:lineRule="auto"/>
              <w:jc w:val="center"/>
              <w:textAlignment w:val="auto"/>
              <w:rPr>
                <w:rFonts w:ascii="宋体" w:hAnsi="宋体" w:cs="宋体"/>
                <w:color w:val="auto"/>
                <w:szCs w:val="21"/>
              </w:rPr>
            </w:pPr>
            <w:r>
              <w:rPr>
                <w:rFonts w:hint="eastAsia" w:ascii="宋体" w:hAnsi="宋体" w:cs="宋体"/>
                <w:color w:val="auto"/>
                <w:szCs w:val="21"/>
              </w:rPr>
              <w:t>2</w:t>
            </w:r>
          </w:p>
        </w:tc>
        <w:tc>
          <w:tcPr>
            <w:tcW w:w="1763" w:type="dxa"/>
            <w:vAlign w:val="center"/>
          </w:tcPr>
          <w:p w14:paraId="619C187E">
            <w:pPr>
              <w:pStyle w:val="20"/>
              <w:keepNext w:val="0"/>
              <w:keepLines/>
              <w:pageBreakBefore w:val="0"/>
              <w:widowControl w:val="0"/>
              <w:kinsoku/>
              <w:wordWrap/>
              <w:overflowPunct/>
              <w:topLinePunct w:val="0"/>
              <w:autoSpaceDE/>
              <w:autoSpaceDN/>
              <w:bidi w:val="0"/>
              <w:adjustRightInd/>
              <w:snapToGrid/>
              <w:spacing w:line="240" w:lineRule="auto"/>
              <w:jc w:val="center"/>
              <w:textAlignment w:val="auto"/>
              <w:rPr>
                <w:rFonts w:hAnsi="宋体" w:cs="宋体"/>
                <w:color w:val="auto"/>
                <w:szCs w:val="21"/>
              </w:rPr>
            </w:pPr>
            <w:r>
              <w:rPr>
                <w:rFonts w:hint="eastAsia" w:hAnsi="宋体" w:cs="宋体"/>
                <w:color w:val="auto"/>
                <w:szCs w:val="21"/>
              </w:rPr>
              <w:t>资金来源</w:t>
            </w:r>
          </w:p>
        </w:tc>
        <w:tc>
          <w:tcPr>
            <w:tcW w:w="6389" w:type="dxa"/>
            <w:vAlign w:val="center"/>
          </w:tcPr>
          <w:p w14:paraId="76381C34">
            <w:pPr>
              <w:pStyle w:val="20"/>
              <w:keepNext w:val="0"/>
              <w:keepLines/>
              <w:pageBreakBefore w:val="0"/>
              <w:widowControl w:val="0"/>
              <w:kinsoku/>
              <w:wordWrap/>
              <w:overflowPunct/>
              <w:topLinePunct w:val="0"/>
              <w:autoSpaceDE/>
              <w:autoSpaceDN/>
              <w:bidi w:val="0"/>
              <w:adjustRightInd/>
              <w:snapToGrid/>
              <w:spacing w:line="240" w:lineRule="auto"/>
              <w:textAlignment w:val="auto"/>
              <w:rPr>
                <w:rFonts w:hAnsi="宋体" w:cs="宋体"/>
                <w:color w:val="auto"/>
                <w:szCs w:val="21"/>
              </w:rPr>
            </w:pPr>
            <w:r>
              <w:rPr>
                <w:rFonts w:hint="eastAsia" w:hAnsi="宋体" w:cs="宋体"/>
                <w:color w:val="auto"/>
                <w:szCs w:val="21"/>
                <w:lang w:val="en-US" w:eastAsia="zh-CN"/>
              </w:rPr>
              <w:t>中央财政常态化帮扶资金</w:t>
            </w:r>
          </w:p>
        </w:tc>
      </w:tr>
      <w:tr w14:paraId="30F2278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33" w:hRule="atLeast"/>
        </w:trPr>
        <w:tc>
          <w:tcPr>
            <w:tcW w:w="1062" w:type="dxa"/>
            <w:vAlign w:val="center"/>
          </w:tcPr>
          <w:p w14:paraId="3A4B51D0">
            <w:pPr>
              <w:pStyle w:val="20"/>
              <w:keepLines/>
              <w:spacing w:line="276" w:lineRule="auto"/>
              <w:jc w:val="center"/>
              <w:rPr>
                <w:rFonts w:hAnsi="宋体" w:cs="宋体"/>
                <w:color w:val="auto"/>
                <w:szCs w:val="21"/>
              </w:rPr>
            </w:pPr>
            <w:bookmarkStart w:id="82" w:name="_Hlk57797660"/>
            <w:r>
              <w:rPr>
                <w:rFonts w:hint="eastAsia" w:hAnsi="宋体" w:cs="宋体"/>
                <w:color w:val="auto"/>
                <w:szCs w:val="21"/>
              </w:rPr>
              <w:t>3.1</w:t>
            </w:r>
          </w:p>
        </w:tc>
        <w:tc>
          <w:tcPr>
            <w:tcW w:w="1763" w:type="dxa"/>
            <w:vAlign w:val="center"/>
          </w:tcPr>
          <w:p w14:paraId="15B74038">
            <w:pPr>
              <w:pStyle w:val="20"/>
              <w:keepLines/>
              <w:spacing w:line="276" w:lineRule="auto"/>
              <w:jc w:val="center"/>
              <w:rPr>
                <w:rFonts w:hAnsi="宋体" w:cs="宋体"/>
                <w:color w:val="auto"/>
                <w:szCs w:val="21"/>
              </w:rPr>
            </w:pPr>
            <w:r>
              <w:rPr>
                <w:rFonts w:hint="eastAsia" w:hAnsi="宋体" w:cs="宋体"/>
                <w:color w:val="auto"/>
                <w:szCs w:val="21"/>
              </w:rPr>
              <w:t>预算金额</w:t>
            </w:r>
          </w:p>
        </w:tc>
        <w:tc>
          <w:tcPr>
            <w:tcW w:w="6389" w:type="dxa"/>
            <w:vAlign w:val="center"/>
          </w:tcPr>
          <w:p w14:paraId="381828A0">
            <w:pPr>
              <w:pStyle w:val="20"/>
              <w:keepLines/>
              <w:tabs>
                <w:tab w:val="left" w:pos="4660"/>
              </w:tabs>
              <w:spacing w:line="276" w:lineRule="auto"/>
              <w:rPr>
                <w:rFonts w:hAnsi="宋体" w:cs="宋体"/>
                <w:color w:val="auto"/>
                <w:szCs w:val="21"/>
              </w:rPr>
            </w:pPr>
            <w:r>
              <w:rPr>
                <w:rFonts w:hint="eastAsia" w:hAnsi="宋体" w:cs="宋体"/>
                <w:color w:val="auto"/>
                <w:szCs w:val="21"/>
              </w:rPr>
              <w:t>见竞争性磋商公告1.4</w:t>
            </w:r>
          </w:p>
        </w:tc>
      </w:tr>
      <w:tr w14:paraId="7AB3DC2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33" w:hRule="atLeast"/>
        </w:trPr>
        <w:tc>
          <w:tcPr>
            <w:tcW w:w="1062" w:type="dxa"/>
            <w:vAlign w:val="center"/>
          </w:tcPr>
          <w:p w14:paraId="31635C51">
            <w:pPr>
              <w:pStyle w:val="20"/>
              <w:keepLines/>
              <w:spacing w:line="276" w:lineRule="auto"/>
              <w:jc w:val="center"/>
              <w:rPr>
                <w:rFonts w:hAnsi="宋体" w:cs="宋体"/>
                <w:color w:val="auto"/>
                <w:szCs w:val="21"/>
              </w:rPr>
            </w:pPr>
            <w:r>
              <w:rPr>
                <w:rFonts w:hint="eastAsia" w:hAnsi="宋体" w:cs="宋体"/>
                <w:color w:val="auto"/>
                <w:szCs w:val="21"/>
              </w:rPr>
              <w:t>3.2</w:t>
            </w:r>
          </w:p>
        </w:tc>
        <w:tc>
          <w:tcPr>
            <w:tcW w:w="1763" w:type="dxa"/>
            <w:vAlign w:val="center"/>
          </w:tcPr>
          <w:p w14:paraId="5C115BB9">
            <w:pPr>
              <w:pStyle w:val="20"/>
              <w:keepLines/>
              <w:spacing w:line="276" w:lineRule="auto"/>
              <w:jc w:val="center"/>
              <w:rPr>
                <w:rFonts w:hAnsi="宋体" w:cs="宋体"/>
                <w:color w:val="auto"/>
                <w:szCs w:val="21"/>
              </w:rPr>
            </w:pPr>
            <w:r>
              <w:rPr>
                <w:rFonts w:hint="eastAsia" w:hAnsi="宋体" w:cs="宋体"/>
                <w:color w:val="auto"/>
                <w:szCs w:val="21"/>
              </w:rPr>
              <w:t>最高限价</w:t>
            </w:r>
          </w:p>
        </w:tc>
        <w:tc>
          <w:tcPr>
            <w:tcW w:w="6389" w:type="dxa"/>
            <w:vAlign w:val="center"/>
          </w:tcPr>
          <w:p w14:paraId="4822A270">
            <w:pPr>
              <w:pStyle w:val="20"/>
              <w:keepLines/>
              <w:tabs>
                <w:tab w:val="left" w:pos="4660"/>
              </w:tabs>
              <w:spacing w:line="276" w:lineRule="auto"/>
              <w:rPr>
                <w:rFonts w:hAnsi="宋体" w:cs="宋体"/>
                <w:color w:val="auto"/>
                <w:szCs w:val="21"/>
              </w:rPr>
            </w:pPr>
            <w:r>
              <w:rPr>
                <w:rFonts w:hint="eastAsia" w:hAnsi="宋体" w:cs="宋体"/>
                <w:color w:val="auto"/>
                <w:szCs w:val="21"/>
              </w:rPr>
              <w:t>见竞争性磋商公告1.5</w:t>
            </w:r>
          </w:p>
        </w:tc>
      </w:tr>
      <w:tr w14:paraId="20A9EB8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1062" w:type="dxa"/>
            <w:vAlign w:val="center"/>
          </w:tcPr>
          <w:p w14:paraId="07A1516C">
            <w:pPr>
              <w:pStyle w:val="20"/>
              <w:keepLines/>
              <w:spacing w:line="276" w:lineRule="auto"/>
              <w:jc w:val="center"/>
              <w:rPr>
                <w:rFonts w:hAnsi="宋体" w:cs="宋体"/>
                <w:color w:val="auto"/>
                <w:szCs w:val="21"/>
              </w:rPr>
            </w:pPr>
            <w:r>
              <w:rPr>
                <w:rFonts w:hint="eastAsia" w:hAnsi="宋体" w:cs="宋体"/>
                <w:color w:val="auto"/>
                <w:szCs w:val="21"/>
              </w:rPr>
              <w:t>3.3</w:t>
            </w:r>
          </w:p>
        </w:tc>
        <w:tc>
          <w:tcPr>
            <w:tcW w:w="1763" w:type="dxa"/>
            <w:vAlign w:val="center"/>
          </w:tcPr>
          <w:p w14:paraId="1EB535F3">
            <w:pPr>
              <w:pStyle w:val="20"/>
              <w:keepLines/>
              <w:spacing w:line="276" w:lineRule="auto"/>
              <w:jc w:val="center"/>
              <w:rPr>
                <w:rFonts w:hAnsi="宋体" w:cs="宋体"/>
                <w:color w:val="auto"/>
                <w:szCs w:val="21"/>
              </w:rPr>
            </w:pPr>
            <w:bookmarkStart w:id="83" w:name="_Hlk57797975"/>
            <w:r>
              <w:rPr>
                <w:rFonts w:hint="eastAsia" w:hAnsi="宋体" w:cs="宋体"/>
                <w:color w:val="auto"/>
                <w:szCs w:val="21"/>
              </w:rPr>
              <w:t>采购需求</w:t>
            </w:r>
            <w:bookmarkEnd w:id="83"/>
          </w:p>
        </w:tc>
        <w:tc>
          <w:tcPr>
            <w:tcW w:w="6389" w:type="dxa"/>
            <w:vAlign w:val="center"/>
          </w:tcPr>
          <w:p w14:paraId="718C3AF1">
            <w:pPr>
              <w:pStyle w:val="20"/>
              <w:keepLines/>
              <w:spacing w:line="276" w:lineRule="auto"/>
              <w:rPr>
                <w:rFonts w:hAnsi="宋体" w:cs="宋体"/>
                <w:color w:val="auto"/>
                <w:szCs w:val="21"/>
              </w:rPr>
            </w:pPr>
            <w:r>
              <w:rPr>
                <w:rFonts w:hint="eastAsia" w:hAnsi="宋体" w:cs="宋体"/>
                <w:color w:val="auto"/>
                <w:szCs w:val="21"/>
              </w:rPr>
              <w:t>见竞争性磋商公告1.6</w:t>
            </w:r>
          </w:p>
        </w:tc>
      </w:tr>
      <w:tr w14:paraId="521ADB0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1062" w:type="dxa"/>
            <w:vAlign w:val="center"/>
          </w:tcPr>
          <w:p w14:paraId="5A069ED9">
            <w:pPr>
              <w:pStyle w:val="20"/>
              <w:keepLines/>
              <w:spacing w:line="276" w:lineRule="auto"/>
              <w:jc w:val="center"/>
              <w:rPr>
                <w:rFonts w:hAnsi="宋体" w:cs="宋体"/>
                <w:color w:val="auto"/>
                <w:szCs w:val="21"/>
              </w:rPr>
            </w:pPr>
            <w:r>
              <w:rPr>
                <w:rFonts w:hint="eastAsia" w:hAnsi="宋体" w:cs="宋体"/>
                <w:color w:val="auto"/>
                <w:szCs w:val="21"/>
              </w:rPr>
              <w:t>3.4</w:t>
            </w:r>
          </w:p>
        </w:tc>
        <w:tc>
          <w:tcPr>
            <w:tcW w:w="1763" w:type="dxa"/>
            <w:vAlign w:val="center"/>
          </w:tcPr>
          <w:p w14:paraId="6095C7E1">
            <w:pPr>
              <w:pStyle w:val="20"/>
              <w:keepLines/>
              <w:spacing w:line="276" w:lineRule="auto"/>
              <w:jc w:val="center"/>
              <w:rPr>
                <w:rFonts w:hAnsi="宋体" w:cs="宋体"/>
                <w:color w:val="auto"/>
                <w:szCs w:val="21"/>
              </w:rPr>
            </w:pPr>
            <w:r>
              <w:rPr>
                <w:rFonts w:hint="eastAsia" w:hAnsi="宋体" w:cs="宋体"/>
                <w:snapToGrid w:val="0"/>
                <w:color w:val="auto"/>
                <w:kern w:val="21"/>
                <w:szCs w:val="21"/>
              </w:rPr>
              <w:t>合同履行期限</w:t>
            </w:r>
          </w:p>
        </w:tc>
        <w:tc>
          <w:tcPr>
            <w:tcW w:w="6389" w:type="dxa"/>
            <w:vAlign w:val="center"/>
          </w:tcPr>
          <w:p w14:paraId="764C9626">
            <w:pPr>
              <w:pStyle w:val="20"/>
              <w:keepLines/>
              <w:spacing w:line="276" w:lineRule="auto"/>
              <w:rPr>
                <w:rFonts w:hAnsi="宋体" w:cs="宋体"/>
                <w:color w:val="auto"/>
                <w:szCs w:val="21"/>
              </w:rPr>
            </w:pPr>
            <w:r>
              <w:rPr>
                <w:rFonts w:hint="eastAsia" w:hAnsi="宋体" w:cs="宋体"/>
                <w:color w:val="auto"/>
                <w:szCs w:val="21"/>
              </w:rPr>
              <w:t>见竞争性磋商公告1.7</w:t>
            </w:r>
          </w:p>
        </w:tc>
      </w:tr>
      <w:tr w14:paraId="66F6FE4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1062" w:type="dxa"/>
            <w:vAlign w:val="center"/>
          </w:tcPr>
          <w:p w14:paraId="4129FB7D">
            <w:pPr>
              <w:pStyle w:val="20"/>
              <w:keepLines/>
              <w:spacing w:line="276" w:lineRule="auto"/>
              <w:jc w:val="center"/>
              <w:rPr>
                <w:rFonts w:hAnsi="宋体" w:cs="宋体"/>
                <w:color w:val="auto"/>
                <w:szCs w:val="21"/>
              </w:rPr>
            </w:pPr>
            <w:r>
              <w:rPr>
                <w:rFonts w:hint="eastAsia" w:hAnsi="宋体" w:cs="宋体"/>
                <w:color w:val="auto"/>
                <w:szCs w:val="21"/>
              </w:rPr>
              <w:t>3.5</w:t>
            </w:r>
          </w:p>
        </w:tc>
        <w:tc>
          <w:tcPr>
            <w:tcW w:w="1763" w:type="dxa"/>
            <w:vAlign w:val="center"/>
          </w:tcPr>
          <w:p w14:paraId="17D212BC">
            <w:pPr>
              <w:pStyle w:val="20"/>
              <w:keepLines/>
              <w:spacing w:line="276" w:lineRule="auto"/>
              <w:jc w:val="center"/>
              <w:rPr>
                <w:rFonts w:hAnsi="宋体" w:cs="宋体"/>
                <w:b/>
                <w:bCs/>
                <w:color w:val="auto"/>
                <w:szCs w:val="21"/>
              </w:rPr>
            </w:pPr>
            <w:r>
              <w:rPr>
                <w:rFonts w:hint="eastAsia" w:hAnsi="宋体" w:cs="宋体"/>
                <w:color w:val="auto"/>
                <w:szCs w:val="21"/>
              </w:rPr>
              <w:t>质量要求</w:t>
            </w:r>
          </w:p>
        </w:tc>
        <w:tc>
          <w:tcPr>
            <w:tcW w:w="6389" w:type="dxa"/>
            <w:vAlign w:val="center"/>
          </w:tcPr>
          <w:p w14:paraId="5C246D26">
            <w:pPr>
              <w:pStyle w:val="20"/>
              <w:keepLines/>
              <w:spacing w:line="276" w:lineRule="auto"/>
              <w:rPr>
                <w:rFonts w:hAnsi="宋体" w:cs="宋体"/>
                <w:color w:val="auto"/>
                <w:szCs w:val="21"/>
              </w:rPr>
            </w:pPr>
            <w:r>
              <w:rPr>
                <w:rFonts w:hint="eastAsia" w:hAnsi="宋体" w:cs="宋体"/>
                <w:color w:val="auto"/>
                <w:szCs w:val="21"/>
              </w:rPr>
              <w:t>见竞争性磋商公告1.8</w:t>
            </w:r>
          </w:p>
        </w:tc>
      </w:tr>
      <w:bookmarkEnd w:id="82"/>
      <w:tr w14:paraId="52D8F26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8" w:hRule="atLeast"/>
        </w:trPr>
        <w:tc>
          <w:tcPr>
            <w:tcW w:w="1062" w:type="dxa"/>
            <w:vAlign w:val="center"/>
          </w:tcPr>
          <w:p w14:paraId="6645B10C">
            <w:pPr>
              <w:pStyle w:val="20"/>
              <w:keepLines/>
              <w:spacing w:line="276" w:lineRule="auto"/>
              <w:jc w:val="center"/>
              <w:rPr>
                <w:rFonts w:hAnsi="宋体" w:cs="宋体"/>
                <w:color w:val="auto"/>
                <w:szCs w:val="21"/>
              </w:rPr>
            </w:pPr>
            <w:r>
              <w:rPr>
                <w:rFonts w:hint="eastAsia" w:hAnsi="宋体" w:cs="宋体"/>
                <w:color w:val="auto"/>
                <w:szCs w:val="21"/>
              </w:rPr>
              <w:t>4.1</w:t>
            </w:r>
          </w:p>
        </w:tc>
        <w:tc>
          <w:tcPr>
            <w:tcW w:w="1763" w:type="dxa"/>
            <w:vAlign w:val="center"/>
          </w:tcPr>
          <w:p w14:paraId="51B9B301">
            <w:pPr>
              <w:pStyle w:val="20"/>
              <w:keepLines/>
              <w:spacing w:line="276" w:lineRule="auto"/>
              <w:jc w:val="center"/>
              <w:rPr>
                <w:rFonts w:hAnsi="宋体" w:cs="宋体"/>
                <w:color w:val="auto"/>
                <w:szCs w:val="21"/>
              </w:rPr>
            </w:pPr>
            <w:r>
              <w:rPr>
                <w:rFonts w:hint="eastAsia" w:hAnsi="宋体" w:cs="宋体"/>
                <w:color w:val="auto"/>
                <w:szCs w:val="21"/>
              </w:rPr>
              <w:t>供应商资格要求</w:t>
            </w:r>
          </w:p>
        </w:tc>
        <w:tc>
          <w:tcPr>
            <w:tcW w:w="6389" w:type="dxa"/>
            <w:vAlign w:val="center"/>
          </w:tcPr>
          <w:p w14:paraId="05E31866">
            <w:pPr>
              <w:pStyle w:val="20"/>
              <w:keepLines/>
              <w:spacing w:line="276" w:lineRule="auto"/>
              <w:rPr>
                <w:rFonts w:hAnsi="宋体" w:cs="宋体"/>
                <w:color w:val="auto"/>
                <w:szCs w:val="21"/>
              </w:rPr>
            </w:pPr>
            <w:r>
              <w:rPr>
                <w:rFonts w:hint="eastAsia" w:hAnsi="宋体" w:cs="宋体"/>
                <w:color w:val="auto"/>
                <w:szCs w:val="21"/>
              </w:rPr>
              <w:t>见竞争性磋商公告“</w:t>
            </w:r>
            <w:r>
              <w:rPr>
                <w:rFonts w:hint="eastAsia" w:hAnsi="宋体" w:cs="宋体"/>
                <w:b/>
                <w:bCs/>
                <w:color w:val="auto"/>
                <w:szCs w:val="21"/>
              </w:rPr>
              <w:t>二、</w:t>
            </w:r>
            <w:r>
              <w:rPr>
                <w:rFonts w:hint="eastAsia" w:hAnsi="宋体" w:cs="宋体"/>
                <w:b/>
                <w:bCs/>
                <w:color w:val="auto"/>
                <w:szCs w:val="21"/>
                <w:lang w:val="en-US" w:eastAsia="zh-CN"/>
              </w:rPr>
              <w:t>申请人</w:t>
            </w:r>
            <w:r>
              <w:rPr>
                <w:rFonts w:hint="eastAsia" w:hAnsi="宋体" w:cs="宋体"/>
                <w:b/>
                <w:bCs/>
                <w:color w:val="auto"/>
                <w:szCs w:val="21"/>
              </w:rPr>
              <w:t>的资格要求</w:t>
            </w:r>
            <w:r>
              <w:rPr>
                <w:rFonts w:hint="eastAsia" w:hAnsi="宋体" w:cs="宋体"/>
                <w:color w:val="auto"/>
                <w:szCs w:val="21"/>
              </w:rPr>
              <w:t>”</w:t>
            </w:r>
          </w:p>
        </w:tc>
      </w:tr>
      <w:tr w14:paraId="46E111A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1062" w:type="dxa"/>
            <w:vAlign w:val="center"/>
          </w:tcPr>
          <w:p w14:paraId="304E634F">
            <w:pPr>
              <w:pStyle w:val="20"/>
              <w:keepLines/>
              <w:spacing w:line="276" w:lineRule="auto"/>
              <w:jc w:val="center"/>
              <w:rPr>
                <w:rFonts w:hAnsi="宋体" w:cs="宋体"/>
                <w:color w:val="auto"/>
                <w:szCs w:val="21"/>
              </w:rPr>
            </w:pPr>
            <w:r>
              <w:rPr>
                <w:rFonts w:hint="eastAsia" w:hAnsi="宋体" w:cs="宋体"/>
                <w:color w:val="auto"/>
                <w:szCs w:val="21"/>
              </w:rPr>
              <w:t>4.2</w:t>
            </w:r>
          </w:p>
        </w:tc>
        <w:tc>
          <w:tcPr>
            <w:tcW w:w="1763" w:type="dxa"/>
            <w:vAlign w:val="center"/>
          </w:tcPr>
          <w:p w14:paraId="2FA8E9CB">
            <w:pPr>
              <w:pStyle w:val="20"/>
              <w:keepLines/>
              <w:jc w:val="center"/>
              <w:rPr>
                <w:rFonts w:hAnsi="宋体" w:cs="宋体"/>
                <w:color w:val="auto"/>
                <w:szCs w:val="21"/>
              </w:rPr>
            </w:pPr>
            <w:r>
              <w:rPr>
                <w:rFonts w:hint="eastAsia" w:hAnsi="宋体" w:cs="宋体"/>
                <w:color w:val="auto"/>
                <w:szCs w:val="21"/>
              </w:rPr>
              <w:t>是否接受联合体参加磋商</w:t>
            </w:r>
          </w:p>
        </w:tc>
        <w:tc>
          <w:tcPr>
            <w:tcW w:w="6389" w:type="dxa"/>
            <w:vAlign w:val="center"/>
          </w:tcPr>
          <w:p w14:paraId="0B08B814">
            <w:pPr>
              <w:pStyle w:val="20"/>
              <w:keepLines/>
              <w:spacing w:line="276" w:lineRule="auto"/>
              <w:rPr>
                <w:rFonts w:hAnsi="宋体" w:cs="宋体"/>
                <w:color w:val="auto"/>
                <w:szCs w:val="21"/>
              </w:rPr>
            </w:pPr>
            <w:r>
              <w:rPr>
                <w:rFonts w:hint="eastAsia" w:hAnsi="宋体" w:cs="宋体"/>
                <w:color w:val="auto"/>
                <w:szCs w:val="21"/>
              </w:rPr>
              <w:t>本次磋商不接受联合体</w:t>
            </w:r>
          </w:p>
        </w:tc>
      </w:tr>
      <w:tr w14:paraId="40B96E5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1062" w:type="dxa"/>
            <w:vAlign w:val="center"/>
          </w:tcPr>
          <w:p w14:paraId="7D655FA3">
            <w:pPr>
              <w:pStyle w:val="20"/>
              <w:keepLines/>
              <w:spacing w:line="276" w:lineRule="auto"/>
              <w:jc w:val="center"/>
              <w:rPr>
                <w:rFonts w:hAnsi="宋体" w:cs="宋体"/>
                <w:color w:val="auto"/>
                <w:szCs w:val="21"/>
              </w:rPr>
            </w:pPr>
            <w:r>
              <w:rPr>
                <w:rFonts w:hint="eastAsia" w:hAnsi="宋体" w:cs="宋体"/>
                <w:color w:val="auto"/>
                <w:szCs w:val="21"/>
              </w:rPr>
              <w:t>9.1</w:t>
            </w:r>
          </w:p>
        </w:tc>
        <w:tc>
          <w:tcPr>
            <w:tcW w:w="1763" w:type="dxa"/>
            <w:vAlign w:val="center"/>
          </w:tcPr>
          <w:p w14:paraId="25D7C4D5">
            <w:pPr>
              <w:keepNext w:val="0"/>
              <w:keepLines/>
              <w:pageBreakBefore w:val="0"/>
              <w:widowControl w:val="0"/>
              <w:kinsoku/>
              <w:wordWrap/>
              <w:overflowPunct/>
              <w:topLinePunct w:val="0"/>
              <w:autoSpaceDE/>
              <w:autoSpaceDN/>
              <w:bidi w:val="0"/>
              <w:adjustRightInd/>
              <w:snapToGrid/>
              <w:spacing w:line="240" w:lineRule="auto"/>
              <w:jc w:val="center"/>
              <w:textAlignment w:val="auto"/>
              <w:rPr>
                <w:rFonts w:ascii="宋体" w:hAnsi="宋体" w:cs="宋体"/>
                <w:color w:val="auto"/>
                <w:kern w:val="0"/>
                <w:szCs w:val="21"/>
              </w:rPr>
            </w:pPr>
            <w:r>
              <w:rPr>
                <w:rFonts w:hint="eastAsia" w:ascii="宋体" w:hAnsi="宋体" w:cs="宋体"/>
                <w:color w:val="auto"/>
                <w:kern w:val="0"/>
                <w:szCs w:val="21"/>
              </w:rPr>
              <w:t>磋商文件的澄清或者修改</w:t>
            </w:r>
          </w:p>
        </w:tc>
        <w:tc>
          <w:tcPr>
            <w:tcW w:w="6389" w:type="dxa"/>
            <w:vAlign w:val="center"/>
          </w:tcPr>
          <w:p w14:paraId="332DFDE6">
            <w:pPr>
              <w:keepLines/>
              <w:spacing w:line="276" w:lineRule="auto"/>
              <w:rPr>
                <w:rFonts w:hint="eastAsia" w:ascii="宋体" w:hAnsi="宋体" w:eastAsia="宋体" w:cs="宋体"/>
                <w:color w:val="auto"/>
                <w:kern w:val="0"/>
                <w:szCs w:val="21"/>
                <w:lang w:eastAsia="zh-CN"/>
              </w:rPr>
            </w:pPr>
            <w:r>
              <w:rPr>
                <w:rFonts w:hint="eastAsia" w:ascii="宋体" w:hAnsi="宋体" w:cs="宋体"/>
                <w:color w:val="auto"/>
                <w:szCs w:val="21"/>
              </w:rPr>
              <w:t>提交首次响应文件截止之日前</w:t>
            </w:r>
          </w:p>
        </w:tc>
      </w:tr>
      <w:tr w14:paraId="2AEA698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trPr>
        <w:tc>
          <w:tcPr>
            <w:tcW w:w="1062" w:type="dxa"/>
            <w:vAlign w:val="center"/>
          </w:tcPr>
          <w:p w14:paraId="7527B5D6">
            <w:pPr>
              <w:pStyle w:val="20"/>
              <w:keepLines/>
              <w:spacing w:line="276" w:lineRule="auto"/>
              <w:jc w:val="center"/>
              <w:rPr>
                <w:rFonts w:hAnsi="宋体" w:cs="宋体"/>
                <w:color w:val="auto"/>
                <w:szCs w:val="21"/>
              </w:rPr>
            </w:pPr>
            <w:r>
              <w:rPr>
                <w:rFonts w:hint="eastAsia" w:hAnsi="宋体" w:cs="宋体"/>
                <w:color w:val="auto"/>
                <w:szCs w:val="21"/>
              </w:rPr>
              <w:t>12.3</w:t>
            </w:r>
          </w:p>
        </w:tc>
        <w:tc>
          <w:tcPr>
            <w:tcW w:w="1763" w:type="dxa"/>
            <w:vAlign w:val="center"/>
          </w:tcPr>
          <w:p w14:paraId="50BEEEB3">
            <w:pPr>
              <w:keepLines/>
              <w:spacing w:line="276" w:lineRule="auto"/>
              <w:jc w:val="center"/>
              <w:rPr>
                <w:rFonts w:ascii="宋体" w:hAnsi="宋体" w:cs="宋体"/>
                <w:color w:val="auto"/>
                <w:kern w:val="0"/>
                <w:szCs w:val="21"/>
              </w:rPr>
            </w:pPr>
            <w:bookmarkStart w:id="84" w:name="_Hlk57798066"/>
            <w:r>
              <w:rPr>
                <w:rFonts w:hint="eastAsia" w:ascii="宋体" w:hAnsi="宋体" w:cs="宋体"/>
                <w:color w:val="auto"/>
                <w:kern w:val="0"/>
                <w:szCs w:val="21"/>
              </w:rPr>
              <w:t>磋商报价方式</w:t>
            </w:r>
            <w:bookmarkEnd w:id="84"/>
          </w:p>
        </w:tc>
        <w:tc>
          <w:tcPr>
            <w:tcW w:w="6389" w:type="dxa"/>
            <w:vAlign w:val="center"/>
          </w:tcPr>
          <w:p w14:paraId="3AE1C568">
            <w:pPr>
              <w:keepNext w:val="0"/>
              <w:keepLines/>
              <w:pageBreakBefore w:val="0"/>
              <w:widowControl w:val="0"/>
              <w:kinsoku/>
              <w:wordWrap/>
              <w:overflowPunct/>
              <w:topLinePunct w:val="0"/>
              <w:autoSpaceDE/>
              <w:autoSpaceDN/>
              <w:bidi w:val="0"/>
              <w:adjustRightInd/>
              <w:snapToGrid/>
              <w:spacing w:line="240" w:lineRule="auto"/>
              <w:textAlignment w:val="auto"/>
              <w:rPr>
                <w:rFonts w:hint="eastAsia" w:ascii="宋体" w:hAnsi="宋体" w:eastAsia="宋体" w:cs="宋体"/>
                <w:color w:val="auto"/>
                <w:szCs w:val="21"/>
                <w:lang w:eastAsia="zh-CN"/>
              </w:rPr>
            </w:pPr>
            <w:r>
              <w:rPr>
                <w:rFonts w:hint="eastAsia" w:ascii="宋体" w:hAnsi="宋体" w:cs="宋体"/>
                <w:color w:val="auto"/>
                <w:szCs w:val="21"/>
              </w:rPr>
              <w:t>1.供应商须严格按照采购人提供的工程量清单内容、格式及要求填报各项目综合单价</w:t>
            </w:r>
            <w:r>
              <w:rPr>
                <w:rFonts w:hint="eastAsia" w:ascii="宋体" w:hAnsi="宋体" w:cs="宋体"/>
                <w:color w:val="auto"/>
                <w:szCs w:val="21"/>
                <w:lang w:eastAsia="zh-CN"/>
              </w:rPr>
              <w:t>，</w:t>
            </w:r>
            <w:r>
              <w:rPr>
                <w:rFonts w:hint="eastAsia" w:ascii="宋体" w:hAnsi="宋体" w:cs="宋体"/>
                <w:color w:val="auto"/>
                <w:szCs w:val="21"/>
              </w:rPr>
              <w:t>包含完成全部工程所需的人工费、材料费、机械使用费、管理费、利润、</w:t>
            </w:r>
            <w:r>
              <w:rPr>
                <w:rFonts w:hint="eastAsia" w:ascii="宋体" w:hAnsi="宋体" w:cs="宋体"/>
                <w:color w:val="auto"/>
                <w:szCs w:val="21"/>
                <w:lang w:val="en-US" w:eastAsia="zh-CN"/>
              </w:rPr>
              <w:t>措施费、其他项目费、增值税等一切相关费用，采购人不另行支付任何其他费用</w:t>
            </w:r>
            <w:r>
              <w:rPr>
                <w:rFonts w:hint="eastAsia" w:ascii="宋体" w:hAnsi="宋体" w:cs="宋体"/>
                <w:color w:val="auto"/>
                <w:szCs w:val="21"/>
                <w:lang w:eastAsia="zh-CN"/>
              </w:rPr>
              <w:t>。</w:t>
            </w:r>
          </w:p>
          <w:p w14:paraId="756CFB2D">
            <w:pPr>
              <w:keepNext w:val="0"/>
              <w:keepLines/>
              <w:pageBreakBefore w:val="0"/>
              <w:widowControl w:val="0"/>
              <w:kinsoku/>
              <w:wordWrap/>
              <w:overflowPunct/>
              <w:topLinePunct w:val="0"/>
              <w:autoSpaceDE/>
              <w:autoSpaceDN/>
              <w:bidi w:val="0"/>
              <w:adjustRightInd/>
              <w:snapToGrid/>
              <w:spacing w:line="240" w:lineRule="auto"/>
              <w:textAlignment w:val="auto"/>
              <w:rPr>
                <w:rFonts w:ascii="宋体" w:hAnsi="宋体" w:cs="宋体"/>
                <w:color w:val="auto"/>
                <w:szCs w:val="21"/>
              </w:rPr>
            </w:pPr>
            <w:r>
              <w:rPr>
                <w:rFonts w:hint="eastAsia" w:ascii="宋体" w:hAnsi="宋体" w:cs="宋体"/>
                <w:color w:val="auto"/>
                <w:szCs w:val="21"/>
              </w:rPr>
              <w:t>合同约定优惠率=（第一轮报价-第二轮报价（最后报价））/第一轮报价，即合同约定优惠率。</w:t>
            </w:r>
          </w:p>
          <w:p w14:paraId="3969DE7E">
            <w:pPr>
              <w:keepNext w:val="0"/>
              <w:keepLines/>
              <w:pageBreakBefore w:val="0"/>
              <w:widowControl w:val="0"/>
              <w:kinsoku/>
              <w:wordWrap/>
              <w:overflowPunct/>
              <w:topLinePunct w:val="0"/>
              <w:autoSpaceDE/>
              <w:autoSpaceDN/>
              <w:bidi w:val="0"/>
              <w:adjustRightInd/>
              <w:snapToGrid/>
              <w:spacing w:line="240" w:lineRule="auto"/>
              <w:textAlignment w:val="auto"/>
              <w:rPr>
                <w:rFonts w:hint="eastAsia" w:ascii="宋体" w:hAnsi="宋体" w:eastAsia="宋体" w:cs="宋体"/>
                <w:b w:val="0"/>
                <w:bCs w:val="0"/>
                <w:color w:val="auto"/>
                <w:kern w:val="0"/>
                <w:highlight w:val="none"/>
              </w:rPr>
            </w:pPr>
            <w:r>
              <w:rPr>
                <w:rFonts w:hint="eastAsia" w:ascii="宋体" w:hAnsi="宋体" w:cs="宋体"/>
                <w:color w:val="auto"/>
                <w:kern w:val="0"/>
                <w:highlight w:val="none"/>
                <w:lang w:val="en-US" w:eastAsia="zh-CN"/>
              </w:rPr>
              <w:t>2.</w:t>
            </w:r>
            <w:r>
              <w:rPr>
                <w:rFonts w:hint="eastAsia" w:ascii="宋体" w:hAnsi="宋体" w:cs="宋体"/>
                <w:b w:val="0"/>
                <w:bCs w:val="0"/>
                <w:color w:val="auto"/>
                <w:kern w:val="0"/>
                <w:highlight w:val="none"/>
                <w:lang w:val="en-US" w:eastAsia="zh-CN"/>
              </w:rPr>
              <w:t>工程量</w:t>
            </w:r>
            <w:r>
              <w:rPr>
                <w:rFonts w:hint="eastAsia" w:ascii="宋体" w:hAnsi="宋体" w:cs="宋体"/>
                <w:b w:val="0"/>
                <w:bCs w:val="0"/>
                <w:color w:val="auto"/>
                <w:kern w:val="0"/>
                <w:highlight w:val="none"/>
                <w:lang w:eastAsia="zh-CN"/>
              </w:rPr>
              <w:t>清单</w:t>
            </w:r>
            <w:r>
              <w:rPr>
                <w:rFonts w:hint="eastAsia" w:ascii="宋体" w:hAnsi="宋体" w:eastAsia="宋体" w:cs="宋体"/>
                <w:b w:val="0"/>
                <w:bCs w:val="0"/>
                <w:color w:val="auto"/>
                <w:kern w:val="0"/>
                <w:highlight w:val="none"/>
              </w:rPr>
              <w:t>计价</w:t>
            </w:r>
            <w:r>
              <w:rPr>
                <w:rFonts w:hint="eastAsia" w:ascii="宋体" w:hAnsi="宋体" w:cs="宋体"/>
                <w:b w:val="0"/>
                <w:bCs w:val="0"/>
                <w:color w:val="auto"/>
                <w:kern w:val="0"/>
                <w:highlight w:val="none"/>
                <w:lang w:val="en-US" w:eastAsia="zh-CN"/>
              </w:rPr>
              <w:t>按照</w:t>
            </w:r>
            <w:r>
              <w:rPr>
                <w:rFonts w:hint="eastAsia" w:ascii="宋体" w:hAnsi="宋体" w:eastAsia="宋体" w:cs="宋体"/>
                <w:b w:val="0"/>
                <w:bCs w:val="0"/>
                <w:color w:val="auto"/>
                <w:kern w:val="0"/>
                <w:highlight w:val="none"/>
              </w:rPr>
              <w:t>国家、行业</w:t>
            </w:r>
            <w:r>
              <w:rPr>
                <w:rFonts w:hint="eastAsia" w:ascii="宋体" w:hAnsi="宋体" w:eastAsia="宋体" w:cs="宋体"/>
                <w:color w:val="auto"/>
                <w:kern w:val="0"/>
                <w:highlight w:val="none"/>
              </w:rPr>
              <w:t>现行文件</w:t>
            </w:r>
            <w:r>
              <w:rPr>
                <w:rFonts w:hint="eastAsia" w:ascii="宋体" w:hAnsi="宋体" w:eastAsia="宋体" w:cs="宋体"/>
                <w:b w:val="0"/>
                <w:bCs w:val="0"/>
                <w:color w:val="auto"/>
                <w:kern w:val="0"/>
                <w:highlight w:val="none"/>
              </w:rPr>
              <w:t>规定</w:t>
            </w:r>
            <w:r>
              <w:rPr>
                <w:rFonts w:hint="eastAsia" w:ascii="宋体" w:hAnsi="宋体" w:cs="宋体"/>
                <w:b w:val="0"/>
                <w:bCs w:val="0"/>
                <w:color w:val="auto"/>
                <w:kern w:val="0"/>
                <w:highlight w:val="none"/>
                <w:lang w:val="en-US" w:eastAsia="zh-CN"/>
              </w:rPr>
              <w:t>执行</w:t>
            </w:r>
            <w:r>
              <w:rPr>
                <w:rFonts w:hint="eastAsia" w:ascii="宋体" w:hAnsi="宋体" w:eastAsia="宋体" w:cs="宋体"/>
                <w:b w:val="0"/>
                <w:bCs w:val="0"/>
                <w:color w:val="auto"/>
                <w:kern w:val="0"/>
                <w:highlight w:val="none"/>
              </w:rPr>
              <w:t>。</w:t>
            </w:r>
          </w:p>
          <w:p w14:paraId="13827F6C">
            <w:pPr>
              <w:pStyle w:val="15"/>
              <w:keepNext w:val="0"/>
              <w:pageBreakBefore w:val="0"/>
              <w:widowControl w:val="0"/>
              <w:kinsoku/>
              <w:wordWrap/>
              <w:overflowPunct/>
              <w:topLinePunct w:val="0"/>
              <w:autoSpaceDE/>
              <w:autoSpaceDN/>
              <w:bidi w:val="0"/>
              <w:adjustRightInd/>
              <w:snapToGrid/>
              <w:spacing w:after="0" w:line="240" w:lineRule="auto"/>
              <w:textAlignment w:val="auto"/>
              <w:rPr>
                <w:rFonts w:hint="default" w:eastAsia="宋体"/>
                <w:color w:val="auto"/>
                <w:lang w:val="en-US" w:eastAsia="zh-CN"/>
              </w:rPr>
            </w:pPr>
            <w:r>
              <w:rPr>
                <w:rFonts w:hint="eastAsia" w:ascii="宋体" w:hAnsi="宋体" w:eastAsia="宋体" w:cs="宋体"/>
                <w:b w:val="0"/>
                <w:bCs w:val="0"/>
                <w:color w:val="auto"/>
                <w:kern w:val="0"/>
                <w:highlight w:val="none"/>
                <w:lang w:val="en-US" w:eastAsia="zh-CN"/>
              </w:rPr>
              <w:t>3.</w:t>
            </w:r>
            <w:r>
              <w:rPr>
                <w:rFonts w:hint="eastAsia" w:ascii="宋体" w:hAnsi="宋体" w:eastAsia="宋体" w:cs="宋体"/>
                <w:b w:val="0"/>
                <w:bCs w:val="0"/>
                <w:color w:val="auto"/>
                <w:kern w:val="0"/>
                <w:highlight w:val="none"/>
              </w:rPr>
              <w:t>本项目设有二次报价，通过</w:t>
            </w:r>
            <w:r>
              <w:rPr>
                <w:rFonts w:hint="eastAsia" w:ascii="宋体" w:hAnsi="宋体" w:cs="宋体"/>
                <w:b w:val="0"/>
                <w:bCs w:val="0"/>
                <w:color w:val="auto"/>
                <w:kern w:val="0"/>
                <w:highlight w:val="none"/>
                <w:lang w:val="en-US" w:eastAsia="zh-CN"/>
              </w:rPr>
              <w:t>初步评审的</w:t>
            </w:r>
            <w:r>
              <w:rPr>
                <w:rFonts w:hint="eastAsia" w:ascii="宋体" w:hAnsi="宋体" w:eastAsia="宋体" w:cs="宋体"/>
                <w:b w:val="0"/>
                <w:bCs w:val="0"/>
                <w:color w:val="auto"/>
                <w:kern w:val="0"/>
                <w:highlight w:val="none"/>
              </w:rPr>
              <w:t>供应商所进行的二次报价为最终报价。二次报价为线上填报（在系统上等待</w:t>
            </w:r>
            <w:r>
              <w:rPr>
                <w:rFonts w:hint="eastAsia" w:ascii="宋体" w:hAnsi="宋体" w:eastAsia="宋体" w:cs="宋体"/>
                <w:b w:val="0"/>
                <w:bCs w:val="0"/>
                <w:color w:val="auto"/>
                <w:kern w:val="0"/>
                <w:highlight w:val="none"/>
                <w:lang w:val="en-US" w:eastAsia="zh-CN"/>
              </w:rPr>
              <w:t>采购</w:t>
            </w:r>
            <w:r>
              <w:rPr>
                <w:rFonts w:hint="eastAsia" w:ascii="宋体" w:hAnsi="宋体" w:eastAsia="宋体" w:cs="宋体"/>
                <w:b w:val="0"/>
                <w:bCs w:val="0"/>
                <w:color w:val="auto"/>
                <w:kern w:val="0"/>
                <w:highlight w:val="none"/>
              </w:rPr>
              <w:t>代理机构通知最后报价），无需到现场参加磋商会议。</w:t>
            </w:r>
          </w:p>
        </w:tc>
      </w:tr>
      <w:tr w14:paraId="4675470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4" w:hRule="atLeast"/>
        </w:trPr>
        <w:tc>
          <w:tcPr>
            <w:tcW w:w="1062" w:type="dxa"/>
            <w:vAlign w:val="center"/>
          </w:tcPr>
          <w:p w14:paraId="53053DA9">
            <w:pPr>
              <w:pStyle w:val="20"/>
              <w:keepLines/>
              <w:spacing w:line="276" w:lineRule="auto"/>
              <w:jc w:val="center"/>
              <w:rPr>
                <w:rFonts w:hint="default" w:hAnsi="宋体" w:eastAsia="宋体" w:cs="宋体"/>
                <w:color w:val="auto"/>
                <w:szCs w:val="21"/>
                <w:lang w:val="en-US" w:eastAsia="zh-CN"/>
              </w:rPr>
            </w:pPr>
            <w:r>
              <w:rPr>
                <w:rFonts w:hint="eastAsia" w:hAnsi="宋体" w:cs="宋体"/>
                <w:color w:val="auto"/>
                <w:szCs w:val="21"/>
                <w:lang w:val="en-US" w:eastAsia="zh-CN"/>
              </w:rPr>
              <w:t>12.4</w:t>
            </w:r>
          </w:p>
        </w:tc>
        <w:tc>
          <w:tcPr>
            <w:tcW w:w="1763" w:type="dxa"/>
            <w:vAlign w:val="center"/>
          </w:tcPr>
          <w:p w14:paraId="06B774AB">
            <w:pPr>
              <w:ind w:firstLine="420" w:firstLineChars="200"/>
              <w:rPr>
                <w:rFonts w:hint="eastAsia" w:ascii="宋体" w:hAnsi="宋体" w:eastAsia="宋体" w:cs="宋体"/>
                <w:b w:val="0"/>
                <w:bCs w:val="0"/>
                <w:color w:val="auto"/>
                <w:kern w:val="0"/>
                <w:highlight w:val="none"/>
                <w:lang w:val="en-US" w:eastAsia="zh-CN"/>
              </w:rPr>
            </w:pPr>
            <w:r>
              <w:rPr>
                <w:rFonts w:hint="eastAsia" w:ascii="宋体" w:hAnsi="宋体" w:eastAsia="宋体" w:cs="宋体"/>
                <w:b w:val="0"/>
                <w:bCs w:val="0"/>
                <w:color w:val="auto"/>
                <w:kern w:val="0"/>
                <w:highlight w:val="none"/>
                <w:lang w:val="en-US" w:eastAsia="zh-CN"/>
              </w:rPr>
              <w:t>最高限价</w:t>
            </w:r>
          </w:p>
        </w:tc>
        <w:tc>
          <w:tcPr>
            <w:tcW w:w="6389" w:type="dxa"/>
            <w:vAlign w:val="center"/>
          </w:tcPr>
          <w:p w14:paraId="64B65172">
            <w:pPr>
              <w:rPr>
                <w:rFonts w:hint="eastAsia" w:ascii="宋体" w:hAnsi="宋体" w:eastAsia="宋体" w:cs="宋体"/>
                <w:b w:val="0"/>
                <w:bCs w:val="0"/>
                <w:color w:val="auto"/>
                <w:kern w:val="0"/>
                <w:sz w:val="21"/>
                <w:szCs w:val="24"/>
                <w:highlight w:val="none"/>
                <w:lang w:val="en-US" w:eastAsia="zh-CN" w:bidi="ar-SA"/>
              </w:rPr>
            </w:pPr>
            <w:r>
              <w:rPr>
                <w:rFonts w:hint="eastAsia" w:ascii="宋体" w:hAnsi="宋体" w:eastAsia="宋体" w:cs="宋体"/>
                <w:b w:val="0"/>
                <w:bCs w:val="0"/>
                <w:color w:val="auto"/>
                <w:kern w:val="0"/>
                <w:sz w:val="21"/>
                <w:szCs w:val="24"/>
                <w:highlight w:val="none"/>
                <w:lang w:val="en-US" w:eastAsia="zh-CN" w:bidi="ar-SA"/>
              </w:rPr>
              <w:t>最高磋商限价</w:t>
            </w:r>
            <w:bookmarkStart w:id="85" w:name="OLE_LINK7"/>
            <w:r>
              <w:rPr>
                <w:rFonts w:hint="eastAsia" w:ascii="宋体" w:hAnsi="宋体" w:eastAsia="宋体" w:cs="宋体"/>
                <w:b w:val="0"/>
                <w:bCs w:val="0"/>
                <w:color w:val="auto"/>
                <w:kern w:val="0"/>
                <w:sz w:val="21"/>
                <w:szCs w:val="24"/>
                <w:highlight w:val="none"/>
                <w:lang w:val="en-US" w:eastAsia="zh-CN" w:bidi="ar-SA"/>
              </w:rPr>
              <w:t>：</w:t>
            </w:r>
            <w:bookmarkEnd w:id="85"/>
            <w:r>
              <w:rPr>
                <w:rFonts w:hint="eastAsia" w:ascii="宋体" w:hAnsi="宋体" w:eastAsia="宋体" w:cs="宋体"/>
                <w:b w:val="0"/>
                <w:bCs w:val="0"/>
                <w:color w:val="auto"/>
                <w:kern w:val="0"/>
                <w:sz w:val="21"/>
                <w:szCs w:val="24"/>
                <w:highlight w:val="none"/>
                <w:lang w:val="en-US" w:eastAsia="zh-CN" w:bidi="ar-SA"/>
              </w:rPr>
              <w:t>799299.37元。</w:t>
            </w:r>
          </w:p>
          <w:p w14:paraId="206B46EB">
            <w:pPr>
              <w:rPr>
                <w:rFonts w:hint="eastAsia" w:ascii="宋体" w:hAnsi="宋体" w:eastAsia="宋体" w:cs="宋体"/>
                <w:b w:val="0"/>
                <w:bCs w:val="0"/>
                <w:color w:val="auto"/>
                <w:kern w:val="0"/>
                <w:sz w:val="21"/>
                <w:szCs w:val="24"/>
                <w:highlight w:val="none"/>
                <w:lang w:val="en-US" w:eastAsia="zh-CN" w:bidi="ar-SA"/>
              </w:rPr>
            </w:pPr>
            <w:r>
              <w:rPr>
                <w:rFonts w:hint="eastAsia" w:ascii="宋体" w:hAnsi="宋体" w:eastAsia="宋体" w:cs="宋体"/>
                <w:b w:val="0"/>
                <w:bCs w:val="0"/>
                <w:color w:val="auto"/>
                <w:kern w:val="0"/>
                <w:sz w:val="21"/>
                <w:szCs w:val="24"/>
                <w:highlight w:val="none"/>
                <w:lang w:val="en-US" w:eastAsia="zh-CN" w:bidi="ar-SA"/>
              </w:rPr>
              <w:t>注：1.</w:t>
            </w:r>
            <w:r>
              <w:rPr>
                <w:rFonts w:hint="eastAsia" w:ascii="宋体" w:hAnsi="宋体" w:cs="宋体"/>
                <w:b w:val="0"/>
                <w:bCs w:val="0"/>
                <w:color w:val="auto"/>
                <w:kern w:val="0"/>
                <w:sz w:val="21"/>
                <w:szCs w:val="24"/>
                <w:highlight w:val="none"/>
                <w:lang w:val="en-US" w:eastAsia="zh-CN" w:bidi="ar-SA"/>
              </w:rPr>
              <w:t>磋商</w:t>
            </w:r>
            <w:r>
              <w:rPr>
                <w:rFonts w:hint="eastAsia" w:ascii="宋体" w:hAnsi="宋体" w:eastAsia="宋体" w:cs="宋体"/>
                <w:b w:val="0"/>
                <w:bCs w:val="0"/>
                <w:color w:val="auto"/>
                <w:kern w:val="0"/>
                <w:sz w:val="21"/>
                <w:szCs w:val="24"/>
                <w:highlight w:val="none"/>
                <w:lang w:val="en-US" w:eastAsia="zh-CN" w:bidi="ar-SA"/>
              </w:rPr>
              <w:t>时若供应商的磋商报价超出采购人发布的最高磋商限价，作否决投标处理。</w:t>
            </w:r>
          </w:p>
          <w:p w14:paraId="736AD4FD">
            <w:pPr>
              <w:rPr>
                <w:rFonts w:hint="eastAsia" w:ascii="宋体" w:hAnsi="宋体" w:eastAsia="宋体" w:cs="宋体"/>
                <w:b w:val="0"/>
                <w:bCs w:val="0"/>
                <w:color w:val="auto"/>
                <w:kern w:val="0"/>
                <w:highlight w:val="none"/>
                <w:lang w:val="en-US" w:eastAsia="zh-CN"/>
              </w:rPr>
            </w:pPr>
            <w:r>
              <w:rPr>
                <w:rFonts w:hint="eastAsia" w:ascii="宋体" w:hAnsi="宋体" w:eastAsia="宋体" w:cs="宋体"/>
                <w:b w:val="0"/>
                <w:bCs w:val="0"/>
                <w:color w:val="auto"/>
                <w:kern w:val="0"/>
                <w:sz w:val="21"/>
                <w:szCs w:val="24"/>
                <w:highlight w:val="none"/>
                <w:lang w:val="en-US" w:eastAsia="zh-CN" w:bidi="ar-SA"/>
              </w:rPr>
              <w:t>2.</w:t>
            </w:r>
            <w:r>
              <w:rPr>
                <w:rFonts w:hint="default" w:ascii="宋体" w:hAnsi="宋体" w:eastAsia="宋体" w:cs="宋体"/>
                <w:b w:val="0"/>
                <w:bCs w:val="0"/>
                <w:color w:val="auto"/>
                <w:kern w:val="0"/>
                <w:sz w:val="21"/>
                <w:szCs w:val="24"/>
                <w:highlight w:val="none"/>
                <w:lang w:val="en-US" w:eastAsia="zh-CN" w:bidi="ar-SA"/>
              </w:rPr>
              <w:t>供应商应结合自身情况和项目实际情况，充分考虑建设期间内可能发生的各种风险因素自主报价，报价应包括完成须知和合同条款上所列</w:t>
            </w:r>
            <w:r>
              <w:rPr>
                <w:rFonts w:hint="eastAsia" w:ascii="宋体" w:hAnsi="宋体" w:eastAsia="宋体" w:cs="宋体"/>
                <w:b w:val="0"/>
                <w:bCs w:val="0"/>
                <w:color w:val="auto"/>
                <w:kern w:val="0"/>
                <w:sz w:val="21"/>
                <w:szCs w:val="24"/>
                <w:highlight w:val="none"/>
                <w:lang w:val="en-US" w:eastAsia="zh-CN" w:bidi="ar-SA"/>
              </w:rPr>
              <w:t>采购</w:t>
            </w:r>
            <w:r>
              <w:rPr>
                <w:rFonts w:hint="default" w:ascii="宋体" w:hAnsi="宋体" w:eastAsia="宋体" w:cs="宋体"/>
                <w:b w:val="0"/>
                <w:bCs w:val="0"/>
                <w:color w:val="auto"/>
                <w:kern w:val="0"/>
                <w:sz w:val="21"/>
                <w:szCs w:val="24"/>
                <w:highlight w:val="none"/>
                <w:lang w:val="en-US" w:eastAsia="zh-CN" w:bidi="ar-SA"/>
              </w:rPr>
              <w:t>工程范围所需的人工费、材料费、机械费、</w:t>
            </w:r>
            <w:r>
              <w:rPr>
                <w:rFonts w:hint="eastAsia" w:ascii="宋体" w:hAnsi="宋体" w:eastAsia="宋体" w:cs="宋体"/>
                <w:b w:val="0"/>
                <w:bCs w:val="0"/>
                <w:color w:val="auto"/>
                <w:kern w:val="0"/>
                <w:sz w:val="21"/>
                <w:szCs w:val="24"/>
                <w:highlight w:val="none"/>
                <w:lang w:val="en-US" w:eastAsia="zh-CN" w:bidi="ar-SA"/>
              </w:rPr>
              <w:t>管理费、利润、</w:t>
            </w:r>
            <w:r>
              <w:rPr>
                <w:rFonts w:hint="default" w:ascii="宋体" w:hAnsi="宋体" w:eastAsia="宋体" w:cs="宋体"/>
                <w:b w:val="0"/>
                <w:bCs w:val="0"/>
                <w:color w:val="auto"/>
                <w:kern w:val="0"/>
                <w:sz w:val="21"/>
                <w:szCs w:val="24"/>
                <w:highlight w:val="none"/>
                <w:lang w:val="en-US" w:eastAsia="zh-CN" w:bidi="ar-SA"/>
              </w:rPr>
              <w:t>措施费、</w:t>
            </w:r>
            <w:r>
              <w:rPr>
                <w:rFonts w:hint="eastAsia" w:ascii="宋体" w:hAnsi="宋体" w:eastAsia="宋体" w:cs="宋体"/>
                <w:b w:val="0"/>
                <w:bCs w:val="0"/>
                <w:color w:val="auto"/>
                <w:kern w:val="0"/>
                <w:sz w:val="21"/>
                <w:szCs w:val="24"/>
                <w:highlight w:val="none"/>
                <w:lang w:val="en-US" w:eastAsia="zh-CN" w:bidi="ar-SA"/>
              </w:rPr>
              <w:t>其他</w:t>
            </w:r>
            <w:r>
              <w:rPr>
                <w:rFonts w:hint="default" w:ascii="宋体" w:hAnsi="宋体" w:eastAsia="宋体" w:cs="宋体"/>
                <w:b w:val="0"/>
                <w:bCs w:val="0"/>
                <w:color w:val="auto"/>
                <w:kern w:val="0"/>
                <w:sz w:val="21"/>
                <w:szCs w:val="24"/>
                <w:highlight w:val="none"/>
                <w:lang w:val="en-US" w:eastAsia="zh-CN" w:bidi="ar-SA"/>
              </w:rPr>
              <w:t>项目费和</w:t>
            </w:r>
            <w:r>
              <w:rPr>
                <w:rFonts w:hint="eastAsia" w:ascii="宋体" w:hAnsi="宋体" w:eastAsia="宋体" w:cs="宋体"/>
                <w:b w:val="0"/>
                <w:bCs w:val="0"/>
                <w:color w:val="auto"/>
                <w:kern w:val="0"/>
                <w:sz w:val="21"/>
                <w:szCs w:val="24"/>
                <w:highlight w:val="none"/>
                <w:lang w:val="en-US" w:eastAsia="zh-CN" w:bidi="ar-SA"/>
              </w:rPr>
              <w:t>增值税</w:t>
            </w:r>
            <w:r>
              <w:rPr>
                <w:rFonts w:hint="default" w:ascii="宋体" w:hAnsi="宋体" w:eastAsia="宋体" w:cs="宋体"/>
                <w:b w:val="0"/>
                <w:bCs w:val="0"/>
                <w:color w:val="auto"/>
                <w:kern w:val="0"/>
                <w:sz w:val="21"/>
                <w:szCs w:val="24"/>
                <w:highlight w:val="none"/>
                <w:lang w:val="en-US" w:eastAsia="zh-CN" w:bidi="ar-SA"/>
              </w:rPr>
              <w:t>等</w:t>
            </w:r>
            <w:r>
              <w:rPr>
                <w:rFonts w:hint="eastAsia" w:ascii="宋体" w:hAnsi="宋体" w:eastAsia="宋体" w:cs="宋体"/>
                <w:b w:val="0"/>
                <w:bCs w:val="0"/>
                <w:color w:val="auto"/>
                <w:kern w:val="0"/>
                <w:sz w:val="21"/>
                <w:szCs w:val="24"/>
                <w:highlight w:val="none"/>
                <w:lang w:val="en-US" w:eastAsia="zh-CN" w:bidi="ar-SA"/>
              </w:rPr>
              <w:t>。各供应商应结合项目现场踏勘情况、自身经营管理能力、企业定额、市场价格行情及风险承受水平自主测算、合理报价</w:t>
            </w:r>
            <w:r>
              <w:rPr>
                <w:rFonts w:hint="default" w:ascii="宋体" w:hAnsi="宋体" w:eastAsia="宋体" w:cs="宋体"/>
                <w:b w:val="0"/>
                <w:bCs w:val="0"/>
                <w:color w:val="auto"/>
                <w:kern w:val="0"/>
                <w:sz w:val="21"/>
                <w:szCs w:val="24"/>
                <w:highlight w:val="none"/>
                <w:lang w:val="en-US" w:eastAsia="zh-CN" w:bidi="ar-SA"/>
              </w:rPr>
              <w:t>。供应商所填报的单价应为综合单价，结算时，不得以任何理由调整价格，</w:t>
            </w:r>
            <w:r>
              <w:rPr>
                <w:rFonts w:hint="eastAsia" w:ascii="宋体" w:hAnsi="宋体" w:cs="宋体"/>
                <w:b w:val="0"/>
                <w:bCs w:val="0"/>
                <w:color w:val="auto"/>
                <w:kern w:val="0"/>
                <w:sz w:val="21"/>
                <w:szCs w:val="24"/>
                <w:highlight w:val="none"/>
                <w:lang w:val="en-US" w:eastAsia="zh-CN" w:bidi="ar-SA"/>
              </w:rPr>
              <w:t>如若存在漏报项，视为已包含在其他已报价项目中</w:t>
            </w:r>
            <w:r>
              <w:rPr>
                <w:rFonts w:hint="default" w:ascii="宋体" w:hAnsi="宋体" w:eastAsia="宋体" w:cs="宋体"/>
                <w:b w:val="0"/>
                <w:bCs w:val="0"/>
                <w:color w:val="auto"/>
                <w:kern w:val="0"/>
                <w:sz w:val="21"/>
                <w:szCs w:val="24"/>
                <w:highlight w:val="none"/>
                <w:lang w:val="en-US" w:eastAsia="zh-CN" w:bidi="ar-SA"/>
              </w:rPr>
              <w:t>，其市场风险由供应商承担。</w:t>
            </w:r>
          </w:p>
        </w:tc>
      </w:tr>
      <w:tr w14:paraId="216B13F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22" w:hRule="atLeast"/>
        </w:trPr>
        <w:tc>
          <w:tcPr>
            <w:tcW w:w="1062" w:type="dxa"/>
            <w:vAlign w:val="center"/>
          </w:tcPr>
          <w:p w14:paraId="41D1A6AC">
            <w:pPr>
              <w:pStyle w:val="20"/>
              <w:keepLines/>
              <w:spacing w:line="276" w:lineRule="auto"/>
              <w:jc w:val="center"/>
              <w:rPr>
                <w:rFonts w:hAnsi="宋体" w:cs="宋体"/>
                <w:color w:val="auto"/>
                <w:szCs w:val="21"/>
              </w:rPr>
            </w:pPr>
            <w:r>
              <w:rPr>
                <w:rFonts w:hint="eastAsia" w:hAnsi="宋体" w:cs="宋体"/>
                <w:color w:val="auto"/>
                <w:szCs w:val="21"/>
              </w:rPr>
              <w:t>13.1</w:t>
            </w:r>
          </w:p>
        </w:tc>
        <w:tc>
          <w:tcPr>
            <w:tcW w:w="1763" w:type="dxa"/>
            <w:vAlign w:val="center"/>
          </w:tcPr>
          <w:p w14:paraId="101608AA">
            <w:pPr>
              <w:pStyle w:val="20"/>
              <w:keepLines/>
              <w:spacing w:line="276" w:lineRule="auto"/>
              <w:jc w:val="center"/>
              <w:rPr>
                <w:rFonts w:hAnsi="宋体" w:cs="宋体"/>
                <w:color w:val="auto"/>
                <w:szCs w:val="21"/>
              </w:rPr>
            </w:pPr>
            <w:r>
              <w:rPr>
                <w:rFonts w:hint="eastAsia" w:hAnsi="宋体" w:cs="宋体"/>
                <w:color w:val="auto"/>
                <w:szCs w:val="21"/>
              </w:rPr>
              <w:t>有效期</w:t>
            </w:r>
          </w:p>
        </w:tc>
        <w:tc>
          <w:tcPr>
            <w:tcW w:w="6389" w:type="dxa"/>
            <w:vAlign w:val="center"/>
          </w:tcPr>
          <w:p w14:paraId="29BE7F5C">
            <w:pPr>
              <w:pStyle w:val="20"/>
              <w:keepLines/>
              <w:spacing w:line="276" w:lineRule="auto"/>
              <w:rPr>
                <w:rFonts w:hAnsi="宋体" w:cs="宋体"/>
                <w:color w:val="auto"/>
                <w:szCs w:val="21"/>
              </w:rPr>
            </w:pPr>
            <w:r>
              <w:rPr>
                <w:rFonts w:hint="eastAsia" w:hAnsi="宋体" w:cs="宋体"/>
                <w:color w:val="auto"/>
                <w:szCs w:val="21"/>
              </w:rPr>
              <w:t>从递交磋商响应文件截止之日起</w:t>
            </w:r>
            <w:r>
              <w:rPr>
                <w:rFonts w:hint="eastAsia" w:hAnsi="宋体" w:cs="宋体"/>
                <w:color w:val="auto"/>
                <w:szCs w:val="21"/>
                <w:u w:val="single"/>
                <w:lang w:val="en-US" w:eastAsia="zh-CN"/>
              </w:rPr>
              <w:t>9</w:t>
            </w:r>
            <w:r>
              <w:rPr>
                <w:rFonts w:hint="eastAsia" w:hAnsi="宋体" w:cs="宋体"/>
                <w:color w:val="auto"/>
                <w:szCs w:val="21"/>
                <w:u w:val="single"/>
              </w:rPr>
              <w:t>0</w:t>
            </w:r>
            <w:r>
              <w:rPr>
                <w:rFonts w:hint="eastAsia" w:hAnsi="宋体" w:cs="宋体"/>
                <w:color w:val="auto"/>
                <w:szCs w:val="21"/>
              </w:rPr>
              <w:t>日历天</w:t>
            </w:r>
          </w:p>
        </w:tc>
      </w:tr>
      <w:tr w14:paraId="3F9C642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54" w:hRule="atLeast"/>
        </w:trPr>
        <w:tc>
          <w:tcPr>
            <w:tcW w:w="1062" w:type="dxa"/>
            <w:vAlign w:val="center"/>
          </w:tcPr>
          <w:p w14:paraId="24834492">
            <w:pPr>
              <w:pStyle w:val="20"/>
              <w:keepLines/>
              <w:spacing w:line="276" w:lineRule="auto"/>
              <w:jc w:val="center"/>
              <w:rPr>
                <w:rFonts w:hint="default" w:hAnsi="宋体" w:eastAsia="宋体" w:cs="宋体"/>
                <w:color w:val="auto"/>
                <w:szCs w:val="21"/>
                <w:lang w:val="en-US" w:eastAsia="zh-CN"/>
              </w:rPr>
            </w:pPr>
            <w:r>
              <w:rPr>
                <w:rFonts w:hint="eastAsia" w:hAnsi="宋体" w:cs="宋体"/>
                <w:color w:val="auto"/>
                <w:szCs w:val="21"/>
                <w:lang w:val="en-US" w:eastAsia="zh-CN"/>
              </w:rPr>
              <w:t>14.2</w:t>
            </w:r>
          </w:p>
        </w:tc>
        <w:tc>
          <w:tcPr>
            <w:tcW w:w="1763" w:type="dxa"/>
            <w:vAlign w:val="center"/>
          </w:tcPr>
          <w:p w14:paraId="41296EEA">
            <w:pPr>
              <w:pStyle w:val="20"/>
              <w:keepLines/>
              <w:spacing w:line="276" w:lineRule="auto"/>
              <w:jc w:val="center"/>
              <w:rPr>
                <w:rFonts w:hint="eastAsia" w:ascii="宋体" w:hAnsi="宋体" w:cs="宋体"/>
                <w:color w:val="auto"/>
                <w:sz w:val="21"/>
                <w:szCs w:val="21"/>
                <w:highlight w:val="none"/>
              </w:rPr>
            </w:pPr>
            <w:r>
              <w:rPr>
                <w:rFonts w:hint="eastAsia" w:ascii="宋体" w:hAnsi="宋体"/>
                <w:b w:val="0"/>
                <w:bCs/>
                <w:color w:val="auto"/>
                <w:szCs w:val="21"/>
              </w:rPr>
              <w:t>签字或盖章要求</w:t>
            </w:r>
          </w:p>
        </w:tc>
        <w:tc>
          <w:tcPr>
            <w:tcW w:w="6389" w:type="dxa"/>
            <w:vAlign w:val="center"/>
          </w:tcPr>
          <w:p w14:paraId="69F2BB33">
            <w:pPr>
              <w:pStyle w:val="20"/>
              <w:keepLines/>
              <w:spacing w:line="276" w:lineRule="auto"/>
              <w:rPr>
                <w:rFonts w:hint="eastAsia" w:ascii="宋体" w:hAnsi="宋体" w:cs="宋体"/>
                <w:bCs/>
                <w:color w:val="auto"/>
                <w:sz w:val="21"/>
                <w:szCs w:val="21"/>
                <w:highlight w:val="none"/>
              </w:rPr>
            </w:pPr>
            <w:r>
              <w:rPr>
                <w:rFonts w:hint="eastAsia" w:ascii="宋体" w:hAnsi="宋体" w:cs="宋体"/>
                <w:color w:val="auto"/>
                <w:sz w:val="21"/>
                <w:szCs w:val="21"/>
                <w:highlight w:val="none"/>
              </w:rPr>
              <w:t>按照响应文件格式，采用企业、法定代表人电子签章及数字证书电子签名</w:t>
            </w:r>
            <w:r>
              <w:rPr>
                <w:rFonts w:hint="eastAsia" w:ascii="宋体" w:hAnsi="宋体" w:cs="宋体"/>
                <w:color w:val="auto"/>
                <w:sz w:val="21"/>
                <w:szCs w:val="21"/>
                <w:highlight w:val="none"/>
                <w:lang w:eastAsia="zh-CN"/>
              </w:rPr>
              <w:t>。</w:t>
            </w:r>
          </w:p>
        </w:tc>
      </w:tr>
      <w:tr w14:paraId="3D5ED6C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54" w:hRule="atLeast"/>
        </w:trPr>
        <w:tc>
          <w:tcPr>
            <w:tcW w:w="1062" w:type="dxa"/>
            <w:vAlign w:val="center"/>
          </w:tcPr>
          <w:p w14:paraId="34C987EB">
            <w:pPr>
              <w:pStyle w:val="20"/>
              <w:keepLines/>
              <w:spacing w:line="276" w:lineRule="auto"/>
              <w:jc w:val="center"/>
              <w:rPr>
                <w:rFonts w:hAnsi="宋体" w:cs="宋体"/>
                <w:color w:val="auto"/>
                <w:szCs w:val="21"/>
              </w:rPr>
            </w:pPr>
            <w:r>
              <w:rPr>
                <w:rFonts w:hint="eastAsia" w:hAnsi="宋体" w:cs="宋体"/>
                <w:color w:val="auto"/>
                <w:szCs w:val="21"/>
              </w:rPr>
              <w:t>14.4</w:t>
            </w:r>
          </w:p>
        </w:tc>
        <w:tc>
          <w:tcPr>
            <w:tcW w:w="1763" w:type="dxa"/>
            <w:vAlign w:val="center"/>
          </w:tcPr>
          <w:p w14:paraId="45C82003">
            <w:pPr>
              <w:pStyle w:val="20"/>
              <w:keepLines/>
              <w:spacing w:line="276" w:lineRule="auto"/>
              <w:jc w:val="center"/>
              <w:rPr>
                <w:rFonts w:hAnsi="宋体" w:cs="宋体"/>
                <w:color w:val="auto"/>
                <w:szCs w:val="21"/>
              </w:rPr>
            </w:pPr>
            <w:r>
              <w:rPr>
                <w:rFonts w:hint="eastAsia" w:ascii="宋体" w:hAnsi="宋体" w:cs="宋体"/>
                <w:color w:val="auto"/>
                <w:sz w:val="21"/>
                <w:szCs w:val="21"/>
                <w:highlight w:val="none"/>
              </w:rPr>
              <w:t>成交后提供的纸质响应文件份数</w:t>
            </w:r>
          </w:p>
        </w:tc>
        <w:tc>
          <w:tcPr>
            <w:tcW w:w="6389" w:type="dxa"/>
            <w:vAlign w:val="center"/>
          </w:tcPr>
          <w:p w14:paraId="7C24A601">
            <w:pPr>
              <w:rPr>
                <w:rFonts w:ascii="宋体" w:hAnsi="宋体" w:cs="宋体"/>
                <w:bCs/>
                <w:color w:val="auto"/>
                <w:sz w:val="21"/>
                <w:szCs w:val="21"/>
                <w:highlight w:val="none"/>
              </w:rPr>
            </w:pPr>
            <w:r>
              <w:rPr>
                <w:rFonts w:hint="eastAsia" w:ascii="宋体" w:hAnsi="宋体" w:cs="宋体"/>
                <w:bCs/>
                <w:color w:val="auto"/>
                <w:sz w:val="21"/>
                <w:szCs w:val="21"/>
                <w:highlight w:val="none"/>
              </w:rPr>
              <w:t>成交人签订合同前须提供纸质版响应文件正本一份、副本二份，响应文件副本可为正本的完全复印件，封面应分别清楚地标记“正本”或“副本”字样。</w:t>
            </w:r>
          </w:p>
          <w:p w14:paraId="22FC6689">
            <w:pPr>
              <w:rPr>
                <w:rFonts w:ascii="宋体" w:hAnsi="宋体" w:cs="宋体"/>
                <w:bCs/>
                <w:color w:val="auto"/>
                <w:sz w:val="21"/>
                <w:szCs w:val="21"/>
                <w:highlight w:val="none"/>
              </w:rPr>
            </w:pPr>
            <w:r>
              <w:rPr>
                <w:rFonts w:hint="eastAsia" w:ascii="宋体" w:hAnsi="宋体" w:cs="宋体"/>
                <w:bCs/>
                <w:color w:val="auto"/>
                <w:sz w:val="21"/>
                <w:szCs w:val="21"/>
                <w:highlight w:val="none"/>
              </w:rPr>
              <w:t>电子版一份</w:t>
            </w:r>
            <w:r>
              <w:rPr>
                <w:rFonts w:hint="eastAsia" w:ascii="宋体" w:hAnsi="宋体" w:cs="宋体"/>
                <w:bCs/>
                <w:color w:val="auto"/>
                <w:sz w:val="21"/>
                <w:szCs w:val="21"/>
                <w:highlight w:val="none"/>
                <w:lang w:eastAsia="zh-CN"/>
              </w:rPr>
              <w:t>（</w:t>
            </w:r>
            <w:r>
              <w:rPr>
                <w:rFonts w:hint="eastAsia" w:ascii="宋体" w:hAnsi="宋体" w:cs="宋体"/>
                <w:bCs/>
                <w:color w:val="auto"/>
                <w:sz w:val="21"/>
                <w:szCs w:val="21"/>
                <w:highlight w:val="none"/>
              </w:rPr>
              <w:t>介质为U盘，电子文件须为：①全套word版响应文件；②盖章签字后的响应文件正本扫描件，格式为PDF格式</w:t>
            </w:r>
            <w:r>
              <w:rPr>
                <w:rFonts w:hint="eastAsia" w:ascii="宋体" w:hAnsi="宋体" w:cs="宋体"/>
                <w:bCs/>
                <w:color w:val="auto"/>
                <w:sz w:val="21"/>
                <w:szCs w:val="21"/>
                <w:highlight w:val="none"/>
                <w:lang w:eastAsia="zh-CN"/>
              </w:rPr>
              <w:t>）</w:t>
            </w:r>
            <w:r>
              <w:rPr>
                <w:rFonts w:hint="eastAsia" w:ascii="宋体" w:hAnsi="宋体" w:cs="宋体"/>
                <w:bCs/>
                <w:color w:val="auto"/>
                <w:sz w:val="21"/>
                <w:szCs w:val="21"/>
                <w:highlight w:val="none"/>
              </w:rPr>
              <w:t>。</w:t>
            </w:r>
          </w:p>
          <w:p w14:paraId="216B2B86">
            <w:pPr>
              <w:pStyle w:val="20"/>
              <w:keepLines/>
              <w:spacing w:line="276" w:lineRule="auto"/>
              <w:rPr>
                <w:rFonts w:hAnsi="宋体" w:cs="宋体"/>
                <w:color w:val="auto"/>
                <w:szCs w:val="21"/>
              </w:rPr>
            </w:pPr>
            <w:r>
              <w:rPr>
                <w:rFonts w:hint="eastAsia" w:ascii="宋体" w:hAnsi="宋体" w:cs="宋体"/>
                <w:bCs/>
                <w:color w:val="auto"/>
                <w:sz w:val="21"/>
                <w:szCs w:val="21"/>
                <w:highlight w:val="none"/>
              </w:rPr>
              <w:t>纸质版响应文件须与电子版响应文件一致。</w:t>
            </w:r>
          </w:p>
        </w:tc>
      </w:tr>
      <w:tr w14:paraId="508035B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1062" w:type="dxa"/>
            <w:vAlign w:val="center"/>
          </w:tcPr>
          <w:p w14:paraId="7B6744A9">
            <w:pPr>
              <w:pStyle w:val="20"/>
              <w:keepLines/>
              <w:spacing w:line="276" w:lineRule="auto"/>
              <w:jc w:val="center"/>
              <w:rPr>
                <w:rFonts w:hAnsi="宋体" w:cs="宋体"/>
                <w:color w:val="auto"/>
                <w:szCs w:val="21"/>
              </w:rPr>
            </w:pPr>
            <w:r>
              <w:rPr>
                <w:rFonts w:hint="eastAsia" w:hAnsi="宋体" w:cs="宋体"/>
                <w:color w:val="auto"/>
                <w:szCs w:val="21"/>
              </w:rPr>
              <w:t>17.1</w:t>
            </w:r>
          </w:p>
        </w:tc>
        <w:tc>
          <w:tcPr>
            <w:tcW w:w="1763" w:type="dxa"/>
            <w:vAlign w:val="center"/>
          </w:tcPr>
          <w:p w14:paraId="7402ED8E">
            <w:pPr>
              <w:pStyle w:val="20"/>
              <w:keepNext w:val="0"/>
              <w:keepLines/>
              <w:pageBreakBefore w:val="0"/>
              <w:widowControl w:val="0"/>
              <w:kinsoku/>
              <w:wordWrap/>
              <w:overflowPunct/>
              <w:topLinePunct w:val="0"/>
              <w:autoSpaceDE/>
              <w:autoSpaceDN/>
              <w:bidi w:val="0"/>
              <w:adjustRightInd/>
              <w:snapToGrid/>
              <w:spacing w:line="240" w:lineRule="auto"/>
              <w:jc w:val="center"/>
              <w:textAlignment w:val="auto"/>
              <w:rPr>
                <w:rFonts w:hAnsi="宋体" w:cs="宋体"/>
                <w:color w:val="auto"/>
                <w:szCs w:val="21"/>
              </w:rPr>
            </w:pPr>
            <w:r>
              <w:rPr>
                <w:rFonts w:hint="eastAsia" w:hAnsi="宋体" w:cs="宋体"/>
                <w:color w:val="auto"/>
                <w:szCs w:val="21"/>
              </w:rPr>
              <w:t>递交磋商响应文件截止时间</w:t>
            </w:r>
          </w:p>
        </w:tc>
        <w:tc>
          <w:tcPr>
            <w:tcW w:w="6389" w:type="dxa"/>
            <w:vAlign w:val="center"/>
          </w:tcPr>
          <w:p w14:paraId="3D5B7C67">
            <w:pPr>
              <w:pStyle w:val="20"/>
              <w:keepLines/>
              <w:spacing w:line="276" w:lineRule="auto"/>
              <w:rPr>
                <w:rFonts w:hAnsi="宋体" w:cs="宋体"/>
                <w:color w:val="auto"/>
                <w:szCs w:val="21"/>
              </w:rPr>
            </w:pPr>
            <w:r>
              <w:rPr>
                <w:rFonts w:hint="eastAsia" w:hAnsi="宋体" w:cs="宋体"/>
                <w:color w:val="auto"/>
                <w:szCs w:val="21"/>
              </w:rPr>
              <w:t>详见磋商公告</w:t>
            </w:r>
          </w:p>
        </w:tc>
      </w:tr>
      <w:tr w14:paraId="68D2A7F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1062" w:type="dxa"/>
            <w:vAlign w:val="center"/>
          </w:tcPr>
          <w:p w14:paraId="6EE5E274">
            <w:pPr>
              <w:pStyle w:val="20"/>
              <w:keepLines/>
              <w:spacing w:line="276" w:lineRule="auto"/>
              <w:jc w:val="center"/>
              <w:rPr>
                <w:rFonts w:hint="eastAsia" w:hAnsi="宋体" w:cs="宋体"/>
                <w:color w:val="auto"/>
                <w:szCs w:val="21"/>
              </w:rPr>
            </w:pPr>
            <w:r>
              <w:rPr>
                <w:rFonts w:hint="eastAsia" w:hAnsi="宋体" w:cs="宋体"/>
                <w:color w:val="auto"/>
                <w:szCs w:val="21"/>
              </w:rPr>
              <w:t>15.1</w:t>
            </w:r>
          </w:p>
        </w:tc>
        <w:tc>
          <w:tcPr>
            <w:tcW w:w="1763" w:type="dxa"/>
            <w:vAlign w:val="center"/>
          </w:tcPr>
          <w:p w14:paraId="0924FB55">
            <w:pPr>
              <w:spacing w:line="240" w:lineRule="exact"/>
              <w:jc w:val="center"/>
              <w:rPr>
                <w:rFonts w:hint="eastAsia" w:hAnsi="宋体" w:cs="宋体"/>
                <w:color w:val="auto"/>
                <w:szCs w:val="21"/>
              </w:rPr>
            </w:pPr>
            <w:r>
              <w:rPr>
                <w:rFonts w:hint="eastAsia" w:ascii="宋体" w:hAnsi="宋体" w:cs="宋体"/>
                <w:color w:val="auto"/>
                <w:szCs w:val="21"/>
              </w:rPr>
              <w:t>磋商保证金</w:t>
            </w:r>
          </w:p>
        </w:tc>
        <w:tc>
          <w:tcPr>
            <w:tcW w:w="6389" w:type="dxa"/>
            <w:vAlign w:val="center"/>
          </w:tcPr>
          <w:p w14:paraId="3495BED7">
            <w:pPr>
              <w:keepNext w:val="0"/>
              <w:keepLines w:val="0"/>
              <w:pageBreakBefore w:val="0"/>
              <w:widowControl w:val="0"/>
              <w:kinsoku/>
              <w:wordWrap/>
              <w:overflowPunct/>
              <w:bidi w:val="0"/>
              <w:adjustRightInd/>
              <w:snapToGrid/>
              <w:spacing w:line="240" w:lineRule="auto"/>
              <w:ind w:firstLine="0" w:firstLineChars="0"/>
              <w:textAlignment w:val="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一、缴纳</w:t>
            </w:r>
            <w:r>
              <w:rPr>
                <w:rFonts w:hint="eastAsia" w:ascii="宋体" w:hAnsi="宋体" w:cs="宋体"/>
                <w:color w:val="auto"/>
                <w:szCs w:val="21"/>
                <w:highlight w:val="none"/>
                <w:lang w:val="en-US" w:eastAsia="zh-CN"/>
              </w:rPr>
              <w:t>磋商</w:t>
            </w:r>
            <w:r>
              <w:rPr>
                <w:rFonts w:hint="eastAsia" w:ascii="宋体" w:hAnsi="宋体" w:eastAsia="宋体" w:cs="宋体"/>
                <w:color w:val="auto"/>
                <w:szCs w:val="21"/>
                <w:highlight w:val="none"/>
              </w:rPr>
              <w:t>保证金的金额及账号：</w:t>
            </w:r>
          </w:p>
          <w:p w14:paraId="55CC7940">
            <w:pPr>
              <w:keepNext w:val="0"/>
              <w:keepLines w:val="0"/>
              <w:pageBreakBefore w:val="0"/>
              <w:widowControl w:val="0"/>
              <w:kinsoku/>
              <w:wordWrap/>
              <w:overflowPunct/>
              <w:bidi w:val="0"/>
              <w:adjustRightInd/>
              <w:snapToGrid/>
              <w:spacing w:line="240" w:lineRule="auto"/>
              <w:ind w:firstLine="0" w:firstLineChars="0"/>
              <w:textAlignment w:val="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（1）收款人：</w:t>
            </w:r>
            <w:r>
              <w:rPr>
                <w:rFonts w:hint="eastAsia" w:ascii="宋体" w:hAnsi="宋体" w:cs="宋体"/>
                <w:color w:val="auto"/>
                <w:szCs w:val="21"/>
                <w:highlight w:val="none"/>
                <w:lang w:eastAsia="zh-CN"/>
              </w:rPr>
              <w:t>云南银源项目管理咨询有限公司</w:t>
            </w:r>
          </w:p>
          <w:p w14:paraId="12A4113C">
            <w:pPr>
              <w:keepNext w:val="0"/>
              <w:keepLines w:val="0"/>
              <w:pageBreakBefore w:val="0"/>
              <w:widowControl w:val="0"/>
              <w:kinsoku/>
              <w:wordWrap/>
              <w:overflowPunct/>
              <w:bidi w:val="0"/>
              <w:adjustRightInd/>
              <w:snapToGrid/>
              <w:spacing w:line="240" w:lineRule="auto"/>
              <w:ind w:firstLine="0" w:firstLineChars="0"/>
              <w:textAlignment w:val="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（2）开户行：中国银行股份有限公司红河州分行营业部</w:t>
            </w:r>
          </w:p>
          <w:p w14:paraId="2899CD92">
            <w:pPr>
              <w:keepNext w:val="0"/>
              <w:keepLines w:val="0"/>
              <w:pageBreakBefore w:val="0"/>
              <w:widowControl w:val="0"/>
              <w:kinsoku/>
              <w:wordWrap/>
              <w:overflowPunct/>
              <w:bidi w:val="0"/>
              <w:adjustRightInd/>
              <w:snapToGrid/>
              <w:spacing w:line="240" w:lineRule="auto"/>
              <w:ind w:firstLine="0" w:firstLineChars="0"/>
              <w:textAlignment w:val="auto"/>
              <w:rPr>
                <w:rFonts w:hint="eastAsia" w:ascii="宋体" w:hAnsi="宋体" w:eastAsia="宋体" w:cs="宋体"/>
                <w:color w:val="auto"/>
                <w:szCs w:val="21"/>
              </w:rPr>
            </w:pPr>
            <w:r>
              <w:rPr>
                <w:rFonts w:hint="eastAsia" w:ascii="宋体" w:hAnsi="宋体" w:eastAsia="宋体" w:cs="宋体"/>
                <w:color w:val="auto"/>
                <w:szCs w:val="21"/>
                <w:highlight w:val="none"/>
              </w:rPr>
              <w:t>（3）账号：</w:t>
            </w:r>
            <w:r>
              <w:rPr>
                <w:rFonts w:hint="eastAsia" w:ascii="宋体" w:hAnsi="宋体" w:eastAsia="宋体" w:cs="宋体"/>
                <w:color w:val="auto"/>
                <w:szCs w:val="21"/>
              </w:rPr>
              <w:t>134085710760</w:t>
            </w:r>
          </w:p>
          <w:p w14:paraId="67423EB8">
            <w:pPr>
              <w:keepNext w:val="0"/>
              <w:keepLines w:val="0"/>
              <w:pageBreakBefore w:val="0"/>
              <w:widowControl w:val="0"/>
              <w:kinsoku/>
              <w:wordWrap/>
              <w:overflowPunct/>
              <w:bidi w:val="0"/>
              <w:adjustRightInd/>
              <w:snapToGrid/>
              <w:spacing w:line="240" w:lineRule="auto"/>
              <w:ind w:firstLine="0" w:firstLineChars="0"/>
              <w:textAlignment w:val="auto"/>
              <w:rPr>
                <w:rFonts w:hint="eastAsia" w:ascii="宋体" w:hAnsi="宋体" w:eastAsia="宋体" w:cs="宋体"/>
                <w:color w:val="auto"/>
                <w:szCs w:val="21"/>
              </w:rPr>
            </w:pPr>
            <w:r>
              <w:rPr>
                <w:rFonts w:hint="eastAsia" w:ascii="宋体" w:hAnsi="宋体" w:eastAsia="宋体" w:cs="宋体"/>
                <w:color w:val="auto"/>
                <w:szCs w:val="21"/>
              </w:rPr>
              <w:t>（4）联系人：马老师</w:t>
            </w:r>
          </w:p>
          <w:p w14:paraId="3D927F41">
            <w:pPr>
              <w:keepNext w:val="0"/>
              <w:keepLines w:val="0"/>
              <w:pageBreakBefore w:val="0"/>
              <w:widowControl w:val="0"/>
              <w:kinsoku/>
              <w:wordWrap/>
              <w:overflowPunct/>
              <w:bidi w:val="0"/>
              <w:adjustRightInd/>
              <w:snapToGrid/>
              <w:spacing w:line="240" w:lineRule="auto"/>
              <w:ind w:firstLine="0" w:firstLineChars="0"/>
              <w:textAlignment w:val="auto"/>
              <w:rPr>
                <w:rFonts w:hint="eastAsia" w:ascii="宋体" w:hAnsi="宋体" w:eastAsia="宋体" w:cs="宋体"/>
                <w:color w:val="auto"/>
                <w:szCs w:val="21"/>
              </w:rPr>
            </w:pPr>
            <w:r>
              <w:rPr>
                <w:rFonts w:hint="eastAsia" w:ascii="宋体" w:hAnsi="宋体" w:eastAsia="宋体" w:cs="宋体"/>
                <w:color w:val="auto"/>
                <w:szCs w:val="21"/>
              </w:rPr>
              <w:t>（5）地址：蒙自市观澜街道护国路起龙九社A-1幢</w:t>
            </w:r>
          </w:p>
          <w:p w14:paraId="389A675D">
            <w:pPr>
              <w:keepNext w:val="0"/>
              <w:keepLines w:val="0"/>
              <w:pageBreakBefore w:val="0"/>
              <w:widowControl w:val="0"/>
              <w:kinsoku/>
              <w:wordWrap/>
              <w:overflowPunct/>
              <w:bidi w:val="0"/>
              <w:adjustRightInd/>
              <w:snapToGrid/>
              <w:spacing w:line="240" w:lineRule="auto"/>
              <w:ind w:firstLine="0" w:firstLineChars="0"/>
              <w:textAlignment w:val="auto"/>
              <w:rPr>
                <w:rFonts w:hint="eastAsia" w:ascii="宋体" w:hAnsi="宋体" w:eastAsia="宋体" w:cs="宋体"/>
                <w:color w:val="auto"/>
                <w:szCs w:val="21"/>
              </w:rPr>
            </w:pPr>
            <w:r>
              <w:rPr>
                <w:rFonts w:hint="eastAsia" w:ascii="宋体" w:hAnsi="宋体" w:eastAsia="宋体" w:cs="宋体"/>
                <w:color w:val="auto"/>
                <w:szCs w:val="21"/>
              </w:rPr>
              <w:t>（6）联系电话：15987386843</w:t>
            </w:r>
          </w:p>
          <w:p w14:paraId="63EC04F1">
            <w:pPr>
              <w:keepNext w:val="0"/>
              <w:keepLines w:val="0"/>
              <w:pageBreakBefore w:val="0"/>
              <w:widowControl w:val="0"/>
              <w:kinsoku/>
              <w:wordWrap/>
              <w:overflowPunct/>
              <w:bidi w:val="0"/>
              <w:adjustRightInd/>
              <w:snapToGrid/>
              <w:spacing w:line="240" w:lineRule="auto"/>
              <w:ind w:firstLine="0" w:firstLineChars="0"/>
              <w:textAlignment w:val="auto"/>
              <w:rPr>
                <w:rFonts w:hint="eastAsia" w:ascii="宋体" w:hAnsi="宋体" w:eastAsia="宋体" w:cs="宋体"/>
                <w:color w:val="auto"/>
                <w:szCs w:val="21"/>
                <w:highlight w:val="none"/>
              </w:rPr>
            </w:pPr>
            <w:r>
              <w:rPr>
                <w:rFonts w:hint="eastAsia" w:ascii="宋体" w:hAnsi="宋体" w:cs="宋体"/>
                <w:color w:val="auto"/>
                <w:szCs w:val="21"/>
                <w:highlight w:val="none"/>
                <w:lang w:val="en-US" w:eastAsia="zh-CN"/>
              </w:rPr>
              <w:t>磋商</w:t>
            </w:r>
            <w:r>
              <w:rPr>
                <w:rFonts w:hint="eastAsia" w:ascii="宋体" w:hAnsi="宋体" w:eastAsia="宋体" w:cs="宋体"/>
                <w:color w:val="auto"/>
                <w:szCs w:val="21"/>
                <w:highlight w:val="none"/>
              </w:rPr>
              <w:t>保证金缴纳金额：人民币</w:t>
            </w:r>
            <w:r>
              <w:rPr>
                <w:rFonts w:hint="eastAsia" w:ascii="宋体" w:hAnsi="宋体" w:cs="宋体"/>
                <w:color w:val="auto"/>
                <w:szCs w:val="21"/>
                <w:highlight w:val="none"/>
                <w:lang w:val="en-US" w:eastAsia="zh-CN"/>
              </w:rPr>
              <w:t>5</w:t>
            </w:r>
            <w:r>
              <w:rPr>
                <w:rFonts w:hint="eastAsia" w:ascii="宋体" w:hAnsi="宋体" w:eastAsia="宋体" w:cs="宋体"/>
                <w:color w:val="auto"/>
                <w:szCs w:val="21"/>
                <w:highlight w:val="none"/>
                <w:lang w:val="en-US" w:eastAsia="zh-CN"/>
              </w:rPr>
              <w:t>00</w:t>
            </w:r>
            <w:r>
              <w:rPr>
                <w:rFonts w:hint="eastAsia" w:ascii="宋体" w:hAnsi="宋体" w:eastAsia="宋体" w:cs="宋体"/>
                <w:color w:val="auto"/>
                <w:szCs w:val="21"/>
                <w:highlight w:val="none"/>
              </w:rPr>
              <w:t>0.00元（</w:t>
            </w:r>
            <w:r>
              <w:rPr>
                <w:rFonts w:hint="eastAsia" w:ascii="宋体" w:hAnsi="宋体" w:cs="宋体"/>
                <w:color w:val="auto"/>
                <w:szCs w:val="21"/>
                <w:highlight w:val="none"/>
                <w:lang w:val="en-US" w:eastAsia="zh-CN"/>
              </w:rPr>
              <w:t>伍仟元整</w:t>
            </w:r>
            <w:r>
              <w:rPr>
                <w:rFonts w:hint="eastAsia" w:ascii="宋体" w:hAnsi="宋体" w:eastAsia="宋体" w:cs="宋体"/>
                <w:color w:val="auto"/>
                <w:szCs w:val="21"/>
                <w:highlight w:val="none"/>
              </w:rPr>
              <w:t>）</w:t>
            </w:r>
          </w:p>
          <w:p w14:paraId="210E6487">
            <w:pPr>
              <w:keepNext w:val="0"/>
              <w:keepLines w:val="0"/>
              <w:pageBreakBefore w:val="0"/>
              <w:widowControl w:val="0"/>
              <w:kinsoku/>
              <w:wordWrap/>
              <w:overflowPunct/>
              <w:bidi w:val="0"/>
              <w:adjustRightInd/>
              <w:snapToGrid/>
              <w:spacing w:line="240" w:lineRule="auto"/>
              <w:ind w:firstLine="0" w:firstLineChars="0"/>
              <w:textAlignment w:val="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二、</w:t>
            </w:r>
            <w:r>
              <w:rPr>
                <w:rFonts w:hint="eastAsia" w:ascii="宋体" w:hAnsi="宋体" w:cs="宋体"/>
                <w:color w:val="auto"/>
                <w:szCs w:val="21"/>
                <w:highlight w:val="none"/>
                <w:lang w:val="en-US" w:eastAsia="zh-CN"/>
              </w:rPr>
              <w:t>磋商</w:t>
            </w:r>
            <w:r>
              <w:rPr>
                <w:rFonts w:hint="eastAsia" w:ascii="宋体" w:hAnsi="宋体" w:eastAsia="宋体" w:cs="宋体"/>
                <w:color w:val="auto"/>
                <w:szCs w:val="21"/>
                <w:highlight w:val="none"/>
              </w:rPr>
              <w:t>（交易）保证金的提交时间：</w:t>
            </w:r>
            <w:r>
              <w:rPr>
                <w:rFonts w:hint="eastAsia" w:ascii="宋体" w:hAnsi="宋体" w:cs="宋体"/>
                <w:color w:val="auto"/>
                <w:szCs w:val="21"/>
                <w:highlight w:val="none"/>
                <w:lang w:val="en-US" w:eastAsia="zh-CN"/>
              </w:rPr>
              <w:t>磋商</w:t>
            </w:r>
            <w:r>
              <w:rPr>
                <w:rFonts w:hint="eastAsia" w:ascii="宋体" w:hAnsi="宋体" w:eastAsia="宋体" w:cs="宋体"/>
                <w:color w:val="auto"/>
                <w:szCs w:val="21"/>
                <w:highlight w:val="none"/>
              </w:rPr>
              <w:t>截止时间前，到账时间以实际到达专用账户时间为准，未按时到账的保证金视为未提交。</w:t>
            </w:r>
          </w:p>
          <w:p w14:paraId="4FF9DC43">
            <w:pPr>
              <w:keepNext w:val="0"/>
              <w:keepLines w:val="0"/>
              <w:pageBreakBefore w:val="0"/>
              <w:widowControl w:val="0"/>
              <w:kinsoku/>
              <w:wordWrap/>
              <w:overflowPunct/>
              <w:bidi w:val="0"/>
              <w:adjustRightInd/>
              <w:snapToGrid/>
              <w:spacing w:line="240" w:lineRule="auto"/>
              <w:ind w:firstLine="0" w:firstLineChars="0"/>
              <w:textAlignment w:val="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三、保证金的提交方式为银行转账、支票、汇票、本票、保函、保证保险等非现金方式提交。</w:t>
            </w:r>
          </w:p>
          <w:p w14:paraId="3F4C67F7">
            <w:pPr>
              <w:keepNext w:val="0"/>
              <w:keepLines w:val="0"/>
              <w:pageBreakBefore w:val="0"/>
              <w:widowControl w:val="0"/>
              <w:kinsoku/>
              <w:wordWrap/>
              <w:overflowPunct/>
              <w:topLinePunct w:val="0"/>
              <w:autoSpaceDE/>
              <w:autoSpaceDN/>
              <w:bidi w:val="0"/>
              <w:adjustRightInd/>
              <w:snapToGrid/>
              <w:spacing w:line="240" w:lineRule="auto"/>
              <w:ind w:firstLine="0" w:firstLineChars="0"/>
              <w:textAlignment w:val="auto"/>
              <w:rPr>
                <w:rFonts w:hint="eastAsia" w:ascii="宋体" w:hAnsi="宋体" w:cs="宋体"/>
                <w:color w:val="auto"/>
                <w:spacing w:val="0"/>
                <w:szCs w:val="21"/>
                <w:highlight w:val="none"/>
              </w:rPr>
            </w:pPr>
            <w:r>
              <w:rPr>
                <w:rFonts w:hint="eastAsia" w:ascii="宋体" w:hAnsi="宋体" w:cs="宋体"/>
                <w:color w:val="auto"/>
                <w:spacing w:val="0"/>
                <w:szCs w:val="21"/>
                <w:highlight w:val="none"/>
              </w:rPr>
              <w:t>1.银行转账：</w:t>
            </w:r>
          </w:p>
          <w:p w14:paraId="66CE41D9">
            <w:pPr>
              <w:keepNext w:val="0"/>
              <w:keepLines w:val="0"/>
              <w:pageBreakBefore w:val="0"/>
              <w:widowControl w:val="0"/>
              <w:kinsoku/>
              <w:wordWrap/>
              <w:overflowPunct/>
              <w:topLinePunct w:val="0"/>
              <w:autoSpaceDE/>
              <w:autoSpaceDN/>
              <w:bidi w:val="0"/>
              <w:adjustRightInd/>
              <w:snapToGrid/>
              <w:spacing w:line="240" w:lineRule="auto"/>
              <w:ind w:firstLine="0" w:firstLineChars="0"/>
              <w:textAlignment w:val="auto"/>
              <w:rPr>
                <w:rFonts w:hint="eastAsia" w:ascii="宋体" w:hAnsi="宋体" w:cs="宋体"/>
                <w:color w:val="auto"/>
                <w:spacing w:val="0"/>
                <w:szCs w:val="21"/>
                <w:highlight w:val="none"/>
              </w:rPr>
            </w:pPr>
            <w:r>
              <w:rPr>
                <w:rFonts w:hint="eastAsia" w:ascii="宋体" w:hAnsi="宋体" w:cs="宋体"/>
                <w:color w:val="auto"/>
                <w:spacing w:val="0"/>
                <w:szCs w:val="21"/>
                <w:highlight w:val="none"/>
                <w:lang w:val="en-US" w:eastAsia="zh-CN"/>
              </w:rPr>
              <w:t>磋商</w:t>
            </w:r>
            <w:r>
              <w:rPr>
                <w:rFonts w:hint="eastAsia" w:ascii="宋体" w:hAnsi="宋体" w:cs="宋体"/>
                <w:color w:val="auto"/>
                <w:spacing w:val="0"/>
                <w:szCs w:val="21"/>
                <w:highlight w:val="none"/>
              </w:rPr>
              <w:t>保证金应以供应商自身的名义提交，并且必须从其基本账户转出，不得以分支机构等其他名义提交（按照规定，供应商可以为自然人的项目除外）</w:t>
            </w:r>
          </w:p>
          <w:p w14:paraId="2F4AEACC">
            <w:pPr>
              <w:keepNext w:val="0"/>
              <w:keepLines w:val="0"/>
              <w:pageBreakBefore w:val="0"/>
              <w:widowControl w:val="0"/>
              <w:kinsoku/>
              <w:wordWrap/>
              <w:overflowPunct/>
              <w:topLinePunct w:val="0"/>
              <w:autoSpaceDE/>
              <w:autoSpaceDN/>
              <w:bidi w:val="0"/>
              <w:adjustRightInd/>
              <w:snapToGrid/>
              <w:spacing w:line="240" w:lineRule="auto"/>
              <w:ind w:firstLine="0" w:firstLineChars="0"/>
              <w:textAlignment w:val="auto"/>
              <w:rPr>
                <w:rFonts w:hint="eastAsia" w:ascii="宋体" w:hAnsi="宋体" w:cs="宋体"/>
                <w:color w:val="auto"/>
                <w:spacing w:val="0"/>
                <w:szCs w:val="21"/>
                <w:highlight w:val="none"/>
              </w:rPr>
            </w:pPr>
            <w:r>
              <w:rPr>
                <w:rFonts w:hint="eastAsia" w:ascii="宋体" w:hAnsi="宋体" w:cs="宋体"/>
                <w:color w:val="auto"/>
                <w:spacing w:val="0"/>
                <w:szCs w:val="21"/>
                <w:highlight w:val="none"/>
              </w:rPr>
              <w:t>2.保险/保函：为支持和促进中小企业发展，进一步发挥政府采购政策功能，鼓励供应商使用保险/保函替代</w:t>
            </w:r>
            <w:r>
              <w:rPr>
                <w:rFonts w:hint="eastAsia" w:ascii="宋体" w:hAnsi="宋体" w:cs="宋体"/>
                <w:color w:val="auto"/>
                <w:spacing w:val="0"/>
                <w:szCs w:val="21"/>
                <w:highlight w:val="none"/>
                <w:lang w:eastAsia="zh-CN"/>
              </w:rPr>
              <w:t>磋商保证金</w:t>
            </w:r>
            <w:r>
              <w:rPr>
                <w:rFonts w:hint="eastAsia" w:ascii="宋体" w:hAnsi="宋体" w:cs="宋体"/>
                <w:color w:val="auto"/>
                <w:spacing w:val="0"/>
                <w:szCs w:val="21"/>
                <w:highlight w:val="none"/>
              </w:rPr>
              <w:t>，供应商可登录【红河州政府采购金融服务平台】进行了解。</w:t>
            </w:r>
          </w:p>
          <w:p w14:paraId="62098880">
            <w:pPr>
              <w:keepNext w:val="0"/>
              <w:keepLines w:val="0"/>
              <w:pageBreakBefore w:val="0"/>
              <w:widowControl w:val="0"/>
              <w:kinsoku/>
              <w:wordWrap/>
              <w:overflowPunct/>
              <w:topLinePunct w:val="0"/>
              <w:autoSpaceDE/>
              <w:autoSpaceDN/>
              <w:bidi w:val="0"/>
              <w:adjustRightInd/>
              <w:snapToGrid/>
              <w:spacing w:line="240" w:lineRule="auto"/>
              <w:ind w:firstLine="0" w:firstLineChars="0"/>
              <w:textAlignment w:val="auto"/>
              <w:rPr>
                <w:rFonts w:hint="eastAsia" w:ascii="宋体" w:hAnsi="宋体" w:cs="宋体"/>
                <w:color w:val="auto"/>
                <w:spacing w:val="0"/>
                <w:szCs w:val="21"/>
                <w:highlight w:val="none"/>
              </w:rPr>
            </w:pPr>
            <w:r>
              <w:rPr>
                <w:rFonts w:hint="eastAsia" w:ascii="宋体" w:hAnsi="宋体" w:cs="宋体"/>
                <w:color w:val="auto"/>
                <w:spacing w:val="0"/>
                <w:szCs w:val="21"/>
                <w:highlight w:val="none"/>
              </w:rPr>
              <w:t>（直达链接：</w:t>
            </w:r>
            <w:r>
              <w:rPr>
                <w:rFonts w:hint="eastAsia" w:ascii="宋体" w:hAnsi="宋体" w:cs="宋体"/>
                <w:color w:val="auto"/>
                <w:spacing w:val="0"/>
                <w:szCs w:val="21"/>
                <w:highlight w:val="none"/>
              </w:rPr>
              <w:fldChar w:fldCharType="begin"/>
            </w:r>
            <w:r>
              <w:rPr>
                <w:rFonts w:hint="eastAsia" w:ascii="宋体" w:hAnsi="宋体" w:cs="宋体"/>
                <w:color w:val="auto"/>
                <w:spacing w:val="0"/>
                <w:szCs w:val="21"/>
                <w:highlight w:val="none"/>
              </w:rPr>
              <w:instrText xml:space="preserve"> HYPERLINK "https://jinrong.zcygov.cn/1uban/finance/hongh）" </w:instrText>
            </w:r>
            <w:r>
              <w:rPr>
                <w:rFonts w:hint="eastAsia" w:ascii="宋体" w:hAnsi="宋体" w:cs="宋体"/>
                <w:color w:val="auto"/>
                <w:spacing w:val="0"/>
                <w:szCs w:val="21"/>
                <w:highlight w:val="none"/>
              </w:rPr>
              <w:fldChar w:fldCharType="separate"/>
            </w:r>
            <w:r>
              <w:rPr>
                <w:rFonts w:hint="eastAsia" w:ascii="宋体" w:hAnsi="宋体" w:cs="宋体"/>
                <w:color w:val="auto"/>
                <w:spacing w:val="0"/>
                <w:szCs w:val="21"/>
                <w:highlight w:val="none"/>
              </w:rPr>
              <w:t>https://jinrong.zcygov.cn/luban/home）</w:t>
            </w:r>
            <w:r>
              <w:rPr>
                <w:rFonts w:hint="eastAsia" w:ascii="宋体" w:hAnsi="宋体" w:cs="宋体"/>
                <w:color w:val="auto"/>
                <w:spacing w:val="0"/>
                <w:szCs w:val="21"/>
                <w:highlight w:val="none"/>
              </w:rPr>
              <w:fldChar w:fldCharType="end"/>
            </w:r>
          </w:p>
          <w:p w14:paraId="62C0FFD7">
            <w:pPr>
              <w:keepNext w:val="0"/>
              <w:keepLines w:val="0"/>
              <w:pageBreakBefore w:val="0"/>
              <w:widowControl w:val="0"/>
              <w:kinsoku/>
              <w:wordWrap/>
              <w:overflowPunct/>
              <w:topLinePunct w:val="0"/>
              <w:autoSpaceDE/>
              <w:autoSpaceDN/>
              <w:bidi w:val="0"/>
              <w:adjustRightInd/>
              <w:snapToGrid/>
              <w:spacing w:line="240" w:lineRule="auto"/>
              <w:ind w:firstLine="0" w:firstLineChars="0"/>
              <w:textAlignment w:val="auto"/>
              <w:rPr>
                <w:rFonts w:hint="eastAsia" w:ascii="宋体" w:hAnsi="宋体" w:cs="宋体"/>
                <w:color w:val="auto"/>
                <w:spacing w:val="0"/>
                <w:szCs w:val="21"/>
                <w:highlight w:val="none"/>
              </w:rPr>
            </w:pPr>
            <w:r>
              <w:rPr>
                <w:rFonts w:hint="eastAsia" w:ascii="宋体" w:hAnsi="宋体" w:cs="宋体"/>
                <w:color w:val="auto"/>
                <w:spacing w:val="0"/>
                <w:szCs w:val="21"/>
                <w:highlight w:val="none"/>
                <w:lang w:val="en-US" w:eastAsia="zh-CN"/>
              </w:rPr>
              <w:t>3</w:t>
            </w:r>
            <w:r>
              <w:rPr>
                <w:rFonts w:hint="eastAsia" w:ascii="宋体" w:hAnsi="宋体" w:cs="宋体"/>
                <w:color w:val="auto"/>
                <w:spacing w:val="0"/>
                <w:szCs w:val="21"/>
                <w:highlight w:val="none"/>
              </w:rPr>
              <w:t>、根据招投标政策，保证金需要在每个项目中标</w:t>
            </w:r>
            <w:r>
              <w:rPr>
                <w:rFonts w:hint="eastAsia" w:ascii="宋体" w:hAnsi="宋体" w:cs="宋体"/>
                <w:color w:val="auto"/>
                <w:spacing w:val="0"/>
                <w:szCs w:val="21"/>
                <w:highlight w:val="none"/>
                <w:lang w:eastAsia="zh-CN"/>
              </w:rPr>
              <w:t>（</w:t>
            </w:r>
            <w:r>
              <w:rPr>
                <w:rFonts w:hint="eastAsia" w:ascii="宋体" w:hAnsi="宋体" w:cs="宋体"/>
                <w:color w:val="auto"/>
                <w:spacing w:val="0"/>
                <w:szCs w:val="21"/>
                <w:highlight w:val="none"/>
                <w:lang w:val="en-US" w:eastAsia="zh-CN"/>
              </w:rPr>
              <w:t>成交</w:t>
            </w:r>
            <w:r>
              <w:rPr>
                <w:rFonts w:hint="eastAsia" w:ascii="宋体" w:hAnsi="宋体" w:cs="宋体"/>
                <w:color w:val="auto"/>
                <w:spacing w:val="0"/>
                <w:szCs w:val="21"/>
                <w:highlight w:val="none"/>
                <w:lang w:eastAsia="zh-CN"/>
              </w:rPr>
              <w:t>）</w:t>
            </w:r>
            <w:r>
              <w:rPr>
                <w:rFonts w:hint="eastAsia" w:ascii="宋体" w:hAnsi="宋体" w:cs="宋体"/>
                <w:color w:val="auto"/>
                <w:spacing w:val="0"/>
                <w:szCs w:val="21"/>
                <w:highlight w:val="none"/>
              </w:rPr>
              <w:t>公示期过后方可办理。</w:t>
            </w:r>
          </w:p>
          <w:p w14:paraId="3C5EE65C">
            <w:pPr>
              <w:keepNext w:val="0"/>
              <w:keepLines w:val="0"/>
              <w:pageBreakBefore w:val="0"/>
              <w:widowControl w:val="0"/>
              <w:kinsoku/>
              <w:wordWrap/>
              <w:overflowPunct/>
              <w:topLinePunct w:val="0"/>
              <w:autoSpaceDE/>
              <w:autoSpaceDN/>
              <w:bidi w:val="0"/>
              <w:adjustRightInd/>
              <w:snapToGrid/>
              <w:spacing w:line="240" w:lineRule="auto"/>
              <w:ind w:firstLine="0" w:firstLineChars="0"/>
              <w:textAlignment w:val="auto"/>
              <w:rPr>
                <w:rFonts w:hint="eastAsia" w:ascii="宋体" w:hAnsi="宋体" w:cs="宋体"/>
                <w:color w:val="auto"/>
                <w:spacing w:val="0"/>
                <w:szCs w:val="21"/>
                <w:highlight w:val="none"/>
              </w:rPr>
            </w:pPr>
            <w:r>
              <w:rPr>
                <w:rFonts w:hint="eastAsia" w:ascii="宋体" w:hAnsi="宋体" w:cs="宋体"/>
                <w:color w:val="auto"/>
                <w:spacing w:val="0"/>
                <w:szCs w:val="21"/>
                <w:highlight w:val="none"/>
              </w:rPr>
              <w:t>注：</w:t>
            </w:r>
          </w:p>
          <w:p w14:paraId="55E02CAB">
            <w:pPr>
              <w:keepNext w:val="0"/>
              <w:keepLines w:val="0"/>
              <w:pageBreakBefore w:val="0"/>
              <w:widowControl w:val="0"/>
              <w:kinsoku/>
              <w:wordWrap/>
              <w:overflowPunct/>
              <w:topLinePunct w:val="0"/>
              <w:autoSpaceDE/>
              <w:autoSpaceDN/>
              <w:bidi w:val="0"/>
              <w:adjustRightInd/>
              <w:snapToGrid/>
              <w:spacing w:line="240" w:lineRule="auto"/>
              <w:ind w:firstLine="0" w:firstLineChars="0"/>
              <w:textAlignment w:val="auto"/>
              <w:rPr>
                <w:rFonts w:hint="eastAsia" w:ascii="宋体" w:hAnsi="宋体" w:cs="宋体"/>
                <w:color w:val="auto"/>
                <w:spacing w:val="0"/>
                <w:szCs w:val="21"/>
                <w:highlight w:val="none"/>
              </w:rPr>
            </w:pPr>
            <w:r>
              <w:rPr>
                <w:rFonts w:hint="eastAsia" w:ascii="宋体" w:hAnsi="宋体" w:cs="宋体"/>
                <w:color w:val="auto"/>
                <w:spacing w:val="0"/>
                <w:szCs w:val="21"/>
                <w:highlight w:val="none"/>
              </w:rPr>
              <w:t>A</w:t>
            </w:r>
            <w:r>
              <w:rPr>
                <w:rFonts w:hint="eastAsia" w:ascii="宋体" w:hAnsi="宋体" w:cs="宋体"/>
                <w:color w:val="auto"/>
                <w:spacing w:val="0"/>
                <w:szCs w:val="21"/>
                <w:highlight w:val="none"/>
                <w:lang w:eastAsia="zh-CN"/>
              </w:rPr>
              <w:t>.</w:t>
            </w:r>
            <w:r>
              <w:rPr>
                <w:rFonts w:hint="eastAsia" w:ascii="宋体" w:hAnsi="宋体" w:cs="宋体"/>
                <w:color w:val="auto"/>
                <w:spacing w:val="0"/>
                <w:szCs w:val="21"/>
                <w:highlight w:val="none"/>
              </w:rPr>
              <w:t>未</w:t>
            </w:r>
            <w:r>
              <w:rPr>
                <w:rFonts w:hint="eastAsia" w:ascii="宋体" w:hAnsi="宋体" w:cs="宋体"/>
                <w:color w:val="auto"/>
                <w:spacing w:val="0"/>
                <w:szCs w:val="21"/>
                <w:highlight w:val="none"/>
                <w:lang w:val="en-US" w:eastAsia="zh-CN"/>
              </w:rPr>
              <w:t>成交</w:t>
            </w:r>
            <w:r>
              <w:rPr>
                <w:rFonts w:hint="eastAsia" w:ascii="宋体" w:hAnsi="宋体" w:cs="宋体"/>
                <w:color w:val="auto"/>
                <w:spacing w:val="0"/>
                <w:szCs w:val="21"/>
                <w:highlight w:val="none"/>
              </w:rPr>
              <w:t>单位，可于公示期过后前来办理，提交保证金收据，开户许可证复印件前来办理退款业务（详见附件）。</w:t>
            </w:r>
          </w:p>
          <w:p w14:paraId="78386784">
            <w:pPr>
              <w:keepNext w:val="0"/>
              <w:keepLines w:val="0"/>
              <w:pageBreakBefore w:val="0"/>
              <w:widowControl w:val="0"/>
              <w:kinsoku/>
              <w:wordWrap/>
              <w:overflowPunct/>
              <w:topLinePunct w:val="0"/>
              <w:autoSpaceDE/>
              <w:autoSpaceDN/>
              <w:bidi w:val="0"/>
              <w:adjustRightInd/>
              <w:snapToGrid/>
              <w:spacing w:line="240" w:lineRule="auto"/>
              <w:ind w:firstLine="0" w:firstLineChars="0"/>
              <w:textAlignment w:val="auto"/>
              <w:rPr>
                <w:rFonts w:hint="eastAsia" w:ascii="宋体" w:hAnsi="宋体" w:cs="宋体"/>
                <w:color w:val="auto"/>
                <w:spacing w:val="0"/>
                <w:szCs w:val="21"/>
                <w:highlight w:val="none"/>
              </w:rPr>
            </w:pPr>
            <w:r>
              <w:rPr>
                <w:rFonts w:hint="eastAsia" w:ascii="宋体" w:hAnsi="宋体" w:cs="宋体"/>
                <w:color w:val="auto"/>
                <w:spacing w:val="0"/>
                <w:szCs w:val="21"/>
                <w:highlight w:val="none"/>
              </w:rPr>
              <w:t>B</w:t>
            </w:r>
            <w:r>
              <w:rPr>
                <w:rFonts w:hint="eastAsia" w:ascii="宋体" w:hAnsi="宋体" w:cs="宋体"/>
                <w:color w:val="auto"/>
                <w:spacing w:val="0"/>
                <w:szCs w:val="21"/>
                <w:highlight w:val="none"/>
                <w:lang w:eastAsia="zh-CN"/>
              </w:rPr>
              <w:t>.</w:t>
            </w:r>
            <w:r>
              <w:rPr>
                <w:rFonts w:hint="eastAsia" w:ascii="宋体" w:hAnsi="宋体" w:cs="宋体"/>
                <w:color w:val="auto"/>
                <w:spacing w:val="0"/>
                <w:szCs w:val="21"/>
                <w:highlight w:val="none"/>
                <w:lang w:val="en-US" w:eastAsia="zh-CN"/>
              </w:rPr>
              <w:t>成交</w:t>
            </w:r>
            <w:r>
              <w:rPr>
                <w:rFonts w:hint="eastAsia" w:ascii="宋体" w:hAnsi="宋体" w:cs="宋体"/>
                <w:color w:val="auto"/>
                <w:spacing w:val="0"/>
                <w:szCs w:val="21"/>
                <w:highlight w:val="none"/>
              </w:rPr>
              <w:t>单位（</w:t>
            </w:r>
            <w:r>
              <w:rPr>
                <w:rFonts w:hint="eastAsia" w:ascii="宋体" w:hAnsi="宋体" w:cs="宋体"/>
                <w:color w:val="auto"/>
                <w:spacing w:val="0"/>
                <w:szCs w:val="21"/>
                <w:highlight w:val="none"/>
                <w:lang w:val="en-US" w:eastAsia="zh-CN"/>
              </w:rPr>
              <w:t>成交</w:t>
            </w:r>
            <w:r>
              <w:rPr>
                <w:rFonts w:hint="eastAsia" w:ascii="宋体" w:hAnsi="宋体" w:cs="宋体"/>
                <w:color w:val="auto"/>
                <w:spacing w:val="0"/>
                <w:szCs w:val="21"/>
                <w:highlight w:val="none"/>
              </w:rPr>
              <w:t>候选人），需在签订合同后，持合同原件或复印件</w:t>
            </w:r>
            <w:r>
              <w:rPr>
                <w:rFonts w:hint="eastAsia" w:ascii="宋体" w:hAnsi="宋体" w:cs="宋体"/>
                <w:color w:val="auto"/>
                <w:spacing w:val="0"/>
                <w:szCs w:val="21"/>
                <w:highlight w:val="none"/>
                <w:lang w:val="en-US" w:eastAsia="zh-CN"/>
              </w:rPr>
              <w:t>及退款申请</w:t>
            </w:r>
            <w:r>
              <w:rPr>
                <w:rFonts w:hint="eastAsia" w:ascii="宋体" w:hAnsi="宋体" w:cs="宋体"/>
                <w:color w:val="auto"/>
                <w:spacing w:val="0"/>
                <w:szCs w:val="21"/>
                <w:highlight w:val="none"/>
              </w:rPr>
              <w:t>前来办理退款业务（详见附件）。</w:t>
            </w:r>
          </w:p>
          <w:p w14:paraId="03435CB0">
            <w:pPr>
              <w:keepNext w:val="0"/>
              <w:keepLines w:val="0"/>
              <w:pageBreakBefore w:val="0"/>
              <w:widowControl w:val="0"/>
              <w:kinsoku/>
              <w:wordWrap/>
              <w:overflowPunct/>
              <w:topLinePunct w:val="0"/>
              <w:autoSpaceDE/>
              <w:autoSpaceDN/>
              <w:bidi w:val="0"/>
              <w:adjustRightInd/>
              <w:snapToGrid/>
              <w:spacing w:line="240" w:lineRule="auto"/>
              <w:ind w:firstLine="0" w:firstLineChars="0"/>
              <w:textAlignment w:val="auto"/>
              <w:rPr>
                <w:rFonts w:hint="eastAsia" w:ascii="宋体" w:hAnsi="宋体" w:cs="宋体"/>
                <w:color w:val="auto"/>
                <w:spacing w:val="0"/>
                <w:szCs w:val="21"/>
                <w:highlight w:val="none"/>
              </w:rPr>
            </w:pPr>
            <w:r>
              <w:rPr>
                <w:rFonts w:hint="eastAsia" w:ascii="宋体" w:hAnsi="宋体" w:cs="宋体"/>
                <w:color w:val="auto"/>
                <w:spacing w:val="0"/>
                <w:szCs w:val="21"/>
                <w:highlight w:val="none"/>
              </w:rPr>
              <w:t>6、根据公司财务制度，保证金不能退于私人账号，为避免不必要的麻烦，请提供公司账户。</w:t>
            </w:r>
          </w:p>
          <w:p w14:paraId="71A3D07E">
            <w:pPr>
              <w:keepNext w:val="0"/>
              <w:keepLines w:val="0"/>
              <w:pageBreakBefore w:val="0"/>
              <w:widowControl w:val="0"/>
              <w:kinsoku/>
              <w:wordWrap/>
              <w:overflowPunct/>
              <w:topLinePunct w:val="0"/>
              <w:autoSpaceDE/>
              <w:autoSpaceDN/>
              <w:bidi w:val="0"/>
              <w:adjustRightInd/>
              <w:snapToGrid/>
              <w:spacing w:line="240" w:lineRule="auto"/>
              <w:ind w:firstLine="0" w:firstLineChars="0"/>
              <w:textAlignment w:val="auto"/>
              <w:rPr>
                <w:rFonts w:hint="eastAsia" w:ascii="宋体" w:hAnsi="宋体" w:cs="宋体"/>
                <w:color w:val="auto"/>
                <w:spacing w:val="0"/>
                <w:szCs w:val="21"/>
                <w:highlight w:val="none"/>
              </w:rPr>
            </w:pPr>
            <w:r>
              <w:rPr>
                <w:rFonts w:hint="eastAsia" w:ascii="宋体" w:hAnsi="宋体" w:cs="宋体"/>
                <w:color w:val="auto"/>
                <w:spacing w:val="0"/>
                <w:szCs w:val="21"/>
                <w:highlight w:val="none"/>
              </w:rPr>
              <w:t>7、如供应商发生下列情况之一时，</w:t>
            </w:r>
            <w:r>
              <w:rPr>
                <w:rFonts w:hint="eastAsia" w:ascii="宋体" w:hAnsi="宋体" w:cs="宋体"/>
                <w:color w:val="auto"/>
                <w:spacing w:val="0"/>
                <w:szCs w:val="21"/>
                <w:highlight w:val="none"/>
                <w:lang w:eastAsia="zh-CN"/>
              </w:rPr>
              <w:t>磋商保证金</w:t>
            </w:r>
            <w:r>
              <w:rPr>
                <w:rFonts w:hint="eastAsia" w:ascii="宋体" w:hAnsi="宋体" w:cs="宋体"/>
                <w:color w:val="auto"/>
                <w:spacing w:val="0"/>
                <w:szCs w:val="21"/>
                <w:highlight w:val="none"/>
              </w:rPr>
              <w:t>将被没收：</w:t>
            </w:r>
          </w:p>
          <w:p w14:paraId="18D77C8B">
            <w:pPr>
              <w:keepNext w:val="0"/>
              <w:keepLines w:val="0"/>
              <w:pageBreakBefore w:val="0"/>
              <w:widowControl w:val="0"/>
              <w:kinsoku/>
              <w:wordWrap/>
              <w:overflowPunct/>
              <w:topLinePunct w:val="0"/>
              <w:autoSpaceDE/>
              <w:autoSpaceDN/>
              <w:bidi w:val="0"/>
              <w:adjustRightInd/>
              <w:snapToGrid/>
              <w:spacing w:line="240" w:lineRule="auto"/>
              <w:ind w:firstLine="0" w:firstLineChars="0"/>
              <w:textAlignment w:val="auto"/>
              <w:rPr>
                <w:rFonts w:hint="eastAsia" w:ascii="宋体" w:hAnsi="宋体" w:cs="宋体"/>
                <w:color w:val="auto"/>
                <w:spacing w:val="0"/>
                <w:szCs w:val="21"/>
                <w:highlight w:val="none"/>
              </w:rPr>
            </w:pPr>
            <w:r>
              <w:rPr>
                <w:rFonts w:hint="eastAsia" w:ascii="宋体" w:hAnsi="宋体" w:cs="宋体"/>
                <w:color w:val="auto"/>
                <w:spacing w:val="0"/>
                <w:szCs w:val="21"/>
                <w:highlight w:val="none"/>
              </w:rPr>
              <w:t>（1）供应商在</w:t>
            </w:r>
            <w:r>
              <w:rPr>
                <w:rFonts w:hint="eastAsia" w:ascii="宋体" w:hAnsi="宋体" w:cs="宋体"/>
                <w:color w:val="auto"/>
                <w:spacing w:val="0"/>
                <w:szCs w:val="21"/>
                <w:highlight w:val="none"/>
                <w:lang w:val="en-US" w:eastAsia="zh-CN"/>
              </w:rPr>
              <w:t>竞争性磋商</w:t>
            </w:r>
            <w:r>
              <w:rPr>
                <w:rFonts w:hint="eastAsia" w:ascii="宋体" w:hAnsi="宋体" w:cs="宋体"/>
                <w:color w:val="auto"/>
                <w:spacing w:val="0"/>
                <w:szCs w:val="21"/>
                <w:highlight w:val="none"/>
              </w:rPr>
              <w:t>文件规定的申请有效期内撤回其投标文件的；</w:t>
            </w:r>
          </w:p>
          <w:p w14:paraId="4DC10332">
            <w:pPr>
              <w:keepNext w:val="0"/>
              <w:keepLines w:val="0"/>
              <w:pageBreakBefore w:val="0"/>
              <w:widowControl w:val="0"/>
              <w:kinsoku/>
              <w:wordWrap/>
              <w:overflowPunct/>
              <w:topLinePunct w:val="0"/>
              <w:autoSpaceDE/>
              <w:autoSpaceDN/>
              <w:bidi w:val="0"/>
              <w:adjustRightInd/>
              <w:snapToGrid/>
              <w:spacing w:line="240" w:lineRule="auto"/>
              <w:ind w:firstLine="0" w:firstLineChars="0"/>
              <w:textAlignment w:val="auto"/>
              <w:rPr>
                <w:rFonts w:hint="eastAsia" w:ascii="宋体" w:hAnsi="宋体" w:cs="宋体"/>
                <w:color w:val="auto"/>
                <w:spacing w:val="0"/>
                <w:szCs w:val="21"/>
                <w:highlight w:val="none"/>
              </w:rPr>
            </w:pPr>
            <w:r>
              <w:rPr>
                <w:rFonts w:hint="eastAsia" w:ascii="宋体" w:hAnsi="宋体" w:cs="宋体"/>
                <w:color w:val="auto"/>
                <w:spacing w:val="0"/>
                <w:szCs w:val="21"/>
                <w:highlight w:val="none"/>
              </w:rPr>
              <w:t>（2）供应商拒绝接受修正投标报价的。</w:t>
            </w:r>
          </w:p>
          <w:p w14:paraId="6032374E">
            <w:pPr>
              <w:keepNext w:val="0"/>
              <w:keepLines w:val="0"/>
              <w:pageBreakBefore w:val="0"/>
              <w:widowControl w:val="0"/>
              <w:kinsoku/>
              <w:wordWrap/>
              <w:overflowPunct/>
              <w:bidi w:val="0"/>
              <w:adjustRightInd/>
              <w:snapToGrid/>
              <w:spacing w:line="240" w:lineRule="auto"/>
              <w:ind w:firstLine="0" w:firstLineChars="0"/>
              <w:textAlignment w:val="auto"/>
              <w:rPr>
                <w:rFonts w:hint="default" w:hAnsi="宋体" w:eastAsia="宋体" w:cs="宋体"/>
                <w:color w:val="auto"/>
                <w:szCs w:val="21"/>
                <w:lang w:val="en-US" w:eastAsia="zh-CN"/>
              </w:rPr>
            </w:pPr>
            <w:r>
              <w:rPr>
                <w:rFonts w:hint="eastAsia" w:ascii="宋体" w:hAnsi="宋体" w:cs="宋体"/>
                <w:color w:val="auto"/>
                <w:spacing w:val="0"/>
                <w:szCs w:val="21"/>
                <w:highlight w:val="none"/>
              </w:rPr>
              <w:t>（3）未按</w:t>
            </w:r>
            <w:r>
              <w:rPr>
                <w:rFonts w:hint="eastAsia" w:ascii="宋体" w:hAnsi="宋体" w:cs="宋体"/>
                <w:color w:val="auto"/>
                <w:spacing w:val="0"/>
                <w:szCs w:val="21"/>
                <w:highlight w:val="none"/>
                <w:lang w:val="en-US" w:eastAsia="zh-CN"/>
              </w:rPr>
              <w:t>竞争性磋商</w:t>
            </w:r>
            <w:r>
              <w:rPr>
                <w:rFonts w:hint="eastAsia" w:ascii="宋体" w:hAnsi="宋体" w:cs="宋体"/>
                <w:color w:val="auto"/>
                <w:spacing w:val="0"/>
                <w:szCs w:val="21"/>
                <w:highlight w:val="none"/>
              </w:rPr>
              <w:t>文件规定时间与采购人签订合同的。</w:t>
            </w:r>
          </w:p>
        </w:tc>
      </w:tr>
      <w:tr w14:paraId="5660AAA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1062" w:type="dxa"/>
            <w:vAlign w:val="center"/>
          </w:tcPr>
          <w:p w14:paraId="5B0FCAE1">
            <w:pPr>
              <w:pStyle w:val="20"/>
              <w:keepLines/>
              <w:spacing w:line="276" w:lineRule="auto"/>
              <w:jc w:val="center"/>
              <w:rPr>
                <w:rFonts w:hint="default" w:hAnsi="宋体" w:eastAsia="宋体" w:cs="宋体"/>
                <w:color w:val="auto"/>
                <w:szCs w:val="21"/>
                <w:lang w:val="en-US" w:eastAsia="zh-CN"/>
              </w:rPr>
            </w:pPr>
            <w:r>
              <w:rPr>
                <w:rFonts w:hint="eastAsia" w:hAnsi="宋体" w:cs="宋体"/>
                <w:color w:val="auto"/>
                <w:szCs w:val="21"/>
              </w:rPr>
              <w:t>1</w:t>
            </w:r>
            <w:r>
              <w:rPr>
                <w:rFonts w:hint="eastAsia" w:hAnsi="宋体" w:cs="宋体"/>
                <w:color w:val="auto"/>
                <w:szCs w:val="21"/>
                <w:lang w:val="en-US" w:eastAsia="zh-CN"/>
              </w:rPr>
              <w:t>6.</w:t>
            </w:r>
            <w:r>
              <w:rPr>
                <w:rFonts w:hint="eastAsia" w:hAnsi="宋体" w:cs="宋体"/>
                <w:color w:val="auto"/>
                <w:szCs w:val="21"/>
              </w:rPr>
              <w:t>1</w:t>
            </w:r>
            <w:r>
              <w:rPr>
                <w:rFonts w:hint="eastAsia" w:hAnsi="宋体" w:cs="宋体"/>
                <w:color w:val="auto"/>
                <w:szCs w:val="21"/>
                <w:lang w:val="en-US" w:eastAsia="zh-CN"/>
              </w:rPr>
              <w:t>.1</w:t>
            </w:r>
          </w:p>
        </w:tc>
        <w:tc>
          <w:tcPr>
            <w:tcW w:w="1763" w:type="dxa"/>
            <w:vAlign w:val="center"/>
          </w:tcPr>
          <w:p w14:paraId="10AC26C4">
            <w:pPr>
              <w:pStyle w:val="20"/>
              <w:keepLines/>
              <w:spacing w:line="276" w:lineRule="auto"/>
              <w:jc w:val="center"/>
              <w:rPr>
                <w:rFonts w:hint="eastAsia" w:hAnsi="宋体" w:cs="宋体"/>
                <w:color w:val="auto"/>
                <w:szCs w:val="21"/>
              </w:rPr>
            </w:pPr>
            <w:r>
              <w:rPr>
                <w:rFonts w:hint="eastAsia" w:hAnsi="宋体" w:cs="宋体"/>
                <w:color w:val="auto"/>
                <w:szCs w:val="21"/>
              </w:rPr>
              <w:t>递交磋商响应文件截止时间</w:t>
            </w:r>
          </w:p>
        </w:tc>
        <w:tc>
          <w:tcPr>
            <w:tcW w:w="6389" w:type="dxa"/>
            <w:vAlign w:val="center"/>
          </w:tcPr>
          <w:p w14:paraId="1B99C377">
            <w:pPr>
              <w:pStyle w:val="20"/>
              <w:keepLines/>
              <w:spacing w:line="276" w:lineRule="auto"/>
              <w:rPr>
                <w:rFonts w:hint="default" w:hAnsi="宋体" w:eastAsia="宋体" w:cs="宋体"/>
                <w:color w:val="auto"/>
                <w:szCs w:val="21"/>
                <w:lang w:val="en-US" w:eastAsia="zh-CN"/>
              </w:rPr>
            </w:pPr>
            <w:r>
              <w:rPr>
                <w:rFonts w:hint="eastAsia" w:hAnsi="宋体" w:cs="宋体"/>
                <w:color w:val="auto"/>
                <w:szCs w:val="21"/>
              </w:rPr>
              <w:t>详见磋商公告</w:t>
            </w:r>
          </w:p>
        </w:tc>
      </w:tr>
      <w:tr w14:paraId="122F9A0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48" w:hRule="atLeast"/>
        </w:trPr>
        <w:tc>
          <w:tcPr>
            <w:tcW w:w="1062" w:type="dxa"/>
            <w:vAlign w:val="center"/>
          </w:tcPr>
          <w:p w14:paraId="5CB340F2">
            <w:pPr>
              <w:pStyle w:val="20"/>
              <w:keepLines/>
              <w:spacing w:line="276" w:lineRule="auto"/>
              <w:jc w:val="center"/>
              <w:rPr>
                <w:rFonts w:hAnsi="宋体" w:cs="宋体"/>
                <w:color w:val="auto"/>
                <w:szCs w:val="21"/>
              </w:rPr>
            </w:pPr>
            <w:r>
              <w:rPr>
                <w:rFonts w:hint="eastAsia" w:hAnsi="宋体" w:cs="宋体"/>
                <w:color w:val="auto"/>
                <w:szCs w:val="21"/>
              </w:rPr>
              <w:t>1</w:t>
            </w:r>
            <w:r>
              <w:rPr>
                <w:rFonts w:hint="eastAsia" w:hAnsi="宋体" w:cs="宋体"/>
                <w:color w:val="auto"/>
                <w:szCs w:val="21"/>
                <w:lang w:val="en-US" w:eastAsia="zh-CN"/>
              </w:rPr>
              <w:t>6</w:t>
            </w:r>
            <w:r>
              <w:rPr>
                <w:rFonts w:hint="eastAsia" w:hAnsi="宋体" w:cs="宋体"/>
                <w:color w:val="auto"/>
                <w:szCs w:val="21"/>
              </w:rPr>
              <w:t>.</w:t>
            </w:r>
            <w:r>
              <w:rPr>
                <w:rFonts w:hint="eastAsia" w:hAnsi="宋体" w:cs="宋体"/>
                <w:color w:val="auto"/>
                <w:szCs w:val="21"/>
                <w:lang w:val="en-US" w:eastAsia="zh-CN"/>
              </w:rPr>
              <w:t>1.</w:t>
            </w:r>
            <w:r>
              <w:rPr>
                <w:rFonts w:hint="eastAsia" w:hAnsi="宋体" w:cs="宋体"/>
                <w:color w:val="auto"/>
                <w:szCs w:val="21"/>
              </w:rPr>
              <w:t>2</w:t>
            </w:r>
          </w:p>
        </w:tc>
        <w:tc>
          <w:tcPr>
            <w:tcW w:w="1763" w:type="dxa"/>
            <w:vAlign w:val="center"/>
          </w:tcPr>
          <w:p w14:paraId="36EA2D18">
            <w:pPr>
              <w:pStyle w:val="20"/>
              <w:keepLines/>
              <w:spacing w:line="276" w:lineRule="auto"/>
              <w:jc w:val="center"/>
              <w:rPr>
                <w:rFonts w:hAnsi="宋体" w:cs="宋体"/>
                <w:color w:val="auto"/>
                <w:szCs w:val="21"/>
              </w:rPr>
            </w:pPr>
            <w:r>
              <w:rPr>
                <w:rFonts w:hint="eastAsia" w:hAnsi="宋体" w:cs="宋体"/>
                <w:color w:val="auto"/>
                <w:szCs w:val="21"/>
              </w:rPr>
              <w:t>递交磋商响应文件地点</w:t>
            </w:r>
          </w:p>
        </w:tc>
        <w:tc>
          <w:tcPr>
            <w:tcW w:w="6389" w:type="dxa"/>
            <w:vAlign w:val="center"/>
          </w:tcPr>
          <w:p w14:paraId="2F289936">
            <w:pPr>
              <w:pStyle w:val="20"/>
              <w:keepLines/>
              <w:spacing w:line="276" w:lineRule="auto"/>
              <w:rPr>
                <w:rFonts w:hAnsi="宋体" w:cs="宋体"/>
                <w:color w:val="auto"/>
                <w:szCs w:val="21"/>
              </w:rPr>
            </w:pPr>
            <w:r>
              <w:rPr>
                <w:rFonts w:hint="eastAsia" w:hAnsi="宋体" w:cs="宋体"/>
                <w:color w:val="auto"/>
                <w:szCs w:val="21"/>
              </w:rPr>
              <w:t>详见磋商公告</w:t>
            </w:r>
          </w:p>
        </w:tc>
      </w:tr>
      <w:tr w14:paraId="48F4832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66" w:hRule="atLeast"/>
        </w:trPr>
        <w:tc>
          <w:tcPr>
            <w:tcW w:w="1062" w:type="dxa"/>
            <w:vAlign w:val="center"/>
          </w:tcPr>
          <w:p w14:paraId="36725D8D">
            <w:pPr>
              <w:pStyle w:val="20"/>
              <w:keepLines/>
              <w:spacing w:line="276" w:lineRule="auto"/>
              <w:jc w:val="center"/>
              <w:rPr>
                <w:rFonts w:hAnsi="宋体" w:cs="宋体"/>
                <w:color w:val="auto"/>
                <w:szCs w:val="21"/>
              </w:rPr>
            </w:pPr>
            <w:r>
              <w:rPr>
                <w:rFonts w:hint="eastAsia" w:hAnsi="宋体" w:cs="宋体"/>
                <w:color w:val="auto"/>
                <w:szCs w:val="21"/>
                <w:lang w:val="en-US" w:eastAsia="zh-CN"/>
              </w:rPr>
              <w:t>16.1</w:t>
            </w:r>
            <w:r>
              <w:rPr>
                <w:rFonts w:hint="eastAsia" w:hAnsi="宋体" w:cs="宋体"/>
                <w:color w:val="auto"/>
                <w:szCs w:val="21"/>
              </w:rPr>
              <w:t>.3</w:t>
            </w:r>
          </w:p>
        </w:tc>
        <w:tc>
          <w:tcPr>
            <w:tcW w:w="1763" w:type="dxa"/>
            <w:vAlign w:val="center"/>
          </w:tcPr>
          <w:p w14:paraId="7E13F772">
            <w:pPr>
              <w:pStyle w:val="20"/>
              <w:keepLines/>
              <w:spacing w:line="276" w:lineRule="auto"/>
              <w:jc w:val="center"/>
              <w:rPr>
                <w:rFonts w:hAnsi="宋体" w:cs="宋体"/>
                <w:color w:val="auto"/>
                <w:szCs w:val="21"/>
              </w:rPr>
            </w:pPr>
            <w:r>
              <w:rPr>
                <w:rFonts w:hint="eastAsia" w:hAnsi="宋体" w:cs="宋体"/>
                <w:color w:val="auto"/>
                <w:szCs w:val="21"/>
              </w:rPr>
              <w:t>是否退还磋商响应文件</w:t>
            </w:r>
          </w:p>
        </w:tc>
        <w:tc>
          <w:tcPr>
            <w:tcW w:w="6389" w:type="dxa"/>
            <w:vAlign w:val="center"/>
          </w:tcPr>
          <w:p w14:paraId="23931A8F">
            <w:pPr>
              <w:pStyle w:val="20"/>
              <w:keepLines/>
              <w:spacing w:line="276" w:lineRule="auto"/>
              <w:rPr>
                <w:rFonts w:hAnsi="宋体" w:cs="宋体"/>
                <w:color w:val="auto"/>
                <w:szCs w:val="21"/>
              </w:rPr>
            </w:pPr>
            <w:r>
              <w:rPr>
                <w:rFonts w:hint="eastAsia" w:hAnsi="宋体" w:cs="宋体"/>
                <w:color w:val="auto"/>
                <w:szCs w:val="21"/>
              </w:rPr>
              <w:t>■不予退还   □退还</w:t>
            </w:r>
          </w:p>
        </w:tc>
      </w:tr>
      <w:tr w14:paraId="05420E4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1" w:hRule="atLeast"/>
        </w:trPr>
        <w:tc>
          <w:tcPr>
            <w:tcW w:w="1062" w:type="dxa"/>
            <w:vAlign w:val="center"/>
          </w:tcPr>
          <w:p w14:paraId="3D756549">
            <w:pPr>
              <w:pStyle w:val="20"/>
              <w:keepNext w:val="0"/>
              <w:keepLines w:val="0"/>
              <w:pageBreakBefore w:val="0"/>
              <w:widowControl w:val="0"/>
              <w:kinsoku/>
              <w:wordWrap/>
              <w:overflowPunct/>
              <w:topLinePunct w:val="0"/>
              <w:autoSpaceDE/>
              <w:autoSpaceDN/>
              <w:bidi w:val="0"/>
              <w:adjustRightInd/>
              <w:snapToGrid/>
              <w:spacing w:line="240" w:lineRule="auto"/>
              <w:jc w:val="center"/>
              <w:textAlignment w:val="auto"/>
              <w:rPr>
                <w:rFonts w:hAnsi="宋体" w:cs="宋体"/>
                <w:color w:val="auto"/>
                <w:szCs w:val="21"/>
              </w:rPr>
            </w:pPr>
            <w:r>
              <w:rPr>
                <w:rFonts w:hint="eastAsia" w:hAnsi="宋体" w:cs="宋体"/>
                <w:color w:val="auto"/>
                <w:szCs w:val="21"/>
              </w:rPr>
              <w:t>1</w:t>
            </w:r>
            <w:r>
              <w:rPr>
                <w:rFonts w:hint="eastAsia" w:hAnsi="宋体" w:cs="宋体"/>
                <w:color w:val="auto"/>
                <w:szCs w:val="21"/>
                <w:lang w:val="en-US" w:eastAsia="zh-CN"/>
              </w:rPr>
              <w:t>7</w:t>
            </w:r>
            <w:r>
              <w:rPr>
                <w:rFonts w:hint="eastAsia" w:hAnsi="宋体" w:cs="宋体"/>
                <w:color w:val="auto"/>
                <w:szCs w:val="21"/>
              </w:rPr>
              <w:t>.1</w:t>
            </w:r>
          </w:p>
        </w:tc>
        <w:tc>
          <w:tcPr>
            <w:tcW w:w="1763" w:type="dxa"/>
            <w:vAlign w:val="center"/>
          </w:tcPr>
          <w:p w14:paraId="0EAAB1F2">
            <w:pPr>
              <w:pStyle w:val="20"/>
              <w:keepNext w:val="0"/>
              <w:keepLines w:val="0"/>
              <w:pageBreakBefore w:val="0"/>
              <w:widowControl w:val="0"/>
              <w:kinsoku/>
              <w:wordWrap/>
              <w:overflowPunct/>
              <w:topLinePunct w:val="0"/>
              <w:autoSpaceDE/>
              <w:autoSpaceDN/>
              <w:bidi w:val="0"/>
              <w:adjustRightInd/>
              <w:snapToGrid/>
              <w:spacing w:line="240" w:lineRule="auto"/>
              <w:jc w:val="center"/>
              <w:textAlignment w:val="auto"/>
              <w:rPr>
                <w:rFonts w:hAnsi="宋体" w:cs="宋体"/>
                <w:color w:val="auto"/>
                <w:szCs w:val="21"/>
              </w:rPr>
            </w:pPr>
            <w:r>
              <w:rPr>
                <w:rFonts w:hint="eastAsia" w:hAnsi="宋体" w:cs="宋体"/>
                <w:color w:val="auto"/>
                <w:szCs w:val="21"/>
              </w:rPr>
              <w:t>磋商时间和地点</w:t>
            </w:r>
          </w:p>
        </w:tc>
        <w:tc>
          <w:tcPr>
            <w:tcW w:w="6389" w:type="dxa"/>
            <w:vAlign w:val="center"/>
          </w:tcPr>
          <w:p w14:paraId="3AFA2FA9">
            <w:pPr>
              <w:pStyle w:val="20"/>
              <w:keepNext w:val="0"/>
              <w:keepLines w:val="0"/>
              <w:pageBreakBefore w:val="0"/>
              <w:widowControl w:val="0"/>
              <w:kinsoku/>
              <w:wordWrap/>
              <w:overflowPunct/>
              <w:topLinePunct w:val="0"/>
              <w:autoSpaceDE/>
              <w:autoSpaceDN/>
              <w:bidi w:val="0"/>
              <w:adjustRightInd/>
              <w:snapToGrid/>
              <w:spacing w:line="240" w:lineRule="auto"/>
              <w:textAlignment w:val="auto"/>
              <w:rPr>
                <w:rFonts w:hAnsi="宋体" w:cs="宋体"/>
                <w:color w:val="auto"/>
                <w:szCs w:val="21"/>
              </w:rPr>
            </w:pPr>
            <w:r>
              <w:rPr>
                <w:rFonts w:hint="eastAsia" w:hAnsi="宋体" w:cs="宋体"/>
                <w:color w:val="auto"/>
                <w:szCs w:val="21"/>
              </w:rPr>
              <w:t>详见磋商公告</w:t>
            </w:r>
          </w:p>
        </w:tc>
      </w:tr>
      <w:tr w14:paraId="4A5F7D0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1062" w:type="dxa"/>
            <w:vAlign w:val="center"/>
          </w:tcPr>
          <w:p w14:paraId="451DBEAF">
            <w:pPr>
              <w:pStyle w:val="20"/>
              <w:spacing w:line="276" w:lineRule="auto"/>
              <w:jc w:val="center"/>
              <w:rPr>
                <w:rFonts w:hint="default" w:hAnsi="宋体" w:eastAsia="宋体" w:cs="宋体"/>
                <w:color w:val="auto"/>
                <w:szCs w:val="21"/>
                <w:lang w:val="en-US" w:eastAsia="zh-CN"/>
              </w:rPr>
            </w:pPr>
            <w:r>
              <w:rPr>
                <w:rFonts w:hint="eastAsia" w:hAnsi="宋体" w:cs="宋体"/>
                <w:color w:val="auto"/>
                <w:szCs w:val="21"/>
                <w:lang w:val="en-US" w:eastAsia="zh-CN"/>
              </w:rPr>
              <w:t>17.2</w:t>
            </w:r>
          </w:p>
        </w:tc>
        <w:tc>
          <w:tcPr>
            <w:tcW w:w="1763" w:type="dxa"/>
            <w:vAlign w:val="center"/>
          </w:tcPr>
          <w:p w14:paraId="714B42F8">
            <w:pPr>
              <w:pStyle w:val="20"/>
              <w:spacing w:line="276" w:lineRule="auto"/>
              <w:jc w:val="center"/>
              <w:rPr>
                <w:rFonts w:hint="eastAsia" w:hAnsi="宋体" w:cs="宋体"/>
                <w:color w:val="auto"/>
                <w:szCs w:val="21"/>
              </w:rPr>
            </w:pPr>
            <w:r>
              <w:rPr>
                <w:rFonts w:hint="eastAsia" w:hAnsi="宋体" w:cs="宋体"/>
                <w:color w:val="auto"/>
                <w:szCs w:val="21"/>
              </w:rPr>
              <w:t>磋商小组</w:t>
            </w:r>
          </w:p>
        </w:tc>
        <w:tc>
          <w:tcPr>
            <w:tcW w:w="6389" w:type="dxa"/>
            <w:vAlign w:val="center"/>
          </w:tcPr>
          <w:p w14:paraId="4E713A6B">
            <w:pPr>
              <w:pStyle w:val="20"/>
              <w:spacing w:line="276" w:lineRule="auto"/>
              <w:rPr>
                <w:rFonts w:hint="eastAsia" w:hAnsi="宋体" w:cs="宋体"/>
                <w:color w:val="auto"/>
                <w:szCs w:val="21"/>
              </w:rPr>
            </w:pPr>
            <w:r>
              <w:rPr>
                <w:rFonts w:hint="eastAsia" w:ascii="宋体" w:hAnsi="宋体"/>
                <w:color w:val="auto"/>
                <w:sz w:val="21"/>
                <w:szCs w:val="21"/>
              </w:rPr>
              <w:t>磋商小组构成：</w:t>
            </w:r>
            <w:r>
              <w:rPr>
                <w:rFonts w:hint="eastAsia" w:hAnsi="宋体" w:cs="宋体"/>
                <w:color w:val="auto"/>
                <w:szCs w:val="21"/>
              </w:rPr>
              <w:t>磋商小组由采购人代表和有关技术、经济等方面的专家组成，成员人数应当为三人及以上单数。其中</w:t>
            </w:r>
            <w:r>
              <w:rPr>
                <w:rFonts w:hint="eastAsia" w:ascii="宋体" w:hAnsi="宋体" w:cs="宋体"/>
                <w:color w:val="auto"/>
                <w:szCs w:val="21"/>
              </w:rPr>
              <w:t>评审专家人数不得少于磋商小组成员总数的</w:t>
            </w:r>
            <w:r>
              <w:rPr>
                <w:rFonts w:hint="eastAsia" w:hAnsi="宋体" w:cs="宋体"/>
                <w:color w:val="auto"/>
                <w:szCs w:val="21"/>
              </w:rPr>
              <w:t>三分之二。</w:t>
            </w:r>
          </w:p>
          <w:p w14:paraId="21E4449D">
            <w:pPr>
              <w:pStyle w:val="20"/>
              <w:spacing w:line="276" w:lineRule="auto"/>
              <w:rPr>
                <w:rFonts w:hint="eastAsia"/>
                <w:color w:val="auto"/>
              </w:rPr>
            </w:pPr>
            <w:r>
              <w:rPr>
                <w:rFonts w:hint="eastAsia" w:ascii="宋体" w:hAnsi="宋体" w:eastAsia="宋体" w:cs="宋体"/>
                <w:color w:val="auto"/>
                <w:szCs w:val="21"/>
              </w:rPr>
              <w:t>磋商小组确定方式：由采购人代表和云南省政府采购评审专家库中随机抽取的专家组成。</w:t>
            </w:r>
          </w:p>
        </w:tc>
      </w:tr>
      <w:tr w14:paraId="10E24F6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27" w:hRule="atLeast"/>
        </w:trPr>
        <w:tc>
          <w:tcPr>
            <w:tcW w:w="1062" w:type="dxa"/>
            <w:vMerge w:val="restart"/>
            <w:vAlign w:val="center"/>
          </w:tcPr>
          <w:p w14:paraId="7B75D4E4">
            <w:pPr>
              <w:pStyle w:val="20"/>
              <w:spacing w:line="276" w:lineRule="auto"/>
              <w:jc w:val="center"/>
              <w:rPr>
                <w:rFonts w:hAnsi="宋体" w:cs="宋体"/>
                <w:color w:val="auto"/>
                <w:szCs w:val="21"/>
              </w:rPr>
            </w:pPr>
            <w:r>
              <w:rPr>
                <w:rFonts w:hint="eastAsia" w:hAnsi="宋体" w:cs="宋体"/>
                <w:color w:val="auto"/>
                <w:szCs w:val="21"/>
              </w:rPr>
              <w:t>1</w:t>
            </w:r>
            <w:r>
              <w:rPr>
                <w:rFonts w:hint="eastAsia" w:hAnsi="宋体" w:cs="宋体"/>
                <w:color w:val="auto"/>
                <w:szCs w:val="21"/>
                <w:lang w:val="en-US" w:eastAsia="zh-CN"/>
              </w:rPr>
              <w:t>7</w:t>
            </w:r>
            <w:r>
              <w:rPr>
                <w:rFonts w:hint="eastAsia" w:hAnsi="宋体" w:cs="宋体"/>
                <w:color w:val="auto"/>
                <w:szCs w:val="21"/>
              </w:rPr>
              <w:t>.4</w:t>
            </w:r>
          </w:p>
        </w:tc>
        <w:tc>
          <w:tcPr>
            <w:tcW w:w="1763" w:type="dxa"/>
            <w:vAlign w:val="center"/>
          </w:tcPr>
          <w:p w14:paraId="30ACA19D">
            <w:pPr>
              <w:pStyle w:val="20"/>
              <w:keepNext w:val="0"/>
              <w:keepLines w:val="0"/>
              <w:pageBreakBefore w:val="0"/>
              <w:widowControl w:val="0"/>
              <w:kinsoku/>
              <w:wordWrap/>
              <w:overflowPunct/>
              <w:topLinePunct w:val="0"/>
              <w:autoSpaceDE/>
              <w:autoSpaceDN/>
              <w:bidi w:val="0"/>
              <w:adjustRightInd/>
              <w:snapToGrid/>
              <w:spacing w:line="240" w:lineRule="auto"/>
              <w:jc w:val="center"/>
              <w:textAlignment w:val="auto"/>
              <w:rPr>
                <w:rFonts w:hAnsi="宋体" w:cs="宋体"/>
                <w:color w:val="auto"/>
                <w:szCs w:val="21"/>
              </w:rPr>
            </w:pPr>
            <w:r>
              <w:rPr>
                <w:rFonts w:hint="eastAsia" w:hAnsi="宋体" w:cs="宋体"/>
                <w:color w:val="auto"/>
                <w:szCs w:val="21"/>
              </w:rPr>
              <w:t>磋商程序和方法</w:t>
            </w:r>
          </w:p>
        </w:tc>
        <w:tc>
          <w:tcPr>
            <w:tcW w:w="6389" w:type="dxa"/>
            <w:vAlign w:val="center"/>
          </w:tcPr>
          <w:p w14:paraId="039E2130">
            <w:pPr>
              <w:pStyle w:val="20"/>
              <w:keepNext w:val="0"/>
              <w:keepLines w:val="0"/>
              <w:pageBreakBefore w:val="0"/>
              <w:widowControl w:val="0"/>
              <w:kinsoku/>
              <w:wordWrap/>
              <w:overflowPunct/>
              <w:topLinePunct w:val="0"/>
              <w:autoSpaceDE/>
              <w:autoSpaceDN/>
              <w:bidi w:val="0"/>
              <w:adjustRightInd/>
              <w:snapToGrid/>
              <w:spacing w:line="240" w:lineRule="auto"/>
              <w:textAlignment w:val="auto"/>
              <w:rPr>
                <w:rFonts w:hAnsi="宋体" w:cs="宋体"/>
                <w:color w:val="auto"/>
                <w:szCs w:val="21"/>
              </w:rPr>
            </w:pPr>
            <w:r>
              <w:rPr>
                <w:rFonts w:hint="eastAsia" w:hAnsi="宋体" w:cs="宋体"/>
                <w:color w:val="auto"/>
                <w:szCs w:val="21"/>
              </w:rPr>
              <w:t>综合评分法</w:t>
            </w:r>
          </w:p>
        </w:tc>
      </w:tr>
      <w:tr w14:paraId="3392173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104" w:hRule="atLeast"/>
        </w:trPr>
        <w:tc>
          <w:tcPr>
            <w:tcW w:w="1062" w:type="dxa"/>
            <w:vMerge w:val="continue"/>
            <w:vAlign w:val="center"/>
          </w:tcPr>
          <w:p w14:paraId="0178EEF0">
            <w:pPr>
              <w:pStyle w:val="20"/>
              <w:spacing w:line="276" w:lineRule="auto"/>
              <w:jc w:val="center"/>
              <w:rPr>
                <w:rFonts w:hAnsi="宋体" w:cs="宋体"/>
                <w:color w:val="auto"/>
                <w:szCs w:val="21"/>
              </w:rPr>
            </w:pPr>
          </w:p>
        </w:tc>
        <w:tc>
          <w:tcPr>
            <w:tcW w:w="8152" w:type="dxa"/>
            <w:gridSpan w:val="2"/>
            <w:vAlign w:val="center"/>
          </w:tcPr>
          <w:p w14:paraId="3257F5E5">
            <w:pPr>
              <w:pStyle w:val="20"/>
              <w:spacing w:line="276" w:lineRule="auto"/>
              <w:rPr>
                <w:rFonts w:hAnsi="宋体" w:cs="宋体"/>
                <w:bCs/>
                <w:color w:val="auto"/>
                <w:szCs w:val="21"/>
              </w:rPr>
            </w:pPr>
            <w:r>
              <w:rPr>
                <w:rFonts w:hint="eastAsia" w:hAnsi="宋体" w:cs="宋体"/>
                <w:color w:val="auto"/>
                <w:szCs w:val="21"/>
              </w:rPr>
              <w:t>磋商程序：</w:t>
            </w:r>
          </w:p>
          <w:p w14:paraId="535BF260">
            <w:pPr>
              <w:pStyle w:val="20"/>
              <w:spacing w:line="276" w:lineRule="auto"/>
              <w:rPr>
                <w:rFonts w:hAnsi="宋体" w:cs="宋体"/>
                <w:bCs/>
                <w:color w:val="auto"/>
                <w:szCs w:val="21"/>
              </w:rPr>
            </w:pPr>
            <w:r>
              <w:rPr>
                <w:rFonts w:hint="eastAsia" w:hAnsi="宋体" w:cs="宋体"/>
                <w:bCs/>
                <w:color w:val="auto"/>
                <w:szCs w:val="21"/>
              </w:rPr>
              <w:t>（1）响应文件递交截止时间之后，按</w:t>
            </w:r>
            <w:r>
              <w:rPr>
                <w:rFonts w:hint="eastAsia" w:hAnsi="宋体" w:cs="宋体"/>
                <w:color w:val="auto"/>
                <w:szCs w:val="21"/>
                <w:lang w:val="en-US" w:eastAsia="zh-CN"/>
              </w:rPr>
              <w:t>政采云平台</w:t>
            </w:r>
            <w:r>
              <w:rPr>
                <w:rFonts w:hint="eastAsia" w:hAnsi="宋体" w:cs="宋体"/>
                <w:bCs/>
                <w:color w:val="auto"/>
                <w:szCs w:val="21"/>
              </w:rPr>
              <w:t>系统中显示顺序对所递交响应文件的单位进行解密。</w:t>
            </w:r>
          </w:p>
          <w:p w14:paraId="33989AC8">
            <w:pPr>
              <w:pStyle w:val="20"/>
              <w:spacing w:line="276" w:lineRule="auto"/>
              <w:rPr>
                <w:rFonts w:hAnsi="宋体" w:cs="宋体"/>
                <w:bCs/>
                <w:color w:val="auto"/>
                <w:szCs w:val="21"/>
              </w:rPr>
            </w:pPr>
            <w:r>
              <w:rPr>
                <w:rFonts w:hint="eastAsia" w:hAnsi="宋体" w:cs="宋体"/>
                <w:bCs/>
                <w:color w:val="auto"/>
                <w:szCs w:val="21"/>
              </w:rPr>
              <w:t>（2）磋商小组对各响应文件进行初步评审（通过初步评审的响应文件才能进入详细评审及磋商）。</w:t>
            </w:r>
          </w:p>
          <w:p w14:paraId="512065F7">
            <w:pPr>
              <w:pStyle w:val="20"/>
              <w:spacing w:line="276" w:lineRule="auto"/>
              <w:rPr>
                <w:rFonts w:hAnsi="宋体" w:cs="宋体"/>
                <w:bCs/>
                <w:color w:val="auto"/>
                <w:szCs w:val="21"/>
              </w:rPr>
            </w:pPr>
            <w:r>
              <w:rPr>
                <w:rFonts w:hint="eastAsia" w:hAnsi="宋体" w:cs="宋体"/>
                <w:bCs/>
                <w:color w:val="auto"/>
                <w:szCs w:val="21"/>
              </w:rPr>
              <w:t>（3）磋商小组对进入详细评审的响应文件</w:t>
            </w:r>
            <w:r>
              <w:rPr>
                <w:rFonts w:hint="eastAsia" w:hAnsi="宋体" w:cs="宋体"/>
                <w:bCs/>
                <w:color w:val="auto"/>
                <w:szCs w:val="21"/>
                <w:lang w:val="en-US" w:eastAsia="zh-CN"/>
              </w:rPr>
              <w:t>评审</w:t>
            </w:r>
            <w:r>
              <w:rPr>
                <w:rFonts w:hint="eastAsia" w:hAnsi="宋体" w:cs="宋体"/>
                <w:bCs/>
                <w:color w:val="auto"/>
                <w:szCs w:val="21"/>
              </w:rPr>
              <w:t>技术部分和商务部分。</w:t>
            </w:r>
          </w:p>
          <w:p w14:paraId="7F83B659">
            <w:pPr>
              <w:pStyle w:val="20"/>
              <w:spacing w:line="276" w:lineRule="auto"/>
              <w:rPr>
                <w:rFonts w:hAnsi="宋体" w:cs="宋体"/>
                <w:bCs/>
                <w:color w:val="auto"/>
                <w:szCs w:val="21"/>
              </w:rPr>
            </w:pPr>
            <w:r>
              <w:rPr>
                <w:rFonts w:hint="eastAsia" w:hAnsi="宋体" w:cs="宋体"/>
                <w:bCs/>
                <w:color w:val="auto"/>
                <w:szCs w:val="21"/>
              </w:rPr>
              <w:t>（4）磋商小组与供应商就响应文件的具体内容进行磋商及澄清。</w:t>
            </w:r>
          </w:p>
          <w:p w14:paraId="03D93216">
            <w:pPr>
              <w:pStyle w:val="20"/>
              <w:spacing w:line="276" w:lineRule="auto"/>
              <w:rPr>
                <w:rFonts w:hAnsi="宋体" w:cs="宋体"/>
                <w:bCs/>
                <w:color w:val="auto"/>
                <w:szCs w:val="21"/>
              </w:rPr>
            </w:pPr>
            <w:r>
              <w:rPr>
                <w:rFonts w:hint="eastAsia" w:hAnsi="宋体" w:cs="宋体"/>
                <w:bCs/>
                <w:color w:val="auto"/>
                <w:szCs w:val="21"/>
              </w:rPr>
              <w:t>（5）供应商在规定时间内递交磋商承诺及最终报价。本次磋商采取</w:t>
            </w:r>
            <w:r>
              <w:rPr>
                <w:rFonts w:hint="eastAsia" w:hAnsi="宋体" w:cs="宋体"/>
                <w:bCs/>
                <w:color w:val="auto"/>
                <w:szCs w:val="21"/>
                <w:lang w:eastAsia="zh-CN"/>
              </w:rPr>
              <w:t>两轮</w:t>
            </w:r>
            <w:r>
              <w:rPr>
                <w:rFonts w:hint="eastAsia" w:hAnsi="宋体" w:cs="宋体"/>
                <w:bCs/>
                <w:color w:val="auto"/>
                <w:szCs w:val="21"/>
              </w:rPr>
              <w:t>报价方式进行（两轮报价均不公开）。</w:t>
            </w:r>
          </w:p>
          <w:p w14:paraId="01831822">
            <w:pPr>
              <w:pStyle w:val="20"/>
              <w:spacing w:line="276" w:lineRule="auto"/>
              <w:rPr>
                <w:rFonts w:hAnsi="宋体" w:cs="宋体"/>
                <w:b/>
                <w:color w:val="auto"/>
                <w:szCs w:val="21"/>
              </w:rPr>
            </w:pPr>
            <w:r>
              <w:rPr>
                <w:rFonts w:hint="eastAsia" w:hAnsi="宋体" w:cs="宋体"/>
                <w:bCs/>
                <w:color w:val="auto"/>
                <w:szCs w:val="21"/>
              </w:rPr>
              <w:t>（6）磋商小组根据各供应商的《响应文件》、《磋商承诺及最终报价表》进行评审，按照综合评分法根据供应商最终得分由高到低推荐成交候选供应商，并向采购人提交“推荐</w:t>
            </w:r>
            <w:r>
              <w:rPr>
                <w:rFonts w:hint="eastAsia" w:hAnsi="宋体" w:cs="宋体"/>
                <w:bCs/>
                <w:color w:val="auto"/>
                <w:szCs w:val="21"/>
                <w:lang w:val="en-US" w:eastAsia="zh-CN"/>
              </w:rPr>
              <w:t>成交</w:t>
            </w:r>
            <w:r>
              <w:rPr>
                <w:rFonts w:hint="eastAsia" w:hAnsi="宋体" w:cs="宋体"/>
                <w:bCs/>
                <w:color w:val="auto"/>
                <w:szCs w:val="21"/>
              </w:rPr>
              <w:t>候选供应商名单”。</w:t>
            </w:r>
          </w:p>
        </w:tc>
      </w:tr>
      <w:tr w14:paraId="1A18298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96" w:hRule="atLeast"/>
        </w:trPr>
        <w:tc>
          <w:tcPr>
            <w:tcW w:w="1062" w:type="dxa"/>
            <w:vAlign w:val="center"/>
          </w:tcPr>
          <w:p w14:paraId="4EABA703">
            <w:pPr>
              <w:pStyle w:val="20"/>
              <w:spacing w:line="276" w:lineRule="auto"/>
              <w:jc w:val="center"/>
              <w:rPr>
                <w:rFonts w:hint="default" w:hAnsi="宋体" w:eastAsia="宋体" w:cs="宋体"/>
                <w:color w:val="auto"/>
                <w:szCs w:val="21"/>
                <w:lang w:val="en-US" w:eastAsia="zh-CN"/>
              </w:rPr>
            </w:pPr>
            <w:r>
              <w:rPr>
                <w:rFonts w:hint="eastAsia" w:hAnsi="宋体" w:cs="宋体"/>
                <w:color w:val="auto"/>
                <w:szCs w:val="21"/>
              </w:rPr>
              <w:t>2</w:t>
            </w:r>
            <w:r>
              <w:rPr>
                <w:rFonts w:hint="eastAsia" w:hAnsi="宋体" w:cs="宋体"/>
                <w:color w:val="auto"/>
                <w:szCs w:val="21"/>
                <w:lang w:val="en-US" w:eastAsia="zh-CN"/>
              </w:rPr>
              <w:t>3</w:t>
            </w:r>
          </w:p>
        </w:tc>
        <w:tc>
          <w:tcPr>
            <w:tcW w:w="1763" w:type="dxa"/>
            <w:vAlign w:val="center"/>
          </w:tcPr>
          <w:p w14:paraId="7D1D1477">
            <w:pPr>
              <w:pStyle w:val="20"/>
              <w:spacing w:line="276" w:lineRule="auto"/>
              <w:rPr>
                <w:rFonts w:hint="eastAsia" w:hAnsi="宋体" w:eastAsia="宋体" w:cs="宋体"/>
                <w:b/>
                <w:bCs w:val="0"/>
                <w:color w:val="auto"/>
                <w:szCs w:val="21"/>
                <w:lang w:val="en-US" w:eastAsia="zh-CN"/>
              </w:rPr>
            </w:pPr>
            <w:r>
              <w:rPr>
                <w:rFonts w:hint="eastAsia" w:hAnsi="宋体" w:cs="宋体"/>
                <w:color w:val="auto"/>
                <w:szCs w:val="21"/>
              </w:rPr>
              <w:t>采购代理服务费</w:t>
            </w:r>
          </w:p>
        </w:tc>
        <w:tc>
          <w:tcPr>
            <w:tcW w:w="6389" w:type="dxa"/>
            <w:vAlign w:val="center"/>
          </w:tcPr>
          <w:p w14:paraId="36C4881E">
            <w:pPr>
              <w:pStyle w:val="20"/>
              <w:spacing w:line="276" w:lineRule="auto"/>
              <w:rPr>
                <w:rFonts w:hint="eastAsia" w:hAnsi="宋体" w:cs="宋体"/>
                <w:b/>
                <w:bCs w:val="0"/>
                <w:color w:val="auto"/>
                <w:szCs w:val="21"/>
              </w:rPr>
            </w:pPr>
            <w:r>
              <w:rPr>
                <w:rFonts w:hint="eastAsia" w:hAnsi="宋体" w:cs="宋体"/>
                <w:b/>
                <w:bCs w:val="0"/>
                <w:color w:val="auto"/>
                <w:szCs w:val="21"/>
              </w:rPr>
              <w:t>采购代理机构参照云南省建设工程招标投标行业协会关于《云南省建设工程及政府采购代理服务收费参考意见》的通知云建招协〔2026〕11号文中收费标准向成交人收取代理服务费(服务费的计算基准价以中标（成交）金额为准</w:t>
            </w:r>
            <w:r>
              <w:rPr>
                <w:rFonts w:hint="eastAsia" w:hAnsi="宋体" w:cs="宋体"/>
                <w:b/>
                <w:bCs w:val="0"/>
                <w:color w:val="auto"/>
                <w:szCs w:val="21"/>
                <w:lang w:eastAsia="zh-CN"/>
              </w:rPr>
              <w:t>，</w:t>
            </w:r>
            <w:r>
              <w:rPr>
                <w:rFonts w:hint="eastAsia" w:hAnsi="宋体" w:cs="宋体"/>
                <w:b/>
                <w:bCs w:val="0"/>
                <w:color w:val="auto"/>
                <w:szCs w:val="21"/>
                <w:lang w:val="en-US" w:eastAsia="zh-CN"/>
              </w:rPr>
              <w:t>收费类型为工程类</w:t>
            </w:r>
            <w:r>
              <w:rPr>
                <w:rFonts w:hint="eastAsia" w:hAnsi="宋体" w:cs="宋体"/>
                <w:b/>
                <w:bCs w:val="0"/>
                <w:color w:val="auto"/>
                <w:szCs w:val="21"/>
              </w:rPr>
              <w:t>）。</w:t>
            </w:r>
          </w:p>
        </w:tc>
      </w:tr>
      <w:tr w14:paraId="00FDFEE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9" w:hRule="atLeast"/>
        </w:trPr>
        <w:tc>
          <w:tcPr>
            <w:tcW w:w="1062" w:type="dxa"/>
            <w:vAlign w:val="center"/>
          </w:tcPr>
          <w:p w14:paraId="268B23FC">
            <w:pPr>
              <w:pStyle w:val="20"/>
              <w:spacing w:line="276" w:lineRule="auto"/>
              <w:jc w:val="center"/>
              <w:rPr>
                <w:rFonts w:hint="eastAsia" w:hAnsi="宋体" w:cs="宋体"/>
                <w:color w:val="auto"/>
                <w:szCs w:val="21"/>
                <w:lang w:val="en-US" w:eastAsia="zh-CN"/>
              </w:rPr>
            </w:pPr>
            <w:r>
              <w:rPr>
                <w:rFonts w:hint="eastAsia" w:hAnsi="宋体" w:cs="宋体"/>
                <w:color w:val="auto"/>
                <w:szCs w:val="21"/>
                <w:lang w:val="en-US" w:eastAsia="zh-CN"/>
              </w:rPr>
              <w:t>25</w:t>
            </w:r>
          </w:p>
        </w:tc>
        <w:tc>
          <w:tcPr>
            <w:tcW w:w="1763" w:type="dxa"/>
            <w:vAlign w:val="center"/>
          </w:tcPr>
          <w:p w14:paraId="41ADFBC4">
            <w:pPr>
              <w:pStyle w:val="20"/>
              <w:spacing w:line="276" w:lineRule="auto"/>
              <w:jc w:val="center"/>
              <w:rPr>
                <w:rFonts w:hint="eastAsia" w:hAnsi="宋体" w:cs="宋体"/>
                <w:b w:val="0"/>
                <w:bCs/>
                <w:color w:val="auto"/>
                <w:szCs w:val="21"/>
                <w:lang w:val="en-US" w:eastAsia="zh-CN"/>
              </w:rPr>
            </w:pPr>
            <w:r>
              <w:rPr>
                <w:rFonts w:hint="eastAsia" w:hAnsi="宋体" w:cs="宋体"/>
                <w:b w:val="0"/>
                <w:bCs/>
                <w:color w:val="auto"/>
                <w:szCs w:val="21"/>
                <w:lang w:val="en-US" w:eastAsia="zh-CN"/>
              </w:rPr>
              <w:t>分包</w:t>
            </w:r>
          </w:p>
        </w:tc>
        <w:tc>
          <w:tcPr>
            <w:tcW w:w="6389" w:type="dxa"/>
            <w:vAlign w:val="center"/>
          </w:tcPr>
          <w:p w14:paraId="0A6616AD">
            <w:pPr>
              <w:keepNext w:val="0"/>
              <w:keepLines w:val="0"/>
              <w:pageBreakBefore w:val="0"/>
              <w:widowControl/>
              <w:overflowPunct/>
              <w:topLinePunct w:val="0"/>
              <w:autoSpaceDE/>
              <w:autoSpaceDN/>
              <w:bidi w:val="0"/>
              <w:adjustRightInd/>
              <w:snapToGrid/>
              <w:spacing w:line="240" w:lineRule="auto"/>
              <w:textAlignment w:val="auto"/>
              <w:rPr>
                <w:rFonts w:hint="eastAsia" w:ascii="宋体" w:hAnsi="宋体" w:eastAsia="宋体" w:cs="宋体"/>
                <w:b w:val="0"/>
                <w:bCs/>
                <w:color w:val="auto"/>
                <w:sz w:val="21"/>
                <w:szCs w:val="21"/>
                <w:lang w:val="en-US" w:eastAsia="zh-CN" w:bidi="en-US"/>
              </w:rPr>
            </w:pPr>
            <w:r>
              <w:rPr>
                <w:rFonts w:hint="eastAsia" w:ascii="宋体" w:hAnsi="宋体" w:cs="宋体"/>
                <w:b w:val="0"/>
                <w:bCs/>
                <w:color w:val="auto"/>
                <w:sz w:val="21"/>
                <w:szCs w:val="21"/>
                <w:lang w:eastAsia="zh-CN" w:bidi="en-US"/>
              </w:rPr>
              <w:t>☑</w:t>
            </w:r>
            <w:r>
              <w:rPr>
                <w:rFonts w:hint="eastAsia" w:ascii="宋体" w:hAnsi="宋体" w:eastAsia="宋体" w:cs="宋体"/>
                <w:b w:val="0"/>
                <w:bCs/>
                <w:color w:val="auto"/>
                <w:sz w:val="21"/>
                <w:szCs w:val="21"/>
                <w:lang w:val="en-US" w:eastAsia="zh-CN" w:bidi="en-US"/>
              </w:rPr>
              <w:t>不允许</w:t>
            </w:r>
          </w:p>
          <w:p w14:paraId="4F75DA0A">
            <w:pPr>
              <w:pStyle w:val="20"/>
              <w:spacing w:line="276" w:lineRule="auto"/>
              <w:rPr>
                <w:rFonts w:hint="eastAsia" w:ascii="宋体" w:hAnsi="宋体" w:eastAsia="宋体" w:cs="宋体"/>
                <w:b w:val="0"/>
                <w:bCs/>
                <w:color w:val="auto"/>
                <w:kern w:val="0"/>
                <w:sz w:val="21"/>
                <w:szCs w:val="21"/>
                <w:lang w:eastAsia="zh-CN" w:bidi="en-US"/>
              </w:rPr>
            </w:pPr>
            <w:r>
              <w:rPr>
                <w:rFonts w:hint="eastAsia" w:hAnsi="宋体" w:cs="宋体"/>
                <w:b w:val="0"/>
                <w:bCs/>
                <w:color w:val="auto"/>
                <w:kern w:val="0"/>
                <w:sz w:val="21"/>
                <w:szCs w:val="21"/>
                <w:lang w:eastAsia="zh-CN" w:bidi="en-US"/>
              </w:rPr>
              <w:t>□</w:t>
            </w:r>
            <w:r>
              <w:rPr>
                <w:rFonts w:hint="eastAsia" w:ascii="宋体" w:hAnsi="宋体" w:eastAsia="宋体" w:cs="宋体"/>
                <w:b w:val="0"/>
                <w:bCs/>
                <w:color w:val="auto"/>
                <w:kern w:val="0"/>
                <w:sz w:val="21"/>
                <w:szCs w:val="21"/>
                <w:lang w:bidi="en-US"/>
              </w:rPr>
              <w:t>允许</w:t>
            </w:r>
          </w:p>
        </w:tc>
      </w:tr>
      <w:tr w14:paraId="50E5E22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61" w:hRule="atLeast"/>
        </w:trPr>
        <w:tc>
          <w:tcPr>
            <w:tcW w:w="1062" w:type="dxa"/>
            <w:vAlign w:val="center"/>
          </w:tcPr>
          <w:p w14:paraId="34F80928">
            <w:pPr>
              <w:pStyle w:val="20"/>
              <w:spacing w:line="276" w:lineRule="auto"/>
              <w:jc w:val="center"/>
              <w:rPr>
                <w:rFonts w:hAnsi="宋体" w:cs="宋体"/>
                <w:color w:val="auto"/>
                <w:szCs w:val="21"/>
              </w:rPr>
            </w:pPr>
            <w:r>
              <w:rPr>
                <w:rFonts w:hint="eastAsia" w:hAnsi="宋体" w:cs="宋体"/>
                <w:color w:val="auto"/>
                <w:szCs w:val="21"/>
              </w:rPr>
              <w:t>2</w:t>
            </w:r>
            <w:r>
              <w:rPr>
                <w:rFonts w:hint="eastAsia" w:hAnsi="宋体" w:cs="宋体"/>
                <w:color w:val="auto"/>
                <w:szCs w:val="21"/>
                <w:lang w:val="en-US" w:eastAsia="zh-CN"/>
              </w:rPr>
              <w:t>6</w:t>
            </w:r>
            <w:r>
              <w:rPr>
                <w:rFonts w:hint="eastAsia" w:hAnsi="宋体" w:cs="宋体"/>
                <w:color w:val="auto"/>
                <w:szCs w:val="21"/>
              </w:rPr>
              <w:t>.1</w:t>
            </w:r>
          </w:p>
        </w:tc>
        <w:tc>
          <w:tcPr>
            <w:tcW w:w="1763" w:type="dxa"/>
            <w:vAlign w:val="center"/>
          </w:tcPr>
          <w:p w14:paraId="1AF90CD9">
            <w:pPr>
              <w:pStyle w:val="20"/>
              <w:spacing w:line="276" w:lineRule="auto"/>
              <w:rPr>
                <w:rFonts w:hAnsi="宋体" w:cs="宋体"/>
                <w:color w:val="auto"/>
                <w:szCs w:val="21"/>
              </w:rPr>
            </w:pPr>
            <w:r>
              <w:rPr>
                <w:rFonts w:hint="eastAsia" w:hAnsi="宋体" w:cs="宋体"/>
                <w:color w:val="auto"/>
                <w:szCs w:val="21"/>
              </w:rPr>
              <w:t>备选方案</w:t>
            </w:r>
          </w:p>
        </w:tc>
        <w:tc>
          <w:tcPr>
            <w:tcW w:w="6389" w:type="dxa"/>
            <w:vAlign w:val="center"/>
          </w:tcPr>
          <w:p w14:paraId="4E126838">
            <w:pPr>
              <w:spacing w:line="276" w:lineRule="auto"/>
              <w:rPr>
                <w:rFonts w:ascii="宋体" w:hAnsi="宋体" w:cs="宋体"/>
                <w:color w:val="auto"/>
                <w:szCs w:val="21"/>
              </w:rPr>
            </w:pPr>
            <w:r>
              <w:rPr>
                <w:rFonts w:hint="eastAsia" w:ascii="宋体" w:hAnsi="宋体" w:cs="宋体"/>
                <w:color w:val="auto"/>
                <w:szCs w:val="21"/>
              </w:rPr>
              <w:t>□接受     ■不接受</w:t>
            </w:r>
          </w:p>
          <w:p w14:paraId="0EFBE886">
            <w:pPr>
              <w:spacing w:line="276" w:lineRule="auto"/>
              <w:rPr>
                <w:rFonts w:ascii="宋体" w:hAnsi="宋体" w:cs="宋体"/>
                <w:color w:val="auto"/>
                <w:szCs w:val="21"/>
              </w:rPr>
            </w:pPr>
            <w:r>
              <w:rPr>
                <w:rFonts w:hint="eastAsia" w:ascii="宋体" w:hAnsi="宋体" w:cs="宋体"/>
                <w:color w:val="auto"/>
                <w:szCs w:val="21"/>
              </w:rPr>
              <w:t>（接受备选方案的，应在开标一览表格式及相关报价表中，列出主选方案和备选方案的相关内容）</w:t>
            </w:r>
          </w:p>
        </w:tc>
      </w:tr>
      <w:tr w14:paraId="651E84D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86" w:hRule="atLeast"/>
        </w:trPr>
        <w:tc>
          <w:tcPr>
            <w:tcW w:w="1062" w:type="dxa"/>
            <w:vAlign w:val="center"/>
          </w:tcPr>
          <w:p w14:paraId="497D0BC2">
            <w:pPr>
              <w:pStyle w:val="20"/>
              <w:spacing w:line="276" w:lineRule="auto"/>
              <w:jc w:val="center"/>
              <w:rPr>
                <w:rFonts w:hAnsi="宋体" w:cs="宋体"/>
                <w:color w:val="auto"/>
                <w:szCs w:val="21"/>
              </w:rPr>
            </w:pPr>
            <w:r>
              <w:rPr>
                <w:rFonts w:hint="eastAsia" w:hAnsi="宋体" w:cs="宋体"/>
                <w:color w:val="auto"/>
                <w:szCs w:val="21"/>
              </w:rPr>
              <w:t>2</w:t>
            </w:r>
            <w:r>
              <w:rPr>
                <w:rFonts w:hint="eastAsia" w:hAnsi="宋体" w:cs="宋体"/>
                <w:color w:val="auto"/>
                <w:szCs w:val="21"/>
                <w:lang w:val="en-US" w:eastAsia="zh-CN"/>
              </w:rPr>
              <w:t>6</w:t>
            </w:r>
            <w:r>
              <w:rPr>
                <w:rFonts w:hint="eastAsia" w:hAnsi="宋体" w:cs="宋体"/>
                <w:color w:val="auto"/>
                <w:szCs w:val="21"/>
              </w:rPr>
              <w:t>.2</w:t>
            </w:r>
          </w:p>
        </w:tc>
        <w:tc>
          <w:tcPr>
            <w:tcW w:w="8152" w:type="dxa"/>
            <w:gridSpan w:val="2"/>
            <w:vAlign w:val="center"/>
          </w:tcPr>
          <w:p w14:paraId="40E7BE4C">
            <w:pPr>
              <w:pStyle w:val="20"/>
              <w:spacing w:line="276" w:lineRule="auto"/>
              <w:rPr>
                <w:rFonts w:hAnsi="宋体" w:cs="宋体"/>
                <w:color w:val="auto"/>
                <w:szCs w:val="21"/>
              </w:rPr>
            </w:pPr>
            <w:r>
              <w:rPr>
                <w:rFonts w:hint="eastAsia" w:hAnsi="宋体" w:cs="宋体"/>
                <w:color w:val="auto"/>
                <w:szCs w:val="21"/>
              </w:rPr>
              <w:t>需要补充的其他内容</w:t>
            </w:r>
          </w:p>
        </w:tc>
      </w:tr>
      <w:tr w14:paraId="3CA1963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302" w:hRule="atLeast"/>
        </w:trPr>
        <w:tc>
          <w:tcPr>
            <w:tcW w:w="1062" w:type="dxa"/>
            <w:vAlign w:val="center"/>
          </w:tcPr>
          <w:p w14:paraId="662E9060">
            <w:pPr>
              <w:pStyle w:val="20"/>
              <w:spacing w:line="276" w:lineRule="auto"/>
              <w:jc w:val="center"/>
              <w:rPr>
                <w:rFonts w:hAnsi="宋体" w:cs="宋体"/>
                <w:color w:val="auto"/>
                <w:szCs w:val="21"/>
              </w:rPr>
            </w:pPr>
            <w:r>
              <w:rPr>
                <w:rFonts w:hint="eastAsia" w:hAnsi="宋体" w:cs="宋体"/>
                <w:color w:val="auto"/>
                <w:szCs w:val="21"/>
                <w:lang w:eastAsia="zh-CN"/>
              </w:rPr>
              <w:t>(</w:t>
            </w:r>
            <w:r>
              <w:rPr>
                <w:rFonts w:hint="eastAsia" w:hAnsi="宋体" w:cs="宋体"/>
                <w:color w:val="auto"/>
                <w:szCs w:val="21"/>
                <w:lang w:val="en-US" w:eastAsia="zh-CN"/>
              </w:rPr>
              <w:t>1)</w:t>
            </w:r>
          </w:p>
        </w:tc>
        <w:tc>
          <w:tcPr>
            <w:tcW w:w="8152" w:type="dxa"/>
            <w:gridSpan w:val="2"/>
            <w:vAlign w:val="center"/>
          </w:tcPr>
          <w:p w14:paraId="3564E231">
            <w:pPr>
              <w:spacing w:line="276" w:lineRule="auto"/>
              <w:rPr>
                <w:rFonts w:ascii="宋体" w:hAnsi="宋体" w:cs="宋体"/>
                <w:color w:val="auto"/>
                <w:szCs w:val="21"/>
              </w:rPr>
            </w:pPr>
            <w:r>
              <w:rPr>
                <w:rFonts w:hint="eastAsia" w:ascii="宋体" w:hAnsi="宋体" w:cs="宋体"/>
                <w:color w:val="auto"/>
                <w:szCs w:val="21"/>
              </w:rPr>
              <w:t>磋商小组按最终得分由高到低顺序推荐成交候选人。评审结果按评审后得分由高到低顺序排列。得分相同的，按最终报价由低到高顺序排列。由评审小组现场随机抽签确定最终排名。磋商响应文件满足竞争性磋商采购文件全部实质性要求，且按照评审因素的量化指标评审得分最高的供应商为排名第一的成交候选人。</w:t>
            </w:r>
          </w:p>
        </w:tc>
      </w:tr>
      <w:tr w14:paraId="4E2D886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59" w:hRule="atLeast"/>
        </w:trPr>
        <w:tc>
          <w:tcPr>
            <w:tcW w:w="1062" w:type="dxa"/>
            <w:vAlign w:val="center"/>
          </w:tcPr>
          <w:p w14:paraId="79090A69">
            <w:pPr>
              <w:pStyle w:val="20"/>
              <w:spacing w:line="276" w:lineRule="auto"/>
              <w:jc w:val="center"/>
              <w:rPr>
                <w:rFonts w:hAnsi="宋体" w:cs="宋体"/>
                <w:color w:val="auto"/>
                <w:szCs w:val="21"/>
              </w:rPr>
            </w:pPr>
            <w:r>
              <w:rPr>
                <w:rFonts w:hint="eastAsia" w:hAnsi="宋体" w:cs="宋体"/>
                <w:color w:val="auto"/>
                <w:szCs w:val="21"/>
                <w:lang w:eastAsia="zh-CN"/>
              </w:rPr>
              <w:t>(</w:t>
            </w:r>
            <w:r>
              <w:rPr>
                <w:rFonts w:hint="eastAsia" w:hAnsi="宋体" w:cs="宋体"/>
                <w:color w:val="auto"/>
                <w:szCs w:val="21"/>
                <w:lang w:val="en-US" w:eastAsia="zh-CN"/>
              </w:rPr>
              <w:t>2)</w:t>
            </w:r>
          </w:p>
        </w:tc>
        <w:tc>
          <w:tcPr>
            <w:tcW w:w="8152" w:type="dxa"/>
            <w:gridSpan w:val="2"/>
            <w:vAlign w:val="center"/>
          </w:tcPr>
          <w:p w14:paraId="00817457">
            <w:pPr>
              <w:spacing w:line="276" w:lineRule="auto"/>
              <w:rPr>
                <w:rFonts w:ascii="宋体" w:hAnsi="宋体" w:cs="宋体"/>
                <w:color w:val="auto"/>
                <w:szCs w:val="21"/>
              </w:rPr>
            </w:pPr>
            <w:r>
              <w:rPr>
                <w:rFonts w:hint="eastAsia" w:ascii="宋体" w:hAnsi="宋体" w:cs="宋体"/>
                <w:color w:val="auto"/>
                <w:szCs w:val="21"/>
              </w:rPr>
              <w:t>如供应商为非法人组织，本采购文件中的“法定代表人”按负责人理解。</w:t>
            </w:r>
          </w:p>
        </w:tc>
      </w:tr>
      <w:tr w14:paraId="134B1B5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46" w:hRule="atLeast"/>
        </w:trPr>
        <w:tc>
          <w:tcPr>
            <w:tcW w:w="1062" w:type="dxa"/>
            <w:vAlign w:val="center"/>
          </w:tcPr>
          <w:p w14:paraId="072C1907">
            <w:pPr>
              <w:pStyle w:val="20"/>
              <w:spacing w:line="276" w:lineRule="auto"/>
              <w:jc w:val="center"/>
              <w:rPr>
                <w:rFonts w:hint="eastAsia" w:hAnsi="宋体" w:cs="宋体"/>
                <w:color w:val="auto"/>
                <w:szCs w:val="21"/>
                <w:lang w:eastAsia="zh-CN"/>
              </w:rPr>
            </w:pPr>
            <w:bookmarkStart w:id="86" w:name="_Toc370221891"/>
            <w:bookmarkStart w:id="87" w:name="_Toc326774462"/>
            <w:bookmarkStart w:id="88" w:name="_Toc370221801"/>
            <w:bookmarkStart w:id="89" w:name="_Toc171930041"/>
            <w:bookmarkStart w:id="90" w:name="_Toc120603070"/>
            <w:bookmarkStart w:id="91" w:name="_Toc370221705"/>
            <w:bookmarkStart w:id="92" w:name="_Toc347234398"/>
            <w:bookmarkStart w:id="93" w:name="_Toc106422663"/>
            <w:r>
              <w:rPr>
                <w:rFonts w:hint="eastAsia" w:hAnsi="宋体" w:cs="宋体"/>
                <w:color w:val="auto"/>
                <w:szCs w:val="21"/>
                <w:lang w:eastAsia="zh-CN"/>
              </w:rPr>
              <w:t>(</w:t>
            </w:r>
            <w:r>
              <w:rPr>
                <w:rFonts w:hint="eastAsia" w:hAnsi="宋体" w:cs="宋体"/>
                <w:color w:val="auto"/>
                <w:szCs w:val="21"/>
                <w:lang w:val="en-US" w:eastAsia="zh-CN"/>
              </w:rPr>
              <w:t>3)</w:t>
            </w:r>
          </w:p>
        </w:tc>
        <w:tc>
          <w:tcPr>
            <w:tcW w:w="8152" w:type="dxa"/>
            <w:gridSpan w:val="2"/>
            <w:vAlign w:val="center"/>
          </w:tcPr>
          <w:p w14:paraId="2AD2E186">
            <w:pPr>
              <w:spacing w:line="276" w:lineRule="auto"/>
              <w:rPr>
                <w:rFonts w:hint="eastAsia" w:ascii="宋体" w:hAnsi="宋体" w:eastAsia="宋体" w:cs="宋体"/>
                <w:b w:val="0"/>
                <w:bCs/>
                <w:color w:val="auto"/>
                <w:highlight w:val="none"/>
              </w:rPr>
            </w:pPr>
            <w:r>
              <w:rPr>
                <w:rFonts w:hint="eastAsia" w:ascii="宋体" w:hAnsi="宋体" w:cs="宋体"/>
                <w:color w:val="auto"/>
                <w:szCs w:val="21"/>
                <w:lang w:val="en-US" w:eastAsia="zh-CN"/>
              </w:rPr>
              <w:t>本项目为专门面向中小微企业采购项目，</w:t>
            </w:r>
            <w:r>
              <w:rPr>
                <w:rFonts w:hint="eastAsia" w:ascii="宋体" w:hAnsi="宋体" w:eastAsia="宋体" w:cs="宋体"/>
                <w:color w:val="auto"/>
                <w:kern w:val="0"/>
                <w:szCs w:val="24"/>
              </w:rPr>
              <w:t>参加本项目的供应商应当符合</w:t>
            </w:r>
            <w:r>
              <w:rPr>
                <w:rFonts w:hint="eastAsia" w:ascii="宋体" w:hAnsi="宋体" w:eastAsia="宋体" w:cs="宋体"/>
                <w:b/>
                <w:bCs/>
                <w:color w:val="auto"/>
                <w:kern w:val="0"/>
                <w:szCs w:val="24"/>
                <w:u w:val="single"/>
                <w:lang w:val="en-US" w:eastAsia="zh-CN"/>
              </w:rPr>
              <w:t xml:space="preserve"> 建筑业 </w:t>
            </w:r>
            <w:r>
              <w:rPr>
                <w:rFonts w:hint="eastAsia" w:ascii="宋体" w:hAnsi="宋体" w:eastAsia="宋体" w:cs="宋体"/>
                <w:color w:val="auto"/>
                <w:kern w:val="0"/>
                <w:szCs w:val="24"/>
              </w:rPr>
              <w:t>行业的中小企业划分</w:t>
            </w:r>
            <w:r>
              <w:rPr>
                <w:rFonts w:hint="eastAsia" w:ascii="宋体" w:hAnsi="宋体" w:eastAsia="宋体" w:cs="宋体"/>
                <w:color w:val="auto"/>
                <w:kern w:val="0"/>
                <w:szCs w:val="24"/>
                <w:lang w:val="en-US" w:eastAsia="zh-CN"/>
              </w:rPr>
              <w:t>标准，并</w:t>
            </w:r>
            <w:r>
              <w:rPr>
                <w:rFonts w:hint="eastAsia" w:ascii="宋体" w:hAnsi="宋体" w:cs="宋体"/>
                <w:color w:val="auto"/>
                <w:szCs w:val="21"/>
                <w:lang w:val="en-US" w:eastAsia="zh-CN"/>
              </w:rPr>
              <w:t>提供《中小企业声明函》。</w:t>
            </w:r>
          </w:p>
        </w:tc>
      </w:tr>
    </w:tbl>
    <w:p w14:paraId="31A2427C">
      <w:pPr>
        <w:widowControl/>
        <w:spacing w:line="360" w:lineRule="auto"/>
        <w:jc w:val="center"/>
        <w:outlineLvl w:val="1"/>
        <w:rPr>
          <w:rFonts w:ascii="宋体" w:hAnsi="宋体" w:cs="宋体"/>
          <w:b/>
          <w:bCs/>
          <w:sz w:val="24"/>
          <w:szCs w:val="24"/>
        </w:rPr>
      </w:pPr>
      <w:r>
        <w:rPr>
          <w:rFonts w:hint="eastAsia" w:ascii="宋体" w:hAnsi="宋体" w:cs="宋体"/>
          <w:szCs w:val="21"/>
        </w:rPr>
        <w:br w:type="page"/>
      </w:r>
      <w:bookmarkEnd w:id="86"/>
      <w:bookmarkEnd w:id="87"/>
      <w:bookmarkEnd w:id="88"/>
      <w:bookmarkEnd w:id="89"/>
      <w:bookmarkEnd w:id="90"/>
      <w:bookmarkEnd w:id="91"/>
      <w:bookmarkEnd w:id="92"/>
      <w:bookmarkEnd w:id="93"/>
      <w:bookmarkStart w:id="94" w:name="_Toc8828"/>
      <w:bookmarkStart w:id="95" w:name="_Toc373844163"/>
      <w:bookmarkStart w:id="96" w:name="_Toc58081262"/>
      <w:bookmarkStart w:id="97" w:name="_Toc427339168"/>
      <w:bookmarkStart w:id="98" w:name="_Toc373844096"/>
      <w:bookmarkStart w:id="99" w:name="_Toc8300781"/>
      <w:bookmarkStart w:id="100" w:name="_Toc348011923"/>
      <w:bookmarkStart w:id="101" w:name="_Toc427306787"/>
      <w:r>
        <w:rPr>
          <w:rFonts w:hint="eastAsia" w:ascii="宋体" w:hAnsi="宋体" w:cs="宋体"/>
          <w:b/>
          <w:bCs/>
          <w:sz w:val="24"/>
          <w:szCs w:val="24"/>
        </w:rPr>
        <w:t>二、供应商须知正文</w:t>
      </w:r>
      <w:bookmarkEnd w:id="94"/>
    </w:p>
    <w:p w14:paraId="31A1D18E">
      <w:pPr>
        <w:pStyle w:val="3"/>
        <w:spacing w:before="0" w:after="0" w:line="360" w:lineRule="auto"/>
        <w:jc w:val="center"/>
        <w:rPr>
          <w:rFonts w:ascii="宋体" w:hAnsi="宋体" w:eastAsia="宋体" w:cs="宋体"/>
          <w:sz w:val="21"/>
          <w:szCs w:val="21"/>
        </w:rPr>
      </w:pPr>
      <w:bookmarkStart w:id="102" w:name="_Toc24461"/>
      <w:r>
        <w:rPr>
          <w:rFonts w:hint="eastAsia" w:ascii="宋体" w:hAnsi="宋体" w:eastAsia="宋体" w:cs="宋体"/>
          <w:sz w:val="21"/>
          <w:szCs w:val="21"/>
        </w:rPr>
        <w:t>（一）总则</w:t>
      </w:r>
      <w:bookmarkEnd w:id="95"/>
      <w:bookmarkEnd w:id="96"/>
      <w:bookmarkEnd w:id="97"/>
      <w:bookmarkEnd w:id="98"/>
      <w:bookmarkEnd w:id="99"/>
      <w:bookmarkEnd w:id="100"/>
      <w:bookmarkEnd w:id="101"/>
      <w:bookmarkEnd w:id="102"/>
    </w:p>
    <w:p w14:paraId="4C260018">
      <w:pPr>
        <w:spacing w:line="360" w:lineRule="auto"/>
        <w:rPr>
          <w:rFonts w:ascii="宋体" w:hAnsi="宋体" w:cs="宋体"/>
          <w:b/>
          <w:szCs w:val="21"/>
        </w:rPr>
      </w:pPr>
      <w:bookmarkStart w:id="103" w:name="_Toc348011924"/>
      <w:bookmarkStart w:id="104" w:name="_Toc329810186"/>
      <w:r>
        <w:rPr>
          <w:rFonts w:hint="eastAsia" w:ascii="宋体" w:hAnsi="宋体" w:cs="宋体"/>
          <w:b/>
          <w:szCs w:val="21"/>
        </w:rPr>
        <w:t>1、项目概况</w:t>
      </w:r>
      <w:bookmarkEnd w:id="103"/>
      <w:bookmarkEnd w:id="104"/>
    </w:p>
    <w:p w14:paraId="726A8D09">
      <w:pPr>
        <w:spacing w:line="360" w:lineRule="auto"/>
        <w:ind w:firstLine="420" w:firstLineChars="200"/>
        <w:rPr>
          <w:rFonts w:ascii="宋体" w:hAnsi="宋体" w:cs="宋体"/>
          <w:szCs w:val="21"/>
        </w:rPr>
      </w:pPr>
      <w:bookmarkStart w:id="105" w:name="_Toc348011925"/>
      <w:bookmarkStart w:id="106" w:name="_Toc265142411"/>
      <w:bookmarkStart w:id="107" w:name="_Toc329810187"/>
      <w:r>
        <w:rPr>
          <w:rFonts w:hint="eastAsia" w:ascii="宋体" w:hAnsi="宋体" w:cs="宋体"/>
          <w:szCs w:val="21"/>
        </w:rPr>
        <w:t>采购人、采购代理机构、项目名称及项目编号：见“供应商须知前附表”。</w:t>
      </w:r>
    </w:p>
    <w:p w14:paraId="37F44ED9">
      <w:pPr>
        <w:spacing w:line="360" w:lineRule="auto"/>
        <w:rPr>
          <w:rFonts w:ascii="宋体" w:hAnsi="宋体" w:cs="宋体"/>
          <w:b/>
          <w:szCs w:val="21"/>
        </w:rPr>
      </w:pPr>
      <w:r>
        <w:rPr>
          <w:rFonts w:hint="eastAsia" w:ascii="宋体" w:hAnsi="宋体" w:cs="宋体"/>
          <w:b/>
          <w:szCs w:val="21"/>
        </w:rPr>
        <w:t>2、资金来源</w:t>
      </w:r>
      <w:bookmarkEnd w:id="105"/>
      <w:bookmarkEnd w:id="106"/>
      <w:bookmarkEnd w:id="107"/>
    </w:p>
    <w:p w14:paraId="56A48D66">
      <w:pPr>
        <w:spacing w:line="360" w:lineRule="auto"/>
        <w:ind w:firstLine="420" w:firstLineChars="200"/>
        <w:rPr>
          <w:rFonts w:ascii="宋体" w:hAnsi="宋体" w:cs="宋体"/>
          <w:szCs w:val="21"/>
        </w:rPr>
      </w:pPr>
      <w:r>
        <w:rPr>
          <w:rFonts w:hint="eastAsia" w:ascii="宋体" w:hAnsi="宋体" w:cs="宋体"/>
          <w:szCs w:val="21"/>
        </w:rPr>
        <w:t>“</w:t>
      </w:r>
      <w:r>
        <w:rPr>
          <w:rFonts w:hint="eastAsia" w:ascii="宋体" w:hAnsi="宋体" w:cs="宋体"/>
          <w:b/>
          <w:bCs/>
          <w:szCs w:val="21"/>
        </w:rPr>
        <w:t>供应商须知前附表</w:t>
      </w:r>
      <w:r>
        <w:rPr>
          <w:rFonts w:hint="eastAsia" w:ascii="宋体" w:hAnsi="宋体" w:cs="宋体"/>
          <w:szCs w:val="21"/>
        </w:rPr>
        <w:t>” 中所述的采购资金，用于采购本文件“</w:t>
      </w:r>
      <w:r>
        <w:rPr>
          <w:rFonts w:hint="eastAsia" w:ascii="宋体" w:hAnsi="宋体" w:cs="宋体"/>
          <w:b/>
          <w:szCs w:val="21"/>
        </w:rPr>
        <w:t>第五章</w:t>
      </w:r>
      <w:r>
        <w:rPr>
          <w:rFonts w:hint="eastAsia" w:ascii="宋体" w:hAnsi="宋体" w:cs="宋体"/>
          <w:szCs w:val="21"/>
        </w:rPr>
        <w:t>”所列的服务。</w:t>
      </w:r>
    </w:p>
    <w:p w14:paraId="42DBEBAF">
      <w:pPr>
        <w:spacing w:line="360" w:lineRule="auto"/>
        <w:rPr>
          <w:rFonts w:ascii="宋体" w:hAnsi="宋体" w:cs="宋体"/>
          <w:b/>
          <w:szCs w:val="21"/>
        </w:rPr>
      </w:pPr>
      <w:bookmarkStart w:id="108" w:name="_Toc348011926"/>
      <w:bookmarkStart w:id="109" w:name="_Toc265142412"/>
      <w:bookmarkStart w:id="110" w:name="_Toc329810188"/>
      <w:r>
        <w:rPr>
          <w:rFonts w:hint="eastAsia" w:ascii="宋体" w:hAnsi="宋体" w:cs="宋体"/>
          <w:b/>
          <w:szCs w:val="21"/>
        </w:rPr>
        <w:t>3、</w:t>
      </w:r>
      <w:bookmarkEnd w:id="108"/>
      <w:bookmarkEnd w:id="109"/>
      <w:bookmarkEnd w:id="110"/>
      <w:r>
        <w:rPr>
          <w:rFonts w:hint="eastAsia" w:ascii="宋体" w:hAnsi="宋体" w:cs="宋体"/>
          <w:b/>
          <w:szCs w:val="21"/>
        </w:rPr>
        <w:t>预算金额、最高限价、采购需求、合同履行期限及质量要求</w:t>
      </w:r>
    </w:p>
    <w:p w14:paraId="28A9DF3C">
      <w:pPr>
        <w:spacing w:line="360" w:lineRule="auto"/>
        <w:ind w:firstLine="420" w:firstLineChars="200"/>
        <w:rPr>
          <w:rFonts w:ascii="宋体" w:hAnsi="宋体" w:cs="宋体"/>
          <w:szCs w:val="21"/>
        </w:rPr>
      </w:pPr>
      <w:bookmarkStart w:id="111" w:name="_Hlk37850341"/>
      <w:bookmarkStart w:id="112" w:name="_Toc329810189"/>
      <w:bookmarkStart w:id="113" w:name="_Toc348011927"/>
      <w:r>
        <w:rPr>
          <w:rFonts w:hint="eastAsia" w:ascii="宋体" w:hAnsi="宋体" w:cs="宋体"/>
          <w:szCs w:val="21"/>
        </w:rPr>
        <w:t xml:space="preserve">3.1 </w:t>
      </w:r>
      <w:bookmarkStart w:id="114" w:name="_Hlk37849204"/>
      <w:r>
        <w:rPr>
          <w:rFonts w:hint="eastAsia" w:ascii="宋体" w:hAnsi="宋体" w:cs="宋体"/>
          <w:szCs w:val="21"/>
        </w:rPr>
        <w:t>本项目</w:t>
      </w:r>
      <w:bookmarkEnd w:id="114"/>
      <w:r>
        <w:rPr>
          <w:rFonts w:hint="eastAsia" w:ascii="宋体" w:hAnsi="宋体" w:cs="宋体"/>
          <w:b/>
          <w:szCs w:val="21"/>
        </w:rPr>
        <w:t>预算金额</w:t>
      </w:r>
      <w:r>
        <w:rPr>
          <w:rFonts w:hint="eastAsia" w:ascii="宋体" w:hAnsi="宋体" w:cs="宋体"/>
          <w:szCs w:val="21"/>
        </w:rPr>
        <w:t>：见“</w:t>
      </w:r>
      <w:r>
        <w:rPr>
          <w:rFonts w:hint="eastAsia" w:ascii="宋体" w:hAnsi="宋体" w:cs="宋体"/>
          <w:b/>
          <w:bCs/>
          <w:szCs w:val="21"/>
        </w:rPr>
        <w:t>供应商须知前附表</w:t>
      </w:r>
      <w:r>
        <w:rPr>
          <w:rFonts w:hint="eastAsia" w:ascii="宋体" w:hAnsi="宋体" w:cs="宋体"/>
          <w:szCs w:val="21"/>
        </w:rPr>
        <w:t>”。</w:t>
      </w:r>
    </w:p>
    <w:bookmarkEnd w:id="111"/>
    <w:p w14:paraId="31E066A5">
      <w:pPr>
        <w:spacing w:line="360" w:lineRule="auto"/>
        <w:ind w:firstLine="420" w:firstLineChars="200"/>
        <w:rPr>
          <w:rFonts w:ascii="宋体" w:hAnsi="宋体" w:cs="宋体"/>
          <w:szCs w:val="21"/>
        </w:rPr>
      </w:pPr>
      <w:r>
        <w:rPr>
          <w:rFonts w:hint="eastAsia" w:ascii="宋体" w:hAnsi="宋体" w:cs="宋体"/>
          <w:szCs w:val="21"/>
        </w:rPr>
        <w:t>3.2 本项目</w:t>
      </w:r>
      <w:r>
        <w:rPr>
          <w:rFonts w:hint="eastAsia" w:ascii="宋体" w:hAnsi="宋体" w:cs="宋体"/>
          <w:b/>
          <w:szCs w:val="21"/>
        </w:rPr>
        <w:t>最高限价</w:t>
      </w:r>
      <w:r>
        <w:rPr>
          <w:rFonts w:hint="eastAsia" w:ascii="宋体" w:hAnsi="宋体" w:cs="宋体"/>
          <w:szCs w:val="21"/>
        </w:rPr>
        <w:t>：见“</w:t>
      </w:r>
      <w:r>
        <w:rPr>
          <w:rFonts w:hint="eastAsia" w:ascii="宋体" w:hAnsi="宋体" w:cs="宋体"/>
          <w:b/>
          <w:bCs/>
          <w:szCs w:val="21"/>
        </w:rPr>
        <w:t>供应商须知前附表</w:t>
      </w:r>
      <w:r>
        <w:rPr>
          <w:rFonts w:hint="eastAsia" w:ascii="宋体" w:hAnsi="宋体" w:cs="宋体"/>
          <w:szCs w:val="21"/>
        </w:rPr>
        <w:t>”。</w:t>
      </w:r>
    </w:p>
    <w:p w14:paraId="709CBE2B">
      <w:pPr>
        <w:spacing w:line="360" w:lineRule="auto"/>
        <w:ind w:firstLine="420" w:firstLineChars="200"/>
        <w:rPr>
          <w:rFonts w:ascii="宋体" w:hAnsi="宋体" w:cs="宋体"/>
          <w:szCs w:val="21"/>
        </w:rPr>
      </w:pPr>
      <w:r>
        <w:rPr>
          <w:rFonts w:hint="eastAsia" w:ascii="宋体" w:hAnsi="宋体" w:cs="宋体"/>
          <w:szCs w:val="21"/>
        </w:rPr>
        <w:t>3.3本项目</w:t>
      </w:r>
      <w:r>
        <w:rPr>
          <w:rFonts w:hint="eastAsia" w:ascii="宋体" w:hAnsi="宋体" w:cs="宋体"/>
          <w:b/>
          <w:szCs w:val="21"/>
        </w:rPr>
        <w:t>采购需求</w:t>
      </w:r>
      <w:r>
        <w:rPr>
          <w:rFonts w:hint="eastAsia" w:ascii="宋体" w:hAnsi="宋体" w:cs="宋体"/>
          <w:szCs w:val="21"/>
        </w:rPr>
        <w:t>：见“</w:t>
      </w:r>
      <w:r>
        <w:rPr>
          <w:rFonts w:hint="eastAsia" w:ascii="宋体" w:hAnsi="宋体" w:cs="宋体"/>
          <w:b/>
          <w:bCs/>
          <w:szCs w:val="21"/>
        </w:rPr>
        <w:t>供应商须知前附表</w:t>
      </w:r>
      <w:r>
        <w:rPr>
          <w:rFonts w:hint="eastAsia" w:ascii="宋体" w:hAnsi="宋体" w:cs="宋体"/>
          <w:szCs w:val="21"/>
        </w:rPr>
        <w:t>”。</w:t>
      </w:r>
    </w:p>
    <w:p w14:paraId="5B1A277C">
      <w:pPr>
        <w:spacing w:line="360" w:lineRule="auto"/>
        <w:ind w:firstLine="420" w:firstLineChars="200"/>
        <w:rPr>
          <w:rFonts w:ascii="宋体" w:hAnsi="宋体" w:cs="宋体"/>
          <w:szCs w:val="21"/>
        </w:rPr>
      </w:pPr>
      <w:r>
        <w:rPr>
          <w:rFonts w:hint="eastAsia" w:ascii="宋体" w:hAnsi="宋体" w:cs="宋体"/>
          <w:szCs w:val="21"/>
        </w:rPr>
        <w:t>3.4本项目</w:t>
      </w:r>
      <w:r>
        <w:rPr>
          <w:rFonts w:hint="eastAsia" w:ascii="宋体" w:hAnsi="宋体" w:cs="宋体"/>
          <w:b/>
          <w:szCs w:val="21"/>
        </w:rPr>
        <w:t>合同履行期限</w:t>
      </w:r>
      <w:r>
        <w:rPr>
          <w:rFonts w:hint="eastAsia" w:ascii="宋体" w:hAnsi="宋体" w:cs="宋体"/>
          <w:szCs w:val="21"/>
        </w:rPr>
        <w:t>：见“</w:t>
      </w:r>
      <w:r>
        <w:rPr>
          <w:rFonts w:hint="eastAsia" w:ascii="宋体" w:hAnsi="宋体" w:cs="宋体"/>
          <w:b/>
          <w:bCs/>
          <w:szCs w:val="21"/>
        </w:rPr>
        <w:t>供应商须知前附表</w:t>
      </w:r>
      <w:r>
        <w:rPr>
          <w:rFonts w:hint="eastAsia" w:ascii="宋体" w:hAnsi="宋体" w:cs="宋体"/>
          <w:szCs w:val="21"/>
        </w:rPr>
        <w:t>”。</w:t>
      </w:r>
    </w:p>
    <w:p w14:paraId="5092B0A8">
      <w:pPr>
        <w:spacing w:line="360" w:lineRule="auto"/>
        <w:ind w:firstLine="420" w:firstLineChars="200"/>
        <w:rPr>
          <w:rFonts w:ascii="宋体" w:hAnsi="宋体" w:cs="宋体"/>
          <w:szCs w:val="21"/>
        </w:rPr>
      </w:pPr>
      <w:r>
        <w:rPr>
          <w:rFonts w:hint="eastAsia" w:ascii="宋体" w:hAnsi="宋体" w:cs="宋体"/>
          <w:szCs w:val="21"/>
        </w:rPr>
        <w:t>3.5本项目</w:t>
      </w:r>
      <w:r>
        <w:rPr>
          <w:rFonts w:hint="eastAsia" w:ascii="宋体" w:hAnsi="宋体" w:cs="宋体"/>
          <w:b/>
          <w:szCs w:val="21"/>
        </w:rPr>
        <w:t>质量要求</w:t>
      </w:r>
      <w:r>
        <w:rPr>
          <w:rFonts w:hint="eastAsia" w:ascii="宋体" w:hAnsi="宋体" w:cs="宋体"/>
          <w:szCs w:val="21"/>
        </w:rPr>
        <w:t>：见“</w:t>
      </w:r>
      <w:r>
        <w:rPr>
          <w:rFonts w:hint="eastAsia" w:ascii="宋体" w:hAnsi="宋体" w:cs="宋体"/>
          <w:b/>
          <w:bCs/>
          <w:szCs w:val="21"/>
        </w:rPr>
        <w:t>供应商须知前附表</w:t>
      </w:r>
      <w:r>
        <w:rPr>
          <w:rFonts w:hint="eastAsia" w:ascii="宋体" w:hAnsi="宋体" w:cs="宋体"/>
          <w:szCs w:val="21"/>
        </w:rPr>
        <w:t>”。</w:t>
      </w:r>
    </w:p>
    <w:p w14:paraId="04B1D955">
      <w:pPr>
        <w:spacing w:line="360" w:lineRule="auto"/>
        <w:rPr>
          <w:rFonts w:ascii="宋体" w:hAnsi="宋体" w:cs="宋体"/>
          <w:b/>
          <w:szCs w:val="21"/>
        </w:rPr>
      </w:pPr>
      <w:r>
        <w:rPr>
          <w:rFonts w:hint="eastAsia" w:ascii="宋体" w:hAnsi="宋体" w:cs="宋体"/>
          <w:b/>
          <w:szCs w:val="21"/>
        </w:rPr>
        <w:t>4、合格的供应商（以下简称供应商）</w:t>
      </w:r>
      <w:bookmarkEnd w:id="112"/>
      <w:bookmarkEnd w:id="113"/>
    </w:p>
    <w:p w14:paraId="674A4707">
      <w:pPr>
        <w:spacing w:line="360" w:lineRule="auto"/>
        <w:ind w:firstLine="420" w:firstLineChars="200"/>
        <w:rPr>
          <w:rFonts w:ascii="宋体" w:hAnsi="宋体" w:cs="宋体"/>
          <w:szCs w:val="21"/>
        </w:rPr>
      </w:pPr>
      <w:bookmarkStart w:id="115" w:name="_Hlt200176664"/>
      <w:bookmarkEnd w:id="115"/>
      <w:bookmarkStart w:id="116" w:name="_Toc329810190"/>
      <w:bookmarkStart w:id="117" w:name="_Toc348011928"/>
      <w:bookmarkStart w:id="118" w:name="_Toc424897008"/>
      <w:r>
        <w:rPr>
          <w:rFonts w:hint="eastAsia" w:ascii="宋体" w:hAnsi="宋体" w:cs="宋体"/>
          <w:szCs w:val="21"/>
        </w:rPr>
        <w:t>4.1参加磋商的供应商应符合竞争性磋商采购文件“</w:t>
      </w:r>
      <w:r>
        <w:rPr>
          <w:rFonts w:hint="eastAsia" w:ascii="宋体" w:hAnsi="宋体" w:cs="宋体"/>
          <w:b/>
          <w:bCs/>
          <w:szCs w:val="21"/>
        </w:rPr>
        <w:t>供应商须知前附表</w:t>
      </w:r>
      <w:r>
        <w:rPr>
          <w:rFonts w:hint="eastAsia" w:ascii="宋体" w:hAnsi="宋体" w:cs="宋体"/>
          <w:szCs w:val="21"/>
        </w:rPr>
        <w:t>”中规定的要求。</w:t>
      </w:r>
    </w:p>
    <w:p w14:paraId="1C29EBA9">
      <w:pPr>
        <w:spacing w:line="360" w:lineRule="auto"/>
        <w:ind w:firstLine="420" w:firstLineChars="200"/>
        <w:rPr>
          <w:rFonts w:ascii="宋体" w:hAnsi="宋体" w:cs="宋体"/>
          <w:szCs w:val="21"/>
        </w:rPr>
      </w:pPr>
      <w:r>
        <w:rPr>
          <w:rFonts w:hint="eastAsia" w:ascii="宋体" w:hAnsi="宋体" w:cs="宋体"/>
          <w:szCs w:val="21"/>
        </w:rPr>
        <w:t>4.2“</w:t>
      </w:r>
      <w:r>
        <w:rPr>
          <w:rFonts w:hint="eastAsia" w:ascii="宋体" w:hAnsi="宋体" w:cs="宋体"/>
          <w:b/>
          <w:bCs/>
          <w:szCs w:val="21"/>
        </w:rPr>
        <w:t>供应商须知前附表</w:t>
      </w:r>
      <w:r>
        <w:rPr>
          <w:rFonts w:hint="eastAsia" w:ascii="宋体" w:hAnsi="宋体" w:cs="宋体"/>
          <w:szCs w:val="21"/>
        </w:rPr>
        <w:t>”规定接受联合体磋商的，除应符合本章第4.1~4.3项的要求外，还应遵守以下规定：</w:t>
      </w:r>
    </w:p>
    <w:p w14:paraId="2A3CC729">
      <w:pPr>
        <w:spacing w:line="360" w:lineRule="auto"/>
        <w:ind w:firstLine="420" w:firstLineChars="200"/>
        <w:rPr>
          <w:rFonts w:ascii="宋体" w:hAnsi="宋体" w:cs="宋体"/>
          <w:szCs w:val="21"/>
        </w:rPr>
      </w:pPr>
      <w:r>
        <w:rPr>
          <w:rFonts w:hint="eastAsia" w:ascii="宋体" w:hAnsi="宋体" w:cs="宋体"/>
          <w:szCs w:val="21"/>
        </w:rPr>
        <w:t>（1）采购人根据采购项目的特殊要求规定供应商特定条件的，联合体各方中至少应有一方符合采购人规定的特定条件；</w:t>
      </w:r>
    </w:p>
    <w:p w14:paraId="2BD086EA">
      <w:pPr>
        <w:spacing w:line="360" w:lineRule="auto"/>
        <w:ind w:firstLine="420" w:firstLineChars="200"/>
        <w:rPr>
          <w:rFonts w:ascii="宋体" w:hAnsi="宋体" w:cs="宋体"/>
          <w:szCs w:val="21"/>
        </w:rPr>
      </w:pPr>
      <w:r>
        <w:rPr>
          <w:rFonts w:hint="eastAsia" w:ascii="宋体" w:hAnsi="宋体" w:cs="宋体"/>
          <w:szCs w:val="21"/>
        </w:rPr>
        <w:t>（2）联合体各方之间应当签订共同磋商协议，明确约定联合体各方承担的工作和相应的责任；</w:t>
      </w:r>
    </w:p>
    <w:p w14:paraId="09BCCC37">
      <w:pPr>
        <w:spacing w:line="360" w:lineRule="auto"/>
        <w:ind w:firstLine="420" w:firstLineChars="200"/>
        <w:rPr>
          <w:rFonts w:ascii="宋体" w:hAnsi="宋体" w:cs="宋体"/>
          <w:szCs w:val="21"/>
        </w:rPr>
      </w:pPr>
      <w:r>
        <w:rPr>
          <w:rFonts w:hint="eastAsia" w:ascii="宋体" w:hAnsi="宋体" w:cs="宋体"/>
          <w:szCs w:val="21"/>
        </w:rPr>
        <w:t>（3）联合体各方不得再以自己名义单独或参加其他联合体在同一项目中的磋商。</w:t>
      </w:r>
    </w:p>
    <w:p w14:paraId="0B5BB922">
      <w:pPr>
        <w:spacing w:line="360" w:lineRule="auto"/>
        <w:ind w:firstLine="420" w:firstLineChars="200"/>
        <w:rPr>
          <w:rFonts w:ascii="宋体" w:hAnsi="宋体" w:cs="宋体"/>
          <w:szCs w:val="21"/>
        </w:rPr>
      </w:pPr>
      <w:r>
        <w:rPr>
          <w:rFonts w:hint="eastAsia" w:ascii="宋体" w:hAnsi="宋体" w:cs="宋体"/>
          <w:szCs w:val="21"/>
        </w:rPr>
        <w:t>4.3符合上述条件的供应商应承担磋商及履约中应承担的全部责任与义务且提供的所有资料真实有效，</w:t>
      </w:r>
      <w:r>
        <w:rPr>
          <w:rFonts w:hint="eastAsia" w:ascii="宋体" w:hAnsi="宋体" w:cs="宋体"/>
          <w:szCs w:val="21"/>
          <w:lang w:eastAsia="zh-CN"/>
        </w:rPr>
        <w:t>由此</w:t>
      </w:r>
      <w:r>
        <w:rPr>
          <w:rFonts w:hint="eastAsia" w:ascii="宋体" w:hAnsi="宋体" w:cs="宋体"/>
          <w:szCs w:val="21"/>
        </w:rPr>
        <w:t>产生的一切后果均</w:t>
      </w:r>
      <w:r>
        <w:rPr>
          <w:rFonts w:hint="eastAsia" w:ascii="宋体" w:hAnsi="宋体" w:cs="宋体"/>
          <w:szCs w:val="21"/>
          <w:lang w:eastAsia="zh-CN"/>
        </w:rPr>
        <w:t>由</w:t>
      </w:r>
      <w:r>
        <w:rPr>
          <w:rFonts w:hint="eastAsia" w:ascii="宋体" w:hAnsi="宋体" w:cs="宋体"/>
          <w:szCs w:val="21"/>
        </w:rPr>
        <w:t>供应商承担。</w:t>
      </w:r>
    </w:p>
    <w:bookmarkEnd w:id="116"/>
    <w:bookmarkEnd w:id="117"/>
    <w:p w14:paraId="5D75AFFD">
      <w:pPr>
        <w:spacing w:line="360" w:lineRule="auto"/>
        <w:rPr>
          <w:rFonts w:ascii="宋体" w:hAnsi="宋体" w:cs="宋体"/>
          <w:b/>
          <w:szCs w:val="21"/>
        </w:rPr>
      </w:pPr>
      <w:r>
        <w:rPr>
          <w:rFonts w:hint="eastAsia" w:ascii="宋体" w:hAnsi="宋体" w:cs="宋体"/>
          <w:b/>
          <w:szCs w:val="21"/>
        </w:rPr>
        <w:t>5、磋商费用</w:t>
      </w:r>
      <w:bookmarkEnd w:id="118"/>
    </w:p>
    <w:p w14:paraId="02DC1641">
      <w:pPr>
        <w:spacing w:line="360" w:lineRule="auto"/>
        <w:ind w:firstLine="420" w:firstLineChars="200"/>
        <w:rPr>
          <w:rFonts w:ascii="宋体" w:hAnsi="宋体" w:cs="宋体"/>
          <w:szCs w:val="21"/>
        </w:rPr>
      </w:pPr>
      <w:r>
        <w:rPr>
          <w:rFonts w:hint="eastAsia" w:ascii="宋体" w:hAnsi="宋体" w:cs="宋体"/>
          <w:szCs w:val="21"/>
        </w:rPr>
        <w:t>无论是否成交，供应商自行承担所有与参加磋商有关的全部费用。</w:t>
      </w:r>
    </w:p>
    <w:p w14:paraId="4B968474">
      <w:pPr>
        <w:spacing w:line="360" w:lineRule="auto"/>
        <w:rPr>
          <w:rFonts w:ascii="宋体" w:hAnsi="宋体" w:cs="宋体"/>
          <w:b/>
          <w:szCs w:val="21"/>
        </w:rPr>
      </w:pPr>
      <w:bookmarkStart w:id="119" w:name="_Toc321836356"/>
      <w:bookmarkStart w:id="120" w:name="_Toc427306788"/>
      <w:bookmarkStart w:id="121" w:name="_Toc86124047"/>
      <w:bookmarkStart w:id="122" w:name="_Toc8300782"/>
      <w:bookmarkStart w:id="123" w:name="_Toc3676"/>
      <w:bookmarkStart w:id="124" w:name="_Toc427339169"/>
      <w:bookmarkStart w:id="125" w:name="_Toc373844164"/>
      <w:bookmarkStart w:id="126" w:name="_Toc58081263"/>
      <w:bookmarkStart w:id="127" w:name="_Toc348011929"/>
      <w:bookmarkStart w:id="128" w:name="_Toc373844097"/>
      <w:r>
        <w:rPr>
          <w:rFonts w:hint="eastAsia" w:ascii="宋体" w:hAnsi="宋体" w:cs="宋体"/>
          <w:b/>
          <w:szCs w:val="21"/>
        </w:rPr>
        <w:t>6、质疑</w:t>
      </w:r>
      <w:bookmarkEnd w:id="119"/>
    </w:p>
    <w:p w14:paraId="2DCE47AB">
      <w:pPr>
        <w:widowControl w:val="0"/>
        <w:spacing w:line="360" w:lineRule="auto"/>
        <w:ind w:firstLine="420" w:firstLineChars="200"/>
        <w:rPr>
          <w:rFonts w:hint="eastAsia" w:ascii="宋体" w:hAnsi="宋体" w:eastAsia="宋体" w:cs="宋体"/>
          <w:color w:val="auto"/>
          <w:sz w:val="21"/>
          <w:szCs w:val="21"/>
          <w:highlight w:val="none"/>
        </w:rPr>
      </w:pPr>
      <w:bookmarkStart w:id="129" w:name="_Toc321836357"/>
      <w:r>
        <w:rPr>
          <w:rFonts w:hint="eastAsia" w:ascii="宋体" w:hAnsi="宋体" w:cs="宋体"/>
          <w:color w:val="auto"/>
          <w:sz w:val="21"/>
          <w:szCs w:val="21"/>
          <w:highlight w:val="none"/>
          <w:lang w:val="en-US" w:eastAsia="zh-CN"/>
        </w:rPr>
        <w:t>6.1</w:t>
      </w:r>
      <w:r>
        <w:rPr>
          <w:rFonts w:hint="eastAsia" w:ascii="宋体" w:hAnsi="宋体" w:eastAsia="宋体" w:cs="宋体"/>
          <w:color w:val="auto"/>
          <w:sz w:val="21"/>
          <w:szCs w:val="21"/>
          <w:highlight w:val="none"/>
        </w:rPr>
        <w:t>供应商认为竞争性磋商采购文件、招标过程和成交结果使自己的权益受到损害的，可以在知道或者应知其权益受到损害之日起7个工作日内，以书面形式向采购人、采购代理机构提出质疑。供应商应在法定质疑期内一次性提出针对同一采购程序环节的质疑，否则采购人、采购代理机构有权拒收。</w:t>
      </w:r>
    </w:p>
    <w:p w14:paraId="7859125B">
      <w:pPr>
        <w:widowControl w:val="0"/>
        <w:spacing w:line="360" w:lineRule="auto"/>
        <w:ind w:firstLine="420" w:firstLineChars="200"/>
        <w:rPr>
          <w:rFonts w:hint="eastAsia" w:ascii="宋体" w:hAnsi="宋体" w:eastAsia="宋体" w:cs="宋体"/>
          <w:color w:val="auto"/>
          <w:sz w:val="21"/>
          <w:szCs w:val="21"/>
          <w:highlight w:val="none"/>
        </w:rPr>
      </w:pPr>
      <w:r>
        <w:rPr>
          <w:rFonts w:hint="eastAsia" w:ascii="宋体" w:hAnsi="宋体" w:cs="宋体"/>
          <w:color w:val="auto"/>
          <w:sz w:val="21"/>
          <w:szCs w:val="21"/>
          <w:highlight w:val="none"/>
          <w:lang w:val="en-US" w:eastAsia="zh-CN"/>
        </w:rPr>
        <w:t>6.1.1</w:t>
      </w:r>
      <w:r>
        <w:rPr>
          <w:rFonts w:hint="eastAsia" w:ascii="宋体" w:hAnsi="宋体" w:eastAsia="宋体" w:cs="宋体"/>
          <w:color w:val="auto"/>
          <w:sz w:val="21"/>
          <w:szCs w:val="21"/>
          <w:highlight w:val="none"/>
        </w:rPr>
        <w:t>供应商可以委托代理人进行质疑。其授权委托书应当载明代理人的姓名或者名称、代理事项、具体权限、期限和相关事项。供应商为自然人的，应当由本人签字；供应商为法人或者其他组织的，应当由法定代表人、主要负责人签字或者盖章，并加盖公章。代理人提出质疑，应当提交供应商签署的授权委托书。</w:t>
      </w:r>
    </w:p>
    <w:p w14:paraId="4C499D3D">
      <w:pPr>
        <w:widowControl w:val="0"/>
        <w:spacing w:line="360" w:lineRule="auto"/>
        <w:ind w:firstLine="420" w:firstLineChars="200"/>
        <w:rPr>
          <w:rFonts w:hint="eastAsia" w:ascii="宋体" w:hAnsi="宋体" w:eastAsia="宋体" w:cs="宋体"/>
          <w:color w:val="auto"/>
          <w:sz w:val="21"/>
          <w:szCs w:val="21"/>
          <w:highlight w:val="none"/>
        </w:rPr>
      </w:pPr>
      <w:r>
        <w:rPr>
          <w:rFonts w:hint="eastAsia" w:ascii="宋体" w:hAnsi="宋体" w:cs="宋体"/>
          <w:color w:val="auto"/>
          <w:sz w:val="21"/>
          <w:szCs w:val="21"/>
          <w:highlight w:val="none"/>
          <w:lang w:val="en-US" w:eastAsia="zh-CN"/>
        </w:rPr>
        <w:t>6.1.2</w:t>
      </w:r>
      <w:r>
        <w:rPr>
          <w:rFonts w:hint="eastAsia" w:ascii="宋体" w:hAnsi="宋体" w:eastAsia="宋体" w:cs="宋体"/>
          <w:color w:val="auto"/>
          <w:sz w:val="21"/>
          <w:szCs w:val="21"/>
          <w:highlight w:val="none"/>
        </w:rPr>
        <w:t>提出质疑的供应商应当是参与所质疑项目采购活动的供应商。</w:t>
      </w:r>
    </w:p>
    <w:p w14:paraId="0B5FE4F5">
      <w:pPr>
        <w:widowControl w:val="0"/>
        <w:spacing w:line="360" w:lineRule="auto"/>
        <w:ind w:firstLine="420" w:firstLineChars="200"/>
        <w:rPr>
          <w:rFonts w:hint="eastAsia" w:ascii="宋体" w:hAnsi="宋体" w:eastAsia="宋体" w:cs="宋体"/>
          <w:color w:val="auto"/>
          <w:sz w:val="21"/>
          <w:szCs w:val="21"/>
          <w:highlight w:val="none"/>
        </w:rPr>
      </w:pPr>
      <w:r>
        <w:rPr>
          <w:rFonts w:hint="eastAsia" w:ascii="宋体" w:hAnsi="宋体" w:cs="宋体"/>
          <w:color w:val="auto"/>
          <w:sz w:val="21"/>
          <w:szCs w:val="21"/>
          <w:highlight w:val="none"/>
          <w:lang w:val="en-US" w:eastAsia="zh-CN"/>
        </w:rPr>
        <w:t>6.1.3</w:t>
      </w:r>
      <w:r>
        <w:rPr>
          <w:rFonts w:hint="eastAsia" w:ascii="宋体" w:hAnsi="宋体" w:eastAsia="宋体" w:cs="宋体"/>
          <w:color w:val="auto"/>
          <w:sz w:val="21"/>
          <w:szCs w:val="21"/>
          <w:highlight w:val="none"/>
        </w:rPr>
        <w:t>供应商提出质疑应符合《政府采购质疑和投诉办法》（中华人民共和国财政部令第94号）和财政部《政府采购供应商质疑函范本》的规定。供应商提出质疑应当提交质疑函和必要的证明材料。质疑函应当包括下列内容：</w:t>
      </w:r>
    </w:p>
    <w:p w14:paraId="46944756">
      <w:pPr>
        <w:widowControl w:val="0"/>
        <w:spacing w:line="360" w:lineRule="auto"/>
        <w:ind w:firstLine="420" w:firstLineChars="20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（一）供应商的姓名或者名称、地址、邮编、联系人及联系电话；</w:t>
      </w:r>
    </w:p>
    <w:p w14:paraId="500FD7F4">
      <w:pPr>
        <w:widowControl w:val="0"/>
        <w:spacing w:line="360" w:lineRule="auto"/>
        <w:ind w:firstLine="420" w:firstLineChars="20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（二）质疑项目的名称、编号；</w:t>
      </w:r>
    </w:p>
    <w:p w14:paraId="1DC27F2B">
      <w:pPr>
        <w:widowControl w:val="0"/>
        <w:spacing w:line="360" w:lineRule="auto"/>
        <w:ind w:firstLine="420" w:firstLineChars="20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（三）具体、明确的质疑事项和与质疑事项相关的请求；</w:t>
      </w:r>
    </w:p>
    <w:p w14:paraId="337E56D1">
      <w:pPr>
        <w:widowControl w:val="0"/>
        <w:spacing w:line="360" w:lineRule="auto"/>
        <w:ind w:firstLine="420" w:firstLineChars="20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（四）事实依据；</w:t>
      </w:r>
    </w:p>
    <w:p w14:paraId="27F12569">
      <w:pPr>
        <w:widowControl w:val="0"/>
        <w:spacing w:line="360" w:lineRule="auto"/>
        <w:ind w:firstLine="420" w:firstLineChars="20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（五）必要的法律依据；</w:t>
      </w:r>
    </w:p>
    <w:p w14:paraId="003C1D2B">
      <w:pPr>
        <w:widowControl w:val="0"/>
        <w:spacing w:line="360" w:lineRule="auto"/>
        <w:ind w:firstLine="420" w:firstLineChars="20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（六）提出质疑的日期。</w:t>
      </w:r>
    </w:p>
    <w:p w14:paraId="25641E94">
      <w:pPr>
        <w:widowControl w:val="0"/>
        <w:spacing w:line="360" w:lineRule="auto"/>
        <w:ind w:firstLine="420" w:firstLineChars="20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供应商为自然人的，应当由本人签字；供应商为法人或者其他组织的，应当由法定代表人、主要负责人，或者其授权代表签字或者盖章，并加盖公章。</w:t>
      </w:r>
    </w:p>
    <w:p w14:paraId="28C5FC74">
      <w:pPr>
        <w:widowControl w:val="0"/>
        <w:spacing w:line="360" w:lineRule="auto"/>
        <w:ind w:firstLine="420" w:firstLineChars="200"/>
        <w:rPr>
          <w:rFonts w:hint="eastAsia" w:ascii="宋体" w:hAnsi="宋体" w:eastAsia="宋体" w:cs="宋体"/>
          <w:color w:val="auto"/>
          <w:sz w:val="21"/>
          <w:szCs w:val="21"/>
          <w:highlight w:val="none"/>
        </w:rPr>
      </w:pPr>
      <w:r>
        <w:rPr>
          <w:rFonts w:hint="eastAsia" w:ascii="宋体" w:hAnsi="宋体" w:cs="宋体"/>
          <w:color w:val="auto"/>
          <w:sz w:val="21"/>
          <w:szCs w:val="21"/>
          <w:highlight w:val="none"/>
          <w:lang w:val="en-US" w:eastAsia="zh-CN"/>
        </w:rPr>
        <w:t>6.1.4</w:t>
      </w:r>
      <w:r>
        <w:rPr>
          <w:rFonts w:hint="eastAsia" w:ascii="宋体" w:hAnsi="宋体" w:eastAsia="宋体" w:cs="宋体"/>
          <w:color w:val="auto"/>
          <w:sz w:val="21"/>
          <w:szCs w:val="21"/>
          <w:highlight w:val="none"/>
        </w:rPr>
        <w:t>供应商不得捏造事实、提供虚假材料或者以非法手段取得证明材料。</w:t>
      </w:r>
    </w:p>
    <w:p w14:paraId="4B187833">
      <w:pPr>
        <w:widowControl w:val="0"/>
        <w:spacing w:line="360" w:lineRule="auto"/>
        <w:ind w:firstLine="420" w:firstLineChars="200"/>
        <w:rPr>
          <w:rFonts w:hint="eastAsia" w:ascii="宋体" w:hAnsi="宋体" w:eastAsia="宋体" w:cs="宋体"/>
          <w:color w:val="auto"/>
          <w:sz w:val="21"/>
          <w:szCs w:val="21"/>
          <w:highlight w:val="none"/>
        </w:rPr>
      </w:pPr>
      <w:r>
        <w:rPr>
          <w:rFonts w:hint="eastAsia" w:ascii="宋体" w:hAnsi="宋体" w:cs="宋体"/>
          <w:color w:val="auto"/>
          <w:sz w:val="21"/>
          <w:szCs w:val="21"/>
          <w:highlight w:val="none"/>
          <w:lang w:val="en-US" w:eastAsia="zh-CN"/>
        </w:rPr>
        <w:t>6.1.5</w:t>
      </w:r>
      <w:r>
        <w:rPr>
          <w:rFonts w:hint="eastAsia" w:ascii="宋体" w:hAnsi="宋体" w:eastAsia="宋体" w:cs="宋体"/>
          <w:color w:val="auto"/>
          <w:sz w:val="21"/>
          <w:szCs w:val="21"/>
          <w:highlight w:val="none"/>
        </w:rPr>
        <w:t>质疑函应当使用中文。相关当事人提供外文书证或者外国语视听资料的，应当附有中文译本，由翻译机构盖章或者翻译人员签名。相关当事人向财政部门提供的在中华人民共和国领域外形成的证据，应当说明来源，经所在国公证机关证明，并经中华人民共和国驻该国使领馆认证，或者履行中华人民共和国与证据所在国订立的有关条约中规定的证明手续。相关当事人提供的在香港特别行政区、澳门特别行政区和台湾地区内形成的证据，应当履行相关的证明手续。</w:t>
      </w:r>
    </w:p>
    <w:p w14:paraId="3BAD313D">
      <w:pPr>
        <w:widowControl w:val="0"/>
        <w:spacing w:line="360" w:lineRule="auto"/>
        <w:ind w:firstLine="420" w:firstLineChars="200"/>
        <w:rPr>
          <w:rFonts w:hint="eastAsia" w:ascii="宋体" w:hAnsi="宋体" w:eastAsia="宋体" w:cs="宋体"/>
          <w:color w:val="auto"/>
          <w:sz w:val="21"/>
          <w:szCs w:val="21"/>
          <w:highlight w:val="none"/>
        </w:rPr>
      </w:pPr>
      <w:r>
        <w:rPr>
          <w:rFonts w:hint="eastAsia" w:ascii="宋体" w:hAnsi="宋体" w:cs="宋体"/>
          <w:color w:val="auto"/>
          <w:sz w:val="21"/>
          <w:szCs w:val="21"/>
          <w:highlight w:val="none"/>
          <w:lang w:val="en-US" w:eastAsia="zh-CN"/>
        </w:rPr>
        <w:t>6.1.6</w:t>
      </w:r>
      <w:r>
        <w:rPr>
          <w:rFonts w:hint="eastAsia" w:ascii="宋体" w:hAnsi="宋体" w:eastAsia="宋体" w:cs="宋体"/>
          <w:color w:val="auto"/>
          <w:sz w:val="21"/>
          <w:szCs w:val="21"/>
          <w:highlight w:val="none"/>
        </w:rPr>
        <w:t>采购人、采购代理机构将在收到供应商质疑函后七个工作日内作出答复，但质疑答复的内容不涉及商业秘密。</w:t>
      </w:r>
    </w:p>
    <w:p w14:paraId="16F31E33">
      <w:pPr>
        <w:widowControl w:val="0"/>
        <w:spacing w:line="360" w:lineRule="auto"/>
        <w:ind w:firstLine="420" w:firstLineChars="200"/>
        <w:rPr>
          <w:rFonts w:hint="eastAsia" w:ascii="宋体" w:hAnsi="宋体" w:eastAsia="宋体" w:cs="宋体"/>
          <w:color w:val="auto"/>
          <w:sz w:val="21"/>
          <w:szCs w:val="21"/>
          <w:highlight w:val="none"/>
        </w:rPr>
      </w:pPr>
      <w:r>
        <w:rPr>
          <w:rFonts w:hint="eastAsia" w:ascii="宋体" w:hAnsi="宋体" w:cs="宋体"/>
          <w:color w:val="auto"/>
          <w:sz w:val="21"/>
          <w:szCs w:val="21"/>
          <w:highlight w:val="none"/>
          <w:lang w:val="en-US" w:eastAsia="zh-CN"/>
        </w:rPr>
        <w:t>6.1.7</w:t>
      </w:r>
      <w:r>
        <w:rPr>
          <w:rFonts w:hint="eastAsia" w:ascii="宋体" w:hAnsi="宋体" w:eastAsia="宋体" w:cs="宋体"/>
          <w:color w:val="auto"/>
          <w:sz w:val="21"/>
          <w:szCs w:val="21"/>
          <w:highlight w:val="none"/>
        </w:rPr>
        <w:t>供应商对评审过程、成交结果提出质疑的，采购人、采购代理机构可以组织原招标小组协助答复质疑。质疑答复导致成交结果改变的，采购人或者采购代理机构会将有关情况书面报告本级财政部门。</w:t>
      </w:r>
    </w:p>
    <w:p w14:paraId="3E626D03">
      <w:pPr>
        <w:widowControl w:val="0"/>
        <w:spacing w:line="360" w:lineRule="auto"/>
        <w:ind w:firstLine="420" w:firstLineChars="200"/>
        <w:rPr>
          <w:rFonts w:hint="eastAsia" w:ascii="宋体" w:hAnsi="宋体" w:eastAsia="宋体" w:cs="宋体"/>
          <w:color w:val="auto"/>
          <w:sz w:val="21"/>
          <w:szCs w:val="21"/>
          <w:highlight w:val="none"/>
        </w:rPr>
      </w:pPr>
      <w:r>
        <w:rPr>
          <w:rFonts w:hint="eastAsia" w:ascii="宋体" w:hAnsi="宋体" w:cs="宋体"/>
          <w:color w:val="auto"/>
          <w:sz w:val="21"/>
          <w:szCs w:val="21"/>
          <w:highlight w:val="none"/>
          <w:lang w:val="en-US" w:eastAsia="zh-CN"/>
        </w:rPr>
        <w:t>6.1.8</w:t>
      </w:r>
      <w:r>
        <w:rPr>
          <w:rFonts w:hint="eastAsia" w:ascii="宋体" w:hAnsi="宋体" w:eastAsia="宋体" w:cs="宋体"/>
          <w:color w:val="auto"/>
          <w:sz w:val="21"/>
          <w:szCs w:val="21"/>
          <w:highlight w:val="none"/>
        </w:rPr>
        <w:t>接收质疑函的方式：书面方式；</w:t>
      </w:r>
    </w:p>
    <w:p w14:paraId="464C53BC">
      <w:pPr>
        <w:widowControl w:val="0"/>
        <w:spacing w:line="360" w:lineRule="auto"/>
        <w:ind w:firstLine="422" w:firstLineChars="200"/>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t>接收质疑函的部门：云南银源项目管理咨询有限公司；</w:t>
      </w:r>
    </w:p>
    <w:p w14:paraId="699E451B">
      <w:pPr>
        <w:widowControl w:val="0"/>
        <w:spacing w:line="360" w:lineRule="auto"/>
        <w:ind w:firstLine="422" w:firstLineChars="200"/>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t>地址：蒙自市观澜街道护国路起龙九社A-1幢；</w:t>
      </w:r>
    </w:p>
    <w:p w14:paraId="7DCAD386">
      <w:pPr>
        <w:widowControl w:val="0"/>
        <w:spacing w:line="360" w:lineRule="auto"/>
        <w:ind w:firstLine="422" w:firstLineChars="200"/>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t>联系人：</w:t>
      </w:r>
      <w:r>
        <w:rPr>
          <w:rFonts w:hint="eastAsia" w:ascii="宋体" w:hAnsi="宋体" w:cs="宋体"/>
          <w:b/>
          <w:bCs/>
          <w:color w:val="auto"/>
          <w:sz w:val="21"/>
          <w:szCs w:val="21"/>
          <w:highlight w:val="none"/>
          <w:lang w:val="en-US" w:eastAsia="zh-CN"/>
        </w:rPr>
        <w:t>唐雄、</w:t>
      </w:r>
      <w:r>
        <w:rPr>
          <w:rFonts w:hint="eastAsia" w:ascii="宋体" w:hAnsi="宋体" w:eastAsia="宋体" w:cs="宋体"/>
          <w:b/>
          <w:bCs/>
          <w:color w:val="auto"/>
          <w:sz w:val="21"/>
          <w:szCs w:val="21"/>
          <w:highlight w:val="none"/>
        </w:rPr>
        <w:t>冯琦；</w:t>
      </w:r>
    </w:p>
    <w:p w14:paraId="673FDF3B">
      <w:pPr>
        <w:widowControl w:val="0"/>
        <w:spacing w:line="360" w:lineRule="auto"/>
        <w:ind w:firstLine="422" w:firstLineChars="200"/>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t>联系电话：</w:t>
      </w:r>
      <w:r>
        <w:rPr>
          <w:rFonts w:hint="eastAsia" w:ascii="宋体" w:hAnsi="宋体" w:eastAsia="宋体" w:cs="宋体"/>
          <w:b/>
          <w:bCs/>
          <w:color w:val="auto"/>
          <w:sz w:val="21"/>
          <w:szCs w:val="21"/>
          <w:highlight w:val="none"/>
          <w:lang w:val="en-US" w:eastAsia="zh-CN"/>
        </w:rPr>
        <w:t>17874369019</w:t>
      </w:r>
      <w:r>
        <w:rPr>
          <w:rFonts w:hint="eastAsia" w:ascii="宋体" w:hAnsi="宋体" w:cs="宋体"/>
          <w:b/>
          <w:bCs/>
          <w:color w:val="auto"/>
          <w:sz w:val="21"/>
          <w:szCs w:val="21"/>
          <w:highlight w:val="none"/>
          <w:lang w:val="en-US" w:eastAsia="zh-CN"/>
        </w:rPr>
        <w:t>、</w:t>
      </w:r>
      <w:r>
        <w:rPr>
          <w:rFonts w:hint="eastAsia" w:ascii="宋体" w:hAnsi="宋体" w:eastAsia="宋体" w:cs="宋体"/>
          <w:b/>
          <w:bCs/>
          <w:color w:val="auto"/>
          <w:sz w:val="21"/>
          <w:szCs w:val="21"/>
          <w:highlight w:val="none"/>
        </w:rPr>
        <w:t>15887706212。</w:t>
      </w:r>
    </w:p>
    <w:p w14:paraId="422733AA">
      <w:pPr>
        <w:spacing w:line="360" w:lineRule="auto"/>
        <w:rPr>
          <w:rFonts w:ascii="宋体" w:hAnsi="宋体" w:cs="宋体"/>
          <w:b/>
          <w:szCs w:val="21"/>
        </w:rPr>
      </w:pPr>
      <w:r>
        <w:rPr>
          <w:rFonts w:hint="eastAsia" w:ascii="宋体" w:hAnsi="宋体" w:cs="宋体"/>
          <w:b/>
          <w:szCs w:val="21"/>
          <w:lang w:val="en-US" w:eastAsia="zh-CN"/>
        </w:rPr>
        <w:t>7.</w:t>
      </w:r>
      <w:r>
        <w:rPr>
          <w:rFonts w:hint="eastAsia" w:ascii="宋体" w:hAnsi="宋体" w:cs="宋体"/>
          <w:b/>
          <w:szCs w:val="21"/>
        </w:rPr>
        <w:t>投诉</w:t>
      </w:r>
      <w:bookmarkEnd w:id="129"/>
    </w:p>
    <w:p w14:paraId="32D36E24">
      <w:pPr>
        <w:spacing w:line="360" w:lineRule="auto"/>
        <w:ind w:firstLine="420" w:firstLineChars="200"/>
        <w:rPr>
          <w:rFonts w:ascii="宋体" w:hAnsi="宋体" w:cs="宋体"/>
          <w:szCs w:val="21"/>
        </w:rPr>
      </w:pPr>
      <w:bookmarkStart w:id="130" w:name="_Toc416715974"/>
      <w:r>
        <w:rPr>
          <w:rFonts w:hint="eastAsia" w:ascii="宋体" w:hAnsi="宋体" w:cs="宋体"/>
          <w:szCs w:val="21"/>
        </w:rPr>
        <w:t>当事人提出的投诉事项必须首先经过质疑程序。质疑人对采购人、采购代理机构的答复不满意，或者采购人、采购代理机构未在规定的时间内</w:t>
      </w:r>
      <w:r>
        <w:rPr>
          <w:rFonts w:hint="eastAsia" w:ascii="宋体" w:hAnsi="宋体" w:cs="宋体"/>
          <w:szCs w:val="21"/>
          <w:lang w:eastAsia="zh-CN"/>
        </w:rPr>
        <w:t>作出</w:t>
      </w:r>
      <w:r>
        <w:rPr>
          <w:rFonts w:hint="eastAsia" w:ascii="宋体" w:hAnsi="宋体" w:cs="宋体"/>
          <w:szCs w:val="21"/>
        </w:rPr>
        <w:t>答复的，可以在答复期满后十五个工作日内书面向</w:t>
      </w:r>
      <w:r>
        <w:rPr>
          <w:rFonts w:hint="eastAsia" w:ascii="宋体" w:hAnsi="宋体" w:cs="宋体"/>
          <w:szCs w:val="21"/>
          <w:lang w:val="en-US" w:eastAsia="zh-CN"/>
        </w:rPr>
        <w:t>财政</w:t>
      </w:r>
      <w:r>
        <w:rPr>
          <w:rFonts w:hint="eastAsia" w:ascii="宋体" w:hAnsi="宋体" w:cs="宋体"/>
          <w:szCs w:val="21"/>
        </w:rPr>
        <w:t>部门提出投诉。</w:t>
      </w:r>
    </w:p>
    <w:bookmarkEnd w:id="130"/>
    <w:p w14:paraId="254D2D28">
      <w:pPr>
        <w:pStyle w:val="3"/>
        <w:spacing w:before="0" w:after="0" w:line="360" w:lineRule="auto"/>
        <w:jc w:val="center"/>
        <w:rPr>
          <w:rFonts w:ascii="宋体" w:hAnsi="宋体" w:eastAsia="宋体" w:cs="宋体"/>
          <w:sz w:val="21"/>
          <w:szCs w:val="21"/>
        </w:rPr>
      </w:pPr>
      <w:r>
        <w:rPr>
          <w:rFonts w:hint="eastAsia" w:ascii="宋体" w:hAnsi="宋体" w:eastAsia="宋体" w:cs="宋体"/>
          <w:sz w:val="21"/>
          <w:szCs w:val="21"/>
        </w:rPr>
        <w:t>（二）磋商文件</w:t>
      </w:r>
      <w:bookmarkEnd w:id="120"/>
      <w:bookmarkEnd w:id="121"/>
      <w:bookmarkEnd w:id="122"/>
      <w:bookmarkEnd w:id="123"/>
      <w:bookmarkEnd w:id="124"/>
      <w:bookmarkEnd w:id="125"/>
      <w:bookmarkEnd w:id="126"/>
      <w:bookmarkEnd w:id="127"/>
      <w:bookmarkEnd w:id="128"/>
    </w:p>
    <w:p w14:paraId="666377BA">
      <w:pPr>
        <w:spacing w:line="360" w:lineRule="auto"/>
        <w:rPr>
          <w:rFonts w:ascii="宋体" w:hAnsi="宋体" w:cs="宋体"/>
          <w:b/>
          <w:szCs w:val="21"/>
        </w:rPr>
      </w:pPr>
      <w:bookmarkStart w:id="131" w:name="_Toc348011930"/>
      <w:bookmarkStart w:id="132" w:name="_Toc329810192"/>
      <w:r>
        <w:rPr>
          <w:rFonts w:hint="eastAsia" w:ascii="宋体" w:hAnsi="宋体" w:cs="宋体"/>
          <w:b/>
          <w:szCs w:val="21"/>
        </w:rPr>
        <w:t>8、磋商文件的组成</w:t>
      </w:r>
      <w:bookmarkEnd w:id="131"/>
      <w:bookmarkEnd w:id="132"/>
    </w:p>
    <w:p w14:paraId="60447AD3">
      <w:pPr>
        <w:spacing w:line="360" w:lineRule="auto"/>
        <w:ind w:firstLine="420" w:firstLineChars="200"/>
        <w:rPr>
          <w:rFonts w:ascii="宋体" w:hAnsi="宋体" w:cs="宋体"/>
          <w:szCs w:val="21"/>
        </w:rPr>
      </w:pPr>
      <w:r>
        <w:rPr>
          <w:rFonts w:hint="eastAsia" w:ascii="宋体" w:hAnsi="宋体" w:cs="宋体"/>
          <w:szCs w:val="21"/>
        </w:rPr>
        <w:t>要求提供的采购过程及合同条款在磋商文件中均有说明，磋商文件共六章，各章的内容如下：</w:t>
      </w:r>
    </w:p>
    <w:p w14:paraId="4417A730">
      <w:pPr>
        <w:spacing w:line="360" w:lineRule="auto"/>
        <w:ind w:firstLine="420" w:firstLineChars="200"/>
        <w:rPr>
          <w:rFonts w:ascii="宋体" w:hAnsi="宋体" w:cs="宋体"/>
          <w:szCs w:val="21"/>
        </w:rPr>
      </w:pPr>
      <w:r>
        <w:rPr>
          <w:rFonts w:hint="eastAsia" w:ascii="宋体" w:hAnsi="宋体" w:cs="宋体"/>
          <w:szCs w:val="21"/>
        </w:rPr>
        <w:t>第一章  竞争性磋商公告</w:t>
      </w:r>
    </w:p>
    <w:p w14:paraId="7B10C240">
      <w:pPr>
        <w:spacing w:line="360" w:lineRule="auto"/>
        <w:ind w:firstLine="420" w:firstLineChars="200"/>
        <w:rPr>
          <w:rFonts w:ascii="宋体" w:hAnsi="宋体" w:cs="宋体"/>
          <w:szCs w:val="21"/>
        </w:rPr>
      </w:pPr>
      <w:r>
        <w:rPr>
          <w:rFonts w:hint="eastAsia" w:ascii="宋体" w:hAnsi="宋体" w:cs="宋体"/>
          <w:szCs w:val="21"/>
        </w:rPr>
        <w:t>第二章  供应商须知</w:t>
      </w:r>
    </w:p>
    <w:p w14:paraId="48700F31">
      <w:pPr>
        <w:spacing w:line="360" w:lineRule="auto"/>
        <w:ind w:firstLine="420" w:firstLineChars="200"/>
        <w:rPr>
          <w:rFonts w:ascii="宋体" w:hAnsi="宋体" w:cs="宋体"/>
          <w:szCs w:val="21"/>
        </w:rPr>
      </w:pPr>
      <w:r>
        <w:rPr>
          <w:rFonts w:hint="eastAsia" w:ascii="宋体" w:hAnsi="宋体" w:cs="宋体"/>
          <w:szCs w:val="21"/>
        </w:rPr>
        <w:t>第三章  合同书样式及主要条款</w:t>
      </w:r>
    </w:p>
    <w:p w14:paraId="6CBE0073">
      <w:pPr>
        <w:spacing w:line="360" w:lineRule="auto"/>
        <w:ind w:firstLine="420" w:firstLineChars="200"/>
        <w:rPr>
          <w:rFonts w:ascii="宋体" w:hAnsi="宋体" w:cs="宋体"/>
          <w:szCs w:val="21"/>
        </w:rPr>
      </w:pPr>
      <w:r>
        <w:rPr>
          <w:rFonts w:hint="eastAsia" w:ascii="宋体" w:hAnsi="宋体" w:cs="宋体"/>
          <w:szCs w:val="21"/>
        </w:rPr>
        <w:t>第四章  磋商响应文件格式</w:t>
      </w:r>
    </w:p>
    <w:p w14:paraId="6430FCBA">
      <w:pPr>
        <w:spacing w:line="360" w:lineRule="auto"/>
        <w:ind w:firstLine="420" w:firstLineChars="200"/>
        <w:rPr>
          <w:rFonts w:hint="eastAsia" w:ascii="宋体" w:hAnsi="宋体" w:eastAsia="宋体" w:cs="宋体"/>
          <w:szCs w:val="21"/>
          <w:lang w:val="en-US" w:eastAsia="zh-CN"/>
        </w:rPr>
      </w:pPr>
      <w:r>
        <w:rPr>
          <w:rFonts w:hint="eastAsia" w:ascii="宋体" w:hAnsi="宋体" w:cs="宋体"/>
          <w:szCs w:val="21"/>
        </w:rPr>
        <w:t>第五章  采购</w:t>
      </w:r>
      <w:r>
        <w:rPr>
          <w:rFonts w:hint="eastAsia" w:ascii="宋体" w:hAnsi="宋体" w:cs="宋体"/>
          <w:szCs w:val="21"/>
          <w:lang w:val="en-US" w:eastAsia="zh-CN"/>
        </w:rPr>
        <w:t>需求</w:t>
      </w:r>
    </w:p>
    <w:p w14:paraId="57DB9F1B">
      <w:pPr>
        <w:spacing w:line="360" w:lineRule="auto"/>
        <w:ind w:firstLine="420" w:firstLineChars="200"/>
        <w:rPr>
          <w:rFonts w:ascii="宋体" w:hAnsi="宋体" w:cs="宋体"/>
          <w:szCs w:val="21"/>
        </w:rPr>
      </w:pPr>
      <w:r>
        <w:rPr>
          <w:rFonts w:hint="eastAsia" w:ascii="宋体" w:hAnsi="宋体" w:cs="宋体"/>
          <w:szCs w:val="21"/>
        </w:rPr>
        <w:t>第六章  磋商程序及方法</w:t>
      </w:r>
    </w:p>
    <w:p w14:paraId="1B21D8A1">
      <w:pPr>
        <w:spacing w:line="360" w:lineRule="auto"/>
        <w:rPr>
          <w:rFonts w:ascii="宋体" w:hAnsi="宋体" w:cs="宋体"/>
          <w:b/>
          <w:szCs w:val="21"/>
        </w:rPr>
      </w:pPr>
      <w:bookmarkStart w:id="133" w:name="_Toc86124049"/>
      <w:bookmarkStart w:id="134" w:name="_Toc348011931"/>
      <w:bookmarkStart w:id="135" w:name="_Toc329810193"/>
      <w:r>
        <w:rPr>
          <w:rFonts w:hint="eastAsia" w:ascii="宋体" w:hAnsi="宋体" w:cs="宋体"/>
          <w:b/>
          <w:szCs w:val="21"/>
        </w:rPr>
        <w:t>9、磋商文件的澄清</w:t>
      </w:r>
      <w:bookmarkEnd w:id="133"/>
      <w:r>
        <w:rPr>
          <w:rFonts w:hint="eastAsia" w:ascii="宋体" w:hAnsi="宋体" w:cs="宋体"/>
          <w:b/>
          <w:szCs w:val="21"/>
        </w:rPr>
        <w:t>、修改</w:t>
      </w:r>
      <w:bookmarkEnd w:id="134"/>
      <w:bookmarkEnd w:id="135"/>
    </w:p>
    <w:p w14:paraId="0B722F3C">
      <w:pPr>
        <w:spacing w:line="360" w:lineRule="auto"/>
        <w:ind w:firstLine="420" w:firstLineChars="200"/>
        <w:rPr>
          <w:rFonts w:hint="eastAsia" w:ascii="宋体" w:hAnsi="宋体" w:cs="宋体"/>
          <w:szCs w:val="21"/>
        </w:rPr>
      </w:pPr>
      <w:r>
        <w:rPr>
          <w:rFonts w:hint="eastAsia" w:ascii="宋体" w:hAnsi="宋体" w:cs="宋体"/>
          <w:szCs w:val="21"/>
        </w:rPr>
        <w:t>9.1 供应商应仔细阅读和检查磋商文件的全部内容。如发现缺页或附件不全，应及时向采购人提出，以便补齐。如有疑问，应在供应商须知前附表规定的时间前以书面形式（包括信函、电报、传真等可以有形地表现所载内容的形式，下同），要求采购人对磋商文件予以澄清，采购人或者采购代理机构在接到询问后的3个工作日内对供应商依法提出的询问作出答复，但答复的内容不涉及商业秘密。</w:t>
      </w:r>
    </w:p>
    <w:p w14:paraId="38099849">
      <w:pPr>
        <w:spacing w:line="360" w:lineRule="auto"/>
        <w:ind w:firstLine="420" w:firstLineChars="200"/>
        <w:rPr>
          <w:rFonts w:hint="eastAsia" w:ascii="宋体" w:hAnsi="宋体" w:cs="宋体"/>
          <w:szCs w:val="21"/>
        </w:rPr>
      </w:pPr>
      <w:r>
        <w:rPr>
          <w:rFonts w:hint="eastAsia" w:ascii="宋体" w:hAnsi="宋体" w:cs="宋体"/>
          <w:szCs w:val="21"/>
        </w:rPr>
        <w:t>9.</w:t>
      </w:r>
      <w:r>
        <w:rPr>
          <w:rFonts w:hint="eastAsia" w:ascii="宋体" w:hAnsi="宋体" w:cs="宋体"/>
          <w:szCs w:val="21"/>
          <w:lang w:val="en-US" w:eastAsia="zh-CN"/>
        </w:rPr>
        <w:t>2</w:t>
      </w:r>
      <w:r>
        <w:rPr>
          <w:rFonts w:hint="eastAsia" w:ascii="宋体" w:hAnsi="宋体" w:cs="宋体"/>
          <w:szCs w:val="21"/>
        </w:rPr>
        <w:t>提交响应文件截止之日前，采购人、采购代理机构可以对已发出的竞争性磋商文件进行必要的澄清，澄清的内容作为竞争性磋商文件的组成部分。澄清的内容可能影响竞争性磋商文件编制，采购人、采购代理机构应在提交响应文件截止之日5日前，在政采云平台通知所有接收竞争性磋商文件的供应商，但不指明澄清问题的来源。不足5日的，应当顺延提交响应文件截止之日。</w:t>
      </w:r>
    </w:p>
    <w:p w14:paraId="43FF1169">
      <w:pPr>
        <w:spacing w:line="360" w:lineRule="auto"/>
        <w:ind w:firstLine="420" w:firstLineChars="200"/>
        <w:rPr>
          <w:rFonts w:hint="eastAsia" w:ascii="宋体" w:hAnsi="宋体" w:cs="宋体"/>
          <w:szCs w:val="21"/>
        </w:rPr>
      </w:pPr>
      <w:r>
        <w:rPr>
          <w:rFonts w:hint="eastAsia" w:ascii="宋体" w:hAnsi="宋体" w:cs="宋体"/>
          <w:szCs w:val="21"/>
        </w:rPr>
        <w:t>9.</w:t>
      </w:r>
      <w:bookmarkStart w:id="136" w:name="_Toc373844165"/>
      <w:bookmarkStart w:id="137" w:name="_Toc8300783"/>
      <w:bookmarkStart w:id="138" w:name="_Toc427306789"/>
      <w:bookmarkStart w:id="139" w:name="_Toc373844098"/>
      <w:bookmarkStart w:id="140" w:name="_Toc427339170"/>
      <w:bookmarkStart w:id="141" w:name="_Toc11803"/>
      <w:bookmarkStart w:id="142" w:name="_Toc58081264"/>
      <w:bookmarkStart w:id="143" w:name="_Toc86124051"/>
      <w:bookmarkStart w:id="144" w:name="_Toc348011932"/>
      <w:r>
        <w:rPr>
          <w:rFonts w:hint="eastAsia" w:ascii="宋体" w:hAnsi="宋体" w:cs="宋体"/>
          <w:szCs w:val="21"/>
          <w:lang w:val="en-US" w:eastAsia="zh-CN"/>
        </w:rPr>
        <w:t>3</w:t>
      </w:r>
      <w:r>
        <w:rPr>
          <w:rFonts w:hint="eastAsia" w:ascii="宋体" w:hAnsi="宋体" w:cs="宋体"/>
          <w:szCs w:val="21"/>
        </w:rPr>
        <w:t>供应商应在电子响应文件提交截止时间前及时登录政采云平台查看有关该项目竞争性磋商文件的澄清、修改内容。如因供应商自身原因导致未及时查看有关该项目竞争性磋商文件的澄清、修改内容，由此造成的一切后果由投标人自行承担。</w:t>
      </w:r>
    </w:p>
    <w:p w14:paraId="5ABDE716">
      <w:pPr>
        <w:pStyle w:val="3"/>
        <w:spacing w:before="0" w:after="0" w:line="360" w:lineRule="auto"/>
        <w:jc w:val="center"/>
        <w:rPr>
          <w:rFonts w:ascii="宋体" w:hAnsi="宋体" w:eastAsia="宋体" w:cs="宋体"/>
          <w:sz w:val="21"/>
          <w:szCs w:val="21"/>
        </w:rPr>
      </w:pPr>
      <w:r>
        <w:rPr>
          <w:rFonts w:hint="eastAsia" w:ascii="宋体" w:hAnsi="宋体" w:eastAsia="宋体" w:cs="宋体"/>
          <w:sz w:val="21"/>
          <w:szCs w:val="21"/>
        </w:rPr>
        <w:t>（三）磋商响应文件</w:t>
      </w:r>
      <w:bookmarkEnd w:id="136"/>
      <w:bookmarkEnd w:id="137"/>
      <w:bookmarkEnd w:id="138"/>
      <w:bookmarkEnd w:id="139"/>
      <w:bookmarkEnd w:id="140"/>
      <w:bookmarkEnd w:id="141"/>
      <w:bookmarkEnd w:id="142"/>
      <w:bookmarkEnd w:id="143"/>
      <w:bookmarkEnd w:id="144"/>
    </w:p>
    <w:p w14:paraId="3704B0AF">
      <w:pPr>
        <w:spacing w:line="360" w:lineRule="auto"/>
        <w:rPr>
          <w:rFonts w:ascii="宋体" w:hAnsi="宋体" w:cs="宋体"/>
          <w:b/>
          <w:szCs w:val="21"/>
        </w:rPr>
      </w:pPr>
      <w:bookmarkStart w:id="145" w:name="_Toc86124052"/>
      <w:bookmarkStart w:id="146" w:name="_Toc348011933"/>
      <w:bookmarkStart w:id="147" w:name="_Toc329810195"/>
      <w:r>
        <w:rPr>
          <w:rFonts w:hint="eastAsia" w:ascii="宋体" w:hAnsi="宋体" w:cs="宋体"/>
          <w:b/>
          <w:szCs w:val="21"/>
        </w:rPr>
        <w:t>10、磋商响应文件编写注意事项</w:t>
      </w:r>
      <w:bookmarkEnd w:id="145"/>
      <w:bookmarkEnd w:id="146"/>
      <w:bookmarkEnd w:id="147"/>
    </w:p>
    <w:p w14:paraId="717A3EFB">
      <w:pPr>
        <w:spacing w:line="360" w:lineRule="auto"/>
        <w:ind w:firstLine="420" w:firstLineChars="200"/>
        <w:rPr>
          <w:rFonts w:ascii="宋体" w:hAnsi="宋体" w:cs="宋体"/>
          <w:szCs w:val="21"/>
        </w:rPr>
      </w:pPr>
      <w:r>
        <w:rPr>
          <w:rFonts w:hint="eastAsia" w:ascii="宋体" w:hAnsi="宋体" w:cs="宋体"/>
          <w:szCs w:val="21"/>
        </w:rPr>
        <w:t>10.1 供应商应仔细阅读磋商文件，在完全了解采购的内容、采购要求（见第五章）和商务条件后，编写磋商响应文件。</w:t>
      </w:r>
    </w:p>
    <w:p w14:paraId="1D6E6095">
      <w:pPr>
        <w:spacing w:line="360" w:lineRule="auto"/>
        <w:ind w:firstLine="420" w:firstLineChars="200"/>
        <w:rPr>
          <w:rFonts w:ascii="宋体" w:hAnsi="宋体" w:cs="宋体"/>
          <w:szCs w:val="21"/>
        </w:rPr>
      </w:pPr>
      <w:r>
        <w:rPr>
          <w:rFonts w:hint="eastAsia" w:ascii="宋体" w:hAnsi="宋体" w:cs="宋体"/>
          <w:szCs w:val="21"/>
        </w:rPr>
        <w:t>10.2 对磋商文件提出的实质性要求和条件作出响应是指供应商必须对磋商文件中规定的成交实质性要求和条件作出满足或者优于原要求和条件的承诺，并提供相应的证明材料。</w:t>
      </w:r>
    </w:p>
    <w:p w14:paraId="43CFBB1D">
      <w:pPr>
        <w:spacing w:line="360" w:lineRule="auto"/>
        <w:rPr>
          <w:rFonts w:ascii="宋体" w:hAnsi="宋体" w:cs="宋体"/>
          <w:b/>
          <w:szCs w:val="21"/>
        </w:rPr>
      </w:pPr>
      <w:bookmarkStart w:id="148" w:name="_Toc86124054"/>
      <w:bookmarkStart w:id="149" w:name="_Toc348011934"/>
      <w:bookmarkStart w:id="150" w:name="_Toc329810196"/>
      <w:r>
        <w:rPr>
          <w:rFonts w:hint="eastAsia" w:ascii="宋体" w:hAnsi="宋体" w:cs="宋体"/>
          <w:b/>
          <w:szCs w:val="21"/>
        </w:rPr>
        <w:t>11、磋商响应文件构成</w:t>
      </w:r>
      <w:bookmarkEnd w:id="148"/>
      <w:bookmarkEnd w:id="149"/>
      <w:bookmarkEnd w:id="150"/>
    </w:p>
    <w:p w14:paraId="4A25C080">
      <w:pPr>
        <w:spacing w:line="360" w:lineRule="auto"/>
        <w:ind w:firstLine="420" w:firstLineChars="200"/>
        <w:rPr>
          <w:rFonts w:ascii="宋体" w:hAnsi="宋体" w:cs="宋体"/>
          <w:szCs w:val="21"/>
        </w:rPr>
      </w:pPr>
      <w:r>
        <w:rPr>
          <w:rFonts w:hint="eastAsia" w:ascii="宋体" w:hAnsi="宋体" w:cs="宋体"/>
          <w:szCs w:val="21"/>
        </w:rPr>
        <w:t>11.1供应商编写的磋商响应文件应由下列部分构成，并按第四章“磋商响应文件格式”要求填写。有关文件的提交如未特别注明需提供原件的，可提供复印件。</w:t>
      </w:r>
    </w:p>
    <w:p w14:paraId="5E08B00B">
      <w:pPr>
        <w:spacing w:line="360" w:lineRule="auto"/>
        <w:ind w:firstLine="420" w:firstLineChars="200"/>
        <w:rPr>
          <w:rFonts w:ascii="宋体" w:hAnsi="宋体" w:cs="宋体"/>
          <w:szCs w:val="21"/>
        </w:rPr>
      </w:pPr>
      <w:r>
        <w:rPr>
          <w:rFonts w:hint="eastAsia" w:ascii="宋体" w:hAnsi="宋体" w:cs="宋体"/>
          <w:szCs w:val="21"/>
        </w:rPr>
        <w:t>11.2若同时参与多个标段（若分标段时）磋商的，磋商响应文件应按标段分别编制，单独成册。</w:t>
      </w:r>
    </w:p>
    <w:p w14:paraId="78888EE3">
      <w:pPr>
        <w:spacing w:line="360" w:lineRule="auto"/>
        <w:rPr>
          <w:rFonts w:ascii="宋体" w:hAnsi="宋体" w:cs="宋体"/>
          <w:b/>
          <w:szCs w:val="21"/>
        </w:rPr>
      </w:pPr>
      <w:bookmarkStart w:id="151" w:name="_Toc86124056"/>
      <w:bookmarkStart w:id="152" w:name="_Toc348011935"/>
      <w:bookmarkStart w:id="153" w:name="_Toc329810197"/>
      <w:r>
        <w:rPr>
          <w:rFonts w:hint="eastAsia" w:ascii="宋体" w:hAnsi="宋体" w:cs="宋体"/>
          <w:b/>
          <w:szCs w:val="21"/>
        </w:rPr>
        <w:t>12、报价</w:t>
      </w:r>
      <w:bookmarkEnd w:id="151"/>
      <w:r>
        <w:rPr>
          <w:rFonts w:hint="eastAsia" w:ascii="宋体" w:hAnsi="宋体" w:cs="宋体"/>
          <w:b/>
          <w:szCs w:val="21"/>
        </w:rPr>
        <w:t>和报价货币</w:t>
      </w:r>
      <w:bookmarkEnd w:id="152"/>
      <w:bookmarkEnd w:id="153"/>
    </w:p>
    <w:p w14:paraId="49CB36BD">
      <w:pPr>
        <w:spacing w:line="360" w:lineRule="auto"/>
        <w:ind w:firstLine="420" w:firstLineChars="200"/>
        <w:rPr>
          <w:rFonts w:ascii="宋体" w:hAnsi="宋体" w:cs="宋体"/>
          <w:bCs/>
          <w:szCs w:val="21"/>
        </w:rPr>
      </w:pPr>
      <w:bookmarkStart w:id="154" w:name="_Hlk37417794"/>
      <w:bookmarkStart w:id="155" w:name="_Toc329810198"/>
      <w:bookmarkStart w:id="156" w:name="_Toc86124058"/>
      <w:bookmarkStart w:id="157" w:name="_Toc348011936"/>
      <w:r>
        <w:rPr>
          <w:rFonts w:hint="eastAsia" w:ascii="宋体" w:hAnsi="宋体" w:cs="宋体"/>
          <w:bCs/>
          <w:szCs w:val="21"/>
        </w:rPr>
        <w:t>12.1 所有报价均以人民币报价，保留小数点后两位小数。</w:t>
      </w:r>
    </w:p>
    <w:p w14:paraId="1F8C5591">
      <w:pPr>
        <w:spacing w:line="360" w:lineRule="auto"/>
        <w:ind w:firstLine="420" w:firstLineChars="200"/>
        <w:rPr>
          <w:rFonts w:ascii="宋体" w:hAnsi="宋体" w:cs="宋体"/>
          <w:bCs/>
          <w:szCs w:val="21"/>
        </w:rPr>
      </w:pPr>
      <w:r>
        <w:rPr>
          <w:rFonts w:hint="eastAsia" w:ascii="宋体" w:hAnsi="宋体" w:cs="宋体"/>
          <w:bCs/>
          <w:szCs w:val="21"/>
        </w:rPr>
        <w:t>12.2磋商二次报价完成本项目所涉及的全部</w:t>
      </w:r>
      <w:r>
        <w:rPr>
          <w:rFonts w:hint="eastAsia" w:ascii="宋体" w:hAnsi="宋体" w:cs="宋体"/>
          <w:bCs/>
          <w:szCs w:val="21"/>
          <w:lang w:val="en-US" w:eastAsia="zh-CN"/>
        </w:rPr>
        <w:t>工程</w:t>
      </w:r>
      <w:r>
        <w:rPr>
          <w:rFonts w:hint="eastAsia" w:ascii="宋体" w:hAnsi="宋体" w:cs="宋体"/>
          <w:bCs/>
          <w:szCs w:val="21"/>
        </w:rPr>
        <w:t>所需的各种费用的总和。</w:t>
      </w:r>
    </w:p>
    <w:p w14:paraId="3CB94AAF">
      <w:pPr>
        <w:spacing w:line="360" w:lineRule="auto"/>
        <w:ind w:firstLine="420" w:firstLineChars="200"/>
        <w:rPr>
          <w:rFonts w:ascii="宋体" w:hAnsi="宋体" w:cs="宋体"/>
          <w:bCs/>
          <w:szCs w:val="21"/>
        </w:rPr>
      </w:pPr>
      <w:r>
        <w:rPr>
          <w:rFonts w:hint="eastAsia" w:ascii="宋体" w:hAnsi="宋体" w:cs="宋体"/>
          <w:bCs/>
          <w:szCs w:val="21"/>
        </w:rPr>
        <w:t>12.3磋商报价方式：见供应商须知前附表。</w:t>
      </w:r>
    </w:p>
    <w:p w14:paraId="051E55C6">
      <w:pPr>
        <w:spacing w:line="360" w:lineRule="auto"/>
        <w:ind w:firstLine="420" w:firstLineChars="200"/>
        <w:rPr>
          <w:rFonts w:hint="default" w:ascii="宋体" w:hAnsi="宋体" w:eastAsia="宋体" w:cs="宋体"/>
          <w:bCs/>
          <w:szCs w:val="21"/>
          <w:lang w:val="en-US" w:eastAsia="zh-CN"/>
        </w:rPr>
      </w:pPr>
      <w:r>
        <w:rPr>
          <w:rFonts w:hint="eastAsia" w:ascii="宋体" w:hAnsi="宋体" w:cs="宋体"/>
          <w:bCs/>
          <w:szCs w:val="21"/>
          <w:lang w:val="en-US" w:eastAsia="zh-CN"/>
        </w:rPr>
        <w:t>12.4 最高限价：</w:t>
      </w:r>
      <w:r>
        <w:rPr>
          <w:rFonts w:hint="eastAsia" w:ascii="宋体" w:hAnsi="宋体" w:cs="宋体"/>
          <w:bCs/>
          <w:szCs w:val="21"/>
        </w:rPr>
        <w:t>见供应商须知前附表。</w:t>
      </w:r>
    </w:p>
    <w:p w14:paraId="0263A105">
      <w:pPr>
        <w:spacing w:line="360" w:lineRule="auto"/>
        <w:ind w:firstLine="420" w:firstLineChars="200"/>
        <w:rPr>
          <w:rFonts w:ascii="宋体" w:hAnsi="宋体" w:cs="宋体"/>
          <w:bCs/>
          <w:szCs w:val="21"/>
        </w:rPr>
      </w:pPr>
      <w:r>
        <w:rPr>
          <w:rFonts w:hint="eastAsia" w:ascii="宋体" w:hAnsi="宋体" w:cs="宋体"/>
          <w:bCs/>
          <w:szCs w:val="21"/>
        </w:rPr>
        <w:t>12.</w:t>
      </w:r>
      <w:r>
        <w:rPr>
          <w:rFonts w:hint="eastAsia" w:ascii="宋体" w:hAnsi="宋体" w:cs="宋体"/>
          <w:bCs/>
          <w:szCs w:val="21"/>
          <w:lang w:val="en-US" w:eastAsia="zh-CN"/>
        </w:rPr>
        <w:t>5</w:t>
      </w:r>
      <w:r>
        <w:rPr>
          <w:rFonts w:hint="eastAsia" w:ascii="宋体" w:hAnsi="宋体" w:cs="宋体"/>
          <w:bCs/>
          <w:szCs w:val="21"/>
        </w:rPr>
        <w:t>供应商应全面考虑在将来服务过程市场价格波动等风险因素，成交价即为合同价。</w:t>
      </w:r>
    </w:p>
    <w:p w14:paraId="1C12A9A0">
      <w:pPr>
        <w:spacing w:line="360" w:lineRule="auto"/>
        <w:ind w:firstLine="420" w:firstLineChars="200"/>
        <w:rPr>
          <w:rFonts w:hint="eastAsia" w:ascii="宋体" w:hAnsi="宋体" w:cs="宋体"/>
          <w:bCs/>
          <w:szCs w:val="21"/>
        </w:rPr>
      </w:pPr>
      <w:r>
        <w:rPr>
          <w:rFonts w:hint="eastAsia" w:ascii="宋体" w:hAnsi="宋体" w:cs="宋体"/>
          <w:bCs/>
          <w:szCs w:val="21"/>
        </w:rPr>
        <w:t>12.</w:t>
      </w:r>
      <w:r>
        <w:rPr>
          <w:rFonts w:hint="eastAsia" w:ascii="宋体" w:hAnsi="宋体" w:cs="宋体"/>
          <w:bCs/>
          <w:szCs w:val="21"/>
          <w:lang w:val="en-US" w:eastAsia="zh-CN"/>
        </w:rPr>
        <w:t>6</w:t>
      </w:r>
      <w:r>
        <w:rPr>
          <w:rFonts w:hint="eastAsia" w:ascii="宋体" w:hAnsi="宋体" w:cs="宋体"/>
          <w:bCs/>
          <w:szCs w:val="21"/>
        </w:rPr>
        <w:t>报价应依据竞争性磋商文件要求的采购内容，执行国家相关规定、经济标准、定额及规范，按所能给予的价格进行二次报价。</w:t>
      </w:r>
    </w:p>
    <w:p w14:paraId="74FFCA27">
      <w:pPr>
        <w:spacing w:line="360" w:lineRule="auto"/>
        <w:ind w:firstLine="420" w:firstLineChars="200"/>
        <w:rPr>
          <w:rFonts w:ascii="宋体" w:hAnsi="宋体" w:cs="宋体"/>
          <w:bCs/>
          <w:szCs w:val="21"/>
        </w:rPr>
      </w:pPr>
      <w:r>
        <w:rPr>
          <w:rFonts w:hint="eastAsia" w:ascii="宋体" w:hAnsi="宋体" w:cs="宋体"/>
          <w:bCs/>
          <w:szCs w:val="21"/>
        </w:rPr>
        <w:t>12.</w:t>
      </w:r>
      <w:r>
        <w:rPr>
          <w:rFonts w:hint="eastAsia" w:ascii="宋体" w:hAnsi="宋体" w:cs="宋体"/>
          <w:bCs/>
          <w:szCs w:val="21"/>
          <w:lang w:val="en-US" w:eastAsia="zh-CN"/>
        </w:rPr>
        <w:t>7</w:t>
      </w:r>
      <w:r>
        <w:rPr>
          <w:rFonts w:hint="eastAsia" w:ascii="宋体" w:hAnsi="宋体" w:cs="宋体"/>
          <w:bCs/>
          <w:szCs w:val="21"/>
        </w:rPr>
        <w:t>应保证提供的服务符合本文件及采购人的规定要求。</w:t>
      </w:r>
    </w:p>
    <w:p w14:paraId="494EFF4D">
      <w:pPr>
        <w:spacing w:line="360" w:lineRule="auto"/>
        <w:ind w:firstLine="420" w:firstLineChars="200"/>
        <w:rPr>
          <w:rFonts w:ascii="宋体" w:hAnsi="宋体" w:cs="宋体"/>
          <w:bCs/>
          <w:szCs w:val="21"/>
        </w:rPr>
      </w:pPr>
      <w:bookmarkStart w:id="158" w:name="_Hlk37752754"/>
      <w:r>
        <w:rPr>
          <w:rFonts w:hint="eastAsia" w:ascii="宋体" w:hAnsi="宋体" w:cs="宋体"/>
          <w:bCs/>
          <w:szCs w:val="21"/>
        </w:rPr>
        <w:t>12.</w:t>
      </w:r>
      <w:r>
        <w:rPr>
          <w:rFonts w:hint="eastAsia" w:ascii="宋体" w:hAnsi="宋体" w:cs="宋体"/>
          <w:bCs/>
          <w:szCs w:val="21"/>
          <w:lang w:val="en-US" w:eastAsia="zh-CN"/>
        </w:rPr>
        <w:t>8</w:t>
      </w:r>
      <w:r>
        <w:rPr>
          <w:rFonts w:hint="eastAsia" w:ascii="宋体" w:hAnsi="宋体" w:cs="宋体"/>
          <w:color w:val="auto"/>
          <w:szCs w:val="21"/>
        </w:rPr>
        <w:t>本次</w:t>
      </w:r>
      <w:r>
        <w:rPr>
          <w:rFonts w:hint="eastAsia" w:ascii="宋体" w:hAnsi="宋体" w:cs="宋体"/>
          <w:color w:val="auto"/>
          <w:szCs w:val="21"/>
          <w:lang w:val="en-US" w:eastAsia="zh-CN"/>
        </w:rPr>
        <w:t>磋商</w:t>
      </w:r>
      <w:r>
        <w:rPr>
          <w:rFonts w:hint="eastAsia" w:ascii="宋体" w:hAnsi="宋体" w:cs="宋体"/>
          <w:color w:val="auto"/>
          <w:szCs w:val="21"/>
        </w:rPr>
        <w:t>报价包含完成全部工程所需的人工费、材料费、机械使用费、管理费、利润、</w:t>
      </w:r>
      <w:r>
        <w:rPr>
          <w:rFonts w:hint="eastAsia" w:ascii="宋体" w:hAnsi="宋体" w:cs="宋体"/>
          <w:color w:val="auto"/>
          <w:szCs w:val="21"/>
          <w:lang w:val="en-US" w:eastAsia="zh-CN"/>
        </w:rPr>
        <w:t>措施费、其他项目费、增值税等一切相关费用，采购人不另行支付任何其他费用</w:t>
      </w:r>
      <w:r>
        <w:rPr>
          <w:rFonts w:hint="eastAsia" w:ascii="宋体" w:hAnsi="宋体" w:cs="宋体"/>
          <w:bCs/>
          <w:szCs w:val="21"/>
        </w:rPr>
        <w:t>。</w:t>
      </w:r>
    </w:p>
    <w:p w14:paraId="43BF2EA8">
      <w:pPr>
        <w:spacing w:line="360" w:lineRule="auto"/>
        <w:ind w:firstLine="420" w:firstLineChars="200"/>
        <w:rPr>
          <w:rFonts w:ascii="宋体" w:hAnsi="宋体" w:cs="宋体"/>
          <w:bCs/>
          <w:szCs w:val="21"/>
        </w:rPr>
      </w:pPr>
      <w:r>
        <w:rPr>
          <w:rFonts w:hint="eastAsia" w:ascii="宋体" w:hAnsi="宋体" w:cs="宋体"/>
          <w:bCs/>
          <w:szCs w:val="21"/>
        </w:rPr>
        <w:t>12.</w:t>
      </w:r>
      <w:r>
        <w:rPr>
          <w:rFonts w:hint="eastAsia" w:ascii="宋体" w:hAnsi="宋体" w:cs="宋体"/>
          <w:bCs/>
          <w:szCs w:val="21"/>
          <w:lang w:val="en-US" w:eastAsia="zh-CN"/>
        </w:rPr>
        <w:t>9</w:t>
      </w:r>
      <w:r>
        <w:rPr>
          <w:rFonts w:hint="eastAsia" w:ascii="宋体" w:hAnsi="宋体" w:cs="宋体"/>
          <w:bCs/>
          <w:szCs w:val="21"/>
        </w:rPr>
        <w:t>供应商应遵守有关的国家法律、法令、条例和政府采购有关制度。一旦参加本项目，则应承担相关法律责任。</w:t>
      </w:r>
    </w:p>
    <w:p w14:paraId="762ADF51">
      <w:pPr>
        <w:spacing w:line="360" w:lineRule="auto"/>
        <w:ind w:firstLine="420" w:firstLineChars="200"/>
        <w:rPr>
          <w:rFonts w:hint="eastAsia" w:ascii="宋体" w:hAnsi="宋体" w:cs="宋体"/>
          <w:bCs/>
          <w:szCs w:val="21"/>
        </w:rPr>
      </w:pPr>
      <w:r>
        <w:rPr>
          <w:rFonts w:hint="eastAsia" w:ascii="宋体" w:hAnsi="宋体" w:cs="宋体"/>
          <w:bCs/>
          <w:szCs w:val="21"/>
        </w:rPr>
        <w:t>12.</w:t>
      </w:r>
      <w:r>
        <w:rPr>
          <w:rFonts w:hint="eastAsia" w:ascii="宋体" w:hAnsi="宋体" w:cs="宋体"/>
          <w:bCs/>
          <w:szCs w:val="21"/>
          <w:lang w:val="en-US" w:eastAsia="zh-CN"/>
        </w:rPr>
        <w:t>10</w:t>
      </w:r>
      <w:r>
        <w:rPr>
          <w:rFonts w:hint="eastAsia" w:ascii="宋体" w:hAnsi="宋体" w:cs="宋体"/>
          <w:bCs/>
          <w:szCs w:val="21"/>
        </w:rPr>
        <w:t>二次报价应本着合理的原则，采购人不保证报价最低者一定成交。</w:t>
      </w:r>
    </w:p>
    <w:p w14:paraId="511FC423">
      <w:pPr>
        <w:spacing w:line="360" w:lineRule="auto"/>
        <w:ind w:firstLine="420" w:firstLineChars="200"/>
        <w:rPr>
          <w:rFonts w:hint="default" w:ascii="宋体" w:hAnsi="宋体" w:eastAsia="宋体" w:cs="宋体"/>
          <w:bCs/>
          <w:szCs w:val="21"/>
          <w:lang w:val="en-US" w:eastAsia="zh-CN"/>
        </w:rPr>
      </w:pPr>
      <w:r>
        <w:rPr>
          <w:rFonts w:hint="eastAsia" w:ascii="宋体" w:hAnsi="宋体" w:cs="宋体"/>
          <w:bCs/>
          <w:szCs w:val="21"/>
          <w:lang w:val="en-US" w:eastAsia="zh-CN"/>
        </w:rPr>
        <w:t>12.11供应商不得哄抬报价，也不应低于成本价（或进价）报价。如政府采购评审中出现报价异常按《关于推动解决政府采购异常低价问题的通知》（财库〔2026〕2号）的相关要求执行。</w:t>
      </w:r>
    </w:p>
    <w:bookmarkEnd w:id="154"/>
    <w:bookmarkEnd w:id="158"/>
    <w:p w14:paraId="7DE33627">
      <w:pPr>
        <w:spacing w:line="360" w:lineRule="auto"/>
        <w:rPr>
          <w:rFonts w:ascii="宋体" w:hAnsi="宋体" w:cs="宋体"/>
          <w:b/>
          <w:szCs w:val="21"/>
        </w:rPr>
      </w:pPr>
      <w:r>
        <w:rPr>
          <w:rFonts w:hint="eastAsia" w:ascii="宋体" w:hAnsi="宋体" w:cs="宋体"/>
          <w:b/>
          <w:szCs w:val="21"/>
        </w:rPr>
        <w:t>13、有效期</w:t>
      </w:r>
      <w:bookmarkEnd w:id="155"/>
      <w:bookmarkEnd w:id="156"/>
      <w:bookmarkEnd w:id="157"/>
    </w:p>
    <w:p w14:paraId="07B4A35D">
      <w:pPr>
        <w:spacing w:line="360" w:lineRule="auto"/>
        <w:ind w:firstLine="420" w:firstLineChars="200"/>
        <w:rPr>
          <w:rFonts w:ascii="宋体" w:hAnsi="宋体" w:cs="宋体"/>
          <w:szCs w:val="21"/>
        </w:rPr>
      </w:pPr>
      <w:r>
        <w:rPr>
          <w:rFonts w:hint="eastAsia" w:ascii="宋体" w:hAnsi="宋体" w:cs="宋体"/>
          <w:szCs w:val="21"/>
        </w:rPr>
        <w:t>13.1 在“</w:t>
      </w:r>
      <w:r>
        <w:rPr>
          <w:rFonts w:hint="eastAsia" w:ascii="宋体" w:hAnsi="宋体" w:cs="宋体"/>
          <w:b/>
          <w:szCs w:val="21"/>
        </w:rPr>
        <w:t>供应商须知前附表</w:t>
      </w:r>
      <w:r>
        <w:rPr>
          <w:rFonts w:hint="eastAsia" w:ascii="宋体" w:hAnsi="宋体" w:cs="宋体"/>
          <w:szCs w:val="21"/>
        </w:rPr>
        <w:t>”规定的有效期内，供应商不得要求撤销或修改其磋商响应文件。</w:t>
      </w:r>
    </w:p>
    <w:p w14:paraId="2CD4E209">
      <w:pPr>
        <w:spacing w:line="360" w:lineRule="auto"/>
        <w:ind w:firstLine="420" w:firstLineChars="200"/>
        <w:rPr>
          <w:rFonts w:ascii="宋体" w:hAnsi="宋体" w:cs="宋体"/>
          <w:szCs w:val="21"/>
        </w:rPr>
      </w:pPr>
      <w:r>
        <w:rPr>
          <w:rFonts w:hint="eastAsia" w:ascii="宋体" w:hAnsi="宋体" w:cs="宋体"/>
          <w:szCs w:val="21"/>
        </w:rPr>
        <w:t>13.2 因特殊情况需要延长有效期的，采购代理机构以书面形式通知所有供应商延长有效期。供应商同意延长的，应相应延长其保证金的有效期，但不得要求或被允许修改或撤销其磋商响应文件；供应商拒绝延长的，其磋商响应文件失效，但供应商有权收回其保证金。</w:t>
      </w:r>
    </w:p>
    <w:p w14:paraId="55FBA5C0">
      <w:pPr>
        <w:spacing w:line="360" w:lineRule="auto"/>
        <w:rPr>
          <w:rFonts w:ascii="宋体" w:hAnsi="宋体" w:cs="宋体"/>
          <w:b/>
          <w:szCs w:val="21"/>
        </w:rPr>
      </w:pPr>
      <w:bookmarkStart w:id="159" w:name="_Toc329810199"/>
      <w:bookmarkStart w:id="160" w:name="_Toc86124059"/>
      <w:bookmarkStart w:id="161" w:name="_Toc348011937"/>
      <w:r>
        <w:rPr>
          <w:rFonts w:hint="eastAsia" w:ascii="宋体" w:hAnsi="宋体" w:cs="宋体"/>
          <w:b/>
          <w:szCs w:val="21"/>
        </w:rPr>
        <w:t>14、磋商响应文件的</w:t>
      </w:r>
      <w:bookmarkEnd w:id="159"/>
      <w:bookmarkEnd w:id="160"/>
      <w:r>
        <w:rPr>
          <w:rFonts w:hint="eastAsia" w:ascii="宋体" w:hAnsi="宋体" w:cs="宋体"/>
          <w:b/>
          <w:szCs w:val="21"/>
        </w:rPr>
        <w:t>编制</w:t>
      </w:r>
      <w:bookmarkEnd w:id="161"/>
    </w:p>
    <w:p w14:paraId="189A610C">
      <w:pPr>
        <w:spacing w:line="360" w:lineRule="auto"/>
        <w:ind w:firstLine="420" w:firstLineChars="200"/>
        <w:jc w:val="left"/>
        <w:rPr>
          <w:rFonts w:hint="eastAsia" w:ascii="宋体" w:hAnsi="宋体"/>
          <w:b w:val="0"/>
          <w:bCs/>
          <w:szCs w:val="21"/>
        </w:rPr>
      </w:pPr>
      <w:bookmarkStart w:id="162" w:name="_Toc427306790"/>
      <w:bookmarkStart w:id="163" w:name="_Toc86124061"/>
      <w:bookmarkStart w:id="164" w:name="_Toc348011939"/>
      <w:bookmarkStart w:id="165" w:name="_Toc373844099"/>
      <w:bookmarkStart w:id="166" w:name="_Toc58081265"/>
      <w:bookmarkStart w:id="167" w:name="_Toc427339171"/>
      <w:bookmarkStart w:id="168" w:name="_Toc373844166"/>
      <w:bookmarkStart w:id="169" w:name="_Toc8300784"/>
      <w:r>
        <w:rPr>
          <w:rFonts w:hint="eastAsia" w:ascii="宋体" w:hAnsi="宋体"/>
          <w:b w:val="0"/>
          <w:bCs/>
          <w:szCs w:val="21"/>
          <w:lang w:val="en-US" w:eastAsia="zh-CN"/>
        </w:rPr>
        <w:t>14.1</w:t>
      </w:r>
      <w:r>
        <w:rPr>
          <w:rFonts w:hint="eastAsia" w:ascii="宋体" w:hAnsi="宋体"/>
          <w:b w:val="0"/>
          <w:bCs/>
          <w:szCs w:val="21"/>
        </w:rPr>
        <w:t>电子响应文件上传</w:t>
      </w:r>
    </w:p>
    <w:p w14:paraId="4243D6EB">
      <w:pPr>
        <w:spacing w:line="360" w:lineRule="auto"/>
        <w:ind w:firstLine="420" w:firstLineChars="200"/>
        <w:jc w:val="left"/>
        <w:rPr>
          <w:rFonts w:hint="eastAsia" w:ascii="宋体" w:hAnsi="宋体"/>
          <w:b w:val="0"/>
          <w:bCs/>
          <w:szCs w:val="21"/>
        </w:rPr>
      </w:pPr>
      <w:r>
        <w:rPr>
          <w:rFonts w:hint="eastAsia" w:ascii="宋体" w:hAnsi="宋体"/>
          <w:b w:val="0"/>
          <w:bCs/>
          <w:szCs w:val="21"/>
        </w:rPr>
        <w:t>（一）电子响应文件应使用“政采云”平台（https://www.zcygov.cn）中下载的电子投标客户端制作， 并进行电子签章及加密后上传至政采云平台。</w:t>
      </w:r>
    </w:p>
    <w:p w14:paraId="034387CA">
      <w:pPr>
        <w:spacing w:line="360" w:lineRule="auto"/>
        <w:ind w:firstLine="420" w:firstLineChars="200"/>
        <w:jc w:val="left"/>
        <w:rPr>
          <w:rFonts w:hint="eastAsia" w:ascii="宋体" w:hAnsi="宋体"/>
          <w:b w:val="0"/>
          <w:bCs/>
          <w:szCs w:val="21"/>
        </w:rPr>
      </w:pPr>
      <w:r>
        <w:rPr>
          <w:rFonts w:hint="eastAsia" w:ascii="宋体" w:hAnsi="宋体"/>
          <w:b w:val="0"/>
          <w:bCs/>
          <w:szCs w:val="21"/>
        </w:rPr>
        <w:t>（二）如供应商提交的电子标书不符合（一）要求或开标时无法读取导入或解密，其响应文件将不予受理。</w:t>
      </w:r>
    </w:p>
    <w:p w14:paraId="43590214">
      <w:pPr>
        <w:spacing w:line="360" w:lineRule="auto"/>
        <w:ind w:firstLine="420" w:firstLineChars="200"/>
        <w:jc w:val="left"/>
        <w:rPr>
          <w:rFonts w:hint="eastAsia" w:ascii="宋体" w:hAnsi="宋体"/>
          <w:b w:val="0"/>
          <w:bCs/>
          <w:szCs w:val="21"/>
        </w:rPr>
      </w:pPr>
      <w:r>
        <w:rPr>
          <w:rFonts w:hint="eastAsia" w:ascii="宋体" w:hAnsi="宋体"/>
          <w:b w:val="0"/>
          <w:bCs/>
          <w:szCs w:val="21"/>
          <w:lang w:val="en-US" w:eastAsia="zh-CN"/>
        </w:rPr>
        <w:t>14.2</w:t>
      </w:r>
      <w:r>
        <w:rPr>
          <w:rFonts w:hint="eastAsia" w:ascii="宋体" w:hAnsi="宋体"/>
          <w:b w:val="0"/>
          <w:bCs/>
          <w:szCs w:val="21"/>
        </w:rPr>
        <w:t>签字或盖章要求：</w:t>
      </w:r>
      <w:r>
        <w:rPr>
          <w:rFonts w:hint="eastAsia" w:ascii="宋体" w:hAnsi="宋体" w:cs="宋体"/>
          <w:color w:val="auto"/>
          <w:sz w:val="21"/>
          <w:szCs w:val="21"/>
          <w:highlight w:val="none"/>
        </w:rPr>
        <w:t>按照响应文件格式，采用企业、法定代表人电子签章及数字证书电子签名</w:t>
      </w:r>
      <w:r>
        <w:rPr>
          <w:rFonts w:hint="eastAsia" w:ascii="宋体" w:hAnsi="宋体"/>
          <w:b w:val="0"/>
          <w:bCs/>
          <w:szCs w:val="21"/>
        </w:rPr>
        <w:t>。</w:t>
      </w:r>
    </w:p>
    <w:p w14:paraId="00D9BDDA">
      <w:pPr>
        <w:spacing w:line="360" w:lineRule="auto"/>
        <w:ind w:firstLine="420" w:firstLineChars="200"/>
        <w:jc w:val="left"/>
        <w:rPr>
          <w:rFonts w:hint="eastAsia" w:ascii="宋体" w:hAnsi="宋体"/>
          <w:b w:val="0"/>
          <w:bCs/>
          <w:szCs w:val="21"/>
        </w:rPr>
      </w:pPr>
      <w:r>
        <w:rPr>
          <w:rFonts w:hint="eastAsia" w:ascii="宋体" w:hAnsi="宋体"/>
          <w:b w:val="0"/>
          <w:bCs/>
          <w:szCs w:val="21"/>
          <w:lang w:val="en-US" w:eastAsia="zh-CN"/>
        </w:rPr>
        <w:t>14.</w:t>
      </w:r>
      <w:r>
        <w:rPr>
          <w:rFonts w:hint="eastAsia" w:ascii="宋体" w:hAnsi="宋体"/>
          <w:b w:val="0"/>
          <w:bCs/>
          <w:szCs w:val="21"/>
        </w:rPr>
        <w:t>3成交后提供的纸质响应文件份数：成交人签订合同前须提供纸质版响应文件正本一份、副本二份，响应文件副本可为正本的完全复印件，封面应分别清楚地标记“正本”或“副本”字样。</w:t>
      </w:r>
    </w:p>
    <w:p w14:paraId="094E1A2A">
      <w:pPr>
        <w:spacing w:line="360" w:lineRule="auto"/>
        <w:jc w:val="left"/>
        <w:rPr>
          <w:rFonts w:hint="eastAsia" w:ascii="宋体" w:hAnsi="宋体"/>
          <w:b w:val="0"/>
          <w:bCs/>
          <w:szCs w:val="21"/>
        </w:rPr>
      </w:pPr>
      <w:r>
        <w:rPr>
          <w:rFonts w:hint="eastAsia" w:ascii="宋体" w:hAnsi="宋体"/>
          <w:b w:val="0"/>
          <w:bCs/>
          <w:szCs w:val="21"/>
        </w:rPr>
        <w:t>电子版一份（介质为U盘，电子文件须为：①全套word版响应文件；②盖章签字后的响应文件正本扫描件，格式为PDF格式）。</w:t>
      </w:r>
    </w:p>
    <w:p w14:paraId="06FA2E2B">
      <w:pPr>
        <w:spacing w:line="360" w:lineRule="auto"/>
        <w:ind w:firstLine="420" w:firstLineChars="200"/>
        <w:jc w:val="left"/>
        <w:rPr>
          <w:rFonts w:hint="eastAsia" w:ascii="宋体" w:hAnsi="宋体"/>
          <w:b w:val="0"/>
          <w:bCs/>
          <w:szCs w:val="21"/>
        </w:rPr>
      </w:pPr>
      <w:r>
        <w:rPr>
          <w:rFonts w:hint="eastAsia" w:ascii="宋体" w:hAnsi="宋体"/>
          <w:b w:val="0"/>
          <w:bCs/>
          <w:szCs w:val="21"/>
          <w:lang w:val="en-US" w:eastAsia="zh-CN"/>
        </w:rPr>
        <w:t>注：</w:t>
      </w:r>
      <w:r>
        <w:rPr>
          <w:rFonts w:hint="eastAsia" w:ascii="宋体" w:hAnsi="宋体"/>
          <w:b w:val="0"/>
          <w:bCs/>
          <w:szCs w:val="21"/>
        </w:rPr>
        <w:t>纸质版响应文件须与电子版响应文件一致。</w:t>
      </w:r>
    </w:p>
    <w:p w14:paraId="5C99B091">
      <w:pPr>
        <w:spacing w:line="360" w:lineRule="auto"/>
        <w:ind w:firstLine="420" w:firstLineChars="200"/>
        <w:jc w:val="left"/>
        <w:rPr>
          <w:rFonts w:hint="eastAsia" w:ascii="宋体" w:hAnsi="宋体"/>
          <w:b w:val="0"/>
          <w:bCs/>
          <w:szCs w:val="21"/>
        </w:rPr>
      </w:pPr>
      <w:r>
        <w:rPr>
          <w:rFonts w:hint="eastAsia" w:ascii="宋体" w:hAnsi="宋体"/>
          <w:b w:val="0"/>
          <w:bCs/>
          <w:szCs w:val="21"/>
          <w:lang w:val="en-US" w:eastAsia="zh-CN"/>
        </w:rPr>
        <w:t>14</w:t>
      </w:r>
      <w:r>
        <w:rPr>
          <w:rFonts w:hint="eastAsia" w:ascii="宋体" w:hAnsi="宋体"/>
          <w:b w:val="0"/>
          <w:bCs/>
          <w:szCs w:val="21"/>
        </w:rPr>
        <w:t>.4响应文件的加密：</w:t>
      </w:r>
      <w:r>
        <w:rPr>
          <w:rFonts w:hint="eastAsia" w:ascii="宋体" w:hAnsi="宋体" w:cs="宋体"/>
          <w:color w:val="auto"/>
          <w:sz w:val="21"/>
          <w:szCs w:val="21"/>
          <w:highlight w:val="none"/>
        </w:rPr>
        <w:t>按照</w:t>
      </w:r>
      <w:r>
        <w:rPr>
          <w:rFonts w:hint="eastAsia" w:ascii="宋体" w:hAnsi="宋体"/>
          <w:b w:val="0"/>
          <w:bCs/>
          <w:szCs w:val="21"/>
        </w:rPr>
        <w:t>政采云平台</w:t>
      </w:r>
      <w:r>
        <w:rPr>
          <w:rFonts w:hint="eastAsia" w:ascii="宋体" w:hAnsi="宋体" w:cs="宋体"/>
          <w:color w:val="auto"/>
          <w:sz w:val="21"/>
          <w:szCs w:val="21"/>
          <w:highlight w:val="none"/>
        </w:rPr>
        <w:t>的要求编制、加密后在响应文件提交截止时间前上传至</w:t>
      </w:r>
      <w:r>
        <w:rPr>
          <w:rFonts w:hint="eastAsia" w:ascii="宋体" w:hAnsi="宋体"/>
          <w:b w:val="0"/>
          <w:bCs/>
          <w:szCs w:val="21"/>
        </w:rPr>
        <w:t>政采云平台</w:t>
      </w:r>
      <w:r>
        <w:rPr>
          <w:rFonts w:hint="eastAsia" w:ascii="宋体" w:hAnsi="宋体" w:cs="宋体"/>
          <w:color w:val="auto"/>
          <w:sz w:val="21"/>
          <w:szCs w:val="21"/>
          <w:highlight w:val="none"/>
        </w:rPr>
        <w:t>，响应文件提交截止时间前未完成响应文件上传的，视为撤回响应文件</w:t>
      </w:r>
      <w:r>
        <w:rPr>
          <w:rFonts w:hint="eastAsia" w:ascii="宋体" w:hAnsi="宋体"/>
          <w:b w:val="0"/>
          <w:bCs/>
          <w:szCs w:val="21"/>
        </w:rPr>
        <w:t>。</w:t>
      </w:r>
    </w:p>
    <w:p w14:paraId="44E2E23B">
      <w:pPr>
        <w:spacing w:line="360" w:lineRule="auto"/>
        <w:jc w:val="left"/>
        <w:rPr>
          <w:rFonts w:ascii="宋体" w:hAnsi="宋体"/>
          <w:b/>
          <w:szCs w:val="21"/>
        </w:rPr>
      </w:pPr>
      <w:r>
        <w:rPr>
          <w:rFonts w:hint="eastAsia" w:ascii="宋体" w:hAnsi="宋体"/>
          <w:b/>
          <w:szCs w:val="21"/>
        </w:rPr>
        <w:t>15</w:t>
      </w:r>
      <w:r>
        <w:rPr>
          <w:rFonts w:ascii="宋体" w:hAnsi="宋体"/>
          <w:b/>
          <w:szCs w:val="21"/>
        </w:rPr>
        <w:t xml:space="preserve">. </w:t>
      </w:r>
      <w:r>
        <w:rPr>
          <w:rFonts w:hint="eastAsia" w:ascii="宋体" w:hAnsi="宋体"/>
          <w:b/>
          <w:szCs w:val="21"/>
        </w:rPr>
        <w:t>磋商</w:t>
      </w:r>
      <w:r>
        <w:rPr>
          <w:rFonts w:ascii="宋体" w:hAnsi="宋体"/>
          <w:b/>
          <w:szCs w:val="21"/>
        </w:rPr>
        <w:t>保证金</w:t>
      </w:r>
    </w:p>
    <w:p w14:paraId="02BBBFA2">
      <w:pPr>
        <w:pStyle w:val="20"/>
        <w:tabs>
          <w:tab w:val="left" w:pos="710"/>
        </w:tabs>
        <w:spacing w:line="360" w:lineRule="auto"/>
        <w:ind w:firstLine="420" w:firstLineChars="200"/>
        <w:rPr>
          <w:rFonts w:hAnsi="宋体"/>
          <w:szCs w:val="24"/>
        </w:rPr>
      </w:pPr>
      <w:r>
        <w:rPr>
          <w:rFonts w:hint="eastAsia" w:hAnsi="宋体"/>
          <w:szCs w:val="24"/>
        </w:rPr>
        <w:t>15.1磋商保证金为人民币。供应商应在提交响应文件截止时间以前按“</w:t>
      </w:r>
      <w:r>
        <w:rPr>
          <w:rFonts w:hint="eastAsia" w:hAnsi="宋体"/>
          <w:b/>
          <w:szCs w:val="24"/>
        </w:rPr>
        <w:t>供应商须知前附表</w:t>
      </w:r>
      <w:r>
        <w:rPr>
          <w:rFonts w:hint="eastAsia" w:hAnsi="宋体"/>
          <w:szCs w:val="24"/>
        </w:rPr>
        <w:t>”规定的金额提交，并在规定的时间内保持有效。</w:t>
      </w:r>
    </w:p>
    <w:p w14:paraId="294F5036">
      <w:pPr>
        <w:pStyle w:val="20"/>
        <w:tabs>
          <w:tab w:val="left" w:pos="710"/>
        </w:tabs>
        <w:spacing w:line="360" w:lineRule="auto"/>
        <w:ind w:firstLine="420" w:firstLineChars="200"/>
        <w:rPr>
          <w:rFonts w:hAnsi="宋体"/>
          <w:szCs w:val="24"/>
        </w:rPr>
      </w:pPr>
      <w:r>
        <w:rPr>
          <w:rFonts w:hint="eastAsia" w:hAnsi="宋体"/>
          <w:szCs w:val="24"/>
        </w:rPr>
        <w:t>15.2供应商保证金形式：磋商保证金应按“</w:t>
      </w:r>
      <w:r>
        <w:rPr>
          <w:rFonts w:hint="eastAsia" w:hAnsi="宋体"/>
          <w:b/>
          <w:szCs w:val="24"/>
        </w:rPr>
        <w:t>供应商须知前附表</w:t>
      </w:r>
      <w:r>
        <w:rPr>
          <w:rFonts w:hint="eastAsia" w:hAnsi="宋体"/>
          <w:szCs w:val="24"/>
        </w:rPr>
        <w:t>”规定的形式提交。</w:t>
      </w:r>
    </w:p>
    <w:p w14:paraId="2FD8F39C">
      <w:pPr>
        <w:pStyle w:val="20"/>
        <w:spacing w:line="360" w:lineRule="auto"/>
        <w:ind w:firstLine="420" w:firstLineChars="200"/>
        <w:rPr>
          <w:rFonts w:hAnsi="宋体"/>
          <w:szCs w:val="24"/>
        </w:rPr>
      </w:pPr>
      <w:r>
        <w:rPr>
          <w:rFonts w:hint="eastAsia" w:hAnsi="宋体"/>
          <w:szCs w:val="24"/>
        </w:rPr>
        <w:t>15.</w:t>
      </w:r>
      <w:r>
        <w:rPr>
          <w:rFonts w:hAnsi="宋体"/>
          <w:szCs w:val="24"/>
        </w:rPr>
        <w:t>3</w:t>
      </w:r>
      <w:r>
        <w:rPr>
          <w:rFonts w:hint="eastAsia" w:hAnsi="宋体" w:cs="宋体"/>
          <w:kern w:val="0"/>
          <w:szCs w:val="24"/>
        </w:rPr>
        <w:t>供应商</w:t>
      </w:r>
      <w:r>
        <w:rPr>
          <w:rFonts w:hAnsi="宋体" w:cs="宋体"/>
          <w:kern w:val="0"/>
          <w:szCs w:val="24"/>
        </w:rPr>
        <w:t>在投标截止时间前撤回已提交的投标文件的，采购代理机构</w:t>
      </w:r>
      <w:r>
        <w:rPr>
          <w:rFonts w:hint="eastAsia" w:hAnsi="宋体" w:cs="宋体"/>
          <w:kern w:val="0"/>
          <w:szCs w:val="24"/>
        </w:rPr>
        <w:t>将</w:t>
      </w:r>
      <w:r>
        <w:rPr>
          <w:rFonts w:hAnsi="宋体" w:cs="宋体"/>
          <w:kern w:val="0"/>
          <w:szCs w:val="24"/>
        </w:rPr>
        <w:t>在自收到投标人书面撤回通知之日起</w:t>
      </w:r>
      <w:r>
        <w:rPr>
          <w:rFonts w:hint="eastAsia" w:hAnsi="宋体"/>
          <w:szCs w:val="24"/>
        </w:rPr>
        <w:t>5</w:t>
      </w:r>
      <w:r>
        <w:rPr>
          <w:rFonts w:hAnsi="宋体" w:cs="宋体"/>
          <w:kern w:val="0"/>
          <w:szCs w:val="24"/>
        </w:rPr>
        <w:t>个工作日内，退还已收取的</w:t>
      </w:r>
      <w:r>
        <w:rPr>
          <w:rFonts w:hint="eastAsia" w:hAnsi="宋体" w:cs="宋体"/>
          <w:kern w:val="0"/>
          <w:szCs w:val="24"/>
        </w:rPr>
        <w:t>磋商</w:t>
      </w:r>
      <w:r>
        <w:rPr>
          <w:rFonts w:hAnsi="宋体" w:cs="宋体"/>
          <w:kern w:val="0"/>
          <w:szCs w:val="24"/>
        </w:rPr>
        <w:t>保证金，但因</w:t>
      </w:r>
      <w:r>
        <w:rPr>
          <w:rFonts w:hint="eastAsia" w:hAnsi="宋体" w:cs="宋体"/>
          <w:kern w:val="0"/>
          <w:szCs w:val="24"/>
        </w:rPr>
        <w:t>供应商</w:t>
      </w:r>
      <w:r>
        <w:rPr>
          <w:rFonts w:hAnsi="宋体" w:cs="宋体"/>
          <w:kern w:val="0"/>
          <w:szCs w:val="24"/>
        </w:rPr>
        <w:t>自身原因导致无法及时退还的除外</w:t>
      </w:r>
      <w:r>
        <w:rPr>
          <w:rFonts w:hint="eastAsia" w:hAnsi="宋体"/>
          <w:szCs w:val="24"/>
        </w:rPr>
        <w:t>。</w:t>
      </w:r>
    </w:p>
    <w:p w14:paraId="182C9CD7">
      <w:pPr>
        <w:pStyle w:val="20"/>
        <w:spacing w:line="360" w:lineRule="auto"/>
        <w:ind w:firstLine="420" w:firstLineChars="200"/>
        <w:rPr>
          <w:rFonts w:hAnsi="宋体"/>
          <w:szCs w:val="24"/>
        </w:rPr>
      </w:pPr>
      <w:r>
        <w:rPr>
          <w:rFonts w:hint="eastAsia" w:hAnsi="宋体"/>
          <w:szCs w:val="24"/>
        </w:rPr>
        <w:t>15.</w:t>
      </w:r>
      <w:r>
        <w:rPr>
          <w:rFonts w:hAnsi="宋体"/>
          <w:szCs w:val="24"/>
        </w:rPr>
        <w:t>4</w:t>
      </w:r>
      <w:r>
        <w:rPr>
          <w:rFonts w:hint="eastAsia" w:hAnsi="宋体"/>
          <w:szCs w:val="24"/>
        </w:rPr>
        <w:t>未中标人的磋商保证金将在成交公告发出后5个工作</w:t>
      </w:r>
      <w:r>
        <w:rPr>
          <w:rFonts w:hint="eastAsia" w:hAnsi="宋体"/>
          <w:szCs w:val="24"/>
          <w:lang w:eastAsia="zh-CN"/>
        </w:rPr>
        <w:t>日内</w:t>
      </w:r>
      <w:r>
        <w:rPr>
          <w:rFonts w:hint="eastAsia" w:hAnsi="宋体"/>
          <w:szCs w:val="24"/>
        </w:rPr>
        <w:t>退还；成交人的磋商保证金将在</w:t>
      </w:r>
      <w:r>
        <w:rPr>
          <w:rFonts w:hAnsi="宋体" w:cs="宋体"/>
          <w:kern w:val="0"/>
          <w:szCs w:val="24"/>
        </w:rPr>
        <w:t>采购合同签订之日起5个工作日内退还</w:t>
      </w:r>
      <w:r>
        <w:rPr>
          <w:rFonts w:hint="eastAsia" w:hAnsi="宋体"/>
          <w:szCs w:val="24"/>
        </w:rPr>
        <w:t>。</w:t>
      </w:r>
    </w:p>
    <w:p w14:paraId="35A0450E">
      <w:pPr>
        <w:pStyle w:val="20"/>
        <w:spacing w:line="360" w:lineRule="auto"/>
        <w:ind w:firstLine="420" w:firstLineChars="200"/>
        <w:rPr>
          <w:rFonts w:hAnsi="宋体"/>
          <w:szCs w:val="24"/>
        </w:rPr>
      </w:pPr>
      <w:r>
        <w:rPr>
          <w:rFonts w:hint="eastAsia" w:hAnsi="宋体"/>
          <w:szCs w:val="24"/>
        </w:rPr>
        <w:t>15.</w:t>
      </w:r>
      <w:r>
        <w:rPr>
          <w:rFonts w:hAnsi="宋体"/>
          <w:szCs w:val="24"/>
        </w:rPr>
        <w:t>5</w:t>
      </w:r>
      <w:r>
        <w:rPr>
          <w:rFonts w:hint="eastAsia" w:hAnsi="宋体"/>
          <w:szCs w:val="24"/>
        </w:rPr>
        <w:t>磋商保证金的退回只以网上银行转账的方式进行。</w:t>
      </w:r>
    </w:p>
    <w:p w14:paraId="51BF5A8A">
      <w:pPr>
        <w:pStyle w:val="20"/>
        <w:spacing w:line="360" w:lineRule="auto"/>
        <w:ind w:firstLine="420" w:firstLineChars="200"/>
        <w:rPr>
          <w:rFonts w:hAnsi="宋体"/>
          <w:szCs w:val="24"/>
        </w:rPr>
      </w:pPr>
      <w:r>
        <w:rPr>
          <w:rFonts w:hint="eastAsia" w:hAnsi="宋体"/>
          <w:szCs w:val="24"/>
        </w:rPr>
        <w:t>15.6下列情况发生时，</w:t>
      </w:r>
      <w:r>
        <w:rPr>
          <w:rFonts w:hint="eastAsia" w:hAnsi="宋体"/>
          <w:szCs w:val="24"/>
          <w:lang w:eastAsia="zh-CN"/>
        </w:rPr>
        <w:t>磋商保证金</w:t>
      </w:r>
      <w:r>
        <w:rPr>
          <w:rFonts w:hint="eastAsia" w:hAnsi="宋体"/>
          <w:szCs w:val="24"/>
        </w:rPr>
        <w:t>将不予退还</w:t>
      </w:r>
    </w:p>
    <w:p w14:paraId="41CB18B6">
      <w:pPr>
        <w:pStyle w:val="20"/>
        <w:spacing w:line="360" w:lineRule="auto"/>
        <w:ind w:firstLine="420" w:firstLineChars="200"/>
        <w:rPr>
          <w:rFonts w:hAnsi="宋体"/>
          <w:szCs w:val="24"/>
        </w:rPr>
      </w:pPr>
      <w:r>
        <w:rPr>
          <w:rFonts w:hint="eastAsia" w:hAnsi="宋体"/>
          <w:szCs w:val="24"/>
        </w:rPr>
        <w:t>（1）供应商在投标有效期内要求撤回投标的；</w:t>
      </w:r>
    </w:p>
    <w:p w14:paraId="2C94BFB6">
      <w:pPr>
        <w:spacing w:line="360" w:lineRule="auto"/>
        <w:ind w:firstLine="420" w:firstLineChars="200"/>
        <w:rPr>
          <w:rFonts w:ascii="宋体" w:hAnsi="宋体"/>
        </w:rPr>
      </w:pPr>
      <w:r>
        <w:rPr>
          <w:rFonts w:hint="eastAsia" w:ascii="宋体" w:hAnsi="宋体"/>
        </w:rPr>
        <w:t>（2）成交人中标后无正当理由不与采购人签订合同的；</w:t>
      </w:r>
    </w:p>
    <w:p w14:paraId="37AC2EC4">
      <w:pPr>
        <w:spacing w:line="360" w:lineRule="auto"/>
        <w:ind w:firstLine="420" w:firstLineChars="200"/>
        <w:rPr>
          <w:rFonts w:ascii="宋体" w:hAnsi="宋体"/>
        </w:rPr>
      </w:pPr>
      <w:r>
        <w:rPr>
          <w:rFonts w:hint="eastAsia" w:ascii="宋体" w:hAnsi="宋体"/>
        </w:rPr>
        <w:t>（3）成交人将中标项目转让给他人，或者在响应文件中未说明，且未经采购人同意，将中标项目分包给他人的；</w:t>
      </w:r>
    </w:p>
    <w:p w14:paraId="09E1F05B">
      <w:pPr>
        <w:pStyle w:val="20"/>
        <w:spacing w:line="360" w:lineRule="auto"/>
        <w:ind w:firstLine="420" w:firstLineChars="200"/>
        <w:rPr>
          <w:rFonts w:hAnsi="宋体"/>
          <w:szCs w:val="21"/>
        </w:rPr>
      </w:pPr>
      <w:r>
        <w:rPr>
          <w:rFonts w:hint="eastAsia" w:hAnsi="宋体"/>
          <w:szCs w:val="24"/>
        </w:rPr>
        <w:t>（4）成交人拒绝履行合同义务的。</w:t>
      </w:r>
    </w:p>
    <w:p w14:paraId="7FE0C781">
      <w:pPr>
        <w:pStyle w:val="3"/>
        <w:spacing w:before="0" w:after="0" w:line="360" w:lineRule="auto"/>
        <w:jc w:val="center"/>
        <w:rPr>
          <w:rFonts w:ascii="宋体" w:hAnsi="宋体" w:eastAsia="宋体" w:cs="宋体"/>
          <w:sz w:val="21"/>
          <w:szCs w:val="21"/>
        </w:rPr>
      </w:pPr>
      <w:bookmarkStart w:id="170" w:name="_Toc28621"/>
      <w:r>
        <w:rPr>
          <w:rFonts w:hint="eastAsia" w:ascii="宋体" w:hAnsi="宋体" w:eastAsia="宋体" w:cs="宋体"/>
          <w:sz w:val="21"/>
          <w:szCs w:val="21"/>
        </w:rPr>
        <w:t>（四）磋商响应文件的提交</w:t>
      </w:r>
      <w:bookmarkEnd w:id="162"/>
      <w:bookmarkEnd w:id="163"/>
      <w:bookmarkEnd w:id="164"/>
      <w:bookmarkEnd w:id="165"/>
      <w:bookmarkEnd w:id="166"/>
      <w:bookmarkEnd w:id="167"/>
      <w:bookmarkEnd w:id="168"/>
      <w:bookmarkEnd w:id="169"/>
      <w:bookmarkEnd w:id="170"/>
    </w:p>
    <w:p w14:paraId="4C0BD6F2">
      <w:pPr>
        <w:spacing w:line="360" w:lineRule="auto"/>
        <w:rPr>
          <w:rFonts w:hint="eastAsia" w:ascii="宋体" w:hAnsi="宋体" w:eastAsia="宋体" w:cs="Times New Roman"/>
          <w:b/>
          <w:bCs/>
        </w:rPr>
      </w:pPr>
      <w:bookmarkStart w:id="171" w:name="_Toc26448"/>
      <w:bookmarkStart w:id="172" w:name="_Toc121151999"/>
      <w:bookmarkStart w:id="173" w:name="_Toc86124064"/>
      <w:bookmarkStart w:id="174" w:name="_Toc427306791"/>
      <w:bookmarkStart w:id="175" w:name="_Toc373844100"/>
      <w:bookmarkStart w:id="176" w:name="_Toc373844167"/>
      <w:bookmarkStart w:id="177" w:name="_Toc8300785"/>
      <w:bookmarkStart w:id="178" w:name="_Toc6038"/>
      <w:bookmarkStart w:id="179" w:name="_Toc427339172"/>
      <w:bookmarkStart w:id="180" w:name="_Toc348011942"/>
      <w:bookmarkStart w:id="181" w:name="_Toc58081266"/>
      <w:r>
        <w:rPr>
          <w:rFonts w:hint="eastAsia" w:ascii="宋体" w:hAnsi="宋体" w:eastAsia="宋体" w:cs="Times New Roman"/>
          <w:b/>
          <w:bCs/>
          <w:lang w:val="en-US" w:eastAsia="zh-CN"/>
        </w:rPr>
        <w:t>16</w:t>
      </w:r>
      <w:r>
        <w:rPr>
          <w:rFonts w:hint="eastAsia" w:ascii="宋体" w:hAnsi="宋体" w:eastAsia="宋体" w:cs="Times New Roman"/>
          <w:b/>
          <w:bCs/>
        </w:rPr>
        <w:t>.1电子响应文件的递交</w:t>
      </w:r>
      <w:bookmarkEnd w:id="171"/>
      <w:bookmarkEnd w:id="172"/>
    </w:p>
    <w:p w14:paraId="6A8A93C0">
      <w:pPr>
        <w:spacing w:line="360" w:lineRule="auto"/>
        <w:ind w:firstLine="420" w:firstLineChars="200"/>
        <w:rPr>
          <w:rFonts w:hint="eastAsia" w:ascii="宋体" w:hAnsi="宋体" w:eastAsia="宋体" w:cs="Times New Roman"/>
        </w:rPr>
      </w:pPr>
      <w:r>
        <w:rPr>
          <w:rFonts w:hint="eastAsia" w:ascii="宋体" w:hAnsi="宋体" w:eastAsia="宋体" w:cs="Times New Roman"/>
          <w:lang w:val="en-US" w:eastAsia="zh-CN"/>
        </w:rPr>
        <w:t>16</w:t>
      </w:r>
      <w:r>
        <w:rPr>
          <w:rFonts w:hint="eastAsia" w:ascii="宋体" w:hAnsi="宋体" w:eastAsia="宋体" w:cs="Times New Roman"/>
        </w:rPr>
        <w:t>.1.1在响应文件递交的截止时间（响应文件提交截止时间，下同）前</w:t>
      </w:r>
      <w:r>
        <w:rPr>
          <w:rFonts w:hint="eastAsia" w:ascii="宋体" w:hAnsi="宋体" w:eastAsia="宋体" w:cs="Times New Roman"/>
          <w:lang w:eastAsia="zh-CN"/>
        </w:rPr>
        <w:t>，</w:t>
      </w:r>
      <w:r>
        <w:rPr>
          <w:rFonts w:hint="eastAsia" w:ascii="宋体" w:hAnsi="宋体" w:eastAsia="宋体" w:cs="Times New Roman"/>
        </w:rPr>
        <w:t>需在网上递交响应文件，具体要求：登录</w:t>
      </w:r>
      <w:r>
        <w:rPr>
          <w:rFonts w:hint="eastAsia" w:ascii="宋体" w:hAnsi="宋体" w:eastAsia="宋体" w:cs="Times New Roman"/>
          <w:lang w:eastAsia="zh-CN"/>
        </w:rPr>
        <w:t>“</w:t>
      </w:r>
      <w:r>
        <w:rPr>
          <w:rFonts w:hint="eastAsia" w:ascii="宋体" w:hAnsi="宋体" w:eastAsia="宋体" w:cs="Times New Roman"/>
          <w:lang w:val="en-US" w:eastAsia="zh-CN"/>
        </w:rPr>
        <w:t>政采云</w:t>
      </w:r>
      <w:r>
        <w:rPr>
          <w:rFonts w:hint="eastAsia" w:ascii="宋体" w:hAnsi="宋体" w:eastAsia="宋体" w:cs="Times New Roman"/>
          <w:lang w:eastAsia="zh-CN"/>
        </w:rPr>
        <w:t>”</w:t>
      </w:r>
      <w:r>
        <w:rPr>
          <w:rFonts w:hint="eastAsia" w:ascii="宋体" w:hAnsi="宋体" w:eastAsia="宋体" w:cs="Times New Roman"/>
        </w:rPr>
        <w:t>平台（</w:t>
      </w:r>
      <w:r>
        <w:rPr>
          <w:rFonts w:hint="eastAsia" w:ascii="宋体" w:hAnsi="宋体" w:eastAsia="宋体" w:cs="Times New Roman"/>
        </w:rPr>
        <w:fldChar w:fldCharType="begin"/>
      </w:r>
      <w:r>
        <w:rPr>
          <w:rFonts w:hint="eastAsia" w:ascii="宋体" w:hAnsi="宋体" w:eastAsia="宋体" w:cs="Times New Roman"/>
        </w:rPr>
        <w:instrText xml:space="preserve"> HYPERLINK "https://www" </w:instrText>
      </w:r>
      <w:r>
        <w:rPr>
          <w:rFonts w:hint="eastAsia" w:ascii="宋体" w:hAnsi="宋体" w:eastAsia="宋体" w:cs="Times New Roman"/>
        </w:rPr>
        <w:fldChar w:fldCharType="separate"/>
      </w:r>
      <w:r>
        <w:rPr>
          <w:rFonts w:hint="eastAsia" w:ascii="宋体" w:hAnsi="宋体" w:eastAsia="宋体" w:cs="Times New Roman"/>
        </w:rPr>
        <w:t>https://www</w:t>
      </w:r>
      <w:r>
        <w:rPr>
          <w:rFonts w:hint="eastAsia" w:ascii="宋体" w:hAnsi="宋体" w:eastAsia="宋体" w:cs="Times New Roman"/>
        </w:rPr>
        <w:fldChar w:fldCharType="end"/>
      </w:r>
      <w:r>
        <w:rPr>
          <w:rFonts w:hint="eastAsia" w:ascii="宋体" w:hAnsi="宋体" w:eastAsia="宋体" w:cs="Times New Roman"/>
        </w:rPr>
        <w:t>.zcygov.cn）</w:t>
      </w:r>
      <w:r>
        <w:rPr>
          <w:rFonts w:hint="eastAsia" w:ascii="宋体" w:hAnsi="宋体" w:eastAsia="宋体" w:cs="Times New Roman"/>
          <w:lang w:eastAsia="zh-CN"/>
        </w:rPr>
        <w:t>，</w:t>
      </w:r>
      <w:r>
        <w:rPr>
          <w:rFonts w:hint="eastAsia" w:ascii="宋体" w:hAnsi="宋体" w:eastAsia="宋体" w:cs="Times New Roman"/>
        </w:rPr>
        <w:t>供应商须在投标截止时间前完成响应文件的电子签章、加密及上传，投标 截止时间前未完成响应文件上传的，视为撤回响应文件。</w:t>
      </w:r>
    </w:p>
    <w:p w14:paraId="2A6DF7EA">
      <w:pPr>
        <w:spacing w:line="360" w:lineRule="auto"/>
        <w:ind w:firstLine="420" w:firstLineChars="200"/>
        <w:rPr>
          <w:rFonts w:hint="eastAsia" w:ascii="宋体" w:hAnsi="宋体" w:eastAsia="宋体" w:cs="Times New Roman"/>
        </w:rPr>
      </w:pPr>
      <w:r>
        <w:rPr>
          <w:rFonts w:hint="eastAsia" w:ascii="宋体" w:hAnsi="宋体" w:eastAsia="宋体" w:cs="Times New Roman"/>
          <w:lang w:val="en-US" w:eastAsia="zh-CN"/>
        </w:rPr>
        <w:t>16</w:t>
      </w:r>
      <w:r>
        <w:rPr>
          <w:rFonts w:hint="eastAsia" w:ascii="宋体" w:hAnsi="宋体" w:eastAsia="宋体" w:cs="Times New Roman"/>
        </w:rPr>
        <w:t>.1.2响应文件提交截止时间及地点：详见供应商须知前附表。</w:t>
      </w:r>
    </w:p>
    <w:p w14:paraId="44E2A5BD">
      <w:pPr>
        <w:spacing w:line="360" w:lineRule="auto"/>
        <w:ind w:firstLine="420" w:firstLineChars="200"/>
        <w:rPr>
          <w:rFonts w:hint="eastAsia" w:ascii="宋体" w:hAnsi="宋体" w:eastAsia="宋体" w:cs="Times New Roman"/>
        </w:rPr>
      </w:pPr>
      <w:r>
        <w:rPr>
          <w:rFonts w:hint="eastAsia" w:ascii="宋体" w:hAnsi="宋体" w:eastAsia="宋体" w:cs="Times New Roman"/>
          <w:lang w:val="en-US" w:eastAsia="zh-CN"/>
        </w:rPr>
        <w:t>16</w:t>
      </w:r>
      <w:r>
        <w:rPr>
          <w:rFonts w:hint="eastAsia" w:ascii="宋体" w:hAnsi="宋体" w:eastAsia="宋体" w:cs="Times New Roman"/>
        </w:rPr>
        <w:t>.1.3响应文件是否退还电子响应文件的修改与撤回：</w:t>
      </w:r>
      <w:r>
        <w:rPr>
          <w:rFonts w:hint="eastAsia" w:ascii="宋体" w:hAnsi="宋体" w:eastAsia="宋体" w:cs="Times New Roman"/>
          <w:lang w:val="en-US" w:eastAsia="zh-CN"/>
        </w:rPr>
        <w:t>否</w:t>
      </w:r>
      <w:r>
        <w:rPr>
          <w:rFonts w:hint="eastAsia" w:ascii="宋体" w:hAnsi="宋体" w:eastAsia="宋体" w:cs="Times New Roman"/>
        </w:rPr>
        <w:t>。</w:t>
      </w:r>
    </w:p>
    <w:p w14:paraId="53628A2B">
      <w:pPr>
        <w:spacing w:line="360" w:lineRule="auto"/>
        <w:ind w:firstLine="420" w:firstLineChars="200"/>
        <w:rPr>
          <w:rFonts w:hint="eastAsia" w:ascii="宋体" w:hAnsi="宋体" w:eastAsia="宋体" w:cs="Times New Roman"/>
        </w:rPr>
      </w:pPr>
      <w:r>
        <w:rPr>
          <w:rFonts w:hint="eastAsia" w:ascii="宋体" w:hAnsi="宋体" w:eastAsia="宋体" w:cs="Times New Roman"/>
          <w:lang w:val="en-US" w:eastAsia="zh-CN"/>
        </w:rPr>
        <w:t>16</w:t>
      </w:r>
      <w:r>
        <w:rPr>
          <w:rFonts w:hint="eastAsia" w:ascii="宋体" w:hAnsi="宋体" w:eastAsia="宋体" w:cs="Times New Roman"/>
        </w:rPr>
        <w:t>.1.4在响应文件提交截止时间前，供应商可以</w:t>
      </w:r>
      <w:r>
        <w:rPr>
          <w:rFonts w:hint="eastAsia" w:ascii="宋体" w:hAnsi="宋体" w:eastAsia="宋体" w:cs="Times New Roman"/>
          <w:lang w:eastAsia="zh-CN"/>
        </w:rPr>
        <w:t>“</w:t>
      </w:r>
      <w:r>
        <w:rPr>
          <w:rFonts w:hint="eastAsia" w:ascii="宋体" w:hAnsi="宋体" w:eastAsia="宋体" w:cs="Times New Roman"/>
          <w:lang w:val="en-US" w:eastAsia="zh-CN"/>
        </w:rPr>
        <w:t>政采云</w:t>
      </w:r>
      <w:r>
        <w:rPr>
          <w:rFonts w:hint="eastAsia" w:ascii="宋体" w:hAnsi="宋体" w:eastAsia="宋体" w:cs="Times New Roman"/>
          <w:lang w:eastAsia="zh-CN"/>
        </w:rPr>
        <w:t>”</w:t>
      </w:r>
      <w:r>
        <w:rPr>
          <w:rFonts w:hint="eastAsia" w:ascii="宋体" w:hAnsi="宋体" w:eastAsia="宋体" w:cs="Times New Roman"/>
        </w:rPr>
        <w:t>平台（</w:t>
      </w:r>
      <w:r>
        <w:rPr>
          <w:rFonts w:hint="eastAsia" w:ascii="宋体" w:hAnsi="宋体" w:eastAsia="宋体" w:cs="Times New Roman"/>
        </w:rPr>
        <w:fldChar w:fldCharType="begin"/>
      </w:r>
      <w:r>
        <w:rPr>
          <w:rFonts w:hint="eastAsia" w:ascii="宋体" w:hAnsi="宋体" w:eastAsia="宋体" w:cs="Times New Roman"/>
        </w:rPr>
        <w:instrText xml:space="preserve"> HYPERLINK "https://www" </w:instrText>
      </w:r>
      <w:r>
        <w:rPr>
          <w:rFonts w:hint="eastAsia" w:ascii="宋体" w:hAnsi="宋体" w:eastAsia="宋体" w:cs="Times New Roman"/>
        </w:rPr>
        <w:fldChar w:fldCharType="separate"/>
      </w:r>
      <w:r>
        <w:rPr>
          <w:rFonts w:hint="eastAsia" w:ascii="宋体" w:hAnsi="宋体" w:eastAsia="宋体" w:cs="Times New Roman"/>
        </w:rPr>
        <w:t>https://www</w:t>
      </w:r>
      <w:r>
        <w:rPr>
          <w:rFonts w:hint="eastAsia" w:ascii="宋体" w:hAnsi="宋体" w:eastAsia="宋体" w:cs="Times New Roman"/>
        </w:rPr>
        <w:fldChar w:fldCharType="end"/>
      </w:r>
      <w:r>
        <w:rPr>
          <w:rFonts w:hint="eastAsia" w:ascii="宋体" w:hAnsi="宋体" w:eastAsia="宋体" w:cs="Times New Roman"/>
        </w:rPr>
        <w:t>.zcygov.cn）修改或撤回已在网上递交的响应文件，无须书面形式通知</w:t>
      </w:r>
      <w:r>
        <w:rPr>
          <w:rFonts w:hint="eastAsia" w:ascii="宋体" w:hAnsi="宋体" w:eastAsia="宋体" w:cs="Times New Roman"/>
          <w:lang w:eastAsia="zh-CN"/>
        </w:rPr>
        <w:t>采</w:t>
      </w:r>
      <w:r>
        <w:rPr>
          <w:rFonts w:hint="eastAsia" w:ascii="宋体" w:hAnsi="宋体" w:eastAsia="宋体" w:cs="Times New Roman"/>
        </w:rPr>
        <w:t>购人。</w:t>
      </w:r>
    </w:p>
    <w:p w14:paraId="1EFC7ADB">
      <w:pPr>
        <w:spacing w:line="360" w:lineRule="auto"/>
        <w:rPr>
          <w:rFonts w:hint="eastAsia" w:ascii="宋体" w:hAnsi="宋体" w:eastAsia="宋体" w:cs="Times New Roman"/>
          <w:b/>
          <w:bCs/>
        </w:rPr>
      </w:pPr>
      <w:bookmarkStart w:id="182" w:name="_Toc121152000"/>
      <w:r>
        <w:rPr>
          <w:rFonts w:hint="eastAsia" w:ascii="宋体" w:hAnsi="宋体" w:eastAsia="宋体" w:cs="Times New Roman"/>
          <w:b/>
          <w:bCs/>
          <w:lang w:val="en-US" w:eastAsia="zh-CN"/>
        </w:rPr>
        <w:t>16</w:t>
      </w:r>
      <w:r>
        <w:rPr>
          <w:rFonts w:hint="eastAsia" w:ascii="宋体" w:hAnsi="宋体" w:eastAsia="宋体" w:cs="Times New Roman"/>
          <w:b/>
          <w:bCs/>
        </w:rPr>
        <w:t>.2电子开标及响应文件解密</w:t>
      </w:r>
      <w:bookmarkEnd w:id="182"/>
    </w:p>
    <w:p w14:paraId="03B3213F">
      <w:pPr>
        <w:spacing w:line="360" w:lineRule="auto"/>
        <w:ind w:firstLine="420" w:firstLineChars="200"/>
        <w:rPr>
          <w:rFonts w:hint="eastAsia" w:ascii="宋体" w:hAnsi="宋体" w:eastAsia="宋体" w:cs="Times New Roman"/>
        </w:rPr>
      </w:pPr>
      <w:r>
        <w:rPr>
          <w:rFonts w:hint="eastAsia" w:ascii="宋体" w:hAnsi="宋体" w:eastAsia="宋体" w:cs="Times New Roman"/>
        </w:rPr>
        <w:t>（一）若供应商熟悉</w:t>
      </w:r>
      <w:r>
        <w:rPr>
          <w:rFonts w:hint="eastAsia" w:ascii="宋体" w:hAnsi="宋体" w:eastAsia="宋体" w:cs="Times New Roman"/>
          <w:lang w:val="zh-CN"/>
        </w:rPr>
        <w:t>“政</w:t>
      </w:r>
      <w:r>
        <w:rPr>
          <w:rFonts w:hint="eastAsia" w:ascii="宋体" w:hAnsi="宋体" w:eastAsia="宋体" w:cs="Times New Roman"/>
          <w:lang w:eastAsia="zh-CN"/>
        </w:rPr>
        <w:t>采</w:t>
      </w:r>
      <w:r>
        <w:rPr>
          <w:rFonts w:hint="eastAsia" w:ascii="宋体" w:hAnsi="宋体" w:eastAsia="宋体" w:cs="Times New Roman"/>
        </w:rPr>
        <w:t>云</w:t>
      </w:r>
      <w:r>
        <w:rPr>
          <w:rFonts w:hint="eastAsia" w:ascii="宋体" w:hAnsi="宋体" w:eastAsia="宋体" w:cs="Times New Roman"/>
          <w:lang w:val="zh-CN"/>
        </w:rPr>
        <w:t>”相</w:t>
      </w:r>
      <w:r>
        <w:rPr>
          <w:rFonts w:hint="eastAsia" w:ascii="宋体" w:hAnsi="宋体" w:eastAsia="宋体" w:cs="Times New Roman"/>
        </w:rPr>
        <w:t>关投标程序，不到现场参加投标的，应提前在自有场地配置有音视频通话（带摄像头及话筒的电脑） 功能的相应设备及稳定网络环境，并按“政</w:t>
      </w:r>
      <w:r>
        <w:rPr>
          <w:rFonts w:hint="eastAsia" w:ascii="宋体" w:hAnsi="宋体" w:eastAsia="宋体" w:cs="Times New Roman"/>
          <w:lang w:eastAsia="zh-CN"/>
        </w:rPr>
        <w:t>采</w:t>
      </w:r>
      <w:r>
        <w:rPr>
          <w:rFonts w:hint="eastAsia" w:ascii="宋体" w:hAnsi="宋体" w:eastAsia="宋体" w:cs="Times New Roman"/>
        </w:rPr>
        <w:t>云</w:t>
      </w:r>
      <w:r>
        <w:rPr>
          <w:rFonts w:hint="eastAsia" w:ascii="宋体" w:hAnsi="宋体" w:eastAsia="宋体" w:cs="Times New Roman"/>
          <w:lang w:val="zh-CN"/>
        </w:rPr>
        <w:t>”开标</w:t>
      </w:r>
      <w:r>
        <w:rPr>
          <w:rFonts w:hint="eastAsia" w:ascii="宋体" w:hAnsi="宋体" w:eastAsia="宋体" w:cs="Times New Roman"/>
        </w:rPr>
        <w:t>大厅中的提示完成</w:t>
      </w:r>
      <w:r>
        <w:rPr>
          <w:rFonts w:hint="eastAsia" w:ascii="宋体" w:hAnsi="宋体" w:eastAsia="宋体" w:cs="Times New Roman"/>
          <w:lang w:eastAsia="zh-CN"/>
        </w:rPr>
        <w:t>采</w:t>
      </w:r>
      <w:r>
        <w:rPr>
          <w:rFonts w:hint="eastAsia" w:ascii="宋体" w:hAnsi="宋体" w:eastAsia="宋体" w:cs="Times New Roman"/>
        </w:rPr>
        <w:t>购活动。</w:t>
      </w:r>
    </w:p>
    <w:p w14:paraId="2EBAB3CA">
      <w:pPr>
        <w:spacing w:line="360" w:lineRule="auto"/>
        <w:ind w:firstLine="420" w:firstLineChars="200"/>
        <w:rPr>
          <w:rFonts w:hint="eastAsia" w:ascii="宋体" w:hAnsi="宋体" w:eastAsia="宋体" w:cs="Times New Roman"/>
        </w:rPr>
      </w:pPr>
      <w:r>
        <w:rPr>
          <w:rFonts w:hint="eastAsia" w:ascii="宋体" w:hAnsi="宋体" w:eastAsia="宋体" w:cs="Times New Roman"/>
        </w:rPr>
        <w:t>（二）到现场参与投标的供应商，建议于响应文件提交截止时间前携带编制响应文件时的加密数字证书（CA）、具有摄像头及话筒的笔记本电脑至</w:t>
      </w:r>
      <w:r>
        <w:rPr>
          <w:rFonts w:hint="eastAsia" w:ascii="宋体" w:hAnsi="宋体" w:eastAsia="宋体" w:cs="Times New Roman"/>
          <w:lang w:eastAsia="zh-CN"/>
        </w:rPr>
        <w:t>采</w:t>
      </w:r>
      <w:r>
        <w:rPr>
          <w:rFonts w:hint="eastAsia" w:ascii="宋体" w:hAnsi="宋体" w:eastAsia="宋体" w:cs="Times New Roman"/>
        </w:rPr>
        <w:t>购代理机构开标地点参与投标。</w:t>
      </w:r>
    </w:p>
    <w:p w14:paraId="5CE59258">
      <w:pPr>
        <w:spacing w:line="360" w:lineRule="auto"/>
        <w:ind w:firstLine="420" w:firstLineChars="200"/>
        <w:rPr>
          <w:rFonts w:hint="eastAsia" w:ascii="宋体" w:hAnsi="宋体" w:eastAsia="宋体" w:cs="Times New Roman"/>
        </w:rPr>
      </w:pPr>
      <w:bookmarkStart w:id="183" w:name="bookmark52"/>
      <w:r>
        <w:rPr>
          <w:rFonts w:hint="eastAsia" w:ascii="宋体" w:hAnsi="宋体" w:eastAsia="宋体" w:cs="Times New Roman"/>
        </w:rPr>
        <w:t>（</w:t>
      </w:r>
      <w:bookmarkEnd w:id="183"/>
      <w:r>
        <w:rPr>
          <w:rFonts w:hint="eastAsia" w:ascii="宋体" w:hAnsi="宋体" w:eastAsia="宋体" w:cs="Times New Roman"/>
        </w:rPr>
        <w:t>三）</w:t>
      </w:r>
      <w:r>
        <w:rPr>
          <w:rFonts w:hint="eastAsia" w:ascii="宋体" w:hAnsi="宋体" w:eastAsia="宋体" w:cs="Times New Roman"/>
          <w:lang w:eastAsia="zh-CN"/>
        </w:rPr>
        <w:t>采</w:t>
      </w:r>
      <w:r>
        <w:rPr>
          <w:rFonts w:hint="eastAsia" w:ascii="宋体" w:hAnsi="宋体" w:eastAsia="宋体" w:cs="Times New Roman"/>
        </w:rPr>
        <w:t>购人宣布开启电子响应文件后，供应商</w:t>
      </w:r>
      <w:r>
        <w:rPr>
          <w:rFonts w:hint="eastAsia" w:ascii="宋体" w:hAnsi="宋体" w:eastAsia="宋体" w:cs="Times New Roman"/>
          <w:lang w:eastAsia="zh-CN"/>
        </w:rPr>
        <w:t>登录</w:t>
      </w:r>
      <w:r>
        <w:rPr>
          <w:rFonts w:hint="eastAsia" w:ascii="宋体" w:hAnsi="宋体" w:eastAsia="宋体" w:cs="Times New Roman"/>
          <w:lang w:val="zh-CN"/>
        </w:rPr>
        <w:t>“政</w:t>
      </w:r>
      <w:r>
        <w:rPr>
          <w:rFonts w:hint="eastAsia" w:ascii="宋体" w:hAnsi="宋体" w:eastAsia="宋体" w:cs="Times New Roman"/>
          <w:lang w:eastAsia="zh-CN"/>
        </w:rPr>
        <w:t>采</w:t>
      </w:r>
      <w:r>
        <w:rPr>
          <w:rFonts w:hint="eastAsia" w:ascii="宋体" w:hAnsi="宋体" w:eastAsia="宋体" w:cs="Times New Roman"/>
        </w:rPr>
        <w:t>云</w:t>
      </w:r>
      <w:r>
        <w:rPr>
          <w:rFonts w:hint="eastAsia" w:ascii="宋体" w:hAnsi="宋体" w:eastAsia="宋体" w:cs="Times New Roman"/>
          <w:lang w:val="zh-CN"/>
        </w:rPr>
        <w:t>”开标</w:t>
      </w:r>
      <w:r>
        <w:rPr>
          <w:rFonts w:hint="eastAsia" w:ascii="宋体" w:hAnsi="宋体" w:eastAsia="宋体" w:cs="Times New Roman"/>
        </w:rPr>
        <w:t>大厅，使用供应商编制响应文件时的加密数字证书对响应文件进行解密。</w:t>
      </w:r>
    </w:p>
    <w:p w14:paraId="5C48CFE8">
      <w:pPr>
        <w:spacing w:line="360" w:lineRule="auto"/>
        <w:rPr>
          <w:rFonts w:hint="eastAsia" w:ascii="宋体" w:hAnsi="宋体" w:eastAsia="宋体" w:cs="Times New Roman"/>
          <w:b/>
          <w:bCs/>
        </w:rPr>
      </w:pPr>
      <w:bookmarkStart w:id="184" w:name="_Toc121152001"/>
      <w:r>
        <w:rPr>
          <w:rFonts w:hint="eastAsia" w:ascii="宋体" w:hAnsi="宋体" w:eastAsia="宋体" w:cs="Times New Roman"/>
          <w:b/>
          <w:bCs/>
          <w:lang w:val="en-US" w:eastAsia="zh-CN"/>
        </w:rPr>
        <w:t>16</w:t>
      </w:r>
      <w:r>
        <w:rPr>
          <w:rFonts w:hint="eastAsia" w:ascii="宋体" w:hAnsi="宋体" w:eastAsia="宋体" w:cs="Times New Roman"/>
          <w:b/>
          <w:bCs/>
        </w:rPr>
        <w:t>.3技术支持</w:t>
      </w:r>
      <w:bookmarkEnd w:id="184"/>
    </w:p>
    <w:p w14:paraId="3167D6C5">
      <w:pPr>
        <w:spacing w:line="360" w:lineRule="auto"/>
        <w:ind w:firstLine="420" w:firstLineChars="200"/>
        <w:rPr>
          <w:rFonts w:hint="eastAsia" w:ascii="宋体" w:hAnsi="宋体" w:eastAsia="宋体" w:cs="Times New Roman"/>
        </w:rPr>
      </w:pPr>
      <w:r>
        <w:rPr>
          <w:rFonts w:hint="eastAsia" w:ascii="宋体" w:hAnsi="宋体" w:eastAsia="宋体" w:cs="Times New Roman"/>
        </w:rPr>
        <w:t>系统操作问题：请致电政</w:t>
      </w:r>
      <w:r>
        <w:rPr>
          <w:rFonts w:hint="eastAsia" w:ascii="宋体" w:hAnsi="宋体" w:eastAsia="宋体" w:cs="Times New Roman"/>
          <w:lang w:eastAsia="zh-CN"/>
        </w:rPr>
        <w:t>采</w:t>
      </w:r>
      <w:r>
        <w:rPr>
          <w:rFonts w:hint="eastAsia" w:ascii="宋体" w:hAnsi="宋体" w:eastAsia="宋体" w:cs="Times New Roman"/>
        </w:rPr>
        <w:t>云，4008817190（客服热线）；</w:t>
      </w:r>
    </w:p>
    <w:p w14:paraId="509F5C50">
      <w:pPr>
        <w:spacing w:line="360" w:lineRule="auto"/>
        <w:ind w:firstLine="420" w:firstLineChars="200"/>
        <w:rPr>
          <w:rFonts w:hint="eastAsia" w:ascii="宋体" w:hAnsi="宋体" w:eastAsia="宋体" w:cs="Times New Roman"/>
        </w:rPr>
      </w:pPr>
      <w:r>
        <w:rPr>
          <w:rFonts w:hint="eastAsia" w:ascii="宋体" w:hAnsi="宋体" w:eastAsia="宋体" w:cs="Times New Roman"/>
        </w:rPr>
        <w:t>云南CA操作问题：请致电云南CA, 4006727666；</w:t>
      </w:r>
    </w:p>
    <w:p w14:paraId="3812C34F">
      <w:pPr>
        <w:spacing w:line="360" w:lineRule="auto"/>
        <w:ind w:firstLine="420" w:firstLineChars="200"/>
        <w:rPr>
          <w:rFonts w:hint="eastAsia" w:ascii="宋体" w:hAnsi="宋体" w:eastAsia="宋体" w:cs="宋体"/>
          <w:sz w:val="21"/>
          <w:szCs w:val="21"/>
        </w:rPr>
      </w:pPr>
      <w:r>
        <w:rPr>
          <w:rFonts w:hint="eastAsia" w:ascii="宋体" w:hAnsi="宋体" w:eastAsia="宋体" w:cs="Times New Roman"/>
        </w:rPr>
        <w:t>云南CA紧急联系方式：15288315056</w:t>
      </w:r>
    </w:p>
    <w:p w14:paraId="702A1E4A">
      <w:pPr>
        <w:pStyle w:val="3"/>
        <w:spacing w:before="0" w:after="0" w:line="360" w:lineRule="auto"/>
        <w:jc w:val="center"/>
        <w:rPr>
          <w:rFonts w:ascii="宋体" w:hAnsi="宋体" w:eastAsia="宋体" w:cs="宋体"/>
          <w:sz w:val="21"/>
          <w:szCs w:val="21"/>
        </w:rPr>
      </w:pPr>
      <w:r>
        <w:rPr>
          <w:rFonts w:hint="eastAsia" w:ascii="宋体" w:hAnsi="宋体" w:eastAsia="宋体" w:cs="宋体"/>
          <w:sz w:val="21"/>
          <w:szCs w:val="21"/>
        </w:rPr>
        <w:t>（五）磋商</w:t>
      </w:r>
      <w:bookmarkEnd w:id="173"/>
      <w:bookmarkEnd w:id="174"/>
      <w:bookmarkEnd w:id="175"/>
      <w:bookmarkEnd w:id="176"/>
      <w:bookmarkEnd w:id="177"/>
      <w:bookmarkEnd w:id="178"/>
      <w:bookmarkEnd w:id="179"/>
      <w:bookmarkEnd w:id="180"/>
      <w:bookmarkEnd w:id="181"/>
    </w:p>
    <w:p w14:paraId="4CEE1CA9">
      <w:pPr>
        <w:spacing w:line="360" w:lineRule="auto"/>
        <w:rPr>
          <w:rFonts w:ascii="宋体" w:hAnsi="宋体" w:cs="宋体"/>
          <w:b/>
          <w:szCs w:val="21"/>
        </w:rPr>
      </w:pPr>
      <w:r>
        <w:rPr>
          <w:rFonts w:hint="eastAsia" w:ascii="宋体" w:hAnsi="宋体" w:cs="宋体"/>
          <w:b/>
          <w:szCs w:val="21"/>
        </w:rPr>
        <w:t>1</w:t>
      </w:r>
      <w:r>
        <w:rPr>
          <w:rFonts w:hint="eastAsia" w:ascii="宋体" w:hAnsi="宋体" w:cs="宋体"/>
          <w:b/>
          <w:szCs w:val="21"/>
          <w:lang w:val="en-US" w:eastAsia="zh-CN"/>
        </w:rPr>
        <w:t>7</w:t>
      </w:r>
      <w:r>
        <w:rPr>
          <w:rFonts w:hint="eastAsia" w:ascii="宋体" w:hAnsi="宋体" w:cs="宋体"/>
          <w:b/>
          <w:szCs w:val="21"/>
        </w:rPr>
        <w:t>、磋商</w:t>
      </w:r>
    </w:p>
    <w:p w14:paraId="7A9DBDC8">
      <w:pPr>
        <w:spacing w:line="360" w:lineRule="auto"/>
        <w:ind w:firstLine="420" w:firstLineChars="200"/>
        <w:rPr>
          <w:rFonts w:ascii="宋体" w:hAnsi="宋体" w:cs="宋体"/>
          <w:szCs w:val="21"/>
        </w:rPr>
      </w:pPr>
      <w:r>
        <w:rPr>
          <w:rFonts w:hint="eastAsia" w:ascii="宋体" w:hAnsi="宋体" w:cs="宋体"/>
          <w:szCs w:val="21"/>
          <w:lang w:val="en-US" w:eastAsia="zh-CN"/>
        </w:rPr>
        <w:t>17</w:t>
      </w:r>
      <w:r>
        <w:rPr>
          <w:rFonts w:hint="eastAsia" w:ascii="宋体" w:hAnsi="宋体" w:cs="宋体"/>
          <w:szCs w:val="21"/>
        </w:rPr>
        <w:t>.1采购代理机构将在“</w:t>
      </w:r>
      <w:r>
        <w:rPr>
          <w:rFonts w:hint="eastAsia" w:ascii="宋体" w:hAnsi="宋体" w:cs="宋体"/>
          <w:b/>
          <w:szCs w:val="21"/>
        </w:rPr>
        <w:t>供应商须知前附表</w:t>
      </w:r>
      <w:r>
        <w:rPr>
          <w:rFonts w:hint="eastAsia" w:ascii="宋体" w:hAnsi="宋体" w:cs="宋体"/>
          <w:szCs w:val="21"/>
        </w:rPr>
        <w:t>”规定的时间和地点进行磋商，供应商的法定代表人或其委托代理人应按时参加。</w:t>
      </w:r>
    </w:p>
    <w:p w14:paraId="45553C70">
      <w:pPr>
        <w:spacing w:line="360" w:lineRule="auto"/>
        <w:ind w:firstLine="420" w:firstLineChars="200"/>
        <w:rPr>
          <w:rFonts w:ascii="宋体" w:hAnsi="宋体" w:cs="宋体"/>
          <w:szCs w:val="21"/>
        </w:rPr>
      </w:pPr>
      <w:r>
        <w:rPr>
          <w:rFonts w:hint="eastAsia" w:ascii="宋体" w:hAnsi="宋体" w:cs="宋体"/>
          <w:szCs w:val="21"/>
          <w:lang w:val="en-US" w:eastAsia="zh-CN"/>
        </w:rPr>
        <w:t>17</w:t>
      </w:r>
      <w:r>
        <w:rPr>
          <w:rFonts w:hint="eastAsia" w:ascii="宋体" w:hAnsi="宋体" w:cs="宋体"/>
          <w:szCs w:val="21"/>
        </w:rPr>
        <w:t>.2磋商由磋商小组负责。磋商小组由采购人代表和评审专家共3人以上单数组成，其中评审专家人数不得少于磋商小组成员总数的2/3。采购人代表不得以评审专家身份参加本部门或本单位采购项目的评审。采购代理机构人员不得参加本机构代理的采购项目的评审。</w:t>
      </w:r>
    </w:p>
    <w:p w14:paraId="413DE96F">
      <w:pPr>
        <w:spacing w:line="360" w:lineRule="auto"/>
        <w:ind w:firstLine="420" w:firstLineChars="200"/>
        <w:rPr>
          <w:rFonts w:ascii="宋体" w:hAnsi="宋体" w:cs="宋体"/>
          <w:szCs w:val="21"/>
        </w:rPr>
      </w:pPr>
      <w:r>
        <w:rPr>
          <w:rFonts w:hint="eastAsia" w:ascii="宋体" w:hAnsi="宋体" w:cs="宋体"/>
          <w:szCs w:val="21"/>
        </w:rPr>
        <w:t>采购人委派代表参加磋商会议的，要向采购代理机构出具授权函。除授权代表外，采购人可以委派纪检监察等相关人员进入磋商现场，对磋商工作实施监督。</w:t>
      </w:r>
    </w:p>
    <w:p w14:paraId="67F02327">
      <w:pPr>
        <w:spacing w:line="360" w:lineRule="auto"/>
        <w:rPr>
          <w:rFonts w:ascii="宋体" w:hAnsi="宋体" w:cs="宋体"/>
          <w:szCs w:val="21"/>
        </w:rPr>
      </w:pPr>
      <w:r>
        <w:rPr>
          <w:rFonts w:hint="eastAsia" w:ascii="宋体" w:hAnsi="宋体" w:cs="宋体"/>
          <w:szCs w:val="21"/>
        </w:rPr>
        <w:t>1</w:t>
      </w:r>
      <w:r>
        <w:rPr>
          <w:rFonts w:hint="eastAsia" w:ascii="宋体" w:hAnsi="宋体" w:cs="宋体"/>
          <w:szCs w:val="21"/>
          <w:lang w:val="en-US" w:eastAsia="zh-CN"/>
        </w:rPr>
        <w:t>7</w:t>
      </w:r>
      <w:r>
        <w:rPr>
          <w:rFonts w:hint="eastAsia" w:ascii="宋体" w:hAnsi="宋体" w:cs="宋体"/>
          <w:szCs w:val="21"/>
        </w:rPr>
        <w:t>.3磋商原则</w:t>
      </w:r>
    </w:p>
    <w:p w14:paraId="561B2312">
      <w:pPr>
        <w:spacing w:line="360" w:lineRule="auto"/>
        <w:ind w:firstLine="420" w:firstLineChars="200"/>
        <w:rPr>
          <w:rFonts w:ascii="宋体" w:hAnsi="宋体" w:cs="宋体"/>
          <w:szCs w:val="21"/>
        </w:rPr>
      </w:pPr>
      <w:r>
        <w:rPr>
          <w:rFonts w:hint="eastAsia" w:ascii="宋体" w:hAnsi="宋体" w:cs="宋体"/>
          <w:szCs w:val="21"/>
        </w:rPr>
        <w:t>根据《中华人民共和国政府采购法》、《中华人民共和国政府采购法实施条例》及省、市有关规定，磋商小组成员按照客观、公正、谨慎的原则，根据磋商文件规定的评审程序、评审方法和评审标准进行独立评审。根据排名先后确定成交候选供应商。</w:t>
      </w:r>
    </w:p>
    <w:p w14:paraId="1612ABAD">
      <w:pPr>
        <w:spacing w:line="360" w:lineRule="auto"/>
        <w:rPr>
          <w:rFonts w:ascii="宋体" w:hAnsi="宋体" w:cs="宋体"/>
          <w:szCs w:val="21"/>
        </w:rPr>
      </w:pPr>
      <w:r>
        <w:rPr>
          <w:rFonts w:hint="eastAsia" w:ascii="宋体" w:hAnsi="宋体" w:cs="宋体"/>
          <w:szCs w:val="21"/>
        </w:rPr>
        <w:t>1</w:t>
      </w:r>
      <w:r>
        <w:rPr>
          <w:rFonts w:hint="eastAsia" w:ascii="宋体" w:hAnsi="宋体" w:cs="宋体"/>
          <w:szCs w:val="21"/>
          <w:lang w:val="en-US" w:eastAsia="zh-CN"/>
        </w:rPr>
        <w:t>7</w:t>
      </w:r>
      <w:r>
        <w:rPr>
          <w:rFonts w:hint="eastAsia" w:ascii="宋体" w:hAnsi="宋体" w:cs="宋体"/>
          <w:szCs w:val="21"/>
        </w:rPr>
        <w:t>.4磋商程序和方法</w:t>
      </w:r>
    </w:p>
    <w:p w14:paraId="2401CF2B">
      <w:pPr>
        <w:spacing w:line="360" w:lineRule="auto"/>
        <w:ind w:firstLine="420" w:firstLineChars="200"/>
        <w:rPr>
          <w:rFonts w:ascii="宋体" w:hAnsi="宋体" w:cs="宋体"/>
          <w:szCs w:val="21"/>
        </w:rPr>
      </w:pPr>
      <w:bookmarkStart w:id="185" w:name="_Hlk37849276"/>
      <w:r>
        <w:rPr>
          <w:rFonts w:hint="eastAsia" w:ascii="宋体" w:hAnsi="宋体" w:cs="宋体"/>
          <w:szCs w:val="21"/>
        </w:rPr>
        <w:t>磋商小组按照第六章“磋商程序和方法”及供应商须知前附表规定的方法、因素、标准和程序进行磋商。</w:t>
      </w:r>
    </w:p>
    <w:bookmarkEnd w:id="185"/>
    <w:p w14:paraId="5DBD42EA">
      <w:pPr>
        <w:spacing w:line="360" w:lineRule="auto"/>
        <w:rPr>
          <w:rFonts w:ascii="宋体" w:hAnsi="宋体" w:cs="宋体"/>
          <w:b/>
          <w:szCs w:val="21"/>
        </w:rPr>
      </w:pPr>
      <w:bookmarkStart w:id="186" w:name="_Toc86124067"/>
      <w:bookmarkStart w:id="187" w:name="_Toc329810207"/>
      <w:bookmarkStart w:id="188" w:name="_Toc348011944"/>
      <w:r>
        <w:rPr>
          <w:rFonts w:hint="eastAsia" w:ascii="宋体" w:hAnsi="宋体" w:cs="宋体"/>
          <w:b/>
          <w:szCs w:val="21"/>
        </w:rPr>
        <w:t>1</w:t>
      </w:r>
      <w:r>
        <w:rPr>
          <w:rFonts w:hint="eastAsia" w:ascii="宋体" w:hAnsi="宋体" w:cs="宋体"/>
          <w:b/>
          <w:szCs w:val="21"/>
          <w:lang w:val="en-US" w:eastAsia="zh-CN"/>
        </w:rPr>
        <w:t>8</w:t>
      </w:r>
      <w:r>
        <w:rPr>
          <w:rFonts w:hint="eastAsia" w:ascii="宋体" w:hAnsi="宋体" w:cs="宋体"/>
          <w:b/>
          <w:szCs w:val="21"/>
        </w:rPr>
        <w:t>、磋商过程的保密</w:t>
      </w:r>
      <w:bookmarkEnd w:id="186"/>
      <w:bookmarkEnd w:id="187"/>
      <w:bookmarkEnd w:id="188"/>
    </w:p>
    <w:p w14:paraId="1FB4B242">
      <w:pPr>
        <w:spacing w:line="360" w:lineRule="auto"/>
        <w:ind w:firstLine="420" w:firstLineChars="200"/>
        <w:rPr>
          <w:rFonts w:ascii="宋体" w:hAnsi="宋体" w:cs="宋体"/>
          <w:szCs w:val="21"/>
        </w:rPr>
      </w:pPr>
      <w:r>
        <w:rPr>
          <w:rFonts w:hint="eastAsia" w:ascii="宋体" w:hAnsi="宋体" w:cs="宋体"/>
          <w:szCs w:val="21"/>
        </w:rPr>
        <w:t>在磋商中，磋商的任何一方不得透露与磋商有关的其他供应商的技术资料、价格和其他信息。磋商开始后，直到授予供应商合同止，凡是属于审查、澄清、磋商和比较的有关资料以及成交建议等均不向供应商或其他人员透露。</w:t>
      </w:r>
    </w:p>
    <w:p w14:paraId="545841E5">
      <w:pPr>
        <w:spacing w:line="360" w:lineRule="auto"/>
        <w:rPr>
          <w:rFonts w:ascii="宋体" w:hAnsi="宋体" w:cs="宋体"/>
          <w:b/>
          <w:szCs w:val="21"/>
        </w:rPr>
      </w:pPr>
      <w:bookmarkStart w:id="189" w:name="_Toc348011945"/>
      <w:bookmarkStart w:id="190" w:name="_Toc86124068"/>
      <w:bookmarkStart w:id="191" w:name="_Toc329810208"/>
      <w:r>
        <w:rPr>
          <w:rFonts w:hint="eastAsia" w:ascii="宋体" w:hAnsi="宋体" w:cs="宋体"/>
          <w:b/>
          <w:szCs w:val="21"/>
          <w:lang w:val="en-US" w:eastAsia="zh-CN"/>
        </w:rPr>
        <w:t>19</w:t>
      </w:r>
      <w:r>
        <w:rPr>
          <w:rFonts w:hint="eastAsia" w:ascii="宋体" w:hAnsi="宋体" w:cs="宋体"/>
          <w:b/>
          <w:szCs w:val="21"/>
        </w:rPr>
        <w:t>、出现下列情形之一的，项目磋商失败：</w:t>
      </w:r>
      <w:bookmarkEnd w:id="189"/>
      <w:bookmarkEnd w:id="190"/>
      <w:bookmarkEnd w:id="191"/>
    </w:p>
    <w:p w14:paraId="72950E08">
      <w:pPr>
        <w:spacing w:line="360" w:lineRule="auto"/>
        <w:ind w:firstLine="420" w:firstLineChars="200"/>
        <w:rPr>
          <w:rFonts w:ascii="宋体" w:hAnsi="宋体" w:cs="宋体"/>
          <w:szCs w:val="21"/>
        </w:rPr>
      </w:pPr>
      <w:r>
        <w:rPr>
          <w:rFonts w:hint="eastAsia" w:ascii="宋体" w:hAnsi="宋体" w:cs="宋体"/>
          <w:szCs w:val="21"/>
        </w:rPr>
        <w:t>（1）符合专业条件的供应商或者对竞争性磋商采购文件作实质响应的供应商不足3家的；</w:t>
      </w:r>
    </w:p>
    <w:p w14:paraId="00CCF975">
      <w:pPr>
        <w:spacing w:line="360" w:lineRule="auto"/>
        <w:ind w:firstLine="420" w:firstLineChars="200"/>
        <w:rPr>
          <w:rFonts w:ascii="宋体" w:hAnsi="宋体" w:cs="宋体"/>
          <w:szCs w:val="21"/>
        </w:rPr>
      </w:pPr>
      <w:r>
        <w:rPr>
          <w:rFonts w:hint="eastAsia" w:ascii="宋体" w:hAnsi="宋体" w:cs="宋体"/>
          <w:szCs w:val="21"/>
        </w:rPr>
        <w:t>（2）出现影响采购公正的违法、违规行为的；</w:t>
      </w:r>
    </w:p>
    <w:p w14:paraId="6296FE8E">
      <w:pPr>
        <w:spacing w:line="360" w:lineRule="auto"/>
        <w:ind w:firstLine="420" w:firstLineChars="200"/>
        <w:rPr>
          <w:rFonts w:ascii="宋体" w:hAnsi="宋体" w:cs="宋体"/>
          <w:szCs w:val="21"/>
        </w:rPr>
      </w:pPr>
      <w:r>
        <w:rPr>
          <w:rFonts w:hint="eastAsia" w:ascii="宋体" w:hAnsi="宋体" w:cs="宋体"/>
          <w:szCs w:val="21"/>
        </w:rPr>
        <w:t>（3）供应商的最终报价均超过了采购预算，采购人不能支付的；</w:t>
      </w:r>
    </w:p>
    <w:p w14:paraId="0C4C2833">
      <w:pPr>
        <w:spacing w:line="360" w:lineRule="auto"/>
        <w:ind w:firstLine="420" w:firstLineChars="200"/>
        <w:rPr>
          <w:rFonts w:ascii="宋体" w:hAnsi="宋体" w:cs="宋体"/>
          <w:szCs w:val="21"/>
        </w:rPr>
      </w:pPr>
      <w:r>
        <w:rPr>
          <w:rFonts w:hint="eastAsia" w:ascii="宋体" w:hAnsi="宋体" w:cs="宋体"/>
          <w:szCs w:val="21"/>
        </w:rPr>
        <w:t>（4）因重大变故，采购任务取消的。</w:t>
      </w:r>
    </w:p>
    <w:p w14:paraId="14A065BA">
      <w:pPr>
        <w:spacing w:line="360" w:lineRule="auto"/>
        <w:rPr>
          <w:rFonts w:ascii="宋体" w:hAnsi="宋体" w:cs="宋体"/>
          <w:szCs w:val="21"/>
        </w:rPr>
      </w:pPr>
      <w:r>
        <w:rPr>
          <w:rFonts w:hint="eastAsia" w:ascii="宋体" w:hAnsi="宋体" w:cs="宋体"/>
          <w:b/>
          <w:szCs w:val="21"/>
        </w:rPr>
        <w:t>项目磋商失败后，采购人应当将失败理由通知所有供应商。</w:t>
      </w:r>
    </w:p>
    <w:p w14:paraId="5056CC41">
      <w:pPr>
        <w:pStyle w:val="3"/>
        <w:spacing w:before="0" w:after="0" w:line="360" w:lineRule="auto"/>
        <w:jc w:val="center"/>
        <w:rPr>
          <w:rFonts w:ascii="宋体" w:hAnsi="宋体" w:eastAsia="宋体" w:cs="宋体"/>
          <w:sz w:val="21"/>
          <w:szCs w:val="21"/>
        </w:rPr>
      </w:pPr>
      <w:bookmarkStart w:id="192" w:name="_Toc8300786"/>
      <w:bookmarkStart w:id="193" w:name="_Toc10894"/>
      <w:bookmarkStart w:id="194" w:name="_Toc348011946"/>
      <w:bookmarkStart w:id="195" w:name="_Toc427339173"/>
      <w:bookmarkStart w:id="196" w:name="_Toc86124069"/>
      <w:bookmarkStart w:id="197" w:name="_Toc58081267"/>
      <w:bookmarkStart w:id="198" w:name="_Toc373844101"/>
      <w:bookmarkStart w:id="199" w:name="_Toc427306792"/>
      <w:bookmarkStart w:id="200" w:name="_Toc373844168"/>
      <w:r>
        <w:rPr>
          <w:rFonts w:hint="eastAsia" w:ascii="宋体" w:hAnsi="宋体" w:eastAsia="宋体" w:cs="宋体"/>
          <w:sz w:val="21"/>
          <w:szCs w:val="21"/>
        </w:rPr>
        <w:t>（六）成交结果</w:t>
      </w:r>
      <w:bookmarkEnd w:id="192"/>
      <w:bookmarkEnd w:id="193"/>
      <w:bookmarkEnd w:id="194"/>
      <w:bookmarkEnd w:id="195"/>
      <w:bookmarkEnd w:id="196"/>
      <w:bookmarkEnd w:id="197"/>
      <w:bookmarkEnd w:id="198"/>
      <w:bookmarkEnd w:id="199"/>
      <w:bookmarkEnd w:id="200"/>
    </w:p>
    <w:p w14:paraId="36C72A6F">
      <w:pPr>
        <w:spacing w:line="360" w:lineRule="auto"/>
        <w:rPr>
          <w:rFonts w:ascii="宋体" w:hAnsi="宋体" w:cs="宋体"/>
          <w:b/>
          <w:szCs w:val="21"/>
        </w:rPr>
      </w:pPr>
      <w:bookmarkStart w:id="201" w:name="_Toc86124070"/>
      <w:bookmarkStart w:id="202" w:name="_Toc329810210"/>
      <w:bookmarkStart w:id="203" w:name="_Toc348011947"/>
      <w:r>
        <w:rPr>
          <w:rFonts w:hint="eastAsia" w:ascii="宋体" w:hAnsi="宋体" w:cs="宋体"/>
          <w:b/>
          <w:szCs w:val="21"/>
        </w:rPr>
        <w:t>2</w:t>
      </w:r>
      <w:r>
        <w:rPr>
          <w:rFonts w:hint="eastAsia" w:ascii="宋体" w:hAnsi="宋体" w:cs="宋体"/>
          <w:b/>
          <w:szCs w:val="21"/>
          <w:lang w:val="en-US" w:eastAsia="zh-CN"/>
        </w:rPr>
        <w:t>0</w:t>
      </w:r>
      <w:r>
        <w:rPr>
          <w:rFonts w:hint="eastAsia" w:ascii="宋体" w:hAnsi="宋体" w:cs="宋体"/>
          <w:b/>
          <w:szCs w:val="21"/>
        </w:rPr>
        <w:t>、成交人的确定</w:t>
      </w:r>
      <w:bookmarkEnd w:id="201"/>
      <w:bookmarkEnd w:id="202"/>
      <w:bookmarkEnd w:id="203"/>
    </w:p>
    <w:p w14:paraId="3F93FE8C">
      <w:pPr>
        <w:spacing w:line="360" w:lineRule="auto"/>
        <w:ind w:firstLine="420" w:firstLineChars="200"/>
        <w:rPr>
          <w:rFonts w:ascii="宋体" w:hAnsi="宋体" w:cs="宋体"/>
          <w:szCs w:val="21"/>
        </w:rPr>
      </w:pPr>
      <w:r>
        <w:rPr>
          <w:rFonts w:hint="eastAsia" w:ascii="宋体" w:hAnsi="宋体" w:cs="宋体"/>
          <w:szCs w:val="21"/>
        </w:rPr>
        <w:t>2</w:t>
      </w:r>
      <w:r>
        <w:rPr>
          <w:rFonts w:hint="eastAsia" w:ascii="宋体" w:hAnsi="宋体" w:cs="宋体"/>
          <w:szCs w:val="21"/>
          <w:lang w:val="en-US" w:eastAsia="zh-CN"/>
        </w:rPr>
        <w:t>0</w:t>
      </w:r>
      <w:r>
        <w:rPr>
          <w:rFonts w:hint="eastAsia" w:ascii="宋体" w:hAnsi="宋体" w:cs="宋体"/>
          <w:szCs w:val="21"/>
        </w:rPr>
        <w:t>.1 采购代理机构在磋商结束后2个工作日内将评审报告送采购人确认。</w:t>
      </w:r>
    </w:p>
    <w:p w14:paraId="793EC9C8">
      <w:pPr>
        <w:spacing w:line="360" w:lineRule="auto"/>
        <w:ind w:firstLine="420" w:firstLineChars="200"/>
        <w:rPr>
          <w:rFonts w:ascii="宋体" w:hAnsi="宋体" w:cs="宋体"/>
          <w:szCs w:val="21"/>
        </w:rPr>
      </w:pPr>
      <w:r>
        <w:rPr>
          <w:rFonts w:hint="eastAsia" w:ascii="宋体" w:hAnsi="宋体" w:cs="宋体"/>
          <w:szCs w:val="21"/>
        </w:rPr>
        <w:t>2</w:t>
      </w:r>
      <w:r>
        <w:rPr>
          <w:rFonts w:hint="eastAsia" w:ascii="宋体" w:hAnsi="宋体" w:cs="宋体"/>
          <w:szCs w:val="21"/>
          <w:lang w:val="en-US" w:eastAsia="zh-CN"/>
        </w:rPr>
        <w:t>0</w:t>
      </w:r>
      <w:r>
        <w:rPr>
          <w:rFonts w:hint="eastAsia" w:ascii="宋体" w:hAnsi="宋体" w:cs="宋体"/>
          <w:szCs w:val="21"/>
        </w:rPr>
        <w:t>.2 采购人在收到评审报告后5个工作日内，从评审报告提出的成交候选供应商中，按照排序由高到低的原则确定成交供应商。</w:t>
      </w:r>
    </w:p>
    <w:p w14:paraId="11C404DC">
      <w:pPr>
        <w:spacing w:line="360" w:lineRule="auto"/>
        <w:rPr>
          <w:rFonts w:ascii="宋体" w:hAnsi="宋体" w:cs="宋体"/>
          <w:b/>
          <w:szCs w:val="21"/>
        </w:rPr>
      </w:pPr>
      <w:bookmarkStart w:id="204" w:name="_Toc329810211"/>
      <w:bookmarkStart w:id="205" w:name="_Toc348011948"/>
      <w:r>
        <w:rPr>
          <w:rFonts w:hint="eastAsia" w:ascii="宋体" w:hAnsi="宋体" w:cs="宋体"/>
          <w:b/>
          <w:szCs w:val="21"/>
        </w:rPr>
        <w:t>2</w:t>
      </w:r>
      <w:r>
        <w:rPr>
          <w:rFonts w:hint="eastAsia" w:ascii="宋体" w:hAnsi="宋体" w:cs="宋体"/>
          <w:b/>
          <w:szCs w:val="21"/>
          <w:lang w:val="en-US" w:eastAsia="zh-CN"/>
        </w:rPr>
        <w:t>1</w:t>
      </w:r>
      <w:r>
        <w:rPr>
          <w:rFonts w:hint="eastAsia" w:ascii="宋体" w:hAnsi="宋体" w:cs="宋体"/>
          <w:b/>
          <w:szCs w:val="21"/>
        </w:rPr>
        <w:t>、成交通知书</w:t>
      </w:r>
      <w:bookmarkEnd w:id="204"/>
      <w:bookmarkEnd w:id="205"/>
    </w:p>
    <w:p w14:paraId="31D93C86">
      <w:pPr>
        <w:spacing w:line="360" w:lineRule="auto"/>
        <w:ind w:firstLine="420" w:firstLineChars="200"/>
        <w:rPr>
          <w:rFonts w:ascii="宋体" w:hAnsi="宋体" w:cs="宋体"/>
          <w:szCs w:val="21"/>
        </w:rPr>
      </w:pPr>
      <w:bookmarkStart w:id="206" w:name="_Toc329810212"/>
      <w:bookmarkStart w:id="207" w:name="_Toc348011949"/>
      <w:bookmarkStart w:id="208" w:name="_Toc86124072"/>
      <w:r>
        <w:rPr>
          <w:rFonts w:hint="eastAsia" w:ascii="宋体" w:hAnsi="宋体" w:cs="宋体"/>
          <w:szCs w:val="21"/>
        </w:rPr>
        <w:t>2</w:t>
      </w:r>
      <w:r>
        <w:rPr>
          <w:rFonts w:hint="eastAsia" w:ascii="宋体" w:hAnsi="宋体" w:cs="宋体"/>
          <w:szCs w:val="21"/>
          <w:lang w:val="en-US" w:eastAsia="zh-CN"/>
        </w:rPr>
        <w:t>1</w:t>
      </w:r>
      <w:r>
        <w:rPr>
          <w:rFonts w:hint="eastAsia" w:ascii="宋体" w:hAnsi="宋体" w:cs="宋体"/>
          <w:szCs w:val="21"/>
        </w:rPr>
        <w:t>.1 成交人确定后，成交结果由采购代理机构在云南省政府采购网上公告</w:t>
      </w:r>
      <w:r>
        <w:rPr>
          <w:rFonts w:hint="eastAsia" w:ascii="宋体" w:hAnsi="宋体" w:cs="宋体"/>
          <w:szCs w:val="21"/>
          <w:lang w:eastAsia="zh-CN"/>
        </w:rPr>
        <w:t>，</w:t>
      </w:r>
      <w:r>
        <w:rPr>
          <w:rFonts w:hint="eastAsia" w:ascii="宋体" w:hAnsi="宋体" w:cs="宋体"/>
          <w:szCs w:val="21"/>
        </w:rPr>
        <w:t>同时向成交人发出成交通知书。</w:t>
      </w:r>
    </w:p>
    <w:p w14:paraId="4DDD3CD5">
      <w:pPr>
        <w:spacing w:line="360" w:lineRule="auto"/>
        <w:ind w:firstLine="420" w:firstLineChars="200"/>
        <w:rPr>
          <w:rFonts w:ascii="宋体" w:hAnsi="宋体" w:cs="宋体"/>
          <w:szCs w:val="21"/>
        </w:rPr>
      </w:pPr>
      <w:r>
        <w:rPr>
          <w:rFonts w:hint="eastAsia" w:ascii="宋体" w:hAnsi="宋体" w:cs="宋体"/>
          <w:szCs w:val="21"/>
        </w:rPr>
        <w:t>2</w:t>
      </w:r>
      <w:r>
        <w:rPr>
          <w:rFonts w:hint="eastAsia" w:ascii="宋体" w:hAnsi="宋体" w:cs="宋体"/>
          <w:szCs w:val="21"/>
          <w:lang w:val="en-US" w:eastAsia="zh-CN"/>
        </w:rPr>
        <w:t>1</w:t>
      </w:r>
      <w:r>
        <w:rPr>
          <w:rFonts w:hint="eastAsia" w:ascii="宋体" w:hAnsi="宋体" w:cs="宋体"/>
          <w:szCs w:val="21"/>
        </w:rPr>
        <w:t>.2 成交通知书是合同的一个组成部分。</w:t>
      </w:r>
    </w:p>
    <w:p w14:paraId="161E0C99">
      <w:pPr>
        <w:spacing w:line="360" w:lineRule="auto"/>
        <w:ind w:firstLine="420" w:firstLineChars="200"/>
        <w:rPr>
          <w:rFonts w:ascii="宋体" w:hAnsi="宋体" w:cs="宋体"/>
          <w:szCs w:val="21"/>
        </w:rPr>
      </w:pPr>
      <w:r>
        <w:rPr>
          <w:rFonts w:hint="eastAsia" w:ascii="宋体" w:hAnsi="宋体" w:cs="宋体"/>
          <w:szCs w:val="21"/>
        </w:rPr>
        <w:t>2</w:t>
      </w:r>
      <w:r>
        <w:rPr>
          <w:rFonts w:hint="eastAsia" w:ascii="宋体" w:hAnsi="宋体" w:cs="宋体"/>
          <w:szCs w:val="21"/>
          <w:lang w:val="en-US" w:eastAsia="zh-CN"/>
        </w:rPr>
        <w:t>1</w:t>
      </w:r>
      <w:r>
        <w:rPr>
          <w:rFonts w:hint="eastAsia" w:ascii="宋体" w:hAnsi="宋体" w:cs="宋体"/>
          <w:szCs w:val="21"/>
        </w:rPr>
        <w:t>.3采购代理机构无义务向未成交人解释未成交原因和退回磋商响应文件。</w:t>
      </w:r>
    </w:p>
    <w:p w14:paraId="23185C39">
      <w:pPr>
        <w:spacing w:line="360" w:lineRule="auto"/>
        <w:rPr>
          <w:rFonts w:ascii="宋体" w:hAnsi="宋体" w:cs="宋体"/>
          <w:b/>
          <w:szCs w:val="21"/>
        </w:rPr>
      </w:pPr>
      <w:r>
        <w:rPr>
          <w:rFonts w:hint="eastAsia" w:ascii="宋体" w:hAnsi="宋体" w:cs="宋体"/>
          <w:b/>
          <w:szCs w:val="21"/>
        </w:rPr>
        <w:t>2</w:t>
      </w:r>
      <w:r>
        <w:rPr>
          <w:rFonts w:hint="eastAsia" w:ascii="宋体" w:hAnsi="宋体" w:cs="宋体"/>
          <w:b/>
          <w:szCs w:val="21"/>
          <w:lang w:val="en-US" w:eastAsia="zh-CN"/>
        </w:rPr>
        <w:t>2</w:t>
      </w:r>
      <w:r>
        <w:rPr>
          <w:rFonts w:hint="eastAsia" w:ascii="宋体" w:hAnsi="宋体" w:cs="宋体"/>
          <w:b/>
          <w:szCs w:val="21"/>
        </w:rPr>
        <w:t>、签订合同</w:t>
      </w:r>
      <w:bookmarkEnd w:id="206"/>
      <w:bookmarkEnd w:id="207"/>
      <w:bookmarkEnd w:id="208"/>
    </w:p>
    <w:p w14:paraId="6ACEA300">
      <w:pPr>
        <w:spacing w:line="360" w:lineRule="auto"/>
        <w:ind w:firstLine="420" w:firstLineChars="200"/>
        <w:rPr>
          <w:rFonts w:ascii="宋体" w:hAnsi="宋体" w:cs="宋体"/>
          <w:szCs w:val="21"/>
        </w:rPr>
      </w:pPr>
      <w:r>
        <w:rPr>
          <w:rFonts w:hint="eastAsia" w:ascii="宋体" w:hAnsi="宋体" w:cs="宋体"/>
          <w:szCs w:val="21"/>
        </w:rPr>
        <w:t>2</w:t>
      </w:r>
      <w:r>
        <w:rPr>
          <w:rFonts w:hint="eastAsia" w:ascii="宋体" w:hAnsi="宋体" w:cs="宋体"/>
          <w:szCs w:val="21"/>
          <w:lang w:val="en-US" w:eastAsia="zh-CN"/>
        </w:rPr>
        <w:t>2</w:t>
      </w:r>
      <w:r>
        <w:rPr>
          <w:rFonts w:hint="eastAsia" w:ascii="宋体" w:hAnsi="宋体" w:cs="宋体"/>
          <w:szCs w:val="21"/>
        </w:rPr>
        <w:t>.1采购人与成交供应商应当在成交通知书发出之日起30日内，按照磋商文件确定的合同文本以及采购标的、采购金额、采购数量、技术和服务要求等事项签订采购合同。如成交通知书发出之日起30日内，成交人未与采购人联系协商合同签订事宜，则视为自动放弃本次成交，采购人有权单方面终止成交人的成交资格，并另行委托采购代理机构重新组织竞争性磋商，所发生的一切法律和经济责任由成交人承担。</w:t>
      </w:r>
    </w:p>
    <w:p w14:paraId="134BEDA2">
      <w:pPr>
        <w:spacing w:line="360" w:lineRule="auto"/>
        <w:ind w:firstLine="420" w:firstLineChars="200"/>
        <w:rPr>
          <w:rFonts w:ascii="宋体" w:hAnsi="宋体" w:cs="宋体"/>
          <w:szCs w:val="21"/>
        </w:rPr>
      </w:pPr>
      <w:r>
        <w:rPr>
          <w:rFonts w:hint="eastAsia" w:ascii="宋体" w:hAnsi="宋体" w:cs="宋体"/>
          <w:szCs w:val="21"/>
        </w:rPr>
        <w:t>2</w:t>
      </w:r>
      <w:r>
        <w:rPr>
          <w:rFonts w:hint="eastAsia" w:ascii="宋体" w:hAnsi="宋体" w:cs="宋体"/>
          <w:szCs w:val="21"/>
          <w:lang w:val="en-US" w:eastAsia="zh-CN"/>
        </w:rPr>
        <w:t>2</w:t>
      </w:r>
      <w:r>
        <w:rPr>
          <w:rFonts w:hint="eastAsia" w:ascii="宋体" w:hAnsi="宋体" w:cs="宋体"/>
          <w:szCs w:val="21"/>
        </w:rPr>
        <w:t>.2成交人因不可抗力或者自身原因不能履行采购合同的，采购人可以与排位在成交人之后第一位的成交候选供应商协商签订采购合同，以此类推。也可以重新组织竞争性磋商。</w:t>
      </w:r>
    </w:p>
    <w:p w14:paraId="67B1D5D3">
      <w:pPr>
        <w:spacing w:line="360" w:lineRule="auto"/>
        <w:ind w:firstLine="420" w:firstLineChars="200"/>
        <w:rPr>
          <w:rFonts w:ascii="宋体" w:hAnsi="宋体" w:cs="宋体"/>
          <w:szCs w:val="21"/>
        </w:rPr>
      </w:pPr>
      <w:bookmarkStart w:id="209" w:name="_Toc329810213"/>
      <w:bookmarkStart w:id="210" w:name="_Toc348011950"/>
      <w:bookmarkStart w:id="211" w:name="_Toc86124073"/>
      <w:r>
        <w:rPr>
          <w:rFonts w:hint="eastAsia" w:ascii="宋体" w:hAnsi="宋体" w:cs="宋体"/>
          <w:szCs w:val="21"/>
        </w:rPr>
        <w:t>2</w:t>
      </w:r>
      <w:r>
        <w:rPr>
          <w:rFonts w:hint="eastAsia" w:ascii="宋体" w:hAnsi="宋体" w:cs="宋体"/>
          <w:szCs w:val="21"/>
          <w:lang w:val="en-US" w:eastAsia="zh-CN"/>
        </w:rPr>
        <w:t>2</w:t>
      </w:r>
      <w:r>
        <w:rPr>
          <w:rFonts w:hint="eastAsia" w:ascii="宋体" w:hAnsi="宋体" w:cs="宋体"/>
          <w:szCs w:val="21"/>
        </w:rPr>
        <w:t>.3政府采购合同履行中，采购人需追加与合同标的相同的工程的，在不改变合同其他条款的前提下，可以与供应商协商签订补充合同或工程签证，纳入最终审计结算。所有补充合同的采购金额不超过原合同的10%。</w:t>
      </w:r>
    </w:p>
    <w:bookmarkEnd w:id="209"/>
    <w:bookmarkEnd w:id="210"/>
    <w:bookmarkEnd w:id="211"/>
    <w:p w14:paraId="56B8A53F">
      <w:pPr>
        <w:pStyle w:val="3"/>
        <w:spacing w:before="0" w:after="0" w:line="360" w:lineRule="auto"/>
        <w:jc w:val="center"/>
        <w:rPr>
          <w:rFonts w:ascii="宋体" w:hAnsi="宋体" w:eastAsia="宋体" w:cs="宋体"/>
          <w:sz w:val="21"/>
          <w:szCs w:val="21"/>
        </w:rPr>
      </w:pPr>
      <w:bookmarkStart w:id="212" w:name="_Toc86124074"/>
      <w:bookmarkStart w:id="213" w:name="_Toc427339174"/>
      <w:bookmarkStart w:id="214" w:name="_Toc8161"/>
      <w:bookmarkStart w:id="215" w:name="_Toc427306793"/>
      <w:bookmarkStart w:id="216" w:name="_Toc373844169"/>
      <w:bookmarkStart w:id="217" w:name="_Toc373844102"/>
      <w:bookmarkStart w:id="218" w:name="_Toc8300787"/>
      <w:bookmarkStart w:id="219" w:name="_Toc58081268"/>
      <w:bookmarkStart w:id="220" w:name="_Toc348011951"/>
      <w:r>
        <w:rPr>
          <w:rFonts w:hint="eastAsia" w:ascii="宋体" w:hAnsi="宋体" w:eastAsia="宋体" w:cs="宋体"/>
          <w:sz w:val="21"/>
          <w:szCs w:val="21"/>
        </w:rPr>
        <w:t>（七）其他事项</w:t>
      </w:r>
      <w:bookmarkEnd w:id="212"/>
      <w:bookmarkEnd w:id="213"/>
      <w:bookmarkEnd w:id="214"/>
      <w:bookmarkEnd w:id="215"/>
      <w:bookmarkEnd w:id="216"/>
      <w:bookmarkEnd w:id="217"/>
      <w:bookmarkEnd w:id="218"/>
      <w:bookmarkEnd w:id="219"/>
      <w:bookmarkEnd w:id="220"/>
    </w:p>
    <w:p w14:paraId="070568BA">
      <w:pPr>
        <w:spacing w:line="360" w:lineRule="auto"/>
        <w:rPr>
          <w:rFonts w:ascii="宋体" w:hAnsi="宋体" w:cs="宋体"/>
          <w:b/>
          <w:szCs w:val="21"/>
        </w:rPr>
      </w:pPr>
      <w:bookmarkStart w:id="221" w:name="_Toc348011953"/>
      <w:bookmarkStart w:id="222" w:name="_Toc329810216"/>
      <w:bookmarkStart w:id="223" w:name="_Toc86124075"/>
      <w:r>
        <w:rPr>
          <w:rFonts w:hint="eastAsia" w:ascii="宋体" w:hAnsi="宋体" w:cs="宋体"/>
          <w:b/>
          <w:szCs w:val="21"/>
        </w:rPr>
        <w:t>2</w:t>
      </w:r>
      <w:r>
        <w:rPr>
          <w:rFonts w:hint="eastAsia" w:ascii="宋体" w:hAnsi="宋体" w:cs="宋体"/>
          <w:b/>
          <w:szCs w:val="21"/>
          <w:lang w:val="en-US" w:eastAsia="zh-CN"/>
        </w:rPr>
        <w:t>3</w:t>
      </w:r>
      <w:r>
        <w:rPr>
          <w:rFonts w:hint="eastAsia" w:ascii="宋体" w:hAnsi="宋体" w:cs="宋体"/>
          <w:b/>
          <w:szCs w:val="21"/>
        </w:rPr>
        <w:t>、采购代理服务费</w:t>
      </w:r>
      <w:bookmarkEnd w:id="221"/>
      <w:bookmarkEnd w:id="222"/>
      <w:bookmarkEnd w:id="223"/>
    </w:p>
    <w:p w14:paraId="1E6EE624">
      <w:pPr>
        <w:spacing w:line="360" w:lineRule="auto"/>
        <w:ind w:firstLine="420" w:firstLineChars="200"/>
        <w:rPr>
          <w:rFonts w:ascii="宋体" w:hAnsi="宋体" w:cs="宋体"/>
          <w:szCs w:val="21"/>
        </w:rPr>
      </w:pPr>
      <w:bookmarkStart w:id="224" w:name="_Toc348011954"/>
      <w:bookmarkStart w:id="225" w:name="_Toc329810217"/>
      <w:r>
        <w:rPr>
          <w:rFonts w:hint="eastAsia" w:ascii="宋体" w:hAnsi="宋体" w:cs="宋体"/>
          <w:szCs w:val="21"/>
        </w:rPr>
        <w:t>2</w:t>
      </w:r>
      <w:r>
        <w:rPr>
          <w:rFonts w:hint="eastAsia" w:ascii="宋体" w:hAnsi="宋体" w:cs="宋体"/>
          <w:szCs w:val="21"/>
          <w:lang w:val="en-US" w:eastAsia="zh-CN"/>
        </w:rPr>
        <w:t>3</w:t>
      </w:r>
      <w:r>
        <w:rPr>
          <w:rFonts w:hint="eastAsia" w:ascii="宋体" w:hAnsi="宋体" w:cs="宋体"/>
          <w:szCs w:val="21"/>
        </w:rPr>
        <w:t>.1采购代理服务费由采购代理机构向成交人收取，收取标准详见“</w:t>
      </w:r>
      <w:r>
        <w:rPr>
          <w:rFonts w:hint="eastAsia" w:ascii="宋体" w:hAnsi="宋体" w:cs="宋体"/>
          <w:b/>
          <w:szCs w:val="21"/>
        </w:rPr>
        <w:t>供应商须知前附表25.1</w:t>
      </w:r>
      <w:r>
        <w:rPr>
          <w:rFonts w:hint="eastAsia" w:ascii="宋体" w:hAnsi="宋体" w:cs="宋体"/>
          <w:szCs w:val="21"/>
        </w:rPr>
        <w:t>”。</w:t>
      </w:r>
    </w:p>
    <w:p w14:paraId="67B3F346">
      <w:pPr>
        <w:spacing w:line="360" w:lineRule="auto"/>
        <w:ind w:firstLine="420" w:firstLineChars="200"/>
        <w:rPr>
          <w:rFonts w:ascii="宋体" w:hAnsi="宋体" w:cs="宋体"/>
          <w:szCs w:val="21"/>
        </w:rPr>
      </w:pPr>
      <w:r>
        <w:rPr>
          <w:rFonts w:hint="eastAsia" w:ascii="宋体" w:hAnsi="宋体" w:cs="宋体"/>
          <w:szCs w:val="21"/>
        </w:rPr>
        <w:t>2</w:t>
      </w:r>
      <w:r>
        <w:rPr>
          <w:rFonts w:hint="eastAsia" w:ascii="宋体" w:hAnsi="宋体" w:cs="宋体"/>
          <w:szCs w:val="21"/>
          <w:lang w:val="en-US" w:eastAsia="zh-CN"/>
        </w:rPr>
        <w:t>3</w:t>
      </w:r>
      <w:r>
        <w:rPr>
          <w:rFonts w:hint="eastAsia" w:ascii="宋体" w:hAnsi="宋体" w:cs="宋体"/>
          <w:szCs w:val="21"/>
        </w:rPr>
        <w:t>.2成交人应在接受“</w:t>
      </w:r>
      <w:r>
        <w:rPr>
          <w:rFonts w:hint="eastAsia" w:ascii="宋体" w:hAnsi="宋体" w:cs="宋体"/>
          <w:b/>
          <w:szCs w:val="21"/>
        </w:rPr>
        <w:t>成交通知书</w:t>
      </w:r>
      <w:r>
        <w:rPr>
          <w:rFonts w:hint="eastAsia" w:ascii="宋体" w:hAnsi="宋体" w:cs="宋体"/>
          <w:szCs w:val="21"/>
        </w:rPr>
        <w:t>”时向采购代理机构一次付清代理服务费。</w:t>
      </w:r>
    </w:p>
    <w:p w14:paraId="5A2015D5">
      <w:pPr>
        <w:spacing w:line="360" w:lineRule="auto"/>
        <w:rPr>
          <w:rFonts w:ascii="宋体" w:hAnsi="宋体" w:cs="宋体"/>
          <w:b/>
          <w:szCs w:val="21"/>
        </w:rPr>
      </w:pPr>
      <w:r>
        <w:rPr>
          <w:rFonts w:hint="eastAsia" w:ascii="宋体" w:hAnsi="宋体" w:cs="宋体"/>
          <w:b/>
          <w:szCs w:val="21"/>
        </w:rPr>
        <w:t>2</w:t>
      </w:r>
      <w:r>
        <w:rPr>
          <w:rFonts w:hint="eastAsia" w:ascii="宋体" w:hAnsi="宋体" w:cs="宋体"/>
          <w:b/>
          <w:szCs w:val="21"/>
          <w:lang w:val="en-US" w:eastAsia="zh-CN"/>
        </w:rPr>
        <w:t>4</w:t>
      </w:r>
      <w:r>
        <w:rPr>
          <w:rFonts w:hint="eastAsia" w:ascii="宋体" w:hAnsi="宋体" w:cs="宋体"/>
          <w:b/>
          <w:szCs w:val="21"/>
        </w:rPr>
        <w:t>、磋商文件编制依据</w:t>
      </w:r>
      <w:bookmarkEnd w:id="224"/>
      <w:bookmarkEnd w:id="225"/>
    </w:p>
    <w:p w14:paraId="6947B1C5">
      <w:pPr>
        <w:spacing w:line="360" w:lineRule="auto"/>
        <w:ind w:firstLine="420" w:firstLineChars="200"/>
        <w:rPr>
          <w:rFonts w:ascii="宋体" w:hAnsi="宋体" w:cs="宋体"/>
          <w:szCs w:val="21"/>
        </w:rPr>
      </w:pPr>
      <w:bookmarkStart w:id="226" w:name="_Toc86124077"/>
      <w:bookmarkStart w:id="227" w:name="_Toc329810218"/>
      <w:bookmarkStart w:id="228" w:name="_Toc348011955"/>
      <w:r>
        <w:rPr>
          <w:rFonts w:hint="eastAsia" w:ascii="宋体" w:hAnsi="宋体" w:cs="宋体"/>
          <w:szCs w:val="21"/>
        </w:rPr>
        <w:t>本磋商文件是根据《中华人民共和国政府采购法》、《</w:t>
      </w:r>
      <w:r>
        <w:rPr>
          <w:rFonts w:hint="eastAsia" w:ascii="宋体" w:hAnsi="宋体" w:cs="宋体"/>
          <w:szCs w:val="21"/>
          <w:lang w:eastAsia="zh-CN"/>
        </w:rPr>
        <w:t>中华人民共和国政府采购法实施条例</w:t>
      </w:r>
      <w:r>
        <w:rPr>
          <w:rFonts w:hint="eastAsia" w:ascii="宋体" w:hAnsi="宋体" w:cs="宋体"/>
          <w:szCs w:val="21"/>
        </w:rPr>
        <w:t>》、《政府采购竞争性磋商采购方式管理暂行办法》及相关法律法规编制。</w:t>
      </w:r>
    </w:p>
    <w:p w14:paraId="1F1C3A48">
      <w:pPr>
        <w:spacing w:line="360" w:lineRule="auto"/>
        <w:rPr>
          <w:rFonts w:hint="default" w:ascii="宋体" w:hAnsi="宋体" w:eastAsia="宋体" w:cs="宋体"/>
          <w:b/>
          <w:bCs/>
          <w:szCs w:val="21"/>
          <w:lang w:val="en-US" w:eastAsia="zh-CN"/>
        </w:rPr>
      </w:pPr>
      <w:r>
        <w:rPr>
          <w:rFonts w:hint="eastAsia" w:ascii="宋体" w:hAnsi="宋体" w:cs="宋体"/>
          <w:b/>
          <w:bCs/>
          <w:szCs w:val="21"/>
          <w:lang w:val="en-US" w:eastAsia="zh-CN"/>
        </w:rPr>
        <w:t>25、分包</w:t>
      </w:r>
    </w:p>
    <w:p w14:paraId="21D5EA6F">
      <w:pPr>
        <w:spacing w:line="360" w:lineRule="auto"/>
        <w:ind w:firstLine="420" w:firstLineChars="200"/>
        <w:rPr>
          <w:rFonts w:hint="default" w:ascii="宋体" w:hAnsi="宋体" w:eastAsia="宋体" w:cs="宋体"/>
          <w:b w:val="0"/>
          <w:bCs/>
          <w:color w:val="auto"/>
          <w:szCs w:val="21"/>
          <w:lang w:val="en-US" w:eastAsia="zh-CN"/>
        </w:rPr>
      </w:pPr>
      <w:r>
        <w:rPr>
          <w:rFonts w:hint="eastAsia" w:ascii="宋体" w:hAnsi="宋体" w:cs="宋体"/>
          <w:b w:val="0"/>
          <w:bCs/>
          <w:color w:val="auto"/>
          <w:kern w:val="0"/>
          <w:sz w:val="21"/>
          <w:szCs w:val="21"/>
          <w:lang w:val="en-US" w:eastAsia="zh-CN" w:bidi="en-US"/>
        </w:rPr>
        <w:t>不允许</w:t>
      </w:r>
    </w:p>
    <w:p w14:paraId="154F920C">
      <w:pPr>
        <w:spacing w:line="360" w:lineRule="auto"/>
        <w:rPr>
          <w:rFonts w:ascii="宋体" w:hAnsi="宋体" w:cs="宋体"/>
          <w:b/>
          <w:bCs/>
          <w:szCs w:val="21"/>
        </w:rPr>
      </w:pPr>
      <w:r>
        <w:rPr>
          <w:rFonts w:hint="eastAsia" w:ascii="宋体" w:hAnsi="宋体" w:cs="宋体"/>
          <w:b/>
          <w:bCs/>
          <w:szCs w:val="21"/>
        </w:rPr>
        <w:t>2</w:t>
      </w:r>
      <w:r>
        <w:rPr>
          <w:rFonts w:hint="eastAsia" w:ascii="宋体" w:hAnsi="宋体" w:cs="宋体"/>
          <w:b/>
          <w:bCs/>
          <w:szCs w:val="21"/>
          <w:lang w:val="en-US" w:eastAsia="zh-CN"/>
        </w:rPr>
        <w:t>6</w:t>
      </w:r>
      <w:r>
        <w:rPr>
          <w:rFonts w:hint="eastAsia" w:ascii="宋体" w:hAnsi="宋体" w:cs="宋体"/>
          <w:b/>
          <w:bCs/>
          <w:szCs w:val="21"/>
        </w:rPr>
        <w:t>、需要补充的其他内容</w:t>
      </w:r>
      <w:bookmarkEnd w:id="226"/>
      <w:bookmarkEnd w:id="227"/>
      <w:bookmarkEnd w:id="228"/>
    </w:p>
    <w:p w14:paraId="71A34A50">
      <w:pPr>
        <w:spacing w:line="360" w:lineRule="auto"/>
        <w:ind w:firstLine="420" w:firstLineChars="200"/>
        <w:rPr>
          <w:rFonts w:ascii="宋体" w:hAnsi="宋体" w:cs="宋体"/>
          <w:szCs w:val="21"/>
        </w:rPr>
      </w:pPr>
      <w:r>
        <w:rPr>
          <w:rFonts w:hint="eastAsia" w:ascii="宋体" w:hAnsi="宋体" w:cs="宋体"/>
          <w:szCs w:val="21"/>
        </w:rPr>
        <w:t>2</w:t>
      </w:r>
      <w:r>
        <w:rPr>
          <w:rFonts w:hint="eastAsia" w:ascii="宋体" w:hAnsi="宋体" w:cs="宋体"/>
          <w:szCs w:val="21"/>
          <w:lang w:val="en-US" w:eastAsia="zh-CN"/>
        </w:rPr>
        <w:t>5</w:t>
      </w:r>
      <w:r>
        <w:rPr>
          <w:rFonts w:hint="eastAsia" w:ascii="宋体" w:hAnsi="宋体" w:cs="宋体"/>
          <w:szCs w:val="21"/>
        </w:rPr>
        <w:t>.1备选方案按“</w:t>
      </w:r>
      <w:r>
        <w:rPr>
          <w:rFonts w:hint="eastAsia" w:ascii="宋体" w:hAnsi="宋体" w:cs="宋体"/>
          <w:b/>
          <w:szCs w:val="21"/>
        </w:rPr>
        <w:t>供应商须知前附表</w:t>
      </w:r>
      <w:r>
        <w:rPr>
          <w:rFonts w:hint="eastAsia" w:ascii="宋体" w:hAnsi="宋体" w:cs="宋体"/>
          <w:szCs w:val="21"/>
        </w:rPr>
        <w:t>”的规定执行。</w:t>
      </w:r>
    </w:p>
    <w:p w14:paraId="4B603E2F">
      <w:pPr>
        <w:spacing w:line="360" w:lineRule="auto"/>
        <w:ind w:firstLine="420" w:firstLineChars="200"/>
        <w:rPr>
          <w:rFonts w:ascii="宋体" w:hAnsi="宋体" w:cs="宋体"/>
          <w:szCs w:val="21"/>
        </w:rPr>
      </w:pPr>
      <w:r>
        <w:rPr>
          <w:rFonts w:hint="eastAsia" w:ascii="宋体" w:hAnsi="宋体" w:cs="宋体"/>
          <w:szCs w:val="21"/>
        </w:rPr>
        <w:t>2</w:t>
      </w:r>
      <w:r>
        <w:rPr>
          <w:rFonts w:hint="eastAsia" w:ascii="宋体" w:hAnsi="宋体" w:cs="宋体"/>
          <w:szCs w:val="21"/>
          <w:lang w:val="en-US" w:eastAsia="zh-CN"/>
        </w:rPr>
        <w:t>5</w:t>
      </w:r>
      <w:r>
        <w:rPr>
          <w:rFonts w:hint="eastAsia" w:ascii="宋体" w:hAnsi="宋体" w:cs="宋体"/>
          <w:szCs w:val="21"/>
        </w:rPr>
        <w:t>.2需要补充的其他内容：见“</w:t>
      </w:r>
      <w:r>
        <w:rPr>
          <w:rFonts w:hint="eastAsia" w:ascii="宋体" w:hAnsi="宋体" w:cs="宋体"/>
          <w:b/>
          <w:szCs w:val="21"/>
        </w:rPr>
        <w:t>供应商须知前附表</w:t>
      </w:r>
      <w:r>
        <w:rPr>
          <w:rFonts w:hint="eastAsia" w:ascii="宋体" w:hAnsi="宋体" w:cs="宋体"/>
          <w:szCs w:val="21"/>
        </w:rPr>
        <w:t>”。</w:t>
      </w:r>
    </w:p>
    <w:p w14:paraId="1088D4A3">
      <w:pPr>
        <w:spacing w:line="360" w:lineRule="auto"/>
        <w:rPr>
          <w:rFonts w:ascii="宋体" w:hAnsi="宋体" w:cs="宋体"/>
          <w:szCs w:val="21"/>
        </w:rPr>
      </w:pPr>
    </w:p>
    <w:p w14:paraId="65151F37">
      <w:pPr>
        <w:rPr>
          <w:rFonts w:ascii="宋体" w:hAnsi="宋体" w:cs="宋体"/>
          <w:b/>
          <w:kern w:val="0"/>
          <w:sz w:val="28"/>
          <w:szCs w:val="28"/>
          <w:lang w:bidi="en-US"/>
        </w:rPr>
      </w:pPr>
      <w:bookmarkStart w:id="229" w:name="_Toc427306794"/>
      <w:bookmarkStart w:id="230" w:name="_Toc58081269"/>
      <w:bookmarkStart w:id="231" w:name="_Toc427339175"/>
      <w:r>
        <w:rPr>
          <w:rFonts w:hint="eastAsia" w:ascii="宋体" w:hAnsi="宋体" w:cs="宋体"/>
          <w:b/>
          <w:kern w:val="0"/>
          <w:sz w:val="28"/>
          <w:szCs w:val="28"/>
          <w:lang w:bidi="en-US"/>
        </w:rPr>
        <w:br w:type="page"/>
      </w:r>
    </w:p>
    <w:p w14:paraId="7D6DB9E7">
      <w:pPr>
        <w:widowControl/>
        <w:spacing w:beforeLines="50" w:afterLines="50" w:line="360" w:lineRule="auto"/>
        <w:jc w:val="center"/>
        <w:outlineLvl w:val="0"/>
        <w:rPr>
          <w:rFonts w:ascii="宋体" w:hAnsi="宋体" w:cs="宋体"/>
          <w:b/>
          <w:kern w:val="0"/>
          <w:sz w:val="28"/>
          <w:szCs w:val="28"/>
          <w:lang w:bidi="en-US"/>
        </w:rPr>
      </w:pPr>
      <w:bookmarkStart w:id="232" w:name="_Toc3495"/>
      <w:r>
        <w:rPr>
          <w:rFonts w:hint="eastAsia" w:ascii="宋体" w:hAnsi="宋体" w:cs="宋体"/>
          <w:b/>
          <w:kern w:val="0"/>
          <w:sz w:val="28"/>
          <w:szCs w:val="28"/>
          <w:lang w:bidi="en-US"/>
        </w:rPr>
        <w:t>第三章 合同书样式及主要条款</w:t>
      </w:r>
      <w:bookmarkEnd w:id="229"/>
      <w:bookmarkEnd w:id="230"/>
      <w:bookmarkEnd w:id="231"/>
      <w:bookmarkEnd w:id="232"/>
    </w:p>
    <w:p w14:paraId="247C98E3">
      <w:pPr>
        <w:rPr>
          <w:rFonts w:ascii="宋体" w:hAnsi="宋体" w:cs="宋体"/>
          <w:b/>
          <w:sz w:val="84"/>
          <w:szCs w:val="84"/>
        </w:rPr>
      </w:pPr>
      <w:bookmarkStart w:id="233" w:name="_Toc425154178"/>
      <w:bookmarkStart w:id="234" w:name="_Toc513663317"/>
      <w:bookmarkStart w:id="235" w:name="_Toc390182667"/>
      <w:bookmarkStart w:id="236" w:name="_Toc389995541"/>
      <w:bookmarkStart w:id="237" w:name="_Toc12442159"/>
      <w:bookmarkStart w:id="238" w:name="_Toc410394848"/>
      <w:bookmarkStart w:id="239" w:name="_Toc392091846"/>
      <w:bookmarkStart w:id="240" w:name="_Toc390071496"/>
      <w:bookmarkStart w:id="241" w:name="_Toc403747095"/>
      <w:bookmarkStart w:id="242" w:name="_Toc390181740"/>
      <w:bookmarkStart w:id="243" w:name="_Toc464810606"/>
      <w:r>
        <w:rPr>
          <w:rFonts w:hint="eastAsia" w:ascii="宋体" w:hAnsi="宋体" w:cs="宋体"/>
          <w:b/>
          <w:szCs w:val="21"/>
        </w:rPr>
        <w:t>（本合同条款及格式为参考格式，具体内容由成交人与采购人在签订合同时根据采购文件与响应文件具体约定）</w:t>
      </w:r>
      <w:bookmarkEnd w:id="233"/>
      <w:bookmarkEnd w:id="234"/>
      <w:bookmarkEnd w:id="235"/>
      <w:bookmarkEnd w:id="236"/>
      <w:bookmarkEnd w:id="237"/>
      <w:bookmarkEnd w:id="238"/>
      <w:bookmarkEnd w:id="239"/>
      <w:bookmarkEnd w:id="240"/>
      <w:bookmarkEnd w:id="241"/>
      <w:bookmarkEnd w:id="242"/>
      <w:bookmarkEnd w:id="243"/>
    </w:p>
    <w:p w14:paraId="1DECA966">
      <w:pPr>
        <w:widowControl/>
        <w:tabs>
          <w:tab w:val="left" w:pos="1155"/>
          <w:tab w:val="left" w:pos="2865"/>
          <w:tab w:val="left" w:pos="5307"/>
          <w:tab w:val="left" w:pos="5595"/>
          <w:tab w:val="left" w:pos="6620"/>
          <w:tab w:val="left" w:pos="7940"/>
        </w:tabs>
        <w:ind w:right="-109" w:rightChars="-52"/>
        <w:jc w:val="left"/>
        <w:rPr>
          <w:rFonts w:ascii="宋体" w:hAnsi="宋体" w:cs="宋体"/>
          <w:kern w:val="0"/>
          <w:sz w:val="24"/>
        </w:rPr>
      </w:pPr>
      <w:bookmarkStart w:id="244" w:name="_Toc209516063"/>
      <w:bookmarkStart w:id="245" w:name="_Toc185540056"/>
      <w:bookmarkStart w:id="246" w:name="_Toc427306796"/>
      <w:bookmarkStart w:id="247" w:name="_Toc427339177"/>
      <w:bookmarkStart w:id="248" w:name="_Toc58081275"/>
      <w:bookmarkStart w:id="249" w:name="_Toc1914"/>
      <w:r>
        <w:rPr>
          <w:rFonts w:hint="eastAsia" w:ascii="宋体" w:hAnsi="宋体" w:cs="宋体"/>
          <w:kern w:val="0"/>
          <w:sz w:val="24"/>
        </w:rPr>
        <w:t xml:space="preserve">合同编号： </w:t>
      </w:r>
      <w:r>
        <w:rPr>
          <w:rFonts w:hint="eastAsia" w:ascii="宋体" w:hAnsi="宋体" w:cs="宋体"/>
          <w:kern w:val="0"/>
          <w:sz w:val="24"/>
        </w:rPr>
        <w:tab/>
      </w:r>
      <w:r>
        <w:rPr>
          <w:rFonts w:hint="eastAsia" w:ascii="宋体" w:hAnsi="宋体" w:cs="宋体"/>
          <w:kern w:val="0"/>
          <w:sz w:val="24"/>
        </w:rPr>
        <w:t xml:space="preserve">  合同自编号： </w:t>
      </w:r>
      <w:r>
        <w:rPr>
          <w:rFonts w:hint="eastAsia" w:ascii="宋体" w:hAnsi="宋体" w:cs="宋体"/>
          <w:kern w:val="0"/>
          <w:sz w:val="24"/>
        </w:rPr>
        <w:tab/>
      </w:r>
      <w:r>
        <w:rPr>
          <w:rFonts w:hint="eastAsia" w:ascii="宋体" w:hAnsi="宋体" w:cs="宋体"/>
          <w:kern w:val="0"/>
          <w:sz w:val="24"/>
        </w:rPr>
        <w:t xml:space="preserve">      项目编号：</w:t>
      </w:r>
    </w:p>
    <w:p w14:paraId="5B357E76">
      <w:pPr>
        <w:widowControl/>
        <w:ind w:right="-109" w:rightChars="-52"/>
        <w:jc w:val="left"/>
        <w:rPr>
          <w:rFonts w:ascii="宋体" w:hAnsi="宋体" w:cs="宋体"/>
          <w:kern w:val="0"/>
          <w:sz w:val="24"/>
        </w:rPr>
      </w:pPr>
    </w:p>
    <w:p w14:paraId="55ADCEF4">
      <w:pPr>
        <w:widowControl/>
        <w:spacing w:after="240"/>
        <w:ind w:left="643" w:right="-109" w:rightChars="-52"/>
        <w:jc w:val="left"/>
        <w:rPr>
          <w:rFonts w:ascii="宋体" w:hAnsi="宋体" w:cs="宋体"/>
          <w:kern w:val="0"/>
          <w:sz w:val="24"/>
        </w:rPr>
      </w:pPr>
      <w:r>
        <w:rPr>
          <w:rFonts w:hint="eastAsia" w:ascii="宋体" w:hAnsi="宋体" w:cs="宋体"/>
          <w:kern w:val="0"/>
          <w:sz w:val="24"/>
        </w:rPr>
        <w:t>本合同须加盖甲乙双方骑缝章有效</w:t>
      </w:r>
    </w:p>
    <w:p w14:paraId="18050D13">
      <w:pPr>
        <w:widowControl/>
        <w:spacing w:after="240"/>
        <w:ind w:right="-109" w:rightChars="-52"/>
        <w:jc w:val="left"/>
        <w:rPr>
          <w:rFonts w:ascii="宋体" w:hAnsi="宋体" w:cs="宋体"/>
          <w:kern w:val="0"/>
          <w:sz w:val="24"/>
        </w:rPr>
      </w:pPr>
    </w:p>
    <w:p w14:paraId="71ADE450">
      <w:pPr>
        <w:widowControl/>
        <w:spacing w:line="600" w:lineRule="exact"/>
        <w:ind w:right="-109" w:rightChars="-52"/>
        <w:jc w:val="center"/>
        <w:rPr>
          <w:rFonts w:ascii="宋体" w:hAnsi="宋体" w:cs="宋体"/>
          <w:b/>
          <w:spacing w:val="44"/>
          <w:kern w:val="0"/>
          <w:sz w:val="44"/>
          <w:szCs w:val="44"/>
        </w:rPr>
      </w:pPr>
      <w:r>
        <w:rPr>
          <w:rFonts w:hint="eastAsia" w:ascii="宋体" w:hAnsi="宋体" w:cs="宋体"/>
          <w:b/>
          <w:spacing w:val="44"/>
          <w:kern w:val="0"/>
          <w:sz w:val="44"/>
          <w:szCs w:val="44"/>
        </w:rPr>
        <w:t>云南省省级政府采购</w:t>
      </w:r>
    </w:p>
    <w:p w14:paraId="673B3A07">
      <w:pPr>
        <w:widowControl/>
        <w:spacing w:line="600" w:lineRule="exact"/>
        <w:ind w:right="-109" w:rightChars="-52"/>
        <w:jc w:val="center"/>
        <w:rPr>
          <w:rFonts w:ascii="宋体" w:hAnsi="宋体" w:cs="宋体"/>
          <w:b/>
          <w:kern w:val="0"/>
          <w:sz w:val="32"/>
          <w:szCs w:val="32"/>
        </w:rPr>
      </w:pPr>
      <w:r>
        <w:rPr>
          <w:rFonts w:hint="eastAsia" w:ascii="宋体" w:hAnsi="宋体" w:cs="宋体"/>
          <w:b/>
          <w:kern w:val="0"/>
          <w:sz w:val="32"/>
          <w:szCs w:val="32"/>
        </w:rPr>
        <w:t>(委托采购</w:t>
      </w:r>
      <w:r>
        <w:rPr>
          <w:rFonts w:hint="eastAsia" w:ascii="宋体" w:hAnsi="宋体" w:cs="宋体"/>
          <w:b/>
          <w:kern w:val="0"/>
          <w:sz w:val="32"/>
          <w:szCs w:val="32"/>
          <w:lang w:eastAsia="zh-CN"/>
        </w:rPr>
        <w:t>）</w:t>
      </w:r>
    </w:p>
    <w:p w14:paraId="72F28DBF">
      <w:pPr>
        <w:widowControl/>
        <w:spacing w:after="240"/>
        <w:ind w:right="-109" w:rightChars="-52"/>
        <w:jc w:val="center"/>
        <w:rPr>
          <w:rFonts w:ascii="宋体" w:hAnsi="宋体" w:cs="宋体"/>
          <w:kern w:val="0"/>
          <w:sz w:val="84"/>
          <w:szCs w:val="84"/>
        </w:rPr>
      </w:pPr>
    </w:p>
    <w:p w14:paraId="71D4160D">
      <w:pPr>
        <w:widowControl/>
        <w:spacing w:after="240"/>
        <w:ind w:right="-109" w:rightChars="-52"/>
        <w:jc w:val="center"/>
        <w:rPr>
          <w:rFonts w:ascii="宋体" w:hAnsi="宋体" w:cs="宋体"/>
          <w:b/>
          <w:kern w:val="0"/>
          <w:sz w:val="84"/>
          <w:szCs w:val="84"/>
        </w:rPr>
      </w:pPr>
      <w:r>
        <w:rPr>
          <w:rFonts w:hint="eastAsia" w:ascii="宋体" w:hAnsi="宋体" w:cs="宋体"/>
          <w:b/>
          <w:kern w:val="0"/>
          <w:sz w:val="84"/>
          <w:szCs w:val="84"/>
        </w:rPr>
        <w:t>合</w:t>
      </w:r>
    </w:p>
    <w:p w14:paraId="0AFBB4D4">
      <w:pPr>
        <w:widowControl/>
        <w:spacing w:after="240"/>
        <w:ind w:right="-109" w:rightChars="-52"/>
        <w:jc w:val="center"/>
        <w:rPr>
          <w:rFonts w:ascii="宋体" w:hAnsi="宋体" w:cs="宋体"/>
          <w:b/>
          <w:kern w:val="0"/>
          <w:sz w:val="84"/>
          <w:szCs w:val="84"/>
        </w:rPr>
      </w:pPr>
      <w:r>
        <w:rPr>
          <w:rFonts w:hint="eastAsia" w:ascii="宋体" w:hAnsi="宋体" w:cs="宋体"/>
          <w:b/>
          <w:kern w:val="0"/>
          <w:sz w:val="84"/>
          <w:szCs w:val="84"/>
        </w:rPr>
        <w:t>同</w:t>
      </w:r>
    </w:p>
    <w:p w14:paraId="7F850713">
      <w:pPr>
        <w:widowControl/>
        <w:spacing w:after="240"/>
        <w:ind w:right="-109" w:rightChars="-52"/>
        <w:jc w:val="center"/>
        <w:rPr>
          <w:rFonts w:ascii="宋体" w:hAnsi="宋体" w:cs="宋体"/>
          <w:b/>
          <w:kern w:val="0"/>
          <w:sz w:val="72"/>
          <w:szCs w:val="72"/>
        </w:rPr>
      </w:pPr>
      <w:r>
        <w:rPr>
          <w:rFonts w:hint="eastAsia" w:ascii="宋体" w:hAnsi="宋体" w:cs="宋体"/>
          <w:b/>
          <w:kern w:val="0"/>
          <w:sz w:val="84"/>
          <w:szCs w:val="84"/>
        </w:rPr>
        <w:t>书</w:t>
      </w:r>
    </w:p>
    <w:p w14:paraId="3620320B">
      <w:pPr>
        <w:widowControl/>
        <w:spacing w:line="520" w:lineRule="exact"/>
        <w:ind w:right="-109" w:rightChars="-52" w:firstLine="2811" w:firstLineChars="1000"/>
        <w:rPr>
          <w:rFonts w:ascii="宋体" w:hAnsi="宋体" w:cs="宋体"/>
          <w:kern w:val="0"/>
          <w:sz w:val="28"/>
          <w:szCs w:val="28"/>
        </w:rPr>
      </w:pPr>
      <w:r>
        <w:rPr>
          <w:rFonts w:hint="eastAsia" w:ascii="宋体" w:hAnsi="宋体" w:cs="宋体"/>
          <w:b/>
          <w:bCs/>
          <w:kern w:val="0"/>
          <w:sz w:val="28"/>
          <w:szCs w:val="28"/>
        </w:rPr>
        <w:t>签订地点</w:t>
      </w:r>
      <w:r>
        <w:rPr>
          <w:rFonts w:hint="eastAsia" w:ascii="宋体" w:hAnsi="宋体" w:cs="宋体"/>
          <w:b/>
          <w:bCs/>
          <w:kern w:val="0"/>
          <w:sz w:val="28"/>
          <w:szCs w:val="28"/>
          <w:lang w:eastAsia="zh-CN"/>
        </w:rPr>
        <w:t>：</w:t>
      </w:r>
    </w:p>
    <w:p w14:paraId="4A17FB1A">
      <w:pPr>
        <w:widowControl/>
        <w:spacing w:line="520" w:lineRule="exact"/>
        <w:ind w:right="-109" w:rightChars="-52"/>
        <w:rPr>
          <w:rFonts w:ascii="宋体" w:hAnsi="宋体" w:cs="宋体"/>
          <w:b/>
          <w:bCs/>
          <w:kern w:val="0"/>
          <w:sz w:val="28"/>
          <w:szCs w:val="28"/>
        </w:rPr>
      </w:pPr>
    </w:p>
    <w:p w14:paraId="0BB6162B">
      <w:pPr>
        <w:widowControl/>
        <w:spacing w:line="520" w:lineRule="exact"/>
        <w:ind w:right="-109" w:rightChars="-52" w:firstLine="2811" w:firstLineChars="1000"/>
        <w:rPr>
          <w:rFonts w:ascii="宋体" w:hAnsi="宋体" w:cs="宋体"/>
          <w:kern w:val="0"/>
          <w:sz w:val="28"/>
          <w:szCs w:val="28"/>
        </w:rPr>
      </w:pPr>
      <w:r>
        <w:rPr>
          <w:rFonts w:hint="eastAsia" w:ascii="宋体" w:hAnsi="宋体" w:cs="宋体"/>
          <w:b/>
          <w:bCs/>
          <w:kern w:val="0"/>
          <w:sz w:val="28"/>
          <w:szCs w:val="28"/>
        </w:rPr>
        <w:t>云南省财政厅　制</w:t>
      </w:r>
    </w:p>
    <w:p w14:paraId="7D1EF6B6">
      <w:pPr>
        <w:wordWrap w:val="0"/>
        <w:spacing w:line="360" w:lineRule="auto"/>
        <w:rPr>
          <w:rFonts w:hint="eastAsia" w:ascii="宋体" w:hAnsi="宋体" w:cs="宋体"/>
          <w:b/>
          <w:bCs/>
          <w:snapToGrid w:val="0"/>
          <w:color w:val="auto"/>
          <w:kern w:val="0"/>
          <w:szCs w:val="21"/>
          <w:highlight w:val="none"/>
        </w:rPr>
      </w:pPr>
    </w:p>
    <w:p w14:paraId="3D6D0F40">
      <w:pPr>
        <w:wordWrap w:val="0"/>
        <w:spacing w:line="360" w:lineRule="auto"/>
        <w:rPr>
          <w:rFonts w:hint="eastAsia" w:ascii="宋体" w:hAnsi="宋体" w:cs="宋体"/>
          <w:b/>
          <w:bCs/>
          <w:snapToGrid w:val="0"/>
          <w:color w:val="auto"/>
          <w:kern w:val="0"/>
          <w:szCs w:val="21"/>
          <w:highlight w:val="none"/>
        </w:rPr>
      </w:pPr>
    </w:p>
    <w:p w14:paraId="406360F4">
      <w:pPr>
        <w:wordWrap w:val="0"/>
        <w:spacing w:line="360" w:lineRule="auto"/>
        <w:rPr>
          <w:rFonts w:hint="eastAsia" w:ascii="仿宋" w:hAnsi="仿宋" w:eastAsia="仿宋" w:cs="仿宋"/>
          <w:color w:val="auto"/>
          <w:sz w:val="24"/>
          <w:highlight w:val="none"/>
        </w:rPr>
      </w:pPr>
      <w:r>
        <w:rPr>
          <w:rFonts w:hint="eastAsia" w:ascii="宋体" w:hAnsi="宋体" w:cs="宋体"/>
          <w:b/>
          <w:bCs/>
          <w:snapToGrid w:val="0"/>
          <w:color w:val="auto"/>
          <w:kern w:val="0"/>
          <w:szCs w:val="21"/>
          <w:highlight w:val="none"/>
        </w:rPr>
        <w:t>（</w:t>
      </w:r>
      <w:r>
        <w:rPr>
          <w:rFonts w:ascii="宋体" w:hAnsi="宋体"/>
          <w:b/>
          <w:bCs/>
          <w:color w:val="auto"/>
          <w:szCs w:val="21"/>
          <w:highlight w:val="none"/>
        </w:rPr>
        <w:fldChar w:fldCharType="begin"/>
      </w:r>
      <w:r>
        <w:rPr>
          <w:rFonts w:ascii="宋体" w:hAnsi="宋体"/>
          <w:b/>
          <w:bCs/>
          <w:color w:val="auto"/>
          <w:szCs w:val="21"/>
          <w:highlight w:val="none"/>
        </w:rPr>
        <w:instrText xml:space="preserve"> </w:instrText>
      </w:r>
      <w:r>
        <w:rPr>
          <w:rFonts w:hint="eastAsia" w:ascii="宋体" w:hAnsi="宋体"/>
          <w:b/>
          <w:bCs/>
          <w:color w:val="auto"/>
          <w:szCs w:val="21"/>
          <w:highlight w:val="none"/>
        </w:rPr>
        <w:instrText xml:space="preserve">AUTOTEXT  专用合同条款 \* MERGEFORMAT</w:instrText>
      </w:r>
      <w:r>
        <w:rPr>
          <w:rFonts w:ascii="宋体" w:hAnsi="宋体"/>
          <w:b/>
          <w:bCs/>
          <w:color w:val="auto"/>
          <w:szCs w:val="21"/>
          <w:highlight w:val="none"/>
        </w:rPr>
        <w:instrText xml:space="preserve"> </w:instrText>
      </w:r>
      <w:r>
        <w:rPr>
          <w:rFonts w:ascii="宋体" w:hAnsi="宋体"/>
          <w:b/>
          <w:bCs/>
          <w:color w:val="auto"/>
          <w:szCs w:val="21"/>
          <w:highlight w:val="none"/>
        </w:rPr>
        <w:fldChar w:fldCharType="end"/>
      </w:r>
      <w:r>
        <w:rPr>
          <w:rFonts w:hint="eastAsia" w:ascii="宋体" w:hAnsi="宋体"/>
          <w:b/>
          <w:bCs/>
          <w:color w:val="auto"/>
          <w:szCs w:val="21"/>
          <w:highlight w:val="none"/>
        </w:rPr>
        <w:t>备注：供应商递交响应文件时即视为认可并响应本项目合同条款中所有条款内容。本章节中未明确内容将在合同磋商中明确，采购人保留最终修订合同的权利，最终合同以实际签订为准。）</w:t>
      </w:r>
    </w:p>
    <w:p w14:paraId="103A486F">
      <w:pPr>
        <w:widowControl/>
        <w:tabs>
          <w:tab w:val="left" w:pos="1155"/>
          <w:tab w:val="left" w:pos="2865"/>
          <w:tab w:val="left" w:pos="5307"/>
          <w:tab w:val="left" w:pos="5595"/>
          <w:tab w:val="left" w:pos="6620"/>
          <w:tab w:val="left" w:pos="7940"/>
        </w:tabs>
        <w:ind w:right="-109" w:rightChars="-52"/>
        <w:jc w:val="left"/>
        <w:rPr>
          <w:rFonts w:ascii="宋体" w:hAnsi="宋体" w:cs="宋体"/>
          <w:b/>
          <w:bCs/>
          <w:kern w:val="0"/>
          <w:sz w:val="28"/>
          <w:szCs w:val="28"/>
        </w:rPr>
      </w:pPr>
      <w:r>
        <w:rPr>
          <w:rFonts w:hint="eastAsia" w:ascii="宋体" w:hAnsi="宋体" w:cs="宋体"/>
          <w:b/>
          <w:bCs/>
          <w:kern w:val="0"/>
          <w:sz w:val="28"/>
          <w:szCs w:val="28"/>
        </w:rPr>
        <w:br w:type="page"/>
      </w:r>
    </w:p>
    <w:p w14:paraId="44B2A15A">
      <w:pPr>
        <w:pStyle w:val="4"/>
        <w:snapToGrid w:val="0"/>
        <w:spacing w:line="240" w:lineRule="auto"/>
        <w:jc w:val="center"/>
        <w:rPr>
          <w:rFonts w:ascii="宋体" w:hAnsi="宋体" w:cs="宋体"/>
          <w:b w:val="0"/>
          <w:color w:val="000000"/>
          <w:sz w:val="21"/>
          <w:szCs w:val="21"/>
        </w:rPr>
      </w:pPr>
      <w:bookmarkStart w:id="250" w:name="_Toc4555"/>
      <w:bookmarkStart w:id="251" w:name="_Toc26751"/>
      <w:r>
        <w:rPr>
          <w:rFonts w:hint="eastAsia" w:ascii="宋体" w:hAnsi="宋体" w:cs="宋体"/>
          <w:sz w:val="21"/>
          <w:szCs w:val="21"/>
        </w:rPr>
        <w:t>第一部分 合同协议书</w:t>
      </w:r>
      <w:bookmarkEnd w:id="250"/>
      <w:bookmarkEnd w:id="251"/>
    </w:p>
    <w:p w14:paraId="5165858B">
      <w:pPr>
        <w:keepLines w:val="0"/>
        <w:pageBreakBefore w:val="0"/>
        <w:widowControl w:val="0"/>
        <w:kinsoku/>
        <w:wordWrap/>
        <w:overflowPunct/>
        <w:topLinePunct w:val="0"/>
        <w:bidi w:val="0"/>
        <w:adjustRightInd/>
        <w:snapToGrid/>
        <w:spacing w:line="360" w:lineRule="auto"/>
        <w:ind w:firstLine="211" w:firstLineChars="100"/>
        <w:textAlignment w:val="auto"/>
        <w:rPr>
          <w:rFonts w:ascii="宋体" w:hAnsi="宋体"/>
          <w:b/>
          <w:bCs/>
          <w:szCs w:val="32"/>
          <w:u w:val="single"/>
        </w:rPr>
      </w:pPr>
      <w:r>
        <w:rPr>
          <w:rFonts w:hint="eastAsia" w:ascii="宋体" w:hAnsi="宋体" w:cs="宋体"/>
          <w:b/>
          <w:color w:val="000000"/>
          <w:szCs w:val="21"/>
        </w:rPr>
        <w:t>发包人（全称）：</w:t>
      </w:r>
    </w:p>
    <w:p w14:paraId="3A45AA42">
      <w:pPr>
        <w:keepLines w:val="0"/>
        <w:pageBreakBefore w:val="0"/>
        <w:widowControl w:val="0"/>
        <w:kinsoku/>
        <w:wordWrap/>
        <w:overflowPunct/>
        <w:topLinePunct w:val="0"/>
        <w:bidi w:val="0"/>
        <w:adjustRightInd/>
        <w:snapToGrid/>
        <w:spacing w:line="360" w:lineRule="auto"/>
        <w:ind w:firstLine="207" w:firstLineChars="98"/>
        <w:textAlignment w:val="auto"/>
        <w:rPr>
          <w:rFonts w:ascii="宋体" w:hAnsi="宋体" w:cs="宋体"/>
          <w:b/>
          <w:color w:val="000000"/>
          <w:szCs w:val="21"/>
          <w:u w:val="single"/>
        </w:rPr>
      </w:pPr>
      <w:r>
        <w:rPr>
          <w:rFonts w:hint="eastAsia" w:ascii="宋体" w:hAnsi="宋体" w:cs="宋体"/>
          <w:b/>
          <w:color w:val="000000"/>
          <w:szCs w:val="21"/>
        </w:rPr>
        <w:t>承包人（全称）：</w:t>
      </w:r>
    </w:p>
    <w:p w14:paraId="644CD87F">
      <w:pPr>
        <w:keepLines w:val="0"/>
        <w:pageBreakBefore w:val="0"/>
        <w:widowControl w:val="0"/>
        <w:kinsoku/>
        <w:wordWrap/>
        <w:overflowPunct/>
        <w:topLinePunct w:val="0"/>
        <w:bidi w:val="0"/>
        <w:adjustRightInd/>
        <w:snapToGrid/>
        <w:spacing w:line="360" w:lineRule="auto"/>
        <w:ind w:firstLine="420" w:firstLineChars="200"/>
        <w:textAlignment w:val="auto"/>
        <w:rPr>
          <w:rFonts w:ascii="宋体" w:hAnsi="宋体" w:cs="宋体"/>
          <w:b/>
          <w:bCs/>
          <w:color w:val="000000"/>
          <w:sz w:val="18"/>
          <w:szCs w:val="18"/>
        </w:rPr>
      </w:pPr>
      <w:r>
        <w:rPr>
          <w:rFonts w:hint="eastAsia" w:ascii="宋体" w:hAnsi="宋体" w:cs="宋体"/>
          <w:color w:val="000000"/>
          <w:szCs w:val="21"/>
        </w:rPr>
        <w:t>根据《</w:t>
      </w:r>
      <w:r>
        <w:rPr>
          <w:rFonts w:hint="eastAsia" w:ascii="宋体" w:hAnsi="宋体" w:cs="宋体"/>
          <w:szCs w:val="21"/>
        </w:rPr>
        <w:t>中华人民共和国民法典</w:t>
      </w:r>
      <w:r>
        <w:rPr>
          <w:rFonts w:hint="eastAsia" w:ascii="宋体" w:hAnsi="宋体" w:cs="宋体"/>
          <w:color w:val="000000"/>
          <w:szCs w:val="21"/>
        </w:rPr>
        <w:t>》、《中华人民共和国建筑法》及有关法律规定，遵循平等、自愿、公平和诚实信用的原则，双方就</w:t>
      </w:r>
      <w:r>
        <w:rPr>
          <w:rFonts w:hint="eastAsia" w:ascii="宋体" w:hAnsi="宋体" w:cs="宋体"/>
          <w:color w:val="000000"/>
          <w:szCs w:val="21"/>
          <w:lang w:eastAsia="zh-CN"/>
        </w:rPr>
        <w:t>石屏县坝心镇2026年白浪村委会大过细村产业道路建设项目</w:t>
      </w:r>
      <w:r>
        <w:rPr>
          <w:rFonts w:hint="eastAsia" w:ascii="宋体" w:hAnsi="宋体" w:cs="宋体"/>
          <w:color w:val="000000"/>
          <w:szCs w:val="21"/>
        </w:rPr>
        <w:t>及有关事项协商一致，共同达成如下协议：</w:t>
      </w:r>
    </w:p>
    <w:p w14:paraId="4DEAEB35">
      <w:pPr>
        <w:keepLines w:val="0"/>
        <w:pageBreakBefore w:val="0"/>
        <w:widowControl w:val="0"/>
        <w:kinsoku/>
        <w:wordWrap/>
        <w:overflowPunct/>
        <w:topLinePunct w:val="0"/>
        <w:bidi w:val="0"/>
        <w:adjustRightInd/>
        <w:snapToGrid/>
        <w:spacing w:line="360" w:lineRule="auto"/>
        <w:ind w:firstLine="210" w:firstLineChars="100"/>
        <w:textAlignment w:val="auto"/>
        <w:rPr>
          <w:rFonts w:ascii="宋体" w:hAnsi="宋体" w:cs="宋体"/>
          <w:color w:val="000000"/>
          <w:szCs w:val="21"/>
        </w:rPr>
      </w:pPr>
      <w:bookmarkStart w:id="252" w:name="_Toc351203481"/>
      <w:r>
        <w:rPr>
          <w:rFonts w:hint="eastAsia" w:ascii="宋体" w:hAnsi="宋体" w:cs="宋体"/>
          <w:color w:val="000000"/>
          <w:szCs w:val="21"/>
        </w:rPr>
        <w:t>一、工程概况</w:t>
      </w:r>
      <w:bookmarkEnd w:id="252"/>
    </w:p>
    <w:p w14:paraId="6CAA9766">
      <w:pPr>
        <w:keepLines w:val="0"/>
        <w:pageBreakBefore w:val="0"/>
        <w:widowControl w:val="0"/>
        <w:kinsoku/>
        <w:wordWrap/>
        <w:overflowPunct/>
        <w:topLinePunct w:val="0"/>
        <w:bidi w:val="0"/>
        <w:adjustRightInd/>
        <w:snapToGrid/>
        <w:spacing w:line="360" w:lineRule="auto"/>
        <w:ind w:firstLine="210" w:firstLineChars="100"/>
        <w:textAlignment w:val="auto"/>
        <w:rPr>
          <w:rFonts w:ascii="宋体" w:hAnsi="宋体" w:cs="宋体"/>
          <w:bCs/>
          <w:color w:val="000000"/>
          <w:szCs w:val="21"/>
          <w:u w:val="single"/>
        </w:rPr>
      </w:pPr>
      <w:r>
        <w:rPr>
          <w:rFonts w:hint="eastAsia" w:ascii="宋体" w:hAnsi="宋体" w:cs="宋体"/>
          <w:bCs/>
          <w:color w:val="000000"/>
          <w:szCs w:val="21"/>
        </w:rPr>
        <w:t>1.工程名称</w:t>
      </w:r>
      <w:r>
        <w:rPr>
          <w:rFonts w:hint="eastAsia" w:ascii="宋体" w:hAnsi="宋体" w:cs="宋体"/>
          <w:color w:val="000000"/>
          <w:szCs w:val="21"/>
        </w:rPr>
        <w:t>：</w:t>
      </w:r>
    </w:p>
    <w:p w14:paraId="74F1DE37">
      <w:pPr>
        <w:keepLines w:val="0"/>
        <w:pageBreakBefore w:val="0"/>
        <w:widowControl w:val="0"/>
        <w:kinsoku/>
        <w:wordWrap/>
        <w:overflowPunct/>
        <w:topLinePunct w:val="0"/>
        <w:bidi w:val="0"/>
        <w:adjustRightInd/>
        <w:snapToGrid/>
        <w:spacing w:line="360" w:lineRule="auto"/>
        <w:ind w:firstLine="210" w:firstLineChars="100"/>
        <w:textAlignment w:val="auto"/>
        <w:rPr>
          <w:rFonts w:ascii="宋体" w:hAnsi="宋体" w:cs="宋体"/>
          <w:bCs/>
          <w:color w:val="000000"/>
          <w:szCs w:val="21"/>
          <w:u w:val="single"/>
        </w:rPr>
      </w:pPr>
      <w:r>
        <w:rPr>
          <w:rFonts w:hint="eastAsia" w:ascii="宋体" w:hAnsi="宋体" w:cs="宋体"/>
          <w:bCs/>
          <w:color w:val="000000"/>
          <w:szCs w:val="21"/>
        </w:rPr>
        <w:t>2.工程地点：</w:t>
      </w:r>
    </w:p>
    <w:p w14:paraId="6D435EBB">
      <w:pPr>
        <w:keepLines w:val="0"/>
        <w:pageBreakBefore w:val="0"/>
        <w:widowControl w:val="0"/>
        <w:kinsoku/>
        <w:wordWrap/>
        <w:overflowPunct/>
        <w:topLinePunct w:val="0"/>
        <w:bidi w:val="0"/>
        <w:adjustRightInd/>
        <w:snapToGrid/>
        <w:spacing w:line="360" w:lineRule="auto"/>
        <w:ind w:firstLine="210" w:firstLineChars="100"/>
        <w:textAlignment w:val="auto"/>
        <w:rPr>
          <w:rFonts w:ascii="宋体" w:hAnsi="宋体" w:cs="宋体"/>
          <w:bCs/>
          <w:color w:val="000000"/>
          <w:szCs w:val="21"/>
          <w:u w:val="single"/>
        </w:rPr>
      </w:pPr>
      <w:r>
        <w:rPr>
          <w:rFonts w:hint="eastAsia" w:ascii="宋体" w:hAnsi="宋体" w:cs="宋体"/>
          <w:bCs/>
          <w:color w:val="000000"/>
          <w:szCs w:val="21"/>
        </w:rPr>
        <w:t>3</w:t>
      </w:r>
      <w:r>
        <w:rPr>
          <w:rFonts w:hint="eastAsia" w:ascii="宋体" w:hAnsi="宋体" w:cs="宋体"/>
          <w:bCs/>
          <w:color w:val="000000"/>
          <w:szCs w:val="21"/>
          <w:lang w:val="en-US" w:eastAsia="zh-CN"/>
        </w:rPr>
        <w:t>.</w:t>
      </w:r>
      <w:r>
        <w:rPr>
          <w:rFonts w:hint="eastAsia" w:ascii="宋体" w:hAnsi="宋体" w:cs="宋体"/>
          <w:bCs/>
          <w:color w:val="000000"/>
          <w:szCs w:val="21"/>
        </w:rPr>
        <w:t>资金来源：</w:t>
      </w:r>
    </w:p>
    <w:p w14:paraId="5C53048B">
      <w:pPr>
        <w:keepLines w:val="0"/>
        <w:pageBreakBefore w:val="0"/>
        <w:widowControl w:val="0"/>
        <w:kinsoku/>
        <w:wordWrap/>
        <w:overflowPunct/>
        <w:topLinePunct w:val="0"/>
        <w:bidi w:val="0"/>
        <w:adjustRightInd/>
        <w:snapToGrid/>
        <w:spacing w:line="360" w:lineRule="auto"/>
        <w:ind w:firstLine="210" w:firstLineChars="100"/>
        <w:textAlignment w:val="auto"/>
        <w:rPr>
          <w:rFonts w:ascii="宋体" w:hAnsi="宋体" w:cs="宋体"/>
          <w:bCs/>
          <w:color w:val="000000"/>
          <w:szCs w:val="21"/>
          <w:u w:val="single"/>
        </w:rPr>
      </w:pPr>
      <w:r>
        <w:rPr>
          <w:rFonts w:hint="eastAsia" w:ascii="宋体" w:hAnsi="宋体" w:cs="宋体"/>
          <w:bCs/>
          <w:color w:val="000000"/>
          <w:szCs w:val="21"/>
        </w:rPr>
        <w:t>4.工程内容：</w:t>
      </w:r>
    </w:p>
    <w:p w14:paraId="4B4F98D6">
      <w:pPr>
        <w:keepLines w:val="0"/>
        <w:pageBreakBefore w:val="0"/>
        <w:widowControl w:val="0"/>
        <w:kinsoku/>
        <w:wordWrap/>
        <w:overflowPunct/>
        <w:topLinePunct w:val="0"/>
        <w:bidi w:val="0"/>
        <w:adjustRightInd/>
        <w:snapToGrid/>
        <w:spacing w:line="360" w:lineRule="auto"/>
        <w:ind w:firstLine="210" w:firstLineChars="100"/>
        <w:textAlignment w:val="auto"/>
        <w:rPr>
          <w:rFonts w:ascii="宋体" w:hAnsi="宋体" w:cs="宋体"/>
          <w:bCs/>
          <w:szCs w:val="21"/>
        </w:rPr>
      </w:pPr>
      <w:r>
        <w:rPr>
          <w:rFonts w:hint="eastAsia" w:ascii="宋体" w:hAnsi="宋体" w:cs="宋体"/>
          <w:bCs/>
          <w:szCs w:val="21"/>
        </w:rPr>
        <w:t>5.工程承包范围：</w:t>
      </w:r>
      <w:r>
        <w:rPr>
          <w:rFonts w:hint="eastAsia" w:ascii="宋体" w:hAnsi="宋体" w:cs="宋体"/>
          <w:szCs w:val="21"/>
          <w:u w:val="single"/>
        </w:rPr>
        <w:t xml:space="preserve">具体以工程量清单为准  </w:t>
      </w:r>
      <w:r>
        <w:rPr>
          <w:rFonts w:hint="eastAsia" w:ascii="宋体" w:hAnsi="宋体" w:cs="宋体"/>
          <w:szCs w:val="21"/>
        </w:rPr>
        <w:t>。</w:t>
      </w:r>
    </w:p>
    <w:p w14:paraId="0CF94ADC">
      <w:pPr>
        <w:keepLines w:val="0"/>
        <w:pageBreakBefore w:val="0"/>
        <w:widowControl w:val="0"/>
        <w:kinsoku/>
        <w:wordWrap/>
        <w:overflowPunct/>
        <w:topLinePunct w:val="0"/>
        <w:bidi w:val="0"/>
        <w:adjustRightInd/>
        <w:snapToGrid/>
        <w:spacing w:line="360" w:lineRule="auto"/>
        <w:textAlignment w:val="auto"/>
        <w:rPr>
          <w:rFonts w:ascii="宋体" w:hAnsi="宋体" w:cs="宋体"/>
          <w:color w:val="000000"/>
          <w:szCs w:val="21"/>
        </w:rPr>
      </w:pPr>
      <w:bookmarkStart w:id="253" w:name="_Toc351203482"/>
      <w:bookmarkStart w:id="254" w:name="_Toc351203483"/>
      <w:r>
        <w:rPr>
          <w:rFonts w:hint="eastAsia" w:ascii="宋体" w:hAnsi="宋体" w:cs="宋体"/>
          <w:color w:val="000000"/>
          <w:szCs w:val="21"/>
        </w:rPr>
        <w:t>二、合同工期</w:t>
      </w:r>
      <w:bookmarkEnd w:id="253"/>
    </w:p>
    <w:p w14:paraId="1625AD02">
      <w:pPr>
        <w:keepLines w:val="0"/>
        <w:pageBreakBefore w:val="0"/>
        <w:widowControl w:val="0"/>
        <w:kinsoku/>
        <w:wordWrap/>
        <w:overflowPunct/>
        <w:topLinePunct w:val="0"/>
        <w:bidi w:val="0"/>
        <w:adjustRightInd/>
        <w:snapToGrid/>
        <w:spacing w:line="360" w:lineRule="auto"/>
        <w:ind w:firstLine="459"/>
        <w:textAlignment w:val="auto"/>
        <w:rPr>
          <w:rFonts w:ascii="宋体" w:hAnsi="宋体" w:cs="宋体"/>
          <w:color w:val="000000"/>
          <w:szCs w:val="21"/>
        </w:rPr>
      </w:pPr>
      <w:r>
        <w:rPr>
          <w:rFonts w:hint="eastAsia" w:ascii="宋体" w:hAnsi="宋体" w:cs="宋体"/>
          <w:color w:val="000000"/>
          <w:szCs w:val="21"/>
        </w:rPr>
        <w:t>计划开工日期：</w:t>
      </w:r>
      <w:r>
        <w:rPr>
          <w:rFonts w:hint="eastAsia" w:ascii="宋体" w:hAnsi="宋体" w:cs="宋体"/>
          <w:color w:val="000000"/>
          <w:szCs w:val="21"/>
          <w:u w:val="single"/>
          <w:lang w:val="en-US" w:eastAsia="zh-CN"/>
        </w:rPr>
        <w:t xml:space="preserve">    </w:t>
      </w:r>
      <w:r>
        <w:rPr>
          <w:rFonts w:hint="eastAsia" w:ascii="宋体" w:hAnsi="宋体" w:cs="宋体"/>
          <w:color w:val="000000"/>
          <w:szCs w:val="21"/>
        </w:rPr>
        <w:t>年</w:t>
      </w:r>
      <w:r>
        <w:rPr>
          <w:rFonts w:hint="eastAsia" w:ascii="宋体" w:hAnsi="宋体" w:cs="宋体"/>
          <w:color w:val="000000"/>
          <w:szCs w:val="21"/>
          <w:u w:val="single"/>
          <w:lang w:val="en-US" w:eastAsia="zh-CN"/>
        </w:rPr>
        <w:t xml:space="preserve">    </w:t>
      </w:r>
      <w:r>
        <w:rPr>
          <w:rFonts w:hint="eastAsia" w:ascii="宋体" w:hAnsi="宋体" w:cs="宋体"/>
          <w:color w:val="000000"/>
          <w:szCs w:val="21"/>
        </w:rPr>
        <w:t>月</w:t>
      </w:r>
      <w:r>
        <w:rPr>
          <w:rFonts w:hint="eastAsia" w:ascii="宋体" w:hAnsi="宋体" w:cs="宋体"/>
          <w:color w:val="000000"/>
          <w:szCs w:val="21"/>
          <w:u w:val="single"/>
          <w:lang w:val="en-US" w:eastAsia="zh-CN"/>
        </w:rPr>
        <w:t xml:space="preserve">    </w:t>
      </w:r>
      <w:r>
        <w:rPr>
          <w:rFonts w:hint="eastAsia" w:ascii="宋体" w:hAnsi="宋体" w:cs="宋体"/>
          <w:color w:val="000000"/>
          <w:szCs w:val="21"/>
        </w:rPr>
        <w:t>日。</w:t>
      </w:r>
    </w:p>
    <w:p w14:paraId="274BCD9C">
      <w:pPr>
        <w:keepLines w:val="0"/>
        <w:pageBreakBefore w:val="0"/>
        <w:widowControl w:val="0"/>
        <w:kinsoku/>
        <w:wordWrap/>
        <w:overflowPunct/>
        <w:topLinePunct w:val="0"/>
        <w:bidi w:val="0"/>
        <w:adjustRightInd/>
        <w:snapToGrid/>
        <w:spacing w:line="360" w:lineRule="auto"/>
        <w:ind w:firstLine="459"/>
        <w:textAlignment w:val="auto"/>
        <w:rPr>
          <w:rFonts w:ascii="宋体" w:hAnsi="宋体" w:cs="宋体"/>
          <w:color w:val="000000"/>
          <w:szCs w:val="21"/>
        </w:rPr>
      </w:pPr>
      <w:r>
        <w:rPr>
          <w:rFonts w:hint="eastAsia" w:ascii="宋体" w:hAnsi="宋体" w:cs="宋体"/>
          <w:color w:val="000000"/>
          <w:szCs w:val="21"/>
        </w:rPr>
        <w:t>计划竣工日期：</w:t>
      </w:r>
      <w:r>
        <w:rPr>
          <w:rFonts w:hint="eastAsia" w:ascii="宋体" w:hAnsi="宋体" w:cs="宋体"/>
          <w:color w:val="000000"/>
          <w:szCs w:val="21"/>
          <w:u w:val="single"/>
          <w:lang w:val="en-US" w:eastAsia="zh-CN"/>
        </w:rPr>
        <w:t xml:space="preserve">    </w:t>
      </w:r>
      <w:r>
        <w:rPr>
          <w:rFonts w:hint="eastAsia" w:ascii="宋体" w:hAnsi="宋体" w:cs="宋体"/>
          <w:color w:val="000000"/>
          <w:szCs w:val="21"/>
        </w:rPr>
        <w:t>年</w:t>
      </w:r>
      <w:r>
        <w:rPr>
          <w:rFonts w:hint="eastAsia" w:ascii="宋体" w:hAnsi="宋体" w:cs="宋体"/>
          <w:color w:val="000000"/>
          <w:szCs w:val="21"/>
          <w:u w:val="single"/>
          <w:lang w:val="en-US" w:eastAsia="zh-CN"/>
        </w:rPr>
        <w:t xml:space="preserve">    </w:t>
      </w:r>
      <w:r>
        <w:rPr>
          <w:rFonts w:hint="eastAsia" w:ascii="宋体" w:hAnsi="宋体" w:cs="宋体"/>
          <w:color w:val="000000"/>
          <w:szCs w:val="21"/>
        </w:rPr>
        <w:t>月</w:t>
      </w:r>
      <w:r>
        <w:rPr>
          <w:rFonts w:hint="eastAsia" w:ascii="宋体" w:hAnsi="宋体" w:cs="宋体"/>
          <w:color w:val="000000"/>
          <w:szCs w:val="21"/>
          <w:u w:val="single"/>
          <w:lang w:val="en-US" w:eastAsia="zh-CN"/>
        </w:rPr>
        <w:t xml:space="preserve">    </w:t>
      </w:r>
      <w:r>
        <w:rPr>
          <w:rFonts w:hint="eastAsia" w:ascii="宋体" w:hAnsi="宋体" w:cs="宋体"/>
          <w:color w:val="000000"/>
          <w:szCs w:val="21"/>
        </w:rPr>
        <w:t>日。</w:t>
      </w:r>
    </w:p>
    <w:p w14:paraId="6333F48D">
      <w:pPr>
        <w:keepLines w:val="0"/>
        <w:pageBreakBefore w:val="0"/>
        <w:widowControl w:val="0"/>
        <w:kinsoku/>
        <w:wordWrap/>
        <w:overflowPunct/>
        <w:topLinePunct w:val="0"/>
        <w:bidi w:val="0"/>
        <w:adjustRightInd/>
        <w:snapToGrid/>
        <w:spacing w:line="360" w:lineRule="auto"/>
        <w:ind w:firstLine="459"/>
        <w:textAlignment w:val="auto"/>
        <w:rPr>
          <w:rFonts w:ascii="宋体" w:hAnsi="宋体" w:cs="宋体"/>
          <w:color w:val="000000"/>
          <w:szCs w:val="21"/>
        </w:rPr>
      </w:pPr>
      <w:r>
        <w:rPr>
          <w:rFonts w:hint="eastAsia" w:ascii="宋体" w:hAnsi="宋体" w:cs="宋体"/>
          <w:color w:val="000000"/>
          <w:szCs w:val="21"/>
        </w:rPr>
        <w:t>工期总日历天数：</w:t>
      </w:r>
      <w:r>
        <w:rPr>
          <w:rFonts w:hint="eastAsia" w:ascii="宋体" w:hAnsi="宋体" w:cs="宋体"/>
          <w:color w:val="000000"/>
          <w:szCs w:val="21"/>
          <w:u w:val="single"/>
          <w:lang w:val="en-US" w:eastAsia="zh-CN"/>
        </w:rPr>
        <w:t xml:space="preserve">     </w:t>
      </w:r>
      <w:r>
        <w:rPr>
          <w:rFonts w:hint="eastAsia" w:ascii="宋体" w:hAnsi="宋体" w:cs="宋体"/>
          <w:color w:val="000000"/>
          <w:szCs w:val="21"/>
        </w:rPr>
        <w:t>天。</w:t>
      </w:r>
    </w:p>
    <w:p w14:paraId="093708B4">
      <w:pPr>
        <w:keepLines w:val="0"/>
        <w:pageBreakBefore w:val="0"/>
        <w:widowControl w:val="0"/>
        <w:kinsoku/>
        <w:wordWrap/>
        <w:overflowPunct/>
        <w:topLinePunct w:val="0"/>
        <w:bidi w:val="0"/>
        <w:adjustRightInd/>
        <w:snapToGrid/>
        <w:spacing w:line="360" w:lineRule="auto"/>
        <w:textAlignment w:val="auto"/>
        <w:rPr>
          <w:rFonts w:ascii="宋体" w:hAnsi="宋体" w:cs="宋体"/>
          <w:color w:val="000000"/>
          <w:szCs w:val="21"/>
        </w:rPr>
      </w:pPr>
      <w:r>
        <w:rPr>
          <w:rFonts w:hint="eastAsia" w:ascii="宋体" w:hAnsi="宋体" w:cs="宋体"/>
          <w:color w:val="000000"/>
          <w:szCs w:val="21"/>
        </w:rPr>
        <w:t>三、质量标准</w:t>
      </w:r>
      <w:bookmarkEnd w:id="254"/>
    </w:p>
    <w:p w14:paraId="70578B44">
      <w:pPr>
        <w:keepLines w:val="0"/>
        <w:pageBreakBefore w:val="0"/>
        <w:widowControl w:val="0"/>
        <w:kinsoku/>
        <w:wordWrap/>
        <w:overflowPunct/>
        <w:topLinePunct w:val="0"/>
        <w:bidi w:val="0"/>
        <w:adjustRightInd/>
        <w:snapToGrid/>
        <w:spacing w:line="360" w:lineRule="auto"/>
        <w:ind w:firstLine="459"/>
        <w:textAlignment w:val="auto"/>
        <w:rPr>
          <w:rFonts w:ascii="宋体" w:hAnsi="宋体" w:cs="宋体"/>
          <w:color w:val="000000"/>
          <w:szCs w:val="21"/>
        </w:rPr>
      </w:pPr>
      <w:r>
        <w:rPr>
          <w:rFonts w:hint="eastAsia" w:ascii="宋体" w:hAnsi="宋体" w:cs="宋体"/>
          <w:color w:val="000000"/>
          <w:szCs w:val="21"/>
        </w:rPr>
        <w:t>工程质量</w:t>
      </w:r>
      <w:r>
        <w:rPr>
          <w:rFonts w:hint="eastAsia" w:ascii="宋体" w:hAnsi="宋体" w:cs="宋体"/>
          <w:color w:val="000000"/>
          <w:szCs w:val="21"/>
          <w:lang w:eastAsia="zh-CN"/>
        </w:rPr>
        <w:t>符合</w:t>
      </w:r>
      <w:r>
        <w:rPr>
          <w:rFonts w:hint="eastAsia" w:ascii="宋体" w:hAnsi="宋体" w:cs="宋体"/>
          <w:color w:val="000000"/>
          <w:szCs w:val="21"/>
        </w:rPr>
        <w:t>国家、有关部门、行业有关管理规定，符合相关技术标准、规范及其它现行的质量验收标准。符合设计要求，一次性验收合格。工程项目以外其他内容的质量须符合相关国家、行业的最新质量验收标准。</w:t>
      </w:r>
    </w:p>
    <w:p w14:paraId="7FF2F57B">
      <w:pPr>
        <w:keepLines w:val="0"/>
        <w:pageBreakBefore w:val="0"/>
        <w:widowControl w:val="0"/>
        <w:kinsoku/>
        <w:wordWrap/>
        <w:overflowPunct/>
        <w:topLinePunct w:val="0"/>
        <w:bidi w:val="0"/>
        <w:adjustRightInd/>
        <w:snapToGrid/>
        <w:spacing w:line="360" w:lineRule="auto"/>
        <w:textAlignment w:val="auto"/>
        <w:rPr>
          <w:rFonts w:ascii="宋体" w:hAnsi="宋体" w:cs="宋体"/>
          <w:color w:val="000000"/>
          <w:szCs w:val="21"/>
        </w:rPr>
      </w:pPr>
      <w:bookmarkStart w:id="255" w:name="_Toc351203484"/>
      <w:r>
        <w:rPr>
          <w:rFonts w:hint="eastAsia" w:ascii="宋体" w:hAnsi="宋体" w:cs="宋体"/>
          <w:color w:val="000000"/>
          <w:szCs w:val="21"/>
        </w:rPr>
        <w:t>四、签约合同价与合同价格形式</w:t>
      </w:r>
      <w:bookmarkEnd w:id="255"/>
      <w:r>
        <w:rPr>
          <w:rFonts w:hint="eastAsia" w:ascii="宋体" w:hAnsi="宋体" w:cs="宋体"/>
          <w:color w:val="000000"/>
          <w:szCs w:val="21"/>
        </w:rPr>
        <w:tab/>
      </w:r>
    </w:p>
    <w:p w14:paraId="4097AFD2">
      <w:pPr>
        <w:keepLines w:val="0"/>
        <w:pageBreakBefore w:val="0"/>
        <w:widowControl w:val="0"/>
        <w:kinsoku/>
        <w:wordWrap/>
        <w:overflowPunct/>
        <w:topLinePunct w:val="0"/>
        <w:bidi w:val="0"/>
        <w:adjustRightInd/>
        <w:snapToGrid/>
        <w:spacing w:line="360" w:lineRule="auto"/>
        <w:textAlignment w:val="auto"/>
        <w:rPr>
          <w:rFonts w:ascii="宋体" w:hAnsi="宋体" w:cs="宋体"/>
          <w:color w:val="000000"/>
          <w:szCs w:val="21"/>
        </w:rPr>
      </w:pPr>
      <w:r>
        <w:rPr>
          <w:rFonts w:hint="eastAsia" w:ascii="宋体" w:hAnsi="宋体" w:cs="宋体"/>
          <w:color w:val="000000"/>
          <w:szCs w:val="21"/>
        </w:rPr>
        <w:t>1.签约合同价为：</w:t>
      </w:r>
    </w:p>
    <w:p w14:paraId="0216E305">
      <w:pPr>
        <w:keepLines w:val="0"/>
        <w:pageBreakBefore w:val="0"/>
        <w:widowControl w:val="0"/>
        <w:kinsoku/>
        <w:wordWrap/>
        <w:overflowPunct/>
        <w:topLinePunct w:val="0"/>
        <w:bidi w:val="0"/>
        <w:adjustRightInd/>
        <w:snapToGrid/>
        <w:spacing w:line="360" w:lineRule="auto"/>
        <w:textAlignment w:val="auto"/>
        <w:rPr>
          <w:rFonts w:ascii="宋体" w:hAnsi="宋体" w:cs="宋体"/>
          <w:color w:val="000000"/>
          <w:szCs w:val="21"/>
        </w:rPr>
      </w:pPr>
      <w:r>
        <w:rPr>
          <w:rFonts w:hint="eastAsia" w:ascii="宋体" w:hAnsi="宋体" w:cs="宋体"/>
          <w:color w:val="000000"/>
          <w:szCs w:val="21"/>
        </w:rPr>
        <w:t>人民币（大写）</w:t>
      </w:r>
      <w:r>
        <w:rPr>
          <w:rFonts w:hint="eastAsia" w:ascii="宋体" w:hAnsi="宋体" w:cs="宋体"/>
          <w:color w:val="000000"/>
          <w:szCs w:val="21"/>
          <w:u w:val="single"/>
          <w:lang w:val="en-US" w:eastAsia="zh-CN"/>
        </w:rPr>
        <w:t xml:space="preserve">               </w:t>
      </w:r>
      <w:r>
        <w:rPr>
          <w:rFonts w:hint="eastAsia" w:ascii="宋体" w:hAnsi="宋体" w:cs="宋体"/>
          <w:color w:val="000000"/>
          <w:szCs w:val="21"/>
          <w:u w:val="none"/>
          <w:lang w:val="en-US" w:eastAsia="zh-CN"/>
        </w:rPr>
        <w:t>，</w:t>
      </w:r>
      <w:r>
        <w:rPr>
          <w:rFonts w:hint="eastAsia" w:ascii="宋体" w:hAnsi="宋体" w:cs="宋体"/>
          <w:color w:val="000000"/>
          <w:szCs w:val="21"/>
        </w:rPr>
        <w:t xml:space="preserve"> (¥</w:t>
      </w:r>
      <w:r>
        <w:rPr>
          <w:rFonts w:hint="eastAsia" w:ascii="宋体" w:hAnsi="宋体" w:cs="宋体"/>
          <w:color w:val="000000"/>
          <w:szCs w:val="21"/>
          <w:u w:val="single"/>
          <w:lang w:val="en-US" w:eastAsia="zh-CN"/>
        </w:rPr>
        <w:t xml:space="preserve">            </w:t>
      </w:r>
      <w:r>
        <w:rPr>
          <w:rFonts w:hint="eastAsia" w:ascii="宋体" w:hAnsi="宋体" w:cs="宋体"/>
          <w:color w:val="000000"/>
          <w:szCs w:val="21"/>
        </w:rPr>
        <w:t>元</w:t>
      </w:r>
      <w:r>
        <w:rPr>
          <w:rFonts w:hint="eastAsia" w:ascii="宋体" w:hAnsi="宋体" w:cs="宋体"/>
          <w:color w:val="000000"/>
          <w:szCs w:val="21"/>
          <w:lang w:eastAsia="zh-CN"/>
        </w:rPr>
        <w:t>）</w:t>
      </w:r>
      <w:r>
        <w:rPr>
          <w:rFonts w:hint="eastAsia" w:ascii="宋体" w:hAnsi="宋体" w:cs="宋体"/>
          <w:color w:val="000000"/>
          <w:szCs w:val="21"/>
        </w:rPr>
        <w:t>；</w:t>
      </w:r>
    </w:p>
    <w:p w14:paraId="0E4F2C0E">
      <w:pPr>
        <w:keepLines w:val="0"/>
        <w:pageBreakBefore w:val="0"/>
        <w:widowControl w:val="0"/>
        <w:kinsoku/>
        <w:wordWrap/>
        <w:overflowPunct/>
        <w:topLinePunct w:val="0"/>
        <w:bidi w:val="0"/>
        <w:adjustRightInd/>
        <w:snapToGrid/>
        <w:spacing w:line="360" w:lineRule="auto"/>
        <w:textAlignment w:val="auto"/>
        <w:rPr>
          <w:rFonts w:ascii="宋体" w:hAnsi="宋体" w:cs="宋体"/>
          <w:color w:val="000000"/>
          <w:szCs w:val="21"/>
        </w:rPr>
      </w:pPr>
      <w:r>
        <w:rPr>
          <w:rFonts w:hint="eastAsia" w:ascii="宋体" w:hAnsi="宋体" w:cs="宋体"/>
          <w:color w:val="000000"/>
          <w:szCs w:val="21"/>
        </w:rPr>
        <w:t>2.合同价格形式：</w:t>
      </w:r>
      <w:r>
        <w:rPr>
          <w:rFonts w:hint="eastAsia" w:ascii="宋体" w:hAnsi="宋体" w:cs="宋体"/>
          <w:color w:val="000000"/>
          <w:szCs w:val="21"/>
          <w:u w:val="single"/>
          <w:lang w:val="en-US" w:eastAsia="zh-CN"/>
        </w:rPr>
        <w:t xml:space="preserve">     </w:t>
      </w:r>
      <w:r>
        <w:rPr>
          <w:rFonts w:hint="eastAsia" w:ascii="宋体" w:hAnsi="宋体" w:cs="宋体"/>
          <w:color w:val="000000"/>
          <w:szCs w:val="21"/>
          <w:u w:val="single"/>
        </w:rPr>
        <w:t></w:t>
      </w:r>
      <w:r>
        <w:rPr>
          <w:rFonts w:hint="eastAsia" w:ascii="宋体" w:hAnsi="宋体" w:cs="宋体"/>
          <w:color w:val="000000"/>
          <w:szCs w:val="21"/>
          <w:u w:val="none"/>
          <w:lang w:eastAsia="zh-CN"/>
        </w:rPr>
        <w:t>；</w:t>
      </w:r>
      <w:r>
        <w:rPr>
          <w:rFonts w:hint="eastAsia" w:ascii="宋体" w:hAnsi="宋体" w:cs="宋体"/>
          <w:color w:val="000000"/>
          <w:szCs w:val="21"/>
          <w:u w:val="single"/>
        </w:rPr>
        <w:t xml:space="preserve">          </w:t>
      </w:r>
    </w:p>
    <w:p w14:paraId="491250B8">
      <w:pPr>
        <w:keepLines w:val="0"/>
        <w:pageBreakBefore w:val="0"/>
        <w:widowControl w:val="0"/>
        <w:kinsoku/>
        <w:wordWrap/>
        <w:overflowPunct/>
        <w:topLinePunct w:val="0"/>
        <w:bidi w:val="0"/>
        <w:adjustRightInd/>
        <w:snapToGrid/>
        <w:spacing w:line="360" w:lineRule="auto"/>
        <w:textAlignment w:val="auto"/>
        <w:rPr>
          <w:rFonts w:hint="eastAsia" w:ascii="宋体" w:hAnsi="宋体" w:cs="宋体"/>
          <w:color w:val="000000"/>
          <w:szCs w:val="21"/>
        </w:rPr>
      </w:pPr>
      <w:bookmarkStart w:id="256" w:name="_Toc351203485"/>
      <w:r>
        <w:rPr>
          <w:rFonts w:hint="eastAsia" w:ascii="宋体" w:hAnsi="宋体" w:cs="宋体"/>
          <w:color w:val="000000"/>
          <w:szCs w:val="21"/>
        </w:rPr>
        <w:t>五、</w:t>
      </w:r>
      <w:bookmarkEnd w:id="256"/>
      <w:r>
        <w:rPr>
          <w:rFonts w:hint="eastAsia" w:ascii="宋体" w:hAnsi="宋体" w:cs="宋体"/>
          <w:color w:val="000000"/>
          <w:szCs w:val="21"/>
        </w:rPr>
        <w:t>项目经理</w:t>
      </w:r>
    </w:p>
    <w:p w14:paraId="324D29E6">
      <w:pPr>
        <w:keepLines w:val="0"/>
        <w:pageBreakBefore w:val="0"/>
        <w:widowControl w:val="0"/>
        <w:kinsoku/>
        <w:wordWrap/>
        <w:overflowPunct/>
        <w:topLinePunct w:val="0"/>
        <w:bidi w:val="0"/>
        <w:adjustRightInd/>
        <w:snapToGrid/>
        <w:spacing w:line="480" w:lineRule="auto"/>
        <w:ind w:firstLine="420" w:firstLineChars="200"/>
        <w:textAlignment w:val="auto"/>
        <w:rPr>
          <w:rFonts w:hint="default" w:ascii="宋体" w:hAnsi="宋体" w:eastAsia="宋体" w:cs="宋体"/>
          <w:color w:val="000000"/>
          <w:szCs w:val="21"/>
          <w:u w:val="none"/>
          <w:lang w:val="en-US" w:eastAsia="zh-CN"/>
        </w:rPr>
      </w:pPr>
      <w:r>
        <w:rPr>
          <w:rFonts w:hint="eastAsia" w:ascii="宋体" w:hAnsi="宋体" w:cs="宋体"/>
          <w:color w:val="000000"/>
          <w:szCs w:val="21"/>
        </w:rPr>
        <w:t>承包人项目经理：</w:t>
      </w:r>
      <w:r>
        <w:rPr>
          <w:rFonts w:hint="eastAsia" w:ascii="宋体" w:hAnsi="宋体" w:cs="宋体"/>
          <w:color w:val="000000"/>
          <w:szCs w:val="21"/>
          <w:u w:val="single"/>
          <w:lang w:val="en-US" w:eastAsia="zh-CN"/>
        </w:rPr>
        <w:t xml:space="preserve">          </w:t>
      </w:r>
      <w:r>
        <w:rPr>
          <w:rFonts w:hint="eastAsia" w:ascii="宋体" w:hAnsi="宋体" w:cs="宋体"/>
          <w:color w:val="000000"/>
          <w:szCs w:val="21"/>
          <w:u w:val="none"/>
          <w:lang w:val="en-US" w:eastAsia="zh-CN"/>
        </w:rPr>
        <w:t>；</w:t>
      </w:r>
      <w:r>
        <w:rPr>
          <w:rFonts w:hint="eastAsia" w:ascii="宋体" w:hAnsi="宋体" w:cs="宋体"/>
          <w:color w:val="000000"/>
          <w:szCs w:val="21"/>
        </w:rPr>
        <w:t>职称：</w:t>
      </w:r>
      <w:r>
        <w:rPr>
          <w:rFonts w:hint="eastAsia" w:ascii="宋体" w:hAnsi="宋体" w:cs="宋体"/>
          <w:color w:val="000000"/>
          <w:szCs w:val="21"/>
          <w:u w:val="single"/>
          <w:lang w:val="en-US" w:eastAsia="zh-CN"/>
        </w:rPr>
        <w:t xml:space="preserve">       </w:t>
      </w:r>
      <w:r>
        <w:rPr>
          <w:rFonts w:hint="eastAsia" w:ascii="宋体" w:hAnsi="宋体" w:cs="宋体"/>
          <w:color w:val="000000"/>
          <w:szCs w:val="21"/>
          <w:u w:val="none"/>
          <w:lang w:val="en-US" w:eastAsia="zh-CN"/>
        </w:rPr>
        <w:t>；</w:t>
      </w:r>
    </w:p>
    <w:p w14:paraId="52B478B8">
      <w:pPr>
        <w:keepLines w:val="0"/>
        <w:pageBreakBefore w:val="0"/>
        <w:widowControl w:val="0"/>
        <w:kinsoku/>
        <w:wordWrap/>
        <w:overflowPunct/>
        <w:topLinePunct w:val="0"/>
        <w:bidi w:val="0"/>
        <w:adjustRightInd/>
        <w:snapToGrid/>
        <w:spacing w:line="360" w:lineRule="auto"/>
        <w:ind w:firstLine="420" w:firstLineChars="200"/>
        <w:textAlignment w:val="auto"/>
        <w:rPr>
          <w:rFonts w:hint="default" w:ascii="宋体" w:hAnsi="宋体" w:eastAsia="宋体" w:cs="宋体"/>
          <w:color w:val="000000"/>
          <w:szCs w:val="21"/>
          <w:u w:val="single"/>
          <w:lang w:val="en-US" w:eastAsia="zh-CN"/>
        </w:rPr>
      </w:pPr>
      <w:r>
        <w:rPr>
          <w:rFonts w:hint="eastAsia" w:ascii="宋体" w:hAnsi="宋体" w:cs="宋体"/>
          <w:color w:val="000000"/>
          <w:szCs w:val="21"/>
        </w:rPr>
        <w:t>身份证号：</w:t>
      </w:r>
      <w:r>
        <w:rPr>
          <w:rFonts w:hint="eastAsia" w:ascii="宋体" w:hAnsi="宋体" w:cs="宋体"/>
          <w:color w:val="000000"/>
          <w:szCs w:val="21"/>
          <w:u w:val="single"/>
          <w:lang w:val="en-US" w:eastAsia="zh-CN"/>
        </w:rPr>
        <w:t xml:space="preserve">                 </w:t>
      </w:r>
      <w:r>
        <w:rPr>
          <w:rFonts w:hint="eastAsia" w:ascii="宋体" w:hAnsi="宋体" w:cs="宋体"/>
          <w:color w:val="000000"/>
          <w:szCs w:val="21"/>
          <w:u w:val="none"/>
          <w:lang w:val="en-US" w:eastAsia="zh-CN"/>
        </w:rPr>
        <w:t>；</w:t>
      </w:r>
    </w:p>
    <w:p w14:paraId="7F28F292">
      <w:pPr>
        <w:keepLines w:val="0"/>
        <w:pageBreakBefore w:val="0"/>
        <w:widowControl w:val="0"/>
        <w:kinsoku/>
        <w:wordWrap/>
        <w:overflowPunct/>
        <w:topLinePunct w:val="0"/>
        <w:bidi w:val="0"/>
        <w:adjustRightInd/>
        <w:snapToGrid/>
        <w:spacing w:line="360" w:lineRule="auto"/>
        <w:ind w:firstLine="420" w:firstLineChars="200"/>
        <w:textAlignment w:val="auto"/>
        <w:rPr>
          <w:rFonts w:ascii="宋体" w:hAnsi="宋体" w:cs="宋体"/>
          <w:color w:val="000000"/>
          <w:szCs w:val="21"/>
        </w:rPr>
      </w:pPr>
      <w:r>
        <w:rPr>
          <w:rFonts w:hint="eastAsia" w:ascii="宋体" w:hAnsi="宋体" w:cs="宋体"/>
          <w:color w:val="000000"/>
          <w:szCs w:val="21"/>
        </w:rPr>
        <w:t>建造师执业资格等级：</w:t>
      </w:r>
      <w:r>
        <w:rPr>
          <w:rFonts w:hint="eastAsia" w:ascii="宋体" w:hAnsi="宋体" w:cs="宋体"/>
          <w:color w:val="000000"/>
          <w:szCs w:val="21"/>
          <w:u w:val="single"/>
          <w:lang w:val="en-US" w:eastAsia="zh-CN"/>
        </w:rPr>
        <w:t xml:space="preserve">      </w:t>
      </w:r>
      <w:r>
        <w:rPr>
          <w:rFonts w:hint="eastAsia" w:ascii="宋体" w:hAnsi="宋体" w:cs="宋体"/>
          <w:color w:val="000000"/>
          <w:szCs w:val="21"/>
        </w:rPr>
        <w:t>；</w:t>
      </w:r>
    </w:p>
    <w:p w14:paraId="030CAB7B">
      <w:pPr>
        <w:keepLines w:val="0"/>
        <w:pageBreakBefore w:val="0"/>
        <w:widowControl w:val="0"/>
        <w:kinsoku/>
        <w:wordWrap/>
        <w:overflowPunct/>
        <w:topLinePunct w:val="0"/>
        <w:bidi w:val="0"/>
        <w:adjustRightInd/>
        <w:snapToGrid/>
        <w:spacing w:line="360" w:lineRule="auto"/>
        <w:ind w:firstLine="420" w:firstLineChars="200"/>
        <w:textAlignment w:val="auto"/>
        <w:rPr>
          <w:rFonts w:ascii="宋体" w:hAnsi="宋体" w:cs="宋体"/>
          <w:color w:val="000000"/>
          <w:szCs w:val="21"/>
          <w:u w:val="single"/>
        </w:rPr>
      </w:pPr>
      <w:r>
        <w:rPr>
          <w:rFonts w:hint="eastAsia" w:ascii="宋体" w:hAnsi="宋体" w:cs="宋体"/>
          <w:color w:val="000000"/>
          <w:szCs w:val="21"/>
        </w:rPr>
        <w:t>建造师注册证书号：</w:t>
      </w:r>
      <w:r>
        <w:rPr>
          <w:rFonts w:hint="eastAsia" w:ascii="宋体" w:hAnsi="宋体" w:cs="宋体"/>
          <w:color w:val="000000"/>
          <w:szCs w:val="21"/>
          <w:u w:val="single"/>
          <w:lang w:val="en-US" w:eastAsia="zh-CN"/>
        </w:rPr>
        <w:t xml:space="preserve">        </w:t>
      </w:r>
      <w:r>
        <w:rPr>
          <w:rFonts w:hint="eastAsia" w:ascii="宋体" w:hAnsi="宋体" w:cs="宋体"/>
          <w:color w:val="000000"/>
          <w:szCs w:val="21"/>
        </w:rPr>
        <w:t>；</w:t>
      </w:r>
    </w:p>
    <w:p w14:paraId="3789B3E5">
      <w:pPr>
        <w:keepLines w:val="0"/>
        <w:pageBreakBefore w:val="0"/>
        <w:widowControl w:val="0"/>
        <w:kinsoku/>
        <w:wordWrap/>
        <w:overflowPunct/>
        <w:topLinePunct w:val="0"/>
        <w:bidi w:val="0"/>
        <w:adjustRightInd/>
        <w:snapToGrid/>
        <w:spacing w:line="360" w:lineRule="auto"/>
        <w:ind w:firstLine="420" w:firstLineChars="200"/>
        <w:textAlignment w:val="auto"/>
        <w:rPr>
          <w:rFonts w:ascii="宋体" w:hAnsi="宋体" w:cs="宋体"/>
          <w:color w:val="000000"/>
          <w:szCs w:val="21"/>
          <w:u w:val="single"/>
        </w:rPr>
      </w:pPr>
      <w:r>
        <w:rPr>
          <w:rFonts w:hint="eastAsia" w:ascii="宋体" w:hAnsi="宋体" w:cs="宋体"/>
          <w:color w:val="000000"/>
          <w:szCs w:val="21"/>
        </w:rPr>
        <w:t>建造师执业印章号：</w:t>
      </w:r>
      <w:r>
        <w:rPr>
          <w:rFonts w:hint="eastAsia" w:ascii="宋体" w:hAnsi="宋体" w:cs="宋体"/>
          <w:color w:val="000000"/>
          <w:szCs w:val="21"/>
          <w:u w:val="single"/>
          <w:lang w:val="en-US" w:eastAsia="zh-CN"/>
        </w:rPr>
        <w:t xml:space="preserve">        </w:t>
      </w:r>
      <w:r>
        <w:rPr>
          <w:rFonts w:hint="eastAsia" w:ascii="宋体" w:hAnsi="宋体" w:cs="宋体"/>
          <w:color w:val="000000"/>
          <w:szCs w:val="21"/>
        </w:rPr>
        <w:t>；</w:t>
      </w:r>
    </w:p>
    <w:p w14:paraId="37377015">
      <w:pPr>
        <w:keepLines w:val="0"/>
        <w:pageBreakBefore w:val="0"/>
        <w:widowControl w:val="0"/>
        <w:kinsoku/>
        <w:wordWrap/>
        <w:overflowPunct/>
        <w:topLinePunct w:val="0"/>
        <w:bidi w:val="0"/>
        <w:adjustRightInd/>
        <w:snapToGrid/>
        <w:spacing w:line="360" w:lineRule="auto"/>
        <w:ind w:firstLine="420" w:firstLineChars="200"/>
        <w:textAlignment w:val="auto"/>
        <w:rPr>
          <w:rFonts w:ascii="宋体" w:hAnsi="宋体" w:cs="宋体"/>
          <w:color w:val="000000"/>
          <w:szCs w:val="21"/>
          <w:u w:val="single"/>
        </w:rPr>
      </w:pPr>
      <w:r>
        <w:rPr>
          <w:rFonts w:hint="eastAsia" w:ascii="宋体" w:hAnsi="宋体" w:cs="宋体"/>
          <w:color w:val="000000"/>
          <w:szCs w:val="21"/>
        </w:rPr>
        <w:t>安全生产考核合格证号：</w:t>
      </w:r>
      <w:r>
        <w:rPr>
          <w:rFonts w:hint="eastAsia" w:ascii="宋体" w:hAnsi="宋体" w:cs="宋体"/>
          <w:color w:val="000000"/>
          <w:szCs w:val="21"/>
          <w:u w:val="single"/>
          <w:lang w:val="en-US" w:eastAsia="zh-CN"/>
        </w:rPr>
        <w:t xml:space="preserve">    </w:t>
      </w:r>
      <w:r>
        <w:rPr>
          <w:rFonts w:hint="eastAsia" w:ascii="宋体" w:hAnsi="宋体" w:cs="宋体"/>
          <w:color w:val="000000"/>
          <w:szCs w:val="21"/>
        </w:rPr>
        <w:t>；</w:t>
      </w:r>
    </w:p>
    <w:p w14:paraId="3F00560C">
      <w:pPr>
        <w:keepLines w:val="0"/>
        <w:pageBreakBefore w:val="0"/>
        <w:widowControl w:val="0"/>
        <w:kinsoku/>
        <w:wordWrap/>
        <w:overflowPunct/>
        <w:topLinePunct w:val="0"/>
        <w:bidi w:val="0"/>
        <w:adjustRightInd/>
        <w:snapToGrid/>
        <w:spacing w:line="360" w:lineRule="auto"/>
        <w:ind w:firstLine="420" w:firstLineChars="200"/>
        <w:textAlignment w:val="auto"/>
        <w:rPr>
          <w:rFonts w:ascii="宋体" w:hAnsi="宋体" w:cs="宋体"/>
          <w:color w:val="000000"/>
          <w:szCs w:val="21"/>
        </w:rPr>
      </w:pPr>
      <w:r>
        <w:rPr>
          <w:rFonts w:hint="eastAsia" w:ascii="宋体" w:hAnsi="宋体" w:cs="宋体"/>
          <w:color w:val="000000"/>
          <w:szCs w:val="21"/>
        </w:rPr>
        <w:t>联系电话：</w:t>
      </w:r>
      <w:r>
        <w:rPr>
          <w:rFonts w:hint="eastAsia" w:ascii="宋体" w:hAnsi="宋体" w:cs="宋体"/>
          <w:color w:val="000000"/>
          <w:szCs w:val="21"/>
          <w:u w:val="single"/>
          <w:lang w:val="en-US" w:eastAsia="zh-CN"/>
        </w:rPr>
        <w:t xml:space="preserve">                </w:t>
      </w:r>
      <w:r>
        <w:rPr>
          <w:rFonts w:hint="eastAsia" w:ascii="宋体" w:hAnsi="宋体" w:cs="宋体"/>
          <w:color w:val="000000"/>
          <w:szCs w:val="21"/>
        </w:rPr>
        <w:t xml:space="preserve">；   </w:t>
      </w:r>
    </w:p>
    <w:p w14:paraId="3F1EEB7F">
      <w:pPr>
        <w:keepLines w:val="0"/>
        <w:pageBreakBefore w:val="0"/>
        <w:widowControl w:val="0"/>
        <w:kinsoku/>
        <w:wordWrap/>
        <w:overflowPunct/>
        <w:topLinePunct w:val="0"/>
        <w:bidi w:val="0"/>
        <w:adjustRightInd/>
        <w:snapToGrid/>
        <w:spacing w:line="360" w:lineRule="auto"/>
        <w:ind w:firstLine="420" w:firstLineChars="200"/>
        <w:textAlignment w:val="auto"/>
        <w:rPr>
          <w:rFonts w:ascii="宋体" w:hAnsi="宋体" w:cs="宋体"/>
          <w:color w:val="000000"/>
          <w:szCs w:val="21"/>
        </w:rPr>
      </w:pPr>
      <w:r>
        <w:rPr>
          <w:rFonts w:hint="eastAsia" w:ascii="宋体" w:hAnsi="宋体" w:cs="宋体"/>
          <w:color w:val="000000"/>
          <w:szCs w:val="21"/>
        </w:rPr>
        <w:t>电子信箱：</w:t>
      </w:r>
      <w:r>
        <w:rPr>
          <w:rFonts w:hint="eastAsia" w:ascii="宋体" w:hAnsi="宋体" w:cs="宋体"/>
          <w:color w:val="000000"/>
          <w:szCs w:val="21"/>
          <w:u w:val="single"/>
          <w:lang w:val="en-US" w:eastAsia="zh-CN"/>
        </w:rPr>
        <w:t xml:space="preserve">                </w:t>
      </w:r>
      <w:r>
        <w:rPr>
          <w:rFonts w:hint="eastAsia" w:ascii="宋体" w:hAnsi="宋体" w:cs="宋体"/>
          <w:color w:val="000000"/>
          <w:szCs w:val="21"/>
        </w:rPr>
        <w:t xml:space="preserve">；  </w:t>
      </w:r>
    </w:p>
    <w:p w14:paraId="5C43D892">
      <w:pPr>
        <w:keepLines w:val="0"/>
        <w:pageBreakBefore w:val="0"/>
        <w:widowControl w:val="0"/>
        <w:kinsoku/>
        <w:wordWrap/>
        <w:overflowPunct/>
        <w:topLinePunct w:val="0"/>
        <w:bidi w:val="0"/>
        <w:adjustRightInd/>
        <w:snapToGrid/>
        <w:spacing w:line="360" w:lineRule="auto"/>
        <w:ind w:firstLine="420" w:firstLineChars="200"/>
        <w:textAlignment w:val="auto"/>
        <w:rPr>
          <w:rFonts w:ascii="宋体" w:hAnsi="宋体" w:cs="宋体"/>
          <w:color w:val="000000"/>
          <w:szCs w:val="21"/>
        </w:rPr>
      </w:pPr>
      <w:r>
        <w:rPr>
          <w:rFonts w:hint="eastAsia" w:ascii="宋体" w:hAnsi="宋体" w:cs="宋体"/>
          <w:color w:val="000000"/>
          <w:szCs w:val="21"/>
        </w:rPr>
        <w:t>通信地址：</w:t>
      </w:r>
      <w:r>
        <w:rPr>
          <w:rFonts w:hint="eastAsia" w:ascii="宋体" w:hAnsi="宋体" w:cs="宋体"/>
          <w:color w:val="000000"/>
          <w:szCs w:val="21"/>
          <w:u w:val="single"/>
          <w:lang w:val="en-US" w:eastAsia="zh-CN"/>
        </w:rPr>
        <w:t xml:space="preserve">                </w:t>
      </w:r>
      <w:r>
        <w:rPr>
          <w:rFonts w:hint="eastAsia" w:ascii="宋体" w:hAnsi="宋体" w:cs="宋体"/>
          <w:color w:val="000000"/>
          <w:szCs w:val="21"/>
        </w:rPr>
        <w:t xml:space="preserve">；  </w:t>
      </w:r>
    </w:p>
    <w:p w14:paraId="68544FD1">
      <w:pPr>
        <w:keepLines w:val="0"/>
        <w:pageBreakBefore w:val="0"/>
        <w:widowControl w:val="0"/>
        <w:kinsoku/>
        <w:wordWrap/>
        <w:overflowPunct/>
        <w:topLinePunct w:val="0"/>
        <w:bidi w:val="0"/>
        <w:adjustRightInd/>
        <w:snapToGrid/>
        <w:spacing w:line="360" w:lineRule="auto"/>
        <w:ind w:firstLine="420" w:firstLineChars="200"/>
        <w:textAlignment w:val="auto"/>
        <w:rPr>
          <w:rFonts w:ascii="宋体" w:hAnsi="宋体" w:cs="宋体"/>
          <w:color w:val="000000"/>
          <w:szCs w:val="21"/>
          <w:u w:val="single"/>
        </w:rPr>
      </w:pPr>
      <w:r>
        <w:rPr>
          <w:rFonts w:hint="eastAsia" w:ascii="宋体" w:hAnsi="宋体" w:cs="宋体"/>
          <w:color w:val="000000"/>
          <w:szCs w:val="21"/>
        </w:rPr>
        <w:t>承包人对项目经理的授权范围如下：</w:t>
      </w:r>
      <w:r>
        <w:rPr>
          <w:rFonts w:hint="eastAsia" w:ascii="宋体" w:hAnsi="宋体" w:cs="宋体"/>
          <w:color w:val="000000"/>
          <w:szCs w:val="21"/>
          <w:u w:val="single"/>
        </w:rPr>
        <w:t>全面履行本合同及实施。</w:t>
      </w:r>
    </w:p>
    <w:p w14:paraId="5F79E07F">
      <w:pPr>
        <w:keepLines w:val="0"/>
        <w:pageBreakBefore w:val="0"/>
        <w:widowControl w:val="0"/>
        <w:kinsoku/>
        <w:wordWrap/>
        <w:overflowPunct/>
        <w:topLinePunct w:val="0"/>
        <w:bidi w:val="0"/>
        <w:adjustRightInd/>
        <w:snapToGrid/>
        <w:spacing w:line="360" w:lineRule="auto"/>
        <w:textAlignment w:val="auto"/>
        <w:rPr>
          <w:rFonts w:hint="eastAsia" w:ascii="宋体" w:hAnsi="宋体" w:cs="宋体"/>
          <w:color w:val="000000"/>
          <w:szCs w:val="21"/>
        </w:rPr>
      </w:pPr>
      <w:bookmarkStart w:id="257" w:name="_Toc351203486"/>
      <w:r>
        <w:rPr>
          <w:rFonts w:hint="eastAsia" w:ascii="宋体" w:hAnsi="宋体" w:cs="宋体"/>
          <w:color w:val="000000"/>
          <w:szCs w:val="21"/>
        </w:rPr>
        <w:t>六、合同文件构成</w:t>
      </w:r>
      <w:bookmarkEnd w:id="257"/>
    </w:p>
    <w:p w14:paraId="45F7EAD0">
      <w:pPr>
        <w:keepLines w:val="0"/>
        <w:pageBreakBefore w:val="0"/>
        <w:widowControl w:val="0"/>
        <w:kinsoku/>
        <w:wordWrap/>
        <w:overflowPunct/>
        <w:topLinePunct w:val="0"/>
        <w:bidi w:val="0"/>
        <w:adjustRightInd/>
        <w:snapToGrid/>
        <w:spacing w:line="360" w:lineRule="auto"/>
        <w:ind w:firstLine="420" w:firstLineChars="200"/>
        <w:textAlignment w:val="auto"/>
        <w:rPr>
          <w:rFonts w:ascii="宋体" w:hAnsi="宋体" w:cs="宋体"/>
          <w:bCs/>
          <w:color w:val="000000"/>
          <w:szCs w:val="21"/>
        </w:rPr>
      </w:pPr>
      <w:r>
        <w:rPr>
          <w:rFonts w:hint="eastAsia" w:ascii="宋体" w:hAnsi="宋体" w:cs="宋体"/>
          <w:bCs/>
          <w:color w:val="000000"/>
          <w:szCs w:val="21"/>
        </w:rPr>
        <w:t>本协议书与下列文件一起构成合同文件：</w:t>
      </w:r>
    </w:p>
    <w:p w14:paraId="03782FA0">
      <w:pPr>
        <w:keepLines w:val="0"/>
        <w:pageBreakBefore w:val="0"/>
        <w:widowControl w:val="0"/>
        <w:kinsoku/>
        <w:wordWrap/>
        <w:overflowPunct/>
        <w:topLinePunct w:val="0"/>
        <w:autoSpaceDE w:val="0"/>
        <w:autoSpaceDN w:val="0"/>
        <w:bidi w:val="0"/>
        <w:adjustRightInd/>
        <w:snapToGrid/>
        <w:spacing w:line="360" w:lineRule="auto"/>
        <w:ind w:firstLine="420" w:firstLineChars="200"/>
        <w:textAlignment w:val="auto"/>
        <w:rPr>
          <w:rFonts w:ascii="宋体" w:hAnsi="宋体" w:cs="宋体"/>
          <w:color w:val="000000"/>
          <w:szCs w:val="21"/>
        </w:rPr>
      </w:pPr>
      <w:r>
        <w:rPr>
          <w:rFonts w:hint="eastAsia" w:ascii="宋体" w:hAnsi="宋体" w:cs="宋体"/>
          <w:color w:val="000000"/>
          <w:szCs w:val="21"/>
        </w:rPr>
        <w:t>（1）中标</w:t>
      </w:r>
      <w:r>
        <w:rPr>
          <w:rFonts w:hint="eastAsia" w:ascii="宋体" w:hAnsi="宋体" w:cs="宋体"/>
          <w:color w:val="000000"/>
          <w:szCs w:val="21"/>
          <w:lang w:eastAsia="zh-CN"/>
        </w:rPr>
        <w:t>（</w:t>
      </w:r>
      <w:r>
        <w:rPr>
          <w:rFonts w:hint="eastAsia" w:ascii="宋体" w:hAnsi="宋体" w:cs="宋体"/>
          <w:color w:val="000000"/>
          <w:szCs w:val="21"/>
          <w:lang w:val="en-US" w:eastAsia="zh-CN"/>
        </w:rPr>
        <w:t>成交</w:t>
      </w:r>
      <w:r>
        <w:rPr>
          <w:rFonts w:hint="eastAsia" w:ascii="宋体" w:hAnsi="宋体" w:cs="宋体"/>
          <w:color w:val="000000"/>
          <w:szCs w:val="21"/>
          <w:lang w:eastAsia="zh-CN"/>
        </w:rPr>
        <w:t>）</w:t>
      </w:r>
      <w:r>
        <w:rPr>
          <w:rFonts w:hint="eastAsia" w:ascii="宋体" w:hAnsi="宋体" w:cs="宋体"/>
          <w:color w:val="000000"/>
          <w:szCs w:val="21"/>
        </w:rPr>
        <w:t>通知书；</w:t>
      </w:r>
    </w:p>
    <w:p w14:paraId="55AAB694">
      <w:pPr>
        <w:keepLines w:val="0"/>
        <w:pageBreakBefore w:val="0"/>
        <w:widowControl w:val="0"/>
        <w:kinsoku/>
        <w:wordWrap/>
        <w:overflowPunct/>
        <w:topLinePunct w:val="0"/>
        <w:autoSpaceDE w:val="0"/>
        <w:autoSpaceDN w:val="0"/>
        <w:bidi w:val="0"/>
        <w:adjustRightInd/>
        <w:snapToGrid/>
        <w:spacing w:line="360" w:lineRule="auto"/>
        <w:ind w:firstLine="420" w:firstLineChars="200"/>
        <w:textAlignment w:val="auto"/>
        <w:rPr>
          <w:rFonts w:ascii="宋体" w:hAnsi="宋体" w:cs="宋体"/>
          <w:color w:val="000000"/>
          <w:szCs w:val="21"/>
        </w:rPr>
      </w:pPr>
      <w:r>
        <w:rPr>
          <w:rFonts w:hint="eastAsia" w:ascii="宋体" w:hAnsi="宋体" w:cs="宋体"/>
          <w:color w:val="000000"/>
          <w:szCs w:val="21"/>
        </w:rPr>
        <w:t xml:space="preserve">（2）投标函及其附录； </w:t>
      </w:r>
    </w:p>
    <w:p w14:paraId="3285EC87">
      <w:pPr>
        <w:keepLines w:val="0"/>
        <w:pageBreakBefore w:val="0"/>
        <w:widowControl w:val="0"/>
        <w:kinsoku/>
        <w:wordWrap/>
        <w:overflowPunct/>
        <w:topLinePunct w:val="0"/>
        <w:autoSpaceDE w:val="0"/>
        <w:autoSpaceDN w:val="0"/>
        <w:bidi w:val="0"/>
        <w:adjustRightInd/>
        <w:snapToGrid/>
        <w:spacing w:line="360" w:lineRule="auto"/>
        <w:ind w:firstLine="420" w:firstLineChars="200"/>
        <w:textAlignment w:val="auto"/>
        <w:rPr>
          <w:rFonts w:ascii="宋体" w:hAnsi="宋体" w:cs="宋体"/>
          <w:color w:val="000000"/>
          <w:szCs w:val="21"/>
        </w:rPr>
      </w:pPr>
      <w:r>
        <w:rPr>
          <w:rFonts w:hint="eastAsia" w:ascii="宋体" w:hAnsi="宋体" w:cs="宋体"/>
          <w:color w:val="000000"/>
          <w:szCs w:val="21"/>
        </w:rPr>
        <w:t>（3）专用合同条款及其附件；</w:t>
      </w:r>
    </w:p>
    <w:p w14:paraId="3B809A5A">
      <w:pPr>
        <w:keepLines w:val="0"/>
        <w:pageBreakBefore w:val="0"/>
        <w:widowControl w:val="0"/>
        <w:kinsoku/>
        <w:wordWrap/>
        <w:overflowPunct/>
        <w:topLinePunct w:val="0"/>
        <w:autoSpaceDE w:val="0"/>
        <w:autoSpaceDN w:val="0"/>
        <w:bidi w:val="0"/>
        <w:adjustRightInd/>
        <w:snapToGrid/>
        <w:spacing w:line="360" w:lineRule="auto"/>
        <w:ind w:firstLine="420" w:firstLineChars="200"/>
        <w:textAlignment w:val="auto"/>
        <w:rPr>
          <w:rFonts w:ascii="宋体" w:hAnsi="宋体" w:cs="宋体"/>
          <w:color w:val="000000"/>
          <w:szCs w:val="21"/>
        </w:rPr>
      </w:pPr>
      <w:r>
        <w:rPr>
          <w:rFonts w:hint="eastAsia" w:ascii="宋体" w:hAnsi="宋体" w:cs="宋体"/>
          <w:color w:val="000000"/>
          <w:szCs w:val="21"/>
        </w:rPr>
        <w:t>（4）通用合同条款；</w:t>
      </w:r>
    </w:p>
    <w:p w14:paraId="50D3EC42">
      <w:pPr>
        <w:keepLines w:val="0"/>
        <w:pageBreakBefore w:val="0"/>
        <w:widowControl w:val="0"/>
        <w:kinsoku/>
        <w:wordWrap/>
        <w:overflowPunct/>
        <w:topLinePunct w:val="0"/>
        <w:autoSpaceDE w:val="0"/>
        <w:autoSpaceDN w:val="0"/>
        <w:bidi w:val="0"/>
        <w:adjustRightInd/>
        <w:snapToGrid/>
        <w:spacing w:line="360" w:lineRule="auto"/>
        <w:ind w:firstLine="420" w:firstLineChars="200"/>
        <w:textAlignment w:val="auto"/>
        <w:rPr>
          <w:rFonts w:ascii="宋体" w:hAnsi="宋体" w:cs="宋体"/>
          <w:color w:val="000000"/>
          <w:szCs w:val="21"/>
        </w:rPr>
      </w:pPr>
      <w:r>
        <w:rPr>
          <w:rFonts w:hint="eastAsia" w:ascii="宋体" w:hAnsi="宋体" w:cs="宋体"/>
          <w:color w:val="000000"/>
          <w:szCs w:val="21"/>
        </w:rPr>
        <w:t>（5）技术标准和要求；</w:t>
      </w:r>
    </w:p>
    <w:p w14:paraId="7D809DB2">
      <w:pPr>
        <w:keepLines w:val="0"/>
        <w:pageBreakBefore w:val="0"/>
        <w:widowControl w:val="0"/>
        <w:kinsoku/>
        <w:wordWrap/>
        <w:overflowPunct/>
        <w:topLinePunct w:val="0"/>
        <w:autoSpaceDE w:val="0"/>
        <w:autoSpaceDN w:val="0"/>
        <w:bidi w:val="0"/>
        <w:adjustRightInd/>
        <w:snapToGrid/>
        <w:spacing w:line="360" w:lineRule="auto"/>
        <w:ind w:firstLine="420" w:firstLineChars="200"/>
        <w:textAlignment w:val="auto"/>
        <w:rPr>
          <w:rFonts w:ascii="宋体" w:hAnsi="宋体" w:cs="宋体"/>
          <w:color w:val="000000"/>
          <w:szCs w:val="21"/>
        </w:rPr>
      </w:pPr>
      <w:r>
        <w:rPr>
          <w:rFonts w:hint="eastAsia" w:ascii="宋体" w:hAnsi="宋体" w:cs="宋体"/>
          <w:color w:val="000000"/>
          <w:szCs w:val="21"/>
        </w:rPr>
        <w:t>（6）图纸；</w:t>
      </w:r>
    </w:p>
    <w:p w14:paraId="1F5C3F35">
      <w:pPr>
        <w:keepLines w:val="0"/>
        <w:pageBreakBefore w:val="0"/>
        <w:widowControl w:val="0"/>
        <w:kinsoku/>
        <w:wordWrap/>
        <w:overflowPunct/>
        <w:topLinePunct w:val="0"/>
        <w:autoSpaceDE w:val="0"/>
        <w:autoSpaceDN w:val="0"/>
        <w:bidi w:val="0"/>
        <w:adjustRightInd/>
        <w:snapToGrid/>
        <w:spacing w:line="360" w:lineRule="auto"/>
        <w:ind w:firstLine="420" w:firstLineChars="200"/>
        <w:textAlignment w:val="auto"/>
        <w:rPr>
          <w:rFonts w:ascii="宋体" w:hAnsi="宋体" w:cs="宋体"/>
          <w:color w:val="000000"/>
          <w:szCs w:val="21"/>
        </w:rPr>
      </w:pPr>
      <w:r>
        <w:rPr>
          <w:rFonts w:hint="eastAsia" w:ascii="宋体" w:hAnsi="宋体" w:cs="宋体"/>
          <w:color w:val="000000"/>
          <w:szCs w:val="21"/>
        </w:rPr>
        <w:t>（7）已标价工程量清单或预算书；</w:t>
      </w:r>
    </w:p>
    <w:p w14:paraId="3DB4DC27">
      <w:pPr>
        <w:keepLines w:val="0"/>
        <w:pageBreakBefore w:val="0"/>
        <w:widowControl w:val="0"/>
        <w:kinsoku/>
        <w:wordWrap/>
        <w:overflowPunct/>
        <w:topLinePunct w:val="0"/>
        <w:autoSpaceDE w:val="0"/>
        <w:autoSpaceDN w:val="0"/>
        <w:bidi w:val="0"/>
        <w:adjustRightInd/>
        <w:snapToGrid/>
        <w:spacing w:line="360" w:lineRule="auto"/>
        <w:ind w:firstLine="420" w:firstLineChars="200"/>
        <w:textAlignment w:val="auto"/>
        <w:rPr>
          <w:rFonts w:ascii="宋体" w:hAnsi="宋体" w:cs="宋体"/>
          <w:color w:val="000000"/>
          <w:szCs w:val="21"/>
        </w:rPr>
      </w:pPr>
      <w:r>
        <w:rPr>
          <w:rFonts w:hint="eastAsia" w:ascii="宋体" w:hAnsi="宋体" w:cs="宋体"/>
          <w:color w:val="000000"/>
          <w:szCs w:val="21"/>
        </w:rPr>
        <w:t>（8）其他合同文件。</w:t>
      </w:r>
    </w:p>
    <w:p w14:paraId="709AFE97">
      <w:pPr>
        <w:keepLines w:val="0"/>
        <w:pageBreakBefore w:val="0"/>
        <w:widowControl w:val="0"/>
        <w:kinsoku/>
        <w:wordWrap/>
        <w:overflowPunct/>
        <w:topLinePunct w:val="0"/>
        <w:autoSpaceDE w:val="0"/>
        <w:autoSpaceDN w:val="0"/>
        <w:bidi w:val="0"/>
        <w:adjustRightInd/>
        <w:snapToGrid/>
        <w:spacing w:line="360" w:lineRule="auto"/>
        <w:ind w:firstLine="420" w:firstLineChars="200"/>
        <w:textAlignment w:val="auto"/>
        <w:rPr>
          <w:rFonts w:ascii="宋体" w:hAnsi="宋体" w:cs="宋体"/>
          <w:color w:val="000000"/>
          <w:szCs w:val="21"/>
        </w:rPr>
      </w:pPr>
      <w:r>
        <w:rPr>
          <w:rFonts w:hint="eastAsia" w:ascii="宋体" w:hAnsi="宋体" w:cs="宋体"/>
          <w:color w:val="000000"/>
          <w:szCs w:val="21"/>
        </w:rPr>
        <w:t>在合同订立及履行过程中形成的与合同有关的文件均构成合同文件组成部分。</w:t>
      </w:r>
    </w:p>
    <w:p w14:paraId="167A1C0D">
      <w:pPr>
        <w:keepLines w:val="0"/>
        <w:pageBreakBefore w:val="0"/>
        <w:widowControl w:val="0"/>
        <w:kinsoku/>
        <w:wordWrap/>
        <w:overflowPunct/>
        <w:topLinePunct w:val="0"/>
        <w:autoSpaceDE w:val="0"/>
        <w:autoSpaceDN w:val="0"/>
        <w:bidi w:val="0"/>
        <w:adjustRightInd/>
        <w:snapToGrid/>
        <w:spacing w:line="360" w:lineRule="auto"/>
        <w:ind w:firstLine="420" w:firstLineChars="200"/>
        <w:textAlignment w:val="auto"/>
        <w:rPr>
          <w:rFonts w:ascii="宋体" w:hAnsi="宋体" w:cs="宋体"/>
          <w:color w:val="000000"/>
          <w:szCs w:val="21"/>
        </w:rPr>
      </w:pPr>
      <w:r>
        <w:rPr>
          <w:rFonts w:hint="eastAsia" w:ascii="宋体" w:hAnsi="宋体" w:cs="宋体"/>
          <w:color w:val="000000"/>
          <w:szCs w:val="21"/>
        </w:rPr>
        <w:t>上述各项合同文件包括合同当事人就该项合同文件所作出的补充和修改，属于同一类内容的文件，应以最新签署的为准。专用合同条款及其附件须经合同当事人签字或盖章。</w:t>
      </w:r>
    </w:p>
    <w:p w14:paraId="65B621AF">
      <w:pPr>
        <w:pStyle w:val="5"/>
        <w:keepLines w:val="0"/>
        <w:pageBreakBefore w:val="0"/>
        <w:widowControl w:val="0"/>
        <w:kinsoku/>
        <w:wordWrap/>
        <w:overflowPunct/>
        <w:topLinePunct w:val="0"/>
        <w:bidi w:val="0"/>
        <w:adjustRightInd/>
        <w:snapToGrid/>
        <w:spacing w:before="120" w:after="120" w:line="360" w:lineRule="auto"/>
        <w:ind w:left="0" w:firstLine="0"/>
        <w:textAlignment w:val="auto"/>
        <w:rPr>
          <w:rFonts w:ascii="宋体" w:hAnsi="宋体" w:eastAsia="宋体" w:cs="宋体"/>
          <w:b w:val="0"/>
          <w:bCs w:val="0"/>
          <w:color w:val="000000"/>
          <w:sz w:val="21"/>
          <w:szCs w:val="21"/>
        </w:rPr>
      </w:pPr>
      <w:bookmarkStart w:id="258" w:name="_Toc351203487"/>
      <w:r>
        <w:rPr>
          <w:rFonts w:hint="eastAsia" w:ascii="宋体" w:hAnsi="宋体" w:eastAsia="宋体" w:cs="宋体"/>
          <w:b w:val="0"/>
          <w:bCs w:val="0"/>
          <w:color w:val="000000"/>
          <w:sz w:val="21"/>
          <w:szCs w:val="21"/>
        </w:rPr>
        <w:t>七、承诺</w:t>
      </w:r>
      <w:bookmarkEnd w:id="258"/>
    </w:p>
    <w:p w14:paraId="78A661C4">
      <w:pPr>
        <w:keepLines w:val="0"/>
        <w:pageBreakBefore w:val="0"/>
        <w:widowControl w:val="0"/>
        <w:kinsoku/>
        <w:wordWrap/>
        <w:overflowPunct/>
        <w:topLinePunct w:val="0"/>
        <w:bidi w:val="0"/>
        <w:adjustRightInd/>
        <w:snapToGrid/>
        <w:spacing w:line="360" w:lineRule="auto"/>
        <w:ind w:firstLine="420" w:firstLineChars="200"/>
        <w:textAlignment w:val="auto"/>
        <w:rPr>
          <w:rFonts w:ascii="宋体" w:hAnsi="宋体" w:cs="宋体"/>
          <w:bCs/>
          <w:color w:val="000000"/>
          <w:szCs w:val="21"/>
        </w:rPr>
      </w:pPr>
      <w:r>
        <w:rPr>
          <w:rFonts w:hint="eastAsia" w:ascii="宋体" w:hAnsi="宋体" w:cs="宋体"/>
          <w:bCs/>
          <w:color w:val="000000"/>
          <w:szCs w:val="21"/>
        </w:rPr>
        <w:t>1.发包人承诺按照法律规定履行项目审批手续、筹集工程建设资金并按照合同约定的期限和方式支付合同价款。</w:t>
      </w:r>
    </w:p>
    <w:p w14:paraId="623331AC">
      <w:pPr>
        <w:keepLines w:val="0"/>
        <w:pageBreakBefore w:val="0"/>
        <w:widowControl w:val="0"/>
        <w:kinsoku/>
        <w:wordWrap/>
        <w:overflowPunct/>
        <w:topLinePunct w:val="0"/>
        <w:bidi w:val="0"/>
        <w:adjustRightInd/>
        <w:snapToGrid/>
        <w:spacing w:line="360" w:lineRule="auto"/>
        <w:ind w:firstLine="420" w:firstLineChars="200"/>
        <w:textAlignment w:val="auto"/>
        <w:rPr>
          <w:rFonts w:ascii="宋体" w:hAnsi="宋体" w:cs="宋体"/>
          <w:bCs/>
          <w:color w:val="000000"/>
          <w:szCs w:val="21"/>
        </w:rPr>
      </w:pPr>
      <w:r>
        <w:rPr>
          <w:rFonts w:hint="eastAsia" w:ascii="宋体" w:hAnsi="宋体" w:cs="宋体"/>
          <w:bCs/>
          <w:color w:val="000000"/>
          <w:szCs w:val="21"/>
        </w:rPr>
        <w:t>2.承包人承诺按照法律规定及合同约定组织完成工程施工，确保工程质量和安全，不进行转包及违法分包，并在缺陷责任期及保修期内承担相应的工程维修责任。</w:t>
      </w:r>
    </w:p>
    <w:p w14:paraId="02610DD0">
      <w:pPr>
        <w:keepLines w:val="0"/>
        <w:pageBreakBefore w:val="0"/>
        <w:widowControl w:val="0"/>
        <w:kinsoku/>
        <w:wordWrap/>
        <w:overflowPunct/>
        <w:topLinePunct w:val="0"/>
        <w:bidi w:val="0"/>
        <w:adjustRightInd/>
        <w:snapToGrid/>
        <w:spacing w:line="360" w:lineRule="auto"/>
        <w:ind w:firstLine="420" w:firstLineChars="200"/>
        <w:textAlignment w:val="auto"/>
        <w:rPr>
          <w:rFonts w:ascii="宋体" w:hAnsi="宋体" w:cs="宋体"/>
          <w:bCs/>
          <w:color w:val="000000"/>
          <w:szCs w:val="21"/>
        </w:rPr>
      </w:pPr>
      <w:r>
        <w:rPr>
          <w:rFonts w:hint="eastAsia" w:ascii="宋体" w:hAnsi="宋体" w:cs="宋体"/>
          <w:bCs/>
          <w:color w:val="000000"/>
          <w:szCs w:val="21"/>
        </w:rPr>
        <w:t>3.发包人和承包人通过招投标形式签订合同的，双方理解并承诺不再就同一工程另行签订与合同实质性内容相背离的协议。</w:t>
      </w:r>
    </w:p>
    <w:p w14:paraId="178BE057">
      <w:pPr>
        <w:keepLines w:val="0"/>
        <w:pageBreakBefore w:val="0"/>
        <w:widowControl w:val="0"/>
        <w:kinsoku/>
        <w:wordWrap/>
        <w:overflowPunct/>
        <w:topLinePunct w:val="0"/>
        <w:bidi w:val="0"/>
        <w:adjustRightInd/>
        <w:snapToGrid/>
        <w:spacing w:line="360" w:lineRule="auto"/>
        <w:ind w:firstLine="420"/>
        <w:textAlignment w:val="auto"/>
        <w:rPr>
          <w:rFonts w:hint="eastAsia" w:ascii="宋体" w:hAnsi="宋体" w:cs="宋体"/>
          <w:bCs/>
          <w:color w:val="000000"/>
          <w:szCs w:val="21"/>
        </w:rPr>
      </w:pPr>
      <w:bookmarkStart w:id="259" w:name="_Toc351203488"/>
      <w:r>
        <w:rPr>
          <w:rFonts w:hint="eastAsia" w:ascii="宋体" w:hAnsi="宋体" w:cs="宋体"/>
          <w:bCs/>
          <w:color w:val="000000"/>
          <w:szCs w:val="21"/>
        </w:rPr>
        <w:t>八、词语含义</w:t>
      </w:r>
      <w:bookmarkEnd w:id="259"/>
    </w:p>
    <w:p w14:paraId="51234127">
      <w:pPr>
        <w:keepLines w:val="0"/>
        <w:pageBreakBefore w:val="0"/>
        <w:widowControl w:val="0"/>
        <w:kinsoku/>
        <w:wordWrap/>
        <w:overflowPunct/>
        <w:topLinePunct w:val="0"/>
        <w:bidi w:val="0"/>
        <w:adjustRightInd/>
        <w:snapToGrid/>
        <w:spacing w:line="360" w:lineRule="auto"/>
        <w:ind w:firstLine="420"/>
        <w:textAlignment w:val="auto"/>
        <w:rPr>
          <w:rFonts w:ascii="宋体" w:hAnsi="宋体" w:eastAsia="宋体" w:cs="宋体"/>
          <w:b w:val="0"/>
          <w:bCs w:val="0"/>
          <w:color w:val="000000"/>
          <w:sz w:val="21"/>
          <w:szCs w:val="21"/>
        </w:rPr>
      </w:pPr>
      <w:r>
        <w:rPr>
          <w:rFonts w:hint="eastAsia" w:ascii="宋体" w:hAnsi="宋体" w:eastAsia="宋体" w:cs="宋体"/>
          <w:b w:val="0"/>
          <w:bCs w:val="0"/>
          <w:color w:val="000000"/>
          <w:sz w:val="21"/>
          <w:szCs w:val="21"/>
        </w:rPr>
        <w:t>本协议书中词语含义与第二部分通用合同条款中赋予的含义相同。</w:t>
      </w:r>
    </w:p>
    <w:p w14:paraId="46F747D2">
      <w:pPr>
        <w:pStyle w:val="5"/>
        <w:keepLines w:val="0"/>
        <w:pageBreakBefore w:val="0"/>
        <w:widowControl w:val="0"/>
        <w:kinsoku/>
        <w:wordWrap/>
        <w:overflowPunct/>
        <w:topLinePunct w:val="0"/>
        <w:autoSpaceDE/>
        <w:autoSpaceDN/>
        <w:bidi w:val="0"/>
        <w:adjustRightInd/>
        <w:snapToGrid w:val="0"/>
        <w:spacing w:before="120" w:after="120" w:line="360" w:lineRule="auto"/>
        <w:ind w:left="0" w:firstLine="0"/>
        <w:textAlignment w:val="auto"/>
        <w:rPr>
          <w:rFonts w:ascii="宋体" w:hAnsi="宋体" w:eastAsia="宋体" w:cs="宋体"/>
          <w:b w:val="0"/>
          <w:bCs w:val="0"/>
          <w:color w:val="000000"/>
          <w:sz w:val="21"/>
          <w:szCs w:val="21"/>
        </w:rPr>
      </w:pPr>
      <w:bookmarkStart w:id="260" w:name="_Toc351203489"/>
      <w:r>
        <w:rPr>
          <w:rFonts w:hint="eastAsia" w:ascii="宋体" w:hAnsi="宋体" w:eastAsia="宋体" w:cs="宋体"/>
          <w:b w:val="0"/>
          <w:bCs w:val="0"/>
          <w:color w:val="000000"/>
          <w:sz w:val="21"/>
          <w:szCs w:val="21"/>
        </w:rPr>
        <w:t>九、签订时间</w:t>
      </w:r>
      <w:bookmarkEnd w:id="260"/>
    </w:p>
    <w:p w14:paraId="40241F2A">
      <w:pPr>
        <w:keepLines w:val="0"/>
        <w:pageBreakBefore w:val="0"/>
        <w:widowControl w:val="0"/>
        <w:kinsoku/>
        <w:wordWrap/>
        <w:overflowPunct/>
        <w:topLinePunct w:val="0"/>
        <w:autoSpaceDE/>
        <w:autoSpaceDN/>
        <w:bidi w:val="0"/>
        <w:adjustRightInd/>
        <w:snapToGrid w:val="0"/>
        <w:spacing w:line="360" w:lineRule="auto"/>
        <w:ind w:firstLine="420" w:firstLineChars="200"/>
        <w:textAlignment w:val="auto"/>
        <w:rPr>
          <w:rFonts w:ascii="宋体" w:hAnsi="宋体" w:cs="宋体"/>
          <w:bCs/>
          <w:color w:val="000000"/>
          <w:szCs w:val="21"/>
        </w:rPr>
      </w:pPr>
      <w:r>
        <w:rPr>
          <w:rFonts w:hint="eastAsia" w:ascii="宋体" w:hAnsi="宋体" w:cs="宋体"/>
          <w:bCs/>
          <w:color w:val="000000"/>
          <w:szCs w:val="21"/>
        </w:rPr>
        <w:t>本合同于</w:t>
      </w:r>
      <w:r>
        <w:rPr>
          <w:rFonts w:hint="eastAsia" w:ascii="宋体" w:hAnsi="宋体" w:cs="宋体"/>
          <w:color w:val="000000"/>
          <w:szCs w:val="21"/>
          <w:u w:val="single"/>
          <w:lang w:val="en-US" w:eastAsia="zh-CN"/>
        </w:rPr>
        <w:t xml:space="preserve">    </w:t>
      </w:r>
      <w:r>
        <w:rPr>
          <w:rFonts w:hint="eastAsia" w:ascii="宋体" w:hAnsi="宋体" w:cs="宋体"/>
          <w:color w:val="000000"/>
          <w:szCs w:val="21"/>
        </w:rPr>
        <w:t>年</w:t>
      </w:r>
      <w:r>
        <w:rPr>
          <w:rFonts w:hint="eastAsia" w:ascii="宋体" w:hAnsi="宋体" w:cs="宋体"/>
          <w:color w:val="000000"/>
          <w:szCs w:val="21"/>
          <w:u w:val="single"/>
          <w:lang w:val="en-US" w:eastAsia="zh-CN"/>
        </w:rPr>
        <w:t xml:space="preserve">    </w:t>
      </w:r>
      <w:r>
        <w:rPr>
          <w:rFonts w:hint="eastAsia" w:ascii="宋体" w:hAnsi="宋体" w:cs="宋体"/>
          <w:color w:val="000000"/>
          <w:szCs w:val="21"/>
        </w:rPr>
        <w:t>月</w:t>
      </w:r>
      <w:r>
        <w:rPr>
          <w:rFonts w:hint="eastAsia" w:ascii="宋体" w:hAnsi="宋体" w:cs="宋体"/>
          <w:color w:val="000000"/>
          <w:szCs w:val="21"/>
          <w:u w:val="single"/>
          <w:lang w:val="en-US" w:eastAsia="zh-CN"/>
        </w:rPr>
        <w:t xml:space="preserve">    </w:t>
      </w:r>
      <w:r>
        <w:rPr>
          <w:rFonts w:hint="eastAsia" w:ascii="宋体" w:hAnsi="宋体" w:cs="宋体"/>
          <w:color w:val="000000"/>
          <w:szCs w:val="21"/>
        </w:rPr>
        <w:t>日</w:t>
      </w:r>
      <w:r>
        <w:rPr>
          <w:rFonts w:hint="eastAsia" w:ascii="宋体" w:hAnsi="宋体" w:cs="宋体"/>
          <w:bCs/>
          <w:color w:val="000000"/>
          <w:szCs w:val="21"/>
        </w:rPr>
        <w:t>签订。</w:t>
      </w:r>
    </w:p>
    <w:p w14:paraId="58DFB662">
      <w:pPr>
        <w:pStyle w:val="5"/>
        <w:keepLines w:val="0"/>
        <w:pageBreakBefore w:val="0"/>
        <w:widowControl w:val="0"/>
        <w:kinsoku/>
        <w:wordWrap/>
        <w:overflowPunct/>
        <w:topLinePunct w:val="0"/>
        <w:autoSpaceDE/>
        <w:autoSpaceDN/>
        <w:bidi w:val="0"/>
        <w:adjustRightInd/>
        <w:snapToGrid w:val="0"/>
        <w:spacing w:before="120" w:after="120" w:line="360" w:lineRule="auto"/>
        <w:ind w:left="0" w:firstLine="0"/>
        <w:textAlignment w:val="auto"/>
        <w:rPr>
          <w:rFonts w:ascii="宋体" w:hAnsi="宋体" w:eastAsia="宋体" w:cs="宋体"/>
          <w:b w:val="0"/>
          <w:bCs w:val="0"/>
          <w:color w:val="000000"/>
          <w:sz w:val="21"/>
          <w:szCs w:val="21"/>
        </w:rPr>
      </w:pPr>
      <w:bookmarkStart w:id="261" w:name="_Toc351203490"/>
      <w:r>
        <w:rPr>
          <w:rFonts w:hint="eastAsia" w:ascii="宋体" w:hAnsi="宋体" w:eastAsia="宋体" w:cs="宋体"/>
          <w:b w:val="0"/>
          <w:bCs w:val="0"/>
          <w:color w:val="000000"/>
          <w:sz w:val="21"/>
          <w:szCs w:val="21"/>
        </w:rPr>
        <w:t>十、签订地点</w:t>
      </w:r>
      <w:bookmarkEnd w:id="261"/>
    </w:p>
    <w:p w14:paraId="0B7487D5">
      <w:pPr>
        <w:keepLines w:val="0"/>
        <w:pageBreakBefore w:val="0"/>
        <w:widowControl w:val="0"/>
        <w:kinsoku/>
        <w:wordWrap/>
        <w:overflowPunct/>
        <w:topLinePunct w:val="0"/>
        <w:autoSpaceDE/>
        <w:autoSpaceDN/>
        <w:bidi w:val="0"/>
        <w:adjustRightInd/>
        <w:snapToGrid w:val="0"/>
        <w:spacing w:line="360" w:lineRule="auto"/>
        <w:ind w:firstLine="420" w:firstLineChars="200"/>
        <w:textAlignment w:val="auto"/>
        <w:rPr>
          <w:rFonts w:ascii="宋体" w:hAnsi="宋体" w:cs="宋体"/>
          <w:bCs/>
          <w:color w:val="000000"/>
          <w:szCs w:val="21"/>
        </w:rPr>
      </w:pPr>
      <w:r>
        <w:rPr>
          <w:rFonts w:hint="eastAsia" w:ascii="宋体" w:hAnsi="宋体" w:cs="宋体"/>
          <w:bCs/>
          <w:color w:val="000000"/>
          <w:szCs w:val="21"/>
        </w:rPr>
        <w:t>本合同在</w:t>
      </w:r>
      <w:r>
        <w:rPr>
          <w:rFonts w:hint="eastAsia" w:ascii="宋体" w:hAnsi="宋体" w:cs="宋体"/>
          <w:bCs/>
          <w:color w:val="000000"/>
          <w:szCs w:val="21"/>
          <w:u w:val="single"/>
          <w:lang w:val="en-US" w:eastAsia="zh-CN"/>
        </w:rPr>
        <w:t xml:space="preserve">      </w:t>
      </w:r>
      <w:r>
        <w:rPr>
          <w:rFonts w:hint="eastAsia" w:ascii="宋体" w:hAnsi="宋体" w:cs="宋体"/>
          <w:bCs/>
          <w:color w:val="000000"/>
          <w:szCs w:val="21"/>
        </w:rPr>
        <w:t>签订。</w:t>
      </w:r>
    </w:p>
    <w:p w14:paraId="2A2C9D3C">
      <w:pPr>
        <w:pStyle w:val="5"/>
        <w:keepLines w:val="0"/>
        <w:pageBreakBefore w:val="0"/>
        <w:widowControl w:val="0"/>
        <w:kinsoku/>
        <w:wordWrap/>
        <w:overflowPunct/>
        <w:topLinePunct w:val="0"/>
        <w:autoSpaceDE/>
        <w:autoSpaceDN/>
        <w:bidi w:val="0"/>
        <w:adjustRightInd/>
        <w:snapToGrid w:val="0"/>
        <w:spacing w:before="120" w:after="120" w:line="360" w:lineRule="auto"/>
        <w:ind w:left="0" w:firstLine="0"/>
        <w:textAlignment w:val="auto"/>
        <w:rPr>
          <w:rFonts w:ascii="宋体" w:hAnsi="宋体" w:eastAsia="宋体" w:cs="宋体"/>
          <w:b w:val="0"/>
          <w:bCs w:val="0"/>
          <w:color w:val="000000"/>
          <w:sz w:val="21"/>
          <w:szCs w:val="21"/>
        </w:rPr>
      </w:pPr>
      <w:bookmarkStart w:id="262" w:name="_Toc351203491"/>
      <w:r>
        <w:rPr>
          <w:rFonts w:hint="eastAsia" w:ascii="宋体" w:hAnsi="宋体" w:eastAsia="宋体" w:cs="宋体"/>
          <w:b w:val="0"/>
          <w:bCs w:val="0"/>
          <w:color w:val="000000"/>
          <w:sz w:val="21"/>
          <w:szCs w:val="21"/>
        </w:rPr>
        <w:t>十一、补充协议</w:t>
      </w:r>
      <w:bookmarkEnd w:id="262"/>
    </w:p>
    <w:p w14:paraId="2A47BD12">
      <w:pPr>
        <w:keepLines w:val="0"/>
        <w:pageBreakBefore w:val="0"/>
        <w:widowControl w:val="0"/>
        <w:kinsoku/>
        <w:wordWrap/>
        <w:overflowPunct/>
        <w:topLinePunct w:val="0"/>
        <w:autoSpaceDE/>
        <w:autoSpaceDN/>
        <w:bidi w:val="0"/>
        <w:adjustRightInd/>
        <w:snapToGrid w:val="0"/>
        <w:spacing w:line="360" w:lineRule="auto"/>
        <w:ind w:firstLine="420" w:firstLineChars="200"/>
        <w:textAlignment w:val="auto"/>
        <w:rPr>
          <w:rFonts w:ascii="宋体" w:hAnsi="宋体" w:cs="宋体"/>
          <w:b/>
          <w:bCs/>
          <w:color w:val="000000"/>
          <w:szCs w:val="21"/>
        </w:rPr>
      </w:pPr>
      <w:r>
        <w:rPr>
          <w:rFonts w:hint="eastAsia" w:ascii="宋体" w:hAnsi="宋体" w:cs="宋体"/>
          <w:bCs/>
          <w:color w:val="000000"/>
          <w:szCs w:val="21"/>
        </w:rPr>
        <w:t>合同未尽事宜，合同当事人另行签订补充协议，补充协议是合同的组成部分。</w:t>
      </w:r>
    </w:p>
    <w:p w14:paraId="15F7B143">
      <w:pPr>
        <w:pStyle w:val="5"/>
        <w:keepLines w:val="0"/>
        <w:pageBreakBefore w:val="0"/>
        <w:widowControl w:val="0"/>
        <w:kinsoku/>
        <w:wordWrap/>
        <w:overflowPunct/>
        <w:topLinePunct w:val="0"/>
        <w:autoSpaceDE/>
        <w:autoSpaceDN/>
        <w:bidi w:val="0"/>
        <w:adjustRightInd/>
        <w:snapToGrid w:val="0"/>
        <w:spacing w:before="120" w:after="120" w:line="360" w:lineRule="auto"/>
        <w:ind w:left="0" w:firstLine="0"/>
        <w:textAlignment w:val="auto"/>
        <w:rPr>
          <w:rFonts w:ascii="宋体" w:hAnsi="宋体" w:eastAsia="宋体" w:cs="宋体"/>
          <w:b w:val="0"/>
          <w:bCs w:val="0"/>
          <w:color w:val="000000"/>
          <w:sz w:val="21"/>
          <w:szCs w:val="21"/>
        </w:rPr>
      </w:pPr>
      <w:bookmarkStart w:id="263" w:name="_Toc351203492"/>
      <w:r>
        <w:rPr>
          <w:rFonts w:hint="eastAsia" w:ascii="宋体" w:hAnsi="宋体" w:eastAsia="宋体" w:cs="宋体"/>
          <w:b w:val="0"/>
          <w:bCs w:val="0"/>
          <w:color w:val="000000"/>
          <w:sz w:val="21"/>
          <w:szCs w:val="21"/>
        </w:rPr>
        <w:t>十二、合同生效</w:t>
      </w:r>
      <w:bookmarkEnd w:id="263"/>
    </w:p>
    <w:p w14:paraId="334080F0">
      <w:pPr>
        <w:keepLines w:val="0"/>
        <w:pageBreakBefore w:val="0"/>
        <w:widowControl w:val="0"/>
        <w:kinsoku/>
        <w:wordWrap/>
        <w:overflowPunct/>
        <w:topLinePunct w:val="0"/>
        <w:autoSpaceDE/>
        <w:autoSpaceDN/>
        <w:bidi w:val="0"/>
        <w:adjustRightInd/>
        <w:snapToGrid w:val="0"/>
        <w:spacing w:line="360" w:lineRule="auto"/>
        <w:ind w:firstLine="420" w:firstLineChars="200"/>
        <w:textAlignment w:val="auto"/>
        <w:rPr>
          <w:rFonts w:ascii="宋体" w:hAnsi="宋体" w:cs="宋体"/>
          <w:bCs/>
          <w:color w:val="000000"/>
          <w:szCs w:val="21"/>
        </w:rPr>
      </w:pPr>
      <w:r>
        <w:rPr>
          <w:rFonts w:hint="eastAsia" w:ascii="宋体" w:hAnsi="宋体" w:cs="宋体"/>
          <w:bCs/>
          <w:color w:val="000000"/>
          <w:szCs w:val="21"/>
        </w:rPr>
        <w:t>本合同自</w:t>
      </w:r>
      <w:r>
        <w:rPr>
          <w:rFonts w:hint="eastAsia" w:ascii="宋体" w:hAnsi="宋体" w:cs="宋体"/>
          <w:bCs/>
          <w:color w:val="000000"/>
          <w:szCs w:val="21"/>
          <w:u w:val="single"/>
        </w:rPr>
        <w:t>发包人和承包人的法定代表人或其委托代理人在协议书上签字并加盖单位章后</w:t>
      </w:r>
      <w:r>
        <w:rPr>
          <w:rFonts w:hint="eastAsia" w:ascii="宋体" w:hAnsi="宋体" w:cs="宋体"/>
          <w:bCs/>
          <w:color w:val="000000"/>
          <w:szCs w:val="21"/>
        </w:rPr>
        <w:t>生效。</w:t>
      </w:r>
    </w:p>
    <w:p w14:paraId="61A32E92">
      <w:pPr>
        <w:pStyle w:val="5"/>
        <w:keepLines w:val="0"/>
        <w:pageBreakBefore w:val="0"/>
        <w:widowControl w:val="0"/>
        <w:kinsoku/>
        <w:wordWrap/>
        <w:overflowPunct/>
        <w:topLinePunct w:val="0"/>
        <w:autoSpaceDE/>
        <w:autoSpaceDN/>
        <w:bidi w:val="0"/>
        <w:adjustRightInd/>
        <w:snapToGrid w:val="0"/>
        <w:spacing w:before="120" w:after="120" w:line="360" w:lineRule="auto"/>
        <w:ind w:left="0" w:firstLine="0"/>
        <w:textAlignment w:val="auto"/>
        <w:rPr>
          <w:rFonts w:ascii="宋体" w:hAnsi="宋体" w:eastAsia="宋体" w:cs="宋体"/>
          <w:b w:val="0"/>
          <w:bCs w:val="0"/>
          <w:color w:val="000000"/>
          <w:sz w:val="21"/>
          <w:szCs w:val="21"/>
        </w:rPr>
      </w:pPr>
      <w:bookmarkStart w:id="264" w:name="_Toc351203493"/>
      <w:r>
        <w:rPr>
          <w:rFonts w:hint="eastAsia" w:ascii="宋体" w:hAnsi="宋体" w:eastAsia="宋体" w:cs="宋体"/>
          <w:b w:val="0"/>
          <w:bCs w:val="0"/>
          <w:color w:val="000000"/>
          <w:sz w:val="21"/>
          <w:szCs w:val="21"/>
        </w:rPr>
        <w:t>十三、合同份数</w:t>
      </w:r>
      <w:bookmarkEnd w:id="264"/>
    </w:p>
    <w:p w14:paraId="374ACB17">
      <w:pPr>
        <w:keepLines w:val="0"/>
        <w:pageBreakBefore w:val="0"/>
        <w:widowControl w:val="0"/>
        <w:kinsoku/>
        <w:wordWrap/>
        <w:overflowPunct/>
        <w:topLinePunct w:val="0"/>
        <w:autoSpaceDE/>
        <w:autoSpaceDN/>
        <w:bidi w:val="0"/>
        <w:adjustRightInd/>
        <w:snapToGrid w:val="0"/>
        <w:spacing w:line="360" w:lineRule="auto"/>
        <w:ind w:firstLine="420" w:firstLineChars="200"/>
        <w:textAlignment w:val="auto"/>
        <w:rPr>
          <w:rFonts w:ascii="宋体" w:hAnsi="宋体" w:cs="宋体"/>
          <w:bCs/>
          <w:color w:val="000000"/>
          <w:szCs w:val="21"/>
        </w:rPr>
      </w:pPr>
      <w:r>
        <w:rPr>
          <w:rFonts w:hint="eastAsia" w:ascii="宋体" w:hAnsi="宋体" w:cs="宋体"/>
          <w:bCs/>
          <w:color w:val="000000"/>
          <w:szCs w:val="21"/>
        </w:rPr>
        <w:t>本合同</w:t>
      </w:r>
      <w:r>
        <w:rPr>
          <w:rFonts w:hint="eastAsia" w:ascii="宋体" w:hAnsi="宋体" w:cs="宋体"/>
          <w:bCs/>
          <w:color w:val="000000"/>
          <w:szCs w:val="21"/>
          <w:u w:val="single"/>
          <w:lang w:val="en-US" w:eastAsia="zh-CN"/>
        </w:rPr>
        <w:t xml:space="preserve"> </w:t>
      </w:r>
      <w:r>
        <w:rPr>
          <w:rFonts w:hint="eastAsia" w:ascii="宋体" w:hAnsi="宋体" w:cs="宋体"/>
          <w:bCs/>
          <w:color w:val="000000"/>
          <w:szCs w:val="21"/>
          <w:u w:val="single"/>
        </w:rPr>
        <w:t>壹</w:t>
      </w:r>
      <w:r>
        <w:rPr>
          <w:rFonts w:hint="eastAsia" w:ascii="宋体" w:hAnsi="宋体" w:cs="宋体"/>
          <w:bCs/>
          <w:color w:val="000000"/>
          <w:szCs w:val="21"/>
          <w:u w:val="single"/>
          <w:lang w:val="en-US" w:eastAsia="zh-CN"/>
        </w:rPr>
        <w:t xml:space="preserve"> </w:t>
      </w:r>
      <w:r>
        <w:rPr>
          <w:rFonts w:hint="eastAsia" w:ascii="宋体" w:hAnsi="宋体" w:cs="宋体"/>
          <w:bCs/>
          <w:color w:val="000000"/>
          <w:szCs w:val="21"/>
        </w:rPr>
        <w:t>式</w:t>
      </w:r>
      <w:r>
        <w:rPr>
          <w:rFonts w:hint="eastAsia" w:ascii="宋体" w:hAnsi="宋体" w:cs="宋体"/>
          <w:bCs/>
          <w:color w:val="000000"/>
          <w:szCs w:val="21"/>
          <w:u w:val="single"/>
          <w:lang w:val="en-US" w:eastAsia="zh-CN"/>
        </w:rPr>
        <w:t xml:space="preserve"> </w:t>
      </w:r>
      <w:r>
        <w:rPr>
          <w:rFonts w:hint="eastAsia" w:ascii="宋体" w:hAnsi="宋体" w:cs="宋体"/>
          <w:bCs/>
          <w:color w:val="000000"/>
          <w:szCs w:val="21"/>
          <w:u w:val="single"/>
        </w:rPr>
        <w:t>肆</w:t>
      </w:r>
      <w:r>
        <w:rPr>
          <w:rFonts w:hint="eastAsia" w:ascii="宋体" w:hAnsi="宋体" w:cs="宋体"/>
          <w:bCs/>
          <w:color w:val="000000"/>
          <w:szCs w:val="21"/>
          <w:u w:val="single"/>
          <w:lang w:val="en-US" w:eastAsia="zh-CN"/>
        </w:rPr>
        <w:t xml:space="preserve"> </w:t>
      </w:r>
      <w:r>
        <w:rPr>
          <w:rFonts w:hint="eastAsia" w:ascii="宋体" w:hAnsi="宋体" w:cs="宋体"/>
          <w:bCs/>
          <w:color w:val="000000"/>
          <w:szCs w:val="21"/>
        </w:rPr>
        <w:t>份，均具有同等法律效力，发包人执</w:t>
      </w:r>
      <w:r>
        <w:rPr>
          <w:rFonts w:hint="eastAsia" w:ascii="宋体" w:hAnsi="宋体" w:cs="宋体"/>
          <w:bCs/>
          <w:color w:val="000000"/>
          <w:szCs w:val="21"/>
          <w:lang w:eastAsia="zh-CN"/>
        </w:rPr>
        <w:t>两份</w:t>
      </w:r>
      <w:r>
        <w:rPr>
          <w:rFonts w:hint="eastAsia" w:ascii="宋体" w:hAnsi="宋体" w:cs="宋体"/>
          <w:bCs/>
          <w:color w:val="000000"/>
          <w:szCs w:val="21"/>
        </w:rPr>
        <w:t>，承包人执</w:t>
      </w:r>
      <w:r>
        <w:rPr>
          <w:rFonts w:hint="eastAsia" w:ascii="宋体" w:hAnsi="宋体" w:cs="宋体"/>
          <w:bCs/>
          <w:color w:val="000000"/>
          <w:szCs w:val="21"/>
          <w:u w:val="single"/>
          <w:lang w:val="en-US" w:eastAsia="zh-CN"/>
        </w:rPr>
        <w:t xml:space="preserve"> </w:t>
      </w:r>
      <w:r>
        <w:rPr>
          <w:rFonts w:hint="eastAsia" w:ascii="宋体" w:hAnsi="宋体" w:cs="宋体"/>
          <w:bCs/>
          <w:color w:val="000000"/>
          <w:szCs w:val="21"/>
          <w:u w:val="single"/>
        </w:rPr>
        <w:t xml:space="preserve">俩 </w:t>
      </w:r>
      <w:r>
        <w:rPr>
          <w:rFonts w:hint="eastAsia" w:ascii="宋体" w:hAnsi="宋体" w:cs="宋体"/>
          <w:bCs/>
          <w:color w:val="000000"/>
          <w:szCs w:val="21"/>
        </w:rPr>
        <w:t>份。</w:t>
      </w:r>
    </w:p>
    <w:p w14:paraId="752B8A46">
      <w:pPr>
        <w:keepLines w:val="0"/>
        <w:pageBreakBefore w:val="0"/>
        <w:widowControl w:val="0"/>
        <w:kinsoku/>
        <w:wordWrap/>
        <w:overflowPunct/>
        <w:topLinePunct w:val="0"/>
        <w:bidi w:val="0"/>
        <w:adjustRightInd/>
        <w:snapToGrid/>
        <w:spacing w:line="360" w:lineRule="auto"/>
        <w:ind w:firstLine="420" w:firstLineChars="200"/>
        <w:textAlignment w:val="auto"/>
        <w:rPr>
          <w:rFonts w:ascii="宋体" w:hAnsi="宋体" w:cs="宋体"/>
          <w:color w:val="000000"/>
          <w:szCs w:val="21"/>
          <w:u w:val="single"/>
        </w:rPr>
      </w:pPr>
      <w:r>
        <w:rPr>
          <w:rFonts w:hint="eastAsia" w:ascii="宋体" w:hAnsi="宋体" w:cs="宋体"/>
          <w:color w:val="000000"/>
          <w:szCs w:val="21"/>
        </w:rPr>
        <w:t>发包人：  (公章</w:t>
      </w:r>
      <w:r>
        <w:rPr>
          <w:rFonts w:hint="eastAsia" w:ascii="宋体" w:hAnsi="宋体" w:cs="宋体"/>
          <w:color w:val="000000"/>
          <w:szCs w:val="21"/>
          <w:lang w:eastAsia="zh-CN"/>
        </w:rPr>
        <w:t>）</w:t>
      </w:r>
      <w:r>
        <w:rPr>
          <w:rFonts w:hint="eastAsia" w:ascii="宋体" w:hAnsi="宋体" w:cs="宋体"/>
          <w:color w:val="000000"/>
          <w:szCs w:val="21"/>
        </w:rPr>
        <w:t xml:space="preserve">            </w:t>
      </w:r>
      <w:r>
        <w:rPr>
          <w:rFonts w:hint="eastAsia" w:ascii="宋体" w:hAnsi="宋体" w:cs="宋体"/>
          <w:color w:val="000000"/>
          <w:szCs w:val="21"/>
          <w:lang w:val="en-US" w:eastAsia="zh-CN"/>
        </w:rPr>
        <w:t xml:space="preserve">            </w:t>
      </w:r>
      <w:r>
        <w:rPr>
          <w:rFonts w:hint="eastAsia" w:ascii="宋体" w:hAnsi="宋体" w:cs="宋体"/>
          <w:color w:val="000000"/>
          <w:szCs w:val="21"/>
        </w:rPr>
        <w:t>承包人：  (公章</w:t>
      </w:r>
      <w:r>
        <w:rPr>
          <w:rFonts w:hint="eastAsia" w:ascii="宋体" w:hAnsi="宋体" w:cs="宋体"/>
          <w:color w:val="000000"/>
          <w:szCs w:val="21"/>
          <w:lang w:eastAsia="zh-CN"/>
        </w:rPr>
        <w:t>）</w:t>
      </w:r>
    </w:p>
    <w:p w14:paraId="1131695C">
      <w:pPr>
        <w:keepLines w:val="0"/>
        <w:pageBreakBefore w:val="0"/>
        <w:widowControl w:val="0"/>
        <w:kinsoku/>
        <w:wordWrap/>
        <w:overflowPunct/>
        <w:topLinePunct w:val="0"/>
        <w:bidi w:val="0"/>
        <w:adjustRightInd/>
        <w:snapToGrid/>
        <w:spacing w:line="360" w:lineRule="auto"/>
        <w:ind w:firstLine="420" w:firstLineChars="200"/>
        <w:textAlignment w:val="auto"/>
        <w:rPr>
          <w:rFonts w:ascii="宋体" w:hAnsi="宋体" w:cs="宋体"/>
          <w:color w:val="000000"/>
          <w:szCs w:val="21"/>
        </w:rPr>
      </w:pPr>
      <w:r>
        <w:rPr>
          <w:rFonts w:hint="eastAsia" w:ascii="宋体" w:hAnsi="宋体" w:cs="宋体"/>
          <w:color w:val="000000"/>
          <w:szCs w:val="21"/>
        </w:rPr>
        <w:t xml:space="preserve">法定代表人或其委托代理人： </w:t>
      </w:r>
      <w:r>
        <w:rPr>
          <w:rFonts w:hint="eastAsia" w:ascii="宋体" w:hAnsi="宋体" w:cs="宋体"/>
          <w:color w:val="000000"/>
          <w:szCs w:val="21"/>
          <w:lang w:val="en-US" w:eastAsia="zh-CN"/>
        </w:rPr>
        <w:t xml:space="preserve">             </w:t>
      </w:r>
      <w:r>
        <w:rPr>
          <w:rFonts w:hint="eastAsia" w:ascii="宋体" w:hAnsi="宋体" w:cs="宋体"/>
          <w:color w:val="000000"/>
          <w:szCs w:val="21"/>
        </w:rPr>
        <w:t xml:space="preserve"> 法定代表人或其委托代理人：</w:t>
      </w:r>
    </w:p>
    <w:p w14:paraId="1B85C919">
      <w:pPr>
        <w:keepLines w:val="0"/>
        <w:pageBreakBefore w:val="0"/>
        <w:widowControl w:val="0"/>
        <w:kinsoku/>
        <w:wordWrap/>
        <w:overflowPunct/>
        <w:topLinePunct w:val="0"/>
        <w:bidi w:val="0"/>
        <w:adjustRightInd/>
        <w:snapToGrid/>
        <w:spacing w:line="360" w:lineRule="auto"/>
        <w:ind w:firstLine="420" w:firstLineChars="200"/>
        <w:textAlignment w:val="auto"/>
        <w:rPr>
          <w:rFonts w:ascii="宋体" w:hAnsi="宋体" w:cs="宋体"/>
          <w:color w:val="000000"/>
          <w:szCs w:val="21"/>
          <w:u w:val="single"/>
        </w:rPr>
      </w:pPr>
      <w:r>
        <w:rPr>
          <w:rFonts w:hint="eastAsia" w:ascii="宋体" w:hAnsi="宋体" w:cs="宋体"/>
          <w:color w:val="000000"/>
          <w:szCs w:val="21"/>
        </w:rPr>
        <w:t xml:space="preserve">（签字）                    </w:t>
      </w:r>
      <w:r>
        <w:rPr>
          <w:rFonts w:hint="eastAsia" w:ascii="宋体" w:hAnsi="宋体" w:cs="宋体"/>
          <w:color w:val="000000"/>
          <w:szCs w:val="21"/>
          <w:lang w:val="en-US" w:eastAsia="zh-CN"/>
        </w:rPr>
        <w:t xml:space="preserve">            </w:t>
      </w:r>
      <w:r>
        <w:rPr>
          <w:rFonts w:hint="eastAsia" w:ascii="宋体" w:hAnsi="宋体" w:cs="宋体"/>
          <w:color w:val="000000"/>
          <w:szCs w:val="21"/>
        </w:rPr>
        <w:t>（签字）</w:t>
      </w:r>
    </w:p>
    <w:p w14:paraId="307DE2C9">
      <w:pPr>
        <w:keepLines w:val="0"/>
        <w:pageBreakBefore w:val="0"/>
        <w:widowControl w:val="0"/>
        <w:tabs>
          <w:tab w:val="left" w:pos="4410"/>
        </w:tabs>
        <w:kinsoku/>
        <w:wordWrap/>
        <w:overflowPunct/>
        <w:topLinePunct w:val="0"/>
        <w:bidi w:val="0"/>
        <w:adjustRightInd/>
        <w:snapToGrid/>
        <w:spacing w:line="360" w:lineRule="auto"/>
        <w:ind w:firstLine="420" w:firstLineChars="200"/>
        <w:textAlignment w:val="auto"/>
        <w:rPr>
          <w:rFonts w:ascii="宋体" w:hAnsi="宋体" w:cs="宋体"/>
          <w:color w:val="000000"/>
          <w:szCs w:val="21"/>
        </w:rPr>
      </w:pPr>
      <w:r>
        <w:rPr>
          <w:rFonts w:hint="eastAsia" w:ascii="宋体" w:hAnsi="宋体" w:cs="宋体"/>
          <w:color w:val="000000"/>
          <w:szCs w:val="21"/>
        </w:rPr>
        <w:t>组织机构代码：</w:t>
      </w:r>
      <w:r>
        <w:rPr>
          <w:rFonts w:hint="eastAsia" w:ascii="宋体" w:hAnsi="宋体" w:cs="宋体"/>
          <w:color w:val="000000"/>
          <w:szCs w:val="21"/>
          <w:u w:val="single"/>
        </w:rPr>
        <w:t xml:space="preserve">       </w:t>
      </w:r>
      <w:r>
        <w:rPr>
          <w:rFonts w:hint="eastAsia" w:ascii="宋体" w:hAnsi="宋体" w:cs="宋体"/>
          <w:color w:val="000000"/>
          <w:szCs w:val="21"/>
        </w:rPr>
        <w:t xml:space="preserve">  </w:t>
      </w:r>
      <w:r>
        <w:rPr>
          <w:rFonts w:hint="eastAsia" w:ascii="宋体" w:hAnsi="宋体" w:cs="宋体"/>
          <w:color w:val="000000"/>
          <w:szCs w:val="21"/>
          <w:lang w:val="en-US" w:eastAsia="zh-CN"/>
        </w:rPr>
        <w:t xml:space="preserve">           </w:t>
      </w:r>
      <w:r>
        <w:rPr>
          <w:rFonts w:hint="eastAsia" w:ascii="宋体" w:hAnsi="宋体" w:cs="宋体"/>
          <w:color w:val="000000"/>
          <w:szCs w:val="21"/>
        </w:rPr>
        <w:t>组织机构代码：</w:t>
      </w:r>
      <w:r>
        <w:rPr>
          <w:rFonts w:hint="eastAsia" w:ascii="宋体" w:hAnsi="宋体" w:cs="宋体"/>
          <w:color w:val="000000"/>
          <w:szCs w:val="21"/>
          <w:u w:val="single"/>
        </w:rPr>
        <w:t xml:space="preserve"> </w:t>
      </w:r>
      <w:r>
        <w:rPr>
          <w:rFonts w:hint="eastAsia" w:ascii="宋体" w:hAnsi="宋体" w:cs="宋体"/>
          <w:color w:val="000000"/>
          <w:szCs w:val="21"/>
          <w:u w:val="single"/>
          <w:lang w:val="en-US" w:eastAsia="zh-CN"/>
        </w:rPr>
        <w:t xml:space="preserve">       </w:t>
      </w:r>
      <w:r>
        <w:rPr>
          <w:rFonts w:hint="eastAsia" w:ascii="宋体" w:hAnsi="宋体" w:cs="宋体"/>
          <w:color w:val="000000"/>
          <w:szCs w:val="21"/>
          <w:u w:val="single"/>
        </w:rPr>
        <w:t xml:space="preserve">         </w:t>
      </w:r>
    </w:p>
    <w:p w14:paraId="79F24EAE">
      <w:pPr>
        <w:keepLines w:val="0"/>
        <w:pageBreakBefore w:val="0"/>
        <w:widowControl w:val="0"/>
        <w:kinsoku/>
        <w:wordWrap/>
        <w:overflowPunct/>
        <w:topLinePunct w:val="0"/>
        <w:bidi w:val="0"/>
        <w:adjustRightInd/>
        <w:snapToGrid/>
        <w:spacing w:line="360" w:lineRule="auto"/>
        <w:ind w:firstLine="420" w:firstLineChars="200"/>
        <w:textAlignment w:val="auto"/>
        <w:rPr>
          <w:rFonts w:ascii="宋体" w:hAnsi="宋体" w:cs="宋体"/>
          <w:color w:val="000000"/>
          <w:szCs w:val="21"/>
        </w:rPr>
      </w:pPr>
      <w:r>
        <w:rPr>
          <w:rFonts w:hint="eastAsia" w:ascii="宋体" w:hAnsi="宋体" w:cs="宋体"/>
          <w:color w:val="000000"/>
          <w:szCs w:val="21"/>
        </w:rPr>
        <w:t>地  址：</w:t>
      </w:r>
      <w:r>
        <w:rPr>
          <w:rFonts w:hint="eastAsia" w:ascii="宋体" w:hAnsi="宋体" w:cs="宋体"/>
          <w:color w:val="000000"/>
          <w:szCs w:val="21"/>
          <w:u w:val="single"/>
        </w:rPr>
        <w:t xml:space="preserve">     </w:t>
      </w:r>
      <w:r>
        <w:rPr>
          <w:rFonts w:hint="eastAsia" w:ascii="宋体" w:hAnsi="宋体" w:cs="宋体"/>
          <w:color w:val="000000"/>
          <w:szCs w:val="21"/>
        </w:rPr>
        <w:t xml:space="preserve">  </w:t>
      </w:r>
      <w:r>
        <w:rPr>
          <w:rFonts w:hint="eastAsia" w:ascii="宋体" w:hAnsi="宋体" w:cs="宋体"/>
          <w:color w:val="000000"/>
          <w:szCs w:val="21"/>
          <w:lang w:val="en-US" w:eastAsia="zh-CN"/>
        </w:rPr>
        <w:t xml:space="preserve">           </w:t>
      </w:r>
      <w:r>
        <w:rPr>
          <w:rFonts w:hint="eastAsia" w:ascii="宋体" w:hAnsi="宋体" w:cs="宋体"/>
          <w:color w:val="000000"/>
          <w:szCs w:val="21"/>
        </w:rPr>
        <w:t>地  址：</w:t>
      </w:r>
      <w:r>
        <w:rPr>
          <w:rFonts w:hint="eastAsia" w:ascii="宋体" w:hAnsi="宋体" w:cs="宋体"/>
          <w:color w:val="000000"/>
          <w:szCs w:val="21"/>
          <w:u w:val="single"/>
        </w:rPr>
        <w:t> </w:t>
      </w:r>
      <w:r>
        <w:rPr>
          <w:rFonts w:hint="eastAsia" w:ascii="宋体" w:hAnsi="宋体" w:cs="宋体"/>
          <w:color w:val="000000"/>
          <w:szCs w:val="21"/>
          <w:u w:val="single"/>
          <w:lang w:val="en-US" w:eastAsia="zh-CN"/>
        </w:rPr>
        <w:t xml:space="preserve">   </w:t>
      </w:r>
      <w:r>
        <w:rPr>
          <w:rFonts w:hint="eastAsia" w:ascii="宋体" w:hAnsi="宋体" w:cs="宋体"/>
          <w:color w:val="000000"/>
          <w:szCs w:val="21"/>
          <w:u w:val="single"/>
        </w:rPr>
        <w:t></w:t>
      </w:r>
      <w:r>
        <w:rPr>
          <w:rFonts w:hint="eastAsia" w:ascii="宋体" w:hAnsi="宋体" w:cs="宋体"/>
          <w:color w:val="000000"/>
          <w:szCs w:val="21"/>
          <w:u w:val="single"/>
          <w:lang w:val="en-US" w:eastAsia="zh-CN"/>
        </w:rPr>
        <w:t xml:space="preserve">   </w:t>
      </w:r>
      <w:r>
        <w:rPr>
          <w:rFonts w:hint="eastAsia" w:ascii="宋体" w:hAnsi="宋体" w:cs="宋体"/>
          <w:color w:val="000000"/>
          <w:szCs w:val="21"/>
          <w:u w:val="none"/>
          <w:lang w:val="en-US" w:eastAsia="zh-CN"/>
        </w:rPr>
        <w:t xml:space="preserve">   </w:t>
      </w:r>
      <w:r>
        <w:rPr>
          <w:rFonts w:hint="eastAsia" w:ascii="宋体" w:hAnsi="宋体" w:cs="宋体"/>
          <w:color w:val="000000"/>
          <w:szCs w:val="21"/>
          <w:u w:val="single"/>
        </w:rPr>
        <w:t xml:space="preserve">      </w:t>
      </w:r>
    </w:p>
    <w:p w14:paraId="012B9CAC">
      <w:pPr>
        <w:keepLines w:val="0"/>
        <w:pageBreakBefore w:val="0"/>
        <w:widowControl w:val="0"/>
        <w:kinsoku/>
        <w:wordWrap/>
        <w:overflowPunct/>
        <w:topLinePunct w:val="0"/>
        <w:bidi w:val="0"/>
        <w:adjustRightInd/>
        <w:snapToGrid/>
        <w:spacing w:line="360" w:lineRule="auto"/>
        <w:ind w:firstLine="420" w:firstLineChars="200"/>
        <w:textAlignment w:val="auto"/>
        <w:rPr>
          <w:rFonts w:ascii="宋体" w:hAnsi="宋体" w:cs="宋体"/>
          <w:color w:val="000000"/>
          <w:szCs w:val="21"/>
        </w:rPr>
      </w:pPr>
      <w:r>
        <w:rPr>
          <w:rFonts w:hint="eastAsia" w:ascii="宋体" w:hAnsi="宋体" w:cs="宋体"/>
          <w:color w:val="000000"/>
          <w:szCs w:val="21"/>
        </w:rPr>
        <w:t>邮政编码：</w:t>
      </w:r>
      <w:r>
        <w:rPr>
          <w:rFonts w:hint="eastAsia" w:ascii="宋体" w:hAnsi="宋体" w:cs="宋体"/>
          <w:color w:val="000000"/>
          <w:szCs w:val="21"/>
          <w:u w:val="single"/>
        </w:rPr>
        <w:t xml:space="preserve">      </w:t>
      </w:r>
      <w:r>
        <w:rPr>
          <w:rFonts w:hint="eastAsia" w:ascii="宋体" w:hAnsi="宋体" w:cs="宋体"/>
          <w:color w:val="000000"/>
          <w:szCs w:val="21"/>
        </w:rPr>
        <w:t xml:space="preserve">  </w:t>
      </w:r>
      <w:r>
        <w:rPr>
          <w:rFonts w:hint="eastAsia" w:ascii="宋体" w:hAnsi="宋体" w:cs="宋体"/>
          <w:color w:val="000000"/>
          <w:szCs w:val="21"/>
          <w:lang w:val="en-US" w:eastAsia="zh-CN"/>
        </w:rPr>
        <w:t xml:space="preserve">          </w:t>
      </w:r>
      <w:r>
        <w:rPr>
          <w:rFonts w:hint="eastAsia" w:ascii="宋体" w:hAnsi="宋体" w:cs="宋体"/>
          <w:color w:val="000000"/>
          <w:szCs w:val="21"/>
        </w:rPr>
        <w:t>邮政编码：</w:t>
      </w:r>
      <w:r>
        <w:rPr>
          <w:rFonts w:hint="eastAsia" w:ascii="宋体" w:hAnsi="宋体" w:cs="宋体"/>
          <w:color w:val="000000"/>
          <w:szCs w:val="21"/>
          <w:u w:val="single"/>
        </w:rPr>
        <w:t></w:t>
      </w:r>
      <w:r>
        <w:rPr>
          <w:rFonts w:hint="eastAsia" w:ascii="宋体" w:hAnsi="宋体" w:cs="宋体"/>
          <w:color w:val="000000"/>
          <w:szCs w:val="21"/>
          <w:u w:val="single"/>
          <w:lang w:val="en-US" w:eastAsia="zh-CN"/>
        </w:rPr>
        <w:t xml:space="preserve">  </w:t>
      </w:r>
      <w:r>
        <w:rPr>
          <w:rFonts w:hint="eastAsia" w:ascii="宋体" w:hAnsi="宋体" w:cs="宋体"/>
          <w:color w:val="000000"/>
          <w:szCs w:val="21"/>
          <w:u w:val="single"/>
        </w:rPr>
        <w:t xml:space="preserve">   </w:t>
      </w:r>
    </w:p>
    <w:p w14:paraId="45B92BB7">
      <w:pPr>
        <w:keepLines w:val="0"/>
        <w:pageBreakBefore w:val="0"/>
        <w:widowControl w:val="0"/>
        <w:kinsoku/>
        <w:wordWrap/>
        <w:overflowPunct/>
        <w:topLinePunct w:val="0"/>
        <w:bidi w:val="0"/>
        <w:adjustRightInd/>
        <w:snapToGrid/>
        <w:spacing w:line="360" w:lineRule="auto"/>
        <w:ind w:firstLine="420" w:firstLineChars="200"/>
        <w:textAlignment w:val="auto"/>
        <w:rPr>
          <w:rFonts w:ascii="宋体" w:hAnsi="宋体" w:cs="宋体"/>
          <w:color w:val="000000"/>
          <w:szCs w:val="21"/>
        </w:rPr>
      </w:pPr>
      <w:r>
        <w:rPr>
          <w:rFonts w:hint="eastAsia" w:ascii="宋体" w:hAnsi="宋体" w:cs="宋体"/>
          <w:color w:val="000000"/>
          <w:szCs w:val="21"/>
        </w:rPr>
        <w:t>法定代表人：</w:t>
      </w:r>
      <w:r>
        <w:rPr>
          <w:rFonts w:hint="eastAsia" w:ascii="宋体" w:hAnsi="宋体" w:cs="宋体"/>
          <w:color w:val="000000"/>
          <w:szCs w:val="21"/>
          <w:u w:val="single"/>
        </w:rPr>
        <w:t xml:space="preserve">           </w:t>
      </w:r>
      <w:r>
        <w:rPr>
          <w:rFonts w:hint="eastAsia" w:ascii="宋体" w:hAnsi="宋体" w:cs="宋体"/>
          <w:color w:val="000000"/>
          <w:szCs w:val="21"/>
        </w:rPr>
        <w:t xml:space="preserve">  </w:t>
      </w:r>
      <w:r>
        <w:rPr>
          <w:rFonts w:hint="eastAsia" w:ascii="宋体" w:hAnsi="宋体" w:cs="宋体"/>
          <w:color w:val="000000"/>
          <w:szCs w:val="21"/>
          <w:lang w:val="en-US" w:eastAsia="zh-CN"/>
        </w:rPr>
        <w:t xml:space="preserve">           </w:t>
      </w:r>
      <w:r>
        <w:rPr>
          <w:rFonts w:hint="eastAsia" w:ascii="宋体" w:hAnsi="宋体" w:cs="宋体"/>
          <w:color w:val="000000"/>
          <w:szCs w:val="21"/>
        </w:rPr>
        <w:t>法定代表人：</w:t>
      </w:r>
      <w:r>
        <w:rPr>
          <w:rFonts w:hint="eastAsia" w:ascii="宋体" w:hAnsi="宋体" w:cs="宋体"/>
          <w:color w:val="000000"/>
          <w:szCs w:val="21"/>
          <w:u w:val="single"/>
        </w:rPr>
        <w:t xml:space="preserve">      </w:t>
      </w:r>
      <w:r>
        <w:rPr>
          <w:rFonts w:hint="eastAsia" w:ascii="宋体" w:hAnsi="宋体" w:cs="宋体"/>
          <w:color w:val="000000"/>
          <w:szCs w:val="21"/>
          <w:u w:val="single"/>
          <w:lang w:val="en-US" w:eastAsia="zh-CN"/>
        </w:rPr>
        <w:t xml:space="preserve">    </w:t>
      </w:r>
      <w:r>
        <w:rPr>
          <w:rFonts w:hint="eastAsia" w:ascii="宋体" w:hAnsi="宋体" w:cs="宋体"/>
          <w:color w:val="000000"/>
          <w:szCs w:val="21"/>
          <w:u w:val="single"/>
        </w:rPr>
        <w:t xml:space="preserve">       </w:t>
      </w:r>
    </w:p>
    <w:p w14:paraId="12D51D6D">
      <w:pPr>
        <w:keepLines w:val="0"/>
        <w:pageBreakBefore w:val="0"/>
        <w:widowControl w:val="0"/>
        <w:kinsoku/>
        <w:wordWrap/>
        <w:overflowPunct/>
        <w:topLinePunct w:val="0"/>
        <w:bidi w:val="0"/>
        <w:adjustRightInd/>
        <w:snapToGrid/>
        <w:spacing w:line="360" w:lineRule="auto"/>
        <w:ind w:firstLine="420" w:firstLineChars="200"/>
        <w:textAlignment w:val="auto"/>
        <w:rPr>
          <w:rFonts w:ascii="宋体" w:hAnsi="宋体" w:cs="宋体"/>
          <w:color w:val="000000"/>
          <w:szCs w:val="21"/>
        </w:rPr>
      </w:pPr>
      <w:r>
        <w:rPr>
          <w:rFonts w:hint="eastAsia" w:ascii="宋体" w:hAnsi="宋体" w:cs="宋体"/>
          <w:color w:val="000000"/>
          <w:szCs w:val="21"/>
        </w:rPr>
        <w:t>委托代理人：</w:t>
      </w:r>
      <w:r>
        <w:rPr>
          <w:rFonts w:hint="eastAsia" w:ascii="宋体" w:hAnsi="宋体" w:cs="宋体"/>
          <w:color w:val="000000"/>
          <w:szCs w:val="21"/>
          <w:u w:val="single"/>
        </w:rPr>
        <w:t xml:space="preserve">           </w:t>
      </w:r>
      <w:r>
        <w:rPr>
          <w:rFonts w:hint="eastAsia" w:ascii="宋体" w:hAnsi="宋体" w:cs="宋体"/>
          <w:color w:val="000000"/>
          <w:szCs w:val="21"/>
        </w:rPr>
        <w:t xml:space="preserve"> </w:t>
      </w:r>
      <w:r>
        <w:rPr>
          <w:rFonts w:hint="eastAsia" w:ascii="宋体" w:hAnsi="宋体" w:cs="宋体"/>
          <w:color w:val="000000"/>
          <w:szCs w:val="21"/>
          <w:lang w:val="en-US" w:eastAsia="zh-CN"/>
        </w:rPr>
        <w:t xml:space="preserve">           </w:t>
      </w:r>
      <w:r>
        <w:rPr>
          <w:rFonts w:hint="eastAsia" w:ascii="宋体" w:hAnsi="宋体" w:cs="宋体"/>
          <w:color w:val="000000"/>
          <w:szCs w:val="21"/>
        </w:rPr>
        <w:t xml:space="preserve"> 委托代理人：</w:t>
      </w:r>
      <w:r>
        <w:rPr>
          <w:rFonts w:hint="eastAsia" w:ascii="宋体" w:hAnsi="宋体" w:cs="宋体"/>
          <w:color w:val="000000"/>
          <w:szCs w:val="21"/>
          <w:u w:val="single"/>
        </w:rPr>
        <w:t></w:t>
      </w:r>
      <w:r>
        <w:rPr>
          <w:rFonts w:hint="eastAsia" w:ascii="宋体" w:hAnsi="宋体" w:cs="宋体"/>
          <w:color w:val="000000"/>
          <w:szCs w:val="21"/>
          <w:u w:val="single"/>
          <w:lang w:val="en-US" w:eastAsia="zh-CN"/>
        </w:rPr>
        <w:t xml:space="preserve">          </w:t>
      </w:r>
      <w:r>
        <w:rPr>
          <w:rFonts w:hint="eastAsia" w:ascii="宋体" w:hAnsi="宋体" w:cs="宋体"/>
          <w:color w:val="000000"/>
          <w:szCs w:val="21"/>
          <w:u w:val="single"/>
        </w:rPr>
        <w:t xml:space="preserve">             </w:t>
      </w:r>
    </w:p>
    <w:p w14:paraId="48384A2D">
      <w:pPr>
        <w:keepLines w:val="0"/>
        <w:pageBreakBefore w:val="0"/>
        <w:widowControl w:val="0"/>
        <w:kinsoku/>
        <w:wordWrap/>
        <w:overflowPunct/>
        <w:topLinePunct w:val="0"/>
        <w:bidi w:val="0"/>
        <w:adjustRightInd/>
        <w:snapToGrid/>
        <w:spacing w:line="360" w:lineRule="auto"/>
        <w:ind w:firstLine="420" w:firstLineChars="200"/>
        <w:textAlignment w:val="auto"/>
        <w:rPr>
          <w:rFonts w:ascii="宋体" w:hAnsi="宋体" w:cs="宋体"/>
          <w:color w:val="000000"/>
          <w:szCs w:val="21"/>
        </w:rPr>
      </w:pPr>
      <w:r>
        <w:rPr>
          <w:rFonts w:hint="eastAsia" w:ascii="宋体" w:hAnsi="宋体" w:cs="宋体"/>
          <w:color w:val="000000"/>
          <w:szCs w:val="21"/>
        </w:rPr>
        <w:t>电  话：</w:t>
      </w:r>
      <w:r>
        <w:rPr>
          <w:rFonts w:hint="eastAsia" w:ascii="宋体" w:hAnsi="宋体" w:cs="宋体"/>
          <w:color w:val="000000"/>
          <w:szCs w:val="21"/>
          <w:u w:val="single"/>
        </w:rPr>
        <w:t xml:space="preserve">   </w:t>
      </w:r>
      <w:r>
        <w:rPr>
          <w:rFonts w:hint="eastAsia" w:ascii="宋体" w:hAnsi="宋体" w:cs="宋体"/>
          <w:color w:val="000000"/>
          <w:szCs w:val="21"/>
        </w:rPr>
        <w:t xml:space="preserve"> </w:t>
      </w:r>
      <w:r>
        <w:rPr>
          <w:rFonts w:hint="eastAsia" w:ascii="宋体" w:hAnsi="宋体" w:cs="宋体"/>
          <w:color w:val="000000"/>
          <w:szCs w:val="21"/>
          <w:lang w:val="en-US" w:eastAsia="zh-CN"/>
        </w:rPr>
        <w:t xml:space="preserve">           </w:t>
      </w:r>
      <w:r>
        <w:rPr>
          <w:rFonts w:hint="eastAsia" w:ascii="宋体" w:hAnsi="宋体" w:cs="宋体"/>
          <w:color w:val="000000"/>
          <w:szCs w:val="21"/>
        </w:rPr>
        <w:t xml:space="preserve"> 电  话：</w:t>
      </w:r>
      <w:r>
        <w:rPr>
          <w:rFonts w:hint="eastAsia" w:ascii="宋体" w:hAnsi="宋体" w:cs="宋体"/>
          <w:color w:val="000000"/>
          <w:szCs w:val="21"/>
          <w:u w:val="single"/>
        </w:rPr>
        <w:t></w:t>
      </w:r>
      <w:r>
        <w:rPr>
          <w:rFonts w:hint="eastAsia" w:ascii="宋体" w:hAnsi="宋体" w:cs="宋体"/>
          <w:color w:val="000000"/>
          <w:szCs w:val="21"/>
          <w:u w:val="single"/>
          <w:lang w:val="en-US" w:eastAsia="zh-CN"/>
        </w:rPr>
        <w:t xml:space="preserve">  </w:t>
      </w:r>
      <w:r>
        <w:rPr>
          <w:rFonts w:hint="eastAsia" w:ascii="宋体" w:hAnsi="宋体" w:cs="宋体"/>
          <w:color w:val="000000"/>
          <w:szCs w:val="21"/>
          <w:u w:val="single"/>
        </w:rPr>
        <w:t xml:space="preserve">     </w:t>
      </w:r>
    </w:p>
    <w:p w14:paraId="3E11D2C7">
      <w:pPr>
        <w:keepLines w:val="0"/>
        <w:pageBreakBefore w:val="0"/>
        <w:widowControl w:val="0"/>
        <w:kinsoku/>
        <w:wordWrap/>
        <w:overflowPunct/>
        <w:topLinePunct w:val="0"/>
        <w:bidi w:val="0"/>
        <w:adjustRightInd/>
        <w:snapToGrid/>
        <w:spacing w:line="360" w:lineRule="auto"/>
        <w:ind w:firstLine="420" w:firstLineChars="200"/>
        <w:textAlignment w:val="auto"/>
        <w:rPr>
          <w:rFonts w:ascii="宋体" w:hAnsi="宋体" w:cs="宋体"/>
          <w:color w:val="000000"/>
          <w:szCs w:val="21"/>
        </w:rPr>
      </w:pPr>
      <w:r>
        <w:rPr>
          <w:rFonts w:hint="eastAsia" w:ascii="宋体" w:hAnsi="宋体" w:cs="宋体"/>
          <w:color w:val="000000"/>
          <w:szCs w:val="21"/>
        </w:rPr>
        <w:t>传  真：</w:t>
      </w:r>
      <w:r>
        <w:rPr>
          <w:rFonts w:hint="eastAsia" w:ascii="宋体" w:hAnsi="宋体" w:cs="宋体"/>
          <w:color w:val="000000"/>
          <w:szCs w:val="21"/>
          <w:u w:val="single"/>
        </w:rPr>
        <w:t xml:space="preserve">   </w:t>
      </w:r>
      <w:r>
        <w:rPr>
          <w:rFonts w:hint="eastAsia" w:ascii="宋体" w:hAnsi="宋体" w:cs="宋体"/>
          <w:color w:val="000000"/>
          <w:szCs w:val="21"/>
        </w:rPr>
        <w:t xml:space="preserve">  </w:t>
      </w:r>
      <w:r>
        <w:rPr>
          <w:rFonts w:hint="eastAsia" w:ascii="宋体" w:hAnsi="宋体" w:cs="宋体"/>
          <w:color w:val="000000"/>
          <w:szCs w:val="21"/>
          <w:lang w:val="en-US" w:eastAsia="zh-CN"/>
        </w:rPr>
        <w:t xml:space="preserve">           </w:t>
      </w:r>
      <w:r>
        <w:rPr>
          <w:rFonts w:hint="eastAsia" w:ascii="宋体" w:hAnsi="宋体" w:cs="宋体"/>
          <w:color w:val="000000"/>
          <w:szCs w:val="21"/>
        </w:rPr>
        <w:t>传  真：</w:t>
      </w:r>
      <w:r>
        <w:rPr>
          <w:rFonts w:hint="eastAsia" w:ascii="宋体" w:hAnsi="宋体" w:cs="宋体"/>
          <w:color w:val="000000"/>
          <w:szCs w:val="21"/>
          <w:u w:val="single"/>
        </w:rPr>
        <w:t xml:space="preserve">     </w:t>
      </w:r>
    </w:p>
    <w:p w14:paraId="1C29E18C">
      <w:pPr>
        <w:keepLines w:val="0"/>
        <w:pageBreakBefore w:val="0"/>
        <w:widowControl w:val="0"/>
        <w:kinsoku/>
        <w:wordWrap/>
        <w:overflowPunct/>
        <w:topLinePunct w:val="0"/>
        <w:bidi w:val="0"/>
        <w:adjustRightInd/>
        <w:snapToGrid/>
        <w:spacing w:line="360" w:lineRule="auto"/>
        <w:ind w:firstLine="420" w:firstLineChars="200"/>
        <w:textAlignment w:val="auto"/>
        <w:rPr>
          <w:rFonts w:ascii="宋体" w:hAnsi="宋体" w:cs="宋体"/>
          <w:color w:val="000000"/>
          <w:szCs w:val="21"/>
        </w:rPr>
      </w:pPr>
      <w:r>
        <w:rPr>
          <w:rFonts w:hint="eastAsia" w:ascii="宋体" w:hAnsi="宋体" w:cs="宋体"/>
          <w:color w:val="000000"/>
          <w:szCs w:val="21"/>
        </w:rPr>
        <w:t>电子信箱</w:t>
      </w:r>
      <w:r>
        <w:rPr>
          <w:rFonts w:hint="eastAsia" w:ascii="宋体" w:hAnsi="宋体" w:cs="宋体"/>
          <w:color w:val="000000"/>
          <w:szCs w:val="21"/>
          <w:u w:val="single"/>
        </w:rPr>
        <w:t xml:space="preserve">： </w:t>
      </w:r>
      <w:r>
        <w:rPr>
          <w:rFonts w:hint="eastAsia" w:ascii="宋体" w:hAnsi="宋体" w:cs="宋体"/>
          <w:color w:val="000000"/>
          <w:szCs w:val="21"/>
          <w:u w:val="single"/>
          <w:lang w:val="en-US" w:eastAsia="zh-CN"/>
        </w:rPr>
        <w:t xml:space="preserve">                 </w:t>
      </w:r>
      <w:r>
        <w:rPr>
          <w:rFonts w:hint="eastAsia" w:ascii="宋体" w:hAnsi="宋体" w:cs="宋体"/>
          <w:color w:val="000000"/>
          <w:szCs w:val="21"/>
          <w:u w:val="none"/>
          <w:lang w:val="en-US" w:eastAsia="zh-CN"/>
        </w:rPr>
        <w:t xml:space="preserve">            </w:t>
      </w:r>
      <w:r>
        <w:rPr>
          <w:rFonts w:hint="eastAsia" w:ascii="宋体" w:hAnsi="宋体" w:cs="宋体"/>
          <w:color w:val="000000"/>
          <w:szCs w:val="21"/>
        </w:rPr>
        <w:t>电子信箱：</w:t>
      </w:r>
      <w:r>
        <w:rPr>
          <w:rFonts w:hint="eastAsia" w:ascii="宋体" w:hAnsi="宋体" w:cs="宋体"/>
          <w:color w:val="000000"/>
          <w:szCs w:val="21"/>
          <w:u w:val="single"/>
        </w:rPr>
        <w:t xml:space="preserve">   </w:t>
      </w:r>
    </w:p>
    <w:p w14:paraId="47A84505">
      <w:pPr>
        <w:keepLines w:val="0"/>
        <w:pageBreakBefore w:val="0"/>
        <w:widowControl w:val="0"/>
        <w:kinsoku/>
        <w:wordWrap/>
        <w:overflowPunct/>
        <w:topLinePunct w:val="0"/>
        <w:bidi w:val="0"/>
        <w:adjustRightInd/>
        <w:snapToGrid/>
        <w:spacing w:line="360" w:lineRule="auto"/>
        <w:ind w:firstLine="420" w:firstLineChars="200"/>
        <w:textAlignment w:val="auto"/>
        <w:rPr>
          <w:rFonts w:ascii="宋体" w:hAnsi="宋体" w:cs="宋体"/>
          <w:color w:val="000000"/>
          <w:szCs w:val="21"/>
        </w:rPr>
      </w:pPr>
      <w:r>
        <w:rPr>
          <w:rFonts w:hint="eastAsia" w:ascii="宋体" w:hAnsi="宋体" w:cs="宋体"/>
          <w:color w:val="000000"/>
          <w:szCs w:val="21"/>
        </w:rPr>
        <w:t>开户银行：</w:t>
      </w:r>
      <w:r>
        <w:rPr>
          <w:rFonts w:hint="eastAsia" w:ascii="宋体" w:hAnsi="宋体" w:cs="宋体"/>
          <w:color w:val="000000"/>
          <w:szCs w:val="21"/>
          <w:u w:val="single"/>
        </w:rPr>
        <w:t xml:space="preserve">   </w:t>
      </w:r>
      <w:r>
        <w:rPr>
          <w:rFonts w:hint="eastAsia" w:ascii="宋体" w:hAnsi="宋体" w:cs="宋体"/>
          <w:color w:val="000000"/>
          <w:szCs w:val="21"/>
        </w:rPr>
        <w:t xml:space="preserve">  </w:t>
      </w:r>
      <w:r>
        <w:rPr>
          <w:rFonts w:hint="eastAsia" w:ascii="宋体" w:hAnsi="宋体" w:cs="宋体"/>
          <w:color w:val="000000"/>
          <w:szCs w:val="21"/>
          <w:lang w:val="en-US" w:eastAsia="zh-CN"/>
        </w:rPr>
        <w:t xml:space="preserve">           </w:t>
      </w:r>
      <w:r>
        <w:rPr>
          <w:rFonts w:hint="eastAsia" w:ascii="宋体" w:hAnsi="宋体" w:cs="宋体"/>
          <w:color w:val="000000"/>
          <w:szCs w:val="21"/>
        </w:rPr>
        <w:t>开户银行：</w:t>
      </w:r>
      <w:r>
        <w:rPr>
          <w:rFonts w:hint="eastAsia" w:ascii="宋体" w:hAnsi="宋体" w:cs="宋体"/>
          <w:color w:val="000000"/>
          <w:szCs w:val="21"/>
          <w:u w:val="single"/>
        </w:rPr>
        <w:t xml:space="preserve">   </w:t>
      </w:r>
    </w:p>
    <w:p w14:paraId="4DE6F666">
      <w:pPr>
        <w:keepLines w:val="0"/>
        <w:pageBreakBefore w:val="0"/>
        <w:widowControl w:val="0"/>
        <w:kinsoku/>
        <w:wordWrap/>
        <w:overflowPunct/>
        <w:topLinePunct w:val="0"/>
        <w:bidi w:val="0"/>
        <w:adjustRightInd/>
        <w:snapToGrid/>
        <w:spacing w:line="360" w:lineRule="auto"/>
        <w:ind w:firstLine="420" w:firstLineChars="200"/>
        <w:textAlignment w:val="auto"/>
        <w:rPr>
          <w:rFonts w:ascii="宋体" w:hAnsi="宋体" w:cs="宋体"/>
          <w:color w:val="000000"/>
          <w:szCs w:val="21"/>
        </w:rPr>
      </w:pPr>
      <w:r>
        <w:rPr>
          <w:rFonts w:hint="eastAsia" w:ascii="宋体" w:hAnsi="宋体" w:cs="宋体"/>
          <w:color w:val="000000"/>
          <w:szCs w:val="21"/>
        </w:rPr>
        <w:t>账  号：</w:t>
      </w:r>
      <w:r>
        <w:rPr>
          <w:rFonts w:hint="eastAsia" w:ascii="宋体" w:hAnsi="宋体" w:cs="宋体"/>
          <w:color w:val="000000"/>
          <w:szCs w:val="21"/>
          <w:u w:val="single"/>
        </w:rPr>
        <w:t xml:space="preserve">       </w:t>
      </w:r>
      <w:r>
        <w:rPr>
          <w:rFonts w:hint="eastAsia" w:ascii="宋体" w:hAnsi="宋体" w:cs="宋体"/>
          <w:color w:val="000000"/>
          <w:szCs w:val="21"/>
        </w:rPr>
        <w:t xml:space="preserve">   </w:t>
      </w:r>
      <w:r>
        <w:rPr>
          <w:rFonts w:hint="eastAsia" w:ascii="宋体" w:hAnsi="宋体" w:cs="宋体"/>
          <w:color w:val="000000"/>
          <w:szCs w:val="21"/>
          <w:lang w:val="en-US" w:eastAsia="zh-CN"/>
        </w:rPr>
        <w:t xml:space="preserve">          </w:t>
      </w:r>
      <w:r>
        <w:rPr>
          <w:rFonts w:hint="eastAsia" w:ascii="宋体" w:hAnsi="宋体" w:cs="宋体"/>
          <w:color w:val="000000"/>
          <w:szCs w:val="21"/>
        </w:rPr>
        <w:t>账  号：</w:t>
      </w:r>
      <w:r>
        <w:rPr>
          <w:rFonts w:hint="eastAsia" w:ascii="宋体" w:hAnsi="宋体" w:cs="宋体"/>
          <w:color w:val="000000"/>
          <w:szCs w:val="21"/>
          <w:u w:val="single"/>
        </w:rPr>
        <w:t></w:t>
      </w:r>
      <w:r>
        <w:rPr>
          <w:rFonts w:hint="eastAsia" w:ascii="宋体" w:hAnsi="宋体" w:cs="宋体"/>
          <w:color w:val="000000"/>
          <w:szCs w:val="21"/>
          <w:u w:val="single"/>
          <w:lang w:val="en-US" w:eastAsia="zh-CN"/>
        </w:rPr>
        <w:t xml:space="preserve">  </w:t>
      </w:r>
      <w:r>
        <w:rPr>
          <w:rFonts w:hint="eastAsia" w:ascii="宋体" w:hAnsi="宋体" w:cs="宋体"/>
          <w:color w:val="000000"/>
          <w:szCs w:val="21"/>
          <w:u w:val="single"/>
        </w:rPr>
        <w:t xml:space="preserve">     </w:t>
      </w:r>
    </w:p>
    <w:p w14:paraId="7DA03185">
      <w:pPr>
        <w:rPr>
          <w:rFonts w:hint="eastAsia" w:ascii="宋体" w:hAnsi="宋体" w:cs="宋体"/>
          <w:sz w:val="28"/>
          <w:szCs w:val="28"/>
        </w:rPr>
      </w:pPr>
      <w:bookmarkStart w:id="265" w:name="_Toc9136"/>
      <w:bookmarkStart w:id="266" w:name="_Toc14572"/>
      <w:r>
        <w:rPr>
          <w:rFonts w:hint="eastAsia" w:ascii="宋体" w:hAnsi="宋体" w:cs="宋体"/>
          <w:sz w:val="28"/>
          <w:szCs w:val="28"/>
        </w:rPr>
        <w:br w:type="page"/>
      </w:r>
    </w:p>
    <w:p w14:paraId="10E7D854">
      <w:pPr>
        <w:pStyle w:val="4"/>
        <w:snapToGrid w:val="0"/>
        <w:spacing w:line="240" w:lineRule="auto"/>
        <w:jc w:val="center"/>
        <w:rPr>
          <w:rFonts w:ascii="宋体" w:hAnsi="宋体" w:cs="宋体"/>
          <w:sz w:val="28"/>
          <w:szCs w:val="28"/>
        </w:rPr>
      </w:pPr>
      <w:r>
        <w:rPr>
          <w:rFonts w:hint="eastAsia" w:ascii="宋体" w:hAnsi="宋体" w:cs="宋体"/>
          <w:sz w:val="28"/>
          <w:szCs w:val="28"/>
        </w:rPr>
        <w:t>第二部分 通用合同条款</w:t>
      </w:r>
      <w:bookmarkEnd w:id="265"/>
      <w:bookmarkEnd w:id="266"/>
    </w:p>
    <w:p w14:paraId="12521434">
      <w:pPr>
        <w:pStyle w:val="10"/>
        <w:rPr>
          <w:bCs/>
        </w:rPr>
      </w:pPr>
      <w:r>
        <w:rPr>
          <w:rFonts w:hint="eastAsia" w:ascii="宋体" w:hAnsi="宋体" w:eastAsia="宋体" w:cs="宋体"/>
          <w:color w:val="auto"/>
          <w:highlight w:val="none"/>
        </w:rPr>
        <w:t>通用合同条款直接采用《建设项目工程总承包合同》（GF-2020-0216）示范文本第二章《通用合同条款》。</w:t>
      </w:r>
    </w:p>
    <w:p w14:paraId="239D736E">
      <w:pPr>
        <w:pStyle w:val="10"/>
        <w:rPr>
          <w:bCs/>
        </w:rPr>
      </w:pPr>
    </w:p>
    <w:p w14:paraId="2D92B61A">
      <w:pPr>
        <w:pStyle w:val="10"/>
      </w:pPr>
    </w:p>
    <w:p w14:paraId="56E57A93">
      <w:pPr>
        <w:pStyle w:val="10"/>
      </w:pPr>
    </w:p>
    <w:p w14:paraId="3C31580B">
      <w:pPr>
        <w:pStyle w:val="10"/>
      </w:pPr>
    </w:p>
    <w:p w14:paraId="63553E87">
      <w:pPr>
        <w:pStyle w:val="10"/>
      </w:pPr>
    </w:p>
    <w:p w14:paraId="666D05C2">
      <w:pPr>
        <w:pStyle w:val="10"/>
      </w:pPr>
    </w:p>
    <w:p w14:paraId="0E70AD15">
      <w:pPr>
        <w:pStyle w:val="10"/>
      </w:pPr>
    </w:p>
    <w:p w14:paraId="788280C3">
      <w:pPr>
        <w:pStyle w:val="10"/>
      </w:pPr>
    </w:p>
    <w:p w14:paraId="39D415BE">
      <w:pPr>
        <w:pStyle w:val="10"/>
      </w:pPr>
    </w:p>
    <w:p w14:paraId="1F5AAC0E">
      <w:pPr>
        <w:pStyle w:val="10"/>
      </w:pPr>
    </w:p>
    <w:p w14:paraId="6AA6CA98">
      <w:pPr>
        <w:pStyle w:val="10"/>
      </w:pPr>
    </w:p>
    <w:p w14:paraId="6C941178">
      <w:pPr>
        <w:pStyle w:val="10"/>
      </w:pPr>
    </w:p>
    <w:p w14:paraId="5150704F">
      <w:pPr>
        <w:pStyle w:val="10"/>
      </w:pPr>
    </w:p>
    <w:p w14:paraId="6F47BAE7">
      <w:pPr>
        <w:pStyle w:val="10"/>
      </w:pPr>
    </w:p>
    <w:p w14:paraId="6D312C49">
      <w:pPr>
        <w:pStyle w:val="10"/>
      </w:pPr>
    </w:p>
    <w:p w14:paraId="21BBE543">
      <w:pPr>
        <w:pStyle w:val="10"/>
      </w:pPr>
    </w:p>
    <w:p w14:paraId="2882FF45">
      <w:pPr>
        <w:pStyle w:val="10"/>
      </w:pPr>
    </w:p>
    <w:p w14:paraId="7EF02D6A">
      <w:pPr>
        <w:pStyle w:val="10"/>
      </w:pPr>
    </w:p>
    <w:p w14:paraId="19E9F1FC">
      <w:pPr>
        <w:pStyle w:val="10"/>
      </w:pPr>
    </w:p>
    <w:p w14:paraId="32CBCDEC">
      <w:pPr>
        <w:pStyle w:val="10"/>
      </w:pPr>
    </w:p>
    <w:p w14:paraId="0EBA9D84">
      <w:pPr>
        <w:pStyle w:val="10"/>
      </w:pPr>
    </w:p>
    <w:p w14:paraId="69AD3F71">
      <w:pPr>
        <w:pStyle w:val="10"/>
      </w:pPr>
    </w:p>
    <w:p w14:paraId="51BEDA0A">
      <w:pPr>
        <w:pStyle w:val="10"/>
      </w:pPr>
    </w:p>
    <w:p w14:paraId="634B54F6">
      <w:pPr>
        <w:pStyle w:val="10"/>
      </w:pPr>
    </w:p>
    <w:p w14:paraId="2CFE3B78">
      <w:pPr>
        <w:pStyle w:val="10"/>
      </w:pPr>
    </w:p>
    <w:p w14:paraId="5D895A81">
      <w:pPr>
        <w:pStyle w:val="10"/>
      </w:pPr>
    </w:p>
    <w:p w14:paraId="53A4F9B4">
      <w:pPr>
        <w:pStyle w:val="10"/>
      </w:pPr>
    </w:p>
    <w:p w14:paraId="59ED4FDB">
      <w:pPr>
        <w:pStyle w:val="10"/>
      </w:pPr>
    </w:p>
    <w:p w14:paraId="274E0DAB">
      <w:pPr>
        <w:pStyle w:val="10"/>
      </w:pPr>
    </w:p>
    <w:p w14:paraId="2A92D88E">
      <w:pPr>
        <w:pStyle w:val="10"/>
      </w:pPr>
    </w:p>
    <w:p w14:paraId="65BA1B17">
      <w:pPr>
        <w:pStyle w:val="10"/>
      </w:pPr>
    </w:p>
    <w:p w14:paraId="3B896704">
      <w:pPr>
        <w:pStyle w:val="10"/>
      </w:pPr>
    </w:p>
    <w:p w14:paraId="75B8BA1C">
      <w:pPr>
        <w:pStyle w:val="10"/>
      </w:pPr>
    </w:p>
    <w:p w14:paraId="197BD1D0">
      <w:pPr>
        <w:pStyle w:val="10"/>
      </w:pPr>
    </w:p>
    <w:p w14:paraId="2CA6D091">
      <w:pPr>
        <w:pStyle w:val="10"/>
      </w:pPr>
    </w:p>
    <w:p w14:paraId="31AB75EB">
      <w:pPr>
        <w:pStyle w:val="10"/>
      </w:pPr>
    </w:p>
    <w:p w14:paraId="2CCBC79C">
      <w:pPr>
        <w:pStyle w:val="10"/>
      </w:pPr>
    </w:p>
    <w:p w14:paraId="50FB254B">
      <w:pPr>
        <w:rPr>
          <w:rFonts w:ascii="宋体" w:hAnsi="宋体" w:cs="宋体"/>
          <w:b/>
          <w:kern w:val="0"/>
          <w:sz w:val="28"/>
          <w:szCs w:val="28"/>
          <w:lang w:bidi="en-US"/>
        </w:rPr>
      </w:pPr>
      <w:r>
        <w:rPr>
          <w:rFonts w:hint="eastAsia" w:ascii="宋体" w:hAnsi="宋体" w:cs="宋体"/>
          <w:b/>
          <w:kern w:val="0"/>
          <w:sz w:val="28"/>
          <w:szCs w:val="28"/>
          <w:lang w:bidi="en-US"/>
        </w:rPr>
        <w:br w:type="page"/>
      </w:r>
    </w:p>
    <w:p w14:paraId="41A5DE95">
      <w:pPr>
        <w:pStyle w:val="221"/>
        <w:keepNext w:val="0"/>
        <w:keepLines w:val="0"/>
        <w:pageBreakBefore w:val="0"/>
        <w:widowControl w:val="0"/>
        <w:numPr>
          <w:ilvl w:val="0"/>
          <w:numId w:val="0"/>
        </w:numPr>
        <w:tabs>
          <w:tab w:val="left" w:pos="1830"/>
        </w:tabs>
        <w:kinsoku/>
        <w:wordWrap/>
        <w:overflowPunct/>
        <w:topLinePunct w:val="0"/>
        <w:autoSpaceDE/>
        <w:autoSpaceDN/>
        <w:bidi w:val="0"/>
        <w:adjustRightInd/>
        <w:snapToGrid/>
        <w:spacing w:before="0" w:after="0"/>
        <w:ind w:left="0" w:leftChars="0" w:firstLine="600" w:firstLineChars="200"/>
        <w:textAlignment w:val="auto"/>
        <w:outlineLvl w:val="1"/>
        <w:rPr>
          <w:rFonts w:hint="eastAsia" w:ascii="宋体" w:hAnsi="宋体" w:eastAsia="宋体" w:cs="宋体"/>
          <w:color w:val="auto"/>
          <w:highlight w:val="none"/>
        </w:rPr>
      </w:pPr>
      <w:bookmarkStart w:id="267" w:name="_Toc14555"/>
      <w:bookmarkStart w:id="268" w:name="_Toc4277"/>
      <w:bookmarkStart w:id="269" w:name="_Toc6139"/>
      <w:r>
        <w:rPr>
          <w:rFonts w:hint="eastAsia" w:ascii="宋体" w:hAnsi="宋体" w:eastAsia="宋体" w:cs="宋体"/>
          <w:color w:val="auto"/>
          <w:kern w:val="44"/>
          <w:sz w:val="30"/>
          <w:szCs w:val="36"/>
        </w:rPr>
        <w:t>第三部分</w:t>
      </w:r>
      <w:r>
        <w:rPr>
          <w:rFonts w:hint="eastAsia" w:ascii="宋体" w:hAnsi="宋体" w:eastAsia="宋体" w:cs="宋体"/>
          <w:color w:val="auto"/>
          <w:highlight w:val="none"/>
        </w:rPr>
        <w:t>专用合同条款</w:t>
      </w:r>
      <w:bookmarkEnd w:id="267"/>
      <w:bookmarkEnd w:id="268"/>
      <w:bookmarkEnd w:id="269"/>
    </w:p>
    <w:p w14:paraId="19DEAA0A">
      <w:pPr>
        <w:keepNext w:val="0"/>
        <w:keepLines w:val="0"/>
        <w:pageBreakBefore w:val="0"/>
        <w:widowControl w:val="0"/>
        <w:numPr>
          <w:ilvl w:val="0"/>
          <w:numId w:val="1"/>
        </w:numPr>
        <w:tabs>
          <w:tab w:val="left" w:pos="961"/>
          <w:tab w:val="clear" w:pos="210"/>
        </w:tabs>
        <w:kinsoku/>
        <w:wordWrap/>
        <w:overflowPunct/>
        <w:topLinePunct w:val="0"/>
        <w:autoSpaceDE/>
        <w:autoSpaceDN/>
        <w:bidi w:val="0"/>
        <w:adjustRightInd/>
        <w:snapToGrid/>
        <w:spacing w:line="360" w:lineRule="auto"/>
        <w:ind w:left="0" w:leftChars="0" w:firstLine="422" w:firstLineChars="200"/>
        <w:textAlignment w:val="auto"/>
        <w:outlineLvl w:val="2"/>
        <w:rPr>
          <w:rFonts w:hint="eastAsia" w:ascii="宋体" w:hAnsi="宋体" w:eastAsia="宋体" w:cs="宋体"/>
          <w:b/>
          <w:bCs/>
          <w:color w:val="auto"/>
          <w:sz w:val="21"/>
          <w:szCs w:val="21"/>
          <w:highlight w:val="none"/>
        </w:rPr>
      </w:pPr>
      <w:bookmarkStart w:id="270" w:name="_Toc351203633"/>
      <w:bookmarkStart w:id="271" w:name="_Toc1391"/>
      <w:bookmarkStart w:id="272" w:name="_Toc7508"/>
      <w:bookmarkStart w:id="273" w:name="_Toc8530"/>
      <w:bookmarkStart w:id="274" w:name="_Toc296891196"/>
      <w:bookmarkStart w:id="275" w:name="_Toc296503156"/>
      <w:bookmarkStart w:id="276" w:name="_Toc296944495"/>
      <w:bookmarkStart w:id="277" w:name="_Toc296347155"/>
      <w:bookmarkStart w:id="278" w:name="_Toc292559361"/>
      <w:bookmarkStart w:id="279" w:name="_Toc292559866"/>
      <w:bookmarkStart w:id="280" w:name="_Toc297048342"/>
      <w:bookmarkStart w:id="281" w:name="_Toc297120456"/>
      <w:bookmarkStart w:id="282" w:name="_Toc296890984"/>
      <w:bookmarkStart w:id="283" w:name="_Toc296346657"/>
      <w:r>
        <w:rPr>
          <w:rFonts w:hint="eastAsia" w:ascii="宋体" w:hAnsi="宋体" w:eastAsia="宋体" w:cs="宋体"/>
          <w:b/>
          <w:bCs/>
          <w:color w:val="auto"/>
          <w:sz w:val="21"/>
          <w:szCs w:val="21"/>
          <w:highlight w:val="none"/>
        </w:rPr>
        <w:t>一般约定</w:t>
      </w:r>
      <w:bookmarkEnd w:id="270"/>
      <w:bookmarkEnd w:id="271"/>
      <w:bookmarkEnd w:id="272"/>
      <w:bookmarkEnd w:id="273"/>
    </w:p>
    <w:bookmarkEnd w:id="274"/>
    <w:bookmarkEnd w:id="275"/>
    <w:bookmarkEnd w:id="276"/>
    <w:bookmarkEnd w:id="277"/>
    <w:bookmarkEnd w:id="278"/>
    <w:bookmarkEnd w:id="279"/>
    <w:bookmarkEnd w:id="280"/>
    <w:bookmarkEnd w:id="281"/>
    <w:bookmarkEnd w:id="282"/>
    <w:bookmarkEnd w:id="283"/>
    <w:p w14:paraId="5154357D">
      <w:pPr>
        <w:keepNext w:val="0"/>
        <w:keepLines w:val="0"/>
        <w:pageBreakBefore w:val="0"/>
        <w:widowControl w:val="0"/>
        <w:numPr>
          <w:ilvl w:val="0"/>
          <w:numId w:val="0"/>
        </w:numPr>
        <w:tabs>
          <w:tab w:val="left" w:pos="1020"/>
        </w:tabs>
        <w:kinsoku/>
        <w:wordWrap/>
        <w:overflowPunct/>
        <w:topLinePunct w:val="0"/>
        <w:bidi w:val="0"/>
        <w:spacing w:line="360" w:lineRule="auto"/>
        <w:ind w:left="0" w:leftChars="0" w:firstLine="420" w:firstLineChars="200"/>
        <w:textAlignment w:val="auto"/>
        <w:outlineLvl w:val="9"/>
        <w:rPr>
          <w:rFonts w:hint="eastAsia" w:ascii="宋体" w:hAnsi="宋体" w:eastAsia="宋体" w:cs="宋体"/>
          <w:color w:val="auto"/>
          <w:sz w:val="21"/>
          <w:szCs w:val="21"/>
          <w:highlight w:val="none"/>
        </w:rPr>
      </w:pPr>
      <w:r>
        <w:rPr>
          <w:rFonts w:hint="default" w:ascii="宋体" w:hAnsi="宋体" w:eastAsia="宋体" w:cs="宋体"/>
          <w:color w:val="auto"/>
          <w:kern w:val="2"/>
          <w:sz w:val="21"/>
          <w:szCs w:val="21"/>
          <w:lang w:val="en-US" w:eastAsia="zh-CN" w:bidi="ar-SA"/>
        </w:rPr>
        <w:t>1.1</w:t>
      </w:r>
      <w:r>
        <w:rPr>
          <w:rFonts w:hint="eastAsia" w:ascii="宋体" w:hAnsi="宋体" w:eastAsia="宋体" w:cs="宋体"/>
          <w:color w:val="auto"/>
          <w:sz w:val="21"/>
          <w:szCs w:val="21"/>
          <w:highlight w:val="none"/>
        </w:rPr>
        <w:t>词语定义</w:t>
      </w:r>
    </w:p>
    <w:p w14:paraId="11FDB945">
      <w:pPr>
        <w:keepNext w:val="0"/>
        <w:keepLines w:val="0"/>
        <w:pageBreakBefore w:val="0"/>
        <w:widowControl w:val="0"/>
        <w:numPr>
          <w:ilvl w:val="0"/>
          <w:numId w:val="2"/>
        </w:numPr>
        <w:tabs>
          <w:tab w:val="left" w:pos="1160"/>
          <w:tab w:val="clear" w:pos="210"/>
        </w:tabs>
        <w:kinsoku/>
        <w:wordWrap/>
        <w:overflowPunct/>
        <w:topLinePunct w:val="0"/>
        <w:bidi w:val="0"/>
        <w:spacing w:line="360" w:lineRule="auto"/>
        <w:ind w:left="0" w:leftChars="0" w:firstLine="420" w:firstLineChars="200"/>
        <w:textAlignment w:val="auto"/>
        <w:outlineLvl w:val="9"/>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合同</w:t>
      </w:r>
    </w:p>
    <w:p w14:paraId="510C7E18">
      <w:pPr>
        <w:keepNext w:val="0"/>
        <w:keepLines w:val="0"/>
        <w:pageBreakBefore w:val="0"/>
        <w:widowControl w:val="0"/>
        <w:kinsoku/>
        <w:wordWrap/>
        <w:overflowPunct/>
        <w:topLinePunct w:val="0"/>
        <w:bidi w:val="0"/>
        <w:spacing w:line="360" w:lineRule="auto"/>
        <w:ind w:left="0" w:leftChars="0" w:firstLine="0" w:firstLineChars="0"/>
        <w:textAlignment w:val="auto"/>
        <w:outlineLvl w:val="9"/>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1.1.1.10其他合同文件包括：</w:t>
      </w:r>
    </w:p>
    <w:p w14:paraId="43A240EB">
      <w:pPr>
        <w:pStyle w:val="15"/>
        <w:keepNext w:val="0"/>
        <w:keepLines w:val="0"/>
        <w:pageBreakBefore w:val="0"/>
        <w:widowControl w:val="0"/>
        <w:numPr>
          <w:ilvl w:val="0"/>
          <w:numId w:val="3"/>
        </w:numPr>
        <w:tabs>
          <w:tab w:val="left" w:pos="1080"/>
        </w:tabs>
        <w:kinsoku/>
        <w:wordWrap/>
        <w:overflowPunct/>
        <w:topLinePunct w:val="0"/>
        <w:bidi w:val="0"/>
        <w:spacing w:after="0" w:line="360" w:lineRule="auto"/>
        <w:ind w:left="0" w:leftChars="0" w:firstLine="420" w:firstLineChars="200"/>
        <w:textAlignment w:val="auto"/>
        <w:outlineLvl w:val="9"/>
        <w:rPr>
          <w:rFonts w:hint="eastAsia" w:ascii="宋体" w:hAnsi="宋体" w:eastAsia="宋体" w:cs="宋体"/>
          <w:b w:val="0"/>
          <w:color w:val="auto"/>
          <w:sz w:val="21"/>
          <w:szCs w:val="21"/>
          <w:highlight w:val="none"/>
        </w:rPr>
      </w:pPr>
      <w:r>
        <w:rPr>
          <w:rFonts w:hint="eastAsia" w:ascii="宋体" w:hAnsi="宋体" w:eastAsia="宋体" w:cs="宋体"/>
          <w:color w:val="auto"/>
          <w:sz w:val="21"/>
          <w:szCs w:val="21"/>
          <w:highlight w:val="none"/>
        </w:rPr>
        <w:t>合同协议书；</w:t>
      </w:r>
    </w:p>
    <w:p w14:paraId="0EFC9E54">
      <w:pPr>
        <w:pStyle w:val="15"/>
        <w:keepNext w:val="0"/>
        <w:keepLines w:val="0"/>
        <w:pageBreakBefore w:val="0"/>
        <w:widowControl w:val="0"/>
        <w:numPr>
          <w:ilvl w:val="0"/>
          <w:numId w:val="3"/>
        </w:numPr>
        <w:tabs>
          <w:tab w:val="left" w:pos="1080"/>
        </w:tabs>
        <w:kinsoku/>
        <w:wordWrap/>
        <w:overflowPunct/>
        <w:topLinePunct w:val="0"/>
        <w:bidi w:val="0"/>
        <w:spacing w:after="0" w:line="360" w:lineRule="auto"/>
        <w:ind w:left="0" w:leftChars="0" w:firstLine="420" w:firstLineChars="200"/>
        <w:textAlignment w:val="auto"/>
        <w:outlineLvl w:val="9"/>
        <w:rPr>
          <w:rFonts w:hint="eastAsia" w:ascii="宋体" w:hAnsi="宋体" w:eastAsia="宋体" w:cs="宋体"/>
          <w:b w:val="0"/>
          <w:color w:val="auto"/>
          <w:sz w:val="21"/>
          <w:szCs w:val="21"/>
          <w:highlight w:val="none"/>
        </w:rPr>
      </w:pPr>
      <w:r>
        <w:rPr>
          <w:rFonts w:hint="eastAsia" w:ascii="宋体" w:hAnsi="宋体" w:cs="宋体"/>
          <w:color w:val="auto"/>
          <w:sz w:val="21"/>
          <w:szCs w:val="21"/>
          <w:highlight w:val="none"/>
          <w:lang w:val="en-US" w:eastAsia="zh-CN"/>
        </w:rPr>
        <w:t>成交</w:t>
      </w:r>
      <w:r>
        <w:rPr>
          <w:rFonts w:hint="eastAsia" w:ascii="宋体" w:hAnsi="宋体" w:eastAsia="宋体" w:cs="宋体"/>
          <w:color w:val="auto"/>
          <w:sz w:val="21"/>
          <w:szCs w:val="21"/>
          <w:highlight w:val="none"/>
        </w:rPr>
        <w:t>通知书；</w:t>
      </w:r>
    </w:p>
    <w:p w14:paraId="4D2E573B">
      <w:pPr>
        <w:pStyle w:val="15"/>
        <w:keepNext w:val="0"/>
        <w:keepLines w:val="0"/>
        <w:pageBreakBefore w:val="0"/>
        <w:widowControl w:val="0"/>
        <w:numPr>
          <w:ilvl w:val="0"/>
          <w:numId w:val="3"/>
        </w:numPr>
        <w:tabs>
          <w:tab w:val="left" w:pos="1080"/>
        </w:tabs>
        <w:kinsoku/>
        <w:wordWrap/>
        <w:overflowPunct/>
        <w:topLinePunct w:val="0"/>
        <w:bidi w:val="0"/>
        <w:spacing w:after="0" w:line="360" w:lineRule="auto"/>
        <w:ind w:left="0" w:leftChars="0" w:firstLine="420" w:firstLineChars="200"/>
        <w:textAlignment w:val="auto"/>
        <w:outlineLvl w:val="9"/>
        <w:rPr>
          <w:rFonts w:hint="eastAsia" w:ascii="宋体" w:hAnsi="宋体" w:eastAsia="宋体" w:cs="宋体"/>
          <w:b w:val="0"/>
          <w:color w:val="auto"/>
          <w:sz w:val="21"/>
          <w:szCs w:val="21"/>
          <w:highlight w:val="none"/>
        </w:rPr>
      </w:pPr>
      <w:r>
        <w:rPr>
          <w:rFonts w:hint="eastAsia" w:ascii="宋体" w:hAnsi="宋体" w:eastAsia="宋体" w:cs="宋体"/>
          <w:color w:val="auto"/>
          <w:sz w:val="21"/>
          <w:szCs w:val="21"/>
          <w:highlight w:val="none"/>
        </w:rPr>
        <w:t>本合同专用条款</w:t>
      </w:r>
    </w:p>
    <w:p w14:paraId="1B8C2A4B">
      <w:pPr>
        <w:pStyle w:val="15"/>
        <w:keepNext w:val="0"/>
        <w:keepLines w:val="0"/>
        <w:pageBreakBefore w:val="0"/>
        <w:widowControl w:val="0"/>
        <w:numPr>
          <w:ilvl w:val="0"/>
          <w:numId w:val="3"/>
        </w:numPr>
        <w:tabs>
          <w:tab w:val="left" w:pos="1080"/>
        </w:tabs>
        <w:kinsoku/>
        <w:wordWrap/>
        <w:overflowPunct/>
        <w:topLinePunct w:val="0"/>
        <w:bidi w:val="0"/>
        <w:spacing w:after="0" w:line="360" w:lineRule="auto"/>
        <w:ind w:left="0" w:leftChars="0" w:firstLine="420" w:firstLineChars="200"/>
        <w:textAlignment w:val="auto"/>
        <w:outlineLvl w:val="9"/>
        <w:rPr>
          <w:rFonts w:hint="eastAsia" w:ascii="宋体" w:hAnsi="宋体" w:eastAsia="宋体" w:cs="宋体"/>
          <w:b w:val="0"/>
          <w:color w:val="auto"/>
          <w:sz w:val="21"/>
          <w:szCs w:val="21"/>
          <w:highlight w:val="none"/>
        </w:rPr>
      </w:pPr>
      <w:r>
        <w:rPr>
          <w:rFonts w:hint="eastAsia" w:ascii="宋体" w:hAnsi="宋体" w:eastAsia="宋体" w:cs="宋体"/>
          <w:color w:val="auto"/>
          <w:sz w:val="21"/>
          <w:szCs w:val="21"/>
          <w:highlight w:val="none"/>
        </w:rPr>
        <w:t>本合同通用条款</w:t>
      </w:r>
    </w:p>
    <w:p w14:paraId="54C22BDF">
      <w:pPr>
        <w:pStyle w:val="15"/>
        <w:keepNext w:val="0"/>
        <w:keepLines w:val="0"/>
        <w:pageBreakBefore w:val="0"/>
        <w:widowControl w:val="0"/>
        <w:numPr>
          <w:ilvl w:val="0"/>
          <w:numId w:val="3"/>
        </w:numPr>
        <w:tabs>
          <w:tab w:val="left" w:pos="1080"/>
        </w:tabs>
        <w:kinsoku/>
        <w:wordWrap/>
        <w:overflowPunct/>
        <w:topLinePunct w:val="0"/>
        <w:bidi w:val="0"/>
        <w:spacing w:after="0" w:line="360" w:lineRule="auto"/>
        <w:ind w:left="0" w:leftChars="0" w:firstLine="420" w:firstLineChars="200"/>
        <w:textAlignment w:val="auto"/>
        <w:outlineLvl w:val="9"/>
        <w:rPr>
          <w:rFonts w:hint="eastAsia" w:ascii="宋体" w:hAnsi="宋体" w:eastAsia="宋体" w:cs="宋体"/>
          <w:b w:val="0"/>
          <w:color w:val="auto"/>
          <w:sz w:val="21"/>
          <w:szCs w:val="21"/>
          <w:highlight w:val="none"/>
        </w:rPr>
      </w:pPr>
      <w:r>
        <w:rPr>
          <w:rFonts w:hint="eastAsia" w:ascii="宋体" w:hAnsi="宋体" w:cs="宋体"/>
          <w:color w:val="auto"/>
          <w:sz w:val="21"/>
          <w:szCs w:val="21"/>
          <w:highlight w:val="none"/>
          <w:lang w:eastAsia="zh-CN"/>
        </w:rPr>
        <w:t>竞争性</w:t>
      </w:r>
      <w:r>
        <w:rPr>
          <w:rFonts w:hint="eastAsia" w:ascii="宋体" w:hAnsi="宋体" w:cs="宋体"/>
          <w:color w:val="auto"/>
          <w:sz w:val="21"/>
          <w:szCs w:val="21"/>
          <w:highlight w:val="none"/>
          <w:lang w:val="en-US" w:eastAsia="zh-CN"/>
        </w:rPr>
        <w:t>磋商</w:t>
      </w:r>
      <w:r>
        <w:rPr>
          <w:rFonts w:hint="eastAsia" w:ascii="宋体" w:hAnsi="宋体" w:cs="宋体"/>
          <w:color w:val="auto"/>
          <w:sz w:val="21"/>
          <w:szCs w:val="21"/>
          <w:highlight w:val="none"/>
          <w:lang w:eastAsia="zh-CN"/>
        </w:rPr>
        <w:t>文件</w:t>
      </w:r>
      <w:r>
        <w:rPr>
          <w:rFonts w:hint="eastAsia" w:ascii="宋体" w:hAnsi="宋体" w:eastAsia="宋体" w:cs="宋体"/>
          <w:color w:val="auto"/>
          <w:sz w:val="21"/>
          <w:szCs w:val="21"/>
          <w:highlight w:val="none"/>
        </w:rPr>
        <w:t>及招标补充文件；</w:t>
      </w:r>
    </w:p>
    <w:p w14:paraId="78130C7F">
      <w:pPr>
        <w:pStyle w:val="15"/>
        <w:keepNext w:val="0"/>
        <w:keepLines w:val="0"/>
        <w:pageBreakBefore w:val="0"/>
        <w:widowControl w:val="0"/>
        <w:numPr>
          <w:ilvl w:val="0"/>
          <w:numId w:val="3"/>
        </w:numPr>
        <w:tabs>
          <w:tab w:val="left" w:pos="1080"/>
        </w:tabs>
        <w:kinsoku/>
        <w:wordWrap/>
        <w:overflowPunct/>
        <w:topLinePunct w:val="0"/>
        <w:bidi w:val="0"/>
        <w:spacing w:after="0" w:line="360" w:lineRule="auto"/>
        <w:ind w:left="0" w:leftChars="0" w:firstLine="420" w:firstLineChars="200"/>
        <w:textAlignment w:val="auto"/>
        <w:outlineLvl w:val="9"/>
        <w:rPr>
          <w:rFonts w:hint="eastAsia" w:ascii="宋体" w:hAnsi="宋体" w:eastAsia="宋体" w:cs="宋体"/>
          <w:b w:val="0"/>
          <w:color w:val="auto"/>
          <w:sz w:val="21"/>
          <w:szCs w:val="21"/>
          <w:highlight w:val="none"/>
        </w:rPr>
      </w:pPr>
      <w:r>
        <w:rPr>
          <w:rFonts w:hint="eastAsia" w:ascii="宋体" w:hAnsi="宋体" w:cs="宋体"/>
          <w:color w:val="auto"/>
          <w:sz w:val="21"/>
          <w:szCs w:val="21"/>
          <w:highlight w:val="none"/>
          <w:lang w:eastAsia="zh-CN"/>
        </w:rPr>
        <w:t>响应文件</w:t>
      </w:r>
      <w:r>
        <w:rPr>
          <w:rFonts w:hint="eastAsia" w:ascii="宋体" w:hAnsi="宋体" w:eastAsia="宋体" w:cs="宋体"/>
          <w:color w:val="auto"/>
          <w:sz w:val="21"/>
          <w:szCs w:val="21"/>
          <w:highlight w:val="none"/>
        </w:rPr>
        <w:t>及其附附件、附录；</w:t>
      </w:r>
    </w:p>
    <w:p w14:paraId="3820689B">
      <w:pPr>
        <w:pStyle w:val="15"/>
        <w:keepNext w:val="0"/>
        <w:keepLines w:val="0"/>
        <w:pageBreakBefore w:val="0"/>
        <w:widowControl w:val="0"/>
        <w:numPr>
          <w:ilvl w:val="0"/>
          <w:numId w:val="3"/>
        </w:numPr>
        <w:tabs>
          <w:tab w:val="left" w:pos="1080"/>
        </w:tabs>
        <w:kinsoku/>
        <w:wordWrap/>
        <w:overflowPunct/>
        <w:topLinePunct w:val="0"/>
        <w:bidi w:val="0"/>
        <w:spacing w:after="0" w:line="360" w:lineRule="auto"/>
        <w:ind w:left="0" w:leftChars="0" w:firstLine="420" w:firstLineChars="200"/>
        <w:textAlignment w:val="auto"/>
        <w:outlineLvl w:val="9"/>
        <w:rPr>
          <w:rFonts w:hint="eastAsia" w:ascii="宋体" w:hAnsi="宋体" w:eastAsia="宋体" w:cs="宋体"/>
          <w:b w:val="0"/>
          <w:color w:val="auto"/>
          <w:sz w:val="21"/>
          <w:szCs w:val="21"/>
          <w:highlight w:val="none"/>
        </w:rPr>
      </w:pPr>
      <w:r>
        <w:rPr>
          <w:rFonts w:hint="eastAsia" w:ascii="宋体" w:hAnsi="宋体" w:eastAsia="宋体" w:cs="宋体"/>
          <w:color w:val="auto"/>
          <w:sz w:val="21"/>
          <w:szCs w:val="21"/>
          <w:highlight w:val="none"/>
        </w:rPr>
        <w:t>现行标准、规范及有关技术文件；</w:t>
      </w:r>
    </w:p>
    <w:p w14:paraId="4236D632">
      <w:pPr>
        <w:pStyle w:val="15"/>
        <w:keepNext w:val="0"/>
        <w:keepLines w:val="0"/>
        <w:pageBreakBefore w:val="0"/>
        <w:widowControl w:val="0"/>
        <w:numPr>
          <w:ilvl w:val="0"/>
          <w:numId w:val="3"/>
        </w:numPr>
        <w:tabs>
          <w:tab w:val="left" w:pos="1080"/>
        </w:tabs>
        <w:kinsoku/>
        <w:wordWrap/>
        <w:overflowPunct/>
        <w:topLinePunct w:val="0"/>
        <w:bidi w:val="0"/>
        <w:spacing w:after="0" w:line="360" w:lineRule="auto"/>
        <w:ind w:left="0" w:leftChars="0" w:firstLine="420" w:firstLineChars="200"/>
        <w:textAlignment w:val="auto"/>
        <w:outlineLvl w:val="9"/>
        <w:rPr>
          <w:rFonts w:hint="eastAsia" w:ascii="宋体" w:hAnsi="宋体" w:eastAsia="宋体" w:cs="宋体"/>
          <w:b w:val="0"/>
          <w:color w:val="auto"/>
          <w:sz w:val="21"/>
          <w:szCs w:val="21"/>
          <w:highlight w:val="none"/>
        </w:rPr>
      </w:pPr>
      <w:r>
        <w:rPr>
          <w:rFonts w:hint="eastAsia" w:ascii="宋体" w:hAnsi="宋体" w:eastAsia="宋体" w:cs="宋体"/>
          <w:color w:val="auto"/>
          <w:sz w:val="21"/>
          <w:szCs w:val="21"/>
          <w:highlight w:val="none"/>
        </w:rPr>
        <w:t>图纸、已标价的工程量清单；</w:t>
      </w:r>
    </w:p>
    <w:p w14:paraId="58A5F155">
      <w:pPr>
        <w:pStyle w:val="15"/>
        <w:keepNext w:val="0"/>
        <w:keepLines w:val="0"/>
        <w:pageBreakBefore w:val="0"/>
        <w:widowControl w:val="0"/>
        <w:numPr>
          <w:ilvl w:val="0"/>
          <w:numId w:val="3"/>
        </w:numPr>
        <w:tabs>
          <w:tab w:val="left" w:pos="1080"/>
        </w:tabs>
        <w:kinsoku/>
        <w:wordWrap/>
        <w:overflowPunct/>
        <w:topLinePunct w:val="0"/>
        <w:bidi w:val="0"/>
        <w:spacing w:after="0" w:line="360" w:lineRule="auto"/>
        <w:ind w:left="0" w:leftChars="0" w:firstLine="420" w:firstLineChars="200"/>
        <w:textAlignment w:val="auto"/>
        <w:outlineLvl w:val="9"/>
        <w:rPr>
          <w:rFonts w:hint="eastAsia" w:ascii="宋体" w:hAnsi="宋体" w:eastAsia="宋体" w:cs="宋体"/>
          <w:b w:val="0"/>
          <w:color w:val="auto"/>
          <w:sz w:val="21"/>
          <w:szCs w:val="21"/>
          <w:highlight w:val="none"/>
        </w:rPr>
      </w:pPr>
      <w:r>
        <w:rPr>
          <w:rFonts w:hint="eastAsia" w:ascii="宋体" w:hAnsi="宋体" w:eastAsia="宋体" w:cs="宋体"/>
          <w:color w:val="auto"/>
          <w:sz w:val="21"/>
          <w:szCs w:val="21"/>
          <w:highlight w:val="none"/>
        </w:rPr>
        <w:t>其他合同文件：会议纪要、补充协议、洽商记录、工程联系函、签证、通知等。</w:t>
      </w:r>
    </w:p>
    <w:p w14:paraId="48A57CCF">
      <w:pPr>
        <w:pStyle w:val="15"/>
        <w:keepNext w:val="0"/>
        <w:keepLines w:val="0"/>
        <w:pageBreakBefore w:val="0"/>
        <w:widowControl w:val="0"/>
        <w:kinsoku/>
        <w:wordWrap/>
        <w:overflowPunct/>
        <w:topLinePunct w:val="0"/>
        <w:bidi w:val="0"/>
        <w:spacing w:after="0" w:line="360" w:lineRule="auto"/>
        <w:ind w:left="0" w:leftChars="0" w:firstLine="420" w:firstLineChars="200"/>
        <w:textAlignment w:val="auto"/>
        <w:outlineLvl w:val="9"/>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在合同订立及履行过程中形成的与合同有关的文件均构成合同文件组成部分。</w:t>
      </w:r>
    </w:p>
    <w:p w14:paraId="573C95B0">
      <w:pPr>
        <w:keepNext w:val="0"/>
        <w:keepLines w:val="0"/>
        <w:pageBreakBefore w:val="0"/>
        <w:widowControl w:val="0"/>
        <w:numPr>
          <w:ilvl w:val="0"/>
          <w:numId w:val="2"/>
        </w:numPr>
        <w:tabs>
          <w:tab w:val="left" w:pos="1160"/>
          <w:tab w:val="clear" w:pos="210"/>
        </w:tabs>
        <w:kinsoku/>
        <w:wordWrap/>
        <w:overflowPunct/>
        <w:topLinePunct w:val="0"/>
        <w:bidi w:val="0"/>
        <w:spacing w:line="360" w:lineRule="auto"/>
        <w:ind w:left="0" w:leftChars="0" w:firstLine="420" w:firstLineChars="200"/>
        <w:textAlignment w:val="auto"/>
        <w:outlineLvl w:val="9"/>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合同当事人及其他相关方</w:t>
      </w:r>
    </w:p>
    <w:p w14:paraId="56DA7089">
      <w:pPr>
        <w:keepNext w:val="0"/>
        <w:keepLines w:val="0"/>
        <w:pageBreakBefore w:val="0"/>
        <w:widowControl w:val="0"/>
        <w:numPr>
          <w:ilvl w:val="0"/>
          <w:numId w:val="4"/>
        </w:numPr>
        <w:tabs>
          <w:tab w:val="left" w:pos="1340"/>
          <w:tab w:val="clear" w:pos="210"/>
        </w:tabs>
        <w:kinsoku/>
        <w:wordWrap/>
        <w:overflowPunct/>
        <w:topLinePunct w:val="0"/>
        <w:bidi w:val="0"/>
        <w:spacing w:line="360" w:lineRule="auto"/>
        <w:ind w:left="0" w:leftChars="0" w:firstLine="420" w:firstLineChars="200"/>
        <w:textAlignment w:val="auto"/>
        <w:outlineLvl w:val="9"/>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监理人：</w:t>
      </w:r>
    </w:p>
    <w:p w14:paraId="1DF9621C">
      <w:pPr>
        <w:keepNext w:val="0"/>
        <w:keepLines w:val="0"/>
        <w:pageBreakBefore w:val="0"/>
        <w:widowControl w:val="0"/>
        <w:suppressLineNumbers w:val="0"/>
        <w:kinsoku/>
        <w:wordWrap/>
        <w:overflowPunct/>
        <w:topLinePunct w:val="0"/>
        <w:bidi w:val="0"/>
        <w:spacing w:before="0" w:beforeAutospacing="0" w:afterAutospacing="0" w:line="360" w:lineRule="auto"/>
        <w:ind w:left="0" w:leftChars="0" w:right="0" w:firstLine="367" w:firstLineChars="175"/>
        <w:jc w:val="both"/>
        <w:textAlignment w:val="auto"/>
        <w:outlineLvl w:val="9"/>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名    称：</w:t>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u w:val="single"/>
          <w:lang w:val="en-US" w:eastAsia="zh-CN"/>
        </w:rPr>
        <w:t xml:space="preserve">   </w:t>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u w:val="single"/>
          <w:lang w:val="en-US" w:eastAsia="zh-CN"/>
        </w:rPr>
        <w:t xml:space="preserve">  </w:t>
      </w:r>
      <w:r>
        <w:rPr>
          <w:rFonts w:hint="eastAsia" w:ascii="宋体" w:hAnsi="宋体" w:eastAsia="宋体" w:cs="宋体"/>
          <w:color w:val="auto"/>
          <w:sz w:val="21"/>
          <w:szCs w:val="21"/>
          <w:highlight w:val="none"/>
        </w:rPr>
        <w:t>；</w:t>
      </w:r>
    </w:p>
    <w:p w14:paraId="62DFFB19">
      <w:pPr>
        <w:keepNext w:val="0"/>
        <w:keepLines w:val="0"/>
        <w:pageBreakBefore w:val="0"/>
        <w:widowControl w:val="0"/>
        <w:suppressLineNumbers w:val="0"/>
        <w:kinsoku/>
        <w:wordWrap/>
        <w:overflowPunct/>
        <w:topLinePunct w:val="0"/>
        <w:bidi w:val="0"/>
        <w:spacing w:before="0" w:beforeAutospacing="0" w:afterAutospacing="0" w:line="360" w:lineRule="auto"/>
        <w:ind w:left="0" w:leftChars="0" w:right="0" w:firstLine="367" w:firstLineChars="175"/>
        <w:jc w:val="both"/>
        <w:textAlignment w:val="auto"/>
        <w:outlineLvl w:val="9"/>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总监理工程师姓名：</w:t>
      </w:r>
      <w:r>
        <w:rPr>
          <w:rFonts w:hint="eastAsia" w:ascii="宋体" w:hAnsi="宋体" w:eastAsia="宋体" w:cs="宋体"/>
          <w:color w:val="auto"/>
          <w:sz w:val="21"/>
          <w:szCs w:val="21"/>
          <w:highlight w:val="none"/>
          <w:u w:val="single"/>
          <w:lang w:val="en-US" w:eastAsia="zh-CN"/>
        </w:rPr>
        <w:t xml:space="preserve"> </w:t>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u w:val="single"/>
          <w:lang w:val="en-US" w:eastAsia="zh-CN"/>
        </w:rPr>
        <w:t xml:space="preserve"> </w:t>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u w:val="single"/>
          <w:lang w:val="en-US" w:eastAsia="zh-CN"/>
        </w:rPr>
        <w:t xml:space="preserve">    </w:t>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rPr>
        <w:t>；</w:t>
      </w:r>
    </w:p>
    <w:p w14:paraId="17F76DE3">
      <w:pPr>
        <w:keepNext w:val="0"/>
        <w:keepLines w:val="0"/>
        <w:pageBreakBefore w:val="0"/>
        <w:widowControl w:val="0"/>
        <w:suppressLineNumbers w:val="0"/>
        <w:kinsoku/>
        <w:wordWrap/>
        <w:overflowPunct/>
        <w:topLinePunct w:val="0"/>
        <w:bidi w:val="0"/>
        <w:spacing w:before="0" w:beforeAutospacing="0" w:afterAutospacing="0" w:line="360" w:lineRule="auto"/>
        <w:ind w:left="0" w:leftChars="0" w:right="0" w:firstLine="367" w:firstLineChars="175"/>
        <w:jc w:val="both"/>
        <w:textAlignment w:val="auto"/>
        <w:outlineLvl w:val="9"/>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身份证号码：</w:t>
      </w:r>
      <w:r>
        <w:rPr>
          <w:rFonts w:hint="eastAsia" w:ascii="宋体" w:hAnsi="宋体" w:eastAsia="宋体" w:cs="宋体"/>
          <w:color w:val="auto"/>
          <w:sz w:val="21"/>
          <w:szCs w:val="21"/>
          <w:highlight w:val="none"/>
          <w:u w:val="single"/>
          <w:lang w:val="en-US" w:eastAsia="zh-CN"/>
        </w:rPr>
        <w:t xml:space="preserve">  </w:t>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u w:val="single"/>
          <w:lang w:val="en-US" w:eastAsia="zh-CN"/>
        </w:rPr>
        <w:t xml:space="preserve">    </w:t>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rPr>
        <w:t>；</w:t>
      </w:r>
    </w:p>
    <w:p w14:paraId="5654856D">
      <w:pPr>
        <w:keepNext w:val="0"/>
        <w:keepLines w:val="0"/>
        <w:pageBreakBefore w:val="0"/>
        <w:widowControl w:val="0"/>
        <w:suppressLineNumbers w:val="0"/>
        <w:kinsoku/>
        <w:wordWrap/>
        <w:overflowPunct/>
        <w:topLinePunct w:val="0"/>
        <w:bidi w:val="0"/>
        <w:spacing w:before="0" w:beforeAutospacing="0" w:afterAutospacing="0" w:line="360" w:lineRule="auto"/>
        <w:ind w:left="0" w:leftChars="0" w:right="0" w:firstLine="367" w:firstLineChars="175"/>
        <w:jc w:val="both"/>
        <w:textAlignment w:val="auto"/>
        <w:outlineLvl w:val="9"/>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注册号：</w:t>
      </w:r>
      <w:r>
        <w:rPr>
          <w:rFonts w:hint="eastAsia" w:ascii="宋体" w:hAnsi="宋体" w:eastAsia="宋体" w:cs="宋体"/>
          <w:color w:val="auto"/>
          <w:sz w:val="21"/>
          <w:szCs w:val="21"/>
          <w:highlight w:val="none"/>
          <w:u w:val="single"/>
          <w:lang w:val="en-US" w:eastAsia="zh-CN"/>
        </w:rPr>
        <w:t xml:space="preserve"> </w:t>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u w:val="single"/>
          <w:lang w:val="en-US" w:eastAsia="zh-CN"/>
        </w:rPr>
        <w:t xml:space="preserve">  </w:t>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rPr>
        <w:t>；</w:t>
      </w:r>
    </w:p>
    <w:p w14:paraId="3ABE34A0">
      <w:pPr>
        <w:keepNext w:val="0"/>
        <w:keepLines w:val="0"/>
        <w:pageBreakBefore w:val="0"/>
        <w:widowControl w:val="0"/>
        <w:suppressLineNumbers w:val="0"/>
        <w:kinsoku/>
        <w:wordWrap/>
        <w:overflowPunct/>
        <w:topLinePunct w:val="0"/>
        <w:bidi w:val="0"/>
        <w:spacing w:before="0" w:beforeAutospacing="0" w:afterAutospacing="0" w:line="360" w:lineRule="auto"/>
        <w:ind w:left="0" w:leftChars="0" w:right="0" w:firstLine="367" w:firstLineChars="175"/>
        <w:jc w:val="both"/>
        <w:textAlignment w:val="auto"/>
        <w:outlineLvl w:val="9"/>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联系电话：</w:t>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u w:val="single"/>
          <w:lang w:val="en-US" w:eastAsia="zh-CN"/>
        </w:rPr>
        <w:t xml:space="preserve"> </w:t>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rPr>
        <w:t>。</w:t>
      </w:r>
    </w:p>
    <w:p w14:paraId="7C06DBBB">
      <w:pPr>
        <w:keepNext w:val="0"/>
        <w:keepLines w:val="0"/>
        <w:pageBreakBefore w:val="0"/>
        <w:widowControl w:val="0"/>
        <w:numPr>
          <w:ilvl w:val="0"/>
          <w:numId w:val="4"/>
        </w:numPr>
        <w:tabs>
          <w:tab w:val="left" w:pos="1340"/>
          <w:tab w:val="clear" w:pos="210"/>
        </w:tabs>
        <w:kinsoku/>
        <w:wordWrap/>
        <w:overflowPunct/>
        <w:topLinePunct w:val="0"/>
        <w:bidi w:val="0"/>
        <w:spacing w:line="360" w:lineRule="auto"/>
        <w:ind w:left="0" w:leftChars="0" w:firstLine="420" w:firstLineChars="200"/>
        <w:textAlignment w:val="auto"/>
        <w:outlineLvl w:val="9"/>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设计人：</w:t>
      </w:r>
    </w:p>
    <w:p w14:paraId="60EB3693">
      <w:pPr>
        <w:keepNext w:val="0"/>
        <w:keepLines w:val="0"/>
        <w:pageBreakBefore w:val="0"/>
        <w:widowControl w:val="0"/>
        <w:suppressLineNumbers w:val="0"/>
        <w:kinsoku/>
        <w:wordWrap/>
        <w:overflowPunct/>
        <w:topLinePunct w:val="0"/>
        <w:bidi w:val="0"/>
        <w:spacing w:before="0" w:beforeAutospacing="0" w:afterAutospacing="0" w:line="360" w:lineRule="auto"/>
        <w:ind w:left="0" w:leftChars="0" w:right="0" w:firstLine="420" w:firstLineChars="200"/>
        <w:jc w:val="both"/>
        <w:textAlignment w:val="auto"/>
        <w:outlineLvl w:val="9"/>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名    称：</w:t>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u w:val="single"/>
          <w:lang w:val="en-US" w:eastAsia="zh-CN"/>
        </w:rPr>
        <w:t xml:space="preserve">/  </w:t>
      </w:r>
      <w:r>
        <w:rPr>
          <w:rFonts w:hint="eastAsia" w:ascii="宋体" w:hAnsi="宋体" w:eastAsia="宋体" w:cs="宋体"/>
          <w:color w:val="auto"/>
          <w:sz w:val="21"/>
          <w:szCs w:val="21"/>
          <w:highlight w:val="none"/>
        </w:rPr>
        <w:t>；</w:t>
      </w:r>
    </w:p>
    <w:p w14:paraId="1664E225">
      <w:pPr>
        <w:keepNext w:val="0"/>
        <w:keepLines w:val="0"/>
        <w:pageBreakBefore w:val="0"/>
        <w:widowControl w:val="0"/>
        <w:suppressLineNumbers w:val="0"/>
        <w:kinsoku/>
        <w:wordWrap/>
        <w:overflowPunct/>
        <w:topLinePunct w:val="0"/>
        <w:bidi w:val="0"/>
        <w:spacing w:before="0" w:beforeAutospacing="0" w:afterAutospacing="0" w:line="360" w:lineRule="auto"/>
        <w:ind w:left="0" w:leftChars="0" w:right="0" w:firstLine="420" w:firstLineChars="200"/>
        <w:jc w:val="both"/>
        <w:textAlignment w:val="auto"/>
        <w:outlineLvl w:val="9"/>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资质类别和等级：</w:t>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u w:val="single"/>
          <w:lang w:val="en-US" w:eastAsia="zh-CN"/>
        </w:rPr>
        <w:t>/</w:t>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u w:val="single"/>
          <w:lang w:val="en-US" w:eastAsia="zh-CN"/>
        </w:rPr>
        <w:t xml:space="preserve">  </w:t>
      </w:r>
      <w:r>
        <w:rPr>
          <w:rFonts w:hint="eastAsia" w:ascii="宋体" w:hAnsi="宋体" w:eastAsia="宋体" w:cs="宋体"/>
          <w:color w:val="auto"/>
          <w:sz w:val="21"/>
          <w:szCs w:val="21"/>
          <w:highlight w:val="none"/>
        </w:rPr>
        <w:t>；</w:t>
      </w:r>
    </w:p>
    <w:p w14:paraId="1B995AF2">
      <w:pPr>
        <w:keepNext w:val="0"/>
        <w:keepLines w:val="0"/>
        <w:pageBreakBefore w:val="0"/>
        <w:widowControl w:val="0"/>
        <w:suppressLineNumbers w:val="0"/>
        <w:kinsoku/>
        <w:wordWrap/>
        <w:overflowPunct/>
        <w:topLinePunct w:val="0"/>
        <w:bidi w:val="0"/>
        <w:spacing w:before="0" w:beforeAutospacing="0" w:afterAutospacing="0" w:line="360" w:lineRule="auto"/>
        <w:ind w:left="0" w:leftChars="0" w:right="0" w:firstLine="420" w:firstLineChars="200"/>
        <w:jc w:val="both"/>
        <w:textAlignment w:val="auto"/>
        <w:outlineLvl w:val="9"/>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联系电话：</w:t>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u w:val="single"/>
          <w:lang w:val="en-US" w:eastAsia="zh-CN"/>
        </w:rPr>
        <w:t>/</w:t>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u w:val="single"/>
          <w:lang w:val="en-US" w:eastAsia="zh-CN"/>
        </w:rPr>
        <w:t xml:space="preserve">            </w:t>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u w:val="single"/>
          <w:lang w:val="en-US" w:eastAsia="zh-CN"/>
        </w:rPr>
        <w:t xml:space="preserve"> </w:t>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rPr>
        <w:t>；</w:t>
      </w:r>
    </w:p>
    <w:p w14:paraId="7B475076">
      <w:pPr>
        <w:keepNext w:val="0"/>
        <w:keepLines w:val="0"/>
        <w:pageBreakBefore w:val="0"/>
        <w:widowControl w:val="0"/>
        <w:suppressLineNumbers w:val="0"/>
        <w:kinsoku/>
        <w:wordWrap/>
        <w:overflowPunct/>
        <w:topLinePunct w:val="0"/>
        <w:bidi w:val="0"/>
        <w:spacing w:before="0" w:beforeAutospacing="0" w:afterAutospacing="0" w:line="360" w:lineRule="auto"/>
        <w:ind w:left="0" w:leftChars="0" w:right="0" w:firstLine="420" w:firstLineChars="200"/>
        <w:jc w:val="both"/>
        <w:textAlignment w:val="auto"/>
        <w:outlineLvl w:val="9"/>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电子信箱：</w:t>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u w:val="single"/>
          <w:lang w:val="en-US" w:eastAsia="zh-CN"/>
        </w:rPr>
        <w:t>/</w:t>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u w:val="single"/>
          <w:lang w:val="en-US" w:eastAsia="zh-CN"/>
        </w:rPr>
        <w:t xml:space="preserve">         </w:t>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rPr>
        <w:t>；</w:t>
      </w:r>
    </w:p>
    <w:p w14:paraId="72691CDA">
      <w:pPr>
        <w:keepNext w:val="0"/>
        <w:keepLines w:val="0"/>
        <w:pageBreakBefore w:val="0"/>
        <w:widowControl w:val="0"/>
        <w:suppressLineNumbers w:val="0"/>
        <w:kinsoku/>
        <w:wordWrap/>
        <w:overflowPunct/>
        <w:topLinePunct w:val="0"/>
        <w:bidi w:val="0"/>
        <w:spacing w:before="0" w:beforeAutospacing="0" w:afterAutospacing="0" w:line="360" w:lineRule="auto"/>
        <w:ind w:left="0" w:leftChars="0" w:right="0" w:firstLine="420" w:firstLineChars="200"/>
        <w:jc w:val="both"/>
        <w:textAlignment w:val="auto"/>
        <w:outlineLvl w:val="9"/>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通信地址：</w:t>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u w:val="single"/>
          <w:lang w:val="en-US" w:eastAsia="zh-CN"/>
        </w:rPr>
        <w:t>/</w:t>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u w:val="single"/>
          <w:lang w:val="en-US" w:eastAsia="zh-CN"/>
        </w:rPr>
        <w:t xml:space="preserve">  </w:t>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rPr>
        <w:t>。</w:t>
      </w:r>
    </w:p>
    <w:p w14:paraId="7BA66884">
      <w:pPr>
        <w:keepNext w:val="0"/>
        <w:keepLines w:val="0"/>
        <w:pageBreakBefore w:val="0"/>
        <w:widowControl w:val="0"/>
        <w:numPr>
          <w:ilvl w:val="0"/>
          <w:numId w:val="2"/>
        </w:numPr>
        <w:tabs>
          <w:tab w:val="left" w:pos="1160"/>
          <w:tab w:val="clear" w:pos="210"/>
        </w:tabs>
        <w:kinsoku/>
        <w:wordWrap/>
        <w:overflowPunct/>
        <w:topLinePunct w:val="0"/>
        <w:bidi w:val="0"/>
        <w:spacing w:line="360" w:lineRule="auto"/>
        <w:ind w:left="0" w:leftChars="0" w:firstLine="420" w:firstLineChars="200"/>
        <w:textAlignment w:val="auto"/>
        <w:outlineLvl w:val="9"/>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工程和设备</w:t>
      </w:r>
    </w:p>
    <w:p w14:paraId="5D254396">
      <w:pPr>
        <w:pStyle w:val="15"/>
        <w:keepNext w:val="0"/>
        <w:keepLines w:val="0"/>
        <w:pageBreakBefore w:val="0"/>
        <w:widowControl w:val="0"/>
        <w:numPr>
          <w:ilvl w:val="0"/>
          <w:numId w:val="5"/>
        </w:numPr>
        <w:tabs>
          <w:tab w:val="left" w:pos="1260"/>
          <w:tab w:val="clear" w:pos="210"/>
        </w:tabs>
        <w:kinsoku/>
        <w:wordWrap/>
        <w:overflowPunct/>
        <w:topLinePunct w:val="0"/>
        <w:bidi w:val="0"/>
        <w:spacing w:after="0" w:line="360" w:lineRule="auto"/>
        <w:ind w:left="0" w:leftChars="0" w:firstLine="420" w:firstLineChars="200"/>
        <w:textAlignment w:val="auto"/>
        <w:outlineLvl w:val="9"/>
        <w:rPr>
          <w:rFonts w:hint="eastAsia" w:ascii="宋体" w:hAnsi="宋体" w:eastAsia="宋体" w:cs="宋体"/>
          <w:b w:val="0"/>
          <w:color w:val="auto"/>
          <w:sz w:val="21"/>
          <w:szCs w:val="21"/>
          <w:highlight w:val="none"/>
        </w:rPr>
      </w:pPr>
      <w:r>
        <w:rPr>
          <w:rFonts w:hint="eastAsia" w:ascii="宋体" w:hAnsi="宋体" w:eastAsia="宋体" w:cs="宋体"/>
          <w:color w:val="auto"/>
          <w:sz w:val="21"/>
          <w:szCs w:val="21"/>
          <w:highlight w:val="none"/>
        </w:rPr>
        <w:t>作为施工现场组成部分的其他场所包括：</w:t>
      </w:r>
      <w:r>
        <w:rPr>
          <w:rFonts w:hint="eastAsia" w:ascii="宋体" w:hAnsi="宋体" w:eastAsia="宋体" w:cs="宋体"/>
          <w:color w:val="auto"/>
          <w:sz w:val="21"/>
          <w:szCs w:val="21"/>
          <w:highlight w:val="none"/>
          <w:u w:val="single"/>
        </w:rPr>
        <w:t xml:space="preserve">  /    </w:t>
      </w:r>
      <w:r>
        <w:rPr>
          <w:rFonts w:hint="eastAsia" w:ascii="宋体" w:hAnsi="宋体" w:eastAsia="宋体" w:cs="宋体"/>
          <w:color w:val="auto"/>
          <w:sz w:val="21"/>
          <w:szCs w:val="21"/>
          <w:highlight w:val="none"/>
        </w:rPr>
        <w:t>；</w:t>
      </w:r>
    </w:p>
    <w:p w14:paraId="44D35F7B">
      <w:pPr>
        <w:pStyle w:val="15"/>
        <w:keepNext w:val="0"/>
        <w:keepLines w:val="0"/>
        <w:pageBreakBefore w:val="0"/>
        <w:widowControl w:val="0"/>
        <w:numPr>
          <w:ilvl w:val="0"/>
          <w:numId w:val="5"/>
        </w:numPr>
        <w:tabs>
          <w:tab w:val="left" w:pos="1260"/>
          <w:tab w:val="clear" w:pos="210"/>
        </w:tabs>
        <w:kinsoku/>
        <w:wordWrap/>
        <w:overflowPunct/>
        <w:topLinePunct w:val="0"/>
        <w:bidi w:val="0"/>
        <w:spacing w:after="0" w:line="360" w:lineRule="auto"/>
        <w:ind w:left="0" w:leftChars="0" w:firstLine="420" w:firstLineChars="200"/>
        <w:textAlignment w:val="auto"/>
        <w:outlineLvl w:val="9"/>
        <w:rPr>
          <w:rFonts w:hint="eastAsia" w:ascii="宋体" w:hAnsi="宋体" w:eastAsia="宋体" w:cs="宋体"/>
          <w:b w:val="0"/>
          <w:color w:val="auto"/>
          <w:sz w:val="21"/>
          <w:szCs w:val="21"/>
          <w:highlight w:val="none"/>
        </w:rPr>
      </w:pPr>
      <w:r>
        <w:rPr>
          <w:rFonts w:hint="eastAsia" w:ascii="宋体" w:hAnsi="宋体" w:eastAsia="宋体" w:cs="宋体"/>
          <w:color w:val="auto"/>
          <w:sz w:val="21"/>
          <w:szCs w:val="21"/>
          <w:highlight w:val="none"/>
        </w:rPr>
        <w:t>永久占地包括</w:t>
      </w:r>
      <w:r>
        <w:rPr>
          <w:rFonts w:hint="eastAsia" w:ascii="宋体" w:hAnsi="宋体" w:eastAsia="宋体" w:cs="宋体"/>
          <w:color w:val="auto"/>
          <w:sz w:val="21"/>
          <w:szCs w:val="21"/>
          <w:highlight w:val="none"/>
          <w:lang w:eastAsia="zh-CN"/>
        </w:rPr>
        <w:t>：</w:t>
      </w:r>
      <w:r>
        <w:rPr>
          <w:rFonts w:hint="eastAsia" w:ascii="宋体" w:hAnsi="宋体" w:eastAsia="宋体" w:cs="宋体"/>
          <w:color w:val="auto"/>
          <w:sz w:val="21"/>
          <w:szCs w:val="21"/>
          <w:highlight w:val="none"/>
          <w:u w:val="single"/>
        </w:rPr>
        <w:t xml:space="preserve">     /      </w:t>
      </w:r>
      <w:r>
        <w:rPr>
          <w:rFonts w:hint="eastAsia" w:ascii="宋体" w:hAnsi="宋体" w:eastAsia="宋体" w:cs="宋体"/>
          <w:color w:val="auto"/>
          <w:sz w:val="21"/>
          <w:szCs w:val="21"/>
          <w:highlight w:val="none"/>
        </w:rPr>
        <w:t>；</w:t>
      </w:r>
    </w:p>
    <w:p w14:paraId="47E91F40">
      <w:pPr>
        <w:pStyle w:val="15"/>
        <w:keepNext w:val="0"/>
        <w:keepLines w:val="0"/>
        <w:pageBreakBefore w:val="0"/>
        <w:widowControl w:val="0"/>
        <w:numPr>
          <w:ilvl w:val="0"/>
          <w:numId w:val="5"/>
        </w:numPr>
        <w:tabs>
          <w:tab w:val="left" w:pos="1260"/>
          <w:tab w:val="clear" w:pos="210"/>
        </w:tabs>
        <w:kinsoku/>
        <w:wordWrap/>
        <w:overflowPunct/>
        <w:topLinePunct w:val="0"/>
        <w:bidi w:val="0"/>
        <w:spacing w:after="0" w:line="360" w:lineRule="auto"/>
        <w:ind w:left="0" w:leftChars="0" w:firstLine="420" w:firstLineChars="200"/>
        <w:textAlignment w:val="auto"/>
        <w:outlineLvl w:val="9"/>
        <w:rPr>
          <w:rFonts w:hint="eastAsia" w:ascii="宋体" w:hAnsi="宋体" w:eastAsia="宋体" w:cs="宋体"/>
          <w:b w:val="0"/>
          <w:color w:val="auto"/>
          <w:sz w:val="21"/>
          <w:szCs w:val="21"/>
          <w:highlight w:val="none"/>
        </w:rPr>
      </w:pPr>
      <w:r>
        <w:rPr>
          <w:rFonts w:hint="eastAsia" w:ascii="宋体" w:hAnsi="宋体" w:eastAsia="宋体" w:cs="宋体"/>
          <w:color w:val="auto"/>
          <w:sz w:val="21"/>
          <w:szCs w:val="21"/>
          <w:highlight w:val="none"/>
        </w:rPr>
        <w:t>临时占地包括：</w:t>
      </w:r>
      <w:r>
        <w:rPr>
          <w:rFonts w:hint="eastAsia" w:ascii="宋体" w:hAnsi="宋体" w:eastAsia="宋体" w:cs="宋体"/>
          <w:color w:val="auto"/>
          <w:sz w:val="21"/>
          <w:szCs w:val="21"/>
          <w:highlight w:val="none"/>
          <w:u w:val="single"/>
        </w:rPr>
        <w:t xml:space="preserve">    /      </w:t>
      </w:r>
      <w:r>
        <w:rPr>
          <w:rFonts w:hint="eastAsia" w:ascii="宋体" w:hAnsi="宋体" w:eastAsia="宋体" w:cs="宋体"/>
          <w:color w:val="auto"/>
          <w:sz w:val="21"/>
          <w:szCs w:val="21"/>
          <w:highlight w:val="none"/>
        </w:rPr>
        <w:t>；</w:t>
      </w:r>
    </w:p>
    <w:p w14:paraId="418FFC36">
      <w:pPr>
        <w:keepNext w:val="0"/>
        <w:keepLines w:val="0"/>
        <w:pageBreakBefore w:val="0"/>
        <w:widowControl w:val="0"/>
        <w:numPr>
          <w:ilvl w:val="0"/>
          <w:numId w:val="0"/>
        </w:numPr>
        <w:tabs>
          <w:tab w:val="left" w:pos="1020"/>
        </w:tabs>
        <w:kinsoku/>
        <w:wordWrap/>
        <w:overflowPunct/>
        <w:topLinePunct w:val="0"/>
        <w:bidi w:val="0"/>
        <w:spacing w:line="360" w:lineRule="auto"/>
        <w:ind w:left="0" w:leftChars="0" w:firstLine="420" w:firstLineChars="200"/>
        <w:textAlignment w:val="auto"/>
        <w:outlineLvl w:val="9"/>
        <w:rPr>
          <w:rFonts w:hint="eastAsia" w:ascii="宋体" w:hAnsi="宋体" w:eastAsia="宋体" w:cs="宋体"/>
          <w:color w:val="auto"/>
          <w:sz w:val="21"/>
          <w:szCs w:val="21"/>
          <w:highlight w:val="none"/>
        </w:rPr>
      </w:pPr>
      <w:r>
        <w:rPr>
          <w:rFonts w:hint="default" w:ascii="宋体" w:hAnsi="宋体" w:eastAsia="宋体" w:cs="宋体"/>
          <w:color w:val="auto"/>
          <w:kern w:val="2"/>
          <w:sz w:val="21"/>
          <w:szCs w:val="21"/>
          <w:lang w:val="en-US" w:eastAsia="zh-CN" w:bidi="ar-SA"/>
        </w:rPr>
        <w:t>1.2</w:t>
      </w:r>
      <w:r>
        <w:rPr>
          <w:rFonts w:hint="eastAsia" w:ascii="宋体" w:hAnsi="宋体" w:eastAsia="宋体" w:cs="宋体"/>
          <w:color w:val="auto"/>
          <w:sz w:val="21"/>
          <w:szCs w:val="21"/>
          <w:highlight w:val="none"/>
        </w:rPr>
        <w:t xml:space="preserve">法律 </w:t>
      </w:r>
    </w:p>
    <w:p w14:paraId="48BEACCB">
      <w:pPr>
        <w:pStyle w:val="15"/>
        <w:keepNext w:val="0"/>
        <w:keepLines w:val="0"/>
        <w:pageBreakBefore w:val="0"/>
        <w:widowControl w:val="0"/>
        <w:kinsoku/>
        <w:wordWrap/>
        <w:overflowPunct/>
        <w:topLinePunct w:val="0"/>
        <w:bidi w:val="0"/>
        <w:spacing w:after="0" w:line="360" w:lineRule="auto"/>
        <w:ind w:left="0" w:leftChars="0" w:firstLine="420" w:firstLineChars="200"/>
        <w:textAlignment w:val="auto"/>
        <w:outlineLvl w:val="9"/>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适用于合同的其他规范性文件：《中华人民共和国民法典》、《中华人民共和国建筑法》、《建设工程质量管理条例》及国家、省、市（县、区）现行相关法律法规等。</w:t>
      </w:r>
    </w:p>
    <w:p w14:paraId="2ED24FC3">
      <w:pPr>
        <w:keepNext w:val="0"/>
        <w:keepLines w:val="0"/>
        <w:pageBreakBefore w:val="0"/>
        <w:widowControl w:val="0"/>
        <w:numPr>
          <w:ilvl w:val="0"/>
          <w:numId w:val="0"/>
        </w:numPr>
        <w:tabs>
          <w:tab w:val="left" w:pos="1020"/>
        </w:tabs>
        <w:kinsoku/>
        <w:wordWrap/>
        <w:overflowPunct/>
        <w:topLinePunct w:val="0"/>
        <w:bidi w:val="0"/>
        <w:spacing w:line="360" w:lineRule="auto"/>
        <w:ind w:left="0" w:leftChars="0" w:firstLine="420" w:firstLineChars="200"/>
        <w:textAlignment w:val="auto"/>
        <w:outlineLvl w:val="9"/>
        <w:rPr>
          <w:rFonts w:hint="eastAsia" w:ascii="宋体" w:hAnsi="宋体" w:eastAsia="宋体" w:cs="宋体"/>
          <w:color w:val="auto"/>
          <w:sz w:val="21"/>
          <w:szCs w:val="21"/>
          <w:highlight w:val="none"/>
        </w:rPr>
      </w:pPr>
      <w:r>
        <w:rPr>
          <w:rFonts w:hint="default" w:ascii="宋体" w:hAnsi="宋体" w:eastAsia="宋体" w:cs="宋体"/>
          <w:color w:val="auto"/>
          <w:kern w:val="2"/>
          <w:sz w:val="21"/>
          <w:szCs w:val="21"/>
          <w:lang w:val="en-US" w:eastAsia="zh-CN" w:bidi="ar-SA"/>
        </w:rPr>
        <w:t>1.3</w:t>
      </w:r>
      <w:r>
        <w:rPr>
          <w:rFonts w:hint="eastAsia" w:ascii="宋体" w:hAnsi="宋体" w:eastAsia="宋体" w:cs="宋体"/>
          <w:color w:val="auto"/>
          <w:sz w:val="21"/>
          <w:szCs w:val="21"/>
          <w:highlight w:val="none"/>
        </w:rPr>
        <w:t>标准和规范</w:t>
      </w:r>
    </w:p>
    <w:p w14:paraId="0D044CF8">
      <w:pPr>
        <w:pStyle w:val="15"/>
        <w:keepNext w:val="0"/>
        <w:keepLines w:val="0"/>
        <w:pageBreakBefore w:val="0"/>
        <w:widowControl w:val="0"/>
        <w:numPr>
          <w:ilvl w:val="0"/>
          <w:numId w:val="6"/>
        </w:numPr>
        <w:tabs>
          <w:tab w:val="left" w:pos="1080"/>
          <w:tab w:val="clear" w:pos="210"/>
        </w:tabs>
        <w:kinsoku/>
        <w:wordWrap/>
        <w:overflowPunct/>
        <w:topLinePunct w:val="0"/>
        <w:bidi w:val="0"/>
        <w:spacing w:after="0" w:line="360" w:lineRule="auto"/>
        <w:ind w:left="0" w:leftChars="0" w:firstLine="420" w:firstLineChars="200"/>
        <w:textAlignment w:val="auto"/>
        <w:outlineLvl w:val="9"/>
        <w:rPr>
          <w:rFonts w:hint="eastAsia" w:ascii="宋体" w:hAnsi="宋体" w:eastAsia="宋体" w:cs="宋体"/>
          <w:b w:val="0"/>
          <w:color w:val="auto"/>
          <w:sz w:val="21"/>
          <w:szCs w:val="21"/>
          <w:highlight w:val="none"/>
        </w:rPr>
      </w:pPr>
      <w:r>
        <w:rPr>
          <w:rFonts w:hint="eastAsia" w:ascii="宋体" w:hAnsi="宋体" w:eastAsia="宋体" w:cs="宋体"/>
          <w:color w:val="auto"/>
          <w:sz w:val="21"/>
          <w:szCs w:val="21"/>
          <w:highlight w:val="none"/>
        </w:rPr>
        <w:t>适用于工程的标准规范包括：《工程建设标准强制性条文》、《建筑工程施工质量验收统一标准》、《施工验收规范》、《房屋建筑工程质量保修办法》、《建设工程质量管理条例》、《建筑工程文件归档整理规范》等国家现行建筑标准规范。</w:t>
      </w:r>
    </w:p>
    <w:p w14:paraId="0895D73A">
      <w:pPr>
        <w:pStyle w:val="15"/>
        <w:keepNext w:val="0"/>
        <w:keepLines w:val="0"/>
        <w:pageBreakBefore w:val="0"/>
        <w:widowControl w:val="0"/>
        <w:numPr>
          <w:ilvl w:val="0"/>
          <w:numId w:val="6"/>
        </w:numPr>
        <w:tabs>
          <w:tab w:val="left" w:pos="1080"/>
          <w:tab w:val="clear" w:pos="210"/>
        </w:tabs>
        <w:kinsoku/>
        <w:wordWrap/>
        <w:overflowPunct/>
        <w:topLinePunct w:val="0"/>
        <w:bidi w:val="0"/>
        <w:spacing w:after="0" w:line="360" w:lineRule="auto"/>
        <w:ind w:left="0" w:leftChars="0" w:firstLine="420" w:firstLineChars="200"/>
        <w:textAlignment w:val="auto"/>
        <w:outlineLvl w:val="9"/>
        <w:rPr>
          <w:rFonts w:hint="eastAsia" w:ascii="宋体" w:hAnsi="宋体" w:eastAsia="宋体" w:cs="宋体"/>
          <w:b w:val="0"/>
          <w:color w:val="auto"/>
          <w:sz w:val="21"/>
          <w:szCs w:val="21"/>
          <w:highlight w:val="none"/>
        </w:rPr>
      </w:pPr>
      <w:r>
        <w:rPr>
          <w:rFonts w:hint="eastAsia" w:ascii="宋体" w:hAnsi="宋体" w:eastAsia="宋体" w:cs="宋体"/>
          <w:color w:val="auto"/>
          <w:sz w:val="21"/>
          <w:szCs w:val="21"/>
          <w:highlight w:val="none"/>
        </w:rPr>
        <w:t>发包人提供国外标准、规范的名称：</w:t>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u w:val="single"/>
          <w:lang w:val="en-US" w:eastAsia="zh-CN"/>
        </w:rPr>
        <w:t>/</w:t>
      </w:r>
      <w:r>
        <w:rPr>
          <w:rFonts w:hint="eastAsia" w:ascii="宋体" w:hAnsi="宋体" w:eastAsia="宋体" w:cs="宋体"/>
          <w:color w:val="auto"/>
          <w:sz w:val="21"/>
          <w:szCs w:val="21"/>
          <w:highlight w:val="none"/>
          <w:u w:val="single"/>
        </w:rPr>
        <w:t xml:space="preserve">  ；</w:t>
      </w:r>
    </w:p>
    <w:p w14:paraId="6AC13732">
      <w:pPr>
        <w:pStyle w:val="15"/>
        <w:keepNext w:val="0"/>
        <w:keepLines w:val="0"/>
        <w:pageBreakBefore w:val="0"/>
        <w:widowControl w:val="0"/>
        <w:kinsoku/>
        <w:wordWrap/>
        <w:overflowPunct/>
        <w:topLinePunct w:val="0"/>
        <w:bidi w:val="0"/>
        <w:spacing w:after="0" w:line="360" w:lineRule="auto"/>
        <w:ind w:left="0" w:leftChars="0" w:firstLine="420" w:firstLineChars="200"/>
        <w:textAlignment w:val="auto"/>
        <w:outlineLvl w:val="9"/>
        <w:rPr>
          <w:rFonts w:hint="eastAsia" w:ascii="宋体" w:hAnsi="宋体" w:eastAsia="宋体" w:cs="宋体"/>
          <w:color w:val="auto"/>
          <w:sz w:val="21"/>
          <w:szCs w:val="21"/>
          <w:highlight w:val="none"/>
          <w:u w:val="single"/>
        </w:rPr>
      </w:pPr>
      <w:r>
        <w:rPr>
          <w:rFonts w:hint="eastAsia" w:ascii="宋体" w:hAnsi="宋体" w:eastAsia="宋体" w:cs="宋体"/>
          <w:color w:val="auto"/>
          <w:sz w:val="21"/>
          <w:szCs w:val="21"/>
          <w:highlight w:val="none"/>
        </w:rPr>
        <w:t>发包人提供国外标准、规范的份数：</w:t>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u w:val="single"/>
          <w:lang w:val="en-US" w:eastAsia="zh-CN"/>
        </w:rPr>
        <w:t>/</w:t>
      </w:r>
      <w:r>
        <w:rPr>
          <w:rFonts w:hint="eastAsia" w:ascii="宋体" w:hAnsi="宋体" w:eastAsia="宋体" w:cs="宋体"/>
          <w:color w:val="auto"/>
          <w:sz w:val="21"/>
          <w:szCs w:val="21"/>
          <w:highlight w:val="none"/>
          <w:u w:val="single"/>
        </w:rPr>
        <w:t xml:space="preserve">  ；</w:t>
      </w:r>
    </w:p>
    <w:p w14:paraId="4093E8FE">
      <w:pPr>
        <w:pStyle w:val="15"/>
        <w:keepNext w:val="0"/>
        <w:keepLines w:val="0"/>
        <w:pageBreakBefore w:val="0"/>
        <w:widowControl w:val="0"/>
        <w:kinsoku/>
        <w:wordWrap/>
        <w:overflowPunct/>
        <w:topLinePunct w:val="0"/>
        <w:bidi w:val="0"/>
        <w:spacing w:after="0" w:line="360" w:lineRule="auto"/>
        <w:ind w:left="0" w:leftChars="0" w:firstLine="420" w:firstLineChars="200"/>
        <w:textAlignment w:val="auto"/>
        <w:outlineLvl w:val="9"/>
        <w:rPr>
          <w:rFonts w:hint="eastAsia" w:ascii="宋体" w:hAnsi="宋体" w:eastAsia="宋体" w:cs="宋体"/>
          <w:color w:val="auto"/>
          <w:sz w:val="21"/>
          <w:szCs w:val="21"/>
          <w:highlight w:val="none"/>
          <w:u w:val="single"/>
        </w:rPr>
      </w:pPr>
      <w:r>
        <w:rPr>
          <w:rFonts w:hint="eastAsia" w:ascii="宋体" w:hAnsi="宋体" w:eastAsia="宋体" w:cs="宋体"/>
          <w:color w:val="auto"/>
          <w:sz w:val="21"/>
          <w:szCs w:val="21"/>
          <w:highlight w:val="none"/>
        </w:rPr>
        <w:t>发包人提供国外标准、规范的名称：</w:t>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u w:val="single"/>
          <w:lang w:val="en-US" w:eastAsia="zh-CN"/>
        </w:rPr>
        <w:t>/</w:t>
      </w:r>
      <w:r>
        <w:rPr>
          <w:rFonts w:hint="eastAsia" w:ascii="宋体" w:hAnsi="宋体" w:eastAsia="宋体" w:cs="宋体"/>
          <w:color w:val="auto"/>
          <w:sz w:val="21"/>
          <w:szCs w:val="21"/>
          <w:highlight w:val="none"/>
          <w:u w:val="single"/>
        </w:rPr>
        <w:t xml:space="preserve">  ；</w:t>
      </w:r>
    </w:p>
    <w:p w14:paraId="456E6754">
      <w:pPr>
        <w:pStyle w:val="15"/>
        <w:keepNext w:val="0"/>
        <w:keepLines w:val="0"/>
        <w:pageBreakBefore w:val="0"/>
        <w:widowControl w:val="0"/>
        <w:numPr>
          <w:ilvl w:val="0"/>
          <w:numId w:val="6"/>
        </w:numPr>
        <w:tabs>
          <w:tab w:val="left" w:pos="1080"/>
          <w:tab w:val="clear" w:pos="210"/>
        </w:tabs>
        <w:kinsoku/>
        <w:wordWrap/>
        <w:overflowPunct/>
        <w:topLinePunct w:val="0"/>
        <w:bidi w:val="0"/>
        <w:spacing w:after="0" w:line="360" w:lineRule="auto"/>
        <w:ind w:left="0" w:leftChars="0" w:firstLine="420" w:firstLineChars="200"/>
        <w:textAlignment w:val="auto"/>
        <w:outlineLvl w:val="9"/>
        <w:rPr>
          <w:rFonts w:hint="eastAsia" w:ascii="宋体" w:hAnsi="宋体" w:eastAsia="宋体" w:cs="宋体"/>
          <w:b w:val="0"/>
          <w:color w:val="auto"/>
          <w:sz w:val="21"/>
          <w:szCs w:val="21"/>
          <w:highlight w:val="none"/>
          <w:u w:val="single"/>
        </w:rPr>
      </w:pPr>
      <w:r>
        <w:rPr>
          <w:rFonts w:hint="eastAsia" w:ascii="宋体" w:hAnsi="宋体" w:eastAsia="宋体" w:cs="宋体"/>
          <w:color w:val="auto"/>
          <w:sz w:val="21"/>
          <w:szCs w:val="21"/>
          <w:highlight w:val="none"/>
        </w:rPr>
        <w:t>发包人对工程的技术标准和功能要求的特殊要求：</w:t>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u w:val="single"/>
          <w:lang w:val="en-US" w:eastAsia="zh-CN"/>
        </w:rPr>
        <w:t>/</w:t>
      </w:r>
      <w:r>
        <w:rPr>
          <w:rFonts w:hint="eastAsia" w:ascii="宋体" w:hAnsi="宋体" w:eastAsia="宋体" w:cs="宋体"/>
          <w:color w:val="auto"/>
          <w:sz w:val="21"/>
          <w:szCs w:val="21"/>
          <w:highlight w:val="none"/>
          <w:u w:val="single"/>
        </w:rPr>
        <w:t xml:space="preserve">  。</w:t>
      </w:r>
    </w:p>
    <w:p w14:paraId="4352334C">
      <w:pPr>
        <w:keepNext w:val="0"/>
        <w:keepLines w:val="0"/>
        <w:pageBreakBefore w:val="0"/>
        <w:widowControl w:val="0"/>
        <w:numPr>
          <w:ilvl w:val="0"/>
          <w:numId w:val="0"/>
        </w:numPr>
        <w:tabs>
          <w:tab w:val="left" w:pos="1020"/>
        </w:tabs>
        <w:kinsoku/>
        <w:wordWrap/>
        <w:overflowPunct/>
        <w:topLinePunct w:val="0"/>
        <w:bidi w:val="0"/>
        <w:spacing w:line="360" w:lineRule="auto"/>
        <w:ind w:left="0" w:leftChars="0" w:firstLine="420" w:firstLineChars="200"/>
        <w:textAlignment w:val="auto"/>
        <w:outlineLvl w:val="9"/>
        <w:rPr>
          <w:rFonts w:hint="eastAsia" w:ascii="宋体" w:hAnsi="宋体" w:eastAsia="宋体" w:cs="宋体"/>
          <w:color w:val="auto"/>
          <w:sz w:val="21"/>
          <w:szCs w:val="21"/>
          <w:highlight w:val="none"/>
        </w:rPr>
      </w:pPr>
      <w:r>
        <w:rPr>
          <w:rFonts w:hint="default" w:ascii="宋体" w:hAnsi="宋体" w:eastAsia="宋体" w:cs="宋体"/>
          <w:color w:val="auto"/>
          <w:kern w:val="2"/>
          <w:sz w:val="21"/>
          <w:szCs w:val="21"/>
          <w:lang w:val="en-US" w:eastAsia="zh-CN" w:bidi="ar-SA"/>
        </w:rPr>
        <w:t>1.4</w:t>
      </w:r>
      <w:r>
        <w:rPr>
          <w:rFonts w:hint="eastAsia" w:ascii="宋体" w:hAnsi="宋体" w:cs="宋体"/>
          <w:color w:val="auto"/>
          <w:kern w:val="2"/>
          <w:sz w:val="21"/>
          <w:szCs w:val="21"/>
          <w:lang w:val="en-US" w:eastAsia="zh-CN" w:bidi="ar-SA"/>
        </w:rPr>
        <w:t xml:space="preserve"> </w:t>
      </w:r>
      <w:r>
        <w:rPr>
          <w:rFonts w:hint="eastAsia" w:ascii="宋体" w:hAnsi="宋体" w:eastAsia="宋体" w:cs="宋体"/>
          <w:color w:val="auto"/>
          <w:sz w:val="21"/>
          <w:szCs w:val="21"/>
          <w:highlight w:val="none"/>
        </w:rPr>
        <w:t>合同文件的优先顺序</w:t>
      </w:r>
    </w:p>
    <w:p w14:paraId="147E10A2">
      <w:pPr>
        <w:pStyle w:val="222"/>
        <w:keepNext w:val="0"/>
        <w:keepLines w:val="0"/>
        <w:pageBreakBefore w:val="0"/>
        <w:widowControl w:val="0"/>
        <w:kinsoku/>
        <w:wordWrap/>
        <w:overflowPunct/>
        <w:topLinePunct w:val="0"/>
        <w:bidi w:val="0"/>
        <w:spacing w:after="0" w:line="360" w:lineRule="auto"/>
        <w:ind w:firstLine="440"/>
        <w:textAlignment w:val="auto"/>
        <w:outlineLvl w:val="9"/>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合同文件组成及优先顺序为：</w:t>
      </w:r>
      <w:r>
        <w:rPr>
          <w:rFonts w:hint="eastAsia" w:ascii="宋体" w:hAnsi="宋体" w:eastAsia="宋体" w:cs="宋体"/>
          <w:color w:val="auto"/>
          <w:sz w:val="21"/>
          <w:szCs w:val="21"/>
          <w:highlight w:val="none"/>
          <w:u w:val="single"/>
        </w:rPr>
        <w:t xml:space="preserve"> </w:t>
      </w:r>
      <w:r>
        <w:rPr>
          <w:rFonts w:hint="eastAsia" w:ascii="宋体" w:hAnsi="宋体" w:eastAsia="宋体" w:cs="宋体"/>
          <w:b/>
          <w:bCs/>
          <w:color w:val="auto"/>
          <w:sz w:val="21"/>
          <w:szCs w:val="21"/>
          <w:highlight w:val="none"/>
          <w:u w:val="single"/>
        </w:rPr>
        <w:t xml:space="preserve">（1）本合同协议书、（2）成交通知书、（3）本合同专用条款、（4）竞争性磋商采购文件（5）洽商、变更等明确双方权利义务的纪要、书面协议、（6）磋商响应文件及其附件、（7）本合同通用条款、（8）标准、规范及有关技术文件、（9）图纸、（10）工程量清单、（11）二次审定价及说明、（12）补充协议（若有） </w:t>
      </w:r>
      <w:r>
        <w:rPr>
          <w:rFonts w:hint="eastAsia" w:ascii="宋体" w:hAnsi="宋体" w:eastAsia="宋体" w:cs="宋体"/>
          <w:color w:val="auto"/>
          <w:sz w:val="21"/>
          <w:szCs w:val="21"/>
          <w:highlight w:val="none"/>
        </w:rPr>
        <w:t>。</w:t>
      </w:r>
    </w:p>
    <w:p w14:paraId="7060E66A">
      <w:pPr>
        <w:keepNext w:val="0"/>
        <w:keepLines w:val="0"/>
        <w:pageBreakBefore w:val="0"/>
        <w:widowControl w:val="0"/>
        <w:numPr>
          <w:ilvl w:val="0"/>
          <w:numId w:val="0"/>
        </w:numPr>
        <w:tabs>
          <w:tab w:val="left" w:pos="1020"/>
        </w:tabs>
        <w:kinsoku/>
        <w:wordWrap/>
        <w:overflowPunct/>
        <w:topLinePunct w:val="0"/>
        <w:bidi w:val="0"/>
        <w:spacing w:line="360" w:lineRule="auto"/>
        <w:ind w:left="0" w:leftChars="0" w:firstLine="420" w:firstLineChars="200"/>
        <w:textAlignment w:val="auto"/>
        <w:outlineLvl w:val="9"/>
        <w:rPr>
          <w:rFonts w:hint="eastAsia" w:ascii="宋体" w:hAnsi="宋体" w:eastAsia="宋体" w:cs="宋体"/>
          <w:color w:val="auto"/>
          <w:sz w:val="21"/>
          <w:szCs w:val="21"/>
          <w:highlight w:val="none"/>
        </w:rPr>
      </w:pPr>
      <w:r>
        <w:rPr>
          <w:rFonts w:hint="default" w:ascii="宋体" w:hAnsi="宋体" w:eastAsia="宋体" w:cs="宋体"/>
          <w:color w:val="auto"/>
          <w:kern w:val="2"/>
          <w:sz w:val="21"/>
          <w:szCs w:val="21"/>
          <w:lang w:val="en-US" w:eastAsia="zh-CN" w:bidi="ar-SA"/>
        </w:rPr>
        <w:t>1.5</w:t>
      </w:r>
      <w:r>
        <w:rPr>
          <w:rFonts w:hint="eastAsia" w:ascii="宋体" w:hAnsi="宋体" w:cs="宋体"/>
          <w:color w:val="auto"/>
          <w:kern w:val="2"/>
          <w:sz w:val="21"/>
          <w:szCs w:val="21"/>
          <w:lang w:val="en-US" w:eastAsia="zh-CN" w:bidi="ar-SA"/>
        </w:rPr>
        <w:t xml:space="preserve"> </w:t>
      </w:r>
      <w:r>
        <w:rPr>
          <w:rFonts w:hint="eastAsia" w:ascii="宋体" w:hAnsi="宋体" w:eastAsia="宋体" w:cs="宋体"/>
          <w:color w:val="auto"/>
          <w:sz w:val="21"/>
          <w:szCs w:val="21"/>
          <w:highlight w:val="none"/>
        </w:rPr>
        <w:t>图纸和承包人文件</w:t>
      </w:r>
    </w:p>
    <w:p w14:paraId="758A8DE2">
      <w:pPr>
        <w:pStyle w:val="222"/>
        <w:keepNext w:val="0"/>
        <w:keepLines w:val="0"/>
        <w:pageBreakBefore w:val="0"/>
        <w:widowControl w:val="0"/>
        <w:kinsoku/>
        <w:wordWrap/>
        <w:overflowPunct/>
        <w:topLinePunct w:val="0"/>
        <w:bidi w:val="0"/>
        <w:spacing w:after="0" w:line="360" w:lineRule="auto"/>
        <w:ind w:firstLine="440"/>
        <w:textAlignment w:val="auto"/>
        <w:outlineLvl w:val="9"/>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1.5.1 发包人文件的提供</w:t>
      </w:r>
    </w:p>
    <w:p w14:paraId="2415A2A7">
      <w:pPr>
        <w:pStyle w:val="222"/>
        <w:keepNext w:val="0"/>
        <w:keepLines w:val="0"/>
        <w:pageBreakBefore w:val="0"/>
        <w:widowControl w:val="0"/>
        <w:kinsoku/>
        <w:wordWrap/>
        <w:overflowPunct/>
        <w:topLinePunct w:val="0"/>
        <w:bidi w:val="0"/>
        <w:spacing w:after="0" w:line="360" w:lineRule="auto"/>
        <w:ind w:firstLine="420" w:firstLineChars="200"/>
        <w:textAlignment w:val="auto"/>
        <w:outlineLvl w:val="9"/>
        <w:rPr>
          <w:rFonts w:hint="eastAsia" w:ascii="宋体" w:hAnsi="宋体" w:eastAsia="宋体" w:cs="宋体"/>
          <w:b/>
          <w:bCs/>
          <w:color w:val="auto"/>
          <w:sz w:val="21"/>
          <w:szCs w:val="21"/>
          <w:highlight w:val="none"/>
          <w:u w:val="single"/>
        </w:rPr>
      </w:pPr>
      <w:r>
        <w:rPr>
          <w:rFonts w:hint="eastAsia" w:ascii="宋体" w:hAnsi="宋体" w:eastAsia="宋体" w:cs="宋体"/>
          <w:color w:val="auto"/>
          <w:sz w:val="21"/>
          <w:szCs w:val="21"/>
          <w:highlight w:val="none"/>
        </w:rPr>
        <w:t>发包人向承包人提供图纸的期限：</w:t>
      </w:r>
      <w:r>
        <w:rPr>
          <w:rFonts w:hint="eastAsia" w:asciiTheme="minorEastAsia" w:hAnsiTheme="minorEastAsia" w:eastAsiaTheme="minorEastAsia" w:cstheme="minorEastAsia"/>
          <w:color w:val="auto"/>
          <w:sz w:val="21"/>
          <w:szCs w:val="21"/>
          <w:highlight w:val="none"/>
          <w:u w:val="single"/>
        </w:rPr>
        <w:t>开工前发包人向承包人提供</w:t>
      </w:r>
      <w:r>
        <w:rPr>
          <w:rFonts w:hint="eastAsia" w:asciiTheme="minorEastAsia" w:hAnsiTheme="minorEastAsia" w:eastAsiaTheme="minorEastAsia" w:cstheme="minorEastAsia"/>
          <w:color w:val="auto"/>
          <w:sz w:val="21"/>
          <w:szCs w:val="21"/>
          <w:highlight w:val="none"/>
          <w:u w:val="single"/>
          <w:lang w:eastAsia="zh-CN"/>
        </w:rPr>
        <w:t>建设施工竣工</w:t>
      </w:r>
      <w:r>
        <w:rPr>
          <w:rFonts w:hint="eastAsia" w:asciiTheme="minorEastAsia" w:hAnsiTheme="minorEastAsia" w:eastAsiaTheme="minorEastAsia" w:cstheme="minorEastAsia"/>
          <w:color w:val="auto"/>
          <w:sz w:val="21"/>
          <w:szCs w:val="21"/>
          <w:highlight w:val="none"/>
          <w:u w:val="single"/>
        </w:rPr>
        <w:t>图纸，</w:t>
      </w:r>
      <w:r>
        <w:rPr>
          <w:rFonts w:hint="eastAsia" w:asciiTheme="minorEastAsia" w:hAnsiTheme="minorEastAsia" w:eastAsiaTheme="minorEastAsia" w:cstheme="minorEastAsia"/>
          <w:color w:val="auto"/>
          <w:sz w:val="21"/>
          <w:szCs w:val="21"/>
          <w:highlight w:val="none"/>
          <w:u w:val="single"/>
          <w:lang w:eastAsia="zh-CN"/>
        </w:rPr>
        <w:t>部分专项项目</w:t>
      </w:r>
      <w:r>
        <w:rPr>
          <w:rFonts w:hint="eastAsia" w:asciiTheme="minorEastAsia" w:hAnsiTheme="minorEastAsia" w:eastAsiaTheme="minorEastAsia" w:cstheme="minorEastAsia"/>
          <w:color w:val="auto"/>
          <w:sz w:val="21"/>
          <w:szCs w:val="21"/>
          <w:highlight w:val="none"/>
          <w:u w:val="single"/>
        </w:rPr>
        <w:t>承包人须按发包人要求、技术要求及工程量清单进行设计并提供</w:t>
      </w:r>
      <w:r>
        <w:rPr>
          <w:rFonts w:hint="eastAsia" w:asciiTheme="minorEastAsia" w:hAnsiTheme="minorEastAsia" w:eastAsiaTheme="minorEastAsia" w:cstheme="minorEastAsia"/>
          <w:color w:val="auto"/>
          <w:sz w:val="21"/>
          <w:szCs w:val="21"/>
          <w:highlight w:val="none"/>
          <w:u w:val="single"/>
          <w:lang w:eastAsia="zh-CN"/>
        </w:rPr>
        <w:t>满足发包人要求的</w:t>
      </w:r>
      <w:r>
        <w:rPr>
          <w:rFonts w:hint="eastAsia" w:asciiTheme="minorEastAsia" w:hAnsiTheme="minorEastAsia" w:eastAsiaTheme="minorEastAsia" w:cstheme="minorEastAsia"/>
          <w:color w:val="auto"/>
          <w:sz w:val="21"/>
          <w:szCs w:val="21"/>
          <w:highlight w:val="none"/>
          <w:u w:val="single"/>
        </w:rPr>
        <w:t>施工图及效果图给发包人，以上设计工作</w:t>
      </w:r>
      <w:r>
        <w:rPr>
          <w:rFonts w:hint="eastAsia" w:asciiTheme="minorEastAsia" w:hAnsiTheme="minorEastAsia" w:eastAsiaTheme="minorEastAsia" w:cstheme="minorEastAsia"/>
          <w:color w:val="auto"/>
          <w:sz w:val="21"/>
          <w:szCs w:val="21"/>
          <w:highlight w:val="none"/>
          <w:u w:val="single"/>
          <w:lang w:eastAsia="zh-CN"/>
        </w:rPr>
        <w:t>含在施工总费用内，</w:t>
      </w:r>
      <w:r>
        <w:rPr>
          <w:rFonts w:hint="eastAsia" w:asciiTheme="minorEastAsia" w:hAnsiTheme="minorEastAsia" w:eastAsiaTheme="minorEastAsia" w:cstheme="minorEastAsia"/>
          <w:color w:val="auto"/>
          <w:sz w:val="21"/>
          <w:szCs w:val="21"/>
          <w:highlight w:val="none"/>
          <w:u w:val="single"/>
        </w:rPr>
        <w:t>不另行计费</w:t>
      </w:r>
      <w:r>
        <w:rPr>
          <w:rFonts w:hint="eastAsia" w:ascii="宋体" w:hAnsi="宋体" w:eastAsia="宋体" w:cs="宋体"/>
          <w:b/>
          <w:bCs/>
          <w:color w:val="auto"/>
          <w:sz w:val="21"/>
          <w:szCs w:val="21"/>
          <w:highlight w:val="none"/>
          <w:u w:val="single"/>
          <w:lang w:eastAsia="zh-CN"/>
        </w:rPr>
        <w:t>。</w:t>
      </w:r>
    </w:p>
    <w:p w14:paraId="09BE6CC7">
      <w:pPr>
        <w:pStyle w:val="222"/>
        <w:keepNext w:val="0"/>
        <w:keepLines w:val="0"/>
        <w:pageBreakBefore w:val="0"/>
        <w:widowControl w:val="0"/>
        <w:kinsoku/>
        <w:wordWrap/>
        <w:overflowPunct/>
        <w:topLinePunct w:val="0"/>
        <w:bidi w:val="0"/>
        <w:spacing w:after="0" w:line="360" w:lineRule="auto"/>
        <w:ind w:firstLine="440"/>
        <w:textAlignment w:val="auto"/>
        <w:outlineLvl w:val="9"/>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发包人向承包人提供图纸的数</w:t>
      </w:r>
      <w:r>
        <w:rPr>
          <w:rFonts w:hint="eastAsia" w:ascii="宋体" w:hAnsi="宋体" w:eastAsia="宋体" w:cs="宋体"/>
          <w:b w:val="0"/>
          <w:bCs w:val="0"/>
          <w:color w:val="auto"/>
          <w:sz w:val="21"/>
          <w:szCs w:val="21"/>
          <w:highlight w:val="none"/>
        </w:rPr>
        <w:t>量</w:t>
      </w:r>
      <w:r>
        <w:rPr>
          <w:rFonts w:hint="eastAsia" w:ascii="宋体" w:hAnsi="宋体" w:eastAsia="宋体" w:cs="宋体"/>
          <w:color w:val="auto"/>
          <w:sz w:val="21"/>
          <w:szCs w:val="21"/>
          <w:highlight w:val="none"/>
        </w:rPr>
        <w:t>：</w:t>
      </w:r>
      <w:r>
        <w:rPr>
          <w:rFonts w:hint="eastAsia" w:ascii="宋体" w:hAnsi="宋体" w:eastAsia="宋体" w:cs="宋体"/>
          <w:b/>
          <w:bCs/>
          <w:color w:val="auto"/>
          <w:sz w:val="21"/>
          <w:szCs w:val="21"/>
          <w:highlight w:val="none"/>
          <w:u w:val="single"/>
        </w:rPr>
        <w:t>开工后明确</w:t>
      </w:r>
      <w:r>
        <w:rPr>
          <w:rFonts w:hint="eastAsia" w:ascii="宋体" w:hAnsi="宋体" w:eastAsia="宋体" w:cs="宋体"/>
          <w:color w:val="auto"/>
          <w:sz w:val="21"/>
          <w:szCs w:val="21"/>
          <w:highlight w:val="none"/>
        </w:rPr>
        <w:t>；</w:t>
      </w:r>
    </w:p>
    <w:p w14:paraId="60A8DED1">
      <w:pPr>
        <w:pStyle w:val="222"/>
        <w:keepNext w:val="0"/>
        <w:keepLines w:val="0"/>
        <w:pageBreakBefore w:val="0"/>
        <w:widowControl w:val="0"/>
        <w:kinsoku/>
        <w:wordWrap/>
        <w:overflowPunct/>
        <w:topLinePunct w:val="0"/>
        <w:bidi w:val="0"/>
        <w:spacing w:after="0" w:line="360" w:lineRule="auto"/>
        <w:ind w:firstLine="440"/>
        <w:textAlignment w:val="auto"/>
        <w:outlineLvl w:val="9"/>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发包人向承包人提供图纸的内容：</w:t>
      </w:r>
      <w:r>
        <w:rPr>
          <w:rFonts w:hint="eastAsia" w:ascii="宋体" w:hAnsi="宋体" w:eastAsia="宋体" w:cs="宋体"/>
          <w:b/>
          <w:bCs/>
          <w:color w:val="auto"/>
          <w:sz w:val="21"/>
          <w:szCs w:val="21"/>
          <w:highlight w:val="none"/>
          <w:u w:val="single"/>
        </w:rPr>
        <w:t>合同明确范围内</w:t>
      </w:r>
      <w:r>
        <w:rPr>
          <w:rFonts w:hint="eastAsia" w:ascii="宋体" w:hAnsi="宋体" w:eastAsia="宋体" w:cs="宋体"/>
          <w:color w:val="auto"/>
          <w:sz w:val="21"/>
          <w:szCs w:val="21"/>
          <w:highlight w:val="none"/>
        </w:rPr>
        <w:t>。</w:t>
      </w:r>
    </w:p>
    <w:p w14:paraId="7A1510EF">
      <w:pPr>
        <w:pStyle w:val="222"/>
        <w:keepNext w:val="0"/>
        <w:keepLines w:val="0"/>
        <w:pageBreakBefore w:val="0"/>
        <w:widowControl w:val="0"/>
        <w:kinsoku/>
        <w:wordWrap/>
        <w:overflowPunct/>
        <w:topLinePunct w:val="0"/>
        <w:bidi w:val="0"/>
        <w:spacing w:after="0" w:line="360" w:lineRule="auto"/>
        <w:ind w:firstLine="440"/>
        <w:textAlignment w:val="auto"/>
        <w:outlineLvl w:val="9"/>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1.5.2 承包人文件的提供</w:t>
      </w:r>
    </w:p>
    <w:p w14:paraId="313B004D">
      <w:pPr>
        <w:pStyle w:val="222"/>
        <w:keepNext w:val="0"/>
        <w:keepLines w:val="0"/>
        <w:pageBreakBefore w:val="0"/>
        <w:widowControl w:val="0"/>
        <w:kinsoku/>
        <w:wordWrap/>
        <w:overflowPunct/>
        <w:topLinePunct w:val="0"/>
        <w:bidi w:val="0"/>
        <w:spacing w:after="0" w:line="360" w:lineRule="auto"/>
        <w:ind w:firstLine="420" w:firstLineChars="200"/>
        <w:textAlignment w:val="auto"/>
        <w:outlineLvl w:val="9"/>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需要由承包人提供的文件，包括：</w:t>
      </w:r>
      <w:r>
        <w:rPr>
          <w:rFonts w:hint="eastAsia" w:ascii="宋体" w:hAnsi="宋体" w:eastAsia="宋体" w:cs="宋体"/>
          <w:color w:val="auto"/>
          <w:sz w:val="21"/>
          <w:szCs w:val="21"/>
          <w:highlight w:val="none"/>
          <w:u w:val="single"/>
        </w:rPr>
        <w:t>施工组织设计、施工总进度计划、施工技术措施、安全备案资料、相关方案、签证记录、结算资料及竣工验收资料等工程所需所有资料</w:t>
      </w:r>
      <w:r>
        <w:rPr>
          <w:rFonts w:hint="eastAsia" w:ascii="宋体" w:hAnsi="宋体" w:eastAsia="宋体" w:cs="宋体"/>
          <w:color w:val="auto"/>
          <w:sz w:val="21"/>
          <w:szCs w:val="21"/>
          <w:highlight w:val="none"/>
        </w:rPr>
        <w:t>；</w:t>
      </w:r>
    </w:p>
    <w:p w14:paraId="0CFCC098">
      <w:pPr>
        <w:pStyle w:val="222"/>
        <w:keepNext w:val="0"/>
        <w:keepLines w:val="0"/>
        <w:pageBreakBefore w:val="0"/>
        <w:widowControl w:val="0"/>
        <w:kinsoku/>
        <w:wordWrap/>
        <w:overflowPunct/>
        <w:topLinePunct w:val="0"/>
        <w:bidi w:val="0"/>
        <w:spacing w:after="0" w:line="360" w:lineRule="auto"/>
        <w:ind w:firstLine="440"/>
        <w:textAlignment w:val="auto"/>
        <w:outlineLvl w:val="9"/>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承包人提供的文件的期限为：</w:t>
      </w:r>
      <w:r>
        <w:rPr>
          <w:rFonts w:hint="eastAsia" w:ascii="宋体" w:hAnsi="宋体" w:eastAsia="宋体" w:cs="宋体"/>
          <w:color w:val="auto"/>
          <w:sz w:val="21"/>
          <w:szCs w:val="21"/>
          <w:highlight w:val="none"/>
          <w:u w:val="single"/>
        </w:rPr>
        <w:t>按照相关规定</w:t>
      </w:r>
      <w:r>
        <w:rPr>
          <w:rFonts w:hint="eastAsia" w:ascii="宋体" w:hAnsi="宋体" w:eastAsia="宋体" w:cs="宋体"/>
          <w:color w:val="auto"/>
          <w:sz w:val="21"/>
          <w:szCs w:val="21"/>
          <w:highlight w:val="none"/>
        </w:rPr>
        <w:t>；</w:t>
      </w:r>
    </w:p>
    <w:p w14:paraId="1EEE8534">
      <w:pPr>
        <w:pStyle w:val="222"/>
        <w:keepNext w:val="0"/>
        <w:keepLines w:val="0"/>
        <w:pageBreakBefore w:val="0"/>
        <w:widowControl w:val="0"/>
        <w:kinsoku/>
        <w:wordWrap/>
        <w:overflowPunct/>
        <w:topLinePunct w:val="0"/>
        <w:bidi w:val="0"/>
        <w:spacing w:after="0" w:line="360" w:lineRule="auto"/>
        <w:ind w:firstLine="440"/>
        <w:textAlignment w:val="auto"/>
        <w:outlineLvl w:val="9"/>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承包人提供的文件的数量为：</w:t>
      </w:r>
      <w:r>
        <w:rPr>
          <w:rFonts w:hint="eastAsia" w:ascii="宋体" w:hAnsi="宋体" w:eastAsia="宋体" w:cs="宋体"/>
          <w:color w:val="auto"/>
          <w:sz w:val="21"/>
          <w:szCs w:val="21"/>
          <w:highlight w:val="none"/>
          <w:u w:val="single"/>
        </w:rPr>
        <w:t>叁份</w:t>
      </w:r>
      <w:r>
        <w:rPr>
          <w:rFonts w:hint="eastAsia" w:ascii="宋体" w:hAnsi="宋体" w:eastAsia="宋体" w:cs="宋体"/>
          <w:color w:val="auto"/>
          <w:sz w:val="21"/>
          <w:szCs w:val="21"/>
          <w:highlight w:val="none"/>
        </w:rPr>
        <w:t>；</w:t>
      </w:r>
    </w:p>
    <w:p w14:paraId="5BB5C62B">
      <w:pPr>
        <w:pStyle w:val="222"/>
        <w:keepNext w:val="0"/>
        <w:keepLines w:val="0"/>
        <w:pageBreakBefore w:val="0"/>
        <w:widowControl w:val="0"/>
        <w:kinsoku/>
        <w:wordWrap/>
        <w:overflowPunct/>
        <w:topLinePunct w:val="0"/>
        <w:bidi w:val="0"/>
        <w:spacing w:after="0" w:line="360" w:lineRule="auto"/>
        <w:ind w:firstLine="440"/>
        <w:textAlignment w:val="auto"/>
        <w:outlineLvl w:val="9"/>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承包人提供的文件的形式为：</w:t>
      </w:r>
      <w:r>
        <w:rPr>
          <w:rFonts w:hint="eastAsia" w:ascii="宋体" w:hAnsi="宋体" w:eastAsia="宋体" w:cs="宋体"/>
          <w:color w:val="auto"/>
          <w:sz w:val="21"/>
          <w:szCs w:val="21"/>
          <w:highlight w:val="none"/>
          <w:u w:val="single"/>
        </w:rPr>
        <w:t>纸质文件（需提供电子版）</w:t>
      </w:r>
      <w:r>
        <w:rPr>
          <w:rFonts w:hint="eastAsia" w:ascii="宋体" w:hAnsi="宋体" w:eastAsia="宋体" w:cs="宋体"/>
          <w:color w:val="auto"/>
          <w:sz w:val="21"/>
          <w:szCs w:val="21"/>
          <w:highlight w:val="none"/>
        </w:rPr>
        <w:t>；</w:t>
      </w:r>
    </w:p>
    <w:p w14:paraId="3A7CB30F">
      <w:pPr>
        <w:pStyle w:val="222"/>
        <w:keepNext w:val="0"/>
        <w:keepLines w:val="0"/>
        <w:pageBreakBefore w:val="0"/>
        <w:widowControl w:val="0"/>
        <w:kinsoku/>
        <w:wordWrap/>
        <w:overflowPunct/>
        <w:topLinePunct w:val="0"/>
        <w:bidi w:val="0"/>
        <w:spacing w:after="0" w:line="360" w:lineRule="auto"/>
        <w:ind w:firstLine="440"/>
        <w:textAlignment w:val="auto"/>
        <w:outlineLvl w:val="9"/>
        <w:rPr>
          <w:rFonts w:hint="eastAsia" w:ascii="宋体" w:hAnsi="宋体" w:eastAsia="宋体" w:cs="宋体"/>
          <w:color w:val="auto"/>
          <w:sz w:val="21"/>
          <w:szCs w:val="21"/>
          <w:highlight w:val="none"/>
          <w:u w:val="single"/>
        </w:rPr>
      </w:pPr>
      <w:r>
        <w:rPr>
          <w:rFonts w:hint="eastAsia" w:ascii="宋体" w:hAnsi="宋体" w:eastAsia="宋体" w:cs="宋体"/>
          <w:color w:val="auto"/>
          <w:sz w:val="21"/>
          <w:szCs w:val="21"/>
          <w:highlight w:val="none"/>
        </w:rPr>
        <w:t>发包人审批承包人文件的期限：</w:t>
      </w:r>
      <w:r>
        <w:rPr>
          <w:rFonts w:hint="eastAsia" w:ascii="宋体" w:hAnsi="宋体" w:eastAsia="宋体" w:cs="宋体"/>
          <w:b/>
          <w:bCs/>
          <w:color w:val="auto"/>
          <w:sz w:val="21"/>
          <w:szCs w:val="21"/>
          <w:highlight w:val="none"/>
          <w:u w:val="single"/>
        </w:rPr>
        <w:t>按通用条款1.6.4条执行</w:t>
      </w:r>
      <w:r>
        <w:rPr>
          <w:rFonts w:hint="eastAsia" w:ascii="宋体" w:hAnsi="宋体" w:eastAsia="宋体" w:cs="宋体"/>
          <w:color w:val="auto"/>
          <w:sz w:val="21"/>
          <w:szCs w:val="21"/>
          <w:highlight w:val="none"/>
        </w:rPr>
        <w:t>。</w:t>
      </w:r>
    </w:p>
    <w:p w14:paraId="3127568F">
      <w:pPr>
        <w:pStyle w:val="222"/>
        <w:keepNext w:val="0"/>
        <w:keepLines w:val="0"/>
        <w:pageBreakBefore w:val="0"/>
        <w:widowControl w:val="0"/>
        <w:kinsoku/>
        <w:wordWrap/>
        <w:overflowPunct/>
        <w:topLinePunct w:val="0"/>
        <w:bidi w:val="0"/>
        <w:spacing w:after="0" w:line="360" w:lineRule="auto"/>
        <w:ind w:firstLine="440"/>
        <w:textAlignment w:val="auto"/>
        <w:outlineLvl w:val="9"/>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1.5.4 文件的照管</w:t>
      </w:r>
    </w:p>
    <w:p w14:paraId="346221C7">
      <w:pPr>
        <w:pStyle w:val="222"/>
        <w:keepNext w:val="0"/>
        <w:keepLines w:val="0"/>
        <w:pageBreakBefore w:val="0"/>
        <w:widowControl w:val="0"/>
        <w:kinsoku/>
        <w:wordWrap/>
        <w:overflowPunct/>
        <w:topLinePunct w:val="0"/>
        <w:bidi w:val="0"/>
        <w:spacing w:after="0" w:line="360" w:lineRule="auto"/>
        <w:ind w:firstLine="440"/>
        <w:textAlignment w:val="auto"/>
        <w:outlineLvl w:val="9"/>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关于现场文件准备的约定：</w:t>
      </w:r>
      <w:r>
        <w:rPr>
          <w:rFonts w:hint="eastAsia" w:ascii="宋体" w:hAnsi="宋体" w:eastAsia="宋体" w:cs="宋体"/>
          <w:color w:val="auto"/>
          <w:sz w:val="21"/>
          <w:szCs w:val="21"/>
          <w:highlight w:val="none"/>
          <w:u w:val="single"/>
        </w:rPr>
        <w:t xml:space="preserve"> </w:t>
      </w:r>
      <w:r>
        <w:rPr>
          <w:rFonts w:hint="eastAsia" w:ascii="宋体" w:hAnsi="宋体" w:eastAsia="宋体" w:cs="宋体"/>
          <w:b/>
          <w:bCs/>
          <w:color w:val="auto"/>
          <w:sz w:val="21"/>
          <w:szCs w:val="21"/>
          <w:highlight w:val="none"/>
          <w:u w:val="single"/>
        </w:rPr>
        <w:t>承包人应在施工现场另外保存一套完整的图纸和承包人文件，供发包人、监理人及有关人员进行工程检查时使用</w:t>
      </w:r>
      <w:r>
        <w:rPr>
          <w:rFonts w:hint="eastAsia" w:ascii="宋体" w:hAnsi="宋体" w:eastAsia="宋体" w:cs="宋体"/>
          <w:color w:val="auto"/>
          <w:sz w:val="21"/>
          <w:szCs w:val="21"/>
          <w:highlight w:val="none"/>
        </w:rPr>
        <w:t>。</w:t>
      </w:r>
    </w:p>
    <w:p w14:paraId="740EC3A4">
      <w:pPr>
        <w:keepNext w:val="0"/>
        <w:keepLines w:val="0"/>
        <w:pageBreakBefore w:val="0"/>
        <w:widowControl w:val="0"/>
        <w:numPr>
          <w:ilvl w:val="0"/>
          <w:numId w:val="0"/>
        </w:numPr>
        <w:tabs>
          <w:tab w:val="left" w:pos="1020"/>
        </w:tabs>
        <w:kinsoku/>
        <w:wordWrap/>
        <w:overflowPunct/>
        <w:topLinePunct w:val="0"/>
        <w:bidi w:val="0"/>
        <w:spacing w:line="360" w:lineRule="auto"/>
        <w:ind w:left="0" w:leftChars="0" w:firstLine="420" w:firstLineChars="200"/>
        <w:textAlignment w:val="auto"/>
        <w:outlineLvl w:val="9"/>
        <w:rPr>
          <w:rFonts w:hint="eastAsia" w:ascii="宋体" w:hAnsi="宋体" w:eastAsia="宋体" w:cs="宋体"/>
          <w:color w:val="auto"/>
          <w:sz w:val="21"/>
          <w:szCs w:val="21"/>
          <w:highlight w:val="none"/>
        </w:rPr>
      </w:pPr>
      <w:r>
        <w:rPr>
          <w:rFonts w:hint="default" w:ascii="宋体" w:hAnsi="宋体" w:eastAsia="宋体" w:cs="宋体"/>
          <w:color w:val="auto"/>
          <w:kern w:val="2"/>
          <w:sz w:val="21"/>
          <w:szCs w:val="21"/>
          <w:lang w:val="en-US" w:eastAsia="zh-CN" w:bidi="ar-SA"/>
        </w:rPr>
        <w:t>1.6</w:t>
      </w:r>
      <w:r>
        <w:rPr>
          <w:rFonts w:hint="eastAsia" w:ascii="宋体" w:hAnsi="宋体" w:eastAsia="宋体" w:cs="宋体"/>
          <w:color w:val="auto"/>
          <w:sz w:val="21"/>
          <w:szCs w:val="21"/>
          <w:highlight w:val="none"/>
        </w:rPr>
        <w:t>联络</w:t>
      </w:r>
    </w:p>
    <w:p w14:paraId="5F8C7073">
      <w:pPr>
        <w:pStyle w:val="15"/>
        <w:keepNext w:val="0"/>
        <w:keepLines w:val="0"/>
        <w:pageBreakBefore w:val="0"/>
        <w:widowControl w:val="0"/>
        <w:numPr>
          <w:ilvl w:val="0"/>
          <w:numId w:val="7"/>
        </w:numPr>
        <w:tabs>
          <w:tab w:val="left" w:pos="1080"/>
          <w:tab w:val="clear" w:pos="210"/>
        </w:tabs>
        <w:kinsoku/>
        <w:wordWrap/>
        <w:overflowPunct/>
        <w:topLinePunct w:val="0"/>
        <w:bidi w:val="0"/>
        <w:spacing w:after="0" w:line="360" w:lineRule="auto"/>
        <w:ind w:left="0" w:leftChars="0" w:firstLine="420" w:firstLineChars="200"/>
        <w:textAlignment w:val="auto"/>
        <w:outlineLvl w:val="9"/>
        <w:rPr>
          <w:rFonts w:hint="eastAsia" w:ascii="宋体" w:hAnsi="宋体" w:eastAsia="宋体" w:cs="宋体"/>
          <w:b w:val="0"/>
          <w:color w:val="auto"/>
          <w:sz w:val="21"/>
          <w:szCs w:val="21"/>
          <w:highlight w:val="none"/>
        </w:rPr>
      </w:pPr>
      <w:r>
        <w:rPr>
          <w:rFonts w:hint="eastAsia" w:ascii="宋体" w:hAnsi="宋体" w:eastAsia="宋体" w:cs="宋体"/>
          <w:color w:val="auto"/>
          <w:sz w:val="21"/>
          <w:szCs w:val="21"/>
          <w:highlight w:val="none"/>
        </w:rPr>
        <w:t>发包人和承包人应当在</w:t>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rPr>
        <w:t>天内将与合同有关的通知、批准、证明、证书、指示、指令、要求、请求、同意、意见、确定和决定等书面函件送达对方当事人。</w:t>
      </w:r>
    </w:p>
    <w:p w14:paraId="5693562D">
      <w:pPr>
        <w:pStyle w:val="15"/>
        <w:keepNext w:val="0"/>
        <w:keepLines w:val="0"/>
        <w:pageBreakBefore w:val="0"/>
        <w:widowControl w:val="0"/>
        <w:numPr>
          <w:ilvl w:val="0"/>
          <w:numId w:val="7"/>
        </w:numPr>
        <w:tabs>
          <w:tab w:val="left" w:pos="1080"/>
          <w:tab w:val="clear" w:pos="210"/>
        </w:tabs>
        <w:kinsoku/>
        <w:wordWrap/>
        <w:overflowPunct/>
        <w:topLinePunct w:val="0"/>
        <w:bidi w:val="0"/>
        <w:spacing w:after="0" w:line="360" w:lineRule="auto"/>
        <w:ind w:left="0" w:leftChars="0" w:right="0" w:firstLine="420" w:firstLineChars="200"/>
        <w:textAlignment w:val="auto"/>
        <w:outlineLvl w:val="9"/>
        <w:rPr>
          <w:rFonts w:hint="eastAsia" w:ascii="宋体" w:hAnsi="宋体" w:eastAsia="宋体" w:cs="宋体"/>
          <w:b w:val="0"/>
          <w:color w:val="auto"/>
          <w:sz w:val="21"/>
          <w:szCs w:val="21"/>
          <w:highlight w:val="none"/>
        </w:rPr>
      </w:pPr>
      <w:r>
        <w:rPr>
          <w:rFonts w:hint="eastAsia" w:ascii="宋体" w:hAnsi="宋体" w:eastAsia="宋体" w:cs="宋体"/>
          <w:color w:val="auto"/>
          <w:sz w:val="21"/>
          <w:szCs w:val="21"/>
          <w:highlight w:val="none"/>
        </w:rPr>
        <w:t>发包人接收文件的地点</w:t>
      </w:r>
      <w:r>
        <w:rPr>
          <w:rFonts w:hint="eastAsia" w:ascii="宋体" w:hAnsi="宋体" w:eastAsia="宋体" w:cs="宋体"/>
          <w:color w:val="auto"/>
          <w:sz w:val="21"/>
          <w:szCs w:val="21"/>
          <w:highlight w:val="none"/>
          <w:lang w:eastAsia="zh-CN"/>
        </w:rPr>
        <w:t>：</w:t>
      </w:r>
      <w:r>
        <w:rPr>
          <w:rFonts w:hint="eastAsia" w:ascii="宋体" w:hAnsi="宋体" w:cs="宋体"/>
          <w:color w:val="auto"/>
          <w:sz w:val="21"/>
          <w:szCs w:val="21"/>
          <w:highlight w:val="none"/>
          <w:u w:val="single"/>
          <w:lang w:val="en-US" w:eastAsia="zh-CN"/>
        </w:rPr>
        <w:t xml:space="preserve">          </w:t>
      </w:r>
      <w:r>
        <w:rPr>
          <w:rFonts w:hint="eastAsia" w:ascii="宋体" w:hAnsi="宋体" w:eastAsia="宋体" w:cs="宋体"/>
          <w:color w:val="auto"/>
          <w:sz w:val="21"/>
          <w:szCs w:val="21"/>
          <w:highlight w:val="none"/>
        </w:rPr>
        <w:t>；</w:t>
      </w:r>
    </w:p>
    <w:p w14:paraId="74983BF7">
      <w:pPr>
        <w:keepNext w:val="0"/>
        <w:keepLines w:val="0"/>
        <w:pageBreakBefore w:val="0"/>
        <w:widowControl w:val="0"/>
        <w:suppressLineNumbers w:val="0"/>
        <w:kinsoku/>
        <w:wordWrap/>
        <w:overflowPunct/>
        <w:topLinePunct w:val="0"/>
        <w:bidi w:val="0"/>
        <w:spacing w:before="0" w:beforeAutospacing="0" w:afterAutospacing="0" w:line="360" w:lineRule="auto"/>
        <w:ind w:left="480" w:leftChars="0" w:right="0" w:firstLine="0" w:firstLineChars="0"/>
        <w:jc w:val="both"/>
        <w:textAlignment w:val="auto"/>
        <w:outlineLvl w:val="9"/>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发包人指定的接收人为：</w:t>
      </w:r>
      <w:r>
        <w:rPr>
          <w:rFonts w:hint="eastAsia" w:ascii="宋体" w:hAnsi="宋体" w:eastAsia="宋体" w:cs="宋体"/>
          <w:color w:val="auto"/>
          <w:sz w:val="21"/>
          <w:szCs w:val="21"/>
          <w:highlight w:val="none"/>
          <w:u w:val="single"/>
        </w:rPr>
        <w:t xml:space="preserve">   </w:t>
      </w:r>
      <w:r>
        <w:rPr>
          <w:rFonts w:hint="eastAsia" w:ascii="宋体" w:hAnsi="宋体" w:cs="宋体"/>
          <w:color w:val="auto"/>
          <w:sz w:val="21"/>
          <w:szCs w:val="21"/>
          <w:highlight w:val="none"/>
          <w:u w:val="single"/>
          <w:lang w:val="en-US" w:eastAsia="zh-CN"/>
        </w:rPr>
        <w:t xml:space="preserve"> </w:t>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u w:val="single"/>
          <w:lang w:val="en-US" w:eastAsia="zh-CN"/>
        </w:rPr>
        <w:t xml:space="preserve">      </w:t>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rPr>
        <w:t>；</w:t>
      </w:r>
    </w:p>
    <w:p w14:paraId="7A6A6EC2">
      <w:pPr>
        <w:keepNext w:val="0"/>
        <w:keepLines w:val="0"/>
        <w:pageBreakBefore w:val="0"/>
        <w:widowControl w:val="0"/>
        <w:suppressLineNumbers w:val="0"/>
        <w:kinsoku/>
        <w:wordWrap/>
        <w:overflowPunct/>
        <w:topLinePunct w:val="0"/>
        <w:bidi w:val="0"/>
        <w:spacing w:before="0" w:beforeAutospacing="0" w:afterAutospacing="0" w:line="360" w:lineRule="auto"/>
        <w:ind w:left="480" w:leftChars="0" w:right="0" w:firstLine="0" w:firstLineChars="0"/>
        <w:jc w:val="both"/>
        <w:textAlignment w:val="auto"/>
        <w:outlineLvl w:val="9"/>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承包人接收文件的地点：</w:t>
      </w:r>
      <w:r>
        <w:rPr>
          <w:rFonts w:hint="eastAsia" w:ascii="宋体" w:hAnsi="宋体" w:eastAsia="宋体" w:cs="宋体"/>
          <w:color w:val="auto"/>
          <w:sz w:val="21"/>
          <w:szCs w:val="21"/>
          <w:highlight w:val="none"/>
          <w:u w:val="single"/>
          <w:lang w:val="en-US" w:eastAsia="zh-CN"/>
        </w:rPr>
        <w:t xml:space="preserve"> </w:t>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u w:val="single"/>
          <w:lang w:val="en-US" w:eastAsia="zh-CN"/>
        </w:rPr>
        <w:t>施工现场</w:t>
      </w:r>
      <w:r>
        <w:rPr>
          <w:rFonts w:hint="eastAsia" w:ascii="宋体" w:hAnsi="宋体" w:eastAsia="宋体" w:cs="宋体"/>
          <w:color w:val="auto"/>
          <w:sz w:val="21"/>
          <w:szCs w:val="21"/>
          <w:highlight w:val="none"/>
          <w:u w:val="single"/>
        </w:rPr>
        <w:t xml:space="preserve">   </w:t>
      </w:r>
      <w:r>
        <w:rPr>
          <w:rFonts w:hint="eastAsia" w:ascii="宋体" w:hAnsi="宋体" w:cs="宋体"/>
          <w:color w:val="auto"/>
          <w:sz w:val="21"/>
          <w:szCs w:val="21"/>
          <w:highlight w:val="none"/>
          <w:u w:val="single"/>
          <w:lang w:val="en-US" w:eastAsia="zh-CN"/>
        </w:rPr>
        <w:t xml:space="preserve"> </w:t>
      </w:r>
      <w:r>
        <w:rPr>
          <w:rFonts w:hint="eastAsia" w:ascii="宋体" w:hAnsi="宋体" w:eastAsia="宋体" w:cs="宋体"/>
          <w:color w:val="auto"/>
          <w:sz w:val="21"/>
          <w:szCs w:val="21"/>
          <w:highlight w:val="none"/>
        </w:rPr>
        <w:t>；</w:t>
      </w:r>
    </w:p>
    <w:p w14:paraId="455D8ADB">
      <w:pPr>
        <w:keepNext w:val="0"/>
        <w:keepLines w:val="0"/>
        <w:pageBreakBefore w:val="0"/>
        <w:widowControl w:val="0"/>
        <w:suppressLineNumbers w:val="0"/>
        <w:kinsoku/>
        <w:wordWrap/>
        <w:overflowPunct/>
        <w:topLinePunct w:val="0"/>
        <w:bidi w:val="0"/>
        <w:spacing w:before="0" w:beforeAutospacing="0" w:afterAutospacing="0" w:line="360" w:lineRule="auto"/>
        <w:ind w:left="480" w:leftChars="0" w:right="0" w:firstLine="0" w:firstLineChars="0"/>
        <w:jc w:val="both"/>
        <w:textAlignment w:val="auto"/>
        <w:outlineLvl w:val="9"/>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承包人指定的接收人为：</w:t>
      </w:r>
      <w:r>
        <w:rPr>
          <w:rFonts w:hint="eastAsia" w:ascii="宋体" w:hAnsi="宋体" w:eastAsia="宋体" w:cs="宋体"/>
          <w:color w:val="auto"/>
          <w:sz w:val="21"/>
          <w:szCs w:val="21"/>
          <w:highlight w:val="none"/>
          <w:u w:val="single"/>
          <w:lang w:val="en-US" w:eastAsia="zh-CN"/>
        </w:rPr>
        <w:t xml:space="preserve"> </w:t>
      </w:r>
      <w:r>
        <w:rPr>
          <w:rFonts w:hint="eastAsia" w:ascii="宋体" w:hAnsi="宋体" w:eastAsia="宋体" w:cs="宋体"/>
          <w:color w:val="auto"/>
          <w:sz w:val="21"/>
          <w:szCs w:val="21"/>
          <w:highlight w:val="none"/>
          <w:u w:val="single"/>
        </w:rPr>
        <w:t xml:space="preserve"> </w:t>
      </w:r>
      <w:r>
        <w:rPr>
          <w:rFonts w:hint="eastAsia" w:ascii="宋体" w:hAnsi="宋体" w:cs="宋体"/>
          <w:color w:val="auto"/>
          <w:sz w:val="21"/>
          <w:szCs w:val="21"/>
          <w:highlight w:val="none"/>
          <w:u w:val="single"/>
          <w:lang w:val="en-US" w:eastAsia="zh-CN"/>
        </w:rPr>
        <w:t xml:space="preserve"> </w:t>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rPr>
        <w:t>；</w:t>
      </w:r>
    </w:p>
    <w:p w14:paraId="1FAD7625">
      <w:pPr>
        <w:keepNext w:val="0"/>
        <w:keepLines w:val="0"/>
        <w:pageBreakBefore w:val="0"/>
        <w:widowControl w:val="0"/>
        <w:suppressLineNumbers w:val="0"/>
        <w:kinsoku/>
        <w:wordWrap/>
        <w:overflowPunct/>
        <w:topLinePunct w:val="0"/>
        <w:bidi w:val="0"/>
        <w:spacing w:before="0" w:beforeAutospacing="0" w:afterAutospacing="0" w:line="360" w:lineRule="auto"/>
        <w:ind w:left="480" w:leftChars="0" w:right="0" w:firstLine="0" w:firstLineChars="0"/>
        <w:jc w:val="both"/>
        <w:textAlignment w:val="auto"/>
        <w:outlineLvl w:val="9"/>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监理人接收文件的地点：</w:t>
      </w:r>
      <w:r>
        <w:rPr>
          <w:rFonts w:hint="eastAsia" w:ascii="宋体" w:hAnsi="宋体" w:eastAsia="宋体" w:cs="宋体"/>
          <w:color w:val="auto"/>
          <w:sz w:val="21"/>
          <w:szCs w:val="21"/>
          <w:highlight w:val="none"/>
          <w:u w:val="single"/>
          <w:lang w:val="en-US" w:eastAsia="zh-CN"/>
        </w:rPr>
        <w:t xml:space="preserve"> </w:t>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u w:val="single"/>
          <w:lang w:val="en-US" w:eastAsia="zh-CN"/>
        </w:rPr>
        <w:t>施工现场</w:t>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rPr>
        <w:t>；</w:t>
      </w:r>
    </w:p>
    <w:p w14:paraId="2BA470E9">
      <w:pPr>
        <w:keepNext w:val="0"/>
        <w:keepLines w:val="0"/>
        <w:pageBreakBefore w:val="0"/>
        <w:widowControl w:val="0"/>
        <w:suppressLineNumbers w:val="0"/>
        <w:kinsoku/>
        <w:wordWrap/>
        <w:overflowPunct/>
        <w:topLinePunct w:val="0"/>
        <w:bidi w:val="0"/>
        <w:spacing w:before="0" w:beforeAutospacing="0" w:afterAutospacing="0" w:line="360" w:lineRule="auto"/>
        <w:ind w:left="480" w:leftChars="0" w:right="0" w:firstLine="0" w:firstLineChars="0"/>
        <w:jc w:val="both"/>
        <w:textAlignment w:val="auto"/>
        <w:outlineLvl w:val="9"/>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监理人指定的接收人为：</w:t>
      </w:r>
      <w:r>
        <w:rPr>
          <w:rFonts w:hint="eastAsia" w:ascii="宋体" w:hAnsi="宋体" w:eastAsia="宋体" w:cs="宋体"/>
          <w:color w:val="auto"/>
          <w:sz w:val="21"/>
          <w:szCs w:val="21"/>
          <w:highlight w:val="none"/>
          <w:u w:val="single"/>
          <w:lang w:val="en-US" w:eastAsia="zh-CN"/>
        </w:rPr>
        <w:t xml:space="preserve"> </w:t>
      </w:r>
      <w:r>
        <w:rPr>
          <w:rFonts w:hint="eastAsia" w:ascii="宋体" w:hAnsi="宋体" w:eastAsia="宋体" w:cs="宋体"/>
          <w:color w:val="auto"/>
          <w:sz w:val="21"/>
          <w:szCs w:val="21"/>
          <w:highlight w:val="none"/>
          <w:u w:val="single"/>
        </w:rPr>
        <w:t xml:space="preserve">  </w:t>
      </w:r>
      <w:r>
        <w:rPr>
          <w:rFonts w:hint="eastAsia" w:ascii="宋体" w:hAnsi="宋体" w:cs="宋体"/>
          <w:color w:val="auto"/>
          <w:sz w:val="21"/>
          <w:szCs w:val="21"/>
          <w:highlight w:val="none"/>
          <w:u w:val="single"/>
          <w:lang w:val="en-US" w:eastAsia="zh-CN"/>
        </w:rPr>
        <w:t xml:space="preserve"> </w:t>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rPr>
        <w:t>。</w:t>
      </w:r>
    </w:p>
    <w:p w14:paraId="34F2E1D2">
      <w:pPr>
        <w:keepNext w:val="0"/>
        <w:keepLines w:val="0"/>
        <w:pageBreakBefore w:val="0"/>
        <w:widowControl w:val="0"/>
        <w:numPr>
          <w:ilvl w:val="0"/>
          <w:numId w:val="0"/>
        </w:numPr>
        <w:tabs>
          <w:tab w:val="left" w:pos="1020"/>
        </w:tabs>
        <w:kinsoku/>
        <w:wordWrap/>
        <w:overflowPunct/>
        <w:topLinePunct w:val="0"/>
        <w:bidi w:val="0"/>
        <w:spacing w:line="360" w:lineRule="auto"/>
        <w:ind w:left="0" w:leftChars="0" w:firstLine="420" w:firstLineChars="200"/>
        <w:textAlignment w:val="auto"/>
        <w:outlineLvl w:val="9"/>
        <w:rPr>
          <w:rFonts w:hint="eastAsia" w:ascii="宋体" w:hAnsi="宋体" w:eastAsia="宋体" w:cs="宋体"/>
          <w:color w:val="auto"/>
          <w:sz w:val="21"/>
          <w:szCs w:val="21"/>
          <w:highlight w:val="none"/>
        </w:rPr>
      </w:pPr>
      <w:r>
        <w:rPr>
          <w:rFonts w:hint="default" w:ascii="宋体" w:hAnsi="宋体" w:eastAsia="宋体" w:cs="宋体"/>
          <w:color w:val="auto"/>
          <w:kern w:val="2"/>
          <w:sz w:val="21"/>
          <w:szCs w:val="21"/>
          <w:lang w:val="en-US" w:eastAsia="zh-CN" w:bidi="ar-SA"/>
        </w:rPr>
        <w:t>1.7</w:t>
      </w:r>
      <w:r>
        <w:rPr>
          <w:rFonts w:hint="eastAsia" w:ascii="宋体" w:hAnsi="宋体" w:eastAsia="宋体" w:cs="宋体"/>
          <w:color w:val="auto"/>
          <w:sz w:val="21"/>
          <w:szCs w:val="21"/>
          <w:highlight w:val="none"/>
        </w:rPr>
        <w:t>交通运输</w:t>
      </w:r>
    </w:p>
    <w:p w14:paraId="61816518">
      <w:pPr>
        <w:keepNext w:val="0"/>
        <w:keepLines w:val="0"/>
        <w:pageBreakBefore w:val="0"/>
        <w:widowControl w:val="0"/>
        <w:numPr>
          <w:ilvl w:val="0"/>
          <w:numId w:val="0"/>
        </w:numPr>
        <w:tabs>
          <w:tab w:val="left" w:pos="1280"/>
        </w:tabs>
        <w:kinsoku/>
        <w:wordWrap/>
        <w:overflowPunct/>
        <w:topLinePunct w:val="0"/>
        <w:bidi w:val="0"/>
        <w:spacing w:line="360" w:lineRule="auto"/>
        <w:ind w:leftChars="200"/>
        <w:textAlignment w:val="auto"/>
        <w:outlineLvl w:val="9"/>
        <w:rPr>
          <w:rFonts w:hint="eastAsia" w:ascii="宋体" w:hAnsi="宋体" w:eastAsia="宋体" w:cs="宋体"/>
          <w:color w:val="auto"/>
          <w:sz w:val="21"/>
          <w:szCs w:val="21"/>
          <w:highlight w:val="none"/>
        </w:rPr>
      </w:pPr>
      <w:bookmarkStart w:id="284" w:name="_Toc300934943"/>
      <w:bookmarkStart w:id="285" w:name="_Toc312677986"/>
      <w:bookmarkStart w:id="286" w:name="_Toc304295521"/>
      <w:bookmarkStart w:id="287" w:name="_Toc318581155"/>
      <w:bookmarkStart w:id="288" w:name="_Toc303539100"/>
      <w:r>
        <w:rPr>
          <w:rFonts w:hint="eastAsia" w:ascii="宋体" w:hAnsi="宋体" w:eastAsia="宋体" w:cs="宋体"/>
          <w:color w:val="auto"/>
          <w:sz w:val="21"/>
          <w:szCs w:val="21"/>
          <w:highlight w:val="none"/>
          <w:lang w:val="en-US" w:eastAsia="zh-CN"/>
        </w:rPr>
        <w:t>1.7.1</w:t>
      </w:r>
      <w:r>
        <w:rPr>
          <w:rFonts w:hint="eastAsia" w:ascii="宋体" w:hAnsi="宋体" w:eastAsia="宋体" w:cs="宋体"/>
          <w:color w:val="auto"/>
          <w:sz w:val="21"/>
          <w:szCs w:val="21"/>
          <w:highlight w:val="none"/>
        </w:rPr>
        <w:t>出入现场的权利</w:t>
      </w:r>
    </w:p>
    <w:p w14:paraId="74BD6AAC">
      <w:pPr>
        <w:pStyle w:val="15"/>
        <w:keepNext w:val="0"/>
        <w:keepLines w:val="0"/>
        <w:pageBreakBefore w:val="0"/>
        <w:widowControl w:val="0"/>
        <w:kinsoku/>
        <w:wordWrap/>
        <w:overflowPunct/>
        <w:topLinePunct w:val="0"/>
        <w:bidi w:val="0"/>
        <w:spacing w:after="0" w:line="360" w:lineRule="auto"/>
        <w:ind w:left="0" w:leftChars="0" w:firstLine="420" w:firstLineChars="200"/>
        <w:textAlignment w:val="auto"/>
        <w:outlineLvl w:val="9"/>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关于出入现场的权利的约定：按通用条款1.10.1条执行；</w:t>
      </w:r>
    </w:p>
    <w:bookmarkEnd w:id="284"/>
    <w:bookmarkEnd w:id="285"/>
    <w:bookmarkEnd w:id="286"/>
    <w:bookmarkEnd w:id="287"/>
    <w:bookmarkEnd w:id="288"/>
    <w:p w14:paraId="6ABE9506">
      <w:pPr>
        <w:keepNext w:val="0"/>
        <w:keepLines w:val="0"/>
        <w:pageBreakBefore w:val="0"/>
        <w:widowControl w:val="0"/>
        <w:numPr>
          <w:ilvl w:val="0"/>
          <w:numId w:val="0"/>
        </w:numPr>
        <w:tabs>
          <w:tab w:val="left" w:pos="1280"/>
        </w:tabs>
        <w:kinsoku/>
        <w:wordWrap/>
        <w:overflowPunct/>
        <w:topLinePunct w:val="0"/>
        <w:bidi w:val="0"/>
        <w:spacing w:line="360" w:lineRule="auto"/>
        <w:ind w:firstLine="420" w:firstLineChars="200"/>
        <w:textAlignment w:val="auto"/>
        <w:outlineLvl w:val="9"/>
        <w:rPr>
          <w:rFonts w:hint="eastAsia" w:ascii="宋体" w:hAnsi="宋体" w:eastAsia="宋体" w:cs="宋体"/>
          <w:color w:val="auto"/>
          <w:sz w:val="21"/>
          <w:szCs w:val="21"/>
          <w:highlight w:val="none"/>
        </w:rPr>
      </w:pPr>
      <w:bookmarkStart w:id="289" w:name="_Toc312677987"/>
      <w:bookmarkStart w:id="290" w:name="_Toc300934944"/>
      <w:bookmarkStart w:id="291" w:name="_Toc303539101"/>
      <w:bookmarkStart w:id="292" w:name="_Toc318581156"/>
      <w:bookmarkStart w:id="293" w:name="_Toc304295522"/>
      <w:r>
        <w:rPr>
          <w:rFonts w:hint="eastAsia" w:ascii="宋体" w:hAnsi="宋体" w:eastAsia="宋体" w:cs="宋体"/>
          <w:color w:val="auto"/>
          <w:sz w:val="21"/>
          <w:szCs w:val="21"/>
          <w:highlight w:val="none"/>
          <w:lang w:val="en-US" w:eastAsia="zh-CN"/>
        </w:rPr>
        <w:t>1.7.2</w:t>
      </w:r>
      <w:r>
        <w:rPr>
          <w:rFonts w:hint="eastAsia" w:ascii="宋体" w:hAnsi="宋体" w:eastAsia="宋体" w:cs="宋体"/>
          <w:color w:val="auto"/>
          <w:sz w:val="21"/>
          <w:szCs w:val="21"/>
          <w:highlight w:val="none"/>
        </w:rPr>
        <w:t>场内交通</w:t>
      </w:r>
    </w:p>
    <w:p w14:paraId="1F123184">
      <w:pPr>
        <w:keepNext w:val="0"/>
        <w:keepLines w:val="0"/>
        <w:pageBreakBefore w:val="0"/>
        <w:widowControl w:val="0"/>
        <w:suppressLineNumbers w:val="0"/>
        <w:kinsoku/>
        <w:wordWrap/>
        <w:overflowPunct/>
        <w:topLinePunct w:val="0"/>
        <w:bidi w:val="0"/>
        <w:spacing w:before="0" w:beforeAutospacing="0" w:afterAutospacing="0" w:line="360" w:lineRule="auto"/>
        <w:ind w:left="480" w:leftChars="0" w:right="0" w:firstLine="0" w:firstLineChars="0"/>
        <w:jc w:val="both"/>
        <w:textAlignment w:val="auto"/>
        <w:outlineLvl w:val="9"/>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关于场外交通和场内交通的边界的约定：</w:t>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u w:val="single"/>
          <w:lang w:val="en-US" w:eastAsia="zh-CN"/>
        </w:rPr>
        <w:t>/</w:t>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rPr>
        <w:t>。</w:t>
      </w:r>
    </w:p>
    <w:p w14:paraId="4FA0AC64">
      <w:pPr>
        <w:pStyle w:val="15"/>
        <w:keepNext w:val="0"/>
        <w:keepLines w:val="0"/>
        <w:pageBreakBefore w:val="0"/>
        <w:widowControl w:val="0"/>
        <w:kinsoku/>
        <w:wordWrap/>
        <w:overflowPunct/>
        <w:topLinePunct w:val="0"/>
        <w:bidi w:val="0"/>
        <w:spacing w:after="0" w:line="360" w:lineRule="auto"/>
        <w:ind w:left="0" w:leftChars="0" w:firstLine="420" w:firstLineChars="200"/>
        <w:textAlignment w:val="auto"/>
        <w:outlineLvl w:val="9"/>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关于发包人向承包人免费提供满足工程施工需要的场内道路和交通设施的约定：场内道路和交通由承包人负责建设及维护，必须满足施工要求、安全文明要求及当地城市要求等相关规定，相应费用已综合在合同价款中，不再另行支付</w:t>
      </w:r>
      <w:bookmarkEnd w:id="289"/>
      <w:bookmarkEnd w:id="290"/>
      <w:bookmarkEnd w:id="291"/>
      <w:bookmarkEnd w:id="292"/>
      <w:bookmarkEnd w:id="293"/>
      <w:r>
        <w:rPr>
          <w:rFonts w:hint="eastAsia" w:ascii="宋体" w:hAnsi="宋体" w:eastAsia="宋体" w:cs="宋体"/>
          <w:color w:val="auto"/>
          <w:sz w:val="21"/>
          <w:szCs w:val="21"/>
          <w:highlight w:val="none"/>
        </w:rPr>
        <w:t>。</w:t>
      </w:r>
      <w:bookmarkStart w:id="294" w:name="_Toc318581157"/>
    </w:p>
    <w:p w14:paraId="000A5C2B">
      <w:pPr>
        <w:keepNext w:val="0"/>
        <w:keepLines w:val="0"/>
        <w:pageBreakBefore w:val="0"/>
        <w:widowControl w:val="0"/>
        <w:numPr>
          <w:ilvl w:val="0"/>
          <w:numId w:val="0"/>
        </w:numPr>
        <w:tabs>
          <w:tab w:val="left" w:pos="1280"/>
        </w:tabs>
        <w:kinsoku/>
        <w:wordWrap/>
        <w:overflowPunct/>
        <w:topLinePunct w:val="0"/>
        <w:bidi w:val="0"/>
        <w:spacing w:line="360" w:lineRule="auto"/>
        <w:ind w:firstLine="420" w:firstLineChars="200"/>
        <w:textAlignment w:val="auto"/>
        <w:outlineLvl w:val="9"/>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rPr>
        <w:t>1.7.3</w:t>
      </w:r>
      <w:r>
        <w:rPr>
          <w:rFonts w:hint="eastAsia" w:ascii="宋体" w:hAnsi="宋体" w:eastAsia="宋体" w:cs="宋体"/>
          <w:color w:val="auto"/>
          <w:sz w:val="21"/>
          <w:szCs w:val="21"/>
          <w:highlight w:val="none"/>
        </w:rPr>
        <w:t>超大件和超重件的运输</w:t>
      </w:r>
    </w:p>
    <w:p w14:paraId="5A6EDC7C">
      <w:pPr>
        <w:pStyle w:val="15"/>
        <w:keepNext w:val="0"/>
        <w:keepLines w:val="0"/>
        <w:pageBreakBefore w:val="0"/>
        <w:widowControl w:val="0"/>
        <w:kinsoku/>
        <w:wordWrap/>
        <w:overflowPunct/>
        <w:topLinePunct w:val="0"/>
        <w:bidi w:val="0"/>
        <w:spacing w:after="0" w:line="360" w:lineRule="auto"/>
        <w:ind w:left="0" w:leftChars="0" w:firstLine="420" w:firstLineChars="200"/>
        <w:textAlignment w:val="auto"/>
        <w:outlineLvl w:val="9"/>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运输超大件或超重件所需的道路和桥梁临时加固改造费用和其他有关费用由  承包人承担。</w:t>
      </w:r>
    </w:p>
    <w:bookmarkEnd w:id="294"/>
    <w:p w14:paraId="2E8B73A9">
      <w:pPr>
        <w:keepNext w:val="0"/>
        <w:keepLines w:val="0"/>
        <w:pageBreakBefore w:val="0"/>
        <w:widowControl w:val="0"/>
        <w:numPr>
          <w:ilvl w:val="0"/>
          <w:numId w:val="0"/>
        </w:numPr>
        <w:tabs>
          <w:tab w:val="left" w:pos="1020"/>
        </w:tabs>
        <w:kinsoku/>
        <w:wordWrap/>
        <w:overflowPunct/>
        <w:topLinePunct w:val="0"/>
        <w:bidi w:val="0"/>
        <w:spacing w:line="360" w:lineRule="auto"/>
        <w:ind w:left="0" w:leftChars="0" w:firstLine="420" w:firstLineChars="200"/>
        <w:textAlignment w:val="auto"/>
        <w:outlineLvl w:val="9"/>
        <w:rPr>
          <w:rFonts w:hint="eastAsia" w:ascii="宋体" w:hAnsi="宋体" w:eastAsia="宋体" w:cs="宋体"/>
          <w:color w:val="auto"/>
          <w:sz w:val="21"/>
          <w:szCs w:val="21"/>
          <w:highlight w:val="none"/>
        </w:rPr>
      </w:pPr>
      <w:r>
        <w:rPr>
          <w:rFonts w:hint="default" w:ascii="宋体" w:hAnsi="宋体" w:eastAsia="宋体" w:cs="宋体"/>
          <w:color w:val="auto"/>
          <w:kern w:val="2"/>
          <w:sz w:val="21"/>
          <w:szCs w:val="21"/>
          <w:lang w:val="en-US" w:eastAsia="zh-CN" w:bidi="ar-SA"/>
        </w:rPr>
        <w:t>1.8</w:t>
      </w:r>
      <w:r>
        <w:rPr>
          <w:rFonts w:hint="eastAsia" w:ascii="宋体" w:hAnsi="宋体" w:eastAsia="宋体" w:cs="宋体"/>
          <w:color w:val="auto"/>
          <w:sz w:val="21"/>
          <w:szCs w:val="21"/>
          <w:highlight w:val="none"/>
        </w:rPr>
        <w:t>知识产权</w:t>
      </w:r>
    </w:p>
    <w:p w14:paraId="7A4FE607">
      <w:pPr>
        <w:pStyle w:val="15"/>
        <w:keepNext w:val="0"/>
        <w:keepLines w:val="0"/>
        <w:pageBreakBefore w:val="0"/>
        <w:widowControl w:val="0"/>
        <w:numPr>
          <w:ilvl w:val="0"/>
          <w:numId w:val="0"/>
        </w:numPr>
        <w:tabs>
          <w:tab w:val="left" w:pos="1200"/>
        </w:tabs>
        <w:kinsoku/>
        <w:wordWrap/>
        <w:overflowPunct/>
        <w:topLinePunct w:val="0"/>
        <w:bidi w:val="0"/>
        <w:spacing w:after="0" w:line="360" w:lineRule="auto"/>
        <w:ind w:firstLine="420" w:firstLineChars="200"/>
        <w:textAlignment w:val="auto"/>
        <w:outlineLvl w:val="9"/>
        <w:rPr>
          <w:rFonts w:hint="eastAsia" w:ascii="宋体" w:hAnsi="宋体" w:eastAsia="宋体" w:cs="宋体"/>
          <w:b w:val="0"/>
          <w:color w:val="auto"/>
          <w:sz w:val="21"/>
          <w:szCs w:val="21"/>
          <w:highlight w:val="none"/>
        </w:rPr>
      </w:pPr>
      <w:r>
        <w:rPr>
          <w:rFonts w:hint="eastAsia" w:ascii="宋体" w:hAnsi="宋体" w:eastAsia="宋体" w:cs="宋体"/>
          <w:color w:val="auto"/>
          <w:sz w:val="21"/>
          <w:szCs w:val="21"/>
          <w:highlight w:val="none"/>
          <w:lang w:val="en-US" w:eastAsia="zh-CN"/>
        </w:rPr>
        <w:t>1.8.1</w:t>
      </w:r>
      <w:r>
        <w:rPr>
          <w:rFonts w:hint="eastAsia" w:ascii="宋体" w:hAnsi="宋体" w:eastAsia="宋体" w:cs="宋体"/>
          <w:color w:val="auto"/>
          <w:sz w:val="21"/>
          <w:szCs w:val="21"/>
          <w:highlight w:val="none"/>
        </w:rPr>
        <w:t>关于发包人提供给承包人的图纸、发包人为实施工程自行编制或委托编制的技术规范以及反映发包人关于合同要求或其他类似性质的文件的著作权的归属：</w:t>
      </w:r>
      <w:r>
        <w:rPr>
          <w:rFonts w:hint="eastAsia" w:ascii="宋体" w:hAnsi="宋体" w:eastAsia="宋体" w:cs="宋体"/>
          <w:color w:val="auto"/>
          <w:sz w:val="21"/>
          <w:szCs w:val="21"/>
          <w:highlight w:val="none"/>
          <w:u w:val="single"/>
        </w:rPr>
        <w:t>按通用条款1.11.1执行</w:t>
      </w:r>
      <w:r>
        <w:rPr>
          <w:rFonts w:hint="eastAsia" w:ascii="宋体" w:hAnsi="宋体" w:eastAsia="宋体" w:cs="宋体"/>
          <w:color w:val="auto"/>
          <w:sz w:val="21"/>
          <w:szCs w:val="21"/>
          <w:highlight w:val="none"/>
        </w:rPr>
        <w:t>。</w:t>
      </w:r>
    </w:p>
    <w:p w14:paraId="69DCE70B">
      <w:pPr>
        <w:pStyle w:val="15"/>
        <w:keepNext w:val="0"/>
        <w:keepLines w:val="0"/>
        <w:pageBreakBefore w:val="0"/>
        <w:widowControl w:val="0"/>
        <w:kinsoku/>
        <w:wordWrap/>
        <w:overflowPunct/>
        <w:topLinePunct w:val="0"/>
        <w:bidi w:val="0"/>
        <w:spacing w:after="0" w:line="360" w:lineRule="auto"/>
        <w:ind w:left="0" w:leftChars="0" w:firstLine="420" w:firstLineChars="200"/>
        <w:textAlignment w:val="auto"/>
        <w:outlineLvl w:val="9"/>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关于发包人提供的上述文件的使用限制的要求</w:t>
      </w:r>
      <w:r>
        <w:rPr>
          <w:rFonts w:hint="eastAsia" w:ascii="宋体" w:hAnsi="宋体" w:eastAsia="宋体" w:cs="宋体"/>
          <w:color w:val="auto"/>
          <w:sz w:val="21"/>
          <w:szCs w:val="21"/>
          <w:highlight w:val="none"/>
          <w:lang w:eastAsia="zh-CN"/>
        </w:rPr>
        <w:t>：</w:t>
      </w:r>
      <w:r>
        <w:rPr>
          <w:rFonts w:hint="eastAsia" w:ascii="宋体" w:hAnsi="宋体" w:eastAsia="宋体" w:cs="宋体"/>
          <w:color w:val="auto"/>
          <w:sz w:val="21"/>
          <w:szCs w:val="21"/>
          <w:highlight w:val="none"/>
          <w:u w:val="single"/>
        </w:rPr>
        <w:t>按通用条款1.11.1执行</w:t>
      </w:r>
      <w:r>
        <w:rPr>
          <w:rFonts w:hint="eastAsia" w:ascii="宋体" w:hAnsi="宋体" w:eastAsia="宋体" w:cs="宋体"/>
          <w:color w:val="auto"/>
          <w:sz w:val="21"/>
          <w:szCs w:val="21"/>
          <w:highlight w:val="none"/>
        </w:rPr>
        <w:t>。</w:t>
      </w:r>
    </w:p>
    <w:p w14:paraId="0B3EAD0E">
      <w:pPr>
        <w:pStyle w:val="15"/>
        <w:keepNext w:val="0"/>
        <w:keepLines w:val="0"/>
        <w:pageBreakBefore w:val="0"/>
        <w:widowControl w:val="0"/>
        <w:numPr>
          <w:ilvl w:val="0"/>
          <w:numId w:val="0"/>
        </w:numPr>
        <w:tabs>
          <w:tab w:val="left" w:pos="1200"/>
        </w:tabs>
        <w:kinsoku/>
        <w:wordWrap/>
        <w:overflowPunct/>
        <w:topLinePunct w:val="0"/>
        <w:bidi w:val="0"/>
        <w:spacing w:after="0" w:line="360" w:lineRule="auto"/>
        <w:ind w:firstLine="420" w:firstLineChars="200"/>
        <w:textAlignment w:val="auto"/>
        <w:outlineLvl w:val="9"/>
        <w:rPr>
          <w:rFonts w:hint="eastAsia" w:ascii="宋体" w:hAnsi="宋体" w:eastAsia="宋体" w:cs="宋体"/>
          <w:b w:val="0"/>
          <w:color w:val="auto"/>
          <w:sz w:val="21"/>
          <w:szCs w:val="21"/>
          <w:highlight w:val="none"/>
        </w:rPr>
      </w:pPr>
      <w:r>
        <w:rPr>
          <w:rFonts w:hint="eastAsia" w:ascii="宋体" w:hAnsi="宋体" w:eastAsia="宋体" w:cs="宋体"/>
          <w:color w:val="auto"/>
          <w:sz w:val="21"/>
          <w:szCs w:val="21"/>
          <w:highlight w:val="none"/>
          <w:lang w:val="en-US" w:eastAsia="zh-CN"/>
        </w:rPr>
        <w:t>1.8.2</w:t>
      </w:r>
      <w:r>
        <w:rPr>
          <w:rFonts w:hint="eastAsia" w:ascii="宋体" w:hAnsi="宋体" w:eastAsia="宋体" w:cs="宋体"/>
          <w:color w:val="auto"/>
          <w:sz w:val="21"/>
          <w:szCs w:val="21"/>
          <w:highlight w:val="none"/>
        </w:rPr>
        <w:t>关于承包人为实施工程所编制文件的著作权的归属：</w:t>
      </w:r>
      <w:r>
        <w:rPr>
          <w:rFonts w:hint="eastAsia" w:ascii="宋体" w:hAnsi="宋体" w:eastAsia="宋体" w:cs="宋体"/>
          <w:color w:val="auto"/>
          <w:sz w:val="21"/>
          <w:szCs w:val="21"/>
          <w:highlight w:val="none"/>
          <w:u w:val="single"/>
        </w:rPr>
        <w:t>按通用条款1.11.2执行</w:t>
      </w:r>
      <w:r>
        <w:rPr>
          <w:rFonts w:hint="eastAsia" w:ascii="宋体" w:hAnsi="宋体" w:eastAsia="宋体" w:cs="宋体"/>
          <w:color w:val="auto"/>
          <w:sz w:val="21"/>
          <w:szCs w:val="21"/>
          <w:highlight w:val="none"/>
        </w:rPr>
        <w:t>。</w:t>
      </w:r>
    </w:p>
    <w:p w14:paraId="2B791D41">
      <w:pPr>
        <w:pStyle w:val="15"/>
        <w:keepNext w:val="0"/>
        <w:keepLines w:val="0"/>
        <w:pageBreakBefore w:val="0"/>
        <w:widowControl w:val="0"/>
        <w:kinsoku/>
        <w:wordWrap/>
        <w:overflowPunct/>
        <w:topLinePunct w:val="0"/>
        <w:bidi w:val="0"/>
        <w:spacing w:after="0" w:line="360" w:lineRule="auto"/>
        <w:ind w:left="0" w:leftChars="0" w:firstLine="420" w:firstLineChars="200"/>
        <w:textAlignment w:val="auto"/>
        <w:outlineLvl w:val="9"/>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关于承包人提供的上述文件的使用限制的要求：</w:t>
      </w:r>
      <w:r>
        <w:rPr>
          <w:rFonts w:hint="eastAsia" w:ascii="宋体" w:hAnsi="宋体" w:eastAsia="宋体" w:cs="宋体"/>
          <w:color w:val="auto"/>
          <w:sz w:val="21"/>
          <w:szCs w:val="21"/>
          <w:highlight w:val="none"/>
          <w:u w:val="single"/>
        </w:rPr>
        <w:t>按通用条款1.11.2执行</w:t>
      </w:r>
      <w:r>
        <w:rPr>
          <w:rFonts w:hint="eastAsia" w:ascii="宋体" w:hAnsi="宋体" w:eastAsia="宋体" w:cs="宋体"/>
          <w:color w:val="auto"/>
          <w:sz w:val="21"/>
          <w:szCs w:val="21"/>
          <w:highlight w:val="none"/>
        </w:rPr>
        <w:t>。</w:t>
      </w:r>
    </w:p>
    <w:p w14:paraId="5B0D4518">
      <w:pPr>
        <w:pStyle w:val="15"/>
        <w:keepNext w:val="0"/>
        <w:keepLines w:val="0"/>
        <w:pageBreakBefore w:val="0"/>
        <w:widowControl w:val="0"/>
        <w:numPr>
          <w:ilvl w:val="0"/>
          <w:numId w:val="0"/>
        </w:numPr>
        <w:tabs>
          <w:tab w:val="left" w:pos="1200"/>
        </w:tabs>
        <w:kinsoku/>
        <w:wordWrap/>
        <w:overflowPunct/>
        <w:topLinePunct w:val="0"/>
        <w:bidi w:val="0"/>
        <w:spacing w:after="0" w:line="360" w:lineRule="auto"/>
        <w:ind w:firstLine="420" w:firstLineChars="200"/>
        <w:textAlignment w:val="auto"/>
        <w:outlineLvl w:val="9"/>
        <w:rPr>
          <w:rFonts w:hint="eastAsia" w:ascii="宋体" w:hAnsi="宋体" w:eastAsia="宋体" w:cs="宋体"/>
          <w:b w:val="0"/>
          <w:color w:val="auto"/>
          <w:sz w:val="21"/>
          <w:szCs w:val="21"/>
          <w:highlight w:val="none"/>
        </w:rPr>
      </w:pPr>
      <w:r>
        <w:rPr>
          <w:rFonts w:hint="eastAsia" w:ascii="宋体" w:hAnsi="宋体" w:eastAsia="宋体" w:cs="宋体"/>
          <w:color w:val="auto"/>
          <w:sz w:val="21"/>
          <w:szCs w:val="21"/>
          <w:highlight w:val="none"/>
          <w:lang w:val="en-US" w:eastAsia="zh-CN"/>
        </w:rPr>
        <w:t>1.8.3</w:t>
      </w:r>
      <w:r>
        <w:rPr>
          <w:rFonts w:hint="eastAsia" w:ascii="宋体" w:hAnsi="宋体" w:eastAsia="宋体" w:cs="宋体"/>
          <w:color w:val="auto"/>
          <w:sz w:val="21"/>
          <w:szCs w:val="21"/>
          <w:highlight w:val="none"/>
        </w:rPr>
        <w:t>承包人在施工过程中所采用的专利、专有技术、技术秘密的使用费的承担方式：</w:t>
      </w:r>
      <w:r>
        <w:rPr>
          <w:rFonts w:hint="eastAsia" w:ascii="宋体" w:hAnsi="宋体" w:eastAsia="宋体" w:cs="宋体"/>
          <w:color w:val="auto"/>
          <w:sz w:val="21"/>
          <w:szCs w:val="21"/>
          <w:highlight w:val="none"/>
          <w:u w:val="single"/>
        </w:rPr>
        <w:t>已含在合同价款中，不再另行支付</w:t>
      </w:r>
      <w:r>
        <w:rPr>
          <w:rFonts w:hint="eastAsia" w:ascii="宋体" w:hAnsi="宋体" w:eastAsia="宋体" w:cs="宋体"/>
          <w:color w:val="auto"/>
          <w:sz w:val="21"/>
          <w:szCs w:val="21"/>
          <w:highlight w:val="none"/>
        </w:rPr>
        <w:t>。</w:t>
      </w:r>
    </w:p>
    <w:p w14:paraId="4144A551">
      <w:pPr>
        <w:keepNext w:val="0"/>
        <w:keepLines w:val="0"/>
        <w:pageBreakBefore w:val="0"/>
        <w:widowControl w:val="0"/>
        <w:numPr>
          <w:ilvl w:val="0"/>
          <w:numId w:val="0"/>
        </w:numPr>
        <w:tabs>
          <w:tab w:val="left" w:pos="1020"/>
        </w:tabs>
        <w:kinsoku/>
        <w:wordWrap/>
        <w:overflowPunct/>
        <w:topLinePunct w:val="0"/>
        <w:bidi w:val="0"/>
        <w:spacing w:line="360" w:lineRule="auto"/>
        <w:ind w:left="0" w:leftChars="0" w:firstLine="420" w:firstLineChars="200"/>
        <w:textAlignment w:val="auto"/>
        <w:outlineLvl w:val="9"/>
        <w:rPr>
          <w:rFonts w:hint="eastAsia" w:ascii="宋体" w:hAnsi="宋体" w:eastAsia="宋体" w:cs="宋体"/>
          <w:color w:val="auto"/>
          <w:sz w:val="21"/>
          <w:szCs w:val="21"/>
          <w:highlight w:val="none"/>
        </w:rPr>
      </w:pPr>
      <w:r>
        <w:rPr>
          <w:rFonts w:hint="default" w:ascii="宋体" w:hAnsi="宋体" w:eastAsia="宋体" w:cs="宋体"/>
          <w:color w:val="auto"/>
          <w:kern w:val="2"/>
          <w:sz w:val="21"/>
          <w:szCs w:val="21"/>
          <w:lang w:val="en-US" w:eastAsia="zh-CN" w:bidi="ar-SA"/>
        </w:rPr>
        <w:t>1.9</w:t>
      </w:r>
      <w:r>
        <w:rPr>
          <w:rFonts w:hint="eastAsia" w:ascii="宋体" w:hAnsi="宋体" w:eastAsia="宋体" w:cs="宋体"/>
          <w:color w:val="auto"/>
          <w:sz w:val="21"/>
          <w:szCs w:val="21"/>
          <w:highlight w:val="none"/>
        </w:rPr>
        <w:t>工程量清单错误的修正</w:t>
      </w:r>
    </w:p>
    <w:p w14:paraId="0E66137F">
      <w:pPr>
        <w:pStyle w:val="15"/>
        <w:keepNext w:val="0"/>
        <w:keepLines w:val="0"/>
        <w:pageBreakBefore w:val="0"/>
        <w:widowControl w:val="0"/>
        <w:kinsoku/>
        <w:wordWrap/>
        <w:overflowPunct/>
        <w:topLinePunct w:val="0"/>
        <w:bidi w:val="0"/>
        <w:spacing w:after="0" w:line="360" w:lineRule="auto"/>
        <w:ind w:left="0" w:leftChars="0" w:firstLine="420" w:firstLineChars="200"/>
        <w:textAlignment w:val="auto"/>
        <w:outlineLvl w:val="9"/>
        <w:rPr>
          <w:rFonts w:hint="eastAsia" w:ascii="宋体" w:hAnsi="宋体" w:eastAsia="宋体" w:cs="宋体"/>
          <w:color w:val="auto"/>
          <w:sz w:val="21"/>
          <w:szCs w:val="21"/>
          <w:highlight w:val="none"/>
        </w:rPr>
      </w:pPr>
      <w:bookmarkStart w:id="295" w:name="_Toc351203634"/>
      <w:r>
        <w:rPr>
          <w:rFonts w:hint="eastAsia" w:ascii="宋体" w:hAnsi="宋体" w:eastAsia="宋体" w:cs="宋体"/>
          <w:color w:val="auto"/>
          <w:sz w:val="21"/>
          <w:szCs w:val="21"/>
          <w:highlight w:val="none"/>
        </w:rPr>
        <w:t>出现工程量清单错误时，是否调整合同价格：除通用条款 1.13所列调整项外，均不调整。</w:t>
      </w:r>
    </w:p>
    <w:p w14:paraId="1414CEC2">
      <w:pPr>
        <w:keepNext w:val="0"/>
        <w:keepLines w:val="0"/>
        <w:pageBreakBefore w:val="0"/>
        <w:widowControl w:val="0"/>
        <w:numPr>
          <w:ilvl w:val="0"/>
          <w:numId w:val="1"/>
        </w:numPr>
        <w:tabs>
          <w:tab w:val="left" w:pos="961"/>
          <w:tab w:val="clear" w:pos="210"/>
        </w:tabs>
        <w:kinsoku/>
        <w:wordWrap/>
        <w:overflowPunct/>
        <w:topLinePunct w:val="0"/>
        <w:autoSpaceDE/>
        <w:autoSpaceDN/>
        <w:bidi w:val="0"/>
        <w:adjustRightInd/>
        <w:snapToGrid/>
        <w:spacing w:line="360" w:lineRule="auto"/>
        <w:ind w:left="0" w:leftChars="0" w:firstLine="422" w:firstLineChars="200"/>
        <w:textAlignment w:val="auto"/>
        <w:outlineLvl w:val="2"/>
        <w:rPr>
          <w:rFonts w:hint="eastAsia" w:ascii="宋体" w:hAnsi="宋体" w:eastAsia="宋体" w:cs="宋体"/>
          <w:b/>
          <w:bCs/>
          <w:color w:val="auto"/>
          <w:sz w:val="21"/>
          <w:szCs w:val="21"/>
          <w:highlight w:val="none"/>
        </w:rPr>
      </w:pPr>
      <w:bookmarkStart w:id="296" w:name="_Toc27204"/>
      <w:bookmarkStart w:id="297" w:name="_Toc29724"/>
      <w:bookmarkStart w:id="298" w:name="_Toc16987"/>
      <w:bookmarkStart w:id="299" w:name="_Toc296347156"/>
      <w:bookmarkStart w:id="300" w:name="_Toc297120457"/>
      <w:bookmarkStart w:id="301" w:name="_Toc296944496"/>
      <w:bookmarkStart w:id="302" w:name="_Toc292559867"/>
      <w:bookmarkStart w:id="303" w:name="_Toc296891197"/>
      <w:bookmarkStart w:id="304" w:name="_Toc292559362"/>
      <w:bookmarkStart w:id="305" w:name="_Toc296503157"/>
      <w:bookmarkStart w:id="306" w:name="_Toc296890985"/>
      <w:bookmarkStart w:id="307" w:name="_Toc297048343"/>
      <w:bookmarkStart w:id="308" w:name="_Toc296346658"/>
      <w:r>
        <w:rPr>
          <w:rFonts w:hint="eastAsia" w:ascii="宋体" w:hAnsi="宋体" w:eastAsia="宋体" w:cs="宋体"/>
          <w:b/>
          <w:bCs/>
          <w:color w:val="auto"/>
          <w:sz w:val="21"/>
          <w:szCs w:val="21"/>
          <w:highlight w:val="none"/>
        </w:rPr>
        <w:t>发包人</w:t>
      </w:r>
      <w:bookmarkEnd w:id="295"/>
      <w:bookmarkEnd w:id="296"/>
      <w:bookmarkEnd w:id="297"/>
      <w:bookmarkEnd w:id="298"/>
    </w:p>
    <w:bookmarkEnd w:id="299"/>
    <w:bookmarkEnd w:id="300"/>
    <w:bookmarkEnd w:id="301"/>
    <w:bookmarkEnd w:id="302"/>
    <w:bookmarkEnd w:id="303"/>
    <w:bookmarkEnd w:id="304"/>
    <w:bookmarkEnd w:id="305"/>
    <w:bookmarkEnd w:id="306"/>
    <w:bookmarkEnd w:id="307"/>
    <w:bookmarkEnd w:id="308"/>
    <w:p w14:paraId="008F0954">
      <w:pPr>
        <w:keepNext w:val="0"/>
        <w:keepLines w:val="0"/>
        <w:pageBreakBefore w:val="0"/>
        <w:widowControl w:val="0"/>
        <w:numPr>
          <w:ilvl w:val="0"/>
          <w:numId w:val="0"/>
        </w:numPr>
        <w:tabs>
          <w:tab w:val="left" w:pos="1020"/>
        </w:tabs>
        <w:kinsoku/>
        <w:wordWrap/>
        <w:overflowPunct/>
        <w:topLinePunct w:val="0"/>
        <w:bidi w:val="0"/>
        <w:spacing w:line="360" w:lineRule="auto"/>
        <w:ind w:leftChars="200"/>
        <w:textAlignment w:val="auto"/>
        <w:outlineLvl w:val="9"/>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rPr>
        <w:t>2.1</w:t>
      </w:r>
      <w:r>
        <w:rPr>
          <w:rFonts w:hint="eastAsia" w:ascii="宋体" w:hAnsi="宋体" w:eastAsia="宋体" w:cs="宋体"/>
          <w:color w:val="auto"/>
          <w:sz w:val="21"/>
          <w:szCs w:val="21"/>
          <w:highlight w:val="none"/>
        </w:rPr>
        <w:t>发包人代表</w:t>
      </w:r>
    </w:p>
    <w:p w14:paraId="1ACAAA70">
      <w:pPr>
        <w:pStyle w:val="15"/>
        <w:keepNext w:val="0"/>
        <w:keepLines w:val="0"/>
        <w:pageBreakBefore w:val="0"/>
        <w:widowControl w:val="0"/>
        <w:kinsoku/>
        <w:wordWrap/>
        <w:overflowPunct/>
        <w:topLinePunct w:val="0"/>
        <w:bidi w:val="0"/>
        <w:spacing w:after="0" w:line="360" w:lineRule="auto"/>
        <w:ind w:left="0" w:leftChars="0" w:firstLine="420" w:firstLineChars="200"/>
        <w:textAlignment w:val="auto"/>
        <w:outlineLvl w:val="9"/>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发包人代表：</w:t>
      </w:r>
      <w:bookmarkStart w:id="309" w:name="OLE_LINK23"/>
    </w:p>
    <w:bookmarkEnd w:id="309"/>
    <w:p w14:paraId="4221597D">
      <w:pPr>
        <w:keepNext w:val="0"/>
        <w:keepLines w:val="0"/>
        <w:pageBreakBefore w:val="0"/>
        <w:widowControl w:val="0"/>
        <w:kinsoku/>
        <w:wordWrap/>
        <w:overflowPunct/>
        <w:topLinePunct w:val="0"/>
        <w:bidi w:val="0"/>
        <w:spacing w:line="360" w:lineRule="auto"/>
        <w:ind w:firstLine="420" w:firstLineChars="200"/>
        <w:textAlignment w:val="auto"/>
        <w:outlineLvl w:val="9"/>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rPr>
        <w:t>姓    名：</w:t>
      </w:r>
      <w:r>
        <w:rPr>
          <w:rFonts w:hint="eastAsia" w:ascii="宋体" w:hAnsi="宋体" w:eastAsia="宋体" w:cs="宋体"/>
          <w:color w:val="auto"/>
          <w:sz w:val="21"/>
          <w:szCs w:val="21"/>
          <w:highlight w:val="none"/>
          <w:u w:val="single"/>
          <w:lang w:val="en-US" w:eastAsia="zh-CN"/>
        </w:rPr>
        <w:t xml:space="preserve">     </w:t>
      </w:r>
      <w:r>
        <w:rPr>
          <w:rFonts w:hint="eastAsia" w:ascii="宋体" w:hAnsi="宋体" w:eastAsia="宋体" w:cs="宋体"/>
          <w:color w:val="auto"/>
          <w:sz w:val="21"/>
          <w:szCs w:val="21"/>
          <w:highlight w:val="none"/>
          <w:u w:val="none"/>
          <w:lang w:val="en-US" w:eastAsia="zh-CN"/>
        </w:rPr>
        <w:t>；</w:t>
      </w:r>
      <w:r>
        <w:rPr>
          <w:rFonts w:hint="eastAsia" w:ascii="宋体" w:hAnsi="宋体" w:eastAsia="宋体" w:cs="宋体"/>
          <w:color w:val="auto"/>
          <w:sz w:val="21"/>
          <w:szCs w:val="21"/>
          <w:highlight w:val="none"/>
        </w:rPr>
        <w:t>联系电话：</w:t>
      </w:r>
      <w:r>
        <w:rPr>
          <w:rFonts w:hint="eastAsia" w:ascii="宋体" w:hAnsi="宋体" w:eastAsia="宋体" w:cs="宋体"/>
          <w:color w:val="auto"/>
          <w:sz w:val="21"/>
          <w:szCs w:val="21"/>
          <w:highlight w:val="none"/>
          <w:u w:val="single"/>
          <w:lang w:val="en-US" w:eastAsia="zh-CN"/>
        </w:rPr>
        <w:t xml:space="preserve">    </w:t>
      </w:r>
      <w:r>
        <w:rPr>
          <w:rFonts w:hint="eastAsia" w:ascii="宋体" w:hAnsi="宋体" w:cs="宋体"/>
          <w:color w:val="auto"/>
          <w:sz w:val="21"/>
          <w:szCs w:val="21"/>
          <w:highlight w:val="none"/>
          <w:lang w:val="en-US" w:eastAsia="zh-CN"/>
        </w:rPr>
        <w:t>；</w:t>
      </w:r>
    </w:p>
    <w:p w14:paraId="0E8082CF">
      <w:pPr>
        <w:keepNext w:val="0"/>
        <w:keepLines w:val="0"/>
        <w:pageBreakBefore w:val="0"/>
        <w:widowControl w:val="0"/>
        <w:kinsoku/>
        <w:wordWrap/>
        <w:overflowPunct/>
        <w:topLinePunct w:val="0"/>
        <w:bidi w:val="0"/>
        <w:spacing w:line="360" w:lineRule="auto"/>
        <w:ind w:firstLine="420" w:firstLineChars="200"/>
        <w:textAlignment w:val="auto"/>
        <w:outlineLvl w:val="9"/>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rPr>
        <w:t>姓    名：</w:t>
      </w:r>
      <w:r>
        <w:rPr>
          <w:rFonts w:hint="eastAsia" w:ascii="宋体" w:hAnsi="宋体" w:eastAsia="宋体" w:cs="宋体"/>
          <w:color w:val="auto"/>
          <w:sz w:val="21"/>
          <w:szCs w:val="21"/>
          <w:highlight w:val="none"/>
          <w:u w:val="single"/>
          <w:lang w:val="en-US" w:eastAsia="zh-CN"/>
        </w:rPr>
        <w:t xml:space="preserve">     </w:t>
      </w:r>
      <w:r>
        <w:rPr>
          <w:rFonts w:hint="eastAsia" w:ascii="宋体" w:hAnsi="宋体" w:eastAsia="宋体" w:cs="宋体"/>
          <w:color w:val="auto"/>
          <w:sz w:val="21"/>
          <w:szCs w:val="21"/>
          <w:highlight w:val="none"/>
        </w:rPr>
        <w:t>；联系电话：</w:t>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u w:val="single"/>
          <w:lang w:val="en-US" w:eastAsia="zh-CN"/>
        </w:rPr>
        <w:t xml:space="preserve">  </w:t>
      </w:r>
      <w:r>
        <w:rPr>
          <w:rFonts w:hint="eastAsia" w:ascii="宋体" w:hAnsi="宋体" w:eastAsia="宋体" w:cs="宋体"/>
          <w:b/>
          <w:bCs/>
          <w:color w:val="auto"/>
          <w:sz w:val="21"/>
          <w:szCs w:val="21"/>
          <w:highlight w:val="none"/>
          <w:u w:val="single"/>
          <w:lang w:val="en-US" w:eastAsia="zh-CN"/>
        </w:rPr>
        <w:t xml:space="preserve"> </w:t>
      </w:r>
      <w:r>
        <w:rPr>
          <w:rFonts w:hint="eastAsia" w:ascii="宋体" w:hAnsi="宋体" w:cs="宋体"/>
          <w:color w:val="auto"/>
          <w:sz w:val="21"/>
          <w:szCs w:val="21"/>
          <w:highlight w:val="none"/>
          <w:lang w:val="en-US" w:eastAsia="zh-CN"/>
        </w:rPr>
        <w:t>；</w:t>
      </w:r>
    </w:p>
    <w:p w14:paraId="70023FBF">
      <w:pPr>
        <w:keepNext w:val="0"/>
        <w:keepLines w:val="0"/>
        <w:pageBreakBefore w:val="0"/>
        <w:widowControl w:val="0"/>
        <w:kinsoku/>
        <w:wordWrap/>
        <w:overflowPunct/>
        <w:topLinePunct w:val="0"/>
        <w:bidi w:val="0"/>
        <w:spacing w:line="360" w:lineRule="auto"/>
        <w:ind w:firstLine="411" w:firstLineChars="196"/>
        <w:textAlignment w:val="auto"/>
        <w:outlineLvl w:val="9"/>
        <w:rPr>
          <w:rFonts w:hint="eastAsia" w:ascii="宋体" w:hAnsi="宋体" w:eastAsia="宋体" w:cs="宋体"/>
          <w:color w:val="auto"/>
          <w:sz w:val="21"/>
          <w:szCs w:val="21"/>
          <w:highlight w:val="none"/>
          <w:u w:val="single"/>
        </w:rPr>
      </w:pPr>
      <w:r>
        <w:rPr>
          <w:rFonts w:hint="eastAsia" w:ascii="宋体" w:hAnsi="宋体" w:eastAsia="宋体" w:cs="宋体"/>
          <w:color w:val="auto"/>
          <w:sz w:val="21"/>
          <w:szCs w:val="21"/>
          <w:highlight w:val="none"/>
          <w:lang w:bidi="en-US"/>
        </w:rPr>
        <w:t>发包人对发包人代表的授权范围如下：</w:t>
      </w:r>
      <w:r>
        <w:rPr>
          <w:rFonts w:hint="eastAsia" w:ascii="宋体" w:hAnsi="宋体" w:eastAsia="宋体" w:cs="宋体"/>
          <w:b/>
          <w:bCs/>
          <w:color w:val="auto"/>
          <w:sz w:val="21"/>
          <w:szCs w:val="21"/>
          <w:highlight w:val="none"/>
          <w:u w:val="single"/>
        </w:rPr>
        <w:t>负责按照要求对工程质量、安全、进度、成本进行管理，履行项目管理职责。</w:t>
      </w:r>
    </w:p>
    <w:p w14:paraId="56C75362">
      <w:pPr>
        <w:keepNext w:val="0"/>
        <w:keepLines w:val="0"/>
        <w:pageBreakBefore w:val="0"/>
        <w:widowControl w:val="0"/>
        <w:numPr>
          <w:ilvl w:val="0"/>
          <w:numId w:val="8"/>
        </w:numPr>
        <w:tabs>
          <w:tab w:val="left" w:pos="1020"/>
          <w:tab w:val="clear" w:pos="210"/>
        </w:tabs>
        <w:kinsoku/>
        <w:wordWrap/>
        <w:overflowPunct/>
        <w:topLinePunct w:val="0"/>
        <w:bidi w:val="0"/>
        <w:spacing w:line="360" w:lineRule="auto"/>
        <w:ind w:left="0" w:leftChars="0" w:firstLine="420" w:firstLineChars="200"/>
        <w:textAlignment w:val="auto"/>
        <w:outlineLvl w:val="9"/>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施工现场、施工条件和基础资料的提供</w:t>
      </w:r>
    </w:p>
    <w:p w14:paraId="1F55ABD4">
      <w:pPr>
        <w:keepNext w:val="0"/>
        <w:keepLines w:val="0"/>
        <w:pageBreakBefore w:val="0"/>
        <w:widowControl w:val="0"/>
        <w:numPr>
          <w:ilvl w:val="0"/>
          <w:numId w:val="0"/>
        </w:numPr>
        <w:tabs>
          <w:tab w:val="left" w:pos="1160"/>
        </w:tabs>
        <w:kinsoku/>
        <w:wordWrap/>
        <w:overflowPunct/>
        <w:topLinePunct w:val="0"/>
        <w:bidi w:val="0"/>
        <w:spacing w:line="360" w:lineRule="auto"/>
        <w:ind w:leftChars="200"/>
        <w:textAlignment w:val="auto"/>
        <w:outlineLvl w:val="9"/>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rPr>
        <w:t>2.2.1</w:t>
      </w:r>
      <w:r>
        <w:rPr>
          <w:rFonts w:hint="eastAsia" w:ascii="宋体" w:hAnsi="宋体" w:eastAsia="宋体" w:cs="宋体"/>
          <w:color w:val="auto"/>
          <w:sz w:val="21"/>
          <w:szCs w:val="21"/>
          <w:highlight w:val="none"/>
        </w:rPr>
        <w:t>提供施工现场</w:t>
      </w:r>
    </w:p>
    <w:p w14:paraId="6D14C1E8">
      <w:pPr>
        <w:pStyle w:val="15"/>
        <w:keepNext w:val="0"/>
        <w:keepLines w:val="0"/>
        <w:pageBreakBefore w:val="0"/>
        <w:widowControl w:val="0"/>
        <w:kinsoku/>
        <w:wordWrap/>
        <w:overflowPunct/>
        <w:topLinePunct w:val="0"/>
        <w:bidi w:val="0"/>
        <w:spacing w:after="0" w:line="360" w:lineRule="auto"/>
        <w:ind w:left="0" w:leftChars="0" w:firstLine="420" w:firstLineChars="200"/>
        <w:textAlignment w:val="auto"/>
        <w:outlineLvl w:val="9"/>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关于发包人移交施工现场的期限要求：开工前完成，并具备必要的开工条件。</w:t>
      </w:r>
    </w:p>
    <w:p w14:paraId="648E3C8E">
      <w:pPr>
        <w:keepNext w:val="0"/>
        <w:keepLines w:val="0"/>
        <w:pageBreakBefore w:val="0"/>
        <w:widowControl w:val="0"/>
        <w:numPr>
          <w:ilvl w:val="0"/>
          <w:numId w:val="0"/>
        </w:numPr>
        <w:tabs>
          <w:tab w:val="left" w:pos="1160"/>
        </w:tabs>
        <w:kinsoku/>
        <w:wordWrap/>
        <w:overflowPunct/>
        <w:topLinePunct w:val="0"/>
        <w:bidi w:val="0"/>
        <w:spacing w:line="360" w:lineRule="auto"/>
        <w:ind w:leftChars="200"/>
        <w:textAlignment w:val="auto"/>
        <w:outlineLvl w:val="9"/>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rPr>
        <w:t>2.2.2</w:t>
      </w:r>
      <w:r>
        <w:rPr>
          <w:rFonts w:hint="eastAsia" w:ascii="宋体" w:hAnsi="宋体" w:eastAsia="宋体" w:cs="宋体"/>
          <w:color w:val="auto"/>
          <w:sz w:val="21"/>
          <w:szCs w:val="21"/>
          <w:highlight w:val="none"/>
        </w:rPr>
        <w:t>提供施工条件</w:t>
      </w:r>
    </w:p>
    <w:p w14:paraId="0F5A3B22">
      <w:pPr>
        <w:pStyle w:val="15"/>
        <w:keepNext w:val="0"/>
        <w:keepLines w:val="0"/>
        <w:pageBreakBefore w:val="0"/>
        <w:widowControl w:val="0"/>
        <w:kinsoku/>
        <w:wordWrap/>
        <w:overflowPunct/>
        <w:topLinePunct w:val="0"/>
        <w:bidi w:val="0"/>
        <w:spacing w:after="0" w:line="360" w:lineRule="auto"/>
        <w:ind w:left="0" w:leftChars="0" w:firstLine="420" w:firstLineChars="200"/>
        <w:textAlignment w:val="auto"/>
        <w:outlineLvl w:val="9"/>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关于发包人应负责提供施工所需要的条件，包括：</w:t>
      </w:r>
    </w:p>
    <w:p w14:paraId="2780E51E">
      <w:pPr>
        <w:pStyle w:val="15"/>
        <w:keepNext w:val="0"/>
        <w:keepLines w:val="0"/>
        <w:pageBreakBefore w:val="0"/>
        <w:widowControl w:val="0"/>
        <w:kinsoku/>
        <w:wordWrap/>
        <w:overflowPunct/>
        <w:topLinePunct w:val="0"/>
        <w:bidi w:val="0"/>
        <w:spacing w:after="0" w:line="360" w:lineRule="auto"/>
        <w:ind w:left="0" w:leftChars="0" w:firstLine="420" w:firstLineChars="200"/>
        <w:textAlignment w:val="auto"/>
        <w:outlineLvl w:val="9"/>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发包人在开工前向承包人指定接口，由承包人接通施工用水、用电，并确保施工的正常需要。承包人对使用的水、电装表计量，并负责管理和维护相应水电设备，水电费用装表计量按实际发生费用由发包人代收，发包人根据承包人实际缴费金额开具行政往来款收据。</w:t>
      </w:r>
    </w:p>
    <w:p w14:paraId="217F6317">
      <w:pPr>
        <w:pStyle w:val="15"/>
        <w:keepNext w:val="0"/>
        <w:keepLines w:val="0"/>
        <w:pageBreakBefore w:val="0"/>
        <w:widowControl w:val="0"/>
        <w:kinsoku/>
        <w:wordWrap/>
        <w:overflowPunct/>
        <w:topLinePunct w:val="0"/>
        <w:bidi w:val="0"/>
        <w:spacing w:after="0" w:line="360" w:lineRule="auto"/>
        <w:ind w:left="0" w:leftChars="0" w:firstLine="420" w:firstLineChars="200"/>
        <w:textAlignment w:val="auto"/>
        <w:outlineLvl w:val="9"/>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根据工程需要，承包人需自备备用电源，停水停电由承包人自行考虑相关措施保障施工。</w:t>
      </w:r>
    </w:p>
    <w:p w14:paraId="525F96D8">
      <w:pPr>
        <w:keepNext w:val="0"/>
        <w:keepLines w:val="0"/>
        <w:pageBreakBefore w:val="0"/>
        <w:widowControl w:val="0"/>
        <w:numPr>
          <w:ilvl w:val="0"/>
          <w:numId w:val="8"/>
        </w:numPr>
        <w:tabs>
          <w:tab w:val="left" w:pos="1020"/>
          <w:tab w:val="clear" w:pos="210"/>
        </w:tabs>
        <w:kinsoku/>
        <w:wordWrap/>
        <w:overflowPunct/>
        <w:topLinePunct w:val="0"/>
        <w:bidi w:val="0"/>
        <w:spacing w:line="360" w:lineRule="auto"/>
        <w:ind w:left="0" w:leftChars="0" w:firstLine="420" w:firstLineChars="200"/>
        <w:textAlignment w:val="auto"/>
        <w:outlineLvl w:val="9"/>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资金来源证明及支付担保</w:t>
      </w:r>
    </w:p>
    <w:p w14:paraId="73392619">
      <w:pPr>
        <w:keepNext w:val="0"/>
        <w:keepLines w:val="0"/>
        <w:pageBreakBefore w:val="0"/>
        <w:widowControl w:val="0"/>
        <w:suppressLineNumbers w:val="0"/>
        <w:kinsoku/>
        <w:wordWrap/>
        <w:overflowPunct/>
        <w:topLinePunct w:val="0"/>
        <w:bidi w:val="0"/>
        <w:spacing w:before="0" w:beforeAutospacing="0" w:afterAutospacing="0" w:line="360" w:lineRule="auto"/>
        <w:ind w:left="480" w:leftChars="0" w:right="0" w:firstLine="0" w:firstLineChars="0"/>
        <w:jc w:val="both"/>
        <w:textAlignment w:val="auto"/>
        <w:outlineLvl w:val="9"/>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发包人提供资金来源证明的期限要求：</w:t>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u w:val="single"/>
          <w:lang w:val="en-US" w:eastAsia="zh-CN"/>
        </w:rPr>
        <w:t>无</w:t>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rPr>
        <w:t>。</w:t>
      </w:r>
    </w:p>
    <w:p w14:paraId="465C1226">
      <w:pPr>
        <w:keepNext w:val="0"/>
        <w:keepLines w:val="0"/>
        <w:pageBreakBefore w:val="0"/>
        <w:widowControl w:val="0"/>
        <w:suppressLineNumbers w:val="0"/>
        <w:kinsoku/>
        <w:wordWrap/>
        <w:overflowPunct/>
        <w:topLinePunct w:val="0"/>
        <w:bidi w:val="0"/>
        <w:spacing w:before="0" w:beforeAutospacing="0" w:afterAutospacing="0" w:line="360" w:lineRule="auto"/>
        <w:ind w:left="480" w:leftChars="0" w:right="0" w:firstLine="0" w:firstLineChars="0"/>
        <w:jc w:val="both"/>
        <w:textAlignment w:val="auto"/>
        <w:outlineLvl w:val="9"/>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发包人是否提供支付担保：</w:t>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u w:val="single"/>
          <w:lang w:val="en-US" w:eastAsia="zh-CN"/>
        </w:rPr>
        <w:t>否</w:t>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rPr>
        <w:t>。</w:t>
      </w:r>
    </w:p>
    <w:p w14:paraId="092F7C8D">
      <w:pPr>
        <w:pStyle w:val="15"/>
        <w:keepNext w:val="0"/>
        <w:keepLines w:val="0"/>
        <w:pageBreakBefore w:val="0"/>
        <w:widowControl w:val="0"/>
        <w:kinsoku/>
        <w:wordWrap/>
        <w:overflowPunct/>
        <w:topLinePunct w:val="0"/>
        <w:bidi w:val="0"/>
        <w:spacing w:after="0" w:line="360" w:lineRule="auto"/>
        <w:ind w:left="0" w:leftChars="0" w:firstLine="420" w:firstLineChars="200"/>
        <w:textAlignment w:val="auto"/>
        <w:outlineLvl w:val="9"/>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发包人提供支付担保的形式：</w:t>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u w:val="single"/>
          <w:lang w:val="en-US" w:eastAsia="zh-CN"/>
        </w:rPr>
        <w:t>无</w:t>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u w:val="single"/>
          <w:lang w:val="en-US" w:eastAsia="zh-CN"/>
        </w:rPr>
        <w:t xml:space="preserve"> </w:t>
      </w:r>
      <w:r>
        <w:rPr>
          <w:rFonts w:hint="eastAsia" w:ascii="宋体" w:hAnsi="宋体" w:eastAsia="宋体" w:cs="宋体"/>
          <w:color w:val="auto"/>
          <w:sz w:val="21"/>
          <w:szCs w:val="21"/>
          <w:highlight w:val="none"/>
        </w:rPr>
        <w:t>。</w:t>
      </w:r>
    </w:p>
    <w:p w14:paraId="3681D35C">
      <w:pPr>
        <w:keepNext w:val="0"/>
        <w:keepLines w:val="0"/>
        <w:pageBreakBefore w:val="0"/>
        <w:widowControl w:val="0"/>
        <w:numPr>
          <w:ilvl w:val="0"/>
          <w:numId w:val="1"/>
        </w:numPr>
        <w:tabs>
          <w:tab w:val="left" w:pos="961"/>
          <w:tab w:val="clear" w:pos="210"/>
        </w:tabs>
        <w:kinsoku/>
        <w:wordWrap/>
        <w:overflowPunct/>
        <w:topLinePunct w:val="0"/>
        <w:autoSpaceDE/>
        <w:autoSpaceDN/>
        <w:bidi w:val="0"/>
        <w:adjustRightInd/>
        <w:snapToGrid/>
        <w:spacing w:line="360" w:lineRule="auto"/>
        <w:ind w:left="0" w:leftChars="0" w:firstLine="422" w:firstLineChars="200"/>
        <w:textAlignment w:val="auto"/>
        <w:outlineLvl w:val="2"/>
        <w:rPr>
          <w:rFonts w:hint="eastAsia" w:ascii="宋体" w:hAnsi="宋体" w:eastAsia="宋体" w:cs="宋体"/>
          <w:b/>
          <w:bCs/>
          <w:color w:val="auto"/>
          <w:sz w:val="21"/>
          <w:szCs w:val="21"/>
          <w:highlight w:val="none"/>
        </w:rPr>
      </w:pPr>
      <w:bookmarkStart w:id="310" w:name="_Toc20073"/>
      <w:bookmarkStart w:id="311" w:name="_Toc20391"/>
      <w:bookmarkStart w:id="312" w:name="_Toc13895"/>
      <w:bookmarkStart w:id="313" w:name="_Toc351203635"/>
      <w:bookmarkStart w:id="314" w:name="_Toc292559868"/>
      <w:bookmarkStart w:id="315" w:name="_Toc292559363"/>
      <w:bookmarkStart w:id="316" w:name="_Toc296503158"/>
      <w:bookmarkStart w:id="317" w:name="_Toc296890986"/>
      <w:bookmarkStart w:id="318" w:name="_Toc297120458"/>
      <w:bookmarkStart w:id="319" w:name="_Toc296347157"/>
      <w:bookmarkStart w:id="320" w:name="_Toc296944497"/>
      <w:bookmarkStart w:id="321" w:name="_Toc296346659"/>
      <w:bookmarkStart w:id="322" w:name="_Toc297048344"/>
      <w:bookmarkStart w:id="323" w:name="_Toc296891198"/>
      <w:r>
        <w:rPr>
          <w:rFonts w:hint="eastAsia" w:ascii="宋体" w:hAnsi="宋体" w:eastAsia="宋体" w:cs="宋体"/>
          <w:b/>
          <w:bCs/>
          <w:color w:val="auto"/>
          <w:sz w:val="21"/>
          <w:szCs w:val="21"/>
          <w:highlight w:val="none"/>
        </w:rPr>
        <w:t>承包人</w:t>
      </w:r>
      <w:bookmarkEnd w:id="310"/>
      <w:bookmarkEnd w:id="311"/>
      <w:bookmarkEnd w:id="312"/>
      <w:bookmarkEnd w:id="313"/>
    </w:p>
    <w:p w14:paraId="04AB6655">
      <w:pPr>
        <w:pStyle w:val="15"/>
        <w:keepNext w:val="0"/>
        <w:keepLines w:val="0"/>
        <w:pageBreakBefore w:val="0"/>
        <w:widowControl w:val="0"/>
        <w:kinsoku/>
        <w:wordWrap/>
        <w:overflowPunct/>
        <w:topLinePunct w:val="0"/>
        <w:bidi w:val="0"/>
        <w:spacing w:after="0" w:line="360" w:lineRule="auto"/>
        <w:ind w:left="0" w:leftChars="0" w:firstLine="420" w:firstLineChars="200"/>
        <w:textAlignment w:val="auto"/>
        <w:outlineLvl w:val="9"/>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eastAsia="zh-CN"/>
        </w:rPr>
        <w:t>承包</w:t>
      </w:r>
      <w:r>
        <w:rPr>
          <w:rFonts w:hint="eastAsia" w:ascii="宋体" w:hAnsi="宋体" w:eastAsia="宋体" w:cs="宋体"/>
          <w:color w:val="auto"/>
          <w:sz w:val="21"/>
          <w:szCs w:val="21"/>
          <w:highlight w:val="none"/>
        </w:rPr>
        <w:t>人代表：</w:t>
      </w:r>
    </w:p>
    <w:p w14:paraId="39BB5FFA">
      <w:pPr>
        <w:keepNext w:val="0"/>
        <w:keepLines w:val="0"/>
        <w:pageBreakBefore w:val="0"/>
        <w:widowControl w:val="0"/>
        <w:suppressLineNumbers w:val="0"/>
        <w:kinsoku/>
        <w:wordWrap/>
        <w:overflowPunct/>
        <w:topLinePunct w:val="0"/>
        <w:bidi w:val="0"/>
        <w:spacing w:before="0" w:beforeAutospacing="0" w:afterAutospacing="0" w:line="360" w:lineRule="auto"/>
        <w:ind w:left="480" w:leftChars="0" w:right="0" w:firstLine="0" w:firstLineChars="0"/>
        <w:jc w:val="both"/>
        <w:textAlignment w:val="auto"/>
        <w:outlineLvl w:val="9"/>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姓    名：</w:t>
      </w:r>
      <w:r>
        <w:rPr>
          <w:rFonts w:hint="eastAsia" w:ascii="宋体" w:hAnsi="宋体" w:eastAsia="宋体" w:cs="宋体"/>
          <w:color w:val="auto"/>
          <w:sz w:val="21"/>
          <w:szCs w:val="21"/>
          <w:highlight w:val="none"/>
          <w:u w:val="single"/>
          <w:lang w:val="en-US" w:eastAsia="zh-CN"/>
        </w:rPr>
        <w:t xml:space="preserve"> </w:t>
      </w:r>
      <w:r>
        <w:rPr>
          <w:rFonts w:hint="eastAsia" w:ascii="宋体" w:hAnsi="宋体" w:cs="宋体"/>
          <w:color w:val="auto"/>
          <w:sz w:val="21"/>
          <w:szCs w:val="21"/>
          <w:highlight w:val="none"/>
          <w:u w:val="single"/>
          <w:lang w:val="en-US" w:eastAsia="zh-CN"/>
        </w:rPr>
        <w:t xml:space="preserve">   </w:t>
      </w:r>
      <w:r>
        <w:rPr>
          <w:rFonts w:hint="eastAsia" w:ascii="宋体" w:hAnsi="宋体" w:eastAsia="宋体" w:cs="宋体"/>
          <w:color w:val="auto"/>
          <w:sz w:val="21"/>
          <w:szCs w:val="21"/>
          <w:highlight w:val="none"/>
          <w:u w:val="single"/>
          <w:lang w:val="en-US" w:eastAsia="zh-CN"/>
        </w:rPr>
        <w:t xml:space="preserve">  </w:t>
      </w:r>
      <w:r>
        <w:rPr>
          <w:rFonts w:hint="eastAsia" w:ascii="宋体" w:hAnsi="宋体" w:eastAsia="宋体" w:cs="宋体"/>
          <w:color w:val="auto"/>
          <w:sz w:val="21"/>
          <w:szCs w:val="21"/>
          <w:highlight w:val="none"/>
          <w:u w:val="none"/>
        </w:rPr>
        <w:t>；</w:t>
      </w:r>
      <w:r>
        <w:rPr>
          <w:rFonts w:hint="eastAsia" w:ascii="宋体" w:hAnsi="宋体" w:eastAsia="宋体" w:cs="宋体"/>
          <w:color w:val="auto"/>
          <w:sz w:val="21"/>
          <w:szCs w:val="21"/>
          <w:highlight w:val="none"/>
        </w:rPr>
        <w:t>联系电话：</w:t>
      </w:r>
      <w:r>
        <w:rPr>
          <w:rFonts w:hint="eastAsia" w:ascii="宋体" w:hAnsi="宋体" w:cs="宋体"/>
          <w:color w:val="auto"/>
          <w:sz w:val="21"/>
          <w:szCs w:val="21"/>
          <w:highlight w:val="none"/>
          <w:lang w:val="en-US" w:eastAsia="zh-CN"/>
        </w:rPr>
        <w:t xml:space="preserve"> </w:t>
      </w:r>
      <w:r>
        <w:rPr>
          <w:rFonts w:hint="eastAsia" w:ascii="宋体" w:hAnsi="宋体" w:eastAsia="宋体" w:cs="宋体"/>
          <w:color w:val="auto"/>
          <w:sz w:val="21"/>
          <w:szCs w:val="21"/>
          <w:highlight w:val="none"/>
          <w:u w:val="single"/>
          <w:lang w:val="en-US" w:eastAsia="zh-CN"/>
        </w:rPr>
        <w:t xml:space="preserve"> </w:t>
      </w:r>
      <w:r>
        <w:rPr>
          <w:rFonts w:hint="eastAsia" w:ascii="宋体" w:hAnsi="宋体" w:cs="宋体"/>
          <w:color w:val="auto"/>
          <w:sz w:val="21"/>
          <w:szCs w:val="21"/>
          <w:highlight w:val="none"/>
          <w:u w:val="single"/>
          <w:lang w:val="en-US" w:eastAsia="zh-CN"/>
        </w:rPr>
        <w:t xml:space="preserve">  </w:t>
      </w:r>
      <w:r>
        <w:rPr>
          <w:rFonts w:hint="eastAsia" w:ascii="宋体" w:hAnsi="宋体" w:eastAsia="宋体" w:cs="宋体"/>
          <w:color w:val="auto"/>
          <w:sz w:val="21"/>
          <w:szCs w:val="21"/>
          <w:highlight w:val="none"/>
          <w:u w:val="single"/>
          <w:lang w:val="en-US" w:eastAsia="zh-CN"/>
        </w:rPr>
        <w:t xml:space="preserve">  </w:t>
      </w:r>
      <w:r>
        <w:rPr>
          <w:rFonts w:hint="eastAsia" w:ascii="宋体" w:hAnsi="宋体" w:eastAsia="宋体" w:cs="宋体"/>
          <w:color w:val="auto"/>
          <w:sz w:val="21"/>
          <w:szCs w:val="21"/>
          <w:highlight w:val="none"/>
          <w:u w:val="none"/>
        </w:rPr>
        <w:t>；</w:t>
      </w:r>
    </w:p>
    <w:p w14:paraId="4E751AA8">
      <w:pPr>
        <w:keepNext w:val="0"/>
        <w:keepLines w:val="0"/>
        <w:pageBreakBefore w:val="0"/>
        <w:widowControl w:val="0"/>
        <w:suppressLineNumbers w:val="0"/>
        <w:kinsoku/>
        <w:wordWrap/>
        <w:overflowPunct/>
        <w:topLinePunct w:val="0"/>
        <w:bidi w:val="0"/>
        <w:spacing w:before="0" w:beforeAutospacing="0" w:afterAutospacing="0" w:line="360" w:lineRule="auto"/>
        <w:ind w:left="480" w:leftChars="0" w:right="0" w:firstLine="0" w:firstLineChars="0"/>
        <w:jc w:val="both"/>
        <w:textAlignment w:val="auto"/>
        <w:outlineLvl w:val="9"/>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通信地址：</w:t>
      </w:r>
      <w:r>
        <w:rPr>
          <w:rFonts w:hint="eastAsia" w:ascii="宋体" w:hAnsi="宋体" w:eastAsia="宋体" w:cs="宋体"/>
          <w:color w:val="auto"/>
          <w:sz w:val="21"/>
          <w:szCs w:val="21"/>
          <w:highlight w:val="none"/>
          <w:u w:val="single"/>
          <w:lang w:val="en-US" w:eastAsia="zh-CN"/>
        </w:rPr>
        <w:t xml:space="preserve">      </w:t>
      </w:r>
      <w:r>
        <w:rPr>
          <w:rFonts w:hint="eastAsia" w:ascii="宋体" w:hAnsi="宋体" w:eastAsia="宋体" w:cs="宋体"/>
          <w:color w:val="auto"/>
          <w:sz w:val="21"/>
          <w:szCs w:val="21"/>
          <w:highlight w:val="none"/>
        </w:rPr>
        <w:t>。</w:t>
      </w:r>
    </w:p>
    <w:bookmarkEnd w:id="314"/>
    <w:bookmarkEnd w:id="315"/>
    <w:bookmarkEnd w:id="316"/>
    <w:bookmarkEnd w:id="317"/>
    <w:bookmarkEnd w:id="318"/>
    <w:bookmarkEnd w:id="319"/>
    <w:bookmarkEnd w:id="320"/>
    <w:bookmarkEnd w:id="321"/>
    <w:bookmarkEnd w:id="322"/>
    <w:bookmarkEnd w:id="323"/>
    <w:p w14:paraId="68FB5716">
      <w:pPr>
        <w:keepNext w:val="0"/>
        <w:keepLines w:val="0"/>
        <w:pageBreakBefore w:val="0"/>
        <w:widowControl w:val="0"/>
        <w:numPr>
          <w:ilvl w:val="0"/>
          <w:numId w:val="9"/>
        </w:numPr>
        <w:tabs>
          <w:tab w:val="left" w:pos="1020"/>
          <w:tab w:val="clear" w:pos="210"/>
        </w:tabs>
        <w:kinsoku/>
        <w:wordWrap/>
        <w:overflowPunct/>
        <w:topLinePunct w:val="0"/>
        <w:bidi w:val="0"/>
        <w:spacing w:line="360" w:lineRule="auto"/>
        <w:ind w:left="0" w:leftChars="0" w:firstLine="420" w:firstLineChars="200"/>
        <w:textAlignment w:val="auto"/>
        <w:outlineLvl w:val="9"/>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承包人的一般义务</w:t>
      </w:r>
    </w:p>
    <w:p w14:paraId="356D79D1">
      <w:pPr>
        <w:pStyle w:val="15"/>
        <w:keepNext w:val="0"/>
        <w:keepLines w:val="0"/>
        <w:pageBreakBefore w:val="0"/>
        <w:widowControl w:val="0"/>
        <w:numPr>
          <w:ilvl w:val="0"/>
          <w:numId w:val="10"/>
        </w:numPr>
        <w:tabs>
          <w:tab w:val="left" w:pos="1080"/>
        </w:tabs>
        <w:kinsoku/>
        <w:wordWrap/>
        <w:overflowPunct/>
        <w:topLinePunct w:val="0"/>
        <w:bidi w:val="0"/>
        <w:spacing w:after="0" w:line="360" w:lineRule="auto"/>
        <w:ind w:left="0" w:leftChars="0" w:right="0" w:firstLine="420" w:firstLineChars="200"/>
        <w:textAlignment w:val="auto"/>
        <w:outlineLvl w:val="9"/>
        <w:rPr>
          <w:rFonts w:hint="eastAsia" w:ascii="宋体" w:hAnsi="宋体" w:eastAsia="宋体" w:cs="宋体"/>
          <w:b w:val="0"/>
          <w:color w:val="auto"/>
          <w:sz w:val="21"/>
          <w:szCs w:val="21"/>
          <w:highlight w:val="none"/>
        </w:rPr>
      </w:pPr>
      <w:r>
        <w:rPr>
          <w:rFonts w:hint="eastAsia" w:ascii="宋体" w:hAnsi="宋体" w:eastAsia="宋体" w:cs="宋体"/>
          <w:color w:val="auto"/>
          <w:sz w:val="21"/>
          <w:szCs w:val="21"/>
          <w:highlight w:val="none"/>
        </w:rPr>
        <w:t>承包人提交的竣工资料的内容：</w:t>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rPr>
        <w:t>。</w:t>
      </w:r>
    </w:p>
    <w:p w14:paraId="18189901">
      <w:pPr>
        <w:keepNext w:val="0"/>
        <w:keepLines w:val="0"/>
        <w:pageBreakBefore w:val="0"/>
        <w:widowControl w:val="0"/>
        <w:suppressLineNumbers w:val="0"/>
        <w:kinsoku/>
        <w:wordWrap/>
        <w:overflowPunct/>
        <w:topLinePunct w:val="0"/>
        <w:bidi w:val="0"/>
        <w:spacing w:before="0" w:beforeAutospacing="0" w:afterAutospacing="0" w:line="360" w:lineRule="auto"/>
        <w:ind w:left="480" w:leftChars="0" w:right="0" w:firstLine="0" w:firstLineChars="0"/>
        <w:jc w:val="both"/>
        <w:textAlignment w:val="auto"/>
        <w:outlineLvl w:val="9"/>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承包人需要提交的竣工资料套数：</w:t>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u w:val="single"/>
          <w:lang w:val="en-US" w:eastAsia="zh-CN"/>
        </w:rPr>
        <w:t>一式</w:t>
      </w:r>
      <w:r>
        <w:rPr>
          <w:rFonts w:hint="eastAsia" w:ascii="宋体" w:hAnsi="宋体" w:cs="宋体"/>
          <w:color w:val="auto"/>
          <w:sz w:val="21"/>
          <w:szCs w:val="21"/>
          <w:highlight w:val="none"/>
          <w:u w:val="single"/>
          <w:lang w:val="en-US" w:eastAsia="zh-CN"/>
        </w:rPr>
        <w:t>肆</w:t>
      </w:r>
      <w:r>
        <w:rPr>
          <w:rFonts w:hint="eastAsia" w:ascii="宋体" w:hAnsi="宋体" w:eastAsia="宋体" w:cs="宋体"/>
          <w:color w:val="auto"/>
          <w:sz w:val="21"/>
          <w:szCs w:val="21"/>
          <w:highlight w:val="none"/>
          <w:u w:val="single"/>
          <w:lang w:val="en-US" w:eastAsia="zh-CN"/>
        </w:rPr>
        <w:t>套，电子文档一套</w:t>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rPr>
        <w:t>。</w:t>
      </w:r>
    </w:p>
    <w:p w14:paraId="35C299EE">
      <w:pPr>
        <w:keepNext w:val="0"/>
        <w:keepLines w:val="0"/>
        <w:pageBreakBefore w:val="0"/>
        <w:widowControl w:val="0"/>
        <w:suppressLineNumbers w:val="0"/>
        <w:kinsoku/>
        <w:wordWrap/>
        <w:overflowPunct/>
        <w:topLinePunct w:val="0"/>
        <w:bidi w:val="0"/>
        <w:spacing w:before="0" w:beforeAutospacing="0" w:afterAutospacing="0" w:line="360" w:lineRule="auto"/>
        <w:ind w:left="480" w:leftChars="0" w:right="0" w:firstLine="0" w:firstLineChars="0"/>
        <w:jc w:val="both"/>
        <w:textAlignment w:val="auto"/>
        <w:outlineLvl w:val="9"/>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承包人提交的竣工资料的费用承担：</w:t>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u w:val="single"/>
          <w:lang w:val="en-US" w:eastAsia="zh-CN"/>
        </w:rPr>
        <w:t>承包人自行承担</w:t>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rPr>
        <w:t>。</w:t>
      </w:r>
    </w:p>
    <w:p w14:paraId="398A4D59">
      <w:pPr>
        <w:keepNext w:val="0"/>
        <w:keepLines w:val="0"/>
        <w:pageBreakBefore w:val="0"/>
        <w:widowControl w:val="0"/>
        <w:suppressLineNumbers w:val="0"/>
        <w:kinsoku/>
        <w:wordWrap/>
        <w:overflowPunct/>
        <w:topLinePunct w:val="0"/>
        <w:bidi w:val="0"/>
        <w:spacing w:before="0" w:beforeAutospacing="0" w:afterAutospacing="0" w:line="360" w:lineRule="auto"/>
        <w:ind w:left="480" w:leftChars="0" w:right="0" w:firstLine="0" w:firstLineChars="0"/>
        <w:jc w:val="both"/>
        <w:textAlignment w:val="auto"/>
        <w:outlineLvl w:val="9"/>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承包人提交的竣工资料移交时间：</w:t>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u w:val="single"/>
          <w:lang w:val="en-US" w:eastAsia="zh-CN"/>
        </w:rPr>
        <w:t xml:space="preserve"> </w:t>
      </w:r>
      <w:r>
        <w:rPr>
          <w:rFonts w:hint="eastAsia" w:ascii="宋体" w:hAnsi="宋体" w:eastAsia="宋体" w:cs="宋体"/>
          <w:color w:val="auto"/>
          <w:sz w:val="21"/>
          <w:szCs w:val="21"/>
          <w:highlight w:val="none"/>
          <w:u w:val="single"/>
          <w:lang w:val="en-US" w:eastAsia="zh-CN"/>
        </w:rPr>
        <w:fldChar w:fldCharType="begin"/>
      </w:r>
      <w:r>
        <w:rPr>
          <w:rFonts w:hint="eastAsia" w:ascii="宋体" w:hAnsi="宋体" w:eastAsia="宋体" w:cs="宋体"/>
          <w:color w:val="auto"/>
          <w:sz w:val="21"/>
          <w:szCs w:val="21"/>
          <w:highlight w:val="none"/>
          <w:u w:val="single"/>
          <w:lang w:val="en-US" w:eastAsia="zh-CN"/>
        </w:rPr>
        <w:instrText xml:space="preserve"> HYPERLINK "https://www.baidu.com/s?wd=%E5%B7%A5%E7%A8%8B%E7%AB%A3%E5%B7%A5%E9%AA%8C%E6%94%B6&amp;rsv_idx=2&amp;tn=15007414_8_dg&amp;usm=2&amp;ie=utf-8&amp;rsv_pq=d75011d00096fbd4&amp;oq=%E6%89%BF%E5%8C%85%E4%BA%BA%E6%8F%90%E4%BA%A4%E7%9A%84%E7%AB%A3%E5%B7%A5%E8%B5%84%E6%96%99%E7%A7%BB%E4%BA%A4%E6%97%B6%E9%97%B4&amp;rsv_t=a391p5POTs1TvDLgYTUbdW3kNSpg6WM+Ds75MdQAjtNousqlbn6sv/VNJvqKrfkB5vZYAQ&amp;rsv_dl=re_dqa_generate&amp;sa=re_dqa_generate" \t "https://www.baidu.com/_self" </w:instrText>
      </w:r>
      <w:r>
        <w:rPr>
          <w:rFonts w:hint="eastAsia" w:ascii="宋体" w:hAnsi="宋体" w:eastAsia="宋体" w:cs="宋体"/>
          <w:color w:val="auto"/>
          <w:sz w:val="21"/>
          <w:szCs w:val="21"/>
          <w:highlight w:val="none"/>
          <w:u w:val="single"/>
          <w:lang w:val="en-US" w:eastAsia="zh-CN"/>
        </w:rPr>
        <w:fldChar w:fldCharType="separate"/>
      </w:r>
      <w:r>
        <w:rPr>
          <w:rFonts w:hint="eastAsia" w:ascii="宋体" w:hAnsi="宋体" w:eastAsia="宋体" w:cs="宋体"/>
          <w:color w:val="auto"/>
          <w:sz w:val="21"/>
          <w:szCs w:val="21"/>
          <w:highlight w:val="none"/>
          <w:u w:val="single"/>
          <w:lang w:val="en-US" w:eastAsia="zh-CN"/>
        </w:rPr>
        <w:t>工程竣工验收</w:t>
      </w:r>
      <w:r>
        <w:rPr>
          <w:rFonts w:hint="eastAsia" w:ascii="宋体" w:hAnsi="宋体" w:eastAsia="宋体" w:cs="宋体"/>
          <w:color w:val="auto"/>
          <w:sz w:val="21"/>
          <w:szCs w:val="21"/>
          <w:highlight w:val="none"/>
          <w:u w:val="single"/>
          <w:lang w:val="en-US" w:eastAsia="zh-CN"/>
        </w:rPr>
        <w:fldChar w:fldCharType="end"/>
      </w:r>
      <w:r>
        <w:rPr>
          <w:rFonts w:hint="eastAsia" w:ascii="宋体" w:hAnsi="宋体" w:eastAsia="宋体" w:cs="宋体"/>
          <w:color w:val="auto"/>
          <w:sz w:val="21"/>
          <w:szCs w:val="21"/>
          <w:highlight w:val="none"/>
          <w:u w:val="single"/>
          <w:lang w:val="en-US" w:eastAsia="zh-CN"/>
        </w:rPr>
        <w:t xml:space="preserve">合格之日起15日内   </w:t>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rPr>
        <w:t>。</w:t>
      </w:r>
    </w:p>
    <w:p w14:paraId="08F5BD6E">
      <w:pPr>
        <w:keepNext w:val="0"/>
        <w:keepLines w:val="0"/>
        <w:pageBreakBefore w:val="0"/>
        <w:widowControl w:val="0"/>
        <w:suppressLineNumbers w:val="0"/>
        <w:kinsoku/>
        <w:wordWrap/>
        <w:overflowPunct/>
        <w:topLinePunct w:val="0"/>
        <w:bidi w:val="0"/>
        <w:spacing w:before="0" w:beforeAutospacing="0" w:afterAutospacing="0" w:line="360" w:lineRule="auto"/>
        <w:ind w:left="480" w:leftChars="0" w:right="0" w:firstLine="0" w:firstLineChars="0"/>
        <w:jc w:val="both"/>
        <w:textAlignment w:val="auto"/>
        <w:outlineLvl w:val="9"/>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承包人提交的竣工资料形式要求：</w:t>
      </w:r>
      <w:r>
        <w:rPr>
          <w:rFonts w:hint="eastAsia" w:ascii="宋体" w:hAnsi="宋体" w:eastAsia="宋体" w:cs="宋体"/>
          <w:color w:val="auto"/>
          <w:sz w:val="21"/>
          <w:szCs w:val="21"/>
          <w:highlight w:val="none"/>
          <w:u w:val="single"/>
          <w:lang w:val="en-US" w:eastAsia="zh-CN"/>
        </w:rPr>
        <w:t>纸质版装订成册，电子版为U盘拷贝</w:t>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rPr>
        <w:t>。</w:t>
      </w:r>
    </w:p>
    <w:p w14:paraId="2032F866">
      <w:pPr>
        <w:pStyle w:val="15"/>
        <w:keepNext w:val="0"/>
        <w:keepLines w:val="0"/>
        <w:pageBreakBefore w:val="0"/>
        <w:widowControl w:val="0"/>
        <w:numPr>
          <w:ilvl w:val="0"/>
          <w:numId w:val="10"/>
        </w:numPr>
        <w:tabs>
          <w:tab w:val="left" w:pos="1080"/>
        </w:tabs>
        <w:kinsoku/>
        <w:wordWrap/>
        <w:overflowPunct/>
        <w:topLinePunct w:val="0"/>
        <w:bidi w:val="0"/>
        <w:spacing w:after="0" w:line="360" w:lineRule="auto"/>
        <w:ind w:left="0" w:leftChars="0" w:firstLine="420" w:firstLineChars="200"/>
        <w:textAlignment w:val="auto"/>
        <w:outlineLvl w:val="9"/>
        <w:rPr>
          <w:rFonts w:hint="eastAsia" w:ascii="宋体" w:hAnsi="宋体" w:eastAsia="宋体" w:cs="宋体"/>
          <w:b w:val="0"/>
          <w:color w:val="auto"/>
          <w:sz w:val="21"/>
          <w:szCs w:val="21"/>
          <w:highlight w:val="none"/>
        </w:rPr>
      </w:pPr>
      <w:r>
        <w:rPr>
          <w:rFonts w:hint="eastAsia" w:ascii="宋体" w:hAnsi="宋体" w:eastAsia="宋体" w:cs="宋体"/>
          <w:color w:val="auto"/>
          <w:sz w:val="21"/>
          <w:szCs w:val="21"/>
          <w:highlight w:val="none"/>
        </w:rPr>
        <w:t>承包人应履行的其他义务：</w:t>
      </w:r>
    </w:p>
    <w:p w14:paraId="09218397">
      <w:pPr>
        <w:pStyle w:val="15"/>
        <w:keepNext w:val="0"/>
        <w:keepLines w:val="0"/>
        <w:pageBreakBefore w:val="0"/>
        <w:widowControl w:val="0"/>
        <w:kinsoku/>
        <w:wordWrap/>
        <w:overflowPunct/>
        <w:topLinePunct w:val="0"/>
        <w:bidi w:val="0"/>
        <w:spacing w:after="0" w:line="360" w:lineRule="auto"/>
        <w:ind w:left="0" w:leftChars="0" w:firstLine="420" w:firstLineChars="200"/>
        <w:textAlignment w:val="auto"/>
        <w:outlineLvl w:val="9"/>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进场施工前，必须办理完所有由施工单位办理的相关报批手续，费用承包人负责；服从发包人、监理公司、造价公司的各项管理规定；</w:t>
      </w:r>
    </w:p>
    <w:p w14:paraId="187CD092">
      <w:pPr>
        <w:pStyle w:val="15"/>
        <w:keepNext w:val="0"/>
        <w:keepLines w:val="0"/>
        <w:pageBreakBefore w:val="0"/>
        <w:widowControl w:val="0"/>
        <w:kinsoku/>
        <w:wordWrap/>
        <w:overflowPunct/>
        <w:topLinePunct w:val="0"/>
        <w:bidi w:val="0"/>
        <w:spacing w:after="0" w:line="360" w:lineRule="auto"/>
        <w:ind w:left="0" w:leftChars="0" w:firstLine="420" w:firstLineChars="200"/>
        <w:textAlignment w:val="auto"/>
        <w:outlineLvl w:val="9"/>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建设项目如接受审计部门审计，承包人应积极配合并无条件接受审计。工程所有款项的支付必须严格按照发包人、财政、银行的资金管理审批办法及流程执行。</w:t>
      </w:r>
    </w:p>
    <w:p w14:paraId="5F0561D8">
      <w:pPr>
        <w:keepNext w:val="0"/>
        <w:keepLines w:val="0"/>
        <w:pageBreakBefore w:val="0"/>
        <w:widowControl w:val="0"/>
        <w:kinsoku/>
        <w:wordWrap/>
        <w:overflowPunct/>
        <w:topLinePunct w:val="0"/>
        <w:bidi w:val="0"/>
        <w:spacing w:line="360" w:lineRule="auto"/>
        <w:ind w:firstLine="411" w:firstLineChars="196"/>
        <w:textAlignment w:val="auto"/>
        <w:outlineLvl w:val="9"/>
        <w:rPr>
          <w:rFonts w:hint="eastAsia" w:ascii="宋体" w:hAnsi="宋体" w:eastAsia="宋体" w:cs="宋体"/>
          <w:b/>
          <w:bCs/>
          <w:color w:val="auto"/>
          <w:sz w:val="21"/>
          <w:szCs w:val="21"/>
          <w:highlight w:val="none"/>
          <w:u w:val="single"/>
        </w:rPr>
      </w:pPr>
      <w:r>
        <w:rPr>
          <w:rFonts w:hint="eastAsia" w:ascii="宋体" w:hAnsi="宋体" w:eastAsia="宋体" w:cs="宋体"/>
          <w:color w:val="auto"/>
          <w:kern w:val="2"/>
          <w:sz w:val="21"/>
          <w:szCs w:val="21"/>
          <w:highlight w:val="none"/>
          <w:lang w:val="en-US" w:eastAsia="zh-CN" w:bidi="ar-SA"/>
        </w:rPr>
        <w:t>本工程涉及的由承包人缴纳的各种费用、保险、各项保证金，承包人应按相关文件规定及时缴纳。</w:t>
      </w:r>
    </w:p>
    <w:p w14:paraId="5D02DD88">
      <w:pPr>
        <w:pStyle w:val="15"/>
        <w:keepNext w:val="0"/>
        <w:keepLines w:val="0"/>
        <w:pageBreakBefore w:val="0"/>
        <w:widowControl w:val="0"/>
        <w:kinsoku/>
        <w:wordWrap/>
        <w:overflowPunct/>
        <w:topLinePunct w:val="0"/>
        <w:bidi w:val="0"/>
        <w:spacing w:after="0" w:line="360" w:lineRule="auto"/>
        <w:ind w:left="0" w:leftChars="0" w:firstLine="420" w:firstLineChars="200"/>
        <w:textAlignment w:val="auto"/>
        <w:outlineLvl w:val="9"/>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由于承包人未按要求及时提交相关资料而影响发包人办理相关建设程序手续的，将进行1000元/次的</w:t>
      </w:r>
      <w:r>
        <w:rPr>
          <w:rFonts w:hint="eastAsia" w:ascii="宋体" w:hAnsi="宋体" w:eastAsia="宋体" w:cs="宋体"/>
          <w:color w:val="auto"/>
          <w:sz w:val="21"/>
          <w:szCs w:val="21"/>
          <w:highlight w:val="none"/>
          <w:lang w:eastAsia="zh-CN"/>
        </w:rPr>
        <w:t>违约金从工程款内扣除</w:t>
      </w:r>
      <w:r>
        <w:rPr>
          <w:rFonts w:hint="eastAsia" w:ascii="宋体" w:hAnsi="宋体" w:eastAsia="宋体" w:cs="宋体"/>
          <w:color w:val="auto"/>
          <w:sz w:val="21"/>
          <w:szCs w:val="21"/>
          <w:highlight w:val="none"/>
        </w:rPr>
        <w:t>。</w:t>
      </w:r>
    </w:p>
    <w:p w14:paraId="750B2D75">
      <w:pPr>
        <w:pStyle w:val="15"/>
        <w:keepNext w:val="0"/>
        <w:keepLines w:val="0"/>
        <w:pageBreakBefore w:val="0"/>
        <w:widowControl w:val="0"/>
        <w:kinsoku/>
        <w:wordWrap/>
        <w:overflowPunct/>
        <w:topLinePunct w:val="0"/>
        <w:bidi w:val="0"/>
        <w:spacing w:after="0" w:line="360" w:lineRule="auto"/>
        <w:ind w:left="0" w:leftChars="0" w:firstLine="420" w:firstLineChars="200"/>
        <w:textAlignment w:val="auto"/>
        <w:outlineLvl w:val="9"/>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本工程在施工过程中由承包人报送的一切经济文件，均应由发包人、监理人、造价审计人、承包人签字盖章，否则无效。</w:t>
      </w:r>
    </w:p>
    <w:p w14:paraId="6585B4CC">
      <w:pPr>
        <w:pStyle w:val="15"/>
        <w:keepNext w:val="0"/>
        <w:keepLines w:val="0"/>
        <w:pageBreakBefore w:val="0"/>
        <w:widowControl w:val="0"/>
        <w:numPr>
          <w:ilvl w:val="0"/>
          <w:numId w:val="10"/>
        </w:numPr>
        <w:tabs>
          <w:tab w:val="left" w:pos="1080"/>
        </w:tabs>
        <w:kinsoku/>
        <w:wordWrap/>
        <w:overflowPunct/>
        <w:topLinePunct w:val="0"/>
        <w:bidi w:val="0"/>
        <w:spacing w:after="0" w:line="360" w:lineRule="auto"/>
        <w:ind w:left="0" w:leftChars="0" w:firstLine="420" w:firstLineChars="200"/>
        <w:textAlignment w:val="auto"/>
        <w:outlineLvl w:val="9"/>
        <w:rPr>
          <w:rFonts w:hint="eastAsia" w:ascii="宋体" w:hAnsi="宋体" w:eastAsia="宋体" w:cs="宋体"/>
          <w:b w:val="0"/>
          <w:color w:val="auto"/>
          <w:sz w:val="21"/>
          <w:szCs w:val="21"/>
          <w:highlight w:val="none"/>
        </w:rPr>
      </w:pPr>
      <w:r>
        <w:rPr>
          <w:rFonts w:hint="eastAsia" w:ascii="宋体" w:hAnsi="宋体" w:eastAsia="宋体" w:cs="宋体"/>
          <w:color w:val="auto"/>
          <w:sz w:val="21"/>
          <w:szCs w:val="21"/>
          <w:highlight w:val="none"/>
        </w:rPr>
        <w:t>承担施工安全保卫工作及夜间施工照明的责任。</w:t>
      </w:r>
    </w:p>
    <w:p w14:paraId="1CE1642D">
      <w:pPr>
        <w:pStyle w:val="15"/>
        <w:keepNext w:val="0"/>
        <w:keepLines w:val="0"/>
        <w:pageBreakBefore w:val="0"/>
        <w:widowControl w:val="0"/>
        <w:numPr>
          <w:ilvl w:val="0"/>
          <w:numId w:val="10"/>
        </w:numPr>
        <w:tabs>
          <w:tab w:val="left" w:pos="1080"/>
        </w:tabs>
        <w:kinsoku/>
        <w:wordWrap/>
        <w:overflowPunct/>
        <w:topLinePunct w:val="0"/>
        <w:bidi w:val="0"/>
        <w:spacing w:after="0" w:line="360" w:lineRule="auto"/>
        <w:ind w:left="0" w:leftChars="0" w:firstLine="420" w:firstLineChars="200"/>
        <w:textAlignment w:val="auto"/>
        <w:outlineLvl w:val="9"/>
        <w:rPr>
          <w:rFonts w:hint="eastAsia" w:ascii="宋体" w:hAnsi="宋体" w:eastAsia="宋体" w:cs="宋体"/>
          <w:b w:val="0"/>
          <w:color w:val="auto"/>
          <w:sz w:val="21"/>
          <w:szCs w:val="21"/>
          <w:highlight w:val="none"/>
        </w:rPr>
      </w:pPr>
      <w:r>
        <w:rPr>
          <w:rFonts w:hint="eastAsia" w:ascii="宋体" w:hAnsi="宋体" w:eastAsia="宋体" w:cs="宋体"/>
          <w:color w:val="auto"/>
          <w:sz w:val="21"/>
          <w:szCs w:val="21"/>
          <w:highlight w:val="none"/>
        </w:rPr>
        <w:t>施工场地周围地下管线和临近建筑物、构筑物、古树名木的保护要求及费用承担：承包人应根据现场情况及发包人提供的信息和资料自行调查、了解施工场地周围地下管线、建筑物、构筑物的保护项目和数量以及相应保护费用，并自行计入相应的投标报价中。承包人保护不力而发生事故，责任及经济损失由承包人承担，工期不予顺延；发现城市地下管线数据未做记录的，承包人应及时报告发包人现场代表或监理工程师；承包人必须承担施工期间对地下既有管线保护的责任和义务。在机械开挖作业前，对施工影响范围采取人工探挖、物探措施后，方可进行机械作业。否则承包人承担既有管线破坏的责任和损失；</w:t>
      </w:r>
    </w:p>
    <w:p w14:paraId="21FFDD70">
      <w:pPr>
        <w:pStyle w:val="15"/>
        <w:keepNext w:val="0"/>
        <w:keepLines w:val="0"/>
        <w:pageBreakBefore w:val="0"/>
        <w:widowControl w:val="0"/>
        <w:numPr>
          <w:ilvl w:val="0"/>
          <w:numId w:val="10"/>
        </w:numPr>
        <w:tabs>
          <w:tab w:val="left" w:pos="1080"/>
        </w:tabs>
        <w:kinsoku/>
        <w:wordWrap/>
        <w:overflowPunct/>
        <w:topLinePunct w:val="0"/>
        <w:bidi w:val="0"/>
        <w:spacing w:after="0" w:line="360" w:lineRule="auto"/>
        <w:ind w:left="0" w:leftChars="0" w:firstLine="420" w:firstLineChars="200"/>
        <w:textAlignment w:val="auto"/>
        <w:outlineLvl w:val="9"/>
        <w:rPr>
          <w:rFonts w:hint="eastAsia" w:ascii="宋体" w:hAnsi="宋体" w:eastAsia="宋体" w:cs="宋体"/>
          <w:b w:val="0"/>
          <w:color w:val="auto"/>
          <w:sz w:val="21"/>
          <w:szCs w:val="21"/>
          <w:highlight w:val="none"/>
        </w:rPr>
      </w:pPr>
      <w:r>
        <w:rPr>
          <w:rFonts w:hint="eastAsia" w:ascii="宋体" w:hAnsi="宋体" w:cs="宋体"/>
          <w:color w:val="auto"/>
          <w:sz w:val="21"/>
          <w:szCs w:val="21"/>
          <w:highlight w:val="none"/>
          <w:lang w:eastAsia="zh-CN"/>
        </w:rPr>
        <w:t>响应文件</w:t>
      </w:r>
      <w:r>
        <w:rPr>
          <w:rFonts w:hint="eastAsia" w:ascii="宋体" w:hAnsi="宋体" w:eastAsia="宋体" w:cs="宋体"/>
          <w:color w:val="auto"/>
          <w:sz w:val="21"/>
          <w:szCs w:val="21"/>
          <w:highlight w:val="none"/>
        </w:rPr>
        <w:t>中承诺配备的主要机械设备，按工程进度及工程需要陆续到位，未按进度及需要到位的机械设备按市场折价向发包人支付违约金。</w:t>
      </w:r>
    </w:p>
    <w:p w14:paraId="347C904B">
      <w:pPr>
        <w:pStyle w:val="15"/>
        <w:keepNext w:val="0"/>
        <w:keepLines w:val="0"/>
        <w:pageBreakBefore w:val="0"/>
        <w:widowControl w:val="0"/>
        <w:numPr>
          <w:ilvl w:val="0"/>
          <w:numId w:val="10"/>
        </w:numPr>
        <w:tabs>
          <w:tab w:val="left" w:pos="1080"/>
        </w:tabs>
        <w:kinsoku/>
        <w:wordWrap/>
        <w:overflowPunct/>
        <w:topLinePunct w:val="0"/>
        <w:bidi w:val="0"/>
        <w:spacing w:after="0" w:line="360" w:lineRule="auto"/>
        <w:ind w:left="0" w:leftChars="0" w:firstLine="420" w:firstLineChars="200"/>
        <w:textAlignment w:val="auto"/>
        <w:outlineLvl w:val="9"/>
        <w:rPr>
          <w:rFonts w:hint="eastAsia" w:ascii="宋体" w:hAnsi="宋体" w:eastAsia="宋体" w:cs="宋体"/>
          <w:b w:val="0"/>
          <w:color w:val="auto"/>
          <w:sz w:val="21"/>
          <w:szCs w:val="21"/>
          <w:highlight w:val="none"/>
        </w:rPr>
      </w:pPr>
      <w:r>
        <w:rPr>
          <w:rFonts w:hint="eastAsia" w:ascii="宋体" w:hAnsi="宋体" w:eastAsia="宋体" w:cs="宋体"/>
          <w:color w:val="auto"/>
          <w:sz w:val="21"/>
          <w:szCs w:val="21"/>
          <w:highlight w:val="none"/>
        </w:rPr>
        <w:t>承包人负责各综合管线进度计划协调，合理安排进退场时间；负责为各专业管线施工提供方便；负责为各个专业的施工提供线位、高程控制点；负责综合管线线位、井位高程轴线的复核；负责综合管线竣工图的实测与绘制。</w:t>
      </w:r>
    </w:p>
    <w:p w14:paraId="544A4B76">
      <w:pPr>
        <w:pStyle w:val="15"/>
        <w:keepNext w:val="0"/>
        <w:keepLines w:val="0"/>
        <w:pageBreakBefore w:val="0"/>
        <w:widowControl w:val="0"/>
        <w:numPr>
          <w:ilvl w:val="0"/>
          <w:numId w:val="10"/>
        </w:numPr>
        <w:tabs>
          <w:tab w:val="left" w:pos="1080"/>
        </w:tabs>
        <w:kinsoku/>
        <w:wordWrap/>
        <w:overflowPunct/>
        <w:topLinePunct w:val="0"/>
        <w:bidi w:val="0"/>
        <w:spacing w:after="0" w:line="360" w:lineRule="auto"/>
        <w:ind w:left="0" w:leftChars="0" w:firstLine="420" w:firstLineChars="200"/>
        <w:textAlignment w:val="auto"/>
        <w:outlineLvl w:val="9"/>
        <w:rPr>
          <w:rFonts w:hint="eastAsia" w:ascii="宋体" w:hAnsi="宋体" w:eastAsia="宋体" w:cs="宋体"/>
          <w:b w:val="0"/>
          <w:color w:val="auto"/>
          <w:sz w:val="21"/>
          <w:szCs w:val="21"/>
          <w:highlight w:val="none"/>
        </w:rPr>
      </w:pPr>
      <w:r>
        <w:rPr>
          <w:rFonts w:hint="eastAsia" w:ascii="宋体" w:hAnsi="宋体" w:eastAsia="宋体" w:cs="宋体"/>
          <w:color w:val="auto"/>
          <w:sz w:val="21"/>
          <w:szCs w:val="21"/>
          <w:highlight w:val="none"/>
        </w:rPr>
        <w:t>施工企业按照有关标准规定，对建筑以及材料、构件和建筑安装物进行一般鉴定、检查所发生的检验试验费、和管线测量</w:t>
      </w:r>
      <w:r>
        <w:rPr>
          <w:rFonts w:hint="eastAsia" w:ascii="宋体" w:hAnsi="宋体" w:cs="宋体"/>
          <w:color w:val="auto"/>
          <w:sz w:val="21"/>
          <w:szCs w:val="21"/>
          <w:highlight w:val="none"/>
          <w:lang w:eastAsia="zh-CN"/>
        </w:rPr>
        <w:t>费用</w:t>
      </w:r>
      <w:r>
        <w:rPr>
          <w:rFonts w:hint="eastAsia" w:ascii="宋体" w:hAnsi="宋体" w:eastAsia="宋体" w:cs="宋体"/>
          <w:color w:val="auto"/>
          <w:sz w:val="21"/>
          <w:szCs w:val="21"/>
          <w:highlight w:val="none"/>
        </w:rPr>
        <w:t>由承包人承担；</w:t>
      </w:r>
    </w:p>
    <w:p w14:paraId="74CF7EAA">
      <w:pPr>
        <w:pStyle w:val="15"/>
        <w:keepNext w:val="0"/>
        <w:keepLines w:val="0"/>
        <w:pageBreakBefore w:val="0"/>
        <w:widowControl w:val="0"/>
        <w:numPr>
          <w:ilvl w:val="0"/>
          <w:numId w:val="10"/>
        </w:numPr>
        <w:tabs>
          <w:tab w:val="left" w:pos="1080"/>
        </w:tabs>
        <w:kinsoku/>
        <w:wordWrap/>
        <w:overflowPunct/>
        <w:topLinePunct w:val="0"/>
        <w:bidi w:val="0"/>
        <w:spacing w:after="0" w:line="360" w:lineRule="auto"/>
        <w:ind w:left="0" w:leftChars="0" w:firstLine="420" w:firstLineChars="200"/>
        <w:textAlignment w:val="auto"/>
        <w:outlineLvl w:val="9"/>
        <w:rPr>
          <w:rFonts w:hint="eastAsia" w:ascii="宋体" w:hAnsi="宋体" w:eastAsia="宋体" w:cs="宋体"/>
          <w:b w:val="0"/>
          <w:color w:val="auto"/>
          <w:sz w:val="21"/>
          <w:szCs w:val="21"/>
          <w:highlight w:val="none"/>
        </w:rPr>
      </w:pPr>
      <w:r>
        <w:rPr>
          <w:rFonts w:hint="eastAsia" w:ascii="宋体" w:hAnsi="宋体" w:eastAsia="宋体" w:cs="宋体"/>
          <w:color w:val="auto"/>
          <w:sz w:val="21"/>
          <w:szCs w:val="21"/>
          <w:highlight w:val="none"/>
        </w:rPr>
        <w:t>承包人必须自行处理协调好与周边居民、社区、单位和其他参建单位的关系，确保工程顺利完成。因相邻关系所发生的一切后果均由自行承包人承担，因此对现场施工造成的影响，不计窝工误工损失，工期不予顺延。</w:t>
      </w:r>
    </w:p>
    <w:p w14:paraId="28BAC551">
      <w:pPr>
        <w:pStyle w:val="15"/>
        <w:keepNext w:val="0"/>
        <w:keepLines w:val="0"/>
        <w:pageBreakBefore w:val="0"/>
        <w:widowControl w:val="0"/>
        <w:numPr>
          <w:ilvl w:val="0"/>
          <w:numId w:val="10"/>
        </w:numPr>
        <w:tabs>
          <w:tab w:val="left" w:pos="1080"/>
        </w:tabs>
        <w:kinsoku/>
        <w:wordWrap/>
        <w:overflowPunct/>
        <w:topLinePunct w:val="0"/>
        <w:bidi w:val="0"/>
        <w:spacing w:after="0" w:line="360" w:lineRule="auto"/>
        <w:ind w:left="0" w:leftChars="0" w:firstLine="420" w:firstLineChars="200"/>
        <w:textAlignment w:val="auto"/>
        <w:outlineLvl w:val="9"/>
        <w:rPr>
          <w:rFonts w:hint="eastAsia" w:ascii="宋体" w:hAnsi="宋体" w:eastAsia="宋体" w:cs="宋体"/>
          <w:b w:val="0"/>
          <w:color w:val="auto"/>
          <w:sz w:val="21"/>
          <w:szCs w:val="21"/>
          <w:highlight w:val="none"/>
        </w:rPr>
      </w:pPr>
      <w:r>
        <w:rPr>
          <w:rFonts w:hint="eastAsia" w:ascii="宋体" w:hAnsi="宋体" w:eastAsia="宋体" w:cs="宋体"/>
          <w:color w:val="auto"/>
          <w:sz w:val="21"/>
          <w:szCs w:val="21"/>
          <w:highlight w:val="none"/>
        </w:rPr>
        <w:t>承包人有义务协助发包人办理</w:t>
      </w:r>
      <w:r>
        <w:rPr>
          <w:rFonts w:hint="eastAsia" w:ascii="宋体" w:hAnsi="宋体" w:cs="宋体"/>
          <w:color w:val="auto"/>
          <w:sz w:val="21"/>
          <w:szCs w:val="21"/>
          <w:highlight w:val="none"/>
          <w:lang w:eastAsia="zh-CN"/>
        </w:rPr>
        <w:t>水电</w:t>
      </w:r>
      <w:r>
        <w:rPr>
          <w:rFonts w:hint="eastAsia" w:ascii="宋体" w:hAnsi="宋体" w:eastAsia="宋体" w:cs="宋体"/>
          <w:color w:val="auto"/>
          <w:sz w:val="21"/>
          <w:szCs w:val="21"/>
          <w:highlight w:val="none"/>
        </w:rPr>
        <w:t>、防雷、消防、规划、房产测绘、人防、市政、景观绿化、环保、电力、给排水等专业验收并提供各种基础数据和各种资料。</w:t>
      </w:r>
    </w:p>
    <w:p w14:paraId="213423FE">
      <w:pPr>
        <w:pStyle w:val="15"/>
        <w:keepNext w:val="0"/>
        <w:keepLines w:val="0"/>
        <w:pageBreakBefore w:val="0"/>
        <w:widowControl w:val="0"/>
        <w:numPr>
          <w:ilvl w:val="0"/>
          <w:numId w:val="10"/>
        </w:numPr>
        <w:tabs>
          <w:tab w:val="left" w:pos="1080"/>
        </w:tabs>
        <w:kinsoku/>
        <w:wordWrap/>
        <w:overflowPunct/>
        <w:topLinePunct w:val="0"/>
        <w:bidi w:val="0"/>
        <w:spacing w:after="0" w:line="360" w:lineRule="auto"/>
        <w:ind w:left="0" w:leftChars="0" w:firstLine="420" w:firstLineChars="200"/>
        <w:textAlignment w:val="auto"/>
        <w:outlineLvl w:val="9"/>
        <w:rPr>
          <w:rFonts w:hint="eastAsia" w:ascii="宋体" w:hAnsi="宋体" w:eastAsia="宋体" w:cs="宋体"/>
          <w:b w:val="0"/>
          <w:color w:val="auto"/>
          <w:sz w:val="21"/>
          <w:szCs w:val="21"/>
          <w:highlight w:val="none"/>
        </w:rPr>
      </w:pPr>
      <w:r>
        <w:rPr>
          <w:rFonts w:hint="eastAsia" w:ascii="宋体" w:hAnsi="宋体" w:eastAsia="宋体" w:cs="宋体"/>
          <w:color w:val="auto"/>
          <w:sz w:val="21"/>
          <w:szCs w:val="21"/>
          <w:highlight w:val="none"/>
        </w:rPr>
        <w:t>安全生产责任</w:t>
      </w:r>
    </w:p>
    <w:p w14:paraId="15AA0F17">
      <w:pPr>
        <w:pStyle w:val="15"/>
        <w:keepNext w:val="0"/>
        <w:keepLines w:val="0"/>
        <w:pageBreakBefore w:val="0"/>
        <w:widowControl w:val="0"/>
        <w:kinsoku/>
        <w:wordWrap/>
        <w:overflowPunct/>
        <w:topLinePunct w:val="0"/>
        <w:bidi w:val="0"/>
        <w:spacing w:after="0" w:line="360" w:lineRule="auto"/>
        <w:ind w:left="0" w:leftChars="0" w:firstLine="420" w:firstLineChars="200"/>
        <w:textAlignment w:val="auto"/>
        <w:outlineLvl w:val="9"/>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承包人负责该工程的施工，为安全生产责任主体，发包人与监理人为安全生产监督单位。承包人应严格遵守国家有关安全生产的法律法规以及建设行政主管部门等职能部门颁发的有关安全生产规定等，建立健全安全生产责任制度，认真执行建设工程施工合同中有关安全生产的约定。</w:t>
      </w:r>
    </w:p>
    <w:p w14:paraId="52BA0C5C">
      <w:pPr>
        <w:pStyle w:val="15"/>
        <w:keepNext w:val="0"/>
        <w:keepLines w:val="0"/>
        <w:pageBreakBefore w:val="0"/>
        <w:widowControl w:val="0"/>
        <w:kinsoku/>
        <w:wordWrap/>
        <w:overflowPunct/>
        <w:topLinePunct w:val="0"/>
        <w:bidi w:val="0"/>
        <w:spacing w:after="0" w:line="360" w:lineRule="auto"/>
        <w:ind w:left="0" w:leftChars="0" w:firstLine="420" w:firstLineChars="200"/>
        <w:textAlignment w:val="auto"/>
        <w:outlineLvl w:val="9"/>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承包人应按安全生产法律法规及建设工程施工合同的约定履行安全职责，接受政府安全监督部门和发包人的检查与监督，以及监理人的安全管理。</w:t>
      </w:r>
    </w:p>
    <w:p w14:paraId="471D6EFE">
      <w:pPr>
        <w:pStyle w:val="15"/>
        <w:keepNext w:val="0"/>
        <w:keepLines w:val="0"/>
        <w:pageBreakBefore w:val="0"/>
        <w:widowControl w:val="0"/>
        <w:kinsoku/>
        <w:wordWrap/>
        <w:overflowPunct/>
        <w:topLinePunct w:val="0"/>
        <w:bidi w:val="0"/>
        <w:spacing w:after="0" w:line="360" w:lineRule="auto"/>
        <w:ind w:left="0" w:leftChars="0" w:firstLine="420" w:firstLineChars="200"/>
        <w:textAlignment w:val="auto"/>
        <w:outlineLvl w:val="9"/>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承包人对施工现场自由工作人员及工人的工伤事故承担全部责任。经权威机构认定属于他方原因造成施工场地工作人员工伤的，由他方承担责任。</w:t>
      </w:r>
    </w:p>
    <w:p w14:paraId="318B2FC2">
      <w:pPr>
        <w:pStyle w:val="15"/>
        <w:keepNext w:val="0"/>
        <w:keepLines w:val="0"/>
        <w:pageBreakBefore w:val="0"/>
        <w:widowControl w:val="0"/>
        <w:kinsoku/>
        <w:wordWrap/>
        <w:overflowPunct/>
        <w:topLinePunct w:val="0"/>
        <w:bidi w:val="0"/>
        <w:spacing w:after="0" w:line="360" w:lineRule="auto"/>
        <w:ind w:left="0" w:leftChars="0" w:firstLine="420" w:firstLineChars="200"/>
        <w:textAlignment w:val="auto"/>
        <w:outlineLvl w:val="9"/>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承包人造成施工场地及其毗邻区域第三者人身伤亡和财产损失的，应负全部责任承担相应赔偿。</w:t>
      </w:r>
    </w:p>
    <w:p w14:paraId="18CAA8E5">
      <w:pPr>
        <w:keepNext w:val="0"/>
        <w:keepLines w:val="0"/>
        <w:pageBreakBefore w:val="0"/>
        <w:widowControl w:val="0"/>
        <w:numPr>
          <w:ilvl w:val="0"/>
          <w:numId w:val="9"/>
        </w:numPr>
        <w:tabs>
          <w:tab w:val="left" w:pos="1020"/>
          <w:tab w:val="clear" w:pos="210"/>
        </w:tabs>
        <w:kinsoku/>
        <w:wordWrap/>
        <w:overflowPunct/>
        <w:topLinePunct w:val="0"/>
        <w:bidi w:val="0"/>
        <w:spacing w:line="360" w:lineRule="auto"/>
        <w:ind w:left="0" w:leftChars="0" w:firstLine="420" w:firstLineChars="200"/>
        <w:textAlignment w:val="auto"/>
        <w:outlineLvl w:val="9"/>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项目经理</w:t>
      </w:r>
    </w:p>
    <w:p w14:paraId="63837E32">
      <w:pPr>
        <w:pStyle w:val="15"/>
        <w:keepNext w:val="0"/>
        <w:keepLines w:val="0"/>
        <w:pageBreakBefore w:val="0"/>
        <w:widowControl w:val="0"/>
        <w:numPr>
          <w:ilvl w:val="0"/>
          <w:numId w:val="11"/>
        </w:numPr>
        <w:tabs>
          <w:tab w:val="left" w:pos="1080"/>
          <w:tab w:val="clear" w:pos="210"/>
        </w:tabs>
        <w:kinsoku/>
        <w:wordWrap/>
        <w:overflowPunct/>
        <w:topLinePunct w:val="0"/>
        <w:bidi w:val="0"/>
        <w:spacing w:after="0" w:line="360" w:lineRule="auto"/>
        <w:ind w:left="0" w:leftChars="0" w:firstLine="420" w:firstLineChars="200"/>
        <w:textAlignment w:val="auto"/>
        <w:outlineLvl w:val="9"/>
        <w:rPr>
          <w:rFonts w:hint="eastAsia" w:ascii="宋体" w:hAnsi="宋体" w:eastAsia="宋体" w:cs="宋体"/>
          <w:b w:val="0"/>
          <w:color w:val="auto"/>
          <w:sz w:val="21"/>
          <w:szCs w:val="21"/>
          <w:highlight w:val="none"/>
        </w:rPr>
      </w:pPr>
      <w:r>
        <w:rPr>
          <w:rFonts w:hint="eastAsia" w:ascii="宋体" w:hAnsi="宋体" w:eastAsia="宋体" w:cs="宋体"/>
          <w:color w:val="auto"/>
          <w:sz w:val="21"/>
          <w:szCs w:val="21"/>
          <w:highlight w:val="none"/>
        </w:rPr>
        <w:t>项目经理：</w:t>
      </w:r>
    </w:p>
    <w:p w14:paraId="69EC32CD">
      <w:pPr>
        <w:pStyle w:val="15"/>
        <w:keepNext w:val="0"/>
        <w:keepLines w:val="0"/>
        <w:pageBreakBefore w:val="0"/>
        <w:widowControl w:val="0"/>
        <w:kinsoku/>
        <w:wordWrap/>
        <w:overflowPunct/>
        <w:topLinePunct w:val="0"/>
        <w:bidi w:val="0"/>
        <w:spacing w:after="0" w:line="360" w:lineRule="auto"/>
        <w:ind w:left="0" w:leftChars="0" w:firstLine="420" w:firstLineChars="200"/>
        <w:textAlignment w:val="auto"/>
        <w:outlineLvl w:val="9"/>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姓    名：</w:t>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u w:val="single"/>
          <w:lang w:val="en-US" w:eastAsia="zh-CN"/>
        </w:rPr>
        <w:t xml:space="preserve"> </w:t>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rPr>
        <w:t>；</w:t>
      </w:r>
    </w:p>
    <w:p w14:paraId="625E6DAA">
      <w:pPr>
        <w:pStyle w:val="15"/>
        <w:keepNext w:val="0"/>
        <w:keepLines w:val="0"/>
        <w:pageBreakBefore w:val="0"/>
        <w:widowControl w:val="0"/>
        <w:kinsoku/>
        <w:wordWrap/>
        <w:overflowPunct/>
        <w:topLinePunct w:val="0"/>
        <w:bidi w:val="0"/>
        <w:spacing w:after="0" w:line="360" w:lineRule="auto"/>
        <w:ind w:left="0" w:leftChars="0" w:firstLine="420" w:firstLineChars="200"/>
        <w:textAlignment w:val="auto"/>
        <w:outlineLvl w:val="9"/>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身份证号：</w:t>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u w:val="single"/>
          <w:lang w:val="en-US" w:eastAsia="zh-CN"/>
        </w:rPr>
        <w:t xml:space="preserve">            </w:t>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rPr>
        <w:t>；</w:t>
      </w:r>
    </w:p>
    <w:p w14:paraId="0C1E87B1">
      <w:pPr>
        <w:pStyle w:val="15"/>
        <w:keepNext w:val="0"/>
        <w:keepLines w:val="0"/>
        <w:pageBreakBefore w:val="0"/>
        <w:widowControl w:val="0"/>
        <w:kinsoku/>
        <w:wordWrap/>
        <w:overflowPunct/>
        <w:topLinePunct w:val="0"/>
        <w:bidi w:val="0"/>
        <w:spacing w:after="0" w:line="360" w:lineRule="auto"/>
        <w:ind w:left="0" w:leftChars="0" w:firstLine="420" w:firstLineChars="200"/>
        <w:textAlignment w:val="auto"/>
        <w:outlineLvl w:val="9"/>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建造师执业资格等级：</w:t>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u w:val="single"/>
          <w:lang w:val="en-US" w:eastAsia="zh-CN"/>
        </w:rPr>
        <w:t xml:space="preserve">          </w:t>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rPr>
        <w:t>；</w:t>
      </w:r>
    </w:p>
    <w:p w14:paraId="7D786A33">
      <w:pPr>
        <w:pStyle w:val="15"/>
        <w:keepNext w:val="0"/>
        <w:keepLines w:val="0"/>
        <w:pageBreakBefore w:val="0"/>
        <w:widowControl w:val="0"/>
        <w:kinsoku/>
        <w:wordWrap/>
        <w:overflowPunct/>
        <w:topLinePunct w:val="0"/>
        <w:bidi w:val="0"/>
        <w:spacing w:after="0" w:line="360" w:lineRule="auto"/>
        <w:ind w:left="0" w:leftChars="0" w:firstLine="420" w:firstLineChars="200"/>
        <w:textAlignment w:val="auto"/>
        <w:outlineLvl w:val="9"/>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建造师注册证书号：</w:t>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u w:val="single"/>
          <w:lang w:val="en-US" w:eastAsia="zh-CN"/>
        </w:rPr>
        <w:t xml:space="preserve">          </w:t>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rPr>
        <w:t>；</w:t>
      </w:r>
    </w:p>
    <w:p w14:paraId="1A903461">
      <w:pPr>
        <w:pStyle w:val="15"/>
        <w:keepNext w:val="0"/>
        <w:keepLines w:val="0"/>
        <w:pageBreakBefore w:val="0"/>
        <w:widowControl w:val="0"/>
        <w:kinsoku/>
        <w:wordWrap/>
        <w:overflowPunct/>
        <w:topLinePunct w:val="0"/>
        <w:bidi w:val="0"/>
        <w:spacing w:after="0" w:line="360" w:lineRule="auto"/>
        <w:ind w:left="0" w:leftChars="0" w:firstLine="420" w:firstLineChars="200"/>
        <w:textAlignment w:val="auto"/>
        <w:outlineLvl w:val="9"/>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建造师执业印章号：</w:t>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u w:val="single"/>
          <w:lang w:val="en-US" w:eastAsia="zh-CN"/>
        </w:rPr>
        <w:t xml:space="preserve">          </w:t>
      </w:r>
      <w:r>
        <w:rPr>
          <w:rFonts w:hint="eastAsia" w:ascii="宋体" w:hAnsi="宋体" w:eastAsia="宋体" w:cs="宋体"/>
          <w:color w:val="auto"/>
          <w:sz w:val="21"/>
          <w:szCs w:val="21"/>
          <w:highlight w:val="none"/>
        </w:rPr>
        <w:t>；</w:t>
      </w:r>
    </w:p>
    <w:p w14:paraId="481863A4">
      <w:pPr>
        <w:pStyle w:val="15"/>
        <w:keepNext w:val="0"/>
        <w:keepLines w:val="0"/>
        <w:pageBreakBefore w:val="0"/>
        <w:widowControl w:val="0"/>
        <w:kinsoku/>
        <w:wordWrap/>
        <w:overflowPunct/>
        <w:topLinePunct w:val="0"/>
        <w:bidi w:val="0"/>
        <w:spacing w:after="0" w:line="360" w:lineRule="auto"/>
        <w:ind w:left="0" w:leftChars="0" w:firstLine="420" w:firstLineChars="200"/>
        <w:textAlignment w:val="auto"/>
        <w:outlineLvl w:val="9"/>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安全生产考核合格证书号：</w:t>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u w:val="single"/>
          <w:lang w:val="en-US" w:eastAsia="zh-CN"/>
        </w:rPr>
        <w:t xml:space="preserve">          </w:t>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rPr>
        <w:t>；</w:t>
      </w:r>
    </w:p>
    <w:p w14:paraId="7920AF93">
      <w:pPr>
        <w:pStyle w:val="15"/>
        <w:keepNext w:val="0"/>
        <w:keepLines w:val="0"/>
        <w:pageBreakBefore w:val="0"/>
        <w:widowControl w:val="0"/>
        <w:kinsoku/>
        <w:wordWrap/>
        <w:overflowPunct/>
        <w:topLinePunct w:val="0"/>
        <w:bidi w:val="0"/>
        <w:spacing w:after="0" w:line="360" w:lineRule="auto"/>
        <w:ind w:left="0" w:leftChars="0" w:firstLine="420" w:firstLineChars="200"/>
        <w:textAlignment w:val="auto"/>
        <w:outlineLvl w:val="9"/>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联系电话：</w:t>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u w:val="single"/>
          <w:lang w:val="en-US" w:eastAsia="zh-CN"/>
        </w:rPr>
        <w:t xml:space="preserve"> </w:t>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u w:val="single"/>
          <w:lang w:val="en-US" w:eastAsia="zh-CN"/>
        </w:rPr>
        <w:t xml:space="preserve">          </w:t>
      </w:r>
      <w:r>
        <w:rPr>
          <w:rFonts w:hint="eastAsia" w:ascii="宋体" w:hAnsi="宋体" w:eastAsia="宋体" w:cs="宋体"/>
          <w:color w:val="auto"/>
          <w:sz w:val="21"/>
          <w:szCs w:val="21"/>
          <w:highlight w:val="none"/>
        </w:rPr>
        <w:t>；</w:t>
      </w:r>
    </w:p>
    <w:p w14:paraId="3C4D33AC">
      <w:pPr>
        <w:pStyle w:val="15"/>
        <w:keepNext w:val="0"/>
        <w:keepLines w:val="0"/>
        <w:pageBreakBefore w:val="0"/>
        <w:widowControl w:val="0"/>
        <w:kinsoku/>
        <w:wordWrap/>
        <w:overflowPunct/>
        <w:topLinePunct w:val="0"/>
        <w:bidi w:val="0"/>
        <w:spacing w:after="0" w:line="360" w:lineRule="auto"/>
        <w:ind w:left="0" w:leftChars="0" w:firstLine="420" w:firstLineChars="200"/>
        <w:textAlignment w:val="auto"/>
        <w:outlineLvl w:val="9"/>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电子信箱：</w:t>
      </w:r>
      <w:r>
        <w:rPr>
          <w:rFonts w:hint="eastAsia" w:ascii="宋体" w:hAnsi="宋体" w:eastAsia="宋体" w:cs="宋体"/>
          <w:color w:val="auto"/>
          <w:sz w:val="21"/>
          <w:szCs w:val="21"/>
          <w:highlight w:val="none"/>
          <w:u w:val="single"/>
          <w:lang w:val="en-US" w:eastAsia="zh-CN"/>
        </w:rPr>
        <w:t xml:space="preserve">   </w:t>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u w:val="single"/>
          <w:lang w:val="en-US" w:eastAsia="zh-CN"/>
        </w:rPr>
        <w:t xml:space="preserve">          </w:t>
      </w:r>
      <w:r>
        <w:rPr>
          <w:rFonts w:hint="eastAsia" w:ascii="宋体" w:hAnsi="宋体" w:eastAsia="宋体" w:cs="宋体"/>
          <w:color w:val="auto"/>
          <w:sz w:val="21"/>
          <w:szCs w:val="21"/>
          <w:highlight w:val="none"/>
        </w:rPr>
        <w:t>；</w:t>
      </w:r>
    </w:p>
    <w:p w14:paraId="6A10D308">
      <w:pPr>
        <w:pStyle w:val="15"/>
        <w:keepNext w:val="0"/>
        <w:keepLines w:val="0"/>
        <w:pageBreakBefore w:val="0"/>
        <w:widowControl w:val="0"/>
        <w:kinsoku/>
        <w:wordWrap/>
        <w:overflowPunct/>
        <w:topLinePunct w:val="0"/>
        <w:bidi w:val="0"/>
        <w:spacing w:after="0" w:line="360" w:lineRule="auto"/>
        <w:ind w:left="0" w:leftChars="0" w:firstLine="420" w:firstLineChars="200"/>
        <w:textAlignment w:val="auto"/>
        <w:outlineLvl w:val="9"/>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通信地址：</w:t>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u w:val="single"/>
          <w:lang w:val="en-US" w:eastAsia="zh-CN"/>
        </w:rPr>
        <w:t xml:space="preserve">          </w:t>
      </w:r>
      <w:r>
        <w:rPr>
          <w:rFonts w:hint="eastAsia" w:ascii="宋体" w:hAnsi="宋体" w:eastAsia="宋体" w:cs="宋体"/>
          <w:color w:val="auto"/>
          <w:sz w:val="21"/>
          <w:szCs w:val="21"/>
          <w:highlight w:val="none"/>
        </w:rPr>
        <w:t>；</w:t>
      </w:r>
    </w:p>
    <w:p w14:paraId="71403049">
      <w:pPr>
        <w:pStyle w:val="15"/>
        <w:keepNext w:val="0"/>
        <w:keepLines w:val="0"/>
        <w:pageBreakBefore w:val="0"/>
        <w:widowControl w:val="0"/>
        <w:kinsoku/>
        <w:wordWrap/>
        <w:overflowPunct/>
        <w:topLinePunct w:val="0"/>
        <w:bidi w:val="0"/>
        <w:spacing w:after="0" w:line="360" w:lineRule="auto"/>
        <w:ind w:left="0" w:leftChars="0" w:firstLine="420" w:firstLineChars="200"/>
        <w:textAlignment w:val="auto"/>
        <w:outlineLvl w:val="9"/>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承包人对项目经理的授权范围如下：</w:t>
      </w:r>
      <w:r>
        <w:rPr>
          <w:rFonts w:hint="eastAsia" w:ascii="宋体" w:hAnsi="宋体" w:eastAsia="宋体" w:cs="宋体"/>
          <w:color w:val="auto"/>
          <w:sz w:val="21"/>
          <w:szCs w:val="21"/>
          <w:highlight w:val="none"/>
          <w:u w:val="single"/>
        </w:rPr>
        <w:t>代表承包人负责履行合同。</w:t>
      </w:r>
    </w:p>
    <w:p w14:paraId="52A8470E">
      <w:pPr>
        <w:keepNext w:val="0"/>
        <w:keepLines w:val="0"/>
        <w:pageBreakBefore w:val="0"/>
        <w:widowControl w:val="0"/>
        <w:kinsoku/>
        <w:wordWrap/>
        <w:overflowPunct/>
        <w:topLinePunct w:val="0"/>
        <w:bidi w:val="0"/>
        <w:spacing w:line="360" w:lineRule="auto"/>
        <w:ind w:firstLine="411" w:firstLineChars="196"/>
        <w:textAlignment w:val="auto"/>
        <w:outlineLvl w:val="9"/>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rPr>
        <w:t>关于项目经理每月在施工现场的时间要求：项目经理根据工程进度需要安排出勤，每月有效出勤天数不得少于25天</w:t>
      </w:r>
      <w:r>
        <w:rPr>
          <w:rFonts w:hint="eastAsia" w:ascii="宋体" w:hAnsi="宋体" w:eastAsia="宋体" w:cs="宋体"/>
          <w:color w:val="auto"/>
          <w:sz w:val="21"/>
          <w:szCs w:val="21"/>
          <w:highlight w:val="none"/>
          <w:lang w:eastAsia="zh-CN"/>
        </w:rPr>
        <w:t>，</w:t>
      </w:r>
      <w:r>
        <w:rPr>
          <w:rFonts w:hint="eastAsia" w:ascii="宋体" w:hAnsi="宋体" w:eastAsia="宋体" w:cs="宋体"/>
          <w:color w:val="auto"/>
          <w:sz w:val="21"/>
          <w:szCs w:val="21"/>
          <w:highlight w:val="none"/>
        </w:rPr>
        <w:t>违反规定者，缺勤违约金为</w:t>
      </w:r>
      <w:r>
        <w:rPr>
          <w:rFonts w:hint="eastAsia" w:ascii="宋体" w:hAnsi="宋体" w:eastAsia="宋体" w:cs="宋体"/>
          <w:color w:val="auto"/>
          <w:sz w:val="21"/>
          <w:szCs w:val="21"/>
          <w:highlight w:val="none"/>
          <w:lang w:val="en-US" w:eastAsia="zh-CN"/>
        </w:rPr>
        <w:t>10</w:t>
      </w:r>
      <w:r>
        <w:rPr>
          <w:rFonts w:hint="eastAsia" w:ascii="宋体" w:hAnsi="宋体" w:eastAsia="宋体" w:cs="宋体"/>
          <w:color w:val="auto"/>
          <w:sz w:val="21"/>
          <w:szCs w:val="21"/>
          <w:highlight w:val="none"/>
        </w:rPr>
        <w:t>00元/人·天</w:t>
      </w:r>
      <w:r>
        <w:rPr>
          <w:rFonts w:hint="eastAsia" w:ascii="宋体" w:hAnsi="宋体" w:eastAsia="宋体" w:cs="宋体"/>
          <w:color w:val="auto"/>
          <w:sz w:val="21"/>
          <w:szCs w:val="21"/>
          <w:highlight w:val="none"/>
          <w:lang w:eastAsia="zh-CN"/>
        </w:rPr>
        <w:t>。</w:t>
      </w:r>
    </w:p>
    <w:p w14:paraId="16E86394">
      <w:pPr>
        <w:pStyle w:val="15"/>
        <w:keepNext w:val="0"/>
        <w:keepLines w:val="0"/>
        <w:pageBreakBefore w:val="0"/>
        <w:widowControl w:val="0"/>
        <w:kinsoku/>
        <w:wordWrap/>
        <w:overflowPunct/>
        <w:topLinePunct w:val="0"/>
        <w:bidi w:val="0"/>
        <w:spacing w:after="0" w:line="360" w:lineRule="auto"/>
        <w:ind w:left="0" w:leftChars="0" w:firstLine="420" w:firstLineChars="200"/>
        <w:textAlignment w:val="auto"/>
        <w:outlineLvl w:val="9"/>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承包人未提交劳动合同，以及没有为项目经理缴纳社会保险证明的违约责任：项目经理无权履行职责，发包人有权要求更换项目经理，由此增加的费用和（或）延误的工期由承包人承担。</w:t>
      </w:r>
    </w:p>
    <w:p w14:paraId="7EF4DA3D">
      <w:pPr>
        <w:pStyle w:val="15"/>
        <w:keepNext w:val="0"/>
        <w:keepLines w:val="0"/>
        <w:pageBreakBefore w:val="0"/>
        <w:widowControl w:val="0"/>
        <w:kinsoku/>
        <w:wordWrap/>
        <w:overflowPunct/>
        <w:topLinePunct w:val="0"/>
        <w:bidi w:val="0"/>
        <w:spacing w:after="0" w:line="360" w:lineRule="auto"/>
        <w:ind w:left="0" w:leftChars="0" w:firstLine="420" w:firstLineChars="200"/>
        <w:textAlignment w:val="auto"/>
        <w:outlineLvl w:val="9"/>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项目经理未经批准，擅自离开施工现场的违约责任：项目经理确需离开施工现场时，应事先向监理人和发包人书面请假，并取得发包人代表的书面同意。违反规定者，缺勤一天</w:t>
      </w:r>
      <w:r>
        <w:rPr>
          <w:rFonts w:hint="eastAsia" w:ascii="宋体" w:hAnsi="宋体" w:eastAsia="宋体" w:cs="宋体"/>
          <w:color w:val="auto"/>
          <w:sz w:val="21"/>
          <w:szCs w:val="21"/>
          <w:highlight w:val="none"/>
          <w:lang w:eastAsia="zh-CN"/>
        </w:rPr>
        <w:t>将按</w:t>
      </w:r>
      <w:r>
        <w:rPr>
          <w:rFonts w:hint="eastAsia" w:ascii="宋体" w:hAnsi="宋体" w:eastAsia="宋体" w:cs="宋体"/>
          <w:color w:val="auto"/>
          <w:sz w:val="21"/>
          <w:szCs w:val="21"/>
          <w:highlight w:val="none"/>
        </w:rPr>
        <w:t>1000元/人·天</w:t>
      </w:r>
      <w:r>
        <w:rPr>
          <w:rFonts w:hint="eastAsia" w:ascii="宋体" w:hAnsi="宋体" w:eastAsia="宋体" w:cs="宋体"/>
          <w:color w:val="auto"/>
          <w:sz w:val="21"/>
          <w:szCs w:val="21"/>
          <w:highlight w:val="none"/>
          <w:lang w:eastAsia="zh-CN"/>
        </w:rPr>
        <w:t>的违约金从工程款内扣除</w:t>
      </w:r>
      <w:r>
        <w:rPr>
          <w:rFonts w:hint="eastAsia" w:ascii="宋体" w:hAnsi="宋体" w:eastAsia="宋体" w:cs="宋体"/>
          <w:color w:val="auto"/>
          <w:sz w:val="21"/>
          <w:szCs w:val="21"/>
          <w:highlight w:val="none"/>
        </w:rPr>
        <w:t>。</w:t>
      </w:r>
    </w:p>
    <w:p w14:paraId="694C6F11">
      <w:pPr>
        <w:pStyle w:val="15"/>
        <w:keepNext w:val="0"/>
        <w:keepLines w:val="0"/>
        <w:pageBreakBefore w:val="0"/>
        <w:widowControl w:val="0"/>
        <w:numPr>
          <w:ilvl w:val="0"/>
          <w:numId w:val="11"/>
        </w:numPr>
        <w:tabs>
          <w:tab w:val="left" w:pos="1080"/>
          <w:tab w:val="clear" w:pos="210"/>
        </w:tabs>
        <w:kinsoku/>
        <w:wordWrap/>
        <w:overflowPunct/>
        <w:topLinePunct w:val="0"/>
        <w:bidi w:val="0"/>
        <w:spacing w:after="0" w:line="360" w:lineRule="auto"/>
        <w:ind w:left="0" w:leftChars="0" w:firstLine="420" w:firstLineChars="200"/>
        <w:textAlignment w:val="auto"/>
        <w:outlineLvl w:val="9"/>
        <w:rPr>
          <w:rFonts w:hint="eastAsia" w:ascii="宋体" w:hAnsi="宋体" w:eastAsia="宋体" w:cs="宋体"/>
          <w:b w:val="0"/>
          <w:color w:val="auto"/>
          <w:sz w:val="21"/>
          <w:szCs w:val="21"/>
          <w:highlight w:val="none"/>
        </w:rPr>
      </w:pPr>
      <w:r>
        <w:rPr>
          <w:rFonts w:hint="eastAsia" w:ascii="宋体" w:hAnsi="宋体" w:eastAsia="宋体" w:cs="宋体"/>
          <w:color w:val="auto"/>
          <w:sz w:val="21"/>
          <w:szCs w:val="21"/>
          <w:highlight w:val="none"/>
        </w:rPr>
        <w:t>承包人擅自更换项目经理的违约责任：未经发包人书面同意，承包人不得擅自更换项目经理。承包人擅自更换项目经理的，视为违约，违约金为1</w:t>
      </w:r>
      <w:r>
        <w:rPr>
          <w:rFonts w:hint="eastAsia" w:ascii="宋体" w:hAnsi="宋体" w:cs="宋体"/>
          <w:color w:val="auto"/>
          <w:sz w:val="21"/>
          <w:szCs w:val="21"/>
          <w:highlight w:val="none"/>
          <w:lang w:val="en-US" w:eastAsia="zh-CN"/>
        </w:rPr>
        <w:t>0000.00元</w:t>
      </w:r>
      <w:r>
        <w:rPr>
          <w:rFonts w:hint="eastAsia" w:ascii="宋体" w:hAnsi="宋体" w:eastAsia="宋体" w:cs="宋体"/>
          <w:color w:val="auto"/>
          <w:sz w:val="21"/>
          <w:szCs w:val="21"/>
          <w:highlight w:val="none"/>
        </w:rPr>
        <w:t>，从当月工程进度款中扣除。</w:t>
      </w:r>
    </w:p>
    <w:p w14:paraId="29BDD3FE">
      <w:pPr>
        <w:pStyle w:val="15"/>
        <w:keepNext w:val="0"/>
        <w:keepLines w:val="0"/>
        <w:pageBreakBefore w:val="0"/>
        <w:widowControl w:val="0"/>
        <w:numPr>
          <w:ilvl w:val="0"/>
          <w:numId w:val="11"/>
        </w:numPr>
        <w:tabs>
          <w:tab w:val="left" w:pos="1080"/>
          <w:tab w:val="clear" w:pos="210"/>
        </w:tabs>
        <w:kinsoku/>
        <w:wordWrap/>
        <w:overflowPunct/>
        <w:topLinePunct w:val="0"/>
        <w:bidi w:val="0"/>
        <w:spacing w:after="0" w:line="360" w:lineRule="auto"/>
        <w:ind w:left="0" w:leftChars="0" w:firstLine="420" w:firstLineChars="200"/>
        <w:textAlignment w:val="auto"/>
        <w:outlineLvl w:val="9"/>
        <w:rPr>
          <w:rFonts w:hint="eastAsia" w:ascii="宋体" w:hAnsi="宋体" w:eastAsia="宋体" w:cs="宋体"/>
          <w:b w:val="0"/>
          <w:color w:val="auto"/>
          <w:sz w:val="21"/>
          <w:szCs w:val="21"/>
          <w:highlight w:val="none"/>
        </w:rPr>
      </w:pPr>
      <w:r>
        <w:rPr>
          <w:rFonts w:hint="eastAsia" w:ascii="宋体" w:hAnsi="宋体" w:eastAsia="宋体" w:cs="宋体"/>
          <w:color w:val="auto"/>
          <w:sz w:val="21"/>
          <w:szCs w:val="21"/>
          <w:highlight w:val="none"/>
        </w:rPr>
        <w:t>承包人无正当理由拒绝更换项目经理的违约责任：发包人有权书面通知承包人更换其认为不称职的项目经理。承包人应在接到更换通知七日内将新任命的项目经理的注册执业资格、工作简历、法人授权书、质量</w:t>
      </w:r>
      <w:r>
        <w:rPr>
          <w:rFonts w:hint="eastAsia" w:ascii="宋体" w:hAnsi="宋体" w:cs="宋体"/>
          <w:color w:val="auto"/>
          <w:sz w:val="21"/>
          <w:szCs w:val="21"/>
          <w:highlight w:val="none"/>
          <w:lang w:eastAsia="zh-CN"/>
        </w:rPr>
        <w:t>承诺书</w:t>
      </w:r>
      <w:r>
        <w:rPr>
          <w:rFonts w:hint="eastAsia" w:ascii="宋体" w:hAnsi="宋体" w:eastAsia="宋体" w:cs="宋体"/>
          <w:color w:val="auto"/>
          <w:sz w:val="21"/>
          <w:szCs w:val="21"/>
          <w:highlight w:val="none"/>
        </w:rPr>
        <w:t>等书面资料通知发包人。继任项目经理继续履行前任项目经理的职责。承包人无正当理由拒绝更换项目经理的，视为违约，违约金为5万元，从当月工程进度款中扣除，并且发包人有权单方面终止合同。</w:t>
      </w:r>
    </w:p>
    <w:p w14:paraId="19BBACCD">
      <w:pPr>
        <w:pStyle w:val="15"/>
        <w:keepNext w:val="0"/>
        <w:keepLines w:val="0"/>
        <w:pageBreakBefore w:val="0"/>
        <w:widowControl w:val="0"/>
        <w:kinsoku/>
        <w:wordWrap/>
        <w:overflowPunct/>
        <w:topLinePunct w:val="0"/>
        <w:bidi w:val="0"/>
        <w:spacing w:after="0" w:line="360" w:lineRule="auto"/>
        <w:ind w:left="0" w:leftChars="0" w:firstLine="420" w:firstLineChars="200"/>
        <w:textAlignment w:val="auto"/>
        <w:outlineLvl w:val="9"/>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撤换承包人项目经理和其他人员：</w:t>
      </w:r>
    </w:p>
    <w:p w14:paraId="45B00AA1">
      <w:pPr>
        <w:pStyle w:val="15"/>
        <w:keepNext w:val="0"/>
        <w:keepLines w:val="0"/>
        <w:pageBreakBefore w:val="0"/>
        <w:widowControl w:val="0"/>
        <w:kinsoku/>
        <w:wordWrap/>
        <w:overflowPunct/>
        <w:topLinePunct w:val="0"/>
        <w:bidi w:val="0"/>
        <w:spacing w:after="0" w:line="360" w:lineRule="auto"/>
        <w:ind w:left="0" w:leftChars="0" w:firstLine="420" w:firstLineChars="200"/>
        <w:textAlignment w:val="auto"/>
        <w:outlineLvl w:val="9"/>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承包人必须按</w:t>
      </w:r>
      <w:r>
        <w:rPr>
          <w:rFonts w:hint="eastAsia" w:ascii="宋体" w:hAnsi="宋体" w:cs="宋体"/>
          <w:color w:val="auto"/>
          <w:sz w:val="21"/>
          <w:szCs w:val="21"/>
          <w:highlight w:val="none"/>
          <w:lang w:eastAsia="zh-CN"/>
        </w:rPr>
        <w:t>响应文件</w:t>
      </w:r>
      <w:r>
        <w:rPr>
          <w:rFonts w:hint="eastAsia" w:ascii="宋体" w:hAnsi="宋体" w:eastAsia="宋体" w:cs="宋体"/>
          <w:color w:val="auto"/>
          <w:sz w:val="21"/>
          <w:szCs w:val="21"/>
          <w:highlight w:val="none"/>
        </w:rPr>
        <w:t>所列的项目经理、技术负责人和其他技术管理骨干（年龄均不得超过55周岁）及时到岗到位，常驻现场不得更换，否则视为违约。违约金按附件《施工单位履约承诺书》 规定支付。更换各专业施工负责人，处以1000元/人违约金。如需更换，须经发包人书面同意后才可更换，且更换后人员资历不得低于投标时人员资历，经发包人同意更换项目负责人、施工项目经理、施工技术负责人的，承包方仍需承担1万元/人次的违约金；</w:t>
      </w:r>
    </w:p>
    <w:p w14:paraId="13640939">
      <w:pPr>
        <w:pStyle w:val="15"/>
        <w:keepNext w:val="0"/>
        <w:keepLines w:val="0"/>
        <w:pageBreakBefore w:val="0"/>
        <w:widowControl w:val="0"/>
        <w:kinsoku/>
        <w:wordWrap/>
        <w:overflowPunct/>
        <w:topLinePunct w:val="0"/>
        <w:bidi w:val="0"/>
        <w:spacing w:after="0" w:line="360" w:lineRule="auto"/>
        <w:ind w:left="0" w:leftChars="0" w:firstLine="420" w:firstLineChars="200"/>
        <w:textAlignment w:val="auto"/>
        <w:outlineLvl w:val="9"/>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施工过程中，发包人或有关主管部门发现承包人的项目经理、技术负责人和其他技术管理骨干等现场管理人员有重大失误或不能胜任工作，有权要求承包人予以更换。承包人应无条件接受，且按上述约定承担违约责任。</w:t>
      </w:r>
    </w:p>
    <w:p w14:paraId="4085F682">
      <w:pPr>
        <w:keepNext w:val="0"/>
        <w:keepLines w:val="0"/>
        <w:pageBreakBefore w:val="0"/>
        <w:widowControl w:val="0"/>
        <w:numPr>
          <w:ilvl w:val="0"/>
          <w:numId w:val="9"/>
        </w:numPr>
        <w:tabs>
          <w:tab w:val="left" w:pos="1020"/>
          <w:tab w:val="clear" w:pos="210"/>
        </w:tabs>
        <w:kinsoku/>
        <w:wordWrap/>
        <w:overflowPunct/>
        <w:topLinePunct w:val="0"/>
        <w:bidi w:val="0"/>
        <w:spacing w:line="360" w:lineRule="auto"/>
        <w:ind w:left="0" w:leftChars="0" w:firstLine="420" w:firstLineChars="200"/>
        <w:textAlignment w:val="auto"/>
        <w:outlineLvl w:val="9"/>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承包人人员</w:t>
      </w:r>
    </w:p>
    <w:p w14:paraId="64F6D908">
      <w:pPr>
        <w:pStyle w:val="15"/>
        <w:keepNext w:val="0"/>
        <w:keepLines w:val="0"/>
        <w:pageBreakBefore w:val="0"/>
        <w:widowControl w:val="0"/>
        <w:numPr>
          <w:ilvl w:val="0"/>
          <w:numId w:val="12"/>
        </w:numPr>
        <w:tabs>
          <w:tab w:val="left" w:pos="1080"/>
          <w:tab w:val="clear" w:pos="210"/>
        </w:tabs>
        <w:kinsoku/>
        <w:wordWrap/>
        <w:overflowPunct/>
        <w:topLinePunct w:val="0"/>
        <w:bidi w:val="0"/>
        <w:spacing w:after="0" w:line="360" w:lineRule="auto"/>
        <w:ind w:left="0" w:leftChars="0" w:firstLine="420" w:firstLineChars="200"/>
        <w:textAlignment w:val="auto"/>
        <w:outlineLvl w:val="9"/>
        <w:rPr>
          <w:rFonts w:hint="eastAsia" w:ascii="宋体" w:hAnsi="宋体" w:eastAsia="宋体" w:cs="宋体"/>
          <w:b w:val="0"/>
          <w:color w:val="auto"/>
          <w:sz w:val="21"/>
          <w:szCs w:val="21"/>
          <w:highlight w:val="none"/>
        </w:rPr>
      </w:pPr>
      <w:r>
        <w:rPr>
          <w:rFonts w:hint="eastAsia" w:ascii="宋体" w:hAnsi="宋体" w:eastAsia="宋体" w:cs="宋体"/>
          <w:color w:val="auto"/>
          <w:sz w:val="21"/>
          <w:szCs w:val="21"/>
          <w:highlight w:val="none"/>
        </w:rPr>
        <w:t>承包人提交项目管理机构及施工现场管理人员安排报告的期限：开工前七日内提交并且将涉及本项目的主要人员（项目经理、技术负责人、施工员、质量员、安全员）的证件（原件）需交押于发包人工程管理部，待工程竣工验收后退还。承包人提交的项目管理机构及人员必须与</w:t>
      </w:r>
      <w:r>
        <w:rPr>
          <w:rFonts w:hint="eastAsia" w:ascii="宋体" w:hAnsi="宋体" w:cs="宋体"/>
          <w:color w:val="auto"/>
          <w:sz w:val="21"/>
          <w:szCs w:val="21"/>
          <w:highlight w:val="none"/>
          <w:lang w:eastAsia="zh-CN"/>
        </w:rPr>
        <w:t>响应文件</w:t>
      </w:r>
      <w:r>
        <w:rPr>
          <w:rFonts w:hint="eastAsia" w:ascii="宋体" w:hAnsi="宋体" w:eastAsia="宋体" w:cs="宋体"/>
          <w:color w:val="auto"/>
          <w:sz w:val="21"/>
          <w:szCs w:val="21"/>
          <w:highlight w:val="none"/>
        </w:rPr>
        <w:t>一致。开工前提供经发包人审定的人员附表到发包人基建管理与维修中心备案。</w:t>
      </w:r>
    </w:p>
    <w:p w14:paraId="52ABB5A9">
      <w:pPr>
        <w:pStyle w:val="15"/>
        <w:keepNext w:val="0"/>
        <w:keepLines w:val="0"/>
        <w:pageBreakBefore w:val="0"/>
        <w:widowControl w:val="0"/>
        <w:numPr>
          <w:ilvl w:val="0"/>
          <w:numId w:val="12"/>
        </w:numPr>
        <w:tabs>
          <w:tab w:val="left" w:pos="1080"/>
          <w:tab w:val="clear" w:pos="210"/>
        </w:tabs>
        <w:kinsoku/>
        <w:wordWrap/>
        <w:overflowPunct/>
        <w:topLinePunct w:val="0"/>
        <w:bidi w:val="0"/>
        <w:spacing w:after="0" w:line="360" w:lineRule="auto"/>
        <w:ind w:left="0" w:leftChars="0" w:firstLine="420" w:firstLineChars="200"/>
        <w:textAlignment w:val="auto"/>
        <w:outlineLvl w:val="9"/>
        <w:rPr>
          <w:rFonts w:hint="eastAsia" w:ascii="宋体" w:hAnsi="宋体" w:eastAsia="宋体" w:cs="宋体"/>
          <w:b w:val="0"/>
          <w:color w:val="auto"/>
          <w:sz w:val="21"/>
          <w:szCs w:val="21"/>
          <w:highlight w:val="none"/>
        </w:rPr>
      </w:pPr>
      <w:r>
        <w:rPr>
          <w:rFonts w:hint="eastAsia" w:ascii="宋体" w:hAnsi="宋体" w:eastAsia="宋体" w:cs="宋体"/>
          <w:color w:val="auto"/>
          <w:sz w:val="21"/>
          <w:szCs w:val="21"/>
          <w:highlight w:val="none"/>
        </w:rPr>
        <w:t>承包人无正当理由拒绝撤换主要施工管理人员的违约责任：承包人无正当理由拒绝更换施工管理人员的，视为违约，违约金为1000元/人.次，从发生当月工程进度款中扣除。</w:t>
      </w:r>
    </w:p>
    <w:p w14:paraId="01954E63">
      <w:pPr>
        <w:pStyle w:val="15"/>
        <w:keepNext w:val="0"/>
        <w:keepLines w:val="0"/>
        <w:pageBreakBefore w:val="0"/>
        <w:widowControl w:val="0"/>
        <w:numPr>
          <w:ilvl w:val="0"/>
          <w:numId w:val="12"/>
        </w:numPr>
        <w:tabs>
          <w:tab w:val="left" w:pos="1080"/>
          <w:tab w:val="clear" w:pos="210"/>
        </w:tabs>
        <w:kinsoku/>
        <w:wordWrap/>
        <w:overflowPunct/>
        <w:topLinePunct w:val="0"/>
        <w:bidi w:val="0"/>
        <w:spacing w:after="0" w:line="360" w:lineRule="auto"/>
        <w:ind w:left="0" w:leftChars="0" w:firstLine="420" w:firstLineChars="200"/>
        <w:textAlignment w:val="auto"/>
        <w:outlineLvl w:val="9"/>
        <w:rPr>
          <w:rFonts w:hint="eastAsia" w:ascii="宋体" w:hAnsi="宋体" w:eastAsia="宋体" w:cs="宋体"/>
          <w:b w:val="0"/>
          <w:color w:val="auto"/>
          <w:sz w:val="21"/>
          <w:szCs w:val="21"/>
          <w:highlight w:val="none"/>
        </w:rPr>
      </w:pPr>
      <w:r>
        <w:rPr>
          <w:rFonts w:hint="eastAsia" w:ascii="宋体" w:hAnsi="宋体" w:eastAsia="宋体" w:cs="宋体"/>
          <w:color w:val="auto"/>
          <w:sz w:val="21"/>
          <w:szCs w:val="21"/>
          <w:highlight w:val="none"/>
        </w:rPr>
        <w:t>承包人主要施工管理人员离开施工现场的批准要求：项目技术负责人确需离开施工现场时，应事先向监理人和发包人书面请假，并取得发包人代表的书面同意；其余按通用条款3.3.4执行。</w:t>
      </w:r>
    </w:p>
    <w:p w14:paraId="74FB4F3A">
      <w:pPr>
        <w:pStyle w:val="15"/>
        <w:keepNext w:val="0"/>
        <w:keepLines w:val="0"/>
        <w:pageBreakBefore w:val="0"/>
        <w:widowControl w:val="0"/>
        <w:numPr>
          <w:ilvl w:val="0"/>
          <w:numId w:val="12"/>
        </w:numPr>
        <w:tabs>
          <w:tab w:val="left" w:pos="1080"/>
          <w:tab w:val="clear" w:pos="210"/>
        </w:tabs>
        <w:kinsoku/>
        <w:wordWrap/>
        <w:overflowPunct/>
        <w:topLinePunct w:val="0"/>
        <w:bidi w:val="0"/>
        <w:spacing w:after="0" w:line="360" w:lineRule="auto"/>
        <w:ind w:left="0" w:leftChars="0" w:firstLine="420" w:firstLineChars="200"/>
        <w:textAlignment w:val="auto"/>
        <w:outlineLvl w:val="9"/>
        <w:rPr>
          <w:rFonts w:hint="eastAsia" w:ascii="宋体" w:hAnsi="宋体" w:eastAsia="宋体" w:cs="宋体"/>
          <w:b w:val="0"/>
          <w:color w:val="auto"/>
          <w:sz w:val="21"/>
          <w:szCs w:val="21"/>
          <w:highlight w:val="none"/>
        </w:rPr>
      </w:pPr>
      <w:r>
        <w:rPr>
          <w:rFonts w:hint="eastAsia" w:ascii="宋体" w:hAnsi="宋体" w:eastAsia="宋体" w:cs="宋体"/>
          <w:color w:val="auto"/>
          <w:sz w:val="21"/>
          <w:szCs w:val="21"/>
          <w:highlight w:val="none"/>
        </w:rPr>
        <w:t>承包人擅自更换主要施工管理人员的违约责任：经发包人审核通过的派驻现场的施工管理人员不得擅自更换，如发生人员变更应提前报监理及发包人审核同意，如擅自更改人员，</w:t>
      </w:r>
      <w:r>
        <w:rPr>
          <w:rFonts w:hint="eastAsia" w:ascii="宋体" w:hAnsi="宋体" w:eastAsia="宋体" w:cs="宋体"/>
          <w:color w:val="auto"/>
          <w:sz w:val="21"/>
          <w:szCs w:val="21"/>
          <w:highlight w:val="none"/>
          <w:lang w:eastAsia="zh-CN"/>
        </w:rPr>
        <w:t>将按</w:t>
      </w:r>
      <w:r>
        <w:rPr>
          <w:rFonts w:hint="eastAsia" w:ascii="宋体" w:hAnsi="宋体" w:eastAsia="宋体" w:cs="宋体"/>
          <w:color w:val="auto"/>
          <w:sz w:val="21"/>
          <w:szCs w:val="21"/>
          <w:highlight w:val="none"/>
        </w:rPr>
        <w:t>1000元/人.次</w:t>
      </w:r>
      <w:r>
        <w:rPr>
          <w:rFonts w:hint="eastAsia" w:ascii="宋体" w:hAnsi="宋体" w:eastAsia="宋体" w:cs="宋体"/>
          <w:color w:val="auto"/>
          <w:sz w:val="21"/>
          <w:szCs w:val="21"/>
          <w:highlight w:val="none"/>
          <w:lang w:eastAsia="zh-CN"/>
        </w:rPr>
        <w:t>的违约金从工程款内扣除</w:t>
      </w:r>
      <w:r>
        <w:rPr>
          <w:rFonts w:hint="eastAsia" w:ascii="宋体" w:hAnsi="宋体" w:eastAsia="宋体" w:cs="宋体"/>
          <w:color w:val="auto"/>
          <w:sz w:val="21"/>
          <w:szCs w:val="21"/>
          <w:highlight w:val="none"/>
        </w:rPr>
        <w:t>。</w:t>
      </w:r>
    </w:p>
    <w:p w14:paraId="68396120">
      <w:pPr>
        <w:pStyle w:val="15"/>
        <w:keepNext w:val="0"/>
        <w:keepLines w:val="0"/>
        <w:pageBreakBefore w:val="0"/>
        <w:widowControl w:val="0"/>
        <w:kinsoku/>
        <w:wordWrap/>
        <w:overflowPunct/>
        <w:topLinePunct w:val="0"/>
        <w:bidi w:val="0"/>
        <w:spacing w:after="0" w:line="360" w:lineRule="auto"/>
        <w:ind w:left="0" w:leftChars="0" w:firstLine="420" w:firstLineChars="200"/>
        <w:textAlignment w:val="auto"/>
        <w:outlineLvl w:val="9"/>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承包人主要施工管理人员擅自离开施工现场的违约责任：未经监理或者发包人同意擅自离开施工现场，视为违约，项目技术负责人缺勤一天处</w:t>
      </w:r>
      <w:r>
        <w:rPr>
          <w:rFonts w:hint="eastAsia" w:ascii="宋体" w:hAnsi="宋体" w:eastAsia="宋体" w:cs="宋体"/>
          <w:color w:val="auto"/>
          <w:sz w:val="21"/>
          <w:szCs w:val="21"/>
          <w:highlight w:val="none"/>
          <w:lang w:eastAsia="zh-CN"/>
        </w:rPr>
        <w:t>按</w:t>
      </w:r>
      <w:r>
        <w:rPr>
          <w:rFonts w:hint="eastAsia" w:ascii="宋体" w:hAnsi="宋体" w:eastAsia="宋体" w:cs="宋体"/>
          <w:color w:val="auto"/>
          <w:sz w:val="21"/>
          <w:szCs w:val="21"/>
          <w:highlight w:val="none"/>
        </w:rPr>
        <w:t>1000元/人·天</w:t>
      </w:r>
      <w:r>
        <w:rPr>
          <w:rFonts w:hint="eastAsia" w:ascii="宋体" w:hAnsi="宋体" w:eastAsia="宋体" w:cs="宋体"/>
          <w:color w:val="auto"/>
          <w:sz w:val="21"/>
          <w:szCs w:val="21"/>
          <w:highlight w:val="none"/>
          <w:lang w:eastAsia="zh-CN"/>
        </w:rPr>
        <w:t>的违约金扣除</w:t>
      </w:r>
      <w:r>
        <w:rPr>
          <w:rFonts w:hint="eastAsia" w:ascii="宋体" w:hAnsi="宋体" w:eastAsia="宋体" w:cs="宋体"/>
          <w:color w:val="auto"/>
          <w:sz w:val="21"/>
          <w:szCs w:val="21"/>
          <w:highlight w:val="none"/>
        </w:rPr>
        <w:t>；其余管理人员缺勤一天</w:t>
      </w:r>
      <w:r>
        <w:rPr>
          <w:rFonts w:hint="eastAsia" w:ascii="宋体" w:hAnsi="宋体" w:eastAsia="宋体" w:cs="宋体"/>
          <w:color w:val="auto"/>
          <w:sz w:val="21"/>
          <w:szCs w:val="21"/>
          <w:highlight w:val="none"/>
          <w:lang w:eastAsia="zh-CN"/>
        </w:rPr>
        <w:t>将按</w:t>
      </w:r>
      <w:r>
        <w:rPr>
          <w:rFonts w:hint="eastAsia" w:ascii="宋体" w:hAnsi="宋体" w:eastAsia="宋体" w:cs="宋体"/>
          <w:color w:val="auto"/>
          <w:sz w:val="21"/>
          <w:szCs w:val="21"/>
          <w:highlight w:val="none"/>
        </w:rPr>
        <w:t>500元/人·天</w:t>
      </w:r>
      <w:r>
        <w:rPr>
          <w:rFonts w:hint="eastAsia" w:ascii="宋体" w:hAnsi="宋体" w:eastAsia="宋体" w:cs="宋体"/>
          <w:color w:val="auto"/>
          <w:sz w:val="21"/>
          <w:szCs w:val="21"/>
          <w:highlight w:val="none"/>
          <w:lang w:eastAsia="zh-CN"/>
        </w:rPr>
        <w:t>的违约金扣除</w:t>
      </w:r>
      <w:r>
        <w:rPr>
          <w:rFonts w:hint="eastAsia" w:ascii="宋体" w:hAnsi="宋体" w:eastAsia="宋体" w:cs="宋体"/>
          <w:color w:val="auto"/>
          <w:sz w:val="21"/>
          <w:szCs w:val="21"/>
          <w:highlight w:val="none"/>
        </w:rPr>
        <w:t>；若因此造成的安全生产、质量事故的</w:t>
      </w:r>
      <w:r>
        <w:rPr>
          <w:rFonts w:hint="eastAsia" w:ascii="宋体" w:hAnsi="宋体" w:cs="宋体"/>
          <w:color w:val="auto"/>
          <w:sz w:val="21"/>
          <w:szCs w:val="21"/>
          <w:highlight w:val="none"/>
          <w:lang w:eastAsia="zh-CN"/>
        </w:rPr>
        <w:t>一</w:t>
      </w:r>
      <w:r>
        <w:rPr>
          <w:rFonts w:hint="eastAsia" w:ascii="宋体" w:hAnsi="宋体" w:eastAsia="宋体" w:cs="宋体"/>
          <w:color w:val="auto"/>
          <w:sz w:val="21"/>
          <w:szCs w:val="21"/>
          <w:highlight w:val="none"/>
        </w:rPr>
        <w:t>并承担相应责任。</w:t>
      </w:r>
    </w:p>
    <w:p w14:paraId="04553AC4">
      <w:pPr>
        <w:keepNext w:val="0"/>
        <w:keepLines w:val="0"/>
        <w:pageBreakBefore w:val="0"/>
        <w:widowControl w:val="0"/>
        <w:numPr>
          <w:ilvl w:val="0"/>
          <w:numId w:val="9"/>
        </w:numPr>
        <w:tabs>
          <w:tab w:val="left" w:pos="1020"/>
          <w:tab w:val="clear" w:pos="210"/>
        </w:tabs>
        <w:kinsoku/>
        <w:wordWrap/>
        <w:overflowPunct/>
        <w:topLinePunct w:val="0"/>
        <w:bidi w:val="0"/>
        <w:spacing w:line="360" w:lineRule="auto"/>
        <w:ind w:left="0" w:leftChars="0" w:firstLine="420" w:firstLineChars="200"/>
        <w:textAlignment w:val="auto"/>
        <w:outlineLvl w:val="9"/>
        <w:rPr>
          <w:rFonts w:hint="eastAsia" w:ascii="宋体" w:hAnsi="宋体" w:eastAsia="宋体" w:cs="宋体"/>
          <w:color w:val="auto"/>
          <w:sz w:val="21"/>
          <w:szCs w:val="21"/>
          <w:highlight w:val="none"/>
        </w:rPr>
      </w:pPr>
      <w:bookmarkStart w:id="324" w:name="_Toc296503159"/>
      <w:bookmarkStart w:id="325" w:name="_Toc297216151"/>
      <w:bookmarkStart w:id="326" w:name="_Toc296891199"/>
      <w:bookmarkStart w:id="327" w:name="_Toc303539102"/>
      <w:bookmarkStart w:id="328" w:name="_Toc296890987"/>
      <w:bookmarkStart w:id="329" w:name="_Toc297123492"/>
      <w:bookmarkStart w:id="330" w:name="_Toc292559364"/>
      <w:bookmarkStart w:id="331" w:name="_Toc300934945"/>
      <w:bookmarkStart w:id="332" w:name="_Toc292559869"/>
      <w:bookmarkStart w:id="333" w:name="_Toc296347158"/>
      <w:bookmarkStart w:id="334" w:name="_Toc296346660"/>
      <w:bookmarkStart w:id="335" w:name="_Toc312677988"/>
      <w:bookmarkStart w:id="336" w:name="_Toc296944498"/>
      <w:bookmarkStart w:id="337" w:name="_Toc297048345"/>
      <w:bookmarkStart w:id="338" w:name="_Toc297120459"/>
      <w:bookmarkStart w:id="339" w:name="_Toc304295523"/>
      <w:r>
        <w:rPr>
          <w:rFonts w:hint="eastAsia" w:ascii="宋体" w:hAnsi="宋体" w:eastAsia="宋体" w:cs="宋体"/>
          <w:color w:val="auto"/>
          <w:sz w:val="21"/>
          <w:szCs w:val="21"/>
          <w:highlight w:val="none"/>
        </w:rPr>
        <w:t>分包</w:t>
      </w:r>
    </w:p>
    <w:bookmarkEnd w:id="324"/>
    <w:bookmarkEnd w:id="325"/>
    <w:bookmarkEnd w:id="326"/>
    <w:bookmarkEnd w:id="327"/>
    <w:bookmarkEnd w:id="328"/>
    <w:bookmarkEnd w:id="329"/>
    <w:bookmarkEnd w:id="330"/>
    <w:bookmarkEnd w:id="331"/>
    <w:bookmarkEnd w:id="332"/>
    <w:bookmarkEnd w:id="333"/>
    <w:bookmarkEnd w:id="334"/>
    <w:bookmarkEnd w:id="335"/>
    <w:bookmarkEnd w:id="336"/>
    <w:bookmarkEnd w:id="337"/>
    <w:bookmarkEnd w:id="338"/>
    <w:bookmarkEnd w:id="339"/>
    <w:p w14:paraId="2B6F5962">
      <w:pPr>
        <w:keepNext w:val="0"/>
        <w:keepLines w:val="0"/>
        <w:pageBreakBefore w:val="0"/>
        <w:widowControl w:val="0"/>
        <w:numPr>
          <w:ilvl w:val="0"/>
          <w:numId w:val="0"/>
        </w:numPr>
        <w:tabs>
          <w:tab w:val="left" w:pos="1020"/>
        </w:tabs>
        <w:kinsoku/>
        <w:wordWrap/>
        <w:overflowPunct/>
        <w:topLinePunct w:val="0"/>
        <w:autoSpaceDE/>
        <w:autoSpaceDN/>
        <w:bidi w:val="0"/>
        <w:adjustRightInd/>
        <w:snapToGrid/>
        <w:spacing w:line="360" w:lineRule="auto"/>
        <w:ind w:leftChars="0" w:firstLine="420" w:firstLineChars="200"/>
        <w:textAlignment w:val="auto"/>
        <w:outlineLvl w:val="9"/>
        <w:rPr>
          <w:rFonts w:hint="eastAsia" w:ascii="宋体" w:hAnsi="宋体" w:eastAsia="宋体" w:cs="宋体"/>
          <w:b w:val="0"/>
          <w:bCs/>
          <w:color w:val="auto"/>
          <w:sz w:val="21"/>
          <w:szCs w:val="21"/>
          <w:highlight w:val="none"/>
        </w:rPr>
      </w:pPr>
      <w:r>
        <w:rPr>
          <w:rFonts w:hint="eastAsia" w:hAnsi="宋体" w:cs="宋体"/>
          <w:b w:val="0"/>
          <w:bCs/>
          <w:color w:val="auto"/>
          <w:kern w:val="0"/>
          <w:sz w:val="21"/>
          <w:szCs w:val="21"/>
          <w:lang w:val="en-US" w:eastAsia="zh-CN" w:bidi="en-US"/>
        </w:rPr>
        <w:t>供应商</w:t>
      </w:r>
      <w:r>
        <w:rPr>
          <w:rFonts w:hint="eastAsia" w:ascii="宋体" w:hAnsi="宋体" w:eastAsia="宋体" w:cs="宋体"/>
          <w:b w:val="0"/>
          <w:bCs/>
          <w:color w:val="auto"/>
          <w:kern w:val="0"/>
          <w:sz w:val="21"/>
          <w:szCs w:val="21"/>
          <w:lang w:bidi="en-US"/>
        </w:rPr>
        <w:t>在</w:t>
      </w:r>
      <w:r>
        <w:rPr>
          <w:rFonts w:hint="eastAsia" w:hAnsi="宋体" w:cs="宋体"/>
          <w:b w:val="0"/>
          <w:bCs/>
          <w:color w:val="auto"/>
          <w:kern w:val="0"/>
          <w:sz w:val="21"/>
          <w:szCs w:val="21"/>
          <w:lang w:val="en-US" w:eastAsia="zh-CN" w:bidi="en-US"/>
        </w:rPr>
        <w:t>成交</w:t>
      </w:r>
      <w:r>
        <w:rPr>
          <w:rFonts w:hint="eastAsia" w:ascii="宋体" w:hAnsi="宋体" w:eastAsia="宋体" w:cs="宋体"/>
          <w:b w:val="0"/>
          <w:bCs/>
          <w:color w:val="auto"/>
          <w:kern w:val="0"/>
          <w:sz w:val="21"/>
          <w:szCs w:val="21"/>
          <w:lang w:bidi="en-US"/>
        </w:rPr>
        <w:t>后将</w:t>
      </w:r>
      <w:r>
        <w:rPr>
          <w:rFonts w:hint="eastAsia" w:hAnsi="宋体" w:cs="宋体"/>
          <w:b w:val="0"/>
          <w:bCs/>
          <w:color w:val="auto"/>
          <w:kern w:val="0"/>
          <w:sz w:val="21"/>
          <w:szCs w:val="21"/>
          <w:lang w:val="en-US" w:eastAsia="zh-CN" w:bidi="en-US"/>
        </w:rPr>
        <w:t>成交</w:t>
      </w:r>
      <w:r>
        <w:rPr>
          <w:rFonts w:hint="eastAsia" w:ascii="宋体" w:hAnsi="宋体" w:eastAsia="宋体" w:cs="宋体"/>
          <w:b w:val="0"/>
          <w:bCs/>
          <w:color w:val="auto"/>
          <w:kern w:val="0"/>
          <w:sz w:val="21"/>
          <w:szCs w:val="21"/>
          <w:lang w:bidi="en-US"/>
        </w:rPr>
        <w:t>项目的部分非主体、非关键性工作进行分包的，分包程序应符合国家相关规定分包给具有相应资质及能力的单位进行实施；但须取得</w:t>
      </w:r>
      <w:r>
        <w:rPr>
          <w:rFonts w:hint="eastAsia" w:hAnsi="宋体" w:cs="宋体"/>
          <w:b w:val="0"/>
          <w:bCs/>
          <w:color w:val="auto"/>
          <w:kern w:val="0"/>
          <w:sz w:val="21"/>
          <w:szCs w:val="21"/>
          <w:lang w:val="en-US" w:eastAsia="zh-CN" w:bidi="en-US"/>
        </w:rPr>
        <w:t>采购人</w:t>
      </w:r>
      <w:r>
        <w:rPr>
          <w:rFonts w:hint="eastAsia" w:ascii="宋体" w:hAnsi="宋体" w:eastAsia="宋体" w:cs="宋体"/>
          <w:b w:val="0"/>
          <w:bCs/>
          <w:color w:val="auto"/>
          <w:kern w:val="0"/>
          <w:sz w:val="21"/>
          <w:szCs w:val="21"/>
          <w:lang w:bidi="en-US"/>
        </w:rPr>
        <w:t>的书面同意。</w:t>
      </w:r>
    </w:p>
    <w:p w14:paraId="04F6A9B4">
      <w:pPr>
        <w:keepNext w:val="0"/>
        <w:keepLines w:val="0"/>
        <w:pageBreakBefore w:val="0"/>
        <w:widowControl w:val="0"/>
        <w:numPr>
          <w:ilvl w:val="0"/>
          <w:numId w:val="9"/>
        </w:numPr>
        <w:tabs>
          <w:tab w:val="left" w:pos="1020"/>
          <w:tab w:val="clear" w:pos="210"/>
        </w:tabs>
        <w:kinsoku/>
        <w:wordWrap/>
        <w:overflowPunct/>
        <w:topLinePunct w:val="0"/>
        <w:bidi w:val="0"/>
        <w:spacing w:line="360" w:lineRule="auto"/>
        <w:ind w:left="0" w:leftChars="0" w:firstLine="420" w:firstLineChars="200"/>
        <w:textAlignment w:val="auto"/>
        <w:outlineLvl w:val="9"/>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工程照管与成品、半成品保护</w:t>
      </w:r>
    </w:p>
    <w:p w14:paraId="7D0F5107">
      <w:pPr>
        <w:pStyle w:val="15"/>
        <w:keepNext w:val="0"/>
        <w:keepLines w:val="0"/>
        <w:pageBreakBefore w:val="0"/>
        <w:widowControl w:val="0"/>
        <w:kinsoku/>
        <w:wordWrap/>
        <w:overflowPunct/>
        <w:topLinePunct w:val="0"/>
        <w:bidi w:val="0"/>
        <w:spacing w:after="0" w:line="360" w:lineRule="auto"/>
        <w:ind w:left="0" w:leftChars="0" w:firstLine="420" w:firstLineChars="200"/>
        <w:textAlignment w:val="auto"/>
        <w:outlineLvl w:val="9"/>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承包人负责照管工程及工程相关的材料、工程设备的起始时间：</w:t>
      </w:r>
      <w:r>
        <w:rPr>
          <w:rFonts w:hint="eastAsia" w:ascii="宋体" w:hAnsi="宋体" w:eastAsia="宋体" w:cs="宋体"/>
          <w:color w:val="auto"/>
          <w:sz w:val="21"/>
          <w:szCs w:val="21"/>
          <w:highlight w:val="none"/>
          <w:u w:val="single"/>
        </w:rPr>
        <w:t xml:space="preserve"> 按通用条款3.6执行，从工程开工至项目移交止。</w:t>
      </w:r>
    </w:p>
    <w:p w14:paraId="1E6ED649">
      <w:pPr>
        <w:keepNext w:val="0"/>
        <w:keepLines w:val="0"/>
        <w:pageBreakBefore w:val="0"/>
        <w:widowControl w:val="0"/>
        <w:numPr>
          <w:ilvl w:val="0"/>
          <w:numId w:val="9"/>
        </w:numPr>
        <w:tabs>
          <w:tab w:val="left" w:pos="1020"/>
          <w:tab w:val="clear" w:pos="210"/>
        </w:tabs>
        <w:kinsoku/>
        <w:wordWrap/>
        <w:overflowPunct/>
        <w:topLinePunct w:val="0"/>
        <w:bidi w:val="0"/>
        <w:spacing w:line="360" w:lineRule="auto"/>
        <w:ind w:left="0" w:leftChars="0" w:firstLine="420" w:firstLineChars="200"/>
        <w:textAlignment w:val="auto"/>
        <w:outlineLvl w:val="9"/>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履约担保</w:t>
      </w:r>
    </w:p>
    <w:p w14:paraId="04B92C90">
      <w:pPr>
        <w:pStyle w:val="15"/>
        <w:keepNext w:val="0"/>
        <w:keepLines w:val="0"/>
        <w:pageBreakBefore w:val="0"/>
        <w:widowControl w:val="0"/>
        <w:kinsoku/>
        <w:wordWrap/>
        <w:overflowPunct/>
        <w:topLinePunct w:val="0"/>
        <w:bidi w:val="0"/>
        <w:spacing w:after="0" w:line="360" w:lineRule="auto"/>
        <w:ind w:left="0" w:leftChars="0" w:firstLine="420" w:firstLineChars="200"/>
        <w:textAlignment w:val="auto"/>
        <w:outlineLvl w:val="9"/>
        <w:rPr>
          <w:rFonts w:hint="eastAsia" w:ascii="宋体" w:hAnsi="宋体" w:eastAsia="宋体" w:cs="宋体"/>
          <w:color w:val="auto"/>
          <w:sz w:val="21"/>
          <w:szCs w:val="21"/>
          <w:highlight w:val="none"/>
        </w:rPr>
      </w:pPr>
      <w:bookmarkStart w:id="340" w:name="_Toc351203636"/>
      <w:r>
        <w:rPr>
          <w:rFonts w:hint="eastAsia" w:ascii="宋体" w:hAnsi="宋体" w:eastAsia="宋体" w:cs="宋体"/>
          <w:color w:val="auto"/>
          <w:sz w:val="21"/>
          <w:szCs w:val="21"/>
          <w:highlight w:val="none"/>
        </w:rPr>
        <w:t>承包人是否提供履约担保：</w:t>
      </w:r>
      <w:r>
        <w:rPr>
          <w:rFonts w:hint="eastAsia" w:ascii="宋体" w:hAnsi="宋体" w:eastAsia="宋体" w:cs="宋体"/>
          <w:color w:val="auto"/>
          <w:sz w:val="21"/>
          <w:szCs w:val="21"/>
          <w:highlight w:val="none"/>
          <w:u w:val="single"/>
        </w:rPr>
        <w:t xml:space="preserve">  </w:t>
      </w:r>
      <w:r>
        <w:rPr>
          <w:rFonts w:hint="eastAsia" w:ascii="宋体" w:hAnsi="宋体" w:cs="宋体"/>
          <w:color w:val="auto"/>
          <w:sz w:val="21"/>
          <w:szCs w:val="21"/>
          <w:highlight w:val="none"/>
          <w:u w:val="single"/>
          <w:lang w:val="en-US" w:eastAsia="zh-CN"/>
        </w:rPr>
        <w:t>/</w:t>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rPr>
        <w:t>。</w:t>
      </w:r>
    </w:p>
    <w:p w14:paraId="299A1DD0">
      <w:pPr>
        <w:keepNext w:val="0"/>
        <w:keepLines w:val="0"/>
        <w:pageBreakBefore w:val="0"/>
        <w:widowControl w:val="0"/>
        <w:numPr>
          <w:ilvl w:val="0"/>
          <w:numId w:val="1"/>
        </w:numPr>
        <w:tabs>
          <w:tab w:val="left" w:pos="961"/>
          <w:tab w:val="clear" w:pos="210"/>
        </w:tabs>
        <w:kinsoku/>
        <w:wordWrap/>
        <w:overflowPunct/>
        <w:topLinePunct w:val="0"/>
        <w:autoSpaceDE/>
        <w:autoSpaceDN/>
        <w:bidi w:val="0"/>
        <w:adjustRightInd/>
        <w:snapToGrid/>
        <w:spacing w:line="360" w:lineRule="auto"/>
        <w:ind w:left="0" w:leftChars="0" w:firstLine="422" w:firstLineChars="200"/>
        <w:textAlignment w:val="auto"/>
        <w:outlineLvl w:val="2"/>
        <w:rPr>
          <w:rFonts w:hint="eastAsia" w:ascii="宋体" w:hAnsi="宋体" w:eastAsia="宋体" w:cs="宋体"/>
          <w:b/>
          <w:bCs/>
          <w:color w:val="auto"/>
          <w:sz w:val="21"/>
          <w:szCs w:val="21"/>
          <w:highlight w:val="none"/>
        </w:rPr>
      </w:pPr>
      <w:bookmarkStart w:id="341" w:name="_Toc296503162"/>
      <w:bookmarkStart w:id="342" w:name="_Toc296891202"/>
      <w:bookmarkStart w:id="343" w:name="_Toc267251413"/>
      <w:bookmarkStart w:id="344" w:name="_Toc296890990"/>
      <w:bookmarkStart w:id="345" w:name="_Toc296347161"/>
      <w:bookmarkStart w:id="346" w:name="_Toc297120462"/>
      <w:bookmarkStart w:id="347" w:name="_Toc292559871"/>
      <w:bookmarkStart w:id="348" w:name="_Toc296346663"/>
      <w:bookmarkStart w:id="349" w:name="_Toc297048348"/>
      <w:bookmarkStart w:id="350" w:name="_Toc292559366"/>
      <w:bookmarkStart w:id="351" w:name="_Toc296944501"/>
      <w:bookmarkStart w:id="352" w:name="_Toc9966"/>
      <w:bookmarkStart w:id="353" w:name="_Toc8562"/>
      <w:bookmarkStart w:id="354" w:name="_Toc20879"/>
      <w:r>
        <w:rPr>
          <w:rFonts w:hint="eastAsia" w:ascii="宋体" w:hAnsi="宋体" w:eastAsia="宋体" w:cs="宋体"/>
          <w:b/>
          <w:bCs/>
          <w:color w:val="auto"/>
          <w:sz w:val="21"/>
          <w:szCs w:val="21"/>
          <w:highlight w:val="none"/>
        </w:rPr>
        <w:t>监</w:t>
      </w:r>
      <w:bookmarkEnd w:id="341"/>
      <w:bookmarkEnd w:id="342"/>
      <w:bookmarkEnd w:id="343"/>
      <w:bookmarkEnd w:id="344"/>
      <w:bookmarkEnd w:id="345"/>
      <w:bookmarkEnd w:id="346"/>
      <w:bookmarkEnd w:id="347"/>
      <w:bookmarkEnd w:id="348"/>
      <w:bookmarkEnd w:id="349"/>
      <w:bookmarkEnd w:id="350"/>
      <w:bookmarkEnd w:id="351"/>
      <w:r>
        <w:rPr>
          <w:rFonts w:hint="eastAsia" w:ascii="宋体" w:hAnsi="宋体" w:eastAsia="宋体" w:cs="宋体"/>
          <w:b/>
          <w:bCs/>
          <w:color w:val="auto"/>
          <w:sz w:val="21"/>
          <w:szCs w:val="21"/>
          <w:highlight w:val="none"/>
        </w:rPr>
        <w:t>理人</w:t>
      </w:r>
      <w:bookmarkEnd w:id="340"/>
      <w:bookmarkEnd w:id="352"/>
      <w:bookmarkEnd w:id="353"/>
      <w:bookmarkEnd w:id="354"/>
    </w:p>
    <w:p w14:paraId="151BB146">
      <w:pPr>
        <w:keepNext w:val="0"/>
        <w:keepLines w:val="0"/>
        <w:pageBreakBefore w:val="0"/>
        <w:widowControl w:val="0"/>
        <w:numPr>
          <w:ilvl w:val="0"/>
          <w:numId w:val="13"/>
        </w:numPr>
        <w:tabs>
          <w:tab w:val="left" w:pos="1020"/>
          <w:tab w:val="clear" w:pos="210"/>
        </w:tabs>
        <w:kinsoku/>
        <w:wordWrap/>
        <w:overflowPunct/>
        <w:topLinePunct w:val="0"/>
        <w:bidi w:val="0"/>
        <w:spacing w:line="360" w:lineRule="auto"/>
        <w:ind w:left="0" w:leftChars="0" w:firstLine="420" w:firstLineChars="200"/>
        <w:textAlignment w:val="auto"/>
        <w:outlineLvl w:val="9"/>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监理人的一般规定</w:t>
      </w:r>
    </w:p>
    <w:p w14:paraId="3E666F27">
      <w:pPr>
        <w:pStyle w:val="15"/>
        <w:keepNext w:val="0"/>
        <w:keepLines w:val="0"/>
        <w:pageBreakBefore w:val="0"/>
        <w:widowControl w:val="0"/>
        <w:kinsoku/>
        <w:wordWrap/>
        <w:overflowPunct/>
        <w:topLinePunct w:val="0"/>
        <w:bidi w:val="0"/>
        <w:spacing w:after="0" w:line="360" w:lineRule="auto"/>
        <w:ind w:left="0" w:leftChars="0" w:firstLine="420" w:firstLineChars="200"/>
        <w:textAlignment w:val="auto"/>
        <w:outlineLvl w:val="9"/>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关于监理人的监理内容：根据发包人与监理单位签订的监理合同约定及法律规定，代表发包人对工程施工相关事宜进行检查、查验、审核、验收，并签发相关指示等。</w:t>
      </w:r>
    </w:p>
    <w:p w14:paraId="470E61EF">
      <w:pPr>
        <w:pStyle w:val="15"/>
        <w:keepNext w:val="0"/>
        <w:keepLines w:val="0"/>
        <w:pageBreakBefore w:val="0"/>
        <w:widowControl w:val="0"/>
        <w:kinsoku/>
        <w:wordWrap/>
        <w:overflowPunct/>
        <w:topLinePunct w:val="0"/>
        <w:bidi w:val="0"/>
        <w:spacing w:after="0" w:line="360" w:lineRule="auto"/>
        <w:ind w:left="0" w:leftChars="0" w:firstLine="420" w:firstLineChars="200"/>
        <w:textAlignment w:val="auto"/>
        <w:outlineLvl w:val="9"/>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关于监理人的监理权限：根据发包人与监理单位签订的监理合同约定及法律规定，对工程质量、进度、安全文明、造价等全过程进行监理，并按发包人授权签发相关指令，但监理人无权修改合同，在任何情况下，无权减轻或免除合同约定的承包人的任何责任与义务。未经发包人书面批准，监理人无权免除或者减轻承包人根据合同应当承担的任何责任或者义务。监理人的任何批准、校核、证明、同意、检查、检验、指示、通知、建议、要求、试验或类似行为（包括未提出否定意见），不应免除或减轻承包人根据合同应承担的任何责任和义务。</w:t>
      </w:r>
    </w:p>
    <w:p w14:paraId="712D0802">
      <w:pPr>
        <w:pStyle w:val="15"/>
        <w:keepNext w:val="0"/>
        <w:keepLines w:val="0"/>
        <w:pageBreakBefore w:val="0"/>
        <w:widowControl w:val="0"/>
        <w:kinsoku/>
        <w:wordWrap/>
        <w:overflowPunct/>
        <w:topLinePunct w:val="0"/>
        <w:bidi w:val="0"/>
        <w:spacing w:after="0" w:line="360" w:lineRule="auto"/>
        <w:ind w:left="0" w:leftChars="0" w:firstLine="420" w:firstLineChars="200"/>
        <w:textAlignment w:val="auto"/>
        <w:outlineLvl w:val="9"/>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监理人在履行职责的过程中，涉及下列事项的，必须事先获得发包人的书面同意：</w:t>
      </w:r>
    </w:p>
    <w:p w14:paraId="3A8A19C9">
      <w:pPr>
        <w:pStyle w:val="15"/>
        <w:keepNext w:val="0"/>
        <w:keepLines w:val="0"/>
        <w:pageBreakBefore w:val="0"/>
        <w:widowControl w:val="0"/>
        <w:numPr>
          <w:ilvl w:val="0"/>
          <w:numId w:val="14"/>
        </w:numPr>
        <w:tabs>
          <w:tab w:val="left" w:pos="1080"/>
        </w:tabs>
        <w:kinsoku/>
        <w:wordWrap/>
        <w:overflowPunct/>
        <w:topLinePunct w:val="0"/>
        <w:bidi w:val="0"/>
        <w:spacing w:after="0" w:line="360" w:lineRule="auto"/>
        <w:ind w:left="0" w:leftChars="0" w:firstLine="420" w:firstLineChars="200"/>
        <w:textAlignment w:val="auto"/>
        <w:outlineLvl w:val="9"/>
        <w:rPr>
          <w:rFonts w:hint="eastAsia" w:ascii="宋体" w:hAnsi="宋体" w:eastAsia="宋体" w:cs="宋体"/>
          <w:b w:val="0"/>
          <w:color w:val="auto"/>
          <w:sz w:val="21"/>
          <w:szCs w:val="21"/>
          <w:highlight w:val="none"/>
        </w:rPr>
      </w:pPr>
      <w:r>
        <w:rPr>
          <w:rFonts w:hint="eastAsia" w:ascii="宋体" w:hAnsi="宋体" w:eastAsia="宋体" w:cs="宋体"/>
          <w:color w:val="auto"/>
          <w:sz w:val="21"/>
          <w:szCs w:val="21"/>
          <w:highlight w:val="none"/>
        </w:rPr>
        <w:t>顺延工期；</w:t>
      </w:r>
    </w:p>
    <w:p w14:paraId="7438089B">
      <w:pPr>
        <w:pStyle w:val="15"/>
        <w:keepNext w:val="0"/>
        <w:keepLines w:val="0"/>
        <w:pageBreakBefore w:val="0"/>
        <w:widowControl w:val="0"/>
        <w:numPr>
          <w:ilvl w:val="0"/>
          <w:numId w:val="14"/>
        </w:numPr>
        <w:tabs>
          <w:tab w:val="left" w:pos="1080"/>
        </w:tabs>
        <w:kinsoku/>
        <w:wordWrap/>
        <w:overflowPunct/>
        <w:topLinePunct w:val="0"/>
        <w:bidi w:val="0"/>
        <w:spacing w:after="0" w:line="360" w:lineRule="auto"/>
        <w:ind w:left="0" w:leftChars="0" w:firstLine="420" w:firstLineChars="200"/>
        <w:textAlignment w:val="auto"/>
        <w:outlineLvl w:val="9"/>
        <w:rPr>
          <w:rFonts w:hint="eastAsia" w:ascii="宋体" w:hAnsi="宋体" w:eastAsia="宋体" w:cs="宋体"/>
          <w:b w:val="0"/>
          <w:color w:val="auto"/>
          <w:sz w:val="21"/>
          <w:szCs w:val="21"/>
          <w:highlight w:val="none"/>
        </w:rPr>
      </w:pPr>
      <w:r>
        <w:rPr>
          <w:rFonts w:hint="eastAsia" w:ascii="宋体" w:hAnsi="宋体" w:eastAsia="宋体" w:cs="宋体"/>
          <w:color w:val="auto"/>
          <w:sz w:val="21"/>
          <w:szCs w:val="21"/>
          <w:highlight w:val="none"/>
        </w:rPr>
        <w:t>增加发包人费用；</w:t>
      </w:r>
    </w:p>
    <w:p w14:paraId="7EC30E8B">
      <w:pPr>
        <w:pStyle w:val="15"/>
        <w:keepNext w:val="0"/>
        <w:keepLines w:val="0"/>
        <w:pageBreakBefore w:val="0"/>
        <w:widowControl w:val="0"/>
        <w:numPr>
          <w:ilvl w:val="0"/>
          <w:numId w:val="14"/>
        </w:numPr>
        <w:tabs>
          <w:tab w:val="left" w:pos="1080"/>
        </w:tabs>
        <w:kinsoku/>
        <w:wordWrap/>
        <w:overflowPunct/>
        <w:topLinePunct w:val="0"/>
        <w:bidi w:val="0"/>
        <w:spacing w:after="0" w:line="360" w:lineRule="auto"/>
        <w:ind w:left="0" w:leftChars="0" w:firstLine="420" w:firstLineChars="200"/>
        <w:textAlignment w:val="auto"/>
        <w:outlineLvl w:val="9"/>
        <w:rPr>
          <w:rFonts w:hint="eastAsia" w:ascii="宋体" w:hAnsi="宋体" w:eastAsia="宋体" w:cs="宋体"/>
          <w:b w:val="0"/>
          <w:color w:val="auto"/>
          <w:sz w:val="21"/>
          <w:szCs w:val="21"/>
          <w:highlight w:val="none"/>
        </w:rPr>
      </w:pPr>
      <w:r>
        <w:rPr>
          <w:rFonts w:hint="eastAsia" w:ascii="宋体" w:hAnsi="宋体" w:eastAsia="宋体" w:cs="宋体"/>
          <w:color w:val="auto"/>
          <w:sz w:val="21"/>
          <w:szCs w:val="21"/>
          <w:highlight w:val="none"/>
        </w:rPr>
        <w:t>对承包人选择的分包商或供货商的确认；</w:t>
      </w:r>
    </w:p>
    <w:p w14:paraId="57E892EB">
      <w:pPr>
        <w:pStyle w:val="15"/>
        <w:keepNext w:val="0"/>
        <w:keepLines w:val="0"/>
        <w:pageBreakBefore w:val="0"/>
        <w:widowControl w:val="0"/>
        <w:numPr>
          <w:ilvl w:val="0"/>
          <w:numId w:val="14"/>
        </w:numPr>
        <w:tabs>
          <w:tab w:val="left" w:pos="1080"/>
        </w:tabs>
        <w:kinsoku/>
        <w:wordWrap/>
        <w:overflowPunct/>
        <w:topLinePunct w:val="0"/>
        <w:bidi w:val="0"/>
        <w:spacing w:after="0" w:line="360" w:lineRule="auto"/>
        <w:ind w:left="0" w:leftChars="0" w:firstLine="420" w:firstLineChars="200"/>
        <w:textAlignment w:val="auto"/>
        <w:outlineLvl w:val="9"/>
        <w:rPr>
          <w:rFonts w:hint="eastAsia" w:ascii="宋体" w:hAnsi="宋体" w:eastAsia="宋体" w:cs="宋体"/>
          <w:b w:val="0"/>
          <w:color w:val="auto"/>
          <w:sz w:val="21"/>
          <w:szCs w:val="21"/>
          <w:highlight w:val="none"/>
        </w:rPr>
      </w:pPr>
      <w:r>
        <w:rPr>
          <w:rFonts w:hint="eastAsia" w:ascii="宋体" w:hAnsi="宋体" w:eastAsia="宋体" w:cs="宋体"/>
          <w:color w:val="auto"/>
          <w:sz w:val="21"/>
          <w:szCs w:val="21"/>
          <w:highlight w:val="none"/>
        </w:rPr>
        <w:t>签发交工验收等的证明文件；</w:t>
      </w:r>
    </w:p>
    <w:p w14:paraId="08BE02FE">
      <w:pPr>
        <w:pStyle w:val="15"/>
        <w:keepNext w:val="0"/>
        <w:keepLines w:val="0"/>
        <w:pageBreakBefore w:val="0"/>
        <w:widowControl w:val="0"/>
        <w:numPr>
          <w:ilvl w:val="0"/>
          <w:numId w:val="14"/>
        </w:numPr>
        <w:tabs>
          <w:tab w:val="left" w:pos="1080"/>
        </w:tabs>
        <w:kinsoku/>
        <w:wordWrap/>
        <w:overflowPunct/>
        <w:topLinePunct w:val="0"/>
        <w:bidi w:val="0"/>
        <w:spacing w:after="0" w:line="360" w:lineRule="auto"/>
        <w:ind w:left="0" w:leftChars="0" w:firstLine="420" w:firstLineChars="200"/>
        <w:textAlignment w:val="auto"/>
        <w:outlineLvl w:val="9"/>
        <w:rPr>
          <w:rFonts w:hint="eastAsia" w:ascii="宋体" w:hAnsi="宋体" w:eastAsia="宋体" w:cs="宋体"/>
          <w:b w:val="0"/>
          <w:color w:val="auto"/>
          <w:sz w:val="21"/>
          <w:szCs w:val="21"/>
          <w:highlight w:val="none"/>
        </w:rPr>
      </w:pPr>
      <w:r>
        <w:rPr>
          <w:rFonts w:hint="eastAsia" w:ascii="宋体" w:hAnsi="宋体" w:eastAsia="宋体" w:cs="宋体"/>
          <w:color w:val="auto"/>
          <w:sz w:val="21"/>
          <w:szCs w:val="21"/>
          <w:highlight w:val="none"/>
        </w:rPr>
        <w:t>其他在合同附件中列明需要经过发包人或发包人代表事先审批、审核的事项。</w:t>
      </w:r>
    </w:p>
    <w:p w14:paraId="0D732CF1">
      <w:pPr>
        <w:pStyle w:val="15"/>
        <w:keepNext w:val="0"/>
        <w:keepLines w:val="0"/>
        <w:pageBreakBefore w:val="0"/>
        <w:widowControl w:val="0"/>
        <w:kinsoku/>
        <w:wordWrap/>
        <w:overflowPunct/>
        <w:topLinePunct w:val="0"/>
        <w:bidi w:val="0"/>
        <w:spacing w:after="0" w:line="360" w:lineRule="auto"/>
        <w:ind w:left="0" w:leftChars="0" w:firstLine="420" w:firstLineChars="200"/>
        <w:textAlignment w:val="auto"/>
        <w:outlineLvl w:val="9"/>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工程变更的决定、工期顺延的决定、签证和工程计量、工程款支付的决定均应上报发包人同意才能执行。</w:t>
      </w:r>
    </w:p>
    <w:p w14:paraId="50F803FB">
      <w:pPr>
        <w:keepNext w:val="0"/>
        <w:keepLines w:val="0"/>
        <w:pageBreakBefore w:val="0"/>
        <w:widowControl w:val="0"/>
        <w:numPr>
          <w:ilvl w:val="0"/>
          <w:numId w:val="13"/>
        </w:numPr>
        <w:tabs>
          <w:tab w:val="left" w:pos="1020"/>
          <w:tab w:val="clear" w:pos="210"/>
        </w:tabs>
        <w:kinsoku/>
        <w:wordWrap/>
        <w:overflowPunct/>
        <w:topLinePunct w:val="0"/>
        <w:bidi w:val="0"/>
        <w:spacing w:line="360" w:lineRule="auto"/>
        <w:ind w:left="0" w:leftChars="0" w:firstLine="420" w:firstLineChars="200"/>
        <w:textAlignment w:val="auto"/>
        <w:outlineLvl w:val="9"/>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监理人员</w:t>
      </w:r>
    </w:p>
    <w:p w14:paraId="0C72DA91">
      <w:pPr>
        <w:pStyle w:val="15"/>
        <w:keepNext w:val="0"/>
        <w:keepLines w:val="0"/>
        <w:pageBreakBefore w:val="0"/>
        <w:widowControl w:val="0"/>
        <w:kinsoku/>
        <w:wordWrap/>
        <w:overflowPunct/>
        <w:topLinePunct w:val="0"/>
        <w:bidi w:val="0"/>
        <w:spacing w:after="0" w:line="360" w:lineRule="auto"/>
        <w:ind w:left="0" w:leftChars="0" w:firstLine="420" w:firstLineChars="200"/>
        <w:textAlignment w:val="auto"/>
        <w:outlineLvl w:val="9"/>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总监理工程师姓名：</w:t>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u w:val="single"/>
          <w:lang w:val="en-US" w:eastAsia="zh-CN"/>
        </w:rPr>
        <w:t xml:space="preserve"> </w:t>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rPr>
        <w:t>，身份证号码：</w:t>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u w:val="single"/>
          <w:lang w:val="en-US" w:eastAsia="zh-CN"/>
        </w:rPr>
        <w:t xml:space="preserve"> </w:t>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rPr>
        <w:t>，注册号：</w:t>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u w:val="single"/>
          <w:lang w:val="en-US" w:eastAsia="zh-CN"/>
        </w:rPr>
        <w:t xml:space="preserve"> </w:t>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rPr>
        <w:t>，联系电话：</w:t>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u w:val="single"/>
          <w:lang w:val="en-US" w:eastAsia="zh-CN"/>
        </w:rPr>
        <w:t xml:space="preserve"> </w:t>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rPr>
        <w:t>。</w:t>
      </w:r>
    </w:p>
    <w:p w14:paraId="369DF63A">
      <w:pPr>
        <w:pStyle w:val="15"/>
        <w:keepNext w:val="0"/>
        <w:keepLines w:val="0"/>
        <w:pageBreakBefore w:val="0"/>
        <w:widowControl w:val="0"/>
        <w:kinsoku/>
        <w:wordWrap/>
        <w:overflowPunct/>
        <w:topLinePunct w:val="0"/>
        <w:bidi w:val="0"/>
        <w:spacing w:after="0" w:line="360" w:lineRule="auto"/>
        <w:ind w:left="0" w:leftChars="0" w:firstLine="420" w:firstLineChars="200"/>
        <w:textAlignment w:val="auto"/>
        <w:outlineLvl w:val="9"/>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关于监理人的其他约定：按通用条款4.3执行。</w:t>
      </w:r>
    </w:p>
    <w:p w14:paraId="4317A8F6">
      <w:pPr>
        <w:keepNext w:val="0"/>
        <w:keepLines w:val="0"/>
        <w:pageBreakBefore w:val="0"/>
        <w:widowControl w:val="0"/>
        <w:numPr>
          <w:ilvl w:val="0"/>
          <w:numId w:val="13"/>
        </w:numPr>
        <w:tabs>
          <w:tab w:val="left" w:pos="1020"/>
          <w:tab w:val="clear" w:pos="210"/>
        </w:tabs>
        <w:kinsoku/>
        <w:wordWrap/>
        <w:overflowPunct/>
        <w:topLinePunct w:val="0"/>
        <w:bidi w:val="0"/>
        <w:spacing w:line="360" w:lineRule="auto"/>
        <w:ind w:left="0" w:leftChars="0" w:firstLine="420" w:firstLineChars="200"/>
        <w:textAlignment w:val="auto"/>
        <w:outlineLvl w:val="9"/>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商定或确定</w:t>
      </w:r>
    </w:p>
    <w:p w14:paraId="3A64DEFD">
      <w:pPr>
        <w:keepNext w:val="0"/>
        <w:keepLines w:val="0"/>
        <w:pageBreakBefore w:val="0"/>
        <w:widowControl w:val="0"/>
        <w:kinsoku/>
        <w:wordWrap/>
        <w:overflowPunct/>
        <w:topLinePunct w:val="0"/>
        <w:bidi w:val="0"/>
        <w:spacing w:line="360" w:lineRule="auto"/>
        <w:ind w:firstLine="420" w:firstLineChars="200"/>
        <w:textAlignment w:val="auto"/>
        <w:outlineLvl w:val="9"/>
        <w:rPr>
          <w:rFonts w:hint="eastAsia" w:ascii="宋体" w:hAnsi="宋体" w:eastAsia="宋体" w:cs="宋体"/>
          <w:color w:val="auto"/>
          <w:sz w:val="21"/>
          <w:szCs w:val="21"/>
          <w:highlight w:val="none"/>
        </w:rPr>
      </w:pPr>
      <w:bookmarkStart w:id="355" w:name="_Toc351203637"/>
      <w:bookmarkStart w:id="356" w:name="_Toc296347162"/>
      <w:bookmarkStart w:id="357" w:name="_Toc297120463"/>
      <w:bookmarkStart w:id="358" w:name="_Toc296891203"/>
      <w:bookmarkStart w:id="359" w:name="_Toc296346664"/>
      <w:bookmarkStart w:id="360" w:name="_Toc292559872"/>
      <w:bookmarkStart w:id="361" w:name="_Toc292559367"/>
      <w:bookmarkStart w:id="362" w:name="_Toc296944502"/>
      <w:bookmarkStart w:id="363" w:name="_Toc297048349"/>
      <w:bookmarkStart w:id="364" w:name="_Toc296503163"/>
      <w:bookmarkStart w:id="365" w:name="_Toc296890991"/>
      <w:r>
        <w:rPr>
          <w:rFonts w:hint="eastAsia" w:ascii="宋体" w:hAnsi="宋体" w:eastAsia="宋体" w:cs="宋体"/>
          <w:color w:val="auto"/>
          <w:sz w:val="21"/>
          <w:szCs w:val="21"/>
          <w:highlight w:val="none"/>
        </w:rPr>
        <w:t>在发包人和承包人不能通过协商达成一致意见时，发包人授权监理人对以下事项进行确定：</w:t>
      </w:r>
      <w:r>
        <w:rPr>
          <w:rFonts w:hint="eastAsia" w:ascii="宋体" w:hAnsi="宋体" w:eastAsia="宋体" w:cs="宋体"/>
          <w:color w:val="auto"/>
          <w:sz w:val="21"/>
          <w:szCs w:val="21"/>
          <w:highlight w:val="none"/>
          <w:u w:val="single"/>
        </w:rPr>
        <w:t xml:space="preserve">  /  </w:t>
      </w:r>
      <w:r>
        <w:rPr>
          <w:rFonts w:hint="eastAsia" w:ascii="宋体" w:hAnsi="宋体" w:eastAsia="宋体" w:cs="宋体"/>
          <w:color w:val="auto"/>
          <w:sz w:val="21"/>
          <w:szCs w:val="21"/>
          <w:highlight w:val="none"/>
        </w:rPr>
        <w:t>。</w:t>
      </w:r>
    </w:p>
    <w:p w14:paraId="5725F9F8">
      <w:pPr>
        <w:keepNext w:val="0"/>
        <w:keepLines w:val="0"/>
        <w:pageBreakBefore w:val="0"/>
        <w:widowControl w:val="0"/>
        <w:numPr>
          <w:ilvl w:val="0"/>
          <w:numId w:val="1"/>
        </w:numPr>
        <w:tabs>
          <w:tab w:val="left" w:pos="961"/>
          <w:tab w:val="clear" w:pos="210"/>
        </w:tabs>
        <w:kinsoku/>
        <w:wordWrap/>
        <w:overflowPunct/>
        <w:topLinePunct w:val="0"/>
        <w:autoSpaceDE/>
        <w:autoSpaceDN/>
        <w:bidi w:val="0"/>
        <w:adjustRightInd/>
        <w:snapToGrid/>
        <w:spacing w:line="360" w:lineRule="auto"/>
        <w:ind w:left="0" w:leftChars="0" w:firstLine="422" w:firstLineChars="200"/>
        <w:textAlignment w:val="auto"/>
        <w:outlineLvl w:val="2"/>
        <w:rPr>
          <w:rFonts w:hint="eastAsia" w:ascii="宋体" w:hAnsi="宋体" w:eastAsia="宋体" w:cs="宋体"/>
          <w:b/>
          <w:bCs/>
          <w:color w:val="auto"/>
          <w:sz w:val="21"/>
          <w:szCs w:val="21"/>
          <w:highlight w:val="none"/>
        </w:rPr>
      </w:pPr>
      <w:bookmarkStart w:id="366" w:name="_Toc20340"/>
      <w:bookmarkStart w:id="367" w:name="_Toc13485"/>
      <w:bookmarkStart w:id="368" w:name="_Toc11412"/>
      <w:r>
        <w:rPr>
          <w:rFonts w:hint="eastAsia" w:ascii="宋体" w:hAnsi="宋体" w:eastAsia="宋体" w:cs="宋体"/>
          <w:b/>
          <w:bCs/>
          <w:color w:val="auto"/>
          <w:sz w:val="21"/>
          <w:szCs w:val="21"/>
          <w:highlight w:val="none"/>
        </w:rPr>
        <w:t>工程质量</w:t>
      </w:r>
      <w:bookmarkEnd w:id="355"/>
      <w:bookmarkEnd w:id="366"/>
      <w:bookmarkEnd w:id="367"/>
      <w:bookmarkEnd w:id="368"/>
    </w:p>
    <w:p w14:paraId="2325DF77">
      <w:pPr>
        <w:keepNext w:val="0"/>
        <w:keepLines w:val="0"/>
        <w:pageBreakBefore w:val="0"/>
        <w:widowControl w:val="0"/>
        <w:kinsoku/>
        <w:wordWrap/>
        <w:overflowPunct/>
        <w:topLinePunct w:val="0"/>
        <w:bidi w:val="0"/>
        <w:spacing w:line="360" w:lineRule="auto"/>
        <w:ind w:firstLine="420" w:firstLineChars="200"/>
        <w:textAlignment w:val="auto"/>
        <w:outlineLvl w:val="9"/>
        <w:rPr>
          <w:rFonts w:hint="eastAsia" w:ascii="宋体" w:hAnsi="宋体" w:eastAsia="宋体" w:cs="宋体"/>
          <w:color w:val="auto"/>
          <w:sz w:val="21"/>
          <w:szCs w:val="21"/>
          <w:highlight w:val="none"/>
        </w:rPr>
      </w:pPr>
      <w:bookmarkStart w:id="369" w:name="_Toc351203638"/>
      <w:bookmarkStart w:id="370" w:name="_Toc297123496"/>
      <w:bookmarkStart w:id="371" w:name="_Toc300934949"/>
      <w:bookmarkStart w:id="372" w:name="_Toc318581164"/>
      <w:bookmarkStart w:id="373" w:name="_Toc297216155"/>
      <w:bookmarkStart w:id="374" w:name="_Toc304295527"/>
      <w:bookmarkStart w:id="375" w:name="_Toc312677997"/>
      <w:bookmarkStart w:id="376" w:name="_Toc303539106"/>
      <w:r>
        <w:rPr>
          <w:rFonts w:hint="eastAsia" w:ascii="宋体" w:hAnsi="宋体" w:eastAsia="宋体" w:cs="宋体"/>
          <w:color w:val="auto"/>
          <w:sz w:val="21"/>
          <w:szCs w:val="21"/>
          <w:highlight w:val="none"/>
        </w:rPr>
        <w:t>5.1 质量要求</w:t>
      </w:r>
    </w:p>
    <w:p w14:paraId="3F490D7B">
      <w:pPr>
        <w:keepNext w:val="0"/>
        <w:keepLines w:val="0"/>
        <w:pageBreakBefore w:val="0"/>
        <w:widowControl w:val="0"/>
        <w:tabs>
          <w:tab w:val="left" w:pos="628"/>
        </w:tabs>
        <w:kinsoku/>
        <w:wordWrap/>
        <w:overflowPunct/>
        <w:topLinePunct w:val="0"/>
        <w:bidi w:val="0"/>
        <w:spacing w:line="360" w:lineRule="auto"/>
        <w:ind w:firstLine="411" w:firstLineChars="196"/>
        <w:textAlignment w:val="auto"/>
        <w:outlineLvl w:val="9"/>
        <w:rPr>
          <w:rFonts w:hint="eastAsia" w:ascii="宋体" w:hAnsi="宋体" w:eastAsia="宋体" w:cs="宋体"/>
          <w:color w:val="auto"/>
          <w:sz w:val="21"/>
          <w:szCs w:val="21"/>
          <w:highlight w:val="none"/>
          <w:u w:val="single"/>
          <w:lang w:bidi="en-US"/>
        </w:rPr>
      </w:pPr>
      <w:r>
        <w:rPr>
          <w:rFonts w:hint="eastAsia" w:ascii="宋体" w:hAnsi="宋体" w:eastAsia="宋体" w:cs="宋体"/>
          <w:color w:val="auto"/>
          <w:sz w:val="21"/>
          <w:szCs w:val="21"/>
          <w:highlight w:val="none"/>
          <w:lang w:bidi="en-US"/>
        </w:rPr>
        <w:t>5.1.1 特殊质量标准和要求：</w:t>
      </w:r>
      <w:r>
        <w:rPr>
          <w:rFonts w:hint="eastAsia" w:ascii="宋体" w:hAnsi="宋体" w:eastAsia="宋体" w:cs="宋体"/>
          <w:color w:val="auto"/>
          <w:sz w:val="21"/>
          <w:szCs w:val="21"/>
          <w:highlight w:val="none"/>
          <w:u w:val="single"/>
          <w:lang w:bidi="en-US"/>
        </w:rPr>
        <w:t xml:space="preserve"> 本项目中的质量执行</w:t>
      </w:r>
      <w:r>
        <w:rPr>
          <w:rFonts w:hint="eastAsia" w:ascii="宋体" w:hAnsi="宋体" w:cs="宋体"/>
          <w:color w:val="auto"/>
          <w:sz w:val="21"/>
          <w:szCs w:val="21"/>
          <w:highlight w:val="none"/>
          <w:u w:val="single"/>
          <w:lang w:eastAsia="zh-CN" w:bidi="en-US"/>
        </w:rPr>
        <w:t>竞争性磋商文件</w:t>
      </w:r>
      <w:r>
        <w:rPr>
          <w:rFonts w:hint="eastAsia" w:ascii="宋体" w:hAnsi="宋体" w:eastAsia="宋体" w:cs="宋体"/>
          <w:color w:val="auto"/>
          <w:sz w:val="21"/>
          <w:szCs w:val="21"/>
          <w:highlight w:val="none"/>
          <w:u w:val="single"/>
          <w:lang w:bidi="en-US"/>
        </w:rPr>
        <w:t>及附件内容要求 。</w:t>
      </w:r>
    </w:p>
    <w:p w14:paraId="7E1DBF86">
      <w:pPr>
        <w:keepNext w:val="0"/>
        <w:keepLines w:val="0"/>
        <w:pageBreakBefore w:val="0"/>
        <w:widowControl w:val="0"/>
        <w:kinsoku/>
        <w:wordWrap/>
        <w:overflowPunct/>
        <w:topLinePunct w:val="0"/>
        <w:autoSpaceDE w:val="0"/>
        <w:autoSpaceDN w:val="0"/>
        <w:bidi w:val="0"/>
        <w:adjustRightInd w:val="0"/>
        <w:spacing w:line="360" w:lineRule="auto"/>
        <w:ind w:firstLine="420" w:firstLineChars="200"/>
        <w:textAlignment w:val="auto"/>
        <w:outlineLvl w:val="9"/>
        <w:rPr>
          <w:rFonts w:hint="eastAsia" w:ascii="宋体" w:hAnsi="宋体" w:eastAsia="宋体" w:cs="宋体"/>
          <w:color w:val="auto"/>
          <w:sz w:val="21"/>
          <w:szCs w:val="21"/>
          <w:highlight w:val="none"/>
          <w:u w:val="single"/>
        </w:rPr>
      </w:pPr>
      <w:r>
        <w:rPr>
          <w:rFonts w:hint="eastAsia" w:ascii="宋体" w:hAnsi="宋体" w:eastAsia="宋体" w:cs="宋体"/>
          <w:color w:val="auto"/>
          <w:sz w:val="21"/>
          <w:szCs w:val="21"/>
          <w:highlight w:val="none"/>
        </w:rPr>
        <w:t>关于工程奖项的约定：</w:t>
      </w:r>
      <w:r>
        <w:rPr>
          <w:rFonts w:hint="eastAsia" w:ascii="宋体" w:hAnsi="宋体" w:eastAsia="宋体" w:cs="宋体"/>
          <w:color w:val="auto"/>
          <w:sz w:val="21"/>
          <w:szCs w:val="21"/>
          <w:highlight w:val="none"/>
          <w:u w:val="single"/>
        </w:rPr>
        <w:t xml:space="preserve">      /          </w:t>
      </w:r>
    </w:p>
    <w:p w14:paraId="124217FE">
      <w:pPr>
        <w:keepNext w:val="0"/>
        <w:keepLines w:val="0"/>
        <w:pageBreakBefore w:val="0"/>
        <w:widowControl w:val="0"/>
        <w:kinsoku/>
        <w:wordWrap/>
        <w:overflowPunct/>
        <w:topLinePunct w:val="0"/>
        <w:bidi w:val="0"/>
        <w:spacing w:line="360" w:lineRule="auto"/>
        <w:ind w:firstLine="336" w:firstLineChars="160"/>
        <w:textAlignment w:val="auto"/>
        <w:outlineLvl w:val="9"/>
        <w:rPr>
          <w:rFonts w:hint="eastAsia" w:ascii="宋体" w:hAnsi="宋体" w:eastAsia="宋体" w:cs="宋体"/>
          <w:color w:val="auto"/>
          <w:sz w:val="21"/>
          <w:szCs w:val="21"/>
          <w:highlight w:val="none"/>
          <w:lang w:bidi="en-US"/>
        </w:rPr>
      </w:pPr>
      <w:r>
        <w:rPr>
          <w:rFonts w:hint="eastAsia" w:ascii="宋体" w:hAnsi="宋体" w:eastAsia="宋体" w:cs="宋体"/>
          <w:color w:val="auto"/>
          <w:sz w:val="21"/>
          <w:szCs w:val="21"/>
          <w:highlight w:val="none"/>
          <w:lang w:bidi="en-US"/>
        </w:rPr>
        <w:t>5.1.2工程质量方面的约定：</w:t>
      </w:r>
    </w:p>
    <w:p w14:paraId="65679B76">
      <w:pPr>
        <w:keepNext w:val="0"/>
        <w:keepLines w:val="0"/>
        <w:pageBreakBefore w:val="0"/>
        <w:widowControl w:val="0"/>
        <w:kinsoku/>
        <w:wordWrap/>
        <w:overflowPunct/>
        <w:topLinePunct w:val="0"/>
        <w:bidi w:val="0"/>
        <w:spacing w:line="360" w:lineRule="auto"/>
        <w:ind w:firstLine="413" w:firstLineChars="196"/>
        <w:textAlignment w:val="auto"/>
        <w:outlineLvl w:val="9"/>
        <w:rPr>
          <w:rFonts w:hint="eastAsia" w:ascii="宋体" w:hAnsi="宋体" w:eastAsia="宋体" w:cs="宋体"/>
          <w:b/>
          <w:bCs/>
          <w:color w:val="auto"/>
          <w:sz w:val="21"/>
          <w:szCs w:val="21"/>
          <w:highlight w:val="none"/>
          <w:u w:val="single"/>
        </w:rPr>
      </w:pPr>
      <w:r>
        <w:rPr>
          <w:rFonts w:hint="eastAsia" w:ascii="宋体" w:hAnsi="宋体" w:eastAsia="宋体" w:cs="宋体"/>
          <w:b/>
          <w:bCs/>
          <w:color w:val="auto"/>
          <w:sz w:val="21"/>
          <w:szCs w:val="21"/>
          <w:highlight w:val="none"/>
          <w:u w:val="single"/>
        </w:rPr>
        <w:t>（1）发包人按合同约定抽查承包人的工程材料时，对不符合设计和质量标准要求的材料，承包人必须按要求退出施工现场，重新采购符合要求的材料，并承担由此产生的费用，工期不予顺延。</w:t>
      </w:r>
    </w:p>
    <w:p w14:paraId="75C0A54D">
      <w:pPr>
        <w:keepNext w:val="0"/>
        <w:keepLines w:val="0"/>
        <w:pageBreakBefore w:val="0"/>
        <w:widowControl w:val="0"/>
        <w:kinsoku/>
        <w:wordWrap/>
        <w:overflowPunct/>
        <w:topLinePunct w:val="0"/>
        <w:bidi w:val="0"/>
        <w:spacing w:line="360" w:lineRule="auto"/>
        <w:ind w:firstLine="413" w:firstLineChars="196"/>
        <w:textAlignment w:val="auto"/>
        <w:outlineLvl w:val="9"/>
        <w:rPr>
          <w:rFonts w:hint="eastAsia" w:ascii="宋体" w:hAnsi="宋体" w:eastAsia="宋体" w:cs="宋体"/>
          <w:b/>
          <w:bCs/>
          <w:color w:val="auto"/>
          <w:sz w:val="21"/>
          <w:szCs w:val="21"/>
          <w:highlight w:val="none"/>
          <w:u w:val="single"/>
        </w:rPr>
      </w:pPr>
      <w:r>
        <w:rPr>
          <w:rFonts w:hint="eastAsia" w:ascii="宋体" w:hAnsi="宋体" w:eastAsia="宋体" w:cs="宋体"/>
          <w:b/>
          <w:bCs/>
          <w:color w:val="auto"/>
          <w:sz w:val="21"/>
          <w:szCs w:val="21"/>
          <w:highlight w:val="none"/>
          <w:u w:val="single"/>
        </w:rPr>
        <w:t>（</w:t>
      </w:r>
      <w:r>
        <w:rPr>
          <w:rFonts w:hint="eastAsia" w:ascii="宋体" w:hAnsi="宋体" w:cs="宋体"/>
          <w:b/>
          <w:bCs/>
          <w:color w:val="auto"/>
          <w:sz w:val="21"/>
          <w:szCs w:val="21"/>
          <w:highlight w:val="none"/>
          <w:u w:val="single"/>
          <w:lang w:val="en-US" w:eastAsia="zh-CN"/>
        </w:rPr>
        <w:t>2</w:t>
      </w:r>
      <w:r>
        <w:rPr>
          <w:rFonts w:hint="eastAsia" w:ascii="宋体" w:hAnsi="宋体" w:eastAsia="宋体" w:cs="宋体"/>
          <w:b/>
          <w:bCs/>
          <w:color w:val="auto"/>
          <w:sz w:val="21"/>
          <w:szCs w:val="21"/>
          <w:highlight w:val="none"/>
          <w:u w:val="single"/>
        </w:rPr>
        <w:t>）工程保修期内发现一切质量问题，承包人必须在发包人规定的期限内完成维修并达到相关质量标准。</w:t>
      </w:r>
    </w:p>
    <w:p w14:paraId="183B265A">
      <w:pPr>
        <w:keepNext w:val="0"/>
        <w:keepLines w:val="0"/>
        <w:pageBreakBefore w:val="0"/>
        <w:widowControl w:val="0"/>
        <w:kinsoku/>
        <w:wordWrap/>
        <w:overflowPunct/>
        <w:topLinePunct w:val="0"/>
        <w:bidi w:val="0"/>
        <w:spacing w:line="360" w:lineRule="auto"/>
        <w:ind w:firstLine="411" w:firstLineChars="196"/>
        <w:textAlignment w:val="auto"/>
        <w:outlineLvl w:val="9"/>
        <w:rPr>
          <w:rFonts w:hint="eastAsia" w:ascii="宋体" w:hAnsi="宋体" w:eastAsia="宋体" w:cs="宋体"/>
          <w:b/>
          <w:bCs/>
          <w:color w:val="auto"/>
          <w:sz w:val="21"/>
          <w:szCs w:val="21"/>
          <w:highlight w:val="none"/>
          <w:u w:val="none"/>
          <w:lang w:val="en-US" w:eastAsia="zh-CN"/>
        </w:rPr>
      </w:pPr>
      <w:r>
        <w:rPr>
          <w:rFonts w:hint="eastAsia" w:ascii="宋体" w:hAnsi="宋体" w:eastAsia="宋体" w:cs="宋体"/>
          <w:b w:val="0"/>
          <w:bCs w:val="0"/>
          <w:color w:val="auto"/>
          <w:sz w:val="21"/>
          <w:szCs w:val="21"/>
          <w:highlight w:val="none"/>
          <w:u w:val="none"/>
        </w:rPr>
        <w:t>5.1.3设备</w:t>
      </w:r>
      <w:r>
        <w:rPr>
          <w:rFonts w:hint="eastAsia" w:ascii="宋体" w:hAnsi="宋体" w:eastAsia="宋体" w:cs="宋体"/>
          <w:b/>
          <w:bCs/>
          <w:color w:val="auto"/>
          <w:sz w:val="21"/>
          <w:szCs w:val="21"/>
          <w:highlight w:val="none"/>
          <w:u w:val="none"/>
        </w:rPr>
        <w:t>：</w:t>
      </w:r>
      <w:r>
        <w:rPr>
          <w:rFonts w:hint="eastAsia" w:ascii="宋体" w:hAnsi="宋体" w:eastAsia="宋体" w:cs="宋体"/>
          <w:b/>
          <w:bCs/>
          <w:color w:val="auto"/>
          <w:sz w:val="21"/>
          <w:szCs w:val="21"/>
          <w:highlight w:val="none"/>
          <w:u w:val="single"/>
          <w:lang w:val="en-US" w:eastAsia="zh-CN"/>
        </w:rPr>
        <w:t xml:space="preserve">    </w:t>
      </w:r>
      <w:r>
        <w:rPr>
          <w:rFonts w:hint="eastAsia" w:ascii="宋体" w:hAnsi="宋体" w:eastAsia="宋体" w:cs="宋体"/>
          <w:b w:val="0"/>
          <w:bCs w:val="0"/>
          <w:color w:val="auto"/>
          <w:sz w:val="21"/>
          <w:szCs w:val="21"/>
          <w:highlight w:val="none"/>
          <w:u w:val="single"/>
        </w:rPr>
        <w:t>/</w:t>
      </w:r>
      <w:r>
        <w:rPr>
          <w:rFonts w:hint="eastAsia" w:ascii="宋体" w:hAnsi="宋体" w:eastAsia="宋体" w:cs="宋体"/>
          <w:b w:val="0"/>
          <w:bCs w:val="0"/>
          <w:color w:val="auto"/>
          <w:sz w:val="21"/>
          <w:szCs w:val="21"/>
          <w:highlight w:val="none"/>
          <w:u w:val="single"/>
          <w:lang w:val="en-US" w:eastAsia="zh-CN"/>
        </w:rPr>
        <w:t xml:space="preserve">    </w:t>
      </w:r>
      <w:r>
        <w:rPr>
          <w:rFonts w:hint="eastAsia" w:ascii="宋体" w:hAnsi="宋体" w:eastAsia="宋体" w:cs="宋体"/>
          <w:b w:val="0"/>
          <w:bCs w:val="0"/>
          <w:color w:val="auto"/>
          <w:sz w:val="21"/>
          <w:szCs w:val="21"/>
          <w:highlight w:val="none"/>
          <w:u w:val="none"/>
          <w:lang w:val="en-US" w:eastAsia="zh-CN"/>
        </w:rPr>
        <w:t>。</w:t>
      </w:r>
    </w:p>
    <w:p w14:paraId="0EBEAED4">
      <w:pPr>
        <w:keepNext w:val="0"/>
        <w:keepLines w:val="0"/>
        <w:pageBreakBefore w:val="0"/>
        <w:widowControl w:val="0"/>
        <w:kinsoku/>
        <w:wordWrap/>
        <w:overflowPunct/>
        <w:topLinePunct w:val="0"/>
        <w:bidi w:val="0"/>
        <w:spacing w:line="360" w:lineRule="auto"/>
        <w:ind w:firstLine="420" w:firstLineChars="200"/>
        <w:textAlignment w:val="auto"/>
        <w:outlineLvl w:val="9"/>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5.2 隐蔽工程检查</w:t>
      </w:r>
    </w:p>
    <w:p w14:paraId="1CD07D98">
      <w:pPr>
        <w:keepNext w:val="0"/>
        <w:keepLines w:val="0"/>
        <w:pageBreakBefore w:val="0"/>
        <w:widowControl w:val="0"/>
        <w:kinsoku/>
        <w:wordWrap/>
        <w:overflowPunct/>
        <w:topLinePunct w:val="0"/>
        <w:bidi w:val="0"/>
        <w:spacing w:line="360" w:lineRule="auto"/>
        <w:ind w:firstLine="420" w:firstLineChars="200"/>
        <w:textAlignment w:val="auto"/>
        <w:outlineLvl w:val="9"/>
        <w:rPr>
          <w:rFonts w:hint="eastAsia" w:ascii="宋体" w:hAnsi="宋体" w:eastAsia="宋体" w:cs="宋体"/>
          <w:b/>
          <w:bCs/>
          <w:color w:val="auto"/>
          <w:sz w:val="21"/>
          <w:szCs w:val="21"/>
          <w:highlight w:val="none"/>
          <w:u w:val="single"/>
        </w:rPr>
      </w:pPr>
      <w:r>
        <w:rPr>
          <w:rFonts w:hint="eastAsia" w:ascii="宋体" w:hAnsi="宋体" w:eastAsia="宋体" w:cs="宋体"/>
          <w:color w:val="auto"/>
          <w:sz w:val="21"/>
          <w:szCs w:val="21"/>
          <w:highlight w:val="none"/>
        </w:rPr>
        <w:t>5.2.1承包人提前通知监理人隐蔽工程检查的期限的约定：</w:t>
      </w:r>
      <w:r>
        <w:rPr>
          <w:rFonts w:hint="eastAsia" w:ascii="宋体" w:hAnsi="宋体" w:eastAsia="宋体" w:cs="宋体"/>
          <w:b/>
          <w:bCs/>
          <w:color w:val="auto"/>
          <w:sz w:val="21"/>
          <w:szCs w:val="21"/>
          <w:highlight w:val="none"/>
          <w:u w:val="single"/>
        </w:rPr>
        <w:t>按通用条款5.3.2执行。</w:t>
      </w:r>
    </w:p>
    <w:p w14:paraId="5D60C5E6">
      <w:pPr>
        <w:keepNext w:val="0"/>
        <w:keepLines w:val="0"/>
        <w:pageBreakBefore w:val="0"/>
        <w:widowControl w:val="0"/>
        <w:kinsoku/>
        <w:wordWrap/>
        <w:overflowPunct/>
        <w:topLinePunct w:val="0"/>
        <w:bidi w:val="0"/>
        <w:spacing w:line="360" w:lineRule="auto"/>
        <w:ind w:firstLine="420" w:firstLineChars="200"/>
        <w:textAlignment w:val="auto"/>
        <w:outlineLvl w:val="9"/>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监理人不能按时进行检查时，应提前</w:t>
      </w:r>
      <w:r>
        <w:rPr>
          <w:rFonts w:hint="eastAsia" w:ascii="宋体" w:hAnsi="宋体" w:eastAsia="宋体" w:cs="宋体"/>
          <w:b/>
          <w:bCs/>
          <w:color w:val="auto"/>
          <w:sz w:val="21"/>
          <w:szCs w:val="21"/>
          <w:highlight w:val="none"/>
          <w:u w:val="single"/>
        </w:rPr>
        <w:t xml:space="preserve">  </w:t>
      </w:r>
      <w:r>
        <w:rPr>
          <w:rFonts w:hint="eastAsia" w:ascii="宋体" w:hAnsi="宋体" w:eastAsia="宋体" w:cs="宋体"/>
          <w:b/>
          <w:bCs/>
          <w:color w:val="auto"/>
          <w:sz w:val="21"/>
          <w:szCs w:val="21"/>
          <w:highlight w:val="none"/>
          <w:u w:val="single"/>
          <w:lang w:val="en-US" w:eastAsia="zh-CN"/>
        </w:rPr>
        <w:t>24</w:t>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rPr>
        <w:t>小时提交书面延期要求。</w:t>
      </w:r>
    </w:p>
    <w:p w14:paraId="16CD99D4">
      <w:pPr>
        <w:keepNext w:val="0"/>
        <w:keepLines w:val="0"/>
        <w:pageBreakBefore w:val="0"/>
        <w:widowControl w:val="0"/>
        <w:kinsoku/>
        <w:wordWrap/>
        <w:overflowPunct/>
        <w:topLinePunct w:val="0"/>
        <w:bidi w:val="0"/>
        <w:spacing w:line="360" w:lineRule="auto"/>
        <w:ind w:firstLine="420" w:firstLineChars="200"/>
        <w:textAlignment w:val="auto"/>
        <w:outlineLvl w:val="9"/>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关于延期最长不得超过：</w:t>
      </w:r>
      <w:r>
        <w:rPr>
          <w:rFonts w:hint="eastAsia" w:ascii="宋体" w:hAnsi="宋体" w:eastAsia="宋体" w:cs="宋体"/>
          <w:color w:val="auto"/>
          <w:sz w:val="21"/>
          <w:szCs w:val="21"/>
          <w:highlight w:val="none"/>
          <w:u w:val="single"/>
        </w:rPr>
        <w:t xml:space="preserve"> </w:t>
      </w:r>
      <w:r>
        <w:rPr>
          <w:rFonts w:hint="eastAsia" w:ascii="宋体" w:hAnsi="宋体" w:eastAsia="宋体" w:cs="宋体"/>
          <w:b/>
          <w:bCs/>
          <w:color w:val="auto"/>
          <w:sz w:val="21"/>
          <w:szCs w:val="21"/>
          <w:highlight w:val="none"/>
          <w:u w:val="single"/>
        </w:rPr>
        <w:t>48</w:t>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rPr>
        <w:t>小时。</w:t>
      </w:r>
    </w:p>
    <w:p w14:paraId="4CFEE3F7">
      <w:pPr>
        <w:keepNext w:val="0"/>
        <w:keepLines w:val="0"/>
        <w:pageBreakBefore w:val="0"/>
        <w:widowControl w:val="0"/>
        <w:numPr>
          <w:ilvl w:val="0"/>
          <w:numId w:val="1"/>
        </w:numPr>
        <w:tabs>
          <w:tab w:val="left" w:pos="961"/>
          <w:tab w:val="clear" w:pos="210"/>
        </w:tabs>
        <w:kinsoku/>
        <w:wordWrap/>
        <w:overflowPunct/>
        <w:topLinePunct w:val="0"/>
        <w:autoSpaceDE/>
        <w:autoSpaceDN/>
        <w:bidi w:val="0"/>
        <w:adjustRightInd/>
        <w:snapToGrid/>
        <w:spacing w:line="360" w:lineRule="auto"/>
        <w:ind w:left="0" w:leftChars="0" w:firstLine="422" w:firstLineChars="200"/>
        <w:textAlignment w:val="auto"/>
        <w:outlineLvl w:val="2"/>
        <w:rPr>
          <w:rFonts w:hint="eastAsia" w:ascii="宋体" w:hAnsi="宋体" w:eastAsia="宋体" w:cs="宋体"/>
          <w:b/>
          <w:bCs/>
          <w:color w:val="auto"/>
          <w:sz w:val="21"/>
          <w:szCs w:val="21"/>
          <w:highlight w:val="none"/>
        </w:rPr>
      </w:pPr>
      <w:bookmarkStart w:id="377" w:name="_Toc21630"/>
      <w:bookmarkStart w:id="378" w:name="_Toc16429"/>
      <w:bookmarkStart w:id="379" w:name="_Toc18084"/>
      <w:r>
        <w:rPr>
          <w:rFonts w:hint="eastAsia" w:ascii="宋体" w:hAnsi="宋体" w:eastAsia="宋体" w:cs="宋体"/>
          <w:b/>
          <w:bCs/>
          <w:color w:val="auto"/>
          <w:sz w:val="21"/>
          <w:szCs w:val="21"/>
          <w:highlight w:val="none"/>
        </w:rPr>
        <w:t>安全文明施工与环境保护</w:t>
      </w:r>
      <w:bookmarkEnd w:id="369"/>
      <w:bookmarkEnd w:id="377"/>
      <w:bookmarkEnd w:id="378"/>
      <w:bookmarkEnd w:id="379"/>
    </w:p>
    <w:bookmarkEnd w:id="356"/>
    <w:bookmarkEnd w:id="357"/>
    <w:bookmarkEnd w:id="358"/>
    <w:bookmarkEnd w:id="359"/>
    <w:bookmarkEnd w:id="360"/>
    <w:bookmarkEnd w:id="361"/>
    <w:bookmarkEnd w:id="362"/>
    <w:bookmarkEnd w:id="363"/>
    <w:bookmarkEnd w:id="364"/>
    <w:bookmarkEnd w:id="365"/>
    <w:bookmarkEnd w:id="370"/>
    <w:bookmarkEnd w:id="371"/>
    <w:bookmarkEnd w:id="372"/>
    <w:bookmarkEnd w:id="373"/>
    <w:bookmarkEnd w:id="374"/>
    <w:bookmarkEnd w:id="375"/>
    <w:bookmarkEnd w:id="376"/>
    <w:p w14:paraId="54EC7024">
      <w:pPr>
        <w:keepNext w:val="0"/>
        <w:keepLines w:val="0"/>
        <w:pageBreakBefore w:val="0"/>
        <w:widowControl w:val="0"/>
        <w:kinsoku/>
        <w:wordWrap/>
        <w:overflowPunct/>
        <w:topLinePunct w:val="0"/>
        <w:bidi w:val="0"/>
        <w:spacing w:line="360" w:lineRule="auto"/>
        <w:ind w:firstLine="420" w:firstLineChars="200"/>
        <w:textAlignment w:val="auto"/>
        <w:outlineLvl w:val="9"/>
        <w:rPr>
          <w:rFonts w:hint="eastAsia" w:ascii="宋体" w:hAnsi="宋体" w:eastAsia="宋体" w:cs="宋体"/>
          <w:color w:val="auto"/>
          <w:sz w:val="21"/>
          <w:szCs w:val="21"/>
          <w:highlight w:val="none"/>
        </w:rPr>
      </w:pPr>
      <w:bookmarkStart w:id="380" w:name="_Toc297123550"/>
      <w:bookmarkStart w:id="381" w:name="_Toc296346702"/>
      <w:bookmarkStart w:id="382" w:name="_Toc304295577"/>
      <w:bookmarkStart w:id="383" w:name="_Toc292559406"/>
      <w:bookmarkStart w:id="384" w:name="_Toc296891029"/>
      <w:bookmarkStart w:id="385" w:name="_Toc300935000"/>
      <w:bookmarkStart w:id="386" w:name="_Toc296944540"/>
      <w:bookmarkStart w:id="387" w:name="_Toc297048387"/>
      <w:bookmarkStart w:id="388" w:name="_Toc297120501"/>
      <w:bookmarkStart w:id="389" w:name="_Toc296503201"/>
      <w:bookmarkStart w:id="390" w:name="_Toc292559911"/>
      <w:bookmarkStart w:id="391" w:name="_Toc303539157"/>
      <w:bookmarkStart w:id="392" w:name="_Toc312678039"/>
      <w:bookmarkStart w:id="393" w:name="_Toc296891241"/>
      <w:bookmarkStart w:id="394" w:name="_Toc297216209"/>
      <w:bookmarkStart w:id="395" w:name="_Toc296347200"/>
      <w:bookmarkStart w:id="396" w:name="_Toc312678042"/>
      <w:bookmarkStart w:id="397" w:name="_Toc297216213"/>
      <w:bookmarkStart w:id="398" w:name="_Toc300935004"/>
      <w:bookmarkStart w:id="399" w:name="_Toc303539161"/>
      <w:bookmarkStart w:id="400" w:name="_Toc304295581"/>
      <w:bookmarkStart w:id="401" w:name="_Toc297123554"/>
      <w:bookmarkStart w:id="402" w:name="_Toc296891035"/>
      <w:bookmarkStart w:id="403" w:name="_Toc296503207"/>
      <w:bookmarkStart w:id="404" w:name="_Toc292559917"/>
      <w:bookmarkStart w:id="405" w:name="_Toc297120507"/>
      <w:bookmarkStart w:id="406" w:name="_Toc297048393"/>
      <w:bookmarkStart w:id="407" w:name="_Toc292559412"/>
      <w:bookmarkStart w:id="408" w:name="_Toc296891247"/>
      <w:bookmarkStart w:id="409" w:name="_Toc296346708"/>
      <w:bookmarkStart w:id="410" w:name="_Toc296347206"/>
      <w:bookmarkStart w:id="411" w:name="_Toc296944546"/>
      <w:bookmarkStart w:id="412" w:name="_Toc267251442"/>
      <w:r>
        <w:rPr>
          <w:rFonts w:hint="eastAsia" w:ascii="宋体" w:hAnsi="宋体" w:eastAsia="宋体" w:cs="宋体"/>
          <w:color w:val="auto"/>
          <w:sz w:val="21"/>
          <w:szCs w:val="21"/>
          <w:highlight w:val="none"/>
        </w:rPr>
        <w:t>6.1安全文明施工</w:t>
      </w:r>
    </w:p>
    <w:p w14:paraId="69D4217C">
      <w:pPr>
        <w:keepNext w:val="0"/>
        <w:keepLines w:val="0"/>
        <w:pageBreakBefore w:val="0"/>
        <w:widowControl w:val="0"/>
        <w:kinsoku/>
        <w:wordWrap/>
        <w:overflowPunct/>
        <w:topLinePunct w:val="0"/>
        <w:bidi w:val="0"/>
        <w:adjustRightInd w:val="0"/>
        <w:snapToGrid w:val="0"/>
        <w:spacing w:line="360" w:lineRule="auto"/>
        <w:ind w:firstLine="420" w:firstLineChars="200"/>
        <w:textAlignment w:val="auto"/>
        <w:outlineLvl w:val="9"/>
        <w:rPr>
          <w:rFonts w:hint="eastAsia" w:ascii="宋体" w:hAnsi="宋体" w:eastAsia="宋体" w:cs="宋体"/>
          <w:b/>
          <w:bCs/>
          <w:color w:val="auto"/>
          <w:sz w:val="21"/>
          <w:szCs w:val="21"/>
          <w:highlight w:val="none"/>
          <w:u w:val="single"/>
        </w:rPr>
      </w:pPr>
      <w:r>
        <w:rPr>
          <w:rFonts w:hint="eastAsia" w:ascii="宋体" w:hAnsi="宋体" w:eastAsia="宋体" w:cs="宋体"/>
          <w:color w:val="auto"/>
          <w:sz w:val="21"/>
          <w:szCs w:val="21"/>
          <w:highlight w:val="none"/>
          <w:lang w:bidi="en-US"/>
        </w:rPr>
        <w:t>6.1.1 项目安全生产的达标目标及相应事项的约定：</w:t>
      </w:r>
      <w:r>
        <w:rPr>
          <w:rFonts w:hint="eastAsia" w:ascii="宋体" w:hAnsi="宋体" w:eastAsia="宋体" w:cs="宋体"/>
          <w:b/>
          <w:bCs/>
          <w:color w:val="auto"/>
          <w:sz w:val="21"/>
          <w:szCs w:val="21"/>
          <w:highlight w:val="none"/>
          <w:u w:val="single"/>
        </w:rPr>
        <w:t>严格</w:t>
      </w:r>
      <w:r>
        <w:rPr>
          <w:rFonts w:hint="eastAsia" w:ascii="宋体" w:hAnsi="宋体" w:cs="宋体"/>
          <w:b/>
          <w:bCs/>
          <w:color w:val="auto"/>
          <w:sz w:val="21"/>
          <w:szCs w:val="21"/>
          <w:highlight w:val="none"/>
          <w:u w:val="single"/>
          <w:lang w:eastAsia="zh-CN"/>
        </w:rPr>
        <w:t>按照</w:t>
      </w:r>
      <w:r>
        <w:rPr>
          <w:rFonts w:hint="eastAsia" w:ascii="宋体" w:hAnsi="宋体" w:eastAsia="宋体" w:cs="宋体"/>
          <w:b/>
          <w:bCs/>
          <w:color w:val="auto"/>
          <w:sz w:val="21"/>
          <w:szCs w:val="21"/>
          <w:highlight w:val="none"/>
          <w:u w:val="single"/>
        </w:rPr>
        <w:t>安全管理条例及安全操作规程进行施工，如因承包人原因发生安全事故，所造成的一切损失由承包人负责。并执行《通用条款》及《中华人民共和国安全生产法》、中华人民共和国国务院第302号文《国务院关于特大安全事故责任追究的规定》等相关国家、地方规定，若发生安全事故，所造成的一切损失由承包人承担，具体参照省住房和城乡建设厅公告2010年第28号文。承包人必须严格按照国家安全生产、安全施工的相关规定组织施工，采取有效的安全防护措施，消除事故隐患，由于承包人安全措施不力造成的责任事故和因此发生的所有费用由承包人承担。</w:t>
      </w:r>
    </w:p>
    <w:p w14:paraId="5AD288AB">
      <w:pPr>
        <w:keepNext w:val="0"/>
        <w:keepLines w:val="0"/>
        <w:pageBreakBefore w:val="0"/>
        <w:widowControl w:val="0"/>
        <w:kinsoku/>
        <w:wordWrap/>
        <w:overflowPunct/>
        <w:topLinePunct w:val="0"/>
        <w:bidi w:val="0"/>
        <w:spacing w:line="360" w:lineRule="auto"/>
        <w:ind w:firstLine="420" w:firstLineChars="200"/>
        <w:textAlignment w:val="auto"/>
        <w:outlineLvl w:val="9"/>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6.1.2 关于治安保卫的特别约定：</w:t>
      </w:r>
      <w:r>
        <w:rPr>
          <w:rFonts w:hint="eastAsia" w:ascii="宋体" w:hAnsi="宋体" w:eastAsia="宋体" w:cs="宋体"/>
          <w:b/>
          <w:bCs/>
          <w:color w:val="auto"/>
          <w:sz w:val="21"/>
          <w:szCs w:val="21"/>
          <w:highlight w:val="none"/>
          <w:u w:val="single"/>
        </w:rPr>
        <w:t>承包人负责建立现场治安管理机构或联防组织，统一管理施工场地的治安保卫事项，相应的费用由承包人承担</w:t>
      </w:r>
      <w:r>
        <w:rPr>
          <w:rFonts w:hint="eastAsia" w:ascii="宋体" w:hAnsi="宋体" w:eastAsia="宋体" w:cs="宋体"/>
          <w:color w:val="auto"/>
          <w:sz w:val="21"/>
          <w:szCs w:val="21"/>
          <w:highlight w:val="none"/>
        </w:rPr>
        <w:t>。</w:t>
      </w:r>
    </w:p>
    <w:p w14:paraId="518CA4C8">
      <w:pPr>
        <w:keepNext w:val="0"/>
        <w:keepLines w:val="0"/>
        <w:pageBreakBefore w:val="0"/>
        <w:widowControl w:val="0"/>
        <w:kinsoku/>
        <w:wordWrap/>
        <w:overflowPunct/>
        <w:topLinePunct w:val="0"/>
        <w:bidi w:val="0"/>
        <w:spacing w:line="360" w:lineRule="auto"/>
        <w:ind w:firstLine="420" w:firstLineChars="200"/>
        <w:textAlignment w:val="auto"/>
        <w:outlineLvl w:val="9"/>
        <w:rPr>
          <w:rFonts w:hint="eastAsia" w:ascii="宋体" w:hAnsi="宋体" w:eastAsia="宋体" w:cs="宋体"/>
          <w:b/>
          <w:bCs/>
          <w:color w:val="auto"/>
          <w:sz w:val="21"/>
          <w:szCs w:val="21"/>
          <w:highlight w:val="none"/>
          <w:u w:val="single"/>
        </w:rPr>
      </w:pPr>
      <w:r>
        <w:rPr>
          <w:rFonts w:hint="eastAsia" w:ascii="宋体" w:hAnsi="宋体" w:eastAsia="宋体" w:cs="宋体"/>
          <w:color w:val="auto"/>
          <w:sz w:val="21"/>
          <w:szCs w:val="21"/>
          <w:highlight w:val="none"/>
        </w:rPr>
        <w:t>关于编制施工场地治安管理计划的约定：</w:t>
      </w:r>
      <w:r>
        <w:rPr>
          <w:rFonts w:hint="eastAsia" w:ascii="宋体" w:hAnsi="宋体" w:eastAsia="宋体" w:cs="宋体"/>
          <w:b/>
          <w:bCs/>
          <w:color w:val="auto"/>
          <w:sz w:val="21"/>
          <w:szCs w:val="21"/>
          <w:highlight w:val="none"/>
          <w:u w:val="single"/>
        </w:rPr>
        <w:t>由承包人主导，发包人配合，在工程开工后7天内共同编制</w:t>
      </w:r>
      <w:r>
        <w:rPr>
          <w:rFonts w:hint="eastAsia" w:ascii="宋体" w:hAnsi="宋体" w:eastAsia="宋体" w:cs="宋体"/>
          <w:color w:val="auto"/>
          <w:sz w:val="21"/>
          <w:szCs w:val="21"/>
          <w:highlight w:val="none"/>
        </w:rPr>
        <w:t>。</w:t>
      </w:r>
    </w:p>
    <w:p w14:paraId="09551DEE">
      <w:pPr>
        <w:keepNext w:val="0"/>
        <w:keepLines w:val="0"/>
        <w:pageBreakBefore w:val="0"/>
        <w:widowControl w:val="0"/>
        <w:kinsoku/>
        <w:wordWrap/>
        <w:overflowPunct/>
        <w:topLinePunct w:val="0"/>
        <w:bidi w:val="0"/>
        <w:spacing w:line="360" w:lineRule="auto"/>
        <w:ind w:firstLine="420" w:firstLineChars="200"/>
        <w:textAlignment w:val="auto"/>
        <w:outlineLvl w:val="9"/>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6.1.3 文明施工</w:t>
      </w:r>
    </w:p>
    <w:p w14:paraId="44797ADE">
      <w:pPr>
        <w:keepNext w:val="0"/>
        <w:keepLines w:val="0"/>
        <w:pageBreakBefore w:val="0"/>
        <w:widowControl w:val="0"/>
        <w:kinsoku/>
        <w:wordWrap/>
        <w:overflowPunct/>
        <w:topLinePunct w:val="0"/>
        <w:bidi w:val="0"/>
        <w:spacing w:line="360" w:lineRule="auto"/>
        <w:ind w:firstLine="411" w:firstLineChars="196"/>
        <w:textAlignment w:val="auto"/>
        <w:outlineLvl w:val="9"/>
        <w:rPr>
          <w:rFonts w:hint="eastAsia" w:ascii="宋体" w:hAnsi="宋体" w:eastAsia="宋体" w:cs="宋体"/>
          <w:b/>
          <w:bCs/>
          <w:color w:val="auto"/>
          <w:sz w:val="21"/>
          <w:szCs w:val="21"/>
          <w:highlight w:val="none"/>
          <w:u w:val="single"/>
        </w:rPr>
      </w:pPr>
      <w:r>
        <w:rPr>
          <w:rFonts w:hint="eastAsia" w:ascii="宋体" w:hAnsi="宋体" w:eastAsia="宋体" w:cs="宋体"/>
          <w:color w:val="auto"/>
          <w:sz w:val="21"/>
          <w:szCs w:val="21"/>
          <w:highlight w:val="none"/>
          <w:lang w:bidi="en-US"/>
        </w:rPr>
        <w:t>合同当事人对文明施工的要求：</w:t>
      </w:r>
      <w:r>
        <w:rPr>
          <w:rFonts w:hint="eastAsia" w:ascii="宋体" w:hAnsi="宋体" w:eastAsia="宋体" w:cs="宋体"/>
          <w:b/>
          <w:bCs/>
          <w:color w:val="auto"/>
          <w:sz w:val="21"/>
          <w:szCs w:val="21"/>
          <w:highlight w:val="none"/>
          <w:u w:val="single"/>
        </w:rPr>
        <w:t>除按照当地建设工程文明施工管理办法及现场相关管理规定，“通用条款”6.1.5执行外，还需按如下规定办理：</w:t>
      </w:r>
    </w:p>
    <w:p w14:paraId="16A87386">
      <w:pPr>
        <w:keepNext w:val="0"/>
        <w:keepLines w:val="0"/>
        <w:pageBreakBefore w:val="0"/>
        <w:widowControl w:val="0"/>
        <w:kinsoku/>
        <w:wordWrap/>
        <w:overflowPunct/>
        <w:topLinePunct w:val="0"/>
        <w:bidi w:val="0"/>
        <w:spacing w:line="360" w:lineRule="auto"/>
        <w:ind w:firstLine="413" w:firstLineChars="196"/>
        <w:textAlignment w:val="auto"/>
        <w:outlineLvl w:val="9"/>
        <w:rPr>
          <w:rFonts w:hint="eastAsia" w:ascii="宋体" w:hAnsi="宋体" w:eastAsia="宋体" w:cs="宋体"/>
          <w:b/>
          <w:bCs/>
          <w:color w:val="auto"/>
          <w:sz w:val="21"/>
          <w:szCs w:val="21"/>
          <w:highlight w:val="none"/>
          <w:u w:val="single"/>
        </w:rPr>
      </w:pPr>
      <w:r>
        <w:rPr>
          <w:rFonts w:hint="eastAsia" w:ascii="宋体" w:hAnsi="宋体" w:eastAsia="宋体" w:cs="宋体"/>
          <w:b/>
          <w:bCs/>
          <w:color w:val="auto"/>
          <w:sz w:val="21"/>
          <w:szCs w:val="21"/>
          <w:highlight w:val="none"/>
          <w:u w:val="single"/>
        </w:rPr>
        <w:t>易产生扬尘的水泥、砂石等物料应当存放入库或者遮盖；运送建材、渣土的车辆，必须实行密闭化运输，采取密封、包扎覆盖等措施，严禁超载，不得泄露、泼洒。</w:t>
      </w:r>
    </w:p>
    <w:p w14:paraId="36961A9C">
      <w:pPr>
        <w:keepNext w:val="0"/>
        <w:keepLines w:val="0"/>
        <w:pageBreakBefore w:val="0"/>
        <w:widowControl w:val="0"/>
        <w:kinsoku/>
        <w:wordWrap/>
        <w:overflowPunct/>
        <w:topLinePunct w:val="0"/>
        <w:bidi w:val="0"/>
        <w:spacing w:line="360" w:lineRule="auto"/>
        <w:ind w:firstLine="413" w:firstLineChars="196"/>
        <w:textAlignment w:val="auto"/>
        <w:outlineLvl w:val="9"/>
        <w:rPr>
          <w:rFonts w:hint="eastAsia" w:ascii="宋体" w:hAnsi="宋体" w:eastAsia="宋体" w:cs="宋体"/>
          <w:b/>
          <w:bCs/>
          <w:color w:val="auto"/>
          <w:sz w:val="21"/>
          <w:szCs w:val="21"/>
          <w:highlight w:val="none"/>
          <w:u w:val="single"/>
        </w:rPr>
      </w:pPr>
      <w:r>
        <w:rPr>
          <w:rFonts w:hint="eastAsia" w:ascii="宋体" w:hAnsi="宋体" w:eastAsia="宋体" w:cs="宋体"/>
          <w:b/>
          <w:bCs/>
          <w:color w:val="auto"/>
          <w:sz w:val="21"/>
          <w:szCs w:val="21"/>
          <w:highlight w:val="none"/>
          <w:u w:val="single"/>
        </w:rPr>
        <w:t>工地现场必须达到“安全文明工地”的要求，夜间不得扰民，严格遵守国家环保的相关政策法规，做好降噪、降尘、防污措施。必须服从发包人现场管理的统一协调指挥，服从大局。竣工验收后十天内，做到料净场清。</w:t>
      </w:r>
    </w:p>
    <w:p w14:paraId="5FDA6884">
      <w:pPr>
        <w:keepNext w:val="0"/>
        <w:keepLines w:val="0"/>
        <w:pageBreakBefore w:val="0"/>
        <w:widowControl w:val="0"/>
        <w:kinsoku/>
        <w:wordWrap/>
        <w:overflowPunct/>
        <w:topLinePunct w:val="0"/>
        <w:bidi w:val="0"/>
        <w:spacing w:line="360" w:lineRule="auto"/>
        <w:ind w:firstLine="413" w:firstLineChars="196"/>
        <w:textAlignment w:val="auto"/>
        <w:outlineLvl w:val="9"/>
        <w:rPr>
          <w:rFonts w:hint="eastAsia" w:ascii="宋体" w:hAnsi="宋体" w:eastAsia="宋体" w:cs="宋体"/>
          <w:b/>
          <w:bCs/>
          <w:color w:val="auto"/>
          <w:sz w:val="21"/>
          <w:szCs w:val="21"/>
          <w:highlight w:val="none"/>
          <w:u w:val="single"/>
        </w:rPr>
      </w:pPr>
      <w:r>
        <w:rPr>
          <w:rFonts w:hint="eastAsia" w:ascii="宋体" w:hAnsi="宋体" w:eastAsia="宋体" w:cs="宋体"/>
          <w:b/>
          <w:bCs/>
          <w:color w:val="auto"/>
          <w:sz w:val="21"/>
          <w:szCs w:val="21"/>
          <w:highlight w:val="none"/>
          <w:u w:val="single"/>
        </w:rPr>
        <w:t>工地区域内不得建盖作业工人的临时住房。为了保证施工场地文明施工，须做好清扫保洁工作。</w:t>
      </w:r>
    </w:p>
    <w:p w14:paraId="53EC3CCF">
      <w:pPr>
        <w:keepNext w:val="0"/>
        <w:keepLines w:val="0"/>
        <w:pageBreakBefore w:val="0"/>
        <w:widowControl w:val="0"/>
        <w:kinsoku/>
        <w:wordWrap/>
        <w:overflowPunct/>
        <w:topLinePunct w:val="0"/>
        <w:bidi w:val="0"/>
        <w:spacing w:line="360" w:lineRule="auto"/>
        <w:ind w:firstLine="413" w:firstLineChars="196"/>
        <w:textAlignment w:val="auto"/>
        <w:outlineLvl w:val="9"/>
        <w:rPr>
          <w:rFonts w:hint="eastAsia" w:ascii="宋体" w:hAnsi="宋体" w:eastAsia="宋体" w:cs="宋体"/>
          <w:b/>
          <w:bCs/>
          <w:color w:val="auto"/>
          <w:sz w:val="21"/>
          <w:szCs w:val="21"/>
          <w:highlight w:val="none"/>
          <w:u w:val="single"/>
        </w:rPr>
      </w:pPr>
      <w:r>
        <w:rPr>
          <w:rFonts w:hint="eastAsia" w:ascii="宋体" w:hAnsi="宋体" w:eastAsia="宋体" w:cs="宋体"/>
          <w:b/>
          <w:bCs/>
          <w:color w:val="auto"/>
          <w:sz w:val="21"/>
          <w:szCs w:val="21"/>
          <w:highlight w:val="none"/>
          <w:u w:val="single"/>
        </w:rPr>
        <w:t>施工现场做好降噪、降尘、防污措施，不得影响</w:t>
      </w:r>
      <w:r>
        <w:rPr>
          <w:rFonts w:hint="eastAsia" w:ascii="宋体" w:hAnsi="宋体" w:cs="宋体"/>
          <w:b/>
          <w:bCs/>
          <w:color w:val="auto"/>
          <w:sz w:val="21"/>
          <w:szCs w:val="21"/>
          <w:highlight w:val="none"/>
          <w:u w:val="single"/>
          <w:lang w:val="en-US" w:eastAsia="zh-CN"/>
        </w:rPr>
        <w:t>院内正常运行</w:t>
      </w:r>
      <w:r>
        <w:rPr>
          <w:rFonts w:hint="eastAsia" w:ascii="宋体" w:hAnsi="宋体" w:eastAsia="宋体" w:cs="宋体"/>
          <w:b/>
          <w:bCs/>
          <w:color w:val="auto"/>
          <w:sz w:val="21"/>
          <w:szCs w:val="21"/>
          <w:highlight w:val="none"/>
          <w:u w:val="single"/>
        </w:rPr>
        <w:t>。</w:t>
      </w:r>
    </w:p>
    <w:p w14:paraId="1AC55F66">
      <w:pPr>
        <w:keepNext w:val="0"/>
        <w:keepLines w:val="0"/>
        <w:pageBreakBefore w:val="0"/>
        <w:widowControl w:val="0"/>
        <w:kinsoku/>
        <w:wordWrap/>
        <w:overflowPunct/>
        <w:topLinePunct w:val="0"/>
        <w:bidi w:val="0"/>
        <w:spacing w:line="360" w:lineRule="auto"/>
        <w:ind w:firstLine="413" w:firstLineChars="196"/>
        <w:textAlignment w:val="auto"/>
        <w:outlineLvl w:val="9"/>
        <w:rPr>
          <w:rFonts w:hint="eastAsia" w:ascii="宋体" w:hAnsi="宋体" w:eastAsia="宋体" w:cs="宋体"/>
          <w:b/>
          <w:bCs/>
          <w:color w:val="auto"/>
          <w:sz w:val="21"/>
          <w:szCs w:val="21"/>
          <w:highlight w:val="none"/>
          <w:u w:val="single"/>
        </w:rPr>
      </w:pPr>
      <w:r>
        <w:rPr>
          <w:rFonts w:hint="eastAsia" w:ascii="宋体" w:hAnsi="宋体" w:eastAsia="宋体" w:cs="宋体"/>
          <w:b/>
          <w:bCs/>
          <w:color w:val="auto"/>
          <w:sz w:val="21"/>
          <w:szCs w:val="21"/>
          <w:highlight w:val="none"/>
          <w:u w:val="single"/>
        </w:rPr>
        <w:t>大型机械进场施工不得影响</w:t>
      </w:r>
      <w:r>
        <w:rPr>
          <w:rFonts w:hint="eastAsia" w:ascii="宋体" w:hAnsi="宋体" w:cs="宋体"/>
          <w:b/>
          <w:bCs/>
          <w:color w:val="auto"/>
          <w:sz w:val="21"/>
          <w:szCs w:val="21"/>
          <w:highlight w:val="none"/>
          <w:u w:val="single"/>
          <w:lang w:val="en-US" w:eastAsia="zh-CN"/>
        </w:rPr>
        <w:t>院内正常运行</w:t>
      </w:r>
      <w:r>
        <w:rPr>
          <w:rFonts w:hint="eastAsia" w:ascii="宋体" w:hAnsi="宋体" w:eastAsia="宋体" w:cs="宋体"/>
          <w:b/>
          <w:bCs/>
          <w:color w:val="auto"/>
          <w:sz w:val="21"/>
          <w:szCs w:val="21"/>
          <w:highlight w:val="none"/>
          <w:u w:val="single"/>
        </w:rPr>
        <w:t>，如发生上访、投诉等问题，由承包人自行解决。</w:t>
      </w:r>
    </w:p>
    <w:p w14:paraId="440D14AB">
      <w:pPr>
        <w:keepNext w:val="0"/>
        <w:keepLines w:val="0"/>
        <w:pageBreakBefore w:val="0"/>
        <w:widowControl w:val="0"/>
        <w:kinsoku/>
        <w:wordWrap/>
        <w:overflowPunct/>
        <w:topLinePunct w:val="0"/>
        <w:autoSpaceDE w:val="0"/>
        <w:autoSpaceDN w:val="0"/>
        <w:bidi w:val="0"/>
        <w:adjustRightInd w:val="0"/>
        <w:spacing w:line="360" w:lineRule="auto"/>
        <w:ind w:firstLine="420" w:firstLineChars="200"/>
        <w:textAlignment w:val="auto"/>
        <w:outlineLvl w:val="9"/>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6.1.4承包人的安全责任</w:t>
      </w:r>
    </w:p>
    <w:p w14:paraId="1648B67C">
      <w:pPr>
        <w:keepNext w:val="0"/>
        <w:keepLines w:val="0"/>
        <w:pageBreakBefore w:val="0"/>
        <w:widowControl w:val="0"/>
        <w:kinsoku/>
        <w:wordWrap/>
        <w:overflowPunct/>
        <w:topLinePunct w:val="0"/>
        <w:bidi w:val="0"/>
        <w:spacing w:line="360" w:lineRule="auto"/>
        <w:ind w:firstLine="413" w:firstLineChars="196"/>
        <w:textAlignment w:val="auto"/>
        <w:outlineLvl w:val="9"/>
        <w:rPr>
          <w:rFonts w:hint="eastAsia" w:ascii="宋体" w:hAnsi="宋体" w:eastAsia="宋体" w:cs="宋体"/>
          <w:b/>
          <w:bCs/>
          <w:color w:val="auto"/>
          <w:sz w:val="21"/>
          <w:szCs w:val="21"/>
          <w:highlight w:val="none"/>
          <w:u w:val="single"/>
        </w:rPr>
      </w:pPr>
      <w:r>
        <w:rPr>
          <w:rFonts w:hint="eastAsia" w:ascii="宋体" w:hAnsi="宋体" w:eastAsia="宋体" w:cs="宋体"/>
          <w:b/>
          <w:bCs/>
          <w:color w:val="auto"/>
          <w:sz w:val="21"/>
          <w:szCs w:val="21"/>
          <w:highlight w:val="none"/>
          <w:u w:val="single"/>
        </w:rPr>
        <w:t>除按通用条款及国家规定由行政主管部门处罚外，承包人因自身原因造成的重大安全事故(含工程质量事故</w:t>
      </w:r>
      <w:r>
        <w:rPr>
          <w:rFonts w:hint="eastAsia" w:ascii="宋体" w:hAnsi="宋体" w:cs="宋体"/>
          <w:b/>
          <w:bCs/>
          <w:color w:val="auto"/>
          <w:sz w:val="21"/>
          <w:szCs w:val="21"/>
          <w:highlight w:val="none"/>
          <w:u w:val="single"/>
          <w:lang w:eastAsia="zh-CN"/>
        </w:rPr>
        <w:t>）</w:t>
      </w:r>
      <w:r>
        <w:rPr>
          <w:rFonts w:hint="eastAsia" w:ascii="宋体" w:hAnsi="宋体" w:eastAsia="宋体" w:cs="宋体"/>
          <w:b/>
          <w:bCs/>
          <w:color w:val="auto"/>
          <w:sz w:val="21"/>
          <w:szCs w:val="21"/>
          <w:highlight w:val="none"/>
          <w:u w:val="single"/>
        </w:rPr>
        <w:t>的，视为承包人违约，发包人有权向承包人依照下列约定主张违约责任：</w:t>
      </w:r>
    </w:p>
    <w:p w14:paraId="76699F45">
      <w:pPr>
        <w:keepNext w:val="0"/>
        <w:keepLines w:val="0"/>
        <w:pageBreakBefore w:val="0"/>
        <w:widowControl w:val="0"/>
        <w:kinsoku/>
        <w:wordWrap/>
        <w:overflowPunct/>
        <w:topLinePunct w:val="0"/>
        <w:bidi w:val="0"/>
        <w:spacing w:line="360" w:lineRule="auto"/>
        <w:ind w:firstLine="413" w:firstLineChars="196"/>
        <w:textAlignment w:val="auto"/>
        <w:outlineLvl w:val="9"/>
        <w:rPr>
          <w:rFonts w:hint="eastAsia" w:ascii="宋体" w:hAnsi="宋体" w:eastAsia="宋体" w:cs="宋体"/>
          <w:b/>
          <w:bCs/>
          <w:color w:val="auto"/>
          <w:sz w:val="21"/>
          <w:szCs w:val="21"/>
          <w:highlight w:val="none"/>
          <w:u w:val="single"/>
        </w:rPr>
      </w:pPr>
      <w:r>
        <w:rPr>
          <w:rFonts w:hint="eastAsia" w:ascii="宋体" w:hAnsi="宋体" w:eastAsia="宋体" w:cs="宋体"/>
          <w:b/>
          <w:bCs/>
          <w:color w:val="auto"/>
          <w:sz w:val="21"/>
          <w:szCs w:val="21"/>
          <w:highlight w:val="none"/>
          <w:u w:val="single"/>
        </w:rPr>
        <w:t>①发生特别重大事故及重大工程质量事故，承包人按事故所在分部分项工程暂定合同价款的1</w:t>
      </w:r>
      <w:r>
        <w:rPr>
          <w:rFonts w:hint="eastAsia" w:ascii="宋体" w:hAnsi="宋体" w:cs="宋体"/>
          <w:b/>
          <w:bCs/>
          <w:color w:val="auto"/>
          <w:sz w:val="21"/>
          <w:szCs w:val="21"/>
          <w:highlight w:val="none"/>
          <w:u w:val="single"/>
          <w:lang w:val="en-US" w:eastAsia="zh-CN"/>
        </w:rPr>
        <w:t>0</w:t>
      </w:r>
      <w:r>
        <w:rPr>
          <w:rFonts w:hint="eastAsia" w:ascii="宋体" w:hAnsi="宋体" w:eastAsia="宋体" w:cs="宋体"/>
          <w:b/>
          <w:bCs/>
          <w:color w:val="auto"/>
          <w:sz w:val="21"/>
          <w:szCs w:val="21"/>
          <w:highlight w:val="none"/>
          <w:u w:val="single"/>
        </w:rPr>
        <w:t>％向发包人支付违约金，违约金的最低数额不得低于</w:t>
      </w:r>
      <w:r>
        <w:rPr>
          <w:rFonts w:hint="eastAsia" w:ascii="宋体" w:hAnsi="宋体" w:cs="宋体"/>
          <w:b/>
          <w:bCs/>
          <w:color w:val="auto"/>
          <w:sz w:val="21"/>
          <w:szCs w:val="21"/>
          <w:highlight w:val="none"/>
          <w:u w:val="single"/>
          <w:lang w:val="en-US" w:eastAsia="zh-CN"/>
        </w:rPr>
        <w:t>2</w:t>
      </w:r>
      <w:r>
        <w:rPr>
          <w:rFonts w:hint="eastAsia" w:ascii="宋体" w:hAnsi="宋体" w:eastAsia="宋体" w:cs="宋体"/>
          <w:b/>
          <w:bCs/>
          <w:color w:val="auto"/>
          <w:sz w:val="21"/>
          <w:szCs w:val="21"/>
          <w:highlight w:val="none"/>
          <w:u w:val="single"/>
        </w:rPr>
        <w:t>万元；</w:t>
      </w:r>
    </w:p>
    <w:p w14:paraId="67B158D9">
      <w:pPr>
        <w:keepNext w:val="0"/>
        <w:keepLines w:val="0"/>
        <w:pageBreakBefore w:val="0"/>
        <w:widowControl w:val="0"/>
        <w:kinsoku/>
        <w:wordWrap/>
        <w:overflowPunct/>
        <w:topLinePunct w:val="0"/>
        <w:bidi w:val="0"/>
        <w:spacing w:line="360" w:lineRule="auto"/>
        <w:ind w:firstLine="413" w:firstLineChars="196"/>
        <w:textAlignment w:val="auto"/>
        <w:outlineLvl w:val="9"/>
        <w:rPr>
          <w:rFonts w:hint="eastAsia" w:ascii="宋体" w:hAnsi="宋体" w:eastAsia="宋体" w:cs="宋体"/>
          <w:b/>
          <w:bCs/>
          <w:color w:val="auto"/>
          <w:sz w:val="21"/>
          <w:szCs w:val="21"/>
          <w:highlight w:val="none"/>
          <w:u w:val="single"/>
        </w:rPr>
      </w:pPr>
      <w:r>
        <w:rPr>
          <w:rFonts w:hint="eastAsia" w:ascii="宋体" w:hAnsi="宋体" w:eastAsia="宋体" w:cs="宋体"/>
          <w:b/>
          <w:bCs/>
          <w:color w:val="auto"/>
          <w:sz w:val="21"/>
          <w:szCs w:val="21"/>
          <w:highlight w:val="none"/>
          <w:u w:val="single"/>
        </w:rPr>
        <w:t>②发生重大事故及严重质量事故，承包人按所在分部分项工程暂定合同价款的1</w:t>
      </w:r>
      <w:r>
        <w:rPr>
          <w:rFonts w:hint="eastAsia" w:ascii="宋体" w:hAnsi="宋体" w:cs="宋体"/>
          <w:b/>
          <w:bCs/>
          <w:color w:val="auto"/>
          <w:sz w:val="21"/>
          <w:szCs w:val="21"/>
          <w:highlight w:val="none"/>
          <w:u w:val="single"/>
          <w:lang w:val="en-US" w:eastAsia="zh-CN"/>
        </w:rPr>
        <w:t>0</w:t>
      </w:r>
      <w:r>
        <w:rPr>
          <w:rFonts w:hint="eastAsia" w:ascii="宋体" w:hAnsi="宋体" w:eastAsia="宋体" w:cs="宋体"/>
          <w:b/>
          <w:bCs/>
          <w:color w:val="auto"/>
          <w:sz w:val="21"/>
          <w:szCs w:val="21"/>
          <w:highlight w:val="none"/>
          <w:u w:val="single"/>
        </w:rPr>
        <w:t>％向发包人支付违约金，违约金的最低数额不得低于</w:t>
      </w:r>
      <w:r>
        <w:rPr>
          <w:rFonts w:hint="eastAsia" w:ascii="宋体" w:hAnsi="宋体" w:cs="宋体"/>
          <w:b/>
          <w:bCs/>
          <w:color w:val="auto"/>
          <w:sz w:val="21"/>
          <w:szCs w:val="21"/>
          <w:highlight w:val="none"/>
          <w:u w:val="single"/>
          <w:lang w:val="en-US" w:eastAsia="zh-CN"/>
        </w:rPr>
        <w:t>2</w:t>
      </w:r>
      <w:r>
        <w:rPr>
          <w:rFonts w:hint="eastAsia" w:ascii="宋体" w:hAnsi="宋体" w:eastAsia="宋体" w:cs="宋体"/>
          <w:b/>
          <w:bCs/>
          <w:color w:val="auto"/>
          <w:sz w:val="21"/>
          <w:szCs w:val="21"/>
          <w:highlight w:val="none"/>
          <w:u w:val="single"/>
        </w:rPr>
        <w:t>万元；</w:t>
      </w:r>
    </w:p>
    <w:p w14:paraId="4F8F9826">
      <w:pPr>
        <w:keepNext w:val="0"/>
        <w:keepLines w:val="0"/>
        <w:pageBreakBefore w:val="0"/>
        <w:widowControl w:val="0"/>
        <w:kinsoku/>
        <w:wordWrap/>
        <w:overflowPunct/>
        <w:topLinePunct w:val="0"/>
        <w:bidi w:val="0"/>
        <w:spacing w:line="360" w:lineRule="auto"/>
        <w:ind w:firstLine="413" w:firstLineChars="196"/>
        <w:textAlignment w:val="auto"/>
        <w:outlineLvl w:val="9"/>
        <w:rPr>
          <w:rFonts w:hint="eastAsia" w:ascii="宋体" w:hAnsi="宋体" w:eastAsia="宋体" w:cs="宋体"/>
          <w:b/>
          <w:bCs/>
          <w:color w:val="auto"/>
          <w:sz w:val="21"/>
          <w:szCs w:val="21"/>
          <w:highlight w:val="none"/>
          <w:u w:val="single"/>
        </w:rPr>
      </w:pPr>
      <w:r>
        <w:rPr>
          <w:rFonts w:hint="eastAsia" w:ascii="宋体" w:hAnsi="宋体" w:eastAsia="宋体" w:cs="宋体"/>
          <w:b/>
          <w:bCs/>
          <w:color w:val="auto"/>
          <w:sz w:val="21"/>
          <w:szCs w:val="21"/>
          <w:highlight w:val="none"/>
          <w:u w:val="single"/>
        </w:rPr>
        <w:t>③发生较大事故及一般质量事故，承包人按所在分部分项工程暂定合同价款的10%向发包人支付违约金，违约金最低数额不得低于2万元；</w:t>
      </w:r>
    </w:p>
    <w:p w14:paraId="2608A098">
      <w:pPr>
        <w:keepNext w:val="0"/>
        <w:keepLines w:val="0"/>
        <w:pageBreakBefore w:val="0"/>
        <w:widowControl w:val="0"/>
        <w:kinsoku/>
        <w:wordWrap/>
        <w:overflowPunct/>
        <w:topLinePunct w:val="0"/>
        <w:bidi w:val="0"/>
        <w:spacing w:line="360" w:lineRule="auto"/>
        <w:ind w:firstLine="413" w:firstLineChars="196"/>
        <w:textAlignment w:val="auto"/>
        <w:outlineLvl w:val="9"/>
        <w:rPr>
          <w:rFonts w:hint="eastAsia" w:ascii="宋体" w:hAnsi="宋体" w:eastAsia="宋体" w:cs="宋体"/>
          <w:b/>
          <w:bCs/>
          <w:color w:val="auto"/>
          <w:sz w:val="21"/>
          <w:szCs w:val="21"/>
          <w:highlight w:val="none"/>
          <w:u w:val="single"/>
        </w:rPr>
      </w:pPr>
      <w:r>
        <w:rPr>
          <w:rFonts w:hint="eastAsia" w:ascii="宋体" w:hAnsi="宋体" w:eastAsia="宋体" w:cs="宋体"/>
          <w:b/>
          <w:bCs/>
          <w:color w:val="auto"/>
          <w:sz w:val="21"/>
          <w:szCs w:val="21"/>
          <w:highlight w:val="none"/>
          <w:u w:val="single"/>
        </w:rPr>
        <w:t>④发生一般事故及质量问题，承包人按所在分部分项工程暂定合同价款的8％向发包人支付违约金，违约金最低数额不得低于1万元；</w:t>
      </w:r>
    </w:p>
    <w:p w14:paraId="70BB0433">
      <w:pPr>
        <w:keepNext w:val="0"/>
        <w:keepLines w:val="0"/>
        <w:pageBreakBefore w:val="0"/>
        <w:widowControl w:val="0"/>
        <w:kinsoku/>
        <w:wordWrap/>
        <w:overflowPunct/>
        <w:topLinePunct w:val="0"/>
        <w:bidi w:val="0"/>
        <w:spacing w:line="360" w:lineRule="auto"/>
        <w:ind w:firstLine="413" w:firstLineChars="196"/>
        <w:textAlignment w:val="auto"/>
        <w:outlineLvl w:val="9"/>
        <w:rPr>
          <w:rFonts w:hint="eastAsia" w:ascii="宋体" w:hAnsi="宋体" w:eastAsia="宋体" w:cs="宋体"/>
          <w:b/>
          <w:bCs/>
          <w:color w:val="auto"/>
          <w:sz w:val="21"/>
          <w:szCs w:val="21"/>
          <w:highlight w:val="none"/>
          <w:u w:val="single"/>
        </w:rPr>
      </w:pPr>
      <w:r>
        <w:rPr>
          <w:rFonts w:hint="eastAsia" w:ascii="宋体" w:hAnsi="宋体" w:eastAsia="宋体" w:cs="宋体"/>
          <w:b/>
          <w:bCs/>
          <w:color w:val="auto"/>
          <w:sz w:val="21"/>
          <w:szCs w:val="21"/>
          <w:highlight w:val="none"/>
          <w:u w:val="single"/>
        </w:rPr>
        <w:t>⑤发生上述重大事故，发包人视情况严重性，有权对承包人做出限期改正及要求承担违约责任，并有权部分或全部解除合同；</w:t>
      </w:r>
    </w:p>
    <w:p w14:paraId="3FCF7A21">
      <w:pPr>
        <w:keepNext w:val="0"/>
        <w:keepLines w:val="0"/>
        <w:pageBreakBefore w:val="0"/>
        <w:widowControl w:val="0"/>
        <w:kinsoku/>
        <w:wordWrap/>
        <w:overflowPunct/>
        <w:topLinePunct w:val="0"/>
        <w:bidi w:val="0"/>
        <w:spacing w:line="360" w:lineRule="auto"/>
        <w:ind w:firstLine="413" w:firstLineChars="196"/>
        <w:textAlignment w:val="auto"/>
        <w:outlineLvl w:val="9"/>
        <w:rPr>
          <w:rFonts w:hint="eastAsia" w:ascii="宋体" w:hAnsi="宋体" w:eastAsia="宋体" w:cs="宋体"/>
          <w:b/>
          <w:bCs/>
          <w:color w:val="auto"/>
          <w:sz w:val="21"/>
          <w:szCs w:val="21"/>
          <w:highlight w:val="none"/>
          <w:u w:val="single"/>
        </w:rPr>
      </w:pPr>
      <w:r>
        <w:rPr>
          <w:rFonts w:hint="eastAsia" w:ascii="宋体" w:hAnsi="宋体" w:eastAsia="宋体" w:cs="宋体"/>
          <w:b/>
          <w:bCs/>
          <w:color w:val="auto"/>
          <w:sz w:val="21"/>
          <w:szCs w:val="21"/>
          <w:highlight w:val="none"/>
          <w:u w:val="single"/>
        </w:rPr>
        <w:t>若发生上述情况，违约金从进度款里扣除。</w:t>
      </w:r>
    </w:p>
    <w:p w14:paraId="4204A677">
      <w:pPr>
        <w:keepNext w:val="0"/>
        <w:keepLines w:val="0"/>
        <w:pageBreakBefore w:val="0"/>
        <w:widowControl w:val="0"/>
        <w:kinsoku/>
        <w:wordWrap/>
        <w:overflowPunct/>
        <w:topLinePunct w:val="0"/>
        <w:autoSpaceDE/>
        <w:autoSpaceDN/>
        <w:bidi w:val="0"/>
        <w:adjustRightInd/>
        <w:snapToGrid/>
        <w:spacing w:line="360" w:lineRule="auto"/>
        <w:ind w:firstLine="422" w:firstLineChars="200"/>
        <w:textAlignment w:val="auto"/>
        <w:outlineLvl w:val="2"/>
        <w:rPr>
          <w:rFonts w:hint="eastAsia" w:ascii="宋体" w:hAnsi="宋体" w:eastAsia="宋体" w:cs="宋体"/>
          <w:b/>
          <w:color w:val="auto"/>
          <w:sz w:val="21"/>
          <w:szCs w:val="21"/>
          <w:highlight w:val="none"/>
        </w:rPr>
      </w:pPr>
      <w:bookmarkStart w:id="413" w:name="_Toc11840"/>
      <w:bookmarkStart w:id="414" w:name="_Toc20359"/>
      <w:bookmarkStart w:id="415" w:name="_Toc167230034"/>
      <w:bookmarkStart w:id="416" w:name="_Toc351203639"/>
      <w:bookmarkStart w:id="417" w:name="_Toc168862321"/>
      <w:bookmarkStart w:id="418" w:name="_Toc29635"/>
      <w:bookmarkStart w:id="419" w:name="_Toc24644"/>
      <w:r>
        <w:rPr>
          <w:rFonts w:hint="eastAsia" w:ascii="宋体" w:hAnsi="宋体" w:eastAsia="宋体" w:cs="宋体"/>
          <w:b/>
          <w:color w:val="auto"/>
          <w:sz w:val="21"/>
          <w:szCs w:val="21"/>
          <w:highlight w:val="none"/>
        </w:rPr>
        <w:t>7. 工期和进度</w:t>
      </w:r>
      <w:bookmarkEnd w:id="413"/>
      <w:bookmarkEnd w:id="414"/>
      <w:bookmarkEnd w:id="415"/>
      <w:bookmarkEnd w:id="416"/>
      <w:bookmarkEnd w:id="417"/>
      <w:bookmarkEnd w:id="418"/>
      <w:bookmarkEnd w:id="419"/>
    </w:p>
    <w:p w14:paraId="0F6A7EA5">
      <w:pPr>
        <w:keepNext w:val="0"/>
        <w:keepLines w:val="0"/>
        <w:pageBreakBefore w:val="0"/>
        <w:widowControl w:val="0"/>
        <w:kinsoku/>
        <w:wordWrap/>
        <w:overflowPunct/>
        <w:topLinePunct w:val="0"/>
        <w:bidi w:val="0"/>
        <w:spacing w:line="360" w:lineRule="auto"/>
        <w:ind w:firstLine="420" w:firstLineChars="200"/>
        <w:textAlignment w:val="auto"/>
        <w:outlineLvl w:val="9"/>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7.1 施工组织设计</w:t>
      </w:r>
    </w:p>
    <w:p w14:paraId="433DB8F8">
      <w:pPr>
        <w:keepNext w:val="0"/>
        <w:keepLines w:val="0"/>
        <w:pageBreakBefore w:val="0"/>
        <w:widowControl w:val="0"/>
        <w:kinsoku/>
        <w:wordWrap/>
        <w:overflowPunct/>
        <w:topLinePunct w:val="0"/>
        <w:autoSpaceDE w:val="0"/>
        <w:autoSpaceDN w:val="0"/>
        <w:bidi w:val="0"/>
        <w:adjustRightInd w:val="0"/>
        <w:spacing w:line="360" w:lineRule="auto"/>
        <w:ind w:firstLine="200"/>
        <w:textAlignment w:val="auto"/>
        <w:outlineLvl w:val="9"/>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7.1.1 合同当事人约定的施工组织设计应包括的其他内容：</w:t>
      </w:r>
      <w:r>
        <w:rPr>
          <w:rFonts w:hint="eastAsia" w:ascii="宋体" w:hAnsi="宋体" w:eastAsia="宋体" w:cs="宋体"/>
          <w:b/>
          <w:bCs/>
          <w:color w:val="auto"/>
          <w:sz w:val="21"/>
          <w:szCs w:val="21"/>
          <w:highlight w:val="none"/>
          <w:u w:val="single"/>
        </w:rPr>
        <w:t xml:space="preserve"> 按通用条款7.1.1执行并符合规范要求及发包人规定 </w:t>
      </w:r>
      <w:r>
        <w:rPr>
          <w:rFonts w:hint="eastAsia" w:ascii="宋体" w:hAnsi="宋体" w:eastAsia="宋体" w:cs="宋体"/>
          <w:color w:val="auto"/>
          <w:sz w:val="21"/>
          <w:szCs w:val="21"/>
          <w:highlight w:val="none"/>
        </w:rPr>
        <w:t>。</w:t>
      </w:r>
    </w:p>
    <w:p w14:paraId="6E8D9353">
      <w:pPr>
        <w:keepNext w:val="0"/>
        <w:keepLines w:val="0"/>
        <w:pageBreakBefore w:val="0"/>
        <w:widowControl w:val="0"/>
        <w:kinsoku/>
        <w:wordWrap/>
        <w:overflowPunct/>
        <w:topLinePunct w:val="0"/>
        <w:autoSpaceDE w:val="0"/>
        <w:autoSpaceDN w:val="0"/>
        <w:bidi w:val="0"/>
        <w:adjustRightInd w:val="0"/>
        <w:spacing w:line="360" w:lineRule="auto"/>
        <w:ind w:firstLine="200"/>
        <w:textAlignment w:val="auto"/>
        <w:outlineLvl w:val="9"/>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7.1.2 施工组织设计的提交和修改</w:t>
      </w:r>
    </w:p>
    <w:p w14:paraId="10A00AC6">
      <w:pPr>
        <w:keepNext w:val="0"/>
        <w:keepLines w:val="0"/>
        <w:pageBreakBefore w:val="0"/>
        <w:widowControl w:val="0"/>
        <w:kinsoku/>
        <w:wordWrap/>
        <w:overflowPunct/>
        <w:topLinePunct w:val="0"/>
        <w:bidi w:val="0"/>
        <w:spacing w:line="360" w:lineRule="auto"/>
        <w:ind w:firstLine="420" w:firstLineChars="200"/>
        <w:textAlignment w:val="auto"/>
        <w:outlineLvl w:val="9"/>
        <w:rPr>
          <w:rFonts w:hint="eastAsia" w:ascii="宋体" w:hAnsi="宋体" w:eastAsia="宋体" w:cs="宋体"/>
          <w:b/>
          <w:bCs/>
          <w:color w:val="auto"/>
          <w:sz w:val="21"/>
          <w:szCs w:val="21"/>
          <w:highlight w:val="none"/>
          <w:u w:val="single"/>
        </w:rPr>
      </w:pPr>
      <w:r>
        <w:rPr>
          <w:rFonts w:hint="eastAsia" w:ascii="宋体" w:hAnsi="宋体" w:eastAsia="宋体" w:cs="宋体"/>
          <w:color w:val="auto"/>
          <w:sz w:val="21"/>
          <w:szCs w:val="21"/>
          <w:highlight w:val="none"/>
        </w:rPr>
        <w:t>承包人提交详细施工组织设计的期限的约定：</w:t>
      </w:r>
      <w:r>
        <w:rPr>
          <w:rFonts w:hint="eastAsia" w:ascii="宋体" w:hAnsi="宋体" w:eastAsia="宋体" w:cs="宋体"/>
          <w:b/>
          <w:bCs/>
          <w:color w:val="auto"/>
          <w:sz w:val="21"/>
          <w:szCs w:val="21"/>
          <w:highlight w:val="none"/>
          <w:u w:val="single"/>
        </w:rPr>
        <w:t>未按发包人要求时限提供进度计划、各类专项方案及其它相应技术文件的，发包人有权拒绝支付当月工程进度款。</w:t>
      </w:r>
    </w:p>
    <w:p w14:paraId="18C7ACA0">
      <w:pPr>
        <w:keepNext w:val="0"/>
        <w:keepLines w:val="0"/>
        <w:pageBreakBefore w:val="0"/>
        <w:widowControl w:val="0"/>
        <w:kinsoku/>
        <w:wordWrap/>
        <w:overflowPunct/>
        <w:topLinePunct w:val="0"/>
        <w:bidi w:val="0"/>
        <w:spacing w:line="360" w:lineRule="auto"/>
        <w:ind w:firstLine="420" w:firstLineChars="200"/>
        <w:textAlignment w:val="auto"/>
        <w:outlineLvl w:val="9"/>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发包人和监理人在收到详细的施工组织设计后确认或提出修改意见的期限：</w:t>
      </w:r>
      <w:r>
        <w:rPr>
          <w:rFonts w:hint="eastAsia" w:ascii="宋体" w:hAnsi="宋体" w:eastAsia="宋体" w:cs="宋体"/>
          <w:b/>
          <w:bCs/>
          <w:color w:val="auto"/>
          <w:sz w:val="21"/>
          <w:szCs w:val="21"/>
          <w:highlight w:val="none"/>
          <w:u w:val="single"/>
        </w:rPr>
        <w:t>发包人收到施工组织设计后7天内确认或提出修改意见；收到其他资料后3天内确认或提出修改意见，上报发包人审批</w:t>
      </w:r>
      <w:r>
        <w:rPr>
          <w:rFonts w:hint="eastAsia" w:ascii="宋体" w:hAnsi="宋体" w:eastAsia="宋体" w:cs="宋体"/>
          <w:color w:val="auto"/>
          <w:sz w:val="21"/>
          <w:szCs w:val="21"/>
          <w:highlight w:val="none"/>
        </w:rPr>
        <w:t>。</w:t>
      </w:r>
    </w:p>
    <w:p w14:paraId="7F15B013">
      <w:pPr>
        <w:keepNext w:val="0"/>
        <w:keepLines w:val="0"/>
        <w:pageBreakBefore w:val="0"/>
        <w:widowControl w:val="0"/>
        <w:kinsoku/>
        <w:wordWrap/>
        <w:overflowPunct/>
        <w:topLinePunct w:val="0"/>
        <w:bidi w:val="0"/>
        <w:spacing w:line="360" w:lineRule="auto"/>
        <w:ind w:firstLine="420" w:firstLineChars="200"/>
        <w:textAlignment w:val="auto"/>
        <w:outlineLvl w:val="9"/>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7</w:t>
      </w:r>
      <w:bookmarkStart w:id="420" w:name="_Toc304295541"/>
      <w:bookmarkStart w:id="421" w:name="_Toc303539123"/>
      <w:bookmarkStart w:id="422" w:name="_Toc297123514"/>
      <w:bookmarkStart w:id="423" w:name="_Toc300934966"/>
      <w:bookmarkStart w:id="424" w:name="_Toc297216173"/>
      <w:bookmarkStart w:id="425" w:name="_Toc312678005"/>
      <w:bookmarkStart w:id="426" w:name="_Toc312677479"/>
      <w:r>
        <w:rPr>
          <w:rFonts w:hint="eastAsia" w:ascii="宋体" w:hAnsi="宋体" w:eastAsia="宋体" w:cs="宋体"/>
          <w:color w:val="auto"/>
          <w:sz w:val="21"/>
          <w:szCs w:val="21"/>
          <w:highlight w:val="none"/>
        </w:rPr>
        <w:t>.2 施工进度计划</w:t>
      </w:r>
    </w:p>
    <w:p w14:paraId="793CCD41">
      <w:pPr>
        <w:keepNext w:val="0"/>
        <w:keepLines w:val="0"/>
        <w:pageBreakBefore w:val="0"/>
        <w:widowControl w:val="0"/>
        <w:kinsoku/>
        <w:wordWrap/>
        <w:overflowPunct/>
        <w:topLinePunct w:val="0"/>
        <w:bidi w:val="0"/>
        <w:spacing w:line="360" w:lineRule="auto"/>
        <w:ind w:firstLine="420" w:firstLineChars="200"/>
        <w:textAlignment w:val="auto"/>
        <w:outlineLvl w:val="9"/>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7.2.1施工进度计划的编制</w:t>
      </w:r>
    </w:p>
    <w:p w14:paraId="0AAA12B1">
      <w:pPr>
        <w:keepNext w:val="0"/>
        <w:keepLines w:val="0"/>
        <w:pageBreakBefore w:val="0"/>
        <w:widowControl w:val="0"/>
        <w:kinsoku/>
        <w:wordWrap/>
        <w:overflowPunct/>
        <w:topLinePunct w:val="0"/>
        <w:bidi w:val="0"/>
        <w:spacing w:line="360" w:lineRule="auto"/>
        <w:ind w:firstLine="422" w:firstLineChars="200"/>
        <w:textAlignment w:val="auto"/>
        <w:outlineLvl w:val="9"/>
        <w:rPr>
          <w:rFonts w:hint="eastAsia" w:ascii="宋体" w:hAnsi="宋体" w:eastAsia="宋体" w:cs="宋体"/>
          <w:b/>
          <w:bCs/>
          <w:color w:val="auto"/>
          <w:sz w:val="21"/>
          <w:szCs w:val="21"/>
          <w:highlight w:val="none"/>
          <w:u w:val="single"/>
        </w:rPr>
      </w:pPr>
      <w:r>
        <w:rPr>
          <w:rFonts w:hint="eastAsia" w:ascii="宋体" w:hAnsi="宋体" w:eastAsia="宋体" w:cs="宋体"/>
          <w:b/>
          <w:bCs/>
          <w:color w:val="auto"/>
          <w:sz w:val="21"/>
          <w:szCs w:val="21"/>
          <w:highlight w:val="none"/>
          <w:u w:val="single"/>
        </w:rPr>
        <w:t>在总进度（总工期）计划目标下，提供各单体工程的里程碑控制节点计划和分进度计划。发包人根据施工现场综合协调情况，有权要求承包人调整各单体的施工顺序，承包方必须无条件执行。若发包人认为工程的实际进展与发包人已经同意的施工进度计划不符时，根据项目实际进展情况，承包人按项目动态管理的需要适时调整进度计划，报监理人及发包人重新批准后实施。</w:t>
      </w:r>
    </w:p>
    <w:p w14:paraId="36974B62">
      <w:pPr>
        <w:keepNext w:val="0"/>
        <w:keepLines w:val="0"/>
        <w:pageBreakBefore w:val="0"/>
        <w:widowControl w:val="0"/>
        <w:kinsoku/>
        <w:wordWrap/>
        <w:overflowPunct/>
        <w:topLinePunct w:val="0"/>
        <w:bidi w:val="0"/>
        <w:spacing w:line="360" w:lineRule="auto"/>
        <w:ind w:firstLine="420" w:firstLineChars="200"/>
        <w:textAlignment w:val="auto"/>
        <w:outlineLvl w:val="9"/>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7.2.2 施工进度计划的修订</w:t>
      </w:r>
    </w:p>
    <w:p w14:paraId="73106599">
      <w:pPr>
        <w:keepNext w:val="0"/>
        <w:keepLines w:val="0"/>
        <w:pageBreakBefore w:val="0"/>
        <w:widowControl w:val="0"/>
        <w:kinsoku/>
        <w:wordWrap/>
        <w:overflowPunct/>
        <w:topLinePunct w:val="0"/>
        <w:autoSpaceDE w:val="0"/>
        <w:autoSpaceDN w:val="0"/>
        <w:bidi w:val="0"/>
        <w:adjustRightInd w:val="0"/>
        <w:spacing w:line="360" w:lineRule="auto"/>
        <w:ind w:firstLine="413" w:firstLineChars="197"/>
        <w:textAlignment w:val="auto"/>
        <w:outlineLvl w:val="9"/>
        <w:rPr>
          <w:rFonts w:hint="eastAsia" w:ascii="宋体" w:hAnsi="宋体" w:eastAsia="宋体" w:cs="宋体"/>
          <w:b/>
          <w:bCs/>
          <w:color w:val="auto"/>
          <w:sz w:val="21"/>
          <w:szCs w:val="21"/>
          <w:highlight w:val="none"/>
          <w:u w:val="single"/>
        </w:rPr>
      </w:pPr>
      <w:r>
        <w:rPr>
          <w:rFonts w:hint="eastAsia" w:ascii="宋体" w:hAnsi="宋体" w:eastAsia="宋体" w:cs="宋体"/>
          <w:color w:val="auto"/>
          <w:sz w:val="21"/>
          <w:szCs w:val="21"/>
          <w:highlight w:val="none"/>
        </w:rPr>
        <w:t>发包人和监理人在收到修订的施工进度计划后确认或提出修改意见的期限：</w:t>
      </w:r>
      <w:r>
        <w:rPr>
          <w:rFonts w:hint="eastAsia" w:ascii="宋体" w:hAnsi="宋体" w:eastAsia="宋体" w:cs="宋体"/>
          <w:b/>
          <w:bCs/>
          <w:color w:val="auto"/>
          <w:sz w:val="21"/>
          <w:szCs w:val="21"/>
          <w:highlight w:val="none"/>
          <w:u w:val="single"/>
        </w:rPr>
        <w:t>发包人和监理人在收到修订的施工进度计划后7日内确认或提出修改意见</w:t>
      </w:r>
      <w:r>
        <w:rPr>
          <w:rFonts w:hint="eastAsia" w:ascii="宋体" w:hAnsi="宋体" w:eastAsia="宋体" w:cs="宋体"/>
          <w:color w:val="auto"/>
          <w:sz w:val="21"/>
          <w:szCs w:val="21"/>
          <w:highlight w:val="none"/>
        </w:rPr>
        <w:t>。</w:t>
      </w:r>
    </w:p>
    <w:p w14:paraId="61CE83CE">
      <w:pPr>
        <w:keepNext w:val="0"/>
        <w:keepLines w:val="0"/>
        <w:pageBreakBefore w:val="0"/>
        <w:widowControl w:val="0"/>
        <w:kinsoku/>
        <w:wordWrap/>
        <w:overflowPunct/>
        <w:topLinePunct w:val="0"/>
        <w:bidi w:val="0"/>
        <w:spacing w:line="360" w:lineRule="auto"/>
        <w:ind w:firstLine="420" w:firstLineChars="200"/>
        <w:textAlignment w:val="auto"/>
        <w:outlineLvl w:val="9"/>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7.3 开工</w:t>
      </w:r>
    </w:p>
    <w:p w14:paraId="7B4EAEA3">
      <w:pPr>
        <w:keepNext w:val="0"/>
        <w:keepLines w:val="0"/>
        <w:pageBreakBefore w:val="0"/>
        <w:widowControl w:val="0"/>
        <w:kinsoku/>
        <w:wordWrap/>
        <w:overflowPunct/>
        <w:topLinePunct w:val="0"/>
        <w:bidi w:val="0"/>
        <w:spacing w:line="360" w:lineRule="auto"/>
        <w:ind w:firstLine="420" w:firstLineChars="200"/>
        <w:textAlignment w:val="auto"/>
        <w:outlineLvl w:val="9"/>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7.3.1 开工准备</w:t>
      </w:r>
    </w:p>
    <w:p w14:paraId="07CD9410">
      <w:pPr>
        <w:keepNext w:val="0"/>
        <w:keepLines w:val="0"/>
        <w:pageBreakBefore w:val="0"/>
        <w:widowControl w:val="0"/>
        <w:kinsoku/>
        <w:wordWrap/>
        <w:overflowPunct/>
        <w:topLinePunct w:val="0"/>
        <w:bidi w:val="0"/>
        <w:spacing w:line="360" w:lineRule="auto"/>
        <w:ind w:firstLine="420" w:firstLineChars="200"/>
        <w:textAlignment w:val="auto"/>
        <w:outlineLvl w:val="9"/>
        <w:rPr>
          <w:rFonts w:hint="eastAsia" w:ascii="宋体" w:hAnsi="宋体" w:eastAsia="宋体" w:cs="宋体"/>
          <w:b/>
          <w:bCs/>
          <w:color w:val="auto"/>
          <w:sz w:val="21"/>
          <w:szCs w:val="21"/>
          <w:highlight w:val="none"/>
          <w:u w:val="single"/>
        </w:rPr>
      </w:pPr>
      <w:r>
        <w:rPr>
          <w:rFonts w:hint="eastAsia" w:ascii="宋体" w:hAnsi="宋体" w:eastAsia="宋体" w:cs="宋体"/>
          <w:color w:val="auto"/>
          <w:sz w:val="21"/>
          <w:szCs w:val="21"/>
          <w:highlight w:val="none"/>
        </w:rPr>
        <w:t>关于承包人提交工程开工报审表的期限：</w:t>
      </w:r>
      <w:r>
        <w:rPr>
          <w:rFonts w:hint="eastAsia" w:ascii="宋体" w:hAnsi="宋体" w:eastAsia="宋体" w:cs="宋体"/>
          <w:b/>
          <w:bCs/>
          <w:color w:val="auto"/>
          <w:sz w:val="21"/>
          <w:szCs w:val="21"/>
          <w:highlight w:val="none"/>
          <w:u w:val="single"/>
        </w:rPr>
        <w:t>项目开工前7日内</w:t>
      </w:r>
      <w:r>
        <w:rPr>
          <w:rFonts w:hint="eastAsia" w:ascii="宋体" w:hAnsi="宋体" w:eastAsia="宋体" w:cs="宋体"/>
          <w:color w:val="auto"/>
          <w:sz w:val="21"/>
          <w:szCs w:val="21"/>
          <w:highlight w:val="none"/>
        </w:rPr>
        <w:t>。</w:t>
      </w:r>
    </w:p>
    <w:p w14:paraId="442F6C0B">
      <w:pPr>
        <w:keepNext w:val="0"/>
        <w:keepLines w:val="0"/>
        <w:pageBreakBefore w:val="0"/>
        <w:widowControl w:val="0"/>
        <w:kinsoku/>
        <w:wordWrap/>
        <w:overflowPunct/>
        <w:topLinePunct w:val="0"/>
        <w:bidi w:val="0"/>
        <w:spacing w:line="360" w:lineRule="auto"/>
        <w:ind w:firstLine="420" w:firstLineChars="200"/>
        <w:textAlignment w:val="auto"/>
        <w:outlineLvl w:val="9"/>
        <w:rPr>
          <w:rFonts w:hint="eastAsia" w:ascii="宋体" w:hAnsi="宋体" w:eastAsia="宋体" w:cs="宋体"/>
          <w:color w:val="auto"/>
          <w:sz w:val="21"/>
          <w:szCs w:val="21"/>
          <w:highlight w:val="none"/>
          <w:u w:val="single"/>
        </w:rPr>
      </w:pPr>
      <w:r>
        <w:rPr>
          <w:rFonts w:hint="eastAsia" w:ascii="宋体" w:hAnsi="宋体" w:eastAsia="宋体" w:cs="宋体"/>
          <w:color w:val="auto"/>
          <w:sz w:val="21"/>
          <w:szCs w:val="21"/>
          <w:highlight w:val="none"/>
        </w:rPr>
        <w:t xml:space="preserve">关于发包人应完成的其他开工准备工作及期限： </w:t>
      </w:r>
      <w:r>
        <w:rPr>
          <w:rFonts w:hint="eastAsia" w:ascii="宋体" w:hAnsi="宋体" w:eastAsia="宋体" w:cs="宋体"/>
          <w:color w:val="auto"/>
          <w:sz w:val="21"/>
          <w:szCs w:val="21"/>
          <w:highlight w:val="none"/>
          <w:u w:val="single"/>
        </w:rPr>
        <w:t xml:space="preserve">    /    </w:t>
      </w:r>
      <w:r>
        <w:rPr>
          <w:rFonts w:hint="eastAsia" w:ascii="宋体" w:hAnsi="宋体" w:eastAsia="宋体" w:cs="宋体"/>
          <w:color w:val="auto"/>
          <w:sz w:val="21"/>
          <w:szCs w:val="21"/>
          <w:highlight w:val="none"/>
        </w:rPr>
        <w:t>。</w:t>
      </w:r>
    </w:p>
    <w:p w14:paraId="1FA639C2">
      <w:pPr>
        <w:keepNext w:val="0"/>
        <w:keepLines w:val="0"/>
        <w:pageBreakBefore w:val="0"/>
        <w:widowControl w:val="0"/>
        <w:kinsoku/>
        <w:wordWrap/>
        <w:overflowPunct/>
        <w:topLinePunct w:val="0"/>
        <w:bidi w:val="0"/>
        <w:spacing w:line="360" w:lineRule="auto"/>
        <w:ind w:firstLine="420" w:firstLineChars="200"/>
        <w:textAlignment w:val="auto"/>
        <w:outlineLvl w:val="9"/>
        <w:rPr>
          <w:rFonts w:hint="eastAsia" w:ascii="宋体" w:hAnsi="宋体" w:eastAsia="宋体" w:cs="宋体"/>
          <w:b/>
          <w:bCs/>
          <w:color w:val="auto"/>
          <w:sz w:val="21"/>
          <w:szCs w:val="21"/>
          <w:highlight w:val="none"/>
          <w:u w:val="single"/>
        </w:rPr>
      </w:pPr>
      <w:r>
        <w:rPr>
          <w:rFonts w:hint="eastAsia" w:ascii="宋体" w:hAnsi="宋体" w:eastAsia="宋体" w:cs="宋体"/>
          <w:color w:val="auto"/>
          <w:sz w:val="21"/>
          <w:szCs w:val="21"/>
          <w:highlight w:val="none"/>
        </w:rPr>
        <w:t>关于承包人应完成的其他开工准备工作及期限：</w:t>
      </w:r>
      <w:r>
        <w:rPr>
          <w:rFonts w:hint="eastAsia" w:ascii="宋体" w:hAnsi="宋体" w:eastAsia="宋体" w:cs="宋体"/>
          <w:b/>
          <w:bCs/>
          <w:color w:val="auto"/>
          <w:sz w:val="21"/>
          <w:szCs w:val="21"/>
          <w:highlight w:val="none"/>
          <w:u w:val="single"/>
        </w:rPr>
        <w:t>按相关规定自行办理，费用已包含在合同价内不再另行支付</w:t>
      </w:r>
      <w:r>
        <w:rPr>
          <w:rFonts w:hint="eastAsia" w:ascii="宋体" w:hAnsi="宋体" w:eastAsia="宋体" w:cs="宋体"/>
          <w:color w:val="auto"/>
          <w:sz w:val="21"/>
          <w:szCs w:val="21"/>
          <w:highlight w:val="none"/>
        </w:rPr>
        <w:t>。</w:t>
      </w:r>
    </w:p>
    <w:p w14:paraId="5C6D0608">
      <w:pPr>
        <w:keepNext w:val="0"/>
        <w:keepLines w:val="0"/>
        <w:pageBreakBefore w:val="0"/>
        <w:widowControl w:val="0"/>
        <w:kinsoku/>
        <w:wordWrap/>
        <w:overflowPunct/>
        <w:topLinePunct w:val="0"/>
        <w:bidi w:val="0"/>
        <w:spacing w:line="360" w:lineRule="auto"/>
        <w:ind w:firstLine="420" w:firstLineChars="200"/>
        <w:textAlignment w:val="auto"/>
        <w:outlineLvl w:val="9"/>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7.3.2开工通知</w:t>
      </w:r>
    </w:p>
    <w:p w14:paraId="3D404AB7">
      <w:pPr>
        <w:keepNext w:val="0"/>
        <w:keepLines w:val="0"/>
        <w:pageBreakBefore w:val="0"/>
        <w:widowControl w:val="0"/>
        <w:kinsoku/>
        <w:wordWrap/>
        <w:overflowPunct/>
        <w:topLinePunct w:val="0"/>
        <w:bidi w:val="0"/>
        <w:spacing w:line="360" w:lineRule="auto"/>
        <w:ind w:firstLine="420" w:firstLineChars="200"/>
        <w:textAlignment w:val="auto"/>
        <w:outlineLvl w:val="9"/>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因发包人原因造成监理人未能在计划开工日期之日起</w:t>
      </w:r>
      <w:r>
        <w:rPr>
          <w:rFonts w:hint="eastAsia" w:ascii="宋体" w:hAnsi="宋体" w:eastAsia="宋体" w:cs="宋体"/>
          <w:color w:val="auto"/>
          <w:sz w:val="21"/>
          <w:szCs w:val="21"/>
          <w:highlight w:val="none"/>
          <w:u w:val="single"/>
        </w:rPr>
        <w:t xml:space="preserve"> </w:t>
      </w:r>
      <w:r>
        <w:rPr>
          <w:rFonts w:hint="eastAsia" w:ascii="宋体" w:hAnsi="宋体" w:eastAsia="宋体" w:cs="宋体"/>
          <w:b/>
          <w:bCs/>
          <w:color w:val="auto"/>
          <w:sz w:val="21"/>
          <w:szCs w:val="21"/>
          <w:highlight w:val="none"/>
          <w:u w:val="single"/>
        </w:rPr>
        <w:t xml:space="preserve"> 90  </w:t>
      </w:r>
      <w:r>
        <w:rPr>
          <w:rFonts w:hint="eastAsia" w:ascii="宋体" w:hAnsi="宋体" w:eastAsia="宋体" w:cs="宋体"/>
          <w:color w:val="auto"/>
          <w:sz w:val="21"/>
          <w:szCs w:val="21"/>
          <w:highlight w:val="none"/>
        </w:rPr>
        <w:t>天内发出开工通知的，承包人有权提出价格调整要求，或者解除合同。</w:t>
      </w:r>
    </w:p>
    <w:bookmarkEnd w:id="420"/>
    <w:bookmarkEnd w:id="421"/>
    <w:bookmarkEnd w:id="422"/>
    <w:bookmarkEnd w:id="423"/>
    <w:bookmarkEnd w:id="424"/>
    <w:bookmarkEnd w:id="425"/>
    <w:bookmarkEnd w:id="426"/>
    <w:p w14:paraId="6D74F96F">
      <w:pPr>
        <w:keepNext w:val="0"/>
        <w:keepLines w:val="0"/>
        <w:pageBreakBefore w:val="0"/>
        <w:widowControl w:val="0"/>
        <w:kinsoku/>
        <w:wordWrap/>
        <w:overflowPunct/>
        <w:topLinePunct w:val="0"/>
        <w:bidi w:val="0"/>
        <w:spacing w:line="360" w:lineRule="auto"/>
        <w:ind w:firstLine="420" w:firstLineChars="200"/>
        <w:textAlignment w:val="auto"/>
        <w:outlineLvl w:val="9"/>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7.4 测量放线</w:t>
      </w:r>
    </w:p>
    <w:p w14:paraId="4573336B">
      <w:pPr>
        <w:keepNext w:val="0"/>
        <w:keepLines w:val="0"/>
        <w:pageBreakBefore w:val="0"/>
        <w:widowControl w:val="0"/>
        <w:kinsoku/>
        <w:wordWrap/>
        <w:overflowPunct/>
        <w:topLinePunct w:val="0"/>
        <w:bidi w:val="0"/>
        <w:spacing w:line="360" w:lineRule="auto"/>
        <w:ind w:firstLine="420" w:firstLineChars="200"/>
        <w:textAlignment w:val="auto"/>
        <w:outlineLvl w:val="9"/>
        <w:rPr>
          <w:rFonts w:hint="eastAsia" w:ascii="宋体" w:hAnsi="宋体" w:eastAsia="宋体" w:cs="宋体"/>
          <w:color w:val="auto"/>
          <w:sz w:val="21"/>
          <w:szCs w:val="21"/>
          <w:highlight w:val="none"/>
          <w:u w:val="single"/>
        </w:rPr>
      </w:pPr>
      <w:r>
        <w:rPr>
          <w:rFonts w:hint="eastAsia" w:ascii="宋体" w:hAnsi="宋体" w:eastAsia="宋体" w:cs="宋体"/>
          <w:color w:val="auto"/>
          <w:sz w:val="21"/>
          <w:szCs w:val="21"/>
          <w:highlight w:val="none"/>
        </w:rPr>
        <w:t>7.4.1发包人通过监理人向承包人提供测量基准点、基准线和水准点及其书面资料的期限：</w:t>
      </w:r>
      <w:r>
        <w:rPr>
          <w:rFonts w:hint="eastAsia" w:ascii="宋体" w:hAnsi="宋体" w:eastAsia="宋体" w:cs="宋体"/>
          <w:b/>
          <w:bCs/>
          <w:color w:val="auto"/>
          <w:sz w:val="21"/>
          <w:szCs w:val="21"/>
          <w:highlight w:val="none"/>
          <w:u w:val="single"/>
        </w:rPr>
        <w:t xml:space="preserve"> 按通用条款7.4.1执行</w:t>
      </w:r>
      <w:r>
        <w:rPr>
          <w:rFonts w:hint="eastAsia" w:ascii="宋体" w:hAnsi="宋体" w:eastAsia="宋体" w:cs="宋体"/>
          <w:color w:val="auto"/>
          <w:sz w:val="21"/>
          <w:szCs w:val="21"/>
          <w:highlight w:val="none"/>
        </w:rPr>
        <w:t>。</w:t>
      </w:r>
    </w:p>
    <w:p w14:paraId="491964A0">
      <w:pPr>
        <w:keepNext w:val="0"/>
        <w:keepLines w:val="0"/>
        <w:pageBreakBefore w:val="0"/>
        <w:widowControl w:val="0"/>
        <w:kinsoku/>
        <w:wordWrap/>
        <w:overflowPunct/>
        <w:topLinePunct w:val="0"/>
        <w:bidi w:val="0"/>
        <w:spacing w:line="360" w:lineRule="auto"/>
        <w:ind w:firstLine="420" w:firstLineChars="200"/>
        <w:textAlignment w:val="auto"/>
        <w:outlineLvl w:val="9"/>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7</w:t>
      </w:r>
      <w:bookmarkStart w:id="427" w:name="_Toc303539125"/>
      <w:bookmarkStart w:id="428" w:name="_Toc297123516"/>
      <w:bookmarkStart w:id="429" w:name="_Toc300934968"/>
      <w:bookmarkStart w:id="430" w:name="_Toc312678010"/>
      <w:bookmarkStart w:id="431" w:name="_Toc312677484"/>
      <w:bookmarkStart w:id="432" w:name="_Toc297216175"/>
      <w:bookmarkStart w:id="433" w:name="_Toc304295546"/>
      <w:r>
        <w:rPr>
          <w:rFonts w:hint="eastAsia" w:ascii="宋体" w:hAnsi="宋体" w:eastAsia="宋体" w:cs="宋体"/>
          <w:color w:val="auto"/>
          <w:sz w:val="21"/>
          <w:szCs w:val="21"/>
          <w:highlight w:val="none"/>
        </w:rPr>
        <w:t>.5 工期延误</w:t>
      </w:r>
    </w:p>
    <w:p w14:paraId="74C0F050">
      <w:pPr>
        <w:keepNext w:val="0"/>
        <w:keepLines w:val="0"/>
        <w:pageBreakBefore w:val="0"/>
        <w:widowControl w:val="0"/>
        <w:kinsoku/>
        <w:wordWrap/>
        <w:overflowPunct/>
        <w:topLinePunct w:val="0"/>
        <w:bidi w:val="0"/>
        <w:spacing w:line="360" w:lineRule="auto"/>
        <w:ind w:firstLine="422" w:firstLineChars="200"/>
        <w:textAlignment w:val="auto"/>
        <w:outlineLvl w:val="9"/>
        <w:rPr>
          <w:rFonts w:hint="eastAsia" w:ascii="宋体" w:hAnsi="宋体" w:eastAsia="宋体" w:cs="宋体"/>
          <w:b/>
          <w:bCs/>
          <w:color w:val="auto"/>
          <w:sz w:val="21"/>
          <w:szCs w:val="21"/>
          <w:highlight w:val="none"/>
          <w:u w:val="single"/>
        </w:rPr>
      </w:pPr>
      <w:r>
        <w:rPr>
          <w:rFonts w:hint="eastAsia" w:ascii="宋体" w:hAnsi="宋体" w:eastAsia="宋体" w:cs="宋体"/>
          <w:b/>
          <w:bCs/>
          <w:color w:val="auto"/>
          <w:sz w:val="21"/>
          <w:szCs w:val="21"/>
          <w:highlight w:val="none"/>
          <w:u w:val="single"/>
        </w:rPr>
        <w:t>本工程约定工期，除经发包人批准或遇到不可抗力外，工期不得顺延。</w:t>
      </w:r>
    </w:p>
    <w:bookmarkEnd w:id="427"/>
    <w:bookmarkEnd w:id="428"/>
    <w:bookmarkEnd w:id="429"/>
    <w:bookmarkEnd w:id="430"/>
    <w:bookmarkEnd w:id="431"/>
    <w:bookmarkEnd w:id="432"/>
    <w:bookmarkEnd w:id="433"/>
    <w:p w14:paraId="1A6B8181">
      <w:pPr>
        <w:keepNext w:val="0"/>
        <w:keepLines w:val="0"/>
        <w:pageBreakBefore w:val="0"/>
        <w:widowControl w:val="0"/>
        <w:kinsoku/>
        <w:wordWrap/>
        <w:overflowPunct/>
        <w:topLinePunct w:val="0"/>
        <w:bidi w:val="0"/>
        <w:spacing w:line="360" w:lineRule="auto"/>
        <w:ind w:firstLine="420" w:firstLineChars="200"/>
        <w:textAlignment w:val="auto"/>
        <w:outlineLvl w:val="9"/>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7.5.1 因发包人原因导致工期延误</w:t>
      </w:r>
    </w:p>
    <w:p w14:paraId="3129F113">
      <w:pPr>
        <w:keepNext w:val="0"/>
        <w:keepLines w:val="0"/>
        <w:pageBreakBefore w:val="0"/>
        <w:widowControl w:val="0"/>
        <w:kinsoku/>
        <w:wordWrap/>
        <w:overflowPunct/>
        <w:topLinePunct w:val="0"/>
        <w:bidi w:val="0"/>
        <w:spacing w:line="360" w:lineRule="auto"/>
        <w:ind w:firstLine="420" w:firstLineChars="200"/>
        <w:textAlignment w:val="auto"/>
        <w:outlineLvl w:val="9"/>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因发包人原因导致工期延误的其他情形：如因发包人原因造成工期延误的，应承担相应的延期责任，工期无条件顺延。</w:t>
      </w:r>
    </w:p>
    <w:p w14:paraId="58D72C48">
      <w:pPr>
        <w:keepNext w:val="0"/>
        <w:keepLines w:val="0"/>
        <w:pageBreakBefore w:val="0"/>
        <w:widowControl w:val="0"/>
        <w:kinsoku/>
        <w:wordWrap/>
        <w:overflowPunct/>
        <w:topLinePunct w:val="0"/>
        <w:bidi w:val="0"/>
        <w:spacing w:line="360" w:lineRule="auto"/>
        <w:ind w:firstLine="420" w:firstLineChars="200"/>
        <w:textAlignment w:val="auto"/>
        <w:outlineLvl w:val="9"/>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7</w:t>
      </w:r>
      <w:bookmarkStart w:id="434" w:name="_Toc312677486"/>
      <w:bookmarkStart w:id="435" w:name="_Toc318581169"/>
      <w:bookmarkStart w:id="436" w:name="_Toc312678012"/>
      <w:bookmarkStart w:id="437" w:name="_Toc300934970"/>
      <w:bookmarkStart w:id="438" w:name="_Toc304295548"/>
      <w:bookmarkStart w:id="439" w:name="_Toc297216177"/>
      <w:bookmarkStart w:id="440" w:name="_Toc303539127"/>
      <w:bookmarkStart w:id="441" w:name="_Toc297123518"/>
      <w:r>
        <w:rPr>
          <w:rFonts w:hint="eastAsia" w:ascii="宋体" w:hAnsi="宋体" w:eastAsia="宋体" w:cs="宋体"/>
          <w:color w:val="auto"/>
          <w:sz w:val="21"/>
          <w:szCs w:val="21"/>
          <w:highlight w:val="none"/>
        </w:rPr>
        <w:t>.5.2 因承包人原因导致工期延误</w:t>
      </w:r>
    </w:p>
    <w:bookmarkEnd w:id="434"/>
    <w:bookmarkEnd w:id="435"/>
    <w:bookmarkEnd w:id="436"/>
    <w:p w14:paraId="6603DCA8">
      <w:pPr>
        <w:keepNext w:val="0"/>
        <w:keepLines w:val="0"/>
        <w:pageBreakBefore w:val="0"/>
        <w:widowControl w:val="0"/>
        <w:kinsoku/>
        <w:wordWrap/>
        <w:overflowPunct/>
        <w:topLinePunct w:val="0"/>
        <w:bidi w:val="0"/>
        <w:spacing w:line="360" w:lineRule="auto"/>
        <w:ind w:firstLine="420" w:firstLineChars="200"/>
        <w:textAlignment w:val="auto"/>
        <w:outlineLvl w:val="9"/>
        <w:rPr>
          <w:rFonts w:hint="eastAsia" w:ascii="宋体" w:hAnsi="宋体" w:eastAsia="宋体" w:cs="宋体"/>
          <w:color w:val="auto"/>
          <w:sz w:val="21"/>
          <w:szCs w:val="21"/>
          <w:highlight w:val="none"/>
          <w:u w:val="single"/>
        </w:rPr>
      </w:pPr>
      <w:r>
        <w:rPr>
          <w:rFonts w:hint="eastAsia" w:ascii="宋体" w:hAnsi="宋体" w:eastAsia="宋体" w:cs="宋体"/>
          <w:color w:val="auto"/>
          <w:sz w:val="21"/>
          <w:szCs w:val="21"/>
          <w:highlight w:val="none"/>
        </w:rPr>
        <w:t>因</w:t>
      </w:r>
      <w:bookmarkStart w:id="442" w:name="_Toc312677487"/>
      <w:bookmarkStart w:id="443" w:name="_Toc312678013"/>
      <w:bookmarkStart w:id="444" w:name="_Toc318581170"/>
      <w:r>
        <w:rPr>
          <w:rFonts w:hint="eastAsia" w:ascii="宋体" w:hAnsi="宋体" w:eastAsia="宋体" w:cs="宋体"/>
          <w:color w:val="auto"/>
          <w:sz w:val="21"/>
          <w:szCs w:val="21"/>
          <w:highlight w:val="none"/>
        </w:rPr>
        <w:t>承包人原因造成工期延误，逾期竣工违约金的计算方法为：</w:t>
      </w:r>
    </w:p>
    <w:p w14:paraId="7EF16A79">
      <w:pPr>
        <w:keepNext w:val="0"/>
        <w:keepLines w:val="0"/>
        <w:pageBreakBefore w:val="0"/>
        <w:widowControl w:val="0"/>
        <w:kinsoku/>
        <w:wordWrap/>
        <w:overflowPunct/>
        <w:topLinePunct w:val="0"/>
        <w:bidi w:val="0"/>
        <w:spacing w:line="360" w:lineRule="auto"/>
        <w:ind w:firstLine="422" w:firstLineChars="200"/>
        <w:textAlignment w:val="auto"/>
        <w:outlineLvl w:val="9"/>
        <w:rPr>
          <w:rFonts w:hint="eastAsia" w:ascii="宋体" w:hAnsi="宋体" w:eastAsia="宋体" w:cs="宋体"/>
          <w:b/>
          <w:bCs/>
          <w:color w:val="auto"/>
          <w:sz w:val="21"/>
          <w:szCs w:val="21"/>
          <w:highlight w:val="none"/>
          <w:u w:val="single"/>
        </w:rPr>
      </w:pPr>
      <w:r>
        <w:rPr>
          <w:rFonts w:hint="eastAsia" w:ascii="宋体" w:hAnsi="宋体" w:eastAsia="宋体" w:cs="宋体"/>
          <w:b/>
          <w:bCs/>
          <w:color w:val="auto"/>
          <w:sz w:val="21"/>
          <w:szCs w:val="21"/>
          <w:highlight w:val="none"/>
          <w:u w:val="single"/>
        </w:rPr>
        <w:t>过程中由于承包人原因造成的工期延误产生的费用和损失由承包人承担。发包人有权向承包人依照下列约定主张违约责任：</w:t>
      </w:r>
    </w:p>
    <w:p w14:paraId="7BD7E4FF">
      <w:pPr>
        <w:keepNext w:val="0"/>
        <w:keepLines w:val="0"/>
        <w:pageBreakBefore w:val="0"/>
        <w:widowControl w:val="0"/>
        <w:kinsoku/>
        <w:wordWrap/>
        <w:overflowPunct/>
        <w:topLinePunct w:val="0"/>
        <w:bidi w:val="0"/>
        <w:spacing w:line="360" w:lineRule="auto"/>
        <w:ind w:firstLine="422" w:firstLineChars="200"/>
        <w:textAlignment w:val="auto"/>
        <w:outlineLvl w:val="9"/>
        <w:rPr>
          <w:rFonts w:hint="eastAsia" w:ascii="宋体" w:hAnsi="宋体" w:eastAsia="宋体" w:cs="宋体"/>
          <w:b/>
          <w:bCs/>
          <w:color w:val="auto"/>
          <w:sz w:val="21"/>
          <w:szCs w:val="21"/>
          <w:highlight w:val="none"/>
          <w:u w:val="single"/>
        </w:rPr>
      </w:pPr>
      <w:r>
        <w:rPr>
          <w:rFonts w:hint="eastAsia" w:ascii="宋体" w:hAnsi="宋体" w:eastAsia="宋体" w:cs="宋体"/>
          <w:b/>
          <w:bCs/>
          <w:color w:val="auto"/>
          <w:sz w:val="21"/>
          <w:szCs w:val="21"/>
          <w:highlight w:val="none"/>
          <w:u w:val="single"/>
        </w:rPr>
        <w:sym w:font="Wingdings" w:char="F081"/>
      </w:r>
      <w:r>
        <w:rPr>
          <w:rFonts w:hint="eastAsia" w:ascii="宋体" w:hAnsi="宋体" w:eastAsia="宋体" w:cs="宋体"/>
          <w:b/>
          <w:bCs/>
          <w:color w:val="auto"/>
          <w:sz w:val="21"/>
          <w:szCs w:val="21"/>
          <w:highlight w:val="none"/>
          <w:u w:val="single"/>
        </w:rPr>
        <w:t>承包人违反合同书约定延期开工的，每延迟开工1天，承担本工程合同价款的0.2‰的违约金；迟延开工超过10天的，发包人有权解除合同，将本工程另行发包，并不免除承包人的违约赔偿责任。延期开工违约金累计不超过合同价款的2% 。</w:t>
      </w:r>
    </w:p>
    <w:p w14:paraId="38AD6071">
      <w:pPr>
        <w:keepNext w:val="0"/>
        <w:keepLines w:val="0"/>
        <w:pageBreakBefore w:val="0"/>
        <w:widowControl w:val="0"/>
        <w:kinsoku/>
        <w:wordWrap/>
        <w:overflowPunct/>
        <w:topLinePunct w:val="0"/>
        <w:bidi w:val="0"/>
        <w:spacing w:line="360" w:lineRule="auto"/>
        <w:ind w:firstLine="422" w:firstLineChars="200"/>
        <w:textAlignment w:val="auto"/>
        <w:outlineLvl w:val="9"/>
        <w:rPr>
          <w:rFonts w:hint="eastAsia" w:ascii="宋体" w:hAnsi="宋体" w:eastAsia="宋体" w:cs="宋体"/>
          <w:color w:val="auto"/>
          <w:sz w:val="21"/>
          <w:szCs w:val="21"/>
          <w:highlight w:val="none"/>
          <w:u w:val="single"/>
        </w:rPr>
      </w:pPr>
      <w:r>
        <w:rPr>
          <w:rFonts w:hint="eastAsia" w:ascii="宋体" w:hAnsi="宋体" w:eastAsia="宋体" w:cs="宋体"/>
          <w:b/>
          <w:bCs/>
          <w:color w:val="auto"/>
          <w:sz w:val="21"/>
          <w:szCs w:val="21"/>
          <w:highlight w:val="none"/>
          <w:u w:val="single"/>
        </w:rPr>
        <w:sym w:font="Wingdings" w:char="F082"/>
      </w:r>
      <w:r>
        <w:rPr>
          <w:rFonts w:hint="eastAsia" w:ascii="宋体" w:hAnsi="宋体" w:eastAsia="宋体" w:cs="宋体"/>
          <w:b/>
          <w:bCs/>
          <w:color w:val="auto"/>
          <w:sz w:val="21"/>
          <w:szCs w:val="21"/>
          <w:highlight w:val="none"/>
          <w:u w:val="single"/>
        </w:rPr>
        <w:t>因承包人原因造成工期延误后，对于工程关键节点工期延误的情况，每延误1天的，承包人承担该关键节点所在分部分项工程暂定合同价款的0.2‰的违约金；延误超过5天的（不含5天），发包人有权停发应付的工程进度款；延误10天以上的（不含10天），发包人按本条规定停发工程进度款外，承包人还应在2天内制定出具体可行的自行赶工措施，报监理人及发包人批准。如发包人认为承包人的赶工计划不可行，则发包人有权解除合同，并要求承包人赔偿发包人的实际损失。关键节点工期延误违约金累计不超过合同价款的2% 。</w:t>
      </w:r>
    </w:p>
    <w:p w14:paraId="1AD49180">
      <w:pPr>
        <w:keepNext w:val="0"/>
        <w:keepLines w:val="0"/>
        <w:pageBreakBefore w:val="0"/>
        <w:widowControl w:val="0"/>
        <w:kinsoku/>
        <w:wordWrap/>
        <w:overflowPunct/>
        <w:topLinePunct w:val="0"/>
        <w:bidi w:val="0"/>
        <w:spacing w:line="360" w:lineRule="auto"/>
        <w:ind w:firstLine="422" w:firstLineChars="200"/>
        <w:contextualSpacing/>
        <w:textAlignment w:val="auto"/>
        <w:outlineLvl w:val="9"/>
        <w:rPr>
          <w:rFonts w:hint="eastAsia" w:ascii="宋体" w:hAnsi="宋体" w:eastAsia="宋体" w:cs="宋体"/>
          <w:b/>
          <w:bCs/>
          <w:color w:val="auto"/>
          <w:sz w:val="21"/>
          <w:szCs w:val="21"/>
          <w:highlight w:val="none"/>
          <w:u w:val="single"/>
        </w:rPr>
      </w:pPr>
      <w:r>
        <w:rPr>
          <w:rFonts w:hint="eastAsia" w:ascii="宋体" w:hAnsi="宋体" w:eastAsia="宋体" w:cs="宋体"/>
          <w:b/>
          <w:bCs/>
          <w:color w:val="auto"/>
          <w:sz w:val="21"/>
          <w:szCs w:val="21"/>
          <w:highlight w:val="none"/>
          <w:u w:val="single"/>
        </w:rPr>
        <w:sym w:font="Wingdings" w:char="F083"/>
      </w:r>
      <w:r>
        <w:rPr>
          <w:rFonts w:hint="eastAsia" w:ascii="宋体" w:hAnsi="宋体" w:eastAsia="宋体" w:cs="宋体"/>
          <w:b/>
          <w:bCs/>
          <w:color w:val="auto"/>
          <w:sz w:val="21"/>
          <w:szCs w:val="21"/>
          <w:highlight w:val="none"/>
          <w:u w:val="single"/>
        </w:rPr>
        <w:t>承包人违反约定造成工程不能按照合同约定的工期竣工的，延误15天以内的(含15天</w:t>
      </w:r>
      <w:r>
        <w:rPr>
          <w:rFonts w:hint="eastAsia" w:ascii="宋体" w:hAnsi="宋体" w:cs="宋体"/>
          <w:b/>
          <w:bCs/>
          <w:color w:val="auto"/>
          <w:sz w:val="21"/>
          <w:szCs w:val="21"/>
          <w:highlight w:val="none"/>
          <w:u w:val="single"/>
          <w:lang w:eastAsia="zh-CN"/>
        </w:rPr>
        <w:t>）</w:t>
      </w:r>
      <w:r>
        <w:rPr>
          <w:rFonts w:hint="eastAsia" w:ascii="宋体" w:hAnsi="宋体" w:eastAsia="宋体" w:cs="宋体"/>
          <w:b/>
          <w:bCs/>
          <w:color w:val="auto"/>
          <w:sz w:val="21"/>
          <w:szCs w:val="21"/>
          <w:highlight w:val="none"/>
          <w:u w:val="single"/>
        </w:rPr>
        <w:t>，每延误1天，承包人应承担本工程暂定合同价款0.2‰的违约金；延误超过15天的(不含15天</w:t>
      </w:r>
      <w:r>
        <w:rPr>
          <w:rFonts w:hint="eastAsia" w:ascii="宋体" w:hAnsi="宋体" w:cs="宋体"/>
          <w:b/>
          <w:bCs/>
          <w:color w:val="auto"/>
          <w:sz w:val="21"/>
          <w:szCs w:val="21"/>
          <w:highlight w:val="none"/>
          <w:u w:val="single"/>
          <w:lang w:eastAsia="zh-CN"/>
        </w:rPr>
        <w:t>）</w:t>
      </w:r>
      <w:r>
        <w:rPr>
          <w:rFonts w:hint="eastAsia" w:ascii="宋体" w:hAnsi="宋体" w:eastAsia="宋体" w:cs="宋体"/>
          <w:b/>
          <w:bCs/>
          <w:color w:val="auto"/>
          <w:sz w:val="21"/>
          <w:szCs w:val="21"/>
          <w:highlight w:val="none"/>
          <w:u w:val="single"/>
        </w:rPr>
        <w:t>，超过15天的部分，每延误1天，承包人应承担本工程暂定合同价款0.4‰的违约金，并赔偿发包人因此遭受的实际损失；逾期超过30天的（不含30天）</w:t>
      </w:r>
      <w:r>
        <w:rPr>
          <w:rFonts w:hint="eastAsia" w:ascii="宋体" w:hAnsi="宋体" w:cs="宋体"/>
          <w:b/>
          <w:bCs/>
          <w:color w:val="auto"/>
          <w:sz w:val="21"/>
          <w:szCs w:val="21"/>
          <w:highlight w:val="none"/>
          <w:u w:val="single"/>
          <w:lang w:eastAsia="zh-CN"/>
        </w:rPr>
        <w:t>，除</w:t>
      </w:r>
      <w:r>
        <w:rPr>
          <w:rFonts w:hint="eastAsia" w:ascii="宋体" w:hAnsi="宋体" w:eastAsia="宋体" w:cs="宋体"/>
          <w:b/>
          <w:bCs/>
          <w:color w:val="auto"/>
          <w:sz w:val="21"/>
          <w:szCs w:val="21"/>
          <w:highlight w:val="none"/>
          <w:u w:val="single"/>
        </w:rPr>
        <w:t>承包人承担违约责任外，发包人还有权单方解除未完成部分工程合同，并就该部分工程另行委托第三方完成，一切费用由承包人承担。</w:t>
      </w:r>
      <w:bookmarkEnd w:id="437"/>
      <w:bookmarkEnd w:id="438"/>
      <w:bookmarkEnd w:id="439"/>
      <w:bookmarkEnd w:id="440"/>
      <w:bookmarkEnd w:id="441"/>
      <w:bookmarkEnd w:id="442"/>
      <w:bookmarkEnd w:id="443"/>
      <w:r>
        <w:rPr>
          <w:rFonts w:hint="eastAsia" w:ascii="宋体" w:hAnsi="宋体" w:eastAsia="宋体" w:cs="宋体"/>
          <w:b/>
          <w:bCs/>
          <w:color w:val="auto"/>
          <w:sz w:val="21"/>
          <w:szCs w:val="21"/>
          <w:highlight w:val="none"/>
          <w:u w:val="single"/>
        </w:rPr>
        <w:t>竣工工期延误违约金累计不超过合同价款的5%。</w:t>
      </w:r>
    </w:p>
    <w:p w14:paraId="31A051D2">
      <w:pPr>
        <w:keepNext w:val="0"/>
        <w:keepLines w:val="0"/>
        <w:pageBreakBefore w:val="0"/>
        <w:widowControl w:val="0"/>
        <w:kinsoku/>
        <w:wordWrap/>
        <w:overflowPunct/>
        <w:topLinePunct w:val="0"/>
        <w:bidi w:val="0"/>
        <w:spacing w:line="360" w:lineRule="auto"/>
        <w:ind w:firstLine="200"/>
        <w:textAlignment w:val="auto"/>
        <w:outlineLvl w:val="9"/>
        <w:rPr>
          <w:rFonts w:hint="eastAsia" w:ascii="宋体" w:hAnsi="宋体" w:eastAsia="宋体" w:cs="宋体"/>
          <w:b/>
          <w:bCs/>
          <w:color w:val="auto"/>
          <w:sz w:val="21"/>
          <w:szCs w:val="21"/>
          <w:highlight w:val="none"/>
          <w:u w:val="single"/>
        </w:rPr>
      </w:pPr>
      <w:r>
        <w:rPr>
          <w:rFonts w:hint="eastAsia" w:ascii="宋体" w:hAnsi="宋体" w:eastAsia="宋体" w:cs="宋体"/>
          <w:b/>
          <w:bCs/>
          <w:color w:val="auto"/>
          <w:sz w:val="21"/>
          <w:szCs w:val="21"/>
          <w:highlight w:val="none"/>
        </w:rPr>
        <w:fldChar w:fldCharType="begin"/>
      </w:r>
      <w:r>
        <w:rPr>
          <w:rFonts w:hint="eastAsia" w:ascii="宋体" w:hAnsi="宋体" w:eastAsia="宋体" w:cs="宋体"/>
          <w:b/>
          <w:bCs/>
          <w:color w:val="auto"/>
          <w:sz w:val="21"/>
          <w:szCs w:val="21"/>
          <w:highlight w:val="none"/>
        </w:rPr>
        <w:instrText xml:space="preserve"> = 4 \* GB3 \* MERGEFORMAT </w:instrText>
      </w:r>
      <w:r>
        <w:rPr>
          <w:rFonts w:hint="eastAsia" w:ascii="宋体" w:hAnsi="宋体" w:eastAsia="宋体" w:cs="宋体"/>
          <w:b/>
          <w:bCs/>
          <w:color w:val="auto"/>
          <w:sz w:val="21"/>
          <w:szCs w:val="21"/>
          <w:highlight w:val="none"/>
        </w:rPr>
        <w:fldChar w:fldCharType="separate"/>
      </w:r>
      <w:r>
        <w:rPr>
          <w:rFonts w:hint="eastAsia" w:ascii="宋体" w:hAnsi="宋体" w:eastAsia="宋体" w:cs="宋体"/>
          <w:b/>
          <w:bCs/>
          <w:color w:val="auto"/>
          <w:sz w:val="21"/>
          <w:szCs w:val="21"/>
          <w:highlight w:val="none"/>
        </w:rPr>
        <w:t>④</w:t>
      </w:r>
      <w:r>
        <w:rPr>
          <w:rFonts w:hint="eastAsia" w:ascii="宋体" w:hAnsi="宋体" w:eastAsia="宋体" w:cs="宋体"/>
          <w:b/>
          <w:bCs/>
          <w:color w:val="auto"/>
          <w:sz w:val="21"/>
          <w:szCs w:val="21"/>
          <w:highlight w:val="none"/>
        </w:rPr>
        <w:fldChar w:fldCharType="end"/>
      </w:r>
      <w:r>
        <w:rPr>
          <w:rFonts w:hint="eastAsia" w:ascii="宋体" w:hAnsi="宋体" w:eastAsia="宋体" w:cs="宋体"/>
          <w:b/>
          <w:bCs/>
          <w:color w:val="auto"/>
          <w:sz w:val="21"/>
          <w:szCs w:val="21"/>
          <w:highlight w:val="none"/>
          <w:u w:val="single"/>
        </w:rPr>
        <w:t>承包人因延期签订合同（包括但不限于劳务合同、专业分包合同、材料设备采购合同等）造成的关键线路工期延误的，发包人不承担任何责任，且发包人有权要求承包人须承担由此造成的工期损失及违约责任，违约金为5000.00元/天。</w:t>
      </w:r>
    </w:p>
    <w:p w14:paraId="39DF74B9">
      <w:pPr>
        <w:keepNext w:val="0"/>
        <w:keepLines w:val="0"/>
        <w:pageBreakBefore w:val="0"/>
        <w:widowControl w:val="0"/>
        <w:kinsoku/>
        <w:wordWrap/>
        <w:overflowPunct/>
        <w:topLinePunct w:val="0"/>
        <w:bidi w:val="0"/>
        <w:spacing w:line="360" w:lineRule="auto"/>
        <w:ind w:firstLine="200"/>
        <w:textAlignment w:val="auto"/>
        <w:outlineLvl w:val="9"/>
        <w:rPr>
          <w:rFonts w:hint="eastAsia" w:ascii="宋体" w:hAnsi="宋体" w:eastAsia="宋体" w:cs="宋体"/>
          <w:color w:val="auto"/>
          <w:sz w:val="21"/>
          <w:szCs w:val="21"/>
          <w:highlight w:val="none"/>
        </w:rPr>
      </w:pPr>
      <w:r>
        <w:rPr>
          <w:rFonts w:hint="eastAsia" w:ascii="宋体" w:hAnsi="宋体" w:eastAsia="宋体" w:cs="宋体"/>
          <w:b/>
          <w:bCs/>
          <w:color w:val="auto"/>
          <w:sz w:val="21"/>
          <w:szCs w:val="21"/>
          <w:highlight w:val="none"/>
        </w:rPr>
        <w:t>⑤</w:t>
      </w:r>
      <w:r>
        <w:rPr>
          <w:rFonts w:hint="eastAsia" w:ascii="宋体" w:hAnsi="宋体" w:eastAsia="宋体" w:cs="宋体"/>
          <w:b/>
          <w:bCs/>
          <w:color w:val="auto"/>
          <w:sz w:val="21"/>
          <w:szCs w:val="21"/>
          <w:highlight w:val="none"/>
          <w:u w:val="single"/>
        </w:rPr>
        <w:t>因工期延误产生的逾期竣工违约金由发包人在承包人进度款或结算款中扣除。</w:t>
      </w:r>
    </w:p>
    <w:bookmarkEnd w:id="444"/>
    <w:p w14:paraId="22D5C574">
      <w:pPr>
        <w:keepNext w:val="0"/>
        <w:keepLines w:val="0"/>
        <w:pageBreakBefore w:val="0"/>
        <w:widowControl w:val="0"/>
        <w:kinsoku/>
        <w:wordWrap/>
        <w:overflowPunct/>
        <w:topLinePunct w:val="0"/>
        <w:bidi w:val="0"/>
        <w:spacing w:line="360" w:lineRule="auto"/>
        <w:ind w:firstLine="420" w:firstLineChars="200"/>
        <w:textAlignment w:val="auto"/>
        <w:outlineLvl w:val="9"/>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因承包人原因造成前述工期延误，其逾</w:t>
      </w:r>
      <w:bookmarkStart w:id="445" w:name="_Toc312678014"/>
      <w:bookmarkStart w:id="446" w:name="_Toc318581171"/>
      <w:r>
        <w:rPr>
          <w:rFonts w:hint="eastAsia" w:ascii="宋体" w:hAnsi="宋体" w:eastAsia="宋体" w:cs="宋体"/>
          <w:color w:val="auto"/>
          <w:sz w:val="21"/>
          <w:szCs w:val="21"/>
          <w:highlight w:val="none"/>
        </w:rPr>
        <w:t>期违约金的上限：</w:t>
      </w:r>
      <w:r>
        <w:rPr>
          <w:rFonts w:hint="eastAsia" w:ascii="宋体" w:hAnsi="宋体" w:eastAsia="宋体" w:cs="宋体"/>
          <w:b/>
          <w:bCs/>
          <w:color w:val="auto"/>
          <w:sz w:val="21"/>
          <w:szCs w:val="21"/>
          <w:highlight w:val="none"/>
          <w:u w:val="single"/>
        </w:rPr>
        <w:t xml:space="preserve">签约合同价的5% </w:t>
      </w:r>
      <w:r>
        <w:rPr>
          <w:rFonts w:hint="eastAsia" w:ascii="宋体" w:hAnsi="宋体" w:eastAsia="宋体" w:cs="宋体"/>
          <w:color w:val="auto"/>
          <w:sz w:val="21"/>
          <w:szCs w:val="21"/>
          <w:highlight w:val="none"/>
        </w:rPr>
        <w:t>。</w:t>
      </w:r>
    </w:p>
    <w:bookmarkEnd w:id="445"/>
    <w:bookmarkEnd w:id="446"/>
    <w:p w14:paraId="6F2AA40B">
      <w:pPr>
        <w:keepNext w:val="0"/>
        <w:keepLines w:val="0"/>
        <w:pageBreakBefore w:val="0"/>
        <w:widowControl w:val="0"/>
        <w:kinsoku/>
        <w:wordWrap/>
        <w:overflowPunct/>
        <w:topLinePunct w:val="0"/>
        <w:bidi w:val="0"/>
        <w:spacing w:line="360" w:lineRule="auto"/>
        <w:ind w:firstLine="420" w:firstLineChars="200"/>
        <w:textAlignment w:val="auto"/>
        <w:outlineLvl w:val="9"/>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7</w:t>
      </w:r>
      <w:bookmarkStart w:id="447" w:name="_Toc312678015"/>
      <w:bookmarkStart w:id="448" w:name="_Toc303539128"/>
      <w:bookmarkStart w:id="449" w:name="_Toc304295549"/>
      <w:bookmarkStart w:id="450" w:name="_Toc297216178"/>
      <w:bookmarkStart w:id="451" w:name="_Toc300934971"/>
      <w:bookmarkStart w:id="452" w:name="_Toc297123519"/>
      <w:r>
        <w:rPr>
          <w:rFonts w:hint="eastAsia" w:ascii="宋体" w:hAnsi="宋体" w:eastAsia="宋体" w:cs="宋体"/>
          <w:color w:val="auto"/>
          <w:sz w:val="21"/>
          <w:szCs w:val="21"/>
          <w:highlight w:val="none"/>
        </w:rPr>
        <w:t>.6 不</w:t>
      </w:r>
      <w:bookmarkEnd w:id="447"/>
      <w:bookmarkEnd w:id="448"/>
      <w:bookmarkEnd w:id="449"/>
      <w:bookmarkEnd w:id="450"/>
      <w:bookmarkEnd w:id="451"/>
      <w:bookmarkEnd w:id="452"/>
      <w:r>
        <w:rPr>
          <w:rFonts w:hint="eastAsia" w:ascii="宋体" w:hAnsi="宋体" w:eastAsia="宋体" w:cs="宋体"/>
          <w:color w:val="auto"/>
          <w:sz w:val="21"/>
          <w:szCs w:val="21"/>
          <w:highlight w:val="none"/>
        </w:rPr>
        <w:t>利物质条件</w:t>
      </w:r>
    </w:p>
    <w:p w14:paraId="5727772A">
      <w:pPr>
        <w:keepNext w:val="0"/>
        <w:keepLines w:val="0"/>
        <w:pageBreakBefore w:val="0"/>
        <w:widowControl w:val="0"/>
        <w:kinsoku/>
        <w:wordWrap/>
        <w:overflowPunct/>
        <w:topLinePunct w:val="0"/>
        <w:bidi w:val="0"/>
        <w:spacing w:line="360" w:lineRule="auto"/>
        <w:ind w:firstLine="420" w:firstLineChars="200"/>
        <w:textAlignment w:val="auto"/>
        <w:outlineLvl w:val="9"/>
        <w:rPr>
          <w:rFonts w:hint="eastAsia" w:ascii="宋体" w:hAnsi="宋体" w:eastAsia="宋体" w:cs="宋体"/>
          <w:b/>
          <w:bCs/>
          <w:color w:val="auto"/>
          <w:sz w:val="21"/>
          <w:szCs w:val="21"/>
          <w:highlight w:val="none"/>
          <w:u w:val="single"/>
        </w:rPr>
      </w:pPr>
      <w:bookmarkStart w:id="453" w:name="_Toc303539129"/>
      <w:bookmarkStart w:id="454" w:name="_Toc297123520"/>
      <w:bookmarkStart w:id="455" w:name="_Toc304295550"/>
      <w:bookmarkStart w:id="456" w:name="_Toc318581172"/>
      <w:bookmarkStart w:id="457" w:name="_Toc312678016"/>
      <w:bookmarkStart w:id="458" w:name="_Toc300934972"/>
      <w:bookmarkStart w:id="459" w:name="_Toc297216179"/>
      <w:r>
        <w:rPr>
          <w:rFonts w:hint="eastAsia" w:ascii="宋体" w:hAnsi="宋体" w:eastAsia="宋体" w:cs="宋体"/>
          <w:color w:val="auto"/>
          <w:sz w:val="21"/>
          <w:szCs w:val="21"/>
          <w:highlight w:val="none"/>
        </w:rPr>
        <w:t>不利物质条件的其他情形和有关约定：</w:t>
      </w:r>
      <w:r>
        <w:rPr>
          <w:rFonts w:hint="eastAsia" w:ascii="宋体" w:hAnsi="宋体" w:eastAsia="宋体" w:cs="宋体"/>
          <w:b/>
          <w:bCs/>
          <w:color w:val="auto"/>
          <w:sz w:val="21"/>
          <w:szCs w:val="21"/>
          <w:highlight w:val="none"/>
          <w:u w:val="single"/>
        </w:rPr>
        <w:t>按通用条款7.6执行</w:t>
      </w:r>
      <w:r>
        <w:rPr>
          <w:rFonts w:hint="eastAsia" w:ascii="宋体" w:hAnsi="宋体" w:eastAsia="宋体" w:cs="宋体"/>
          <w:color w:val="auto"/>
          <w:sz w:val="21"/>
          <w:szCs w:val="21"/>
          <w:highlight w:val="none"/>
        </w:rPr>
        <w:t>。</w:t>
      </w:r>
    </w:p>
    <w:bookmarkEnd w:id="453"/>
    <w:bookmarkEnd w:id="454"/>
    <w:bookmarkEnd w:id="455"/>
    <w:bookmarkEnd w:id="456"/>
    <w:bookmarkEnd w:id="457"/>
    <w:bookmarkEnd w:id="458"/>
    <w:bookmarkEnd w:id="459"/>
    <w:p w14:paraId="3D060B64">
      <w:pPr>
        <w:keepNext w:val="0"/>
        <w:keepLines w:val="0"/>
        <w:pageBreakBefore w:val="0"/>
        <w:widowControl w:val="0"/>
        <w:kinsoku/>
        <w:wordWrap/>
        <w:overflowPunct/>
        <w:topLinePunct w:val="0"/>
        <w:bidi w:val="0"/>
        <w:spacing w:line="360" w:lineRule="auto"/>
        <w:ind w:firstLine="420" w:firstLineChars="200"/>
        <w:textAlignment w:val="auto"/>
        <w:outlineLvl w:val="9"/>
        <w:rPr>
          <w:rFonts w:hint="eastAsia" w:ascii="宋体" w:hAnsi="宋体" w:eastAsia="宋体" w:cs="宋体"/>
          <w:b/>
          <w:bCs/>
          <w:color w:val="auto"/>
          <w:sz w:val="21"/>
          <w:szCs w:val="21"/>
          <w:highlight w:val="none"/>
          <w:u w:val="single"/>
        </w:rPr>
      </w:pPr>
      <w:r>
        <w:rPr>
          <w:rFonts w:hint="eastAsia" w:ascii="宋体" w:hAnsi="宋体" w:eastAsia="宋体" w:cs="宋体"/>
          <w:color w:val="auto"/>
          <w:sz w:val="21"/>
          <w:szCs w:val="21"/>
          <w:highlight w:val="none"/>
        </w:rPr>
        <w:t>7</w:t>
      </w:r>
      <w:bookmarkStart w:id="460" w:name="_Toc297216180"/>
      <w:bookmarkStart w:id="461" w:name="_Toc303539130"/>
      <w:bookmarkStart w:id="462" w:name="_Toc297123521"/>
      <w:bookmarkStart w:id="463" w:name="_Toc300934973"/>
      <w:bookmarkStart w:id="464" w:name="_Toc312678017"/>
      <w:bookmarkStart w:id="465" w:name="_Toc304295551"/>
      <w:r>
        <w:rPr>
          <w:rFonts w:hint="eastAsia" w:ascii="宋体" w:hAnsi="宋体" w:eastAsia="宋体" w:cs="宋体"/>
          <w:color w:val="auto"/>
          <w:sz w:val="21"/>
          <w:szCs w:val="21"/>
          <w:highlight w:val="none"/>
        </w:rPr>
        <w:t>.7异常恶劣的气候条件：</w:t>
      </w:r>
      <w:r>
        <w:rPr>
          <w:rFonts w:hint="eastAsia" w:ascii="宋体" w:hAnsi="宋体" w:eastAsia="宋体" w:cs="宋体"/>
          <w:b/>
          <w:bCs/>
          <w:color w:val="auto"/>
          <w:sz w:val="21"/>
          <w:szCs w:val="21"/>
          <w:highlight w:val="none"/>
          <w:u w:val="single"/>
        </w:rPr>
        <w:t>按通用条款7.7执行。</w:t>
      </w:r>
    </w:p>
    <w:bookmarkEnd w:id="460"/>
    <w:bookmarkEnd w:id="461"/>
    <w:bookmarkEnd w:id="462"/>
    <w:bookmarkEnd w:id="463"/>
    <w:bookmarkEnd w:id="464"/>
    <w:bookmarkEnd w:id="465"/>
    <w:p w14:paraId="20053C4D">
      <w:pPr>
        <w:keepNext w:val="0"/>
        <w:keepLines w:val="0"/>
        <w:pageBreakBefore w:val="0"/>
        <w:widowControl w:val="0"/>
        <w:kinsoku/>
        <w:wordWrap/>
        <w:overflowPunct/>
        <w:topLinePunct w:val="0"/>
        <w:bidi w:val="0"/>
        <w:spacing w:line="360" w:lineRule="auto"/>
        <w:ind w:firstLine="420" w:firstLineChars="200"/>
        <w:textAlignment w:val="auto"/>
        <w:outlineLvl w:val="9"/>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7.8提前竣工的奖励：</w:t>
      </w:r>
      <w:r>
        <w:rPr>
          <w:rFonts w:hint="eastAsia" w:ascii="宋体" w:hAnsi="宋体" w:eastAsia="宋体" w:cs="宋体"/>
          <w:color w:val="auto"/>
          <w:sz w:val="21"/>
          <w:szCs w:val="21"/>
          <w:highlight w:val="none"/>
          <w:u w:val="single"/>
        </w:rPr>
        <w:t xml:space="preserve"> / </w:t>
      </w:r>
      <w:r>
        <w:rPr>
          <w:rFonts w:hint="eastAsia" w:ascii="宋体" w:hAnsi="宋体" w:eastAsia="宋体" w:cs="宋体"/>
          <w:color w:val="auto"/>
          <w:sz w:val="21"/>
          <w:szCs w:val="21"/>
          <w:highlight w:val="none"/>
        </w:rPr>
        <w:t>。</w:t>
      </w:r>
    </w:p>
    <w:p w14:paraId="7ACF8DFF">
      <w:pPr>
        <w:keepNext w:val="0"/>
        <w:keepLines w:val="0"/>
        <w:pageBreakBefore w:val="0"/>
        <w:widowControl w:val="0"/>
        <w:kinsoku/>
        <w:wordWrap/>
        <w:overflowPunct/>
        <w:topLinePunct w:val="0"/>
        <w:autoSpaceDE/>
        <w:autoSpaceDN/>
        <w:bidi w:val="0"/>
        <w:adjustRightInd/>
        <w:snapToGrid/>
        <w:spacing w:line="360" w:lineRule="auto"/>
        <w:ind w:firstLine="422" w:firstLineChars="200"/>
        <w:textAlignment w:val="auto"/>
        <w:outlineLvl w:val="2"/>
        <w:rPr>
          <w:rFonts w:hint="eastAsia" w:ascii="宋体" w:hAnsi="宋体" w:eastAsia="宋体" w:cs="宋体"/>
          <w:b/>
          <w:color w:val="auto"/>
          <w:sz w:val="21"/>
          <w:szCs w:val="21"/>
          <w:highlight w:val="none"/>
        </w:rPr>
      </w:pPr>
      <w:bookmarkStart w:id="466" w:name="_Toc32334"/>
      <w:bookmarkStart w:id="467" w:name="_Toc18328"/>
      <w:bookmarkStart w:id="468" w:name="_Toc26385"/>
      <w:bookmarkStart w:id="469" w:name="_Toc29077"/>
      <w:bookmarkStart w:id="470" w:name="_Toc168862322"/>
      <w:bookmarkStart w:id="471" w:name="_Toc167230035"/>
      <w:bookmarkStart w:id="472" w:name="_Toc351203640"/>
      <w:r>
        <w:rPr>
          <w:rFonts w:hint="eastAsia" w:ascii="宋体" w:hAnsi="宋体" w:eastAsia="宋体" w:cs="宋体"/>
          <w:b/>
          <w:color w:val="auto"/>
          <w:sz w:val="21"/>
          <w:szCs w:val="21"/>
          <w:highlight w:val="none"/>
        </w:rPr>
        <w:t>8.材料与设备</w:t>
      </w:r>
      <w:bookmarkEnd w:id="466"/>
      <w:bookmarkEnd w:id="467"/>
      <w:bookmarkEnd w:id="468"/>
      <w:bookmarkEnd w:id="469"/>
      <w:bookmarkEnd w:id="470"/>
      <w:bookmarkEnd w:id="471"/>
      <w:bookmarkEnd w:id="472"/>
    </w:p>
    <w:p w14:paraId="71FBD137">
      <w:pPr>
        <w:keepNext w:val="0"/>
        <w:keepLines w:val="0"/>
        <w:pageBreakBefore w:val="0"/>
        <w:widowControl w:val="0"/>
        <w:kinsoku/>
        <w:wordWrap/>
        <w:overflowPunct/>
        <w:topLinePunct w:val="0"/>
        <w:autoSpaceDE/>
        <w:autoSpaceDN/>
        <w:bidi w:val="0"/>
        <w:adjustRightInd/>
        <w:snapToGrid/>
        <w:spacing w:line="360" w:lineRule="auto"/>
        <w:ind w:firstLine="422" w:firstLineChars="200"/>
        <w:textAlignment w:val="auto"/>
        <w:outlineLvl w:val="9"/>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rPr>
        <w:t>8.1发包人供应材料与工程设备</w:t>
      </w:r>
    </w:p>
    <w:p w14:paraId="19BEAA56">
      <w:pPr>
        <w:keepNext w:val="0"/>
        <w:keepLines w:val="0"/>
        <w:pageBreakBefore w:val="0"/>
        <w:widowControl w:val="0"/>
        <w:kinsoku/>
        <w:wordWrap/>
        <w:overflowPunct/>
        <w:topLinePunct w:val="0"/>
        <w:bidi w:val="0"/>
        <w:spacing w:line="360" w:lineRule="auto"/>
        <w:ind w:firstLine="420" w:firstLineChars="200"/>
        <w:textAlignment w:val="auto"/>
        <w:outlineLvl w:val="9"/>
        <w:rPr>
          <w:rFonts w:hint="eastAsia" w:ascii="宋体" w:hAnsi="宋体" w:eastAsia="宋体" w:cs="宋体"/>
          <w:i/>
          <w:iCs/>
          <w:color w:val="auto"/>
          <w:sz w:val="21"/>
          <w:szCs w:val="21"/>
          <w:highlight w:val="none"/>
        </w:rPr>
      </w:pPr>
      <w:r>
        <w:rPr>
          <w:rFonts w:hint="eastAsia" w:ascii="宋体" w:hAnsi="宋体" w:eastAsia="宋体" w:cs="宋体"/>
          <w:color w:val="auto"/>
          <w:sz w:val="21"/>
          <w:szCs w:val="21"/>
          <w:highlight w:val="none"/>
        </w:rPr>
        <w:t>发包人供应材料与工程设备：</w:t>
      </w:r>
      <w:r>
        <w:rPr>
          <w:rFonts w:hint="eastAsia" w:ascii="宋体" w:hAnsi="宋体" w:eastAsia="宋体" w:cs="宋体"/>
          <w:color w:val="auto"/>
          <w:sz w:val="21"/>
          <w:szCs w:val="21"/>
          <w:highlight w:val="none"/>
          <w:u w:val="single"/>
        </w:rPr>
        <w:t xml:space="preserve"> / </w:t>
      </w:r>
      <w:r>
        <w:rPr>
          <w:rFonts w:hint="eastAsia" w:ascii="宋体" w:hAnsi="宋体" w:eastAsia="宋体" w:cs="宋体"/>
          <w:color w:val="auto"/>
          <w:sz w:val="21"/>
          <w:szCs w:val="21"/>
          <w:highlight w:val="none"/>
        </w:rPr>
        <w:t>。</w:t>
      </w:r>
    </w:p>
    <w:p w14:paraId="3B5B23D3">
      <w:pPr>
        <w:keepNext w:val="0"/>
        <w:keepLines w:val="0"/>
        <w:pageBreakBefore w:val="0"/>
        <w:widowControl w:val="0"/>
        <w:kinsoku/>
        <w:wordWrap/>
        <w:overflowPunct/>
        <w:topLinePunct w:val="0"/>
        <w:bidi w:val="0"/>
        <w:spacing w:line="360" w:lineRule="auto"/>
        <w:ind w:firstLine="420" w:firstLineChars="200"/>
        <w:textAlignment w:val="auto"/>
        <w:outlineLvl w:val="9"/>
        <w:rPr>
          <w:rFonts w:hint="eastAsia" w:ascii="宋体" w:hAnsi="宋体" w:eastAsia="宋体" w:cs="宋体"/>
          <w:b/>
          <w:i/>
          <w:iCs/>
          <w:color w:val="auto"/>
          <w:sz w:val="21"/>
          <w:szCs w:val="21"/>
          <w:highlight w:val="none"/>
        </w:rPr>
      </w:pPr>
      <w:r>
        <w:rPr>
          <w:rFonts w:hint="eastAsia" w:ascii="宋体" w:hAnsi="宋体" w:eastAsia="宋体" w:cs="宋体"/>
          <w:color w:val="auto"/>
          <w:sz w:val="21"/>
          <w:szCs w:val="21"/>
          <w:highlight w:val="none"/>
        </w:rPr>
        <w:t>8.2承包人采购材料设备</w:t>
      </w:r>
    </w:p>
    <w:p w14:paraId="163F55AE">
      <w:pPr>
        <w:keepNext w:val="0"/>
        <w:keepLines w:val="0"/>
        <w:pageBreakBefore w:val="0"/>
        <w:widowControl w:val="0"/>
        <w:kinsoku/>
        <w:wordWrap/>
        <w:overflowPunct/>
        <w:topLinePunct w:val="0"/>
        <w:bidi w:val="0"/>
        <w:spacing w:line="360" w:lineRule="auto"/>
        <w:ind w:firstLine="411" w:firstLineChars="196"/>
        <w:textAlignment w:val="auto"/>
        <w:outlineLvl w:val="9"/>
        <w:rPr>
          <w:rFonts w:hint="eastAsia" w:ascii="宋体" w:hAnsi="宋体" w:eastAsia="宋体" w:cs="宋体"/>
          <w:color w:val="auto"/>
          <w:sz w:val="21"/>
          <w:szCs w:val="21"/>
          <w:highlight w:val="none"/>
          <w:lang w:bidi="en-US"/>
        </w:rPr>
      </w:pPr>
      <w:r>
        <w:rPr>
          <w:rFonts w:hint="eastAsia" w:ascii="宋体" w:hAnsi="宋体" w:eastAsia="宋体" w:cs="宋体"/>
          <w:color w:val="auto"/>
          <w:sz w:val="21"/>
          <w:szCs w:val="21"/>
          <w:highlight w:val="none"/>
          <w:lang w:bidi="en-US"/>
        </w:rPr>
        <w:t>承包人采购材料设备：</w:t>
      </w:r>
    </w:p>
    <w:p w14:paraId="2C9EEA45">
      <w:pPr>
        <w:keepNext w:val="0"/>
        <w:keepLines w:val="0"/>
        <w:pageBreakBefore w:val="0"/>
        <w:widowControl w:val="0"/>
        <w:kinsoku/>
        <w:wordWrap/>
        <w:overflowPunct/>
        <w:topLinePunct w:val="0"/>
        <w:bidi w:val="0"/>
        <w:spacing w:line="360" w:lineRule="auto"/>
        <w:ind w:firstLine="420" w:firstLineChars="200"/>
        <w:textAlignment w:val="auto"/>
        <w:outlineLvl w:val="9"/>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（1）</w:t>
      </w:r>
      <w:r>
        <w:rPr>
          <w:rFonts w:hint="eastAsia" w:ascii="宋体" w:hAnsi="宋体" w:eastAsia="宋体" w:cs="宋体"/>
          <w:b/>
          <w:bCs/>
          <w:color w:val="auto"/>
          <w:sz w:val="21"/>
          <w:szCs w:val="21"/>
          <w:highlight w:val="none"/>
        </w:rPr>
        <w:t>本工程由承包人采购的材料、设备、成品、半成品等应按照设计说明、施工图纸、材料清单和有关技术标准进行采购，承包人必须提供生产厂家相关产品的生产许可证、强制认证书、质量证书和产品材料清单，如需检测的还应提供相应的检测报告，环保合格证明等资料，并对所采购的物资质量负责。</w:t>
      </w:r>
    </w:p>
    <w:p w14:paraId="18CB7DBC">
      <w:pPr>
        <w:keepNext w:val="0"/>
        <w:keepLines w:val="0"/>
        <w:pageBreakBefore w:val="0"/>
        <w:widowControl w:val="0"/>
        <w:kinsoku/>
        <w:wordWrap/>
        <w:overflowPunct/>
        <w:topLinePunct w:val="0"/>
        <w:bidi w:val="0"/>
        <w:spacing w:line="360" w:lineRule="auto"/>
        <w:ind w:firstLine="420" w:firstLineChars="200"/>
        <w:textAlignment w:val="auto"/>
        <w:outlineLvl w:val="9"/>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（2）在工程实施过程中，承包人不能因材料价格审核存在争议而拖延材料采购影响工程施工，否则造成的工期延误责任按工期延误违约责任承担。</w:t>
      </w:r>
    </w:p>
    <w:p w14:paraId="792D396D">
      <w:pPr>
        <w:keepNext w:val="0"/>
        <w:keepLines w:val="0"/>
        <w:pageBreakBefore w:val="0"/>
        <w:widowControl w:val="0"/>
        <w:kinsoku/>
        <w:wordWrap/>
        <w:overflowPunct/>
        <w:topLinePunct w:val="0"/>
        <w:bidi w:val="0"/>
        <w:spacing w:line="360" w:lineRule="auto"/>
        <w:ind w:firstLine="420" w:firstLineChars="200"/>
        <w:textAlignment w:val="auto"/>
        <w:outlineLvl w:val="9"/>
        <w:rPr>
          <w:rFonts w:hint="eastAsia" w:ascii="宋体" w:hAnsi="宋体" w:eastAsia="宋体" w:cs="宋体"/>
          <w:b/>
          <w:bCs/>
          <w:color w:val="auto"/>
          <w:sz w:val="21"/>
          <w:szCs w:val="21"/>
          <w:highlight w:val="none"/>
          <w:u w:val="single"/>
        </w:rPr>
      </w:pPr>
      <w:r>
        <w:rPr>
          <w:rFonts w:hint="eastAsia" w:ascii="宋体" w:hAnsi="宋体" w:eastAsia="宋体" w:cs="宋体"/>
          <w:color w:val="auto"/>
          <w:sz w:val="21"/>
          <w:szCs w:val="21"/>
          <w:highlight w:val="none"/>
          <w:lang w:bidi="en-US"/>
        </w:rPr>
        <w:t>（3）</w:t>
      </w:r>
      <w:r>
        <w:rPr>
          <w:rFonts w:hint="eastAsia" w:ascii="宋体" w:hAnsi="宋体" w:eastAsia="宋体" w:cs="宋体"/>
          <w:b/>
          <w:bCs/>
          <w:color w:val="auto"/>
          <w:sz w:val="21"/>
          <w:szCs w:val="21"/>
          <w:highlight w:val="none"/>
          <w:lang w:bidi="en-US"/>
        </w:rPr>
        <w:t>加工材料运输到现场时，包装必须完好无损</w:t>
      </w:r>
      <w:r>
        <w:rPr>
          <w:rFonts w:hint="eastAsia" w:ascii="宋体" w:hAnsi="宋体" w:cs="宋体"/>
          <w:b/>
          <w:bCs/>
          <w:color w:val="auto"/>
          <w:sz w:val="21"/>
          <w:szCs w:val="21"/>
          <w:highlight w:val="none"/>
          <w:lang w:eastAsia="zh-CN" w:bidi="en-US"/>
        </w:rPr>
        <w:t>，</w:t>
      </w:r>
      <w:r>
        <w:rPr>
          <w:rFonts w:hint="eastAsia" w:ascii="宋体" w:hAnsi="宋体" w:eastAsia="宋体" w:cs="宋体"/>
          <w:b/>
          <w:bCs/>
          <w:color w:val="auto"/>
          <w:sz w:val="21"/>
          <w:szCs w:val="21"/>
          <w:highlight w:val="none"/>
          <w:lang w:bidi="en-US"/>
        </w:rPr>
        <w:t>产品包装要求包括规格型号、产品种类、数量等须报监理单位和发包人检查、验货后方可运到现场安装。</w:t>
      </w:r>
    </w:p>
    <w:p w14:paraId="24DB3E13">
      <w:pPr>
        <w:keepNext w:val="0"/>
        <w:keepLines w:val="0"/>
        <w:pageBreakBefore w:val="0"/>
        <w:widowControl w:val="0"/>
        <w:kinsoku/>
        <w:wordWrap/>
        <w:overflowPunct/>
        <w:topLinePunct w:val="0"/>
        <w:bidi w:val="0"/>
        <w:spacing w:line="360" w:lineRule="auto"/>
        <w:ind w:firstLine="420" w:firstLineChars="200"/>
        <w:textAlignment w:val="auto"/>
        <w:outlineLvl w:val="9"/>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8</w:t>
      </w:r>
      <w:bookmarkStart w:id="473" w:name="_Toc300934979"/>
      <w:bookmarkStart w:id="474" w:name="_Toc304295556"/>
      <w:bookmarkStart w:id="475" w:name="_Toc297048353"/>
      <w:bookmarkStart w:id="476" w:name="_Toc297216186"/>
      <w:bookmarkStart w:id="477" w:name="_Toc292559372"/>
      <w:bookmarkStart w:id="478" w:name="_Toc296891207"/>
      <w:bookmarkStart w:id="479" w:name="_Toc297123527"/>
      <w:bookmarkStart w:id="480" w:name="_Toc297120467"/>
      <w:bookmarkStart w:id="481" w:name="_Toc296890995"/>
      <w:bookmarkStart w:id="482" w:name="_Toc312678019"/>
      <w:bookmarkStart w:id="483" w:name="_Toc296347166"/>
      <w:bookmarkStart w:id="484" w:name="_Toc292559877"/>
      <w:bookmarkStart w:id="485" w:name="_Toc296503167"/>
      <w:bookmarkStart w:id="486" w:name="_Toc312677493"/>
      <w:bookmarkStart w:id="487" w:name="_Toc303539136"/>
      <w:bookmarkStart w:id="488" w:name="_Toc280868654"/>
      <w:bookmarkStart w:id="489" w:name="_Toc296944506"/>
      <w:bookmarkStart w:id="490" w:name="_Toc296346668"/>
      <w:bookmarkStart w:id="491" w:name="_Toc267251424"/>
      <w:bookmarkStart w:id="492" w:name="_Toc280868656"/>
      <w:bookmarkStart w:id="493" w:name="_Toc280868655"/>
      <w:r>
        <w:rPr>
          <w:rFonts w:hint="eastAsia" w:ascii="宋体" w:hAnsi="宋体" w:eastAsia="宋体" w:cs="宋体"/>
          <w:color w:val="auto"/>
          <w:sz w:val="21"/>
          <w:szCs w:val="21"/>
          <w:highlight w:val="none"/>
        </w:rPr>
        <w:t>.3材料与工程设备的保管与使用</w:t>
      </w:r>
    </w:p>
    <w:bookmarkEnd w:id="473"/>
    <w:bookmarkEnd w:id="474"/>
    <w:bookmarkEnd w:id="475"/>
    <w:bookmarkEnd w:id="476"/>
    <w:bookmarkEnd w:id="477"/>
    <w:bookmarkEnd w:id="478"/>
    <w:bookmarkEnd w:id="479"/>
    <w:bookmarkEnd w:id="480"/>
    <w:bookmarkEnd w:id="481"/>
    <w:bookmarkEnd w:id="482"/>
    <w:bookmarkEnd w:id="483"/>
    <w:bookmarkEnd w:id="484"/>
    <w:bookmarkEnd w:id="485"/>
    <w:bookmarkEnd w:id="486"/>
    <w:bookmarkEnd w:id="487"/>
    <w:bookmarkEnd w:id="488"/>
    <w:bookmarkEnd w:id="489"/>
    <w:bookmarkEnd w:id="490"/>
    <w:p w14:paraId="598D8F08">
      <w:pPr>
        <w:keepNext w:val="0"/>
        <w:keepLines w:val="0"/>
        <w:pageBreakBefore w:val="0"/>
        <w:widowControl w:val="0"/>
        <w:kinsoku/>
        <w:wordWrap/>
        <w:overflowPunct/>
        <w:topLinePunct w:val="0"/>
        <w:autoSpaceDE w:val="0"/>
        <w:autoSpaceDN w:val="0"/>
        <w:bidi w:val="0"/>
        <w:adjustRightInd w:val="0"/>
        <w:spacing w:line="360" w:lineRule="auto"/>
        <w:ind w:firstLine="420" w:firstLineChars="200"/>
        <w:textAlignment w:val="auto"/>
        <w:outlineLvl w:val="9"/>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8</w:t>
      </w:r>
      <w:bookmarkStart w:id="494" w:name="_Toc292559878"/>
      <w:bookmarkStart w:id="495" w:name="_Toc292559373"/>
      <w:bookmarkStart w:id="496" w:name="_Toc297216187"/>
      <w:bookmarkStart w:id="497" w:name="_Toc312678020"/>
      <w:bookmarkStart w:id="498" w:name="_Toc297048354"/>
      <w:bookmarkStart w:id="499" w:name="_Toc304295557"/>
      <w:bookmarkStart w:id="500" w:name="_Toc300934980"/>
      <w:bookmarkStart w:id="501" w:name="_Toc303539137"/>
      <w:bookmarkStart w:id="502" w:name="_Toc296347167"/>
      <w:bookmarkStart w:id="503" w:name="_Toc296503168"/>
      <w:bookmarkStart w:id="504" w:name="_Toc296891208"/>
      <w:bookmarkStart w:id="505" w:name="_Toc296346669"/>
      <w:bookmarkStart w:id="506" w:name="_Toc318581173"/>
      <w:bookmarkStart w:id="507" w:name="_Toc296890996"/>
      <w:bookmarkStart w:id="508" w:name="_Toc296944507"/>
      <w:bookmarkStart w:id="509" w:name="_Toc297120468"/>
      <w:bookmarkStart w:id="510" w:name="_Toc312677494"/>
      <w:bookmarkStart w:id="511" w:name="_Toc297123528"/>
      <w:r>
        <w:rPr>
          <w:rFonts w:hint="eastAsia" w:ascii="宋体" w:hAnsi="宋体" w:eastAsia="宋体" w:cs="宋体"/>
          <w:color w:val="auto"/>
          <w:sz w:val="21"/>
          <w:szCs w:val="21"/>
          <w:highlight w:val="none"/>
        </w:rPr>
        <w:t>.3.1发包人供应的材料设备的保管费用的承担：</w:t>
      </w:r>
      <w:bookmarkEnd w:id="494"/>
      <w:bookmarkEnd w:id="495"/>
      <w:r>
        <w:rPr>
          <w:rFonts w:hint="eastAsia" w:ascii="宋体" w:hAnsi="宋体" w:eastAsia="宋体" w:cs="宋体"/>
          <w:color w:val="auto"/>
          <w:sz w:val="21"/>
          <w:szCs w:val="21"/>
          <w:highlight w:val="none"/>
          <w:u w:val="single"/>
        </w:rPr>
        <w:t xml:space="preserve"> / </w:t>
      </w:r>
      <w:r>
        <w:rPr>
          <w:rFonts w:hint="eastAsia" w:ascii="宋体" w:hAnsi="宋体" w:eastAsia="宋体" w:cs="宋体"/>
          <w:color w:val="auto"/>
          <w:sz w:val="21"/>
          <w:szCs w:val="21"/>
          <w:highlight w:val="none"/>
        </w:rPr>
        <w:t>。</w:t>
      </w:r>
    </w:p>
    <w:p w14:paraId="36EDE3D6">
      <w:pPr>
        <w:keepNext w:val="0"/>
        <w:keepLines w:val="0"/>
        <w:pageBreakBefore w:val="0"/>
        <w:widowControl w:val="0"/>
        <w:kinsoku/>
        <w:wordWrap/>
        <w:overflowPunct/>
        <w:topLinePunct w:val="0"/>
        <w:autoSpaceDE w:val="0"/>
        <w:autoSpaceDN w:val="0"/>
        <w:bidi w:val="0"/>
        <w:adjustRightInd w:val="0"/>
        <w:spacing w:line="360" w:lineRule="auto"/>
        <w:ind w:firstLine="420" w:firstLineChars="200"/>
        <w:textAlignment w:val="auto"/>
        <w:outlineLvl w:val="9"/>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8.3.2承包人在同质同价的情况下优先采用本地建筑产品、建筑材料。</w:t>
      </w:r>
    </w:p>
    <w:p w14:paraId="4EF8B2DB">
      <w:pPr>
        <w:keepNext w:val="0"/>
        <w:keepLines w:val="0"/>
        <w:pageBreakBefore w:val="0"/>
        <w:widowControl w:val="0"/>
        <w:kinsoku/>
        <w:wordWrap/>
        <w:overflowPunct/>
        <w:topLinePunct w:val="0"/>
        <w:bidi w:val="0"/>
        <w:spacing w:line="360" w:lineRule="auto"/>
        <w:ind w:firstLine="420" w:firstLineChars="200"/>
        <w:textAlignment w:val="auto"/>
        <w:outlineLvl w:val="9"/>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8.4 样品</w:t>
      </w:r>
    </w:p>
    <w:p w14:paraId="660FE1D1">
      <w:pPr>
        <w:keepNext w:val="0"/>
        <w:keepLines w:val="0"/>
        <w:pageBreakBefore w:val="0"/>
        <w:widowControl w:val="0"/>
        <w:kinsoku/>
        <w:wordWrap/>
        <w:overflowPunct/>
        <w:topLinePunct w:val="0"/>
        <w:autoSpaceDE w:val="0"/>
        <w:autoSpaceDN w:val="0"/>
        <w:bidi w:val="0"/>
        <w:adjustRightInd w:val="0"/>
        <w:spacing w:line="360" w:lineRule="auto"/>
        <w:ind w:firstLine="420" w:firstLineChars="200"/>
        <w:textAlignment w:val="auto"/>
        <w:outlineLvl w:val="9"/>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样品的报送与封存</w:t>
      </w:r>
    </w:p>
    <w:p w14:paraId="299F3B77">
      <w:pPr>
        <w:keepNext w:val="0"/>
        <w:keepLines w:val="0"/>
        <w:pageBreakBefore w:val="0"/>
        <w:widowControl w:val="0"/>
        <w:kinsoku/>
        <w:wordWrap/>
        <w:overflowPunct/>
        <w:topLinePunct w:val="0"/>
        <w:autoSpaceDE w:val="0"/>
        <w:autoSpaceDN w:val="0"/>
        <w:bidi w:val="0"/>
        <w:adjustRightInd w:val="0"/>
        <w:spacing w:line="360" w:lineRule="auto"/>
        <w:ind w:firstLine="420" w:firstLineChars="200"/>
        <w:textAlignment w:val="auto"/>
        <w:outlineLvl w:val="9"/>
        <w:rPr>
          <w:rFonts w:hint="eastAsia" w:ascii="宋体" w:hAnsi="宋体" w:eastAsia="宋体" w:cs="宋体"/>
          <w:b/>
          <w:bCs/>
          <w:color w:val="auto"/>
          <w:sz w:val="21"/>
          <w:szCs w:val="21"/>
          <w:highlight w:val="none"/>
          <w:u w:val="single"/>
        </w:rPr>
      </w:pPr>
      <w:r>
        <w:rPr>
          <w:rFonts w:hint="eastAsia" w:ascii="宋体" w:hAnsi="宋体" w:eastAsia="宋体" w:cs="宋体"/>
          <w:color w:val="auto"/>
          <w:sz w:val="21"/>
          <w:szCs w:val="21"/>
          <w:highlight w:val="none"/>
        </w:rPr>
        <w:t>需要承包人报送样品的材料或工程设备，样品的种类、名称、规格、数量要求：</w:t>
      </w:r>
      <w:r>
        <w:rPr>
          <w:rFonts w:hint="eastAsia" w:ascii="宋体" w:hAnsi="宋体" w:eastAsia="宋体" w:cs="宋体"/>
          <w:b/>
          <w:bCs/>
          <w:color w:val="auto"/>
          <w:sz w:val="21"/>
          <w:szCs w:val="21"/>
          <w:highlight w:val="none"/>
          <w:u w:val="single"/>
        </w:rPr>
        <w:t>施工过程中需要报送的样品种类、名称、规格、数量按发包</w:t>
      </w:r>
      <w:r>
        <w:rPr>
          <w:rFonts w:hint="eastAsia" w:ascii="宋体" w:hAnsi="宋体" w:cs="宋体"/>
          <w:b/>
          <w:bCs/>
          <w:color w:val="auto"/>
          <w:sz w:val="21"/>
          <w:szCs w:val="21"/>
          <w:highlight w:val="none"/>
          <w:u w:val="single"/>
          <w:lang w:eastAsia="zh-CN"/>
        </w:rPr>
        <w:t>人在</w:t>
      </w:r>
      <w:r>
        <w:rPr>
          <w:rFonts w:hint="eastAsia" w:ascii="宋体" w:hAnsi="宋体" w:eastAsia="宋体" w:cs="宋体"/>
          <w:b/>
          <w:bCs/>
          <w:color w:val="auto"/>
          <w:sz w:val="21"/>
          <w:szCs w:val="21"/>
          <w:highlight w:val="none"/>
          <w:u w:val="single"/>
        </w:rPr>
        <w:t>施工中的具体要求报送，报送程序及封存保管按照通用条款8.6条执行</w:t>
      </w:r>
      <w:r>
        <w:rPr>
          <w:rFonts w:hint="eastAsia" w:ascii="宋体" w:hAnsi="宋体" w:eastAsia="宋体" w:cs="宋体"/>
          <w:color w:val="auto"/>
          <w:sz w:val="21"/>
          <w:szCs w:val="21"/>
          <w:highlight w:val="none"/>
        </w:rPr>
        <w:t>。</w:t>
      </w:r>
    </w:p>
    <w:p w14:paraId="045FFA6C">
      <w:pPr>
        <w:keepNext w:val="0"/>
        <w:keepLines w:val="0"/>
        <w:pageBreakBefore w:val="0"/>
        <w:widowControl w:val="0"/>
        <w:kinsoku/>
        <w:wordWrap/>
        <w:overflowPunct/>
        <w:topLinePunct w:val="0"/>
        <w:bidi w:val="0"/>
        <w:spacing w:line="360" w:lineRule="auto"/>
        <w:ind w:firstLine="420" w:firstLineChars="200"/>
        <w:textAlignment w:val="auto"/>
        <w:outlineLvl w:val="9"/>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8.5 施工设备和临时设施</w:t>
      </w:r>
    </w:p>
    <w:p w14:paraId="49B31B90">
      <w:pPr>
        <w:keepNext w:val="0"/>
        <w:keepLines w:val="0"/>
        <w:pageBreakBefore w:val="0"/>
        <w:widowControl w:val="0"/>
        <w:kinsoku/>
        <w:wordWrap/>
        <w:overflowPunct/>
        <w:topLinePunct w:val="0"/>
        <w:autoSpaceDE w:val="0"/>
        <w:autoSpaceDN w:val="0"/>
        <w:bidi w:val="0"/>
        <w:adjustRightInd w:val="0"/>
        <w:spacing w:line="360" w:lineRule="auto"/>
        <w:ind w:firstLine="420" w:firstLineChars="200"/>
        <w:textAlignment w:val="auto"/>
        <w:outlineLvl w:val="9"/>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承包人提供的施工设备和临时设施</w:t>
      </w:r>
    </w:p>
    <w:p w14:paraId="10B2AB52">
      <w:pPr>
        <w:keepNext w:val="0"/>
        <w:keepLines w:val="0"/>
        <w:pageBreakBefore w:val="0"/>
        <w:widowControl w:val="0"/>
        <w:kinsoku/>
        <w:wordWrap/>
        <w:overflowPunct/>
        <w:topLinePunct w:val="0"/>
        <w:autoSpaceDE w:val="0"/>
        <w:autoSpaceDN w:val="0"/>
        <w:bidi w:val="0"/>
        <w:adjustRightInd w:val="0"/>
        <w:spacing w:line="360" w:lineRule="auto"/>
        <w:ind w:firstLine="420" w:firstLineChars="200"/>
        <w:textAlignment w:val="auto"/>
        <w:outlineLvl w:val="9"/>
        <w:rPr>
          <w:rFonts w:hint="eastAsia" w:ascii="宋体" w:hAnsi="宋体" w:eastAsia="宋体" w:cs="宋体"/>
          <w:b/>
          <w:bCs/>
          <w:color w:val="auto"/>
          <w:sz w:val="21"/>
          <w:szCs w:val="21"/>
          <w:highlight w:val="none"/>
          <w:u w:val="single"/>
        </w:rPr>
      </w:pPr>
      <w:r>
        <w:rPr>
          <w:rFonts w:hint="eastAsia" w:ascii="宋体" w:hAnsi="宋体" w:eastAsia="宋体" w:cs="宋体"/>
          <w:color w:val="auto"/>
          <w:sz w:val="21"/>
          <w:szCs w:val="21"/>
          <w:highlight w:val="none"/>
        </w:rPr>
        <w:t>关于修建临时设施费用承担的约定：</w:t>
      </w:r>
      <w:r>
        <w:rPr>
          <w:rFonts w:hint="eastAsia" w:ascii="宋体" w:hAnsi="宋体" w:eastAsia="宋体" w:cs="宋体"/>
          <w:b/>
          <w:bCs/>
          <w:color w:val="auto"/>
          <w:sz w:val="21"/>
          <w:szCs w:val="21"/>
          <w:highlight w:val="none"/>
          <w:u w:val="single"/>
        </w:rPr>
        <w:t>承包人自行承担修建临时设施的费用，需要临时占地的，由承包人自行办理申请手续并承担相应费用</w:t>
      </w:r>
      <w:r>
        <w:rPr>
          <w:rFonts w:hint="eastAsia" w:ascii="宋体" w:hAnsi="宋体" w:eastAsia="宋体" w:cs="宋体"/>
          <w:color w:val="auto"/>
          <w:sz w:val="21"/>
          <w:szCs w:val="21"/>
          <w:highlight w:val="none"/>
        </w:rPr>
        <w:t>。</w:t>
      </w:r>
    </w:p>
    <w:bookmarkEnd w:id="496"/>
    <w:bookmarkEnd w:id="497"/>
    <w:bookmarkEnd w:id="498"/>
    <w:bookmarkEnd w:id="499"/>
    <w:bookmarkEnd w:id="500"/>
    <w:bookmarkEnd w:id="501"/>
    <w:bookmarkEnd w:id="502"/>
    <w:bookmarkEnd w:id="503"/>
    <w:bookmarkEnd w:id="504"/>
    <w:bookmarkEnd w:id="505"/>
    <w:bookmarkEnd w:id="506"/>
    <w:bookmarkEnd w:id="507"/>
    <w:bookmarkEnd w:id="508"/>
    <w:bookmarkEnd w:id="509"/>
    <w:bookmarkEnd w:id="510"/>
    <w:bookmarkEnd w:id="511"/>
    <w:p w14:paraId="38665BCB">
      <w:pPr>
        <w:keepNext w:val="0"/>
        <w:keepLines w:val="0"/>
        <w:pageBreakBefore w:val="0"/>
        <w:widowControl w:val="0"/>
        <w:kinsoku/>
        <w:wordWrap/>
        <w:overflowPunct/>
        <w:topLinePunct w:val="0"/>
        <w:autoSpaceDE/>
        <w:autoSpaceDN/>
        <w:bidi w:val="0"/>
        <w:adjustRightInd/>
        <w:snapToGrid/>
        <w:spacing w:line="360" w:lineRule="auto"/>
        <w:ind w:firstLine="422" w:firstLineChars="200"/>
        <w:textAlignment w:val="auto"/>
        <w:outlineLvl w:val="2"/>
        <w:rPr>
          <w:rFonts w:hint="eastAsia" w:ascii="宋体" w:hAnsi="宋体" w:eastAsia="宋体" w:cs="宋体"/>
          <w:b/>
          <w:color w:val="auto"/>
          <w:sz w:val="21"/>
          <w:szCs w:val="21"/>
          <w:highlight w:val="none"/>
        </w:rPr>
      </w:pPr>
      <w:bookmarkStart w:id="512" w:name="_Toc21511"/>
      <w:bookmarkStart w:id="513" w:name="_Toc168862323"/>
      <w:bookmarkStart w:id="514" w:name="_Toc31224"/>
      <w:bookmarkStart w:id="515" w:name="_Toc351203641"/>
      <w:bookmarkStart w:id="516" w:name="_Toc30266"/>
      <w:bookmarkStart w:id="517" w:name="_Toc3018"/>
      <w:bookmarkStart w:id="518" w:name="_Toc167230036"/>
      <w:r>
        <w:rPr>
          <w:rFonts w:hint="eastAsia" w:ascii="宋体" w:hAnsi="宋体" w:eastAsia="宋体" w:cs="宋体"/>
          <w:b/>
          <w:color w:val="auto"/>
          <w:sz w:val="21"/>
          <w:szCs w:val="21"/>
          <w:highlight w:val="none"/>
        </w:rPr>
        <w:t>9</w:t>
      </w:r>
      <w:bookmarkEnd w:id="491"/>
      <w:bookmarkEnd w:id="492"/>
      <w:bookmarkEnd w:id="493"/>
      <w:bookmarkStart w:id="519" w:name="_Toc312678021"/>
      <w:bookmarkStart w:id="520" w:name="_Toc297216192"/>
      <w:bookmarkStart w:id="521" w:name="_Toc312677495"/>
      <w:bookmarkStart w:id="522" w:name="_Toc297123533"/>
      <w:bookmarkStart w:id="523" w:name="_Toc300934982"/>
      <w:bookmarkStart w:id="524" w:name="_Toc303539139"/>
      <w:bookmarkStart w:id="525" w:name="_Toc304295559"/>
      <w:bookmarkStart w:id="526" w:name="_Toc296944512"/>
      <w:bookmarkStart w:id="527" w:name="_Toc292559883"/>
      <w:bookmarkStart w:id="528" w:name="_Toc267251427"/>
      <w:bookmarkStart w:id="529" w:name="_Toc296503173"/>
      <w:bookmarkStart w:id="530" w:name="_Toc297120473"/>
      <w:bookmarkStart w:id="531" w:name="_Toc296346674"/>
      <w:bookmarkStart w:id="532" w:name="_Toc267251428"/>
      <w:bookmarkStart w:id="533" w:name="_Toc292559378"/>
      <w:bookmarkStart w:id="534" w:name="_Toc296347172"/>
      <w:bookmarkStart w:id="535" w:name="_Toc296891213"/>
      <w:bookmarkStart w:id="536" w:name="_Toc296891001"/>
      <w:bookmarkStart w:id="537" w:name="_Toc297048359"/>
      <w:r>
        <w:rPr>
          <w:rFonts w:hint="eastAsia" w:ascii="宋体" w:hAnsi="宋体" w:eastAsia="宋体" w:cs="宋体"/>
          <w:b/>
          <w:color w:val="auto"/>
          <w:sz w:val="21"/>
          <w:szCs w:val="21"/>
          <w:highlight w:val="none"/>
        </w:rPr>
        <w:t>. 试验与检验</w:t>
      </w:r>
      <w:bookmarkEnd w:id="512"/>
      <w:bookmarkEnd w:id="513"/>
      <w:bookmarkEnd w:id="514"/>
      <w:bookmarkEnd w:id="515"/>
      <w:bookmarkEnd w:id="516"/>
      <w:bookmarkEnd w:id="517"/>
      <w:bookmarkEnd w:id="518"/>
    </w:p>
    <w:bookmarkEnd w:id="519"/>
    <w:bookmarkEnd w:id="520"/>
    <w:bookmarkEnd w:id="521"/>
    <w:bookmarkEnd w:id="522"/>
    <w:bookmarkEnd w:id="523"/>
    <w:bookmarkEnd w:id="524"/>
    <w:bookmarkEnd w:id="525"/>
    <w:p w14:paraId="04AE68F4">
      <w:pPr>
        <w:keepNext w:val="0"/>
        <w:keepLines w:val="0"/>
        <w:pageBreakBefore w:val="0"/>
        <w:widowControl w:val="0"/>
        <w:kinsoku/>
        <w:wordWrap/>
        <w:overflowPunct/>
        <w:topLinePunct w:val="0"/>
        <w:bidi w:val="0"/>
        <w:spacing w:line="360" w:lineRule="auto"/>
        <w:ind w:firstLine="420" w:firstLineChars="200"/>
        <w:textAlignment w:val="auto"/>
        <w:outlineLvl w:val="9"/>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9</w:t>
      </w:r>
      <w:bookmarkStart w:id="538" w:name="_Toc303539140"/>
      <w:bookmarkStart w:id="539" w:name="_Toc312678022"/>
      <w:bookmarkStart w:id="540" w:name="_Toc304295560"/>
      <w:bookmarkStart w:id="541" w:name="_Toc300934983"/>
      <w:bookmarkStart w:id="542" w:name="_Toc297123534"/>
      <w:bookmarkStart w:id="543" w:name="_Toc312677496"/>
      <w:bookmarkStart w:id="544" w:name="_Toc297216193"/>
      <w:r>
        <w:rPr>
          <w:rFonts w:hint="eastAsia" w:ascii="宋体" w:hAnsi="宋体" w:eastAsia="宋体" w:cs="宋体"/>
          <w:color w:val="auto"/>
          <w:sz w:val="21"/>
          <w:szCs w:val="21"/>
          <w:highlight w:val="none"/>
        </w:rPr>
        <w:t>.1试验设备与试验人员</w:t>
      </w:r>
    </w:p>
    <w:bookmarkEnd w:id="538"/>
    <w:bookmarkEnd w:id="539"/>
    <w:bookmarkEnd w:id="540"/>
    <w:bookmarkEnd w:id="541"/>
    <w:bookmarkEnd w:id="542"/>
    <w:bookmarkEnd w:id="543"/>
    <w:bookmarkEnd w:id="544"/>
    <w:p w14:paraId="4C8F22E1">
      <w:pPr>
        <w:keepNext w:val="0"/>
        <w:keepLines w:val="0"/>
        <w:pageBreakBefore w:val="0"/>
        <w:widowControl w:val="0"/>
        <w:kinsoku/>
        <w:wordWrap/>
        <w:overflowPunct/>
        <w:topLinePunct w:val="0"/>
        <w:bidi w:val="0"/>
        <w:spacing w:line="360" w:lineRule="auto"/>
        <w:ind w:firstLine="420" w:firstLineChars="200"/>
        <w:textAlignment w:val="auto"/>
        <w:outlineLvl w:val="9"/>
        <w:rPr>
          <w:rFonts w:hint="eastAsia" w:ascii="宋体" w:hAnsi="宋体" w:eastAsia="宋体" w:cs="宋体"/>
          <w:color w:val="auto"/>
          <w:sz w:val="21"/>
          <w:szCs w:val="21"/>
          <w:highlight w:val="none"/>
        </w:rPr>
      </w:pPr>
      <w:bookmarkStart w:id="545" w:name="_Toc300934984"/>
      <w:bookmarkStart w:id="546" w:name="_Toc304295561"/>
      <w:bookmarkStart w:id="547" w:name="_Toc312677497"/>
      <w:bookmarkStart w:id="548" w:name="_Toc297123535"/>
      <w:bookmarkStart w:id="549" w:name="_Toc297216194"/>
      <w:bookmarkStart w:id="550" w:name="_Toc312678023"/>
      <w:bookmarkStart w:id="551" w:name="_Toc303539141"/>
      <w:bookmarkStart w:id="552" w:name="_Toc318581174"/>
      <w:r>
        <w:rPr>
          <w:rFonts w:hint="eastAsia" w:ascii="宋体" w:hAnsi="宋体" w:eastAsia="宋体" w:cs="宋体"/>
          <w:color w:val="auto"/>
          <w:sz w:val="21"/>
          <w:szCs w:val="21"/>
          <w:highlight w:val="none"/>
        </w:rPr>
        <w:t>试验设备</w:t>
      </w:r>
    </w:p>
    <w:p w14:paraId="04C336C0">
      <w:pPr>
        <w:keepNext w:val="0"/>
        <w:keepLines w:val="0"/>
        <w:pageBreakBefore w:val="0"/>
        <w:widowControl w:val="0"/>
        <w:kinsoku/>
        <w:wordWrap/>
        <w:overflowPunct/>
        <w:topLinePunct w:val="0"/>
        <w:bidi w:val="0"/>
        <w:spacing w:line="360" w:lineRule="auto"/>
        <w:ind w:firstLine="420" w:firstLineChars="200"/>
        <w:textAlignment w:val="auto"/>
        <w:outlineLvl w:val="9"/>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施工现场需要配置的试验场所：</w:t>
      </w:r>
      <w:bookmarkEnd w:id="545"/>
      <w:bookmarkEnd w:id="546"/>
      <w:bookmarkEnd w:id="547"/>
      <w:bookmarkEnd w:id="548"/>
      <w:bookmarkEnd w:id="549"/>
      <w:bookmarkEnd w:id="550"/>
      <w:bookmarkEnd w:id="551"/>
      <w:bookmarkStart w:id="553" w:name="_Toc297216195"/>
      <w:bookmarkStart w:id="554" w:name="_Toc304295562"/>
      <w:bookmarkStart w:id="555" w:name="_Toc312678024"/>
      <w:bookmarkStart w:id="556" w:name="_Toc312677498"/>
      <w:bookmarkStart w:id="557" w:name="_Toc297123536"/>
      <w:bookmarkStart w:id="558" w:name="_Toc303539142"/>
      <w:bookmarkStart w:id="559" w:name="_Toc300934985"/>
      <w:r>
        <w:rPr>
          <w:rFonts w:hint="eastAsia" w:ascii="宋体" w:hAnsi="宋体" w:eastAsia="宋体" w:cs="宋体"/>
          <w:color w:val="auto"/>
          <w:sz w:val="21"/>
          <w:szCs w:val="21"/>
          <w:highlight w:val="none"/>
          <w:u w:val="single"/>
        </w:rPr>
        <w:t xml:space="preserve"> </w:t>
      </w:r>
      <w:r>
        <w:rPr>
          <w:rFonts w:hint="eastAsia" w:ascii="宋体" w:hAnsi="宋体" w:eastAsia="宋体" w:cs="宋体"/>
          <w:b/>
          <w:bCs/>
          <w:color w:val="auto"/>
          <w:sz w:val="21"/>
          <w:szCs w:val="21"/>
          <w:highlight w:val="none"/>
          <w:u w:val="single"/>
        </w:rPr>
        <w:t>/</w:t>
      </w:r>
      <w:r>
        <w:rPr>
          <w:rFonts w:hint="eastAsia" w:ascii="宋体" w:hAnsi="宋体" w:eastAsia="宋体" w:cs="宋体"/>
          <w:color w:val="auto"/>
          <w:sz w:val="21"/>
          <w:szCs w:val="21"/>
          <w:highlight w:val="none"/>
        </w:rPr>
        <w:t>。</w:t>
      </w:r>
    </w:p>
    <w:p w14:paraId="01C33ADB">
      <w:pPr>
        <w:keepNext w:val="0"/>
        <w:keepLines w:val="0"/>
        <w:pageBreakBefore w:val="0"/>
        <w:widowControl w:val="0"/>
        <w:kinsoku/>
        <w:wordWrap/>
        <w:overflowPunct/>
        <w:topLinePunct w:val="0"/>
        <w:bidi w:val="0"/>
        <w:spacing w:line="360" w:lineRule="auto"/>
        <w:ind w:firstLine="420" w:firstLineChars="200"/>
        <w:textAlignment w:val="auto"/>
        <w:outlineLvl w:val="9"/>
        <w:rPr>
          <w:rFonts w:hint="eastAsia" w:ascii="宋体" w:hAnsi="宋体" w:eastAsia="宋体" w:cs="宋体"/>
          <w:b/>
          <w:bCs/>
          <w:color w:val="auto"/>
          <w:sz w:val="21"/>
          <w:szCs w:val="21"/>
          <w:highlight w:val="none"/>
        </w:rPr>
      </w:pPr>
      <w:r>
        <w:rPr>
          <w:rFonts w:hint="eastAsia" w:ascii="宋体" w:hAnsi="宋体" w:eastAsia="宋体" w:cs="宋体"/>
          <w:color w:val="auto"/>
          <w:sz w:val="21"/>
          <w:szCs w:val="21"/>
          <w:highlight w:val="none"/>
        </w:rPr>
        <w:t>施工现场需要配备的试验设备：</w:t>
      </w:r>
      <w:r>
        <w:rPr>
          <w:rFonts w:hint="eastAsia" w:ascii="宋体" w:hAnsi="宋体" w:eastAsia="宋体" w:cs="宋体"/>
          <w:color w:val="auto"/>
          <w:sz w:val="21"/>
          <w:szCs w:val="21"/>
          <w:highlight w:val="none"/>
          <w:u w:val="single"/>
        </w:rPr>
        <w:t xml:space="preserve"> </w:t>
      </w:r>
      <w:r>
        <w:rPr>
          <w:rFonts w:hint="eastAsia" w:ascii="宋体" w:hAnsi="宋体" w:eastAsia="宋体" w:cs="宋体"/>
          <w:b/>
          <w:bCs/>
          <w:color w:val="auto"/>
          <w:sz w:val="21"/>
          <w:szCs w:val="21"/>
          <w:highlight w:val="none"/>
          <w:u w:val="single"/>
        </w:rPr>
        <w:t>/</w:t>
      </w:r>
      <w:r>
        <w:rPr>
          <w:rFonts w:hint="eastAsia" w:ascii="宋体" w:hAnsi="宋体" w:eastAsia="宋体" w:cs="宋体"/>
          <w:b/>
          <w:bCs/>
          <w:color w:val="auto"/>
          <w:sz w:val="21"/>
          <w:szCs w:val="21"/>
          <w:highlight w:val="none"/>
        </w:rPr>
        <w:t>。</w:t>
      </w:r>
    </w:p>
    <w:p w14:paraId="6A6A556F">
      <w:pPr>
        <w:keepNext w:val="0"/>
        <w:keepLines w:val="0"/>
        <w:pageBreakBefore w:val="0"/>
        <w:widowControl w:val="0"/>
        <w:kinsoku/>
        <w:wordWrap/>
        <w:overflowPunct/>
        <w:topLinePunct w:val="0"/>
        <w:bidi w:val="0"/>
        <w:spacing w:line="360" w:lineRule="auto"/>
        <w:ind w:firstLine="420" w:firstLineChars="200"/>
        <w:textAlignment w:val="auto"/>
        <w:outlineLvl w:val="9"/>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施工现场需要具备的其他试验条件：</w:t>
      </w:r>
      <w:r>
        <w:rPr>
          <w:rFonts w:hint="eastAsia" w:ascii="宋体" w:hAnsi="宋体" w:eastAsia="宋体" w:cs="宋体"/>
          <w:color w:val="auto"/>
          <w:sz w:val="21"/>
          <w:szCs w:val="21"/>
          <w:highlight w:val="none"/>
          <w:u w:val="single"/>
        </w:rPr>
        <w:t xml:space="preserve"> </w:t>
      </w:r>
      <w:r>
        <w:rPr>
          <w:rFonts w:hint="eastAsia" w:ascii="宋体" w:hAnsi="宋体" w:eastAsia="宋体" w:cs="宋体"/>
          <w:b/>
          <w:bCs/>
          <w:color w:val="auto"/>
          <w:sz w:val="21"/>
          <w:szCs w:val="21"/>
          <w:highlight w:val="none"/>
          <w:u w:val="single"/>
        </w:rPr>
        <w:t>/</w:t>
      </w:r>
      <w:r>
        <w:rPr>
          <w:rFonts w:hint="eastAsia" w:ascii="宋体" w:hAnsi="宋体" w:eastAsia="宋体" w:cs="宋体"/>
          <w:color w:val="auto"/>
          <w:sz w:val="21"/>
          <w:szCs w:val="21"/>
          <w:highlight w:val="none"/>
        </w:rPr>
        <w:t xml:space="preserve">。 </w:t>
      </w:r>
    </w:p>
    <w:p w14:paraId="407F530A">
      <w:pPr>
        <w:keepNext w:val="0"/>
        <w:keepLines w:val="0"/>
        <w:pageBreakBefore w:val="0"/>
        <w:widowControl w:val="0"/>
        <w:kinsoku/>
        <w:wordWrap/>
        <w:overflowPunct/>
        <w:topLinePunct w:val="0"/>
        <w:bidi w:val="0"/>
        <w:spacing w:line="360" w:lineRule="auto"/>
        <w:ind w:firstLine="420" w:firstLineChars="200"/>
        <w:textAlignment w:val="auto"/>
        <w:outlineLvl w:val="9"/>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9.2 现场工艺试验 </w:t>
      </w:r>
    </w:p>
    <w:p w14:paraId="5C041BD3">
      <w:pPr>
        <w:keepNext w:val="0"/>
        <w:keepLines w:val="0"/>
        <w:pageBreakBefore w:val="0"/>
        <w:widowControl w:val="0"/>
        <w:kinsoku/>
        <w:wordWrap/>
        <w:overflowPunct/>
        <w:topLinePunct w:val="0"/>
        <w:bidi w:val="0"/>
        <w:spacing w:line="360" w:lineRule="auto"/>
        <w:ind w:firstLine="420" w:firstLineChars="200"/>
        <w:textAlignment w:val="auto"/>
        <w:outlineLvl w:val="9"/>
        <w:rPr>
          <w:rFonts w:hint="eastAsia" w:ascii="宋体" w:hAnsi="宋体" w:eastAsia="宋体" w:cs="宋体"/>
          <w:b/>
          <w:bCs/>
          <w:color w:val="auto"/>
          <w:sz w:val="21"/>
          <w:szCs w:val="21"/>
          <w:highlight w:val="none"/>
          <w:u w:val="single"/>
        </w:rPr>
      </w:pPr>
      <w:r>
        <w:rPr>
          <w:rFonts w:hint="eastAsia" w:ascii="宋体" w:hAnsi="宋体" w:eastAsia="宋体" w:cs="宋体"/>
          <w:color w:val="auto"/>
          <w:sz w:val="21"/>
          <w:szCs w:val="21"/>
          <w:highlight w:val="none"/>
        </w:rPr>
        <w:t>现场工艺试验的有关约定：</w:t>
      </w:r>
      <w:r>
        <w:rPr>
          <w:rFonts w:hint="eastAsia" w:ascii="宋体" w:hAnsi="宋体" w:eastAsia="宋体" w:cs="宋体"/>
          <w:b/>
          <w:bCs/>
          <w:color w:val="auto"/>
          <w:sz w:val="21"/>
          <w:szCs w:val="21"/>
          <w:highlight w:val="none"/>
          <w:u w:val="single"/>
        </w:rPr>
        <w:t xml:space="preserve">按通用条款执行，并不影响项目施工实施及工期，相应的费用已含在合同价款中。 </w:t>
      </w:r>
    </w:p>
    <w:bookmarkEnd w:id="552"/>
    <w:bookmarkEnd w:id="553"/>
    <w:bookmarkEnd w:id="554"/>
    <w:bookmarkEnd w:id="555"/>
    <w:bookmarkEnd w:id="556"/>
    <w:bookmarkEnd w:id="557"/>
    <w:bookmarkEnd w:id="558"/>
    <w:bookmarkEnd w:id="559"/>
    <w:p w14:paraId="209900C8">
      <w:pPr>
        <w:keepNext w:val="0"/>
        <w:keepLines w:val="0"/>
        <w:pageBreakBefore w:val="0"/>
        <w:widowControl w:val="0"/>
        <w:kinsoku/>
        <w:wordWrap/>
        <w:overflowPunct/>
        <w:topLinePunct w:val="0"/>
        <w:autoSpaceDE/>
        <w:autoSpaceDN/>
        <w:bidi w:val="0"/>
        <w:adjustRightInd/>
        <w:snapToGrid/>
        <w:spacing w:line="360" w:lineRule="auto"/>
        <w:ind w:firstLine="422" w:firstLineChars="200"/>
        <w:textAlignment w:val="auto"/>
        <w:outlineLvl w:val="2"/>
        <w:rPr>
          <w:rFonts w:hint="eastAsia" w:ascii="宋体" w:hAnsi="宋体" w:eastAsia="宋体" w:cs="宋体"/>
          <w:b/>
          <w:color w:val="auto"/>
          <w:sz w:val="21"/>
          <w:szCs w:val="21"/>
          <w:highlight w:val="none"/>
        </w:rPr>
      </w:pPr>
      <w:bookmarkStart w:id="560" w:name="_Toc21805"/>
      <w:bookmarkStart w:id="561" w:name="_Toc351203642"/>
      <w:bookmarkStart w:id="562" w:name="_Toc11340"/>
      <w:bookmarkStart w:id="563" w:name="_Toc168862324"/>
      <w:bookmarkStart w:id="564" w:name="_Toc167230037"/>
      <w:bookmarkStart w:id="565" w:name="_Toc13428"/>
      <w:bookmarkStart w:id="566" w:name="_Toc5772"/>
      <w:r>
        <w:rPr>
          <w:rFonts w:hint="eastAsia" w:ascii="宋体" w:hAnsi="宋体" w:eastAsia="宋体" w:cs="宋体"/>
          <w:b/>
          <w:color w:val="auto"/>
          <w:sz w:val="21"/>
          <w:szCs w:val="21"/>
          <w:highlight w:val="none"/>
        </w:rPr>
        <w:t>1</w:t>
      </w:r>
      <w:bookmarkEnd w:id="526"/>
      <w:bookmarkEnd w:id="527"/>
      <w:bookmarkEnd w:id="528"/>
      <w:bookmarkEnd w:id="529"/>
      <w:bookmarkEnd w:id="530"/>
      <w:bookmarkEnd w:id="531"/>
      <w:bookmarkEnd w:id="532"/>
      <w:bookmarkEnd w:id="533"/>
      <w:bookmarkEnd w:id="534"/>
      <w:bookmarkEnd w:id="535"/>
      <w:bookmarkEnd w:id="536"/>
      <w:bookmarkEnd w:id="537"/>
      <w:bookmarkStart w:id="567" w:name="_Toc304295566"/>
      <w:bookmarkStart w:id="568" w:name="_Toc296944532"/>
      <w:bookmarkStart w:id="569" w:name="_Toc303539146"/>
      <w:bookmarkStart w:id="570" w:name="_Toc297120493"/>
      <w:bookmarkStart w:id="571" w:name="_Toc300934989"/>
      <w:bookmarkStart w:id="572" w:name="_Toc297216199"/>
      <w:bookmarkStart w:id="573" w:name="_Toc296503193"/>
      <w:bookmarkStart w:id="574" w:name="_Toc297048379"/>
      <w:bookmarkStart w:id="575" w:name="_Toc296891233"/>
      <w:bookmarkStart w:id="576" w:name="_Toc297123540"/>
      <w:bookmarkStart w:id="577" w:name="_Toc292559398"/>
      <w:bookmarkStart w:id="578" w:name="_Toc296347192"/>
      <w:bookmarkStart w:id="579" w:name="_Toc296891021"/>
      <w:bookmarkStart w:id="580" w:name="_Toc292559903"/>
      <w:bookmarkStart w:id="581" w:name="_Toc296346694"/>
      <w:bookmarkStart w:id="582" w:name="_Toc312678025"/>
      <w:bookmarkStart w:id="583" w:name="_Toc312677499"/>
      <w:bookmarkStart w:id="584" w:name="_Toc267251441"/>
      <w:bookmarkStart w:id="585" w:name="_Toc267251437"/>
      <w:bookmarkStart w:id="586" w:name="_Toc267251439"/>
      <w:bookmarkStart w:id="587" w:name="_Toc267251435"/>
      <w:bookmarkStart w:id="588" w:name="_Toc267251433"/>
      <w:bookmarkStart w:id="589" w:name="_Toc267251440"/>
      <w:r>
        <w:rPr>
          <w:rFonts w:hint="eastAsia" w:ascii="宋体" w:hAnsi="宋体" w:eastAsia="宋体" w:cs="宋体"/>
          <w:b/>
          <w:color w:val="auto"/>
          <w:sz w:val="21"/>
          <w:szCs w:val="21"/>
          <w:highlight w:val="none"/>
        </w:rPr>
        <w:t>0. 变更</w:t>
      </w:r>
      <w:bookmarkEnd w:id="560"/>
      <w:bookmarkEnd w:id="561"/>
      <w:bookmarkEnd w:id="562"/>
      <w:bookmarkEnd w:id="563"/>
      <w:bookmarkEnd w:id="564"/>
      <w:bookmarkEnd w:id="565"/>
      <w:bookmarkEnd w:id="566"/>
      <w:bookmarkEnd w:id="567"/>
      <w:bookmarkEnd w:id="568"/>
      <w:bookmarkEnd w:id="569"/>
      <w:bookmarkEnd w:id="570"/>
      <w:bookmarkEnd w:id="571"/>
      <w:bookmarkEnd w:id="572"/>
      <w:bookmarkEnd w:id="573"/>
      <w:bookmarkEnd w:id="574"/>
      <w:bookmarkEnd w:id="575"/>
      <w:bookmarkEnd w:id="576"/>
      <w:bookmarkEnd w:id="577"/>
      <w:bookmarkEnd w:id="578"/>
      <w:bookmarkEnd w:id="579"/>
      <w:bookmarkEnd w:id="580"/>
      <w:bookmarkEnd w:id="581"/>
    </w:p>
    <w:bookmarkEnd w:id="582"/>
    <w:bookmarkEnd w:id="583"/>
    <w:p w14:paraId="7EC9E944">
      <w:pPr>
        <w:keepNext w:val="0"/>
        <w:keepLines w:val="0"/>
        <w:pageBreakBefore w:val="0"/>
        <w:widowControl w:val="0"/>
        <w:kinsoku/>
        <w:wordWrap/>
        <w:overflowPunct/>
        <w:topLinePunct w:val="0"/>
        <w:bidi w:val="0"/>
        <w:spacing w:line="360" w:lineRule="auto"/>
        <w:ind w:firstLine="420" w:firstLineChars="200"/>
        <w:textAlignment w:val="auto"/>
        <w:outlineLvl w:val="9"/>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1</w:t>
      </w:r>
      <w:bookmarkStart w:id="590" w:name="_Toc312678026"/>
      <w:bookmarkStart w:id="591" w:name="_Toc297123541"/>
      <w:bookmarkStart w:id="592" w:name="_Toc296891234"/>
      <w:bookmarkStart w:id="593" w:name="_Toc300934990"/>
      <w:bookmarkStart w:id="594" w:name="_Toc296891022"/>
      <w:bookmarkStart w:id="595" w:name="_Toc292559904"/>
      <w:bookmarkStart w:id="596" w:name="_Toc297216200"/>
      <w:bookmarkStart w:id="597" w:name="_Toc304295567"/>
      <w:bookmarkStart w:id="598" w:name="_Toc297120494"/>
      <w:bookmarkStart w:id="599" w:name="_Toc296944533"/>
      <w:bookmarkStart w:id="600" w:name="_Toc312677500"/>
      <w:bookmarkStart w:id="601" w:name="_Toc297048380"/>
      <w:bookmarkStart w:id="602" w:name="_Toc292559399"/>
      <w:bookmarkStart w:id="603" w:name="_Toc296503194"/>
      <w:bookmarkStart w:id="604" w:name="_Toc303539147"/>
      <w:bookmarkStart w:id="605" w:name="_Toc296347193"/>
      <w:bookmarkStart w:id="606" w:name="_Toc296346695"/>
      <w:r>
        <w:rPr>
          <w:rFonts w:hint="eastAsia" w:ascii="宋体" w:hAnsi="宋体" w:eastAsia="宋体" w:cs="宋体"/>
          <w:color w:val="auto"/>
          <w:sz w:val="21"/>
          <w:szCs w:val="21"/>
          <w:highlight w:val="none"/>
        </w:rPr>
        <w:t>0.1变更的范围</w:t>
      </w:r>
    </w:p>
    <w:p w14:paraId="33E11868">
      <w:pPr>
        <w:keepNext w:val="0"/>
        <w:keepLines w:val="0"/>
        <w:pageBreakBefore w:val="0"/>
        <w:widowControl w:val="0"/>
        <w:kinsoku/>
        <w:wordWrap/>
        <w:overflowPunct/>
        <w:topLinePunct w:val="0"/>
        <w:bidi w:val="0"/>
        <w:spacing w:line="360" w:lineRule="auto"/>
        <w:ind w:firstLine="420" w:firstLineChars="200"/>
        <w:textAlignment w:val="auto"/>
        <w:outlineLvl w:val="9"/>
        <w:rPr>
          <w:rFonts w:hint="eastAsia" w:ascii="宋体" w:hAnsi="宋体" w:eastAsia="宋体" w:cs="宋体"/>
          <w:color w:val="auto"/>
          <w:sz w:val="21"/>
          <w:szCs w:val="21"/>
          <w:highlight w:val="none"/>
          <w:u w:val="single"/>
        </w:rPr>
      </w:pPr>
      <w:r>
        <w:rPr>
          <w:rFonts w:hint="eastAsia" w:ascii="宋体" w:hAnsi="宋体" w:eastAsia="宋体" w:cs="宋体"/>
          <w:color w:val="auto"/>
          <w:sz w:val="21"/>
          <w:szCs w:val="21"/>
          <w:highlight w:val="none"/>
        </w:rPr>
        <w:t>关于变更的范围的约定：</w:t>
      </w:r>
    </w:p>
    <w:p w14:paraId="58E365D3">
      <w:pPr>
        <w:keepNext w:val="0"/>
        <w:keepLines w:val="0"/>
        <w:pageBreakBefore w:val="0"/>
        <w:widowControl w:val="0"/>
        <w:kinsoku/>
        <w:wordWrap/>
        <w:overflowPunct/>
        <w:topLinePunct w:val="0"/>
        <w:bidi w:val="0"/>
        <w:spacing w:line="360" w:lineRule="auto"/>
        <w:ind w:firstLine="422" w:firstLineChars="200"/>
        <w:textAlignment w:val="auto"/>
        <w:outlineLvl w:val="9"/>
        <w:rPr>
          <w:rFonts w:hint="eastAsia" w:ascii="宋体" w:hAnsi="宋体" w:eastAsia="宋体" w:cs="宋体"/>
          <w:b/>
          <w:bCs/>
          <w:color w:val="auto"/>
          <w:sz w:val="21"/>
          <w:szCs w:val="21"/>
          <w:highlight w:val="none"/>
          <w:u w:val="single"/>
        </w:rPr>
      </w:pPr>
      <w:r>
        <w:rPr>
          <w:rFonts w:hint="eastAsia" w:ascii="宋体" w:hAnsi="宋体" w:eastAsia="宋体" w:cs="宋体"/>
          <w:b/>
          <w:bCs/>
          <w:color w:val="auto"/>
          <w:sz w:val="21"/>
          <w:szCs w:val="21"/>
          <w:highlight w:val="none"/>
          <w:u w:val="single"/>
        </w:rPr>
        <w:t xml:space="preserve">按通用条款10.1条执行，所有的变更必须按发包人的规定办理，取得相关书面认可手续后方可变更并作为支付进度款和办理结算的依据。变更权和变更程序除按照通用条款10.2、10.3条执行外，还必须按照发包人相关管理规定执行。 </w:t>
      </w:r>
    </w:p>
    <w:p w14:paraId="3F1D24AA">
      <w:pPr>
        <w:keepNext w:val="0"/>
        <w:keepLines w:val="0"/>
        <w:pageBreakBefore w:val="0"/>
        <w:widowControl w:val="0"/>
        <w:kinsoku/>
        <w:wordWrap/>
        <w:overflowPunct/>
        <w:topLinePunct w:val="0"/>
        <w:bidi w:val="0"/>
        <w:spacing w:line="360" w:lineRule="auto"/>
        <w:ind w:firstLine="420" w:firstLineChars="200"/>
        <w:textAlignment w:val="auto"/>
        <w:outlineLvl w:val="9"/>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10.2 变更估价</w:t>
      </w:r>
    </w:p>
    <w:p w14:paraId="5BBFADDA">
      <w:pPr>
        <w:keepNext w:val="0"/>
        <w:keepLines w:val="0"/>
        <w:pageBreakBefore w:val="0"/>
        <w:widowControl w:val="0"/>
        <w:kinsoku/>
        <w:wordWrap/>
        <w:overflowPunct/>
        <w:topLinePunct w:val="0"/>
        <w:bidi w:val="0"/>
        <w:spacing w:line="360" w:lineRule="auto"/>
        <w:ind w:firstLine="420" w:firstLineChars="200"/>
        <w:textAlignment w:val="auto"/>
        <w:outlineLvl w:val="9"/>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10.2.1 变更估价原则</w:t>
      </w:r>
    </w:p>
    <w:p w14:paraId="28774461">
      <w:pPr>
        <w:keepNext w:val="0"/>
        <w:keepLines w:val="0"/>
        <w:pageBreakBefore w:val="0"/>
        <w:widowControl w:val="0"/>
        <w:kinsoku/>
        <w:wordWrap/>
        <w:overflowPunct/>
        <w:topLinePunct w:val="0"/>
        <w:bidi w:val="0"/>
        <w:spacing w:line="360" w:lineRule="auto"/>
        <w:ind w:firstLine="411" w:firstLineChars="196"/>
        <w:textAlignment w:val="auto"/>
        <w:outlineLvl w:val="9"/>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关于变更估价的约定</w:t>
      </w:r>
      <w:r>
        <w:rPr>
          <w:rFonts w:hint="eastAsia" w:ascii="宋体" w:hAnsi="宋体" w:cs="宋体"/>
          <w:color w:val="auto"/>
          <w:sz w:val="21"/>
          <w:szCs w:val="21"/>
          <w:highlight w:val="none"/>
          <w:lang w:eastAsia="zh-CN"/>
        </w:rPr>
        <w:t>：</w:t>
      </w:r>
    </w:p>
    <w:p w14:paraId="5B99E4C0">
      <w:pPr>
        <w:keepNext w:val="0"/>
        <w:keepLines w:val="0"/>
        <w:pageBreakBefore w:val="0"/>
        <w:widowControl w:val="0"/>
        <w:kinsoku/>
        <w:wordWrap/>
        <w:overflowPunct/>
        <w:topLinePunct w:val="0"/>
        <w:bidi w:val="0"/>
        <w:spacing w:line="360" w:lineRule="auto"/>
        <w:ind w:firstLine="411" w:firstLineChars="196"/>
        <w:textAlignment w:val="auto"/>
        <w:outlineLvl w:val="9"/>
        <w:rPr>
          <w:rFonts w:hint="eastAsia" w:ascii="宋体" w:hAnsi="宋体" w:eastAsia="宋体" w:cs="宋体"/>
          <w:color w:val="auto"/>
          <w:sz w:val="21"/>
          <w:szCs w:val="21"/>
          <w:highlight w:val="none"/>
          <w:u w:val="single"/>
        </w:rPr>
      </w:pPr>
      <w:r>
        <w:rPr>
          <w:rFonts w:hint="eastAsia" w:ascii="宋体" w:hAnsi="宋体" w:eastAsia="宋体" w:cs="宋体"/>
          <w:color w:val="auto"/>
          <w:sz w:val="21"/>
          <w:szCs w:val="21"/>
          <w:highlight w:val="none"/>
          <w:u w:val="single"/>
        </w:rPr>
        <w:t>1、由于发包人原因，或因设计变更等原因造成分部分项工程增加新的工程量清单项目，其对应综合单价按下列方法确定：①合同中已有适用的综合单价，按合同中已有的综合单价确定；②合同中有类似的综合单价，参照类似的综合单价确定；③合同中没有适用或类似的综合单价，按相关计价依据以及投标同期材料价格进行组价后乘以（1-报价浮动率），由承包人提出综合单价，造价单位进行审核，发包人确认，经发包人确认后的单价作为工程结算的依据，最终价格以发包人委托的第三方造价咨询单位审计为准。</w:t>
      </w:r>
    </w:p>
    <w:p w14:paraId="1FBBAE28">
      <w:pPr>
        <w:keepNext w:val="0"/>
        <w:keepLines w:val="0"/>
        <w:pageBreakBefore w:val="0"/>
        <w:widowControl w:val="0"/>
        <w:kinsoku/>
        <w:wordWrap/>
        <w:overflowPunct/>
        <w:topLinePunct w:val="0"/>
        <w:bidi w:val="0"/>
        <w:spacing w:line="360" w:lineRule="auto"/>
        <w:ind w:firstLine="420" w:firstLineChars="200"/>
        <w:textAlignment w:val="auto"/>
        <w:outlineLvl w:val="9"/>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1</w:t>
      </w:r>
      <w:bookmarkEnd w:id="590"/>
      <w:bookmarkEnd w:id="591"/>
      <w:bookmarkEnd w:id="592"/>
      <w:bookmarkEnd w:id="593"/>
      <w:bookmarkEnd w:id="594"/>
      <w:bookmarkEnd w:id="595"/>
      <w:bookmarkEnd w:id="596"/>
      <w:bookmarkEnd w:id="597"/>
      <w:bookmarkEnd w:id="598"/>
      <w:bookmarkEnd w:id="599"/>
      <w:bookmarkEnd w:id="600"/>
      <w:bookmarkEnd w:id="601"/>
      <w:bookmarkEnd w:id="602"/>
      <w:bookmarkEnd w:id="603"/>
      <w:bookmarkEnd w:id="604"/>
      <w:bookmarkEnd w:id="605"/>
      <w:bookmarkEnd w:id="606"/>
      <w:bookmarkStart w:id="607" w:name="_Toc303539150"/>
      <w:bookmarkStart w:id="608" w:name="_Toc296503197"/>
      <w:bookmarkStart w:id="609" w:name="_Toc296891025"/>
      <w:bookmarkStart w:id="610" w:name="_Toc297048383"/>
      <w:bookmarkStart w:id="611" w:name="_Toc292559907"/>
      <w:bookmarkStart w:id="612" w:name="_Toc297120497"/>
      <w:bookmarkStart w:id="613" w:name="_Toc292559402"/>
      <w:bookmarkStart w:id="614" w:name="_Toc300934993"/>
      <w:bookmarkStart w:id="615" w:name="_Toc296891237"/>
      <w:bookmarkStart w:id="616" w:name="_Toc297216203"/>
      <w:bookmarkStart w:id="617" w:name="_Toc297123544"/>
      <w:bookmarkStart w:id="618" w:name="_Toc296347196"/>
      <w:bookmarkStart w:id="619" w:name="_Toc296944536"/>
      <w:bookmarkStart w:id="620" w:name="_Toc296346698"/>
      <w:bookmarkStart w:id="621" w:name="_Toc304295570"/>
      <w:bookmarkStart w:id="622" w:name="_Toc312677503"/>
      <w:bookmarkStart w:id="623" w:name="_Toc312678029"/>
      <w:r>
        <w:rPr>
          <w:rFonts w:hint="eastAsia" w:ascii="宋体" w:hAnsi="宋体" w:eastAsia="宋体" w:cs="宋体"/>
          <w:color w:val="auto"/>
          <w:sz w:val="21"/>
          <w:szCs w:val="21"/>
          <w:highlight w:val="none"/>
        </w:rPr>
        <w:t>0.3承</w:t>
      </w:r>
      <w:bookmarkEnd w:id="607"/>
      <w:bookmarkEnd w:id="608"/>
      <w:bookmarkEnd w:id="609"/>
      <w:bookmarkEnd w:id="610"/>
      <w:bookmarkEnd w:id="611"/>
      <w:bookmarkEnd w:id="612"/>
      <w:bookmarkEnd w:id="613"/>
      <w:bookmarkEnd w:id="614"/>
      <w:bookmarkEnd w:id="615"/>
      <w:bookmarkEnd w:id="616"/>
      <w:bookmarkEnd w:id="617"/>
      <w:bookmarkEnd w:id="618"/>
      <w:bookmarkEnd w:id="619"/>
      <w:bookmarkEnd w:id="620"/>
      <w:bookmarkStart w:id="624" w:name="_Toc296891031"/>
      <w:bookmarkStart w:id="625" w:name="_Toc300934994"/>
      <w:bookmarkStart w:id="626" w:name="_Toc297216204"/>
      <w:bookmarkStart w:id="627" w:name="_Toc297120503"/>
      <w:bookmarkStart w:id="628" w:name="_Toc296503203"/>
      <w:bookmarkStart w:id="629" w:name="_Toc296891243"/>
      <w:bookmarkStart w:id="630" w:name="_Toc296346704"/>
      <w:bookmarkStart w:id="631" w:name="_Toc296347202"/>
      <w:bookmarkStart w:id="632" w:name="_Toc303539151"/>
      <w:bookmarkStart w:id="633" w:name="_Toc297048389"/>
      <w:bookmarkStart w:id="634" w:name="_Toc297123545"/>
      <w:bookmarkStart w:id="635" w:name="_Toc292559408"/>
      <w:bookmarkStart w:id="636" w:name="_Toc292559913"/>
      <w:bookmarkStart w:id="637" w:name="_Toc296944542"/>
      <w:r>
        <w:rPr>
          <w:rFonts w:hint="eastAsia" w:ascii="宋体" w:hAnsi="宋体" w:eastAsia="宋体" w:cs="宋体"/>
          <w:color w:val="auto"/>
          <w:sz w:val="21"/>
          <w:szCs w:val="21"/>
          <w:highlight w:val="none"/>
        </w:rPr>
        <w:t>包人的合理化建议</w:t>
      </w:r>
    </w:p>
    <w:bookmarkEnd w:id="621"/>
    <w:bookmarkEnd w:id="622"/>
    <w:bookmarkEnd w:id="623"/>
    <w:bookmarkEnd w:id="624"/>
    <w:bookmarkEnd w:id="625"/>
    <w:bookmarkEnd w:id="626"/>
    <w:bookmarkEnd w:id="627"/>
    <w:bookmarkEnd w:id="628"/>
    <w:bookmarkEnd w:id="629"/>
    <w:bookmarkEnd w:id="630"/>
    <w:bookmarkEnd w:id="631"/>
    <w:bookmarkEnd w:id="632"/>
    <w:bookmarkEnd w:id="633"/>
    <w:bookmarkEnd w:id="634"/>
    <w:bookmarkEnd w:id="635"/>
    <w:bookmarkEnd w:id="636"/>
    <w:bookmarkEnd w:id="637"/>
    <w:p w14:paraId="52FFC633">
      <w:pPr>
        <w:keepNext w:val="0"/>
        <w:keepLines w:val="0"/>
        <w:pageBreakBefore w:val="0"/>
        <w:widowControl w:val="0"/>
        <w:kinsoku/>
        <w:wordWrap/>
        <w:overflowPunct/>
        <w:topLinePunct w:val="0"/>
        <w:bidi w:val="0"/>
        <w:spacing w:line="360" w:lineRule="auto"/>
        <w:ind w:firstLine="420" w:firstLineChars="200"/>
        <w:textAlignment w:val="auto"/>
        <w:outlineLvl w:val="9"/>
        <w:rPr>
          <w:rFonts w:hint="eastAsia" w:ascii="宋体" w:hAnsi="宋体" w:eastAsia="宋体" w:cs="宋体"/>
          <w:color w:val="auto"/>
          <w:sz w:val="21"/>
          <w:szCs w:val="21"/>
          <w:highlight w:val="none"/>
          <w:u w:val="single"/>
        </w:rPr>
      </w:pPr>
      <w:r>
        <w:rPr>
          <w:rFonts w:hint="eastAsia" w:ascii="宋体" w:hAnsi="宋体" w:eastAsia="宋体" w:cs="宋体"/>
          <w:color w:val="auto"/>
          <w:sz w:val="21"/>
          <w:szCs w:val="21"/>
          <w:highlight w:val="none"/>
        </w:rPr>
        <w:t>监理人审查承包人合理化建议的期限：</w:t>
      </w:r>
      <w:r>
        <w:rPr>
          <w:rFonts w:hint="eastAsia" w:ascii="宋体" w:hAnsi="宋体" w:eastAsia="宋体" w:cs="宋体"/>
          <w:b/>
          <w:bCs/>
          <w:color w:val="auto"/>
          <w:sz w:val="21"/>
          <w:szCs w:val="21"/>
          <w:highlight w:val="none"/>
          <w:u w:val="single"/>
        </w:rPr>
        <w:t>按通用条款10.5执行</w:t>
      </w:r>
      <w:r>
        <w:rPr>
          <w:rFonts w:hint="eastAsia" w:ascii="宋体" w:hAnsi="宋体" w:eastAsia="宋体" w:cs="宋体"/>
          <w:color w:val="auto"/>
          <w:sz w:val="21"/>
          <w:szCs w:val="21"/>
          <w:highlight w:val="none"/>
        </w:rPr>
        <w:t>。</w:t>
      </w:r>
    </w:p>
    <w:p w14:paraId="0DE7F012">
      <w:pPr>
        <w:keepNext w:val="0"/>
        <w:keepLines w:val="0"/>
        <w:pageBreakBefore w:val="0"/>
        <w:widowControl w:val="0"/>
        <w:kinsoku/>
        <w:wordWrap/>
        <w:overflowPunct/>
        <w:topLinePunct w:val="0"/>
        <w:bidi w:val="0"/>
        <w:spacing w:line="360" w:lineRule="auto"/>
        <w:ind w:firstLine="420" w:firstLineChars="200"/>
        <w:textAlignment w:val="auto"/>
        <w:outlineLvl w:val="9"/>
        <w:rPr>
          <w:rFonts w:hint="eastAsia" w:ascii="宋体" w:hAnsi="宋体" w:eastAsia="宋体" w:cs="宋体"/>
          <w:color w:val="auto"/>
          <w:sz w:val="21"/>
          <w:szCs w:val="21"/>
          <w:highlight w:val="none"/>
          <w:u w:val="single"/>
        </w:rPr>
      </w:pPr>
      <w:r>
        <w:rPr>
          <w:rFonts w:hint="eastAsia" w:ascii="宋体" w:hAnsi="宋体" w:eastAsia="宋体" w:cs="宋体"/>
          <w:color w:val="auto"/>
          <w:sz w:val="21"/>
          <w:szCs w:val="21"/>
          <w:highlight w:val="none"/>
        </w:rPr>
        <w:t>发包人审批承包人合理化建议的期限：</w:t>
      </w:r>
      <w:r>
        <w:rPr>
          <w:rFonts w:hint="eastAsia" w:ascii="宋体" w:hAnsi="宋体" w:eastAsia="宋体" w:cs="宋体"/>
          <w:b/>
          <w:bCs/>
          <w:color w:val="auto"/>
          <w:sz w:val="21"/>
          <w:szCs w:val="21"/>
          <w:highlight w:val="none"/>
          <w:u w:val="single"/>
        </w:rPr>
        <w:t>按通用条款10.5执行</w:t>
      </w:r>
      <w:r>
        <w:rPr>
          <w:rFonts w:hint="eastAsia" w:ascii="宋体" w:hAnsi="宋体" w:eastAsia="宋体" w:cs="宋体"/>
          <w:color w:val="auto"/>
          <w:sz w:val="21"/>
          <w:szCs w:val="21"/>
          <w:highlight w:val="none"/>
        </w:rPr>
        <w:t>。</w:t>
      </w:r>
    </w:p>
    <w:p w14:paraId="7E6AC3B5">
      <w:pPr>
        <w:keepNext w:val="0"/>
        <w:keepLines w:val="0"/>
        <w:pageBreakBefore w:val="0"/>
        <w:widowControl w:val="0"/>
        <w:kinsoku/>
        <w:wordWrap/>
        <w:overflowPunct/>
        <w:topLinePunct w:val="0"/>
        <w:bidi w:val="0"/>
        <w:spacing w:line="360" w:lineRule="auto"/>
        <w:ind w:firstLine="420" w:firstLineChars="200"/>
        <w:textAlignment w:val="auto"/>
        <w:outlineLvl w:val="9"/>
        <w:rPr>
          <w:rFonts w:hint="eastAsia" w:ascii="宋体" w:hAnsi="宋体" w:eastAsia="宋体" w:cs="宋体"/>
          <w:color w:val="auto"/>
          <w:sz w:val="21"/>
          <w:szCs w:val="21"/>
          <w:highlight w:val="none"/>
          <w:u w:val="single"/>
        </w:rPr>
      </w:pPr>
      <w:r>
        <w:rPr>
          <w:rFonts w:hint="eastAsia" w:ascii="宋体" w:hAnsi="宋体" w:eastAsia="宋体" w:cs="宋体"/>
          <w:color w:val="auto"/>
          <w:sz w:val="21"/>
          <w:szCs w:val="21"/>
          <w:highlight w:val="none"/>
        </w:rPr>
        <w:t>承</w:t>
      </w:r>
      <w:bookmarkStart w:id="638" w:name="_Toc312677504"/>
      <w:bookmarkStart w:id="639" w:name="_Toc296346705"/>
      <w:bookmarkStart w:id="640" w:name="_Toc296891032"/>
      <w:bookmarkStart w:id="641" w:name="_Toc297048390"/>
      <w:bookmarkStart w:id="642" w:name="_Toc296347203"/>
      <w:bookmarkStart w:id="643" w:name="_Toc304295571"/>
      <w:bookmarkStart w:id="644" w:name="_Toc297120504"/>
      <w:bookmarkStart w:id="645" w:name="_Toc297216205"/>
      <w:bookmarkStart w:id="646" w:name="_Toc296944543"/>
      <w:bookmarkStart w:id="647" w:name="_Toc292559914"/>
      <w:bookmarkStart w:id="648" w:name="_Toc318581175"/>
      <w:bookmarkStart w:id="649" w:name="_Toc297123546"/>
      <w:bookmarkStart w:id="650" w:name="_Toc296503204"/>
      <w:bookmarkStart w:id="651" w:name="_Toc300934995"/>
      <w:bookmarkStart w:id="652" w:name="_Toc296891244"/>
      <w:bookmarkStart w:id="653" w:name="_Toc312678030"/>
      <w:bookmarkStart w:id="654" w:name="_Toc292559409"/>
      <w:bookmarkStart w:id="655" w:name="_Toc303539152"/>
      <w:r>
        <w:rPr>
          <w:rFonts w:hint="eastAsia" w:ascii="宋体" w:hAnsi="宋体" w:eastAsia="宋体" w:cs="宋体"/>
          <w:color w:val="auto"/>
          <w:sz w:val="21"/>
          <w:szCs w:val="21"/>
          <w:highlight w:val="none"/>
        </w:rPr>
        <w:t>包人提出的合理化建议降低了合同价格或者提高了工程经济效益的奖励的方法和金额为：</w:t>
      </w:r>
      <w:r>
        <w:rPr>
          <w:rFonts w:hint="eastAsia" w:ascii="宋体" w:hAnsi="宋体" w:eastAsia="宋体" w:cs="宋体"/>
          <w:b/>
          <w:bCs/>
          <w:color w:val="auto"/>
          <w:sz w:val="21"/>
          <w:szCs w:val="21"/>
          <w:highlight w:val="none"/>
          <w:u w:val="single"/>
        </w:rPr>
        <w:t>发生时双方协商确定</w:t>
      </w:r>
      <w:r>
        <w:rPr>
          <w:rFonts w:hint="eastAsia" w:ascii="宋体" w:hAnsi="宋体" w:eastAsia="宋体" w:cs="宋体"/>
          <w:color w:val="auto"/>
          <w:sz w:val="21"/>
          <w:szCs w:val="21"/>
          <w:highlight w:val="none"/>
        </w:rPr>
        <w:t>。</w:t>
      </w:r>
    </w:p>
    <w:bookmarkEnd w:id="638"/>
    <w:bookmarkEnd w:id="639"/>
    <w:bookmarkEnd w:id="640"/>
    <w:bookmarkEnd w:id="641"/>
    <w:bookmarkEnd w:id="642"/>
    <w:bookmarkEnd w:id="643"/>
    <w:bookmarkEnd w:id="644"/>
    <w:bookmarkEnd w:id="645"/>
    <w:bookmarkEnd w:id="646"/>
    <w:bookmarkEnd w:id="647"/>
    <w:bookmarkEnd w:id="648"/>
    <w:bookmarkEnd w:id="649"/>
    <w:bookmarkEnd w:id="650"/>
    <w:bookmarkEnd w:id="651"/>
    <w:bookmarkEnd w:id="652"/>
    <w:bookmarkEnd w:id="653"/>
    <w:bookmarkEnd w:id="654"/>
    <w:bookmarkEnd w:id="655"/>
    <w:p w14:paraId="7B7A4DA3">
      <w:pPr>
        <w:keepNext w:val="0"/>
        <w:keepLines w:val="0"/>
        <w:pageBreakBefore w:val="0"/>
        <w:widowControl w:val="0"/>
        <w:kinsoku/>
        <w:wordWrap/>
        <w:overflowPunct/>
        <w:topLinePunct w:val="0"/>
        <w:bidi w:val="0"/>
        <w:spacing w:line="360" w:lineRule="auto"/>
        <w:ind w:firstLine="420" w:firstLineChars="200"/>
        <w:textAlignment w:val="auto"/>
        <w:outlineLvl w:val="9"/>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1</w:t>
      </w:r>
      <w:bookmarkStart w:id="656" w:name="_Toc296891027"/>
      <w:bookmarkStart w:id="657" w:name="_Toc312678033"/>
      <w:bookmarkStart w:id="658" w:name="_Toc297048385"/>
      <w:bookmarkStart w:id="659" w:name="_Toc296944538"/>
      <w:bookmarkStart w:id="660" w:name="_Toc297123548"/>
      <w:bookmarkStart w:id="661" w:name="_Toc300934997"/>
      <w:bookmarkStart w:id="662" w:name="_Toc297120499"/>
      <w:bookmarkStart w:id="663" w:name="_Toc296347198"/>
      <w:bookmarkStart w:id="664" w:name="_Toc312677507"/>
      <w:bookmarkStart w:id="665" w:name="_Toc303539154"/>
      <w:bookmarkStart w:id="666" w:name="_Toc296346700"/>
      <w:bookmarkStart w:id="667" w:name="_Toc296503199"/>
      <w:bookmarkStart w:id="668" w:name="_Toc304295574"/>
      <w:bookmarkStart w:id="669" w:name="_Toc292559404"/>
      <w:bookmarkStart w:id="670" w:name="_Toc292559909"/>
      <w:bookmarkStart w:id="671" w:name="_Toc296891239"/>
      <w:bookmarkStart w:id="672" w:name="_Toc297216207"/>
      <w:r>
        <w:rPr>
          <w:rFonts w:hint="eastAsia" w:ascii="宋体" w:hAnsi="宋体" w:eastAsia="宋体" w:cs="宋体"/>
          <w:color w:val="auto"/>
          <w:sz w:val="21"/>
          <w:szCs w:val="21"/>
          <w:highlight w:val="none"/>
        </w:rPr>
        <w:t>0.4 暂估价</w:t>
      </w:r>
    </w:p>
    <w:bookmarkEnd w:id="656"/>
    <w:bookmarkEnd w:id="657"/>
    <w:bookmarkEnd w:id="658"/>
    <w:bookmarkEnd w:id="659"/>
    <w:bookmarkEnd w:id="660"/>
    <w:bookmarkEnd w:id="661"/>
    <w:bookmarkEnd w:id="662"/>
    <w:bookmarkEnd w:id="663"/>
    <w:bookmarkEnd w:id="664"/>
    <w:bookmarkEnd w:id="665"/>
    <w:bookmarkEnd w:id="666"/>
    <w:bookmarkEnd w:id="667"/>
    <w:bookmarkEnd w:id="668"/>
    <w:bookmarkEnd w:id="669"/>
    <w:bookmarkEnd w:id="670"/>
    <w:bookmarkEnd w:id="671"/>
    <w:bookmarkEnd w:id="672"/>
    <w:p w14:paraId="5976054B">
      <w:pPr>
        <w:keepNext w:val="0"/>
        <w:keepLines w:val="0"/>
        <w:pageBreakBefore w:val="0"/>
        <w:widowControl w:val="0"/>
        <w:kinsoku/>
        <w:wordWrap/>
        <w:overflowPunct/>
        <w:topLinePunct w:val="0"/>
        <w:bidi w:val="0"/>
        <w:spacing w:line="360" w:lineRule="auto"/>
        <w:ind w:firstLine="420" w:firstLineChars="200"/>
        <w:textAlignment w:val="auto"/>
        <w:outlineLvl w:val="9"/>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暂</w:t>
      </w:r>
      <w:bookmarkStart w:id="673" w:name="_Toc312678034"/>
      <w:bookmarkStart w:id="674" w:name="_Toc312677508"/>
      <w:bookmarkStart w:id="675" w:name="_Toc318581176"/>
      <w:r>
        <w:rPr>
          <w:rFonts w:hint="eastAsia" w:ascii="宋体" w:hAnsi="宋体" w:eastAsia="宋体" w:cs="宋体"/>
          <w:color w:val="auto"/>
          <w:sz w:val="21"/>
          <w:szCs w:val="21"/>
          <w:highlight w:val="none"/>
        </w:rPr>
        <w:t>估价材料和工程设备的明细详见附件：</w:t>
      </w:r>
      <w:r>
        <w:rPr>
          <w:rFonts w:hint="eastAsia" w:ascii="宋体" w:hAnsi="宋体" w:eastAsia="宋体" w:cs="宋体"/>
          <w:color w:val="auto"/>
          <w:sz w:val="21"/>
          <w:szCs w:val="21"/>
          <w:highlight w:val="none"/>
          <w:u w:val="single"/>
        </w:rPr>
        <w:t xml:space="preserve"> / </w:t>
      </w:r>
      <w:r>
        <w:rPr>
          <w:rFonts w:hint="eastAsia" w:ascii="宋体" w:hAnsi="宋体" w:eastAsia="宋体" w:cs="宋体"/>
          <w:color w:val="auto"/>
          <w:sz w:val="21"/>
          <w:szCs w:val="21"/>
          <w:highlight w:val="none"/>
        </w:rPr>
        <w:t>。</w:t>
      </w:r>
    </w:p>
    <w:bookmarkEnd w:id="673"/>
    <w:bookmarkEnd w:id="674"/>
    <w:bookmarkEnd w:id="675"/>
    <w:p w14:paraId="6F11D269">
      <w:pPr>
        <w:keepNext w:val="0"/>
        <w:keepLines w:val="0"/>
        <w:pageBreakBefore w:val="0"/>
        <w:widowControl w:val="0"/>
        <w:kinsoku/>
        <w:wordWrap/>
        <w:overflowPunct/>
        <w:topLinePunct w:val="0"/>
        <w:bidi w:val="0"/>
        <w:spacing w:line="360" w:lineRule="auto"/>
        <w:ind w:firstLine="420" w:firstLineChars="200"/>
        <w:textAlignment w:val="auto"/>
        <w:outlineLvl w:val="9"/>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1</w:t>
      </w:r>
      <w:bookmarkStart w:id="676" w:name="_Toc318581177"/>
      <w:bookmarkStart w:id="677" w:name="_Toc312678035"/>
      <w:bookmarkStart w:id="678" w:name="_Toc312677509"/>
      <w:r>
        <w:rPr>
          <w:rFonts w:hint="eastAsia" w:ascii="宋体" w:hAnsi="宋体" w:eastAsia="宋体" w:cs="宋体"/>
          <w:color w:val="auto"/>
          <w:sz w:val="21"/>
          <w:szCs w:val="21"/>
          <w:highlight w:val="none"/>
        </w:rPr>
        <w:t>0.4.1 依法必须招标的暂估价项目</w:t>
      </w:r>
    </w:p>
    <w:bookmarkEnd w:id="676"/>
    <w:bookmarkEnd w:id="677"/>
    <w:bookmarkEnd w:id="678"/>
    <w:p w14:paraId="3C0984A3">
      <w:pPr>
        <w:keepNext w:val="0"/>
        <w:keepLines w:val="0"/>
        <w:pageBreakBefore w:val="0"/>
        <w:widowControl w:val="0"/>
        <w:kinsoku/>
        <w:wordWrap/>
        <w:overflowPunct/>
        <w:topLinePunct w:val="0"/>
        <w:bidi w:val="0"/>
        <w:spacing w:line="360" w:lineRule="auto"/>
        <w:ind w:firstLine="420" w:firstLineChars="200"/>
        <w:textAlignment w:val="auto"/>
        <w:outlineLvl w:val="9"/>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对于依法必须招标的暂估价项目的确认和批准采取“通用合同条款10.4.2”第</w:t>
      </w:r>
      <w:r>
        <w:rPr>
          <w:rFonts w:hint="eastAsia" w:ascii="宋体" w:hAnsi="宋体" w:eastAsia="宋体" w:cs="宋体"/>
          <w:color w:val="auto"/>
          <w:sz w:val="21"/>
          <w:szCs w:val="21"/>
          <w:highlight w:val="none"/>
          <w:u w:val="single"/>
        </w:rPr>
        <w:t xml:space="preserve">  1   </w:t>
      </w:r>
      <w:r>
        <w:rPr>
          <w:rFonts w:hint="eastAsia" w:ascii="宋体" w:hAnsi="宋体" w:eastAsia="宋体" w:cs="宋体"/>
          <w:color w:val="auto"/>
          <w:sz w:val="21"/>
          <w:szCs w:val="21"/>
          <w:highlight w:val="none"/>
        </w:rPr>
        <w:t>种方式确定。</w:t>
      </w:r>
    </w:p>
    <w:p w14:paraId="2C990D68">
      <w:pPr>
        <w:keepNext w:val="0"/>
        <w:keepLines w:val="0"/>
        <w:pageBreakBefore w:val="0"/>
        <w:widowControl w:val="0"/>
        <w:kinsoku/>
        <w:wordWrap/>
        <w:overflowPunct/>
        <w:topLinePunct w:val="0"/>
        <w:bidi w:val="0"/>
        <w:spacing w:line="360" w:lineRule="auto"/>
        <w:ind w:firstLine="420" w:firstLineChars="200"/>
        <w:textAlignment w:val="auto"/>
        <w:outlineLvl w:val="9"/>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10.4.2 不属于依法必须招标的暂估价项目</w:t>
      </w:r>
    </w:p>
    <w:p w14:paraId="59F00492">
      <w:pPr>
        <w:keepNext w:val="0"/>
        <w:keepLines w:val="0"/>
        <w:pageBreakBefore w:val="0"/>
        <w:widowControl w:val="0"/>
        <w:kinsoku/>
        <w:wordWrap/>
        <w:overflowPunct/>
        <w:topLinePunct w:val="0"/>
        <w:bidi w:val="0"/>
        <w:spacing w:line="360" w:lineRule="auto"/>
        <w:ind w:firstLine="420" w:firstLineChars="200"/>
        <w:textAlignment w:val="auto"/>
        <w:outlineLvl w:val="9"/>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对于不属于依法必须招标的暂估价项目的确认和批准采取“通用合同条款10.4.2”第</w:t>
      </w:r>
      <w:r>
        <w:rPr>
          <w:rFonts w:hint="eastAsia" w:ascii="宋体" w:hAnsi="宋体" w:eastAsia="宋体" w:cs="宋体"/>
          <w:color w:val="auto"/>
          <w:sz w:val="21"/>
          <w:szCs w:val="21"/>
          <w:highlight w:val="none"/>
          <w:u w:val="single"/>
        </w:rPr>
        <w:t xml:space="preserve"> 1 </w:t>
      </w:r>
      <w:r>
        <w:rPr>
          <w:rFonts w:hint="eastAsia" w:ascii="宋体" w:hAnsi="宋体" w:eastAsia="宋体" w:cs="宋体"/>
          <w:color w:val="auto"/>
          <w:sz w:val="21"/>
          <w:szCs w:val="21"/>
          <w:highlight w:val="none"/>
        </w:rPr>
        <w:t xml:space="preserve"> 种方式确定。</w:t>
      </w:r>
    </w:p>
    <w:p w14:paraId="74D0CC9C">
      <w:pPr>
        <w:keepNext w:val="0"/>
        <w:keepLines w:val="0"/>
        <w:pageBreakBefore w:val="0"/>
        <w:widowControl w:val="0"/>
        <w:kinsoku/>
        <w:wordWrap/>
        <w:overflowPunct/>
        <w:topLinePunct w:val="0"/>
        <w:bidi w:val="0"/>
        <w:spacing w:line="360" w:lineRule="auto"/>
        <w:ind w:firstLine="420" w:firstLineChars="200"/>
        <w:textAlignment w:val="auto"/>
        <w:outlineLvl w:val="9"/>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第3种方式：承包人直接实施的暂估价项目</w:t>
      </w:r>
    </w:p>
    <w:p w14:paraId="718D4ECF">
      <w:pPr>
        <w:keepNext w:val="0"/>
        <w:keepLines w:val="0"/>
        <w:pageBreakBefore w:val="0"/>
        <w:widowControl w:val="0"/>
        <w:kinsoku/>
        <w:wordWrap/>
        <w:overflowPunct/>
        <w:topLinePunct w:val="0"/>
        <w:bidi w:val="0"/>
        <w:spacing w:line="360" w:lineRule="auto"/>
        <w:ind w:firstLine="420" w:firstLineChars="200"/>
        <w:textAlignment w:val="auto"/>
        <w:outlineLvl w:val="9"/>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承包人直接实施的暂估价项目的约定：</w:t>
      </w:r>
      <w:r>
        <w:rPr>
          <w:rFonts w:hint="eastAsia" w:ascii="宋体" w:hAnsi="宋体" w:eastAsia="宋体" w:cs="宋体"/>
          <w:color w:val="auto"/>
          <w:sz w:val="21"/>
          <w:szCs w:val="21"/>
          <w:highlight w:val="none"/>
          <w:u w:val="single"/>
        </w:rPr>
        <w:t xml:space="preserve"> / </w:t>
      </w:r>
      <w:r>
        <w:rPr>
          <w:rFonts w:hint="eastAsia" w:ascii="宋体" w:hAnsi="宋体" w:eastAsia="宋体" w:cs="宋体"/>
          <w:color w:val="auto"/>
          <w:sz w:val="21"/>
          <w:szCs w:val="21"/>
          <w:highlight w:val="none"/>
        </w:rPr>
        <w:t>。</w:t>
      </w:r>
    </w:p>
    <w:p w14:paraId="29DD05A5">
      <w:pPr>
        <w:keepNext w:val="0"/>
        <w:keepLines w:val="0"/>
        <w:pageBreakBefore w:val="0"/>
        <w:widowControl w:val="0"/>
        <w:kinsoku/>
        <w:wordWrap/>
        <w:overflowPunct/>
        <w:topLinePunct w:val="0"/>
        <w:bidi w:val="0"/>
        <w:spacing w:line="360" w:lineRule="auto"/>
        <w:ind w:firstLine="420" w:firstLineChars="200"/>
        <w:textAlignment w:val="auto"/>
        <w:outlineLvl w:val="9"/>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10.4.3暂估价的其他调整原则：</w:t>
      </w:r>
    </w:p>
    <w:p w14:paraId="15D35C21">
      <w:pPr>
        <w:keepNext w:val="0"/>
        <w:keepLines w:val="0"/>
        <w:pageBreakBefore w:val="0"/>
        <w:widowControl w:val="0"/>
        <w:kinsoku/>
        <w:wordWrap/>
        <w:overflowPunct/>
        <w:topLinePunct w:val="0"/>
        <w:bidi w:val="0"/>
        <w:spacing w:line="360" w:lineRule="auto"/>
        <w:ind w:firstLine="420" w:firstLineChars="200"/>
        <w:textAlignment w:val="auto"/>
        <w:outlineLvl w:val="9"/>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10.5 暂列金额</w:t>
      </w:r>
    </w:p>
    <w:p w14:paraId="383309F1">
      <w:pPr>
        <w:keepNext w:val="0"/>
        <w:keepLines w:val="0"/>
        <w:pageBreakBefore w:val="0"/>
        <w:widowControl w:val="0"/>
        <w:kinsoku/>
        <w:wordWrap/>
        <w:overflowPunct/>
        <w:topLinePunct w:val="0"/>
        <w:bidi w:val="0"/>
        <w:spacing w:line="360" w:lineRule="auto"/>
        <w:ind w:firstLine="411" w:firstLineChars="196"/>
        <w:textAlignment w:val="auto"/>
        <w:outlineLvl w:val="9"/>
        <w:rPr>
          <w:rFonts w:hint="eastAsia" w:ascii="宋体" w:hAnsi="宋体" w:eastAsia="宋体" w:cs="宋体"/>
          <w:b/>
          <w:bCs/>
          <w:color w:val="auto"/>
          <w:sz w:val="21"/>
          <w:szCs w:val="21"/>
          <w:highlight w:val="none"/>
          <w:u w:val="single"/>
        </w:rPr>
      </w:pPr>
      <w:r>
        <w:rPr>
          <w:rFonts w:hint="eastAsia" w:ascii="宋体" w:hAnsi="宋体" w:eastAsia="宋体" w:cs="宋体"/>
          <w:color w:val="auto"/>
          <w:sz w:val="21"/>
          <w:szCs w:val="21"/>
          <w:highlight w:val="none"/>
        </w:rPr>
        <w:t>合同当事人关于暂列金额使用的约定：</w:t>
      </w:r>
      <w:r>
        <w:rPr>
          <w:rFonts w:hint="eastAsia" w:ascii="宋体" w:hAnsi="宋体" w:eastAsia="宋体" w:cs="宋体"/>
          <w:b/>
          <w:bCs/>
          <w:color w:val="auto"/>
          <w:sz w:val="21"/>
          <w:szCs w:val="21"/>
          <w:highlight w:val="none"/>
          <w:u w:val="single"/>
        </w:rPr>
        <w:t>按通用条款10.8执行。</w:t>
      </w:r>
    </w:p>
    <w:p w14:paraId="7FA8D80C">
      <w:pPr>
        <w:keepNext w:val="0"/>
        <w:keepLines w:val="0"/>
        <w:pageBreakBefore w:val="0"/>
        <w:widowControl w:val="0"/>
        <w:kinsoku/>
        <w:wordWrap/>
        <w:overflowPunct/>
        <w:topLinePunct w:val="0"/>
        <w:autoSpaceDE/>
        <w:autoSpaceDN/>
        <w:bidi w:val="0"/>
        <w:adjustRightInd/>
        <w:snapToGrid/>
        <w:spacing w:line="360" w:lineRule="auto"/>
        <w:ind w:firstLine="422" w:firstLineChars="200"/>
        <w:textAlignment w:val="auto"/>
        <w:outlineLvl w:val="2"/>
        <w:rPr>
          <w:rFonts w:hint="eastAsia" w:ascii="宋体" w:hAnsi="宋体" w:eastAsia="宋体" w:cs="宋体"/>
          <w:b/>
          <w:bCs/>
          <w:color w:val="auto"/>
          <w:sz w:val="21"/>
          <w:szCs w:val="21"/>
          <w:highlight w:val="none"/>
        </w:rPr>
      </w:pPr>
      <w:bookmarkStart w:id="679" w:name="_Toc293"/>
      <w:bookmarkStart w:id="680" w:name="_Toc11626"/>
      <w:bookmarkStart w:id="681" w:name="_Toc32204"/>
      <w:bookmarkStart w:id="682" w:name="_Toc168862325"/>
      <w:bookmarkStart w:id="683" w:name="_Toc351203643"/>
      <w:bookmarkStart w:id="684" w:name="_Toc991"/>
      <w:bookmarkStart w:id="685" w:name="_Toc167230038"/>
      <w:r>
        <w:rPr>
          <w:rFonts w:hint="eastAsia" w:ascii="宋体" w:hAnsi="宋体" w:eastAsia="宋体" w:cs="宋体"/>
          <w:b/>
          <w:bCs/>
          <w:color w:val="auto"/>
          <w:sz w:val="21"/>
          <w:szCs w:val="21"/>
          <w:highlight w:val="none"/>
        </w:rPr>
        <w:t>11. 价格</w:t>
      </w:r>
      <w:r>
        <w:rPr>
          <w:rFonts w:hint="eastAsia" w:ascii="宋体" w:hAnsi="宋体" w:eastAsia="宋体" w:cs="宋体"/>
          <w:b/>
          <w:color w:val="auto"/>
          <w:sz w:val="21"/>
          <w:szCs w:val="21"/>
          <w:highlight w:val="none"/>
        </w:rPr>
        <w:t>调整</w:t>
      </w:r>
      <w:bookmarkEnd w:id="679"/>
      <w:bookmarkEnd w:id="680"/>
      <w:bookmarkEnd w:id="681"/>
      <w:bookmarkEnd w:id="682"/>
      <w:bookmarkEnd w:id="683"/>
      <w:bookmarkEnd w:id="684"/>
      <w:bookmarkEnd w:id="685"/>
    </w:p>
    <w:p w14:paraId="61EF6B87">
      <w:pPr>
        <w:keepNext w:val="0"/>
        <w:keepLines w:val="0"/>
        <w:pageBreakBefore w:val="0"/>
        <w:widowControl w:val="0"/>
        <w:kinsoku/>
        <w:wordWrap/>
        <w:overflowPunct/>
        <w:topLinePunct w:val="0"/>
        <w:bidi w:val="0"/>
        <w:spacing w:line="360" w:lineRule="auto"/>
        <w:ind w:firstLine="420" w:firstLineChars="200"/>
        <w:textAlignment w:val="auto"/>
        <w:outlineLvl w:val="9"/>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11.1 市场价格波动引起的调整</w:t>
      </w:r>
    </w:p>
    <w:p w14:paraId="0DEEB3A7">
      <w:pPr>
        <w:keepNext w:val="0"/>
        <w:keepLines w:val="0"/>
        <w:pageBreakBefore w:val="0"/>
        <w:widowControl w:val="0"/>
        <w:kinsoku/>
        <w:wordWrap/>
        <w:overflowPunct/>
        <w:topLinePunct w:val="0"/>
        <w:bidi w:val="0"/>
        <w:spacing w:line="360" w:lineRule="auto"/>
        <w:ind w:firstLine="420" w:firstLineChars="200"/>
        <w:textAlignment w:val="auto"/>
        <w:outlineLvl w:val="9"/>
        <w:rPr>
          <w:rFonts w:hint="eastAsia" w:ascii="宋体" w:hAnsi="宋体" w:eastAsia="宋体" w:cs="宋体"/>
          <w:b/>
          <w:bCs/>
          <w:color w:val="auto"/>
          <w:sz w:val="21"/>
          <w:szCs w:val="21"/>
          <w:highlight w:val="none"/>
          <w:u w:val="single"/>
        </w:rPr>
      </w:pPr>
      <w:r>
        <w:rPr>
          <w:rFonts w:hint="eastAsia" w:ascii="宋体" w:hAnsi="宋体" w:eastAsia="宋体" w:cs="宋体"/>
          <w:color w:val="auto"/>
          <w:sz w:val="21"/>
          <w:szCs w:val="21"/>
          <w:highlight w:val="none"/>
        </w:rPr>
        <w:t>市场价格波动是否调整合同价格的约定：所有</w:t>
      </w:r>
      <w:r>
        <w:rPr>
          <w:rFonts w:hint="eastAsia" w:ascii="宋体" w:hAnsi="宋体" w:eastAsia="宋体" w:cs="宋体"/>
          <w:b/>
          <w:bCs/>
          <w:color w:val="auto"/>
          <w:sz w:val="21"/>
          <w:szCs w:val="21"/>
          <w:highlight w:val="none"/>
          <w:u w:val="single"/>
        </w:rPr>
        <w:t>材料、设备一律不调整。</w:t>
      </w:r>
    </w:p>
    <w:p w14:paraId="0C65A37E">
      <w:pPr>
        <w:keepNext w:val="0"/>
        <w:keepLines w:val="0"/>
        <w:pageBreakBefore w:val="0"/>
        <w:widowControl w:val="0"/>
        <w:kinsoku/>
        <w:wordWrap/>
        <w:overflowPunct/>
        <w:topLinePunct w:val="0"/>
        <w:autoSpaceDE/>
        <w:autoSpaceDN/>
        <w:bidi w:val="0"/>
        <w:adjustRightInd/>
        <w:snapToGrid/>
        <w:spacing w:line="360" w:lineRule="auto"/>
        <w:ind w:firstLine="422" w:firstLineChars="200"/>
        <w:textAlignment w:val="auto"/>
        <w:outlineLvl w:val="2"/>
        <w:rPr>
          <w:rFonts w:hint="eastAsia" w:ascii="宋体" w:hAnsi="宋体" w:eastAsia="宋体" w:cs="宋体"/>
          <w:b/>
          <w:color w:val="auto"/>
          <w:sz w:val="21"/>
          <w:szCs w:val="21"/>
          <w:highlight w:val="none"/>
        </w:rPr>
      </w:pPr>
      <w:bookmarkStart w:id="686" w:name="_Toc296346706"/>
      <w:bookmarkStart w:id="687" w:name="_Toc296503205"/>
      <w:bookmarkStart w:id="688" w:name="_Toc292559410"/>
      <w:bookmarkStart w:id="689" w:name="_Toc296944544"/>
      <w:bookmarkStart w:id="690" w:name="_Toc297120505"/>
      <w:bookmarkStart w:id="691" w:name="_Toc292559915"/>
      <w:bookmarkStart w:id="692" w:name="_Toc296347204"/>
      <w:bookmarkStart w:id="693" w:name="_Toc296891033"/>
      <w:bookmarkStart w:id="694" w:name="_Toc297048391"/>
      <w:bookmarkStart w:id="695" w:name="_Toc296891245"/>
      <w:bookmarkStart w:id="696" w:name="_Toc168862326"/>
      <w:bookmarkStart w:id="697" w:name="_Toc1519"/>
      <w:bookmarkStart w:id="698" w:name="_Toc17524"/>
      <w:bookmarkStart w:id="699" w:name="_Toc29617"/>
      <w:bookmarkStart w:id="700" w:name="_Toc351203644"/>
      <w:bookmarkStart w:id="701" w:name="_Toc167230039"/>
      <w:bookmarkStart w:id="702" w:name="_Toc12750"/>
      <w:bookmarkStart w:id="703" w:name="_Toc300935002"/>
      <w:bookmarkStart w:id="704" w:name="_Toc312678040"/>
      <w:bookmarkStart w:id="705" w:name="_Toc304295579"/>
      <w:bookmarkStart w:id="706" w:name="_Toc297123552"/>
      <w:bookmarkStart w:id="707" w:name="_Toc303539159"/>
      <w:bookmarkStart w:id="708" w:name="_Toc297216211"/>
      <w:r>
        <w:rPr>
          <w:rFonts w:hint="eastAsia" w:ascii="宋体" w:hAnsi="宋体" w:eastAsia="宋体" w:cs="宋体"/>
          <w:b/>
          <w:color w:val="auto"/>
          <w:sz w:val="21"/>
          <w:szCs w:val="21"/>
          <w:highlight w:val="none"/>
        </w:rPr>
        <w:t xml:space="preserve">12. </w:t>
      </w:r>
      <w:bookmarkEnd w:id="686"/>
      <w:bookmarkEnd w:id="687"/>
      <w:bookmarkEnd w:id="688"/>
      <w:bookmarkEnd w:id="689"/>
      <w:bookmarkEnd w:id="690"/>
      <w:bookmarkEnd w:id="691"/>
      <w:bookmarkEnd w:id="692"/>
      <w:bookmarkEnd w:id="693"/>
      <w:bookmarkEnd w:id="694"/>
      <w:bookmarkEnd w:id="695"/>
      <w:r>
        <w:rPr>
          <w:rFonts w:hint="eastAsia" w:ascii="宋体" w:hAnsi="宋体" w:eastAsia="宋体" w:cs="宋体"/>
          <w:b/>
          <w:color w:val="auto"/>
          <w:sz w:val="21"/>
          <w:szCs w:val="21"/>
          <w:highlight w:val="none"/>
        </w:rPr>
        <w:t>合同价格、计量与支付</w:t>
      </w:r>
      <w:bookmarkEnd w:id="696"/>
      <w:bookmarkEnd w:id="697"/>
      <w:bookmarkEnd w:id="698"/>
      <w:bookmarkEnd w:id="699"/>
      <w:bookmarkEnd w:id="700"/>
      <w:bookmarkEnd w:id="701"/>
      <w:bookmarkEnd w:id="702"/>
    </w:p>
    <w:bookmarkEnd w:id="380"/>
    <w:bookmarkEnd w:id="381"/>
    <w:bookmarkEnd w:id="382"/>
    <w:bookmarkEnd w:id="383"/>
    <w:bookmarkEnd w:id="384"/>
    <w:bookmarkEnd w:id="385"/>
    <w:bookmarkEnd w:id="386"/>
    <w:bookmarkEnd w:id="387"/>
    <w:bookmarkEnd w:id="388"/>
    <w:bookmarkEnd w:id="389"/>
    <w:bookmarkEnd w:id="390"/>
    <w:bookmarkEnd w:id="391"/>
    <w:bookmarkEnd w:id="392"/>
    <w:bookmarkEnd w:id="393"/>
    <w:bookmarkEnd w:id="394"/>
    <w:bookmarkEnd w:id="395"/>
    <w:bookmarkEnd w:id="584"/>
    <w:bookmarkEnd w:id="585"/>
    <w:bookmarkEnd w:id="586"/>
    <w:bookmarkEnd w:id="587"/>
    <w:bookmarkEnd w:id="588"/>
    <w:bookmarkEnd w:id="589"/>
    <w:bookmarkEnd w:id="703"/>
    <w:bookmarkEnd w:id="704"/>
    <w:bookmarkEnd w:id="705"/>
    <w:bookmarkEnd w:id="706"/>
    <w:bookmarkEnd w:id="707"/>
    <w:bookmarkEnd w:id="708"/>
    <w:p w14:paraId="73B1AC17">
      <w:pPr>
        <w:keepNext w:val="0"/>
        <w:keepLines w:val="0"/>
        <w:pageBreakBefore w:val="0"/>
        <w:widowControl w:val="0"/>
        <w:numPr>
          <w:ilvl w:val="0"/>
          <w:numId w:val="15"/>
        </w:numPr>
        <w:tabs>
          <w:tab w:val="left" w:pos="1140"/>
          <w:tab w:val="clear" w:pos="210"/>
        </w:tabs>
        <w:kinsoku/>
        <w:wordWrap/>
        <w:overflowPunct/>
        <w:topLinePunct w:val="0"/>
        <w:bidi w:val="0"/>
        <w:spacing w:line="360" w:lineRule="auto"/>
        <w:ind w:left="0" w:leftChars="0" w:firstLine="420" w:firstLineChars="200"/>
        <w:textAlignment w:val="auto"/>
        <w:outlineLvl w:val="9"/>
        <w:rPr>
          <w:rFonts w:hint="eastAsia" w:ascii="宋体" w:hAnsi="宋体" w:eastAsia="宋体" w:cs="宋体"/>
          <w:color w:val="auto"/>
          <w:sz w:val="21"/>
          <w:szCs w:val="21"/>
          <w:highlight w:val="none"/>
        </w:rPr>
      </w:pPr>
      <w:bookmarkStart w:id="709" w:name="_Toc267251461"/>
      <w:bookmarkStart w:id="710" w:name="_Toc292559411"/>
      <w:bookmarkStart w:id="711" w:name="_Toc292559916"/>
      <w:bookmarkStart w:id="712" w:name="_Toc297048392"/>
      <w:bookmarkStart w:id="713" w:name="_Toc296503206"/>
      <w:bookmarkStart w:id="714" w:name="_Toc296346707"/>
      <w:bookmarkStart w:id="715" w:name="_Toc296944545"/>
      <w:bookmarkStart w:id="716" w:name="_Toc296347205"/>
      <w:bookmarkStart w:id="717" w:name="_Toc296891246"/>
      <w:bookmarkStart w:id="718" w:name="_Toc297120506"/>
      <w:bookmarkStart w:id="719" w:name="_Toc296891034"/>
      <w:bookmarkStart w:id="720" w:name="_Toc300935003"/>
      <w:bookmarkStart w:id="721" w:name="_Toc312678041"/>
      <w:bookmarkStart w:id="722" w:name="_Toc297216212"/>
      <w:bookmarkStart w:id="723" w:name="_Toc297123553"/>
      <w:bookmarkStart w:id="724" w:name="_Toc304295580"/>
      <w:bookmarkStart w:id="725" w:name="_Toc303539160"/>
      <w:r>
        <w:rPr>
          <w:rFonts w:hint="eastAsia" w:ascii="宋体" w:hAnsi="宋体" w:eastAsia="宋体" w:cs="宋体"/>
          <w:color w:val="auto"/>
          <w:sz w:val="21"/>
          <w:szCs w:val="21"/>
          <w:highlight w:val="none"/>
        </w:rPr>
        <w:t>合</w:t>
      </w:r>
      <w:bookmarkEnd w:id="709"/>
      <w:bookmarkEnd w:id="710"/>
      <w:bookmarkEnd w:id="711"/>
      <w:r>
        <w:rPr>
          <w:rFonts w:hint="eastAsia" w:ascii="宋体" w:hAnsi="宋体" w:eastAsia="宋体" w:cs="宋体"/>
          <w:color w:val="auto"/>
          <w:sz w:val="21"/>
          <w:szCs w:val="21"/>
          <w:highlight w:val="none"/>
        </w:rPr>
        <w:t>同价</w:t>
      </w:r>
      <w:bookmarkEnd w:id="712"/>
      <w:bookmarkEnd w:id="713"/>
      <w:bookmarkEnd w:id="714"/>
      <w:bookmarkEnd w:id="715"/>
      <w:bookmarkEnd w:id="716"/>
      <w:bookmarkEnd w:id="717"/>
      <w:bookmarkEnd w:id="718"/>
      <w:bookmarkEnd w:id="719"/>
      <w:r>
        <w:rPr>
          <w:rFonts w:hint="eastAsia" w:ascii="宋体" w:hAnsi="宋体" w:eastAsia="宋体" w:cs="宋体"/>
          <w:color w:val="auto"/>
          <w:sz w:val="21"/>
          <w:szCs w:val="21"/>
          <w:highlight w:val="none"/>
        </w:rPr>
        <w:t>格形式</w:t>
      </w:r>
    </w:p>
    <w:bookmarkEnd w:id="720"/>
    <w:bookmarkEnd w:id="721"/>
    <w:bookmarkEnd w:id="722"/>
    <w:bookmarkEnd w:id="723"/>
    <w:bookmarkEnd w:id="724"/>
    <w:bookmarkEnd w:id="725"/>
    <w:p w14:paraId="5E5480D0">
      <w:pPr>
        <w:keepNext w:val="0"/>
        <w:keepLines w:val="0"/>
        <w:pageBreakBefore w:val="0"/>
        <w:widowControl w:val="0"/>
        <w:numPr>
          <w:ilvl w:val="0"/>
          <w:numId w:val="16"/>
        </w:numPr>
        <w:tabs>
          <w:tab w:val="left" w:pos="1200"/>
          <w:tab w:val="clear" w:pos="210"/>
        </w:tabs>
        <w:kinsoku/>
        <w:wordWrap/>
        <w:overflowPunct/>
        <w:topLinePunct w:val="0"/>
        <w:bidi w:val="0"/>
        <w:spacing w:line="360" w:lineRule="auto"/>
        <w:ind w:left="0" w:leftChars="0" w:firstLine="420" w:firstLineChars="200"/>
        <w:textAlignment w:val="auto"/>
        <w:outlineLvl w:val="9"/>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合同价格形式：</w:t>
      </w:r>
      <w:r>
        <w:rPr>
          <w:rFonts w:hint="eastAsia" w:ascii="宋体" w:hAnsi="宋体" w:eastAsia="宋体" w:cs="宋体"/>
          <w:color w:val="auto"/>
          <w:sz w:val="21"/>
          <w:szCs w:val="21"/>
          <w:highlight w:val="none"/>
          <w:u w:val="single"/>
        </w:rPr>
        <w:fldChar w:fldCharType="begin"/>
      </w:r>
      <w:r>
        <w:rPr>
          <w:rFonts w:hint="eastAsia" w:ascii="宋体" w:hAnsi="宋体" w:eastAsia="宋体" w:cs="宋体"/>
          <w:color w:val="auto"/>
          <w:sz w:val="21"/>
          <w:szCs w:val="21"/>
          <w:highlight w:val="none"/>
          <w:u w:val="single"/>
        </w:rPr>
        <w:instrText xml:space="preserve"> AUTOTEXT  input681 \* MERGEFORMAT </w:instrText>
      </w:r>
      <w:r>
        <w:rPr>
          <w:rFonts w:hint="eastAsia" w:ascii="宋体" w:hAnsi="宋体" w:eastAsia="宋体" w:cs="宋体"/>
          <w:color w:val="auto"/>
          <w:sz w:val="21"/>
          <w:szCs w:val="21"/>
          <w:highlight w:val="none"/>
          <w:u w:val="single"/>
        </w:rPr>
        <w:fldChar w:fldCharType="separate"/>
      </w:r>
      <w:r>
        <w:rPr>
          <w:rFonts w:hint="eastAsia" w:ascii="宋体" w:hAnsi="宋体" w:eastAsia="宋体" w:cs="宋体"/>
          <w:color w:val="auto"/>
          <w:sz w:val="21"/>
          <w:szCs w:val="21"/>
          <w:highlight w:val="none"/>
          <w:u w:val="single"/>
        </w:rPr>
        <w:t xml:space="preserve"> </w:t>
      </w:r>
      <w:r>
        <w:rPr>
          <w:rFonts w:hint="eastAsia" w:ascii="宋体" w:hAnsi="宋体" w:cs="宋体"/>
          <w:color w:val="auto"/>
          <w:sz w:val="21"/>
          <w:szCs w:val="21"/>
          <w:highlight w:val="none"/>
          <w:u w:val="single"/>
          <w:lang w:val="en-US" w:eastAsia="zh-CN"/>
        </w:rPr>
        <w:t>单价合同</w:t>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u w:val="single"/>
        </w:rPr>
        <w:fldChar w:fldCharType="end"/>
      </w:r>
      <w:r>
        <w:rPr>
          <w:rFonts w:hint="eastAsia" w:ascii="宋体" w:hAnsi="宋体" w:eastAsia="宋体" w:cs="宋体"/>
          <w:color w:val="auto"/>
          <w:sz w:val="21"/>
          <w:szCs w:val="21"/>
          <w:highlight w:val="none"/>
        </w:rPr>
        <w:t>。</w:t>
      </w:r>
    </w:p>
    <w:p w14:paraId="01D38417">
      <w:pPr>
        <w:pStyle w:val="15"/>
        <w:keepNext w:val="0"/>
        <w:keepLines w:val="0"/>
        <w:pageBreakBefore w:val="0"/>
        <w:widowControl w:val="0"/>
        <w:kinsoku/>
        <w:wordWrap/>
        <w:overflowPunct/>
        <w:topLinePunct w:val="0"/>
        <w:bidi w:val="0"/>
        <w:spacing w:after="0" w:line="360" w:lineRule="auto"/>
        <w:ind w:left="0" w:leftChars="0" w:firstLine="420" w:firstLineChars="200"/>
        <w:textAlignment w:val="auto"/>
        <w:outlineLvl w:val="9"/>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承包人根据竞争性磋商文件、工程量清单及响应文件对施工招标中的投标二次报价清单计价文件编制完成后，并经发包人委托的第三方造价咨询单位审核后，经审核后工程量清单计价文件中的综合单价在工程实施期内不得再</w:t>
      </w:r>
      <w:r>
        <w:rPr>
          <w:rFonts w:hint="eastAsia" w:ascii="宋体" w:hAnsi="宋体" w:cs="宋体"/>
          <w:color w:val="auto"/>
          <w:sz w:val="21"/>
          <w:szCs w:val="21"/>
          <w:highlight w:val="none"/>
          <w:lang w:eastAsia="zh-CN"/>
        </w:rPr>
        <w:t>作</w:t>
      </w:r>
      <w:r>
        <w:rPr>
          <w:rFonts w:hint="eastAsia" w:ascii="宋体" w:hAnsi="宋体" w:eastAsia="宋体" w:cs="宋体"/>
          <w:color w:val="auto"/>
          <w:sz w:val="21"/>
          <w:szCs w:val="21"/>
          <w:highlight w:val="none"/>
        </w:rPr>
        <w:t>调整，作为计量支付的依据及竣工结算单价；</w:t>
      </w:r>
    </w:p>
    <w:p w14:paraId="53939DEA">
      <w:pPr>
        <w:pStyle w:val="15"/>
        <w:keepNext w:val="0"/>
        <w:keepLines w:val="0"/>
        <w:pageBreakBefore w:val="0"/>
        <w:widowControl w:val="0"/>
        <w:numPr>
          <w:ilvl w:val="0"/>
          <w:numId w:val="0"/>
        </w:numPr>
        <w:tabs>
          <w:tab w:val="left" w:pos="1080"/>
        </w:tabs>
        <w:kinsoku/>
        <w:wordWrap/>
        <w:overflowPunct/>
        <w:topLinePunct w:val="0"/>
        <w:bidi w:val="0"/>
        <w:spacing w:after="0" w:line="360" w:lineRule="auto"/>
        <w:ind w:firstLine="420" w:firstLineChars="200"/>
        <w:textAlignment w:val="auto"/>
        <w:outlineLvl w:val="9"/>
        <w:rPr>
          <w:rFonts w:hint="eastAsia" w:ascii="宋体" w:hAnsi="宋体" w:eastAsia="宋体" w:cs="宋体"/>
          <w:b w:val="0"/>
          <w:color w:val="auto"/>
          <w:sz w:val="21"/>
          <w:szCs w:val="21"/>
          <w:highlight w:val="none"/>
        </w:rPr>
      </w:pPr>
      <w:r>
        <w:rPr>
          <w:rFonts w:hint="eastAsia" w:ascii="宋体" w:hAnsi="宋体" w:eastAsia="宋体" w:cs="宋体"/>
          <w:color w:val="auto"/>
          <w:sz w:val="21"/>
          <w:szCs w:val="21"/>
          <w:highlight w:val="none"/>
        </w:rPr>
        <w:t>在工程实施过程中，已有清单项目的工程量无论发生如何变化（包括工程设计变更、施工条件变更、签证等引起的变化），结算时，既定限额条件下的综合单价均不予调整。</w:t>
      </w:r>
    </w:p>
    <w:p w14:paraId="49D63C50">
      <w:pPr>
        <w:keepNext w:val="0"/>
        <w:keepLines w:val="0"/>
        <w:pageBreakBefore w:val="0"/>
        <w:widowControl w:val="0"/>
        <w:numPr>
          <w:ilvl w:val="0"/>
          <w:numId w:val="16"/>
        </w:numPr>
        <w:tabs>
          <w:tab w:val="left" w:pos="1200"/>
          <w:tab w:val="clear" w:pos="210"/>
        </w:tabs>
        <w:kinsoku/>
        <w:wordWrap/>
        <w:overflowPunct/>
        <w:topLinePunct w:val="0"/>
        <w:bidi w:val="0"/>
        <w:spacing w:line="360" w:lineRule="auto"/>
        <w:ind w:left="0" w:leftChars="0" w:firstLine="420" w:firstLineChars="200"/>
        <w:textAlignment w:val="auto"/>
        <w:outlineLvl w:val="9"/>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总价合同。</w:t>
      </w:r>
    </w:p>
    <w:p w14:paraId="7A31D1AF">
      <w:pPr>
        <w:keepNext w:val="0"/>
        <w:keepLines w:val="0"/>
        <w:pageBreakBefore w:val="0"/>
        <w:widowControl w:val="0"/>
        <w:suppressLineNumbers w:val="0"/>
        <w:kinsoku/>
        <w:wordWrap/>
        <w:overflowPunct/>
        <w:topLinePunct w:val="0"/>
        <w:bidi w:val="0"/>
        <w:spacing w:before="0" w:beforeAutospacing="0" w:afterAutospacing="0" w:line="360" w:lineRule="auto"/>
        <w:ind w:left="0" w:right="0"/>
        <w:jc w:val="both"/>
        <w:textAlignment w:val="auto"/>
        <w:outlineLvl w:val="9"/>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总价包含的风险范围：</w:t>
      </w:r>
      <w:r>
        <w:rPr>
          <w:rFonts w:hint="eastAsia" w:ascii="宋体" w:hAnsi="宋体" w:eastAsia="宋体" w:cs="宋体"/>
          <w:color w:val="auto"/>
          <w:sz w:val="21"/>
          <w:szCs w:val="21"/>
          <w:highlight w:val="none"/>
          <w:u w:val="single"/>
        </w:rPr>
        <w:t xml:space="preserve">  /                                </w:t>
      </w:r>
      <w:r>
        <w:rPr>
          <w:rFonts w:hint="eastAsia" w:ascii="宋体" w:hAnsi="宋体" w:eastAsia="宋体" w:cs="宋体"/>
          <w:color w:val="auto"/>
          <w:sz w:val="21"/>
          <w:szCs w:val="21"/>
          <w:highlight w:val="none"/>
        </w:rPr>
        <w:t>。</w:t>
      </w:r>
    </w:p>
    <w:p w14:paraId="7ACC09E9">
      <w:pPr>
        <w:keepNext w:val="0"/>
        <w:keepLines w:val="0"/>
        <w:pageBreakBefore w:val="0"/>
        <w:widowControl w:val="0"/>
        <w:suppressLineNumbers w:val="0"/>
        <w:kinsoku/>
        <w:wordWrap/>
        <w:overflowPunct/>
        <w:topLinePunct w:val="0"/>
        <w:bidi w:val="0"/>
        <w:spacing w:before="0" w:beforeAutospacing="0" w:afterAutospacing="0" w:line="360" w:lineRule="auto"/>
        <w:ind w:left="0" w:right="0"/>
        <w:jc w:val="both"/>
        <w:textAlignment w:val="auto"/>
        <w:outlineLvl w:val="9"/>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风险费用的计算方法：</w:t>
      </w:r>
      <w:r>
        <w:rPr>
          <w:rFonts w:hint="eastAsia" w:ascii="宋体" w:hAnsi="宋体" w:eastAsia="宋体" w:cs="宋体"/>
          <w:color w:val="auto"/>
          <w:sz w:val="21"/>
          <w:szCs w:val="21"/>
          <w:highlight w:val="none"/>
          <w:u w:val="single"/>
        </w:rPr>
        <w:t xml:space="preserve">  /                                </w:t>
      </w:r>
      <w:r>
        <w:rPr>
          <w:rFonts w:hint="eastAsia" w:ascii="宋体" w:hAnsi="宋体" w:eastAsia="宋体" w:cs="宋体"/>
          <w:color w:val="auto"/>
          <w:sz w:val="21"/>
          <w:szCs w:val="21"/>
          <w:highlight w:val="none"/>
        </w:rPr>
        <w:t>。</w:t>
      </w:r>
    </w:p>
    <w:p w14:paraId="134E8036">
      <w:pPr>
        <w:keepNext w:val="0"/>
        <w:keepLines w:val="0"/>
        <w:pageBreakBefore w:val="0"/>
        <w:widowControl w:val="0"/>
        <w:suppressLineNumbers w:val="0"/>
        <w:kinsoku/>
        <w:wordWrap/>
        <w:overflowPunct/>
        <w:topLinePunct w:val="0"/>
        <w:bidi w:val="0"/>
        <w:spacing w:before="0" w:beforeAutospacing="0" w:afterAutospacing="0" w:line="360" w:lineRule="auto"/>
        <w:ind w:left="0" w:right="0"/>
        <w:jc w:val="both"/>
        <w:textAlignment w:val="auto"/>
        <w:outlineLvl w:val="9"/>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风险范围以外合同价格的调整方法：</w:t>
      </w:r>
      <w:r>
        <w:rPr>
          <w:rFonts w:hint="eastAsia" w:ascii="宋体" w:hAnsi="宋体" w:eastAsia="宋体" w:cs="宋体"/>
          <w:color w:val="auto"/>
          <w:sz w:val="21"/>
          <w:szCs w:val="21"/>
          <w:highlight w:val="none"/>
          <w:u w:val="single"/>
        </w:rPr>
        <w:t xml:space="preserve">   /                   </w:t>
      </w:r>
      <w:r>
        <w:rPr>
          <w:rFonts w:hint="eastAsia" w:ascii="宋体" w:hAnsi="宋体" w:eastAsia="宋体" w:cs="宋体"/>
          <w:color w:val="auto"/>
          <w:sz w:val="21"/>
          <w:szCs w:val="21"/>
          <w:highlight w:val="none"/>
        </w:rPr>
        <w:t xml:space="preserve">。 </w:t>
      </w:r>
    </w:p>
    <w:p w14:paraId="511FC852">
      <w:pPr>
        <w:keepNext w:val="0"/>
        <w:keepLines w:val="0"/>
        <w:pageBreakBefore w:val="0"/>
        <w:widowControl w:val="0"/>
        <w:numPr>
          <w:ilvl w:val="0"/>
          <w:numId w:val="16"/>
        </w:numPr>
        <w:tabs>
          <w:tab w:val="left" w:pos="1200"/>
          <w:tab w:val="clear" w:pos="210"/>
        </w:tabs>
        <w:kinsoku/>
        <w:wordWrap/>
        <w:overflowPunct/>
        <w:topLinePunct w:val="0"/>
        <w:bidi w:val="0"/>
        <w:spacing w:line="360" w:lineRule="auto"/>
        <w:ind w:left="0" w:leftChars="0" w:firstLine="420" w:firstLineChars="200"/>
        <w:textAlignment w:val="auto"/>
        <w:outlineLvl w:val="9"/>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其他价格方式：</w:t>
      </w:r>
      <w:r>
        <w:rPr>
          <w:rFonts w:hint="eastAsia" w:ascii="宋体" w:hAnsi="宋体" w:eastAsia="宋体" w:cs="宋体"/>
          <w:color w:val="auto"/>
          <w:sz w:val="21"/>
          <w:szCs w:val="21"/>
          <w:highlight w:val="none"/>
          <w:u w:val="single"/>
        </w:rPr>
        <w:t xml:space="preserve">  /                                    </w:t>
      </w:r>
      <w:r>
        <w:rPr>
          <w:rFonts w:hint="eastAsia" w:ascii="宋体" w:hAnsi="宋体" w:eastAsia="宋体" w:cs="宋体"/>
          <w:color w:val="auto"/>
          <w:sz w:val="21"/>
          <w:szCs w:val="21"/>
          <w:highlight w:val="none"/>
        </w:rPr>
        <w:t>。</w:t>
      </w:r>
    </w:p>
    <w:p w14:paraId="55025AE9">
      <w:pPr>
        <w:keepNext w:val="0"/>
        <w:keepLines w:val="0"/>
        <w:pageBreakBefore w:val="0"/>
        <w:widowControl w:val="0"/>
        <w:numPr>
          <w:ilvl w:val="0"/>
          <w:numId w:val="15"/>
        </w:numPr>
        <w:tabs>
          <w:tab w:val="left" w:pos="1140"/>
          <w:tab w:val="clear" w:pos="210"/>
        </w:tabs>
        <w:kinsoku/>
        <w:wordWrap/>
        <w:overflowPunct/>
        <w:topLinePunct w:val="0"/>
        <w:bidi w:val="0"/>
        <w:spacing w:line="360" w:lineRule="auto"/>
        <w:ind w:left="0" w:leftChars="0" w:firstLine="420" w:firstLineChars="200"/>
        <w:textAlignment w:val="auto"/>
        <w:outlineLvl w:val="9"/>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预付款</w:t>
      </w:r>
    </w:p>
    <w:bookmarkEnd w:id="396"/>
    <w:bookmarkEnd w:id="397"/>
    <w:bookmarkEnd w:id="398"/>
    <w:bookmarkEnd w:id="399"/>
    <w:bookmarkEnd w:id="400"/>
    <w:bookmarkEnd w:id="401"/>
    <w:p w14:paraId="2CEA5C67">
      <w:pPr>
        <w:keepNext w:val="0"/>
        <w:keepLines w:val="0"/>
        <w:pageBreakBefore w:val="0"/>
        <w:widowControl w:val="0"/>
        <w:numPr>
          <w:ilvl w:val="0"/>
          <w:numId w:val="17"/>
        </w:numPr>
        <w:tabs>
          <w:tab w:val="left" w:pos="1280"/>
          <w:tab w:val="clear" w:pos="210"/>
        </w:tabs>
        <w:kinsoku/>
        <w:wordWrap/>
        <w:overflowPunct/>
        <w:topLinePunct w:val="0"/>
        <w:bidi w:val="0"/>
        <w:spacing w:line="360" w:lineRule="auto"/>
        <w:ind w:left="0" w:leftChars="0" w:firstLine="420" w:firstLineChars="200"/>
        <w:textAlignment w:val="auto"/>
        <w:outlineLvl w:val="9"/>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预付款的支付</w:t>
      </w:r>
    </w:p>
    <w:p w14:paraId="38774EE9">
      <w:pPr>
        <w:keepNext w:val="0"/>
        <w:keepLines w:val="0"/>
        <w:pageBreakBefore w:val="0"/>
        <w:widowControl w:val="0"/>
        <w:suppressLineNumbers w:val="0"/>
        <w:kinsoku/>
        <w:wordWrap/>
        <w:overflowPunct/>
        <w:topLinePunct w:val="0"/>
        <w:bidi w:val="0"/>
        <w:spacing w:before="0" w:beforeAutospacing="0" w:afterAutospacing="0" w:line="360" w:lineRule="auto"/>
        <w:ind w:right="0" w:firstLine="420" w:firstLineChars="200"/>
        <w:jc w:val="both"/>
        <w:textAlignment w:val="auto"/>
        <w:outlineLvl w:val="9"/>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预付款支付比例或金额：</w:t>
      </w:r>
      <w:r>
        <w:rPr>
          <w:rFonts w:hint="eastAsia" w:ascii="宋体" w:hAnsi="宋体" w:cs="宋体"/>
          <w:color w:val="auto"/>
          <w:sz w:val="21"/>
          <w:szCs w:val="21"/>
          <w:highlight w:val="none"/>
          <w:u w:val="single"/>
          <w:lang w:val="en-US" w:eastAsia="zh-CN"/>
        </w:rPr>
        <w:t xml:space="preserve">  /  </w:t>
      </w:r>
      <w:r>
        <w:rPr>
          <w:rFonts w:hint="eastAsia" w:ascii="宋体" w:hAnsi="宋体" w:eastAsia="宋体" w:cs="宋体"/>
          <w:color w:val="auto"/>
          <w:sz w:val="21"/>
          <w:szCs w:val="21"/>
          <w:highlight w:val="none"/>
        </w:rPr>
        <w:t>。</w:t>
      </w:r>
    </w:p>
    <w:p w14:paraId="62C1AC66">
      <w:pPr>
        <w:pStyle w:val="15"/>
        <w:keepNext w:val="0"/>
        <w:keepLines w:val="0"/>
        <w:pageBreakBefore w:val="0"/>
        <w:widowControl w:val="0"/>
        <w:kinsoku/>
        <w:wordWrap/>
        <w:overflowPunct/>
        <w:topLinePunct w:val="0"/>
        <w:bidi w:val="0"/>
        <w:spacing w:after="0" w:line="360" w:lineRule="auto"/>
        <w:ind w:left="0" w:leftChars="0" w:firstLine="420" w:firstLineChars="200"/>
        <w:textAlignment w:val="auto"/>
        <w:outlineLvl w:val="9"/>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预付款支付期限：</w:t>
      </w:r>
      <w:r>
        <w:rPr>
          <w:rFonts w:hint="eastAsia" w:ascii="宋体" w:hAnsi="宋体" w:cs="宋体"/>
          <w:color w:val="auto"/>
          <w:sz w:val="21"/>
          <w:szCs w:val="21"/>
          <w:highlight w:val="none"/>
          <w:u w:val="single"/>
          <w:lang w:val="en-US" w:eastAsia="zh-CN"/>
        </w:rPr>
        <w:t xml:space="preserve">  /  </w:t>
      </w:r>
      <w:r>
        <w:rPr>
          <w:rFonts w:hint="eastAsia" w:ascii="宋体" w:hAnsi="宋体" w:eastAsia="宋体" w:cs="宋体"/>
          <w:color w:val="auto"/>
          <w:sz w:val="21"/>
          <w:szCs w:val="21"/>
          <w:highlight w:val="none"/>
        </w:rPr>
        <w:t>。</w:t>
      </w:r>
    </w:p>
    <w:p w14:paraId="31917355">
      <w:pPr>
        <w:pStyle w:val="15"/>
        <w:keepNext w:val="0"/>
        <w:keepLines w:val="0"/>
        <w:pageBreakBefore w:val="0"/>
        <w:widowControl w:val="0"/>
        <w:kinsoku/>
        <w:wordWrap/>
        <w:overflowPunct/>
        <w:topLinePunct w:val="0"/>
        <w:bidi w:val="0"/>
        <w:spacing w:after="0" w:line="360" w:lineRule="auto"/>
        <w:ind w:left="0" w:leftChars="0" w:firstLine="420" w:firstLineChars="200"/>
        <w:textAlignment w:val="auto"/>
        <w:outlineLvl w:val="9"/>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预付款扣回的方式：</w:t>
      </w:r>
      <w:r>
        <w:rPr>
          <w:rFonts w:hint="eastAsia" w:ascii="宋体" w:hAnsi="宋体" w:cs="宋体"/>
          <w:color w:val="auto"/>
          <w:sz w:val="21"/>
          <w:szCs w:val="21"/>
          <w:highlight w:val="none"/>
          <w:u w:val="single"/>
          <w:lang w:val="en-US" w:eastAsia="zh-CN"/>
        </w:rPr>
        <w:t xml:space="preserve">  /  </w:t>
      </w:r>
      <w:r>
        <w:rPr>
          <w:rFonts w:hint="eastAsia" w:ascii="宋体" w:hAnsi="宋体" w:eastAsia="宋体" w:cs="宋体"/>
          <w:color w:val="auto"/>
          <w:sz w:val="21"/>
          <w:szCs w:val="21"/>
          <w:highlight w:val="none"/>
        </w:rPr>
        <w:t>。</w:t>
      </w:r>
    </w:p>
    <w:p w14:paraId="7238A9C8">
      <w:pPr>
        <w:keepNext w:val="0"/>
        <w:keepLines w:val="0"/>
        <w:pageBreakBefore w:val="0"/>
        <w:widowControl w:val="0"/>
        <w:numPr>
          <w:ilvl w:val="0"/>
          <w:numId w:val="17"/>
        </w:numPr>
        <w:tabs>
          <w:tab w:val="left" w:pos="1280"/>
          <w:tab w:val="clear" w:pos="210"/>
        </w:tabs>
        <w:kinsoku/>
        <w:wordWrap/>
        <w:overflowPunct/>
        <w:topLinePunct w:val="0"/>
        <w:bidi w:val="0"/>
        <w:spacing w:line="360" w:lineRule="auto"/>
        <w:ind w:left="0" w:leftChars="0" w:firstLine="420" w:firstLineChars="200"/>
        <w:textAlignment w:val="auto"/>
        <w:outlineLvl w:val="9"/>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预付款担保</w:t>
      </w:r>
    </w:p>
    <w:p w14:paraId="7C095A4D">
      <w:pPr>
        <w:pStyle w:val="15"/>
        <w:keepNext w:val="0"/>
        <w:keepLines w:val="0"/>
        <w:pageBreakBefore w:val="0"/>
        <w:widowControl w:val="0"/>
        <w:kinsoku/>
        <w:wordWrap/>
        <w:overflowPunct/>
        <w:topLinePunct w:val="0"/>
        <w:bidi w:val="0"/>
        <w:spacing w:after="0" w:line="360" w:lineRule="auto"/>
        <w:ind w:left="0" w:leftChars="0" w:firstLine="420" w:firstLineChars="200"/>
        <w:textAlignment w:val="auto"/>
        <w:outlineLvl w:val="9"/>
        <w:rPr>
          <w:rFonts w:hint="eastAsia" w:ascii="宋体" w:hAnsi="宋体" w:eastAsia="宋体" w:cs="宋体"/>
          <w:color w:val="auto"/>
          <w:sz w:val="21"/>
          <w:szCs w:val="21"/>
          <w:highlight w:val="none"/>
          <w:u w:val="single"/>
        </w:rPr>
      </w:pPr>
      <w:r>
        <w:rPr>
          <w:rFonts w:hint="eastAsia" w:ascii="宋体" w:hAnsi="宋体" w:eastAsia="宋体" w:cs="宋体"/>
          <w:color w:val="auto"/>
          <w:sz w:val="21"/>
          <w:szCs w:val="21"/>
          <w:highlight w:val="none"/>
        </w:rPr>
        <w:t>承包人提交预付款担保的期限：</w:t>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u w:val="single"/>
          <w:lang w:val="en-US" w:eastAsia="zh-CN"/>
        </w:rPr>
        <w:t>/</w:t>
      </w:r>
      <w:r>
        <w:rPr>
          <w:rFonts w:hint="eastAsia" w:ascii="宋体" w:hAnsi="宋体" w:eastAsia="宋体" w:cs="宋体"/>
          <w:color w:val="auto"/>
          <w:sz w:val="21"/>
          <w:szCs w:val="21"/>
          <w:highlight w:val="none"/>
          <w:u w:val="single"/>
        </w:rPr>
        <w:t xml:space="preserve">   。</w:t>
      </w:r>
    </w:p>
    <w:p w14:paraId="5D2AA017">
      <w:pPr>
        <w:pStyle w:val="15"/>
        <w:keepNext w:val="0"/>
        <w:keepLines w:val="0"/>
        <w:pageBreakBefore w:val="0"/>
        <w:widowControl w:val="0"/>
        <w:kinsoku/>
        <w:wordWrap/>
        <w:overflowPunct/>
        <w:topLinePunct w:val="0"/>
        <w:bidi w:val="0"/>
        <w:spacing w:after="0" w:line="360" w:lineRule="auto"/>
        <w:ind w:left="0" w:leftChars="0" w:firstLine="420" w:firstLineChars="200"/>
        <w:textAlignment w:val="auto"/>
        <w:outlineLvl w:val="9"/>
        <w:rPr>
          <w:rFonts w:hint="eastAsia" w:ascii="宋体" w:hAnsi="宋体" w:eastAsia="宋体" w:cs="宋体"/>
          <w:color w:val="auto"/>
          <w:sz w:val="21"/>
          <w:szCs w:val="21"/>
          <w:highlight w:val="none"/>
          <w:u w:val="single"/>
        </w:rPr>
      </w:pPr>
      <w:r>
        <w:rPr>
          <w:rFonts w:hint="eastAsia" w:ascii="宋体" w:hAnsi="宋体" w:eastAsia="宋体" w:cs="宋体"/>
          <w:color w:val="auto"/>
          <w:sz w:val="21"/>
          <w:szCs w:val="21"/>
          <w:highlight w:val="none"/>
        </w:rPr>
        <w:t>预付款担保的形式为：</w:t>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u w:val="single"/>
          <w:lang w:val="en-US" w:eastAsia="zh-CN"/>
        </w:rPr>
        <w:t>/</w:t>
      </w:r>
      <w:r>
        <w:rPr>
          <w:rFonts w:hint="eastAsia" w:ascii="宋体" w:hAnsi="宋体" w:eastAsia="宋体" w:cs="宋体"/>
          <w:color w:val="auto"/>
          <w:sz w:val="21"/>
          <w:szCs w:val="21"/>
          <w:highlight w:val="none"/>
          <w:u w:val="single"/>
        </w:rPr>
        <w:t xml:space="preserve">     。</w:t>
      </w:r>
    </w:p>
    <w:bookmarkEnd w:id="402"/>
    <w:bookmarkEnd w:id="403"/>
    <w:bookmarkEnd w:id="404"/>
    <w:bookmarkEnd w:id="405"/>
    <w:bookmarkEnd w:id="406"/>
    <w:bookmarkEnd w:id="407"/>
    <w:bookmarkEnd w:id="408"/>
    <w:bookmarkEnd w:id="409"/>
    <w:bookmarkEnd w:id="410"/>
    <w:bookmarkEnd w:id="411"/>
    <w:p w14:paraId="7EF3A264">
      <w:pPr>
        <w:keepNext w:val="0"/>
        <w:keepLines w:val="0"/>
        <w:pageBreakBefore w:val="0"/>
        <w:widowControl w:val="0"/>
        <w:numPr>
          <w:ilvl w:val="0"/>
          <w:numId w:val="15"/>
        </w:numPr>
        <w:tabs>
          <w:tab w:val="left" w:pos="1140"/>
          <w:tab w:val="clear" w:pos="210"/>
        </w:tabs>
        <w:kinsoku/>
        <w:wordWrap/>
        <w:overflowPunct/>
        <w:topLinePunct w:val="0"/>
        <w:bidi w:val="0"/>
        <w:spacing w:line="360" w:lineRule="auto"/>
        <w:ind w:left="0" w:leftChars="0" w:firstLine="420" w:firstLineChars="200"/>
        <w:textAlignment w:val="auto"/>
        <w:outlineLvl w:val="9"/>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计量</w:t>
      </w:r>
    </w:p>
    <w:p w14:paraId="1E055A79">
      <w:pPr>
        <w:keepNext w:val="0"/>
        <w:keepLines w:val="0"/>
        <w:pageBreakBefore w:val="0"/>
        <w:widowControl w:val="0"/>
        <w:kinsoku/>
        <w:wordWrap/>
        <w:overflowPunct/>
        <w:topLinePunct w:val="0"/>
        <w:bidi w:val="0"/>
        <w:spacing w:line="360" w:lineRule="auto"/>
        <w:ind w:firstLine="420" w:firstLineChars="200"/>
        <w:textAlignment w:val="auto"/>
        <w:outlineLvl w:val="9"/>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12.3 计量</w:t>
      </w:r>
    </w:p>
    <w:p w14:paraId="6621CF1D">
      <w:pPr>
        <w:keepNext w:val="0"/>
        <w:keepLines w:val="0"/>
        <w:pageBreakBefore w:val="0"/>
        <w:widowControl w:val="0"/>
        <w:kinsoku/>
        <w:wordWrap/>
        <w:overflowPunct/>
        <w:topLinePunct w:val="0"/>
        <w:bidi w:val="0"/>
        <w:spacing w:line="360" w:lineRule="auto"/>
        <w:ind w:firstLine="420" w:firstLineChars="200"/>
        <w:textAlignment w:val="auto"/>
        <w:outlineLvl w:val="9"/>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12.3.1 计量原则</w:t>
      </w:r>
    </w:p>
    <w:p w14:paraId="59316CC7">
      <w:pPr>
        <w:keepNext w:val="0"/>
        <w:keepLines w:val="0"/>
        <w:pageBreakBefore w:val="0"/>
        <w:widowControl w:val="0"/>
        <w:kinsoku/>
        <w:wordWrap/>
        <w:overflowPunct/>
        <w:topLinePunct w:val="0"/>
        <w:bidi w:val="0"/>
        <w:spacing w:line="360" w:lineRule="auto"/>
        <w:ind w:firstLine="413" w:firstLineChars="196"/>
        <w:textAlignment w:val="auto"/>
        <w:outlineLvl w:val="9"/>
        <w:rPr>
          <w:rFonts w:hint="eastAsia" w:ascii="宋体" w:hAnsi="宋体" w:eastAsia="宋体" w:cs="宋体"/>
          <w:b/>
          <w:bCs/>
          <w:color w:val="auto"/>
          <w:sz w:val="21"/>
          <w:szCs w:val="21"/>
          <w:highlight w:val="none"/>
          <w:u w:val="single"/>
        </w:rPr>
      </w:pPr>
      <w:r>
        <w:rPr>
          <w:rFonts w:hint="eastAsia" w:ascii="宋体" w:hAnsi="宋体" w:eastAsia="宋体" w:cs="宋体"/>
          <w:b/>
          <w:bCs/>
          <w:color w:val="auto"/>
          <w:sz w:val="21"/>
          <w:szCs w:val="21"/>
          <w:highlight w:val="none"/>
          <w:u w:val="single"/>
        </w:rPr>
        <w:t>工程量计算规则：承包人完成全部工程量后向发包人提交已完工程量的报告，由发包人驻现场代表审核已完的工程量后报发包人盖章确认后作为双方结算依据。发生现场工程量增加需要确认的，承包人应当在变更事件发生之日起 7日内书面申请发包人确认，逾期未申请的，发包人对该工程量不予认可，也不作结算。除专用条件中明确约定可申请新增工程量签证的项目外，承包人要求确认增加工程量的，发包人不予认可。</w:t>
      </w:r>
    </w:p>
    <w:p w14:paraId="2067F859">
      <w:pPr>
        <w:keepNext w:val="0"/>
        <w:keepLines w:val="0"/>
        <w:pageBreakBefore w:val="0"/>
        <w:widowControl w:val="0"/>
        <w:kinsoku/>
        <w:wordWrap/>
        <w:overflowPunct/>
        <w:topLinePunct w:val="0"/>
        <w:bidi w:val="0"/>
        <w:spacing w:line="360" w:lineRule="auto"/>
        <w:ind w:firstLine="420" w:firstLineChars="200"/>
        <w:textAlignment w:val="auto"/>
        <w:outlineLvl w:val="9"/>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12.3.2 计量周期</w:t>
      </w:r>
    </w:p>
    <w:p w14:paraId="34955DB0">
      <w:pPr>
        <w:keepNext w:val="0"/>
        <w:keepLines w:val="0"/>
        <w:pageBreakBefore w:val="0"/>
        <w:widowControl w:val="0"/>
        <w:kinsoku/>
        <w:wordWrap/>
        <w:overflowPunct/>
        <w:topLinePunct w:val="0"/>
        <w:bidi w:val="0"/>
        <w:spacing w:line="360" w:lineRule="auto"/>
        <w:ind w:firstLine="411" w:firstLineChars="196"/>
        <w:textAlignment w:val="auto"/>
        <w:outlineLvl w:val="9"/>
        <w:rPr>
          <w:rFonts w:hint="eastAsia" w:ascii="宋体" w:hAnsi="宋体" w:eastAsia="宋体" w:cs="宋体"/>
          <w:color w:val="auto"/>
          <w:sz w:val="21"/>
          <w:szCs w:val="21"/>
          <w:highlight w:val="none"/>
          <w:u w:val="single"/>
          <w:lang w:bidi="en-US"/>
        </w:rPr>
      </w:pPr>
      <w:r>
        <w:rPr>
          <w:rFonts w:hint="eastAsia" w:ascii="宋体" w:hAnsi="宋体" w:eastAsia="宋体" w:cs="宋体"/>
          <w:color w:val="auto"/>
          <w:sz w:val="21"/>
          <w:szCs w:val="21"/>
          <w:highlight w:val="none"/>
          <w:lang w:bidi="en-US"/>
        </w:rPr>
        <w:t>关于计量周期的约定：</w:t>
      </w:r>
      <w:r>
        <w:rPr>
          <w:rFonts w:hint="eastAsia" w:ascii="宋体" w:hAnsi="宋体" w:eastAsia="宋体" w:cs="宋体"/>
          <w:b/>
          <w:bCs/>
          <w:color w:val="auto"/>
          <w:sz w:val="21"/>
          <w:szCs w:val="21"/>
          <w:highlight w:val="none"/>
          <w:u w:val="single"/>
        </w:rPr>
        <w:t xml:space="preserve">  /   </w:t>
      </w:r>
    </w:p>
    <w:p w14:paraId="7475BD32">
      <w:pPr>
        <w:keepNext w:val="0"/>
        <w:keepLines w:val="0"/>
        <w:pageBreakBefore w:val="0"/>
        <w:widowControl w:val="0"/>
        <w:kinsoku/>
        <w:wordWrap/>
        <w:overflowPunct/>
        <w:topLinePunct w:val="0"/>
        <w:bidi w:val="0"/>
        <w:spacing w:line="360" w:lineRule="auto"/>
        <w:ind w:firstLine="420" w:firstLineChars="200"/>
        <w:textAlignment w:val="auto"/>
        <w:outlineLvl w:val="9"/>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12.3.3 单价合同的计量</w:t>
      </w:r>
    </w:p>
    <w:p w14:paraId="228D0BC6">
      <w:pPr>
        <w:keepNext w:val="0"/>
        <w:keepLines w:val="0"/>
        <w:pageBreakBefore w:val="0"/>
        <w:widowControl w:val="0"/>
        <w:kinsoku/>
        <w:wordWrap/>
        <w:overflowPunct/>
        <w:topLinePunct w:val="0"/>
        <w:bidi w:val="0"/>
        <w:spacing w:line="360" w:lineRule="auto"/>
        <w:ind w:firstLine="420" w:firstLineChars="200"/>
        <w:textAlignment w:val="auto"/>
        <w:outlineLvl w:val="9"/>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关于单价合同计量的约定：</w:t>
      </w:r>
    </w:p>
    <w:p w14:paraId="03F591C5">
      <w:pPr>
        <w:keepNext w:val="0"/>
        <w:keepLines w:val="0"/>
        <w:pageBreakBefore w:val="0"/>
        <w:widowControl w:val="0"/>
        <w:kinsoku/>
        <w:wordWrap/>
        <w:overflowPunct/>
        <w:topLinePunct w:val="0"/>
        <w:bidi w:val="0"/>
        <w:spacing w:line="360" w:lineRule="auto"/>
        <w:ind w:firstLine="422" w:firstLineChars="200"/>
        <w:textAlignment w:val="auto"/>
        <w:outlineLvl w:val="9"/>
        <w:rPr>
          <w:rFonts w:hint="eastAsia" w:ascii="宋体" w:hAnsi="宋体" w:eastAsia="宋体" w:cs="宋体"/>
          <w:color w:val="auto"/>
          <w:sz w:val="21"/>
          <w:szCs w:val="21"/>
          <w:highlight w:val="none"/>
        </w:rPr>
      </w:pPr>
      <w:r>
        <w:rPr>
          <w:rFonts w:hint="eastAsia" w:ascii="宋体" w:hAnsi="宋体" w:eastAsia="宋体" w:cs="宋体"/>
          <w:b/>
          <w:bCs/>
          <w:color w:val="auto"/>
          <w:sz w:val="21"/>
          <w:szCs w:val="21"/>
          <w:highlight w:val="none"/>
          <w:u w:val="single"/>
        </w:rPr>
        <w:t>按通用条款12.3.3条和发包人的相关管理规定执行</w:t>
      </w:r>
      <w:r>
        <w:rPr>
          <w:rFonts w:hint="eastAsia" w:ascii="宋体" w:hAnsi="宋体" w:eastAsia="宋体" w:cs="宋体"/>
          <w:b/>
          <w:bCs/>
          <w:color w:val="auto"/>
          <w:sz w:val="21"/>
          <w:szCs w:val="21"/>
          <w:highlight w:val="none"/>
        </w:rPr>
        <w:t>。</w:t>
      </w:r>
    </w:p>
    <w:p w14:paraId="58CB3A19">
      <w:pPr>
        <w:keepNext w:val="0"/>
        <w:keepLines w:val="0"/>
        <w:pageBreakBefore w:val="0"/>
        <w:widowControl w:val="0"/>
        <w:kinsoku/>
        <w:wordWrap/>
        <w:overflowPunct/>
        <w:topLinePunct w:val="0"/>
        <w:bidi w:val="0"/>
        <w:spacing w:line="360" w:lineRule="auto"/>
        <w:ind w:firstLine="420" w:firstLineChars="200"/>
        <w:textAlignment w:val="auto"/>
        <w:outlineLvl w:val="9"/>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12.3.4 总价合同的计量</w:t>
      </w:r>
    </w:p>
    <w:p w14:paraId="6F732992">
      <w:pPr>
        <w:keepNext w:val="0"/>
        <w:keepLines w:val="0"/>
        <w:pageBreakBefore w:val="0"/>
        <w:widowControl w:val="0"/>
        <w:kinsoku/>
        <w:wordWrap/>
        <w:overflowPunct/>
        <w:topLinePunct w:val="0"/>
        <w:bidi w:val="0"/>
        <w:spacing w:line="360" w:lineRule="auto"/>
        <w:ind w:firstLine="420" w:firstLineChars="200"/>
        <w:textAlignment w:val="auto"/>
        <w:outlineLvl w:val="9"/>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关于总价合同计量的约定：</w:t>
      </w:r>
      <w:r>
        <w:rPr>
          <w:rFonts w:hint="eastAsia" w:ascii="宋体" w:hAnsi="宋体" w:eastAsia="宋体" w:cs="宋体"/>
          <w:color w:val="auto"/>
          <w:sz w:val="21"/>
          <w:szCs w:val="21"/>
          <w:highlight w:val="none"/>
          <w:u w:val="single"/>
        </w:rPr>
        <w:t xml:space="preserve">           /           </w:t>
      </w:r>
      <w:r>
        <w:rPr>
          <w:rFonts w:hint="eastAsia" w:ascii="宋体" w:hAnsi="宋体" w:eastAsia="宋体" w:cs="宋体"/>
          <w:color w:val="auto"/>
          <w:sz w:val="21"/>
          <w:szCs w:val="21"/>
          <w:highlight w:val="none"/>
        </w:rPr>
        <w:t>。</w:t>
      </w:r>
    </w:p>
    <w:p w14:paraId="7F377CB6">
      <w:pPr>
        <w:keepNext w:val="0"/>
        <w:keepLines w:val="0"/>
        <w:pageBreakBefore w:val="0"/>
        <w:widowControl w:val="0"/>
        <w:kinsoku/>
        <w:wordWrap/>
        <w:overflowPunct/>
        <w:topLinePunct w:val="0"/>
        <w:bidi w:val="0"/>
        <w:spacing w:line="360" w:lineRule="auto"/>
        <w:ind w:firstLine="420" w:firstLineChars="200"/>
        <w:textAlignment w:val="auto"/>
        <w:outlineLvl w:val="9"/>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12.3.5总价合同采用支付分解表计量支付的，是否适用第12.3.4 项〔总价合同的计量〕约定进行计量：</w:t>
      </w:r>
      <w:r>
        <w:rPr>
          <w:rFonts w:hint="eastAsia" w:ascii="宋体" w:hAnsi="宋体" w:eastAsia="宋体" w:cs="宋体"/>
          <w:color w:val="auto"/>
          <w:sz w:val="21"/>
          <w:szCs w:val="21"/>
          <w:highlight w:val="none"/>
          <w:u w:val="single"/>
        </w:rPr>
        <w:t xml:space="preserve">          /          </w:t>
      </w:r>
      <w:r>
        <w:rPr>
          <w:rFonts w:hint="eastAsia" w:ascii="宋体" w:hAnsi="宋体" w:eastAsia="宋体" w:cs="宋体"/>
          <w:color w:val="auto"/>
          <w:sz w:val="21"/>
          <w:szCs w:val="21"/>
          <w:highlight w:val="none"/>
        </w:rPr>
        <w:t>。</w:t>
      </w:r>
    </w:p>
    <w:p w14:paraId="2F56FFED">
      <w:pPr>
        <w:keepNext w:val="0"/>
        <w:keepLines w:val="0"/>
        <w:pageBreakBefore w:val="0"/>
        <w:widowControl w:val="0"/>
        <w:kinsoku/>
        <w:wordWrap/>
        <w:overflowPunct/>
        <w:topLinePunct w:val="0"/>
        <w:bidi w:val="0"/>
        <w:spacing w:line="360" w:lineRule="auto"/>
        <w:ind w:firstLine="420" w:firstLineChars="200"/>
        <w:textAlignment w:val="auto"/>
        <w:outlineLvl w:val="9"/>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12.3.6 其他价格形式合同的计量</w:t>
      </w:r>
    </w:p>
    <w:p w14:paraId="13CB594C">
      <w:pPr>
        <w:keepNext w:val="0"/>
        <w:keepLines w:val="0"/>
        <w:pageBreakBefore w:val="0"/>
        <w:widowControl w:val="0"/>
        <w:kinsoku/>
        <w:wordWrap/>
        <w:overflowPunct/>
        <w:topLinePunct w:val="0"/>
        <w:bidi w:val="0"/>
        <w:spacing w:line="360" w:lineRule="auto"/>
        <w:ind w:firstLine="420" w:firstLineChars="200"/>
        <w:textAlignment w:val="auto"/>
        <w:outlineLvl w:val="9"/>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其他价格形式的计量方式和程序：</w:t>
      </w:r>
      <w:r>
        <w:rPr>
          <w:rFonts w:hint="eastAsia" w:ascii="宋体" w:hAnsi="宋体" w:eastAsia="宋体" w:cs="宋体"/>
          <w:color w:val="auto"/>
          <w:sz w:val="21"/>
          <w:szCs w:val="21"/>
          <w:highlight w:val="none"/>
          <w:u w:val="single"/>
        </w:rPr>
        <w:t xml:space="preserve">         /           </w:t>
      </w:r>
      <w:r>
        <w:rPr>
          <w:rFonts w:hint="eastAsia" w:ascii="宋体" w:hAnsi="宋体" w:eastAsia="宋体" w:cs="宋体"/>
          <w:color w:val="auto"/>
          <w:sz w:val="21"/>
          <w:szCs w:val="21"/>
          <w:highlight w:val="none"/>
        </w:rPr>
        <w:t>。</w:t>
      </w:r>
    </w:p>
    <w:p w14:paraId="62916F97">
      <w:pPr>
        <w:keepNext w:val="0"/>
        <w:keepLines w:val="0"/>
        <w:pageBreakBefore w:val="0"/>
        <w:widowControl w:val="0"/>
        <w:numPr>
          <w:ilvl w:val="0"/>
          <w:numId w:val="15"/>
        </w:numPr>
        <w:tabs>
          <w:tab w:val="left" w:pos="1140"/>
          <w:tab w:val="clear" w:pos="210"/>
        </w:tabs>
        <w:kinsoku/>
        <w:wordWrap/>
        <w:overflowPunct/>
        <w:topLinePunct w:val="0"/>
        <w:bidi w:val="0"/>
        <w:spacing w:line="360" w:lineRule="auto"/>
        <w:ind w:left="0" w:leftChars="0" w:firstLine="420" w:firstLineChars="200"/>
        <w:textAlignment w:val="auto"/>
        <w:outlineLvl w:val="9"/>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工程进度款支付</w:t>
      </w:r>
    </w:p>
    <w:p w14:paraId="75F74EA2">
      <w:pPr>
        <w:keepNext w:val="0"/>
        <w:keepLines w:val="0"/>
        <w:pageBreakBefore w:val="0"/>
        <w:widowControl w:val="0"/>
        <w:numPr>
          <w:ilvl w:val="0"/>
          <w:numId w:val="18"/>
        </w:numPr>
        <w:tabs>
          <w:tab w:val="left" w:pos="1280"/>
          <w:tab w:val="clear" w:pos="210"/>
        </w:tabs>
        <w:kinsoku/>
        <w:wordWrap/>
        <w:overflowPunct/>
        <w:topLinePunct w:val="0"/>
        <w:bidi w:val="0"/>
        <w:spacing w:line="360" w:lineRule="auto"/>
        <w:ind w:left="0" w:leftChars="0" w:firstLine="420" w:firstLineChars="200"/>
        <w:textAlignment w:val="auto"/>
        <w:outlineLvl w:val="9"/>
        <w:rPr>
          <w:rFonts w:hint="eastAsia" w:ascii="宋体" w:hAnsi="宋体" w:eastAsia="宋体" w:cs="宋体"/>
          <w:color w:val="auto"/>
          <w:sz w:val="21"/>
          <w:szCs w:val="21"/>
          <w:highlight w:val="none"/>
        </w:rPr>
      </w:pPr>
      <w:bookmarkStart w:id="726" w:name="_Toc297120511"/>
      <w:bookmarkStart w:id="727" w:name="_Toc296503211"/>
      <w:bookmarkStart w:id="728" w:name="_Toc300935006"/>
      <w:bookmarkStart w:id="729" w:name="_Toc297048397"/>
      <w:bookmarkStart w:id="730" w:name="_Toc292559921"/>
      <w:bookmarkStart w:id="731" w:name="_Toc296891251"/>
      <w:bookmarkStart w:id="732" w:name="_Toc292559416"/>
      <w:bookmarkStart w:id="733" w:name="_Toc303539163"/>
      <w:bookmarkStart w:id="734" w:name="_Toc296346712"/>
      <w:bookmarkStart w:id="735" w:name="_Toc296944550"/>
      <w:bookmarkStart w:id="736" w:name="_Toc297216215"/>
      <w:bookmarkStart w:id="737" w:name="_Toc297123556"/>
      <w:bookmarkStart w:id="738" w:name="_Toc296347210"/>
      <w:bookmarkStart w:id="739" w:name="_Toc296891039"/>
      <w:r>
        <w:rPr>
          <w:rFonts w:hint="eastAsia" w:ascii="宋体" w:hAnsi="宋体" w:eastAsia="宋体" w:cs="宋体"/>
          <w:color w:val="auto"/>
          <w:sz w:val="21"/>
          <w:szCs w:val="21"/>
          <w:highlight w:val="none"/>
        </w:rPr>
        <w:t>付款周期</w:t>
      </w:r>
    </w:p>
    <w:p w14:paraId="6794F0B6">
      <w:pPr>
        <w:keepNext w:val="0"/>
        <w:keepLines w:val="0"/>
        <w:pageBreakBefore w:val="0"/>
        <w:widowControl w:val="0"/>
        <w:suppressLineNumbers w:val="0"/>
        <w:kinsoku/>
        <w:wordWrap/>
        <w:overflowPunct/>
        <w:topLinePunct w:val="0"/>
        <w:bidi w:val="0"/>
        <w:spacing w:before="0" w:beforeAutospacing="0" w:afterAutospacing="0" w:line="360" w:lineRule="auto"/>
        <w:ind w:left="0" w:leftChars="0" w:right="0" w:firstLine="420" w:firstLineChars="200"/>
        <w:jc w:val="both"/>
        <w:textAlignment w:val="auto"/>
        <w:outlineLvl w:val="9"/>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关于付款周期的约定：</w:t>
      </w:r>
      <w:r>
        <w:rPr>
          <w:rFonts w:hint="eastAsia" w:ascii="宋体" w:hAnsi="宋体" w:cs="宋体"/>
          <w:color w:val="000000" w:themeColor="text1"/>
          <w:sz w:val="21"/>
          <w:szCs w:val="21"/>
          <w:highlight w:val="none"/>
          <w:u w:val="single"/>
          <w:lang w:val="en-US" w:eastAsia="zh-CN"/>
          <w14:textFill>
            <w14:solidFill>
              <w14:schemeClr w14:val="tx1"/>
            </w14:solidFill>
          </w14:textFill>
        </w:rPr>
        <w:t>合同磋商时具体约定</w:t>
      </w:r>
      <w:r>
        <w:rPr>
          <w:rFonts w:hint="eastAsia" w:ascii="宋体" w:hAnsi="宋体" w:eastAsia="宋体" w:cs="宋体"/>
          <w:color w:val="000000" w:themeColor="text1"/>
          <w:sz w:val="21"/>
          <w:szCs w:val="21"/>
          <w:highlight w:val="none"/>
          <w14:textFill>
            <w14:solidFill>
              <w14:schemeClr w14:val="tx1"/>
            </w14:solidFill>
          </w14:textFill>
        </w:rPr>
        <w:t>。</w:t>
      </w:r>
    </w:p>
    <w:p w14:paraId="555D6510">
      <w:pPr>
        <w:pStyle w:val="15"/>
        <w:keepNext w:val="0"/>
        <w:keepLines w:val="0"/>
        <w:pageBreakBefore w:val="0"/>
        <w:widowControl w:val="0"/>
        <w:kinsoku/>
        <w:wordWrap/>
        <w:overflowPunct/>
        <w:topLinePunct w:val="0"/>
        <w:bidi w:val="0"/>
        <w:spacing w:after="0" w:line="360" w:lineRule="auto"/>
        <w:ind w:left="0" w:leftChars="0" w:firstLine="420" w:firstLineChars="200"/>
        <w:textAlignment w:val="auto"/>
        <w:outlineLvl w:val="9"/>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工程进度款支付：</w:t>
      </w:r>
      <w:r>
        <w:rPr>
          <w:rFonts w:hint="eastAsia" w:ascii="宋体" w:hAnsi="宋体" w:cs="宋体"/>
          <w:color w:val="000000" w:themeColor="text1"/>
          <w:sz w:val="21"/>
          <w:szCs w:val="21"/>
          <w:highlight w:val="none"/>
          <w:u w:val="single"/>
          <w:lang w:val="en-US" w:eastAsia="zh-CN"/>
          <w14:textFill>
            <w14:solidFill>
              <w14:schemeClr w14:val="tx1"/>
            </w14:solidFill>
          </w14:textFill>
        </w:rPr>
        <w:t>合同磋商时具体约定</w:t>
      </w:r>
      <w:r>
        <w:rPr>
          <w:rFonts w:hint="eastAsia" w:ascii="宋体" w:hAnsi="宋体" w:eastAsia="宋体" w:cs="宋体"/>
          <w:color w:val="000000" w:themeColor="text1"/>
          <w:sz w:val="21"/>
          <w:szCs w:val="21"/>
          <w:highlight w:val="none"/>
          <w:u w:val="none"/>
          <w14:textFill>
            <w14:solidFill>
              <w14:schemeClr w14:val="tx1"/>
            </w14:solidFill>
          </w14:textFill>
        </w:rPr>
        <w:t>。</w:t>
      </w:r>
    </w:p>
    <w:p w14:paraId="199B3538">
      <w:pPr>
        <w:keepNext w:val="0"/>
        <w:keepLines w:val="0"/>
        <w:pageBreakBefore w:val="0"/>
        <w:widowControl w:val="0"/>
        <w:kinsoku/>
        <w:wordWrap/>
        <w:overflowPunct/>
        <w:topLinePunct w:val="0"/>
        <w:bidi w:val="0"/>
        <w:spacing w:line="360" w:lineRule="auto"/>
        <w:ind w:firstLine="420" w:firstLineChars="200"/>
        <w:textAlignment w:val="auto"/>
        <w:outlineLvl w:val="9"/>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施工费用以转账方式划入承包人指定的下列账户：</w:t>
      </w:r>
    </w:p>
    <w:p w14:paraId="3EC05319">
      <w:pPr>
        <w:keepNext w:val="0"/>
        <w:keepLines w:val="0"/>
        <w:pageBreakBefore w:val="0"/>
        <w:widowControl w:val="0"/>
        <w:kinsoku/>
        <w:wordWrap/>
        <w:overflowPunct/>
        <w:topLinePunct w:val="0"/>
        <w:bidi w:val="0"/>
        <w:spacing w:line="360" w:lineRule="auto"/>
        <w:ind w:firstLine="420" w:firstLineChars="200"/>
        <w:textAlignment w:val="auto"/>
        <w:outlineLvl w:val="9"/>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单位名称：</w:t>
      </w:r>
      <w:r>
        <w:rPr>
          <w:rFonts w:hint="eastAsia" w:ascii="宋体" w:hAnsi="宋体" w:eastAsia="宋体" w:cs="宋体"/>
          <w:color w:val="auto"/>
          <w:sz w:val="21"/>
          <w:szCs w:val="21"/>
          <w:highlight w:val="none"/>
          <w:u w:val="single"/>
          <w:lang w:eastAsia="zh-CN"/>
        </w:rPr>
        <w:t xml:space="preserve"> </w:t>
      </w:r>
      <w:r>
        <w:rPr>
          <w:rFonts w:hint="eastAsia" w:ascii="宋体" w:hAnsi="宋体" w:eastAsia="宋体" w:cs="宋体"/>
          <w:color w:val="auto"/>
          <w:sz w:val="21"/>
          <w:szCs w:val="21"/>
          <w:highlight w:val="none"/>
          <w:u w:val="single"/>
          <w:lang w:val="en-US" w:eastAsia="zh-CN"/>
        </w:rPr>
        <w:t xml:space="preserve">             </w:t>
      </w:r>
      <w:r>
        <w:rPr>
          <w:rFonts w:hint="eastAsia" w:ascii="宋体" w:hAnsi="宋体" w:eastAsia="宋体" w:cs="宋体"/>
          <w:color w:val="auto"/>
          <w:sz w:val="21"/>
          <w:szCs w:val="21"/>
          <w:highlight w:val="none"/>
          <w:u w:val="single"/>
          <w:lang w:eastAsia="zh-CN"/>
        </w:rPr>
        <w:t xml:space="preserve">  </w:t>
      </w:r>
      <w:r>
        <w:rPr>
          <w:rFonts w:hint="eastAsia" w:ascii="宋体" w:hAnsi="宋体" w:eastAsia="宋体" w:cs="宋体"/>
          <w:color w:val="auto"/>
          <w:sz w:val="21"/>
          <w:szCs w:val="21"/>
          <w:highlight w:val="none"/>
        </w:rPr>
        <w:t>；</w:t>
      </w:r>
    </w:p>
    <w:p w14:paraId="4ABAF35D">
      <w:pPr>
        <w:keepNext w:val="0"/>
        <w:keepLines w:val="0"/>
        <w:pageBreakBefore w:val="0"/>
        <w:widowControl w:val="0"/>
        <w:kinsoku/>
        <w:wordWrap/>
        <w:overflowPunct/>
        <w:topLinePunct w:val="0"/>
        <w:bidi w:val="0"/>
        <w:spacing w:line="360" w:lineRule="auto"/>
        <w:ind w:firstLine="420" w:firstLineChars="200"/>
        <w:textAlignment w:val="auto"/>
        <w:outlineLvl w:val="9"/>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纳税人识别号：</w:t>
      </w:r>
      <w:r>
        <w:rPr>
          <w:rFonts w:hint="eastAsia" w:ascii="宋体" w:hAnsi="宋体" w:eastAsia="宋体" w:cs="宋体"/>
          <w:color w:val="auto"/>
          <w:sz w:val="21"/>
          <w:szCs w:val="21"/>
          <w:highlight w:val="none"/>
          <w:u w:val="single"/>
          <w:lang w:val="en-US" w:eastAsia="zh-CN"/>
        </w:rPr>
        <w:t xml:space="preserve">        </w:t>
      </w:r>
      <w:r>
        <w:rPr>
          <w:rFonts w:hint="eastAsia" w:ascii="宋体" w:hAnsi="宋体" w:eastAsia="宋体" w:cs="宋体"/>
          <w:color w:val="auto"/>
          <w:sz w:val="21"/>
          <w:szCs w:val="21"/>
          <w:highlight w:val="none"/>
        </w:rPr>
        <w:t>；</w:t>
      </w:r>
    </w:p>
    <w:p w14:paraId="61DC743C">
      <w:pPr>
        <w:keepNext w:val="0"/>
        <w:keepLines w:val="0"/>
        <w:pageBreakBefore w:val="0"/>
        <w:widowControl w:val="0"/>
        <w:kinsoku/>
        <w:wordWrap/>
        <w:overflowPunct/>
        <w:topLinePunct w:val="0"/>
        <w:bidi w:val="0"/>
        <w:spacing w:line="360" w:lineRule="auto"/>
        <w:ind w:firstLine="420" w:firstLineChars="200"/>
        <w:textAlignment w:val="auto"/>
        <w:outlineLvl w:val="9"/>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单位地址：</w:t>
      </w:r>
      <w:r>
        <w:rPr>
          <w:rFonts w:hint="eastAsia" w:ascii="宋体" w:hAnsi="宋体" w:eastAsia="宋体" w:cs="宋体"/>
          <w:color w:val="auto"/>
          <w:sz w:val="21"/>
          <w:szCs w:val="21"/>
          <w:highlight w:val="none"/>
          <w:u w:val="single"/>
          <w:lang w:val="en-US" w:eastAsia="zh-CN"/>
        </w:rPr>
        <w:t xml:space="preserve">        </w:t>
      </w:r>
      <w:r>
        <w:rPr>
          <w:rFonts w:hint="eastAsia" w:ascii="宋体" w:hAnsi="宋体" w:eastAsia="宋体" w:cs="宋体"/>
          <w:color w:val="auto"/>
          <w:sz w:val="21"/>
          <w:szCs w:val="21"/>
          <w:highlight w:val="none"/>
        </w:rPr>
        <w:t>；</w:t>
      </w:r>
    </w:p>
    <w:p w14:paraId="37D5715F">
      <w:pPr>
        <w:keepNext w:val="0"/>
        <w:keepLines w:val="0"/>
        <w:pageBreakBefore w:val="0"/>
        <w:widowControl w:val="0"/>
        <w:kinsoku/>
        <w:wordWrap/>
        <w:overflowPunct/>
        <w:topLinePunct w:val="0"/>
        <w:bidi w:val="0"/>
        <w:spacing w:line="360" w:lineRule="auto"/>
        <w:ind w:firstLine="420" w:firstLineChars="200"/>
        <w:textAlignment w:val="auto"/>
        <w:outlineLvl w:val="9"/>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电话：</w:t>
      </w:r>
      <w:r>
        <w:rPr>
          <w:rFonts w:hint="eastAsia" w:ascii="宋体" w:hAnsi="宋体" w:eastAsia="宋体" w:cs="宋体"/>
          <w:color w:val="auto"/>
          <w:sz w:val="21"/>
          <w:szCs w:val="21"/>
          <w:highlight w:val="none"/>
          <w:u w:val="single"/>
          <w:lang w:val="en-US" w:eastAsia="zh-CN"/>
        </w:rPr>
        <w:t xml:space="preserve">        </w:t>
      </w:r>
      <w:r>
        <w:rPr>
          <w:rFonts w:hint="eastAsia" w:ascii="宋体" w:hAnsi="宋体" w:eastAsia="宋体" w:cs="宋体"/>
          <w:color w:val="auto"/>
          <w:sz w:val="21"/>
          <w:szCs w:val="21"/>
          <w:highlight w:val="none"/>
        </w:rPr>
        <w:t>；</w:t>
      </w:r>
    </w:p>
    <w:p w14:paraId="3811E726">
      <w:pPr>
        <w:keepNext w:val="0"/>
        <w:keepLines w:val="0"/>
        <w:pageBreakBefore w:val="0"/>
        <w:widowControl w:val="0"/>
        <w:kinsoku/>
        <w:wordWrap/>
        <w:overflowPunct/>
        <w:topLinePunct w:val="0"/>
        <w:bidi w:val="0"/>
        <w:spacing w:line="360" w:lineRule="auto"/>
        <w:ind w:firstLine="420" w:firstLineChars="200"/>
        <w:textAlignment w:val="auto"/>
        <w:outlineLvl w:val="9"/>
        <w:rPr>
          <w:rFonts w:hint="eastAsia" w:ascii="宋体" w:hAnsi="宋体" w:eastAsia="宋体" w:cs="宋体"/>
          <w:color w:val="auto"/>
          <w:sz w:val="21"/>
          <w:szCs w:val="21"/>
          <w:highlight w:val="none"/>
        </w:rPr>
      </w:pPr>
      <w:r>
        <w:rPr>
          <w:rFonts w:hint="eastAsia" w:ascii="宋体" w:hAnsi="宋体" w:cs="宋体"/>
          <w:color w:val="auto"/>
          <w:sz w:val="21"/>
          <w:szCs w:val="21"/>
          <w:highlight w:val="none"/>
          <w:lang w:eastAsia="zh-CN"/>
        </w:rPr>
        <w:t>账号</w:t>
      </w:r>
      <w:r>
        <w:rPr>
          <w:rFonts w:hint="eastAsia" w:ascii="宋体" w:hAnsi="宋体" w:eastAsia="宋体" w:cs="宋体"/>
          <w:color w:val="auto"/>
          <w:sz w:val="21"/>
          <w:szCs w:val="21"/>
          <w:highlight w:val="none"/>
        </w:rPr>
        <w:t>：</w:t>
      </w:r>
      <w:r>
        <w:rPr>
          <w:rFonts w:hint="eastAsia" w:ascii="宋体" w:hAnsi="宋体" w:eastAsia="宋体" w:cs="宋体"/>
          <w:color w:val="auto"/>
          <w:sz w:val="21"/>
          <w:szCs w:val="21"/>
          <w:highlight w:val="none"/>
          <w:u w:val="single"/>
          <w:lang w:val="en-US" w:eastAsia="zh-CN"/>
        </w:rPr>
        <w:t xml:space="preserve">        </w:t>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rPr>
        <w:t>；</w:t>
      </w:r>
    </w:p>
    <w:p w14:paraId="5B7EAC1B">
      <w:pPr>
        <w:keepNext w:val="0"/>
        <w:keepLines w:val="0"/>
        <w:pageBreakBefore w:val="0"/>
        <w:widowControl w:val="0"/>
        <w:kinsoku/>
        <w:wordWrap/>
        <w:overflowPunct/>
        <w:topLinePunct w:val="0"/>
        <w:bidi w:val="0"/>
        <w:spacing w:line="360" w:lineRule="auto"/>
        <w:ind w:firstLine="420" w:firstLineChars="200"/>
        <w:textAlignment w:val="auto"/>
        <w:outlineLvl w:val="9"/>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rPr>
        <w:t>开户银行：</w:t>
      </w:r>
      <w:r>
        <w:rPr>
          <w:rFonts w:hint="eastAsia" w:ascii="宋体" w:hAnsi="宋体" w:eastAsia="宋体" w:cs="宋体"/>
          <w:color w:val="auto"/>
          <w:sz w:val="21"/>
          <w:szCs w:val="21"/>
          <w:highlight w:val="none"/>
          <w:u w:val="single"/>
          <w:lang w:val="en-US" w:eastAsia="zh-CN"/>
        </w:rPr>
        <w:t xml:space="preserve">        </w:t>
      </w:r>
      <w:r>
        <w:rPr>
          <w:rFonts w:hint="eastAsia" w:ascii="宋体" w:hAnsi="宋体" w:eastAsia="宋体" w:cs="宋体"/>
          <w:color w:val="auto"/>
          <w:sz w:val="21"/>
          <w:szCs w:val="21"/>
          <w:highlight w:val="none"/>
        </w:rPr>
        <w:t>；</w:t>
      </w:r>
    </w:p>
    <w:p w14:paraId="71120525">
      <w:pPr>
        <w:keepNext w:val="0"/>
        <w:keepLines w:val="0"/>
        <w:pageBreakBefore w:val="0"/>
        <w:widowControl w:val="0"/>
        <w:numPr>
          <w:ilvl w:val="0"/>
          <w:numId w:val="18"/>
        </w:numPr>
        <w:tabs>
          <w:tab w:val="left" w:pos="1280"/>
          <w:tab w:val="clear" w:pos="210"/>
        </w:tabs>
        <w:kinsoku/>
        <w:wordWrap/>
        <w:overflowPunct/>
        <w:topLinePunct w:val="0"/>
        <w:bidi w:val="0"/>
        <w:spacing w:line="360" w:lineRule="auto"/>
        <w:ind w:left="0" w:leftChars="0" w:firstLine="420" w:firstLineChars="200"/>
        <w:textAlignment w:val="auto"/>
        <w:outlineLvl w:val="9"/>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进度付款申请单的编制</w:t>
      </w:r>
    </w:p>
    <w:p w14:paraId="740C1738">
      <w:pPr>
        <w:pStyle w:val="15"/>
        <w:keepNext w:val="0"/>
        <w:keepLines w:val="0"/>
        <w:pageBreakBefore w:val="0"/>
        <w:widowControl w:val="0"/>
        <w:kinsoku/>
        <w:wordWrap/>
        <w:overflowPunct/>
        <w:topLinePunct w:val="0"/>
        <w:bidi w:val="0"/>
        <w:spacing w:after="0" w:line="360" w:lineRule="auto"/>
        <w:ind w:left="0" w:leftChars="0" w:firstLine="420" w:firstLineChars="200"/>
        <w:textAlignment w:val="auto"/>
        <w:outlineLvl w:val="9"/>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关于进度付款申请单编制的约定：具体按发包人的相关管理办法执行。 </w:t>
      </w:r>
    </w:p>
    <w:bookmarkEnd w:id="726"/>
    <w:bookmarkEnd w:id="727"/>
    <w:bookmarkEnd w:id="728"/>
    <w:bookmarkEnd w:id="729"/>
    <w:bookmarkEnd w:id="730"/>
    <w:bookmarkEnd w:id="731"/>
    <w:bookmarkEnd w:id="732"/>
    <w:bookmarkEnd w:id="733"/>
    <w:bookmarkEnd w:id="734"/>
    <w:bookmarkEnd w:id="735"/>
    <w:bookmarkEnd w:id="736"/>
    <w:bookmarkEnd w:id="737"/>
    <w:bookmarkEnd w:id="738"/>
    <w:bookmarkEnd w:id="739"/>
    <w:p w14:paraId="39E97C10">
      <w:pPr>
        <w:keepNext w:val="0"/>
        <w:keepLines w:val="0"/>
        <w:pageBreakBefore w:val="0"/>
        <w:widowControl w:val="0"/>
        <w:numPr>
          <w:ilvl w:val="0"/>
          <w:numId w:val="18"/>
        </w:numPr>
        <w:tabs>
          <w:tab w:val="left" w:pos="1280"/>
          <w:tab w:val="clear" w:pos="210"/>
        </w:tabs>
        <w:kinsoku/>
        <w:wordWrap/>
        <w:overflowPunct/>
        <w:topLinePunct w:val="0"/>
        <w:bidi w:val="0"/>
        <w:spacing w:line="360" w:lineRule="auto"/>
        <w:ind w:left="0" w:leftChars="0" w:firstLine="420" w:firstLineChars="200"/>
        <w:textAlignment w:val="auto"/>
        <w:outlineLvl w:val="9"/>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进度付款申请单的提交</w:t>
      </w:r>
    </w:p>
    <w:p w14:paraId="0AC4E40E">
      <w:pPr>
        <w:pStyle w:val="15"/>
        <w:keepNext w:val="0"/>
        <w:keepLines w:val="0"/>
        <w:pageBreakBefore w:val="0"/>
        <w:widowControl w:val="0"/>
        <w:kinsoku/>
        <w:wordWrap/>
        <w:overflowPunct/>
        <w:topLinePunct w:val="0"/>
        <w:bidi w:val="0"/>
        <w:spacing w:after="0" w:line="360" w:lineRule="auto"/>
        <w:ind w:left="0" w:leftChars="0" w:firstLine="420" w:firstLineChars="200"/>
        <w:textAlignment w:val="auto"/>
        <w:outlineLvl w:val="9"/>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单价合同进度付款申请单提交的约定：</w:t>
      </w:r>
    </w:p>
    <w:p w14:paraId="253ACD86">
      <w:pPr>
        <w:pStyle w:val="15"/>
        <w:keepNext w:val="0"/>
        <w:keepLines w:val="0"/>
        <w:pageBreakBefore w:val="0"/>
        <w:widowControl w:val="0"/>
        <w:kinsoku/>
        <w:wordWrap/>
        <w:overflowPunct/>
        <w:topLinePunct w:val="0"/>
        <w:bidi w:val="0"/>
        <w:spacing w:after="0" w:line="360" w:lineRule="auto"/>
        <w:ind w:left="0" w:leftChars="0" w:firstLine="420" w:firstLineChars="200"/>
        <w:textAlignment w:val="auto"/>
        <w:outlineLvl w:val="9"/>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除按通用条款12.4.3（1）条执行外，在支付工程进度款时，承包人应遵照发包人付款审批程序办理审批手续，按照发包人要求提供相关资料。使用银行贷款的资金按银行的要求审批程序办理。</w:t>
      </w:r>
    </w:p>
    <w:p w14:paraId="15247A25">
      <w:pPr>
        <w:pStyle w:val="15"/>
        <w:keepNext w:val="0"/>
        <w:keepLines w:val="0"/>
        <w:pageBreakBefore w:val="0"/>
        <w:widowControl w:val="0"/>
        <w:numPr>
          <w:ilvl w:val="0"/>
          <w:numId w:val="19"/>
        </w:numPr>
        <w:tabs>
          <w:tab w:val="left" w:pos="1080"/>
        </w:tabs>
        <w:kinsoku/>
        <w:wordWrap/>
        <w:overflowPunct/>
        <w:topLinePunct w:val="0"/>
        <w:bidi w:val="0"/>
        <w:spacing w:after="0" w:line="360" w:lineRule="auto"/>
        <w:ind w:left="0" w:leftChars="0" w:right="0" w:firstLine="420" w:firstLineChars="200"/>
        <w:textAlignment w:val="auto"/>
        <w:outlineLvl w:val="9"/>
        <w:rPr>
          <w:rFonts w:hint="eastAsia" w:ascii="宋体" w:hAnsi="宋体" w:eastAsia="宋体" w:cs="宋体"/>
          <w:b w:val="0"/>
          <w:color w:val="auto"/>
          <w:sz w:val="21"/>
          <w:szCs w:val="21"/>
          <w:highlight w:val="none"/>
        </w:rPr>
      </w:pPr>
      <w:r>
        <w:rPr>
          <w:rFonts w:hint="eastAsia" w:ascii="宋体" w:hAnsi="宋体" w:eastAsia="宋体" w:cs="宋体"/>
          <w:color w:val="auto"/>
          <w:sz w:val="21"/>
          <w:szCs w:val="21"/>
          <w:highlight w:val="none"/>
        </w:rPr>
        <w:t>总价合同进度付款申请单提交的约定：</w:t>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rPr>
        <w:t>。</w:t>
      </w:r>
    </w:p>
    <w:p w14:paraId="3C7E907D">
      <w:pPr>
        <w:pStyle w:val="15"/>
        <w:keepNext w:val="0"/>
        <w:keepLines w:val="0"/>
        <w:pageBreakBefore w:val="0"/>
        <w:widowControl w:val="0"/>
        <w:numPr>
          <w:ilvl w:val="0"/>
          <w:numId w:val="19"/>
        </w:numPr>
        <w:tabs>
          <w:tab w:val="left" w:pos="1080"/>
        </w:tabs>
        <w:kinsoku/>
        <w:wordWrap/>
        <w:overflowPunct/>
        <w:topLinePunct w:val="0"/>
        <w:bidi w:val="0"/>
        <w:spacing w:after="0" w:line="360" w:lineRule="auto"/>
        <w:ind w:left="0" w:leftChars="0" w:right="0" w:firstLine="420" w:firstLineChars="200"/>
        <w:textAlignment w:val="auto"/>
        <w:outlineLvl w:val="9"/>
        <w:rPr>
          <w:rFonts w:hint="eastAsia" w:ascii="宋体" w:hAnsi="宋体" w:eastAsia="宋体" w:cs="宋体"/>
          <w:b w:val="0"/>
          <w:color w:val="auto"/>
          <w:sz w:val="21"/>
          <w:szCs w:val="21"/>
          <w:highlight w:val="none"/>
        </w:rPr>
      </w:pPr>
      <w:r>
        <w:rPr>
          <w:rFonts w:hint="eastAsia" w:ascii="宋体" w:hAnsi="宋体" w:eastAsia="宋体" w:cs="宋体"/>
          <w:color w:val="auto"/>
          <w:sz w:val="21"/>
          <w:szCs w:val="21"/>
          <w:highlight w:val="none"/>
        </w:rPr>
        <w:t>其他价格形式合同进度付款申请单提交的约定：</w:t>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rPr>
        <w:t>。</w:t>
      </w:r>
    </w:p>
    <w:p w14:paraId="681087F6">
      <w:pPr>
        <w:keepNext w:val="0"/>
        <w:keepLines w:val="0"/>
        <w:pageBreakBefore w:val="0"/>
        <w:widowControl w:val="0"/>
        <w:numPr>
          <w:ilvl w:val="0"/>
          <w:numId w:val="18"/>
        </w:numPr>
        <w:tabs>
          <w:tab w:val="left" w:pos="1280"/>
          <w:tab w:val="clear" w:pos="210"/>
        </w:tabs>
        <w:kinsoku/>
        <w:wordWrap/>
        <w:overflowPunct/>
        <w:topLinePunct w:val="0"/>
        <w:bidi w:val="0"/>
        <w:spacing w:line="360" w:lineRule="auto"/>
        <w:ind w:left="0" w:leftChars="0" w:firstLine="420" w:firstLineChars="200"/>
        <w:textAlignment w:val="auto"/>
        <w:outlineLvl w:val="9"/>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进度款审核和支付</w:t>
      </w:r>
    </w:p>
    <w:p w14:paraId="587E6C9C">
      <w:pPr>
        <w:pStyle w:val="15"/>
        <w:keepNext w:val="0"/>
        <w:keepLines w:val="0"/>
        <w:pageBreakBefore w:val="0"/>
        <w:widowControl w:val="0"/>
        <w:numPr>
          <w:ilvl w:val="0"/>
          <w:numId w:val="20"/>
        </w:numPr>
        <w:tabs>
          <w:tab w:val="left" w:pos="1080"/>
        </w:tabs>
        <w:kinsoku/>
        <w:wordWrap/>
        <w:overflowPunct/>
        <w:topLinePunct w:val="0"/>
        <w:bidi w:val="0"/>
        <w:spacing w:after="0" w:line="360" w:lineRule="auto"/>
        <w:ind w:left="0" w:leftChars="0" w:right="0" w:firstLine="420" w:firstLineChars="200"/>
        <w:textAlignment w:val="auto"/>
        <w:outlineLvl w:val="9"/>
        <w:rPr>
          <w:rFonts w:hint="eastAsia" w:ascii="宋体" w:hAnsi="宋体" w:eastAsia="宋体" w:cs="宋体"/>
          <w:b w:val="0"/>
          <w:color w:val="auto"/>
          <w:sz w:val="21"/>
          <w:szCs w:val="21"/>
          <w:highlight w:val="none"/>
        </w:rPr>
      </w:pPr>
      <w:r>
        <w:rPr>
          <w:rFonts w:hint="eastAsia" w:ascii="宋体" w:hAnsi="宋体" w:eastAsia="宋体" w:cs="宋体"/>
          <w:color w:val="auto"/>
          <w:sz w:val="21"/>
          <w:szCs w:val="21"/>
          <w:highlight w:val="none"/>
        </w:rPr>
        <w:t>监理人审查并报送发包人的期限：</w:t>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rPr>
        <w:t>。</w:t>
      </w:r>
    </w:p>
    <w:p w14:paraId="476FBE5B">
      <w:pPr>
        <w:pStyle w:val="15"/>
        <w:keepNext w:val="0"/>
        <w:keepLines w:val="0"/>
        <w:pageBreakBefore w:val="0"/>
        <w:widowControl w:val="0"/>
        <w:kinsoku/>
        <w:wordWrap/>
        <w:overflowPunct/>
        <w:topLinePunct w:val="0"/>
        <w:bidi w:val="0"/>
        <w:spacing w:after="0" w:line="360" w:lineRule="auto"/>
        <w:ind w:left="0" w:leftChars="0" w:firstLine="420" w:firstLineChars="200"/>
        <w:textAlignment w:val="auto"/>
        <w:outlineLvl w:val="9"/>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发包人完成审批并签发进度款支付证书的期限：</w:t>
      </w:r>
    </w:p>
    <w:p w14:paraId="254EDA9C">
      <w:pPr>
        <w:pStyle w:val="15"/>
        <w:keepNext w:val="0"/>
        <w:keepLines w:val="0"/>
        <w:pageBreakBefore w:val="0"/>
        <w:widowControl w:val="0"/>
        <w:kinsoku/>
        <w:wordWrap/>
        <w:overflowPunct/>
        <w:topLinePunct w:val="0"/>
        <w:bidi w:val="0"/>
        <w:spacing w:after="0" w:line="360" w:lineRule="auto"/>
        <w:ind w:left="0" w:leftChars="0" w:firstLine="420" w:firstLineChars="200"/>
        <w:textAlignment w:val="auto"/>
        <w:outlineLvl w:val="9"/>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按通用条款第12.4.4条执行。</w:t>
      </w:r>
    </w:p>
    <w:p w14:paraId="176FC056">
      <w:pPr>
        <w:pStyle w:val="15"/>
        <w:keepNext w:val="0"/>
        <w:keepLines w:val="0"/>
        <w:pageBreakBefore w:val="0"/>
        <w:widowControl w:val="0"/>
        <w:numPr>
          <w:ilvl w:val="0"/>
          <w:numId w:val="20"/>
        </w:numPr>
        <w:tabs>
          <w:tab w:val="left" w:pos="1080"/>
        </w:tabs>
        <w:kinsoku/>
        <w:wordWrap/>
        <w:overflowPunct/>
        <w:topLinePunct w:val="0"/>
        <w:bidi w:val="0"/>
        <w:spacing w:after="0" w:line="360" w:lineRule="auto"/>
        <w:ind w:left="0" w:leftChars="0" w:firstLine="420" w:firstLineChars="200"/>
        <w:textAlignment w:val="auto"/>
        <w:outlineLvl w:val="9"/>
        <w:rPr>
          <w:rFonts w:hint="eastAsia" w:ascii="宋体" w:hAnsi="宋体" w:eastAsia="宋体" w:cs="宋体"/>
          <w:b w:val="0"/>
          <w:color w:val="auto"/>
          <w:sz w:val="21"/>
          <w:szCs w:val="21"/>
          <w:highlight w:val="none"/>
        </w:rPr>
      </w:pPr>
      <w:r>
        <w:rPr>
          <w:rFonts w:hint="eastAsia" w:ascii="宋体" w:hAnsi="宋体" w:eastAsia="宋体" w:cs="宋体"/>
          <w:color w:val="auto"/>
          <w:sz w:val="21"/>
          <w:szCs w:val="21"/>
          <w:highlight w:val="none"/>
        </w:rPr>
        <w:t>发包人支付进度款的期限：</w:t>
      </w:r>
      <w:r>
        <w:rPr>
          <w:rFonts w:hint="eastAsia" w:ascii="宋体" w:hAnsi="宋体" w:eastAsia="宋体" w:cs="宋体"/>
          <w:color w:val="auto"/>
          <w:sz w:val="21"/>
          <w:szCs w:val="21"/>
          <w:highlight w:val="none"/>
          <w:u w:val="single"/>
        </w:rPr>
        <w:t>按通用条款第12.4.4条执行</w:t>
      </w:r>
      <w:r>
        <w:rPr>
          <w:rFonts w:hint="eastAsia" w:ascii="宋体" w:hAnsi="宋体" w:eastAsia="宋体" w:cs="宋体"/>
          <w:color w:val="auto"/>
          <w:sz w:val="21"/>
          <w:szCs w:val="21"/>
          <w:highlight w:val="none"/>
        </w:rPr>
        <w:t>。</w:t>
      </w:r>
    </w:p>
    <w:p w14:paraId="5A96F8D6">
      <w:pPr>
        <w:pStyle w:val="15"/>
        <w:keepNext w:val="0"/>
        <w:keepLines w:val="0"/>
        <w:pageBreakBefore w:val="0"/>
        <w:widowControl w:val="0"/>
        <w:kinsoku/>
        <w:wordWrap/>
        <w:overflowPunct/>
        <w:topLinePunct w:val="0"/>
        <w:bidi w:val="0"/>
        <w:spacing w:after="0" w:line="360" w:lineRule="auto"/>
        <w:ind w:left="0" w:leftChars="0" w:firstLine="420" w:firstLineChars="200"/>
        <w:textAlignment w:val="auto"/>
        <w:outlineLvl w:val="9"/>
        <w:rPr>
          <w:rFonts w:hint="eastAsia" w:ascii="宋体" w:hAnsi="宋体" w:eastAsia="宋体" w:cs="宋体"/>
          <w:color w:val="auto"/>
          <w:sz w:val="21"/>
          <w:szCs w:val="21"/>
          <w:highlight w:val="none"/>
          <w:u w:val="single"/>
        </w:rPr>
      </w:pPr>
      <w:r>
        <w:rPr>
          <w:rFonts w:hint="eastAsia" w:ascii="宋体" w:hAnsi="宋体" w:eastAsia="宋体" w:cs="宋体"/>
          <w:color w:val="auto"/>
          <w:sz w:val="21"/>
          <w:szCs w:val="21"/>
          <w:highlight w:val="none"/>
        </w:rPr>
        <w:t>发包人逾期支付进度款的违约金的计算方式：</w:t>
      </w:r>
      <w:r>
        <w:rPr>
          <w:rFonts w:hint="eastAsia" w:ascii="宋体" w:hAnsi="宋体" w:eastAsia="宋体" w:cs="宋体"/>
          <w:color w:val="auto"/>
          <w:sz w:val="21"/>
          <w:szCs w:val="21"/>
          <w:highlight w:val="none"/>
          <w:u w:val="single"/>
        </w:rPr>
        <w:t xml:space="preserve">   不支付相应违约金。     </w:t>
      </w:r>
    </w:p>
    <w:p w14:paraId="6FF2EA74">
      <w:pPr>
        <w:keepNext w:val="0"/>
        <w:keepLines w:val="0"/>
        <w:pageBreakBefore w:val="0"/>
        <w:widowControl w:val="0"/>
        <w:numPr>
          <w:ilvl w:val="0"/>
          <w:numId w:val="18"/>
        </w:numPr>
        <w:tabs>
          <w:tab w:val="left" w:pos="1280"/>
          <w:tab w:val="clear" w:pos="210"/>
        </w:tabs>
        <w:kinsoku/>
        <w:wordWrap/>
        <w:overflowPunct/>
        <w:topLinePunct w:val="0"/>
        <w:bidi w:val="0"/>
        <w:spacing w:line="360" w:lineRule="auto"/>
        <w:ind w:left="0" w:leftChars="0" w:firstLine="420" w:firstLineChars="200"/>
        <w:textAlignment w:val="auto"/>
        <w:outlineLvl w:val="9"/>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支付分解表的编制</w:t>
      </w:r>
    </w:p>
    <w:p w14:paraId="5E79B530">
      <w:pPr>
        <w:pStyle w:val="15"/>
        <w:keepNext w:val="0"/>
        <w:keepLines w:val="0"/>
        <w:pageBreakBefore w:val="0"/>
        <w:widowControl w:val="0"/>
        <w:numPr>
          <w:ilvl w:val="0"/>
          <w:numId w:val="21"/>
        </w:numPr>
        <w:tabs>
          <w:tab w:val="left" w:pos="840"/>
        </w:tabs>
        <w:kinsoku/>
        <w:wordWrap/>
        <w:overflowPunct/>
        <w:topLinePunct w:val="0"/>
        <w:bidi w:val="0"/>
        <w:spacing w:after="0" w:line="360" w:lineRule="auto"/>
        <w:ind w:left="0" w:leftChars="0" w:right="0" w:firstLine="420" w:firstLineChars="200"/>
        <w:textAlignment w:val="auto"/>
        <w:outlineLvl w:val="9"/>
        <w:rPr>
          <w:rFonts w:hint="eastAsia" w:ascii="宋体" w:hAnsi="宋体" w:eastAsia="宋体" w:cs="宋体"/>
          <w:b w:val="0"/>
          <w:color w:val="auto"/>
          <w:sz w:val="21"/>
          <w:szCs w:val="21"/>
          <w:highlight w:val="none"/>
        </w:rPr>
      </w:pPr>
      <w:r>
        <w:rPr>
          <w:rFonts w:hint="eastAsia" w:ascii="宋体" w:hAnsi="宋体" w:eastAsia="宋体" w:cs="宋体"/>
          <w:color w:val="auto"/>
          <w:sz w:val="21"/>
          <w:szCs w:val="21"/>
          <w:highlight w:val="none"/>
        </w:rPr>
        <w:t>总价合同支付分解表的编制与审批：</w:t>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u w:val="single"/>
          <w:lang w:val="en-US" w:eastAsia="zh-CN"/>
        </w:rPr>
        <w:t>/</w:t>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rPr>
        <w:t>。</w:t>
      </w:r>
    </w:p>
    <w:p w14:paraId="603BEEEA">
      <w:pPr>
        <w:pStyle w:val="15"/>
        <w:keepNext w:val="0"/>
        <w:keepLines w:val="0"/>
        <w:pageBreakBefore w:val="0"/>
        <w:widowControl w:val="0"/>
        <w:numPr>
          <w:ilvl w:val="0"/>
          <w:numId w:val="21"/>
        </w:numPr>
        <w:tabs>
          <w:tab w:val="left" w:pos="840"/>
        </w:tabs>
        <w:kinsoku/>
        <w:wordWrap/>
        <w:overflowPunct/>
        <w:topLinePunct w:val="0"/>
        <w:bidi w:val="0"/>
        <w:spacing w:after="0" w:line="360" w:lineRule="auto"/>
        <w:ind w:left="0" w:leftChars="0" w:firstLine="420" w:firstLineChars="200"/>
        <w:textAlignment w:val="auto"/>
        <w:outlineLvl w:val="9"/>
        <w:rPr>
          <w:rFonts w:hint="eastAsia" w:ascii="宋体" w:hAnsi="宋体" w:eastAsia="宋体" w:cs="宋体"/>
          <w:b w:val="0"/>
          <w:color w:val="auto"/>
          <w:sz w:val="21"/>
          <w:szCs w:val="21"/>
          <w:highlight w:val="none"/>
        </w:rPr>
      </w:pPr>
      <w:r>
        <w:rPr>
          <w:rFonts w:hint="eastAsia" w:ascii="宋体" w:hAnsi="宋体" w:eastAsia="宋体" w:cs="宋体"/>
          <w:color w:val="auto"/>
          <w:sz w:val="21"/>
          <w:szCs w:val="21"/>
          <w:highlight w:val="none"/>
        </w:rPr>
        <w:t>单价合同的总价项目支付分解表的编制与审批：除按通用条款12.4.3（1）条执行外，按发包人《建设工程施工进度验工计价管理办法》等相关管理规定执行。</w:t>
      </w:r>
    </w:p>
    <w:p w14:paraId="3254DD08">
      <w:pPr>
        <w:keepNext w:val="0"/>
        <w:keepLines w:val="0"/>
        <w:pageBreakBefore w:val="0"/>
        <w:widowControl w:val="0"/>
        <w:numPr>
          <w:ilvl w:val="0"/>
          <w:numId w:val="15"/>
        </w:numPr>
        <w:tabs>
          <w:tab w:val="left" w:pos="1140"/>
          <w:tab w:val="clear" w:pos="210"/>
        </w:tabs>
        <w:kinsoku/>
        <w:wordWrap/>
        <w:overflowPunct/>
        <w:topLinePunct w:val="0"/>
        <w:bidi w:val="0"/>
        <w:spacing w:line="360" w:lineRule="auto"/>
        <w:ind w:left="0" w:leftChars="0" w:firstLine="420" w:firstLineChars="200"/>
        <w:textAlignment w:val="auto"/>
        <w:outlineLvl w:val="9"/>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工程款支付的其他约定：</w:t>
      </w:r>
    </w:p>
    <w:bookmarkEnd w:id="412"/>
    <w:p w14:paraId="380BA189">
      <w:pPr>
        <w:keepNext w:val="0"/>
        <w:keepLines w:val="0"/>
        <w:pageBreakBefore w:val="0"/>
        <w:widowControl w:val="0"/>
        <w:kinsoku/>
        <w:wordWrap/>
        <w:overflowPunct/>
        <w:topLinePunct w:val="0"/>
        <w:bidi w:val="0"/>
        <w:spacing w:line="360" w:lineRule="auto"/>
        <w:ind w:firstLine="422" w:firstLineChars="200"/>
        <w:textAlignment w:val="auto"/>
        <w:outlineLvl w:val="9"/>
        <w:rPr>
          <w:rFonts w:hint="eastAsia" w:ascii="宋体" w:hAnsi="宋体" w:eastAsia="宋体" w:cs="宋体"/>
          <w:b/>
          <w:bCs/>
          <w:color w:val="auto"/>
          <w:sz w:val="21"/>
          <w:szCs w:val="21"/>
          <w:highlight w:val="none"/>
          <w:u w:val="single"/>
        </w:rPr>
      </w:pPr>
      <w:r>
        <w:rPr>
          <w:rFonts w:hint="eastAsia" w:ascii="宋体" w:hAnsi="宋体" w:eastAsia="宋体" w:cs="宋体"/>
          <w:b/>
          <w:bCs/>
          <w:color w:val="auto"/>
          <w:sz w:val="21"/>
          <w:szCs w:val="21"/>
          <w:highlight w:val="none"/>
          <w:u w:val="single"/>
        </w:rPr>
        <w:t xml:space="preserve">12.5.1 其他：   </w:t>
      </w:r>
      <w:r>
        <w:rPr>
          <w:rFonts w:hint="eastAsia" w:ascii="宋体" w:hAnsi="宋体" w:eastAsia="宋体" w:cs="宋体"/>
          <w:b/>
          <w:bCs/>
          <w:color w:val="auto"/>
          <w:sz w:val="21"/>
          <w:szCs w:val="21"/>
          <w:highlight w:val="none"/>
          <w:u w:val="single"/>
          <w:lang w:val="en-US" w:eastAsia="zh-CN"/>
        </w:rPr>
        <w:t>/</w:t>
      </w:r>
      <w:r>
        <w:rPr>
          <w:rFonts w:hint="eastAsia" w:ascii="宋体" w:hAnsi="宋体" w:eastAsia="宋体" w:cs="宋体"/>
          <w:b/>
          <w:bCs/>
          <w:color w:val="auto"/>
          <w:sz w:val="21"/>
          <w:szCs w:val="21"/>
          <w:highlight w:val="none"/>
          <w:u w:val="single"/>
        </w:rPr>
        <w:t xml:space="preserve">        ；</w:t>
      </w:r>
    </w:p>
    <w:p w14:paraId="45B836E7">
      <w:pPr>
        <w:keepNext w:val="0"/>
        <w:keepLines w:val="0"/>
        <w:pageBreakBefore w:val="0"/>
        <w:widowControl w:val="0"/>
        <w:kinsoku/>
        <w:wordWrap/>
        <w:overflowPunct/>
        <w:topLinePunct w:val="0"/>
        <w:bidi w:val="0"/>
        <w:spacing w:line="360" w:lineRule="auto"/>
        <w:ind w:firstLine="422" w:firstLineChars="200"/>
        <w:textAlignment w:val="auto"/>
        <w:outlineLvl w:val="9"/>
        <w:rPr>
          <w:rFonts w:hint="eastAsia" w:ascii="宋体" w:hAnsi="宋体" w:eastAsia="宋体" w:cs="宋体"/>
          <w:b/>
          <w:bCs/>
          <w:color w:val="auto"/>
          <w:sz w:val="21"/>
          <w:szCs w:val="21"/>
          <w:highlight w:val="none"/>
          <w:u w:val="single"/>
        </w:rPr>
      </w:pPr>
      <w:r>
        <w:rPr>
          <w:rFonts w:hint="eastAsia" w:ascii="宋体" w:hAnsi="宋体" w:eastAsia="宋体" w:cs="宋体"/>
          <w:b/>
          <w:bCs/>
          <w:color w:val="auto"/>
          <w:sz w:val="21"/>
          <w:szCs w:val="21"/>
          <w:highlight w:val="none"/>
          <w:u w:val="single"/>
        </w:rPr>
        <w:t>12.5.2 发票要求：承包人应按发包人要求开具相应发票，若承包人提供虚假发票，承包人自行承担相应责任并应向发包人支付票面金额25%的违约金。</w:t>
      </w:r>
    </w:p>
    <w:p w14:paraId="502B5F3E">
      <w:pPr>
        <w:keepNext w:val="0"/>
        <w:keepLines w:val="0"/>
        <w:pageBreakBefore w:val="0"/>
        <w:widowControl w:val="0"/>
        <w:kinsoku/>
        <w:wordWrap/>
        <w:overflowPunct/>
        <w:topLinePunct w:val="0"/>
        <w:bidi w:val="0"/>
        <w:spacing w:line="360" w:lineRule="auto"/>
        <w:ind w:firstLine="422" w:firstLineChars="200"/>
        <w:textAlignment w:val="auto"/>
        <w:outlineLvl w:val="9"/>
        <w:rPr>
          <w:rFonts w:hint="eastAsia" w:ascii="宋体" w:hAnsi="宋体" w:eastAsia="宋体" w:cs="宋体"/>
          <w:b/>
          <w:bCs/>
          <w:color w:val="auto"/>
          <w:sz w:val="21"/>
          <w:szCs w:val="21"/>
          <w:highlight w:val="none"/>
          <w:u w:val="single"/>
        </w:rPr>
      </w:pPr>
      <w:r>
        <w:rPr>
          <w:rFonts w:hint="eastAsia" w:ascii="宋体" w:hAnsi="宋体" w:eastAsia="宋体" w:cs="宋体"/>
          <w:b/>
          <w:bCs/>
          <w:color w:val="auto"/>
          <w:sz w:val="21"/>
          <w:szCs w:val="21"/>
          <w:highlight w:val="none"/>
          <w:u w:val="single"/>
        </w:rPr>
        <w:t>12.5.3按发包人指定的格式向发包人提交付款申请，承包人提交的付款申请应附有正式税务发票，合同签约单位名称、发票出具单位名称、收款银行账号所属单位的名称三者必须一致，如上述付款凭证无法及时提交导致发包人付款延迟，发包人不承担延期付款责任。</w:t>
      </w:r>
    </w:p>
    <w:p w14:paraId="4DB734A7">
      <w:pPr>
        <w:keepNext w:val="0"/>
        <w:keepLines w:val="0"/>
        <w:pageBreakBefore w:val="0"/>
        <w:widowControl w:val="0"/>
        <w:kinsoku/>
        <w:wordWrap/>
        <w:overflowPunct/>
        <w:topLinePunct w:val="0"/>
        <w:bidi w:val="0"/>
        <w:spacing w:line="360" w:lineRule="auto"/>
        <w:ind w:firstLine="422" w:firstLineChars="200"/>
        <w:textAlignment w:val="auto"/>
        <w:outlineLvl w:val="9"/>
        <w:rPr>
          <w:rFonts w:hint="eastAsia" w:ascii="宋体" w:hAnsi="宋体" w:eastAsia="宋体" w:cs="宋体"/>
          <w:b/>
          <w:bCs/>
          <w:color w:val="auto"/>
          <w:sz w:val="21"/>
          <w:szCs w:val="21"/>
          <w:highlight w:val="none"/>
          <w:u w:val="single"/>
        </w:rPr>
      </w:pPr>
      <w:r>
        <w:rPr>
          <w:rFonts w:hint="eastAsia" w:ascii="宋体" w:hAnsi="宋体" w:eastAsia="宋体" w:cs="宋体"/>
          <w:b/>
          <w:bCs/>
          <w:color w:val="auto"/>
          <w:sz w:val="21"/>
          <w:szCs w:val="21"/>
          <w:highlight w:val="none"/>
          <w:u w:val="single"/>
        </w:rPr>
        <w:t>12.5.4承包人对其提供的银行账户的准确性负责，银行账户如有变更，承包人应在发包人付款前提前十日以上书面通知发包人，如因承包人提供的银行账户错误或银行账户变更未及时书面通知发包人，导致无法及时付款的，发包人不承担延期付款责任。</w:t>
      </w:r>
    </w:p>
    <w:p w14:paraId="29382DF8">
      <w:pPr>
        <w:keepNext w:val="0"/>
        <w:keepLines w:val="0"/>
        <w:pageBreakBefore w:val="0"/>
        <w:widowControl w:val="0"/>
        <w:kinsoku/>
        <w:wordWrap/>
        <w:overflowPunct/>
        <w:topLinePunct w:val="0"/>
        <w:bidi w:val="0"/>
        <w:spacing w:line="360" w:lineRule="auto"/>
        <w:ind w:firstLine="422" w:firstLineChars="200"/>
        <w:textAlignment w:val="auto"/>
        <w:outlineLvl w:val="9"/>
        <w:rPr>
          <w:rFonts w:hint="eastAsia" w:ascii="宋体" w:hAnsi="宋体" w:eastAsia="宋体" w:cs="宋体"/>
          <w:b/>
          <w:bCs/>
          <w:color w:val="auto"/>
          <w:sz w:val="21"/>
          <w:szCs w:val="21"/>
          <w:highlight w:val="none"/>
          <w:u w:val="single"/>
        </w:rPr>
      </w:pPr>
      <w:r>
        <w:rPr>
          <w:rFonts w:hint="eastAsia" w:ascii="宋体" w:hAnsi="宋体" w:eastAsia="宋体" w:cs="宋体"/>
          <w:b/>
          <w:bCs/>
          <w:color w:val="auto"/>
          <w:sz w:val="21"/>
          <w:szCs w:val="21"/>
          <w:highlight w:val="none"/>
          <w:u w:val="single"/>
        </w:rPr>
        <w:t>12.5.5本合同约定的承包人应承担的全部违约金、赔偿金等款项，发包人有权直接从应付款项中直接扣除，上述款项不足扣除的，发包人有权向承包人索赔。</w:t>
      </w:r>
    </w:p>
    <w:p w14:paraId="3ABA5B53">
      <w:pPr>
        <w:keepNext w:val="0"/>
        <w:keepLines w:val="0"/>
        <w:pageBreakBefore w:val="0"/>
        <w:widowControl w:val="0"/>
        <w:kinsoku/>
        <w:wordWrap/>
        <w:overflowPunct/>
        <w:topLinePunct w:val="0"/>
        <w:bidi w:val="0"/>
        <w:spacing w:line="360" w:lineRule="auto"/>
        <w:ind w:firstLine="422" w:firstLineChars="200"/>
        <w:textAlignment w:val="auto"/>
        <w:outlineLvl w:val="9"/>
        <w:rPr>
          <w:rFonts w:hint="eastAsia" w:ascii="宋体" w:hAnsi="宋体" w:eastAsia="宋体" w:cs="宋体"/>
          <w:b/>
          <w:bCs/>
          <w:color w:val="auto"/>
          <w:sz w:val="21"/>
          <w:szCs w:val="21"/>
          <w:highlight w:val="none"/>
          <w:u w:val="single"/>
        </w:rPr>
      </w:pPr>
      <w:r>
        <w:rPr>
          <w:rFonts w:hint="eastAsia" w:ascii="宋体" w:hAnsi="宋体" w:eastAsia="宋体" w:cs="宋体"/>
          <w:b/>
          <w:bCs/>
          <w:color w:val="auto"/>
          <w:sz w:val="21"/>
          <w:szCs w:val="21"/>
          <w:highlight w:val="none"/>
          <w:u w:val="single"/>
        </w:rPr>
        <w:t>12.5.6进度款以银行转账方式支付，承包人须按发包人指定的银行及要求开户。</w:t>
      </w:r>
    </w:p>
    <w:p w14:paraId="04EFE4E2">
      <w:pPr>
        <w:keepNext w:val="0"/>
        <w:keepLines w:val="0"/>
        <w:pageBreakBefore w:val="0"/>
        <w:widowControl w:val="0"/>
        <w:tabs>
          <w:tab w:val="left" w:pos="628"/>
        </w:tabs>
        <w:kinsoku/>
        <w:wordWrap/>
        <w:overflowPunct/>
        <w:topLinePunct w:val="0"/>
        <w:bidi w:val="0"/>
        <w:spacing w:line="360" w:lineRule="auto"/>
        <w:ind w:firstLine="422" w:firstLineChars="200"/>
        <w:textAlignment w:val="auto"/>
        <w:outlineLvl w:val="9"/>
        <w:rPr>
          <w:rFonts w:hint="eastAsia" w:ascii="宋体" w:hAnsi="宋体" w:eastAsia="宋体" w:cs="宋体"/>
          <w:b/>
          <w:bCs/>
          <w:color w:val="auto"/>
          <w:sz w:val="21"/>
          <w:szCs w:val="21"/>
          <w:highlight w:val="none"/>
          <w:u w:val="single"/>
        </w:rPr>
      </w:pPr>
      <w:r>
        <w:rPr>
          <w:rFonts w:hint="eastAsia" w:ascii="宋体" w:hAnsi="宋体" w:eastAsia="宋体" w:cs="宋体"/>
          <w:b/>
          <w:bCs/>
          <w:color w:val="auto"/>
          <w:sz w:val="21"/>
          <w:szCs w:val="21"/>
          <w:highlight w:val="none"/>
          <w:u w:val="single"/>
        </w:rPr>
        <w:t>12.5.7变更、签证及需要认价的材料或综合单价，必须签字、盖章手续齐全后方可计入当月产值并按合同约定比例支付相应价款；承包人不得因存在争议影响项目进度，否则按工期延误处理。</w:t>
      </w:r>
    </w:p>
    <w:p w14:paraId="55352B51">
      <w:pPr>
        <w:keepNext w:val="0"/>
        <w:keepLines w:val="0"/>
        <w:pageBreakBefore w:val="0"/>
        <w:widowControl w:val="0"/>
        <w:kinsoku/>
        <w:wordWrap/>
        <w:overflowPunct/>
        <w:topLinePunct w:val="0"/>
        <w:autoSpaceDE/>
        <w:autoSpaceDN/>
        <w:bidi w:val="0"/>
        <w:adjustRightInd/>
        <w:snapToGrid/>
        <w:spacing w:line="360" w:lineRule="auto"/>
        <w:ind w:firstLine="422" w:firstLineChars="200"/>
        <w:textAlignment w:val="auto"/>
        <w:outlineLvl w:val="2"/>
        <w:rPr>
          <w:rFonts w:hint="eastAsia" w:ascii="宋体" w:hAnsi="宋体" w:eastAsia="宋体" w:cs="宋体"/>
          <w:b/>
          <w:color w:val="auto"/>
          <w:sz w:val="21"/>
          <w:szCs w:val="21"/>
          <w:highlight w:val="none"/>
        </w:rPr>
      </w:pPr>
      <w:bookmarkStart w:id="740" w:name="_Toc167230040"/>
      <w:bookmarkStart w:id="741" w:name="_Toc351203645"/>
      <w:bookmarkStart w:id="742" w:name="_Toc18455"/>
      <w:bookmarkStart w:id="743" w:name="_Toc2154"/>
      <w:bookmarkStart w:id="744" w:name="_Toc168862327"/>
      <w:bookmarkStart w:id="745" w:name="_Toc10134"/>
      <w:bookmarkStart w:id="746" w:name="_Toc2898"/>
      <w:bookmarkStart w:id="747" w:name="_Toc300935015"/>
      <w:bookmarkStart w:id="748" w:name="_Toc297120519"/>
      <w:bookmarkStart w:id="749" w:name="_Toc292559424"/>
      <w:bookmarkStart w:id="750" w:name="_Toc297123564"/>
      <w:bookmarkStart w:id="751" w:name="_Toc296346720"/>
      <w:bookmarkStart w:id="752" w:name="_Toc296503219"/>
      <w:bookmarkStart w:id="753" w:name="_Toc296891259"/>
      <w:bookmarkStart w:id="754" w:name="_Toc296347218"/>
      <w:bookmarkStart w:id="755" w:name="_Toc304295593"/>
      <w:bookmarkStart w:id="756" w:name="_Toc296944558"/>
      <w:bookmarkStart w:id="757" w:name="_Toc292559929"/>
      <w:bookmarkStart w:id="758" w:name="_Toc297048405"/>
      <w:bookmarkStart w:id="759" w:name="_Toc296891047"/>
      <w:bookmarkStart w:id="760" w:name="_Toc297216223"/>
      <w:bookmarkStart w:id="761" w:name="_Toc312678053"/>
      <w:bookmarkStart w:id="762" w:name="_Toc303539172"/>
      <w:r>
        <w:rPr>
          <w:rFonts w:hint="eastAsia" w:ascii="宋体" w:hAnsi="宋体" w:eastAsia="宋体" w:cs="宋体"/>
          <w:b/>
          <w:color w:val="auto"/>
          <w:sz w:val="21"/>
          <w:szCs w:val="21"/>
          <w:highlight w:val="none"/>
        </w:rPr>
        <w:t>13. 验收和工程试车</w:t>
      </w:r>
      <w:bookmarkEnd w:id="740"/>
      <w:bookmarkEnd w:id="741"/>
      <w:bookmarkEnd w:id="742"/>
      <w:bookmarkEnd w:id="743"/>
      <w:bookmarkEnd w:id="744"/>
      <w:bookmarkEnd w:id="745"/>
      <w:bookmarkEnd w:id="746"/>
    </w:p>
    <w:bookmarkEnd w:id="747"/>
    <w:bookmarkEnd w:id="748"/>
    <w:bookmarkEnd w:id="749"/>
    <w:bookmarkEnd w:id="750"/>
    <w:bookmarkEnd w:id="751"/>
    <w:bookmarkEnd w:id="752"/>
    <w:bookmarkEnd w:id="753"/>
    <w:bookmarkEnd w:id="754"/>
    <w:bookmarkEnd w:id="755"/>
    <w:bookmarkEnd w:id="756"/>
    <w:bookmarkEnd w:id="757"/>
    <w:bookmarkEnd w:id="758"/>
    <w:bookmarkEnd w:id="759"/>
    <w:bookmarkEnd w:id="760"/>
    <w:bookmarkEnd w:id="761"/>
    <w:bookmarkEnd w:id="762"/>
    <w:p w14:paraId="7CB37CED">
      <w:pPr>
        <w:keepNext w:val="0"/>
        <w:keepLines w:val="0"/>
        <w:pageBreakBefore w:val="0"/>
        <w:widowControl w:val="0"/>
        <w:kinsoku/>
        <w:wordWrap/>
        <w:overflowPunct/>
        <w:topLinePunct w:val="0"/>
        <w:bidi w:val="0"/>
        <w:spacing w:line="360" w:lineRule="auto"/>
        <w:ind w:firstLine="420" w:firstLineChars="200"/>
        <w:textAlignment w:val="auto"/>
        <w:outlineLvl w:val="9"/>
        <w:rPr>
          <w:rFonts w:hint="eastAsia" w:ascii="宋体" w:hAnsi="宋体" w:eastAsia="宋体" w:cs="宋体"/>
          <w:color w:val="auto"/>
          <w:sz w:val="21"/>
          <w:szCs w:val="21"/>
          <w:highlight w:val="none"/>
        </w:rPr>
      </w:pPr>
      <w:bookmarkStart w:id="763" w:name="_Toc267251471"/>
      <w:bookmarkStart w:id="764" w:name="_Toc280868709"/>
      <w:bookmarkStart w:id="765" w:name="_Toc267251475"/>
      <w:bookmarkStart w:id="766" w:name="_Toc267251472"/>
      <w:bookmarkStart w:id="767" w:name="_Toc267251473"/>
      <w:bookmarkStart w:id="768" w:name="_Toc267251476"/>
      <w:bookmarkStart w:id="769" w:name="_Toc267251470"/>
      <w:bookmarkStart w:id="770" w:name="_Toc267251474"/>
      <w:r>
        <w:rPr>
          <w:rFonts w:hint="eastAsia" w:ascii="宋体" w:hAnsi="宋体" w:eastAsia="宋体" w:cs="宋体"/>
          <w:color w:val="auto"/>
          <w:sz w:val="21"/>
          <w:szCs w:val="21"/>
          <w:highlight w:val="none"/>
        </w:rPr>
        <w:t>13.1 分部分项工程验收</w:t>
      </w:r>
    </w:p>
    <w:p w14:paraId="1B69D8B1">
      <w:pPr>
        <w:keepNext w:val="0"/>
        <w:keepLines w:val="0"/>
        <w:pageBreakBefore w:val="0"/>
        <w:widowControl w:val="0"/>
        <w:kinsoku/>
        <w:wordWrap/>
        <w:overflowPunct/>
        <w:topLinePunct w:val="0"/>
        <w:bidi w:val="0"/>
        <w:spacing w:line="360" w:lineRule="auto"/>
        <w:ind w:firstLine="420" w:firstLineChars="200"/>
        <w:textAlignment w:val="auto"/>
        <w:outlineLvl w:val="9"/>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13.1.1监理人不能按时进行验收时，应提前</w:t>
      </w:r>
      <w:r>
        <w:rPr>
          <w:rFonts w:hint="eastAsia" w:ascii="宋体" w:hAnsi="宋体" w:eastAsia="宋体" w:cs="宋体"/>
          <w:color w:val="auto"/>
          <w:sz w:val="21"/>
          <w:szCs w:val="21"/>
          <w:highlight w:val="none"/>
          <w:u w:val="single"/>
        </w:rPr>
        <w:t xml:space="preserve">   24   </w:t>
      </w:r>
      <w:r>
        <w:rPr>
          <w:rFonts w:hint="eastAsia" w:ascii="宋体" w:hAnsi="宋体" w:eastAsia="宋体" w:cs="宋体"/>
          <w:color w:val="auto"/>
          <w:sz w:val="21"/>
          <w:szCs w:val="21"/>
          <w:highlight w:val="none"/>
        </w:rPr>
        <w:t>小时提交书面延期要求。</w:t>
      </w:r>
    </w:p>
    <w:p w14:paraId="69D886C4">
      <w:pPr>
        <w:keepNext w:val="0"/>
        <w:keepLines w:val="0"/>
        <w:pageBreakBefore w:val="0"/>
        <w:widowControl w:val="0"/>
        <w:kinsoku/>
        <w:wordWrap/>
        <w:overflowPunct/>
        <w:topLinePunct w:val="0"/>
        <w:bidi w:val="0"/>
        <w:spacing w:line="360" w:lineRule="auto"/>
        <w:ind w:firstLine="420" w:firstLineChars="200"/>
        <w:textAlignment w:val="auto"/>
        <w:outlineLvl w:val="9"/>
        <w:rPr>
          <w:rFonts w:hint="eastAsia" w:ascii="宋体" w:hAnsi="宋体" w:eastAsia="宋体" w:cs="宋体"/>
          <w:b/>
          <w:color w:val="auto"/>
          <w:sz w:val="21"/>
          <w:szCs w:val="21"/>
          <w:highlight w:val="none"/>
        </w:rPr>
      </w:pPr>
      <w:r>
        <w:rPr>
          <w:rFonts w:hint="eastAsia" w:ascii="宋体" w:hAnsi="宋体" w:eastAsia="宋体" w:cs="宋体"/>
          <w:color w:val="auto"/>
          <w:sz w:val="21"/>
          <w:szCs w:val="21"/>
          <w:highlight w:val="none"/>
        </w:rPr>
        <w:t>关于延期最长不得超过：</w:t>
      </w:r>
      <w:r>
        <w:rPr>
          <w:rFonts w:hint="eastAsia" w:ascii="宋体" w:hAnsi="宋体" w:eastAsia="宋体" w:cs="宋体"/>
          <w:color w:val="auto"/>
          <w:sz w:val="21"/>
          <w:szCs w:val="21"/>
          <w:highlight w:val="none"/>
          <w:u w:val="single"/>
        </w:rPr>
        <w:t xml:space="preserve">   48   </w:t>
      </w:r>
      <w:r>
        <w:rPr>
          <w:rFonts w:hint="eastAsia" w:ascii="宋体" w:hAnsi="宋体" w:eastAsia="宋体" w:cs="宋体"/>
          <w:color w:val="auto"/>
          <w:sz w:val="21"/>
          <w:szCs w:val="21"/>
          <w:highlight w:val="none"/>
        </w:rPr>
        <w:t>小时。</w:t>
      </w:r>
    </w:p>
    <w:p w14:paraId="4754970D">
      <w:pPr>
        <w:keepNext w:val="0"/>
        <w:keepLines w:val="0"/>
        <w:pageBreakBefore w:val="0"/>
        <w:widowControl w:val="0"/>
        <w:kinsoku/>
        <w:wordWrap/>
        <w:overflowPunct/>
        <w:topLinePunct w:val="0"/>
        <w:bidi w:val="0"/>
        <w:spacing w:line="360" w:lineRule="auto"/>
        <w:ind w:firstLine="420" w:firstLineChars="200"/>
        <w:textAlignment w:val="auto"/>
        <w:outlineLvl w:val="9"/>
        <w:rPr>
          <w:rFonts w:hint="eastAsia" w:ascii="宋体" w:hAnsi="宋体" w:eastAsia="宋体" w:cs="宋体"/>
          <w:color w:val="auto"/>
          <w:sz w:val="21"/>
          <w:szCs w:val="21"/>
          <w:highlight w:val="none"/>
        </w:rPr>
      </w:pPr>
      <w:bookmarkStart w:id="771" w:name="_Toc296503223"/>
      <w:bookmarkStart w:id="772" w:name="_Toc296346724"/>
      <w:bookmarkStart w:id="773" w:name="_Toc292559428"/>
      <w:bookmarkStart w:id="774" w:name="_Toc296347222"/>
      <w:bookmarkStart w:id="775" w:name="_Toc303539173"/>
      <w:bookmarkStart w:id="776" w:name="_Toc297120523"/>
      <w:bookmarkStart w:id="777" w:name="_Toc297216224"/>
      <w:bookmarkStart w:id="778" w:name="_Toc296891051"/>
      <w:bookmarkStart w:id="779" w:name="_Toc312678056"/>
      <w:bookmarkStart w:id="780" w:name="_Toc297123565"/>
      <w:bookmarkStart w:id="781" w:name="_Toc292559933"/>
      <w:bookmarkStart w:id="782" w:name="_Toc297048409"/>
      <w:bookmarkStart w:id="783" w:name="_Toc300935016"/>
      <w:bookmarkStart w:id="784" w:name="_Toc296891263"/>
      <w:bookmarkStart w:id="785" w:name="_Toc304295596"/>
      <w:bookmarkStart w:id="786" w:name="_Toc296944562"/>
      <w:r>
        <w:rPr>
          <w:rFonts w:hint="eastAsia" w:ascii="宋体" w:hAnsi="宋体" w:eastAsia="宋体" w:cs="宋体"/>
          <w:color w:val="auto"/>
          <w:sz w:val="21"/>
          <w:szCs w:val="21"/>
          <w:highlight w:val="none"/>
        </w:rPr>
        <w:t>13.2 竣工验收</w:t>
      </w:r>
    </w:p>
    <w:bookmarkEnd w:id="771"/>
    <w:bookmarkEnd w:id="772"/>
    <w:bookmarkEnd w:id="773"/>
    <w:bookmarkEnd w:id="774"/>
    <w:bookmarkEnd w:id="775"/>
    <w:bookmarkEnd w:id="776"/>
    <w:bookmarkEnd w:id="777"/>
    <w:bookmarkEnd w:id="778"/>
    <w:bookmarkEnd w:id="779"/>
    <w:bookmarkEnd w:id="780"/>
    <w:bookmarkEnd w:id="781"/>
    <w:bookmarkEnd w:id="782"/>
    <w:bookmarkEnd w:id="783"/>
    <w:bookmarkEnd w:id="784"/>
    <w:bookmarkEnd w:id="785"/>
    <w:bookmarkEnd w:id="786"/>
    <w:p w14:paraId="4939FEC9">
      <w:pPr>
        <w:keepNext w:val="0"/>
        <w:keepLines w:val="0"/>
        <w:pageBreakBefore w:val="0"/>
        <w:widowControl w:val="0"/>
        <w:kinsoku/>
        <w:wordWrap/>
        <w:overflowPunct/>
        <w:topLinePunct w:val="0"/>
        <w:bidi w:val="0"/>
        <w:spacing w:line="360" w:lineRule="auto"/>
        <w:ind w:firstLine="420" w:firstLineChars="200"/>
        <w:textAlignment w:val="auto"/>
        <w:outlineLvl w:val="9"/>
        <w:rPr>
          <w:rFonts w:hint="eastAsia" w:ascii="宋体" w:hAnsi="宋体" w:eastAsia="宋体" w:cs="宋体"/>
          <w:color w:val="auto"/>
          <w:sz w:val="21"/>
          <w:szCs w:val="21"/>
          <w:highlight w:val="none"/>
        </w:rPr>
      </w:pPr>
      <w:bookmarkStart w:id="787" w:name="_Toc280868704"/>
      <w:bookmarkStart w:id="788" w:name="_Toc280868705"/>
      <w:bookmarkStart w:id="789" w:name="_Toc280868706"/>
      <w:bookmarkStart w:id="790" w:name="_Toc280868707"/>
      <w:bookmarkStart w:id="791" w:name="_Toc280868708"/>
      <w:r>
        <w:rPr>
          <w:rFonts w:hint="eastAsia" w:ascii="宋体" w:hAnsi="宋体" w:eastAsia="宋体" w:cs="宋体"/>
          <w:color w:val="auto"/>
          <w:sz w:val="21"/>
          <w:szCs w:val="21"/>
          <w:highlight w:val="none"/>
        </w:rPr>
        <w:t>13.2.1竣工验收程序</w:t>
      </w:r>
    </w:p>
    <w:bookmarkEnd w:id="787"/>
    <w:p w14:paraId="1821BD34">
      <w:pPr>
        <w:keepNext w:val="0"/>
        <w:keepLines w:val="0"/>
        <w:pageBreakBefore w:val="0"/>
        <w:widowControl w:val="0"/>
        <w:kinsoku/>
        <w:wordWrap/>
        <w:overflowPunct/>
        <w:topLinePunct w:val="0"/>
        <w:bidi w:val="0"/>
        <w:spacing w:line="360" w:lineRule="auto"/>
        <w:ind w:firstLine="411" w:firstLineChars="196"/>
        <w:textAlignment w:val="auto"/>
        <w:outlineLvl w:val="9"/>
        <w:rPr>
          <w:rFonts w:hint="eastAsia" w:ascii="宋体" w:hAnsi="宋体" w:eastAsia="宋体" w:cs="宋体"/>
          <w:color w:val="auto"/>
          <w:sz w:val="21"/>
          <w:szCs w:val="21"/>
          <w:highlight w:val="none"/>
          <w:u w:val="single"/>
          <w:lang w:bidi="en-US"/>
        </w:rPr>
      </w:pPr>
      <w:r>
        <w:rPr>
          <w:rFonts w:hint="eastAsia" w:ascii="宋体" w:hAnsi="宋体" w:eastAsia="宋体" w:cs="宋体"/>
          <w:color w:val="auto"/>
          <w:sz w:val="21"/>
          <w:szCs w:val="21"/>
          <w:highlight w:val="none"/>
          <w:lang w:bidi="en-US"/>
        </w:rPr>
        <w:t>关于竣工验收程序的约定：</w:t>
      </w:r>
      <w:r>
        <w:rPr>
          <w:rFonts w:hint="eastAsia" w:ascii="宋体" w:hAnsi="宋体" w:eastAsia="宋体" w:cs="宋体"/>
          <w:b/>
          <w:bCs/>
          <w:color w:val="auto"/>
          <w:sz w:val="21"/>
          <w:szCs w:val="21"/>
          <w:highlight w:val="none"/>
          <w:u w:val="single"/>
        </w:rPr>
        <w:t>按通用条款第13.2.2条执行</w:t>
      </w:r>
      <w:r>
        <w:rPr>
          <w:rFonts w:hint="eastAsia" w:ascii="宋体" w:hAnsi="宋体" w:eastAsia="宋体" w:cs="宋体"/>
          <w:color w:val="auto"/>
          <w:sz w:val="21"/>
          <w:szCs w:val="21"/>
          <w:highlight w:val="none"/>
        </w:rPr>
        <w:t>。</w:t>
      </w:r>
    </w:p>
    <w:p w14:paraId="01F92B93">
      <w:pPr>
        <w:keepNext w:val="0"/>
        <w:keepLines w:val="0"/>
        <w:pageBreakBefore w:val="0"/>
        <w:widowControl w:val="0"/>
        <w:kinsoku/>
        <w:wordWrap/>
        <w:overflowPunct/>
        <w:topLinePunct w:val="0"/>
        <w:bidi w:val="0"/>
        <w:spacing w:line="360" w:lineRule="auto"/>
        <w:ind w:firstLine="420" w:firstLineChars="200"/>
        <w:textAlignment w:val="auto"/>
        <w:outlineLvl w:val="9"/>
        <w:rPr>
          <w:rFonts w:hint="eastAsia" w:ascii="宋体" w:hAnsi="宋体" w:eastAsia="宋体" w:cs="宋体"/>
          <w:b/>
          <w:bCs/>
          <w:color w:val="auto"/>
          <w:sz w:val="21"/>
          <w:szCs w:val="21"/>
          <w:highlight w:val="none"/>
          <w:u w:val="single"/>
        </w:rPr>
      </w:pPr>
      <w:r>
        <w:rPr>
          <w:rFonts w:hint="eastAsia" w:ascii="宋体" w:hAnsi="宋体" w:eastAsia="宋体" w:cs="宋体"/>
          <w:color w:val="auto"/>
          <w:sz w:val="21"/>
          <w:szCs w:val="21"/>
          <w:highlight w:val="none"/>
        </w:rPr>
        <w:t>发包人无不正当理由不按照本项约定组织竣工验收、颁发工程接收证书的违约金的计算方法：</w:t>
      </w:r>
      <w:r>
        <w:rPr>
          <w:rFonts w:hint="eastAsia" w:ascii="宋体" w:hAnsi="宋体" w:eastAsia="宋体" w:cs="宋体"/>
          <w:b/>
          <w:bCs/>
          <w:color w:val="auto"/>
          <w:sz w:val="21"/>
          <w:szCs w:val="21"/>
          <w:highlight w:val="none"/>
          <w:u w:val="single"/>
        </w:rPr>
        <w:t>另行协商</w:t>
      </w:r>
      <w:r>
        <w:rPr>
          <w:rFonts w:hint="eastAsia" w:ascii="宋体" w:hAnsi="宋体" w:eastAsia="宋体" w:cs="宋体"/>
          <w:color w:val="auto"/>
          <w:sz w:val="21"/>
          <w:szCs w:val="21"/>
          <w:highlight w:val="none"/>
        </w:rPr>
        <w:t xml:space="preserve">。 </w:t>
      </w:r>
    </w:p>
    <w:bookmarkEnd w:id="788"/>
    <w:p w14:paraId="21B86179">
      <w:pPr>
        <w:keepNext w:val="0"/>
        <w:keepLines w:val="0"/>
        <w:pageBreakBefore w:val="0"/>
        <w:widowControl w:val="0"/>
        <w:kinsoku/>
        <w:wordWrap/>
        <w:overflowPunct/>
        <w:topLinePunct w:val="0"/>
        <w:bidi w:val="0"/>
        <w:spacing w:line="360" w:lineRule="auto"/>
        <w:ind w:firstLine="420" w:firstLineChars="200"/>
        <w:textAlignment w:val="auto"/>
        <w:outlineLvl w:val="9"/>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13.2.2移交、接收全部与部分工程</w:t>
      </w:r>
    </w:p>
    <w:bookmarkEnd w:id="789"/>
    <w:p w14:paraId="37963423">
      <w:pPr>
        <w:keepNext w:val="0"/>
        <w:keepLines w:val="0"/>
        <w:pageBreakBefore w:val="0"/>
        <w:widowControl w:val="0"/>
        <w:kinsoku/>
        <w:wordWrap/>
        <w:overflowPunct/>
        <w:topLinePunct w:val="0"/>
        <w:bidi w:val="0"/>
        <w:spacing w:line="360" w:lineRule="auto"/>
        <w:ind w:firstLine="420" w:firstLineChars="200"/>
        <w:textAlignment w:val="auto"/>
        <w:outlineLvl w:val="9"/>
        <w:rPr>
          <w:rFonts w:hint="eastAsia" w:ascii="宋体" w:hAnsi="宋体" w:eastAsia="宋体" w:cs="宋体"/>
          <w:b/>
          <w:bCs/>
          <w:color w:val="auto"/>
          <w:sz w:val="21"/>
          <w:szCs w:val="21"/>
          <w:highlight w:val="none"/>
          <w:u w:val="single"/>
        </w:rPr>
      </w:pPr>
      <w:r>
        <w:rPr>
          <w:rFonts w:hint="eastAsia" w:ascii="宋体" w:hAnsi="宋体" w:eastAsia="宋体" w:cs="宋体"/>
          <w:color w:val="auto"/>
          <w:sz w:val="21"/>
          <w:szCs w:val="21"/>
          <w:highlight w:val="none"/>
        </w:rPr>
        <w:t>承包人向发包人移交工程的期限：</w:t>
      </w:r>
      <w:r>
        <w:rPr>
          <w:rFonts w:hint="eastAsia" w:ascii="宋体" w:hAnsi="宋体" w:eastAsia="宋体" w:cs="宋体"/>
          <w:b/>
          <w:bCs/>
          <w:color w:val="auto"/>
          <w:sz w:val="21"/>
          <w:szCs w:val="21"/>
          <w:highlight w:val="none"/>
          <w:u w:val="single"/>
        </w:rPr>
        <w:t>按发包人书面要求移交。</w:t>
      </w:r>
    </w:p>
    <w:p w14:paraId="052038F0">
      <w:pPr>
        <w:keepNext w:val="0"/>
        <w:keepLines w:val="0"/>
        <w:pageBreakBefore w:val="0"/>
        <w:widowControl w:val="0"/>
        <w:kinsoku/>
        <w:wordWrap/>
        <w:overflowPunct/>
        <w:topLinePunct w:val="0"/>
        <w:bidi w:val="0"/>
        <w:spacing w:line="360" w:lineRule="auto"/>
        <w:ind w:firstLine="420" w:firstLineChars="200"/>
        <w:textAlignment w:val="auto"/>
        <w:outlineLvl w:val="9"/>
        <w:rPr>
          <w:rFonts w:hint="eastAsia" w:ascii="宋体" w:hAnsi="宋体" w:eastAsia="宋体" w:cs="宋体"/>
          <w:b/>
          <w:bCs/>
          <w:color w:val="auto"/>
          <w:sz w:val="21"/>
          <w:szCs w:val="21"/>
          <w:highlight w:val="none"/>
          <w:u w:val="single"/>
        </w:rPr>
      </w:pPr>
      <w:r>
        <w:rPr>
          <w:rFonts w:hint="eastAsia" w:ascii="宋体" w:hAnsi="宋体" w:eastAsia="宋体" w:cs="宋体"/>
          <w:color w:val="auto"/>
          <w:sz w:val="21"/>
          <w:szCs w:val="21"/>
          <w:highlight w:val="none"/>
        </w:rPr>
        <w:t>发包人未按本合同约定接收全部或部分工程的，违约金的计算方法为：</w:t>
      </w:r>
      <w:bookmarkEnd w:id="790"/>
      <w:r>
        <w:rPr>
          <w:rFonts w:hint="eastAsia" w:ascii="宋体" w:hAnsi="宋体" w:eastAsia="宋体" w:cs="宋体"/>
          <w:b/>
          <w:bCs/>
          <w:color w:val="auto"/>
          <w:sz w:val="21"/>
          <w:szCs w:val="21"/>
          <w:highlight w:val="none"/>
          <w:u w:val="single"/>
        </w:rPr>
        <w:t>发包人不承担任何形式的违约责任。</w:t>
      </w:r>
    </w:p>
    <w:p w14:paraId="1E1B68BC">
      <w:pPr>
        <w:keepNext w:val="0"/>
        <w:keepLines w:val="0"/>
        <w:pageBreakBefore w:val="0"/>
        <w:widowControl w:val="0"/>
        <w:kinsoku/>
        <w:wordWrap/>
        <w:overflowPunct/>
        <w:topLinePunct w:val="0"/>
        <w:bidi w:val="0"/>
        <w:spacing w:line="360" w:lineRule="auto"/>
        <w:ind w:firstLine="420" w:firstLineChars="200"/>
        <w:textAlignment w:val="auto"/>
        <w:outlineLvl w:val="9"/>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承包人未按时移交工程的，违约金的计算方法为：</w:t>
      </w:r>
      <w:r>
        <w:rPr>
          <w:rFonts w:hint="eastAsia" w:ascii="宋体" w:hAnsi="宋体" w:eastAsia="宋体" w:cs="宋体"/>
          <w:b/>
          <w:bCs/>
          <w:color w:val="auto"/>
          <w:sz w:val="21"/>
          <w:szCs w:val="21"/>
          <w:highlight w:val="none"/>
          <w:u w:val="single"/>
        </w:rPr>
        <w:t xml:space="preserve"> 按通用条款13.2.5执行，并赔偿因未按时移交工程给发包人造成的一切损失。</w:t>
      </w:r>
    </w:p>
    <w:p w14:paraId="06942739">
      <w:pPr>
        <w:keepNext w:val="0"/>
        <w:keepLines w:val="0"/>
        <w:pageBreakBefore w:val="0"/>
        <w:widowControl w:val="0"/>
        <w:kinsoku/>
        <w:wordWrap/>
        <w:overflowPunct/>
        <w:topLinePunct w:val="0"/>
        <w:bidi w:val="0"/>
        <w:spacing w:line="360" w:lineRule="auto"/>
        <w:ind w:firstLine="420" w:firstLineChars="200"/>
        <w:textAlignment w:val="auto"/>
        <w:outlineLvl w:val="9"/>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13.2.3 工程验收的其他约定：</w:t>
      </w:r>
    </w:p>
    <w:p w14:paraId="3AED5B41">
      <w:pPr>
        <w:keepNext w:val="0"/>
        <w:keepLines w:val="0"/>
        <w:pageBreakBefore w:val="0"/>
        <w:widowControl w:val="0"/>
        <w:kinsoku/>
        <w:wordWrap/>
        <w:overflowPunct/>
        <w:topLinePunct w:val="0"/>
        <w:bidi w:val="0"/>
        <w:spacing w:line="360" w:lineRule="auto"/>
        <w:ind w:firstLine="413" w:firstLineChars="196"/>
        <w:textAlignment w:val="auto"/>
        <w:outlineLvl w:val="9"/>
        <w:rPr>
          <w:rFonts w:hint="eastAsia" w:ascii="宋体" w:hAnsi="宋体" w:eastAsia="宋体" w:cs="宋体"/>
          <w:b/>
          <w:bCs/>
          <w:color w:val="auto"/>
          <w:sz w:val="21"/>
          <w:szCs w:val="21"/>
          <w:highlight w:val="none"/>
          <w:u w:val="single"/>
        </w:rPr>
      </w:pPr>
      <w:r>
        <w:rPr>
          <w:rFonts w:hint="eastAsia" w:ascii="宋体" w:hAnsi="宋体" w:eastAsia="宋体" w:cs="宋体"/>
          <w:b/>
          <w:bCs/>
          <w:color w:val="auto"/>
          <w:sz w:val="21"/>
          <w:szCs w:val="21"/>
          <w:highlight w:val="none"/>
          <w:u w:val="single"/>
        </w:rPr>
        <w:t>承包人必须保证分部分项工程及整体工程达到一次性验收合格。</w:t>
      </w:r>
    </w:p>
    <w:p w14:paraId="0C9C7116">
      <w:pPr>
        <w:keepNext w:val="0"/>
        <w:keepLines w:val="0"/>
        <w:pageBreakBefore w:val="0"/>
        <w:widowControl w:val="0"/>
        <w:tabs>
          <w:tab w:val="left" w:pos="628"/>
        </w:tabs>
        <w:kinsoku/>
        <w:wordWrap/>
        <w:overflowPunct/>
        <w:topLinePunct w:val="0"/>
        <w:autoSpaceDE w:val="0"/>
        <w:autoSpaceDN w:val="0"/>
        <w:bidi w:val="0"/>
        <w:adjustRightInd w:val="0"/>
        <w:snapToGrid w:val="0"/>
        <w:spacing w:line="360" w:lineRule="auto"/>
        <w:ind w:firstLine="422" w:firstLineChars="200"/>
        <w:textAlignment w:val="auto"/>
        <w:outlineLvl w:val="9"/>
        <w:rPr>
          <w:rFonts w:hint="eastAsia" w:ascii="宋体" w:hAnsi="宋体" w:eastAsia="宋体" w:cs="宋体"/>
          <w:b/>
          <w:bCs/>
          <w:color w:val="auto"/>
          <w:sz w:val="21"/>
          <w:szCs w:val="21"/>
          <w:highlight w:val="none"/>
          <w:u w:val="single"/>
        </w:rPr>
      </w:pPr>
      <w:r>
        <w:rPr>
          <w:rFonts w:hint="eastAsia" w:ascii="宋体" w:hAnsi="宋体" w:eastAsia="宋体" w:cs="宋体"/>
          <w:b/>
          <w:bCs/>
          <w:color w:val="auto"/>
          <w:sz w:val="21"/>
          <w:szCs w:val="21"/>
          <w:highlight w:val="none"/>
          <w:u w:val="single"/>
        </w:rPr>
        <w:t>分部分项工程验收：分部分项工程完工后，承包人应在3天内向监理人提出书面验收通知，监理人接到通知后应在合理的时间内组织相关人员进行验收。</w:t>
      </w:r>
    </w:p>
    <w:p w14:paraId="33B6C2CA">
      <w:pPr>
        <w:keepNext w:val="0"/>
        <w:keepLines w:val="0"/>
        <w:pageBreakBefore w:val="0"/>
        <w:widowControl w:val="0"/>
        <w:tabs>
          <w:tab w:val="left" w:pos="628"/>
        </w:tabs>
        <w:kinsoku/>
        <w:wordWrap/>
        <w:overflowPunct/>
        <w:topLinePunct w:val="0"/>
        <w:autoSpaceDE w:val="0"/>
        <w:autoSpaceDN w:val="0"/>
        <w:bidi w:val="0"/>
        <w:adjustRightInd w:val="0"/>
        <w:snapToGrid w:val="0"/>
        <w:spacing w:line="360" w:lineRule="auto"/>
        <w:ind w:firstLine="422" w:firstLineChars="200"/>
        <w:textAlignment w:val="auto"/>
        <w:outlineLvl w:val="9"/>
        <w:rPr>
          <w:rFonts w:hint="eastAsia" w:ascii="宋体" w:hAnsi="宋体" w:eastAsia="宋体" w:cs="宋体"/>
          <w:b/>
          <w:bCs/>
          <w:color w:val="auto"/>
          <w:sz w:val="21"/>
          <w:szCs w:val="21"/>
          <w:highlight w:val="none"/>
          <w:u w:val="single"/>
        </w:rPr>
      </w:pPr>
      <w:r>
        <w:rPr>
          <w:rFonts w:hint="eastAsia" w:ascii="宋体" w:hAnsi="宋体" w:eastAsia="宋体" w:cs="宋体"/>
          <w:b/>
          <w:bCs/>
          <w:color w:val="auto"/>
          <w:sz w:val="21"/>
          <w:szCs w:val="21"/>
          <w:highlight w:val="none"/>
          <w:u w:val="single"/>
        </w:rPr>
        <w:t>分部分项工程中间验收：涉及到多单位、多专业、多工种交叉配合及因项目实际需要的分部分项工程中间验收，由发包人组织相关单位进行，承包人必须为发包人进行项目中间验收提供必要的方便条件。</w:t>
      </w:r>
    </w:p>
    <w:p w14:paraId="624455BE">
      <w:pPr>
        <w:keepNext w:val="0"/>
        <w:keepLines w:val="0"/>
        <w:pageBreakBefore w:val="0"/>
        <w:widowControl w:val="0"/>
        <w:tabs>
          <w:tab w:val="left" w:pos="628"/>
        </w:tabs>
        <w:kinsoku/>
        <w:wordWrap/>
        <w:overflowPunct/>
        <w:topLinePunct w:val="0"/>
        <w:autoSpaceDE w:val="0"/>
        <w:autoSpaceDN w:val="0"/>
        <w:bidi w:val="0"/>
        <w:adjustRightInd w:val="0"/>
        <w:snapToGrid w:val="0"/>
        <w:spacing w:line="360" w:lineRule="auto"/>
        <w:ind w:firstLine="422" w:firstLineChars="200"/>
        <w:textAlignment w:val="auto"/>
        <w:outlineLvl w:val="9"/>
        <w:rPr>
          <w:rFonts w:hint="eastAsia" w:ascii="宋体" w:hAnsi="宋体" w:eastAsia="宋体" w:cs="宋体"/>
          <w:b/>
          <w:bCs/>
          <w:color w:val="auto"/>
          <w:sz w:val="21"/>
          <w:szCs w:val="21"/>
          <w:highlight w:val="none"/>
          <w:u w:val="single"/>
        </w:rPr>
      </w:pPr>
      <w:r>
        <w:rPr>
          <w:rFonts w:hint="eastAsia" w:ascii="宋体" w:hAnsi="宋体" w:eastAsia="宋体" w:cs="宋体"/>
          <w:b/>
          <w:bCs/>
          <w:color w:val="auto"/>
          <w:sz w:val="21"/>
          <w:szCs w:val="21"/>
          <w:highlight w:val="none"/>
          <w:u w:val="single"/>
        </w:rPr>
        <w:t>设备安装、调试必须符合国家质量检测标准，并满足发包人技术要求，承包人负责免费进行设备的安装调试及培训（不另计费）。</w:t>
      </w:r>
    </w:p>
    <w:p w14:paraId="3A8198E5">
      <w:pPr>
        <w:keepNext w:val="0"/>
        <w:keepLines w:val="0"/>
        <w:pageBreakBefore w:val="0"/>
        <w:widowControl w:val="0"/>
        <w:tabs>
          <w:tab w:val="left" w:pos="628"/>
        </w:tabs>
        <w:kinsoku/>
        <w:wordWrap/>
        <w:overflowPunct/>
        <w:topLinePunct w:val="0"/>
        <w:autoSpaceDE w:val="0"/>
        <w:autoSpaceDN w:val="0"/>
        <w:bidi w:val="0"/>
        <w:snapToGrid w:val="0"/>
        <w:spacing w:line="360" w:lineRule="auto"/>
        <w:ind w:firstLine="422" w:firstLineChars="200"/>
        <w:textAlignment w:val="auto"/>
        <w:outlineLvl w:val="9"/>
        <w:rPr>
          <w:rFonts w:hint="eastAsia" w:ascii="宋体" w:hAnsi="宋体" w:eastAsia="宋体" w:cs="宋体"/>
          <w:b/>
          <w:bCs/>
          <w:color w:val="auto"/>
          <w:sz w:val="21"/>
          <w:szCs w:val="21"/>
          <w:highlight w:val="none"/>
          <w:u w:val="single"/>
        </w:rPr>
      </w:pPr>
      <w:r>
        <w:rPr>
          <w:rFonts w:hint="eastAsia" w:ascii="宋体" w:hAnsi="宋体" w:eastAsia="宋体" w:cs="宋体"/>
          <w:b/>
          <w:bCs/>
          <w:color w:val="auto"/>
          <w:sz w:val="21"/>
          <w:szCs w:val="21"/>
          <w:highlight w:val="none"/>
          <w:u w:val="single"/>
        </w:rPr>
        <w:t>13.2.4资料移交：</w:t>
      </w:r>
    </w:p>
    <w:p w14:paraId="39E63B87">
      <w:pPr>
        <w:keepNext w:val="0"/>
        <w:keepLines w:val="0"/>
        <w:pageBreakBefore w:val="0"/>
        <w:widowControl w:val="0"/>
        <w:tabs>
          <w:tab w:val="left" w:pos="628"/>
        </w:tabs>
        <w:kinsoku/>
        <w:wordWrap/>
        <w:overflowPunct/>
        <w:topLinePunct w:val="0"/>
        <w:autoSpaceDE w:val="0"/>
        <w:autoSpaceDN w:val="0"/>
        <w:bidi w:val="0"/>
        <w:adjustRightInd w:val="0"/>
        <w:snapToGrid w:val="0"/>
        <w:spacing w:line="360" w:lineRule="auto"/>
        <w:ind w:firstLine="422" w:firstLineChars="200"/>
        <w:textAlignment w:val="auto"/>
        <w:outlineLvl w:val="9"/>
        <w:rPr>
          <w:rFonts w:hint="eastAsia" w:ascii="宋体" w:hAnsi="宋体" w:eastAsia="宋体" w:cs="宋体"/>
          <w:b/>
          <w:bCs/>
          <w:color w:val="auto"/>
          <w:sz w:val="21"/>
          <w:szCs w:val="21"/>
          <w:highlight w:val="none"/>
          <w:u w:val="single"/>
        </w:rPr>
      </w:pPr>
      <w:r>
        <w:rPr>
          <w:rFonts w:hint="eastAsia" w:ascii="宋体" w:hAnsi="宋体" w:eastAsia="宋体" w:cs="宋体"/>
          <w:b/>
          <w:bCs/>
          <w:color w:val="auto"/>
          <w:sz w:val="21"/>
          <w:szCs w:val="21"/>
          <w:highlight w:val="none"/>
          <w:u w:val="single"/>
        </w:rPr>
        <w:t>验收合格后，承包人向发包人交付随机资料和配套附属设备，包括但不限于出产证明、出厂试验报告和记录、合格证、保修卡、图纸、相关资料（如操作手册、使用指南、维修手册、安装调试说明书、服务手册等）及配备的用件、工具等。</w:t>
      </w:r>
    </w:p>
    <w:p w14:paraId="4650E402">
      <w:pPr>
        <w:keepNext w:val="0"/>
        <w:keepLines w:val="0"/>
        <w:pageBreakBefore w:val="0"/>
        <w:widowControl w:val="0"/>
        <w:kinsoku/>
        <w:wordWrap/>
        <w:overflowPunct/>
        <w:topLinePunct w:val="0"/>
        <w:bidi w:val="0"/>
        <w:spacing w:line="360" w:lineRule="auto"/>
        <w:ind w:firstLine="420" w:firstLineChars="200"/>
        <w:textAlignment w:val="auto"/>
        <w:outlineLvl w:val="9"/>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13.3 工程试车</w:t>
      </w:r>
    </w:p>
    <w:bookmarkEnd w:id="791"/>
    <w:p w14:paraId="256548CC">
      <w:pPr>
        <w:keepNext w:val="0"/>
        <w:keepLines w:val="0"/>
        <w:pageBreakBefore w:val="0"/>
        <w:widowControl w:val="0"/>
        <w:kinsoku/>
        <w:wordWrap/>
        <w:overflowPunct/>
        <w:topLinePunct w:val="0"/>
        <w:bidi w:val="0"/>
        <w:spacing w:line="360" w:lineRule="auto"/>
        <w:ind w:firstLine="420" w:firstLineChars="200"/>
        <w:textAlignment w:val="auto"/>
        <w:outlineLvl w:val="9"/>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13.3.1 试车程序</w:t>
      </w:r>
    </w:p>
    <w:p w14:paraId="198DABEF">
      <w:pPr>
        <w:keepNext w:val="0"/>
        <w:keepLines w:val="0"/>
        <w:pageBreakBefore w:val="0"/>
        <w:widowControl w:val="0"/>
        <w:kinsoku/>
        <w:wordWrap/>
        <w:overflowPunct/>
        <w:topLinePunct w:val="0"/>
        <w:bidi w:val="0"/>
        <w:spacing w:line="360" w:lineRule="auto"/>
        <w:ind w:firstLine="420" w:firstLineChars="200"/>
        <w:textAlignment w:val="auto"/>
        <w:outlineLvl w:val="9"/>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工程试车内容：</w:t>
      </w:r>
      <w:r>
        <w:rPr>
          <w:rFonts w:hint="eastAsia" w:ascii="宋体" w:hAnsi="宋体" w:eastAsia="宋体" w:cs="宋体"/>
          <w:color w:val="auto"/>
          <w:sz w:val="21"/>
          <w:szCs w:val="21"/>
          <w:highlight w:val="none"/>
          <w:u w:val="single"/>
        </w:rPr>
        <w:t xml:space="preserve">       /       </w:t>
      </w:r>
      <w:r>
        <w:rPr>
          <w:rFonts w:hint="eastAsia" w:ascii="宋体" w:hAnsi="宋体" w:eastAsia="宋体" w:cs="宋体"/>
          <w:color w:val="auto"/>
          <w:sz w:val="21"/>
          <w:szCs w:val="21"/>
          <w:highlight w:val="none"/>
        </w:rPr>
        <w:t>。</w:t>
      </w:r>
    </w:p>
    <w:p w14:paraId="2D6C6794">
      <w:pPr>
        <w:keepNext w:val="0"/>
        <w:keepLines w:val="0"/>
        <w:pageBreakBefore w:val="0"/>
        <w:widowControl w:val="0"/>
        <w:kinsoku/>
        <w:wordWrap/>
        <w:overflowPunct/>
        <w:topLinePunct w:val="0"/>
        <w:bidi w:val="0"/>
        <w:spacing w:line="360" w:lineRule="auto"/>
        <w:ind w:firstLine="420" w:firstLineChars="200"/>
        <w:textAlignment w:val="auto"/>
        <w:outlineLvl w:val="9"/>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（1）单机无负荷试车费用由</w:t>
      </w:r>
      <w:r>
        <w:rPr>
          <w:rFonts w:hint="eastAsia" w:ascii="宋体" w:hAnsi="宋体" w:eastAsia="宋体" w:cs="宋体"/>
          <w:color w:val="auto"/>
          <w:sz w:val="21"/>
          <w:szCs w:val="21"/>
          <w:highlight w:val="none"/>
          <w:u w:val="single"/>
        </w:rPr>
        <w:t xml:space="preserve">       /         </w:t>
      </w:r>
      <w:r>
        <w:rPr>
          <w:rFonts w:hint="eastAsia" w:ascii="宋体" w:hAnsi="宋体" w:eastAsia="宋体" w:cs="宋体"/>
          <w:color w:val="auto"/>
          <w:sz w:val="21"/>
          <w:szCs w:val="21"/>
          <w:highlight w:val="none"/>
        </w:rPr>
        <w:t>承担；</w:t>
      </w:r>
    </w:p>
    <w:p w14:paraId="497AE4AD">
      <w:pPr>
        <w:keepNext w:val="0"/>
        <w:keepLines w:val="0"/>
        <w:pageBreakBefore w:val="0"/>
        <w:widowControl w:val="0"/>
        <w:kinsoku/>
        <w:wordWrap/>
        <w:overflowPunct/>
        <w:topLinePunct w:val="0"/>
        <w:bidi w:val="0"/>
        <w:spacing w:line="360" w:lineRule="auto"/>
        <w:ind w:firstLine="420" w:firstLineChars="200"/>
        <w:textAlignment w:val="auto"/>
        <w:outlineLvl w:val="9"/>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（2）无负荷联动试车费用由</w:t>
      </w:r>
      <w:r>
        <w:rPr>
          <w:rFonts w:hint="eastAsia" w:ascii="宋体" w:hAnsi="宋体" w:eastAsia="宋体" w:cs="宋体"/>
          <w:color w:val="auto"/>
          <w:sz w:val="21"/>
          <w:szCs w:val="21"/>
          <w:highlight w:val="none"/>
          <w:u w:val="single"/>
        </w:rPr>
        <w:t xml:space="preserve">        /        </w:t>
      </w:r>
      <w:r>
        <w:rPr>
          <w:rFonts w:hint="eastAsia" w:ascii="宋体" w:hAnsi="宋体" w:eastAsia="宋体" w:cs="宋体"/>
          <w:color w:val="auto"/>
          <w:sz w:val="21"/>
          <w:szCs w:val="21"/>
          <w:highlight w:val="none"/>
        </w:rPr>
        <w:t>承担。</w:t>
      </w:r>
    </w:p>
    <w:p w14:paraId="3ADAB134">
      <w:pPr>
        <w:keepNext w:val="0"/>
        <w:keepLines w:val="0"/>
        <w:pageBreakBefore w:val="0"/>
        <w:widowControl w:val="0"/>
        <w:kinsoku/>
        <w:wordWrap/>
        <w:overflowPunct/>
        <w:topLinePunct w:val="0"/>
        <w:bidi w:val="0"/>
        <w:spacing w:line="360" w:lineRule="auto"/>
        <w:ind w:firstLine="420" w:firstLineChars="200"/>
        <w:textAlignment w:val="auto"/>
        <w:outlineLvl w:val="9"/>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13.3.2 投料试车</w:t>
      </w:r>
    </w:p>
    <w:p w14:paraId="354105F7">
      <w:pPr>
        <w:keepNext w:val="0"/>
        <w:keepLines w:val="0"/>
        <w:pageBreakBefore w:val="0"/>
        <w:widowControl w:val="0"/>
        <w:kinsoku/>
        <w:wordWrap/>
        <w:overflowPunct/>
        <w:topLinePunct w:val="0"/>
        <w:bidi w:val="0"/>
        <w:spacing w:line="360" w:lineRule="auto"/>
        <w:ind w:firstLine="420" w:firstLineChars="200"/>
        <w:textAlignment w:val="auto"/>
        <w:outlineLvl w:val="9"/>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关于投料试车相关事项的约定：</w:t>
      </w:r>
      <w:r>
        <w:rPr>
          <w:rFonts w:hint="eastAsia" w:ascii="宋体" w:hAnsi="宋体" w:eastAsia="宋体" w:cs="宋体"/>
          <w:color w:val="auto"/>
          <w:sz w:val="21"/>
          <w:szCs w:val="21"/>
          <w:highlight w:val="none"/>
          <w:u w:val="single"/>
        </w:rPr>
        <w:t xml:space="preserve">        /        </w:t>
      </w:r>
      <w:r>
        <w:rPr>
          <w:rFonts w:hint="eastAsia" w:ascii="宋体" w:hAnsi="宋体" w:eastAsia="宋体" w:cs="宋体"/>
          <w:color w:val="auto"/>
          <w:sz w:val="21"/>
          <w:szCs w:val="21"/>
          <w:highlight w:val="none"/>
        </w:rPr>
        <w:t>。</w:t>
      </w:r>
    </w:p>
    <w:p w14:paraId="4DDE1A96">
      <w:pPr>
        <w:keepNext w:val="0"/>
        <w:keepLines w:val="0"/>
        <w:pageBreakBefore w:val="0"/>
        <w:widowControl w:val="0"/>
        <w:kinsoku/>
        <w:wordWrap/>
        <w:overflowPunct/>
        <w:topLinePunct w:val="0"/>
        <w:bidi w:val="0"/>
        <w:spacing w:line="360" w:lineRule="auto"/>
        <w:ind w:firstLine="420" w:firstLineChars="200"/>
        <w:textAlignment w:val="auto"/>
        <w:outlineLvl w:val="9"/>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13.4 竣工退场</w:t>
      </w:r>
    </w:p>
    <w:p w14:paraId="5C304C41">
      <w:pPr>
        <w:keepNext w:val="0"/>
        <w:keepLines w:val="0"/>
        <w:pageBreakBefore w:val="0"/>
        <w:widowControl w:val="0"/>
        <w:kinsoku/>
        <w:wordWrap/>
        <w:overflowPunct/>
        <w:topLinePunct w:val="0"/>
        <w:bidi w:val="0"/>
        <w:spacing w:line="360" w:lineRule="auto"/>
        <w:ind w:firstLine="420" w:firstLineChars="200"/>
        <w:textAlignment w:val="auto"/>
        <w:outlineLvl w:val="9"/>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13.4.1 竣工退场</w:t>
      </w:r>
    </w:p>
    <w:p w14:paraId="5F72AF16">
      <w:pPr>
        <w:keepNext w:val="0"/>
        <w:keepLines w:val="0"/>
        <w:pageBreakBefore w:val="0"/>
        <w:widowControl w:val="0"/>
        <w:kinsoku/>
        <w:wordWrap/>
        <w:overflowPunct/>
        <w:topLinePunct w:val="0"/>
        <w:bidi w:val="0"/>
        <w:spacing w:line="360" w:lineRule="auto"/>
        <w:ind w:firstLine="420" w:firstLineChars="200"/>
        <w:textAlignment w:val="auto"/>
        <w:outlineLvl w:val="9"/>
        <w:rPr>
          <w:rFonts w:hint="eastAsia" w:ascii="宋体" w:hAnsi="宋体" w:eastAsia="宋体" w:cs="宋体"/>
          <w:b/>
          <w:bCs/>
          <w:color w:val="auto"/>
          <w:sz w:val="21"/>
          <w:szCs w:val="21"/>
          <w:highlight w:val="none"/>
          <w:u w:val="single"/>
        </w:rPr>
      </w:pPr>
      <w:r>
        <w:rPr>
          <w:rFonts w:hint="eastAsia" w:ascii="宋体" w:hAnsi="宋体" w:eastAsia="宋体" w:cs="宋体"/>
          <w:color w:val="auto"/>
          <w:sz w:val="21"/>
          <w:szCs w:val="21"/>
          <w:highlight w:val="none"/>
        </w:rPr>
        <w:t xml:space="preserve">承包人完成竣工退场的期限： </w:t>
      </w:r>
      <w:r>
        <w:rPr>
          <w:rFonts w:hint="eastAsia" w:ascii="宋体" w:hAnsi="宋体" w:eastAsia="宋体" w:cs="宋体"/>
          <w:b/>
          <w:bCs/>
          <w:color w:val="auto"/>
          <w:sz w:val="21"/>
          <w:szCs w:val="21"/>
          <w:highlight w:val="none"/>
          <w:u w:val="single"/>
        </w:rPr>
        <w:t>14日内完成竣工退场，逾期未完成，发包人有权处置承包人遗留物品，由此支出的费用由承包人承担，并相应承担逾期退场给发包人造成的一切损失</w:t>
      </w:r>
      <w:r>
        <w:rPr>
          <w:rFonts w:hint="eastAsia" w:ascii="宋体" w:hAnsi="宋体" w:cs="宋体"/>
          <w:b/>
          <w:bCs/>
          <w:color w:val="auto"/>
          <w:sz w:val="21"/>
          <w:szCs w:val="21"/>
          <w:highlight w:val="none"/>
          <w:u w:val="single"/>
          <w:lang w:val="en-US" w:eastAsia="zh-CN"/>
        </w:rPr>
        <w:t xml:space="preserve"> </w:t>
      </w:r>
      <w:r>
        <w:rPr>
          <w:rFonts w:hint="eastAsia" w:ascii="宋体" w:hAnsi="宋体" w:eastAsia="宋体" w:cs="宋体"/>
          <w:b/>
          <w:bCs/>
          <w:color w:val="auto"/>
          <w:sz w:val="21"/>
          <w:szCs w:val="21"/>
          <w:highlight w:val="none"/>
          <w:u w:val="single"/>
        </w:rPr>
        <w:t>。</w:t>
      </w:r>
    </w:p>
    <w:p w14:paraId="43B2D84C">
      <w:pPr>
        <w:keepNext w:val="0"/>
        <w:keepLines w:val="0"/>
        <w:pageBreakBefore w:val="0"/>
        <w:widowControl w:val="0"/>
        <w:kinsoku/>
        <w:wordWrap/>
        <w:overflowPunct/>
        <w:topLinePunct w:val="0"/>
        <w:autoSpaceDE/>
        <w:autoSpaceDN/>
        <w:bidi w:val="0"/>
        <w:adjustRightInd/>
        <w:snapToGrid/>
        <w:spacing w:line="360" w:lineRule="auto"/>
        <w:ind w:firstLine="422" w:firstLineChars="200"/>
        <w:textAlignment w:val="auto"/>
        <w:outlineLvl w:val="2"/>
        <w:rPr>
          <w:rFonts w:hint="eastAsia" w:ascii="宋体" w:hAnsi="宋体" w:eastAsia="宋体" w:cs="宋体"/>
          <w:b/>
          <w:color w:val="auto"/>
          <w:sz w:val="21"/>
          <w:szCs w:val="21"/>
          <w:highlight w:val="none"/>
        </w:rPr>
      </w:pPr>
      <w:bookmarkStart w:id="792" w:name="_Toc168862328"/>
      <w:bookmarkStart w:id="793" w:name="_Toc25205"/>
      <w:bookmarkStart w:id="794" w:name="_Toc23325"/>
      <w:bookmarkStart w:id="795" w:name="_Toc167230041"/>
      <w:bookmarkStart w:id="796" w:name="_Toc31055"/>
      <w:bookmarkStart w:id="797" w:name="_Toc351203646"/>
      <w:bookmarkStart w:id="798" w:name="_Toc24763"/>
      <w:r>
        <w:rPr>
          <w:rFonts w:hint="eastAsia" w:ascii="宋体" w:hAnsi="宋体" w:eastAsia="宋体" w:cs="宋体"/>
          <w:b/>
          <w:color w:val="auto"/>
          <w:sz w:val="21"/>
          <w:szCs w:val="21"/>
          <w:highlight w:val="none"/>
        </w:rPr>
        <w:t>14. 竣工结算</w:t>
      </w:r>
      <w:bookmarkEnd w:id="792"/>
      <w:bookmarkEnd w:id="793"/>
      <w:bookmarkEnd w:id="794"/>
      <w:bookmarkEnd w:id="795"/>
      <w:bookmarkEnd w:id="796"/>
      <w:bookmarkEnd w:id="797"/>
      <w:bookmarkEnd w:id="798"/>
    </w:p>
    <w:p w14:paraId="201D4238">
      <w:pPr>
        <w:keepNext w:val="0"/>
        <w:keepLines w:val="0"/>
        <w:pageBreakBefore w:val="0"/>
        <w:widowControl w:val="0"/>
        <w:kinsoku/>
        <w:wordWrap/>
        <w:overflowPunct/>
        <w:topLinePunct w:val="0"/>
        <w:bidi w:val="0"/>
        <w:spacing w:line="360" w:lineRule="auto"/>
        <w:ind w:firstLine="420" w:firstLineChars="200"/>
        <w:textAlignment w:val="auto"/>
        <w:outlineLvl w:val="9"/>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14.1 竣工结算申请</w:t>
      </w:r>
    </w:p>
    <w:p w14:paraId="7B186394">
      <w:pPr>
        <w:keepNext w:val="0"/>
        <w:keepLines w:val="0"/>
        <w:pageBreakBefore w:val="0"/>
        <w:widowControl w:val="0"/>
        <w:kinsoku/>
        <w:wordWrap/>
        <w:overflowPunct/>
        <w:topLinePunct w:val="0"/>
        <w:bidi w:val="0"/>
        <w:spacing w:line="360" w:lineRule="auto"/>
        <w:ind w:firstLine="420" w:firstLineChars="200"/>
        <w:textAlignment w:val="auto"/>
        <w:outlineLvl w:val="9"/>
        <w:rPr>
          <w:rFonts w:hint="eastAsia" w:ascii="宋体" w:hAnsi="宋体" w:eastAsia="宋体" w:cs="宋体"/>
          <w:b/>
          <w:bCs/>
          <w:color w:val="auto"/>
          <w:sz w:val="21"/>
          <w:szCs w:val="21"/>
          <w:highlight w:val="none"/>
          <w:u w:val="single"/>
        </w:rPr>
      </w:pPr>
      <w:r>
        <w:rPr>
          <w:rFonts w:hint="eastAsia" w:ascii="宋体" w:hAnsi="宋体" w:eastAsia="宋体" w:cs="宋体"/>
          <w:color w:val="auto"/>
          <w:sz w:val="21"/>
          <w:szCs w:val="21"/>
          <w:highlight w:val="none"/>
        </w:rPr>
        <w:t>承包人提交竣工结算申请单的期限：</w:t>
      </w:r>
      <w:r>
        <w:rPr>
          <w:rFonts w:hint="eastAsia" w:ascii="宋体" w:hAnsi="宋体" w:eastAsia="宋体" w:cs="宋体"/>
          <w:b/>
          <w:bCs/>
          <w:color w:val="auto"/>
          <w:sz w:val="21"/>
          <w:szCs w:val="21"/>
          <w:highlight w:val="none"/>
          <w:u w:val="single"/>
        </w:rPr>
        <w:t>工程竣工验收合格后14天内向发包人提供竣工结算申请单以及相关竣工资料。</w:t>
      </w:r>
    </w:p>
    <w:p w14:paraId="4B37A57A">
      <w:pPr>
        <w:keepNext w:val="0"/>
        <w:keepLines w:val="0"/>
        <w:pageBreakBefore w:val="0"/>
        <w:widowControl w:val="0"/>
        <w:kinsoku/>
        <w:wordWrap/>
        <w:overflowPunct/>
        <w:topLinePunct w:val="0"/>
        <w:bidi w:val="0"/>
        <w:spacing w:line="360" w:lineRule="auto"/>
        <w:ind w:firstLine="420" w:firstLineChars="200"/>
        <w:textAlignment w:val="auto"/>
        <w:outlineLvl w:val="9"/>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竣工结算申请单应包括的内容：</w:t>
      </w:r>
    </w:p>
    <w:p w14:paraId="6B04BA96">
      <w:pPr>
        <w:keepNext w:val="0"/>
        <w:keepLines w:val="0"/>
        <w:pageBreakBefore w:val="0"/>
        <w:widowControl w:val="0"/>
        <w:kinsoku/>
        <w:wordWrap/>
        <w:overflowPunct/>
        <w:topLinePunct w:val="0"/>
        <w:bidi w:val="0"/>
        <w:spacing w:line="360" w:lineRule="auto"/>
        <w:ind w:firstLine="422" w:firstLineChars="200"/>
        <w:textAlignment w:val="auto"/>
        <w:outlineLvl w:val="9"/>
        <w:rPr>
          <w:rFonts w:hint="eastAsia" w:ascii="宋体" w:hAnsi="宋体" w:eastAsia="宋体" w:cs="宋体"/>
          <w:b/>
          <w:bCs/>
          <w:color w:val="auto"/>
          <w:sz w:val="21"/>
          <w:szCs w:val="21"/>
          <w:highlight w:val="none"/>
          <w:u w:val="single"/>
        </w:rPr>
      </w:pPr>
      <w:r>
        <w:rPr>
          <w:rFonts w:hint="eastAsia" w:ascii="宋体" w:hAnsi="宋体" w:eastAsia="宋体" w:cs="宋体"/>
          <w:b/>
          <w:bCs/>
          <w:color w:val="auto"/>
          <w:sz w:val="21"/>
          <w:szCs w:val="21"/>
          <w:highlight w:val="none"/>
          <w:u w:val="single"/>
        </w:rPr>
        <w:t>除通用条款第14.1条约定内容外，还包括但不限于工程施工过程中承包人所提供的报告、签证、洽商纪要、材料价格签认单等</w:t>
      </w:r>
      <w:r>
        <w:rPr>
          <w:rFonts w:hint="eastAsia" w:ascii="宋体" w:hAnsi="宋体" w:eastAsia="宋体" w:cs="宋体"/>
          <w:b/>
          <w:bCs/>
          <w:color w:val="auto"/>
          <w:sz w:val="21"/>
          <w:szCs w:val="21"/>
          <w:highlight w:val="none"/>
        </w:rPr>
        <w:t>。</w:t>
      </w:r>
    </w:p>
    <w:p w14:paraId="62C7CB00">
      <w:pPr>
        <w:keepNext w:val="0"/>
        <w:keepLines w:val="0"/>
        <w:pageBreakBefore w:val="0"/>
        <w:widowControl w:val="0"/>
        <w:kinsoku/>
        <w:wordWrap/>
        <w:overflowPunct/>
        <w:topLinePunct w:val="0"/>
        <w:bidi w:val="0"/>
        <w:spacing w:line="360" w:lineRule="auto"/>
        <w:ind w:firstLine="420" w:firstLineChars="200"/>
        <w:textAlignment w:val="auto"/>
        <w:outlineLvl w:val="9"/>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竣工结算的其他约定：</w:t>
      </w:r>
    </w:p>
    <w:p w14:paraId="7C20D3B1">
      <w:pPr>
        <w:keepNext w:val="0"/>
        <w:keepLines w:val="0"/>
        <w:pageBreakBefore w:val="0"/>
        <w:widowControl w:val="0"/>
        <w:kinsoku/>
        <w:wordWrap/>
        <w:overflowPunct/>
        <w:topLinePunct w:val="0"/>
        <w:bidi w:val="0"/>
        <w:spacing w:line="360" w:lineRule="auto"/>
        <w:ind w:firstLine="422" w:firstLineChars="200"/>
        <w:textAlignment w:val="auto"/>
        <w:outlineLvl w:val="9"/>
        <w:rPr>
          <w:rFonts w:hint="eastAsia" w:ascii="宋体" w:hAnsi="宋体" w:eastAsia="宋体" w:cs="宋体"/>
          <w:b/>
          <w:bCs/>
          <w:color w:val="auto"/>
          <w:sz w:val="21"/>
          <w:szCs w:val="21"/>
          <w:highlight w:val="none"/>
          <w:u w:val="single"/>
        </w:rPr>
      </w:pPr>
      <w:r>
        <w:rPr>
          <w:rFonts w:hint="eastAsia" w:ascii="宋体" w:hAnsi="宋体" w:eastAsia="宋体" w:cs="宋体"/>
          <w:b/>
          <w:bCs/>
          <w:color w:val="auto"/>
          <w:sz w:val="21"/>
          <w:szCs w:val="21"/>
          <w:highlight w:val="none"/>
          <w:u w:val="single"/>
        </w:rPr>
        <w:t>（1）所有竣工结算资料均需使用发包人统一格式要求的专项表格，所报表格必须清晰、完整，并于规定时间报送。</w:t>
      </w:r>
    </w:p>
    <w:p w14:paraId="03689529">
      <w:pPr>
        <w:keepNext w:val="0"/>
        <w:keepLines w:val="0"/>
        <w:pageBreakBefore w:val="0"/>
        <w:widowControl w:val="0"/>
        <w:kinsoku/>
        <w:wordWrap/>
        <w:overflowPunct/>
        <w:topLinePunct w:val="0"/>
        <w:bidi w:val="0"/>
        <w:spacing w:line="360" w:lineRule="auto"/>
        <w:ind w:firstLine="422" w:firstLineChars="200"/>
        <w:textAlignment w:val="auto"/>
        <w:outlineLvl w:val="9"/>
        <w:rPr>
          <w:rFonts w:hint="eastAsia" w:ascii="宋体" w:hAnsi="宋体" w:eastAsia="宋体" w:cs="宋体"/>
          <w:b/>
          <w:bCs/>
          <w:color w:val="auto"/>
          <w:sz w:val="21"/>
          <w:szCs w:val="21"/>
          <w:highlight w:val="none"/>
          <w:u w:val="single"/>
        </w:rPr>
      </w:pPr>
      <w:r>
        <w:rPr>
          <w:rFonts w:hint="eastAsia" w:ascii="宋体" w:hAnsi="宋体" w:eastAsia="宋体" w:cs="宋体"/>
          <w:b/>
          <w:bCs/>
          <w:color w:val="auto"/>
          <w:sz w:val="21"/>
          <w:szCs w:val="21"/>
          <w:highlight w:val="none"/>
          <w:u w:val="single"/>
        </w:rPr>
        <w:t>（2）工程竣工后28天内，承包人一次性提交齐全符合发包人要求的竣工结算相关资料（采用软件计量、计价的，同时提供计量、计件电子版，电子版本与纸质版本一致；以及完整有效的变更签证、结算汇总表等相关结算资料）。承包人须按照发包人要求的期限提交结算资料。因未按要求提交资料，或者在审核过程中，因送审的结算资料有遗漏，造成无法计入项目总投资的责任由承包人承担。承包人无条件配合发包人及发包人所委托的造价咨询公司审核结算。</w:t>
      </w:r>
    </w:p>
    <w:p w14:paraId="0E9D5BC7">
      <w:pPr>
        <w:keepNext w:val="0"/>
        <w:keepLines w:val="0"/>
        <w:pageBreakBefore w:val="0"/>
        <w:widowControl w:val="0"/>
        <w:kinsoku/>
        <w:wordWrap/>
        <w:overflowPunct/>
        <w:topLinePunct w:val="0"/>
        <w:bidi w:val="0"/>
        <w:spacing w:line="360" w:lineRule="auto"/>
        <w:ind w:firstLine="422" w:firstLineChars="200"/>
        <w:textAlignment w:val="auto"/>
        <w:outlineLvl w:val="9"/>
        <w:rPr>
          <w:rFonts w:hint="eastAsia" w:ascii="宋体" w:hAnsi="宋体" w:eastAsia="宋体" w:cs="宋体"/>
          <w:b/>
          <w:bCs/>
          <w:color w:val="auto"/>
          <w:sz w:val="21"/>
          <w:szCs w:val="21"/>
          <w:highlight w:val="none"/>
          <w:u w:val="single"/>
        </w:rPr>
      </w:pPr>
      <w:r>
        <w:rPr>
          <w:rFonts w:hint="eastAsia" w:ascii="宋体" w:hAnsi="宋体" w:eastAsia="宋体" w:cs="宋体"/>
          <w:b/>
          <w:bCs/>
          <w:color w:val="auto"/>
          <w:sz w:val="21"/>
          <w:szCs w:val="21"/>
          <w:highlight w:val="none"/>
          <w:u w:val="single"/>
        </w:rPr>
        <w:t>（3）竣工图、设计变更、工程签证、施工方案、施工过程记录、材料认价单等竣工结算依据资料，必须按发包人相关管理制度办理（施工组织设计及经发包人审批的各项方案，若涉及到经济的必须办理相关经济资料，经发包人认可后方可计入结算价款）。</w:t>
      </w:r>
    </w:p>
    <w:p w14:paraId="6E07C9B9">
      <w:pPr>
        <w:keepNext w:val="0"/>
        <w:keepLines w:val="0"/>
        <w:pageBreakBefore w:val="0"/>
        <w:widowControl w:val="0"/>
        <w:kinsoku/>
        <w:wordWrap/>
        <w:overflowPunct/>
        <w:topLinePunct w:val="0"/>
        <w:bidi w:val="0"/>
        <w:spacing w:line="360" w:lineRule="auto"/>
        <w:ind w:firstLine="413" w:firstLineChars="196"/>
        <w:textAlignment w:val="auto"/>
        <w:outlineLvl w:val="9"/>
        <w:rPr>
          <w:rFonts w:hint="eastAsia" w:ascii="宋体" w:hAnsi="宋体" w:eastAsia="宋体" w:cs="宋体"/>
          <w:b/>
          <w:bCs/>
          <w:color w:val="auto"/>
          <w:sz w:val="21"/>
          <w:szCs w:val="21"/>
          <w:highlight w:val="none"/>
          <w:u w:val="single"/>
          <w:lang w:bidi="en-US"/>
        </w:rPr>
      </w:pPr>
      <w:r>
        <w:rPr>
          <w:rFonts w:hint="eastAsia" w:ascii="宋体" w:hAnsi="宋体" w:eastAsia="宋体" w:cs="宋体"/>
          <w:b/>
          <w:bCs/>
          <w:color w:val="auto"/>
          <w:sz w:val="21"/>
          <w:szCs w:val="21"/>
          <w:highlight w:val="none"/>
          <w:u w:val="single"/>
        </w:rPr>
        <w:t>（4）设计变更需由设计单位及发包人同时认可才允许变更，</w:t>
      </w:r>
      <w:r>
        <w:rPr>
          <w:rFonts w:hint="eastAsia" w:ascii="宋体" w:hAnsi="宋体" w:eastAsia="宋体" w:cs="宋体"/>
          <w:b/>
          <w:bCs/>
          <w:color w:val="auto"/>
          <w:sz w:val="21"/>
          <w:szCs w:val="21"/>
          <w:highlight w:val="none"/>
          <w:u w:val="single"/>
          <w:lang w:bidi="en-US"/>
        </w:rPr>
        <w:t>且需根据发包人相关管理办法申请上报审批，承包人根据已审批合格的变更计入结算。</w:t>
      </w:r>
    </w:p>
    <w:p w14:paraId="365BACDC">
      <w:pPr>
        <w:keepNext w:val="0"/>
        <w:keepLines w:val="0"/>
        <w:pageBreakBefore w:val="0"/>
        <w:widowControl w:val="0"/>
        <w:kinsoku/>
        <w:wordWrap/>
        <w:overflowPunct/>
        <w:topLinePunct w:val="0"/>
        <w:bidi w:val="0"/>
        <w:spacing w:line="360" w:lineRule="auto"/>
        <w:ind w:firstLine="413" w:firstLineChars="196"/>
        <w:textAlignment w:val="auto"/>
        <w:outlineLvl w:val="9"/>
        <w:rPr>
          <w:rFonts w:hint="eastAsia" w:ascii="宋体" w:hAnsi="宋体" w:eastAsia="宋体" w:cs="宋体"/>
          <w:b/>
          <w:bCs/>
          <w:color w:val="auto"/>
          <w:sz w:val="21"/>
          <w:szCs w:val="21"/>
          <w:highlight w:val="none"/>
          <w:u w:val="single"/>
          <w:lang w:bidi="en-US"/>
        </w:rPr>
      </w:pPr>
      <w:r>
        <w:rPr>
          <w:rFonts w:hint="eastAsia" w:ascii="宋体" w:hAnsi="宋体" w:eastAsia="宋体" w:cs="宋体"/>
          <w:b/>
          <w:bCs/>
          <w:color w:val="auto"/>
          <w:sz w:val="21"/>
          <w:szCs w:val="21"/>
          <w:highlight w:val="none"/>
          <w:u w:val="single"/>
          <w:lang w:bidi="en-US"/>
        </w:rPr>
        <w:t>（5）</w:t>
      </w:r>
      <w:r>
        <w:rPr>
          <w:rFonts w:hint="eastAsia" w:ascii="宋体" w:hAnsi="宋体" w:eastAsia="宋体" w:cs="宋体"/>
          <w:b/>
          <w:bCs/>
          <w:color w:val="auto"/>
          <w:sz w:val="21"/>
          <w:szCs w:val="21"/>
          <w:highlight w:val="none"/>
          <w:u w:val="single"/>
        </w:rPr>
        <w:t>无特殊原因不允许发生现场签证，本项目原则上不办零星机械台班或零星用工签证；如确需发生时，</w:t>
      </w:r>
      <w:r>
        <w:rPr>
          <w:rFonts w:hint="eastAsia" w:ascii="宋体" w:hAnsi="宋体" w:eastAsia="宋体" w:cs="宋体"/>
          <w:b/>
          <w:bCs/>
          <w:color w:val="auto"/>
          <w:sz w:val="21"/>
          <w:szCs w:val="21"/>
          <w:highlight w:val="none"/>
          <w:u w:val="single"/>
          <w:lang w:bidi="en-US"/>
        </w:rPr>
        <w:t>签证须按发包人相关管理制度办理，</w:t>
      </w:r>
      <w:r>
        <w:rPr>
          <w:rFonts w:hint="eastAsia" w:ascii="宋体" w:hAnsi="宋体" w:eastAsia="宋体" w:cs="宋体"/>
          <w:b/>
          <w:bCs/>
          <w:color w:val="auto"/>
          <w:sz w:val="21"/>
          <w:szCs w:val="21"/>
          <w:highlight w:val="none"/>
          <w:u w:val="single"/>
        </w:rPr>
        <w:t>签证中零星机械台班或零星用工按定额单价计取。签证需在规定的时效内办理，超过28天未办理完成的签证，不予计入进度款支付且结算时不予计算。</w:t>
      </w:r>
    </w:p>
    <w:p w14:paraId="09AC226A">
      <w:pPr>
        <w:keepNext w:val="0"/>
        <w:keepLines w:val="0"/>
        <w:pageBreakBefore w:val="0"/>
        <w:widowControl w:val="0"/>
        <w:kinsoku/>
        <w:wordWrap/>
        <w:overflowPunct/>
        <w:topLinePunct w:val="0"/>
        <w:bidi w:val="0"/>
        <w:spacing w:line="360" w:lineRule="auto"/>
        <w:ind w:firstLine="422" w:firstLineChars="200"/>
        <w:textAlignment w:val="auto"/>
        <w:outlineLvl w:val="9"/>
        <w:rPr>
          <w:rFonts w:hint="eastAsia" w:ascii="宋体" w:hAnsi="宋体" w:eastAsia="宋体" w:cs="宋体"/>
          <w:b/>
          <w:bCs/>
          <w:color w:val="auto"/>
          <w:sz w:val="21"/>
          <w:szCs w:val="21"/>
          <w:highlight w:val="none"/>
          <w:u w:val="single"/>
        </w:rPr>
      </w:pPr>
      <w:r>
        <w:rPr>
          <w:rFonts w:hint="eastAsia" w:ascii="宋体" w:hAnsi="宋体" w:eastAsia="宋体" w:cs="宋体"/>
          <w:b/>
          <w:bCs/>
          <w:color w:val="auto"/>
          <w:sz w:val="21"/>
          <w:szCs w:val="21"/>
          <w:highlight w:val="none"/>
          <w:u w:val="single"/>
        </w:rPr>
        <w:t>（6）凡涉及到新工艺、新材料、新设备的使用须经发包人批准；经发包人和发包人委托的监理人审批的施工组织设计或施工方案等只作技术上的认定；若涉及到经济的必须办理相关经济资料，经发包人认可后方可计入结算价款。</w:t>
      </w:r>
    </w:p>
    <w:p w14:paraId="272E275D">
      <w:pPr>
        <w:keepNext w:val="0"/>
        <w:keepLines w:val="0"/>
        <w:pageBreakBefore w:val="0"/>
        <w:widowControl w:val="0"/>
        <w:kinsoku/>
        <w:wordWrap/>
        <w:overflowPunct/>
        <w:topLinePunct w:val="0"/>
        <w:bidi w:val="0"/>
        <w:spacing w:line="360" w:lineRule="auto"/>
        <w:ind w:firstLine="422" w:firstLineChars="200"/>
        <w:textAlignment w:val="auto"/>
        <w:outlineLvl w:val="9"/>
        <w:rPr>
          <w:rFonts w:hint="eastAsia" w:ascii="宋体" w:hAnsi="宋体" w:eastAsia="宋体" w:cs="宋体"/>
          <w:b/>
          <w:bCs/>
          <w:color w:val="auto"/>
          <w:sz w:val="21"/>
          <w:szCs w:val="21"/>
          <w:highlight w:val="none"/>
          <w:u w:val="single"/>
        </w:rPr>
      </w:pPr>
      <w:r>
        <w:rPr>
          <w:rFonts w:hint="eastAsia" w:ascii="宋体" w:hAnsi="宋体" w:eastAsia="宋体" w:cs="宋体"/>
          <w:b/>
          <w:bCs/>
          <w:color w:val="auto"/>
          <w:sz w:val="21"/>
          <w:szCs w:val="21"/>
          <w:highlight w:val="none"/>
          <w:u w:val="single"/>
        </w:rPr>
        <w:t>（7）所有的工程变更应有手续完善的工作联系单及变更资料并反映在竣工图中，否则变更减少的双倍扣除，变更增加的不予计取。</w:t>
      </w:r>
    </w:p>
    <w:p w14:paraId="27CCEC35">
      <w:pPr>
        <w:keepNext w:val="0"/>
        <w:keepLines w:val="0"/>
        <w:pageBreakBefore w:val="0"/>
        <w:widowControl w:val="0"/>
        <w:kinsoku/>
        <w:wordWrap/>
        <w:overflowPunct/>
        <w:topLinePunct w:val="0"/>
        <w:bidi w:val="0"/>
        <w:spacing w:line="360" w:lineRule="auto"/>
        <w:ind w:firstLine="422" w:firstLineChars="200"/>
        <w:textAlignment w:val="auto"/>
        <w:outlineLvl w:val="9"/>
        <w:rPr>
          <w:rFonts w:hint="eastAsia" w:ascii="宋体" w:hAnsi="宋体" w:eastAsia="宋体" w:cs="宋体"/>
          <w:b/>
          <w:bCs/>
          <w:color w:val="auto"/>
          <w:sz w:val="21"/>
          <w:szCs w:val="21"/>
          <w:highlight w:val="none"/>
          <w:u w:val="single"/>
        </w:rPr>
      </w:pPr>
      <w:r>
        <w:rPr>
          <w:rFonts w:hint="eastAsia" w:ascii="宋体" w:hAnsi="宋体" w:eastAsia="宋体" w:cs="宋体"/>
          <w:b/>
          <w:bCs/>
          <w:color w:val="auto"/>
          <w:sz w:val="21"/>
          <w:szCs w:val="21"/>
          <w:highlight w:val="none"/>
          <w:u w:val="single"/>
        </w:rPr>
        <w:t>（8）如果在规定的时间内不能完成结算相关依据资料（包括但不限于图纸、方案、变更签证等）或资料不完善、资料与实际施工和规范标准不符等问题，涉及到的增加费用不予计取。</w:t>
      </w:r>
    </w:p>
    <w:p w14:paraId="3398544F">
      <w:pPr>
        <w:keepNext w:val="0"/>
        <w:keepLines w:val="0"/>
        <w:pageBreakBefore w:val="0"/>
        <w:widowControl w:val="0"/>
        <w:kinsoku/>
        <w:wordWrap/>
        <w:overflowPunct/>
        <w:topLinePunct w:val="0"/>
        <w:bidi w:val="0"/>
        <w:spacing w:line="360" w:lineRule="auto"/>
        <w:ind w:firstLine="422" w:firstLineChars="200"/>
        <w:textAlignment w:val="auto"/>
        <w:outlineLvl w:val="9"/>
        <w:rPr>
          <w:rFonts w:hint="eastAsia" w:ascii="宋体" w:hAnsi="宋体" w:eastAsia="宋体" w:cs="宋体"/>
          <w:b/>
          <w:bCs/>
          <w:color w:val="auto"/>
          <w:sz w:val="21"/>
          <w:szCs w:val="21"/>
          <w:highlight w:val="none"/>
          <w:u w:val="single"/>
          <w:lang w:eastAsia="zh-CN"/>
        </w:rPr>
      </w:pPr>
      <w:r>
        <w:rPr>
          <w:rFonts w:hint="eastAsia" w:ascii="宋体" w:hAnsi="宋体" w:eastAsia="宋体" w:cs="宋体"/>
          <w:b/>
          <w:bCs/>
          <w:color w:val="auto"/>
          <w:sz w:val="21"/>
          <w:szCs w:val="21"/>
          <w:highlight w:val="none"/>
          <w:u w:val="single"/>
          <w:lang w:eastAsia="zh-CN"/>
        </w:rPr>
        <w:t>（</w:t>
      </w:r>
      <w:r>
        <w:rPr>
          <w:rFonts w:hint="eastAsia" w:ascii="宋体" w:hAnsi="宋体" w:cs="宋体"/>
          <w:b/>
          <w:bCs/>
          <w:color w:val="auto"/>
          <w:sz w:val="21"/>
          <w:szCs w:val="21"/>
          <w:highlight w:val="none"/>
          <w:u w:val="single"/>
          <w:lang w:val="en-US" w:eastAsia="zh-CN"/>
        </w:rPr>
        <w:t>9</w:t>
      </w:r>
      <w:r>
        <w:rPr>
          <w:rFonts w:hint="eastAsia" w:ascii="宋体" w:hAnsi="宋体" w:eastAsia="宋体" w:cs="宋体"/>
          <w:b/>
          <w:bCs/>
          <w:color w:val="auto"/>
          <w:sz w:val="21"/>
          <w:szCs w:val="21"/>
          <w:highlight w:val="none"/>
          <w:u w:val="single"/>
          <w:lang w:eastAsia="zh-CN"/>
        </w:rPr>
        <w:t>）</w:t>
      </w:r>
      <w:r>
        <w:rPr>
          <w:rFonts w:hint="eastAsia" w:ascii="宋体" w:hAnsi="宋体" w:eastAsia="宋体" w:cs="宋体"/>
          <w:b/>
          <w:bCs/>
          <w:color w:val="auto"/>
          <w:sz w:val="21"/>
          <w:szCs w:val="21"/>
          <w:highlight w:val="none"/>
          <w:u w:val="single"/>
        </w:rPr>
        <w:t>本项目</w:t>
      </w:r>
      <w:r>
        <w:rPr>
          <w:rFonts w:hint="eastAsia" w:ascii="宋体" w:hAnsi="宋体" w:cs="宋体"/>
          <w:b/>
          <w:bCs/>
          <w:color w:val="auto"/>
          <w:sz w:val="21"/>
          <w:szCs w:val="21"/>
          <w:highlight w:val="none"/>
          <w:u w:val="single"/>
          <w:lang w:val="en-US" w:eastAsia="zh-CN"/>
        </w:rPr>
        <w:t>在合同总价</w:t>
      </w:r>
      <w:r>
        <w:rPr>
          <w:rFonts w:hint="eastAsia" w:ascii="宋体" w:hAnsi="宋体" w:eastAsia="宋体" w:cs="宋体"/>
          <w:b/>
          <w:bCs/>
          <w:color w:val="auto"/>
          <w:sz w:val="21"/>
          <w:szCs w:val="21"/>
          <w:highlight w:val="none"/>
          <w:u w:val="single"/>
        </w:rPr>
        <w:t>范围内</w:t>
      </w:r>
      <w:r>
        <w:rPr>
          <w:rFonts w:hint="eastAsia" w:ascii="宋体" w:hAnsi="宋体" w:cs="宋体"/>
          <w:b/>
          <w:bCs/>
          <w:color w:val="auto"/>
          <w:sz w:val="21"/>
          <w:szCs w:val="21"/>
          <w:highlight w:val="none"/>
          <w:u w:val="single"/>
          <w:lang w:val="en-US" w:eastAsia="zh-CN"/>
        </w:rPr>
        <w:t>实施，</w:t>
      </w:r>
      <w:r>
        <w:rPr>
          <w:rFonts w:hint="eastAsia" w:ascii="宋体" w:hAnsi="宋体" w:eastAsia="宋体" w:cs="宋体"/>
          <w:b/>
          <w:bCs/>
          <w:color w:val="auto"/>
          <w:sz w:val="21"/>
          <w:szCs w:val="21"/>
          <w:highlight w:val="none"/>
          <w:u w:val="single"/>
        </w:rPr>
        <w:t>最终结算价款不得超出合同总金额，超出部分由施工单位自行承担。工程竣工结算审定金额低于合同总金额的，按审定金额结算</w:t>
      </w:r>
      <w:r>
        <w:rPr>
          <w:rFonts w:hint="eastAsia" w:ascii="宋体" w:hAnsi="宋体" w:eastAsia="宋体" w:cs="宋体"/>
          <w:b/>
          <w:bCs/>
          <w:color w:val="auto"/>
          <w:sz w:val="21"/>
          <w:szCs w:val="21"/>
          <w:highlight w:val="none"/>
          <w:u w:val="single"/>
          <w:lang w:eastAsia="zh-CN"/>
        </w:rPr>
        <w:t>。</w:t>
      </w:r>
    </w:p>
    <w:p w14:paraId="39CA0151">
      <w:pPr>
        <w:keepNext w:val="0"/>
        <w:keepLines w:val="0"/>
        <w:pageBreakBefore w:val="0"/>
        <w:widowControl w:val="0"/>
        <w:kinsoku/>
        <w:wordWrap/>
        <w:overflowPunct/>
        <w:topLinePunct w:val="0"/>
        <w:bidi w:val="0"/>
        <w:spacing w:line="360" w:lineRule="auto"/>
        <w:ind w:firstLine="420" w:firstLineChars="200"/>
        <w:textAlignment w:val="auto"/>
        <w:outlineLvl w:val="9"/>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14.2 竣工结算审核</w:t>
      </w:r>
    </w:p>
    <w:p w14:paraId="1F937486">
      <w:pPr>
        <w:keepNext w:val="0"/>
        <w:keepLines w:val="0"/>
        <w:pageBreakBefore w:val="0"/>
        <w:widowControl w:val="0"/>
        <w:kinsoku/>
        <w:wordWrap/>
        <w:overflowPunct/>
        <w:topLinePunct w:val="0"/>
        <w:bidi w:val="0"/>
        <w:spacing w:line="360" w:lineRule="auto"/>
        <w:ind w:firstLine="420" w:firstLineChars="200"/>
        <w:textAlignment w:val="auto"/>
        <w:outlineLvl w:val="9"/>
        <w:rPr>
          <w:rFonts w:hint="eastAsia" w:ascii="宋体" w:hAnsi="宋体" w:eastAsia="宋体" w:cs="宋体"/>
          <w:b/>
          <w:bCs/>
          <w:color w:val="auto"/>
          <w:sz w:val="21"/>
          <w:szCs w:val="21"/>
          <w:highlight w:val="none"/>
          <w:u w:val="single"/>
        </w:rPr>
      </w:pPr>
      <w:r>
        <w:rPr>
          <w:rFonts w:hint="eastAsia" w:ascii="宋体" w:hAnsi="宋体" w:eastAsia="宋体" w:cs="宋体"/>
          <w:color w:val="auto"/>
          <w:sz w:val="21"/>
          <w:szCs w:val="21"/>
          <w:highlight w:val="none"/>
        </w:rPr>
        <w:t>发包人审批竣工付款申请单的期限：</w:t>
      </w:r>
      <w:r>
        <w:rPr>
          <w:rFonts w:hint="eastAsia" w:ascii="宋体" w:hAnsi="宋体" w:eastAsia="宋体" w:cs="宋体"/>
          <w:b/>
          <w:bCs/>
          <w:color w:val="auto"/>
          <w:sz w:val="21"/>
          <w:szCs w:val="21"/>
          <w:highlight w:val="none"/>
          <w:u w:val="single"/>
        </w:rPr>
        <w:t>按通用条款14.2（1）执行。</w:t>
      </w:r>
    </w:p>
    <w:p w14:paraId="6EC11863">
      <w:pPr>
        <w:keepNext w:val="0"/>
        <w:keepLines w:val="0"/>
        <w:pageBreakBefore w:val="0"/>
        <w:widowControl w:val="0"/>
        <w:kinsoku/>
        <w:wordWrap/>
        <w:overflowPunct/>
        <w:topLinePunct w:val="0"/>
        <w:bidi w:val="0"/>
        <w:spacing w:line="360" w:lineRule="auto"/>
        <w:ind w:firstLine="420" w:firstLineChars="200"/>
        <w:textAlignment w:val="auto"/>
        <w:outlineLvl w:val="9"/>
        <w:rPr>
          <w:rFonts w:hint="eastAsia" w:ascii="宋体" w:hAnsi="宋体" w:eastAsia="宋体" w:cs="宋体"/>
          <w:b/>
          <w:bCs/>
          <w:color w:val="auto"/>
          <w:sz w:val="21"/>
          <w:szCs w:val="21"/>
          <w:highlight w:val="none"/>
          <w:u w:val="single"/>
        </w:rPr>
      </w:pPr>
      <w:r>
        <w:rPr>
          <w:rFonts w:hint="eastAsia" w:ascii="宋体" w:hAnsi="宋体" w:eastAsia="宋体" w:cs="宋体"/>
          <w:color w:val="auto"/>
          <w:sz w:val="21"/>
          <w:szCs w:val="21"/>
          <w:highlight w:val="none"/>
        </w:rPr>
        <w:t>发包人完成竣工付款的期限：</w:t>
      </w:r>
      <w:r>
        <w:rPr>
          <w:rFonts w:hint="eastAsia" w:ascii="宋体" w:hAnsi="宋体" w:eastAsia="宋体" w:cs="宋体"/>
          <w:b/>
          <w:bCs/>
          <w:color w:val="auto"/>
          <w:sz w:val="21"/>
          <w:szCs w:val="21"/>
          <w:highlight w:val="none"/>
          <w:u w:val="single"/>
        </w:rPr>
        <w:t>最终结算完成，发包人收到签发付款证书两个月内，完成对承包人的竣工付款。</w:t>
      </w:r>
    </w:p>
    <w:p w14:paraId="22386B06">
      <w:pPr>
        <w:keepNext w:val="0"/>
        <w:keepLines w:val="0"/>
        <w:pageBreakBefore w:val="0"/>
        <w:widowControl w:val="0"/>
        <w:kinsoku/>
        <w:wordWrap/>
        <w:overflowPunct/>
        <w:topLinePunct w:val="0"/>
        <w:autoSpaceDE w:val="0"/>
        <w:autoSpaceDN w:val="0"/>
        <w:bidi w:val="0"/>
        <w:adjustRightInd w:val="0"/>
        <w:spacing w:line="360" w:lineRule="auto"/>
        <w:ind w:firstLine="420" w:firstLineChars="200"/>
        <w:textAlignment w:val="auto"/>
        <w:outlineLvl w:val="9"/>
        <w:rPr>
          <w:rFonts w:hint="eastAsia" w:ascii="宋体" w:hAnsi="宋体" w:eastAsia="宋体" w:cs="宋体"/>
          <w:b/>
          <w:bCs/>
          <w:color w:val="auto"/>
          <w:sz w:val="21"/>
          <w:szCs w:val="21"/>
          <w:highlight w:val="none"/>
          <w:u w:val="single"/>
        </w:rPr>
      </w:pPr>
      <w:r>
        <w:rPr>
          <w:rFonts w:hint="eastAsia" w:ascii="宋体" w:hAnsi="宋体" w:eastAsia="宋体" w:cs="宋体"/>
          <w:color w:val="auto"/>
          <w:sz w:val="21"/>
          <w:szCs w:val="21"/>
          <w:highlight w:val="none"/>
        </w:rPr>
        <w:t>关于竣工付款证书异议部分复核的方式和程序：</w:t>
      </w:r>
      <w:r>
        <w:rPr>
          <w:rFonts w:hint="eastAsia" w:ascii="宋体" w:hAnsi="宋体" w:eastAsia="宋体" w:cs="宋体"/>
          <w:b/>
          <w:bCs/>
          <w:color w:val="auto"/>
          <w:sz w:val="21"/>
          <w:szCs w:val="21"/>
          <w:highlight w:val="none"/>
          <w:u w:val="single"/>
        </w:rPr>
        <w:t>按通用条款14.2（3）执行。</w:t>
      </w:r>
    </w:p>
    <w:p w14:paraId="1C6270C5">
      <w:pPr>
        <w:keepNext w:val="0"/>
        <w:keepLines w:val="0"/>
        <w:pageBreakBefore w:val="0"/>
        <w:widowControl w:val="0"/>
        <w:kinsoku/>
        <w:wordWrap/>
        <w:overflowPunct/>
        <w:topLinePunct w:val="0"/>
        <w:bidi w:val="0"/>
        <w:spacing w:line="360" w:lineRule="auto"/>
        <w:ind w:firstLine="420" w:firstLineChars="200"/>
        <w:textAlignment w:val="auto"/>
        <w:outlineLvl w:val="9"/>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14.3 最终结清</w:t>
      </w:r>
    </w:p>
    <w:p w14:paraId="7AAC0B24">
      <w:pPr>
        <w:keepNext w:val="0"/>
        <w:keepLines w:val="0"/>
        <w:pageBreakBefore w:val="0"/>
        <w:widowControl w:val="0"/>
        <w:kinsoku/>
        <w:wordWrap/>
        <w:overflowPunct/>
        <w:topLinePunct w:val="0"/>
        <w:bidi w:val="0"/>
        <w:spacing w:line="360" w:lineRule="auto"/>
        <w:ind w:firstLine="420" w:firstLineChars="200"/>
        <w:textAlignment w:val="auto"/>
        <w:outlineLvl w:val="9"/>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14.3.1 最终结清申请单</w:t>
      </w:r>
    </w:p>
    <w:p w14:paraId="3CB7A033">
      <w:pPr>
        <w:keepNext w:val="0"/>
        <w:keepLines w:val="0"/>
        <w:pageBreakBefore w:val="0"/>
        <w:widowControl w:val="0"/>
        <w:kinsoku/>
        <w:wordWrap/>
        <w:overflowPunct/>
        <w:topLinePunct w:val="0"/>
        <w:bidi w:val="0"/>
        <w:spacing w:line="360" w:lineRule="auto"/>
        <w:ind w:firstLine="420" w:firstLineChars="200"/>
        <w:textAlignment w:val="auto"/>
        <w:outlineLvl w:val="9"/>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承包人提交最终结清申请单的份数：</w:t>
      </w:r>
      <w:r>
        <w:rPr>
          <w:rFonts w:hint="eastAsia" w:ascii="宋体" w:hAnsi="宋体" w:eastAsia="宋体" w:cs="宋体"/>
          <w:b/>
          <w:bCs/>
          <w:color w:val="auto"/>
          <w:sz w:val="21"/>
          <w:szCs w:val="21"/>
          <w:highlight w:val="none"/>
          <w:u w:val="single"/>
        </w:rPr>
        <w:t xml:space="preserve">    5份      </w:t>
      </w:r>
      <w:r>
        <w:rPr>
          <w:rFonts w:hint="eastAsia" w:ascii="宋体" w:hAnsi="宋体" w:eastAsia="宋体" w:cs="宋体"/>
          <w:color w:val="auto"/>
          <w:sz w:val="21"/>
          <w:szCs w:val="21"/>
          <w:highlight w:val="none"/>
        </w:rPr>
        <w:t>。</w:t>
      </w:r>
    </w:p>
    <w:p w14:paraId="3FBBE9A6">
      <w:pPr>
        <w:keepNext w:val="0"/>
        <w:keepLines w:val="0"/>
        <w:pageBreakBefore w:val="0"/>
        <w:widowControl w:val="0"/>
        <w:kinsoku/>
        <w:wordWrap/>
        <w:overflowPunct/>
        <w:topLinePunct w:val="0"/>
        <w:autoSpaceDE w:val="0"/>
        <w:autoSpaceDN w:val="0"/>
        <w:bidi w:val="0"/>
        <w:adjustRightInd w:val="0"/>
        <w:spacing w:line="360" w:lineRule="auto"/>
        <w:ind w:firstLine="420" w:firstLineChars="200"/>
        <w:textAlignment w:val="auto"/>
        <w:outlineLvl w:val="9"/>
        <w:rPr>
          <w:rFonts w:hint="eastAsia" w:ascii="宋体" w:hAnsi="宋体" w:eastAsia="宋体" w:cs="宋体"/>
          <w:b/>
          <w:bCs/>
          <w:color w:val="auto"/>
          <w:sz w:val="21"/>
          <w:szCs w:val="21"/>
          <w:highlight w:val="none"/>
          <w:u w:val="single"/>
        </w:rPr>
      </w:pPr>
      <w:r>
        <w:rPr>
          <w:rFonts w:hint="eastAsia" w:ascii="宋体" w:hAnsi="宋体" w:eastAsia="宋体" w:cs="宋体"/>
          <w:color w:val="auto"/>
          <w:sz w:val="21"/>
          <w:szCs w:val="21"/>
          <w:highlight w:val="none"/>
        </w:rPr>
        <w:t>承包人提交最终结算申请单的期限：</w:t>
      </w:r>
      <w:r>
        <w:rPr>
          <w:rFonts w:hint="eastAsia" w:ascii="宋体" w:hAnsi="宋体" w:eastAsia="宋体" w:cs="宋体"/>
          <w:b/>
          <w:bCs/>
          <w:color w:val="auto"/>
          <w:sz w:val="21"/>
          <w:szCs w:val="21"/>
          <w:highlight w:val="none"/>
          <w:u w:val="single"/>
        </w:rPr>
        <w:t>按通用条款14.4.1（1）执行。</w:t>
      </w:r>
    </w:p>
    <w:p w14:paraId="0B6ED9F0">
      <w:pPr>
        <w:keepNext w:val="0"/>
        <w:keepLines w:val="0"/>
        <w:pageBreakBefore w:val="0"/>
        <w:widowControl w:val="0"/>
        <w:kinsoku/>
        <w:wordWrap/>
        <w:overflowPunct/>
        <w:topLinePunct w:val="0"/>
        <w:bidi w:val="0"/>
        <w:spacing w:line="360" w:lineRule="auto"/>
        <w:ind w:firstLine="420" w:firstLineChars="200"/>
        <w:textAlignment w:val="auto"/>
        <w:outlineLvl w:val="9"/>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14.3.2 最终结清证书和支付</w:t>
      </w:r>
    </w:p>
    <w:p w14:paraId="1630ED6A">
      <w:pPr>
        <w:keepNext w:val="0"/>
        <w:keepLines w:val="0"/>
        <w:pageBreakBefore w:val="0"/>
        <w:widowControl w:val="0"/>
        <w:kinsoku/>
        <w:wordWrap/>
        <w:overflowPunct/>
        <w:topLinePunct w:val="0"/>
        <w:bidi w:val="0"/>
        <w:spacing w:line="360" w:lineRule="auto"/>
        <w:ind w:firstLine="420" w:firstLineChars="200"/>
        <w:textAlignment w:val="auto"/>
        <w:outlineLvl w:val="9"/>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（1）发包人完成最终结清申请单的审批并颁发最终结清证书的期限：</w:t>
      </w:r>
      <w:r>
        <w:rPr>
          <w:rFonts w:hint="eastAsia" w:ascii="宋体" w:hAnsi="宋体" w:eastAsia="宋体" w:cs="宋体"/>
          <w:b/>
          <w:bCs/>
          <w:color w:val="auto"/>
          <w:sz w:val="21"/>
          <w:szCs w:val="21"/>
          <w:highlight w:val="none"/>
          <w:u w:val="single"/>
        </w:rPr>
        <w:t xml:space="preserve"> 按通用条款14.4.2（1）执行 </w:t>
      </w:r>
      <w:r>
        <w:rPr>
          <w:rFonts w:hint="eastAsia" w:ascii="宋体" w:hAnsi="宋体" w:eastAsia="宋体" w:cs="宋体"/>
          <w:color w:val="auto"/>
          <w:sz w:val="21"/>
          <w:szCs w:val="21"/>
          <w:highlight w:val="none"/>
        </w:rPr>
        <w:t>。</w:t>
      </w:r>
    </w:p>
    <w:bookmarkEnd w:id="763"/>
    <w:bookmarkEnd w:id="764"/>
    <w:bookmarkEnd w:id="765"/>
    <w:bookmarkEnd w:id="766"/>
    <w:bookmarkEnd w:id="767"/>
    <w:bookmarkEnd w:id="768"/>
    <w:bookmarkEnd w:id="769"/>
    <w:bookmarkEnd w:id="770"/>
    <w:p w14:paraId="3848FCA2">
      <w:pPr>
        <w:keepNext w:val="0"/>
        <w:keepLines w:val="0"/>
        <w:pageBreakBefore w:val="0"/>
        <w:widowControl w:val="0"/>
        <w:kinsoku/>
        <w:wordWrap/>
        <w:overflowPunct/>
        <w:topLinePunct w:val="0"/>
        <w:autoSpaceDE/>
        <w:autoSpaceDN/>
        <w:bidi w:val="0"/>
        <w:adjustRightInd/>
        <w:snapToGrid/>
        <w:spacing w:line="360" w:lineRule="auto"/>
        <w:ind w:firstLine="422" w:firstLineChars="200"/>
        <w:textAlignment w:val="auto"/>
        <w:outlineLvl w:val="2"/>
        <w:rPr>
          <w:rFonts w:hint="eastAsia" w:ascii="宋体" w:hAnsi="宋体" w:eastAsia="宋体" w:cs="宋体"/>
          <w:b/>
          <w:color w:val="auto"/>
          <w:sz w:val="21"/>
          <w:szCs w:val="21"/>
          <w:highlight w:val="none"/>
        </w:rPr>
      </w:pPr>
      <w:bookmarkStart w:id="799" w:name="_Toc8110"/>
      <w:bookmarkStart w:id="800" w:name="_Toc3411"/>
      <w:bookmarkStart w:id="801" w:name="_Toc351203647"/>
      <w:bookmarkStart w:id="802" w:name="_Toc5513"/>
      <w:bookmarkStart w:id="803" w:name="_Toc267251483"/>
      <w:bookmarkStart w:id="804" w:name="_Toc267251485"/>
      <w:bookmarkStart w:id="805" w:name="_Toc267251488"/>
      <w:bookmarkStart w:id="806" w:name="_Toc267251484"/>
      <w:bookmarkStart w:id="807" w:name="_Toc267251482"/>
      <w:bookmarkStart w:id="808" w:name="_Toc267251490"/>
      <w:bookmarkStart w:id="809" w:name="_Toc267251489"/>
      <w:bookmarkStart w:id="810" w:name="_Toc267251486"/>
      <w:bookmarkStart w:id="811" w:name="_Toc267251497"/>
      <w:bookmarkStart w:id="812" w:name="_Toc267251514"/>
      <w:bookmarkStart w:id="813" w:name="_Toc267251496"/>
      <w:bookmarkStart w:id="814" w:name="_Toc267251499"/>
      <w:bookmarkStart w:id="815" w:name="_Toc267251510"/>
      <w:bookmarkStart w:id="816" w:name="_Toc267251502"/>
      <w:bookmarkStart w:id="817" w:name="_Toc267251498"/>
      <w:bookmarkStart w:id="818" w:name="_Toc267251491"/>
      <w:bookmarkStart w:id="819" w:name="_Toc267251507"/>
      <w:bookmarkStart w:id="820" w:name="_Toc267251504"/>
      <w:bookmarkStart w:id="821" w:name="_Toc267251492"/>
      <w:bookmarkStart w:id="822" w:name="_Toc267251511"/>
      <w:bookmarkStart w:id="823" w:name="_Toc267251501"/>
      <w:bookmarkStart w:id="824" w:name="_Toc267251493"/>
      <w:bookmarkStart w:id="825" w:name="_Toc267251509"/>
      <w:bookmarkStart w:id="826" w:name="_Toc267251494"/>
      <w:bookmarkStart w:id="827" w:name="_Toc267251503"/>
      <w:bookmarkStart w:id="828" w:name="_Toc267251515"/>
      <w:bookmarkStart w:id="829" w:name="_Toc267251513"/>
      <w:bookmarkStart w:id="830" w:name="_Toc267251508"/>
      <w:bookmarkStart w:id="831" w:name="_Toc267251506"/>
      <w:bookmarkStart w:id="832" w:name="_Toc267251495"/>
      <w:r>
        <w:rPr>
          <w:rFonts w:hint="eastAsia" w:ascii="宋体" w:hAnsi="宋体" w:eastAsia="宋体" w:cs="宋体"/>
          <w:b/>
          <w:color w:val="auto"/>
          <w:sz w:val="21"/>
          <w:szCs w:val="21"/>
          <w:highlight w:val="none"/>
          <w:lang w:val="en-US" w:eastAsia="zh-CN"/>
        </w:rPr>
        <w:t>15.</w:t>
      </w:r>
      <w:r>
        <w:rPr>
          <w:rFonts w:hint="eastAsia" w:ascii="宋体" w:hAnsi="宋体" w:eastAsia="宋体" w:cs="宋体"/>
          <w:b/>
          <w:color w:val="auto"/>
          <w:sz w:val="21"/>
          <w:szCs w:val="21"/>
          <w:highlight w:val="none"/>
        </w:rPr>
        <w:t>缺陷责任期与保修</w:t>
      </w:r>
      <w:bookmarkEnd w:id="799"/>
      <w:bookmarkEnd w:id="800"/>
      <w:bookmarkEnd w:id="801"/>
      <w:bookmarkEnd w:id="802"/>
    </w:p>
    <w:p w14:paraId="0BE182B1">
      <w:pPr>
        <w:keepNext w:val="0"/>
        <w:keepLines w:val="0"/>
        <w:pageBreakBefore w:val="0"/>
        <w:widowControl w:val="0"/>
        <w:numPr>
          <w:ilvl w:val="0"/>
          <w:numId w:val="0"/>
        </w:numPr>
        <w:tabs>
          <w:tab w:val="left" w:pos="1140"/>
        </w:tabs>
        <w:kinsoku/>
        <w:wordWrap/>
        <w:overflowPunct/>
        <w:topLinePunct w:val="0"/>
        <w:bidi w:val="0"/>
        <w:spacing w:line="360" w:lineRule="auto"/>
        <w:ind w:leftChars="200"/>
        <w:textAlignment w:val="auto"/>
        <w:outlineLvl w:val="9"/>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rPr>
        <w:t>15.1</w:t>
      </w:r>
      <w:r>
        <w:rPr>
          <w:rFonts w:hint="eastAsia" w:ascii="宋体" w:hAnsi="宋体" w:eastAsia="宋体" w:cs="宋体"/>
          <w:color w:val="auto"/>
          <w:sz w:val="21"/>
          <w:szCs w:val="21"/>
          <w:highlight w:val="none"/>
        </w:rPr>
        <w:t>缺陷责任期</w:t>
      </w:r>
      <w:bookmarkEnd w:id="803"/>
    </w:p>
    <w:p w14:paraId="3FCB3097">
      <w:pPr>
        <w:pStyle w:val="15"/>
        <w:keepNext w:val="0"/>
        <w:keepLines w:val="0"/>
        <w:pageBreakBefore w:val="0"/>
        <w:widowControl w:val="0"/>
        <w:kinsoku/>
        <w:wordWrap/>
        <w:overflowPunct/>
        <w:topLinePunct w:val="0"/>
        <w:bidi w:val="0"/>
        <w:spacing w:after="0" w:line="360" w:lineRule="auto"/>
        <w:ind w:left="0" w:leftChars="0" w:firstLine="420" w:firstLineChars="200"/>
        <w:textAlignment w:val="auto"/>
        <w:outlineLvl w:val="9"/>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缺陷责任期的具体期限： 24个月。</w:t>
      </w:r>
    </w:p>
    <w:p w14:paraId="483741ED">
      <w:pPr>
        <w:keepNext w:val="0"/>
        <w:keepLines w:val="0"/>
        <w:pageBreakBefore w:val="0"/>
        <w:widowControl w:val="0"/>
        <w:numPr>
          <w:ilvl w:val="0"/>
          <w:numId w:val="22"/>
        </w:numPr>
        <w:tabs>
          <w:tab w:val="left" w:pos="1140"/>
          <w:tab w:val="clear" w:pos="210"/>
        </w:tabs>
        <w:kinsoku/>
        <w:wordWrap/>
        <w:overflowPunct/>
        <w:topLinePunct w:val="0"/>
        <w:bidi w:val="0"/>
        <w:spacing w:line="360" w:lineRule="auto"/>
        <w:ind w:left="0" w:leftChars="0" w:firstLine="420" w:firstLineChars="200"/>
        <w:textAlignment w:val="auto"/>
        <w:outlineLvl w:val="9"/>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质量保证金</w:t>
      </w:r>
    </w:p>
    <w:p w14:paraId="23D7844D">
      <w:pPr>
        <w:keepNext w:val="0"/>
        <w:keepLines w:val="0"/>
        <w:pageBreakBefore w:val="0"/>
        <w:widowControl w:val="0"/>
        <w:kinsoku/>
        <w:wordWrap/>
        <w:overflowPunct/>
        <w:topLinePunct w:val="0"/>
        <w:bidi w:val="0"/>
        <w:spacing w:line="360" w:lineRule="auto"/>
        <w:ind w:firstLine="420" w:firstLineChars="200"/>
        <w:textAlignment w:val="auto"/>
        <w:outlineLvl w:val="9"/>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关于是否扣留质量保证金的约定：</w:t>
      </w:r>
      <w:r>
        <w:rPr>
          <w:rFonts w:hint="eastAsia" w:ascii="宋体" w:hAnsi="宋体" w:eastAsia="宋体" w:cs="宋体"/>
          <w:color w:val="auto"/>
          <w:sz w:val="21"/>
          <w:szCs w:val="21"/>
          <w:highlight w:val="none"/>
          <w:u w:val="single"/>
        </w:rPr>
        <w:t xml:space="preserve">  </w:t>
      </w:r>
      <w:r>
        <w:rPr>
          <w:rFonts w:hint="eastAsia" w:ascii="宋体" w:hAnsi="宋体" w:eastAsia="宋体" w:cs="宋体"/>
          <w:b/>
          <w:bCs/>
          <w:color w:val="auto"/>
          <w:sz w:val="21"/>
          <w:szCs w:val="21"/>
          <w:highlight w:val="none"/>
          <w:u w:val="single"/>
        </w:rPr>
        <w:t xml:space="preserve">是  </w:t>
      </w:r>
      <w:r>
        <w:rPr>
          <w:rFonts w:hint="eastAsia" w:ascii="宋体" w:hAnsi="宋体" w:eastAsia="宋体" w:cs="宋体"/>
          <w:color w:val="auto"/>
          <w:sz w:val="21"/>
          <w:szCs w:val="21"/>
          <w:highlight w:val="none"/>
        </w:rPr>
        <w:t>。</w:t>
      </w:r>
    </w:p>
    <w:p w14:paraId="0666389D">
      <w:pPr>
        <w:keepNext w:val="0"/>
        <w:keepLines w:val="0"/>
        <w:pageBreakBefore w:val="0"/>
        <w:widowControl w:val="0"/>
        <w:kinsoku/>
        <w:wordWrap/>
        <w:overflowPunct/>
        <w:topLinePunct w:val="0"/>
        <w:bidi w:val="0"/>
        <w:spacing w:line="360" w:lineRule="auto"/>
        <w:ind w:firstLine="420" w:firstLineChars="200"/>
        <w:textAlignment w:val="auto"/>
        <w:outlineLvl w:val="9"/>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15.2.1 承包人提供质量保证金的方式</w:t>
      </w:r>
    </w:p>
    <w:p w14:paraId="40A0A2E8">
      <w:pPr>
        <w:keepNext w:val="0"/>
        <w:keepLines w:val="0"/>
        <w:pageBreakBefore w:val="0"/>
        <w:widowControl w:val="0"/>
        <w:kinsoku/>
        <w:wordWrap/>
        <w:overflowPunct/>
        <w:topLinePunct w:val="0"/>
        <w:bidi w:val="0"/>
        <w:spacing w:line="360" w:lineRule="auto"/>
        <w:ind w:firstLine="420" w:firstLineChars="200"/>
        <w:textAlignment w:val="auto"/>
        <w:outlineLvl w:val="9"/>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质量保证金采用以下第</w:t>
      </w:r>
      <w:r>
        <w:rPr>
          <w:rFonts w:hint="eastAsia" w:ascii="宋体" w:hAnsi="宋体" w:eastAsia="宋体" w:cs="宋体"/>
          <w:color w:val="auto"/>
          <w:sz w:val="21"/>
          <w:szCs w:val="21"/>
          <w:highlight w:val="none"/>
          <w:u w:val="single"/>
        </w:rPr>
        <w:t xml:space="preserve">  （3）  </w:t>
      </w:r>
      <w:r>
        <w:rPr>
          <w:rFonts w:hint="eastAsia" w:ascii="宋体" w:hAnsi="宋体" w:eastAsia="宋体" w:cs="宋体"/>
          <w:color w:val="auto"/>
          <w:sz w:val="21"/>
          <w:szCs w:val="21"/>
          <w:highlight w:val="none"/>
        </w:rPr>
        <w:t>种方式：</w:t>
      </w:r>
    </w:p>
    <w:p w14:paraId="06F5E52E">
      <w:pPr>
        <w:keepNext w:val="0"/>
        <w:keepLines w:val="0"/>
        <w:pageBreakBefore w:val="0"/>
        <w:widowControl w:val="0"/>
        <w:kinsoku/>
        <w:wordWrap/>
        <w:overflowPunct/>
        <w:topLinePunct w:val="0"/>
        <w:autoSpaceDE w:val="0"/>
        <w:autoSpaceDN w:val="0"/>
        <w:bidi w:val="0"/>
        <w:adjustRightInd w:val="0"/>
        <w:spacing w:line="360" w:lineRule="auto"/>
        <w:ind w:firstLine="420" w:firstLineChars="200"/>
        <w:textAlignment w:val="auto"/>
        <w:outlineLvl w:val="9"/>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（1）质量保证金保函，保证金额为：</w:t>
      </w:r>
      <w:r>
        <w:rPr>
          <w:rFonts w:hint="eastAsia" w:ascii="宋体" w:hAnsi="宋体" w:eastAsia="宋体" w:cs="宋体"/>
          <w:color w:val="auto"/>
          <w:sz w:val="21"/>
          <w:szCs w:val="21"/>
          <w:highlight w:val="none"/>
          <w:u w:val="single"/>
        </w:rPr>
        <w:t xml:space="preserve">          /         </w:t>
      </w:r>
      <w:r>
        <w:rPr>
          <w:rFonts w:hint="eastAsia" w:ascii="宋体" w:hAnsi="宋体" w:eastAsia="宋体" w:cs="宋体"/>
          <w:color w:val="auto"/>
          <w:sz w:val="21"/>
          <w:szCs w:val="21"/>
          <w:highlight w:val="none"/>
        </w:rPr>
        <w:t xml:space="preserve">； </w:t>
      </w:r>
    </w:p>
    <w:p w14:paraId="0F00D1EA">
      <w:pPr>
        <w:keepNext w:val="0"/>
        <w:keepLines w:val="0"/>
        <w:pageBreakBefore w:val="0"/>
        <w:widowControl w:val="0"/>
        <w:kinsoku/>
        <w:wordWrap/>
        <w:overflowPunct/>
        <w:topLinePunct w:val="0"/>
        <w:autoSpaceDE w:val="0"/>
        <w:autoSpaceDN w:val="0"/>
        <w:bidi w:val="0"/>
        <w:adjustRightInd w:val="0"/>
        <w:spacing w:line="360" w:lineRule="auto"/>
        <w:ind w:firstLine="420" w:firstLineChars="200"/>
        <w:textAlignment w:val="auto"/>
        <w:outlineLvl w:val="9"/>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（2）</w:t>
      </w:r>
      <w:r>
        <w:rPr>
          <w:rFonts w:hint="eastAsia" w:ascii="宋体" w:hAnsi="宋体" w:eastAsia="宋体" w:cs="宋体"/>
          <w:color w:val="auto"/>
          <w:sz w:val="21"/>
          <w:szCs w:val="21"/>
          <w:highlight w:val="none"/>
          <w:u w:val="single"/>
        </w:rPr>
        <w:t xml:space="preserve">     /    </w:t>
      </w:r>
      <w:r>
        <w:rPr>
          <w:rFonts w:hint="eastAsia" w:ascii="宋体" w:hAnsi="宋体" w:eastAsia="宋体" w:cs="宋体"/>
          <w:color w:val="auto"/>
          <w:sz w:val="21"/>
          <w:szCs w:val="21"/>
          <w:highlight w:val="none"/>
        </w:rPr>
        <w:t>的工程款；</w:t>
      </w:r>
    </w:p>
    <w:p w14:paraId="6DF80BA7">
      <w:pPr>
        <w:pStyle w:val="15"/>
        <w:keepNext w:val="0"/>
        <w:keepLines w:val="0"/>
        <w:pageBreakBefore w:val="0"/>
        <w:widowControl w:val="0"/>
        <w:numPr>
          <w:ilvl w:val="0"/>
          <w:numId w:val="0"/>
        </w:numPr>
        <w:tabs>
          <w:tab w:val="left" w:pos="1080"/>
        </w:tabs>
        <w:kinsoku/>
        <w:wordWrap/>
        <w:overflowPunct/>
        <w:topLinePunct w:val="0"/>
        <w:bidi w:val="0"/>
        <w:spacing w:after="0" w:line="360" w:lineRule="auto"/>
        <w:ind w:right="0" w:rightChars="0" w:firstLine="420" w:firstLineChars="200"/>
        <w:textAlignment w:val="auto"/>
        <w:outlineLvl w:val="9"/>
        <w:rPr>
          <w:rFonts w:hint="eastAsia" w:ascii="宋体" w:hAnsi="宋体" w:eastAsia="宋体" w:cs="宋体"/>
          <w:b w:val="0"/>
          <w:color w:val="auto"/>
          <w:sz w:val="21"/>
          <w:szCs w:val="21"/>
          <w:highlight w:val="none"/>
        </w:rPr>
      </w:pPr>
      <w:r>
        <w:rPr>
          <w:rFonts w:hint="eastAsia" w:ascii="宋体" w:hAnsi="宋体" w:eastAsia="宋体" w:cs="宋体"/>
          <w:color w:val="auto"/>
          <w:sz w:val="21"/>
          <w:szCs w:val="21"/>
          <w:highlight w:val="none"/>
          <w:lang w:eastAsia="zh-CN"/>
        </w:rPr>
        <w:t>（</w:t>
      </w:r>
      <w:r>
        <w:rPr>
          <w:rFonts w:hint="eastAsia" w:ascii="宋体" w:hAnsi="宋体" w:eastAsia="宋体" w:cs="宋体"/>
          <w:color w:val="auto"/>
          <w:sz w:val="21"/>
          <w:szCs w:val="21"/>
          <w:highlight w:val="none"/>
          <w:lang w:val="en-US" w:eastAsia="zh-CN"/>
        </w:rPr>
        <w:t>3</w:t>
      </w:r>
      <w:r>
        <w:rPr>
          <w:rFonts w:hint="eastAsia" w:ascii="宋体" w:hAnsi="宋体" w:eastAsia="宋体" w:cs="宋体"/>
          <w:color w:val="auto"/>
          <w:sz w:val="21"/>
          <w:szCs w:val="21"/>
          <w:highlight w:val="none"/>
          <w:lang w:eastAsia="zh-CN"/>
        </w:rPr>
        <w:t>）</w:t>
      </w:r>
      <w:r>
        <w:rPr>
          <w:rFonts w:hint="eastAsia" w:ascii="宋体" w:hAnsi="宋体" w:eastAsia="宋体" w:cs="宋体"/>
          <w:color w:val="auto"/>
          <w:sz w:val="21"/>
          <w:szCs w:val="21"/>
          <w:highlight w:val="none"/>
        </w:rPr>
        <w:t>其他方式</w:t>
      </w:r>
      <w:r>
        <w:rPr>
          <w:rFonts w:hint="eastAsia" w:ascii="宋体" w:hAnsi="宋体" w:cs="宋体"/>
          <w:color w:val="auto"/>
          <w:sz w:val="21"/>
          <w:szCs w:val="21"/>
          <w:highlight w:val="none"/>
          <w:lang w:eastAsia="zh-CN"/>
        </w:rPr>
        <w:t>：</w:t>
      </w:r>
      <w:r>
        <w:rPr>
          <w:rFonts w:hint="eastAsia" w:ascii="宋体" w:hAnsi="宋体" w:eastAsia="宋体" w:cs="宋体"/>
          <w:color w:val="auto"/>
          <w:sz w:val="21"/>
          <w:szCs w:val="21"/>
          <w:highlight w:val="none"/>
        </w:rPr>
        <w:t xml:space="preserve"> </w:t>
      </w:r>
      <w:r>
        <w:rPr>
          <w:rFonts w:hint="eastAsia" w:ascii="宋体" w:hAnsi="宋体" w:eastAsia="宋体" w:cs="宋体"/>
          <w:b/>
          <w:bCs/>
          <w:color w:val="auto"/>
          <w:sz w:val="21"/>
          <w:szCs w:val="21"/>
          <w:highlight w:val="none"/>
          <w:u w:val="single"/>
          <w:lang w:val="en-US" w:eastAsia="zh-CN"/>
        </w:rPr>
        <w:t>质量保修金为结算价款的3%，承包人按要求在工程竣工并结算定稿后7个工作日内支付结算价款3%的质量保证金，保修期满后保修金无息退还</w:t>
      </w:r>
      <w:r>
        <w:rPr>
          <w:rFonts w:hint="eastAsia" w:ascii="宋体" w:hAnsi="宋体" w:eastAsia="宋体" w:cs="宋体"/>
          <w:color w:val="auto"/>
          <w:sz w:val="21"/>
          <w:szCs w:val="21"/>
          <w:highlight w:val="none"/>
        </w:rPr>
        <w:t>。</w:t>
      </w:r>
    </w:p>
    <w:p w14:paraId="1D7404D4">
      <w:pPr>
        <w:keepNext w:val="0"/>
        <w:keepLines w:val="0"/>
        <w:pageBreakBefore w:val="0"/>
        <w:widowControl w:val="0"/>
        <w:numPr>
          <w:ilvl w:val="0"/>
          <w:numId w:val="0"/>
        </w:numPr>
        <w:tabs>
          <w:tab w:val="left" w:pos="1280"/>
        </w:tabs>
        <w:kinsoku/>
        <w:wordWrap/>
        <w:overflowPunct/>
        <w:topLinePunct w:val="0"/>
        <w:bidi w:val="0"/>
        <w:spacing w:line="360" w:lineRule="auto"/>
        <w:ind w:leftChars="200"/>
        <w:textAlignment w:val="auto"/>
        <w:outlineLvl w:val="9"/>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rPr>
        <w:t>15.2.2</w:t>
      </w:r>
      <w:r>
        <w:rPr>
          <w:rFonts w:hint="eastAsia" w:ascii="宋体" w:hAnsi="宋体" w:eastAsia="宋体" w:cs="宋体"/>
          <w:color w:val="auto"/>
          <w:sz w:val="21"/>
          <w:szCs w:val="21"/>
          <w:highlight w:val="none"/>
        </w:rPr>
        <w:t xml:space="preserve">质量保证金的扣留 </w:t>
      </w:r>
    </w:p>
    <w:p w14:paraId="33F03393">
      <w:pPr>
        <w:pStyle w:val="15"/>
        <w:keepNext w:val="0"/>
        <w:keepLines w:val="0"/>
        <w:pageBreakBefore w:val="0"/>
        <w:widowControl w:val="0"/>
        <w:kinsoku/>
        <w:wordWrap/>
        <w:overflowPunct/>
        <w:topLinePunct w:val="0"/>
        <w:bidi w:val="0"/>
        <w:spacing w:after="0" w:line="360" w:lineRule="auto"/>
        <w:ind w:left="0" w:leftChars="0" w:firstLine="420" w:firstLineChars="200"/>
        <w:textAlignment w:val="auto"/>
        <w:outlineLvl w:val="9"/>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质量保证金的扣留采取以下第</w:t>
      </w:r>
      <w:r>
        <w:rPr>
          <w:rFonts w:hint="eastAsia" w:ascii="宋体" w:hAnsi="宋体" w:eastAsia="宋体" w:cs="宋体"/>
          <w:color w:val="auto"/>
          <w:sz w:val="21"/>
          <w:szCs w:val="21"/>
          <w:highlight w:val="none"/>
          <w:u w:val="single"/>
        </w:rPr>
        <w:t xml:space="preserve">  （3）  </w:t>
      </w:r>
      <w:r>
        <w:rPr>
          <w:rFonts w:hint="eastAsia" w:ascii="宋体" w:hAnsi="宋体" w:eastAsia="宋体" w:cs="宋体"/>
          <w:color w:val="auto"/>
          <w:sz w:val="21"/>
          <w:szCs w:val="21"/>
          <w:highlight w:val="none"/>
        </w:rPr>
        <w:t>种方式：</w:t>
      </w:r>
    </w:p>
    <w:p w14:paraId="01296B57">
      <w:pPr>
        <w:pStyle w:val="15"/>
        <w:keepNext w:val="0"/>
        <w:keepLines w:val="0"/>
        <w:pageBreakBefore w:val="0"/>
        <w:widowControl w:val="0"/>
        <w:numPr>
          <w:ilvl w:val="0"/>
          <w:numId w:val="23"/>
        </w:numPr>
        <w:tabs>
          <w:tab w:val="left" w:pos="1080"/>
        </w:tabs>
        <w:kinsoku/>
        <w:wordWrap/>
        <w:overflowPunct/>
        <w:topLinePunct w:val="0"/>
        <w:bidi w:val="0"/>
        <w:spacing w:after="0" w:line="360" w:lineRule="auto"/>
        <w:ind w:left="0" w:leftChars="0" w:firstLine="420" w:firstLineChars="200"/>
        <w:textAlignment w:val="auto"/>
        <w:outlineLvl w:val="9"/>
        <w:rPr>
          <w:rFonts w:hint="eastAsia" w:ascii="宋体" w:hAnsi="宋体" w:eastAsia="宋体" w:cs="宋体"/>
          <w:b w:val="0"/>
          <w:color w:val="auto"/>
          <w:sz w:val="21"/>
          <w:szCs w:val="21"/>
          <w:highlight w:val="none"/>
        </w:rPr>
      </w:pPr>
      <w:r>
        <w:rPr>
          <w:rFonts w:hint="eastAsia" w:ascii="宋体" w:hAnsi="宋体" w:eastAsia="宋体" w:cs="宋体"/>
          <w:color w:val="auto"/>
          <w:sz w:val="21"/>
          <w:szCs w:val="21"/>
          <w:highlight w:val="none"/>
        </w:rPr>
        <w:t>在支付工程进度款时逐次扣留，在此情形下，质量保证金的计算基数不包括预付款的支付、扣回以及价格调整的金额；</w:t>
      </w:r>
    </w:p>
    <w:p w14:paraId="7810463D">
      <w:pPr>
        <w:pStyle w:val="15"/>
        <w:keepNext w:val="0"/>
        <w:keepLines w:val="0"/>
        <w:pageBreakBefore w:val="0"/>
        <w:widowControl w:val="0"/>
        <w:numPr>
          <w:ilvl w:val="0"/>
          <w:numId w:val="23"/>
        </w:numPr>
        <w:tabs>
          <w:tab w:val="left" w:pos="1080"/>
        </w:tabs>
        <w:kinsoku/>
        <w:wordWrap/>
        <w:overflowPunct/>
        <w:topLinePunct w:val="0"/>
        <w:bidi w:val="0"/>
        <w:spacing w:after="0" w:line="360" w:lineRule="auto"/>
        <w:ind w:left="0" w:leftChars="0" w:firstLine="420" w:firstLineChars="200"/>
        <w:textAlignment w:val="auto"/>
        <w:outlineLvl w:val="9"/>
        <w:rPr>
          <w:rFonts w:hint="eastAsia" w:ascii="宋体" w:hAnsi="宋体" w:eastAsia="宋体" w:cs="宋体"/>
          <w:b w:val="0"/>
          <w:color w:val="auto"/>
          <w:sz w:val="21"/>
          <w:szCs w:val="21"/>
          <w:highlight w:val="none"/>
        </w:rPr>
      </w:pPr>
      <w:r>
        <w:rPr>
          <w:rFonts w:hint="eastAsia" w:ascii="宋体" w:hAnsi="宋体" w:eastAsia="宋体" w:cs="宋体"/>
          <w:color w:val="auto"/>
          <w:sz w:val="21"/>
          <w:szCs w:val="21"/>
          <w:highlight w:val="none"/>
        </w:rPr>
        <w:t>工程竣工结算时一次性扣留质量保证金；</w:t>
      </w:r>
    </w:p>
    <w:p w14:paraId="37A7ED9D">
      <w:pPr>
        <w:pStyle w:val="15"/>
        <w:keepNext w:val="0"/>
        <w:keepLines w:val="0"/>
        <w:pageBreakBefore w:val="0"/>
        <w:widowControl w:val="0"/>
        <w:numPr>
          <w:ilvl w:val="0"/>
          <w:numId w:val="23"/>
        </w:numPr>
        <w:tabs>
          <w:tab w:val="left" w:pos="1080"/>
        </w:tabs>
        <w:kinsoku/>
        <w:wordWrap/>
        <w:overflowPunct/>
        <w:topLinePunct w:val="0"/>
        <w:bidi w:val="0"/>
        <w:spacing w:after="0" w:line="360" w:lineRule="auto"/>
        <w:ind w:left="0" w:leftChars="0" w:right="0" w:firstLine="420" w:firstLineChars="200"/>
        <w:textAlignment w:val="auto"/>
        <w:outlineLvl w:val="9"/>
        <w:rPr>
          <w:rFonts w:hint="eastAsia" w:ascii="宋体" w:hAnsi="宋体" w:eastAsia="宋体" w:cs="宋体"/>
          <w:b w:val="0"/>
          <w:color w:val="auto"/>
          <w:sz w:val="21"/>
          <w:szCs w:val="21"/>
          <w:highlight w:val="none"/>
        </w:rPr>
      </w:pPr>
      <w:r>
        <w:rPr>
          <w:rFonts w:hint="eastAsia" w:ascii="宋体" w:hAnsi="宋体" w:eastAsia="宋体" w:cs="宋体"/>
          <w:color w:val="auto"/>
          <w:sz w:val="21"/>
          <w:szCs w:val="21"/>
          <w:highlight w:val="none"/>
        </w:rPr>
        <w:t>其他扣留方式</w:t>
      </w:r>
      <w:r>
        <w:rPr>
          <w:rFonts w:hint="eastAsia" w:ascii="宋体" w:hAnsi="宋体" w:cs="宋体"/>
          <w:color w:val="auto"/>
          <w:sz w:val="21"/>
          <w:szCs w:val="21"/>
          <w:highlight w:val="none"/>
          <w:lang w:eastAsia="zh-CN"/>
        </w:rPr>
        <w:t>：</w:t>
      </w:r>
      <w:r>
        <w:rPr>
          <w:rFonts w:hint="eastAsia" w:ascii="宋体" w:hAnsi="宋体" w:eastAsia="宋体" w:cs="宋体"/>
          <w:color w:val="auto"/>
          <w:sz w:val="21"/>
          <w:szCs w:val="21"/>
          <w:highlight w:val="none"/>
        </w:rPr>
        <w:t xml:space="preserve">                                  。</w:t>
      </w:r>
    </w:p>
    <w:p w14:paraId="5BE4E402">
      <w:pPr>
        <w:pStyle w:val="15"/>
        <w:keepNext w:val="0"/>
        <w:keepLines w:val="0"/>
        <w:pageBreakBefore w:val="0"/>
        <w:widowControl w:val="0"/>
        <w:kinsoku/>
        <w:wordWrap/>
        <w:overflowPunct/>
        <w:topLinePunct w:val="0"/>
        <w:bidi w:val="0"/>
        <w:spacing w:after="0" w:line="360" w:lineRule="auto"/>
        <w:ind w:left="0" w:leftChars="0" w:firstLine="420" w:firstLineChars="200"/>
        <w:textAlignment w:val="auto"/>
        <w:outlineLvl w:val="9"/>
        <w:rPr>
          <w:rFonts w:hint="eastAsia" w:ascii="宋体" w:hAnsi="宋体" w:eastAsia="宋体" w:cs="宋体"/>
          <w:color w:val="auto"/>
          <w:sz w:val="21"/>
          <w:szCs w:val="21"/>
          <w:highlight w:val="none"/>
          <w:u w:val="single"/>
        </w:rPr>
      </w:pPr>
      <w:r>
        <w:rPr>
          <w:rFonts w:hint="eastAsia" w:ascii="宋体" w:hAnsi="宋体" w:eastAsia="宋体" w:cs="宋体"/>
          <w:color w:val="auto"/>
          <w:sz w:val="21"/>
          <w:szCs w:val="21"/>
          <w:highlight w:val="none"/>
        </w:rPr>
        <w:t>关于质量保证金的补充约定：</w:t>
      </w:r>
      <w:r>
        <w:rPr>
          <w:rFonts w:hint="eastAsia" w:ascii="宋体" w:hAnsi="宋体" w:eastAsia="宋体" w:cs="宋体"/>
          <w:b/>
          <w:bCs/>
          <w:color w:val="auto"/>
          <w:sz w:val="21"/>
          <w:szCs w:val="21"/>
          <w:highlight w:val="none"/>
          <w:u w:val="single"/>
          <w:lang w:val="en-US" w:eastAsia="zh-CN"/>
        </w:rPr>
        <w:t>质量保修金为结算价款的3%，承包人按要求在工程竣工后并结算定稿后7个工作日内支付结算价款3%的质量保证金，保修期满后保修金无息退还</w:t>
      </w:r>
      <w:r>
        <w:rPr>
          <w:rFonts w:hint="eastAsia" w:ascii="宋体" w:hAnsi="宋体" w:eastAsia="宋体" w:cs="宋体"/>
          <w:color w:val="auto"/>
          <w:sz w:val="21"/>
          <w:szCs w:val="21"/>
          <w:highlight w:val="none"/>
        </w:rPr>
        <w:t>。</w:t>
      </w:r>
    </w:p>
    <w:bookmarkEnd w:id="804"/>
    <w:bookmarkEnd w:id="805"/>
    <w:bookmarkEnd w:id="806"/>
    <w:bookmarkEnd w:id="807"/>
    <w:bookmarkEnd w:id="808"/>
    <w:bookmarkEnd w:id="809"/>
    <w:bookmarkEnd w:id="810"/>
    <w:p w14:paraId="0806DD07">
      <w:pPr>
        <w:keepNext w:val="0"/>
        <w:keepLines w:val="0"/>
        <w:pageBreakBefore w:val="0"/>
        <w:widowControl w:val="0"/>
        <w:kinsoku/>
        <w:wordWrap/>
        <w:overflowPunct/>
        <w:topLinePunct w:val="0"/>
        <w:bidi w:val="0"/>
        <w:spacing w:line="360" w:lineRule="auto"/>
        <w:ind w:firstLine="420" w:firstLineChars="200"/>
        <w:textAlignment w:val="auto"/>
        <w:outlineLvl w:val="9"/>
        <w:rPr>
          <w:rFonts w:hint="eastAsia" w:ascii="宋体" w:hAnsi="宋体" w:eastAsia="宋体" w:cs="宋体"/>
          <w:color w:val="auto"/>
          <w:sz w:val="21"/>
          <w:szCs w:val="21"/>
          <w:highlight w:val="none"/>
        </w:rPr>
      </w:pPr>
      <w:bookmarkStart w:id="833" w:name="_Toc351203648"/>
      <w:bookmarkStart w:id="834" w:name="_Toc280868717"/>
      <w:bookmarkStart w:id="835" w:name="_Toc280868718"/>
      <w:r>
        <w:rPr>
          <w:rFonts w:hint="eastAsia" w:ascii="宋体" w:hAnsi="宋体" w:eastAsia="宋体" w:cs="宋体"/>
          <w:color w:val="auto"/>
          <w:sz w:val="21"/>
          <w:szCs w:val="21"/>
          <w:highlight w:val="none"/>
        </w:rPr>
        <w:t>15.3保修</w:t>
      </w:r>
    </w:p>
    <w:p w14:paraId="5B46FB77">
      <w:pPr>
        <w:keepNext w:val="0"/>
        <w:keepLines w:val="0"/>
        <w:pageBreakBefore w:val="0"/>
        <w:widowControl w:val="0"/>
        <w:kinsoku/>
        <w:wordWrap/>
        <w:overflowPunct/>
        <w:topLinePunct w:val="0"/>
        <w:bidi w:val="0"/>
        <w:spacing w:line="360" w:lineRule="auto"/>
        <w:ind w:firstLine="409" w:firstLineChars="195"/>
        <w:textAlignment w:val="auto"/>
        <w:outlineLvl w:val="9"/>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15.3.1 保修责任</w:t>
      </w:r>
    </w:p>
    <w:p w14:paraId="2E6241C4">
      <w:pPr>
        <w:keepNext w:val="0"/>
        <w:keepLines w:val="0"/>
        <w:pageBreakBefore w:val="0"/>
        <w:widowControl w:val="0"/>
        <w:kinsoku/>
        <w:wordWrap/>
        <w:overflowPunct/>
        <w:topLinePunct w:val="0"/>
        <w:bidi w:val="0"/>
        <w:spacing w:line="360" w:lineRule="auto"/>
        <w:ind w:firstLine="420" w:firstLineChars="200"/>
        <w:textAlignment w:val="auto"/>
        <w:outlineLvl w:val="9"/>
        <w:rPr>
          <w:rFonts w:hint="eastAsia" w:ascii="宋体" w:hAnsi="宋体" w:eastAsia="宋体" w:cs="宋体"/>
          <w:b/>
          <w:bCs/>
          <w:color w:val="auto"/>
          <w:sz w:val="21"/>
          <w:szCs w:val="21"/>
          <w:highlight w:val="none"/>
          <w:u w:val="single"/>
        </w:rPr>
      </w:pPr>
      <w:r>
        <w:rPr>
          <w:rFonts w:hint="eastAsia" w:ascii="宋体" w:hAnsi="宋体" w:eastAsia="宋体" w:cs="宋体"/>
          <w:color w:val="auto"/>
          <w:sz w:val="21"/>
          <w:szCs w:val="21"/>
          <w:highlight w:val="none"/>
        </w:rPr>
        <w:t>工程保修期为：　</w:t>
      </w:r>
      <w:r>
        <w:rPr>
          <w:rFonts w:hint="eastAsia" w:ascii="宋体" w:hAnsi="宋体" w:eastAsia="宋体" w:cs="宋体"/>
          <w:b/>
          <w:bCs/>
          <w:color w:val="auto"/>
          <w:sz w:val="21"/>
          <w:szCs w:val="21"/>
          <w:highlight w:val="none"/>
          <w:u w:val="single"/>
        </w:rPr>
        <w:t>质量管理执行国务院第279号令，保修办法执行建设部第80号令中明确的最长期限规定执行。</w:t>
      </w:r>
    </w:p>
    <w:p w14:paraId="52115D81">
      <w:pPr>
        <w:keepNext w:val="0"/>
        <w:keepLines w:val="0"/>
        <w:pageBreakBefore w:val="0"/>
        <w:widowControl w:val="0"/>
        <w:kinsoku/>
        <w:wordWrap/>
        <w:overflowPunct/>
        <w:topLinePunct w:val="0"/>
        <w:bidi w:val="0"/>
        <w:spacing w:line="360" w:lineRule="auto"/>
        <w:ind w:firstLine="420" w:firstLineChars="200"/>
        <w:textAlignment w:val="auto"/>
        <w:outlineLvl w:val="9"/>
        <w:rPr>
          <w:rFonts w:hint="eastAsia" w:ascii="宋体" w:hAnsi="宋体" w:eastAsia="宋体" w:cs="宋体"/>
          <w:b/>
          <w:bCs/>
          <w:color w:val="auto"/>
          <w:sz w:val="21"/>
          <w:szCs w:val="21"/>
          <w:highlight w:val="none"/>
        </w:rPr>
      </w:pPr>
      <w:r>
        <w:rPr>
          <w:rFonts w:hint="eastAsia" w:ascii="宋体" w:hAnsi="宋体" w:eastAsia="宋体" w:cs="宋体"/>
          <w:color w:val="auto"/>
          <w:sz w:val="21"/>
          <w:szCs w:val="21"/>
          <w:highlight w:val="none"/>
        </w:rPr>
        <w:t>设备保修期为：</w:t>
      </w:r>
      <w:r>
        <w:rPr>
          <w:rFonts w:hint="eastAsia" w:ascii="宋体" w:hAnsi="宋体" w:eastAsia="宋体" w:cs="宋体"/>
          <w:b/>
          <w:bCs/>
          <w:color w:val="auto"/>
          <w:sz w:val="21"/>
          <w:szCs w:val="21"/>
          <w:highlight w:val="none"/>
          <w:u w:val="single"/>
        </w:rPr>
        <w:t>/</w:t>
      </w:r>
      <w:r>
        <w:rPr>
          <w:rFonts w:hint="eastAsia" w:ascii="宋体" w:hAnsi="宋体" w:eastAsia="宋体" w:cs="宋体"/>
          <w:b/>
          <w:bCs/>
          <w:color w:val="auto"/>
          <w:sz w:val="21"/>
          <w:szCs w:val="21"/>
          <w:highlight w:val="none"/>
        </w:rPr>
        <w:t>。</w:t>
      </w:r>
    </w:p>
    <w:p w14:paraId="512C2E9E">
      <w:pPr>
        <w:keepNext w:val="0"/>
        <w:keepLines w:val="0"/>
        <w:pageBreakBefore w:val="0"/>
        <w:widowControl w:val="0"/>
        <w:kinsoku/>
        <w:wordWrap/>
        <w:overflowPunct/>
        <w:topLinePunct w:val="0"/>
        <w:bidi w:val="0"/>
        <w:spacing w:line="360" w:lineRule="auto"/>
        <w:ind w:firstLine="409" w:firstLineChars="195"/>
        <w:textAlignment w:val="auto"/>
        <w:outlineLvl w:val="9"/>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15.3.2 修复通知</w:t>
      </w:r>
    </w:p>
    <w:p w14:paraId="41CAAAED">
      <w:pPr>
        <w:keepNext w:val="0"/>
        <w:keepLines w:val="0"/>
        <w:pageBreakBefore w:val="0"/>
        <w:widowControl w:val="0"/>
        <w:kinsoku/>
        <w:wordWrap/>
        <w:overflowPunct/>
        <w:topLinePunct w:val="0"/>
        <w:bidi w:val="0"/>
        <w:spacing w:line="360" w:lineRule="auto"/>
        <w:ind w:firstLine="420" w:firstLineChars="200"/>
        <w:textAlignment w:val="auto"/>
        <w:outlineLvl w:val="9"/>
        <w:rPr>
          <w:rFonts w:hint="eastAsia" w:ascii="宋体" w:hAnsi="宋体" w:eastAsia="宋体" w:cs="宋体"/>
          <w:b/>
          <w:bCs/>
          <w:color w:val="auto"/>
          <w:sz w:val="21"/>
          <w:szCs w:val="21"/>
          <w:highlight w:val="none"/>
          <w:u w:val="single"/>
        </w:rPr>
      </w:pPr>
      <w:r>
        <w:rPr>
          <w:rFonts w:hint="eastAsia" w:ascii="宋体" w:hAnsi="宋体" w:eastAsia="宋体" w:cs="宋体"/>
          <w:color w:val="auto"/>
          <w:sz w:val="21"/>
          <w:szCs w:val="21"/>
          <w:highlight w:val="none"/>
        </w:rPr>
        <w:t>承包人收到保修通知并到达工程现场的合理时间：</w:t>
      </w:r>
      <w:r>
        <w:rPr>
          <w:rFonts w:hint="eastAsia" w:ascii="宋体" w:hAnsi="宋体" w:eastAsia="宋体" w:cs="宋体"/>
          <w:b/>
          <w:bCs/>
          <w:color w:val="auto"/>
          <w:sz w:val="21"/>
          <w:szCs w:val="21"/>
          <w:highlight w:val="none"/>
          <w:u w:val="single"/>
        </w:rPr>
        <w:t>承包人应在接到修理通知之日后48小时内派人修理。</w:t>
      </w:r>
    </w:p>
    <w:p w14:paraId="25B641FB">
      <w:pPr>
        <w:keepNext w:val="0"/>
        <w:keepLines w:val="0"/>
        <w:pageBreakBefore w:val="0"/>
        <w:widowControl w:val="0"/>
        <w:kinsoku/>
        <w:wordWrap/>
        <w:overflowPunct/>
        <w:topLinePunct w:val="0"/>
        <w:autoSpaceDE/>
        <w:autoSpaceDN/>
        <w:bidi w:val="0"/>
        <w:adjustRightInd/>
        <w:snapToGrid/>
        <w:spacing w:line="360" w:lineRule="auto"/>
        <w:ind w:firstLine="422" w:firstLineChars="200"/>
        <w:textAlignment w:val="auto"/>
        <w:outlineLvl w:val="2"/>
        <w:rPr>
          <w:rFonts w:hint="eastAsia" w:ascii="宋体" w:hAnsi="宋体" w:eastAsia="宋体" w:cs="宋体"/>
          <w:b/>
          <w:color w:val="auto"/>
          <w:sz w:val="21"/>
          <w:szCs w:val="21"/>
          <w:highlight w:val="none"/>
        </w:rPr>
      </w:pPr>
      <w:bookmarkStart w:id="836" w:name="_Toc18693"/>
      <w:bookmarkStart w:id="837" w:name="_Toc4802"/>
      <w:bookmarkStart w:id="838" w:name="_Toc11359"/>
      <w:r>
        <w:rPr>
          <w:rFonts w:hint="eastAsia" w:ascii="宋体" w:hAnsi="宋体" w:eastAsia="宋体" w:cs="宋体"/>
          <w:b/>
          <w:color w:val="auto"/>
          <w:sz w:val="21"/>
          <w:szCs w:val="21"/>
          <w:highlight w:val="none"/>
          <w:lang w:val="en-US" w:eastAsia="zh-CN"/>
        </w:rPr>
        <w:t>16.</w:t>
      </w:r>
      <w:r>
        <w:rPr>
          <w:rFonts w:hint="eastAsia" w:ascii="宋体" w:hAnsi="宋体" w:eastAsia="宋体" w:cs="宋体"/>
          <w:b/>
          <w:color w:val="auto"/>
          <w:sz w:val="21"/>
          <w:szCs w:val="21"/>
          <w:highlight w:val="none"/>
        </w:rPr>
        <w:t>违约</w:t>
      </w:r>
      <w:bookmarkEnd w:id="833"/>
      <w:bookmarkEnd w:id="836"/>
      <w:bookmarkEnd w:id="837"/>
      <w:bookmarkEnd w:id="838"/>
    </w:p>
    <w:bookmarkEnd w:id="811"/>
    <w:bookmarkEnd w:id="812"/>
    <w:bookmarkEnd w:id="813"/>
    <w:bookmarkEnd w:id="814"/>
    <w:bookmarkEnd w:id="815"/>
    <w:bookmarkEnd w:id="816"/>
    <w:bookmarkEnd w:id="817"/>
    <w:bookmarkEnd w:id="818"/>
    <w:bookmarkEnd w:id="819"/>
    <w:bookmarkEnd w:id="820"/>
    <w:bookmarkEnd w:id="821"/>
    <w:bookmarkEnd w:id="822"/>
    <w:bookmarkEnd w:id="823"/>
    <w:bookmarkEnd w:id="824"/>
    <w:bookmarkEnd w:id="825"/>
    <w:bookmarkEnd w:id="826"/>
    <w:bookmarkEnd w:id="827"/>
    <w:bookmarkEnd w:id="828"/>
    <w:bookmarkEnd w:id="829"/>
    <w:bookmarkEnd w:id="830"/>
    <w:bookmarkEnd w:id="831"/>
    <w:bookmarkEnd w:id="832"/>
    <w:bookmarkEnd w:id="834"/>
    <w:bookmarkEnd w:id="835"/>
    <w:p w14:paraId="7BDE7AE5">
      <w:pPr>
        <w:keepNext w:val="0"/>
        <w:keepLines w:val="0"/>
        <w:pageBreakBefore w:val="0"/>
        <w:widowControl w:val="0"/>
        <w:kinsoku/>
        <w:wordWrap/>
        <w:overflowPunct/>
        <w:topLinePunct w:val="0"/>
        <w:bidi w:val="0"/>
        <w:spacing w:line="360" w:lineRule="auto"/>
        <w:ind w:firstLine="420" w:firstLineChars="200"/>
        <w:textAlignment w:val="auto"/>
        <w:outlineLvl w:val="9"/>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16.1 发包人违约</w:t>
      </w:r>
    </w:p>
    <w:p w14:paraId="134BE425">
      <w:pPr>
        <w:keepNext w:val="0"/>
        <w:keepLines w:val="0"/>
        <w:pageBreakBefore w:val="0"/>
        <w:widowControl w:val="0"/>
        <w:kinsoku/>
        <w:wordWrap/>
        <w:overflowPunct/>
        <w:topLinePunct w:val="0"/>
        <w:bidi w:val="0"/>
        <w:spacing w:line="360" w:lineRule="auto"/>
        <w:ind w:firstLine="420" w:firstLineChars="200"/>
        <w:textAlignment w:val="auto"/>
        <w:outlineLvl w:val="9"/>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16.1.1发包人违约的情形</w:t>
      </w:r>
    </w:p>
    <w:p w14:paraId="6FD608BC">
      <w:pPr>
        <w:keepNext w:val="0"/>
        <w:keepLines w:val="0"/>
        <w:pageBreakBefore w:val="0"/>
        <w:widowControl w:val="0"/>
        <w:kinsoku/>
        <w:wordWrap/>
        <w:overflowPunct/>
        <w:topLinePunct w:val="0"/>
        <w:bidi w:val="0"/>
        <w:spacing w:line="360" w:lineRule="auto"/>
        <w:ind w:firstLine="420" w:firstLineChars="200"/>
        <w:textAlignment w:val="auto"/>
        <w:outlineLvl w:val="9"/>
        <w:rPr>
          <w:rFonts w:hint="eastAsia" w:ascii="宋体" w:hAnsi="宋体" w:eastAsia="宋体" w:cs="宋体"/>
          <w:color w:val="auto"/>
          <w:sz w:val="21"/>
          <w:szCs w:val="21"/>
          <w:highlight w:val="none"/>
          <w:u w:val="single"/>
        </w:rPr>
      </w:pPr>
      <w:r>
        <w:rPr>
          <w:rFonts w:hint="eastAsia" w:ascii="宋体" w:hAnsi="宋体" w:eastAsia="宋体" w:cs="宋体"/>
          <w:color w:val="auto"/>
          <w:sz w:val="21"/>
          <w:szCs w:val="21"/>
          <w:highlight w:val="none"/>
        </w:rPr>
        <w:t>发包人违约的其他情形：</w:t>
      </w:r>
      <w:r>
        <w:rPr>
          <w:rFonts w:hint="eastAsia" w:ascii="宋体" w:hAnsi="宋体" w:eastAsia="宋体" w:cs="宋体"/>
          <w:color w:val="auto"/>
          <w:sz w:val="21"/>
          <w:szCs w:val="21"/>
          <w:highlight w:val="none"/>
          <w:u w:val="single"/>
        </w:rPr>
        <w:t xml:space="preserve">             /                </w:t>
      </w:r>
      <w:r>
        <w:rPr>
          <w:rFonts w:hint="eastAsia" w:ascii="宋体" w:hAnsi="宋体" w:eastAsia="宋体" w:cs="宋体"/>
          <w:color w:val="auto"/>
          <w:sz w:val="21"/>
          <w:szCs w:val="21"/>
          <w:highlight w:val="none"/>
        </w:rPr>
        <w:t xml:space="preserve">。 </w:t>
      </w:r>
    </w:p>
    <w:p w14:paraId="5C4C220C">
      <w:pPr>
        <w:keepNext w:val="0"/>
        <w:keepLines w:val="0"/>
        <w:pageBreakBefore w:val="0"/>
        <w:widowControl w:val="0"/>
        <w:kinsoku/>
        <w:wordWrap/>
        <w:overflowPunct/>
        <w:topLinePunct w:val="0"/>
        <w:bidi w:val="0"/>
        <w:spacing w:line="360" w:lineRule="auto"/>
        <w:ind w:left="1100" w:hanging="1050" w:hangingChars="500"/>
        <w:textAlignment w:val="auto"/>
        <w:outlineLvl w:val="9"/>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    16.1.2 发包人违约的责任</w:t>
      </w:r>
    </w:p>
    <w:p w14:paraId="33A10A84">
      <w:pPr>
        <w:keepNext w:val="0"/>
        <w:keepLines w:val="0"/>
        <w:pageBreakBefore w:val="0"/>
        <w:widowControl w:val="0"/>
        <w:kinsoku/>
        <w:wordWrap/>
        <w:overflowPunct/>
        <w:topLinePunct w:val="0"/>
        <w:bidi w:val="0"/>
        <w:snapToGrid/>
        <w:spacing w:line="336" w:lineRule="auto"/>
        <w:ind w:firstLine="420" w:firstLineChars="200"/>
        <w:textAlignment w:val="auto"/>
        <w:outlineLvl w:val="9"/>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发包人违约责任的承担方式和计算方法：</w:t>
      </w:r>
    </w:p>
    <w:p w14:paraId="38C7AD42">
      <w:pPr>
        <w:keepNext w:val="0"/>
        <w:keepLines w:val="0"/>
        <w:pageBreakBefore w:val="0"/>
        <w:widowControl w:val="0"/>
        <w:kinsoku/>
        <w:wordWrap/>
        <w:overflowPunct/>
        <w:topLinePunct w:val="0"/>
        <w:bidi w:val="0"/>
        <w:snapToGrid/>
        <w:spacing w:line="336" w:lineRule="auto"/>
        <w:ind w:firstLine="420" w:firstLineChars="200"/>
        <w:textAlignment w:val="auto"/>
        <w:outlineLvl w:val="9"/>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（1）因发包人原因未能在计划开工日期前7天内下达开工通知的违约责任：</w:t>
      </w:r>
      <w:r>
        <w:rPr>
          <w:rFonts w:hint="eastAsia" w:ascii="宋体" w:hAnsi="宋体" w:eastAsia="宋体" w:cs="宋体"/>
          <w:color w:val="auto"/>
          <w:sz w:val="21"/>
          <w:szCs w:val="21"/>
          <w:highlight w:val="none"/>
          <w:u w:val="single"/>
        </w:rPr>
        <w:t xml:space="preserve">  工期顺延  </w:t>
      </w:r>
      <w:r>
        <w:rPr>
          <w:rFonts w:hint="eastAsia" w:ascii="宋体" w:hAnsi="宋体" w:eastAsia="宋体" w:cs="宋体"/>
          <w:color w:val="auto"/>
          <w:sz w:val="21"/>
          <w:szCs w:val="21"/>
          <w:highlight w:val="none"/>
        </w:rPr>
        <w:t>。</w:t>
      </w:r>
    </w:p>
    <w:p w14:paraId="3411561D">
      <w:pPr>
        <w:keepNext w:val="0"/>
        <w:keepLines w:val="0"/>
        <w:pageBreakBefore w:val="0"/>
        <w:widowControl w:val="0"/>
        <w:kinsoku/>
        <w:wordWrap/>
        <w:overflowPunct/>
        <w:topLinePunct w:val="0"/>
        <w:bidi w:val="0"/>
        <w:snapToGrid/>
        <w:spacing w:line="336" w:lineRule="auto"/>
        <w:ind w:firstLine="420" w:firstLineChars="200"/>
        <w:textAlignment w:val="auto"/>
        <w:outlineLvl w:val="9"/>
        <w:rPr>
          <w:rFonts w:hint="eastAsia" w:ascii="宋体" w:hAnsi="宋体" w:eastAsia="宋体" w:cs="宋体"/>
          <w:b/>
          <w:bCs/>
          <w:color w:val="auto"/>
          <w:sz w:val="21"/>
          <w:szCs w:val="21"/>
          <w:highlight w:val="none"/>
          <w:u w:val="single"/>
        </w:rPr>
      </w:pPr>
      <w:r>
        <w:rPr>
          <w:rFonts w:hint="eastAsia" w:ascii="宋体" w:hAnsi="宋体" w:eastAsia="宋体" w:cs="宋体"/>
          <w:color w:val="auto"/>
          <w:sz w:val="21"/>
          <w:szCs w:val="21"/>
          <w:highlight w:val="none"/>
        </w:rPr>
        <w:t>（2）因发包人原因未能按合同约定支付合同价款的违约责任</w:t>
      </w:r>
      <w:r>
        <w:rPr>
          <w:rFonts w:hint="eastAsia" w:ascii="宋体" w:hAnsi="宋体" w:eastAsia="宋体" w:cs="宋体"/>
          <w:b/>
          <w:bCs/>
          <w:color w:val="auto"/>
          <w:sz w:val="21"/>
          <w:szCs w:val="21"/>
          <w:highlight w:val="none"/>
          <w:u w:val="single"/>
        </w:rPr>
        <w:t>执行专用条款12.4.4（2）、专用条款14.4.2（2）。</w:t>
      </w:r>
    </w:p>
    <w:p w14:paraId="3BEE5228">
      <w:pPr>
        <w:keepNext w:val="0"/>
        <w:keepLines w:val="0"/>
        <w:pageBreakBefore w:val="0"/>
        <w:widowControl w:val="0"/>
        <w:kinsoku/>
        <w:wordWrap/>
        <w:overflowPunct/>
        <w:topLinePunct w:val="0"/>
        <w:bidi w:val="0"/>
        <w:snapToGrid/>
        <w:spacing w:line="336" w:lineRule="auto"/>
        <w:ind w:firstLine="420" w:firstLineChars="200"/>
        <w:textAlignment w:val="auto"/>
        <w:outlineLvl w:val="9"/>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（3）发包人违反第10.1款〔变更的范围〕第（2）项约定，自行实施被取消的工作或转由他人实施的违约责任：</w:t>
      </w:r>
      <w:r>
        <w:rPr>
          <w:rFonts w:hint="eastAsia" w:ascii="宋体" w:hAnsi="宋体" w:eastAsia="宋体" w:cs="宋体"/>
          <w:color w:val="auto"/>
          <w:sz w:val="21"/>
          <w:szCs w:val="21"/>
          <w:highlight w:val="none"/>
          <w:u w:val="single"/>
        </w:rPr>
        <w:t xml:space="preserve">  /  </w:t>
      </w:r>
      <w:r>
        <w:rPr>
          <w:rFonts w:hint="eastAsia" w:ascii="宋体" w:hAnsi="宋体" w:eastAsia="宋体" w:cs="宋体"/>
          <w:color w:val="auto"/>
          <w:sz w:val="21"/>
          <w:szCs w:val="21"/>
          <w:highlight w:val="none"/>
        </w:rPr>
        <w:t>。</w:t>
      </w:r>
    </w:p>
    <w:p w14:paraId="7ED6CE96">
      <w:pPr>
        <w:keepNext w:val="0"/>
        <w:keepLines w:val="0"/>
        <w:pageBreakBefore w:val="0"/>
        <w:widowControl w:val="0"/>
        <w:kinsoku/>
        <w:wordWrap/>
        <w:overflowPunct/>
        <w:topLinePunct w:val="0"/>
        <w:bidi w:val="0"/>
        <w:snapToGrid/>
        <w:spacing w:line="336" w:lineRule="auto"/>
        <w:ind w:firstLine="420" w:firstLineChars="200"/>
        <w:textAlignment w:val="auto"/>
        <w:outlineLvl w:val="9"/>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（4）发包人提供的材料、工程设备的规格、数量或质量不符合合同约定，或因发包人原因导致交货日期延误或交货地点变更等情况的违约责任：</w:t>
      </w:r>
      <w:r>
        <w:rPr>
          <w:rFonts w:hint="eastAsia" w:ascii="宋体" w:hAnsi="宋体" w:eastAsia="宋体" w:cs="宋体"/>
          <w:color w:val="auto"/>
          <w:sz w:val="21"/>
          <w:szCs w:val="21"/>
          <w:highlight w:val="none"/>
          <w:u w:val="single"/>
        </w:rPr>
        <w:t xml:space="preserve">  /  </w:t>
      </w:r>
      <w:r>
        <w:rPr>
          <w:rFonts w:hint="eastAsia" w:ascii="宋体" w:hAnsi="宋体" w:eastAsia="宋体" w:cs="宋体"/>
          <w:color w:val="auto"/>
          <w:sz w:val="21"/>
          <w:szCs w:val="21"/>
          <w:highlight w:val="none"/>
        </w:rPr>
        <w:t>。</w:t>
      </w:r>
    </w:p>
    <w:p w14:paraId="1A932148">
      <w:pPr>
        <w:keepNext w:val="0"/>
        <w:keepLines w:val="0"/>
        <w:pageBreakBefore w:val="0"/>
        <w:widowControl w:val="0"/>
        <w:kinsoku/>
        <w:wordWrap/>
        <w:overflowPunct/>
        <w:topLinePunct w:val="0"/>
        <w:bidi w:val="0"/>
        <w:snapToGrid/>
        <w:spacing w:line="336" w:lineRule="auto"/>
        <w:ind w:firstLine="420" w:firstLineChars="200"/>
        <w:textAlignment w:val="auto"/>
        <w:outlineLvl w:val="9"/>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（5）因发包人违反合同约定造成暂停施工的违约责任：</w:t>
      </w:r>
      <w:r>
        <w:rPr>
          <w:rFonts w:hint="eastAsia" w:ascii="宋体" w:hAnsi="宋体" w:eastAsia="宋体" w:cs="宋体"/>
          <w:color w:val="auto"/>
          <w:sz w:val="21"/>
          <w:szCs w:val="21"/>
          <w:highlight w:val="none"/>
          <w:u w:val="single"/>
        </w:rPr>
        <w:t xml:space="preserve">  /  </w:t>
      </w:r>
      <w:r>
        <w:rPr>
          <w:rFonts w:hint="eastAsia" w:ascii="宋体" w:hAnsi="宋体" w:eastAsia="宋体" w:cs="宋体"/>
          <w:color w:val="auto"/>
          <w:sz w:val="21"/>
          <w:szCs w:val="21"/>
          <w:highlight w:val="none"/>
        </w:rPr>
        <w:t>。</w:t>
      </w:r>
    </w:p>
    <w:p w14:paraId="03E135AD">
      <w:pPr>
        <w:keepNext w:val="0"/>
        <w:keepLines w:val="0"/>
        <w:pageBreakBefore w:val="0"/>
        <w:widowControl w:val="0"/>
        <w:kinsoku/>
        <w:wordWrap/>
        <w:overflowPunct/>
        <w:topLinePunct w:val="0"/>
        <w:bidi w:val="0"/>
        <w:snapToGrid/>
        <w:spacing w:line="336" w:lineRule="auto"/>
        <w:ind w:firstLine="420" w:firstLineChars="200"/>
        <w:textAlignment w:val="auto"/>
        <w:outlineLvl w:val="9"/>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（6）发包人无正当理由没有在约定期限内发出复工指示，导致承包人无法复工的违约责任：</w:t>
      </w:r>
      <w:r>
        <w:rPr>
          <w:rFonts w:hint="eastAsia" w:ascii="宋体" w:hAnsi="宋体" w:eastAsia="宋体" w:cs="宋体"/>
          <w:color w:val="auto"/>
          <w:sz w:val="21"/>
          <w:szCs w:val="21"/>
          <w:highlight w:val="none"/>
          <w:u w:val="single"/>
        </w:rPr>
        <w:t xml:space="preserve">  /  </w:t>
      </w:r>
      <w:r>
        <w:rPr>
          <w:rFonts w:hint="eastAsia" w:ascii="宋体" w:hAnsi="宋体" w:eastAsia="宋体" w:cs="宋体"/>
          <w:color w:val="auto"/>
          <w:sz w:val="21"/>
          <w:szCs w:val="21"/>
          <w:highlight w:val="none"/>
        </w:rPr>
        <w:t>。</w:t>
      </w:r>
    </w:p>
    <w:p w14:paraId="103B4A57">
      <w:pPr>
        <w:keepNext w:val="0"/>
        <w:keepLines w:val="0"/>
        <w:pageBreakBefore w:val="0"/>
        <w:widowControl w:val="0"/>
        <w:kinsoku/>
        <w:wordWrap/>
        <w:overflowPunct/>
        <w:topLinePunct w:val="0"/>
        <w:bidi w:val="0"/>
        <w:snapToGrid/>
        <w:spacing w:line="336" w:lineRule="auto"/>
        <w:ind w:firstLine="420" w:firstLineChars="200"/>
        <w:textAlignment w:val="auto"/>
        <w:outlineLvl w:val="9"/>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（7）其他：</w:t>
      </w:r>
      <w:r>
        <w:rPr>
          <w:rFonts w:hint="eastAsia" w:ascii="宋体" w:hAnsi="宋体" w:eastAsia="宋体" w:cs="宋体"/>
          <w:color w:val="auto"/>
          <w:sz w:val="21"/>
          <w:szCs w:val="21"/>
          <w:highlight w:val="none"/>
          <w:u w:val="single"/>
        </w:rPr>
        <w:t xml:space="preserve">            /           </w:t>
      </w:r>
      <w:r>
        <w:rPr>
          <w:rFonts w:hint="eastAsia" w:ascii="宋体" w:hAnsi="宋体" w:eastAsia="宋体" w:cs="宋体"/>
          <w:color w:val="auto"/>
          <w:sz w:val="21"/>
          <w:szCs w:val="21"/>
          <w:highlight w:val="none"/>
        </w:rPr>
        <w:t>。</w:t>
      </w:r>
    </w:p>
    <w:p w14:paraId="18786E0A">
      <w:pPr>
        <w:keepNext w:val="0"/>
        <w:keepLines w:val="0"/>
        <w:pageBreakBefore w:val="0"/>
        <w:widowControl w:val="0"/>
        <w:kinsoku/>
        <w:wordWrap/>
        <w:overflowPunct/>
        <w:topLinePunct w:val="0"/>
        <w:bidi w:val="0"/>
        <w:snapToGrid/>
        <w:spacing w:line="336" w:lineRule="auto"/>
        <w:ind w:firstLine="420" w:firstLineChars="200"/>
        <w:textAlignment w:val="auto"/>
        <w:outlineLvl w:val="9"/>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16.1.3 因发包人违约解除合同</w:t>
      </w:r>
    </w:p>
    <w:p w14:paraId="07BCE0FB">
      <w:pPr>
        <w:keepNext w:val="0"/>
        <w:keepLines w:val="0"/>
        <w:pageBreakBefore w:val="0"/>
        <w:widowControl w:val="0"/>
        <w:kinsoku/>
        <w:wordWrap/>
        <w:overflowPunct/>
        <w:topLinePunct w:val="0"/>
        <w:autoSpaceDE w:val="0"/>
        <w:autoSpaceDN w:val="0"/>
        <w:bidi w:val="0"/>
        <w:adjustRightInd w:val="0"/>
        <w:snapToGrid/>
        <w:spacing w:line="336" w:lineRule="auto"/>
        <w:ind w:firstLine="420" w:firstLineChars="200"/>
        <w:textAlignment w:val="auto"/>
        <w:outlineLvl w:val="9"/>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承包人按16.1.1项〔发包人违约的情形〕约定暂停施工满</w:t>
      </w:r>
      <w:r>
        <w:rPr>
          <w:rFonts w:hint="eastAsia" w:ascii="宋体" w:hAnsi="宋体" w:eastAsia="宋体" w:cs="宋体"/>
          <w:color w:val="auto"/>
          <w:sz w:val="21"/>
          <w:szCs w:val="21"/>
          <w:highlight w:val="none"/>
          <w:u w:val="single"/>
        </w:rPr>
        <w:t xml:space="preserve">  28  </w:t>
      </w:r>
      <w:r>
        <w:rPr>
          <w:rFonts w:hint="eastAsia" w:ascii="宋体" w:hAnsi="宋体" w:eastAsia="宋体" w:cs="宋体"/>
          <w:color w:val="auto"/>
          <w:sz w:val="21"/>
          <w:szCs w:val="21"/>
          <w:highlight w:val="none"/>
        </w:rPr>
        <w:t>天后发包人仍不纠正其违约行为并致使合同目的不能实现的，承包人有权解除合同。</w:t>
      </w:r>
    </w:p>
    <w:p w14:paraId="4CB4FF43">
      <w:pPr>
        <w:keepNext w:val="0"/>
        <w:keepLines w:val="0"/>
        <w:pageBreakBefore w:val="0"/>
        <w:widowControl w:val="0"/>
        <w:kinsoku/>
        <w:wordWrap/>
        <w:overflowPunct/>
        <w:topLinePunct w:val="0"/>
        <w:bidi w:val="0"/>
        <w:snapToGrid/>
        <w:spacing w:line="336" w:lineRule="auto"/>
        <w:ind w:firstLine="420" w:firstLineChars="200"/>
        <w:textAlignment w:val="auto"/>
        <w:outlineLvl w:val="9"/>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16.2 承包人违约</w:t>
      </w:r>
    </w:p>
    <w:p w14:paraId="67E16281">
      <w:pPr>
        <w:keepNext w:val="0"/>
        <w:keepLines w:val="0"/>
        <w:pageBreakBefore w:val="0"/>
        <w:widowControl w:val="0"/>
        <w:kinsoku/>
        <w:wordWrap/>
        <w:overflowPunct/>
        <w:topLinePunct w:val="0"/>
        <w:bidi w:val="0"/>
        <w:snapToGrid/>
        <w:spacing w:line="336" w:lineRule="auto"/>
        <w:ind w:firstLine="420" w:firstLineChars="200"/>
        <w:textAlignment w:val="auto"/>
        <w:outlineLvl w:val="9"/>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16.2.1 承包人违约的情形</w:t>
      </w:r>
    </w:p>
    <w:p w14:paraId="6199EEE4">
      <w:pPr>
        <w:keepNext w:val="0"/>
        <w:keepLines w:val="0"/>
        <w:pageBreakBefore w:val="0"/>
        <w:widowControl w:val="0"/>
        <w:kinsoku/>
        <w:wordWrap/>
        <w:overflowPunct/>
        <w:topLinePunct w:val="0"/>
        <w:bidi w:val="0"/>
        <w:snapToGrid/>
        <w:spacing w:line="336" w:lineRule="auto"/>
        <w:ind w:firstLine="411" w:firstLineChars="196"/>
        <w:textAlignment w:val="auto"/>
        <w:outlineLvl w:val="9"/>
        <w:rPr>
          <w:rFonts w:hint="eastAsia" w:ascii="宋体" w:hAnsi="宋体" w:eastAsia="宋体" w:cs="宋体"/>
          <w:color w:val="auto"/>
          <w:sz w:val="21"/>
          <w:szCs w:val="21"/>
          <w:highlight w:val="none"/>
          <w:lang w:bidi="en-US"/>
        </w:rPr>
      </w:pPr>
      <w:r>
        <w:rPr>
          <w:rFonts w:hint="eastAsia" w:ascii="宋体" w:hAnsi="宋体" w:eastAsia="宋体" w:cs="宋体"/>
          <w:color w:val="auto"/>
          <w:sz w:val="21"/>
          <w:szCs w:val="21"/>
          <w:highlight w:val="none"/>
        </w:rPr>
        <w:t>承包人违约的其他情形</w:t>
      </w:r>
      <w:r>
        <w:rPr>
          <w:rFonts w:hint="eastAsia" w:ascii="宋体" w:hAnsi="宋体" w:eastAsia="宋体" w:cs="宋体"/>
          <w:color w:val="auto"/>
          <w:sz w:val="21"/>
          <w:szCs w:val="21"/>
          <w:highlight w:val="none"/>
          <w:lang w:bidi="en-US"/>
        </w:rPr>
        <w:t>：</w:t>
      </w:r>
    </w:p>
    <w:p w14:paraId="27049A92">
      <w:pPr>
        <w:keepNext w:val="0"/>
        <w:keepLines w:val="0"/>
        <w:pageBreakBefore w:val="0"/>
        <w:widowControl w:val="0"/>
        <w:kinsoku/>
        <w:wordWrap/>
        <w:overflowPunct/>
        <w:topLinePunct w:val="0"/>
        <w:bidi w:val="0"/>
        <w:snapToGrid/>
        <w:spacing w:line="336" w:lineRule="auto"/>
        <w:ind w:firstLine="413" w:firstLineChars="196"/>
        <w:textAlignment w:val="auto"/>
        <w:outlineLvl w:val="9"/>
        <w:rPr>
          <w:rFonts w:hint="eastAsia" w:ascii="宋体" w:hAnsi="宋体" w:eastAsia="宋体" w:cs="宋体"/>
          <w:b/>
          <w:bCs/>
          <w:color w:val="auto"/>
          <w:sz w:val="21"/>
          <w:szCs w:val="21"/>
          <w:highlight w:val="none"/>
          <w:u w:val="single"/>
        </w:rPr>
      </w:pPr>
      <w:r>
        <w:rPr>
          <w:rFonts w:hint="eastAsia" w:ascii="宋体" w:hAnsi="宋体" w:eastAsia="宋体" w:cs="宋体"/>
          <w:b/>
          <w:bCs/>
          <w:color w:val="auto"/>
          <w:sz w:val="21"/>
          <w:szCs w:val="21"/>
          <w:highlight w:val="none"/>
          <w:u w:val="single"/>
        </w:rPr>
        <w:t>承包人必须服从发包人的管理，积极支持发包人的工作，对发包人的指令，若无正当理由而公开或变相拒不执行的，发包人有权主张承包人承担1万元/次的违约金，由此造成的一切经济损失由承包人承担。</w:t>
      </w:r>
    </w:p>
    <w:p w14:paraId="09114D74">
      <w:pPr>
        <w:keepNext w:val="0"/>
        <w:keepLines w:val="0"/>
        <w:pageBreakBefore w:val="0"/>
        <w:widowControl w:val="0"/>
        <w:kinsoku/>
        <w:wordWrap/>
        <w:overflowPunct/>
        <w:topLinePunct w:val="0"/>
        <w:bidi w:val="0"/>
        <w:snapToGrid/>
        <w:spacing w:line="336" w:lineRule="auto"/>
        <w:ind w:firstLine="420" w:firstLineChars="200"/>
        <w:textAlignment w:val="auto"/>
        <w:outlineLvl w:val="9"/>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16.2.2承包人违约的责任</w:t>
      </w:r>
    </w:p>
    <w:p w14:paraId="357333DD">
      <w:pPr>
        <w:keepNext w:val="0"/>
        <w:keepLines w:val="0"/>
        <w:pageBreakBefore w:val="0"/>
        <w:widowControl w:val="0"/>
        <w:kinsoku/>
        <w:wordWrap/>
        <w:overflowPunct/>
        <w:topLinePunct w:val="0"/>
        <w:bidi w:val="0"/>
        <w:snapToGrid/>
        <w:spacing w:line="336" w:lineRule="auto"/>
        <w:ind w:firstLine="420" w:firstLineChars="200"/>
        <w:textAlignment w:val="auto"/>
        <w:outlineLvl w:val="9"/>
        <w:rPr>
          <w:rFonts w:hint="eastAsia" w:ascii="宋体" w:hAnsi="宋体" w:eastAsia="宋体" w:cs="宋体"/>
          <w:b/>
          <w:bCs/>
          <w:color w:val="auto"/>
          <w:sz w:val="21"/>
          <w:szCs w:val="21"/>
          <w:highlight w:val="none"/>
          <w:u w:val="single"/>
        </w:rPr>
      </w:pPr>
      <w:r>
        <w:rPr>
          <w:rFonts w:hint="eastAsia" w:ascii="宋体" w:hAnsi="宋体" w:eastAsia="宋体" w:cs="宋体"/>
          <w:color w:val="auto"/>
          <w:sz w:val="21"/>
          <w:szCs w:val="21"/>
          <w:highlight w:val="none"/>
        </w:rPr>
        <w:t>承包人违约责任的承担方式和计算方法：</w:t>
      </w:r>
      <w:r>
        <w:rPr>
          <w:rFonts w:hint="eastAsia" w:ascii="宋体" w:hAnsi="宋体" w:eastAsia="宋体" w:cs="宋体"/>
          <w:b/>
          <w:bCs/>
          <w:color w:val="auto"/>
          <w:sz w:val="21"/>
          <w:szCs w:val="21"/>
          <w:highlight w:val="none"/>
          <w:u w:val="single"/>
        </w:rPr>
        <w:t>按相应专用条款中的约定执行。</w:t>
      </w:r>
    </w:p>
    <w:p w14:paraId="21F158EF">
      <w:pPr>
        <w:keepNext w:val="0"/>
        <w:keepLines w:val="0"/>
        <w:pageBreakBefore w:val="0"/>
        <w:widowControl w:val="0"/>
        <w:kinsoku/>
        <w:wordWrap/>
        <w:overflowPunct/>
        <w:topLinePunct w:val="0"/>
        <w:bidi w:val="0"/>
        <w:snapToGrid/>
        <w:spacing w:line="336" w:lineRule="auto"/>
        <w:ind w:firstLine="420" w:firstLineChars="200"/>
        <w:textAlignment w:val="auto"/>
        <w:outlineLvl w:val="9"/>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16.2.3 因承包人违约解除合同</w:t>
      </w:r>
    </w:p>
    <w:p w14:paraId="7DAA7FAB">
      <w:pPr>
        <w:keepNext w:val="0"/>
        <w:keepLines w:val="0"/>
        <w:pageBreakBefore w:val="0"/>
        <w:widowControl w:val="0"/>
        <w:kinsoku/>
        <w:wordWrap/>
        <w:overflowPunct/>
        <w:topLinePunct w:val="0"/>
        <w:bidi w:val="0"/>
        <w:snapToGrid/>
        <w:spacing w:line="336" w:lineRule="auto"/>
        <w:ind w:firstLine="411" w:firstLineChars="196"/>
        <w:textAlignment w:val="auto"/>
        <w:outlineLvl w:val="9"/>
        <w:rPr>
          <w:rFonts w:hint="eastAsia" w:ascii="宋体" w:hAnsi="宋体" w:eastAsia="宋体" w:cs="宋体"/>
          <w:color w:val="auto"/>
          <w:sz w:val="21"/>
          <w:szCs w:val="21"/>
          <w:highlight w:val="none"/>
          <w:u w:val="single"/>
          <w:lang w:bidi="en-US"/>
        </w:rPr>
      </w:pPr>
      <w:r>
        <w:rPr>
          <w:rFonts w:hint="eastAsia" w:ascii="宋体" w:hAnsi="宋体" w:eastAsia="宋体" w:cs="宋体"/>
          <w:color w:val="auto"/>
          <w:sz w:val="21"/>
          <w:szCs w:val="21"/>
          <w:highlight w:val="none"/>
          <w:lang w:bidi="en-US"/>
        </w:rPr>
        <w:t>关于承包人违约解除合同的特别约定：</w:t>
      </w:r>
      <w:r>
        <w:rPr>
          <w:rFonts w:hint="eastAsia" w:ascii="宋体" w:hAnsi="宋体" w:eastAsia="宋体" w:cs="宋体"/>
          <w:b/>
          <w:bCs/>
          <w:color w:val="auto"/>
          <w:sz w:val="21"/>
          <w:szCs w:val="21"/>
          <w:highlight w:val="none"/>
          <w:u w:val="single"/>
        </w:rPr>
        <w:t>按通用条款16.2.3</w:t>
      </w:r>
      <w:r>
        <w:rPr>
          <w:rFonts w:hint="eastAsia" w:ascii="宋体" w:hAnsi="宋体" w:eastAsia="宋体" w:cs="宋体"/>
          <w:b/>
          <w:bCs/>
          <w:color w:val="auto"/>
          <w:sz w:val="21"/>
          <w:szCs w:val="21"/>
          <w:highlight w:val="none"/>
          <w:u w:val="single"/>
          <w:lang w:bidi="en-US"/>
        </w:rPr>
        <w:t>及相应专用条款中的约定</w:t>
      </w:r>
      <w:r>
        <w:rPr>
          <w:rFonts w:hint="eastAsia" w:ascii="宋体" w:hAnsi="宋体" w:eastAsia="宋体" w:cs="宋体"/>
          <w:b/>
          <w:bCs/>
          <w:color w:val="auto"/>
          <w:sz w:val="21"/>
          <w:szCs w:val="21"/>
          <w:highlight w:val="none"/>
          <w:u w:val="single"/>
        </w:rPr>
        <w:t>执行</w:t>
      </w:r>
      <w:r>
        <w:rPr>
          <w:rFonts w:hint="eastAsia" w:ascii="宋体" w:hAnsi="宋体" w:eastAsia="宋体" w:cs="宋体"/>
          <w:color w:val="auto"/>
          <w:sz w:val="21"/>
          <w:szCs w:val="21"/>
          <w:highlight w:val="none"/>
        </w:rPr>
        <w:t>。</w:t>
      </w:r>
    </w:p>
    <w:p w14:paraId="587CDE4E">
      <w:pPr>
        <w:keepNext w:val="0"/>
        <w:keepLines w:val="0"/>
        <w:pageBreakBefore w:val="0"/>
        <w:widowControl w:val="0"/>
        <w:kinsoku/>
        <w:wordWrap/>
        <w:overflowPunct/>
        <w:topLinePunct w:val="0"/>
        <w:bidi w:val="0"/>
        <w:snapToGrid/>
        <w:spacing w:line="336" w:lineRule="auto"/>
        <w:ind w:firstLine="420" w:firstLineChars="200"/>
        <w:textAlignment w:val="auto"/>
        <w:outlineLvl w:val="9"/>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发包人继续使用承包人在施工现场的材料、设备、临时工程、承包人文件和由承包人或以其名义编制的其他文件的费用承担方式：</w:t>
      </w:r>
      <w:r>
        <w:rPr>
          <w:rFonts w:hint="eastAsia" w:ascii="宋体" w:hAnsi="宋体" w:eastAsia="宋体" w:cs="宋体"/>
          <w:b/>
          <w:bCs/>
          <w:color w:val="auto"/>
          <w:sz w:val="21"/>
          <w:szCs w:val="21"/>
          <w:highlight w:val="none"/>
          <w:u w:val="single"/>
        </w:rPr>
        <w:t xml:space="preserve"> 发生时协商确定 </w:t>
      </w:r>
      <w:r>
        <w:rPr>
          <w:rFonts w:hint="eastAsia" w:ascii="宋体" w:hAnsi="宋体" w:eastAsia="宋体" w:cs="宋体"/>
          <w:color w:val="auto"/>
          <w:sz w:val="21"/>
          <w:szCs w:val="21"/>
          <w:highlight w:val="none"/>
        </w:rPr>
        <w:t>。</w:t>
      </w:r>
    </w:p>
    <w:p w14:paraId="709EEA81">
      <w:pPr>
        <w:keepNext w:val="0"/>
        <w:keepLines w:val="0"/>
        <w:pageBreakBefore w:val="0"/>
        <w:widowControl w:val="0"/>
        <w:kinsoku/>
        <w:wordWrap/>
        <w:overflowPunct/>
        <w:topLinePunct w:val="0"/>
        <w:autoSpaceDE/>
        <w:autoSpaceDN/>
        <w:bidi w:val="0"/>
        <w:adjustRightInd/>
        <w:snapToGrid/>
        <w:spacing w:line="336" w:lineRule="auto"/>
        <w:ind w:firstLine="422" w:firstLineChars="200"/>
        <w:textAlignment w:val="auto"/>
        <w:outlineLvl w:val="2"/>
        <w:rPr>
          <w:rFonts w:hint="eastAsia" w:ascii="宋体" w:hAnsi="宋体" w:eastAsia="宋体" w:cs="宋体"/>
          <w:b/>
          <w:color w:val="auto"/>
          <w:sz w:val="21"/>
          <w:szCs w:val="21"/>
          <w:highlight w:val="none"/>
        </w:rPr>
      </w:pPr>
      <w:bookmarkStart w:id="839" w:name="_Toc351203649"/>
      <w:bookmarkStart w:id="840" w:name="_Toc30413"/>
      <w:bookmarkStart w:id="841" w:name="_Toc1601"/>
      <w:bookmarkStart w:id="842" w:name="_Toc2589"/>
      <w:bookmarkStart w:id="843" w:name="_Toc168862331"/>
      <w:bookmarkStart w:id="844" w:name="_Toc14762"/>
      <w:bookmarkStart w:id="845" w:name="_Toc167230044"/>
      <w:r>
        <w:rPr>
          <w:rFonts w:hint="eastAsia" w:ascii="宋体" w:hAnsi="宋体" w:eastAsia="宋体" w:cs="宋体"/>
          <w:b/>
          <w:color w:val="auto"/>
          <w:sz w:val="21"/>
          <w:szCs w:val="21"/>
          <w:highlight w:val="none"/>
        </w:rPr>
        <w:t>17. 不可抗力</w:t>
      </w:r>
      <w:bookmarkEnd w:id="839"/>
      <w:bookmarkEnd w:id="840"/>
      <w:bookmarkEnd w:id="841"/>
      <w:bookmarkEnd w:id="842"/>
      <w:bookmarkEnd w:id="843"/>
      <w:bookmarkEnd w:id="844"/>
      <w:bookmarkEnd w:id="845"/>
      <w:r>
        <w:rPr>
          <w:rFonts w:hint="eastAsia" w:ascii="宋体" w:hAnsi="宋体" w:eastAsia="宋体" w:cs="宋体"/>
          <w:b/>
          <w:color w:val="auto"/>
          <w:sz w:val="21"/>
          <w:szCs w:val="21"/>
          <w:highlight w:val="none"/>
        </w:rPr>
        <w:t xml:space="preserve"> </w:t>
      </w:r>
    </w:p>
    <w:p w14:paraId="0124D009">
      <w:pPr>
        <w:keepNext w:val="0"/>
        <w:keepLines w:val="0"/>
        <w:pageBreakBefore w:val="0"/>
        <w:widowControl w:val="0"/>
        <w:kinsoku/>
        <w:wordWrap/>
        <w:overflowPunct/>
        <w:topLinePunct w:val="0"/>
        <w:autoSpaceDE/>
        <w:autoSpaceDN/>
        <w:bidi w:val="0"/>
        <w:adjustRightInd/>
        <w:snapToGrid/>
        <w:spacing w:line="336" w:lineRule="auto"/>
        <w:ind w:firstLine="422" w:firstLineChars="200"/>
        <w:textAlignment w:val="auto"/>
        <w:outlineLvl w:val="9"/>
        <w:rPr>
          <w:rFonts w:hint="eastAsia" w:ascii="宋体" w:hAnsi="宋体" w:eastAsia="宋体" w:cs="宋体"/>
          <w:color w:val="auto"/>
          <w:sz w:val="21"/>
          <w:szCs w:val="21"/>
          <w:highlight w:val="none"/>
        </w:rPr>
      </w:pPr>
      <w:r>
        <w:rPr>
          <w:rFonts w:hint="eastAsia" w:ascii="宋体" w:hAnsi="宋体" w:eastAsia="宋体" w:cs="宋体"/>
          <w:b/>
          <w:color w:val="auto"/>
          <w:sz w:val="21"/>
          <w:szCs w:val="21"/>
          <w:highlight w:val="none"/>
        </w:rPr>
        <w:t>17.1 不可抗力的确</w:t>
      </w:r>
      <w:r>
        <w:rPr>
          <w:rFonts w:hint="eastAsia" w:ascii="宋体" w:hAnsi="宋体" w:eastAsia="宋体" w:cs="宋体"/>
          <w:color w:val="auto"/>
          <w:sz w:val="21"/>
          <w:szCs w:val="21"/>
          <w:highlight w:val="none"/>
        </w:rPr>
        <w:t>认</w:t>
      </w:r>
    </w:p>
    <w:p w14:paraId="473D9CFB">
      <w:pPr>
        <w:keepNext w:val="0"/>
        <w:keepLines w:val="0"/>
        <w:pageBreakBefore w:val="0"/>
        <w:widowControl w:val="0"/>
        <w:kinsoku/>
        <w:wordWrap/>
        <w:overflowPunct/>
        <w:topLinePunct w:val="0"/>
        <w:bidi w:val="0"/>
        <w:snapToGrid/>
        <w:spacing w:line="336" w:lineRule="auto"/>
        <w:ind w:firstLine="420" w:firstLineChars="200"/>
        <w:textAlignment w:val="auto"/>
        <w:outlineLvl w:val="9"/>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除通用合同条款约定的不可抗力事件之外，视为不可抗力的其他情形：</w:t>
      </w:r>
      <w:r>
        <w:rPr>
          <w:rFonts w:hint="eastAsia" w:ascii="宋体" w:hAnsi="宋体" w:eastAsia="宋体" w:cs="宋体"/>
          <w:b/>
          <w:bCs/>
          <w:color w:val="auto"/>
          <w:sz w:val="21"/>
          <w:szCs w:val="21"/>
          <w:highlight w:val="none"/>
          <w:u w:val="single"/>
        </w:rPr>
        <w:t xml:space="preserve">  按通用条款17.1执行  </w:t>
      </w:r>
      <w:r>
        <w:rPr>
          <w:rFonts w:hint="eastAsia" w:ascii="宋体" w:hAnsi="宋体" w:eastAsia="宋体" w:cs="宋体"/>
          <w:color w:val="auto"/>
          <w:sz w:val="21"/>
          <w:szCs w:val="21"/>
          <w:highlight w:val="none"/>
        </w:rPr>
        <w:t>。</w:t>
      </w:r>
    </w:p>
    <w:p w14:paraId="2958FE78">
      <w:pPr>
        <w:keepNext w:val="0"/>
        <w:keepLines w:val="0"/>
        <w:pageBreakBefore w:val="0"/>
        <w:widowControl w:val="0"/>
        <w:kinsoku/>
        <w:wordWrap/>
        <w:overflowPunct/>
        <w:topLinePunct w:val="0"/>
        <w:bidi w:val="0"/>
        <w:snapToGrid/>
        <w:spacing w:line="336" w:lineRule="auto"/>
        <w:ind w:firstLine="420" w:firstLineChars="200"/>
        <w:textAlignment w:val="auto"/>
        <w:outlineLvl w:val="9"/>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17.2 因不可抗力解除合同</w:t>
      </w:r>
    </w:p>
    <w:p w14:paraId="43C24DDB">
      <w:pPr>
        <w:keepNext w:val="0"/>
        <w:keepLines w:val="0"/>
        <w:pageBreakBefore w:val="0"/>
        <w:widowControl w:val="0"/>
        <w:kinsoku/>
        <w:wordWrap/>
        <w:overflowPunct/>
        <w:topLinePunct w:val="0"/>
        <w:bidi w:val="0"/>
        <w:snapToGrid/>
        <w:spacing w:line="336" w:lineRule="auto"/>
        <w:ind w:firstLine="420" w:firstLineChars="200"/>
        <w:textAlignment w:val="auto"/>
        <w:outlineLvl w:val="9"/>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合同解除后，发包人应在商定或确定发包人应支付款项后</w:t>
      </w:r>
      <w:r>
        <w:rPr>
          <w:rFonts w:hint="eastAsia" w:ascii="宋体" w:hAnsi="宋体" w:eastAsia="宋体" w:cs="宋体"/>
          <w:b/>
          <w:bCs/>
          <w:color w:val="auto"/>
          <w:sz w:val="21"/>
          <w:szCs w:val="21"/>
          <w:highlight w:val="none"/>
          <w:u w:val="single"/>
        </w:rPr>
        <w:t xml:space="preserve"> 在商定的日期 </w:t>
      </w:r>
      <w:r>
        <w:rPr>
          <w:rFonts w:hint="eastAsia" w:ascii="宋体" w:hAnsi="宋体" w:eastAsia="宋体" w:cs="宋体"/>
          <w:color w:val="auto"/>
          <w:sz w:val="21"/>
          <w:szCs w:val="21"/>
          <w:highlight w:val="none"/>
        </w:rPr>
        <w:t>内完成款项的支付。</w:t>
      </w:r>
    </w:p>
    <w:p w14:paraId="01DB5EBD">
      <w:pPr>
        <w:keepNext w:val="0"/>
        <w:keepLines w:val="0"/>
        <w:pageBreakBefore w:val="0"/>
        <w:widowControl w:val="0"/>
        <w:kinsoku/>
        <w:wordWrap/>
        <w:overflowPunct/>
        <w:topLinePunct w:val="0"/>
        <w:autoSpaceDE/>
        <w:autoSpaceDN/>
        <w:bidi w:val="0"/>
        <w:adjustRightInd/>
        <w:snapToGrid/>
        <w:spacing w:line="336" w:lineRule="auto"/>
        <w:ind w:firstLine="422" w:firstLineChars="200"/>
        <w:textAlignment w:val="auto"/>
        <w:outlineLvl w:val="2"/>
        <w:rPr>
          <w:rFonts w:hint="eastAsia" w:ascii="宋体" w:hAnsi="宋体" w:eastAsia="宋体" w:cs="宋体"/>
          <w:b/>
          <w:color w:val="auto"/>
          <w:sz w:val="21"/>
          <w:szCs w:val="21"/>
          <w:highlight w:val="none"/>
        </w:rPr>
      </w:pPr>
      <w:bookmarkStart w:id="846" w:name="_Toc15002"/>
      <w:bookmarkStart w:id="847" w:name="_Toc11065"/>
      <w:bookmarkStart w:id="848" w:name="_Toc1018"/>
      <w:bookmarkStart w:id="849" w:name="_Toc14708"/>
      <w:bookmarkStart w:id="850" w:name="_Toc168862332"/>
      <w:bookmarkStart w:id="851" w:name="_Toc167230045"/>
      <w:bookmarkStart w:id="852" w:name="_Toc351203650"/>
      <w:r>
        <w:rPr>
          <w:rFonts w:hint="eastAsia" w:ascii="宋体" w:hAnsi="宋体" w:eastAsia="宋体" w:cs="宋体"/>
          <w:b/>
          <w:color w:val="auto"/>
          <w:sz w:val="21"/>
          <w:szCs w:val="21"/>
          <w:highlight w:val="none"/>
        </w:rPr>
        <w:t>18. 保险</w:t>
      </w:r>
      <w:bookmarkEnd w:id="846"/>
      <w:bookmarkEnd w:id="847"/>
      <w:bookmarkEnd w:id="848"/>
      <w:bookmarkEnd w:id="849"/>
      <w:bookmarkEnd w:id="850"/>
      <w:bookmarkEnd w:id="851"/>
      <w:bookmarkEnd w:id="852"/>
    </w:p>
    <w:p w14:paraId="6AFBF1F9">
      <w:pPr>
        <w:keepNext w:val="0"/>
        <w:keepLines w:val="0"/>
        <w:pageBreakBefore w:val="0"/>
        <w:widowControl w:val="0"/>
        <w:kinsoku/>
        <w:wordWrap/>
        <w:overflowPunct/>
        <w:topLinePunct w:val="0"/>
        <w:bidi w:val="0"/>
        <w:snapToGrid/>
        <w:spacing w:line="336" w:lineRule="auto"/>
        <w:ind w:firstLine="420" w:firstLineChars="200"/>
        <w:textAlignment w:val="auto"/>
        <w:outlineLvl w:val="9"/>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18.1 工程保险</w:t>
      </w:r>
    </w:p>
    <w:p w14:paraId="49E7DBF3">
      <w:pPr>
        <w:keepNext w:val="0"/>
        <w:keepLines w:val="0"/>
        <w:pageBreakBefore w:val="0"/>
        <w:widowControl w:val="0"/>
        <w:kinsoku/>
        <w:wordWrap/>
        <w:overflowPunct/>
        <w:topLinePunct w:val="0"/>
        <w:bidi w:val="0"/>
        <w:snapToGrid/>
        <w:spacing w:line="336" w:lineRule="auto"/>
        <w:ind w:firstLine="420" w:firstLineChars="200"/>
        <w:textAlignment w:val="auto"/>
        <w:outlineLvl w:val="9"/>
        <w:rPr>
          <w:rFonts w:hint="eastAsia" w:ascii="宋体" w:hAnsi="宋体" w:eastAsia="宋体" w:cs="宋体"/>
          <w:color w:val="auto"/>
          <w:sz w:val="21"/>
          <w:szCs w:val="21"/>
          <w:highlight w:val="none"/>
          <w:u w:val="single"/>
        </w:rPr>
      </w:pPr>
      <w:r>
        <w:rPr>
          <w:rFonts w:hint="eastAsia" w:ascii="宋体" w:hAnsi="宋体" w:eastAsia="宋体" w:cs="宋体"/>
          <w:color w:val="auto"/>
          <w:sz w:val="21"/>
          <w:szCs w:val="21"/>
          <w:highlight w:val="none"/>
        </w:rPr>
        <w:t>关于工程保险的特别约定：</w:t>
      </w:r>
      <w:r>
        <w:rPr>
          <w:rFonts w:hint="eastAsia" w:ascii="宋体" w:hAnsi="宋体" w:eastAsia="宋体" w:cs="宋体"/>
          <w:b/>
          <w:bCs/>
          <w:color w:val="auto"/>
          <w:sz w:val="21"/>
          <w:szCs w:val="21"/>
          <w:highlight w:val="none"/>
          <w:u w:val="single"/>
        </w:rPr>
        <w:t xml:space="preserve"> 属于国家规定的高危行业、领域的生产经营单位，应当投保安全生产责任保险。其余按通用条款18.1执行。</w:t>
      </w:r>
    </w:p>
    <w:p w14:paraId="601D7382">
      <w:pPr>
        <w:keepNext w:val="0"/>
        <w:keepLines w:val="0"/>
        <w:pageBreakBefore w:val="0"/>
        <w:widowControl w:val="0"/>
        <w:kinsoku/>
        <w:wordWrap/>
        <w:overflowPunct/>
        <w:topLinePunct w:val="0"/>
        <w:bidi w:val="0"/>
        <w:snapToGrid/>
        <w:spacing w:line="336" w:lineRule="auto"/>
        <w:ind w:firstLine="420" w:firstLineChars="200"/>
        <w:textAlignment w:val="auto"/>
        <w:outlineLvl w:val="9"/>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18.2 其他保险</w:t>
      </w:r>
    </w:p>
    <w:p w14:paraId="2BFFAD87">
      <w:pPr>
        <w:keepNext w:val="0"/>
        <w:keepLines w:val="0"/>
        <w:pageBreakBefore w:val="0"/>
        <w:widowControl w:val="0"/>
        <w:kinsoku/>
        <w:wordWrap/>
        <w:overflowPunct/>
        <w:topLinePunct w:val="0"/>
        <w:bidi w:val="0"/>
        <w:snapToGrid/>
        <w:spacing w:line="336" w:lineRule="auto"/>
        <w:ind w:firstLine="420" w:firstLineChars="200"/>
        <w:textAlignment w:val="auto"/>
        <w:outlineLvl w:val="9"/>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关于其他保险的约定：</w:t>
      </w:r>
      <w:r>
        <w:rPr>
          <w:rFonts w:hint="eastAsia" w:ascii="宋体" w:hAnsi="宋体" w:eastAsia="宋体" w:cs="宋体"/>
          <w:b/>
          <w:bCs/>
          <w:color w:val="auto"/>
          <w:sz w:val="21"/>
          <w:szCs w:val="21"/>
          <w:highlight w:val="none"/>
          <w:u w:val="single"/>
        </w:rPr>
        <w:t>按国家</w:t>
      </w:r>
      <w:r>
        <w:rPr>
          <w:rFonts w:hint="eastAsia" w:ascii="宋体" w:hAnsi="宋体" w:cs="宋体"/>
          <w:b/>
          <w:bCs/>
          <w:color w:val="auto"/>
          <w:sz w:val="21"/>
          <w:szCs w:val="21"/>
          <w:highlight w:val="none"/>
          <w:u w:val="single"/>
          <w:lang w:eastAsia="zh-CN"/>
        </w:rPr>
        <w:t>现行</w:t>
      </w:r>
      <w:r>
        <w:rPr>
          <w:rFonts w:hint="eastAsia" w:ascii="宋体" w:hAnsi="宋体" w:eastAsia="宋体" w:cs="宋体"/>
          <w:b/>
          <w:bCs/>
          <w:color w:val="auto"/>
          <w:sz w:val="21"/>
          <w:szCs w:val="21"/>
          <w:highlight w:val="none"/>
          <w:u w:val="single"/>
        </w:rPr>
        <w:t>规定办理。</w:t>
      </w:r>
    </w:p>
    <w:p w14:paraId="56911B35">
      <w:pPr>
        <w:keepNext w:val="0"/>
        <w:keepLines w:val="0"/>
        <w:pageBreakBefore w:val="0"/>
        <w:widowControl w:val="0"/>
        <w:kinsoku/>
        <w:wordWrap/>
        <w:overflowPunct/>
        <w:topLinePunct w:val="0"/>
        <w:bidi w:val="0"/>
        <w:snapToGrid/>
        <w:spacing w:line="336" w:lineRule="auto"/>
        <w:ind w:firstLine="420" w:firstLineChars="200"/>
        <w:textAlignment w:val="auto"/>
        <w:outlineLvl w:val="9"/>
        <w:rPr>
          <w:rFonts w:hint="eastAsia" w:ascii="宋体" w:hAnsi="宋体" w:eastAsia="宋体" w:cs="宋体"/>
          <w:b/>
          <w:bCs/>
          <w:color w:val="auto"/>
          <w:sz w:val="21"/>
          <w:szCs w:val="21"/>
          <w:highlight w:val="none"/>
          <w:u w:val="single"/>
        </w:rPr>
      </w:pPr>
      <w:r>
        <w:rPr>
          <w:rFonts w:hint="eastAsia" w:ascii="宋体" w:hAnsi="宋体" w:eastAsia="宋体" w:cs="宋体"/>
          <w:color w:val="auto"/>
          <w:sz w:val="21"/>
          <w:szCs w:val="21"/>
          <w:highlight w:val="none"/>
        </w:rPr>
        <w:t>承包人是否应为其施工设备等办理财产保险：</w:t>
      </w:r>
      <w:r>
        <w:rPr>
          <w:rFonts w:hint="eastAsia" w:ascii="宋体" w:hAnsi="宋体" w:eastAsia="宋体" w:cs="宋体"/>
          <w:b/>
          <w:bCs/>
          <w:color w:val="auto"/>
          <w:sz w:val="21"/>
          <w:szCs w:val="21"/>
          <w:highlight w:val="none"/>
          <w:u w:val="single"/>
        </w:rPr>
        <w:t>按通用条款18.3执行。</w:t>
      </w:r>
    </w:p>
    <w:p w14:paraId="711ED029">
      <w:pPr>
        <w:keepNext w:val="0"/>
        <w:keepLines w:val="0"/>
        <w:pageBreakBefore w:val="0"/>
        <w:widowControl w:val="0"/>
        <w:kinsoku/>
        <w:wordWrap/>
        <w:overflowPunct/>
        <w:topLinePunct w:val="0"/>
        <w:bidi w:val="0"/>
        <w:snapToGrid/>
        <w:spacing w:line="336" w:lineRule="auto"/>
        <w:ind w:firstLine="420" w:firstLineChars="200"/>
        <w:textAlignment w:val="auto"/>
        <w:outlineLvl w:val="9"/>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18.3 通知义务</w:t>
      </w:r>
    </w:p>
    <w:p w14:paraId="3850F797">
      <w:pPr>
        <w:keepNext w:val="0"/>
        <w:keepLines w:val="0"/>
        <w:pageBreakBefore w:val="0"/>
        <w:widowControl w:val="0"/>
        <w:kinsoku/>
        <w:wordWrap/>
        <w:overflowPunct/>
        <w:topLinePunct w:val="0"/>
        <w:bidi w:val="0"/>
        <w:snapToGrid/>
        <w:spacing w:line="336" w:lineRule="auto"/>
        <w:ind w:firstLine="420" w:firstLineChars="200"/>
        <w:textAlignment w:val="auto"/>
        <w:outlineLvl w:val="9"/>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关于变更保险合同时的通知义务的约定：</w:t>
      </w:r>
      <w:r>
        <w:rPr>
          <w:rFonts w:hint="eastAsia" w:ascii="宋体" w:hAnsi="宋体" w:eastAsia="宋体" w:cs="宋体"/>
          <w:b/>
          <w:bCs/>
          <w:color w:val="auto"/>
          <w:sz w:val="21"/>
          <w:szCs w:val="21"/>
          <w:highlight w:val="none"/>
          <w:u w:val="single"/>
        </w:rPr>
        <w:t>按通用条款18.7执行。</w:t>
      </w:r>
    </w:p>
    <w:p w14:paraId="2EE28B4A">
      <w:pPr>
        <w:keepNext w:val="0"/>
        <w:keepLines w:val="0"/>
        <w:pageBreakBefore w:val="0"/>
        <w:widowControl w:val="0"/>
        <w:kinsoku/>
        <w:wordWrap/>
        <w:overflowPunct/>
        <w:topLinePunct w:val="0"/>
        <w:autoSpaceDE/>
        <w:autoSpaceDN/>
        <w:bidi w:val="0"/>
        <w:adjustRightInd/>
        <w:snapToGrid/>
        <w:spacing w:line="336" w:lineRule="auto"/>
        <w:ind w:firstLine="422" w:firstLineChars="200"/>
        <w:textAlignment w:val="auto"/>
        <w:outlineLvl w:val="2"/>
        <w:rPr>
          <w:rFonts w:hint="eastAsia" w:ascii="宋体" w:hAnsi="宋体" w:eastAsia="宋体" w:cs="宋体"/>
          <w:b/>
          <w:color w:val="auto"/>
          <w:sz w:val="21"/>
          <w:szCs w:val="21"/>
          <w:highlight w:val="none"/>
        </w:rPr>
      </w:pPr>
      <w:bookmarkStart w:id="853" w:name="_Toc351203651"/>
      <w:bookmarkStart w:id="854" w:name="_Toc31229"/>
      <w:bookmarkStart w:id="855" w:name="_Toc16387"/>
      <w:bookmarkStart w:id="856" w:name="_Toc167230046"/>
      <w:bookmarkStart w:id="857" w:name="_Toc30861"/>
      <w:bookmarkStart w:id="858" w:name="_Toc168862333"/>
      <w:bookmarkStart w:id="859" w:name="_Toc5545"/>
      <w:r>
        <w:rPr>
          <w:rFonts w:hint="eastAsia" w:ascii="宋体" w:hAnsi="宋体" w:eastAsia="宋体" w:cs="宋体"/>
          <w:b/>
          <w:color w:val="auto"/>
          <w:sz w:val="21"/>
          <w:szCs w:val="21"/>
          <w:highlight w:val="none"/>
        </w:rPr>
        <w:t>20. 争议解决</w:t>
      </w:r>
      <w:bookmarkEnd w:id="853"/>
      <w:bookmarkEnd w:id="854"/>
      <w:bookmarkEnd w:id="855"/>
      <w:bookmarkEnd w:id="856"/>
      <w:bookmarkEnd w:id="857"/>
      <w:bookmarkEnd w:id="858"/>
      <w:bookmarkEnd w:id="859"/>
    </w:p>
    <w:p w14:paraId="75C36083">
      <w:pPr>
        <w:keepNext w:val="0"/>
        <w:keepLines w:val="0"/>
        <w:pageBreakBefore w:val="0"/>
        <w:widowControl w:val="0"/>
        <w:kinsoku/>
        <w:wordWrap/>
        <w:overflowPunct/>
        <w:topLinePunct w:val="0"/>
        <w:bidi w:val="0"/>
        <w:snapToGrid/>
        <w:spacing w:line="336" w:lineRule="auto"/>
        <w:ind w:firstLine="420" w:firstLineChars="200"/>
        <w:textAlignment w:val="auto"/>
        <w:outlineLvl w:val="9"/>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20.1 争议评审</w:t>
      </w:r>
    </w:p>
    <w:p w14:paraId="279DB62E">
      <w:pPr>
        <w:keepNext w:val="0"/>
        <w:keepLines w:val="0"/>
        <w:pageBreakBefore w:val="0"/>
        <w:widowControl w:val="0"/>
        <w:kinsoku/>
        <w:wordWrap/>
        <w:overflowPunct/>
        <w:topLinePunct w:val="0"/>
        <w:bidi w:val="0"/>
        <w:snapToGrid/>
        <w:spacing w:line="336" w:lineRule="auto"/>
        <w:ind w:firstLine="315" w:firstLineChars="150"/>
        <w:textAlignment w:val="auto"/>
        <w:outlineLvl w:val="9"/>
        <w:rPr>
          <w:rFonts w:hint="eastAsia" w:ascii="宋体" w:hAnsi="宋体" w:eastAsia="宋体" w:cs="宋体"/>
          <w:color w:val="auto"/>
          <w:sz w:val="21"/>
          <w:szCs w:val="21"/>
          <w:highlight w:val="none"/>
          <w:u w:val="single"/>
        </w:rPr>
      </w:pPr>
      <w:r>
        <w:rPr>
          <w:rFonts w:hint="eastAsia" w:ascii="宋体" w:hAnsi="宋体" w:eastAsia="宋体" w:cs="宋体"/>
          <w:color w:val="auto"/>
          <w:sz w:val="21"/>
          <w:szCs w:val="21"/>
          <w:highlight w:val="none"/>
        </w:rPr>
        <w:t>合同当事人是否同意将工程争议提交争议评审小组决定：</w:t>
      </w:r>
      <w:r>
        <w:rPr>
          <w:rFonts w:hint="eastAsia" w:ascii="宋体" w:hAnsi="宋体" w:eastAsia="宋体" w:cs="宋体"/>
          <w:color w:val="auto"/>
          <w:sz w:val="21"/>
          <w:szCs w:val="21"/>
          <w:highlight w:val="none"/>
          <w:u w:val="single"/>
        </w:rPr>
        <w:t xml:space="preserve">  /  </w:t>
      </w:r>
      <w:r>
        <w:rPr>
          <w:rFonts w:hint="eastAsia" w:ascii="宋体" w:hAnsi="宋体" w:eastAsia="宋体" w:cs="宋体"/>
          <w:color w:val="auto"/>
          <w:sz w:val="21"/>
          <w:szCs w:val="21"/>
          <w:highlight w:val="none"/>
        </w:rPr>
        <w:t xml:space="preserve">。 </w:t>
      </w:r>
    </w:p>
    <w:p w14:paraId="63B8F95E">
      <w:pPr>
        <w:keepNext w:val="0"/>
        <w:keepLines w:val="0"/>
        <w:pageBreakBefore w:val="0"/>
        <w:widowControl w:val="0"/>
        <w:kinsoku/>
        <w:wordWrap/>
        <w:overflowPunct/>
        <w:topLinePunct w:val="0"/>
        <w:bidi w:val="0"/>
        <w:snapToGrid/>
        <w:spacing w:line="336" w:lineRule="auto"/>
        <w:ind w:firstLine="420" w:firstLineChars="200"/>
        <w:textAlignment w:val="auto"/>
        <w:outlineLvl w:val="9"/>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20.2仲裁或诉讼</w:t>
      </w:r>
    </w:p>
    <w:p w14:paraId="6DB1F27D">
      <w:pPr>
        <w:keepNext w:val="0"/>
        <w:keepLines w:val="0"/>
        <w:pageBreakBefore w:val="0"/>
        <w:widowControl w:val="0"/>
        <w:kinsoku/>
        <w:wordWrap/>
        <w:overflowPunct/>
        <w:topLinePunct w:val="0"/>
        <w:bidi w:val="0"/>
        <w:snapToGrid/>
        <w:spacing w:line="336" w:lineRule="auto"/>
        <w:ind w:firstLine="420" w:firstLineChars="200"/>
        <w:textAlignment w:val="auto"/>
        <w:outlineLvl w:val="9"/>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因合同及合同有关事项发生的争议，按下列第</w:t>
      </w:r>
      <w:r>
        <w:rPr>
          <w:rFonts w:hint="eastAsia" w:ascii="宋体" w:hAnsi="宋体" w:eastAsia="宋体" w:cs="宋体"/>
          <w:color w:val="auto"/>
          <w:sz w:val="21"/>
          <w:szCs w:val="21"/>
          <w:highlight w:val="none"/>
          <w:u w:val="single"/>
        </w:rPr>
        <w:t xml:space="preserve">  (2)   </w:t>
      </w:r>
      <w:r>
        <w:rPr>
          <w:rFonts w:hint="eastAsia" w:ascii="宋体" w:hAnsi="宋体" w:eastAsia="宋体" w:cs="宋体"/>
          <w:color w:val="auto"/>
          <w:sz w:val="21"/>
          <w:szCs w:val="21"/>
          <w:highlight w:val="none"/>
        </w:rPr>
        <w:t>种方式解决：</w:t>
      </w:r>
    </w:p>
    <w:p w14:paraId="7DDAE9FA">
      <w:pPr>
        <w:keepNext w:val="0"/>
        <w:keepLines w:val="0"/>
        <w:pageBreakBefore w:val="0"/>
        <w:widowControl w:val="0"/>
        <w:kinsoku/>
        <w:wordWrap/>
        <w:overflowPunct/>
        <w:topLinePunct w:val="0"/>
        <w:bidi w:val="0"/>
        <w:snapToGrid/>
        <w:spacing w:line="336" w:lineRule="auto"/>
        <w:ind w:firstLine="420" w:firstLineChars="200"/>
        <w:textAlignment w:val="auto"/>
        <w:outlineLvl w:val="9"/>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（1）向</w:t>
      </w:r>
      <w:r>
        <w:rPr>
          <w:rFonts w:hint="eastAsia" w:ascii="宋体" w:hAnsi="宋体" w:eastAsia="宋体" w:cs="宋体"/>
          <w:color w:val="auto"/>
          <w:sz w:val="21"/>
          <w:szCs w:val="21"/>
          <w:highlight w:val="none"/>
          <w:u w:val="single"/>
        </w:rPr>
        <w:t xml:space="preserve">           /          </w:t>
      </w:r>
      <w:r>
        <w:rPr>
          <w:rFonts w:hint="eastAsia" w:ascii="宋体" w:hAnsi="宋体" w:eastAsia="宋体" w:cs="宋体"/>
          <w:color w:val="auto"/>
          <w:sz w:val="21"/>
          <w:szCs w:val="21"/>
          <w:highlight w:val="none"/>
        </w:rPr>
        <w:t>仲裁委员会申请仲裁；</w:t>
      </w:r>
    </w:p>
    <w:p w14:paraId="7A7C3548">
      <w:pPr>
        <w:keepNext w:val="0"/>
        <w:keepLines w:val="0"/>
        <w:pageBreakBefore w:val="0"/>
        <w:widowControl w:val="0"/>
        <w:kinsoku/>
        <w:wordWrap/>
        <w:overflowPunct/>
        <w:topLinePunct w:val="0"/>
        <w:bidi w:val="0"/>
        <w:snapToGrid/>
        <w:spacing w:line="336" w:lineRule="auto"/>
        <w:ind w:firstLine="420" w:firstLineChars="200"/>
        <w:textAlignment w:val="auto"/>
        <w:outlineLvl w:val="9"/>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（2）向</w:t>
      </w:r>
      <w:r>
        <w:rPr>
          <w:rFonts w:hint="eastAsia" w:ascii="宋体" w:hAnsi="宋体" w:eastAsia="宋体" w:cs="宋体"/>
          <w:color w:val="auto"/>
          <w:sz w:val="21"/>
          <w:szCs w:val="21"/>
          <w:highlight w:val="none"/>
          <w:u w:val="single"/>
        </w:rPr>
        <w:t xml:space="preserve">  </w:t>
      </w:r>
      <w:r>
        <w:rPr>
          <w:rFonts w:hint="eastAsia" w:ascii="宋体" w:hAnsi="宋体" w:eastAsia="宋体" w:cs="宋体"/>
          <w:b/>
          <w:bCs/>
          <w:color w:val="auto"/>
          <w:sz w:val="21"/>
          <w:szCs w:val="21"/>
          <w:highlight w:val="none"/>
          <w:u w:val="single"/>
        </w:rPr>
        <w:t>工程所在地</w:t>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rPr>
        <w:t>人民法院起诉。</w:t>
      </w:r>
    </w:p>
    <w:p w14:paraId="3536A3FB">
      <w:pPr>
        <w:keepNext w:val="0"/>
        <w:keepLines w:val="0"/>
        <w:pageBreakBefore w:val="0"/>
        <w:widowControl w:val="0"/>
        <w:kinsoku/>
        <w:wordWrap/>
        <w:overflowPunct/>
        <w:topLinePunct w:val="0"/>
        <w:autoSpaceDE/>
        <w:autoSpaceDN/>
        <w:bidi w:val="0"/>
        <w:adjustRightInd/>
        <w:snapToGrid/>
        <w:spacing w:line="336" w:lineRule="auto"/>
        <w:ind w:firstLine="422" w:firstLineChars="200"/>
        <w:textAlignment w:val="auto"/>
        <w:outlineLvl w:val="2"/>
        <w:rPr>
          <w:rFonts w:hint="eastAsia" w:ascii="宋体" w:hAnsi="宋体" w:eastAsia="宋体" w:cs="宋体"/>
          <w:b/>
          <w:color w:val="auto"/>
          <w:sz w:val="21"/>
          <w:szCs w:val="21"/>
          <w:highlight w:val="none"/>
        </w:rPr>
      </w:pPr>
      <w:bookmarkStart w:id="860" w:name="_Toc20257"/>
      <w:bookmarkStart w:id="861" w:name="_Toc785"/>
      <w:bookmarkStart w:id="862" w:name="_Toc23561"/>
      <w:r>
        <w:rPr>
          <w:rFonts w:hint="eastAsia" w:ascii="宋体" w:hAnsi="宋体" w:eastAsia="宋体" w:cs="宋体"/>
          <w:b/>
          <w:color w:val="auto"/>
          <w:sz w:val="21"/>
          <w:szCs w:val="21"/>
          <w:highlight w:val="none"/>
          <w:lang w:val="en-US" w:eastAsia="zh-CN"/>
        </w:rPr>
        <w:t>21.</w:t>
      </w:r>
      <w:r>
        <w:rPr>
          <w:rFonts w:hint="eastAsia" w:ascii="宋体" w:hAnsi="宋体" w:eastAsia="宋体" w:cs="宋体"/>
          <w:b/>
          <w:color w:val="auto"/>
          <w:sz w:val="21"/>
          <w:szCs w:val="21"/>
          <w:highlight w:val="none"/>
        </w:rPr>
        <w:t>补充条款：</w:t>
      </w:r>
      <w:bookmarkEnd w:id="860"/>
      <w:bookmarkEnd w:id="861"/>
      <w:bookmarkEnd w:id="862"/>
    </w:p>
    <w:p w14:paraId="5554097C">
      <w:pPr>
        <w:pStyle w:val="15"/>
        <w:keepNext w:val="0"/>
        <w:keepLines w:val="0"/>
        <w:pageBreakBefore w:val="0"/>
        <w:widowControl w:val="0"/>
        <w:numPr>
          <w:ilvl w:val="0"/>
          <w:numId w:val="24"/>
        </w:numPr>
        <w:tabs>
          <w:tab w:val="left" w:pos="1020"/>
          <w:tab w:val="clear" w:pos="210"/>
        </w:tabs>
        <w:kinsoku/>
        <w:wordWrap/>
        <w:overflowPunct/>
        <w:topLinePunct w:val="0"/>
        <w:bidi w:val="0"/>
        <w:snapToGrid/>
        <w:spacing w:after="0" w:line="336" w:lineRule="auto"/>
        <w:ind w:left="0" w:leftChars="0" w:firstLine="420" w:firstLineChars="200"/>
        <w:textAlignment w:val="auto"/>
        <w:outlineLvl w:val="9"/>
        <w:rPr>
          <w:rFonts w:hint="eastAsia" w:ascii="宋体" w:hAnsi="宋体" w:eastAsia="宋体" w:cs="宋体"/>
          <w:b w:val="0"/>
          <w:color w:val="auto"/>
          <w:sz w:val="21"/>
          <w:szCs w:val="21"/>
          <w:highlight w:val="none"/>
        </w:rPr>
      </w:pPr>
      <w:r>
        <w:rPr>
          <w:rFonts w:hint="eastAsia" w:ascii="宋体" w:hAnsi="宋体" w:eastAsia="宋体" w:cs="宋体"/>
          <w:color w:val="auto"/>
          <w:sz w:val="21"/>
          <w:szCs w:val="21"/>
          <w:highlight w:val="none"/>
        </w:rPr>
        <w:t>农民工工资支付方面的约定</w:t>
      </w:r>
    </w:p>
    <w:p w14:paraId="1CB1CB3C">
      <w:pPr>
        <w:pStyle w:val="15"/>
        <w:keepNext w:val="0"/>
        <w:keepLines w:val="0"/>
        <w:pageBreakBefore w:val="0"/>
        <w:widowControl w:val="0"/>
        <w:numPr>
          <w:ilvl w:val="0"/>
          <w:numId w:val="25"/>
        </w:numPr>
        <w:tabs>
          <w:tab w:val="left" w:pos="1080"/>
        </w:tabs>
        <w:kinsoku/>
        <w:wordWrap/>
        <w:overflowPunct/>
        <w:topLinePunct w:val="0"/>
        <w:bidi w:val="0"/>
        <w:snapToGrid/>
        <w:spacing w:after="0" w:line="336" w:lineRule="auto"/>
        <w:ind w:left="0" w:leftChars="0" w:firstLine="420" w:firstLineChars="200"/>
        <w:textAlignment w:val="auto"/>
        <w:outlineLvl w:val="9"/>
        <w:rPr>
          <w:rFonts w:hint="eastAsia" w:ascii="宋体" w:hAnsi="宋体" w:eastAsia="宋体" w:cs="宋体"/>
          <w:b w:val="0"/>
          <w:color w:val="auto"/>
          <w:sz w:val="21"/>
          <w:szCs w:val="21"/>
          <w:highlight w:val="none"/>
        </w:rPr>
      </w:pPr>
      <w:r>
        <w:rPr>
          <w:rFonts w:hint="eastAsia" w:ascii="宋体" w:hAnsi="宋体" w:eastAsia="宋体" w:cs="宋体"/>
          <w:color w:val="auto"/>
          <w:sz w:val="21"/>
          <w:szCs w:val="21"/>
          <w:highlight w:val="none"/>
        </w:rPr>
        <w:t>承包人应当按照《保障农民工工资支付条例》规定在项目所在地开立农民工专用账户，执行《云南省〈工程建设领域农民工工资专用账户管理办法〉实施细则》等相关规定。</w:t>
      </w:r>
    </w:p>
    <w:p w14:paraId="61DE20AD">
      <w:pPr>
        <w:pStyle w:val="15"/>
        <w:keepNext w:val="0"/>
        <w:keepLines w:val="0"/>
        <w:pageBreakBefore w:val="0"/>
        <w:widowControl w:val="0"/>
        <w:numPr>
          <w:ilvl w:val="0"/>
          <w:numId w:val="25"/>
        </w:numPr>
        <w:tabs>
          <w:tab w:val="left" w:pos="1080"/>
        </w:tabs>
        <w:kinsoku/>
        <w:wordWrap/>
        <w:overflowPunct/>
        <w:topLinePunct w:val="0"/>
        <w:bidi w:val="0"/>
        <w:snapToGrid/>
        <w:spacing w:after="0" w:line="336" w:lineRule="auto"/>
        <w:ind w:left="0" w:leftChars="0" w:firstLine="420" w:firstLineChars="200"/>
        <w:textAlignment w:val="auto"/>
        <w:outlineLvl w:val="9"/>
        <w:rPr>
          <w:rFonts w:hint="eastAsia" w:ascii="宋体" w:hAnsi="宋体" w:eastAsia="宋体" w:cs="宋体"/>
          <w:b w:val="0"/>
          <w:color w:val="auto"/>
          <w:sz w:val="21"/>
          <w:szCs w:val="21"/>
          <w:highlight w:val="none"/>
        </w:rPr>
      </w:pPr>
      <w:r>
        <w:rPr>
          <w:rFonts w:hint="eastAsia" w:ascii="宋体" w:hAnsi="宋体" w:eastAsia="宋体" w:cs="宋体"/>
          <w:color w:val="auto"/>
          <w:sz w:val="21"/>
          <w:szCs w:val="21"/>
          <w:highlight w:val="none"/>
        </w:rPr>
        <w:t>项目开工之前承包人需向监理人报送“农民工实名制管理方案”，待审核批准之后，承包人严格按照审批方案实施。严格执行《云南省建筑工人实名制管理实施细则》及其他相关规定。</w:t>
      </w:r>
    </w:p>
    <w:p w14:paraId="00CEE1BB">
      <w:pPr>
        <w:pStyle w:val="15"/>
        <w:keepNext w:val="0"/>
        <w:keepLines w:val="0"/>
        <w:pageBreakBefore w:val="0"/>
        <w:widowControl w:val="0"/>
        <w:numPr>
          <w:ilvl w:val="0"/>
          <w:numId w:val="25"/>
        </w:numPr>
        <w:tabs>
          <w:tab w:val="left" w:pos="1080"/>
        </w:tabs>
        <w:kinsoku/>
        <w:wordWrap/>
        <w:overflowPunct/>
        <w:topLinePunct w:val="0"/>
        <w:bidi w:val="0"/>
        <w:snapToGrid/>
        <w:spacing w:after="0" w:line="336" w:lineRule="auto"/>
        <w:ind w:left="0" w:leftChars="0" w:firstLine="420" w:firstLineChars="200"/>
        <w:textAlignment w:val="auto"/>
        <w:outlineLvl w:val="9"/>
        <w:rPr>
          <w:rFonts w:hint="eastAsia" w:ascii="宋体" w:hAnsi="宋体" w:eastAsia="宋体" w:cs="宋体"/>
          <w:b w:val="0"/>
          <w:color w:val="auto"/>
          <w:sz w:val="21"/>
          <w:szCs w:val="21"/>
          <w:highlight w:val="none"/>
        </w:rPr>
      </w:pPr>
      <w:r>
        <w:rPr>
          <w:rFonts w:hint="eastAsia" w:ascii="宋体" w:hAnsi="宋体" w:eastAsia="宋体" w:cs="宋体"/>
          <w:color w:val="auto"/>
          <w:sz w:val="21"/>
          <w:szCs w:val="21"/>
          <w:highlight w:val="none"/>
        </w:rPr>
        <w:t>承包人在工程项目部应至少配备一名劳资专管员，负责所属工程项目劳动用工登记、劳动合同签订、考勤计量、工资结算支付等工作。</w:t>
      </w:r>
    </w:p>
    <w:p w14:paraId="0C4DA789">
      <w:pPr>
        <w:pStyle w:val="15"/>
        <w:keepNext w:val="0"/>
        <w:keepLines w:val="0"/>
        <w:pageBreakBefore w:val="0"/>
        <w:widowControl w:val="0"/>
        <w:numPr>
          <w:ilvl w:val="0"/>
          <w:numId w:val="25"/>
        </w:numPr>
        <w:tabs>
          <w:tab w:val="left" w:pos="1080"/>
        </w:tabs>
        <w:kinsoku/>
        <w:wordWrap/>
        <w:overflowPunct/>
        <w:topLinePunct w:val="0"/>
        <w:bidi w:val="0"/>
        <w:snapToGrid/>
        <w:spacing w:after="0" w:line="336" w:lineRule="auto"/>
        <w:ind w:left="0" w:leftChars="0" w:firstLine="420" w:firstLineChars="200"/>
        <w:textAlignment w:val="auto"/>
        <w:outlineLvl w:val="9"/>
        <w:rPr>
          <w:rFonts w:hint="eastAsia" w:ascii="宋体" w:hAnsi="宋体" w:eastAsia="宋体" w:cs="宋体"/>
          <w:b w:val="0"/>
          <w:color w:val="auto"/>
          <w:sz w:val="21"/>
          <w:szCs w:val="21"/>
          <w:highlight w:val="none"/>
        </w:rPr>
      </w:pPr>
      <w:r>
        <w:rPr>
          <w:rFonts w:hint="eastAsia" w:ascii="宋体" w:hAnsi="宋体" w:eastAsia="宋体" w:cs="宋体"/>
          <w:color w:val="auto"/>
          <w:sz w:val="21"/>
          <w:szCs w:val="21"/>
          <w:highlight w:val="none"/>
        </w:rPr>
        <w:t>承包人需实行农民工工资（劳务费）与其他工程款分账管理制度，应在银行建立工资专户，专门用于发放农民工工资。承包人签订项目工程合同后，应自合同签订之日起30日内凭已签订的承包合同到工程建设项目所在地银行以承包人名义开立非预算单位专用存款账户作为农民工工资（劳务费）专用账户，并与建设单位、开户银行签订资金管理三方协议。资金的性质为农民工工资专项资金，只能用于发放农民工工资，不得将专用账户资金转入除本项目农民工本人银行账户以外的账户，不得为专用账户提供现金支取和其他转账结算服务。除法律另有规定外，专用账户资金不得因支付为本项目提供劳动的农民工工资之外的原因被查封、冻结或者划拨。</w:t>
      </w:r>
    </w:p>
    <w:p w14:paraId="5FE519DC">
      <w:pPr>
        <w:pStyle w:val="15"/>
        <w:keepNext w:val="0"/>
        <w:keepLines w:val="0"/>
        <w:pageBreakBefore w:val="0"/>
        <w:widowControl w:val="0"/>
        <w:numPr>
          <w:ilvl w:val="0"/>
          <w:numId w:val="25"/>
        </w:numPr>
        <w:tabs>
          <w:tab w:val="left" w:pos="1080"/>
        </w:tabs>
        <w:kinsoku/>
        <w:wordWrap/>
        <w:overflowPunct/>
        <w:topLinePunct w:val="0"/>
        <w:bidi w:val="0"/>
        <w:snapToGrid/>
        <w:spacing w:after="0" w:line="336" w:lineRule="auto"/>
        <w:ind w:left="0" w:leftChars="0" w:firstLine="420" w:firstLineChars="200"/>
        <w:textAlignment w:val="auto"/>
        <w:outlineLvl w:val="9"/>
        <w:rPr>
          <w:rFonts w:hint="eastAsia" w:ascii="宋体" w:hAnsi="宋体" w:eastAsia="宋体" w:cs="宋体"/>
          <w:b w:val="0"/>
          <w:color w:val="auto"/>
          <w:sz w:val="21"/>
          <w:szCs w:val="21"/>
          <w:highlight w:val="none"/>
        </w:rPr>
      </w:pPr>
      <w:r>
        <w:rPr>
          <w:rFonts w:hint="eastAsia" w:ascii="宋体" w:hAnsi="宋体" w:eastAsia="宋体" w:cs="宋体"/>
          <w:color w:val="auto"/>
          <w:sz w:val="21"/>
          <w:szCs w:val="21"/>
          <w:highlight w:val="none"/>
        </w:rPr>
        <w:t>农民工工资必须按要求实行银行卡实名制支付。</w:t>
      </w:r>
    </w:p>
    <w:p w14:paraId="40F0D0FB">
      <w:pPr>
        <w:pStyle w:val="15"/>
        <w:keepNext w:val="0"/>
        <w:keepLines w:val="0"/>
        <w:pageBreakBefore w:val="0"/>
        <w:widowControl w:val="0"/>
        <w:numPr>
          <w:ilvl w:val="0"/>
          <w:numId w:val="25"/>
        </w:numPr>
        <w:tabs>
          <w:tab w:val="left" w:pos="1080"/>
        </w:tabs>
        <w:kinsoku/>
        <w:wordWrap/>
        <w:overflowPunct/>
        <w:topLinePunct w:val="0"/>
        <w:bidi w:val="0"/>
        <w:snapToGrid/>
        <w:spacing w:after="0" w:line="336" w:lineRule="auto"/>
        <w:ind w:left="0" w:leftChars="0" w:firstLine="420" w:firstLineChars="200"/>
        <w:textAlignment w:val="auto"/>
        <w:outlineLvl w:val="9"/>
        <w:rPr>
          <w:rFonts w:hint="eastAsia" w:ascii="宋体" w:hAnsi="宋体" w:eastAsia="宋体" w:cs="宋体"/>
          <w:b w:val="0"/>
          <w:color w:val="auto"/>
          <w:sz w:val="21"/>
          <w:szCs w:val="21"/>
          <w:highlight w:val="none"/>
        </w:rPr>
      </w:pPr>
      <w:r>
        <w:rPr>
          <w:rFonts w:hint="eastAsia" w:ascii="宋体" w:hAnsi="宋体" w:eastAsia="宋体" w:cs="宋体"/>
          <w:color w:val="auto"/>
          <w:sz w:val="21"/>
          <w:szCs w:val="21"/>
          <w:highlight w:val="none"/>
        </w:rPr>
        <w:t>建立农民工工资支付台账。</w:t>
      </w:r>
    </w:p>
    <w:p w14:paraId="7BB204D4">
      <w:pPr>
        <w:pStyle w:val="15"/>
        <w:keepNext w:val="0"/>
        <w:keepLines w:val="0"/>
        <w:pageBreakBefore w:val="0"/>
        <w:widowControl w:val="0"/>
        <w:numPr>
          <w:ilvl w:val="0"/>
          <w:numId w:val="25"/>
        </w:numPr>
        <w:tabs>
          <w:tab w:val="left" w:pos="1080"/>
        </w:tabs>
        <w:kinsoku/>
        <w:wordWrap/>
        <w:overflowPunct/>
        <w:topLinePunct w:val="0"/>
        <w:bidi w:val="0"/>
        <w:snapToGrid/>
        <w:spacing w:after="0" w:line="336" w:lineRule="auto"/>
        <w:ind w:left="0" w:leftChars="0" w:firstLine="420" w:firstLineChars="200"/>
        <w:textAlignment w:val="auto"/>
        <w:outlineLvl w:val="9"/>
        <w:rPr>
          <w:rFonts w:hint="eastAsia" w:ascii="宋体" w:hAnsi="宋体" w:eastAsia="宋体" w:cs="宋体"/>
          <w:b w:val="0"/>
          <w:color w:val="auto"/>
          <w:sz w:val="21"/>
          <w:szCs w:val="21"/>
          <w:highlight w:val="none"/>
        </w:rPr>
      </w:pPr>
      <w:r>
        <w:rPr>
          <w:rFonts w:hint="eastAsia" w:ascii="宋体" w:hAnsi="宋体" w:eastAsia="宋体" w:cs="宋体"/>
          <w:color w:val="auto"/>
          <w:sz w:val="21"/>
          <w:szCs w:val="21"/>
          <w:highlight w:val="none"/>
        </w:rPr>
        <w:t>每月申报进度款时向发包人提交农民工工资支付台账及支付承诺书。</w:t>
      </w:r>
    </w:p>
    <w:p w14:paraId="675CDFBA">
      <w:pPr>
        <w:pStyle w:val="15"/>
        <w:keepNext w:val="0"/>
        <w:keepLines w:val="0"/>
        <w:pageBreakBefore w:val="0"/>
        <w:widowControl w:val="0"/>
        <w:numPr>
          <w:ilvl w:val="0"/>
          <w:numId w:val="25"/>
        </w:numPr>
        <w:tabs>
          <w:tab w:val="left" w:pos="1080"/>
        </w:tabs>
        <w:kinsoku/>
        <w:wordWrap/>
        <w:overflowPunct/>
        <w:topLinePunct w:val="0"/>
        <w:bidi w:val="0"/>
        <w:snapToGrid/>
        <w:spacing w:after="0" w:line="336" w:lineRule="auto"/>
        <w:ind w:left="0" w:leftChars="0" w:firstLine="420" w:firstLineChars="200"/>
        <w:textAlignment w:val="auto"/>
        <w:outlineLvl w:val="9"/>
        <w:rPr>
          <w:rFonts w:hint="eastAsia" w:ascii="宋体" w:hAnsi="宋体" w:eastAsia="宋体" w:cs="宋体"/>
          <w:b w:val="0"/>
          <w:color w:val="auto"/>
          <w:sz w:val="21"/>
          <w:szCs w:val="21"/>
          <w:highlight w:val="none"/>
        </w:rPr>
      </w:pPr>
      <w:r>
        <w:rPr>
          <w:rFonts w:hint="eastAsia" w:ascii="宋体" w:hAnsi="宋体" w:eastAsia="宋体" w:cs="宋体"/>
          <w:color w:val="auto"/>
          <w:sz w:val="21"/>
          <w:szCs w:val="21"/>
          <w:highlight w:val="none"/>
        </w:rPr>
        <w:t>合同履行过程中，承包人拖欠工人工资的，发包人有权代付并在工程款中扣回。</w:t>
      </w:r>
    </w:p>
    <w:p w14:paraId="0EB03CCF">
      <w:pPr>
        <w:pStyle w:val="15"/>
        <w:keepNext w:val="0"/>
        <w:keepLines w:val="0"/>
        <w:pageBreakBefore w:val="0"/>
        <w:widowControl w:val="0"/>
        <w:numPr>
          <w:ilvl w:val="0"/>
          <w:numId w:val="25"/>
        </w:numPr>
        <w:tabs>
          <w:tab w:val="left" w:pos="1080"/>
        </w:tabs>
        <w:kinsoku/>
        <w:wordWrap/>
        <w:overflowPunct/>
        <w:topLinePunct w:val="0"/>
        <w:bidi w:val="0"/>
        <w:snapToGrid/>
        <w:spacing w:after="0" w:line="336" w:lineRule="auto"/>
        <w:ind w:left="0" w:leftChars="0" w:firstLine="420" w:firstLineChars="200"/>
        <w:textAlignment w:val="auto"/>
        <w:outlineLvl w:val="9"/>
        <w:rPr>
          <w:rFonts w:hint="eastAsia" w:ascii="宋体" w:hAnsi="宋体" w:eastAsia="宋体" w:cs="宋体"/>
          <w:b w:val="0"/>
          <w:color w:val="auto"/>
          <w:sz w:val="21"/>
          <w:szCs w:val="21"/>
          <w:highlight w:val="none"/>
        </w:rPr>
      </w:pPr>
      <w:r>
        <w:rPr>
          <w:rFonts w:hint="eastAsia" w:ascii="宋体" w:hAnsi="宋体" w:eastAsia="宋体" w:cs="宋体"/>
          <w:color w:val="auto"/>
          <w:sz w:val="21"/>
          <w:szCs w:val="21"/>
          <w:highlight w:val="none"/>
        </w:rPr>
        <w:t>承包人违反关于民工工资支付的规定，被民工投诉属实的，承包人必须在3天内予以发放拖欠的款项。若继续拖延被投诉2次及以上，经查实，承包人必须承担5万元/次违约金。若仍然不予整改并发放拖欠的款项，使民工采取停工、集聚围阻发包人办公地点甚至政府办公部门等行动的，承包人承担10万元／次的违约金；拒不采取切实有效的措施整改的，或整改效果不明显的，发包人有权解除合同，并要求承包人赔偿由此造成的损失。</w:t>
      </w:r>
    </w:p>
    <w:p w14:paraId="175B6DDD">
      <w:pPr>
        <w:pStyle w:val="15"/>
        <w:keepNext w:val="0"/>
        <w:keepLines w:val="0"/>
        <w:pageBreakBefore w:val="0"/>
        <w:widowControl w:val="0"/>
        <w:numPr>
          <w:ilvl w:val="0"/>
          <w:numId w:val="24"/>
        </w:numPr>
        <w:tabs>
          <w:tab w:val="left" w:pos="1020"/>
          <w:tab w:val="clear" w:pos="210"/>
        </w:tabs>
        <w:kinsoku/>
        <w:wordWrap/>
        <w:overflowPunct/>
        <w:topLinePunct w:val="0"/>
        <w:bidi w:val="0"/>
        <w:snapToGrid/>
        <w:spacing w:after="0" w:line="336" w:lineRule="auto"/>
        <w:ind w:left="0" w:leftChars="0" w:firstLine="420" w:firstLineChars="200"/>
        <w:textAlignment w:val="auto"/>
        <w:outlineLvl w:val="9"/>
        <w:rPr>
          <w:rFonts w:hint="eastAsia" w:ascii="宋体" w:hAnsi="宋体" w:eastAsia="宋体" w:cs="宋体"/>
          <w:b w:val="0"/>
          <w:color w:val="auto"/>
          <w:sz w:val="21"/>
          <w:szCs w:val="21"/>
          <w:highlight w:val="none"/>
        </w:rPr>
      </w:pPr>
      <w:r>
        <w:rPr>
          <w:rFonts w:hint="eastAsia" w:ascii="宋体" w:hAnsi="宋体" w:eastAsia="宋体" w:cs="宋体"/>
          <w:color w:val="auto"/>
          <w:sz w:val="21"/>
          <w:szCs w:val="21"/>
          <w:highlight w:val="none"/>
        </w:rPr>
        <w:t>在工程实施过程中，承包人不能因材料价格审核、进度款审核等方面存在争议而拖延材料采购及工程施工，否则造成的工期延误责任按工期延误违约责任承担。</w:t>
      </w:r>
    </w:p>
    <w:p w14:paraId="0FDAE57D">
      <w:pPr>
        <w:pStyle w:val="15"/>
        <w:keepNext w:val="0"/>
        <w:keepLines w:val="0"/>
        <w:pageBreakBefore w:val="0"/>
        <w:widowControl w:val="0"/>
        <w:numPr>
          <w:ilvl w:val="0"/>
          <w:numId w:val="24"/>
        </w:numPr>
        <w:tabs>
          <w:tab w:val="left" w:pos="1020"/>
          <w:tab w:val="clear" w:pos="210"/>
        </w:tabs>
        <w:kinsoku/>
        <w:wordWrap/>
        <w:overflowPunct/>
        <w:topLinePunct w:val="0"/>
        <w:bidi w:val="0"/>
        <w:snapToGrid/>
        <w:spacing w:after="0" w:line="336" w:lineRule="auto"/>
        <w:ind w:left="0" w:leftChars="0" w:firstLine="420" w:firstLineChars="200"/>
        <w:textAlignment w:val="auto"/>
        <w:outlineLvl w:val="9"/>
        <w:rPr>
          <w:rFonts w:hint="eastAsia" w:ascii="宋体" w:hAnsi="宋体" w:eastAsia="宋体" w:cs="宋体"/>
          <w:b w:val="0"/>
          <w:color w:val="auto"/>
          <w:sz w:val="21"/>
          <w:szCs w:val="21"/>
          <w:highlight w:val="none"/>
        </w:rPr>
      </w:pPr>
      <w:r>
        <w:rPr>
          <w:rFonts w:hint="eastAsia" w:ascii="宋体" w:hAnsi="宋体" w:eastAsia="宋体" w:cs="宋体"/>
          <w:color w:val="auto"/>
          <w:sz w:val="21"/>
          <w:szCs w:val="21"/>
          <w:highlight w:val="none"/>
        </w:rPr>
        <w:t>承包人必须按照相关规定做好危险性较大分部分项工程相关事宜。</w:t>
      </w:r>
    </w:p>
    <w:p w14:paraId="024981AB">
      <w:pPr>
        <w:pStyle w:val="15"/>
        <w:keepNext w:val="0"/>
        <w:keepLines w:val="0"/>
        <w:pageBreakBefore w:val="0"/>
        <w:widowControl w:val="0"/>
        <w:numPr>
          <w:ilvl w:val="0"/>
          <w:numId w:val="24"/>
        </w:numPr>
        <w:tabs>
          <w:tab w:val="left" w:pos="1020"/>
          <w:tab w:val="clear" w:pos="210"/>
        </w:tabs>
        <w:kinsoku/>
        <w:wordWrap/>
        <w:overflowPunct/>
        <w:topLinePunct w:val="0"/>
        <w:bidi w:val="0"/>
        <w:snapToGrid/>
        <w:spacing w:after="0" w:line="336" w:lineRule="auto"/>
        <w:ind w:left="0" w:leftChars="0" w:firstLine="420" w:firstLineChars="200"/>
        <w:textAlignment w:val="auto"/>
        <w:outlineLvl w:val="9"/>
        <w:rPr>
          <w:rFonts w:hint="eastAsia" w:ascii="宋体" w:hAnsi="宋体" w:eastAsia="宋体" w:cs="宋体"/>
          <w:b w:val="0"/>
          <w:color w:val="auto"/>
          <w:sz w:val="21"/>
          <w:szCs w:val="21"/>
          <w:highlight w:val="none"/>
        </w:rPr>
      </w:pPr>
      <w:r>
        <w:rPr>
          <w:rFonts w:hint="eastAsia" w:ascii="宋体" w:hAnsi="宋体" w:eastAsia="宋体" w:cs="宋体"/>
          <w:color w:val="auto"/>
          <w:sz w:val="21"/>
          <w:szCs w:val="21"/>
          <w:highlight w:val="none"/>
        </w:rPr>
        <w:t>本工程在实施过程中由承包人报送的一切经济文件，均应由发包人、监理人、承包人签字盖章，否则无效。</w:t>
      </w:r>
    </w:p>
    <w:p w14:paraId="5E872307">
      <w:pPr>
        <w:pStyle w:val="15"/>
        <w:keepNext w:val="0"/>
        <w:keepLines w:val="0"/>
        <w:pageBreakBefore w:val="0"/>
        <w:widowControl w:val="0"/>
        <w:numPr>
          <w:ilvl w:val="0"/>
          <w:numId w:val="24"/>
        </w:numPr>
        <w:tabs>
          <w:tab w:val="left" w:pos="1020"/>
          <w:tab w:val="clear" w:pos="210"/>
        </w:tabs>
        <w:kinsoku/>
        <w:wordWrap/>
        <w:overflowPunct/>
        <w:topLinePunct w:val="0"/>
        <w:bidi w:val="0"/>
        <w:snapToGrid/>
        <w:spacing w:after="0" w:line="336" w:lineRule="auto"/>
        <w:ind w:left="0" w:leftChars="0" w:firstLine="420" w:firstLineChars="200"/>
        <w:textAlignment w:val="auto"/>
        <w:outlineLvl w:val="9"/>
        <w:rPr>
          <w:rFonts w:hint="eastAsia" w:ascii="宋体" w:hAnsi="宋体" w:eastAsia="宋体" w:cs="宋体"/>
          <w:b w:val="0"/>
          <w:color w:val="auto"/>
          <w:sz w:val="21"/>
          <w:szCs w:val="21"/>
          <w:highlight w:val="none"/>
        </w:rPr>
      </w:pPr>
      <w:r>
        <w:rPr>
          <w:rFonts w:hint="eastAsia" w:ascii="宋体" w:hAnsi="宋体" w:eastAsia="宋体" w:cs="宋体"/>
          <w:color w:val="auto"/>
          <w:sz w:val="21"/>
          <w:szCs w:val="21"/>
          <w:highlight w:val="none"/>
        </w:rPr>
        <w:t>配套设备、消耗品要求及长期供应优惠条件</w:t>
      </w:r>
    </w:p>
    <w:p w14:paraId="6162F4C8">
      <w:pPr>
        <w:pStyle w:val="15"/>
        <w:keepNext w:val="0"/>
        <w:keepLines w:val="0"/>
        <w:pageBreakBefore w:val="0"/>
        <w:widowControl w:val="0"/>
        <w:kinsoku/>
        <w:wordWrap/>
        <w:overflowPunct/>
        <w:topLinePunct w:val="0"/>
        <w:bidi w:val="0"/>
        <w:snapToGrid/>
        <w:spacing w:after="0" w:line="336" w:lineRule="auto"/>
        <w:ind w:left="0" w:leftChars="0" w:firstLine="420" w:firstLineChars="200"/>
        <w:textAlignment w:val="auto"/>
        <w:outlineLvl w:val="9"/>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承包人承诺向发包人提供的配套设备、消耗品严格按照招</w:t>
      </w:r>
      <w:r>
        <w:rPr>
          <w:rFonts w:hint="eastAsia" w:ascii="宋体" w:hAnsi="宋体" w:cs="宋体"/>
          <w:color w:val="auto"/>
          <w:sz w:val="21"/>
          <w:szCs w:val="21"/>
          <w:highlight w:val="none"/>
          <w:lang w:eastAsia="zh-CN"/>
        </w:rPr>
        <w:t>响应文件</w:t>
      </w:r>
      <w:r>
        <w:rPr>
          <w:rFonts w:hint="eastAsia" w:ascii="宋体" w:hAnsi="宋体" w:eastAsia="宋体" w:cs="宋体"/>
          <w:color w:val="auto"/>
          <w:sz w:val="21"/>
          <w:szCs w:val="21"/>
          <w:highlight w:val="none"/>
        </w:rPr>
        <w:t>执行，不高于市场同类产品的价格。</w:t>
      </w:r>
    </w:p>
    <w:p w14:paraId="7B826BCE">
      <w:pPr>
        <w:pStyle w:val="15"/>
        <w:keepNext w:val="0"/>
        <w:keepLines w:val="0"/>
        <w:pageBreakBefore w:val="0"/>
        <w:widowControl w:val="0"/>
        <w:numPr>
          <w:ilvl w:val="0"/>
          <w:numId w:val="24"/>
        </w:numPr>
        <w:tabs>
          <w:tab w:val="left" w:pos="1020"/>
          <w:tab w:val="clear" w:pos="210"/>
        </w:tabs>
        <w:kinsoku/>
        <w:wordWrap/>
        <w:overflowPunct/>
        <w:topLinePunct w:val="0"/>
        <w:bidi w:val="0"/>
        <w:snapToGrid/>
        <w:spacing w:after="0" w:line="336" w:lineRule="auto"/>
        <w:ind w:left="0" w:leftChars="0" w:firstLine="420" w:firstLineChars="200"/>
        <w:textAlignment w:val="auto"/>
        <w:outlineLvl w:val="9"/>
        <w:rPr>
          <w:rFonts w:hint="eastAsia" w:ascii="宋体" w:hAnsi="宋体" w:eastAsia="宋体" w:cs="宋体"/>
          <w:b w:val="0"/>
          <w:color w:val="auto"/>
          <w:sz w:val="21"/>
          <w:szCs w:val="21"/>
          <w:highlight w:val="none"/>
        </w:rPr>
      </w:pPr>
      <w:r>
        <w:rPr>
          <w:rFonts w:hint="eastAsia" w:ascii="宋体" w:hAnsi="宋体" w:eastAsia="宋体" w:cs="宋体"/>
          <w:color w:val="auto"/>
          <w:sz w:val="21"/>
          <w:szCs w:val="21"/>
          <w:highlight w:val="none"/>
        </w:rPr>
        <w:t>备品备件（含易损件）要求及长期供应优惠条件</w:t>
      </w:r>
    </w:p>
    <w:p w14:paraId="58B1996B">
      <w:pPr>
        <w:pStyle w:val="15"/>
        <w:keepNext w:val="0"/>
        <w:keepLines w:val="0"/>
        <w:pageBreakBefore w:val="0"/>
        <w:widowControl w:val="0"/>
        <w:kinsoku/>
        <w:wordWrap/>
        <w:overflowPunct/>
        <w:topLinePunct w:val="0"/>
        <w:bidi w:val="0"/>
        <w:snapToGrid/>
        <w:spacing w:after="0" w:line="336" w:lineRule="auto"/>
        <w:ind w:left="0" w:leftChars="0" w:firstLine="420" w:firstLineChars="200"/>
        <w:textAlignment w:val="auto"/>
        <w:outlineLvl w:val="9"/>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承包人承诺向发包人提供的备品备件（含易损件）严格按照</w:t>
      </w:r>
      <w:r>
        <w:rPr>
          <w:rFonts w:hint="eastAsia" w:ascii="宋体" w:hAnsi="宋体" w:cs="宋体"/>
          <w:color w:val="auto"/>
          <w:sz w:val="21"/>
          <w:szCs w:val="21"/>
          <w:highlight w:val="none"/>
          <w:lang w:eastAsia="zh-CN"/>
        </w:rPr>
        <w:t>响应文件</w:t>
      </w:r>
      <w:r>
        <w:rPr>
          <w:rFonts w:hint="eastAsia" w:ascii="宋体" w:hAnsi="宋体" w:eastAsia="宋体" w:cs="宋体"/>
          <w:color w:val="auto"/>
          <w:sz w:val="21"/>
          <w:szCs w:val="21"/>
          <w:highlight w:val="none"/>
        </w:rPr>
        <w:t>执行，不高于市场同类产品的价格。</w:t>
      </w:r>
    </w:p>
    <w:p w14:paraId="7D9A0017">
      <w:pPr>
        <w:pStyle w:val="15"/>
        <w:keepNext w:val="0"/>
        <w:keepLines w:val="0"/>
        <w:pageBreakBefore w:val="0"/>
        <w:widowControl w:val="0"/>
        <w:numPr>
          <w:ilvl w:val="0"/>
          <w:numId w:val="24"/>
        </w:numPr>
        <w:tabs>
          <w:tab w:val="left" w:pos="1020"/>
          <w:tab w:val="clear" w:pos="210"/>
        </w:tabs>
        <w:kinsoku/>
        <w:wordWrap/>
        <w:overflowPunct/>
        <w:topLinePunct w:val="0"/>
        <w:bidi w:val="0"/>
        <w:snapToGrid/>
        <w:spacing w:after="0" w:line="336" w:lineRule="auto"/>
        <w:ind w:left="0" w:leftChars="0" w:firstLine="420" w:firstLineChars="200"/>
        <w:textAlignment w:val="auto"/>
        <w:outlineLvl w:val="9"/>
        <w:rPr>
          <w:rFonts w:hint="eastAsia" w:ascii="宋体" w:hAnsi="宋体" w:eastAsia="宋体" w:cs="宋体"/>
          <w:color w:val="auto"/>
          <w:sz w:val="21"/>
          <w:szCs w:val="21"/>
          <w:highlight w:val="none"/>
        </w:rPr>
      </w:pPr>
      <w:r>
        <w:rPr>
          <w:rFonts w:hint="eastAsia" w:asciiTheme="minorEastAsia" w:hAnsiTheme="minorEastAsia" w:eastAsiaTheme="minorEastAsia" w:cstheme="minorEastAsia"/>
          <w:color w:val="auto"/>
          <w:sz w:val="21"/>
          <w:szCs w:val="21"/>
          <w:highlight w:val="none"/>
          <w:u w:val="single"/>
        </w:rPr>
        <w:t>开工前发包人向承包人提供</w:t>
      </w:r>
      <w:r>
        <w:rPr>
          <w:rFonts w:hint="eastAsia" w:asciiTheme="minorEastAsia" w:hAnsiTheme="minorEastAsia" w:eastAsiaTheme="minorEastAsia" w:cstheme="minorEastAsia"/>
          <w:color w:val="auto"/>
          <w:sz w:val="21"/>
          <w:szCs w:val="21"/>
          <w:highlight w:val="none"/>
          <w:u w:val="single"/>
          <w:lang w:eastAsia="zh-CN"/>
        </w:rPr>
        <w:t>建设施工竣工</w:t>
      </w:r>
      <w:r>
        <w:rPr>
          <w:rFonts w:hint="eastAsia" w:asciiTheme="minorEastAsia" w:hAnsiTheme="minorEastAsia" w:eastAsiaTheme="minorEastAsia" w:cstheme="minorEastAsia"/>
          <w:color w:val="auto"/>
          <w:sz w:val="21"/>
          <w:szCs w:val="21"/>
          <w:highlight w:val="none"/>
          <w:u w:val="single"/>
        </w:rPr>
        <w:t>图纸，</w:t>
      </w:r>
      <w:r>
        <w:rPr>
          <w:rFonts w:hint="eastAsia" w:asciiTheme="minorEastAsia" w:hAnsiTheme="minorEastAsia" w:eastAsiaTheme="minorEastAsia" w:cstheme="minorEastAsia"/>
          <w:color w:val="auto"/>
          <w:sz w:val="21"/>
          <w:szCs w:val="21"/>
          <w:highlight w:val="none"/>
          <w:u w:val="single"/>
          <w:lang w:eastAsia="zh-CN"/>
        </w:rPr>
        <w:t>部分专项项目</w:t>
      </w:r>
      <w:r>
        <w:rPr>
          <w:rFonts w:hint="eastAsia" w:asciiTheme="minorEastAsia" w:hAnsiTheme="minorEastAsia" w:eastAsiaTheme="minorEastAsia" w:cstheme="minorEastAsia"/>
          <w:color w:val="auto"/>
          <w:sz w:val="21"/>
          <w:szCs w:val="21"/>
          <w:highlight w:val="none"/>
          <w:u w:val="single"/>
        </w:rPr>
        <w:t>承包人须按发包人要求、技术要求及工程量清单进行设计并提供</w:t>
      </w:r>
      <w:r>
        <w:rPr>
          <w:rFonts w:hint="eastAsia" w:asciiTheme="minorEastAsia" w:hAnsiTheme="minorEastAsia" w:eastAsiaTheme="minorEastAsia" w:cstheme="minorEastAsia"/>
          <w:color w:val="auto"/>
          <w:sz w:val="21"/>
          <w:szCs w:val="21"/>
          <w:highlight w:val="none"/>
          <w:u w:val="single"/>
          <w:lang w:eastAsia="zh-CN"/>
        </w:rPr>
        <w:t>满足发包人要求的</w:t>
      </w:r>
      <w:r>
        <w:rPr>
          <w:rFonts w:hint="eastAsia" w:asciiTheme="minorEastAsia" w:hAnsiTheme="minorEastAsia" w:eastAsiaTheme="minorEastAsia" w:cstheme="minorEastAsia"/>
          <w:color w:val="auto"/>
          <w:sz w:val="21"/>
          <w:szCs w:val="21"/>
          <w:highlight w:val="none"/>
          <w:u w:val="single"/>
        </w:rPr>
        <w:t>施工图及效果图给发包人，以上设计工作</w:t>
      </w:r>
      <w:r>
        <w:rPr>
          <w:rFonts w:hint="eastAsia" w:asciiTheme="minorEastAsia" w:hAnsiTheme="minorEastAsia" w:eastAsiaTheme="minorEastAsia" w:cstheme="minorEastAsia"/>
          <w:color w:val="auto"/>
          <w:sz w:val="21"/>
          <w:szCs w:val="21"/>
          <w:highlight w:val="none"/>
          <w:u w:val="single"/>
          <w:lang w:eastAsia="zh-CN"/>
        </w:rPr>
        <w:t>含在施工总费用内，</w:t>
      </w:r>
      <w:r>
        <w:rPr>
          <w:rFonts w:hint="eastAsia" w:asciiTheme="minorEastAsia" w:hAnsiTheme="minorEastAsia" w:eastAsiaTheme="minorEastAsia" w:cstheme="minorEastAsia"/>
          <w:color w:val="auto"/>
          <w:sz w:val="21"/>
          <w:szCs w:val="21"/>
          <w:highlight w:val="none"/>
          <w:u w:val="single"/>
        </w:rPr>
        <w:t>不另行计费</w:t>
      </w:r>
      <w:r>
        <w:rPr>
          <w:rFonts w:hint="eastAsia" w:ascii="宋体" w:hAnsi="宋体" w:eastAsia="宋体" w:cs="宋体"/>
          <w:b/>
          <w:bCs/>
          <w:color w:val="auto"/>
          <w:sz w:val="21"/>
          <w:szCs w:val="21"/>
          <w:highlight w:val="none"/>
          <w:u w:val="single"/>
          <w:lang w:eastAsia="zh-CN"/>
        </w:rPr>
        <w:t>。</w:t>
      </w:r>
      <w:r>
        <w:rPr>
          <w:rFonts w:hint="eastAsia" w:ascii="宋体" w:hAnsi="宋体" w:eastAsia="宋体" w:cs="宋体"/>
          <w:color w:val="auto"/>
          <w:sz w:val="21"/>
          <w:szCs w:val="21"/>
          <w:highlight w:val="none"/>
        </w:rPr>
        <w:t>在深化过程中，要按照</w:t>
      </w:r>
      <w:r>
        <w:rPr>
          <w:rFonts w:hint="eastAsia" w:ascii="宋体" w:hAnsi="宋体" w:cs="宋体"/>
          <w:color w:val="auto"/>
          <w:sz w:val="21"/>
          <w:szCs w:val="21"/>
          <w:highlight w:val="none"/>
          <w:lang w:eastAsia="zh-CN"/>
        </w:rPr>
        <w:t>经济性</w:t>
      </w:r>
      <w:r>
        <w:rPr>
          <w:rFonts w:hint="eastAsia" w:ascii="宋体" w:hAnsi="宋体" w:eastAsia="宋体" w:cs="宋体"/>
          <w:color w:val="auto"/>
          <w:sz w:val="21"/>
          <w:szCs w:val="21"/>
          <w:highlight w:val="none"/>
        </w:rPr>
        <w:t>、合理性原则对相应项目进行深化设计，费用要严格控制，不得超过合同总价。</w:t>
      </w:r>
    </w:p>
    <w:p w14:paraId="7786DB84">
      <w:pPr>
        <w:pStyle w:val="15"/>
        <w:keepNext w:val="0"/>
        <w:keepLines w:val="0"/>
        <w:pageBreakBefore w:val="0"/>
        <w:widowControl w:val="0"/>
        <w:numPr>
          <w:ilvl w:val="0"/>
          <w:numId w:val="24"/>
        </w:numPr>
        <w:tabs>
          <w:tab w:val="left" w:pos="1020"/>
          <w:tab w:val="clear" w:pos="210"/>
        </w:tabs>
        <w:kinsoku/>
        <w:wordWrap/>
        <w:overflowPunct/>
        <w:topLinePunct w:val="0"/>
        <w:bidi w:val="0"/>
        <w:snapToGrid/>
        <w:spacing w:after="0" w:line="336" w:lineRule="auto"/>
        <w:ind w:left="0" w:leftChars="0" w:firstLine="420" w:firstLineChars="200"/>
        <w:textAlignment w:val="auto"/>
        <w:outlineLvl w:val="9"/>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发包人有权根据项目实际进展，对工程内容、做法等进行相关调整，承包人应根据发包人需求进行施工；如实际工程量与招标清单不一致，将按照实际发生工程量进行认定和结算。</w:t>
      </w:r>
    </w:p>
    <w:p w14:paraId="0B440710">
      <w:pPr>
        <w:pStyle w:val="15"/>
        <w:keepNext w:val="0"/>
        <w:keepLines w:val="0"/>
        <w:pageBreakBefore w:val="0"/>
        <w:widowControl w:val="0"/>
        <w:suppressLineNumbers w:val="0"/>
        <w:kinsoku/>
        <w:wordWrap/>
        <w:overflowPunct/>
        <w:topLinePunct w:val="0"/>
        <w:bidi w:val="0"/>
        <w:snapToGrid/>
        <w:spacing w:before="0" w:beforeAutospacing="0" w:after="0" w:afterAutospacing="0" w:line="336" w:lineRule="auto"/>
        <w:ind w:left="0" w:leftChars="0" w:right="0" w:firstLine="420" w:firstLineChars="200"/>
        <w:jc w:val="both"/>
        <w:textAlignment w:val="auto"/>
        <w:outlineLvl w:val="9"/>
        <w:rPr>
          <w:rFonts w:hint="eastAsia" w:ascii="宋体" w:hAnsi="宋体" w:eastAsia="宋体" w:cs="宋体"/>
          <w:b/>
          <w:bCs/>
          <w:color w:val="auto"/>
          <w:sz w:val="21"/>
          <w:szCs w:val="21"/>
          <w:highlight w:val="none"/>
        </w:rPr>
      </w:pPr>
      <w:r>
        <w:rPr>
          <w:rFonts w:hint="eastAsia" w:ascii="宋体" w:hAnsi="宋体" w:eastAsia="宋体" w:cs="宋体"/>
          <w:color w:val="auto"/>
          <w:sz w:val="21"/>
          <w:szCs w:val="21"/>
          <w:highlight w:val="none"/>
        </w:rPr>
        <w:t>其他未尽事宜，经双方协商以书面形式确认为准。</w:t>
      </w:r>
    </w:p>
    <w:p w14:paraId="4E19C278">
      <w:pPr>
        <w:keepNext w:val="0"/>
        <w:keepLines w:val="0"/>
        <w:pageBreakBefore w:val="0"/>
        <w:widowControl w:val="0"/>
        <w:suppressLineNumbers w:val="0"/>
        <w:kinsoku/>
        <w:wordWrap/>
        <w:overflowPunct/>
        <w:topLinePunct w:val="0"/>
        <w:bidi w:val="0"/>
        <w:snapToGrid/>
        <w:spacing w:before="0" w:beforeAutospacing="0" w:afterAutospacing="0" w:line="336" w:lineRule="auto"/>
        <w:ind w:right="0"/>
        <w:jc w:val="both"/>
        <w:textAlignment w:val="auto"/>
        <w:outlineLvl w:val="9"/>
        <w:rPr>
          <w:rFonts w:hint="eastAsia" w:ascii="宋体" w:hAnsi="宋体" w:eastAsia="宋体" w:cs="宋体"/>
          <w:b/>
          <w:bCs/>
          <w:color w:val="auto"/>
          <w:sz w:val="21"/>
          <w:szCs w:val="21"/>
          <w:highlight w:val="none"/>
        </w:rPr>
      </w:pPr>
    </w:p>
    <w:p w14:paraId="2C79EE05">
      <w:pPr>
        <w:keepNext w:val="0"/>
        <w:keepLines w:val="0"/>
        <w:pageBreakBefore w:val="0"/>
        <w:widowControl w:val="0"/>
        <w:suppressLineNumbers w:val="0"/>
        <w:kinsoku/>
        <w:wordWrap/>
        <w:overflowPunct/>
        <w:topLinePunct w:val="0"/>
        <w:bidi w:val="0"/>
        <w:snapToGrid/>
        <w:spacing w:before="0" w:beforeAutospacing="0" w:afterAutospacing="0" w:line="336" w:lineRule="auto"/>
        <w:ind w:right="0" w:firstLine="422" w:firstLineChars="200"/>
        <w:jc w:val="both"/>
        <w:textAlignment w:val="auto"/>
        <w:outlineLvl w:val="9"/>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t>发包人(公章</w:t>
      </w:r>
      <w:r>
        <w:rPr>
          <w:rFonts w:hint="eastAsia" w:ascii="宋体" w:hAnsi="宋体" w:cs="宋体"/>
          <w:b/>
          <w:bCs/>
          <w:color w:val="auto"/>
          <w:sz w:val="21"/>
          <w:szCs w:val="21"/>
          <w:highlight w:val="none"/>
          <w:lang w:eastAsia="zh-CN"/>
        </w:rPr>
        <w:t>）</w:t>
      </w:r>
      <w:r>
        <w:rPr>
          <w:rFonts w:hint="eastAsia" w:ascii="宋体" w:hAnsi="宋体" w:eastAsia="宋体" w:cs="宋体"/>
          <w:b/>
          <w:bCs/>
          <w:color w:val="auto"/>
          <w:sz w:val="21"/>
          <w:szCs w:val="21"/>
          <w:highlight w:val="none"/>
        </w:rPr>
        <w:t>：</w:t>
      </w:r>
      <w:r>
        <w:rPr>
          <w:rFonts w:hint="eastAsia" w:ascii="宋体" w:hAnsi="宋体" w:cs="宋体"/>
          <w:b/>
          <w:bCs/>
          <w:color w:val="auto"/>
          <w:sz w:val="21"/>
          <w:szCs w:val="21"/>
          <w:highlight w:val="none"/>
          <w:lang w:val="en-US" w:eastAsia="zh-CN"/>
        </w:rPr>
        <w:t xml:space="preserve">              </w:t>
      </w:r>
      <w:r>
        <w:rPr>
          <w:rFonts w:hint="eastAsia" w:ascii="宋体" w:hAnsi="宋体" w:eastAsia="宋体" w:cs="宋体"/>
          <w:b/>
          <w:bCs/>
          <w:color w:val="auto"/>
          <w:sz w:val="21"/>
          <w:szCs w:val="21"/>
          <w:highlight w:val="none"/>
        </w:rPr>
        <w:t xml:space="preserve">  </w:t>
      </w:r>
      <w:r>
        <w:rPr>
          <w:rFonts w:hint="eastAsia" w:ascii="宋体" w:hAnsi="宋体" w:eastAsia="宋体" w:cs="宋体"/>
          <w:b/>
          <w:bCs/>
          <w:color w:val="auto"/>
          <w:sz w:val="21"/>
          <w:szCs w:val="21"/>
          <w:highlight w:val="none"/>
          <w:lang w:val="en-US" w:eastAsia="zh-CN"/>
        </w:rPr>
        <w:t xml:space="preserve"> </w:t>
      </w:r>
      <w:r>
        <w:rPr>
          <w:rFonts w:hint="eastAsia" w:ascii="宋体" w:hAnsi="宋体" w:cs="宋体"/>
          <w:b/>
          <w:bCs/>
          <w:color w:val="auto"/>
          <w:sz w:val="21"/>
          <w:szCs w:val="21"/>
          <w:highlight w:val="none"/>
          <w:lang w:val="en-US" w:eastAsia="zh-CN"/>
        </w:rPr>
        <w:t xml:space="preserve">      </w:t>
      </w:r>
      <w:r>
        <w:rPr>
          <w:rFonts w:hint="eastAsia" w:ascii="宋体" w:hAnsi="宋体" w:eastAsia="宋体" w:cs="宋体"/>
          <w:b/>
          <w:bCs/>
          <w:color w:val="auto"/>
          <w:sz w:val="21"/>
          <w:szCs w:val="21"/>
          <w:highlight w:val="none"/>
        </w:rPr>
        <w:t>承包人(公章</w:t>
      </w:r>
      <w:r>
        <w:rPr>
          <w:rFonts w:hint="eastAsia" w:ascii="宋体" w:hAnsi="宋体" w:cs="宋体"/>
          <w:b/>
          <w:bCs/>
          <w:color w:val="auto"/>
          <w:sz w:val="21"/>
          <w:szCs w:val="21"/>
          <w:highlight w:val="none"/>
          <w:lang w:eastAsia="zh-CN"/>
        </w:rPr>
        <w:t>）</w:t>
      </w:r>
      <w:r>
        <w:rPr>
          <w:rFonts w:hint="eastAsia" w:ascii="宋体" w:hAnsi="宋体" w:eastAsia="宋体" w:cs="宋体"/>
          <w:b/>
          <w:bCs/>
          <w:color w:val="auto"/>
          <w:sz w:val="21"/>
          <w:szCs w:val="21"/>
          <w:highlight w:val="none"/>
        </w:rPr>
        <w:t>：</w:t>
      </w:r>
      <w:r>
        <w:rPr>
          <w:rFonts w:hint="eastAsia" w:ascii="宋体" w:hAnsi="宋体" w:eastAsia="宋体" w:cs="宋体"/>
          <w:b/>
          <w:bCs/>
          <w:color w:val="auto"/>
          <w:sz w:val="21"/>
          <w:szCs w:val="21"/>
          <w:highlight w:val="none"/>
          <w:lang w:val="en-US" w:eastAsia="zh-CN"/>
        </w:rPr>
        <w:t xml:space="preserve"> </w:t>
      </w:r>
    </w:p>
    <w:p w14:paraId="46C5A5C1">
      <w:pPr>
        <w:keepNext w:val="0"/>
        <w:keepLines w:val="0"/>
        <w:pageBreakBefore w:val="0"/>
        <w:widowControl w:val="0"/>
        <w:suppressLineNumbers w:val="0"/>
        <w:kinsoku/>
        <w:wordWrap/>
        <w:overflowPunct/>
        <w:topLinePunct w:val="0"/>
        <w:bidi w:val="0"/>
        <w:snapToGrid/>
        <w:spacing w:before="0" w:beforeAutospacing="0" w:afterAutospacing="0" w:line="336" w:lineRule="auto"/>
        <w:ind w:right="0" w:firstLine="422" w:firstLineChars="200"/>
        <w:jc w:val="both"/>
        <w:textAlignment w:val="auto"/>
        <w:outlineLvl w:val="9"/>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t>法定代表人(签字或盖章</w:t>
      </w:r>
      <w:r>
        <w:rPr>
          <w:rFonts w:hint="eastAsia" w:ascii="宋体" w:hAnsi="宋体" w:cs="宋体"/>
          <w:b/>
          <w:bCs/>
          <w:color w:val="auto"/>
          <w:sz w:val="21"/>
          <w:szCs w:val="21"/>
          <w:highlight w:val="none"/>
          <w:lang w:eastAsia="zh-CN"/>
        </w:rPr>
        <w:t>）</w:t>
      </w:r>
      <w:r>
        <w:rPr>
          <w:rFonts w:hint="eastAsia" w:ascii="宋体" w:hAnsi="宋体" w:eastAsia="宋体" w:cs="宋体"/>
          <w:b/>
          <w:bCs/>
          <w:color w:val="auto"/>
          <w:sz w:val="21"/>
          <w:szCs w:val="21"/>
          <w:highlight w:val="none"/>
        </w:rPr>
        <w:t>：</w:t>
      </w:r>
      <w:r>
        <w:rPr>
          <w:rFonts w:hint="eastAsia" w:ascii="宋体" w:hAnsi="宋体" w:eastAsia="宋体" w:cs="宋体"/>
          <w:b/>
          <w:bCs/>
          <w:color w:val="auto"/>
          <w:sz w:val="21"/>
          <w:szCs w:val="21"/>
          <w:highlight w:val="none"/>
          <w:lang w:val="en-US" w:eastAsia="zh-CN"/>
        </w:rPr>
        <w:t xml:space="preserve">  </w:t>
      </w:r>
      <w:r>
        <w:rPr>
          <w:rFonts w:hint="eastAsia" w:ascii="宋体" w:hAnsi="宋体" w:eastAsia="宋体" w:cs="宋体"/>
          <w:b/>
          <w:bCs/>
          <w:color w:val="auto"/>
          <w:sz w:val="21"/>
          <w:szCs w:val="21"/>
          <w:highlight w:val="none"/>
        </w:rPr>
        <w:t xml:space="preserve">        </w:t>
      </w:r>
      <w:r>
        <w:rPr>
          <w:rFonts w:hint="eastAsia" w:ascii="宋体" w:hAnsi="宋体" w:eastAsia="宋体" w:cs="宋体"/>
          <w:b/>
          <w:bCs/>
          <w:color w:val="auto"/>
          <w:sz w:val="21"/>
          <w:szCs w:val="21"/>
          <w:highlight w:val="none"/>
          <w:lang w:val="en-US" w:eastAsia="zh-CN"/>
        </w:rPr>
        <w:t xml:space="preserve">   </w:t>
      </w:r>
      <w:r>
        <w:rPr>
          <w:rFonts w:hint="eastAsia" w:ascii="宋体" w:hAnsi="宋体" w:eastAsia="宋体" w:cs="宋体"/>
          <w:b/>
          <w:bCs/>
          <w:color w:val="auto"/>
          <w:sz w:val="21"/>
          <w:szCs w:val="21"/>
          <w:highlight w:val="none"/>
        </w:rPr>
        <w:t>法定代表人(签字或盖章</w:t>
      </w:r>
      <w:r>
        <w:rPr>
          <w:rFonts w:hint="eastAsia" w:ascii="宋体" w:hAnsi="宋体" w:cs="宋体"/>
          <w:b/>
          <w:bCs/>
          <w:color w:val="auto"/>
          <w:sz w:val="21"/>
          <w:szCs w:val="21"/>
          <w:highlight w:val="none"/>
          <w:lang w:eastAsia="zh-CN"/>
        </w:rPr>
        <w:t>）</w:t>
      </w:r>
      <w:r>
        <w:rPr>
          <w:rFonts w:hint="eastAsia" w:ascii="宋体" w:hAnsi="宋体" w:eastAsia="宋体" w:cs="宋体"/>
          <w:b/>
          <w:bCs/>
          <w:color w:val="auto"/>
          <w:sz w:val="21"/>
          <w:szCs w:val="21"/>
          <w:highlight w:val="none"/>
        </w:rPr>
        <w:t>：</w:t>
      </w:r>
      <w:r>
        <w:rPr>
          <w:rFonts w:hint="eastAsia" w:ascii="宋体" w:hAnsi="宋体" w:eastAsia="宋体" w:cs="宋体"/>
          <w:b/>
          <w:bCs/>
          <w:color w:val="auto"/>
          <w:sz w:val="21"/>
          <w:szCs w:val="21"/>
          <w:highlight w:val="none"/>
          <w:lang w:val="en-US" w:eastAsia="zh-CN"/>
        </w:rPr>
        <w:t xml:space="preserve">  </w:t>
      </w:r>
      <w:r>
        <w:rPr>
          <w:rFonts w:hint="eastAsia" w:ascii="宋体" w:hAnsi="宋体" w:eastAsia="宋体" w:cs="宋体"/>
          <w:b/>
          <w:bCs/>
          <w:color w:val="auto"/>
          <w:sz w:val="21"/>
          <w:szCs w:val="21"/>
          <w:highlight w:val="none"/>
        </w:rPr>
        <w:t xml:space="preserve">       </w:t>
      </w:r>
    </w:p>
    <w:p w14:paraId="21F00055">
      <w:pPr>
        <w:keepNext w:val="0"/>
        <w:keepLines w:val="0"/>
        <w:pageBreakBefore w:val="0"/>
        <w:widowControl w:val="0"/>
        <w:suppressLineNumbers w:val="0"/>
        <w:kinsoku/>
        <w:wordWrap/>
        <w:overflowPunct/>
        <w:topLinePunct w:val="0"/>
        <w:bidi w:val="0"/>
        <w:snapToGrid/>
        <w:spacing w:before="0" w:beforeAutospacing="0" w:afterAutospacing="0" w:line="336" w:lineRule="auto"/>
        <w:ind w:right="0" w:firstLine="1054" w:firstLineChars="500"/>
        <w:jc w:val="both"/>
        <w:textAlignment w:val="auto"/>
        <w:outlineLvl w:val="9"/>
        <w:rPr>
          <w:rFonts w:hint="eastAsia" w:ascii="宋体" w:hAnsi="宋体" w:cs="宋体"/>
          <w:b/>
          <w:kern w:val="0"/>
          <w:sz w:val="28"/>
          <w:szCs w:val="28"/>
          <w:lang w:bidi="en-US"/>
        </w:rPr>
      </w:pPr>
      <w:r>
        <w:rPr>
          <w:rFonts w:hint="eastAsia" w:ascii="宋体" w:hAnsi="宋体" w:eastAsia="宋体" w:cs="宋体"/>
          <w:b/>
          <w:bCs/>
          <w:color w:val="auto"/>
          <w:sz w:val="21"/>
          <w:szCs w:val="21"/>
          <w:highlight w:val="none"/>
        </w:rPr>
        <w:t xml:space="preserve">年 </w:t>
      </w:r>
      <w:r>
        <w:rPr>
          <w:rFonts w:hint="eastAsia" w:ascii="宋体" w:hAnsi="宋体" w:eastAsia="宋体" w:cs="宋体"/>
          <w:b/>
          <w:bCs/>
          <w:color w:val="auto"/>
          <w:sz w:val="21"/>
          <w:szCs w:val="21"/>
          <w:highlight w:val="none"/>
          <w:lang w:val="en-US" w:eastAsia="zh-CN"/>
        </w:rPr>
        <w:t xml:space="preserve"> </w:t>
      </w:r>
      <w:r>
        <w:rPr>
          <w:rFonts w:hint="eastAsia" w:ascii="宋体" w:hAnsi="宋体" w:eastAsia="宋体" w:cs="宋体"/>
          <w:b/>
          <w:bCs/>
          <w:color w:val="auto"/>
          <w:sz w:val="21"/>
          <w:szCs w:val="21"/>
          <w:highlight w:val="none"/>
        </w:rPr>
        <w:t xml:space="preserve">月 </w:t>
      </w:r>
      <w:r>
        <w:rPr>
          <w:rFonts w:hint="eastAsia" w:ascii="宋体" w:hAnsi="宋体" w:eastAsia="宋体" w:cs="宋体"/>
          <w:b/>
          <w:bCs/>
          <w:color w:val="auto"/>
          <w:sz w:val="21"/>
          <w:szCs w:val="21"/>
          <w:highlight w:val="none"/>
          <w:lang w:val="en-US" w:eastAsia="zh-CN"/>
        </w:rPr>
        <w:t xml:space="preserve">  </w:t>
      </w:r>
      <w:r>
        <w:rPr>
          <w:rFonts w:hint="eastAsia" w:ascii="宋体" w:hAnsi="宋体" w:eastAsia="宋体" w:cs="宋体"/>
          <w:b/>
          <w:bCs/>
          <w:color w:val="auto"/>
          <w:sz w:val="21"/>
          <w:szCs w:val="21"/>
          <w:highlight w:val="none"/>
        </w:rPr>
        <w:t xml:space="preserve">日                 </w:t>
      </w:r>
      <w:r>
        <w:rPr>
          <w:rFonts w:hint="eastAsia" w:ascii="宋体" w:hAnsi="宋体" w:cs="宋体"/>
          <w:b/>
          <w:bCs/>
          <w:color w:val="auto"/>
          <w:sz w:val="21"/>
          <w:szCs w:val="21"/>
          <w:highlight w:val="none"/>
          <w:lang w:val="en-US" w:eastAsia="zh-CN"/>
        </w:rPr>
        <w:t xml:space="preserve">  </w:t>
      </w:r>
      <w:r>
        <w:rPr>
          <w:rFonts w:hint="eastAsia" w:ascii="宋体" w:hAnsi="宋体" w:eastAsia="宋体" w:cs="宋体"/>
          <w:b/>
          <w:bCs/>
          <w:color w:val="auto"/>
          <w:sz w:val="21"/>
          <w:szCs w:val="21"/>
          <w:highlight w:val="none"/>
        </w:rPr>
        <w:t xml:space="preserve">   年 </w:t>
      </w:r>
      <w:r>
        <w:rPr>
          <w:rFonts w:hint="eastAsia" w:ascii="宋体" w:hAnsi="宋体" w:eastAsia="宋体" w:cs="宋体"/>
          <w:b/>
          <w:bCs/>
          <w:color w:val="auto"/>
          <w:sz w:val="21"/>
          <w:szCs w:val="21"/>
          <w:highlight w:val="none"/>
          <w:lang w:val="en-US" w:eastAsia="zh-CN"/>
        </w:rPr>
        <w:t xml:space="preserve"> </w:t>
      </w:r>
      <w:r>
        <w:rPr>
          <w:rFonts w:hint="eastAsia" w:ascii="宋体" w:hAnsi="宋体" w:eastAsia="宋体" w:cs="宋体"/>
          <w:b/>
          <w:bCs/>
          <w:color w:val="auto"/>
          <w:sz w:val="21"/>
          <w:szCs w:val="21"/>
          <w:highlight w:val="none"/>
        </w:rPr>
        <w:t xml:space="preserve">月 </w:t>
      </w:r>
      <w:r>
        <w:rPr>
          <w:rFonts w:hint="eastAsia" w:ascii="宋体" w:hAnsi="宋体" w:eastAsia="宋体" w:cs="宋体"/>
          <w:b/>
          <w:bCs/>
          <w:color w:val="auto"/>
          <w:sz w:val="21"/>
          <w:szCs w:val="21"/>
          <w:highlight w:val="none"/>
          <w:lang w:val="en-US" w:eastAsia="zh-CN"/>
        </w:rPr>
        <w:t xml:space="preserve">  </w:t>
      </w:r>
      <w:r>
        <w:rPr>
          <w:rFonts w:hint="eastAsia" w:ascii="宋体" w:hAnsi="宋体" w:eastAsia="宋体" w:cs="宋体"/>
          <w:b/>
          <w:bCs/>
          <w:color w:val="auto"/>
          <w:sz w:val="21"/>
          <w:szCs w:val="21"/>
          <w:highlight w:val="none"/>
        </w:rPr>
        <w:t>日</w:t>
      </w:r>
    </w:p>
    <w:p w14:paraId="4C79402E">
      <w:pPr>
        <w:widowControl/>
        <w:spacing w:beforeLines="50" w:afterLines="50" w:line="360" w:lineRule="auto"/>
        <w:jc w:val="center"/>
        <w:outlineLvl w:val="0"/>
        <w:rPr>
          <w:rFonts w:ascii="宋体" w:hAnsi="宋体" w:cs="宋体"/>
          <w:b/>
          <w:bCs/>
          <w:szCs w:val="21"/>
        </w:rPr>
      </w:pPr>
      <w:r>
        <w:rPr>
          <w:rFonts w:hint="eastAsia" w:ascii="宋体" w:hAnsi="宋体" w:cs="宋体"/>
          <w:b/>
          <w:kern w:val="0"/>
          <w:sz w:val="28"/>
          <w:szCs w:val="28"/>
          <w:lang w:bidi="en-US"/>
        </w:rPr>
        <w:t>第四章 磋商响应文件格式</w:t>
      </w:r>
      <w:bookmarkEnd w:id="244"/>
      <w:bookmarkEnd w:id="245"/>
      <w:bookmarkEnd w:id="246"/>
      <w:bookmarkEnd w:id="247"/>
      <w:bookmarkEnd w:id="248"/>
      <w:bookmarkEnd w:id="249"/>
    </w:p>
    <w:p w14:paraId="4D80EAF6">
      <w:pPr>
        <w:spacing w:line="360" w:lineRule="auto"/>
        <w:jc w:val="center"/>
        <w:rPr>
          <w:rFonts w:ascii="宋体" w:hAnsi="宋体" w:cs="宋体"/>
          <w:szCs w:val="21"/>
        </w:rPr>
      </w:pPr>
      <w:r>
        <w:rPr>
          <w:rFonts w:hint="eastAsia" w:ascii="宋体" w:hAnsi="宋体" w:cs="宋体"/>
          <w:szCs w:val="21"/>
        </w:rPr>
        <w:t>（未提供格式的部分由供应商自行编制）</w:t>
      </w:r>
      <w:bookmarkStart w:id="863" w:name="_Toc8300790"/>
      <w:bookmarkEnd w:id="863"/>
      <w:bookmarkStart w:id="864" w:name="_Hlk37849412"/>
      <w:bookmarkEnd w:id="864"/>
      <w:bookmarkStart w:id="865" w:name="_Toc427339178"/>
      <w:bookmarkEnd w:id="865"/>
      <w:bookmarkStart w:id="866" w:name="_Toc484796147"/>
      <w:bookmarkEnd w:id="866"/>
      <w:bookmarkStart w:id="867" w:name="_Toc7812"/>
      <w:bookmarkEnd w:id="867"/>
      <w:bookmarkStart w:id="868" w:name="_Toc183075172"/>
    </w:p>
    <w:p w14:paraId="0B35AD54">
      <w:pPr>
        <w:rPr>
          <w:rFonts w:ascii="宋体" w:hAnsi="宋体" w:cs="宋体"/>
          <w:szCs w:val="21"/>
        </w:rPr>
      </w:pPr>
    </w:p>
    <w:p w14:paraId="5E1F377F">
      <w:pPr>
        <w:spacing w:line="360" w:lineRule="auto"/>
        <w:jc w:val="center"/>
        <w:rPr>
          <w:rFonts w:ascii="宋体" w:hAnsi="宋体" w:cs="宋体"/>
          <w:b/>
          <w:sz w:val="48"/>
          <w:szCs w:val="48"/>
        </w:rPr>
      </w:pPr>
      <w:r>
        <w:rPr>
          <w:rFonts w:hint="eastAsia" w:ascii="宋体" w:hAnsi="宋体" w:cs="宋体"/>
          <w:b/>
          <w:sz w:val="48"/>
          <w:szCs w:val="48"/>
          <w:lang w:eastAsia="zh-CN"/>
        </w:rPr>
        <w:t>石屏县坝心镇2026年白浪村委会大过细村产业道路建设项目</w:t>
      </w:r>
    </w:p>
    <w:p w14:paraId="006F4478">
      <w:pPr>
        <w:keepNext w:val="0"/>
        <w:keepLines w:val="0"/>
        <w:pageBreakBefore w:val="0"/>
        <w:widowControl w:val="0"/>
        <w:kinsoku/>
        <w:wordWrap/>
        <w:overflowPunct/>
        <w:topLinePunct w:val="0"/>
        <w:autoSpaceDE/>
        <w:autoSpaceDN/>
        <w:bidi w:val="0"/>
        <w:adjustRightInd/>
        <w:snapToGrid w:val="0"/>
        <w:spacing w:line="360" w:lineRule="auto"/>
        <w:jc w:val="center"/>
        <w:textAlignment w:val="auto"/>
        <w:rPr>
          <w:rFonts w:hint="eastAsia" w:ascii="宋体" w:hAnsi="宋体" w:cs="宋体"/>
          <w:b/>
          <w:sz w:val="48"/>
          <w:szCs w:val="48"/>
          <w:lang w:eastAsia="zh-CN"/>
        </w:rPr>
      </w:pPr>
      <w:r>
        <w:rPr>
          <w:rFonts w:hint="eastAsia" w:ascii="宋体" w:hAnsi="宋体" w:cs="宋体"/>
          <w:b/>
          <w:sz w:val="48"/>
          <w:szCs w:val="48"/>
          <w:lang w:eastAsia="zh-CN"/>
        </w:rPr>
        <w:t xml:space="preserve">    </w:t>
      </w:r>
    </w:p>
    <w:p w14:paraId="48BB2827">
      <w:pPr>
        <w:spacing w:line="360" w:lineRule="auto"/>
        <w:jc w:val="center"/>
        <w:rPr>
          <w:rFonts w:ascii="宋体" w:hAnsi="宋体" w:cs="宋体"/>
          <w:b/>
          <w:szCs w:val="21"/>
        </w:rPr>
      </w:pPr>
    </w:p>
    <w:p w14:paraId="79F431AC">
      <w:pPr>
        <w:widowControl/>
        <w:spacing w:beforeLines="100" w:afterLines="100" w:line="1000" w:lineRule="exact"/>
        <w:rPr>
          <w:rFonts w:ascii="宋体" w:hAnsi="宋体" w:cs="宋体"/>
          <w:kern w:val="0"/>
          <w:sz w:val="84"/>
          <w:szCs w:val="84"/>
          <w:lang w:bidi="en-US"/>
        </w:rPr>
      </w:pPr>
      <w:bookmarkStart w:id="869" w:name="_Toc5796"/>
    </w:p>
    <w:p w14:paraId="1EFF79AD">
      <w:pPr>
        <w:widowControl/>
        <w:spacing w:beforeLines="100" w:afterLines="100" w:line="1000" w:lineRule="exact"/>
        <w:jc w:val="center"/>
        <w:rPr>
          <w:rFonts w:ascii="宋体" w:hAnsi="宋体" w:cs="宋体"/>
          <w:kern w:val="0"/>
          <w:sz w:val="84"/>
          <w:szCs w:val="84"/>
          <w:lang w:bidi="en-US"/>
        </w:rPr>
      </w:pPr>
      <w:r>
        <w:rPr>
          <w:rFonts w:hint="eastAsia" w:ascii="宋体" w:hAnsi="宋体" w:cs="宋体"/>
          <w:kern w:val="0"/>
          <w:sz w:val="84"/>
          <w:szCs w:val="84"/>
          <w:lang w:bidi="en-US"/>
        </w:rPr>
        <w:t>响应文件</w:t>
      </w:r>
      <w:bookmarkEnd w:id="869"/>
    </w:p>
    <w:p w14:paraId="5C0B464F">
      <w:pPr>
        <w:spacing w:line="360" w:lineRule="auto"/>
        <w:jc w:val="center"/>
        <w:rPr>
          <w:rFonts w:ascii="宋体" w:hAnsi="宋体" w:cs="宋体"/>
          <w:b/>
          <w:bCs/>
          <w:sz w:val="28"/>
          <w:szCs w:val="28"/>
        </w:rPr>
      </w:pPr>
      <w:bookmarkStart w:id="870" w:name="_Toc14539"/>
      <w:r>
        <w:rPr>
          <w:rFonts w:hint="eastAsia" w:ascii="宋体" w:hAnsi="宋体" w:cs="宋体"/>
          <w:b/>
          <w:bCs/>
          <w:sz w:val="28"/>
          <w:szCs w:val="28"/>
        </w:rPr>
        <w:t>项目编号：</w:t>
      </w:r>
      <w:bookmarkEnd w:id="870"/>
    </w:p>
    <w:p w14:paraId="706311D0">
      <w:pPr>
        <w:spacing w:line="360" w:lineRule="auto"/>
        <w:jc w:val="center"/>
        <w:rPr>
          <w:rFonts w:ascii="宋体" w:hAnsi="宋体" w:cs="宋体"/>
          <w:b/>
          <w:bCs/>
          <w:szCs w:val="21"/>
        </w:rPr>
      </w:pPr>
    </w:p>
    <w:p w14:paraId="541C3B76">
      <w:pPr>
        <w:spacing w:line="360" w:lineRule="auto"/>
        <w:jc w:val="center"/>
        <w:rPr>
          <w:rFonts w:ascii="宋体" w:hAnsi="宋体" w:cs="宋体"/>
          <w:szCs w:val="21"/>
        </w:rPr>
      </w:pPr>
    </w:p>
    <w:p w14:paraId="613AB763">
      <w:pPr>
        <w:spacing w:line="360" w:lineRule="auto"/>
        <w:jc w:val="center"/>
        <w:rPr>
          <w:rFonts w:ascii="宋体" w:hAnsi="宋体" w:cs="宋体"/>
          <w:szCs w:val="21"/>
        </w:rPr>
      </w:pPr>
    </w:p>
    <w:p w14:paraId="416CB52A">
      <w:pPr>
        <w:pStyle w:val="2"/>
        <w:rPr>
          <w:rFonts w:hAnsi="宋体" w:cs="宋体"/>
          <w:szCs w:val="21"/>
        </w:rPr>
      </w:pPr>
    </w:p>
    <w:p w14:paraId="2860C23F"/>
    <w:p w14:paraId="53CC753C">
      <w:pPr>
        <w:spacing w:line="360" w:lineRule="auto"/>
        <w:rPr>
          <w:rFonts w:ascii="宋体" w:hAnsi="宋体" w:cs="宋体"/>
          <w:szCs w:val="21"/>
        </w:rPr>
      </w:pPr>
    </w:p>
    <w:p w14:paraId="12E69DA8">
      <w:pPr>
        <w:spacing w:line="360" w:lineRule="auto"/>
        <w:ind w:firstLine="420" w:firstLineChars="200"/>
        <w:rPr>
          <w:rFonts w:ascii="宋体" w:hAnsi="宋体" w:cs="宋体"/>
          <w:szCs w:val="21"/>
        </w:rPr>
      </w:pPr>
    </w:p>
    <w:p w14:paraId="2ACB884D">
      <w:pPr>
        <w:spacing w:line="360" w:lineRule="auto"/>
        <w:ind w:firstLine="1260" w:firstLineChars="450"/>
        <w:rPr>
          <w:rFonts w:ascii="宋体" w:hAnsi="宋体" w:cs="宋体"/>
          <w:sz w:val="28"/>
          <w:szCs w:val="28"/>
        </w:rPr>
      </w:pPr>
      <w:bookmarkStart w:id="871" w:name="_Toc2015"/>
      <w:r>
        <w:rPr>
          <w:rFonts w:hint="eastAsia" w:ascii="宋体" w:hAnsi="宋体" w:cs="宋体"/>
          <w:kern w:val="0"/>
          <w:sz w:val="28"/>
          <w:szCs w:val="28"/>
        </w:rPr>
        <w:t>供应商</w:t>
      </w:r>
      <w:r>
        <w:rPr>
          <w:rFonts w:hint="eastAsia" w:ascii="宋体" w:hAnsi="宋体" w:cs="宋体"/>
          <w:sz w:val="28"/>
          <w:szCs w:val="28"/>
        </w:rPr>
        <w:t>：</w:t>
      </w:r>
      <w:r>
        <w:rPr>
          <w:rFonts w:hint="eastAsia" w:ascii="宋体" w:hAnsi="宋体" w:cs="宋体"/>
          <w:sz w:val="28"/>
          <w:szCs w:val="28"/>
          <w:u w:val="single"/>
        </w:rPr>
        <w:t xml:space="preserve">              </w:t>
      </w:r>
      <w:r>
        <w:rPr>
          <w:rFonts w:hint="eastAsia" w:ascii="宋体" w:hAnsi="宋体" w:cs="宋体"/>
          <w:sz w:val="28"/>
          <w:szCs w:val="28"/>
          <w:u w:val="single"/>
          <w:lang w:val="en-US" w:eastAsia="zh-CN"/>
        </w:rPr>
        <w:t xml:space="preserve">        </w:t>
      </w:r>
      <w:r>
        <w:rPr>
          <w:rFonts w:hint="eastAsia" w:ascii="宋体" w:hAnsi="宋体" w:cs="宋体"/>
          <w:sz w:val="28"/>
          <w:szCs w:val="28"/>
          <w:u w:val="single"/>
        </w:rPr>
        <w:t xml:space="preserve"> （</w:t>
      </w:r>
      <w:r>
        <w:rPr>
          <w:rFonts w:hint="eastAsia" w:ascii="宋体" w:hAnsi="宋体" w:cs="宋体"/>
          <w:sz w:val="28"/>
          <w:szCs w:val="28"/>
          <w:u w:val="single"/>
          <w:lang w:val="en-US" w:eastAsia="zh-CN"/>
        </w:rPr>
        <w:t>电子签章</w:t>
      </w:r>
      <w:r>
        <w:rPr>
          <w:rFonts w:hint="eastAsia" w:ascii="宋体" w:hAnsi="宋体" w:cs="宋体"/>
          <w:sz w:val="28"/>
          <w:szCs w:val="28"/>
          <w:u w:val="single"/>
        </w:rPr>
        <w:t>）</w:t>
      </w:r>
      <w:bookmarkEnd w:id="871"/>
    </w:p>
    <w:p w14:paraId="19291357">
      <w:pPr>
        <w:wordWrap w:val="0"/>
        <w:spacing w:line="360" w:lineRule="auto"/>
        <w:ind w:firstLine="1260" w:firstLineChars="450"/>
        <w:rPr>
          <w:rFonts w:ascii="宋体" w:hAnsi="宋体" w:cs="宋体"/>
          <w:sz w:val="28"/>
          <w:szCs w:val="28"/>
        </w:rPr>
      </w:pPr>
      <w:bookmarkStart w:id="872" w:name="_Toc16055"/>
      <w:r>
        <w:rPr>
          <w:rFonts w:hint="eastAsia" w:ascii="宋体" w:hAnsi="宋体" w:cs="宋体"/>
          <w:sz w:val="28"/>
          <w:szCs w:val="28"/>
        </w:rPr>
        <w:t>法定代表人或其授权代理人：</w:t>
      </w:r>
      <w:r>
        <w:rPr>
          <w:rFonts w:hint="eastAsia" w:ascii="宋体" w:hAnsi="宋体" w:cs="宋体"/>
          <w:sz w:val="28"/>
          <w:szCs w:val="28"/>
          <w:u w:val="single"/>
        </w:rPr>
        <w:t xml:space="preserve">     （</w:t>
      </w:r>
      <w:r>
        <w:rPr>
          <w:rFonts w:hint="eastAsia" w:ascii="宋体" w:hAnsi="宋体" w:cs="宋体"/>
          <w:sz w:val="28"/>
          <w:szCs w:val="28"/>
          <w:u w:val="single"/>
          <w:lang w:val="en-US" w:eastAsia="zh-CN"/>
        </w:rPr>
        <w:t>电子签章</w:t>
      </w:r>
      <w:r>
        <w:rPr>
          <w:rFonts w:hint="eastAsia" w:ascii="宋体" w:hAnsi="宋体" w:cs="宋体"/>
          <w:sz w:val="28"/>
          <w:szCs w:val="28"/>
          <w:u w:val="single"/>
        </w:rPr>
        <w:t>）</w:t>
      </w:r>
      <w:bookmarkEnd w:id="872"/>
    </w:p>
    <w:p w14:paraId="077BE7FF">
      <w:pPr>
        <w:wordWrap w:val="0"/>
        <w:spacing w:line="360" w:lineRule="auto"/>
        <w:ind w:firstLine="1260" w:firstLineChars="450"/>
        <w:rPr>
          <w:rFonts w:ascii="宋体" w:hAnsi="宋体" w:cs="宋体"/>
          <w:sz w:val="28"/>
          <w:szCs w:val="28"/>
        </w:rPr>
      </w:pPr>
      <w:bookmarkStart w:id="873" w:name="_Toc8165"/>
      <w:r>
        <w:rPr>
          <w:rFonts w:hint="eastAsia" w:ascii="宋体" w:hAnsi="宋体" w:cs="宋体"/>
          <w:sz w:val="28"/>
          <w:szCs w:val="28"/>
        </w:rPr>
        <w:t>日     期：  年  月  日</w:t>
      </w:r>
      <w:bookmarkEnd w:id="868"/>
      <w:bookmarkEnd w:id="873"/>
    </w:p>
    <w:p w14:paraId="18B4A340">
      <w:pPr>
        <w:pStyle w:val="20"/>
        <w:spacing w:line="360" w:lineRule="auto"/>
        <w:jc w:val="center"/>
        <w:rPr>
          <w:rFonts w:hAnsi="宋体" w:cs="宋体"/>
          <w:b/>
          <w:bCs/>
          <w:szCs w:val="21"/>
        </w:rPr>
      </w:pPr>
      <w:r>
        <w:rPr>
          <w:rFonts w:hint="eastAsia" w:hAnsi="宋体" w:cs="宋体"/>
          <w:szCs w:val="21"/>
        </w:rPr>
        <w:br w:type="page"/>
      </w:r>
      <w:bookmarkStart w:id="874" w:name="_Toc417136877"/>
      <w:bookmarkStart w:id="875" w:name="_Toc416715996"/>
    </w:p>
    <w:bookmarkEnd w:id="874"/>
    <w:bookmarkEnd w:id="875"/>
    <w:p w14:paraId="28084A82">
      <w:pPr>
        <w:spacing w:line="360" w:lineRule="auto"/>
        <w:jc w:val="center"/>
        <w:outlineLvl w:val="0"/>
        <w:rPr>
          <w:rFonts w:ascii="宋体" w:hAnsi="宋体" w:cs="宋体"/>
          <w:b/>
          <w:bCs/>
          <w:color w:val="auto"/>
          <w:sz w:val="21"/>
          <w:szCs w:val="21"/>
          <w:lang w:eastAsia="zh-CN"/>
        </w:rPr>
      </w:pPr>
      <w:bookmarkStart w:id="876" w:name="q18"/>
      <w:bookmarkEnd w:id="876"/>
      <w:bookmarkStart w:id="877" w:name="q19"/>
      <w:bookmarkEnd w:id="877"/>
      <w:bookmarkStart w:id="878" w:name="_Toc5279"/>
      <w:bookmarkStart w:id="879" w:name="_Toc484796148"/>
      <w:bookmarkStart w:id="880" w:name="_Toc8300791"/>
      <w:bookmarkStart w:id="881" w:name="_Toc420071232"/>
      <w:bookmarkStart w:id="882" w:name="_Toc417843481"/>
      <w:bookmarkStart w:id="883" w:name="_Toc15361"/>
      <w:bookmarkStart w:id="884" w:name="_Hlk37850482"/>
      <w:bookmarkStart w:id="885" w:name="_Toc427339180"/>
      <w:bookmarkStart w:id="886" w:name="_Toc23494"/>
      <w:bookmarkStart w:id="887" w:name="_Toc58081276"/>
      <w:bookmarkStart w:id="888" w:name="_Toc26982"/>
      <w:bookmarkStart w:id="889" w:name="_Toc15915"/>
      <w:bookmarkStart w:id="890" w:name="_Toc8105"/>
      <w:bookmarkStart w:id="891" w:name="_Toc23121"/>
      <w:bookmarkStart w:id="892" w:name="_Toc97518719"/>
      <w:bookmarkStart w:id="893" w:name="_Toc269218606"/>
      <w:bookmarkStart w:id="894" w:name="_Toc427339194"/>
      <w:bookmarkStart w:id="895" w:name="_Toc370221828"/>
      <w:bookmarkStart w:id="896" w:name="_Toc149791939"/>
      <w:bookmarkStart w:id="897" w:name="_Toc357009072"/>
      <w:bookmarkStart w:id="898" w:name="_Toc238310121"/>
      <w:bookmarkStart w:id="899" w:name="_Toc427306819"/>
      <w:bookmarkStart w:id="900" w:name="_Toc58081297"/>
      <w:bookmarkStart w:id="901" w:name="_Toc10809"/>
      <w:r>
        <w:rPr>
          <w:rFonts w:hint="eastAsia" w:ascii="宋体" w:hAnsi="宋体" w:cs="宋体"/>
          <w:b/>
          <w:bCs/>
          <w:color w:val="auto"/>
          <w:kern w:val="2"/>
          <w:sz w:val="21"/>
          <w:szCs w:val="21"/>
          <w:lang w:eastAsia="zh-CN" w:bidi="ar"/>
        </w:rPr>
        <w:t>供应商编制文件须知</w:t>
      </w:r>
      <w:bookmarkEnd w:id="878"/>
    </w:p>
    <w:p w14:paraId="561ABEBC">
      <w:pPr>
        <w:spacing w:line="360" w:lineRule="auto"/>
        <w:ind w:firstLine="420" w:firstLineChars="200"/>
        <w:rPr>
          <w:rFonts w:ascii="宋体" w:hAnsi="宋体" w:cs="宋体"/>
          <w:color w:val="auto"/>
          <w:kern w:val="2"/>
          <w:sz w:val="21"/>
          <w:szCs w:val="21"/>
          <w:lang w:eastAsia="zh-CN" w:bidi="ar"/>
        </w:rPr>
      </w:pPr>
      <w:r>
        <w:rPr>
          <w:rFonts w:hint="eastAsia" w:ascii="宋体" w:hAnsi="宋体" w:cs="宋体"/>
          <w:color w:val="auto"/>
          <w:kern w:val="2"/>
          <w:sz w:val="21"/>
          <w:szCs w:val="21"/>
          <w:lang w:eastAsia="zh-CN" w:bidi="ar"/>
        </w:rPr>
        <w:t>1.供应商按照本部分的要求编制响应文件，编制中涉及格式资料的，应按照本部分提供的内容和格式（所有表格的格式可扩展）填写提交。</w:t>
      </w:r>
    </w:p>
    <w:p w14:paraId="13FB9766">
      <w:pPr>
        <w:spacing w:line="360" w:lineRule="auto"/>
        <w:ind w:firstLine="422"/>
        <w:rPr>
          <w:rFonts w:ascii="宋体" w:hAnsi="宋体" w:cs="宋体"/>
          <w:color w:val="auto"/>
          <w:szCs w:val="21"/>
          <w:lang w:eastAsia="zh-CN"/>
        </w:rPr>
      </w:pPr>
      <w:r>
        <w:rPr>
          <w:rFonts w:hint="eastAsia" w:ascii="宋体" w:hAnsi="宋体" w:cs="宋体"/>
          <w:color w:val="auto"/>
          <w:kern w:val="2"/>
          <w:sz w:val="21"/>
          <w:szCs w:val="21"/>
          <w:lang w:eastAsia="zh-CN" w:bidi="ar"/>
        </w:rPr>
        <w:t>2.格式中标记了▲号的为实质性格式文件，供应商不得改变格式中给定的文字所表达的含义，不得删减格式中的实质性内容，不得自行添加与格式中给定的文字内容相矛盾的内容，不得对应当实质性响应的内容不实质性响应，否则响应无效。未标记▲号的格式文件和竞争性</w:t>
      </w:r>
      <w:r>
        <w:rPr>
          <w:rFonts w:hint="eastAsia" w:ascii="宋体" w:hAnsi="宋体" w:cs="宋体"/>
          <w:color w:val="auto"/>
          <w:kern w:val="2"/>
          <w:sz w:val="21"/>
          <w:szCs w:val="21"/>
          <w:lang w:val="en-US" w:eastAsia="zh-CN" w:bidi="ar"/>
        </w:rPr>
        <w:t>磋商</w:t>
      </w:r>
      <w:r>
        <w:rPr>
          <w:rFonts w:hint="eastAsia" w:ascii="宋体" w:hAnsi="宋体" w:cs="宋体"/>
          <w:color w:val="auto"/>
          <w:kern w:val="2"/>
          <w:sz w:val="21"/>
          <w:szCs w:val="21"/>
          <w:lang w:eastAsia="zh-CN" w:bidi="ar"/>
        </w:rPr>
        <w:t xml:space="preserve">文件未提供格式的内容，可由供应商自行编写。 </w:t>
      </w:r>
    </w:p>
    <w:p w14:paraId="7036B0DD">
      <w:pPr>
        <w:spacing w:line="360" w:lineRule="auto"/>
        <w:ind w:firstLine="422"/>
        <w:rPr>
          <w:rFonts w:ascii="宋体" w:hAnsi="宋体" w:cs="宋体"/>
          <w:color w:val="auto"/>
          <w:kern w:val="2"/>
          <w:sz w:val="21"/>
          <w:szCs w:val="21"/>
          <w:lang w:eastAsia="zh-CN" w:bidi="ar"/>
        </w:rPr>
      </w:pPr>
      <w:r>
        <w:rPr>
          <w:rFonts w:hint="eastAsia" w:ascii="宋体" w:hAnsi="宋体" w:cs="宋体"/>
          <w:color w:val="auto"/>
          <w:kern w:val="2"/>
          <w:sz w:val="21"/>
          <w:szCs w:val="21"/>
          <w:lang w:eastAsia="zh-CN" w:bidi="ar"/>
        </w:rPr>
        <w:t>3.全部声明和问题的回答及所附材料必须是真实的、准确的和完整的。</w:t>
      </w:r>
    </w:p>
    <w:p w14:paraId="25F35CD7">
      <w:pPr>
        <w:pStyle w:val="20"/>
        <w:spacing w:line="360" w:lineRule="auto"/>
        <w:jc w:val="center"/>
        <w:outlineLvl w:val="9"/>
        <w:rPr>
          <w:rFonts w:hint="default" w:ascii="宋体" w:hAnsi="宋体" w:cs="宋体"/>
          <w:color w:val="auto"/>
          <w:kern w:val="2"/>
          <w:sz w:val="21"/>
          <w:szCs w:val="21"/>
          <w:lang w:val="en-US" w:eastAsia="zh-CN" w:bidi="ar"/>
        </w:rPr>
      </w:pPr>
      <w:r>
        <w:rPr>
          <w:rFonts w:hint="eastAsia" w:ascii="宋体" w:hAnsi="宋体" w:cs="宋体"/>
          <w:color w:val="auto"/>
          <w:kern w:val="2"/>
          <w:sz w:val="21"/>
          <w:szCs w:val="21"/>
          <w:lang w:eastAsia="zh-CN" w:bidi="ar"/>
        </w:rPr>
        <w:t>4.有关文件的提交如未特别注明需提供原件的，可提供扫描件或照片等形式的电子文件</w:t>
      </w:r>
      <w:r>
        <w:rPr>
          <w:rFonts w:hint="eastAsia" w:hAnsi="宋体" w:cs="宋体"/>
          <w:color w:val="auto"/>
          <w:kern w:val="2"/>
          <w:sz w:val="21"/>
          <w:szCs w:val="21"/>
          <w:lang w:eastAsia="zh-CN" w:bidi="ar"/>
        </w:rPr>
        <w:t>。</w:t>
      </w:r>
    </w:p>
    <w:p w14:paraId="2528C0CD">
      <w:pPr>
        <w:rPr>
          <w:rFonts w:hint="eastAsia" w:hAnsi="宋体" w:cs="宋体"/>
          <w:b/>
          <w:bCs/>
          <w:color w:val="auto"/>
          <w:sz w:val="24"/>
          <w:szCs w:val="24"/>
        </w:rPr>
      </w:pPr>
      <w:r>
        <w:rPr>
          <w:rFonts w:hint="eastAsia" w:hAnsi="宋体" w:cs="宋体"/>
          <w:b/>
          <w:bCs/>
          <w:color w:val="auto"/>
          <w:sz w:val="24"/>
          <w:szCs w:val="24"/>
        </w:rPr>
        <w:br w:type="page"/>
      </w:r>
    </w:p>
    <w:p w14:paraId="25CF8A8C">
      <w:pPr>
        <w:pStyle w:val="20"/>
        <w:spacing w:line="360" w:lineRule="auto"/>
        <w:jc w:val="center"/>
        <w:outlineLvl w:val="1"/>
        <w:rPr>
          <w:rFonts w:hAnsi="宋体" w:cs="宋体"/>
          <w:b/>
          <w:bCs/>
          <w:color w:val="auto"/>
          <w:sz w:val="24"/>
          <w:szCs w:val="24"/>
        </w:rPr>
      </w:pPr>
      <w:r>
        <w:rPr>
          <w:rFonts w:hint="eastAsia" w:hAnsi="宋体" w:cs="宋体"/>
          <w:b/>
          <w:bCs/>
          <w:color w:val="auto"/>
          <w:sz w:val="24"/>
          <w:szCs w:val="24"/>
        </w:rPr>
        <w:t>一、</w:t>
      </w:r>
      <w:bookmarkEnd w:id="879"/>
      <w:bookmarkEnd w:id="880"/>
      <w:bookmarkEnd w:id="881"/>
      <w:bookmarkEnd w:id="882"/>
      <w:bookmarkEnd w:id="883"/>
      <w:bookmarkEnd w:id="884"/>
      <w:bookmarkEnd w:id="885"/>
      <w:bookmarkStart w:id="902" w:name="_Toc417843484"/>
      <w:bookmarkStart w:id="903" w:name="_Toc420071235"/>
      <w:bookmarkStart w:id="904" w:name="_Toc427339181"/>
      <w:bookmarkStart w:id="905" w:name="_Toc417843435"/>
      <w:bookmarkStart w:id="906" w:name="_Toc484796149"/>
      <w:bookmarkStart w:id="907" w:name="_Toc26863"/>
      <w:bookmarkStart w:id="908" w:name="_Toc8300792"/>
      <w:r>
        <w:rPr>
          <w:rFonts w:hint="eastAsia" w:hAnsi="宋体" w:cs="宋体"/>
          <w:b/>
          <w:bCs/>
          <w:color w:val="auto"/>
          <w:sz w:val="24"/>
          <w:szCs w:val="24"/>
        </w:rPr>
        <w:t>供应商一般情况表</w:t>
      </w:r>
      <w:bookmarkEnd w:id="886"/>
      <w:bookmarkEnd w:id="887"/>
      <w:bookmarkEnd w:id="888"/>
      <w:bookmarkEnd w:id="889"/>
      <w:bookmarkEnd w:id="890"/>
      <w:bookmarkEnd w:id="891"/>
    </w:p>
    <w:tbl>
      <w:tblPr>
        <w:tblStyle w:val="38"/>
        <w:tblW w:w="9250" w:type="dxa"/>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0" w:type="dxa"/>
          <w:bottom w:w="0" w:type="dxa"/>
          <w:right w:w="0" w:type="dxa"/>
        </w:tblCellMar>
      </w:tblPr>
      <w:tblGrid>
        <w:gridCol w:w="1646"/>
        <w:gridCol w:w="1010"/>
        <w:gridCol w:w="1070"/>
        <w:gridCol w:w="1416"/>
        <w:gridCol w:w="350"/>
        <w:gridCol w:w="1212"/>
        <w:gridCol w:w="464"/>
        <w:gridCol w:w="966"/>
        <w:gridCol w:w="1116"/>
      </w:tblGrid>
      <w:tr w14:paraId="5EB7E5F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559" w:hRule="atLeast"/>
          <w:jc w:val="center"/>
        </w:trPr>
        <w:tc>
          <w:tcPr>
            <w:tcW w:w="1646" w:type="dxa"/>
            <w:vAlign w:val="center"/>
          </w:tcPr>
          <w:p w14:paraId="44C5491A">
            <w:pPr>
              <w:autoSpaceDE w:val="0"/>
              <w:autoSpaceDN w:val="0"/>
              <w:adjustRightInd w:val="0"/>
              <w:jc w:val="center"/>
              <w:rPr>
                <w:color w:val="auto"/>
                <w:kern w:val="0"/>
                <w:sz w:val="21"/>
                <w:szCs w:val="21"/>
              </w:rPr>
            </w:pPr>
            <w:r>
              <w:rPr>
                <w:rFonts w:hint="eastAsia"/>
                <w:color w:val="auto"/>
                <w:kern w:val="0"/>
                <w:sz w:val="21"/>
                <w:szCs w:val="21"/>
                <w:lang w:val="en-US" w:eastAsia="zh-CN"/>
              </w:rPr>
              <w:t>供应商</w:t>
            </w:r>
            <w:r>
              <w:rPr>
                <w:color w:val="auto"/>
                <w:kern w:val="0"/>
                <w:sz w:val="21"/>
                <w:szCs w:val="21"/>
              </w:rPr>
              <w:t>名称</w:t>
            </w:r>
          </w:p>
        </w:tc>
        <w:tc>
          <w:tcPr>
            <w:tcW w:w="7604" w:type="dxa"/>
            <w:gridSpan w:val="8"/>
            <w:vAlign w:val="center"/>
          </w:tcPr>
          <w:p w14:paraId="1A3342E4">
            <w:pPr>
              <w:autoSpaceDE w:val="0"/>
              <w:autoSpaceDN w:val="0"/>
              <w:adjustRightInd w:val="0"/>
              <w:jc w:val="center"/>
              <w:rPr>
                <w:color w:val="auto"/>
                <w:kern w:val="0"/>
                <w:sz w:val="21"/>
                <w:szCs w:val="21"/>
              </w:rPr>
            </w:pPr>
          </w:p>
        </w:tc>
      </w:tr>
      <w:tr w14:paraId="6E2ACB2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529" w:hRule="atLeast"/>
          <w:jc w:val="center"/>
        </w:trPr>
        <w:tc>
          <w:tcPr>
            <w:tcW w:w="1646" w:type="dxa"/>
            <w:vAlign w:val="center"/>
          </w:tcPr>
          <w:p w14:paraId="639157F7">
            <w:pPr>
              <w:autoSpaceDE w:val="0"/>
              <w:autoSpaceDN w:val="0"/>
              <w:adjustRightInd w:val="0"/>
              <w:jc w:val="center"/>
              <w:rPr>
                <w:color w:val="auto"/>
                <w:kern w:val="0"/>
                <w:sz w:val="21"/>
                <w:szCs w:val="21"/>
              </w:rPr>
            </w:pPr>
            <w:r>
              <w:rPr>
                <w:color w:val="auto"/>
                <w:kern w:val="0"/>
                <w:sz w:val="21"/>
                <w:szCs w:val="21"/>
              </w:rPr>
              <w:t>注册地址</w:t>
            </w:r>
          </w:p>
        </w:tc>
        <w:tc>
          <w:tcPr>
            <w:tcW w:w="3846" w:type="dxa"/>
            <w:gridSpan w:val="4"/>
            <w:vAlign w:val="center"/>
          </w:tcPr>
          <w:p w14:paraId="0BFD534D">
            <w:pPr>
              <w:autoSpaceDE w:val="0"/>
              <w:autoSpaceDN w:val="0"/>
              <w:adjustRightInd w:val="0"/>
              <w:jc w:val="center"/>
              <w:rPr>
                <w:color w:val="auto"/>
                <w:kern w:val="0"/>
                <w:sz w:val="21"/>
                <w:szCs w:val="21"/>
              </w:rPr>
            </w:pPr>
          </w:p>
        </w:tc>
        <w:tc>
          <w:tcPr>
            <w:tcW w:w="1212" w:type="dxa"/>
            <w:vAlign w:val="center"/>
          </w:tcPr>
          <w:p w14:paraId="636CC3C9">
            <w:pPr>
              <w:autoSpaceDE w:val="0"/>
              <w:autoSpaceDN w:val="0"/>
              <w:adjustRightInd w:val="0"/>
              <w:jc w:val="center"/>
              <w:rPr>
                <w:color w:val="auto"/>
                <w:kern w:val="0"/>
                <w:sz w:val="21"/>
                <w:szCs w:val="21"/>
              </w:rPr>
            </w:pPr>
            <w:r>
              <w:rPr>
                <w:color w:val="auto"/>
                <w:kern w:val="0"/>
                <w:sz w:val="21"/>
                <w:szCs w:val="21"/>
              </w:rPr>
              <w:t>邮政编码</w:t>
            </w:r>
          </w:p>
        </w:tc>
        <w:tc>
          <w:tcPr>
            <w:tcW w:w="2546" w:type="dxa"/>
            <w:gridSpan w:val="3"/>
            <w:vAlign w:val="center"/>
          </w:tcPr>
          <w:p w14:paraId="42F08DFA">
            <w:pPr>
              <w:autoSpaceDE w:val="0"/>
              <w:autoSpaceDN w:val="0"/>
              <w:adjustRightInd w:val="0"/>
              <w:jc w:val="center"/>
              <w:rPr>
                <w:color w:val="auto"/>
                <w:kern w:val="0"/>
                <w:sz w:val="21"/>
                <w:szCs w:val="21"/>
              </w:rPr>
            </w:pPr>
          </w:p>
        </w:tc>
      </w:tr>
      <w:tr w14:paraId="5F6CE1A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544" w:hRule="atLeast"/>
          <w:jc w:val="center"/>
        </w:trPr>
        <w:tc>
          <w:tcPr>
            <w:tcW w:w="1646" w:type="dxa"/>
            <w:vMerge w:val="restart"/>
            <w:vAlign w:val="center"/>
          </w:tcPr>
          <w:p w14:paraId="36CE98BB">
            <w:pPr>
              <w:autoSpaceDE w:val="0"/>
              <w:autoSpaceDN w:val="0"/>
              <w:adjustRightInd w:val="0"/>
              <w:jc w:val="center"/>
              <w:rPr>
                <w:color w:val="auto"/>
                <w:kern w:val="0"/>
                <w:sz w:val="21"/>
                <w:szCs w:val="21"/>
              </w:rPr>
            </w:pPr>
            <w:r>
              <w:rPr>
                <w:color w:val="auto"/>
                <w:kern w:val="0"/>
                <w:sz w:val="21"/>
                <w:szCs w:val="21"/>
              </w:rPr>
              <w:t>联系方式</w:t>
            </w:r>
          </w:p>
        </w:tc>
        <w:tc>
          <w:tcPr>
            <w:tcW w:w="1010" w:type="dxa"/>
            <w:vAlign w:val="center"/>
          </w:tcPr>
          <w:p w14:paraId="247D9C31">
            <w:pPr>
              <w:autoSpaceDE w:val="0"/>
              <w:autoSpaceDN w:val="0"/>
              <w:adjustRightInd w:val="0"/>
              <w:jc w:val="center"/>
              <w:rPr>
                <w:color w:val="auto"/>
                <w:kern w:val="0"/>
                <w:sz w:val="21"/>
                <w:szCs w:val="21"/>
              </w:rPr>
            </w:pPr>
            <w:r>
              <w:rPr>
                <w:color w:val="auto"/>
                <w:kern w:val="0"/>
                <w:sz w:val="21"/>
                <w:szCs w:val="21"/>
              </w:rPr>
              <w:t>联系人</w:t>
            </w:r>
          </w:p>
        </w:tc>
        <w:tc>
          <w:tcPr>
            <w:tcW w:w="2836" w:type="dxa"/>
            <w:gridSpan w:val="3"/>
            <w:vAlign w:val="center"/>
          </w:tcPr>
          <w:p w14:paraId="08288C95">
            <w:pPr>
              <w:autoSpaceDE w:val="0"/>
              <w:autoSpaceDN w:val="0"/>
              <w:adjustRightInd w:val="0"/>
              <w:jc w:val="center"/>
              <w:rPr>
                <w:color w:val="auto"/>
                <w:kern w:val="0"/>
                <w:sz w:val="21"/>
                <w:szCs w:val="21"/>
              </w:rPr>
            </w:pPr>
          </w:p>
        </w:tc>
        <w:tc>
          <w:tcPr>
            <w:tcW w:w="1212" w:type="dxa"/>
            <w:vAlign w:val="center"/>
          </w:tcPr>
          <w:p w14:paraId="75ACD27F">
            <w:pPr>
              <w:autoSpaceDE w:val="0"/>
              <w:autoSpaceDN w:val="0"/>
              <w:adjustRightInd w:val="0"/>
              <w:jc w:val="center"/>
              <w:rPr>
                <w:color w:val="auto"/>
                <w:kern w:val="0"/>
                <w:sz w:val="21"/>
                <w:szCs w:val="21"/>
              </w:rPr>
            </w:pPr>
            <w:r>
              <w:rPr>
                <w:color w:val="auto"/>
                <w:kern w:val="0"/>
                <w:sz w:val="21"/>
                <w:szCs w:val="21"/>
              </w:rPr>
              <w:t>电话</w:t>
            </w:r>
          </w:p>
        </w:tc>
        <w:tc>
          <w:tcPr>
            <w:tcW w:w="2546" w:type="dxa"/>
            <w:gridSpan w:val="3"/>
            <w:vAlign w:val="center"/>
          </w:tcPr>
          <w:p w14:paraId="63B22A6F">
            <w:pPr>
              <w:autoSpaceDE w:val="0"/>
              <w:autoSpaceDN w:val="0"/>
              <w:adjustRightInd w:val="0"/>
              <w:jc w:val="center"/>
              <w:rPr>
                <w:color w:val="auto"/>
                <w:kern w:val="0"/>
                <w:sz w:val="21"/>
                <w:szCs w:val="21"/>
              </w:rPr>
            </w:pPr>
          </w:p>
        </w:tc>
      </w:tr>
      <w:tr w14:paraId="2A9B5C4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544" w:hRule="atLeast"/>
          <w:jc w:val="center"/>
        </w:trPr>
        <w:tc>
          <w:tcPr>
            <w:tcW w:w="1646" w:type="dxa"/>
            <w:vMerge w:val="continue"/>
            <w:vAlign w:val="center"/>
          </w:tcPr>
          <w:p w14:paraId="7AAE7536">
            <w:pPr>
              <w:autoSpaceDE w:val="0"/>
              <w:autoSpaceDN w:val="0"/>
              <w:adjustRightInd w:val="0"/>
              <w:jc w:val="center"/>
              <w:rPr>
                <w:color w:val="auto"/>
                <w:kern w:val="0"/>
                <w:sz w:val="21"/>
                <w:szCs w:val="21"/>
              </w:rPr>
            </w:pPr>
          </w:p>
        </w:tc>
        <w:tc>
          <w:tcPr>
            <w:tcW w:w="1010" w:type="dxa"/>
            <w:vAlign w:val="center"/>
          </w:tcPr>
          <w:p w14:paraId="0805CBA3">
            <w:pPr>
              <w:tabs>
                <w:tab w:val="left" w:pos="540"/>
              </w:tabs>
              <w:autoSpaceDE w:val="0"/>
              <w:autoSpaceDN w:val="0"/>
              <w:adjustRightInd w:val="0"/>
              <w:jc w:val="center"/>
              <w:rPr>
                <w:color w:val="auto"/>
                <w:kern w:val="0"/>
                <w:sz w:val="21"/>
                <w:szCs w:val="21"/>
              </w:rPr>
            </w:pPr>
            <w:r>
              <w:rPr>
                <w:color w:val="auto"/>
                <w:kern w:val="0"/>
                <w:sz w:val="21"/>
                <w:szCs w:val="21"/>
              </w:rPr>
              <w:t>传真</w:t>
            </w:r>
          </w:p>
        </w:tc>
        <w:tc>
          <w:tcPr>
            <w:tcW w:w="2836" w:type="dxa"/>
            <w:gridSpan w:val="3"/>
            <w:vAlign w:val="center"/>
          </w:tcPr>
          <w:p w14:paraId="7B0B4FC9">
            <w:pPr>
              <w:autoSpaceDE w:val="0"/>
              <w:autoSpaceDN w:val="0"/>
              <w:adjustRightInd w:val="0"/>
              <w:jc w:val="center"/>
              <w:rPr>
                <w:color w:val="auto"/>
                <w:kern w:val="0"/>
                <w:sz w:val="21"/>
                <w:szCs w:val="21"/>
              </w:rPr>
            </w:pPr>
          </w:p>
        </w:tc>
        <w:tc>
          <w:tcPr>
            <w:tcW w:w="1212" w:type="dxa"/>
            <w:vAlign w:val="center"/>
          </w:tcPr>
          <w:p w14:paraId="57743236">
            <w:pPr>
              <w:autoSpaceDE w:val="0"/>
              <w:autoSpaceDN w:val="0"/>
              <w:adjustRightInd w:val="0"/>
              <w:jc w:val="center"/>
              <w:rPr>
                <w:color w:val="auto"/>
                <w:kern w:val="0"/>
                <w:sz w:val="21"/>
                <w:szCs w:val="21"/>
              </w:rPr>
            </w:pPr>
            <w:r>
              <w:rPr>
                <w:color w:val="auto"/>
                <w:kern w:val="0"/>
                <w:sz w:val="21"/>
                <w:szCs w:val="21"/>
              </w:rPr>
              <w:t>电子邮件</w:t>
            </w:r>
          </w:p>
        </w:tc>
        <w:tc>
          <w:tcPr>
            <w:tcW w:w="2546" w:type="dxa"/>
            <w:gridSpan w:val="3"/>
            <w:vAlign w:val="center"/>
          </w:tcPr>
          <w:p w14:paraId="3631B96B">
            <w:pPr>
              <w:autoSpaceDE w:val="0"/>
              <w:autoSpaceDN w:val="0"/>
              <w:adjustRightInd w:val="0"/>
              <w:jc w:val="center"/>
              <w:rPr>
                <w:color w:val="auto"/>
                <w:kern w:val="0"/>
                <w:sz w:val="21"/>
                <w:szCs w:val="21"/>
              </w:rPr>
            </w:pPr>
          </w:p>
        </w:tc>
      </w:tr>
      <w:tr w14:paraId="5E12B3F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514" w:hRule="atLeast"/>
          <w:jc w:val="center"/>
        </w:trPr>
        <w:tc>
          <w:tcPr>
            <w:tcW w:w="1646" w:type="dxa"/>
            <w:vAlign w:val="center"/>
          </w:tcPr>
          <w:p w14:paraId="0526CC21">
            <w:pPr>
              <w:autoSpaceDE w:val="0"/>
              <w:autoSpaceDN w:val="0"/>
              <w:adjustRightInd w:val="0"/>
              <w:jc w:val="center"/>
              <w:rPr>
                <w:color w:val="auto"/>
                <w:kern w:val="0"/>
                <w:sz w:val="21"/>
                <w:szCs w:val="21"/>
              </w:rPr>
            </w:pPr>
            <w:r>
              <w:rPr>
                <w:color w:val="auto"/>
                <w:kern w:val="0"/>
                <w:sz w:val="21"/>
                <w:szCs w:val="21"/>
              </w:rPr>
              <w:t>法定代表人</w:t>
            </w:r>
          </w:p>
        </w:tc>
        <w:tc>
          <w:tcPr>
            <w:tcW w:w="1010" w:type="dxa"/>
            <w:vAlign w:val="center"/>
          </w:tcPr>
          <w:p w14:paraId="120C31F2">
            <w:pPr>
              <w:autoSpaceDE w:val="0"/>
              <w:autoSpaceDN w:val="0"/>
              <w:adjustRightInd w:val="0"/>
              <w:jc w:val="center"/>
              <w:rPr>
                <w:color w:val="auto"/>
                <w:kern w:val="0"/>
                <w:sz w:val="21"/>
                <w:szCs w:val="21"/>
              </w:rPr>
            </w:pPr>
            <w:r>
              <w:rPr>
                <w:color w:val="auto"/>
                <w:kern w:val="0"/>
                <w:sz w:val="21"/>
                <w:szCs w:val="21"/>
              </w:rPr>
              <w:t>姓名</w:t>
            </w:r>
          </w:p>
        </w:tc>
        <w:tc>
          <w:tcPr>
            <w:tcW w:w="1070" w:type="dxa"/>
            <w:vAlign w:val="center"/>
          </w:tcPr>
          <w:p w14:paraId="1E94EC50">
            <w:pPr>
              <w:autoSpaceDE w:val="0"/>
              <w:autoSpaceDN w:val="0"/>
              <w:adjustRightInd w:val="0"/>
              <w:jc w:val="center"/>
              <w:rPr>
                <w:color w:val="auto"/>
                <w:kern w:val="0"/>
                <w:sz w:val="21"/>
                <w:szCs w:val="21"/>
              </w:rPr>
            </w:pPr>
          </w:p>
        </w:tc>
        <w:tc>
          <w:tcPr>
            <w:tcW w:w="1416" w:type="dxa"/>
            <w:vAlign w:val="center"/>
          </w:tcPr>
          <w:p w14:paraId="7D4F8BBD">
            <w:pPr>
              <w:autoSpaceDE w:val="0"/>
              <w:autoSpaceDN w:val="0"/>
              <w:adjustRightInd w:val="0"/>
              <w:jc w:val="center"/>
              <w:rPr>
                <w:color w:val="auto"/>
                <w:kern w:val="0"/>
                <w:sz w:val="21"/>
                <w:szCs w:val="21"/>
              </w:rPr>
            </w:pPr>
            <w:r>
              <w:rPr>
                <w:color w:val="auto"/>
                <w:kern w:val="0"/>
                <w:sz w:val="21"/>
                <w:szCs w:val="21"/>
              </w:rPr>
              <w:t>技术职称</w:t>
            </w:r>
          </w:p>
        </w:tc>
        <w:tc>
          <w:tcPr>
            <w:tcW w:w="2026" w:type="dxa"/>
            <w:gridSpan w:val="3"/>
            <w:vAlign w:val="center"/>
          </w:tcPr>
          <w:p w14:paraId="0EA64426">
            <w:pPr>
              <w:autoSpaceDE w:val="0"/>
              <w:autoSpaceDN w:val="0"/>
              <w:adjustRightInd w:val="0"/>
              <w:jc w:val="center"/>
              <w:rPr>
                <w:color w:val="auto"/>
                <w:kern w:val="0"/>
                <w:sz w:val="21"/>
                <w:szCs w:val="21"/>
              </w:rPr>
            </w:pPr>
          </w:p>
        </w:tc>
        <w:tc>
          <w:tcPr>
            <w:tcW w:w="966" w:type="dxa"/>
            <w:vAlign w:val="center"/>
          </w:tcPr>
          <w:p w14:paraId="514BF463">
            <w:pPr>
              <w:autoSpaceDE w:val="0"/>
              <w:autoSpaceDN w:val="0"/>
              <w:adjustRightInd w:val="0"/>
              <w:jc w:val="center"/>
              <w:rPr>
                <w:color w:val="auto"/>
                <w:kern w:val="0"/>
                <w:sz w:val="21"/>
                <w:szCs w:val="21"/>
              </w:rPr>
            </w:pPr>
            <w:r>
              <w:rPr>
                <w:color w:val="auto"/>
                <w:kern w:val="0"/>
                <w:sz w:val="21"/>
                <w:szCs w:val="21"/>
              </w:rPr>
              <w:t>电话</w:t>
            </w:r>
          </w:p>
        </w:tc>
        <w:tc>
          <w:tcPr>
            <w:tcW w:w="1116" w:type="dxa"/>
            <w:vAlign w:val="center"/>
          </w:tcPr>
          <w:p w14:paraId="1B8E0992">
            <w:pPr>
              <w:autoSpaceDE w:val="0"/>
              <w:autoSpaceDN w:val="0"/>
              <w:adjustRightInd w:val="0"/>
              <w:jc w:val="center"/>
              <w:rPr>
                <w:color w:val="auto"/>
                <w:kern w:val="0"/>
                <w:sz w:val="21"/>
                <w:szCs w:val="21"/>
              </w:rPr>
            </w:pPr>
          </w:p>
        </w:tc>
      </w:tr>
      <w:tr w14:paraId="21935B8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544" w:hRule="atLeast"/>
          <w:jc w:val="center"/>
        </w:trPr>
        <w:tc>
          <w:tcPr>
            <w:tcW w:w="1646" w:type="dxa"/>
            <w:vAlign w:val="center"/>
          </w:tcPr>
          <w:p w14:paraId="63999831">
            <w:pPr>
              <w:autoSpaceDE w:val="0"/>
              <w:autoSpaceDN w:val="0"/>
              <w:adjustRightInd w:val="0"/>
              <w:jc w:val="center"/>
              <w:rPr>
                <w:color w:val="auto"/>
                <w:kern w:val="0"/>
                <w:sz w:val="21"/>
                <w:szCs w:val="21"/>
              </w:rPr>
            </w:pPr>
            <w:r>
              <w:rPr>
                <w:color w:val="auto"/>
                <w:kern w:val="0"/>
                <w:sz w:val="21"/>
                <w:szCs w:val="21"/>
              </w:rPr>
              <w:t>技术负责人</w:t>
            </w:r>
          </w:p>
        </w:tc>
        <w:tc>
          <w:tcPr>
            <w:tcW w:w="1010" w:type="dxa"/>
            <w:vAlign w:val="center"/>
          </w:tcPr>
          <w:p w14:paraId="135812E4">
            <w:pPr>
              <w:autoSpaceDE w:val="0"/>
              <w:autoSpaceDN w:val="0"/>
              <w:adjustRightInd w:val="0"/>
              <w:jc w:val="center"/>
              <w:rPr>
                <w:color w:val="auto"/>
                <w:kern w:val="0"/>
                <w:sz w:val="21"/>
                <w:szCs w:val="21"/>
              </w:rPr>
            </w:pPr>
            <w:r>
              <w:rPr>
                <w:color w:val="auto"/>
                <w:kern w:val="0"/>
                <w:sz w:val="21"/>
                <w:szCs w:val="21"/>
              </w:rPr>
              <w:t>姓名</w:t>
            </w:r>
          </w:p>
        </w:tc>
        <w:tc>
          <w:tcPr>
            <w:tcW w:w="1070" w:type="dxa"/>
            <w:vAlign w:val="center"/>
          </w:tcPr>
          <w:p w14:paraId="4D0B1A95">
            <w:pPr>
              <w:autoSpaceDE w:val="0"/>
              <w:autoSpaceDN w:val="0"/>
              <w:adjustRightInd w:val="0"/>
              <w:jc w:val="center"/>
              <w:rPr>
                <w:color w:val="auto"/>
                <w:kern w:val="0"/>
                <w:sz w:val="21"/>
                <w:szCs w:val="21"/>
              </w:rPr>
            </w:pPr>
          </w:p>
        </w:tc>
        <w:tc>
          <w:tcPr>
            <w:tcW w:w="1416" w:type="dxa"/>
            <w:vAlign w:val="center"/>
          </w:tcPr>
          <w:p w14:paraId="415B5C32">
            <w:pPr>
              <w:autoSpaceDE w:val="0"/>
              <w:autoSpaceDN w:val="0"/>
              <w:adjustRightInd w:val="0"/>
              <w:jc w:val="center"/>
              <w:rPr>
                <w:color w:val="auto"/>
                <w:kern w:val="0"/>
                <w:sz w:val="21"/>
                <w:szCs w:val="21"/>
              </w:rPr>
            </w:pPr>
            <w:r>
              <w:rPr>
                <w:color w:val="auto"/>
                <w:kern w:val="0"/>
                <w:sz w:val="21"/>
                <w:szCs w:val="21"/>
              </w:rPr>
              <w:t>技术职称</w:t>
            </w:r>
          </w:p>
        </w:tc>
        <w:tc>
          <w:tcPr>
            <w:tcW w:w="2026" w:type="dxa"/>
            <w:gridSpan w:val="3"/>
            <w:vAlign w:val="center"/>
          </w:tcPr>
          <w:p w14:paraId="4BE7B50D">
            <w:pPr>
              <w:autoSpaceDE w:val="0"/>
              <w:autoSpaceDN w:val="0"/>
              <w:adjustRightInd w:val="0"/>
              <w:jc w:val="center"/>
              <w:rPr>
                <w:color w:val="auto"/>
                <w:kern w:val="0"/>
                <w:sz w:val="21"/>
                <w:szCs w:val="21"/>
              </w:rPr>
            </w:pPr>
          </w:p>
        </w:tc>
        <w:tc>
          <w:tcPr>
            <w:tcW w:w="966" w:type="dxa"/>
            <w:vAlign w:val="center"/>
          </w:tcPr>
          <w:p w14:paraId="1DF33591">
            <w:pPr>
              <w:autoSpaceDE w:val="0"/>
              <w:autoSpaceDN w:val="0"/>
              <w:adjustRightInd w:val="0"/>
              <w:jc w:val="center"/>
              <w:rPr>
                <w:color w:val="auto"/>
                <w:kern w:val="0"/>
                <w:sz w:val="21"/>
                <w:szCs w:val="21"/>
              </w:rPr>
            </w:pPr>
            <w:r>
              <w:rPr>
                <w:color w:val="auto"/>
                <w:kern w:val="0"/>
                <w:sz w:val="21"/>
                <w:szCs w:val="21"/>
              </w:rPr>
              <w:t>电话</w:t>
            </w:r>
          </w:p>
        </w:tc>
        <w:tc>
          <w:tcPr>
            <w:tcW w:w="1116" w:type="dxa"/>
            <w:vAlign w:val="center"/>
          </w:tcPr>
          <w:p w14:paraId="37322C7E">
            <w:pPr>
              <w:autoSpaceDE w:val="0"/>
              <w:autoSpaceDN w:val="0"/>
              <w:adjustRightInd w:val="0"/>
              <w:jc w:val="center"/>
              <w:rPr>
                <w:color w:val="auto"/>
                <w:kern w:val="0"/>
                <w:sz w:val="21"/>
                <w:szCs w:val="21"/>
              </w:rPr>
            </w:pPr>
          </w:p>
        </w:tc>
      </w:tr>
      <w:tr w14:paraId="0119661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559" w:hRule="atLeast"/>
          <w:jc w:val="center"/>
        </w:trPr>
        <w:tc>
          <w:tcPr>
            <w:tcW w:w="1646" w:type="dxa"/>
            <w:vAlign w:val="center"/>
          </w:tcPr>
          <w:p w14:paraId="08CD016F">
            <w:pPr>
              <w:autoSpaceDE w:val="0"/>
              <w:autoSpaceDN w:val="0"/>
              <w:adjustRightInd w:val="0"/>
              <w:jc w:val="center"/>
              <w:rPr>
                <w:color w:val="auto"/>
                <w:kern w:val="0"/>
                <w:sz w:val="21"/>
                <w:szCs w:val="21"/>
              </w:rPr>
            </w:pPr>
            <w:r>
              <w:rPr>
                <w:color w:val="auto"/>
                <w:kern w:val="0"/>
                <w:sz w:val="21"/>
                <w:szCs w:val="21"/>
              </w:rPr>
              <w:t>成立时间</w:t>
            </w:r>
          </w:p>
        </w:tc>
        <w:tc>
          <w:tcPr>
            <w:tcW w:w="2080" w:type="dxa"/>
            <w:gridSpan w:val="2"/>
            <w:vAlign w:val="center"/>
          </w:tcPr>
          <w:p w14:paraId="5B181B08">
            <w:pPr>
              <w:autoSpaceDE w:val="0"/>
              <w:autoSpaceDN w:val="0"/>
              <w:adjustRightInd w:val="0"/>
              <w:jc w:val="center"/>
              <w:rPr>
                <w:color w:val="auto"/>
                <w:kern w:val="0"/>
                <w:sz w:val="21"/>
                <w:szCs w:val="21"/>
              </w:rPr>
            </w:pPr>
          </w:p>
        </w:tc>
        <w:tc>
          <w:tcPr>
            <w:tcW w:w="5524" w:type="dxa"/>
            <w:gridSpan w:val="6"/>
            <w:vAlign w:val="center"/>
          </w:tcPr>
          <w:p w14:paraId="6378632C">
            <w:pPr>
              <w:autoSpaceDE w:val="0"/>
              <w:autoSpaceDN w:val="0"/>
              <w:adjustRightInd w:val="0"/>
              <w:ind w:left="105" w:leftChars="50"/>
              <w:jc w:val="center"/>
              <w:rPr>
                <w:color w:val="auto"/>
                <w:kern w:val="0"/>
                <w:sz w:val="21"/>
                <w:szCs w:val="21"/>
                <w:u w:val="single"/>
              </w:rPr>
            </w:pPr>
            <w:r>
              <w:rPr>
                <w:color w:val="auto"/>
                <w:kern w:val="0"/>
                <w:sz w:val="21"/>
                <w:szCs w:val="21"/>
              </w:rPr>
              <w:t>员工总人数：</w:t>
            </w:r>
          </w:p>
        </w:tc>
      </w:tr>
      <w:tr w14:paraId="636D30F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574" w:hRule="atLeast"/>
          <w:jc w:val="center"/>
        </w:trPr>
        <w:tc>
          <w:tcPr>
            <w:tcW w:w="1646" w:type="dxa"/>
            <w:vAlign w:val="center"/>
          </w:tcPr>
          <w:p w14:paraId="488CCC63">
            <w:pPr>
              <w:autoSpaceDE w:val="0"/>
              <w:autoSpaceDN w:val="0"/>
              <w:adjustRightInd w:val="0"/>
              <w:jc w:val="center"/>
              <w:rPr>
                <w:color w:val="auto"/>
                <w:kern w:val="0"/>
                <w:sz w:val="21"/>
                <w:szCs w:val="21"/>
              </w:rPr>
            </w:pPr>
            <w:r>
              <w:rPr>
                <w:color w:val="auto"/>
                <w:kern w:val="0"/>
                <w:sz w:val="21"/>
                <w:szCs w:val="21"/>
              </w:rPr>
              <w:t>企业资质等级</w:t>
            </w:r>
          </w:p>
        </w:tc>
        <w:tc>
          <w:tcPr>
            <w:tcW w:w="2080" w:type="dxa"/>
            <w:gridSpan w:val="2"/>
            <w:vAlign w:val="center"/>
          </w:tcPr>
          <w:p w14:paraId="3B2A0768">
            <w:pPr>
              <w:autoSpaceDE w:val="0"/>
              <w:autoSpaceDN w:val="0"/>
              <w:adjustRightInd w:val="0"/>
              <w:jc w:val="center"/>
              <w:rPr>
                <w:color w:val="auto"/>
                <w:kern w:val="0"/>
                <w:sz w:val="21"/>
                <w:szCs w:val="21"/>
              </w:rPr>
            </w:pPr>
          </w:p>
        </w:tc>
        <w:tc>
          <w:tcPr>
            <w:tcW w:w="1416" w:type="dxa"/>
            <w:vMerge w:val="restart"/>
            <w:vAlign w:val="center"/>
          </w:tcPr>
          <w:p w14:paraId="5F657732">
            <w:pPr>
              <w:autoSpaceDE w:val="0"/>
              <w:autoSpaceDN w:val="0"/>
              <w:adjustRightInd w:val="0"/>
              <w:jc w:val="center"/>
              <w:rPr>
                <w:color w:val="auto"/>
                <w:kern w:val="0"/>
                <w:sz w:val="21"/>
                <w:szCs w:val="21"/>
              </w:rPr>
            </w:pPr>
            <w:r>
              <w:rPr>
                <w:color w:val="auto"/>
                <w:kern w:val="0"/>
                <w:sz w:val="21"/>
                <w:szCs w:val="21"/>
              </w:rPr>
              <w:t>其中</w:t>
            </w:r>
          </w:p>
        </w:tc>
        <w:tc>
          <w:tcPr>
            <w:tcW w:w="2026" w:type="dxa"/>
            <w:gridSpan w:val="3"/>
            <w:vAlign w:val="center"/>
          </w:tcPr>
          <w:p w14:paraId="01554BBC">
            <w:pPr>
              <w:autoSpaceDE w:val="0"/>
              <w:autoSpaceDN w:val="0"/>
              <w:adjustRightInd w:val="0"/>
              <w:jc w:val="center"/>
              <w:rPr>
                <w:color w:val="auto"/>
                <w:kern w:val="0"/>
                <w:sz w:val="21"/>
                <w:szCs w:val="21"/>
              </w:rPr>
            </w:pPr>
            <w:r>
              <w:rPr>
                <w:color w:val="auto"/>
                <w:kern w:val="0"/>
                <w:sz w:val="21"/>
                <w:szCs w:val="21"/>
              </w:rPr>
              <w:t>项目经理</w:t>
            </w:r>
          </w:p>
        </w:tc>
        <w:tc>
          <w:tcPr>
            <w:tcW w:w="2082" w:type="dxa"/>
            <w:gridSpan w:val="2"/>
            <w:vAlign w:val="center"/>
          </w:tcPr>
          <w:p w14:paraId="371CECC1">
            <w:pPr>
              <w:autoSpaceDE w:val="0"/>
              <w:autoSpaceDN w:val="0"/>
              <w:adjustRightInd w:val="0"/>
              <w:jc w:val="center"/>
              <w:rPr>
                <w:color w:val="auto"/>
                <w:kern w:val="0"/>
                <w:sz w:val="21"/>
                <w:szCs w:val="21"/>
              </w:rPr>
            </w:pPr>
          </w:p>
        </w:tc>
      </w:tr>
      <w:tr w14:paraId="2DC6107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544" w:hRule="atLeast"/>
          <w:jc w:val="center"/>
        </w:trPr>
        <w:tc>
          <w:tcPr>
            <w:tcW w:w="1646" w:type="dxa"/>
            <w:vAlign w:val="center"/>
          </w:tcPr>
          <w:p w14:paraId="17A21FD9">
            <w:pPr>
              <w:autoSpaceDE w:val="0"/>
              <w:autoSpaceDN w:val="0"/>
              <w:adjustRightInd w:val="0"/>
              <w:jc w:val="center"/>
              <w:rPr>
                <w:color w:val="auto"/>
                <w:kern w:val="0"/>
                <w:sz w:val="21"/>
                <w:szCs w:val="21"/>
              </w:rPr>
            </w:pPr>
            <w:r>
              <w:rPr>
                <w:color w:val="auto"/>
                <w:kern w:val="0"/>
                <w:sz w:val="21"/>
                <w:szCs w:val="21"/>
              </w:rPr>
              <w:t>营业执照号</w:t>
            </w:r>
          </w:p>
        </w:tc>
        <w:tc>
          <w:tcPr>
            <w:tcW w:w="2080" w:type="dxa"/>
            <w:gridSpan w:val="2"/>
            <w:vAlign w:val="center"/>
          </w:tcPr>
          <w:p w14:paraId="657773E7">
            <w:pPr>
              <w:autoSpaceDE w:val="0"/>
              <w:autoSpaceDN w:val="0"/>
              <w:adjustRightInd w:val="0"/>
              <w:jc w:val="center"/>
              <w:rPr>
                <w:color w:val="auto"/>
                <w:kern w:val="0"/>
                <w:sz w:val="21"/>
                <w:szCs w:val="21"/>
              </w:rPr>
            </w:pPr>
          </w:p>
        </w:tc>
        <w:tc>
          <w:tcPr>
            <w:tcW w:w="1416" w:type="dxa"/>
            <w:vMerge w:val="continue"/>
            <w:vAlign w:val="center"/>
          </w:tcPr>
          <w:p w14:paraId="534787BC">
            <w:pPr>
              <w:autoSpaceDE w:val="0"/>
              <w:autoSpaceDN w:val="0"/>
              <w:adjustRightInd w:val="0"/>
              <w:jc w:val="center"/>
              <w:rPr>
                <w:color w:val="auto"/>
                <w:kern w:val="0"/>
                <w:sz w:val="21"/>
                <w:szCs w:val="21"/>
              </w:rPr>
            </w:pPr>
          </w:p>
        </w:tc>
        <w:tc>
          <w:tcPr>
            <w:tcW w:w="2026" w:type="dxa"/>
            <w:gridSpan w:val="3"/>
            <w:vAlign w:val="center"/>
          </w:tcPr>
          <w:p w14:paraId="368291F9">
            <w:pPr>
              <w:autoSpaceDE w:val="0"/>
              <w:autoSpaceDN w:val="0"/>
              <w:adjustRightInd w:val="0"/>
              <w:jc w:val="center"/>
              <w:rPr>
                <w:color w:val="auto"/>
                <w:kern w:val="0"/>
                <w:sz w:val="21"/>
                <w:szCs w:val="21"/>
              </w:rPr>
            </w:pPr>
            <w:r>
              <w:rPr>
                <w:color w:val="auto"/>
                <w:kern w:val="0"/>
                <w:sz w:val="21"/>
                <w:szCs w:val="21"/>
              </w:rPr>
              <w:t>高级职称人员</w:t>
            </w:r>
          </w:p>
        </w:tc>
        <w:tc>
          <w:tcPr>
            <w:tcW w:w="2082" w:type="dxa"/>
            <w:gridSpan w:val="2"/>
            <w:vAlign w:val="center"/>
          </w:tcPr>
          <w:p w14:paraId="1E20A3A4">
            <w:pPr>
              <w:autoSpaceDE w:val="0"/>
              <w:autoSpaceDN w:val="0"/>
              <w:adjustRightInd w:val="0"/>
              <w:jc w:val="center"/>
              <w:rPr>
                <w:color w:val="auto"/>
                <w:kern w:val="0"/>
                <w:sz w:val="21"/>
                <w:szCs w:val="21"/>
              </w:rPr>
            </w:pPr>
          </w:p>
        </w:tc>
      </w:tr>
      <w:tr w14:paraId="3456ED8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559" w:hRule="atLeast"/>
          <w:jc w:val="center"/>
        </w:trPr>
        <w:tc>
          <w:tcPr>
            <w:tcW w:w="1646" w:type="dxa"/>
            <w:vAlign w:val="center"/>
          </w:tcPr>
          <w:p w14:paraId="3DE60227">
            <w:pPr>
              <w:autoSpaceDE w:val="0"/>
              <w:autoSpaceDN w:val="0"/>
              <w:adjustRightInd w:val="0"/>
              <w:jc w:val="center"/>
              <w:rPr>
                <w:color w:val="auto"/>
                <w:kern w:val="0"/>
                <w:sz w:val="21"/>
                <w:szCs w:val="21"/>
              </w:rPr>
            </w:pPr>
            <w:r>
              <w:rPr>
                <w:color w:val="auto"/>
                <w:kern w:val="0"/>
                <w:sz w:val="21"/>
                <w:szCs w:val="21"/>
              </w:rPr>
              <w:t>注册资金</w:t>
            </w:r>
          </w:p>
        </w:tc>
        <w:tc>
          <w:tcPr>
            <w:tcW w:w="2080" w:type="dxa"/>
            <w:gridSpan w:val="2"/>
            <w:vAlign w:val="center"/>
          </w:tcPr>
          <w:p w14:paraId="71633758">
            <w:pPr>
              <w:autoSpaceDE w:val="0"/>
              <w:autoSpaceDN w:val="0"/>
              <w:adjustRightInd w:val="0"/>
              <w:jc w:val="center"/>
              <w:rPr>
                <w:color w:val="auto"/>
                <w:kern w:val="0"/>
                <w:sz w:val="21"/>
                <w:szCs w:val="21"/>
              </w:rPr>
            </w:pPr>
          </w:p>
        </w:tc>
        <w:tc>
          <w:tcPr>
            <w:tcW w:w="1416" w:type="dxa"/>
            <w:vMerge w:val="continue"/>
            <w:vAlign w:val="center"/>
          </w:tcPr>
          <w:p w14:paraId="2F1FFA05">
            <w:pPr>
              <w:autoSpaceDE w:val="0"/>
              <w:autoSpaceDN w:val="0"/>
              <w:adjustRightInd w:val="0"/>
              <w:jc w:val="center"/>
              <w:rPr>
                <w:color w:val="auto"/>
                <w:kern w:val="0"/>
                <w:sz w:val="21"/>
                <w:szCs w:val="21"/>
              </w:rPr>
            </w:pPr>
          </w:p>
        </w:tc>
        <w:tc>
          <w:tcPr>
            <w:tcW w:w="2026" w:type="dxa"/>
            <w:gridSpan w:val="3"/>
            <w:vAlign w:val="center"/>
          </w:tcPr>
          <w:p w14:paraId="0EEAC2AC">
            <w:pPr>
              <w:autoSpaceDE w:val="0"/>
              <w:autoSpaceDN w:val="0"/>
              <w:adjustRightInd w:val="0"/>
              <w:jc w:val="center"/>
              <w:rPr>
                <w:color w:val="auto"/>
                <w:kern w:val="0"/>
                <w:sz w:val="21"/>
                <w:szCs w:val="21"/>
              </w:rPr>
            </w:pPr>
            <w:r>
              <w:rPr>
                <w:color w:val="auto"/>
                <w:kern w:val="0"/>
                <w:sz w:val="21"/>
                <w:szCs w:val="21"/>
              </w:rPr>
              <w:t>中级职称人员</w:t>
            </w:r>
          </w:p>
        </w:tc>
        <w:tc>
          <w:tcPr>
            <w:tcW w:w="2082" w:type="dxa"/>
            <w:gridSpan w:val="2"/>
            <w:vAlign w:val="center"/>
          </w:tcPr>
          <w:p w14:paraId="0F1CE99C">
            <w:pPr>
              <w:autoSpaceDE w:val="0"/>
              <w:autoSpaceDN w:val="0"/>
              <w:adjustRightInd w:val="0"/>
              <w:jc w:val="center"/>
              <w:rPr>
                <w:color w:val="auto"/>
                <w:kern w:val="0"/>
                <w:sz w:val="21"/>
                <w:szCs w:val="21"/>
              </w:rPr>
            </w:pPr>
          </w:p>
        </w:tc>
      </w:tr>
      <w:tr w14:paraId="28414E9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574" w:hRule="atLeast"/>
          <w:jc w:val="center"/>
        </w:trPr>
        <w:tc>
          <w:tcPr>
            <w:tcW w:w="1646" w:type="dxa"/>
            <w:vAlign w:val="center"/>
          </w:tcPr>
          <w:p w14:paraId="0976FCB6">
            <w:pPr>
              <w:autoSpaceDE w:val="0"/>
              <w:autoSpaceDN w:val="0"/>
              <w:adjustRightInd w:val="0"/>
              <w:jc w:val="center"/>
              <w:rPr>
                <w:color w:val="auto"/>
                <w:kern w:val="0"/>
                <w:sz w:val="21"/>
                <w:szCs w:val="21"/>
              </w:rPr>
            </w:pPr>
            <w:r>
              <w:rPr>
                <w:color w:val="auto"/>
                <w:kern w:val="0"/>
                <w:sz w:val="21"/>
                <w:szCs w:val="21"/>
              </w:rPr>
              <w:t>基本账户开户银行</w:t>
            </w:r>
          </w:p>
        </w:tc>
        <w:tc>
          <w:tcPr>
            <w:tcW w:w="2080" w:type="dxa"/>
            <w:gridSpan w:val="2"/>
            <w:vAlign w:val="center"/>
          </w:tcPr>
          <w:p w14:paraId="0FC79F6A">
            <w:pPr>
              <w:autoSpaceDE w:val="0"/>
              <w:autoSpaceDN w:val="0"/>
              <w:adjustRightInd w:val="0"/>
              <w:jc w:val="center"/>
              <w:rPr>
                <w:color w:val="auto"/>
                <w:kern w:val="0"/>
                <w:sz w:val="21"/>
                <w:szCs w:val="21"/>
              </w:rPr>
            </w:pPr>
          </w:p>
        </w:tc>
        <w:tc>
          <w:tcPr>
            <w:tcW w:w="1416" w:type="dxa"/>
            <w:vMerge w:val="continue"/>
            <w:vAlign w:val="center"/>
          </w:tcPr>
          <w:p w14:paraId="78963AC8">
            <w:pPr>
              <w:autoSpaceDE w:val="0"/>
              <w:autoSpaceDN w:val="0"/>
              <w:adjustRightInd w:val="0"/>
              <w:jc w:val="center"/>
              <w:rPr>
                <w:color w:val="auto"/>
                <w:kern w:val="0"/>
                <w:sz w:val="21"/>
                <w:szCs w:val="21"/>
              </w:rPr>
            </w:pPr>
          </w:p>
        </w:tc>
        <w:tc>
          <w:tcPr>
            <w:tcW w:w="2026" w:type="dxa"/>
            <w:gridSpan w:val="3"/>
            <w:vAlign w:val="center"/>
          </w:tcPr>
          <w:p w14:paraId="6E31F824">
            <w:pPr>
              <w:autoSpaceDE w:val="0"/>
              <w:autoSpaceDN w:val="0"/>
              <w:adjustRightInd w:val="0"/>
              <w:jc w:val="center"/>
              <w:rPr>
                <w:color w:val="auto"/>
                <w:kern w:val="0"/>
                <w:sz w:val="21"/>
                <w:szCs w:val="21"/>
              </w:rPr>
            </w:pPr>
            <w:r>
              <w:rPr>
                <w:color w:val="auto"/>
                <w:kern w:val="0"/>
                <w:sz w:val="21"/>
                <w:szCs w:val="21"/>
              </w:rPr>
              <w:t>初级职称人员</w:t>
            </w:r>
          </w:p>
        </w:tc>
        <w:tc>
          <w:tcPr>
            <w:tcW w:w="2082" w:type="dxa"/>
            <w:gridSpan w:val="2"/>
            <w:vAlign w:val="center"/>
          </w:tcPr>
          <w:p w14:paraId="217966FD">
            <w:pPr>
              <w:autoSpaceDE w:val="0"/>
              <w:autoSpaceDN w:val="0"/>
              <w:adjustRightInd w:val="0"/>
              <w:jc w:val="center"/>
              <w:rPr>
                <w:color w:val="auto"/>
                <w:kern w:val="0"/>
                <w:sz w:val="21"/>
                <w:szCs w:val="21"/>
              </w:rPr>
            </w:pPr>
          </w:p>
        </w:tc>
      </w:tr>
      <w:tr w14:paraId="078949F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679" w:hRule="atLeast"/>
          <w:jc w:val="center"/>
        </w:trPr>
        <w:tc>
          <w:tcPr>
            <w:tcW w:w="1646" w:type="dxa"/>
            <w:vAlign w:val="center"/>
          </w:tcPr>
          <w:p w14:paraId="0821E312">
            <w:pPr>
              <w:autoSpaceDE w:val="0"/>
              <w:autoSpaceDN w:val="0"/>
              <w:adjustRightInd w:val="0"/>
              <w:jc w:val="center"/>
              <w:rPr>
                <w:color w:val="auto"/>
                <w:kern w:val="0"/>
                <w:sz w:val="21"/>
                <w:szCs w:val="21"/>
              </w:rPr>
            </w:pPr>
            <w:r>
              <w:rPr>
                <w:color w:val="auto"/>
                <w:kern w:val="0"/>
                <w:sz w:val="21"/>
                <w:szCs w:val="21"/>
              </w:rPr>
              <w:t>基本账户账号</w:t>
            </w:r>
          </w:p>
        </w:tc>
        <w:tc>
          <w:tcPr>
            <w:tcW w:w="2080" w:type="dxa"/>
            <w:gridSpan w:val="2"/>
            <w:vAlign w:val="center"/>
          </w:tcPr>
          <w:p w14:paraId="019485F1">
            <w:pPr>
              <w:autoSpaceDE w:val="0"/>
              <w:autoSpaceDN w:val="0"/>
              <w:adjustRightInd w:val="0"/>
              <w:jc w:val="center"/>
              <w:rPr>
                <w:color w:val="auto"/>
                <w:kern w:val="0"/>
                <w:sz w:val="21"/>
                <w:szCs w:val="21"/>
              </w:rPr>
            </w:pPr>
          </w:p>
        </w:tc>
        <w:tc>
          <w:tcPr>
            <w:tcW w:w="1416" w:type="dxa"/>
            <w:vMerge w:val="continue"/>
            <w:vAlign w:val="center"/>
          </w:tcPr>
          <w:p w14:paraId="3934C899">
            <w:pPr>
              <w:autoSpaceDE w:val="0"/>
              <w:autoSpaceDN w:val="0"/>
              <w:adjustRightInd w:val="0"/>
              <w:jc w:val="center"/>
              <w:rPr>
                <w:color w:val="auto"/>
                <w:kern w:val="0"/>
                <w:sz w:val="21"/>
                <w:szCs w:val="21"/>
              </w:rPr>
            </w:pPr>
          </w:p>
        </w:tc>
        <w:tc>
          <w:tcPr>
            <w:tcW w:w="2026" w:type="dxa"/>
            <w:gridSpan w:val="3"/>
            <w:vAlign w:val="center"/>
          </w:tcPr>
          <w:p w14:paraId="0A73FBFE">
            <w:pPr>
              <w:tabs>
                <w:tab w:val="left" w:pos="1240"/>
              </w:tabs>
              <w:autoSpaceDE w:val="0"/>
              <w:autoSpaceDN w:val="0"/>
              <w:adjustRightInd w:val="0"/>
              <w:jc w:val="center"/>
              <w:rPr>
                <w:color w:val="auto"/>
                <w:kern w:val="0"/>
                <w:sz w:val="21"/>
                <w:szCs w:val="21"/>
              </w:rPr>
            </w:pPr>
            <w:r>
              <w:rPr>
                <w:color w:val="auto"/>
                <w:kern w:val="0"/>
                <w:sz w:val="21"/>
                <w:szCs w:val="21"/>
              </w:rPr>
              <w:t>技工</w:t>
            </w:r>
          </w:p>
        </w:tc>
        <w:tc>
          <w:tcPr>
            <w:tcW w:w="2082" w:type="dxa"/>
            <w:gridSpan w:val="2"/>
            <w:vAlign w:val="center"/>
          </w:tcPr>
          <w:p w14:paraId="35BC8D27">
            <w:pPr>
              <w:autoSpaceDE w:val="0"/>
              <w:autoSpaceDN w:val="0"/>
              <w:adjustRightInd w:val="0"/>
              <w:jc w:val="center"/>
              <w:rPr>
                <w:color w:val="auto"/>
                <w:kern w:val="0"/>
                <w:sz w:val="21"/>
                <w:szCs w:val="21"/>
              </w:rPr>
            </w:pPr>
          </w:p>
        </w:tc>
      </w:tr>
      <w:tr w14:paraId="3FB7D77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1172" w:hRule="atLeast"/>
          <w:jc w:val="center"/>
        </w:trPr>
        <w:tc>
          <w:tcPr>
            <w:tcW w:w="1646" w:type="dxa"/>
            <w:vAlign w:val="center"/>
          </w:tcPr>
          <w:p w14:paraId="1F09A39C">
            <w:pPr>
              <w:autoSpaceDE w:val="0"/>
              <w:autoSpaceDN w:val="0"/>
              <w:adjustRightInd w:val="0"/>
              <w:jc w:val="center"/>
              <w:rPr>
                <w:color w:val="auto"/>
                <w:kern w:val="0"/>
                <w:sz w:val="21"/>
                <w:szCs w:val="21"/>
              </w:rPr>
            </w:pPr>
            <w:r>
              <w:rPr>
                <w:color w:val="auto"/>
                <w:kern w:val="0"/>
                <w:sz w:val="21"/>
                <w:szCs w:val="21"/>
              </w:rPr>
              <w:t>经营范围</w:t>
            </w:r>
          </w:p>
        </w:tc>
        <w:tc>
          <w:tcPr>
            <w:tcW w:w="7604" w:type="dxa"/>
            <w:gridSpan w:val="8"/>
            <w:vAlign w:val="center"/>
          </w:tcPr>
          <w:p w14:paraId="48D12F2F">
            <w:pPr>
              <w:autoSpaceDE w:val="0"/>
              <w:autoSpaceDN w:val="0"/>
              <w:adjustRightInd w:val="0"/>
              <w:jc w:val="center"/>
              <w:rPr>
                <w:color w:val="auto"/>
                <w:kern w:val="0"/>
                <w:sz w:val="21"/>
                <w:szCs w:val="21"/>
              </w:rPr>
            </w:pPr>
          </w:p>
        </w:tc>
      </w:tr>
      <w:tr w14:paraId="63E0B20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1172" w:hRule="atLeast"/>
          <w:jc w:val="center"/>
        </w:trPr>
        <w:tc>
          <w:tcPr>
            <w:tcW w:w="1646" w:type="dxa"/>
            <w:vAlign w:val="center"/>
          </w:tcPr>
          <w:p w14:paraId="78D33BD9">
            <w:pPr>
              <w:autoSpaceDE w:val="0"/>
              <w:autoSpaceDN w:val="0"/>
              <w:adjustRightInd w:val="0"/>
              <w:jc w:val="center"/>
              <w:rPr>
                <w:color w:val="auto"/>
                <w:kern w:val="0"/>
                <w:sz w:val="21"/>
                <w:szCs w:val="21"/>
              </w:rPr>
            </w:pPr>
            <w:r>
              <w:rPr>
                <w:color w:val="auto"/>
                <w:kern w:val="0"/>
                <w:sz w:val="21"/>
                <w:szCs w:val="21"/>
              </w:rPr>
              <w:t>资产构成情况及</w:t>
            </w:r>
          </w:p>
          <w:p w14:paraId="4DC9CD01">
            <w:pPr>
              <w:autoSpaceDE w:val="0"/>
              <w:autoSpaceDN w:val="0"/>
              <w:adjustRightInd w:val="0"/>
              <w:jc w:val="center"/>
              <w:rPr>
                <w:color w:val="auto"/>
                <w:kern w:val="0"/>
                <w:sz w:val="21"/>
                <w:szCs w:val="21"/>
              </w:rPr>
            </w:pPr>
            <w:r>
              <w:rPr>
                <w:color w:val="auto"/>
                <w:kern w:val="0"/>
                <w:sz w:val="21"/>
                <w:szCs w:val="21"/>
              </w:rPr>
              <w:t>投标人投资参股</w:t>
            </w:r>
          </w:p>
          <w:p w14:paraId="5698F397">
            <w:pPr>
              <w:autoSpaceDE w:val="0"/>
              <w:autoSpaceDN w:val="0"/>
              <w:adjustRightInd w:val="0"/>
              <w:jc w:val="center"/>
              <w:rPr>
                <w:color w:val="auto"/>
                <w:kern w:val="0"/>
                <w:sz w:val="21"/>
                <w:szCs w:val="21"/>
              </w:rPr>
            </w:pPr>
            <w:r>
              <w:rPr>
                <w:color w:val="auto"/>
                <w:kern w:val="0"/>
                <w:sz w:val="21"/>
                <w:szCs w:val="21"/>
              </w:rPr>
              <w:t>的关联企业情况</w:t>
            </w:r>
          </w:p>
        </w:tc>
        <w:tc>
          <w:tcPr>
            <w:tcW w:w="7604" w:type="dxa"/>
            <w:gridSpan w:val="8"/>
            <w:vAlign w:val="center"/>
          </w:tcPr>
          <w:p w14:paraId="17AFB50F">
            <w:pPr>
              <w:autoSpaceDE w:val="0"/>
              <w:autoSpaceDN w:val="0"/>
              <w:adjustRightInd w:val="0"/>
              <w:jc w:val="center"/>
              <w:rPr>
                <w:color w:val="auto"/>
                <w:kern w:val="0"/>
                <w:sz w:val="21"/>
                <w:szCs w:val="21"/>
              </w:rPr>
            </w:pPr>
          </w:p>
        </w:tc>
      </w:tr>
      <w:tr w14:paraId="3EEBFF7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574" w:hRule="atLeast"/>
          <w:jc w:val="center"/>
        </w:trPr>
        <w:tc>
          <w:tcPr>
            <w:tcW w:w="1646" w:type="dxa"/>
            <w:vAlign w:val="center"/>
          </w:tcPr>
          <w:p w14:paraId="239CBC26">
            <w:pPr>
              <w:autoSpaceDE w:val="0"/>
              <w:autoSpaceDN w:val="0"/>
              <w:adjustRightInd w:val="0"/>
              <w:jc w:val="center"/>
              <w:rPr>
                <w:color w:val="auto"/>
                <w:kern w:val="0"/>
                <w:sz w:val="21"/>
                <w:szCs w:val="21"/>
              </w:rPr>
            </w:pPr>
            <w:r>
              <w:rPr>
                <w:color w:val="auto"/>
                <w:kern w:val="0"/>
                <w:sz w:val="21"/>
                <w:szCs w:val="21"/>
              </w:rPr>
              <w:t>备注</w:t>
            </w:r>
          </w:p>
        </w:tc>
        <w:tc>
          <w:tcPr>
            <w:tcW w:w="7604" w:type="dxa"/>
            <w:gridSpan w:val="8"/>
            <w:vAlign w:val="center"/>
          </w:tcPr>
          <w:p w14:paraId="5AE6997A">
            <w:pPr>
              <w:autoSpaceDE w:val="0"/>
              <w:autoSpaceDN w:val="0"/>
              <w:adjustRightInd w:val="0"/>
              <w:jc w:val="center"/>
              <w:rPr>
                <w:color w:val="auto"/>
                <w:kern w:val="0"/>
                <w:sz w:val="21"/>
                <w:szCs w:val="21"/>
              </w:rPr>
            </w:pPr>
          </w:p>
        </w:tc>
      </w:tr>
    </w:tbl>
    <w:p w14:paraId="1083C1FB">
      <w:pPr>
        <w:widowControl/>
        <w:jc w:val="left"/>
        <w:rPr>
          <w:rFonts w:ascii="宋体" w:hAnsi="宋体" w:cs="宋体"/>
          <w:b/>
          <w:bCs/>
          <w:color w:val="auto"/>
          <w:sz w:val="24"/>
          <w:szCs w:val="24"/>
        </w:rPr>
      </w:pPr>
      <w:r>
        <w:rPr>
          <w:rFonts w:hint="eastAsia" w:ascii="宋体" w:hAnsi="宋体" w:cs="宋体"/>
          <w:b/>
          <w:bCs/>
          <w:color w:val="auto"/>
          <w:sz w:val="24"/>
          <w:szCs w:val="24"/>
        </w:rPr>
        <w:br w:type="page"/>
      </w:r>
    </w:p>
    <w:p w14:paraId="4C124D44">
      <w:pPr>
        <w:pStyle w:val="20"/>
        <w:spacing w:line="360" w:lineRule="auto"/>
        <w:ind w:firstLine="2891" w:firstLineChars="1200"/>
        <w:outlineLvl w:val="1"/>
        <w:rPr>
          <w:rFonts w:hAnsi="宋体" w:cs="宋体"/>
          <w:b/>
          <w:bCs/>
          <w:color w:val="auto"/>
          <w:sz w:val="24"/>
          <w:szCs w:val="24"/>
        </w:rPr>
      </w:pPr>
      <w:bookmarkStart w:id="909" w:name="_Toc22039"/>
      <w:bookmarkStart w:id="910" w:name="_Toc29927"/>
      <w:bookmarkStart w:id="911" w:name="_Toc58081277"/>
      <w:bookmarkStart w:id="912" w:name="_Toc13271"/>
      <w:bookmarkStart w:id="913" w:name="_Toc28441"/>
      <w:bookmarkStart w:id="914" w:name="_Toc1200"/>
      <w:r>
        <w:rPr>
          <w:rFonts w:hint="eastAsia" w:hAnsi="宋体" w:cs="宋体"/>
          <w:b/>
          <w:bCs/>
          <w:color w:val="auto"/>
          <w:sz w:val="24"/>
          <w:szCs w:val="24"/>
        </w:rPr>
        <w:t>二、▲法定代表人身份证明书</w:t>
      </w:r>
      <w:bookmarkEnd w:id="902"/>
      <w:bookmarkEnd w:id="903"/>
      <w:bookmarkEnd w:id="904"/>
      <w:bookmarkEnd w:id="905"/>
      <w:bookmarkEnd w:id="906"/>
      <w:bookmarkEnd w:id="907"/>
      <w:bookmarkEnd w:id="908"/>
      <w:bookmarkEnd w:id="909"/>
      <w:bookmarkEnd w:id="910"/>
      <w:bookmarkEnd w:id="911"/>
      <w:bookmarkEnd w:id="912"/>
      <w:bookmarkEnd w:id="913"/>
      <w:bookmarkEnd w:id="914"/>
    </w:p>
    <w:p w14:paraId="084D48C9">
      <w:pPr>
        <w:spacing w:line="360" w:lineRule="auto"/>
        <w:jc w:val="center"/>
        <w:rPr>
          <w:rFonts w:ascii="宋体" w:hAnsi="宋体" w:cs="宋体"/>
          <w:b/>
          <w:color w:val="auto"/>
          <w:szCs w:val="21"/>
        </w:rPr>
      </w:pPr>
    </w:p>
    <w:p w14:paraId="563E181C">
      <w:pPr>
        <w:spacing w:line="360" w:lineRule="auto"/>
        <w:rPr>
          <w:rFonts w:ascii="宋体" w:hAnsi="宋体" w:cs="宋体"/>
          <w:color w:val="auto"/>
          <w:szCs w:val="21"/>
        </w:rPr>
      </w:pPr>
      <w:r>
        <w:rPr>
          <w:rFonts w:hint="eastAsia" w:ascii="宋体" w:hAnsi="宋体" w:cs="宋体"/>
          <w:color w:val="auto"/>
          <w:szCs w:val="21"/>
        </w:rPr>
        <w:t>供应商名称：</w:t>
      </w:r>
    </w:p>
    <w:p w14:paraId="5F273B57">
      <w:pPr>
        <w:spacing w:line="360" w:lineRule="auto"/>
        <w:rPr>
          <w:rFonts w:ascii="宋体" w:hAnsi="宋体" w:cs="宋体"/>
          <w:color w:val="auto"/>
          <w:szCs w:val="21"/>
        </w:rPr>
      </w:pPr>
      <w:r>
        <w:rPr>
          <w:rFonts w:hint="eastAsia" w:ascii="宋体" w:hAnsi="宋体" w:cs="宋体"/>
          <w:color w:val="auto"/>
          <w:szCs w:val="21"/>
        </w:rPr>
        <w:t>单位性质：</w:t>
      </w:r>
    </w:p>
    <w:p w14:paraId="2BA3BACD">
      <w:pPr>
        <w:spacing w:line="360" w:lineRule="auto"/>
        <w:rPr>
          <w:rFonts w:ascii="宋体" w:hAnsi="宋体" w:cs="宋体"/>
          <w:color w:val="auto"/>
          <w:szCs w:val="21"/>
        </w:rPr>
      </w:pPr>
      <w:r>
        <w:rPr>
          <w:rFonts w:hint="eastAsia" w:ascii="宋体" w:hAnsi="宋体" w:cs="宋体"/>
          <w:color w:val="auto"/>
          <w:szCs w:val="21"/>
        </w:rPr>
        <w:t>成立时间：             年    月  日</w:t>
      </w:r>
    </w:p>
    <w:p w14:paraId="61679275">
      <w:pPr>
        <w:spacing w:line="360" w:lineRule="auto"/>
        <w:rPr>
          <w:rFonts w:ascii="宋体" w:hAnsi="宋体" w:cs="宋体"/>
          <w:color w:val="auto"/>
          <w:szCs w:val="21"/>
        </w:rPr>
      </w:pPr>
      <w:r>
        <w:rPr>
          <w:rFonts w:hint="eastAsia" w:ascii="宋体" w:hAnsi="宋体" w:cs="宋体"/>
          <w:color w:val="auto"/>
          <w:szCs w:val="21"/>
        </w:rPr>
        <w:t>经营期限：</w:t>
      </w:r>
    </w:p>
    <w:p w14:paraId="2931E43C">
      <w:pPr>
        <w:spacing w:line="360" w:lineRule="auto"/>
        <w:rPr>
          <w:rFonts w:ascii="宋体" w:hAnsi="宋体" w:cs="宋体"/>
          <w:color w:val="auto"/>
          <w:szCs w:val="21"/>
        </w:rPr>
      </w:pPr>
      <w:r>
        <w:rPr>
          <w:rFonts w:hint="eastAsia" w:ascii="宋体" w:hAnsi="宋体" w:cs="宋体"/>
          <w:color w:val="auto"/>
          <w:szCs w:val="21"/>
        </w:rPr>
        <w:t>姓名：           性别：         年龄：         职务：</w:t>
      </w:r>
    </w:p>
    <w:p w14:paraId="7357E2D4">
      <w:pPr>
        <w:spacing w:line="360" w:lineRule="auto"/>
        <w:rPr>
          <w:rFonts w:ascii="宋体" w:hAnsi="宋体" w:cs="宋体"/>
          <w:color w:val="auto"/>
          <w:szCs w:val="21"/>
        </w:rPr>
      </w:pPr>
      <w:r>
        <w:rPr>
          <w:rFonts w:hint="eastAsia" w:ascii="宋体" w:hAnsi="宋体" w:cs="宋体"/>
          <w:color w:val="auto"/>
          <w:szCs w:val="21"/>
        </w:rPr>
        <w:t>系</w:t>
      </w:r>
      <w:r>
        <w:rPr>
          <w:rFonts w:hint="eastAsia" w:ascii="宋体" w:hAnsi="宋体" w:cs="宋体"/>
          <w:color w:val="auto"/>
          <w:szCs w:val="21"/>
          <w:u w:val="single"/>
        </w:rPr>
        <w:t>（供应商名称）</w:t>
      </w:r>
      <w:r>
        <w:rPr>
          <w:rFonts w:hint="eastAsia" w:ascii="宋体" w:hAnsi="宋体" w:cs="宋体"/>
          <w:color w:val="auto"/>
          <w:szCs w:val="21"/>
        </w:rPr>
        <w:t>的法定代表人。</w:t>
      </w:r>
    </w:p>
    <w:p w14:paraId="7879834F">
      <w:pPr>
        <w:spacing w:line="360" w:lineRule="auto"/>
        <w:ind w:firstLine="420" w:firstLineChars="200"/>
        <w:rPr>
          <w:rFonts w:ascii="宋体" w:hAnsi="宋体" w:cs="宋体"/>
          <w:color w:val="auto"/>
          <w:szCs w:val="21"/>
        </w:rPr>
      </w:pPr>
    </w:p>
    <w:p w14:paraId="59F332E6">
      <w:pPr>
        <w:spacing w:line="360" w:lineRule="auto"/>
        <w:ind w:firstLine="420" w:firstLineChars="200"/>
        <w:rPr>
          <w:rFonts w:ascii="宋体" w:hAnsi="宋体" w:cs="宋体"/>
          <w:color w:val="auto"/>
          <w:szCs w:val="21"/>
        </w:rPr>
      </w:pPr>
      <w:r>
        <w:rPr>
          <w:rFonts w:hint="eastAsia" w:ascii="宋体" w:hAnsi="宋体" w:cs="宋体"/>
          <w:color w:val="auto"/>
          <w:szCs w:val="21"/>
        </w:rPr>
        <w:t>特此证明。</w:t>
      </w:r>
    </w:p>
    <w:p w14:paraId="0CA6C92C">
      <w:pPr>
        <w:spacing w:line="360" w:lineRule="auto"/>
        <w:rPr>
          <w:rFonts w:ascii="宋体" w:hAnsi="宋体" w:cs="宋体"/>
          <w:b/>
          <w:bCs/>
          <w:color w:val="auto"/>
          <w:szCs w:val="21"/>
        </w:rPr>
      </w:pPr>
    </w:p>
    <w:p w14:paraId="649B09C9">
      <w:pPr>
        <w:spacing w:line="360" w:lineRule="auto"/>
        <w:rPr>
          <w:rFonts w:ascii="宋体" w:hAnsi="宋体" w:cs="宋体"/>
          <w:color w:val="auto"/>
          <w:szCs w:val="21"/>
        </w:rPr>
      </w:pPr>
      <w:r>
        <w:rPr>
          <w:rFonts w:hint="eastAsia" w:ascii="宋体" w:hAnsi="宋体" w:cs="宋体"/>
          <w:b/>
          <w:bCs/>
          <w:color w:val="auto"/>
          <w:szCs w:val="21"/>
        </w:rPr>
        <w:t>注</w:t>
      </w:r>
      <w:r>
        <w:rPr>
          <w:rFonts w:hint="eastAsia" w:ascii="宋体" w:hAnsi="宋体" w:cs="宋体"/>
          <w:b/>
          <w:bCs/>
          <w:color w:val="auto"/>
          <w:szCs w:val="21"/>
          <w:lang w:eastAsia="zh-CN"/>
        </w:rPr>
        <w:t>：</w:t>
      </w:r>
      <w:r>
        <w:rPr>
          <w:rFonts w:hint="eastAsia" w:ascii="宋体" w:hAnsi="宋体" w:cs="宋体"/>
          <w:b/>
          <w:bCs/>
          <w:color w:val="auto"/>
          <w:szCs w:val="21"/>
        </w:rPr>
        <w:t>后附法定代表人身份证复印件。</w:t>
      </w:r>
    </w:p>
    <w:p w14:paraId="19DD9758">
      <w:pPr>
        <w:spacing w:line="360" w:lineRule="auto"/>
        <w:rPr>
          <w:rFonts w:ascii="宋体" w:hAnsi="宋体" w:cs="宋体"/>
          <w:color w:val="auto"/>
          <w:szCs w:val="21"/>
        </w:rPr>
      </w:pPr>
    </w:p>
    <w:p w14:paraId="7C9BC0F1">
      <w:pPr>
        <w:spacing w:line="360" w:lineRule="auto"/>
        <w:rPr>
          <w:rFonts w:ascii="宋体" w:hAnsi="宋体" w:cs="宋体"/>
          <w:color w:val="auto"/>
          <w:szCs w:val="21"/>
        </w:rPr>
      </w:pPr>
    </w:p>
    <w:p w14:paraId="4EC9AAD0">
      <w:pPr>
        <w:spacing w:line="360" w:lineRule="auto"/>
        <w:rPr>
          <w:rFonts w:ascii="宋体" w:hAnsi="宋体" w:cs="宋体"/>
          <w:color w:val="auto"/>
          <w:szCs w:val="21"/>
        </w:rPr>
      </w:pPr>
    </w:p>
    <w:p w14:paraId="6DA7B2C0">
      <w:pPr>
        <w:spacing w:line="360" w:lineRule="auto"/>
        <w:rPr>
          <w:rFonts w:ascii="宋体" w:hAnsi="宋体" w:cs="宋体"/>
          <w:color w:val="auto"/>
          <w:szCs w:val="21"/>
        </w:rPr>
      </w:pPr>
    </w:p>
    <w:p w14:paraId="0379530B">
      <w:pPr>
        <w:spacing w:line="360" w:lineRule="auto"/>
        <w:rPr>
          <w:rFonts w:ascii="宋体" w:hAnsi="宋体" w:cs="宋体"/>
          <w:color w:val="auto"/>
          <w:szCs w:val="21"/>
        </w:rPr>
      </w:pPr>
      <w:r>
        <w:rPr>
          <w:rFonts w:hint="eastAsia" w:ascii="宋体" w:hAnsi="宋体" w:cs="宋体"/>
          <w:color w:val="auto"/>
          <w:szCs w:val="21"/>
        </w:rPr>
        <w:t>供应商：（</w:t>
      </w:r>
      <w:r>
        <w:rPr>
          <w:rFonts w:hint="eastAsia" w:ascii="宋体" w:hAnsi="宋体" w:cs="宋体"/>
          <w:color w:val="auto"/>
          <w:szCs w:val="21"/>
          <w:lang w:val="en-US" w:eastAsia="zh-CN"/>
        </w:rPr>
        <w:t>电子签章</w:t>
      </w:r>
      <w:r>
        <w:rPr>
          <w:rFonts w:hint="eastAsia" w:ascii="宋体" w:hAnsi="宋体" w:cs="宋体"/>
          <w:color w:val="auto"/>
          <w:szCs w:val="21"/>
        </w:rPr>
        <w:t>）</w:t>
      </w:r>
    </w:p>
    <w:p w14:paraId="01E7579D">
      <w:pPr>
        <w:spacing w:line="360" w:lineRule="auto"/>
        <w:rPr>
          <w:rFonts w:ascii="宋体" w:hAnsi="宋体" w:cs="宋体"/>
          <w:color w:val="auto"/>
          <w:szCs w:val="21"/>
        </w:rPr>
      </w:pPr>
      <w:r>
        <w:rPr>
          <w:rFonts w:hint="eastAsia" w:ascii="宋体" w:hAnsi="宋体" w:cs="宋体"/>
          <w:color w:val="auto"/>
          <w:szCs w:val="21"/>
        </w:rPr>
        <w:t>日期：</w:t>
      </w:r>
      <w:r>
        <w:rPr>
          <w:rFonts w:hint="eastAsia" w:ascii="宋体" w:hAnsi="宋体" w:cs="宋体"/>
          <w:color w:val="auto"/>
          <w:szCs w:val="21"/>
          <w:lang w:val="en-US" w:eastAsia="zh-CN"/>
        </w:rPr>
        <w:t xml:space="preserve"> </w:t>
      </w:r>
      <w:r>
        <w:rPr>
          <w:rFonts w:hint="eastAsia" w:ascii="宋体" w:hAnsi="宋体" w:cs="宋体"/>
          <w:color w:val="auto"/>
          <w:szCs w:val="21"/>
        </w:rPr>
        <w:t>年</w:t>
      </w:r>
      <w:r>
        <w:rPr>
          <w:rFonts w:hint="eastAsia" w:ascii="宋体" w:hAnsi="宋体" w:cs="宋体"/>
          <w:color w:val="auto"/>
          <w:szCs w:val="21"/>
          <w:lang w:val="en-US" w:eastAsia="zh-CN"/>
        </w:rPr>
        <w:t xml:space="preserve"> </w:t>
      </w:r>
      <w:r>
        <w:rPr>
          <w:rFonts w:hint="eastAsia" w:ascii="宋体" w:hAnsi="宋体" w:cs="宋体"/>
          <w:color w:val="auto"/>
          <w:szCs w:val="21"/>
        </w:rPr>
        <w:t>月</w:t>
      </w:r>
      <w:r>
        <w:rPr>
          <w:rFonts w:hint="eastAsia" w:ascii="宋体" w:hAnsi="宋体" w:cs="宋体"/>
          <w:color w:val="auto"/>
          <w:szCs w:val="21"/>
          <w:lang w:val="en-US" w:eastAsia="zh-CN"/>
        </w:rPr>
        <w:t xml:space="preserve"> </w:t>
      </w:r>
      <w:r>
        <w:rPr>
          <w:rFonts w:hint="eastAsia" w:ascii="宋体" w:hAnsi="宋体" w:cs="宋体"/>
          <w:color w:val="auto"/>
          <w:szCs w:val="21"/>
        </w:rPr>
        <w:t>日</w:t>
      </w:r>
    </w:p>
    <w:p w14:paraId="6357C2DC">
      <w:pPr>
        <w:spacing w:line="360" w:lineRule="auto"/>
        <w:rPr>
          <w:rFonts w:ascii="宋体" w:hAnsi="宋体" w:cs="宋体"/>
          <w:color w:val="auto"/>
          <w:szCs w:val="21"/>
        </w:rPr>
      </w:pPr>
    </w:p>
    <w:p w14:paraId="709FC49F">
      <w:pPr>
        <w:pStyle w:val="20"/>
        <w:spacing w:line="360" w:lineRule="auto"/>
        <w:rPr>
          <w:rFonts w:hAnsi="宋体" w:cs="宋体"/>
          <w:b/>
          <w:color w:val="auto"/>
          <w:szCs w:val="21"/>
        </w:rPr>
      </w:pPr>
      <w:r>
        <w:rPr>
          <w:rFonts w:hint="eastAsia" w:hAnsi="宋体" w:cs="宋体"/>
          <w:b/>
          <w:color w:val="auto"/>
          <w:szCs w:val="21"/>
        </w:rPr>
        <w:br w:type="page"/>
      </w:r>
    </w:p>
    <w:p w14:paraId="1265F799">
      <w:pPr>
        <w:pStyle w:val="20"/>
        <w:spacing w:line="360" w:lineRule="auto"/>
        <w:jc w:val="center"/>
        <w:outlineLvl w:val="1"/>
        <w:rPr>
          <w:rFonts w:hAnsi="宋体" w:cs="宋体"/>
          <w:b/>
          <w:bCs/>
          <w:color w:val="auto"/>
          <w:sz w:val="24"/>
          <w:szCs w:val="24"/>
        </w:rPr>
      </w:pPr>
      <w:bookmarkStart w:id="915" w:name="_Toc8300793"/>
      <w:bookmarkStart w:id="916" w:name="_Toc22415"/>
      <w:bookmarkStart w:id="917" w:name="_Toc417843485"/>
      <w:bookmarkStart w:id="918" w:name="_Toc58081278"/>
      <w:bookmarkStart w:id="919" w:name="_Toc427339182"/>
      <w:bookmarkStart w:id="920" w:name="_Toc27110"/>
      <w:bookmarkStart w:id="921" w:name="_Toc17981"/>
      <w:bookmarkStart w:id="922" w:name="_Toc26219"/>
      <w:bookmarkStart w:id="923" w:name="_Toc484796150"/>
      <w:bookmarkStart w:id="924" w:name="_Toc420071236"/>
      <w:bookmarkStart w:id="925" w:name="_Toc417843436"/>
      <w:bookmarkStart w:id="926" w:name="_Toc7850"/>
      <w:bookmarkStart w:id="927" w:name="_Toc5841"/>
      <w:r>
        <w:rPr>
          <w:rFonts w:hint="eastAsia" w:hAnsi="宋体" w:cs="宋体"/>
          <w:b/>
          <w:bCs/>
          <w:color w:val="auto"/>
          <w:sz w:val="24"/>
          <w:szCs w:val="24"/>
        </w:rPr>
        <w:t>三、▲法定代表人授权委托书</w:t>
      </w:r>
      <w:bookmarkEnd w:id="915"/>
      <w:bookmarkEnd w:id="916"/>
      <w:bookmarkEnd w:id="917"/>
      <w:bookmarkEnd w:id="918"/>
      <w:bookmarkEnd w:id="919"/>
      <w:bookmarkEnd w:id="920"/>
      <w:bookmarkEnd w:id="921"/>
      <w:bookmarkEnd w:id="922"/>
      <w:bookmarkEnd w:id="923"/>
      <w:bookmarkEnd w:id="924"/>
      <w:bookmarkEnd w:id="925"/>
      <w:bookmarkEnd w:id="926"/>
      <w:bookmarkEnd w:id="927"/>
    </w:p>
    <w:p w14:paraId="25951901">
      <w:pPr>
        <w:spacing w:line="360" w:lineRule="auto"/>
        <w:rPr>
          <w:rFonts w:ascii="宋体" w:hAnsi="宋体" w:cs="宋体"/>
          <w:color w:val="auto"/>
          <w:szCs w:val="21"/>
        </w:rPr>
      </w:pPr>
    </w:p>
    <w:p w14:paraId="7042CEEA">
      <w:pPr>
        <w:spacing w:line="360" w:lineRule="auto"/>
        <w:ind w:firstLine="420" w:firstLineChars="200"/>
        <w:rPr>
          <w:rFonts w:ascii="宋体" w:hAnsi="宋体" w:cs="宋体"/>
          <w:color w:val="auto"/>
          <w:szCs w:val="21"/>
        </w:rPr>
      </w:pPr>
    </w:p>
    <w:p w14:paraId="324D2F2E">
      <w:pPr>
        <w:spacing w:line="360" w:lineRule="auto"/>
        <w:ind w:firstLine="420" w:firstLineChars="200"/>
        <w:rPr>
          <w:rFonts w:ascii="宋体" w:hAnsi="宋体" w:cs="宋体"/>
          <w:color w:val="auto"/>
          <w:szCs w:val="21"/>
        </w:rPr>
      </w:pPr>
      <w:r>
        <w:rPr>
          <w:rFonts w:hint="eastAsia" w:ascii="宋体" w:hAnsi="宋体" w:cs="宋体"/>
          <w:color w:val="auto"/>
          <w:szCs w:val="21"/>
        </w:rPr>
        <w:t>本授权书声明：</w:t>
      </w:r>
      <w:r>
        <w:rPr>
          <w:rFonts w:hint="eastAsia" w:ascii="宋体" w:hAnsi="宋体" w:cs="宋体"/>
          <w:color w:val="auto"/>
          <w:szCs w:val="21"/>
          <w:u w:val="single"/>
        </w:rPr>
        <w:t xml:space="preserve">   （供应商全称）   </w:t>
      </w:r>
      <w:r>
        <w:rPr>
          <w:rFonts w:hint="eastAsia" w:ascii="宋体" w:hAnsi="宋体" w:cs="宋体"/>
          <w:color w:val="auto"/>
          <w:szCs w:val="21"/>
        </w:rPr>
        <w:t>的法定代表人代表本公司授权</w:t>
      </w:r>
      <w:r>
        <w:rPr>
          <w:rFonts w:hint="eastAsia" w:ascii="宋体" w:hAnsi="宋体" w:cs="宋体"/>
          <w:color w:val="auto"/>
          <w:szCs w:val="21"/>
          <w:u w:val="single"/>
        </w:rPr>
        <w:t xml:space="preserve">  （委托代理人姓名）  </w:t>
      </w:r>
      <w:r>
        <w:rPr>
          <w:rFonts w:hint="eastAsia" w:ascii="宋体" w:hAnsi="宋体" w:cs="宋体"/>
          <w:color w:val="auto"/>
          <w:szCs w:val="21"/>
        </w:rPr>
        <w:t>为本公司合法代理人，以本单位名义亲自出席参加贵方组织的</w:t>
      </w:r>
      <w:r>
        <w:rPr>
          <w:rFonts w:hint="eastAsia" w:ascii="宋体" w:hAnsi="宋体" w:cs="宋体"/>
          <w:color w:val="auto"/>
          <w:szCs w:val="21"/>
          <w:u w:val="single"/>
        </w:rPr>
        <w:t xml:space="preserve">  （采购项目名称）  </w:t>
      </w:r>
      <w:r>
        <w:rPr>
          <w:rFonts w:hint="eastAsia" w:ascii="宋体" w:hAnsi="宋体" w:cs="宋体"/>
          <w:color w:val="auto"/>
          <w:szCs w:val="21"/>
        </w:rPr>
        <w:t>项目（项目编号</w:t>
      </w:r>
      <w:r>
        <w:rPr>
          <w:rFonts w:hint="eastAsia" w:ascii="宋体" w:hAnsi="宋体" w:cs="宋体"/>
          <w:color w:val="auto"/>
          <w:szCs w:val="21"/>
          <w:lang w:eastAsia="zh-CN"/>
        </w:rPr>
        <w:t>）</w:t>
      </w:r>
      <w:r>
        <w:rPr>
          <w:rFonts w:hint="eastAsia" w:ascii="宋体" w:hAnsi="宋体" w:cs="宋体"/>
          <w:color w:val="auto"/>
          <w:szCs w:val="21"/>
        </w:rPr>
        <w:t>的磋商。代理人在本项目竞争性磋商过程中所签署的一切文件和处理与之有关的一切事务，我方均</w:t>
      </w:r>
      <w:r>
        <w:rPr>
          <w:rFonts w:hint="eastAsia" w:ascii="宋体" w:hAnsi="宋体" w:cs="宋体"/>
          <w:color w:val="auto"/>
          <w:szCs w:val="21"/>
          <w:lang w:eastAsia="zh-CN"/>
        </w:rPr>
        <w:t>予以</w:t>
      </w:r>
      <w:r>
        <w:rPr>
          <w:rFonts w:hint="eastAsia" w:ascii="宋体" w:hAnsi="宋体" w:cs="宋体"/>
          <w:color w:val="auto"/>
          <w:szCs w:val="21"/>
        </w:rPr>
        <w:t>承认。</w:t>
      </w:r>
    </w:p>
    <w:p w14:paraId="24BC0F84">
      <w:pPr>
        <w:spacing w:line="360" w:lineRule="auto"/>
        <w:ind w:firstLine="420" w:firstLineChars="200"/>
        <w:rPr>
          <w:rFonts w:hint="default" w:ascii="宋体" w:hAnsi="宋体" w:eastAsia="宋体" w:cs="宋体"/>
          <w:color w:val="auto"/>
          <w:szCs w:val="21"/>
          <w:lang w:val="en-US" w:eastAsia="zh-CN"/>
        </w:rPr>
      </w:pPr>
      <w:r>
        <w:rPr>
          <w:rFonts w:hint="eastAsia" w:ascii="宋体" w:hAnsi="宋体" w:cs="宋体"/>
          <w:color w:val="auto"/>
          <w:szCs w:val="21"/>
          <w:lang w:val="en-US" w:eastAsia="zh-CN"/>
        </w:rPr>
        <w:t>委托期限：</w:t>
      </w:r>
    </w:p>
    <w:p w14:paraId="74B53212">
      <w:pPr>
        <w:spacing w:line="360" w:lineRule="auto"/>
        <w:ind w:firstLine="420" w:firstLineChars="200"/>
        <w:rPr>
          <w:rFonts w:ascii="宋体" w:hAnsi="宋体" w:cs="宋体"/>
          <w:color w:val="auto"/>
          <w:szCs w:val="21"/>
        </w:rPr>
      </w:pPr>
      <w:r>
        <w:rPr>
          <w:rFonts w:hint="eastAsia" w:ascii="宋体" w:hAnsi="宋体" w:cs="宋体"/>
          <w:color w:val="auto"/>
          <w:szCs w:val="21"/>
        </w:rPr>
        <w:t>代理人无转委托权。</w:t>
      </w:r>
    </w:p>
    <w:p w14:paraId="068FD43E">
      <w:pPr>
        <w:spacing w:line="360" w:lineRule="auto"/>
        <w:ind w:firstLine="420" w:firstLineChars="200"/>
        <w:rPr>
          <w:rFonts w:ascii="宋体" w:hAnsi="宋体" w:cs="宋体"/>
          <w:color w:val="auto"/>
          <w:szCs w:val="21"/>
        </w:rPr>
      </w:pPr>
    </w:p>
    <w:p w14:paraId="1C34CA21">
      <w:pPr>
        <w:spacing w:line="360" w:lineRule="auto"/>
        <w:ind w:firstLine="420" w:firstLineChars="200"/>
        <w:rPr>
          <w:rFonts w:ascii="宋体" w:hAnsi="宋体" w:cs="宋体"/>
          <w:color w:val="auto"/>
          <w:szCs w:val="21"/>
        </w:rPr>
      </w:pPr>
      <w:r>
        <w:rPr>
          <w:rFonts w:hint="eastAsia" w:ascii="宋体" w:hAnsi="宋体" w:cs="宋体"/>
          <w:color w:val="auto"/>
          <w:szCs w:val="21"/>
        </w:rPr>
        <w:t>供应商：（</w:t>
      </w:r>
      <w:r>
        <w:rPr>
          <w:rFonts w:hint="eastAsia" w:ascii="宋体" w:hAnsi="宋体" w:cs="宋体"/>
          <w:color w:val="auto"/>
          <w:szCs w:val="21"/>
          <w:lang w:val="en-US" w:eastAsia="zh-CN"/>
        </w:rPr>
        <w:t>电子签章</w:t>
      </w:r>
      <w:r>
        <w:rPr>
          <w:rFonts w:hint="eastAsia" w:ascii="宋体" w:hAnsi="宋体" w:cs="宋体"/>
          <w:color w:val="auto"/>
          <w:szCs w:val="21"/>
        </w:rPr>
        <w:t>）</w:t>
      </w:r>
    </w:p>
    <w:p w14:paraId="7BD3781E">
      <w:pPr>
        <w:spacing w:line="360" w:lineRule="auto"/>
        <w:ind w:firstLine="420" w:firstLineChars="200"/>
        <w:rPr>
          <w:rFonts w:ascii="宋体" w:hAnsi="宋体" w:cs="宋体"/>
          <w:color w:val="auto"/>
          <w:szCs w:val="21"/>
        </w:rPr>
      </w:pPr>
      <w:r>
        <w:rPr>
          <w:rFonts w:hint="eastAsia" w:ascii="宋体" w:hAnsi="宋体" w:cs="宋体"/>
          <w:color w:val="auto"/>
          <w:szCs w:val="21"/>
        </w:rPr>
        <w:t>法定代表人：（</w:t>
      </w:r>
      <w:r>
        <w:rPr>
          <w:rFonts w:hint="eastAsia" w:ascii="宋体" w:hAnsi="宋体" w:cs="宋体"/>
          <w:color w:val="auto"/>
          <w:szCs w:val="21"/>
          <w:lang w:val="en-US" w:eastAsia="zh-CN"/>
        </w:rPr>
        <w:t>电子签章</w:t>
      </w:r>
      <w:r>
        <w:rPr>
          <w:rFonts w:hint="eastAsia" w:ascii="宋体" w:hAnsi="宋体" w:cs="宋体"/>
          <w:color w:val="auto"/>
          <w:szCs w:val="21"/>
        </w:rPr>
        <w:t>）</w:t>
      </w:r>
    </w:p>
    <w:p w14:paraId="5652DA55">
      <w:pPr>
        <w:spacing w:line="360" w:lineRule="auto"/>
        <w:ind w:firstLine="420" w:firstLineChars="200"/>
        <w:rPr>
          <w:rFonts w:ascii="宋体" w:hAnsi="宋体" w:cs="宋体"/>
          <w:color w:val="auto"/>
          <w:szCs w:val="21"/>
        </w:rPr>
      </w:pPr>
      <w:r>
        <w:rPr>
          <w:rFonts w:hint="eastAsia" w:ascii="宋体" w:hAnsi="宋体" w:cs="宋体"/>
          <w:color w:val="auto"/>
          <w:szCs w:val="21"/>
        </w:rPr>
        <w:t>法定代表人身份证号码：</w:t>
      </w:r>
    </w:p>
    <w:p w14:paraId="64F5CF15">
      <w:pPr>
        <w:spacing w:line="360" w:lineRule="auto"/>
        <w:ind w:firstLine="420" w:firstLineChars="200"/>
        <w:rPr>
          <w:rFonts w:ascii="宋体" w:hAnsi="宋体" w:cs="宋体"/>
          <w:color w:val="auto"/>
          <w:szCs w:val="21"/>
        </w:rPr>
      </w:pPr>
      <w:r>
        <w:rPr>
          <w:rFonts w:hint="eastAsia" w:ascii="宋体" w:hAnsi="宋体" w:cs="宋体"/>
          <w:color w:val="auto"/>
          <w:szCs w:val="21"/>
        </w:rPr>
        <w:t>委托代理人：（</w:t>
      </w:r>
      <w:r>
        <w:rPr>
          <w:rFonts w:hint="eastAsia" w:ascii="宋体" w:hAnsi="宋体" w:cs="宋体"/>
          <w:color w:val="auto"/>
          <w:szCs w:val="21"/>
          <w:lang w:val="en-US" w:eastAsia="zh-CN"/>
        </w:rPr>
        <w:t>签字</w:t>
      </w:r>
      <w:r>
        <w:rPr>
          <w:rFonts w:hint="eastAsia" w:ascii="宋体" w:hAnsi="宋体" w:cs="宋体"/>
          <w:color w:val="auto"/>
          <w:szCs w:val="21"/>
        </w:rPr>
        <w:t>）</w:t>
      </w:r>
    </w:p>
    <w:p w14:paraId="398BA7A7">
      <w:pPr>
        <w:spacing w:line="360" w:lineRule="auto"/>
        <w:ind w:firstLine="420" w:firstLineChars="200"/>
        <w:rPr>
          <w:rFonts w:ascii="宋体" w:hAnsi="宋体" w:cs="宋体"/>
          <w:color w:val="auto"/>
          <w:szCs w:val="21"/>
        </w:rPr>
      </w:pPr>
      <w:r>
        <w:rPr>
          <w:rFonts w:hint="eastAsia" w:ascii="宋体" w:hAnsi="宋体" w:cs="宋体"/>
          <w:color w:val="auto"/>
          <w:szCs w:val="21"/>
        </w:rPr>
        <w:t>职      务：</w:t>
      </w:r>
    </w:p>
    <w:p w14:paraId="6C8F06FE">
      <w:pPr>
        <w:spacing w:line="360" w:lineRule="auto"/>
        <w:ind w:firstLine="420" w:firstLineChars="200"/>
        <w:rPr>
          <w:rFonts w:ascii="宋体" w:hAnsi="宋体" w:cs="宋体"/>
          <w:color w:val="auto"/>
          <w:szCs w:val="21"/>
        </w:rPr>
      </w:pPr>
      <w:r>
        <w:rPr>
          <w:rFonts w:hint="eastAsia" w:ascii="宋体" w:hAnsi="宋体" w:cs="宋体"/>
          <w:color w:val="auto"/>
          <w:szCs w:val="21"/>
        </w:rPr>
        <w:t>代理人身份证号码：</w:t>
      </w:r>
    </w:p>
    <w:p w14:paraId="2B35AA53">
      <w:pPr>
        <w:spacing w:line="360" w:lineRule="auto"/>
        <w:ind w:firstLine="420" w:firstLineChars="200"/>
        <w:rPr>
          <w:rFonts w:ascii="宋体" w:hAnsi="宋体" w:cs="宋体"/>
          <w:color w:val="auto"/>
          <w:szCs w:val="21"/>
          <w:u w:val="single"/>
        </w:rPr>
      </w:pPr>
    </w:p>
    <w:p w14:paraId="1AC33A8B">
      <w:pPr>
        <w:spacing w:line="360" w:lineRule="auto"/>
        <w:ind w:firstLine="420" w:firstLineChars="200"/>
        <w:rPr>
          <w:rFonts w:ascii="宋体" w:hAnsi="宋体" w:cs="宋体"/>
          <w:color w:val="auto"/>
          <w:szCs w:val="21"/>
        </w:rPr>
      </w:pPr>
      <w:r>
        <w:rPr>
          <w:rFonts w:hint="eastAsia" w:ascii="宋体" w:hAnsi="宋体" w:cs="宋体"/>
          <w:color w:val="auto"/>
          <w:szCs w:val="21"/>
        </w:rPr>
        <w:t>日期：</w:t>
      </w:r>
      <w:r>
        <w:rPr>
          <w:rFonts w:hint="eastAsia" w:ascii="宋体" w:hAnsi="宋体" w:cs="宋体"/>
          <w:color w:val="auto"/>
          <w:szCs w:val="21"/>
          <w:lang w:val="en-US" w:eastAsia="zh-CN"/>
        </w:rPr>
        <w:t xml:space="preserve"> </w:t>
      </w:r>
      <w:r>
        <w:rPr>
          <w:rFonts w:hint="eastAsia" w:ascii="宋体" w:hAnsi="宋体" w:cs="宋体"/>
          <w:color w:val="auto"/>
          <w:szCs w:val="21"/>
        </w:rPr>
        <w:t>年</w:t>
      </w:r>
      <w:r>
        <w:rPr>
          <w:rFonts w:hint="eastAsia" w:ascii="宋体" w:hAnsi="宋体" w:cs="宋体"/>
          <w:color w:val="auto"/>
          <w:szCs w:val="21"/>
          <w:lang w:val="en-US" w:eastAsia="zh-CN"/>
        </w:rPr>
        <w:t xml:space="preserve"> </w:t>
      </w:r>
      <w:r>
        <w:rPr>
          <w:rFonts w:hint="eastAsia" w:ascii="宋体" w:hAnsi="宋体" w:cs="宋体"/>
          <w:color w:val="auto"/>
          <w:szCs w:val="21"/>
        </w:rPr>
        <w:t>月</w:t>
      </w:r>
      <w:r>
        <w:rPr>
          <w:rFonts w:hint="eastAsia" w:ascii="宋体" w:hAnsi="宋体" w:cs="宋体"/>
          <w:color w:val="auto"/>
          <w:szCs w:val="21"/>
          <w:lang w:val="en-US" w:eastAsia="zh-CN"/>
        </w:rPr>
        <w:t xml:space="preserve"> </w:t>
      </w:r>
      <w:r>
        <w:rPr>
          <w:rFonts w:hint="eastAsia" w:ascii="宋体" w:hAnsi="宋体" w:cs="宋体"/>
          <w:color w:val="auto"/>
          <w:szCs w:val="21"/>
        </w:rPr>
        <w:t>日</w:t>
      </w:r>
    </w:p>
    <w:p w14:paraId="13BF7471">
      <w:pPr>
        <w:spacing w:line="360" w:lineRule="auto"/>
        <w:ind w:firstLine="420" w:firstLineChars="200"/>
        <w:rPr>
          <w:rFonts w:ascii="宋体" w:hAnsi="宋体" w:cs="宋体"/>
          <w:color w:val="auto"/>
          <w:szCs w:val="21"/>
        </w:rPr>
      </w:pPr>
    </w:p>
    <w:p w14:paraId="77EECAD3">
      <w:pPr>
        <w:rPr>
          <w:rFonts w:ascii="宋体" w:hAnsi="宋体" w:cs="宋体"/>
          <w:color w:val="auto"/>
          <w:szCs w:val="21"/>
        </w:rPr>
      </w:pPr>
      <w:bookmarkStart w:id="928" w:name="_Toc347494222"/>
    </w:p>
    <w:p w14:paraId="4D105336">
      <w:pPr>
        <w:pStyle w:val="20"/>
        <w:spacing w:line="360" w:lineRule="auto"/>
        <w:jc w:val="center"/>
        <w:rPr>
          <w:rFonts w:hAnsi="宋体" w:cs="宋体"/>
          <w:color w:val="auto"/>
          <w:szCs w:val="21"/>
        </w:rPr>
      </w:pPr>
      <w:r>
        <w:rPr>
          <w:rFonts w:hint="eastAsia" w:hAnsi="宋体" w:cs="宋体"/>
          <w:color w:val="auto"/>
          <w:szCs w:val="21"/>
        </w:rPr>
        <w:br w:type="page"/>
      </w:r>
      <w:bookmarkStart w:id="929" w:name="_Toc417843437"/>
      <w:bookmarkStart w:id="930" w:name="_Toc8300794"/>
      <w:bookmarkStart w:id="931" w:name="_Toc420071237"/>
      <w:bookmarkStart w:id="932" w:name="_Toc484796151"/>
      <w:bookmarkStart w:id="933" w:name="_Toc18414"/>
      <w:bookmarkStart w:id="934" w:name="_Toc427339183"/>
      <w:bookmarkStart w:id="935" w:name="_Toc347849250"/>
      <w:bookmarkStart w:id="936" w:name="_Toc417843486"/>
    </w:p>
    <w:bookmarkEnd w:id="928"/>
    <w:bookmarkEnd w:id="929"/>
    <w:bookmarkEnd w:id="930"/>
    <w:bookmarkEnd w:id="931"/>
    <w:bookmarkEnd w:id="932"/>
    <w:bookmarkEnd w:id="933"/>
    <w:bookmarkEnd w:id="934"/>
    <w:bookmarkEnd w:id="935"/>
    <w:bookmarkEnd w:id="936"/>
    <w:p w14:paraId="4AEDCE6A">
      <w:pPr>
        <w:pStyle w:val="20"/>
        <w:spacing w:line="360" w:lineRule="auto"/>
        <w:jc w:val="center"/>
        <w:outlineLvl w:val="1"/>
        <w:rPr>
          <w:rFonts w:hint="eastAsia" w:ascii="宋体" w:hAnsi="宋体" w:eastAsia="宋体" w:cs="宋体"/>
          <w:b/>
          <w:bCs/>
          <w:color w:val="auto"/>
          <w:sz w:val="24"/>
          <w:szCs w:val="24"/>
        </w:rPr>
      </w:pPr>
      <w:bookmarkStart w:id="937" w:name="_Toc27529"/>
      <w:bookmarkStart w:id="938" w:name="_Toc11761"/>
      <w:bookmarkStart w:id="939" w:name="_Toc7260"/>
      <w:bookmarkStart w:id="940" w:name="_Toc29033"/>
      <w:bookmarkStart w:id="941" w:name="_Toc475017980"/>
      <w:bookmarkStart w:id="942" w:name="_Toc484796156"/>
      <w:bookmarkStart w:id="943" w:name="_Toc420071239"/>
      <w:bookmarkStart w:id="944" w:name="_Toc8300799"/>
      <w:bookmarkStart w:id="945" w:name="_Toc25210"/>
      <w:bookmarkStart w:id="946" w:name="_Toc427339185"/>
      <w:bookmarkStart w:id="947" w:name="_Toc417843488"/>
      <w:bookmarkStart w:id="948" w:name="_Toc417843439"/>
      <w:r>
        <w:rPr>
          <w:rFonts w:hint="eastAsia" w:ascii="宋体" w:hAnsi="宋体" w:eastAsia="宋体" w:cs="宋体"/>
          <w:b/>
          <w:bCs/>
          <w:color w:val="auto"/>
          <w:sz w:val="24"/>
          <w:szCs w:val="24"/>
          <w:lang w:val="en-US" w:eastAsia="zh-CN"/>
        </w:rPr>
        <w:t>四</w:t>
      </w:r>
      <w:r>
        <w:rPr>
          <w:rFonts w:hint="eastAsia" w:ascii="宋体" w:hAnsi="宋体" w:eastAsia="宋体" w:cs="宋体"/>
          <w:b/>
          <w:bCs/>
          <w:color w:val="auto"/>
          <w:sz w:val="24"/>
          <w:szCs w:val="24"/>
          <w:lang w:eastAsia="zh-CN"/>
        </w:rPr>
        <w:t>、</w:t>
      </w:r>
      <w:r>
        <w:rPr>
          <w:rFonts w:hint="eastAsia" w:ascii="宋体" w:hAnsi="宋体" w:eastAsia="宋体" w:cs="宋体"/>
          <w:b/>
          <w:bCs/>
          <w:color w:val="auto"/>
          <w:sz w:val="24"/>
          <w:szCs w:val="24"/>
        </w:rPr>
        <w:t>具有独立承担民事责任能力</w:t>
      </w:r>
      <w:bookmarkEnd w:id="937"/>
    </w:p>
    <w:bookmarkEnd w:id="938"/>
    <w:bookmarkEnd w:id="939"/>
    <w:bookmarkEnd w:id="940"/>
    <w:bookmarkEnd w:id="941"/>
    <w:p w14:paraId="17D166B1">
      <w:pPr>
        <w:pageBreakBefore w:val="0"/>
        <w:widowControl w:val="0"/>
        <w:kinsoku/>
        <w:wordWrap/>
        <w:overflowPunct/>
        <w:topLinePunct w:val="0"/>
        <w:autoSpaceDE/>
        <w:autoSpaceDN/>
        <w:bidi w:val="0"/>
        <w:adjustRightInd/>
        <w:snapToGrid/>
        <w:spacing w:line="360" w:lineRule="auto"/>
        <w:ind w:firstLine="420" w:firstLineChars="200"/>
        <w:textAlignment w:val="auto"/>
        <w:rPr>
          <w:rFonts w:hint="eastAsia" w:ascii="宋体" w:hAnsi="宋体" w:eastAsia="宋体" w:cs="宋体"/>
          <w:color w:val="auto"/>
          <w:sz w:val="21"/>
          <w:szCs w:val="21"/>
        </w:rPr>
      </w:pPr>
      <w:bookmarkStart w:id="949" w:name="_Toc139897029"/>
      <w:bookmarkStart w:id="950" w:name="_Toc475017982"/>
      <w:bookmarkStart w:id="951" w:name="_Toc10738"/>
      <w:bookmarkStart w:id="952" w:name="_Toc15453"/>
      <w:bookmarkStart w:id="953" w:name="_Toc2026"/>
      <w:r>
        <w:rPr>
          <w:rFonts w:hint="eastAsia" w:ascii="宋体" w:hAnsi="宋体" w:eastAsia="宋体" w:cs="宋体"/>
          <w:color w:val="auto"/>
          <w:sz w:val="21"/>
          <w:szCs w:val="21"/>
        </w:rPr>
        <w:t>在中华人民共和国境内依法成立，具有独立承担民事责任的能力，提供法人或者非法人组织的营业执照或其他法定凭证等证明文件；</w:t>
      </w:r>
      <w:bookmarkEnd w:id="949"/>
    </w:p>
    <w:bookmarkEnd w:id="950"/>
    <w:bookmarkEnd w:id="951"/>
    <w:bookmarkEnd w:id="952"/>
    <w:bookmarkEnd w:id="953"/>
    <w:p w14:paraId="69957BE5">
      <w:pPr>
        <w:pStyle w:val="20"/>
        <w:spacing w:line="360" w:lineRule="auto"/>
        <w:jc w:val="both"/>
        <w:outlineLvl w:val="9"/>
        <w:rPr>
          <w:rFonts w:hint="eastAsia" w:ascii="宋体" w:hAnsi="宋体" w:eastAsia="宋体" w:cs="宋体"/>
          <w:b/>
          <w:bCs/>
          <w:color w:val="auto"/>
          <w:sz w:val="24"/>
          <w:szCs w:val="24"/>
          <w:lang w:val="en-US" w:eastAsia="zh-CN"/>
        </w:rPr>
      </w:pPr>
      <w:bookmarkStart w:id="954" w:name="_Toc20417"/>
      <w:bookmarkStart w:id="955" w:name="_Toc4416"/>
      <w:bookmarkStart w:id="956" w:name="_Toc139897031"/>
      <w:bookmarkStart w:id="957" w:name="_Toc475017986"/>
      <w:bookmarkStart w:id="958" w:name="_Toc22642"/>
      <w:bookmarkStart w:id="959" w:name="_Toc16805"/>
      <w:bookmarkStart w:id="960" w:name="_Toc26210"/>
    </w:p>
    <w:p w14:paraId="45EC5BC9">
      <w:pPr>
        <w:pStyle w:val="20"/>
        <w:spacing w:line="360" w:lineRule="auto"/>
        <w:jc w:val="center"/>
        <w:outlineLvl w:val="1"/>
        <w:rPr>
          <w:rFonts w:hint="eastAsia" w:ascii="宋体" w:hAnsi="宋体" w:eastAsia="宋体" w:cs="宋体"/>
          <w:b/>
          <w:bCs/>
          <w:color w:val="auto"/>
          <w:sz w:val="24"/>
          <w:szCs w:val="24"/>
          <w:lang w:val="en-US" w:eastAsia="zh-CN"/>
        </w:rPr>
      </w:pPr>
      <w:bookmarkStart w:id="961" w:name="_Toc31463"/>
    </w:p>
    <w:p w14:paraId="6DDB6AC0">
      <w:pPr>
        <w:pStyle w:val="20"/>
        <w:spacing w:line="360" w:lineRule="auto"/>
        <w:jc w:val="center"/>
        <w:outlineLvl w:val="1"/>
        <w:rPr>
          <w:rFonts w:hint="eastAsia" w:ascii="宋体" w:hAnsi="宋体" w:eastAsia="宋体" w:cs="宋体"/>
          <w:b/>
          <w:bCs/>
          <w:color w:val="auto"/>
          <w:sz w:val="24"/>
          <w:szCs w:val="24"/>
          <w:lang w:val="en-US" w:eastAsia="zh-CN"/>
        </w:rPr>
      </w:pPr>
    </w:p>
    <w:p w14:paraId="3E3DEC33">
      <w:pPr>
        <w:pStyle w:val="20"/>
        <w:spacing w:line="360" w:lineRule="auto"/>
        <w:jc w:val="center"/>
        <w:outlineLvl w:val="1"/>
        <w:rPr>
          <w:rFonts w:hint="eastAsia" w:ascii="宋体" w:hAnsi="宋体" w:eastAsia="宋体" w:cs="宋体"/>
          <w:b/>
          <w:bCs/>
          <w:color w:val="auto"/>
          <w:sz w:val="24"/>
          <w:szCs w:val="24"/>
        </w:rPr>
      </w:pPr>
      <w:r>
        <w:rPr>
          <w:rFonts w:hint="eastAsia" w:ascii="宋体" w:hAnsi="宋体" w:eastAsia="宋体" w:cs="宋体"/>
          <w:b/>
          <w:bCs/>
          <w:color w:val="auto"/>
          <w:sz w:val="24"/>
          <w:szCs w:val="24"/>
          <w:lang w:val="en-US" w:eastAsia="zh-CN"/>
        </w:rPr>
        <w:t>五</w:t>
      </w:r>
      <w:bookmarkEnd w:id="954"/>
      <w:bookmarkEnd w:id="955"/>
      <w:r>
        <w:rPr>
          <w:rFonts w:hint="eastAsia" w:ascii="宋体" w:hAnsi="宋体" w:eastAsia="宋体" w:cs="宋体"/>
          <w:b/>
          <w:bCs/>
          <w:color w:val="auto"/>
          <w:sz w:val="24"/>
          <w:szCs w:val="24"/>
          <w:lang w:eastAsia="zh-CN"/>
        </w:rPr>
        <w:t>、</w:t>
      </w:r>
      <w:r>
        <w:rPr>
          <w:rFonts w:hint="eastAsia" w:ascii="宋体" w:hAnsi="宋体" w:eastAsia="宋体" w:cs="宋体"/>
          <w:b/>
          <w:bCs/>
          <w:color w:val="auto"/>
          <w:sz w:val="24"/>
          <w:szCs w:val="24"/>
        </w:rPr>
        <w:t>财务状况证明材料</w:t>
      </w:r>
      <w:bookmarkEnd w:id="956"/>
      <w:bookmarkEnd w:id="961"/>
    </w:p>
    <w:bookmarkEnd w:id="957"/>
    <w:bookmarkEnd w:id="958"/>
    <w:bookmarkEnd w:id="959"/>
    <w:bookmarkEnd w:id="960"/>
    <w:p w14:paraId="1BFB18D3">
      <w:pPr>
        <w:keepNext w:val="0"/>
        <w:keepLines w:val="0"/>
        <w:pageBreakBefore w:val="0"/>
        <w:widowControl w:val="0"/>
        <w:tabs>
          <w:tab w:val="left" w:pos="720"/>
          <w:tab w:val="left" w:pos="4200"/>
          <w:tab w:val="left" w:pos="8295"/>
        </w:tabs>
        <w:overflowPunct/>
        <w:topLinePunct w:val="0"/>
        <w:bidi w:val="0"/>
        <w:adjustRightInd/>
        <w:snapToGrid/>
        <w:spacing w:line="336" w:lineRule="auto"/>
        <w:ind w:firstLine="420" w:firstLineChars="200"/>
        <w:textAlignment w:val="auto"/>
        <w:rPr>
          <w:rFonts w:hint="eastAsia" w:ascii="宋体" w:hAnsi="宋体" w:cs="宋体"/>
          <w:color w:val="auto"/>
        </w:rPr>
      </w:pPr>
      <w:r>
        <w:rPr>
          <w:rFonts w:hint="eastAsia" w:ascii="宋体" w:hAnsi="宋体" w:cs="宋体"/>
          <w:color w:val="auto"/>
          <w:szCs w:val="21"/>
        </w:rPr>
        <w:t>1.2</w:t>
      </w:r>
      <w:r>
        <w:rPr>
          <w:rFonts w:hint="eastAsia" w:ascii="宋体" w:hAnsi="宋体" w:cs="宋体"/>
          <w:color w:val="auto"/>
        </w:rPr>
        <w:t>供应商须具有良好的商业信誉和健全的财务会计制度，</w:t>
      </w:r>
      <w:r>
        <w:rPr>
          <w:rFonts w:hint="eastAsia" w:ascii="宋体" w:hAnsi="宋体" w:cs="宋体"/>
          <w:color w:val="auto"/>
          <w:sz w:val="21"/>
          <w:szCs w:val="21"/>
        </w:rPr>
        <w:t xml:space="preserve">供应商须提供财务状况报告，内容可为以下三者之一： </w:t>
      </w:r>
    </w:p>
    <w:p w14:paraId="38977ADD">
      <w:pPr>
        <w:keepNext w:val="0"/>
        <w:keepLines w:val="0"/>
        <w:pageBreakBefore w:val="0"/>
        <w:widowControl w:val="0"/>
        <w:tabs>
          <w:tab w:val="left" w:pos="720"/>
          <w:tab w:val="left" w:pos="4200"/>
          <w:tab w:val="left" w:pos="8295"/>
        </w:tabs>
        <w:overflowPunct/>
        <w:topLinePunct w:val="0"/>
        <w:bidi w:val="0"/>
        <w:adjustRightInd/>
        <w:snapToGrid/>
        <w:spacing w:line="336" w:lineRule="auto"/>
        <w:ind w:firstLine="420" w:firstLineChars="200"/>
        <w:textAlignment w:val="auto"/>
        <w:rPr>
          <w:rFonts w:hint="eastAsia" w:ascii="宋体" w:hAnsi="宋体" w:cs="宋体"/>
          <w:color w:val="auto"/>
          <w:sz w:val="21"/>
          <w:szCs w:val="21"/>
        </w:rPr>
      </w:pPr>
      <w:r>
        <w:rPr>
          <w:rFonts w:hint="eastAsia" w:ascii="宋体" w:hAnsi="宋体" w:cs="宋体"/>
          <w:color w:val="auto"/>
          <w:sz w:val="21"/>
          <w:szCs w:val="21"/>
        </w:rPr>
        <w:t>①提供202</w:t>
      </w:r>
      <w:r>
        <w:rPr>
          <w:rFonts w:hint="eastAsia" w:ascii="宋体" w:hAnsi="宋体" w:cs="宋体"/>
          <w:color w:val="auto"/>
          <w:sz w:val="21"/>
          <w:szCs w:val="21"/>
          <w:lang w:val="en-US" w:eastAsia="zh-CN"/>
        </w:rPr>
        <w:t>4</w:t>
      </w:r>
      <w:r>
        <w:rPr>
          <w:rFonts w:hint="eastAsia" w:ascii="宋体" w:hAnsi="宋体" w:cs="宋体"/>
          <w:color w:val="auto"/>
          <w:sz w:val="21"/>
          <w:szCs w:val="21"/>
        </w:rPr>
        <w:t>或者202</w:t>
      </w:r>
      <w:r>
        <w:rPr>
          <w:rFonts w:hint="eastAsia" w:ascii="宋体" w:hAnsi="宋体" w:cs="宋体"/>
          <w:color w:val="auto"/>
          <w:sz w:val="21"/>
          <w:szCs w:val="21"/>
          <w:lang w:val="en-US" w:eastAsia="zh-CN"/>
        </w:rPr>
        <w:t>5</w:t>
      </w:r>
      <w:r>
        <w:rPr>
          <w:rFonts w:hint="eastAsia" w:ascii="宋体" w:hAnsi="宋体" w:cs="宋体"/>
          <w:color w:val="auto"/>
          <w:sz w:val="21"/>
          <w:szCs w:val="21"/>
        </w:rPr>
        <w:t>任意年度经第三方审计的财务报告及报表（报表至少应包括资产负债表、利润表（损益表）、现金流量表），事业单位可提供内部财务报表，新成立不满1年的供应商提供自成立至今的财务报表；</w:t>
      </w:r>
    </w:p>
    <w:p w14:paraId="5A6C0A4D">
      <w:pPr>
        <w:keepNext w:val="0"/>
        <w:keepLines w:val="0"/>
        <w:pageBreakBefore w:val="0"/>
        <w:widowControl w:val="0"/>
        <w:tabs>
          <w:tab w:val="left" w:pos="720"/>
          <w:tab w:val="left" w:pos="4200"/>
          <w:tab w:val="left" w:pos="8295"/>
        </w:tabs>
        <w:overflowPunct/>
        <w:topLinePunct w:val="0"/>
        <w:bidi w:val="0"/>
        <w:adjustRightInd/>
        <w:snapToGrid/>
        <w:spacing w:line="336" w:lineRule="auto"/>
        <w:ind w:firstLine="420" w:firstLineChars="200"/>
        <w:textAlignment w:val="auto"/>
        <w:rPr>
          <w:rFonts w:hint="eastAsia" w:ascii="宋体" w:hAnsi="宋体" w:cs="宋体"/>
          <w:color w:val="auto"/>
          <w:sz w:val="21"/>
          <w:szCs w:val="21"/>
        </w:rPr>
      </w:pPr>
      <w:r>
        <w:rPr>
          <w:rFonts w:hint="eastAsia" w:ascii="宋体" w:hAnsi="宋体" w:cs="宋体"/>
          <w:color w:val="auto"/>
          <w:sz w:val="21"/>
          <w:szCs w:val="21"/>
        </w:rPr>
        <w:t>②提供自响应文件提交截止时间前三个月内基本开户银行出具的资信证明；</w:t>
      </w:r>
    </w:p>
    <w:p w14:paraId="5EBDCB3F">
      <w:pPr>
        <w:keepNext w:val="0"/>
        <w:keepLines w:val="0"/>
        <w:pageBreakBefore w:val="0"/>
        <w:widowControl w:val="0"/>
        <w:tabs>
          <w:tab w:val="left" w:pos="720"/>
          <w:tab w:val="left" w:pos="4200"/>
          <w:tab w:val="left" w:pos="8295"/>
        </w:tabs>
        <w:overflowPunct/>
        <w:topLinePunct w:val="0"/>
        <w:bidi w:val="0"/>
        <w:adjustRightInd/>
        <w:snapToGrid/>
        <w:spacing w:line="336" w:lineRule="auto"/>
        <w:ind w:firstLine="420" w:firstLineChars="200"/>
        <w:textAlignment w:val="auto"/>
        <w:rPr>
          <w:rFonts w:hint="eastAsia" w:ascii="宋体" w:hAnsi="宋体" w:cs="宋体"/>
          <w:color w:val="auto"/>
          <w:sz w:val="21"/>
          <w:szCs w:val="21"/>
        </w:rPr>
      </w:pPr>
      <w:r>
        <w:rPr>
          <w:rFonts w:hint="eastAsia" w:ascii="宋体" w:hAnsi="宋体" w:cs="宋体"/>
          <w:color w:val="auto"/>
          <w:sz w:val="21"/>
          <w:szCs w:val="21"/>
        </w:rPr>
        <w:t>③提供财政部门认可的政府采购专业担保机构出具的投标担保函。</w:t>
      </w:r>
    </w:p>
    <w:p w14:paraId="2D7BCEBD">
      <w:pPr>
        <w:keepNext w:val="0"/>
        <w:keepLines w:val="0"/>
        <w:pageBreakBefore w:val="0"/>
        <w:widowControl w:val="0"/>
        <w:tabs>
          <w:tab w:val="left" w:pos="720"/>
          <w:tab w:val="left" w:pos="4200"/>
          <w:tab w:val="left" w:pos="8295"/>
        </w:tabs>
        <w:overflowPunct/>
        <w:topLinePunct w:val="0"/>
        <w:bidi w:val="0"/>
        <w:adjustRightInd/>
        <w:snapToGrid/>
        <w:spacing w:line="336" w:lineRule="auto"/>
        <w:ind w:firstLine="422" w:firstLineChars="200"/>
        <w:textAlignment w:val="auto"/>
        <w:rPr>
          <w:rFonts w:hint="eastAsia" w:ascii="宋体" w:hAnsi="宋体" w:cs="宋体"/>
          <w:color w:val="auto"/>
          <w:sz w:val="21"/>
          <w:szCs w:val="21"/>
        </w:rPr>
      </w:pPr>
      <w:r>
        <w:rPr>
          <w:rFonts w:hint="eastAsia" w:ascii="宋体" w:hAnsi="宋体" w:eastAsia="宋体" w:cs="宋体"/>
          <w:b/>
          <w:bCs/>
          <w:color w:val="auto"/>
          <w:szCs w:val="21"/>
          <w:lang w:val="en-US" w:eastAsia="zh-CN"/>
        </w:rPr>
        <w:t>注：</w:t>
      </w:r>
      <w:r>
        <w:rPr>
          <w:rFonts w:hint="eastAsia" w:ascii="宋体" w:hAnsi="宋体" w:eastAsia="宋体" w:cs="宋体"/>
          <w:b/>
          <w:bCs/>
          <w:color w:val="auto"/>
          <w:kern w:val="0"/>
          <w:szCs w:val="21"/>
          <w:u w:val="none"/>
          <w:lang w:val="en-US" w:eastAsia="zh-CN"/>
        </w:rPr>
        <w:t>若提供2022年及以后的审计报告须按“财办〔2022〕32号</w:t>
      </w:r>
      <w:r>
        <w:rPr>
          <w:rFonts w:hint="eastAsia" w:ascii="宋体" w:hAnsi="宋体" w:cs="宋体"/>
          <w:b/>
          <w:bCs/>
          <w:color w:val="auto"/>
          <w:kern w:val="0"/>
          <w:szCs w:val="21"/>
          <w:u w:val="none"/>
          <w:lang w:val="en-US" w:eastAsia="zh-CN"/>
        </w:rPr>
        <w:t>”“</w:t>
      </w:r>
      <w:r>
        <w:rPr>
          <w:rFonts w:hint="eastAsia" w:ascii="宋体" w:hAnsi="宋体" w:eastAsia="宋体" w:cs="宋体"/>
          <w:b/>
          <w:bCs/>
          <w:color w:val="auto"/>
          <w:kern w:val="0"/>
          <w:szCs w:val="21"/>
          <w:u w:val="none"/>
          <w:lang w:val="en-US" w:eastAsia="zh-CN"/>
        </w:rPr>
        <w:t>财会〔2023〕15号、云财会〔2026〕23号”文件要求在注册会计师行业统一监管平台报备并赋予验证码。</w:t>
      </w:r>
    </w:p>
    <w:p w14:paraId="567B1A63">
      <w:pPr>
        <w:pStyle w:val="20"/>
        <w:spacing w:line="360" w:lineRule="auto"/>
        <w:jc w:val="both"/>
        <w:outlineLvl w:val="9"/>
        <w:rPr>
          <w:rFonts w:hint="eastAsia" w:hAnsi="宋体" w:cs="宋体"/>
          <w:b/>
          <w:bCs/>
          <w:color w:val="auto"/>
          <w:sz w:val="24"/>
          <w:szCs w:val="24"/>
        </w:rPr>
      </w:pPr>
    </w:p>
    <w:p w14:paraId="7752386E">
      <w:pPr>
        <w:pStyle w:val="20"/>
        <w:spacing w:line="360" w:lineRule="auto"/>
        <w:jc w:val="both"/>
        <w:outlineLvl w:val="1"/>
        <w:rPr>
          <w:rFonts w:hint="eastAsia" w:hAnsi="宋体" w:cs="宋体"/>
          <w:b/>
          <w:bCs/>
          <w:color w:val="auto"/>
          <w:sz w:val="24"/>
          <w:szCs w:val="24"/>
          <w:lang w:val="en-US" w:eastAsia="zh-CN"/>
        </w:rPr>
      </w:pPr>
      <w:bookmarkStart w:id="962" w:name="_Toc484796153"/>
      <w:bookmarkStart w:id="963" w:name="_Toc58081280"/>
      <w:bookmarkStart w:id="964" w:name="_Toc8300797"/>
      <w:bookmarkStart w:id="965" w:name="_Toc28067"/>
      <w:bookmarkStart w:id="966" w:name="_Toc9695"/>
    </w:p>
    <w:p w14:paraId="020F6CF9">
      <w:pPr>
        <w:pStyle w:val="20"/>
        <w:spacing w:line="360" w:lineRule="auto"/>
        <w:ind w:firstLine="2168" w:firstLineChars="900"/>
        <w:jc w:val="both"/>
        <w:outlineLvl w:val="1"/>
        <w:rPr>
          <w:rFonts w:hint="eastAsia" w:hAnsi="宋体" w:cs="宋体"/>
          <w:b/>
          <w:bCs/>
          <w:color w:val="auto"/>
          <w:sz w:val="24"/>
          <w:szCs w:val="24"/>
          <w:lang w:val="en-US" w:eastAsia="zh-CN"/>
        </w:rPr>
      </w:pPr>
    </w:p>
    <w:p w14:paraId="14B77AF0">
      <w:pPr>
        <w:pStyle w:val="20"/>
        <w:spacing w:line="360" w:lineRule="auto"/>
        <w:ind w:firstLine="2168" w:firstLineChars="900"/>
        <w:jc w:val="both"/>
        <w:outlineLvl w:val="1"/>
        <w:rPr>
          <w:rFonts w:hAnsi="宋体" w:cs="宋体"/>
          <w:color w:val="auto"/>
          <w:szCs w:val="21"/>
        </w:rPr>
      </w:pPr>
      <w:r>
        <w:rPr>
          <w:rFonts w:hint="eastAsia" w:hAnsi="宋体" w:cs="宋体"/>
          <w:b/>
          <w:bCs/>
          <w:color w:val="auto"/>
          <w:sz w:val="24"/>
          <w:szCs w:val="24"/>
          <w:lang w:val="en-US" w:eastAsia="zh-CN"/>
        </w:rPr>
        <w:t>六</w:t>
      </w:r>
      <w:r>
        <w:rPr>
          <w:rFonts w:hint="eastAsia" w:hAnsi="宋体" w:cs="宋体"/>
          <w:b/>
          <w:bCs/>
          <w:color w:val="auto"/>
          <w:sz w:val="24"/>
          <w:szCs w:val="24"/>
        </w:rPr>
        <w:t>、有依法缴纳税收和社会保障资金的良好记录</w:t>
      </w:r>
      <w:bookmarkEnd w:id="962"/>
      <w:bookmarkEnd w:id="963"/>
      <w:bookmarkEnd w:id="964"/>
      <w:bookmarkEnd w:id="965"/>
      <w:bookmarkEnd w:id="966"/>
    </w:p>
    <w:p w14:paraId="6FFFA07D">
      <w:pPr>
        <w:keepNext w:val="0"/>
        <w:keepLines w:val="0"/>
        <w:pageBreakBefore w:val="0"/>
        <w:widowControl w:val="0"/>
        <w:overflowPunct/>
        <w:topLinePunct w:val="0"/>
        <w:bidi w:val="0"/>
        <w:adjustRightInd/>
        <w:snapToGrid/>
        <w:spacing w:line="327" w:lineRule="auto"/>
        <w:ind w:firstLine="480"/>
        <w:textAlignment w:val="auto"/>
        <w:rPr>
          <w:rFonts w:hint="eastAsia" w:ascii="宋体" w:hAnsi="宋体" w:cs="宋体"/>
          <w:color w:val="auto"/>
          <w:szCs w:val="21"/>
        </w:rPr>
      </w:pPr>
      <w:bookmarkStart w:id="967" w:name="_Toc484796155"/>
      <w:bookmarkStart w:id="968" w:name="_Toc481688230"/>
      <w:bookmarkStart w:id="969" w:name="_Toc432697242"/>
      <w:bookmarkStart w:id="970" w:name="_Toc316479150"/>
      <w:r>
        <w:rPr>
          <w:rFonts w:hint="eastAsia" w:ascii="宋体" w:hAnsi="宋体" w:cs="宋体"/>
          <w:color w:val="auto"/>
          <w:szCs w:val="21"/>
        </w:rPr>
        <w:t>A、纳税证明材料：缴税所属时间在202</w:t>
      </w:r>
      <w:r>
        <w:rPr>
          <w:rFonts w:hint="eastAsia" w:ascii="宋体" w:hAnsi="宋体" w:cs="宋体"/>
          <w:color w:val="auto"/>
          <w:szCs w:val="21"/>
          <w:lang w:val="en-US" w:eastAsia="zh-CN"/>
        </w:rPr>
        <w:t>5</w:t>
      </w:r>
      <w:r>
        <w:rPr>
          <w:rFonts w:hint="eastAsia" w:ascii="宋体" w:hAnsi="宋体" w:cs="宋体"/>
          <w:color w:val="auto"/>
          <w:szCs w:val="21"/>
        </w:rPr>
        <w:t>年</w:t>
      </w:r>
      <w:r>
        <w:rPr>
          <w:rFonts w:hint="eastAsia" w:ascii="宋体" w:hAnsi="宋体" w:cs="宋体"/>
          <w:color w:val="auto"/>
          <w:szCs w:val="21"/>
          <w:lang w:val="en-US" w:eastAsia="zh-CN"/>
        </w:rPr>
        <w:t>7</w:t>
      </w:r>
      <w:r>
        <w:rPr>
          <w:rFonts w:hint="eastAsia" w:ascii="宋体" w:hAnsi="宋体" w:cs="宋体"/>
          <w:color w:val="auto"/>
          <w:szCs w:val="21"/>
        </w:rPr>
        <w:t>月份以来任意</w:t>
      </w:r>
      <w:r>
        <w:rPr>
          <w:rFonts w:hint="eastAsia" w:ascii="宋体" w:hAnsi="宋体" w:cs="宋体"/>
          <w:color w:val="auto"/>
          <w:szCs w:val="21"/>
          <w:lang w:val="en-US" w:eastAsia="zh-CN"/>
        </w:rPr>
        <w:t>1</w:t>
      </w:r>
      <w:r>
        <w:rPr>
          <w:rFonts w:hint="eastAsia" w:ascii="宋体" w:hAnsi="宋体" w:cs="宋体"/>
          <w:color w:val="auto"/>
          <w:szCs w:val="21"/>
        </w:rPr>
        <w:t>个月的税务局税收通用缴款书扫描件或银行电子缴税（费）凭证扫描件或税务局出具纳税情况的相关证明扫描件；</w:t>
      </w:r>
    </w:p>
    <w:p w14:paraId="4BB70467">
      <w:pPr>
        <w:keepNext w:val="0"/>
        <w:keepLines w:val="0"/>
        <w:pageBreakBefore w:val="0"/>
        <w:widowControl w:val="0"/>
        <w:overflowPunct/>
        <w:topLinePunct w:val="0"/>
        <w:bidi w:val="0"/>
        <w:adjustRightInd/>
        <w:snapToGrid/>
        <w:spacing w:line="327" w:lineRule="auto"/>
        <w:ind w:firstLine="480"/>
        <w:textAlignment w:val="auto"/>
        <w:rPr>
          <w:rFonts w:hint="eastAsia" w:ascii="宋体" w:hAnsi="宋体" w:cs="宋体"/>
          <w:color w:val="auto"/>
          <w:szCs w:val="21"/>
        </w:rPr>
      </w:pPr>
      <w:r>
        <w:rPr>
          <w:rFonts w:hint="eastAsia" w:ascii="宋体" w:hAnsi="宋体" w:cs="宋体"/>
          <w:color w:val="auto"/>
          <w:szCs w:val="21"/>
        </w:rPr>
        <w:t>B、缴纳社会保险证明材料：缴费所属时间在202</w:t>
      </w:r>
      <w:r>
        <w:rPr>
          <w:rFonts w:hint="eastAsia" w:ascii="宋体" w:hAnsi="宋体" w:cs="宋体"/>
          <w:color w:val="auto"/>
          <w:szCs w:val="21"/>
          <w:lang w:val="en-US" w:eastAsia="zh-CN"/>
        </w:rPr>
        <w:t>5</w:t>
      </w:r>
      <w:r>
        <w:rPr>
          <w:rFonts w:hint="eastAsia" w:ascii="宋体" w:hAnsi="宋体" w:cs="宋体"/>
          <w:color w:val="auto"/>
          <w:szCs w:val="21"/>
        </w:rPr>
        <w:t>年</w:t>
      </w:r>
      <w:r>
        <w:rPr>
          <w:rFonts w:hint="eastAsia" w:ascii="宋体" w:hAnsi="宋体" w:cs="宋体"/>
          <w:color w:val="auto"/>
          <w:szCs w:val="21"/>
          <w:lang w:val="en-US" w:eastAsia="zh-CN"/>
        </w:rPr>
        <w:t>7</w:t>
      </w:r>
      <w:r>
        <w:rPr>
          <w:rFonts w:hint="eastAsia" w:ascii="宋体" w:hAnsi="宋体" w:cs="宋体"/>
          <w:color w:val="auto"/>
          <w:szCs w:val="21"/>
        </w:rPr>
        <w:t>月份以来任意</w:t>
      </w:r>
      <w:r>
        <w:rPr>
          <w:rFonts w:hint="eastAsia" w:ascii="宋体" w:hAnsi="宋体" w:cs="宋体"/>
          <w:color w:val="auto"/>
          <w:szCs w:val="21"/>
          <w:lang w:val="en-US" w:eastAsia="zh-CN"/>
        </w:rPr>
        <w:t>1</w:t>
      </w:r>
      <w:r>
        <w:rPr>
          <w:rFonts w:hint="eastAsia" w:ascii="宋体" w:hAnsi="宋体" w:cs="宋体"/>
          <w:color w:val="auto"/>
          <w:szCs w:val="21"/>
        </w:rPr>
        <w:t>个月的社会保险费缴款书扫描件或银行电子缴税（费）凭证扫描件或社保管理部门出具的有效的缴款证明扫描件。</w:t>
      </w:r>
    </w:p>
    <w:p w14:paraId="37753919">
      <w:pPr>
        <w:keepNext w:val="0"/>
        <w:keepLines w:val="0"/>
        <w:pageBreakBefore w:val="0"/>
        <w:widowControl w:val="0"/>
        <w:overflowPunct/>
        <w:topLinePunct w:val="0"/>
        <w:bidi w:val="0"/>
        <w:adjustRightInd/>
        <w:snapToGrid/>
        <w:spacing w:line="327" w:lineRule="auto"/>
        <w:ind w:firstLine="480"/>
        <w:textAlignment w:val="auto"/>
        <w:rPr>
          <w:rFonts w:hint="eastAsia" w:ascii="宋体" w:hAnsi="宋体" w:cs="宋体"/>
          <w:szCs w:val="21"/>
        </w:rPr>
      </w:pPr>
      <w:r>
        <w:rPr>
          <w:rFonts w:hint="eastAsia" w:ascii="宋体" w:hAnsi="宋体" w:cs="宋体"/>
          <w:szCs w:val="21"/>
        </w:rPr>
        <w:t>依法免税或不需要缴纳社会保障资金的供应商，应提供相应文件证明其依法免税或不需要缴纳社会保障资金。</w:t>
      </w:r>
    </w:p>
    <w:bookmarkEnd w:id="967"/>
    <w:bookmarkEnd w:id="968"/>
    <w:bookmarkEnd w:id="969"/>
    <w:bookmarkEnd w:id="970"/>
    <w:p w14:paraId="4D3E7178">
      <w:pPr>
        <w:pStyle w:val="20"/>
        <w:spacing w:line="360" w:lineRule="auto"/>
        <w:jc w:val="both"/>
        <w:outlineLvl w:val="9"/>
        <w:rPr>
          <w:rFonts w:hint="eastAsia" w:hAnsi="宋体" w:cs="宋体"/>
          <w:b/>
          <w:bCs/>
          <w:color w:val="auto"/>
          <w:sz w:val="24"/>
          <w:szCs w:val="24"/>
        </w:rPr>
      </w:pPr>
      <w:bookmarkStart w:id="971" w:name="_Toc461186306"/>
      <w:bookmarkStart w:id="972" w:name="_Toc287279812"/>
      <w:bookmarkStart w:id="973" w:name="_Toc316479151"/>
      <w:bookmarkStart w:id="974" w:name="_Toc461180428"/>
      <w:bookmarkStart w:id="975" w:name="_Toc528148934"/>
      <w:bookmarkStart w:id="976" w:name="_Toc18040"/>
      <w:bookmarkStart w:id="977" w:name="_Toc58081282"/>
    </w:p>
    <w:p w14:paraId="782F0729">
      <w:pPr>
        <w:pStyle w:val="20"/>
        <w:spacing w:line="360" w:lineRule="auto"/>
        <w:jc w:val="both"/>
        <w:outlineLvl w:val="1"/>
        <w:rPr>
          <w:rFonts w:hint="eastAsia" w:hAnsi="宋体" w:cs="宋体"/>
          <w:b/>
          <w:bCs/>
          <w:color w:val="auto"/>
          <w:sz w:val="24"/>
          <w:szCs w:val="24"/>
        </w:rPr>
      </w:pPr>
      <w:bookmarkStart w:id="978" w:name="_Toc32220"/>
    </w:p>
    <w:p w14:paraId="43CA5BB4">
      <w:pPr>
        <w:pStyle w:val="20"/>
        <w:spacing w:line="360" w:lineRule="auto"/>
        <w:jc w:val="center"/>
        <w:outlineLvl w:val="1"/>
        <w:rPr>
          <w:rFonts w:hAnsi="宋体" w:cs="宋体"/>
          <w:b/>
          <w:bCs/>
          <w:color w:val="auto"/>
          <w:sz w:val="24"/>
          <w:szCs w:val="24"/>
        </w:rPr>
      </w:pPr>
      <w:r>
        <w:rPr>
          <w:rFonts w:hint="eastAsia" w:hAnsi="宋体" w:cs="宋体"/>
          <w:b/>
          <w:bCs/>
          <w:color w:val="auto"/>
          <w:sz w:val="24"/>
          <w:szCs w:val="24"/>
        </w:rPr>
        <w:t>七、</w:t>
      </w:r>
      <w:bookmarkEnd w:id="971"/>
      <w:bookmarkEnd w:id="972"/>
      <w:bookmarkEnd w:id="973"/>
      <w:bookmarkEnd w:id="974"/>
      <w:bookmarkEnd w:id="975"/>
      <w:bookmarkStart w:id="979" w:name="_Hlk49342196"/>
      <w:r>
        <w:rPr>
          <w:rFonts w:hint="eastAsia" w:hAnsi="宋体" w:cs="宋体"/>
          <w:b/>
          <w:bCs/>
          <w:color w:val="auto"/>
          <w:sz w:val="24"/>
          <w:szCs w:val="24"/>
        </w:rPr>
        <w:t>具有履行合同所必需的设备和专业技术能力</w:t>
      </w:r>
      <w:bookmarkEnd w:id="979"/>
      <w:r>
        <w:rPr>
          <w:rFonts w:hint="eastAsia" w:hAnsi="宋体" w:cs="宋体"/>
          <w:b/>
          <w:bCs/>
          <w:color w:val="auto"/>
          <w:sz w:val="24"/>
          <w:szCs w:val="24"/>
        </w:rPr>
        <w:t>的承诺书</w:t>
      </w:r>
      <w:bookmarkEnd w:id="976"/>
      <w:bookmarkEnd w:id="977"/>
      <w:bookmarkEnd w:id="978"/>
    </w:p>
    <w:p w14:paraId="42B3E991">
      <w:pPr>
        <w:pStyle w:val="20"/>
        <w:spacing w:line="360" w:lineRule="auto"/>
        <w:ind w:firstLine="420" w:firstLineChars="200"/>
        <w:jc w:val="center"/>
        <w:rPr>
          <w:rFonts w:hAnsi="宋体" w:cs="宋体"/>
          <w:color w:val="auto"/>
          <w:szCs w:val="21"/>
        </w:rPr>
      </w:pPr>
      <w:r>
        <w:rPr>
          <w:rFonts w:hint="eastAsia" w:hAnsi="宋体" w:cs="宋体"/>
          <w:color w:val="auto"/>
          <w:szCs w:val="21"/>
        </w:rPr>
        <w:t>供应商自行承诺，具有履行合同所必需的设备和专业技术能力。</w:t>
      </w:r>
    </w:p>
    <w:p w14:paraId="61C93E15">
      <w:pPr>
        <w:pStyle w:val="20"/>
        <w:spacing w:line="360" w:lineRule="auto"/>
        <w:jc w:val="both"/>
        <w:outlineLvl w:val="1"/>
        <w:rPr>
          <w:rFonts w:hint="eastAsia" w:hAnsi="宋体" w:cs="宋体"/>
          <w:b/>
          <w:bCs/>
          <w:color w:val="auto"/>
          <w:sz w:val="24"/>
          <w:szCs w:val="24"/>
          <w:lang w:val="en-US" w:eastAsia="zh-CN"/>
        </w:rPr>
      </w:pPr>
      <w:bookmarkStart w:id="980" w:name="_Toc1789"/>
      <w:bookmarkStart w:id="981" w:name="_Toc29462"/>
      <w:bookmarkStart w:id="982" w:name="_Toc8300798"/>
      <w:bookmarkStart w:id="983" w:name="_Toc58081281"/>
    </w:p>
    <w:p w14:paraId="5272B306">
      <w:pPr>
        <w:pStyle w:val="20"/>
        <w:spacing w:line="360" w:lineRule="auto"/>
        <w:jc w:val="center"/>
        <w:outlineLvl w:val="1"/>
        <w:rPr>
          <w:rFonts w:hAnsi="宋体" w:cs="宋体"/>
          <w:b/>
          <w:bCs/>
          <w:color w:val="auto"/>
          <w:sz w:val="24"/>
          <w:szCs w:val="24"/>
        </w:rPr>
      </w:pPr>
      <w:r>
        <w:rPr>
          <w:rFonts w:hint="eastAsia" w:hAnsi="宋体" w:cs="宋体"/>
          <w:b/>
          <w:bCs/>
          <w:color w:val="auto"/>
          <w:sz w:val="24"/>
          <w:szCs w:val="24"/>
          <w:lang w:val="en-US" w:eastAsia="zh-CN"/>
        </w:rPr>
        <w:t>八</w:t>
      </w:r>
      <w:r>
        <w:rPr>
          <w:rFonts w:hint="eastAsia" w:hAnsi="宋体" w:cs="宋体"/>
          <w:b/>
          <w:bCs/>
          <w:color w:val="auto"/>
          <w:sz w:val="24"/>
          <w:szCs w:val="24"/>
        </w:rPr>
        <w:t>、重大违法记录说明及承诺</w:t>
      </w:r>
      <w:bookmarkEnd w:id="980"/>
      <w:bookmarkEnd w:id="981"/>
      <w:bookmarkEnd w:id="982"/>
      <w:bookmarkEnd w:id="983"/>
    </w:p>
    <w:p w14:paraId="17BBBCD2">
      <w:pPr>
        <w:pStyle w:val="20"/>
        <w:spacing w:line="360" w:lineRule="auto"/>
        <w:ind w:firstLine="420" w:firstLineChars="200"/>
        <w:rPr>
          <w:rFonts w:hAnsi="宋体" w:cs="宋体"/>
          <w:color w:val="auto"/>
          <w:szCs w:val="21"/>
        </w:rPr>
      </w:pPr>
      <w:r>
        <w:rPr>
          <w:rFonts w:hint="eastAsia" w:hAnsi="宋体" w:cs="宋体"/>
          <w:color w:val="auto"/>
          <w:szCs w:val="21"/>
        </w:rPr>
        <w:t>1、</w:t>
      </w:r>
      <w:r>
        <w:rPr>
          <w:rFonts w:hint="eastAsia" w:hAnsi="宋体" w:cs="宋体"/>
          <w:color w:val="auto"/>
          <w:szCs w:val="21"/>
          <w:lang w:val="en-US" w:eastAsia="zh-CN"/>
        </w:rPr>
        <w:t>供应商</w:t>
      </w:r>
      <w:r>
        <w:rPr>
          <w:rFonts w:hint="eastAsia" w:hAnsi="宋体" w:cs="宋体"/>
          <w:color w:val="auto"/>
          <w:szCs w:val="21"/>
        </w:rPr>
        <w:t>提供“参加本项目政府采购活动前3年内在经营活动中没有重大违法记录的书面声明”（重大违法记录是指：因违法经营受到刑事处罚或者责令停产停业、吊销许可证或者执照、较大数额罚款等行政处罚）（成立不足3年的则按成立年限提供）。</w:t>
      </w:r>
    </w:p>
    <w:p w14:paraId="5F95443A">
      <w:pPr>
        <w:pStyle w:val="20"/>
        <w:spacing w:line="360" w:lineRule="auto"/>
        <w:ind w:firstLine="420" w:firstLineChars="200"/>
        <w:rPr>
          <w:rFonts w:hAnsi="宋体" w:cs="宋体"/>
          <w:color w:val="auto"/>
          <w:szCs w:val="21"/>
        </w:rPr>
      </w:pPr>
      <w:r>
        <w:rPr>
          <w:rFonts w:hint="eastAsia" w:hAnsi="宋体" w:cs="宋体"/>
          <w:color w:val="auto"/>
          <w:szCs w:val="21"/>
        </w:rPr>
        <w:t>2、供应商认为需要提交的其他证明材料。</w:t>
      </w:r>
    </w:p>
    <w:p w14:paraId="2A7DCA6E">
      <w:pPr>
        <w:rPr>
          <w:rFonts w:ascii="宋体" w:hAnsi="宋体" w:cs="宋体"/>
          <w:color w:val="auto"/>
          <w:szCs w:val="21"/>
        </w:rPr>
      </w:pPr>
    </w:p>
    <w:p w14:paraId="0C3FF7EC">
      <w:pPr>
        <w:pStyle w:val="20"/>
        <w:spacing w:line="360" w:lineRule="auto"/>
        <w:jc w:val="center"/>
        <w:outlineLvl w:val="1"/>
        <w:rPr>
          <w:rFonts w:hint="eastAsia" w:ascii="宋体" w:hAnsi="宋体" w:eastAsia="宋体" w:cs="宋体"/>
          <w:b/>
          <w:bCs/>
          <w:color w:val="auto"/>
          <w:sz w:val="24"/>
          <w:szCs w:val="24"/>
          <w:lang w:val="en-US" w:eastAsia="zh-CN"/>
        </w:rPr>
      </w:pPr>
      <w:bookmarkStart w:id="984" w:name="_Toc17446"/>
    </w:p>
    <w:p w14:paraId="365C7FAD">
      <w:pPr>
        <w:pStyle w:val="20"/>
        <w:spacing w:line="360" w:lineRule="auto"/>
        <w:jc w:val="center"/>
        <w:outlineLvl w:val="1"/>
        <w:rPr>
          <w:rFonts w:hint="eastAsia" w:ascii="宋体" w:hAnsi="宋体" w:eastAsia="宋体" w:cs="宋体"/>
          <w:b/>
          <w:bCs/>
          <w:color w:val="auto"/>
          <w:sz w:val="24"/>
          <w:szCs w:val="24"/>
          <w:lang w:val="en-US" w:eastAsia="zh-CN"/>
        </w:rPr>
      </w:pPr>
    </w:p>
    <w:p w14:paraId="5C4ABE6C">
      <w:pPr>
        <w:pStyle w:val="20"/>
        <w:spacing w:line="360" w:lineRule="auto"/>
        <w:jc w:val="center"/>
        <w:outlineLvl w:val="1"/>
        <w:rPr>
          <w:rFonts w:hint="eastAsia" w:ascii="宋体" w:hAnsi="宋体" w:eastAsia="宋体" w:cs="宋体"/>
          <w:b/>
          <w:bCs/>
          <w:color w:val="auto"/>
          <w:sz w:val="24"/>
          <w:szCs w:val="24"/>
        </w:rPr>
      </w:pPr>
      <w:r>
        <w:rPr>
          <w:rFonts w:hint="eastAsia" w:ascii="宋体" w:hAnsi="宋体" w:eastAsia="宋体" w:cs="宋体"/>
          <w:b/>
          <w:bCs/>
          <w:color w:val="auto"/>
          <w:sz w:val="24"/>
          <w:szCs w:val="24"/>
          <w:lang w:val="en-US" w:eastAsia="zh-CN"/>
        </w:rPr>
        <w:t>九</w:t>
      </w:r>
      <w:r>
        <w:rPr>
          <w:rFonts w:hint="eastAsia" w:ascii="宋体" w:hAnsi="宋体" w:eastAsia="宋体" w:cs="宋体"/>
          <w:b/>
          <w:bCs/>
          <w:color w:val="auto"/>
          <w:sz w:val="24"/>
          <w:szCs w:val="24"/>
          <w:lang w:eastAsia="zh-CN"/>
        </w:rPr>
        <w:t>、</w:t>
      </w:r>
      <w:r>
        <w:rPr>
          <w:rFonts w:hint="eastAsia" w:ascii="宋体" w:hAnsi="宋体" w:eastAsia="宋体" w:cs="宋体"/>
          <w:b/>
          <w:bCs/>
          <w:color w:val="auto"/>
          <w:sz w:val="24"/>
          <w:szCs w:val="24"/>
        </w:rPr>
        <w:t>本项目的特定资格要求</w:t>
      </w:r>
      <w:bookmarkEnd w:id="984"/>
    </w:p>
    <w:p w14:paraId="76B6A180">
      <w:pPr>
        <w:pStyle w:val="10"/>
        <w:keepNext w:val="0"/>
        <w:keepLines w:val="0"/>
        <w:pageBreakBefore w:val="0"/>
        <w:widowControl w:val="0"/>
        <w:overflowPunct/>
        <w:topLinePunct w:val="0"/>
        <w:bidi w:val="0"/>
        <w:adjustRightInd/>
        <w:snapToGrid/>
        <w:spacing w:line="360" w:lineRule="auto"/>
        <w:textAlignment w:val="auto"/>
        <w:rPr>
          <w:rFonts w:ascii="宋体" w:hAnsi="宋体"/>
          <w:color w:val="auto"/>
          <w:szCs w:val="21"/>
        </w:rPr>
      </w:pPr>
      <w:r>
        <w:rPr>
          <w:rFonts w:hint="eastAsia" w:ascii="宋体" w:hAnsi="宋体"/>
          <w:color w:val="auto"/>
          <w:szCs w:val="21"/>
        </w:rPr>
        <w:t>3.1 资质要求：</w:t>
      </w:r>
      <w:r>
        <w:rPr>
          <w:rFonts w:hint="eastAsia" w:ascii="宋体" w:hAnsi="宋体" w:cs="宋体"/>
          <w:color w:val="auto"/>
          <w:szCs w:val="21"/>
          <w:lang w:val="en-US" w:eastAsia="zh-CN"/>
        </w:rPr>
        <w:t>具备有效的建设行政主管部门颁发的市政公用工程施工总承包叁级及以上（含叁级）资质，且具备有效的安全生产许可证（证书在有效期内）。</w:t>
      </w:r>
    </w:p>
    <w:p w14:paraId="63B82E1A">
      <w:pPr>
        <w:pStyle w:val="10"/>
        <w:keepNext w:val="0"/>
        <w:keepLines w:val="0"/>
        <w:pageBreakBefore w:val="0"/>
        <w:widowControl w:val="0"/>
        <w:overflowPunct/>
        <w:topLinePunct w:val="0"/>
        <w:bidi w:val="0"/>
        <w:adjustRightInd/>
        <w:snapToGrid/>
        <w:spacing w:line="360" w:lineRule="auto"/>
        <w:textAlignment w:val="auto"/>
        <w:rPr>
          <w:rFonts w:hint="eastAsia" w:ascii="宋体" w:hAnsi="宋体" w:eastAsia="宋体"/>
          <w:color w:val="auto"/>
          <w:szCs w:val="21"/>
          <w:lang w:eastAsia="zh-CN"/>
        </w:rPr>
      </w:pPr>
      <w:r>
        <w:rPr>
          <w:rFonts w:hint="eastAsia" w:ascii="宋体" w:hAnsi="宋体"/>
          <w:color w:val="auto"/>
          <w:szCs w:val="21"/>
        </w:rPr>
        <w:t>3.2</w:t>
      </w:r>
      <w:r>
        <w:rPr>
          <w:rFonts w:ascii="宋体" w:hAnsi="宋体"/>
          <w:color w:val="auto"/>
          <w:szCs w:val="21"/>
        </w:rPr>
        <w:t>项目经理要求：</w:t>
      </w:r>
      <w:r>
        <w:rPr>
          <w:rFonts w:hint="eastAsia" w:ascii="宋体" w:hAnsi="宋体"/>
          <w:color w:val="auto"/>
          <w:szCs w:val="21"/>
          <w:lang w:eastAsia="zh-CN"/>
        </w:rPr>
        <w:t>拟投入本项目的项目经理须具备</w:t>
      </w:r>
      <w:r>
        <w:rPr>
          <w:rFonts w:hint="eastAsia" w:ascii="宋体" w:hAnsi="宋体" w:cs="宋体"/>
          <w:color w:val="auto"/>
          <w:szCs w:val="21"/>
          <w:lang w:val="en-US" w:eastAsia="zh-CN"/>
        </w:rPr>
        <w:t>市政公用工程</w:t>
      </w:r>
      <w:r>
        <w:rPr>
          <w:rFonts w:hint="eastAsia" w:ascii="宋体" w:hAnsi="宋体"/>
          <w:color w:val="auto"/>
          <w:szCs w:val="21"/>
          <w:lang w:eastAsia="zh-CN"/>
        </w:rPr>
        <w:t>专业贰级以上（含贰级）</w:t>
      </w:r>
      <w:r>
        <w:rPr>
          <w:rFonts w:hint="eastAsia" w:ascii="宋体" w:hAnsi="宋体"/>
          <w:color w:val="auto"/>
          <w:szCs w:val="21"/>
          <w:lang w:val="en-US" w:eastAsia="zh-CN"/>
        </w:rPr>
        <w:t>注册</w:t>
      </w:r>
      <w:r>
        <w:rPr>
          <w:rFonts w:hint="eastAsia" w:ascii="宋体" w:hAnsi="宋体"/>
          <w:color w:val="auto"/>
          <w:szCs w:val="21"/>
          <w:lang w:eastAsia="zh-CN"/>
        </w:rPr>
        <w:t>建造师，且具备有效的安全生产考核合格证书（B证）（证书在有效期内）且不得担任其他在建项目的项目经理。</w:t>
      </w:r>
    </w:p>
    <w:p w14:paraId="6851BBFF">
      <w:pPr>
        <w:rPr>
          <w:rFonts w:ascii="宋体" w:hAnsi="宋体" w:cs="宋体"/>
          <w:color w:val="auto"/>
          <w:szCs w:val="21"/>
        </w:rPr>
      </w:pPr>
    </w:p>
    <w:p w14:paraId="0BF9145E">
      <w:pPr>
        <w:rPr>
          <w:rFonts w:ascii="宋体" w:hAnsi="宋体" w:cs="宋体"/>
          <w:color w:val="auto"/>
          <w:szCs w:val="21"/>
        </w:rPr>
      </w:pPr>
    </w:p>
    <w:p w14:paraId="6D16BB5A">
      <w:pPr>
        <w:ind w:firstLine="3855" w:firstLineChars="1600"/>
        <w:outlineLvl w:val="1"/>
        <w:rPr>
          <w:rFonts w:hint="eastAsia" w:ascii="宋体" w:hAnsi="宋体" w:cs="宋体"/>
          <w:b/>
          <w:bCs/>
          <w:color w:val="auto"/>
          <w:sz w:val="24"/>
          <w:szCs w:val="24"/>
          <w:lang w:val="en-US" w:eastAsia="zh-CN"/>
        </w:rPr>
      </w:pPr>
    </w:p>
    <w:p w14:paraId="345F57DD">
      <w:pPr>
        <w:ind w:firstLine="3855" w:firstLineChars="1600"/>
        <w:outlineLvl w:val="1"/>
        <w:rPr>
          <w:rFonts w:hint="eastAsia" w:ascii="宋体" w:hAnsi="宋体" w:cs="宋体"/>
          <w:b/>
          <w:bCs/>
          <w:color w:val="auto"/>
          <w:sz w:val="24"/>
          <w:szCs w:val="24"/>
          <w:lang w:val="en-US" w:eastAsia="zh-CN"/>
        </w:rPr>
      </w:pPr>
    </w:p>
    <w:p w14:paraId="654285EA">
      <w:pPr>
        <w:ind w:firstLine="3855" w:firstLineChars="1600"/>
        <w:outlineLvl w:val="1"/>
        <w:rPr>
          <w:rFonts w:hint="eastAsia" w:ascii="宋体" w:hAnsi="宋体" w:cs="宋体"/>
          <w:b/>
          <w:bCs/>
          <w:color w:val="auto"/>
          <w:sz w:val="24"/>
          <w:szCs w:val="24"/>
          <w:lang w:val="en-US" w:eastAsia="zh-CN"/>
        </w:rPr>
      </w:pPr>
    </w:p>
    <w:p w14:paraId="2C2F6FB6">
      <w:pPr>
        <w:ind w:firstLine="3855" w:firstLineChars="1600"/>
        <w:outlineLvl w:val="1"/>
        <w:rPr>
          <w:rFonts w:ascii="宋体" w:hAnsi="宋体" w:cs="宋体"/>
          <w:b/>
          <w:bCs/>
          <w:color w:val="auto"/>
          <w:sz w:val="24"/>
          <w:szCs w:val="24"/>
        </w:rPr>
      </w:pPr>
      <w:r>
        <w:rPr>
          <w:rFonts w:hint="eastAsia" w:ascii="宋体" w:hAnsi="宋体" w:cs="宋体"/>
          <w:b/>
          <w:bCs/>
          <w:color w:val="auto"/>
          <w:sz w:val="24"/>
          <w:szCs w:val="24"/>
          <w:lang w:val="en-US" w:eastAsia="zh-CN"/>
        </w:rPr>
        <w:t>十、</w:t>
      </w:r>
      <w:r>
        <w:rPr>
          <w:rFonts w:hint="eastAsia" w:ascii="宋体" w:hAnsi="宋体" w:cs="宋体"/>
          <w:b/>
          <w:bCs/>
          <w:color w:val="auto"/>
          <w:sz w:val="24"/>
          <w:szCs w:val="24"/>
        </w:rPr>
        <w:t>其他承诺</w:t>
      </w:r>
    </w:p>
    <w:p w14:paraId="5B8D798A">
      <w:pPr>
        <w:keepNext w:val="0"/>
        <w:keepLines w:val="0"/>
        <w:pageBreakBefore w:val="0"/>
        <w:widowControl/>
        <w:kinsoku/>
        <w:wordWrap/>
        <w:overflowPunct/>
        <w:topLinePunct w:val="0"/>
        <w:autoSpaceDE/>
        <w:autoSpaceDN/>
        <w:bidi w:val="0"/>
        <w:adjustRightInd/>
        <w:snapToGrid/>
        <w:spacing w:line="360" w:lineRule="auto"/>
        <w:ind w:firstLine="0" w:firstLineChars="0"/>
        <w:jc w:val="left"/>
        <w:textAlignment w:val="auto"/>
        <w:rPr>
          <w:rFonts w:ascii="宋体" w:hAnsi="宋体" w:cs="宋体"/>
          <w:color w:val="auto"/>
          <w:szCs w:val="21"/>
        </w:rPr>
      </w:pPr>
      <w:r>
        <w:rPr>
          <w:rFonts w:hint="eastAsia" w:ascii="宋体" w:hAnsi="宋体" w:cs="宋体"/>
          <w:color w:val="auto"/>
          <w:kern w:val="0"/>
          <w:szCs w:val="21"/>
          <w:lang w:bidi="ar"/>
        </w:rPr>
        <w:t>致：</w:t>
      </w:r>
      <w:r>
        <w:rPr>
          <w:rFonts w:hint="eastAsia" w:ascii="宋体" w:hAnsi="宋体" w:cs="宋体"/>
          <w:color w:val="auto"/>
          <w:szCs w:val="21"/>
          <w:u w:val="single"/>
        </w:rPr>
        <w:t xml:space="preserve">                        </w:t>
      </w:r>
      <w:r>
        <w:rPr>
          <w:rFonts w:hint="eastAsia" w:ascii="宋体" w:hAnsi="宋体" w:cs="宋体"/>
          <w:color w:val="auto"/>
          <w:szCs w:val="21"/>
        </w:rPr>
        <w:t>（采购人名称）：</w:t>
      </w:r>
      <w:r>
        <w:rPr>
          <w:rFonts w:hint="eastAsia" w:ascii="宋体" w:hAnsi="宋体" w:cs="宋体"/>
          <w:color w:val="auto"/>
          <w:kern w:val="0"/>
          <w:szCs w:val="21"/>
          <w:lang w:bidi="ar"/>
        </w:rPr>
        <w:t xml:space="preserve"> </w:t>
      </w:r>
    </w:p>
    <w:p w14:paraId="5F0A8E67">
      <w:pPr>
        <w:keepNext w:val="0"/>
        <w:keepLines w:val="0"/>
        <w:pageBreakBefore w:val="0"/>
        <w:widowControl/>
        <w:kinsoku/>
        <w:wordWrap/>
        <w:overflowPunct/>
        <w:topLinePunct w:val="0"/>
        <w:autoSpaceDE/>
        <w:autoSpaceDN/>
        <w:bidi w:val="0"/>
        <w:adjustRightInd/>
        <w:snapToGrid/>
        <w:spacing w:line="360" w:lineRule="auto"/>
        <w:ind w:firstLine="420"/>
        <w:jc w:val="left"/>
        <w:textAlignment w:val="auto"/>
        <w:rPr>
          <w:rFonts w:ascii="宋体" w:hAnsi="宋体" w:cs="宋体"/>
          <w:color w:val="auto"/>
          <w:szCs w:val="21"/>
        </w:rPr>
      </w:pPr>
      <w:r>
        <w:rPr>
          <w:rFonts w:hint="eastAsia" w:ascii="宋体" w:hAnsi="宋体" w:cs="宋体"/>
          <w:color w:val="auto"/>
          <w:kern w:val="0"/>
          <w:szCs w:val="21"/>
          <w:lang w:bidi="ar"/>
        </w:rPr>
        <w:t xml:space="preserve">在参与本次项目投标中，我单位承诺：  </w:t>
      </w:r>
    </w:p>
    <w:p w14:paraId="72661720">
      <w:pPr>
        <w:pStyle w:val="15"/>
        <w:keepNext w:val="0"/>
        <w:keepLines w:val="0"/>
        <w:pageBreakBefore w:val="0"/>
        <w:widowControl/>
        <w:kinsoku/>
        <w:wordWrap/>
        <w:overflowPunct/>
        <w:topLinePunct w:val="0"/>
        <w:autoSpaceDE/>
        <w:autoSpaceDN/>
        <w:bidi w:val="0"/>
        <w:adjustRightInd/>
        <w:snapToGrid/>
        <w:spacing w:after="0" w:line="360" w:lineRule="auto"/>
        <w:ind w:firstLine="420"/>
        <w:textAlignment w:val="auto"/>
        <w:rPr>
          <w:rFonts w:ascii="宋体" w:hAnsi="宋体" w:cs="宋体"/>
          <w:color w:val="auto"/>
          <w:kern w:val="0"/>
          <w:szCs w:val="21"/>
        </w:rPr>
      </w:pPr>
      <w:r>
        <w:rPr>
          <w:rFonts w:hint="eastAsia" w:ascii="宋体" w:hAnsi="宋体" w:cs="宋体"/>
          <w:color w:val="auto"/>
          <w:kern w:val="0"/>
          <w:szCs w:val="21"/>
        </w:rPr>
        <w:t>1、我单位不存在单位负责人为同一人或者存在直接控股、管理关系的不同供应商，参加同一合同项下的政府采购活动的情形。</w:t>
      </w:r>
    </w:p>
    <w:p w14:paraId="1D057312">
      <w:pPr>
        <w:pStyle w:val="15"/>
        <w:keepNext w:val="0"/>
        <w:keepLines w:val="0"/>
        <w:pageBreakBefore w:val="0"/>
        <w:widowControl/>
        <w:kinsoku/>
        <w:wordWrap/>
        <w:overflowPunct/>
        <w:topLinePunct w:val="0"/>
        <w:autoSpaceDE/>
        <w:autoSpaceDN/>
        <w:bidi w:val="0"/>
        <w:adjustRightInd/>
        <w:snapToGrid/>
        <w:spacing w:after="0" w:line="360" w:lineRule="auto"/>
        <w:ind w:firstLine="420"/>
        <w:textAlignment w:val="auto"/>
        <w:rPr>
          <w:rFonts w:ascii="宋体" w:hAnsi="宋体" w:cs="宋体"/>
          <w:color w:val="auto"/>
          <w:kern w:val="0"/>
          <w:szCs w:val="21"/>
        </w:rPr>
      </w:pPr>
      <w:r>
        <w:rPr>
          <w:rFonts w:hint="eastAsia" w:ascii="宋体" w:hAnsi="宋体" w:cs="宋体"/>
          <w:color w:val="auto"/>
          <w:kern w:val="0"/>
          <w:szCs w:val="21"/>
        </w:rPr>
        <w:t>2、我单位不属于为采购项目提供整体设计、规范编制或者项目管理、监理、检测等服务的供应商，参加该采购项目的其他采购活动的情形。</w:t>
      </w:r>
    </w:p>
    <w:p w14:paraId="3A641A8C">
      <w:pPr>
        <w:keepNext w:val="0"/>
        <w:keepLines w:val="0"/>
        <w:pageBreakBefore w:val="0"/>
        <w:widowControl/>
        <w:kinsoku/>
        <w:wordWrap/>
        <w:overflowPunct/>
        <w:topLinePunct w:val="0"/>
        <w:autoSpaceDE/>
        <w:autoSpaceDN/>
        <w:bidi w:val="0"/>
        <w:adjustRightInd/>
        <w:snapToGrid/>
        <w:spacing w:line="360" w:lineRule="auto"/>
        <w:ind w:firstLine="420"/>
        <w:jc w:val="left"/>
        <w:textAlignment w:val="auto"/>
        <w:rPr>
          <w:rFonts w:ascii="宋体" w:hAnsi="宋体" w:cs="宋体"/>
          <w:color w:val="auto"/>
          <w:kern w:val="0"/>
          <w:szCs w:val="21"/>
          <w:lang w:bidi="ar"/>
        </w:rPr>
      </w:pPr>
      <w:r>
        <w:rPr>
          <w:rFonts w:hint="eastAsia" w:ascii="宋体" w:hAnsi="宋体" w:cs="宋体"/>
          <w:color w:val="auto"/>
          <w:kern w:val="0"/>
          <w:szCs w:val="21"/>
          <w:lang w:bidi="ar"/>
        </w:rPr>
        <w:t>上述承诺真实有效，否则我方负全部责任。</w:t>
      </w:r>
    </w:p>
    <w:p w14:paraId="0D69F802">
      <w:pPr>
        <w:jc w:val="both"/>
        <w:rPr>
          <w:rFonts w:hint="eastAsia" w:hAnsi="宋体" w:cs="宋体"/>
          <w:b/>
          <w:bCs/>
          <w:color w:val="auto"/>
          <w:sz w:val="24"/>
          <w:szCs w:val="24"/>
          <w:lang w:val="en-US" w:eastAsia="zh-CN"/>
        </w:rPr>
      </w:pPr>
      <w:bookmarkStart w:id="985" w:name="_Toc18572"/>
      <w:bookmarkStart w:id="986" w:name="_Toc16991"/>
      <w:bookmarkStart w:id="987" w:name="_Toc23151"/>
      <w:bookmarkStart w:id="988" w:name="_Toc3408"/>
      <w:bookmarkStart w:id="989" w:name="_Toc25038"/>
      <w:bookmarkStart w:id="990" w:name="_Toc58081284"/>
    </w:p>
    <w:p w14:paraId="65CA57E1">
      <w:pPr>
        <w:jc w:val="center"/>
        <w:rPr>
          <w:rFonts w:hint="eastAsia" w:hAnsi="宋体" w:cs="宋体"/>
          <w:b/>
          <w:bCs/>
          <w:color w:val="auto"/>
          <w:sz w:val="24"/>
          <w:szCs w:val="24"/>
          <w:lang w:val="en-US" w:eastAsia="zh-CN"/>
        </w:rPr>
      </w:pPr>
    </w:p>
    <w:p w14:paraId="5B08A423">
      <w:pPr>
        <w:keepNext w:val="0"/>
        <w:keepLines w:val="0"/>
        <w:pageBreakBefore w:val="0"/>
        <w:widowControl w:val="0"/>
        <w:kinsoku/>
        <w:wordWrap/>
        <w:overflowPunct/>
        <w:topLinePunct w:val="0"/>
        <w:autoSpaceDE/>
        <w:autoSpaceDN/>
        <w:bidi w:val="0"/>
        <w:adjustRightInd/>
        <w:snapToGrid/>
        <w:spacing w:line="360" w:lineRule="auto"/>
        <w:jc w:val="center"/>
        <w:textAlignment w:val="auto"/>
        <w:outlineLvl w:val="1"/>
        <w:rPr>
          <w:rFonts w:hAnsi="宋体" w:cs="宋体"/>
          <w:b/>
          <w:bCs/>
          <w:color w:val="auto"/>
          <w:sz w:val="24"/>
          <w:szCs w:val="24"/>
        </w:rPr>
      </w:pPr>
      <w:r>
        <w:rPr>
          <w:rFonts w:hint="eastAsia" w:hAnsi="宋体" w:cs="宋体"/>
          <w:b/>
          <w:bCs/>
          <w:color w:val="auto"/>
          <w:sz w:val="24"/>
          <w:szCs w:val="24"/>
          <w:lang w:val="en-US" w:eastAsia="zh-CN"/>
        </w:rPr>
        <w:t>十一</w:t>
      </w:r>
      <w:r>
        <w:rPr>
          <w:rFonts w:hint="eastAsia" w:hAnsi="宋体" w:cs="宋体"/>
          <w:b/>
          <w:bCs/>
          <w:color w:val="auto"/>
          <w:sz w:val="24"/>
          <w:szCs w:val="24"/>
        </w:rPr>
        <w:t>、供应商资格要求中要求的或者供应商认为需要其他文件</w:t>
      </w:r>
      <w:bookmarkEnd w:id="942"/>
      <w:bookmarkEnd w:id="943"/>
      <w:bookmarkEnd w:id="944"/>
      <w:bookmarkEnd w:id="945"/>
      <w:bookmarkEnd w:id="946"/>
      <w:bookmarkEnd w:id="947"/>
      <w:bookmarkEnd w:id="948"/>
      <w:bookmarkEnd w:id="985"/>
      <w:bookmarkEnd w:id="986"/>
      <w:bookmarkEnd w:id="987"/>
      <w:bookmarkEnd w:id="988"/>
      <w:bookmarkEnd w:id="989"/>
      <w:bookmarkEnd w:id="990"/>
    </w:p>
    <w:p w14:paraId="14B853C5">
      <w:pPr>
        <w:spacing w:line="360" w:lineRule="auto"/>
        <w:ind w:firstLine="420" w:firstLineChars="200"/>
        <w:rPr>
          <w:rFonts w:ascii="宋体" w:hAnsi="宋体" w:cs="宋体"/>
          <w:color w:val="auto"/>
          <w:szCs w:val="21"/>
        </w:rPr>
      </w:pPr>
      <w:r>
        <w:rPr>
          <w:rFonts w:hint="eastAsia" w:ascii="宋体" w:hAnsi="宋体" w:cs="宋体"/>
          <w:color w:val="auto"/>
          <w:szCs w:val="21"/>
        </w:rPr>
        <w:t>1、</w:t>
      </w:r>
      <w:r>
        <w:rPr>
          <w:rFonts w:hint="eastAsia" w:hAnsi="宋体" w:cs="宋体"/>
          <w:b/>
          <w:bCs/>
          <w:color w:val="auto"/>
          <w:sz w:val="24"/>
          <w:szCs w:val="24"/>
        </w:rPr>
        <w:t>▲</w:t>
      </w:r>
      <w:r>
        <w:rPr>
          <w:rFonts w:hint="eastAsia" w:ascii="宋体" w:hAnsi="宋体" w:cs="宋体"/>
          <w:color w:val="auto"/>
          <w:szCs w:val="21"/>
        </w:rPr>
        <w:t>磋商保证金缴纳凭证复印件</w:t>
      </w:r>
    </w:p>
    <w:p w14:paraId="4DAA4A25">
      <w:pPr>
        <w:spacing w:line="360" w:lineRule="auto"/>
        <w:ind w:firstLine="420" w:firstLineChars="200"/>
        <w:rPr>
          <w:rFonts w:ascii="宋体" w:hAnsi="宋体" w:cs="宋体"/>
          <w:b/>
          <w:bCs/>
          <w:color w:val="auto"/>
          <w:szCs w:val="21"/>
        </w:rPr>
      </w:pPr>
      <w:r>
        <w:rPr>
          <w:rFonts w:hint="eastAsia" w:ascii="宋体" w:hAnsi="宋体" w:cs="宋体"/>
          <w:color w:val="auto"/>
          <w:szCs w:val="21"/>
        </w:rPr>
        <w:t>2、有格式的请按给定格式填写，无格式要求的请自拟格式。</w:t>
      </w:r>
      <w:r>
        <w:rPr>
          <w:rFonts w:hint="eastAsia" w:ascii="宋体" w:hAnsi="宋体" w:cs="宋体"/>
          <w:bCs/>
          <w:color w:val="auto"/>
          <w:szCs w:val="21"/>
        </w:rPr>
        <w:br w:type="page"/>
      </w:r>
    </w:p>
    <w:p w14:paraId="438E1FF6">
      <w:pPr>
        <w:pStyle w:val="20"/>
        <w:spacing w:line="360" w:lineRule="auto"/>
        <w:jc w:val="center"/>
        <w:outlineLvl w:val="1"/>
        <w:rPr>
          <w:rFonts w:hAnsi="宋体" w:cs="宋体"/>
          <w:b/>
          <w:bCs/>
          <w:color w:val="auto"/>
          <w:sz w:val="24"/>
          <w:szCs w:val="24"/>
        </w:rPr>
      </w:pPr>
      <w:bookmarkStart w:id="991" w:name="_Toc427339186"/>
      <w:bookmarkStart w:id="992" w:name="_Toc420071240"/>
      <w:bookmarkStart w:id="993" w:name="_Toc417843489"/>
      <w:bookmarkStart w:id="994" w:name="_Toc8300800"/>
      <w:bookmarkStart w:id="995" w:name="_Toc417843440"/>
      <w:bookmarkStart w:id="996" w:name="_Toc484796157"/>
      <w:bookmarkStart w:id="997" w:name="_Toc347849252"/>
      <w:bookmarkStart w:id="998" w:name="_Toc58081285"/>
      <w:bookmarkStart w:id="999" w:name="_Toc11934"/>
      <w:bookmarkStart w:id="1000" w:name="_Toc19167"/>
      <w:bookmarkStart w:id="1001" w:name="_Toc5948"/>
      <w:bookmarkStart w:id="1002" w:name="_Toc30826"/>
      <w:bookmarkStart w:id="1003" w:name="_Toc3540"/>
      <w:bookmarkStart w:id="1004" w:name="_Toc24734"/>
      <w:r>
        <w:rPr>
          <w:rFonts w:hint="eastAsia" w:hAnsi="宋体" w:cs="宋体"/>
          <w:b/>
          <w:bCs/>
          <w:color w:val="auto"/>
          <w:sz w:val="24"/>
          <w:szCs w:val="24"/>
        </w:rPr>
        <w:t>十</w:t>
      </w:r>
      <w:r>
        <w:rPr>
          <w:rFonts w:hint="eastAsia" w:hAnsi="宋体" w:cs="宋体"/>
          <w:b/>
          <w:bCs/>
          <w:color w:val="auto"/>
          <w:sz w:val="24"/>
          <w:szCs w:val="24"/>
          <w:lang w:val="en-US" w:eastAsia="zh-CN"/>
        </w:rPr>
        <w:t>二</w:t>
      </w:r>
      <w:r>
        <w:rPr>
          <w:rFonts w:hint="eastAsia" w:hAnsi="宋体" w:cs="宋体"/>
          <w:b/>
          <w:bCs/>
          <w:color w:val="auto"/>
          <w:sz w:val="24"/>
          <w:szCs w:val="24"/>
        </w:rPr>
        <w:t>、</w:t>
      </w:r>
      <w:bookmarkEnd w:id="991"/>
      <w:bookmarkEnd w:id="992"/>
      <w:bookmarkEnd w:id="993"/>
      <w:bookmarkEnd w:id="994"/>
      <w:bookmarkEnd w:id="995"/>
      <w:bookmarkEnd w:id="996"/>
      <w:bookmarkEnd w:id="997"/>
      <w:bookmarkEnd w:id="998"/>
      <w:bookmarkEnd w:id="999"/>
      <w:r>
        <w:rPr>
          <w:rFonts w:hint="eastAsia" w:hAnsi="宋体" w:cs="宋体"/>
          <w:b/>
          <w:bCs/>
          <w:color w:val="auto"/>
          <w:sz w:val="24"/>
          <w:szCs w:val="24"/>
        </w:rPr>
        <w:t>▲报价函</w:t>
      </w:r>
      <w:bookmarkEnd w:id="1000"/>
      <w:bookmarkEnd w:id="1001"/>
      <w:bookmarkEnd w:id="1002"/>
      <w:bookmarkEnd w:id="1003"/>
      <w:bookmarkEnd w:id="1004"/>
    </w:p>
    <w:p w14:paraId="09C0DC8C">
      <w:pPr>
        <w:spacing w:line="360" w:lineRule="auto"/>
        <w:jc w:val="left"/>
        <w:rPr>
          <w:rFonts w:ascii="宋体" w:hAnsi="宋体" w:cs="宋体"/>
          <w:color w:val="auto"/>
          <w:szCs w:val="21"/>
        </w:rPr>
      </w:pPr>
    </w:p>
    <w:p w14:paraId="25786698">
      <w:pPr>
        <w:spacing w:line="360" w:lineRule="auto"/>
        <w:jc w:val="left"/>
        <w:rPr>
          <w:rFonts w:ascii="宋体" w:hAnsi="宋体" w:cs="宋体"/>
          <w:color w:val="auto"/>
          <w:szCs w:val="21"/>
        </w:rPr>
      </w:pPr>
      <w:r>
        <w:rPr>
          <w:rFonts w:hint="eastAsia" w:ascii="宋体" w:hAnsi="宋体" w:cs="宋体"/>
          <w:color w:val="auto"/>
          <w:szCs w:val="21"/>
        </w:rPr>
        <w:t>致：</w:t>
      </w:r>
      <w:r>
        <w:rPr>
          <w:rFonts w:hint="eastAsia" w:ascii="宋体" w:hAnsi="宋体" w:cs="宋体"/>
          <w:color w:val="auto"/>
          <w:szCs w:val="21"/>
          <w:u w:val="single"/>
        </w:rPr>
        <w:t xml:space="preserve">               （采购人名称）</w:t>
      </w:r>
    </w:p>
    <w:p w14:paraId="45F40687">
      <w:pPr>
        <w:spacing w:line="360" w:lineRule="auto"/>
        <w:ind w:firstLine="420"/>
        <w:rPr>
          <w:rFonts w:ascii="宋体" w:hAnsi="宋体" w:cs="宋体"/>
          <w:color w:val="auto"/>
          <w:szCs w:val="21"/>
        </w:rPr>
      </w:pPr>
      <w:r>
        <w:rPr>
          <w:rFonts w:hint="eastAsia" w:ascii="宋体" w:hAnsi="宋体" w:cs="宋体"/>
          <w:color w:val="auto"/>
          <w:szCs w:val="21"/>
          <w:lang w:eastAsia="zh-CN"/>
        </w:rPr>
        <w:t>1.</w:t>
      </w:r>
      <w:r>
        <w:rPr>
          <w:rFonts w:hint="eastAsia" w:ascii="宋体" w:hAnsi="宋体" w:cs="宋体"/>
          <w:color w:val="auto"/>
          <w:szCs w:val="21"/>
        </w:rPr>
        <w:t>我方</w:t>
      </w:r>
      <w:r>
        <w:rPr>
          <w:rFonts w:hint="eastAsia" w:ascii="宋体" w:hAnsi="宋体" w:cs="宋体"/>
          <w:color w:val="auto"/>
          <w:szCs w:val="21"/>
          <w:lang w:eastAsia="zh-CN"/>
        </w:rPr>
        <w:t>已</w:t>
      </w:r>
      <w:r>
        <w:rPr>
          <w:rFonts w:hint="eastAsia" w:ascii="宋体" w:hAnsi="宋体" w:cs="宋体"/>
          <w:color w:val="auto"/>
          <w:szCs w:val="21"/>
        </w:rPr>
        <w:t>仔细研究了</w:t>
      </w:r>
      <w:r>
        <w:rPr>
          <w:rFonts w:hint="eastAsia" w:ascii="宋体" w:hAnsi="宋体" w:cs="宋体"/>
          <w:color w:val="auto"/>
          <w:szCs w:val="21"/>
          <w:u w:val="single"/>
          <w:lang w:eastAsia="zh-CN"/>
        </w:rPr>
        <w:t>石屏县坝心镇人民政府</w:t>
      </w:r>
      <w:r>
        <w:rPr>
          <w:rFonts w:hint="eastAsia" w:ascii="宋体" w:hAnsi="宋体" w:cs="宋体"/>
          <w:color w:val="auto"/>
          <w:szCs w:val="21"/>
          <w:u w:val="single"/>
          <w:lang w:val="en-US" w:eastAsia="zh-CN"/>
        </w:rPr>
        <w:t xml:space="preserve"> </w:t>
      </w:r>
      <w:r>
        <w:rPr>
          <w:rFonts w:hint="eastAsia" w:ascii="宋体" w:hAnsi="宋体" w:cs="宋体"/>
          <w:color w:val="auto"/>
          <w:szCs w:val="21"/>
        </w:rPr>
        <w:t>的</w:t>
      </w:r>
      <w:r>
        <w:rPr>
          <w:rFonts w:hint="eastAsia" w:ascii="宋体" w:hAnsi="宋体" w:cs="宋体"/>
          <w:color w:val="auto"/>
          <w:szCs w:val="21"/>
          <w:u w:val="single"/>
        </w:rPr>
        <w:t xml:space="preserve">       （项目名称）       </w:t>
      </w:r>
      <w:r>
        <w:rPr>
          <w:rFonts w:hint="eastAsia" w:ascii="宋体" w:hAnsi="宋体" w:cs="宋体"/>
          <w:color w:val="auto"/>
          <w:szCs w:val="21"/>
        </w:rPr>
        <w:t>竞争性磋商采购文件的全部内容，并按合同约定，完成的采购内容，并满足采购人，符合国家现行质量标准和规范。</w:t>
      </w:r>
    </w:p>
    <w:p w14:paraId="3EAD2492">
      <w:pPr>
        <w:spacing w:line="360" w:lineRule="auto"/>
        <w:ind w:firstLine="420"/>
        <w:rPr>
          <w:rFonts w:ascii="宋体" w:hAnsi="宋体" w:cs="宋体"/>
          <w:color w:val="auto"/>
          <w:szCs w:val="21"/>
        </w:rPr>
      </w:pPr>
      <w:r>
        <w:rPr>
          <w:rFonts w:hint="eastAsia" w:ascii="宋体" w:hAnsi="宋体" w:cs="宋体"/>
          <w:color w:val="auto"/>
          <w:szCs w:val="21"/>
          <w:lang w:eastAsia="zh-CN"/>
        </w:rPr>
        <w:t>2.</w:t>
      </w:r>
      <w:r>
        <w:rPr>
          <w:rFonts w:hint="eastAsia" w:ascii="宋体" w:hAnsi="宋体" w:cs="宋体"/>
          <w:color w:val="auto"/>
          <w:szCs w:val="21"/>
        </w:rPr>
        <w:t>我方承诺在</w:t>
      </w:r>
      <w:r>
        <w:rPr>
          <w:rFonts w:hint="eastAsia" w:ascii="宋体" w:hAnsi="宋体" w:cs="宋体"/>
          <w:bCs/>
          <w:color w:val="auto"/>
          <w:szCs w:val="21"/>
        </w:rPr>
        <w:t>磋商</w:t>
      </w:r>
      <w:r>
        <w:rPr>
          <w:rFonts w:hint="eastAsia" w:ascii="宋体" w:hAnsi="宋体" w:cs="宋体"/>
          <w:color w:val="auto"/>
          <w:szCs w:val="21"/>
        </w:rPr>
        <w:t>有效期内不修改、撤销响应文件。</w:t>
      </w:r>
    </w:p>
    <w:p w14:paraId="713F150D">
      <w:pPr>
        <w:spacing w:line="360" w:lineRule="auto"/>
        <w:ind w:firstLine="420"/>
        <w:rPr>
          <w:rFonts w:ascii="宋体" w:hAnsi="宋体" w:cs="宋体"/>
          <w:color w:val="auto"/>
          <w:szCs w:val="21"/>
        </w:rPr>
      </w:pPr>
      <w:r>
        <w:rPr>
          <w:rFonts w:hint="eastAsia" w:ascii="宋体" w:hAnsi="宋体" w:cs="宋体"/>
          <w:color w:val="auto"/>
          <w:szCs w:val="21"/>
          <w:lang w:eastAsia="zh-CN"/>
        </w:rPr>
        <w:t>3.</w:t>
      </w:r>
      <w:r>
        <w:rPr>
          <w:rFonts w:hint="eastAsia" w:ascii="宋体" w:hAnsi="宋体" w:cs="宋体"/>
          <w:color w:val="auto"/>
          <w:szCs w:val="21"/>
        </w:rPr>
        <w:t>如我方成交：</w:t>
      </w:r>
    </w:p>
    <w:p w14:paraId="489D46BB">
      <w:pPr>
        <w:spacing w:line="360" w:lineRule="auto"/>
        <w:ind w:firstLine="420"/>
        <w:rPr>
          <w:rFonts w:ascii="宋体" w:hAnsi="宋体" w:cs="宋体"/>
          <w:color w:val="auto"/>
          <w:szCs w:val="21"/>
        </w:rPr>
      </w:pPr>
      <w:r>
        <w:rPr>
          <w:rFonts w:hint="eastAsia" w:ascii="宋体" w:hAnsi="宋体" w:cs="宋体"/>
          <w:color w:val="auto"/>
          <w:szCs w:val="21"/>
        </w:rPr>
        <w:t>（1）我方承诺在收到成交通知书后，在成交通知书规定的期限内与你方签订合同。</w:t>
      </w:r>
    </w:p>
    <w:p w14:paraId="72CB3871">
      <w:pPr>
        <w:spacing w:line="360" w:lineRule="auto"/>
        <w:ind w:firstLine="420"/>
        <w:rPr>
          <w:rFonts w:ascii="宋体" w:hAnsi="宋体" w:cs="宋体"/>
          <w:color w:val="auto"/>
          <w:szCs w:val="21"/>
        </w:rPr>
      </w:pPr>
      <w:r>
        <w:rPr>
          <w:rFonts w:hint="eastAsia" w:ascii="宋体" w:hAnsi="宋体" w:cs="宋体"/>
          <w:color w:val="auto"/>
          <w:szCs w:val="21"/>
        </w:rPr>
        <w:t>（2）我方承诺按照规定向你方递交履约担保。</w:t>
      </w:r>
    </w:p>
    <w:p w14:paraId="6D572C09">
      <w:pPr>
        <w:spacing w:line="360" w:lineRule="auto"/>
        <w:ind w:firstLine="420"/>
        <w:rPr>
          <w:rFonts w:ascii="宋体" w:hAnsi="宋体" w:cs="宋体"/>
          <w:color w:val="auto"/>
          <w:szCs w:val="21"/>
        </w:rPr>
      </w:pPr>
      <w:r>
        <w:rPr>
          <w:rFonts w:hint="eastAsia" w:ascii="宋体" w:hAnsi="宋体" w:cs="宋体"/>
          <w:color w:val="auto"/>
          <w:szCs w:val="21"/>
        </w:rPr>
        <w:t>（3）我方承诺在合同约定的期限内完成合同约定的所有项目内容。</w:t>
      </w:r>
    </w:p>
    <w:p w14:paraId="2A6962F3">
      <w:pPr>
        <w:spacing w:line="360" w:lineRule="auto"/>
        <w:ind w:firstLine="420"/>
        <w:rPr>
          <w:rFonts w:ascii="宋体" w:hAnsi="宋体" w:cs="宋体"/>
          <w:color w:val="auto"/>
          <w:szCs w:val="21"/>
        </w:rPr>
      </w:pPr>
      <w:r>
        <w:rPr>
          <w:rFonts w:hint="eastAsia" w:ascii="宋体" w:hAnsi="宋体" w:cs="宋体"/>
          <w:color w:val="auto"/>
          <w:szCs w:val="21"/>
          <w:lang w:eastAsia="zh-CN"/>
        </w:rPr>
        <w:t>4.</w:t>
      </w:r>
      <w:r>
        <w:rPr>
          <w:rFonts w:hint="eastAsia" w:ascii="宋体" w:hAnsi="宋体" w:cs="宋体"/>
          <w:color w:val="auto"/>
          <w:szCs w:val="21"/>
        </w:rPr>
        <w:t>我方在此声明，所递交的响应文件及有关资料内容完整、真实和准确。</w:t>
      </w:r>
    </w:p>
    <w:p w14:paraId="06199AD9">
      <w:pPr>
        <w:spacing w:line="360" w:lineRule="auto"/>
        <w:ind w:firstLine="420"/>
        <w:rPr>
          <w:rFonts w:ascii="宋体" w:hAnsi="宋体" w:cs="宋体"/>
          <w:color w:val="auto"/>
          <w:szCs w:val="21"/>
        </w:rPr>
      </w:pPr>
      <w:r>
        <w:rPr>
          <w:rFonts w:hint="eastAsia" w:ascii="宋体" w:hAnsi="宋体" w:cs="宋体"/>
          <w:color w:val="auto"/>
          <w:szCs w:val="21"/>
        </w:rPr>
        <w:t>5. ....（其他补充说明）。</w:t>
      </w:r>
    </w:p>
    <w:p w14:paraId="24EF4BA9">
      <w:pPr>
        <w:spacing w:line="360" w:lineRule="auto"/>
        <w:ind w:firstLine="420"/>
        <w:rPr>
          <w:rFonts w:ascii="宋体" w:hAnsi="宋体" w:cs="宋体"/>
          <w:color w:val="auto"/>
          <w:szCs w:val="21"/>
        </w:rPr>
      </w:pPr>
    </w:p>
    <w:p w14:paraId="6CADE077">
      <w:pPr>
        <w:spacing w:line="360" w:lineRule="auto"/>
        <w:ind w:firstLine="420"/>
        <w:rPr>
          <w:rFonts w:ascii="宋体" w:hAnsi="宋体" w:cs="宋体"/>
          <w:color w:val="auto"/>
          <w:szCs w:val="21"/>
        </w:rPr>
      </w:pPr>
    </w:p>
    <w:p w14:paraId="23D5F3B3">
      <w:pPr>
        <w:spacing w:line="360" w:lineRule="auto"/>
        <w:ind w:firstLine="420"/>
        <w:rPr>
          <w:rFonts w:ascii="宋体" w:hAnsi="宋体" w:cs="宋体"/>
          <w:color w:val="auto"/>
          <w:szCs w:val="21"/>
        </w:rPr>
      </w:pPr>
      <w:r>
        <w:rPr>
          <w:rFonts w:hint="eastAsia" w:ascii="宋体" w:hAnsi="宋体" w:cs="宋体"/>
          <w:color w:val="auto"/>
          <w:szCs w:val="21"/>
        </w:rPr>
        <w:t>供应商：（</w:t>
      </w:r>
      <w:r>
        <w:rPr>
          <w:rFonts w:hint="eastAsia" w:ascii="宋体" w:hAnsi="宋体" w:cs="宋体"/>
          <w:color w:val="auto"/>
          <w:szCs w:val="21"/>
          <w:lang w:val="en-US" w:eastAsia="zh-CN"/>
        </w:rPr>
        <w:t>电子签章</w:t>
      </w:r>
      <w:r>
        <w:rPr>
          <w:rFonts w:hint="eastAsia" w:ascii="宋体" w:hAnsi="宋体" w:cs="宋体"/>
          <w:color w:val="auto"/>
          <w:szCs w:val="21"/>
        </w:rPr>
        <w:t>）</w:t>
      </w:r>
    </w:p>
    <w:p w14:paraId="6768D537">
      <w:pPr>
        <w:spacing w:line="360" w:lineRule="auto"/>
        <w:ind w:firstLine="420"/>
        <w:rPr>
          <w:rFonts w:ascii="宋体" w:hAnsi="宋体" w:cs="宋体"/>
          <w:color w:val="auto"/>
          <w:szCs w:val="21"/>
        </w:rPr>
      </w:pPr>
      <w:r>
        <w:rPr>
          <w:rFonts w:hint="eastAsia" w:ascii="宋体" w:hAnsi="宋体" w:cs="宋体"/>
          <w:color w:val="auto"/>
          <w:szCs w:val="21"/>
        </w:rPr>
        <w:t>法定代表人或其委托代理人：（</w:t>
      </w:r>
      <w:r>
        <w:rPr>
          <w:rFonts w:hint="eastAsia" w:ascii="宋体" w:hAnsi="宋体" w:cs="宋体"/>
          <w:color w:val="auto"/>
          <w:szCs w:val="21"/>
          <w:lang w:val="en-US" w:eastAsia="zh-CN"/>
        </w:rPr>
        <w:t>电子签章</w:t>
      </w:r>
      <w:r>
        <w:rPr>
          <w:rFonts w:hint="eastAsia" w:ascii="宋体" w:hAnsi="宋体" w:cs="宋体"/>
          <w:color w:val="auto"/>
          <w:szCs w:val="21"/>
        </w:rPr>
        <w:t>）</w:t>
      </w:r>
    </w:p>
    <w:p w14:paraId="52A6EDB1">
      <w:pPr>
        <w:spacing w:line="360" w:lineRule="auto"/>
        <w:ind w:firstLine="420"/>
        <w:rPr>
          <w:rFonts w:ascii="宋体" w:hAnsi="宋体" w:cs="宋体"/>
          <w:color w:val="auto"/>
          <w:szCs w:val="21"/>
          <w:u w:val="single"/>
        </w:rPr>
      </w:pPr>
      <w:r>
        <w:rPr>
          <w:rFonts w:hint="eastAsia" w:ascii="宋体" w:hAnsi="宋体" w:cs="宋体"/>
          <w:color w:val="auto"/>
          <w:szCs w:val="21"/>
        </w:rPr>
        <w:t>地址：</w:t>
      </w:r>
    </w:p>
    <w:p w14:paraId="2BFE0DB5">
      <w:pPr>
        <w:spacing w:line="360" w:lineRule="auto"/>
        <w:ind w:firstLine="420"/>
        <w:rPr>
          <w:rFonts w:ascii="宋体" w:hAnsi="宋体" w:cs="宋体"/>
          <w:color w:val="auto"/>
          <w:szCs w:val="21"/>
          <w:u w:val="single"/>
        </w:rPr>
      </w:pPr>
      <w:r>
        <w:rPr>
          <w:rFonts w:hint="eastAsia" w:ascii="宋体" w:hAnsi="宋体" w:cs="宋体"/>
          <w:color w:val="auto"/>
          <w:szCs w:val="21"/>
        </w:rPr>
        <w:t>网址：</w:t>
      </w:r>
    </w:p>
    <w:p w14:paraId="3EA6CE6B">
      <w:pPr>
        <w:spacing w:line="360" w:lineRule="auto"/>
        <w:ind w:firstLine="420"/>
        <w:rPr>
          <w:rFonts w:ascii="宋体" w:hAnsi="宋体" w:cs="宋体"/>
          <w:color w:val="auto"/>
          <w:szCs w:val="21"/>
          <w:u w:val="single"/>
        </w:rPr>
      </w:pPr>
      <w:r>
        <w:rPr>
          <w:rFonts w:hint="eastAsia" w:ascii="宋体" w:hAnsi="宋体" w:cs="宋体"/>
          <w:color w:val="auto"/>
          <w:szCs w:val="21"/>
        </w:rPr>
        <w:t>电话：</w:t>
      </w:r>
    </w:p>
    <w:p w14:paraId="3BE7EC7F">
      <w:pPr>
        <w:spacing w:line="360" w:lineRule="auto"/>
        <w:ind w:firstLine="420"/>
        <w:rPr>
          <w:rFonts w:ascii="宋体" w:hAnsi="宋体" w:cs="宋体"/>
          <w:color w:val="auto"/>
          <w:szCs w:val="21"/>
          <w:u w:val="single"/>
        </w:rPr>
      </w:pPr>
      <w:r>
        <w:rPr>
          <w:rFonts w:hint="eastAsia" w:ascii="宋体" w:hAnsi="宋体" w:cs="宋体"/>
          <w:color w:val="auto"/>
          <w:szCs w:val="21"/>
        </w:rPr>
        <w:t>传真：</w:t>
      </w:r>
    </w:p>
    <w:p w14:paraId="4FB848F7">
      <w:pPr>
        <w:spacing w:line="360" w:lineRule="auto"/>
        <w:ind w:firstLine="420"/>
        <w:rPr>
          <w:rFonts w:ascii="宋体" w:hAnsi="宋体" w:cs="宋体"/>
          <w:color w:val="auto"/>
          <w:szCs w:val="21"/>
          <w:u w:val="single"/>
        </w:rPr>
      </w:pPr>
      <w:r>
        <w:rPr>
          <w:rFonts w:hint="eastAsia" w:ascii="宋体" w:hAnsi="宋体" w:cs="宋体"/>
          <w:color w:val="auto"/>
          <w:szCs w:val="21"/>
        </w:rPr>
        <w:t>邮政编码：</w:t>
      </w:r>
    </w:p>
    <w:p w14:paraId="34D58F2E">
      <w:pPr>
        <w:spacing w:line="360" w:lineRule="auto"/>
        <w:ind w:firstLine="420" w:firstLineChars="200"/>
        <w:rPr>
          <w:rFonts w:ascii="宋体" w:hAnsi="宋体" w:cs="宋体"/>
          <w:color w:val="auto"/>
          <w:szCs w:val="21"/>
        </w:rPr>
      </w:pPr>
      <w:r>
        <w:rPr>
          <w:rFonts w:hint="eastAsia" w:ascii="宋体" w:hAnsi="宋体" w:cs="宋体"/>
          <w:color w:val="auto"/>
          <w:szCs w:val="21"/>
        </w:rPr>
        <w:t>日期：</w:t>
      </w:r>
      <w:r>
        <w:rPr>
          <w:rFonts w:hint="eastAsia" w:ascii="宋体" w:hAnsi="宋体" w:cs="宋体"/>
          <w:color w:val="auto"/>
          <w:szCs w:val="21"/>
          <w:lang w:val="en-US" w:eastAsia="zh-CN"/>
        </w:rPr>
        <w:t xml:space="preserve"> </w:t>
      </w:r>
      <w:r>
        <w:rPr>
          <w:rFonts w:hint="eastAsia" w:ascii="宋体" w:hAnsi="宋体" w:cs="宋体"/>
          <w:color w:val="auto"/>
          <w:szCs w:val="21"/>
        </w:rPr>
        <w:t>年</w:t>
      </w:r>
      <w:r>
        <w:rPr>
          <w:rFonts w:hint="eastAsia" w:ascii="宋体" w:hAnsi="宋体" w:cs="宋体"/>
          <w:color w:val="auto"/>
          <w:szCs w:val="21"/>
          <w:lang w:val="en-US" w:eastAsia="zh-CN"/>
        </w:rPr>
        <w:t xml:space="preserve"> </w:t>
      </w:r>
      <w:r>
        <w:rPr>
          <w:rFonts w:hint="eastAsia" w:ascii="宋体" w:hAnsi="宋体" w:cs="宋体"/>
          <w:color w:val="auto"/>
          <w:szCs w:val="21"/>
        </w:rPr>
        <w:t>月</w:t>
      </w:r>
      <w:r>
        <w:rPr>
          <w:rFonts w:hint="eastAsia" w:ascii="宋体" w:hAnsi="宋体" w:cs="宋体"/>
          <w:color w:val="auto"/>
          <w:szCs w:val="21"/>
          <w:lang w:val="en-US" w:eastAsia="zh-CN"/>
        </w:rPr>
        <w:t xml:space="preserve"> </w:t>
      </w:r>
      <w:r>
        <w:rPr>
          <w:rFonts w:hint="eastAsia" w:ascii="宋体" w:hAnsi="宋体" w:cs="宋体"/>
          <w:color w:val="auto"/>
          <w:szCs w:val="21"/>
        </w:rPr>
        <w:t>日</w:t>
      </w:r>
    </w:p>
    <w:p w14:paraId="3CDD3FDF">
      <w:pPr>
        <w:rPr>
          <w:rFonts w:ascii="宋体" w:hAnsi="宋体" w:cs="宋体"/>
          <w:color w:val="auto"/>
          <w:szCs w:val="21"/>
        </w:rPr>
      </w:pPr>
    </w:p>
    <w:p w14:paraId="22973310">
      <w:pPr>
        <w:spacing w:line="360" w:lineRule="auto"/>
        <w:rPr>
          <w:rFonts w:ascii="宋体" w:hAnsi="宋体" w:cs="宋体"/>
          <w:color w:val="auto"/>
          <w:szCs w:val="21"/>
        </w:rPr>
      </w:pPr>
      <w:bookmarkStart w:id="1005" w:name="_Toc347849254"/>
      <w:bookmarkStart w:id="1006" w:name="_Toc346496609"/>
      <w:bookmarkStart w:id="1007" w:name="_Toc327344860"/>
      <w:bookmarkStart w:id="1008" w:name="_Toc267641379"/>
      <w:bookmarkStart w:id="1009" w:name="_Toc232509438"/>
    </w:p>
    <w:p w14:paraId="2D8555D6">
      <w:pPr>
        <w:pStyle w:val="20"/>
        <w:spacing w:line="360" w:lineRule="auto"/>
        <w:jc w:val="center"/>
        <w:outlineLvl w:val="1"/>
        <w:rPr>
          <w:rFonts w:hAnsi="宋体" w:cs="宋体"/>
          <w:color w:val="auto"/>
          <w:szCs w:val="21"/>
        </w:rPr>
      </w:pPr>
      <w:bookmarkStart w:id="1010" w:name="_Toc8300801"/>
      <w:bookmarkStart w:id="1011" w:name="_Toc417843441"/>
      <w:bookmarkStart w:id="1012" w:name="_Toc2506"/>
      <w:bookmarkStart w:id="1013" w:name="_Toc427339187"/>
      <w:bookmarkStart w:id="1014" w:name="_Toc420071241"/>
      <w:bookmarkStart w:id="1015" w:name="_Toc417843490"/>
      <w:bookmarkStart w:id="1016" w:name="_Toc484796158"/>
      <w:r>
        <w:rPr>
          <w:rFonts w:hint="eastAsia" w:hAnsi="宋体" w:cs="宋体"/>
          <w:color w:val="auto"/>
          <w:szCs w:val="21"/>
        </w:rPr>
        <w:br w:type="page"/>
      </w:r>
      <w:bookmarkStart w:id="1017" w:name="_Toc58081286"/>
      <w:bookmarkStart w:id="1018" w:name="_Toc14297"/>
      <w:bookmarkStart w:id="1019" w:name="_Toc30353"/>
      <w:bookmarkStart w:id="1020" w:name="_Toc4628"/>
      <w:bookmarkStart w:id="1021" w:name="_Toc16545"/>
      <w:bookmarkStart w:id="1022" w:name="_Toc27139"/>
      <w:r>
        <w:rPr>
          <w:rFonts w:hint="eastAsia" w:hAnsi="宋体" w:cs="宋体"/>
          <w:b/>
          <w:bCs/>
          <w:color w:val="auto"/>
          <w:sz w:val="24"/>
          <w:szCs w:val="24"/>
        </w:rPr>
        <w:t>十</w:t>
      </w:r>
      <w:r>
        <w:rPr>
          <w:rFonts w:hint="eastAsia" w:hAnsi="宋体" w:cs="宋体"/>
          <w:b/>
          <w:bCs/>
          <w:color w:val="auto"/>
          <w:sz w:val="24"/>
          <w:szCs w:val="24"/>
          <w:lang w:val="en-US" w:eastAsia="zh-CN"/>
        </w:rPr>
        <w:t>三</w:t>
      </w:r>
      <w:r>
        <w:rPr>
          <w:rFonts w:hint="eastAsia" w:hAnsi="宋体" w:cs="宋体"/>
          <w:b/>
          <w:bCs/>
          <w:color w:val="auto"/>
          <w:sz w:val="24"/>
          <w:szCs w:val="24"/>
        </w:rPr>
        <w:t>、</w:t>
      </w:r>
      <w:bookmarkStart w:id="1023" w:name="_Hlk525380897"/>
      <w:r>
        <w:rPr>
          <w:rFonts w:hint="eastAsia" w:hAnsi="宋体" w:cs="宋体"/>
          <w:b/>
          <w:bCs/>
          <w:color w:val="auto"/>
          <w:sz w:val="24"/>
          <w:szCs w:val="24"/>
        </w:rPr>
        <w:t>▲报价一览表</w:t>
      </w:r>
      <w:bookmarkEnd w:id="1005"/>
      <w:bookmarkEnd w:id="1006"/>
      <w:bookmarkEnd w:id="1010"/>
      <w:bookmarkEnd w:id="1011"/>
      <w:bookmarkEnd w:id="1012"/>
      <w:bookmarkEnd w:id="1013"/>
      <w:bookmarkEnd w:id="1014"/>
      <w:bookmarkEnd w:id="1015"/>
      <w:bookmarkEnd w:id="1016"/>
      <w:bookmarkEnd w:id="1017"/>
      <w:bookmarkEnd w:id="1023"/>
      <w:r>
        <w:rPr>
          <w:rFonts w:hint="eastAsia" w:hAnsi="宋体" w:cs="宋体"/>
          <w:b/>
          <w:bCs/>
          <w:color w:val="auto"/>
          <w:sz w:val="24"/>
          <w:szCs w:val="24"/>
        </w:rPr>
        <w:t>（首次）</w:t>
      </w:r>
      <w:bookmarkEnd w:id="1018"/>
      <w:bookmarkEnd w:id="1019"/>
      <w:bookmarkEnd w:id="1020"/>
      <w:bookmarkEnd w:id="1021"/>
      <w:bookmarkEnd w:id="1022"/>
    </w:p>
    <w:tbl>
      <w:tblPr>
        <w:tblStyle w:val="38"/>
        <w:tblW w:w="8939" w:type="dxa"/>
        <w:jc w:val="center"/>
        <w:tblCellSpacing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0" w:type="dxa"/>
          <w:bottom w:w="0" w:type="dxa"/>
          <w:right w:w="0" w:type="dxa"/>
        </w:tblCellMar>
      </w:tblPr>
      <w:tblGrid>
        <w:gridCol w:w="826"/>
        <w:gridCol w:w="2563"/>
        <w:gridCol w:w="2683"/>
        <w:gridCol w:w="2867"/>
      </w:tblGrid>
      <w:tr w14:paraId="13650F45">
        <w:tblPrEx>
          <w:tblCellMar>
            <w:top w:w="0" w:type="dxa"/>
            <w:left w:w="0" w:type="dxa"/>
            <w:bottom w:w="0" w:type="dxa"/>
            <w:right w:w="0" w:type="dxa"/>
          </w:tblCellMar>
        </w:tblPrEx>
        <w:trPr>
          <w:trHeight w:val="745" w:hRule="atLeast"/>
          <w:tblCellSpacing w:w="0" w:type="dxa"/>
          <w:jc w:val="center"/>
        </w:trPr>
        <w:tc>
          <w:tcPr>
            <w:tcW w:w="826" w:type="dxa"/>
            <w:vMerge w:val="restart"/>
            <w:vAlign w:val="center"/>
          </w:tcPr>
          <w:p w14:paraId="25ED96FF">
            <w:pPr>
              <w:jc w:val="center"/>
              <w:textAlignment w:val="center"/>
              <w:rPr>
                <w:rFonts w:ascii="宋体" w:hAnsi="宋体" w:cs="宋体"/>
                <w:color w:val="auto"/>
                <w:szCs w:val="21"/>
              </w:rPr>
            </w:pPr>
            <w:bookmarkStart w:id="1024" w:name="_Hlk37418019"/>
            <w:r>
              <w:rPr>
                <w:rFonts w:hint="eastAsia" w:ascii="宋体" w:hAnsi="宋体" w:cs="宋体"/>
                <w:color w:val="auto"/>
                <w:szCs w:val="21"/>
              </w:rPr>
              <w:t>序号</w:t>
            </w:r>
          </w:p>
        </w:tc>
        <w:tc>
          <w:tcPr>
            <w:tcW w:w="2563" w:type="dxa"/>
            <w:vMerge w:val="restart"/>
            <w:vAlign w:val="center"/>
          </w:tcPr>
          <w:p w14:paraId="5E3CB332">
            <w:pPr>
              <w:jc w:val="center"/>
              <w:textAlignment w:val="center"/>
              <w:rPr>
                <w:rFonts w:ascii="宋体" w:hAnsi="宋体" w:cs="宋体"/>
                <w:color w:val="auto"/>
                <w:szCs w:val="21"/>
              </w:rPr>
            </w:pPr>
            <w:r>
              <w:rPr>
                <w:rFonts w:hint="eastAsia" w:ascii="宋体" w:hAnsi="宋体" w:cs="宋体"/>
                <w:color w:val="auto"/>
                <w:szCs w:val="21"/>
              </w:rPr>
              <w:t>项  目</w:t>
            </w:r>
          </w:p>
        </w:tc>
        <w:tc>
          <w:tcPr>
            <w:tcW w:w="5550" w:type="dxa"/>
            <w:gridSpan w:val="2"/>
            <w:vAlign w:val="center"/>
          </w:tcPr>
          <w:p w14:paraId="3A421919">
            <w:pPr>
              <w:jc w:val="center"/>
              <w:textAlignment w:val="center"/>
              <w:rPr>
                <w:rFonts w:ascii="宋体" w:hAnsi="宋体" w:cs="宋体"/>
                <w:color w:val="auto"/>
                <w:szCs w:val="21"/>
              </w:rPr>
            </w:pPr>
            <w:r>
              <w:rPr>
                <w:rFonts w:hint="eastAsia" w:ascii="宋体" w:hAnsi="宋体" w:cs="宋体"/>
                <w:color w:val="auto"/>
                <w:szCs w:val="21"/>
              </w:rPr>
              <w:t>金        额</w:t>
            </w:r>
          </w:p>
        </w:tc>
      </w:tr>
      <w:tr w14:paraId="7525BFA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714" w:hRule="atLeast"/>
          <w:tblCellSpacing w:w="0" w:type="dxa"/>
          <w:jc w:val="center"/>
        </w:trPr>
        <w:tc>
          <w:tcPr>
            <w:tcW w:w="826" w:type="dxa"/>
            <w:vMerge w:val="continue"/>
            <w:vAlign w:val="center"/>
          </w:tcPr>
          <w:p w14:paraId="33F7DF69">
            <w:pPr>
              <w:jc w:val="center"/>
              <w:textAlignment w:val="center"/>
              <w:rPr>
                <w:rFonts w:ascii="宋体" w:hAnsi="宋体" w:cs="宋体"/>
                <w:color w:val="auto"/>
                <w:szCs w:val="21"/>
              </w:rPr>
            </w:pPr>
          </w:p>
        </w:tc>
        <w:tc>
          <w:tcPr>
            <w:tcW w:w="2563" w:type="dxa"/>
            <w:vMerge w:val="continue"/>
            <w:vAlign w:val="center"/>
          </w:tcPr>
          <w:p w14:paraId="437D2677">
            <w:pPr>
              <w:jc w:val="center"/>
              <w:textAlignment w:val="center"/>
              <w:rPr>
                <w:rFonts w:ascii="宋体" w:hAnsi="宋体" w:cs="宋体"/>
                <w:color w:val="auto"/>
                <w:szCs w:val="21"/>
              </w:rPr>
            </w:pPr>
          </w:p>
        </w:tc>
        <w:tc>
          <w:tcPr>
            <w:tcW w:w="2683" w:type="dxa"/>
            <w:vAlign w:val="center"/>
          </w:tcPr>
          <w:p w14:paraId="23020CBB">
            <w:pPr>
              <w:jc w:val="center"/>
              <w:textAlignment w:val="center"/>
              <w:rPr>
                <w:rFonts w:ascii="宋体" w:hAnsi="宋体" w:cs="宋体"/>
                <w:color w:val="auto"/>
                <w:szCs w:val="21"/>
              </w:rPr>
            </w:pPr>
            <w:r>
              <w:rPr>
                <w:rFonts w:hint="eastAsia" w:ascii="宋体" w:hAnsi="宋体" w:cs="宋体"/>
                <w:color w:val="auto"/>
                <w:szCs w:val="21"/>
              </w:rPr>
              <w:t>小    写</w:t>
            </w:r>
          </w:p>
        </w:tc>
        <w:tc>
          <w:tcPr>
            <w:tcW w:w="2867" w:type="dxa"/>
            <w:vAlign w:val="center"/>
          </w:tcPr>
          <w:p w14:paraId="679FB594">
            <w:pPr>
              <w:jc w:val="center"/>
              <w:textAlignment w:val="center"/>
              <w:rPr>
                <w:rFonts w:ascii="宋体" w:hAnsi="宋体" w:cs="宋体"/>
                <w:color w:val="auto"/>
                <w:szCs w:val="21"/>
              </w:rPr>
            </w:pPr>
            <w:r>
              <w:rPr>
                <w:rFonts w:hint="eastAsia" w:ascii="宋体" w:hAnsi="宋体" w:cs="宋体"/>
                <w:color w:val="auto"/>
                <w:szCs w:val="21"/>
              </w:rPr>
              <w:t>大    写</w:t>
            </w:r>
          </w:p>
        </w:tc>
      </w:tr>
      <w:tr w14:paraId="2655F37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714" w:hRule="atLeast"/>
          <w:tblCellSpacing w:w="0" w:type="dxa"/>
          <w:jc w:val="center"/>
        </w:trPr>
        <w:tc>
          <w:tcPr>
            <w:tcW w:w="826" w:type="dxa"/>
            <w:vAlign w:val="center"/>
          </w:tcPr>
          <w:p w14:paraId="2013B4FD">
            <w:pPr>
              <w:jc w:val="center"/>
              <w:textAlignment w:val="center"/>
              <w:rPr>
                <w:rFonts w:ascii="宋体" w:hAnsi="宋体" w:cs="宋体"/>
                <w:color w:val="auto"/>
                <w:szCs w:val="21"/>
              </w:rPr>
            </w:pPr>
            <w:r>
              <w:rPr>
                <w:rFonts w:hint="eastAsia" w:ascii="宋体" w:hAnsi="宋体" w:cs="宋体"/>
                <w:color w:val="auto"/>
                <w:szCs w:val="21"/>
              </w:rPr>
              <w:t>1</w:t>
            </w:r>
          </w:p>
        </w:tc>
        <w:tc>
          <w:tcPr>
            <w:tcW w:w="2563" w:type="dxa"/>
            <w:vAlign w:val="center"/>
          </w:tcPr>
          <w:p w14:paraId="6ADE2481">
            <w:pPr>
              <w:jc w:val="center"/>
              <w:textAlignment w:val="center"/>
              <w:rPr>
                <w:rFonts w:ascii="宋体" w:hAnsi="宋体" w:cs="宋体"/>
                <w:color w:val="auto"/>
                <w:szCs w:val="21"/>
              </w:rPr>
            </w:pPr>
            <w:r>
              <w:rPr>
                <w:rFonts w:hint="eastAsia" w:ascii="宋体" w:hAnsi="宋体" w:cs="宋体"/>
                <w:color w:val="auto"/>
                <w:szCs w:val="21"/>
              </w:rPr>
              <w:t>竞争性磋商报价（元）</w:t>
            </w:r>
          </w:p>
        </w:tc>
        <w:tc>
          <w:tcPr>
            <w:tcW w:w="2683" w:type="dxa"/>
            <w:vAlign w:val="center"/>
          </w:tcPr>
          <w:p w14:paraId="57027D82">
            <w:pPr>
              <w:jc w:val="center"/>
              <w:textAlignment w:val="center"/>
              <w:rPr>
                <w:rFonts w:ascii="宋体" w:hAnsi="宋体" w:cs="宋体"/>
                <w:color w:val="auto"/>
                <w:position w:val="-6"/>
                <w:szCs w:val="21"/>
                <w:lang w:val="zh-CN"/>
              </w:rPr>
            </w:pPr>
          </w:p>
        </w:tc>
        <w:tc>
          <w:tcPr>
            <w:tcW w:w="2867" w:type="dxa"/>
            <w:vAlign w:val="center"/>
          </w:tcPr>
          <w:p w14:paraId="7C912009">
            <w:pPr>
              <w:jc w:val="center"/>
              <w:textAlignment w:val="center"/>
              <w:rPr>
                <w:rFonts w:ascii="宋体" w:hAnsi="宋体" w:cs="宋体"/>
                <w:color w:val="auto"/>
                <w:szCs w:val="21"/>
              </w:rPr>
            </w:pPr>
          </w:p>
        </w:tc>
      </w:tr>
      <w:tr w14:paraId="6758A70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834" w:hRule="atLeast"/>
          <w:tblCellSpacing w:w="0" w:type="dxa"/>
          <w:jc w:val="center"/>
        </w:trPr>
        <w:tc>
          <w:tcPr>
            <w:tcW w:w="826" w:type="dxa"/>
            <w:vAlign w:val="center"/>
          </w:tcPr>
          <w:p w14:paraId="674BDA4E">
            <w:pPr>
              <w:jc w:val="center"/>
              <w:textAlignment w:val="center"/>
              <w:rPr>
                <w:rFonts w:ascii="宋体" w:hAnsi="宋体" w:cs="宋体"/>
                <w:color w:val="auto"/>
                <w:szCs w:val="21"/>
              </w:rPr>
            </w:pPr>
            <w:r>
              <w:rPr>
                <w:rFonts w:hint="eastAsia" w:ascii="宋体" w:hAnsi="宋体" w:cs="宋体"/>
                <w:color w:val="auto"/>
                <w:szCs w:val="21"/>
              </w:rPr>
              <w:t>2</w:t>
            </w:r>
          </w:p>
        </w:tc>
        <w:tc>
          <w:tcPr>
            <w:tcW w:w="2563" w:type="dxa"/>
            <w:vAlign w:val="center"/>
          </w:tcPr>
          <w:p w14:paraId="773A9917">
            <w:pPr>
              <w:jc w:val="center"/>
              <w:textAlignment w:val="center"/>
              <w:rPr>
                <w:rFonts w:ascii="宋体" w:hAnsi="宋体" w:cs="宋体"/>
                <w:color w:val="auto"/>
                <w:szCs w:val="21"/>
              </w:rPr>
            </w:pPr>
            <w:r>
              <w:rPr>
                <w:rFonts w:hint="eastAsia" w:ascii="宋体" w:hAnsi="宋体" w:cs="宋体"/>
                <w:color w:val="auto"/>
                <w:szCs w:val="21"/>
              </w:rPr>
              <w:t>项目经理</w:t>
            </w:r>
          </w:p>
        </w:tc>
        <w:tc>
          <w:tcPr>
            <w:tcW w:w="5550" w:type="dxa"/>
            <w:gridSpan w:val="2"/>
            <w:vAlign w:val="center"/>
          </w:tcPr>
          <w:p w14:paraId="2295207C">
            <w:pPr>
              <w:pStyle w:val="20"/>
              <w:spacing w:line="320" w:lineRule="exact"/>
              <w:jc w:val="left"/>
              <w:rPr>
                <w:rFonts w:hAnsi="宋体"/>
                <w:color w:val="auto"/>
                <w:sz w:val="21"/>
                <w:szCs w:val="21"/>
              </w:rPr>
            </w:pPr>
            <w:r>
              <w:rPr>
                <w:rFonts w:hint="eastAsia" w:hAnsi="宋体"/>
                <w:color w:val="auto"/>
                <w:sz w:val="21"/>
                <w:szCs w:val="21"/>
              </w:rPr>
              <w:t xml:space="preserve">姓名：  </w:t>
            </w:r>
          </w:p>
          <w:p w14:paraId="388C84CE">
            <w:pPr>
              <w:textAlignment w:val="center"/>
              <w:rPr>
                <w:rFonts w:ascii="宋体" w:hAnsi="宋体" w:cs="宋体"/>
                <w:color w:val="auto"/>
                <w:szCs w:val="21"/>
              </w:rPr>
            </w:pPr>
            <w:r>
              <w:rPr>
                <w:rFonts w:hint="eastAsia" w:hAnsi="宋体"/>
                <w:color w:val="auto"/>
                <w:sz w:val="21"/>
                <w:szCs w:val="21"/>
              </w:rPr>
              <w:t>证书名称及编号：</w:t>
            </w:r>
          </w:p>
        </w:tc>
      </w:tr>
      <w:tr w14:paraId="1AC5296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714" w:hRule="atLeast"/>
          <w:tblCellSpacing w:w="0" w:type="dxa"/>
          <w:jc w:val="center"/>
        </w:trPr>
        <w:tc>
          <w:tcPr>
            <w:tcW w:w="826" w:type="dxa"/>
            <w:vAlign w:val="center"/>
          </w:tcPr>
          <w:p w14:paraId="5E50EC6B">
            <w:pPr>
              <w:jc w:val="center"/>
              <w:textAlignment w:val="center"/>
              <w:rPr>
                <w:rFonts w:ascii="宋体" w:hAnsi="宋体" w:cs="宋体"/>
                <w:color w:val="auto"/>
                <w:szCs w:val="21"/>
              </w:rPr>
            </w:pPr>
            <w:r>
              <w:rPr>
                <w:rFonts w:hint="eastAsia" w:ascii="宋体" w:hAnsi="宋体" w:cs="宋体"/>
                <w:color w:val="auto"/>
                <w:szCs w:val="21"/>
              </w:rPr>
              <w:t>3</w:t>
            </w:r>
          </w:p>
        </w:tc>
        <w:tc>
          <w:tcPr>
            <w:tcW w:w="2563" w:type="dxa"/>
            <w:vAlign w:val="center"/>
          </w:tcPr>
          <w:p w14:paraId="4E3F7288">
            <w:pPr>
              <w:jc w:val="center"/>
              <w:textAlignment w:val="center"/>
              <w:rPr>
                <w:rFonts w:ascii="宋体" w:hAnsi="宋体" w:cs="宋体"/>
                <w:color w:val="auto"/>
                <w:szCs w:val="21"/>
              </w:rPr>
            </w:pPr>
            <w:r>
              <w:rPr>
                <w:rFonts w:hint="eastAsia" w:ascii="宋体" w:hAnsi="宋体" w:cs="宋体"/>
                <w:color w:val="auto"/>
                <w:szCs w:val="21"/>
              </w:rPr>
              <w:t>合同履行期限</w:t>
            </w:r>
          </w:p>
        </w:tc>
        <w:tc>
          <w:tcPr>
            <w:tcW w:w="5550" w:type="dxa"/>
            <w:gridSpan w:val="2"/>
            <w:vAlign w:val="center"/>
          </w:tcPr>
          <w:p w14:paraId="2A0E6D51">
            <w:pPr>
              <w:jc w:val="center"/>
              <w:textAlignment w:val="center"/>
              <w:rPr>
                <w:rFonts w:ascii="宋体" w:hAnsi="宋体" w:cs="宋体"/>
                <w:color w:val="auto"/>
                <w:szCs w:val="21"/>
              </w:rPr>
            </w:pPr>
          </w:p>
        </w:tc>
      </w:tr>
      <w:tr w14:paraId="6C6686A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714" w:hRule="atLeast"/>
          <w:tblCellSpacing w:w="0" w:type="dxa"/>
          <w:jc w:val="center"/>
        </w:trPr>
        <w:tc>
          <w:tcPr>
            <w:tcW w:w="826" w:type="dxa"/>
            <w:vAlign w:val="center"/>
          </w:tcPr>
          <w:p w14:paraId="0B2654FA">
            <w:pPr>
              <w:jc w:val="center"/>
              <w:textAlignment w:val="center"/>
              <w:rPr>
                <w:rFonts w:ascii="宋体" w:hAnsi="宋体" w:cs="宋体"/>
                <w:color w:val="auto"/>
                <w:szCs w:val="21"/>
              </w:rPr>
            </w:pPr>
            <w:r>
              <w:rPr>
                <w:rFonts w:hint="eastAsia" w:ascii="宋体" w:hAnsi="宋体" w:cs="宋体"/>
                <w:color w:val="auto"/>
                <w:szCs w:val="21"/>
              </w:rPr>
              <w:t>4</w:t>
            </w:r>
          </w:p>
        </w:tc>
        <w:tc>
          <w:tcPr>
            <w:tcW w:w="2563" w:type="dxa"/>
            <w:vAlign w:val="center"/>
          </w:tcPr>
          <w:p w14:paraId="17EB22CA">
            <w:pPr>
              <w:jc w:val="center"/>
              <w:textAlignment w:val="center"/>
              <w:rPr>
                <w:rFonts w:hint="eastAsia" w:ascii="宋体" w:hAnsi="宋体" w:eastAsia="宋体" w:cs="宋体"/>
                <w:color w:val="auto"/>
                <w:szCs w:val="21"/>
                <w:lang w:eastAsia="zh-CN"/>
              </w:rPr>
            </w:pPr>
            <w:r>
              <w:rPr>
                <w:rFonts w:hint="eastAsia" w:ascii="宋体" w:hAnsi="宋体" w:cs="宋体"/>
                <w:color w:val="auto"/>
                <w:szCs w:val="21"/>
              </w:rPr>
              <w:t>质量</w:t>
            </w:r>
            <w:r>
              <w:rPr>
                <w:rFonts w:hint="eastAsia" w:ascii="宋体" w:hAnsi="宋体" w:cs="宋体"/>
                <w:color w:val="auto"/>
                <w:szCs w:val="21"/>
                <w:lang w:val="en-US" w:eastAsia="zh-CN"/>
              </w:rPr>
              <w:t>承诺</w:t>
            </w:r>
          </w:p>
        </w:tc>
        <w:tc>
          <w:tcPr>
            <w:tcW w:w="5550" w:type="dxa"/>
            <w:gridSpan w:val="2"/>
            <w:vAlign w:val="center"/>
          </w:tcPr>
          <w:p w14:paraId="04450A24">
            <w:pPr>
              <w:jc w:val="center"/>
              <w:textAlignment w:val="center"/>
              <w:rPr>
                <w:rFonts w:ascii="宋体" w:hAnsi="宋体" w:cs="宋体"/>
                <w:color w:val="auto"/>
                <w:szCs w:val="21"/>
              </w:rPr>
            </w:pPr>
          </w:p>
        </w:tc>
      </w:tr>
      <w:tr w14:paraId="46754D9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745" w:hRule="atLeast"/>
          <w:tblCellSpacing w:w="0" w:type="dxa"/>
          <w:jc w:val="center"/>
        </w:trPr>
        <w:tc>
          <w:tcPr>
            <w:tcW w:w="826" w:type="dxa"/>
            <w:vAlign w:val="center"/>
          </w:tcPr>
          <w:p w14:paraId="463A5BCA">
            <w:pPr>
              <w:jc w:val="center"/>
              <w:textAlignment w:val="center"/>
              <w:rPr>
                <w:rFonts w:ascii="宋体" w:hAnsi="宋体" w:cs="宋体"/>
                <w:color w:val="auto"/>
                <w:szCs w:val="21"/>
              </w:rPr>
            </w:pPr>
            <w:r>
              <w:rPr>
                <w:rFonts w:hint="eastAsia" w:ascii="宋体" w:hAnsi="宋体" w:cs="宋体"/>
                <w:color w:val="auto"/>
                <w:szCs w:val="21"/>
              </w:rPr>
              <w:t>5</w:t>
            </w:r>
          </w:p>
        </w:tc>
        <w:tc>
          <w:tcPr>
            <w:tcW w:w="2563" w:type="dxa"/>
            <w:vAlign w:val="center"/>
          </w:tcPr>
          <w:p w14:paraId="5300DD48">
            <w:pPr>
              <w:jc w:val="center"/>
              <w:textAlignment w:val="center"/>
              <w:rPr>
                <w:rFonts w:ascii="宋体" w:hAnsi="宋体" w:cs="宋体"/>
                <w:color w:val="auto"/>
                <w:szCs w:val="21"/>
              </w:rPr>
            </w:pPr>
            <w:r>
              <w:rPr>
                <w:rFonts w:hint="eastAsia" w:ascii="宋体" w:hAnsi="宋体" w:cs="宋体"/>
                <w:color w:val="auto"/>
                <w:szCs w:val="21"/>
              </w:rPr>
              <w:t>说   明</w:t>
            </w:r>
          </w:p>
        </w:tc>
        <w:tc>
          <w:tcPr>
            <w:tcW w:w="5550" w:type="dxa"/>
            <w:gridSpan w:val="2"/>
            <w:vAlign w:val="center"/>
          </w:tcPr>
          <w:p w14:paraId="2026BF6F">
            <w:pPr>
              <w:jc w:val="center"/>
              <w:textAlignment w:val="center"/>
              <w:rPr>
                <w:rFonts w:ascii="宋体" w:hAnsi="宋体" w:cs="宋体"/>
                <w:color w:val="auto"/>
                <w:szCs w:val="21"/>
              </w:rPr>
            </w:pPr>
          </w:p>
        </w:tc>
      </w:tr>
      <w:bookmarkEnd w:id="1024"/>
    </w:tbl>
    <w:p w14:paraId="59DDA1A1">
      <w:pPr>
        <w:rPr>
          <w:rFonts w:ascii="宋体" w:hAnsi="宋体" w:cs="宋体"/>
          <w:bCs/>
          <w:color w:val="auto"/>
          <w:szCs w:val="21"/>
        </w:rPr>
      </w:pPr>
    </w:p>
    <w:p w14:paraId="574792B4">
      <w:pPr>
        <w:rPr>
          <w:rFonts w:ascii="宋体" w:hAnsi="宋体" w:cs="宋体"/>
          <w:color w:val="auto"/>
          <w:szCs w:val="21"/>
        </w:rPr>
      </w:pPr>
    </w:p>
    <w:bookmarkEnd w:id="1007"/>
    <w:bookmarkEnd w:id="1008"/>
    <w:bookmarkEnd w:id="1009"/>
    <w:p w14:paraId="607179CE">
      <w:pPr>
        <w:rPr>
          <w:rFonts w:ascii="宋体" w:hAnsi="宋体" w:cs="宋体"/>
          <w:color w:val="auto"/>
          <w:szCs w:val="21"/>
        </w:rPr>
      </w:pPr>
      <w:r>
        <w:rPr>
          <w:rFonts w:hint="eastAsia" w:ascii="宋体" w:hAnsi="宋体" w:cs="宋体"/>
          <w:color w:val="auto"/>
          <w:szCs w:val="21"/>
        </w:rPr>
        <w:t>供应商：（</w:t>
      </w:r>
      <w:r>
        <w:rPr>
          <w:rFonts w:hint="eastAsia" w:ascii="宋体" w:hAnsi="宋体" w:cs="宋体"/>
          <w:color w:val="auto"/>
          <w:szCs w:val="21"/>
          <w:lang w:val="en-US" w:eastAsia="zh-CN"/>
        </w:rPr>
        <w:t>电子签章</w:t>
      </w:r>
      <w:r>
        <w:rPr>
          <w:rFonts w:hint="eastAsia" w:ascii="宋体" w:hAnsi="宋体" w:cs="宋体"/>
          <w:color w:val="auto"/>
          <w:szCs w:val="21"/>
        </w:rPr>
        <w:t>）</w:t>
      </w:r>
    </w:p>
    <w:p w14:paraId="1EEE077A">
      <w:pPr>
        <w:rPr>
          <w:rFonts w:ascii="宋体" w:hAnsi="宋体" w:cs="宋体"/>
          <w:bCs/>
          <w:color w:val="auto"/>
          <w:szCs w:val="21"/>
        </w:rPr>
      </w:pPr>
    </w:p>
    <w:p w14:paraId="76E1F7C8">
      <w:pPr>
        <w:rPr>
          <w:rFonts w:ascii="宋体" w:hAnsi="宋体" w:cs="宋体"/>
          <w:color w:val="auto"/>
          <w:szCs w:val="21"/>
        </w:rPr>
      </w:pPr>
      <w:r>
        <w:rPr>
          <w:rFonts w:hint="eastAsia" w:ascii="宋体" w:hAnsi="宋体" w:cs="宋体"/>
          <w:color w:val="auto"/>
          <w:szCs w:val="21"/>
        </w:rPr>
        <w:t>法定代表人或其委托代理人：（</w:t>
      </w:r>
      <w:r>
        <w:rPr>
          <w:rFonts w:hint="eastAsia" w:ascii="宋体" w:hAnsi="宋体" w:cs="宋体"/>
          <w:color w:val="auto"/>
          <w:szCs w:val="21"/>
          <w:lang w:val="en-US" w:eastAsia="zh-CN"/>
        </w:rPr>
        <w:t>电子签章</w:t>
      </w:r>
      <w:r>
        <w:rPr>
          <w:rFonts w:hint="eastAsia" w:ascii="宋体" w:hAnsi="宋体" w:cs="宋体"/>
          <w:color w:val="auto"/>
          <w:szCs w:val="21"/>
        </w:rPr>
        <w:t>）</w:t>
      </w:r>
    </w:p>
    <w:p w14:paraId="18CAD014">
      <w:pPr>
        <w:rPr>
          <w:rFonts w:ascii="宋体" w:hAnsi="宋体" w:cs="宋体"/>
          <w:bCs/>
          <w:color w:val="auto"/>
          <w:szCs w:val="21"/>
        </w:rPr>
      </w:pPr>
    </w:p>
    <w:p w14:paraId="16472CA5">
      <w:pPr>
        <w:spacing w:line="360" w:lineRule="auto"/>
        <w:rPr>
          <w:rFonts w:ascii="宋体" w:hAnsi="宋体" w:cs="宋体"/>
          <w:color w:val="auto"/>
          <w:szCs w:val="21"/>
        </w:rPr>
      </w:pPr>
      <w:bookmarkStart w:id="1025" w:name="_Toc317683320"/>
      <w:bookmarkStart w:id="1026" w:name="_Toc398724682"/>
      <w:bookmarkStart w:id="1027" w:name="_Toc432697222"/>
      <w:bookmarkStart w:id="1028" w:name="_Toc9431738"/>
      <w:r>
        <w:rPr>
          <w:rFonts w:hint="eastAsia" w:ascii="宋体" w:hAnsi="宋体" w:cs="宋体"/>
          <w:color w:val="auto"/>
          <w:szCs w:val="21"/>
        </w:rPr>
        <w:t>日期：</w:t>
      </w:r>
      <w:r>
        <w:rPr>
          <w:rFonts w:hint="eastAsia" w:ascii="宋体" w:hAnsi="宋体" w:cs="宋体"/>
          <w:color w:val="auto"/>
          <w:szCs w:val="21"/>
          <w:lang w:val="en-US" w:eastAsia="zh-CN"/>
        </w:rPr>
        <w:t xml:space="preserve"> </w:t>
      </w:r>
      <w:r>
        <w:rPr>
          <w:rFonts w:hint="eastAsia" w:ascii="宋体" w:hAnsi="宋体" w:cs="宋体"/>
          <w:color w:val="auto"/>
          <w:szCs w:val="21"/>
        </w:rPr>
        <w:t>年</w:t>
      </w:r>
      <w:r>
        <w:rPr>
          <w:rFonts w:hint="eastAsia" w:ascii="宋体" w:hAnsi="宋体" w:cs="宋体"/>
          <w:color w:val="auto"/>
          <w:szCs w:val="21"/>
          <w:lang w:val="en-US" w:eastAsia="zh-CN"/>
        </w:rPr>
        <w:t xml:space="preserve"> </w:t>
      </w:r>
      <w:r>
        <w:rPr>
          <w:rFonts w:hint="eastAsia" w:ascii="宋体" w:hAnsi="宋体" w:cs="宋体"/>
          <w:color w:val="auto"/>
          <w:szCs w:val="21"/>
        </w:rPr>
        <w:t>月</w:t>
      </w:r>
      <w:r>
        <w:rPr>
          <w:rFonts w:hint="eastAsia" w:ascii="宋体" w:hAnsi="宋体" w:cs="宋体"/>
          <w:color w:val="auto"/>
          <w:szCs w:val="21"/>
          <w:lang w:val="en-US" w:eastAsia="zh-CN"/>
        </w:rPr>
        <w:t xml:space="preserve"> </w:t>
      </w:r>
      <w:r>
        <w:rPr>
          <w:rFonts w:hint="eastAsia" w:ascii="宋体" w:hAnsi="宋体" w:cs="宋体"/>
          <w:color w:val="auto"/>
          <w:szCs w:val="21"/>
        </w:rPr>
        <w:t>日</w:t>
      </w:r>
    </w:p>
    <w:p w14:paraId="485E054E">
      <w:pPr>
        <w:rPr>
          <w:rFonts w:ascii="宋体" w:hAnsi="宋体" w:cs="宋体"/>
          <w:color w:val="auto"/>
          <w:szCs w:val="21"/>
        </w:rPr>
      </w:pPr>
    </w:p>
    <w:p w14:paraId="7685F003">
      <w:pPr>
        <w:rPr>
          <w:rFonts w:ascii="宋体" w:hAnsi="宋体" w:cs="宋体"/>
          <w:color w:val="auto"/>
          <w:szCs w:val="21"/>
        </w:rPr>
      </w:pPr>
    </w:p>
    <w:p w14:paraId="50AA64BB">
      <w:pPr>
        <w:rPr>
          <w:rFonts w:ascii="宋体" w:hAnsi="宋体" w:cs="宋体"/>
          <w:color w:val="auto"/>
          <w:szCs w:val="21"/>
        </w:rPr>
      </w:pPr>
    </w:p>
    <w:bookmarkEnd w:id="1025"/>
    <w:p w14:paraId="4DB7DBB3">
      <w:pPr>
        <w:rPr>
          <w:rFonts w:ascii="宋体" w:hAnsi="宋体" w:cs="宋体"/>
          <w:b/>
          <w:bCs/>
          <w:color w:val="auto"/>
          <w:sz w:val="24"/>
          <w:szCs w:val="24"/>
        </w:rPr>
      </w:pPr>
      <w:bookmarkStart w:id="1029" w:name="_Toc58081287"/>
      <w:r>
        <w:rPr>
          <w:rFonts w:hint="eastAsia" w:ascii="宋体" w:hAnsi="宋体" w:cs="宋体"/>
          <w:b/>
          <w:bCs/>
          <w:color w:val="auto"/>
          <w:sz w:val="24"/>
          <w:szCs w:val="24"/>
        </w:rPr>
        <w:br w:type="page"/>
      </w:r>
    </w:p>
    <w:p w14:paraId="25C4CE47">
      <w:pPr>
        <w:pStyle w:val="20"/>
        <w:spacing w:line="360" w:lineRule="auto"/>
        <w:jc w:val="center"/>
        <w:outlineLvl w:val="1"/>
        <w:rPr>
          <w:rFonts w:hAnsi="宋体" w:cs="宋体"/>
          <w:b/>
          <w:bCs/>
          <w:color w:val="auto"/>
          <w:sz w:val="24"/>
          <w:szCs w:val="24"/>
        </w:rPr>
      </w:pPr>
      <w:bookmarkStart w:id="1030" w:name="_Toc25356"/>
      <w:bookmarkStart w:id="1031" w:name="_Toc32139"/>
      <w:bookmarkStart w:id="1032" w:name="_Toc11625"/>
      <w:bookmarkStart w:id="1033" w:name="_Toc15594"/>
      <w:bookmarkStart w:id="1034" w:name="_Toc21928"/>
      <w:r>
        <w:rPr>
          <w:rFonts w:hint="eastAsia" w:hAnsi="宋体" w:cs="宋体"/>
          <w:b/>
          <w:bCs/>
          <w:color w:val="auto"/>
          <w:sz w:val="24"/>
          <w:szCs w:val="24"/>
        </w:rPr>
        <w:t>十</w:t>
      </w:r>
      <w:r>
        <w:rPr>
          <w:rFonts w:hint="eastAsia" w:hAnsi="宋体" w:cs="宋体"/>
          <w:b/>
          <w:bCs/>
          <w:color w:val="auto"/>
          <w:sz w:val="24"/>
          <w:szCs w:val="24"/>
          <w:lang w:val="en-US" w:eastAsia="zh-CN"/>
        </w:rPr>
        <w:t>四</w:t>
      </w:r>
      <w:r>
        <w:rPr>
          <w:rFonts w:hint="eastAsia" w:hAnsi="宋体" w:cs="宋体"/>
          <w:b/>
          <w:bCs/>
          <w:color w:val="auto"/>
          <w:sz w:val="24"/>
          <w:szCs w:val="24"/>
        </w:rPr>
        <w:t>、</w:t>
      </w:r>
      <w:bookmarkEnd w:id="1026"/>
      <w:bookmarkEnd w:id="1027"/>
      <w:bookmarkEnd w:id="1028"/>
      <w:bookmarkEnd w:id="1029"/>
      <w:r>
        <w:rPr>
          <w:rFonts w:hint="eastAsia" w:hAnsi="宋体" w:cs="宋体"/>
          <w:b/>
          <w:bCs/>
          <w:color w:val="auto"/>
          <w:sz w:val="24"/>
          <w:szCs w:val="24"/>
        </w:rPr>
        <w:t>▲已标价工程量清单</w:t>
      </w:r>
      <w:bookmarkEnd w:id="1030"/>
      <w:bookmarkEnd w:id="1031"/>
      <w:bookmarkEnd w:id="1032"/>
      <w:bookmarkEnd w:id="1033"/>
      <w:bookmarkEnd w:id="1034"/>
    </w:p>
    <w:p w14:paraId="187E0DFA">
      <w:pPr>
        <w:spacing w:line="360" w:lineRule="auto"/>
        <w:jc w:val="center"/>
        <w:rPr>
          <w:rFonts w:ascii="宋体" w:hAnsi="宋体" w:cs="宋体"/>
          <w:b/>
          <w:bCs/>
          <w:color w:val="auto"/>
          <w:sz w:val="21"/>
          <w:szCs w:val="22"/>
        </w:rPr>
      </w:pPr>
      <w:r>
        <w:rPr>
          <w:rFonts w:hint="eastAsia" w:ascii="宋体" w:hAnsi="宋体" w:cs="宋体"/>
          <w:b/>
          <w:bCs/>
          <w:color w:val="auto"/>
          <w:sz w:val="21"/>
          <w:szCs w:val="22"/>
        </w:rPr>
        <w:t>（按照工程量清单报价要求进行编制）</w:t>
      </w:r>
    </w:p>
    <w:p w14:paraId="232AFD4B">
      <w:pPr>
        <w:spacing w:line="360" w:lineRule="auto"/>
        <w:ind w:firstLine="422" w:firstLineChars="200"/>
        <w:rPr>
          <w:rFonts w:ascii="宋体" w:hAnsi="宋体" w:cs="宋体"/>
          <w:b/>
          <w:color w:val="auto"/>
          <w:sz w:val="21"/>
          <w:szCs w:val="32"/>
        </w:rPr>
      </w:pPr>
      <w:r>
        <w:rPr>
          <w:rFonts w:hint="eastAsia" w:ascii="宋体" w:hAnsi="宋体" w:cs="宋体"/>
          <w:b/>
          <w:color w:val="auto"/>
          <w:sz w:val="21"/>
          <w:szCs w:val="32"/>
        </w:rPr>
        <w:t>注：</w:t>
      </w:r>
    </w:p>
    <w:p w14:paraId="064EF2A9">
      <w:pPr>
        <w:spacing w:line="360" w:lineRule="auto"/>
        <w:ind w:firstLine="422" w:firstLineChars="200"/>
        <w:rPr>
          <w:rFonts w:ascii="宋体" w:hAnsi="宋体" w:cs="宋体"/>
          <w:b/>
          <w:color w:val="auto"/>
          <w:sz w:val="21"/>
          <w:szCs w:val="32"/>
        </w:rPr>
      </w:pPr>
      <w:r>
        <w:rPr>
          <w:rFonts w:hint="eastAsia" w:ascii="宋体" w:hAnsi="宋体" w:cs="宋体"/>
          <w:b/>
          <w:color w:val="auto"/>
          <w:sz w:val="21"/>
          <w:szCs w:val="32"/>
        </w:rPr>
        <w:t>1.</w:t>
      </w:r>
      <w:r>
        <w:rPr>
          <w:rFonts w:hint="eastAsia" w:ascii="宋体" w:hAnsi="宋体" w:cs="宋体"/>
          <w:b/>
          <w:color w:val="auto"/>
          <w:sz w:val="21"/>
          <w:szCs w:val="32"/>
          <w:lang w:eastAsia="zh-CN"/>
        </w:rPr>
        <w:t>供应商</w:t>
      </w:r>
      <w:r>
        <w:rPr>
          <w:rFonts w:hint="eastAsia" w:ascii="宋体" w:hAnsi="宋体" w:cs="宋体"/>
          <w:b/>
          <w:color w:val="auto"/>
          <w:sz w:val="21"/>
          <w:szCs w:val="32"/>
        </w:rPr>
        <w:t>须根据造价公司正式出具的《工程量清单》填报，不得随意更改《工程量清单》的所有格式和内容。未按照《工程量清单》格式进行报价的或者磋商报价中有缺项或者漏项的响应文件将被视为实质性不响应竞争性磋商采购文件而被否决。</w:t>
      </w:r>
    </w:p>
    <w:p w14:paraId="79F38BE6">
      <w:pPr>
        <w:pStyle w:val="20"/>
        <w:spacing w:line="360" w:lineRule="auto"/>
        <w:ind w:firstLine="420" w:firstLineChars="200"/>
        <w:jc w:val="center"/>
        <w:rPr>
          <w:rFonts w:hAnsi="宋体" w:cs="宋体"/>
          <w:color w:val="auto"/>
          <w:szCs w:val="21"/>
        </w:rPr>
      </w:pPr>
    </w:p>
    <w:p w14:paraId="5C780CF7">
      <w:pPr>
        <w:pStyle w:val="20"/>
        <w:spacing w:line="360" w:lineRule="auto"/>
        <w:ind w:firstLine="420" w:firstLineChars="200"/>
        <w:jc w:val="center"/>
        <w:rPr>
          <w:rFonts w:hAnsi="宋体" w:cs="宋体"/>
          <w:color w:val="auto"/>
          <w:szCs w:val="21"/>
        </w:rPr>
      </w:pPr>
    </w:p>
    <w:p w14:paraId="6C1774BF">
      <w:pPr>
        <w:pStyle w:val="20"/>
        <w:spacing w:line="360" w:lineRule="auto"/>
        <w:ind w:firstLine="420" w:firstLineChars="200"/>
        <w:jc w:val="center"/>
        <w:rPr>
          <w:rFonts w:hAnsi="宋体" w:cs="宋体"/>
          <w:color w:val="auto"/>
          <w:szCs w:val="21"/>
        </w:rPr>
      </w:pPr>
    </w:p>
    <w:p w14:paraId="761C902F">
      <w:pPr>
        <w:widowControl/>
        <w:jc w:val="left"/>
        <w:rPr>
          <w:rFonts w:hint="eastAsia" w:ascii="宋体" w:hAnsi="宋体" w:cs="宋体"/>
          <w:b/>
          <w:bCs/>
          <w:color w:val="auto"/>
          <w:sz w:val="24"/>
          <w:szCs w:val="24"/>
          <w:lang w:val="en-US" w:eastAsia="zh-CN"/>
        </w:rPr>
      </w:pPr>
      <w:bookmarkStart w:id="1035" w:name="_Toc5783632"/>
      <w:bookmarkStart w:id="1036" w:name="_Toc58081289"/>
      <w:bookmarkStart w:id="1037" w:name="_Toc8300802"/>
      <w:bookmarkStart w:id="1038" w:name="_Toc417843494"/>
      <w:bookmarkStart w:id="1039" w:name="_Toc427339191"/>
      <w:bookmarkStart w:id="1040" w:name="_Toc27962"/>
      <w:bookmarkStart w:id="1041" w:name="_Toc420071245"/>
      <w:bookmarkStart w:id="1042" w:name="_Toc417843445"/>
      <w:bookmarkStart w:id="1043" w:name="_Toc484796160"/>
    </w:p>
    <w:p w14:paraId="19B05FF5">
      <w:pPr>
        <w:widowControl/>
        <w:jc w:val="left"/>
        <w:rPr>
          <w:rFonts w:hint="eastAsia" w:ascii="宋体" w:hAnsi="宋体" w:cs="宋体"/>
          <w:b/>
          <w:bCs/>
          <w:color w:val="auto"/>
          <w:sz w:val="24"/>
          <w:szCs w:val="24"/>
          <w:lang w:val="en-US" w:eastAsia="zh-CN"/>
        </w:rPr>
      </w:pPr>
    </w:p>
    <w:p w14:paraId="5B472F0C">
      <w:pPr>
        <w:widowControl/>
        <w:jc w:val="left"/>
        <w:rPr>
          <w:rFonts w:hint="eastAsia" w:ascii="宋体" w:hAnsi="宋体" w:cs="宋体"/>
          <w:b/>
          <w:bCs/>
          <w:color w:val="auto"/>
          <w:sz w:val="24"/>
          <w:szCs w:val="24"/>
          <w:lang w:val="en-US" w:eastAsia="zh-CN"/>
        </w:rPr>
      </w:pPr>
    </w:p>
    <w:p w14:paraId="16B41E1B">
      <w:pPr>
        <w:widowControl/>
        <w:jc w:val="left"/>
        <w:rPr>
          <w:rFonts w:hint="eastAsia" w:ascii="宋体" w:hAnsi="宋体" w:cs="宋体"/>
          <w:b/>
          <w:bCs/>
          <w:color w:val="auto"/>
          <w:sz w:val="24"/>
          <w:szCs w:val="24"/>
          <w:lang w:val="en-US" w:eastAsia="zh-CN"/>
        </w:rPr>
      </w:pPr>
    </w:p>
    <w:p w14:paraId="43BC2FEB">
      <w:pPr>
        <w:widowControl/>
        <w:jc w:val="left"/>
        <w:rPr>
          <w:rFonts w:hint="eastAsia" w:ascii="宋体" w:hAnsi="宋体" w:cs="宋体"/>
          <w:b/>
          <w:bCs/>
          <w:color w:val="auto"/>
          <w:sz w:val="24"/>
          <w:szCs w:val="24"/>
          <w:lang w:val="en-US" w:eastAsia="zh-CN"/>
        </w:rPr>
      </w:pPr>
    </w:p>
    <w:p w14:paraId="5D7557FF">
      <w:pPr>
        <w:widowControl/>
        <w:jc w:val="left"/>
        <w:rPr>
          <w:rFonts w:hint="eastAsia" w:ascii="宋体" w:hAnsi="宋体" w:cs="宋体"/>
          <w:b/>
          <w:bCs/>
          <w:color w:val="auto"/>
          <w:sz w:val="24"/>
          <w:szCs w:val="24"/>
          <w:lang w:val="en-US" w:eastAsia="zh-CN"/>
        </w:rPr>
      </w:pPr>
    </w:p>
    <w:p w14:paraId="2B4798F9">
      <w:pPr>
        <w:widowControl/>
        <w:jc w:val="left"/>
        <w:rPr>
          <w:rFonts w:hint="eastAsia" w:ascii="宋体" w:hAnsi="宋体" w:cs="宋体"/>
          <w:b/>
          <w:bCs/>
          <w:color w:val="auto"/>
          <w:sz w:val="24"/>
          <w:szCs w:val="24"/>
          <w:lang w:val="en-US" w:eastAsia="zh-CN"/>
        </w:rPr>
      </w:pPr>
    </w:p>
    <w:p w14:paraId="2D72F646">
      <w:pPr>
        <w:widowControl/>
        <w:jc w:val="left"/>
        <w:rPr>
          <w:rFonts w:hint="eastAsia" w:ascii="宋体" w:hAnsi="宋体" w:cs="宋体"/>
          <w:b/>
          <w:bCs/>
          <w:color w:val="auto"/>
          <w:sz w:val="24"/>
          <w:szCs w:val="24"/>
          <w:lang w:val="en-US" w:eastAsia="zh-CN"/>
        </w:rPr>
      </w:pPr>
    </w:p>
    <w:p w14:paraId="1F8DE5F1">
      <w:pPr>
        <w:widowControl/>
        <w:jc w:val="left"/>
        <w:rPr>
          <w:rFonts w:hint="eastAsia" w:ascii="宋体" w:hAnsi="宋体" w:cs="宋体"/>
          <w:b/>
          <w:bCs/>
          <w:color w:val="auto"/>
          <w:sz w:val="24"/>
          <w:szCs w:val="24"/>
          <w:lang w:val="en-US" w:eastAsia="zh-CN"/>
        </w:rPr>
      </w:pPr>
    </w:p>
    <w:p w14:paraId="5656F307">
      <w:pPr>
        <w:widowControl/>
        <w:jc w:val="left"/>
        <w:rPr>
          <w:rFonts w:hint="eastAsia" w:ascii="宋体" w:hAnsi="宋体" w:cs="宋体"/>
          <w:b/>
          <w:bCs/>
          <w:color w:val="auto"/>
          <w:sz w:val="24"/>
          <w:szCs w:val="24"/>
          <w:lang w:val="en-US" w:eastAsia="zh-CN"/>
        </w:rPr>
      </w:pPr>
    </w:p>
    <w:p w14:paraId="16019354">
      <w:pPr>
        <w:widowControl/>
        <w:jc w:val="left"/>
        <w:rPr>
          <w:rFonts w:hint="eastAsia" w:ascii="宋体" w:hAnsi="宋体" w:cs="宋体"/>
          <w:b/>
          <w:bCs/>
          <w:color w:val="auto"/>
          <w:sz w:val="24"/>
          <w:szCs w:val="24"/>
          <w:lang w:val="en-US" w:eastAsia="zh-CN"/>
        </w:rPr>
      </w:pPr>
    </w:p>
    <w:p w14:paraId="2E16165B">
      <w:pPr>
        <w:widowControl/>
        <w:jc w:val="left"/>
        <w:rPr>
          <w:rFonts w:hint="eastAsia" w:ascii="宋体" w:hAnsi="宋体" w:cs="宋体"/>
          <w:b/>
          <w:bCs/>
          <w:color w:val="auto"/>
          <w:sz w:val="24"/>
          <w:szCs w:val="24"/>
          <w:lang w:val="en-US" w:eastAsia="zh-CN"/>
        </w:rPr>
      </w:pPr>
    </w:p>
    <w:p w14:paraId="5EA5D27F">
      <w:pPr>
        <w:widowControl/>
        <w:jc w:val="left"/>
        <w:rPr>
          <w:rFonts w:hint="eastAsia" w:ascii="宋体" w:hAnsi="宋体" w:cs="宋体"/>
          <w:b/>
          <w:bCs/>
          <w:color w:val="auto"/>
          <w:sz w:val="24"/>
          <w:szCs w:val="24"/>
          <w:lang w:val="en-US" w:eastAsia="zh-CN"/>
        </w:rPr>
      </w:pPr>
    </w:p>
    <w:p w14:paraId="115F0FF1">
      <w:pPr>
        <w:widowControl/>
        <w:jc w:val="left"/>
        <w:rPr>
          <w:rFonts w:hint="eastAsia" w:ascii="宋体" w:hAnsi="宋体" w:cs="宋体"/>
          <w:b/>
          <w:bCs/>
          <w:color w:val="auto"/>
          <w:sz w:val="24"/>
          <w:szCs w:val="24"/>
          <w:lang w:val="en-US" w:eastAsia="zh-CN"/>
        </w:rPr>
      </w:pPr>
    </w:p>
    <w:p w14:paraId="546F101C">
      <w:pPr>
        <w:widowControl/>
        <w:jc w:val="left"/>
        <w:rPr>
          <w:rFonts w:hint="eastAsia" w:ascii="宋体" w:hAnsi="宋体" w:cs="宋体"/>
          <w:b/>
          <w:bCs/>
          <w:color w:val="auto"/>
          <w:sz w:val="24"/>
          <w:szCs w:val="24"/>
          <w:lang w:val="en-US" w:eastAsia="zh-CN"/>
        </w:rPr>
      </w:pPr>
    </w:p>
    <w:p w14:paraId="21F8974A">
      <w:pPr>
        <w:widowControl/>
        <w:jc w:val="left"/>
        <w:rPr>
          <w:rFonts w:hint="eastAsia" w:ascii="宋体" w:hAnsi="宋体" w:cs="宋体"/>
          <w:b/>
          <w:bCs/>
          <w:color w:val="auto"/>
          <w:sz w:val="24"/>
          <w:szCs w:val="24"/>
          <w:lang w:val="en-US" w:eastAsia="zh-CN"/>
        </w:rPr>
      </w:pPr>
    </w:p>
    <w:p w14:paraId="6148870A">
      <w:pPr>
        <w:widowControl/>
        <w:jc w:val="left"/>
        <w:rPr>
          <w:rFonts w:hint="eastAsia" w:ascii="宋体" w:hAnsi="宋体" w:cs="宋体"/>
          <w:b/>
          <w:bCs/>
          <w:color w:val="auto"/>
          <w:sz w:val="24"/>
          <w:szCs w:val="24"/>
          <w:lang w:val="en-US" w:eastAsia="zh-CN"/>
        </w:rPr>
      </w:pPr>
    </w:p>
    <w:p w14:paraId="32799048">
      <w:pPr>
        <w:widowControl/>
        <w:jc w:val="left"/>
        <w:rPr>
          <w:rFonts w:hint="eastAsia" w:ascii="宋体" w:hAnsi="宋体" w:cs="宋体"/>
          <w:b/>
          <w:bCs/>
          <w:color w:val="auto"/>
          <w:sz w:val="24"/>
          <w:szCs w:val="24"/>
          <w:lang w:val="en-US" w:eastAsia="zh-CN"/>
        </w:rPr>
      </w:pPr>
    </w:p>
    <w:p w14:paraId="5A805123">
      <w:pPr>
        <w:widowControl/>
        <w:jc w:val="left"/>
        <w:rPr>
          <w:rFonts w:hint="eastAsia" w:ascii="宋体" w:hAnsi="宋体" w:cs="宋体"/>
          <w:b/>
          <w:bCs/>
          <w:color w:val="auto"/>
          <w:sz w:val="24"/>
          <w:szCs w:val="24"/>
          <w:lang w:val="en-US" w:eastAsia="zh-CN"/>
        </w:rPr>
      </w:pPr>
    </w:p>
    <w:p w14:paraId="6A726529">
      <w:pPr>
        <w:widowControl/>
        <w:jc w:val="left"/>
        <w:rPr>
          <w:rFonts w:hint="eastAsia" w:ascii="宋体" w:hAnsi="宋体" w:cs="宋体"/>
          <w:b/>
          <w:bCs/>
          <w:color w:val="auto"/>
          <w:sz w:val="24"/>
          <w:szCs w:val="24"/>
          <w:lang w:val="en-US" w:eastAsia="zh-CN"/>
        </w:rPr>
      </w:pPr>
    </w:p>
    <w:p w14:paraId="0207BA42">
      <w:pPr>
        <w:widowControl/>
        <w:jc w:val="left"/>
        <w:rPr>
          <w:rFonts w:hint="eastAsia" w:ascii="宋体" w:hAnsi="宋体" w:cs="宋体"/>
          <w:b/>
          <w:bCs/>
          <w:color w:val="auto"/>
          <w:sz w:val="24"/>
          <w:szCs w:val="24"/>
          <w:lang w:val="en-US" w:eastAsia="zh-CN"/>
        </w:rPr>
      </w:pPr>
    </w:p>
    <w:p w14:paraId="60C778A5">
      <w:pPr>
        <w:widowControl/>
        <w:jc w:val="left"/>
        <w:rPr>
          <w:rFonts w:hint="eastAsia" w:ascii="宋体" w:hAnsi="宋体" w:cs="宋体"/>
          <w:b/>
          <w:bCs/>
          <w:color w:val="auto"/>
          <w:sz w:val="24"/>
          <w:szCs w:val="24"/>
          <w:lang w:val="en-US" w:eastAsia="zh-CN"/>
        </w:rPr>
      </w:pPr>
    </w:p>
    <w:p w14:paraId="0DE29142">
      <w:pPr>
        <w:rPr>
          <w:rFonts w:hint="eastAsia" w:hAnsi="宋体" w:cs="宋体"/>
          <w:b/>
          <w:bCs/>
          <w:color w:val="auto"/>
          <w:sz w:val="24"/>
          <w:szCs w:val="24"/>
        </w:rPr>
      </w:pPr>
      <w:bookmarkStart w:id="1044" w:name="_Toc18809"/>
      <w:r>
        <w:rPr>
          <w:rFonts w:hint="eastAsia" w:hAnsi="宋体" w:cs="宋体"/>
          <w:b/>
          <w:bCs/>
          <w:color w:val="auto"/>
          <w:sz w:val="24"/>
          <w:szCs w:val="24"/>
        </w:rPr>
        <w:br w:type="page"/>
      </w:r>
    </w:p>
    <w:bookmarkEnd w:id="1035"/>
    <w:bookmarkEnd w:id="1036"/>
    <w:bookmarkEnd w:id="1037"/>
    <w:bookmarkEnd w:id="1044"/>
    <w:p w14:paraId="21F44137">
      <w:pPr>
        <w:widowControl w:val="0"/>
        <w:spacing w:line="360" w:lineRule="auto"/>
        <w:jc w:val="center"/>
        <w:outlineLvl w:val="1"/>
        <w:rPr>
          <w:rFonts w:ascii="宋体" w:hAnsi="宋体" w:eastAsia="宋体" w:cs="宋体"/>
          <w:color w:val="auto"/>
          <w:kern w:val="0"/>
          <w:szCs w:val="21"/>
        </w:rPr>
      </w:pPr>
      <w:bookmarkStart w:id="1045" w:name="_Toc28207"/>
      <w:bookmarkStart w:id="1046" w:name="_Toc19511"/>
      <w:bookmarkStart w:id="1047" w:name="_Toc24302"/>
      <w:bookmarkStart w:id="1048" w:name="_Toc14545"/>
      <w:r>
        <w:rPr>
          <w:rFonts w:hint="eastAsia" w:ascii="宋体" w:hAnsi="宋体" w:eastAsia="宋体" w:cs="宋体"/>
          <w:b/>
          <w:bCs/>
          <w:color w:val="auto"/>
          <w:kern w:val="2"/>
          <w:sz w:val="24"/>
          <w:szCs w:val="24"/>
          <w:lang w:val="en-US" w:eastAsia="zh-CN" w:bidi="ar-SA"/>
        </w:rPr>
        <w:t>十</w:t>
      </w:r>
      <w:r>
        <w:rPr>
          <w:rFonts w:hint="eastAsia" w:ascii="宋体" w:hAnsi="宋体" w:cs="宋体"/>
          <w:b/>
          <w:bCs/>
          <w:color w:val="auto"/>
          <w:kern w:val="2"/>
          <w:sz w:val="24"/>
          <w:szCs w:val="24"/>
          <w:lang w:val="en-US" w:eastAsia="zh-CN" w:bidi="ar-SA"/>
        </w:rPr>
        <w:t>五</w:t>
      </w:r>
      <w:r>
        <w:rPr>
          <w:rFonts w:hint="eastAsia" w:ascii="宋体" w:hAnsi="宋体" w:eastAsia="宋体" w:cs="宋体"/>
          <w:b/>
          <w:bCs/>
          <w:color w:val="auto"/>
          <w:kern w:val="2"/>
          <w:sz w:val="24"/>
          <w:szCs w:val="24"/>
          <w:lang w:val="en-US" w:eastAsia="zh-CN" w:bidi="ar-SA"/>
        </w:rPr>
        <w:t>、</w:t>
      </w:r>
      <w:r>
        <w:rPr>
          <w:rFonts w:hint="eastAsia" w:hAnsi="宋体" w:cs="宋体"/>
          <w:b/>
          <w:bCs/>
          <w:color w:val="auto"/>
          <w:sz w:val="24"/>
          <w:szCs w:val="24"/>
        </w:rPr>
        <w:t>▲</w:t>
      </w:r>
      <w:r>
        <w:rPr>
          <w:rFonts w:hint="eastAsia" w:ascii="宋体" w:hAnsi="宋体" w:eastAsia="宋体" w:cs="宋体"/>
          <w:b/>
          <w:bCs/>
          <w:color w:val="auto"/>
          <w:kern w:val="2"/>
          <w:sz w:val="24"/>
          <w:szCs w:val="24"/>
          <w:lang w:val="en-US" w:eastAsia="zh-CN" w:bidi="ar-SA"/>
        </w:rPr>
        <w:t>中小企业声明函（工程）</w:t>
      </w:r>
      <w:bookmarkEnd w:id="1045"/>
      <w:bookmarkEnd w:id="1046"/>
      <w:bookmarkEnd w:id="1047"/>
      <w:bookmarkEnd w:id="1048"/>
    </w:p>
    <w:p w14:paraId="4E413677">
      <w:pPr>
        <w:widowControl/>
        <w:spacing w:line="360" w:lineRule="auto"/>
        <w:ind w:firstLine="420" w:firstLineChars="200"/>
        <w:jc w:val="left"/>
        <w:rPr>
          <w:rFonts w:ascii="宋体" w:hAnsi="宋体" w:eastAsia="宋体" w:cs="宋体"/>
          <w:color w:val="auto"/>
          <w:kern w:val="0"/>
          <w:szCs w:val="21"/>
        </w:rPr>
      </w:pPr>
      <w:r>
        <w:rPr>
          <w:rFonts w:hint="eastAsia" w:ascii="宋体" w:hAnsi="宋体" w:eastAsia="宋体" w:cs="宋体"/>
          <w:color w:val="auto"/>
          <w:kern w:val="0"/>
          <w:szCs w:val="21"/>
        </w:rPr>
        <w:t>本公司（联合体）郑重声明，根据《政府采购促进中小企业发展管理办法》（财库</w:t>
      </w:r>
      <w:r>
        <w:rPr>
          <w:rFonts w:hint="eastAsia" w:ascii="宋体" w:hAnsi="宋体" w:cs="宋体"/>
          <w:color w:val="auto"/>
          <w:kern w:val="0"/>
          <w:szCs w:val="21"/>
          <w:lang w:eastAsia="zh-CN"/>
        </w:rPr>
        <w:t>〔2020〕46号</w:t>
      </w:r>
      <w:r>
        <w:rPr>
          <w:rFonts w:hint="eastAsia" w:ascii="宋体" w:hAnsi="宋体" w:eastAsia="宋体" w:cs="宋体"/>
          <w:color w:val="auto"/>
          <w:kern w:val="0"/>
          <w:szCs w:val="21"/>
        </w:rPr>
        <w:t>）的规定，本公司</w:t>
      </w:r>
      <w:r>
        <w:rPr>
          <w:rFonts w:hint="eastAsia" w:ascii="宋体" w:hAnsi="宋体" w:eastAsia="宋体" w:cs="宋体"/>
          <w:color w:val="auto"/>
          <w:kern w:val="0"/>
          <w:szCs w:val="21"/>
          <w:u w:val="single"/>
        </w:rPr>
        <w:t>（联合体）</w:t>
      </w:r>
      <w:r>
        <w:rPr>
          <w:rFonts w:hint="eastAsia" w:ascii="宋体" w:hAnsi="宋体" w:eastAsia="宋体" w:cs="宋体"/>
          <w:color w:val="auto"/>
          <w:kern w:val="0"/>
          <w:szCs w:val="21"/>
        </w:rPr>
        <w:t>参加</w:t>
      </w:r>
      <w:r>
        <w:rPr>
          <w:rFonts w:hint="eastAsia" w:ascii="宋体" w:hAnsi="宋体" w:eastAsia="宋体" w:cs="宋体"/>
          <w:color w:val="auto"/>
          <w:kern w:val="0"/>
          <w:szCs w:val="21"/>
          <w:u w:val="single"/>
        </w:rPr>
        <w:t>（单位名称）</w:t>
      </w:r>
      <w:r>
        <w:rPr>
          <w:rFonts w:hint="eastAsia" w:ascii="宋体" w:hAnsi="宋体" w:eastAsia="宋体" w:cs="宋体"/>
          <w:color w:val="auto"/>
          <w:kern w:val="0"/>
          <w:szCs w:val="21"/>
        </w:rPr>
        <w:t>的</w:t>
      </w:r>
      <w:r>
        <w:rPr>
          <w:rFonts w:hint="eastAsia" w:ascii="宋体" w:hAnsi="宋体" w:eastAsia="宋体" w:cs="宋体"/>
          <w:color w:val="auto"/>
          <w:kern w:val="0"/>
          <w:szCs w:val="21"/>
          <w:u w:val="single"/>
        </w:rPr>
        <w:t>（项目名称）</w:t>
      </w:r>
      <w:r>
        <w:rPr>
          <w:rFonts w:hint="eastAsia" w:ascii="宋体" w:hAnsi="宋体" w:eastAsia="宋体" w:cs="宋体"/>
          <w:color w:val="auto"/>
          <w:kern w:val="0"/>
          <w:szCs w:val="21"/>
        </w:rPr>
        <w:t>采购活动，工程的施工单位全部为符合政策要求的中小企业（或者∶服务全部由符合政策要求的中小企业承接）。相关企业（含联合体中的中小企业、签订分包意向协议的中小企业）的具体情况如下∶</w:t>
      </w:r>
    </w:p>
    <w:p w14:paraId="60F1BB2E">
      <w:pPr>
        <w:widowControl/>
        <w:numPr>
          <w:ilvl w:val="0"/>
          <w:numId w:val="26"/>
        </w:numPr>
        <w:spacing w:line="360" w:lineRule="auto"/>
        <w:ind w:firstLine="420" w:firstLineChars="200"/>
        <w:jc w:val="left"/>
        <w:rPr>
          <w:rFonts w:ascii="宋体" w:hAnsi="宋体" w:eastAsia="宋体" w:cs="宋体"/>
          <w:color w:val="auto"/>
          <w:kern w:val="0"/>
          <w:szCs w:val="21"/>
        </w:rPr>
      </w:pPr>
      <w:r>
        <w:rPr>
          <w:rFonts w:hint="eastAsia" w:ascii="宋体" w:hAnsi="宋体" w:eastAsia="宋体" w:cs="宋体"/>
          <w:color w:val="auto"/>
          <w:kern w:val="0"/>
          <w:szCs w:val="21"/>
          <w:u w:val="single"/>
        </w:rPr>
        <w:t xml:space="preserve">   （标的名称）     </w:t>
      </w:r>
      <w:r>
        <w:rPr>
          <w:rFonts w:hint="eastAsia" w:ascii="宋体" w:hAnsi="宋体" w:eastAsia="宋体" w:cs="宋体"/>
          <w:color w:val="auto"/>
          <w:kern w:val="0"/>
          <w:szCs w:val="21"/>
        </w:rPr>
        <w:t>，属于</w:t>
      </w:r>
      <w:r>
        <w:rPr>
          <w:rFonts w:hint="eastAsia" w:ascii="宋体" w:hAnsi="宋体" w:eastAsia="宋体" w:cs="宋体"/>
          <w:color w:val="auto"/>
          <w:kern w:val="0"/>
          <w:szCs w:val="21"/>
          <w:u w:val="single"/>
        </w:rPr>
        <w:t>（采购文件中明确的所属行业）</w:t>
      </w:r>
      <w:r>
        <w:rPr>
          <w:rFonts w:hint="eastAsia" w:ascii="宋体" w:hAnsi="宋体" w:eastAsia="宋体" w:cs="宋体"/>
          <w:color w:val="auto"/>
          <w:kern w:val="0"/>
          <w:szCs w:val="21"/>
        </w:rPr>
        <w:t>承建（承接）企业为</w:t>
      </w:r>
      <w:r>
        <w:rPr>
          <w:rFonts w:hint="eastAsia" w:ascii="宋体" w:hAnsi="宋体" w:eastAsia="宋体" w:cs="宋体"/>
          <w:color w:val="auto"/>
          <w:kern w:val="0"/>
          <w:szCs w:val="21"/>
          <w:u w:val="single"/>
        </w:rPr>
        <w:t xml:space="preserve">  （企业名称）</w:t>
      </w:r>
      <w:r>
        <w:rPr>
          <w:rFonts w:hint="eastAsia" w:ascii="宋体" w:hAnsi="宋体" w:eastAsia="宋体" w:cs="宋体"/>
          <w:color w:val="auto"/>
          <w:kern w:val="0"/>
          <w:szCs w:val="21"/>
        </w:rPr>
        <w:t>，从业人员</w:t>
      </w:r>
      <w:r>
        <w:rPr>
          <w:rFonts w:hint="eastAsia" w:ascii="宋体" w:hAnsi="宋体" w:cs="宋体"/>
          <w:color w:val="auto"/>
          <w:kern w:val="0"/>
          <w:szCs w:val="21"/>
          <w:u w:val="single"/>
          <w:lang w:val="en-US" w:eastAsia="zh-CN"/>
        </w:rPr>
        <w:t xml:space="preserve">     </w:t>
      </w:r>
      <w:r>
        <w:rPr>
          <w:rFonts w:hint="eastAsia" w:ascii="宋体" w:hAnsi="宋体" w:eastAsia="宋体" w:cs="宋体"/>
          <w:color w:val="auto"/>
          <w:kern w:val="0"/>
          <w:szCs w:val="21"/>
        </w:rPr>
        <w:t>人，营业收入为</w:t>
      </w:r>
      <w:r>
        <w:rPr>
          <w:rFonts w:hint="eastAsia" w:ascii="宋体" w:hAnsi="宋体" w:cs="宋体"/>
          <w:color w:val="auto"/>
          <w:kern w:val="0"/>
          <w:szCs w:val="21"/>
          <w:u w:val="single"/>
          <w:lang w:val="en-US" w:eastAsia="zh-CN"/>
        </w:rPr>
        <w:t xml:space="preserve">     </w:t>
      </w:r>
      <w:r>
        <w:rPr>
          <w:rFonts w:hint="eastAsia" w:ascii="宋体" w:hAnsi="宋体" w:eastAsia="宋体" w:cs="宋体"/>
          <w:color w:val="auto"/>
          <w:kern w:val="0"/>
          <w:szCs w:val="21"/>
        </w:rPr>
        <w:t>万元，资产总额为</w:t>
      </w:r>
      <w:r>
        <w:rPr>
          <w:rFonts w:hint="eastAsia" w:ascii="宋体" w:hAnsi="宋体" w:cs="宋体"/>
          <w:color w:val="auto"/>
          <w:kern w:val="0"/>
          <w:szCs w:val="21"/>
          <w:u w:val="single"/>
          <w:lang w:val="en-US" w:eastAsia="zh-CN"/>
        </w:rPr>
        <w:t xml:space="preserve">     </w:t>
      </w:r>
      <w:r>
        <w:rPr>
          <w:rFonts w:hint="eastAsia" w:ascii="宋体" w:hAnsi="宋体" w:eastAsia="宋体" w:cs="宋体"/>
          <w:color w:val="auto"/>
          <w:kern w:val="0"/>
          <w:szCs w:val="21"/>
        </w:rPr>
        <w:t>万元，属于（中型企业、小型企业、微型企业）。</w:t>
      </w:r>
    </w:p>
    <w:p w14:paraId="0AA57D5D">
      <w:pPr>
        <w:widowControl/>
        <w:numPr>
          <w:ilvl w:val="0"/>
          <w:numId w:val="26"/>
        </w:numPr>
        <w:spacing w:line="360" w:lineRule="auto"/>
        <w:ind w:firstLine="420" w:firstLineChars="200"/>
        <w:jc w:val="left"/>
        <w:rPr>
          <w:rFonts w:ascii="宋体" w:hAnsi="宋体" w:eastAsia="宋体" w:cs="宋体"/>
          <w:color w:val="auto"/>
          <w:kern w:val="0"/>
          <w:szCs w:val="21"/>
        </w:rPr>
      </w:pPr>
      <w:r>
        <w:rPr>
          <w:rFonts w:hint="eastAsia" w:ascii="宋体" w:hAnsi="宋体" w:eastAsia="宋体" w:cs="宋体"/>
          <w:color w:val="auto"/>
          <w:kern w:val="0"/>
          <w:szCs w:val="21"/>
        </w:rPr>
        <w:t>（标的名称），属于（采购文件中</w:t>
      </w:r>
      <w:r>
        <w:rPr>
          <w:rFonts w:hint="eastAsia" w:ascii="宋体" w:hAnsi="宋体" w:cs="宋体"/>
          <w:color w:val="auto"/>
          <w:kern w:val="0"/>
          <w:szCs w:val="21"/>
          <w:lang w:eastAsia="zh-CN"/>
        </w:rPr>
        <w:t>明确</w:t>
      </w:r>
      <w:r>
        <w:rPr>
          <w:rFonts w:hint="eastAsia" w:ascii="宋体" w:hAnsi="宋体" w:eastAsia="宋体" w:cs="宋体"/>
          <w:color w:val="auto"/>
          <w:kern w:val="0"/>
          <w:szCs w:val="21"/>
        </w:rPr>
        <w:t>的所属行业）承建（承接）企业为（企业名称），从业人员</w:t>
      </w:r>
      <w:r>
        <w:rPr>
          <w:rFonts w:hint="eastAsia" w:ascii="宋体" w:hAnsi="宋体" w:cs="宋体"/>
          <w:color w:val="auto"/>
          <w:kern w:val="0"/>
          <w:szCs w:val="21"/>
          <w:u w:val="single"/>
          <w:lang w:val="en-US" w:eastAsia="zh-CN"/>
        </w:rPr>
        <w:t xml:space="preserve">     </w:t>
      </w:r>
      <w:r>
        <w:rPr>
          <w:rFonts w:hint="eastAsia" w:ascii="宋体" w:hAnsi="宋体" w:eastAsia="宋体" w:cs="宋体"/>
          <w:color w:val="auto"/>
          <w:kern w:val="0"/>
          <w:szCs w:val="21"/>
        </w:rPr>
        <w:t>人，营业收入为</w:t>
      </w:r>
      <w:r>
        <w:rPr>
          <w:rFonts w:hint="eastAsia" w:ascii="宋体" w:hAnsi="宋体" w:cs="宋体"/>
          <w:color w:val="auto"/>
          <w:kern w:val="0"/>
          <w:szCs w:val="21"/>
          <w:u w:val="single"/>
          <w:lang w:val="en-US" w:eastAsia="zh-CN"/>
        </w:rPr>
        <w:t xml:space="preserve">     </w:t>
      </w:r>
      <w:r>
        <w:rPr>
          <w:rFonts w:hint="eastAsia" w:ascii="宋体" w:hAnsi="宋体" w:eastAsia="宋体" w:cs="宋体"/>
          <w:color w:val="auto"/>
          <w:kern w:val="0"/>
          <w:szCs w:val="21"/>
        </w:rPr>
        <w:t>万元，资产总额为</w:t>
      </w:r>
      <w:r>
        <w:rPr>
          <w:rFonts w:hint="eastAsia" w:ascii="宋体" w:hAnsi="宋体" w:cs="宋体"/>
          <w:color w:val="auto"/>
          <w:kern w:val="0"/>
          <w:szCs w:val="21"/>
          <w:u w:val="single"/>
          <w:lang w:val="en-US" w:eastAsia="zh-CN"/>
        </w:rPr>
        <w:t xml:space="preserve">     </w:t>
      </w:r>
      <w:r>
        <w:rPr>
          <w:rFonts w:hint="eastAsia" w:ascii="宋体" w:hAnsi="宋体" w:eastAsia="宋体" w:cs="宋体"/>
          <w:color w:val="auto"/>
          <w:kern w:val="0"/>
          <w:szCs w:val="21"/>
        </w:rPr>
        <w:t>万元，属于（中型企业，小型企业，微型企业）以上企业，不属于大企业的分支机构，不存在控股股东为大企业的情形，也不存在与大企业的负责人为同一人的情形。</w:t>
      </w:r>
    </w:p>
    <w:p w14:paraId="1EAB7EF1">
      <w:pPr>
        <w:widowControl/>
        <w:spacing w:line="360" w:lineRule="auto"/>
        <w:ind w:left="420" w:leftChars="200"/>
        <w:jc w:val="left"/>
        <w:rPr>
          <w:rFonts w:ascii="宋体" w:hAnsi="宋体" w:eastAsia="宋体" w:cs="宋体"/>
          <w:color w:val="auto"/>
          <w:kern w:val="0"/>
          <w:szCs w:val="21"/>
        </w:rPr>
      </w:pPr>
      <w:r>
        <w:rPr>
          <w:rFonts w:hint="eastAsia" w:ascii="宋体" w:hAnsi="宋体" w:eastAsia="宋体" w:cs="宋体"/>
          <w:color w:val="auto"/>
          <w:kern w:val="0"/>
          <w:szCs w:val="21"/>
        </w:rPr>
        <w:t>........</w:t>
      </w:r>
    </w:p>
    <w:p w14:paraId="579398E0">
      <w:pPr>
        <w:widowControl/>
        <w:spacing w:line="360" w:lineRule="auto"/>
        <w:ind w:firstLine="420" w:firstLineChars="200"/>
        <w:jc w:val="left"/>
        <w:rPr>
          <w:rFonts w:ascii="宋体" w:hAnsi="宋体" w:eastAsia="宋体" w:cs="宋体"/>
          <w:color w:val="auto"/>
          <w:kern w:val="0"/>
          <w:szCs w:val="21"/>
        </w:rPr>
      </w:pPr>
      <w:r>
        <w:rPr>
          <w:rFonts w:hint="eastAsia" w:ascii="宋体" w:hAnsi="宋体" w:eastAsia="宋体" w:cs="宋体"/>
          <w:color w:val="auto"/>
          <w:kern w:val="0"/>
          <w:szCs w:val="21"/>
        </w:rPr>
        <w:t>本企业对上述声明内容的真实性负责。如有虚假，将依法承担相应责任。</w:t>
      </w:r>
    </w:p>
    <w:p w14:paraId="2775ED71">
      <w:pPr>
        <w:widowControl/>
        <w:spacing w:line="360" w:lineRule="auto"/>
        <w:jc w:val="left"/>
        <w:rPr>
          <w:rFonts w:ascii="宋体" w:hAnsi="宋体" w:eastAsia="宋体" w:cs="宋体"/>
          <w:color w:val="auto"/>
          <w:kern w:val="0"/>
          <w:szCs w:val="21"/>
        </w:rPr>
      </w:pPr>
    </w:p>
    <w:p w14:paraId="3785C009">
      <w:pPr>
        <w:keepNext w:val="0"/>
        <w:keepLines w:val="0"/>
        <w:pageBreakBefore w:val="0"/>
        <w:kinsoku/>
        <w:wordWrap/>
        <w:overflowPunct/>
        <w:topLinePunct w:val="0"/>
        <w:autoSpaceDE/>
        <w:autoSpaceDN/>
        <w:bidi w:val="0"/>
        <w:adjustRightInd/>
        <w:snapToGrid/>
        <w:spacing w:line="360" w:lineRule="auto"/>
        <w:ind w:firstLine="420"/>
        <w:textAlignment w:val="auto"/>
        <w:rPr>
          <w:rFonts w:ascii="Times New Roman" w:hAnsi="Times New Roman" w:cs="Times New Roman"/>
          <w:b/>
          <w:bCs w:val="0"/>
          <w:color w:val="auto"/>
          <w:szCs w:val="21"/>
          <w:highlight w:val="none"/>
        </w:rPr>
      </w:pPr>
      <w:r>
        <w:rPr>
          <w:rFonts w:hint="eastAsia" w:ascii="Times New Roman" w:hAnsi="Times New Roman" w:cs="Times New Roman"/>
          <w:b/>
          <w:bCs w:val="0"/>
          <w:color w:val="auto"/>
          <w:szCs w:val="21"/>
          <w:highlight w:val="none"/>
        </w:rPr>
        <w:t>企业名称</w:t>
      </w:r>
      <w:bookmarkStart w:id="1049" w:name="OLE_LINK114"/>
      <w:r>
        <w:rPr>
          <w:rFonts w:ascii="Times New Roman" w:hAnsi="Times New Roman" w:cs="Times New Roman"/>
          <w:b/>
          <w:bCs w:val="0"/>
          <w:color w:val="auto"/>
          <w:szCs w:val="21"/>
          <w:highlight w:val="none"/>
        </w:rPr>
        <w:t>（</w:t>
      </w:r>
      <w:r>
        <w:rPr>
          <w:rFonts w:hint="eastAsia" w:ascii="Times New Roman" w:hAnsi="Times New Roman" w:cs="Times New Roman"/>
          <w:b/>
          <w:bCs/>
          <w:color w:val="auto"/>
          <w:szCs w:val="21"/>
          <w:highlight w:val="none"/>
          <w:lang w:val="en-US" w:eastAsia="zh-CN"/>
        </w:rPr>
        <w:t>电子签章</w:t>
      </w:r>
      <w:r>
        <w:rPr>
          <w:rFonts w:ascii="Times New Roman" w:hAnsi="Times New Roman" w:cs="Times New Roman"/>
          <w:b/>
          <w:bCs w:val="0"/>
          <w:color w:val="auto"/>
          <w:szCs w:val="21"/>
          <w:highlight w:val="none"/>
        </w:rPr>
        <w:t>）</w:t>
      </w:r>
      <w:bookmarkEnd w:id="1049"/>
      <w:r>
        <w:rPr>
          <w:rFonts w:ascii="Times New Roman" w:hAnsi="Times New Roman" w:cs="Times New Roman"/>
          <w:b/>
          <w:bCs w:val="0"/>
          <w:color w:val="auto"/>
          <w:szCs w:val="21"/>
          <w:highlight w:val="none"/>
        </w:rPr>
        <w:t>：</w:t>
      </w:r>
    </w:p>
    <w:p w14:paraId="12173E35">
      <w:pPr>
        <w:keepNext w:val="0"/>
        <w:keepLines w:val="0"/>
        <w:pageBreakBefore w:val="0"/>
        <w:kinsoku/>
        <w:wordWrap/>
        <w:overflowPunct/>
        <w:topLinePunct w:val="0"/>
        <w:autoSpaceDE/>
        <w:autoSpaceDN/>
        <w:bidi w:val="0"/>
        <w:adjustRightInd/>
        <w:snapToGrid/>
        <w:spacing w:line="360" w:lineRule="auto"/>
        <w:ind w:firstLine="420"/>
        <w:textAlignment w:val="auto"/>
        <w:rPr>
          <w:rFonts w:ascii="Times New Roman" w:hAnsi="Times New Roman" w:cs="Times New Roman"/>
          <w:b/>
          <w:color w:val="auto"/>
          <w:sz w:val="20"/>
          <w:szCs w:val="20"/>
          <w:highlight w:val="none"/>
        </w:rPr>
      </w:pPr>
      <w:r>
        <w:rPr>
          <w:rFonts w:ascii="Times New Roman" w:hAnsi="Times New Roman" w:cs="Times New Roman"/>
          <w:b/>
          <w:bCs w:val="0"/>
          <w:color w:val="auto"/>
          <w:szCs w:val="21"/>
          <w:highlight w:val="none"/>
        </w:rPr>
        <w:t>日期：</w:t>
      </w:r>
    </w:p>
    <w:p w14:paraId="7E2AC57E">
      <w:pPr>
        <w:rPr>
          <w:rFonts w:ascii="宋体" w:hAnsi="宋体" w:eastAsia="宋体" w:cs="宋体"/>
          <w:bCs/>
          <w:color w:val="auto"/>
          <w:szCs w:val="21"/>
        </w:rPr>
      </w:pPr>
    </w:p>
    <w:p w14:paraId="1DE0E5E8">
      <w:pPr>
        <w:keepNext w:val="0"/>
        <w:keepLines w:val="0"/>
        <w:pageBreakBefore w:val="0"/>
        <w:kinsoku/>
        <w:wordWrap/>
        <w:overflowPunct/>
        <w:topLinePunct w:val="0"/>
        <w:autoSpaceDE/>
        <w:autoSpaceDN/>
        <w:bidi w:val="0"/>
        <w:adjustRightInd/>
        <w:snapToGrid/>
        <w:spacing w:line="360" w:lineRule="auto"/>
        <w:ind w:left="0" w:leftChars="0" w:right="415" w:firstLine="422" w:firstLineChars="200"/>
        <w:jc w:val="left"/>
        <w:textAlignment w:val="auto"/>
        <w:rPr>
          <w:rFonts w:hint="eastAsia" w:ascii="Times New Roman" w:hAnsi="Times New Roman" w:eastAsia="宋体" w:cs="Times New Roman"/>
          <w:b/>
          <w:bCs/>
          <w:color w:val="auto"/>
          <w:sz w:val="21"/>
          <w:szCs w:val="21"/>
          <w:highlight w:val="none"/>
          <w:lang w:val="en-US" w:eastAsia="zh-CN"/>
        </w:rPr>
      </w:pPr>
      <w:r>
        <w:rPr>
          <w:rFonts w:hint="eastAsia" w:ascii="Times New Roman" w:hAnsi="Times New Roman" w:eastAsia="宋体" w:cs="Times New Roman"/>
          <w:b/>
          <w:bCs/>
          <w:color w:val="auto"/>
          <w:sz w:val="21"/>
          <w:szCs w:val="21"/>
          <w:highlight w:val="none"/>
          <w:lang w:val="en-US" w:eastAsia="zh-CN"/>
        </w:rPr>
        <w:t>注：</w:t>
      </w:r>
    </w:p>
    <w:p w14:paraId="56F450FD">
      <w:pPr>
        <w:keepNext w:val="0"/>
        <w:keepLines w:val="0"/>
        <w:pageBreakBefore w:val="0"/>
        <w:kinsoku/>
        <w:wordWrap/>
        <w:overflowPunct/>
        <w:topLinePunct w:val="0"/>
        <w:autoSpaceDE/>
        <w:autoSpaceDN/>
        <w:bidi w:val="0"/>
        <w:adjustRightInd/>
        <w:snapToGrid/>
        <w:spacing w:line="360" w:lineRule="auto"/>
        <w:ind w:left="0" w:leftChars="0" w:right="415" w:firstLine="422" w:firstLineChars="200"/>
        <w:jc w:val="left"/>
        <w:textAlignment w:val="auto"/>
        <w:rPr>
          <w:rFonts w:hint="eastAsia" w:ascii="Times New Roman" w:hAnsi="Times New Roman" w:eastAsia="宋体" w:cs="Times New Roman"/>
          <w:b/>
          <w:bCs/>
          <w:color w:val="auto"/>
          <w:sz w:val="21"/>
          <w:szCs w:val="21"/>
          <w:highlight w:val="none"/>
          <w:lang w:val="en-US" w:eastAsia="zh-CN"/>
        </w:rPr>
      </w:pPr>
      <w:bookmarkStart w:id="1050" w:name="OLE_LINK41"/>
      <w:bookmarkStart w:id="1051" w:name="OLE_LINK55"/>
      <w:bookmarkStart w:id="1052" w:name="OLE_LINK56"/>
      <w:r>
        <w:rPr>
          <w:rFonts w:hint="eastAsia" w:ascii="Times New Roman" w:hAnsi="Times New Roman" w:eastAsia="宋体" w:cs="Times New Roman"/>
          <w:b/>
          <w:bCs/>
          <w:color w:val="auto"/>
          <w:sz w:val="21"/>
          <w:szCs w:val="21"/>
          <w:highlight w:val="none"/>
          <w:lang w:val="en-US" w:eastAsia="zh-CN"/>
        </w:rPr>
        <w:t>①</w:t>
      </w:r>
      <w:bookmarkStart w:id="1053" w:name="OLE_LINK60"/>
      <w:r>
        <w:rPr>
          <w:rFonts w:hint="eastAsia" w:ascii="Times New Roman" w:hAnsi="Times New Roman" w:eastAsia="宋体" w:cs="Times New Roman"/>
          <w:b/>
          <w:bCs/>
          <w:color w:val="auto"/>
          <w:sz w:val="21"/>
          <w:szCs w:val="21"/>
          <w:highlight w:val="none"/>
          <w:lang w:val="en-US" w:eastAsia="zh-CN"/>
        </w:rPr>
        <w:t>从业人员、营业收入、资产总</w:t>
      </w:r>
      <w:bookmarkStart w:id="1054" w:name="OLE_LINK383"/>
      <w:r>
        <w:rPr>
          <w:rFonts w:hint="eastAsia" w:ascii="Times New Roman" w:hAnsi="Times New Roman" w:eastAsia="宋体" w:cs="Times New Roman"/>
          <w:b/>
          <w:bCs/>
          <w:color w:val="auto"/>
          <w:sz w:val="21"/>
          <w:szCs w:val="21"/>
          <w:highlight w:val="none"/>
          <w:lang w:val="en-US" w:eastAsia="zh-CN"/>
        </w:rPr>
        <w:t>额填报上一年度数据</w:t>
      </w:r>
      <w:bookmarkEnd w:id="1054"/>
      <w:r>
        <w:rPr>
          <w:rFonts w:hint="eastAsia" w:ascii="Times New Roman" w:hAnsi="Times New Roman" w:eastAsia="宋体" w:cs="Times New Roman"/>
          <w:b/>
          <w:bCs/>
          <w:color w:val="auto"/>
          <w:sz w:val="21"/>
          <w:szCs w:val="21"/>
          <w:highlight w:val="none"/>
          <w:lang w:val="en-US" w:eastAsia="zh-CN"/>
        </w:rPr>
        <w:t>，无上一年度数据的新成立企业可不填报</w:t>
      </w:r>
      <w:bookmarkEnd w:id="1053"/>
      <w:r>
        <w:rPr>
          <w:rFonts w:hint="eastAsia" w:ascii="Times New Roman" w:hAnsi="Times New Roman" w:eastAsia="宋体" w:cs="Times New Roman"/>
          <w:b/>
          <w:bCs/>
          <w:color w:val="auto"/>
          <w:sz w:val="21"/>
          <w:szCs w:val="21"/>
          <w:highlight w:val="none"/>
          <w:lang w:val="en-US" w:eastAsia="zh-CN"/>
        </w:rPr>
        <w:t>；</w:t>
      </w:r>
      <w:bookmarkEnd w:id="1050"/>
    </w:p>
    <w:p w14:paraId="059B5D2F">
      <w:pPr>
        <w:keepNext w:val="0"/>
        <w:keepLines w:val="0"/>
        <w:pageBreakBefore w:val="0"/>
        <w:kinsoku/>
        <w:wordWrap/>
        <w:overflowPunct/>
        <w:topLinePunct w:val="0"/>
        <w:autoSpaceDE/>
        <w:autoSpaceDN/>
        <w:bidi w:val="0"/>
        <w:adjustRightInd/>
        <w:snapToGrid/>
        <w:spacing w:line="360" w:lineRule="auto"/>
        <w:ind w:left="0" w:leftChars="0" w:right="415" w:firstLine="422" w:firstLineChars="200"/>
        <w:jc w:val="left"/>
        <w:textAlignment w:val="auto"/>
        <w:rPr>
          <w:rFonts w:ascii="宋体" w:hAnsi="宋体" w:cs="宋体"/>
          <w:color w:val="auto"/>
          <w:szCs w:val="21"/>
        </w:rPr>
      </w:pPr>
      <w:bookmarkStart w:id="1055" w:name="OLE_LINK380"/>
      <w:r>
        <w:rPr>
          <w:rFonts w:hint="eastAsia" w:ascii="Times New Roman" w:hAnsi="Times New Roman" w:eastAsia="宋体" w:cs="Times New Roman"/>
          <w:b/>
          <w:bCs/>
          <w:color w:val="auto"/>
          <w:sz w:val="21"/>
          <w:szCs w:val="21"/>
          <w:highlight w:val="none"/>
          <w:lang w:val="en-US" w:eastAsia="zh-CN"/>
        </w:rPr>
        <w:t>②“</w:t>
      </w:r>
      <w:bookmarkEnd w:id="1055"/>
      <w:r>
        <w:rPr>
          <w:rFonts w:hint="eastAsia" w:ascii="Times New Roman" w:hAnsi="Times New Roman" w:eastAsia="宋体" w:cs="Times New Roman"/>
          <w:b/>
          <w:bCs/>
          <w:color w:val="auto"/>
          <w:sz w:val="21"/>
          <w:szCs w:val="21"/>
          <w:highlight w:val="none"/>
          <w:lang w:val="en-US" w:eastAsia="zh-CN"/>
        </w:rPr>
        <w:t>标的名称”、“采购文件中明确的所属行业”依据采购文件中明确的“标的名称及所属行业”逐一填写，不得缺漏；</w:t>
      </w:r>
      <w:bookmarkEnd w:id="1051"/>
      <w:bookmarkStart w:id="1056" w:name="_Toc66970810"/>
      <w:bookmarkStart w:id="1057" w:name="_Toc34335344"/>
      <w:bookmarkStart w:id="1058" w:name="_Toc502909064"/>
      <w:r>
        <w:rPr>
          <w:rFonts w:hint="eastAsia" w:ascii="Times New Roman" w:hAnsi="Times New Roman" w:eastAsia="宋体" w:cs="Times New Roman"/>
          <w:b/>
          <w:bCs/>
          <w:color w:val="auto"/>
          <w:sz w:val="21"/>
          <w:szCs w:val="21"/>
          <w:highlight w:val="none"/>
          <w:lang w:val="en-US" w:eastAsia="zh-CN"/>
        </w:rPr>
        <w:t xml:space="preserve"> </w:t>
      </w:r>
      <w:bookmarkEnd w:id="1052"/>
      <w:bookmarkEnd w:id="1056"/>
      <w:bookmarkEnd w:id="1057"/>
      <w:bookmarkEnd w:id="1058"/>
      <w:r>
        <w:rPr>
          <w:rFonts w:hint="eastAsia" w:ascii="宋体" w:hAnsi="宋体" w:cs="宋体"/>
          <w:color w:val="auto"/>
          <w:szCs w:val="21"/>
        </w:rPr>
        <w:br w:type="page"/>
      </w:r>
    </w:p>
    <w:p w14:paraId="4E4FB167">
      <w:pPr>
        <w:pStyle w:val="20"/>
        <w:spacing w:line="360" w:lineRule="auto"/>
        <w:jc w:val="center"/>
        <w:outlineLvl w:val="1"/>
        <w:rPr>
          <w:rFonts w:hAnsi="宋体" w:cs="宋体"/>
          <w:b/>
          <w:bCs/>
          <w:color w:val="auto"/>
          <w:sz w:val="24"/>
          <w:szCs w:val="24"/>
        </w:rPr>
      </w:pPr>
      <w:bookmarkStart w:id="1059" w:name="_Toc5783633"/>
      <w:bookmarkStart w:id="1060" w:name="_Toc27556"/>
      <w:bookmarkStart w:id="1061" w:name="_Toc27168"/>
      <w:bookmarkStart w:id="1062" w:name="_Toc8300803"/>
      <w:bookmarkStart w:id="1063" w:name="_Toc30207"/>
      <w:bookmarkStart w:id="1064" w:name="_Toc58081290"/>
      <w:bookmarkStart w:id="1065" w:name="_Toc19401"/>
      <w:bookmarkStart w:id="1066" w:name="_Toc13141"/>
      <w:r>
        <w:rPr>
          <w:rFonts w:hint="eastAsia" w:hAnsi="宋体" w:cs="宋体"/>
          <w:b/>
          <w:bCs/>
          <w:color w:val="auto"/>
          <w:sz w:val="24"/>
          <w:szCs w:val="24"/>
        </w:rPr>
        <w:t>十</w:t>
      </w:r>
      <w:r>
        <w:rPr>
          <w:rFonts w:hint="eastAsia" w:hAnsi="宋体" w:cs="宋体"/>
          <w:b/>
          <w:bCs/>
          <w:color w:val="auto"/>
          <w:sz w:val="24"/>
          <w:szCs w:val="24"/>
          <w:lang w:val="en-US" w:eastAsia="zh-CN"/>
        </w:rPr>
        <w:t>六</w:t>
      </w:r>
      <w:r>
        <w:rPr>
          <w:rFonts w:hint="eastAsia" w:hAnsi="宋体" w:cs="宋体"/>
          <w:b/>
          <w:bCs/>
          <w:color w:val="auto"/>
          <w:sz w:val="24"/>
          <w:szCs w:val="24"/>
        </w:rPr>
        <w:t>、</w:t>
      </w:r>
      <w:bookmarkStart w:id="1067" w:name="_Hlk57798849"/>
      <w:r>
        <w:rPr>
          <w:rFonts w:hint="eastAsia" w:hAnsi="宋体" w:cs="宋体"/>
          <w:b/>
          <w:bCs/>
          <w:color w:val="auto"/>
          <w:sz w:val="24"/>
          <w:szCs w:val="24"/>
        </w:rPr>
        <w:t>残疾人福利性单位</w:t>
      </w:r>
      <w:bookmarkEnd w:id="1067"/>
      <w:r>
        <w:rPr>
          <w:rFonts w:hint="eastAsia" w:hAnsi="宋体" w:cs="宋体"/>
          <w:b/>
          <w:bCs/>
          <w:color w:val="auto"/>
          <w:sz w:val="24"/>
          <w:szCs w:val="24"/>
        </w:rPr>
        <w:t>声明函</w:t>
      </w:r>
      <w:bookmarkEnd w:id="1059"/>
      <w:bookmarkEnd w:id="1060"/>
      <w:bookmarkEnd w:id="1061"/>
      <w:bookmarkEnd w:id="1062"/>
      <w:bookmarkEnd w:id="1063"/>
      <w:bookmarkEnd w:id="1064"/>
      <w:bookmarkEnd w:id="1065"/>
      <w:bookmarkEnd w:id="1066"/>
    </w:p>
    <w:p w14:paraId="158D0248">
      <w:pPr>
        <w:spacing w:line="480" w:lineRule="auto"/>
        <w:ind w:firstLine="750" w:firstLineChars="300"/>
        <w:jc w:val="center"/>
        <w:rPr>
          <w:rFonts w:ascii="宋体" w:hAnsi="宋体" w:cs="宋体"/>
          <w:bCs/>
          <w:color w:val="auto"/>
          <w:spacing w:val="20"/>
          <w:szCs w:val="21"/>
        </w:rPr>
      </w:pPr>
      <w:r>
        <w:rPr>
          <w:rFonts w:hint="eastAsia" w:ascii="宋体" w:hAnsi="宋体" w:cs="宋体"/>
          <w:bCs/>
          <w:color w:val="auto"/>
          <w:spacing w:val="20"/>
          <w:szCs w:val="21"/>
        </w:rPr>
        <w:t>（不属于残疾人福利性单位的无需填写）</w:t>
      </w:r>
    </w:p>
    <w:p w14:paraId="1B391E29">
      <w:pPr>
        <w:keepNext w:val="0"/>
        <w:keepLines w:val="0"/>
        <w:pageBreakBefore w:val="0"/>
        <w:widowControl w:val="0"/>
        <w:kinsoku/>
        <w:wordWrap/>
        <w:overflowPunct/>
        <w:topLinePunct w:val="0"/>
        <w:autoSpaceDE/>
        <w:autoSpaceDN/>
        <w:bidi w:val="0"/>
        <w:adjustRightInd/>
        <w:snapToGrid/>
        <w:spacing w:line="360" w:lineRule="auto"/>
        <w:ind w:firstLine="630" w:firstLineChars="300"/>
        <w:textAlignment w:val="auto"/>
        <w:rPr>
          <w:rFonts w:ascii="宋体" w:hAnsi="宋体" w:cs="宋体"/>
          <w:color w:val="auto"/>
          <w:szCs w:val="21"/>
        </w:rPr>
      </w:pPr>
      <w:r>
        <w:rPr>
          <w:rFonts w:hint="eastAsia" w:ascii="宋体" w:hAnsi="宋体" w:cs="宋体"/>
          <w:color w:val="auto"/>
          <w:szCs w:val="21"/>
        </w:rPr>
        <w:t>本单位郑重声明，根据《财政部 民政部 中国残疾人联合会关于促进残疾人就业政府采购政策的通知》（财库〔2017〕141号）的规定，本单位为符合条件的残疾人福利性单位，且本单位参加</w:t>
      </w:r>
      <w:r>
        <w:rPr>
          <w:rFonts w:hint="eastAsia" w:ascii="宋体" w:hAnsi="宋体" w:cs="宋体"/>
          <w:color w:val="auto"/>
          <w:kern w:val="0"/>
          <w:szCs w:val="21"/>
          <w:u w:val="single"/>
          <w:lang w:val="en-US" w:eastAsia="zh-CN"/>
        </w:rPr>
        <w:t xml:space="preserve">     </w:t>
      </w:r>
      <w:r>
        <w:rPr>
          <w:rFonts w:hint="eastAsia" w:ascii="宋体" w:hAnsi="宋体" w:cs="宋体"/>
          <w:color w:val="auto"/>
          <w:szCs w:val="21"/>
        </w:rPr>
        <w:t>单位的</w:t>
      </w:r>
      <w:r>
        <w:rPr>
          <w:rFonts w:hint="eastAsia" w:ascii="宋体" w:hAnsi="宋体" w:cs="宋体"/>
          <w:color w:val="auto"/>
          <w:kern w:val="0"/>
          <w:szCs w:val="21"/>
          <w:u w:val="single"/>
          <w:lang w:val="en-US" w:eastAsia="zh-CN"/>
        </w:rPr>
        <w:t xml:space="preserve">     </w:t>
      </w:r>
      <w:r>
        <w:rPr>
          <w:rFonts w:hint="eastAsia" w:ascii="宋体" w:hAnsi="宋体" w:cs="宋体"/>
          <w:color w:val="auto"/>
          <w:szCs w:val="21"/>
        </w:rPr>
        <w:t>项目采购活动提供本单位制造的货物（由本单位承担工程/提供服务），或者提供其他残疾人福利性单位制造的货物（不包括使用非残疾人福利性单位注册商标的货物）。</w:t>
      </w:r>
    </w:p>
    <w:p w14:paraId="43150105">
      <w:pPr>
        <w:keepNext w:val="0"/>
        <w:keepLines w:val="0"/>
        <w:pageBreakBefore w:val="0"/>
        <w:widowControl w:val="0"/>
        <w:kinsoku/>
        <w:wordWrap/>
        <w:overflowPunct/>
        <w:topLinePunct w:val="0"/>
        <w:autoSpaceDE/>
        <w:autoSpaceDN/>
        <w:bidi w:val="0"/>
        <w:adjustRightInd/>
        <w:snapToGrid/>
        <w:spacing w:line="360" w:lineRule="auto"/>
        <w:ind w:firstLine="420" w:firstLineChars="200"/>
        <w:textAlignment w:val="auto"/>
        <w:rPr>
          <w:rFonts w:ascii="宋体" w:hAnsi="宋体" w:cs="宋体"/>
          <w:color w:val="auto"/>
          <w:szCs w:val="21"/>
        </w:rPr>
      </w:pPr>
      <w:r>
        <w:rPr>
          <w:rFonts w:hint="eastAsia" w:ascii="宋体" w:hAnsi="宋体" w:cs="宋体"/>
          <w:color w:val="auto"/>
          <w:szCs w:val="21"/>
        </w:rPr>
        <w:t>本单位对上述声明的真实性负责。如有虚假，将依法承担相应责任。</w:t>
      </w:r>
    </w:p>
    <w:p w14:paraId="429C932D">
      <w:pPr>
        <w:spacing w:line="360" w:lineRule="auto"/>
        <w:rPr>
          <w:rFonts w:ascii="宋体" w:hAnsi="宋体" w:cs="宋体"/>
          <w:color w:val="auto"/>
          <w:szCs w:val="21"/>
        </w:rPr>
      </w:pPr>
    </w:p>
    <w:p w14:paraId="4AD073D8">
      <w:pPr>
        <w:spacing w:line="360" w:lineRule="auto"/>
        <w:rPr>
          <w:rFonts w:ascii="宋体" w:hAnsi="宋体" w:cs="宋体"/>
          <w:color w:val="auto"/>
          <w:szCs w:val="21"/>
        </w:rPr>
      </w:pPr>
    </w:p>
    <w:p w14:paraId="251D5A23">
      <w:pPr>
        <w:tabs>
          <w:tab w:val="left" w:pos="4860"/>
        </w:tabs>
        <w:ind w:right="1560" w:firstLine="420"/>
        <w:jc w:val="left"/>
        <w:rPr>
          <w:rFonts w:ascii="Times New Roman" w:hAnsi="Times New Roman" w:cs="Times New Roman"/>
          <w:b w:val="0"/>
          <w:bCs w:val="0"/>
          <w:color w:val="auto"/>
          <w:szCs w:val="20"/>
          <w:highlight w:val="none"/>
        </w:rPr>
      </w:pPr>
      <w:bookmarkStart w:id="1068" w:name="OLE_LINK346"/>
      <w:bookmarkStart w:id="1069" w:name="OLE_LINK119"/>
      <w:r>
        <w:rPr>
          <w:rFonts w:hint="eastAsia" w:ascii="Times New Roman" w:hAnsi="Times New Roman" w:cs="Times New Roman"/>
          <w:b w:val="0"/>
          <w:bCs w:val="0"/>
          <w:color w:val="auto"/>
          <w:szCs w:val="20"/>
          <w:highlight w:val="none"/>
          <w:lang w:val="en-US" w:eastAsia="zh-CN"/>
        </w:rPr>
        <w:t>单位名称</w:t>
      </w:r>
      <w:bookmarkEnd w:id="1068"/>
      <w:r>
        <w:rPr>
          <w:rFonts w:ascii="Times New Roman" w:hAnsi="Times New Roman" w:cs="Times New Roman"/>
          <w:b w:val="0"/>
          <w:bCs w:val="0"/>
          <w:color w:val="auto"/>
          <w:szCs w:val="20"/>
          <w:highlight w:val="none"/>
        </w:rPr>
        <w:t>（</w:t>
      </w:r>
      <w:r>
        <w:rPr>
          <w:rFonts w:hint="eastAsia" w:ascii="Times New Roman" w:hAnsi="Times New Roman" w:cs="Times New Roman"/>
          <w:b w:val="0"/>
          <w:bCs w:val="0"/>
          <w:color w:val="auto"/>
          <w:szCs w:val="21"/>
          <w:highlight w:val="none"/>
          <w:lang w:val="en-US" w:eastAsia="zh-CN"/>
        </w:rPr>
        <w:t>电子签章</w:t>
      </w:r>
      <w:r>
        <w:rPr>
          <w:rFonts w:ascii="Times New Roman" w:hAnsi="Times New Roman" w:cs="Times New Roman"/>
          <w:b w:val="0"/>
          <w:bCs w:val="0"/>
          <w:color w:val="auto"/>
          <w:szCs w:val="20"/>
          <w:highlight w:val="none"/>
        </w:rPr>
        <w:t>）：</w:t>
      </w:r>
    </w:p>
    <w:p w14:paraId="7CD86EB1">
      <w:pPr>
        <w:tabs>
          <w:tab w:val="left" w:pos="4860"/>
        </w:tabs>
        <w:ind w:right="1560" w:firstLine="420"/>
        <w:jc w:val="left"/>
        <w:rPr>
          <w:rFonts w:ascii="Times New Roman" w:hAnsi="Times New Roman" w:cs="Times New Roman"/>
          <w:b w:val="0"/>
          <w:bCs w:val="0"/>
          <w:color w:val="auto"/>
          <w:szCs w:val="20"/>
          <w:highlight w:val="none"/>
        </w:rPr>
      </w:pPr>
    </w:p>
    <w:p w14:paraId="3F071C73">
      <w:pPr>
        <w:tabs>
          <w:tab w:val="left" w:pos="4860"/>
        </w:tabs>
        <w:ind w:right="1560" w:firstLine="420"/>
        <w:jc w:val="left"/>
        <w:rPr>
          <w:rFonts w:ascii="Times New Roman" w:hAnsi="Times New Roman" w:cs="Times New Roman"/>
          <w:b/>
          <w:bCs/>
          <w:color w:val="auto"/>
          <w:szCs w:val="21"/>
          <w:highlight w:val="none"/>
          <w:u w:val="single"/>
        </w:rPr>
      </w:pPr>
      <w:r>
        <w:rPr>
          <w:rFonts w:ascii="Times New Roman" w:hAnsi="Times New Roman" w:cs="Times New Roman"/>
          <w:b w:val="0"/>
          <w:bCs w:val="0"/>
          <w:color w:val="auto"/>
          <w:szCs w:val="20"/>
          <w:highlight w:val="none"/>
        </w:rPr>
        <w:t>日期</w:t>
      </w:r>
      <w:r>
        <w:rPr>
          <w:rFonts w:ascii="Times New Roman" w:hAnsi="Times New Roman" w:cs="Times New Roman"/>
          <w:b/>
          <w:bCs/>
          <w:color w:val="auto"/>
          <w:szCs w:val="20"/>
          <w:highlight w:val="none"/>
        </w:rPr>
        <w:t>：</w:t>
      </w:r>
    </w:p>
    <w:bookmarkEnd w:id="1069"/>
    <w:p w14:paraId="19FD7FF7">
      <w:pPr>
        <w:rPr>
          <w:rFonts w:ascii="宋体" w:hAnsi="宋体" w:cs="宋体"/>
          <w:b/>
          <w:bCs/>
          <w:color w:val="auto"/>
          <w:szCs w:val="21"/>
        </w:rPr>
      </w:pPr>
    </w:p>
    <w:p w14:paraId="24575765">
      <w:pPr>
        <w:pStyle w:val="15"/>
        <w:keepNext w:val="0"/>
        <w:keepLines w:val="0"/>
        <w:pageBreakBefore w:val="0"/>
        <w:widowControl w:val="0"/>
        <w:kinsoku/>
        <w:wordWrap/>
        <w:overflowPunct/>
        <w:topLinePunct w:val="0"/>
        <w:autoSpaceDE/>
        <w:autoSpaceDN/>
        <w:bidi w:val="0"/>
        <w:adjustRightInd/>
        <w:snapToGrid/>
        <w:spacing w:after="0" w:line="360" w:lineRule="auto"/>
        <w:ind w:firstLine="420" w:firstLineChars="200"/>
        <w:textAlignment w:val="auto"/>
        <w:rPr>
          <w:color w:val="auto"/>
        </w:rPr>
      </w:pPr>
      <w:r>
        <w:rPr>
          <w:rFonts w:hint="eastAsia"/>
          <w:color w:val="auto"/>
        </w:rPr>
        <w:t>注：符合条件的残疾人福利性单位在参加政府采购活动时，应当按《三部门联合发布关于促进残疾人就业政府采购政策的通知》（财库〔</w:t>
      </w:r>
      <w:r>
        <w:rPr>
          <w:rFonts w:hint="eastAsia" w:ascii="宋体" w:hAnsi="宋体" w:eastAsia="宋体" w:cs="宋体"/>
          <w:color w:val="auto"/>
        </w:rPr>
        <w:t>2017〕141</w:t>
      </w:r>
      <w:r>
        <w:rPr>
          <w:rFonts w:hint="eastAsia"/>
          <w:color w:val="auto"/>
        </w:rPr>
        <w:t>号）提供规定的《残疾人福利性单位声明函》，并对声明的真实性负责。采购代理机构在随中标结果同时公告其《残疾人福利性单位声明函》，接受社会监督。供应商提供的《残疾人福利性单位声明函》与事实不符的，依照《中华人民共和国政府采购法》第七十七条第一款的规定追究法律责任。</w:t>
      </w:r>
    </w:p>
    <w:p w14:paraId="4F2B07E8">
      <w:pPr>
        <w:rPr>
          <w:rFonts w:ascii="宋体" w:hAnsi="宋体" w:cs="宋体"/>
          <w:b/>
          <w:color w:val="auto"/>
          <w:szCs w:val="21"/>
        </w:rPr>
      </w:pPr>
      <w:r>
        <w:rPr>
          <w:rFonts w:hint="eastAsia" w:ascii="宋体" w:hAnsi="宋体" w:cs="宋体"/>
          <w:b/>
          <w:color w:val="auto"/>
          <w:szCs w:val="21"/>
        </w:rPr>
        <w:br w:type="page"/>
      </w:r>
      <w:bookmarkStart w:id="1070" w:name="_Toc33799169"/>
      <w:bookmarkStart w:id="1071" w:name="_Toc524084218"/>
      <w:bookmarkStart w:id="1072" w:name="_Toc21613867"/>
      <w:bookmarkStart w:id="1073" w:name="_Toc32228495"/>
      <w:bookmarkStart w:id="1074" w:name="_Toc22548913"/>
    </w:p>
    <w:p w14:paraId="3A3BBB2A">
      <w:pPr>
        <w:pStyle w:val="20"/>
        <w:spacing w:line="360" w:lineRule="auto"/>
        <w:jc w:val="center"/>
        <w:outlineLvl w:val="1"/>
        <w:rPr>
          <w:rFonts w:hAnsi="宋体" w:cs="宋体"/>
          <w:b/>
          <w:bCs/>
          <w:color w:val="auto"/>
          <w:sz w:val="24"/>
          <w:szCs w:val="24"/>
        </w:rPr>
      </w:pPr>
      <w:bookmarkStart w:id="1075" w:name="_Toc58081291"/>
      <w:bookmarkStart w:id="1076" w:name="_Toc10241"/>
      <w:bookmarkStart w:id="1077" w:name="_Toc10858"/>
      <w:bookmarkStart w:id="1078" w:name="_Toc13950"/>
      <w:bookmarkStart w:id="1079" w:name="_Toc20975"/>
      <w:bookmarkStart w:id="1080" w:name="_Toc27076"/>
      <w:r>
        <w:rPr>
          <w:rFonts w:hint="eastAsia" w:hAnsi="宋体" w:cs="宋体"/>
          <w:b/>
          <w:bCs/>
          <w:color w:val="auto"/>
          <w:sz w:val="24"/>
          <w:szCs w:val="24"/>
        </w:rPr>
        <w:t>十</w:t>
      </w:r>
      <w:r>
        <w:rPr>
          <w:rFonts w:hint="eastAsia" w:hAnsi="宋体" w:cs="宋体"/>
          <w:b/>
          <w:bCs/>
          <w:color w:val="auto"/>
          <w:sz w:val="24"/>
          <w:szCs w:val="24"/>
          <w:lang w:val="en-US" w:eastAsia="zh-CN"/>
        </w:rPr>
        <w:t>七</w:t>
      </w:r>
      <w:r>
        <w:rPr>
          <w:rFonts w:hint="eastAsia" w:hAnsi="宋体" w:cs="宋体"/>
          <w:b/>
          <w:bCs/>
          <w:color w:val="auto"/>
          <w:sz w:val="24"/>
          <w:szCs w:val="24"/>
        </w:rPr>
        <w:t>、监狱企业声明函</w:t>
      </w:r>
      <w:bookmarkEnd w:id="1070"/>
      <w:bookmarkEnd w:id="1071"/>
      <w:bookmarkEnd w:id="1072"/>
      <w:bookmarkEnd w:id="1073"/>
      <w:bookmarkEnd w:id="1074"/>
      <w:bookmarkEnd w:id="1075"/>
      <w:bookmarkEnd w:id="1076"/>
      <w:bookmarkEnd w:id="1077"/>
      <w:bookmarkEnd w:id="1078"/>
      <w:bookmarkEnd w:id="1079"/>
      <w:bookmarkEnd w:id="1080"/>
    </w:p>
    <w:p w14:paraId="2F43DB4C">
      <w:pPr>
        <w:spacing w:line="360" w:lineRule="auto"/>
        <w:jc w:val="center"/>
        <w:rPr>
          <w:rFonts w:ascii="宋体" w:hAnsi="宋体" w:cs="宋体"/>
          <w:color w:val="auto"/>
          <w:szCs w:val="21"/>
          <w:u w:val="single"/>
        </w:rPr>
      </w:pPr>
      <w:bookmarkStart w:id="1081" w:name="_Hlk57798841"/>
      <w:r>
        <w:rPr>
          <w:rStyle w:val="64"/>
          <w:rFonts w:cs="宋体"/>
          <w:color w:val="auto"/>
          <w:sz w:val="21"/>
          <w:szCs w:val="21"/>
        </w:rPr>
        <w:t>（不属于监狱企业的无需填写）</w:t>
      </w:r>
    </w:p>
    <w:bookmarkEnd w:id="1081"/>
    <w:p w14:paraId="415EBE55">
      <w:pPr>
        <w:spacing w:line="360" w:lineRule="auto"/>
        <w:ind w:firstLine="420" w:firstLineChars="200"/>
        <w:rPr>
          <w:rStyle w:val="64"/>
          <w:rFonts w:hint="eastAsia" w:eastAsia="宋体" w:cs="宋体"/>
          <w:color w:val="auto"/>
          <w:sz w:val="21"/>
          <w:szCs w:val="21"/>
          <w:lang w:eastAsia="zh-CN"/>
        </w:rPr>
      </w:pPr>
      <w:r>
        <w:rPr>
          <w:rStyle w:val="64"/>
          <w:rFonts w:cs="宋体"/>
          <w:color w:val="auto"/>
          <w:sz w:val="21"/>
          <w:szCs w:val="21"/>
        </w:rPr>
        <w:t>公司郑重声明，根据《关于政府采购支持监狱企业发展有关问题的通知》 （财库</w:t>
      </w:r>
      <w:r>
        <w:rPr>
          <w:rStyle w:val="64"/>
          <w:rFonts w:cs="宋体"/>
          <w:color w:val="auto"/>
          <w:sz w:val="21"/>
          <w:szCs w:val="21"/>
          <w:lang w:eastAsia="zh-CN"/>
        </w:rPr>
        <w:t>〔2014〕68号</w:t>
      </w:r>
      <w:r>
        <w:rPr>
          <w:rStyle w:val="64"/>
          <w:rFonts w:cs="宋体"/>
          <w:color w:val="auto"/>
          <w:sz w:val="21"/>
          <w:szCs w:val="21"/>
        </w:rPr>
        <w:t>）的规定，本公司为监狱企业。</w:t>
      </w:r>
    </w:p>
    <w:p w14:paraId="267B506A">
      <w:pPr>
        <w:spacing w:line="360" w:lineRule="auto"/>
        <w:ind w:firstLine="420" w:firstLineChars="200"/>
        <w:rPr>
          <w:rStyle w:val="64"/>
          <w:rFonts w:hint="default" w:cs="宋体"/>
          <w:color w:val="auto"/>
          <w:sz w:val="21"/>
          <w:szCs w:val="21"/>
        </w:rPr>
      </w:pPr>
      <w:r>
        <w:rPr>
          <w:rStyle w:val="64"/>
          <w:rFonts w:cs="宋体"/>
          <w:color w:val="auto"/>
          <w:sz w:val="21"/>
          <w:szCs w:val="21"/>
        </w:rPr>
        <w:t xml:space="preserve">    根据上述标准，我公司属于监狱企业的理由为：</w:t>
      </w:r>
      <w:r>
        <w:rPr>
          <w:rStyle w:val="64"/>
          <w:rFonts w:hint="eastAsia" w:cs="宋体"/>
          <w:color w:val="auto"/>
          <w:sz w:val="21"/>
          <w:szCs w:val="21"/>
          <w:u w:val="single"/>
          <w:lang w:val="en-US" w:eastAsia="zh-CN"/>
        </w:rPr>
        <w:t xml:space="preserve">     </w:t>
      </w:r>
      <w:r>
        <w:rPr>
          <w:rStyle w:val="64"/>
          <w:rFonts w:cs="宋体"/>
          <w:color w:val="auto"/>
          <w:sz w:val="21"/>
          <w:szCs w:val="21"/>
        </w:rPr>
        <w:t>。</w:t>
      </w:r>
    </w:p>
    <w:p w14:paraId="723758B5">
      <w:pPr>
        <w:spacing w:line="360" w:lineRule="auto"/>
        <w:ind w:firstLine="420" w:firstLineChars="200"/>
        <w:rPr>
          <w:rStyle w:val="64"/>
          <w:rFonts w:hint="eastAsia" w:eastAsia="宋体" w:cs="宋体"/>
          <w:color w:val="auto"/>
          <w:sz w:val="21"/>
          <w:szCs w:val="21"/>
          <w:lang w:eastAsia="zh-CN"/>
        </w:rPr>
      </w:pPr>
      <w:r>
        <w:rPr>
          <w:rStyle w:val="64"/>
          <w:rFonts w:cs="宋体"/>
          <w:color w:val="auto"/>
          <w:sz w:val="21"/>
          <w:szCs w:val="21"/>
        </w:rPr>
        <w:t xml:space="preserve">本公司为参加 </w:t>
      </w:r>
      <w:r>
        <w:rPr>
          <w:rStyle w:val="64"/>
          <w:rFonts w:cs="宋体"/>
          <w:color w:val="auto"/>
          <w:sz w:val="21"/>
          <w:szCs w:val="21"/>
          <w:u w:val="single"/>
        </w:rPr>
        <w:t xml:space="preserve">      （项目名称） </w:t>
      </w:r>
      <w:r>
        <w:rPr>
          <w:rStyle w:val="64"/>
          <w:rFonts w:cs="宋体"/>
          <w:color w:val="auto"/>
          <w:sz w:val="21"/>
          <w:szCs w:val="21"/>
        </w:rPr>
        <w:t>（项目编号：</w:t>
      </w:r>
      <w:r>
        <w:rPr>
          <w:rStyle w:val="64"/>
          <w:rFonts w:hint="eastAsia" w:cs="宋体"/>
          <w:color w:val="auto"/>
          <w:sz w:val="21"/>
          <w:szCs w:val="21"/>
          <w:u w:val="single"/>
          <w:lang w:val="en-US" w:eastAsia="zh-CN"/>
        </w:rPr>
        <w:t xml:space="preserve">      </w:t>
      </w:r>
      <w:r>
        <w:rPr>
          <w:rStyle w:val="64"/>
          <w:rFonts w:cs="宋体"/>
          <w:color w:val="auto"/>
          <w:sz w:val="21"/>
          <w:szCs w:val="21"/>
        </w:rPr>
        <w:t>）采购活动提供本企业</w:t>
      </w:r>
      <w:r>
        <w:rPr>
          <w:rStyle w:val="64"/>
          <w:rFonts w:cs="宋体"/>
          <w:color w:val="auto"/>
          <w:sz w:val="21"/>
          <w:szCs w:val="21"/>
          <w:u w:val="single"/>
        </w:rPr>
        <w:t>（填写制造的货物，由本企业承担工程、提供服务）</w:t>
      </w:r>
      <w:r>
        <w:rPr>
          <w:rStyle w:val="64"/>
          <w:rFonts w:cs="宋体"/>
          <w:color w:val="auto"/>
          <w:sz w:val="21"/>
          <w:szCs w:val="21"/>
        </w:rPr>
        <w:t>。</w:t>
      </w:r>
    </w:p>
    <w:p w14:paraId="6E777112">
      <w:pPr>
        <w:spacing w:line="360" w:lineRule="auto"/>
        <w:ind w:firstLine="420" w:firstLineChars="200"/>
        <w:rPr>
          <w:rStyle w:val="64"/>
          <w:rFonts w:hint="eastAsia" w:eastAsia="宋体" w:cs="宋体"/>
          <w:color w:val="auto"/>
          <w:sz w:val="21"/>
          <w:szCs w:val="21"/>
          <w:lang w:eastAsia="zh-CN"/>
        </w:rPr>
      </w:pPr>
      <w:r>
        <w:rPr>
          <w:rStyle w:val="64"/>
          <w:rFonts w:cs="宋体"/>
          <w:color w:val="auto"/>
          <w:sz w:val="21"/>
          <w:szCs w:val="21"/>
        </w:rPr>
        <w:t xml:space="preserve">    本条所称货物不包括使用大型企业注册商标的货物和服务。</w:t>
      </w:r>
    </w:p>
    <w:p w14:paraId="0053B81C">
      <w:pPr>
        <w:spacing w:line="360" w:lineRule="auto"/>
        <w:ind w:firstLine="420" w:firstLineChars="200"/>
        <w:rPr>
          <w:rStyle w:val="64"/>
          <w:rFonts w:hint="default" w:cs="宋体"/>
          <w:color w:val="auto"/>
          <w:sz w:val="21"/>
          <w:szCs w:val="21"/>
        </w:rPr>
      </w:pPr>
      <w:r>
        <w:rPr>
          <w:rStyle w:val="64"/>
          <w:rFonts w:cs="宋体"/>
          <w:color w:val="auto"/>
          <w:sz w:val="21"/>
          <w:szCs w:val="21"/>
        </w:rPr>
        <w:t xml:space="preserve">    本公司对上述声明的真实性负责。如有虚假，将依法承担相应责任</w:t>
      </w:r>
    </w:p>
    <w:p w14:paraId="1219FB90">
      <w:pPr>
        <w:spacing w:line="360" w:lineRule="auto"/>
        <w:rPr>
          <w:rFonts w:ascii="宋体" w:hAnsi="宋体" w:cs="宋体"/>
          <w:color w:val="auto"/>
          <w:szCs w:val="21"/>
          <w:u w:val="single"/>
        </w:rPr>
      </w:pPr>
    </w:p>
    <w:p w14:paraId="1C876E70">
      <w:pPr>
        <w:spacing w:line="360" w:lineRule="auto"/>
        <w:rPr>
          <w:rFonts w:ascii="宋体" w:hAnsi="宋体" w:cs="宋体"/>
          <w:color w:val="auto"/>
          <w:szCs w:val="21"/>
          <w:u w:val="single"/>
        </w:rPr>
      </w:pPr>
    </w:p>
    <w:p w14:paraId="0EF82B0E">
      <w:pPr>
        <w:spacing w:line="360" w:lineRule="auto"/>
        <w:rPr>
          <w:rFonts w:ascii="宋体" w:hAnsi="宋体" w:cs="宋体"/>
          <w:color w:val="auto"/>
          <w:szCs w:val="21"/>
          <w:u w:val="single"/>
        </w:rPr>
      </w:pPr>
    </w:p>
    <w:p w14:paraId="3A648A73">
      <w:pPr>
        <w:spacing w:line="360" w:lineRule="auto"/>
        <w:rPr>
          <w:rFonts w:ascii="宋体" w:hAnsi="宋体" w:cs="宋体"/>
          <w:color w:val="auto"/>
          <w:szCs w:val="21"/>
          <w:u w:val="single"/>
        </w:rPr>
      </w:pPr>
    </w:p>
    <w:p w14:paraId="7F4EA6A9">
      <w:pPr>
        <w:spacing w:line="360" w:lineRule="auto"/>
        <w:ind w:firstLine="422" w:firstLineChars="200"/>
        <w:rPr>
          <w:rStyle w:val="64"/>
          <w:rFonts w:hint="default" w:cs="宋体"/>
          <w:b/>
          <w:bCs/>
          <w:color w:val="auto"/>
          <w:sz w:val="21"/>
          <w:szCs w:val="21"/>
        </w:rPr>
      </w:pPr>
      <w:r>
        <w:rPr>
          <w:rStyle w:val="64"/>
          <w:rFonts w:cs="宋体"/>
          <w:b/>
          <w:bCs/>
          <w:color w:val="auto"/>
          <w:sz w:val="21"/>
          <w:szCs w:val="21"/>
        </w:rPr>
        <w:t>注：若产品出自符合国家规定的监狱企业，则该产品制造企业必须出具上述声明函，且投标人必须提供应当提供由省级以上监狱管理局、戒毒管理局（含新疆生产建设兵团）出具的属于监狱企业的证明文件，否则在评审时将不考虑对该监狱企业的相关优惠。</w:t>
      </w:r>
    </w:p>
    <w:p w14:paraId="0D36061C">
      <w:pPr>
        <w:spacing w:line="360" w:lineRule="auto"/>
        <w:ind w:firstLine="422" w:firstLineChars="200"/>
        <w:rPr>
          <w:rFonts w:ascii="宋体" w:hAnsi="宋体" w:cs="宋体"/>
          <w:color w:val="auto"/>
          <w:szCs w:val="21"/>
        </w:rPr>
      </w:pPr>
      <w:r>
        <w:rPr>
          <w:rFonts w:hint="eastAsia" w:ascii="宋体" w:hAnsi="宋体" w:cs="宋体"/>
          <w:b/>
          <w:bCs/>
          <w:color w:val="auto"/>
          <w:szCs w:val="21"/>
        </w:rPr>
        <w:t>监狱企业视同小型、微型企业，享受评审中价格扣除等政府采购促进中小企业发展的政府采购政策。</w:t>
      </w:r>
    </w:p>
    <w:p w14:paraId="08D9CEFB">
      <w:pPr>
        <w:rPr>
          <w:rFonts w:ascii="宋体" w:hAnsi="宋体" w:cs="宋体"/>
          <w:color w:val="auto"/>
          <w:szCs w:val="21"/>
        </w:rPr>
      </w:pPr>
    </w:p>
    <w:p w14:paraId="3591D31F">
      <w:pPr>
        <w:rPr>
          <w:rFonts w:ascii="宋体" w:hAnsi="宋体" w:cs="宋体"/>
          <w:b/>
          <w:bCs/>
          <w:color w:val="auto"/>
          <w:szCs w:val="21"/>
        </w:rPr>
      </w:pPr>
    </w:p>
    <w:p w14:paraId="6A7D2F31">
      <w:pPr>
        <w:rPr>
          <w:rFonts w:ascii="宋体" w:hAnsi="宋体" w:cs="宋体"/>
          <w:b/>
          <w:bCs/>
          <w:color w:val="auto"/>
          <w:szCs w:val="21"/>
        </w:rPr>
      </w:pPr>
    </w:p>
    <w:p w14:paraId="74A08E22">
      <w:pPr>
        <w:widowControl/>
        <w:jc w:val="left"/>
        <w:rPr>
          <w:rFonts w:ascii="宋体" w:hAnsi="宋体" w:cs="宋体"/>
          <w:b/>
          <w:color w:val="auto"/>
          <w:szCs w:val="21"/>
        </w:rPr>
      </w:pPr>
    </w:p>
    <w:p w14:paraId="0D7109BE">
      <w:pPr>
        <w:pStyle w:val="20"/>
        <w:spacing w:line="360" w:lineRule="auto"/>
        <w:jc w:val="center"/>
        <w:outlineLvl w:val="1"/>
        <w:rPr>
          <w:rFonts w:hAnsi="宋体" w:cs="宋体"/>
          <w:color w:val="auto"/>
          <w:szCs w:val="21"/>
        </w:rPr>
      </w:pPr>
      <w:bookmarkStart w:id="1082" w:name="_Toc8300804"/>
      <w:r>
        <w:rPr>
          <w:rFonts w:hint="eastAsia" w:hAnsi="宋体" w:cs="宋体"/>
          <w:bCs/>
          <w:color w:val="auto"/>
          <w:szCs w:val="21"/>
        </w:rPr>
        <w:br w:type="page"/>
      </w:r>
      <w:bookmarkStart w:id="1083" w:name="_Toc58081292"/>
      <w:bookmarkStart w:id="1084" w:name="_Toc22080"/>
      <w:bookmarkStart w:id="1085" w:name="_Toc13345"/>
      <w:bookmarkStart w:id="1086" w:name="_Toc9833"/>
      <w:bookmarkStart w:id="1087" w:name="_Toc2617"/>
      <w:bookmarkStart w:id="1088" w:name="_Toc3005"/>
      <w:r>
        <w:rPr>
          <w:rFonts w:hint="eastAsia" w:hAnsi="宋体" w:cs="宋体"/>
          <w:b/>
          <w:bCs/>
          <w:color w:val="auto"/>
          <w:sz w:val="24"/>
          <w:szCs w:val="24"/>
        </w:rPr>
        <w:t>十</w:t>
      </w:r>
      <w:r>
        <w:rPr>
          <w:rFonts w:hint="eastAsia" w:hAnsi="宋体" w:cs="宋体"/>
          <w:b/>
          <w:bCs/>
          <w:color w:val="auto"/>
          <w:sz w:val="24"/>
          <w:szCs w:val="24"/>
          <w:lang w:val="en-US" w:eastAsia="zh-CN"/>
        </w:rPr>
        <w:t>八</w:t>
      </w:r>
      <w:r>
        <w:rPr>
          <w:rFonts w:hint="eastAsia" w:hAnsi="宋体" w:cs="宋体"/>
          <w:b/>
          <w:bCs/>
          <w:color w:val="auto"/>
          <w:sz w:val="24"/>
          <w:szCs w:val="24"/>
        </w:rPr>
        <w:t>、</w:t>
      </w:r>
      <w:bookmarkEnd w:id="1038"/>
      <w:bookmarkEnd w:id="1039"/>
      <w:bookmarkEnd w:id="1040"/>
      <w:bookmarkEnd w:id="1041"/>
      <w:bookmarkEnd w:id="1042"/>
      <w:bookmarkEnd w:id="1043"/>
      <w:bookmarkEnd w:id="1082"/>
      <w:bookmarkEnd w:id="1083"/>
      <w:r>
        <w:rPr>
          <w:rFonts w:hint="eastAsia" w:hAnsi="宋体" w:cs="宋体"/>
          <w:b/>
          <w:bCs/>
          <w:color w:val="auto"/>
          <w:sz w:val="24"/>
          <w:szCs w:val="24"/>
        </w:rPr>
        <w:t>技术方案</w:t>
      </w:r>
      <w:bookmarkEnd w:id="1084"/>
      <w:bookmarkEnd w:id="1085"/>
      <w:bookmarkEnd w:id="1086"/>
      <w:bookmarkEnd w:id="1087"/>
      <w:bookmarkEnd w:id="1088"/>
    </w:p>
    <w:p w14:paraId="550B4DC9">
      <w:pPr>
        <w:pStyle w:val="20"/>
        <w:spacing w:line="360" w:lineRule="auto"/>
        <w:jc w:val="left"/>
        <w:rPr>
          <w:rFonts w:hAnsi="宋体" w:cs="宋体"/>
          <w:color w:val="auto"/>
          <w:szCs w:val="21"/>
        </w:rPr>
      </w:pPr>
      <w:r>
        <w:rPr>
          <w:rFonts w:hint="eastAsia" w:hAnsi="宋体" w:cs="宋体"/>
          <w:color w:val="auto"/>
          <w:szCs w:val="21"/>
        </w:rPr>
        <w:t>包括但不限于以下内容：</w:t>
      </w:r>
    </w:p>
    <w:p w14:paraId="0CA7FB65">
      <w:pPr>
        <w:pStyle w:val="20"/>
        <w:spacing w:line="360" w:lineRule="auto"/>
        <w:jc w:val="left"/>
        <w:rPr>
          <w:rFonts w:hAnsi="宋体"/>
          <w:color w:val="auto"/>
          <w:szCs w:val="21"/>
        </w:rPr>
      </w:pPr>
      <w:r>
        <w:rPr>
          <w:rFonts w:hint="eastAsia" w:hAnsi="宋体" w:cs="宋体"/>
          <w:color w:val="auto"/>
          <w:szCs w:val="21"/>
        </w:rPr>
        <w:t>1、施工技术方案</w:t>
      </w:r>
    </w:p>
    <w:p w14:paraId="43A47023">
      <w:pPr>
        <w:pStyle w:val="20"/>
        <w:spacing w:line="360" w:lineRule="auto"/>
        <w:jc w:val="left"/>
        <w:rPr>
          <w:rFonts w:hint="eastAsia" w:hAnsi="宋体" w:eastAsia="宋体" w:cs="宋体"/>
          <w:color w:val="auto"/>
          <w:szCs w:val="21"/>
          <w:lang w:val="en-US" w:eastAsia="zh-CN"/>
        </w:rPr>
      </w:pPr>
      <w:r>
        <w:rPr>
          <w:rFonts w:hint="eastAsia" w:hAnsi="宋体" w:cs="宋体"/>
          <w:color w:val="auto"/>
          <w:szCs w:val="21"/>
          <w:lang w:val="en-US" w:eastAsia="zh-CN"/>
        </w:rPr>
        <w:t>2、质量管理体系与措施</w:t>
      </w:r>
    </w:p>
    <w:p w14:paraId="68F83C22">
      <w:pPr>
        <w:pStyle w:val="20"/>
        <w:spacing w:line="360" w:lineRule="auto"/>
        <w:jc w:val="left"/>
        <w:rPr>
          <w:rFonts w:hAnsi="宋体" w:cs="宋体"/>
          <w:color w:val="auto"/>
          <w:szCs w:val="21"/>
        </w:rPr>
      </w:pPr>
      <w:r>
        <w:rPr>
          <w:rFonts w:hint="eastAsia" w:hAnsi="宋体" w:cs="宋体"/>
          <w:color w:val="auto"/>
          <w:szCs w:val="21"/>
          <w:lang w:val="en-US" w:eastAsia="zh-CN"/>
        </w:rPr>
        <w:t>3</w:t>
      </w:r>
      <w:r>
        <w:rPr>
          <w:rFonts w:hint="eastAsia" w:hAnsi="宋体" w:cs="宋体"/>
          <w:color w:val="auto"/>
          <w:szCs w:val="21"/>
        </w:rPr>
        <w:t>、</w:t>
      </w:r>
      <w:r>
        <w:rPr>
          <w:rFonts w:hint="eastAsia" w:hAnsi="宋体" w:cs="宋体"/>
          <w:color w:val="auto"/>
          <w:szCs w:val="21"/>
          <w:lang w:val="en-US" w:eastAsia="zh-CN"/>
        </w:rPr>
        <w:t>工期及</w:t>
      </w:r>
      <w:r>
        <w:rPr>
          <w:rFonts w:hint="eastAsia" w:hAnsi="宋体" w:cs="宋体"/>
          <w:color w:val="auto"/>
          <w:szCs w:val="21"/>
        </w:rPr>
        <w:t>进度计划</w:t>
      </w:r>
      <w:r>
        <w:rPr>
          <w:rFonts w:hint="eastAsia" w:hAnsi="宋体" w:cs="宋体"/>
          <w:color w:val="auto"/>
          <w:szCs w:val="21"/>
          <w:lang w:val="en-US" w:eastAsia="zh-CN"/>
        </w:rPr>
        <w:t>保障措施</w:t>
      </w:r>
    </w:p>
    <w:p w14:paraId="566609D6">
      <w:pPr>
        <w:pStyle w:val="20"/>
        <w:spacing w:line="360" w:lineRule="auto"/>
        <w:jc w:val="left"/>
        <w:rPr>
          <w:rFonts w:hint="eastAsia" w:hAnsi="宋体" w:cs="宋体"/>
          <w:color w:val="auto"/>
          <w:szCs w:val="21"/>
        </w:rPr>
      </w:pPr>
      <w:r>
        <w:rPr>
          <w:rFonts w:hint="eastAsia" w:hAnsi="宋体" w:cs="宋体"/>
          <w:color w:val="auto"/>
          <w:szCs w:val="21"/>
          <w:lang w:val="en-US" w:eastAsia="zh-CN"/>
        </w:rPr>
        <w:t>4</w:t>
      </w:r>
      <w:r>
        <w:rPr>
          <w:rFonts w:hint="eastAsia" w:hAnsi="宋体" w:cs="宋体"/>
          <w:color w:val="auto"/>
          <w:szCs w:val="21"/>
        </w:rPr>
        <w:t>、</w:t>
      </w:r>
      <w:r>
        <w:rPr>
          <w:rFonts w:hint="eastAsia" w:hAnsi="宋体" w:cs="宋体"/>
          <w:color w:val="auto"/>
          <w:szCs w:val="21"/>
          <w:lang w:val="en-US" w:eastAsia="zh-CN"/>
        </w:rPr>
        <w:t>安全文明施工保证措施</w:t>
      </w:r>
    </w:p>
    <w:p w14:paraId="3F9B984C">
      <w:pPr>
        <w:pStyle w:val="20"/>
        <w:spacing w:line="360" w:lineRule="auto"/>
        <w:jc w:val="left"/>
        <w:rPr>
          <w:rFonts w:hint="eastAsia" w:hAnsi="宋体" w:cs="Times New Roman"/>
          <w:color w:val="auto"/>
          <w:szCs w:val="21"/>
          <w:lang w:val="en-US" w:eastAsia="zh-CN"/>
        </w:rPr>
      </w:pPr>
      <w:r>
        <w:rPr>
          <w:rFonts w:hint="eastAsia" w:hAnsi="宋体" w:cs="Times New Roman"/>
          <w:color w:val="auto"/>
          <w:szCs w:val="21"/>
          <w:lang w:val="en-US" w:eastAsia="zh-CN"/>
        </w:rPr>
        <w:t>5、</w:t>
      </w:r>
      <w:r>
        <w:rPr>
          <w:rFonts w:hint="eastAsia" w:ascii="宋体" w:hAnsi="宋体" w:cs="宋体"/>
          <w:color w:val="auto"/>
          <w:sz w:val="21"/>
          <w:szCs w:val="21"/>
        </w:rPr>
        <w:t>施工机械及材料投入计划</w:t>
      </w:r>
    </w:p>
    <w:p w14:paraId="4E9D3694">
      <w:pPr>
        <w:pStyle w:val="20"/>
        <w:spacing w:line="360" w:lineRule="auto"/>
        <w:jc w:val="left"/>
        <w:rPr>
          <w:rFonts w:hint="eastAsia" w:hAnsi="宋体" w:cs="Times New Roman"/>
          <w:color w:val="auto"/>
          <w:szCs w:val="21"/>
        </w:rPr>
      </w:pPr>
      <w:r>
        <w:rPr>
          <w:rFonts w:hint="eastAsia" w:hAnsi="宋体" w:cs="Times New Roman"/>
          <w:color w:val="auto"/>
          <w:szCs w:val="21"/>
          <w:lang w:val="en-US" w:eastAsia="zh-CN"/>
        </w:rPr>
        <w:t>6、</w:t>
      </w:r>
      <w:r>
        <w:rPr>
          <w:rFonts w:hint="eastAsia" w:hAnsi="宋体" w:cs="Times New Roman"/>
          <w:color w:val="auto"/>
          <w:szCs w:val="21"/>
        </w:rPr>
        <w:t>供应商认为还需提交</w:t>
      </w:r>
      <w:r>
        <w:rPr>
          <w:rFonts w:hint="eastAsia" w:hAnsi="宋体" w:cs="Times New Roman"/>
          <w:color w:val="auto"/>
          <w:szCs w:val="21"/>
          <w:lang w:eastAsia="zh-CN"/>
        </w:rPr>
        <w:t>的其他</w:t>
      </w:r>
      <w:r>
        <w:rPr>
          <w:rFonts w:hint="eastAsia" w:hAnsi="宋体" w:cs="Times New Roman"/>
          <w:color w:val="auto"/>
          <w:szCs w:val="21"/>
        </w:rPr>
        <w:t>资料</w:t>
      </w:r>
    </w:p>
    <w:p w14:paraId="5649B4E8">
      <w:pPr>
        <w:spacing w:line="360" w:lineRule="auto"/>
        <w:ind w:firstLine="211" w:firstLineChars="100"/>
        <w:jc w:val="left"/>
        <w:rPr>
          <w:rFonts w:ascii="宋体" w:hAnsi="宋体" w:cs="宋体"/>
          <w:b/>
          <w:bCs/>
          <w:color w:val="auto"/>
          <w:szCs w:val="21"/>
        </w:rPr>
      </w:pPr>
      <w:bookmarkStart w:id="1089" w:name="_Toc347849265"/>
      <w:bookmarkStart w:id="1090" w:name="_Toc427339193"/>
      <w:bookmarkStart w:id="1091" w:name="_Toc420071247"/>
      <w:bookmarkStart w:id="1092" w:name="_Toc417843447"/>
      <w:bookmarkStart w:id="1093" w:name="_Toc7868"/>
      <w:bookmarkStart w:id="1094" w:name="_Toc8300805"/>
      <w:bookmarkStart w:id="1095" w:name="_Toc417843496"/>
      <w:bookmarkStart w:id="1096" w:name="_Toc484796166"/>
    </w:p>
    <w:p w14:paraId="523B0FE4">
      <w:pPr>
        <w:pStyle w:val="20"/>
        <w:spacing w:line="360" w:lineRule="auto"/>
        <w:jc w:val="center"/>
        <w:outlineLvl w:val="1"/>
        <w:rPr>
          <w:rFonts w:hint="eastAsia" w:hAnsi="宋体" w:cs="宋体"/>
          <w:b/>
          <w:bCs/>
          <w:color w:val="auto"/>
          <w:sz w:val="24"/>
          <w:szCs w:val="24"/>
        </w:rPr>
      </w:pPr>
      <w:bookmarkStart w:id="1097" w:name="_Toc15337"/>
      <w:bookmarkStart w:id="1098" w:name="_Toc9896"/>
      <w:bookmarkStart w:id="1099" w:name="_Toc15921"/>
      <w:bookmarkStart w:id="1100" w:name="_Toc22805"/>
      <w:bookmarkStart w:id="1101" w:name="_Toc9900"/>
    </w:p>
    <w:p w14:paraId="7FD7A82B">
      <w:pPr>
        <w:pStyle w:val="20"/>
        <w:spacing w:line="360" w:lineRule="auto"/>
        <w:jc w:val="center"/>
        <w:outlineLvl w:val="1"/>
        <w:rPr>
          <w:rFonts w:hAnsi="宋体" w:cs="宋体"/>
          <w:b/>
          <w:bCs/>
          <w:color w:val="auto"/>
          <w:sz w:val="24"/>
          <w:szCs w:val="24"/>
        </w:rPr>
      </w:pPr>
      <w:r>
        <w:rPr>
          <w:rFonts w:hint="eastAsia" w:hAnsi="宋体" w:cs="宋体"/>
          <w:b/>
          <w:bCs/>
          <w:color w:val="auto"/>
          <w:sz w:val="24"/>
          <w:szCs w:val="24"/>
        </w:rPr>
        <w:t>十</w:t>
      </w:r>
      <w:r>
        <w:rPr>
          <w:rFonts w:hint="eastAsia" w:hAnsi="宋体" w:cs="宋体"/>
          <w:b/>
          <w:bCs/>
          <w:color w:val="auto"/>
          <w:sz w:val="24"/>
          <w:szCs w:val="24"/>
          <w:lang w:val="en-US" w:eastAsia="zh-CN"/>
        </w:rPr>
        <w:t>九</w:t>
      </w:r>
      <w:r>
        <w:rPr>
          <w:rFonts w:hint="eastAsia" w:hAnsi="宋体" w:cs="宋体"/>
          <w:b/>
          <w:bCs/>
          <w:color w:val="auto"/>
          <w:sz w:val="24"/>
          <w:szCs w:val="24"/>
        </w:rPr>
        <w:t>、项目管理机构配备情况表</w:t>
      </w:r>
      <w:bookmarkEnd w:id="1097"/>
      <w:bookmarkEnd w:id="1098"/>
      <w:bookmarkEnd w:id="1099"/>
      <w:bookmarkEnd w:id="1100"/>
      <w:bookmarkEnd w:id="1101"/>
    </w:p>
    <w:p w14:paraId="69FFCDD2">
      <w:pPr>
        <w:spacing w:line="360" w:lineRule="auto"/>
        <w:rPr>
          <w:rFonts w:ascii="宋体" w:hAnsi="宋体"/>
          <w:color w:val="auto"/>
        </w:rPr>
      </w:pPr>
      <w:r>
        <w:rPr>
          <w:rFonts w:hint="eastAsia" w:ascii="宋体" w:hAnsi="宋体"/>
          <w:color w:val="auto"/>
          <w:lang w:val="en-US" w:eastAsia="zh-CN"/>
        </w:rPr>
        <w:t>项目</w:t>
      </w:r>
      <w:r>
        <w:rPr>
          <w:rFonts w:hint="eastAsia" w:ascii="宋体" w:hAnsi="宋体"/>
          <w:color w:val="auto"/>
        </w:rPr>
        <w:t>名称：</w:t>
      </w:r>
    </w:p>
    <w:tbl>
      <w:tblPr>
        <w:tblStyle w:val="38"/>
        <w:tblW w:w="9057"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920"/>
        <w:gridCol w:w="709"/>
        <w:gridCol w:w="850"/>
        <w:gridCol w:w="1223"/>
        <w:gridCol w:w="945"/>
        <w:gridCol w:w="1232"/>
        <w:gridCol w:w="1656"/>
        <w:gridCol w:w="1522"/>
      </w:tblGrid>
      <w:tr w14:paraId="207F78E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jc w:val="center"/>
        </w:trPr>
        <w:tc>
          <w:tcPr>
            <w:tcW w:w="920" w:type="dxa"/>
            <w:vMerge w:val="restart"/>
            <w:vAlign w:val="center"/>
          </w:tcPr>
          <w:p w14:paraId="0BF9CD64">
            <w:pPr>
              <w:widowControl/>
              <w:jc w:val="center"/>
              <w:rPr>
                <w:rFonts w:ascii="宋体" w:hAnsi="宋体" w:cs="宋体"/>
                <w:b/>
                <w:color w:val="auto"/>
                <w:kern w:val="0"/>
                <w:szCs w:val="21"/>
              </w:rPr>
            </w:pPr>
            <w:r>
              <w:rPr>
                <w:rFonts w:hint="eastAsia" w:ascii="宋体" w:hAnsi="宋体" w:cs="宋体"/>
                <w:b/>
                <w:color w:val="auto"/>
                <w:kern w:val="0"/>
                <w:szCs w:val="21"/>
              </w:rPr>
              <w:t>职务</w:t>
            </w:r>
          </w:p>
        </w:tc>
        <w:tc>
          <w:tcPr>
            <w:tcW w:w="709" w:type="dxa"/>
            <w:vMerge w:val="restart"/>
            <w:vAlign w:val="center"/>
          </w:tcPr>
          <w:p w14:paraId="62236ED4">
            <w:pPr>
              <w:widowControl/>
              <w:jc w:val="center"/>
              <w:rPr>
                <w:rFonts w:ascii="宋体" w:hAnsi="宋体" w:cs="宋体"/>
                <w:b/>
                <w:color w:val="auto"/>
                <w:kern w:val="0"/>
                <w:szCs w:val="21"/>
              </w:rPr>
            </w:pPr>
            <w:r>
              <w:rPr>
                <w:rFonts w:hint="eastAsia" w:ascii="宋体" w:hAnsi="宋体" w:cs="宋体"/>
                <w:b/>
                <w:color w:val="auto"/>
                <w:kern w:val="0"/>
                <w:szCs w:val="21"/>
              </w:rPr>
              <w:t>姓名</w:t>
            </w:r>
          </w:p>
        </w:tc>
        <w:tc>
          <w:tcPr>
            <w:tcW w:w="850" w:type="dxa"/>
            <w:vMerge w:val="restart"/>
            <w:vAlign w:val="center"/>
          </w:tcPr>
          <w:p w14:paraId="7F18B1D3">
            <w:pPr>
              <w:widowControl/>
              <w:jc w:val="center"/>
              <w:rPr>
                <w:rFonts w:ascii="宋体" w:hAnsi="宋体" w:cs="宋体"/>
                <w:b/>
                <w:color w:val="auto"/>
                <w:kern w:val="0"/>
                <w:szCs w:val="21"/>
              </w:rPr>
            </w:pPr>
            <w:r>
              <w:rPr>
                <w:rFonts w:hint="eastAsia" w:ascii="宋体" w:hAnsi="宋体" w:cs="宋体"/>
                <w:b/>
                <w:color w:val="auto"/>
                <w:kern w:val="0"/>
                <w:szCs w:val="21"/>
              </w:rPr>
              <w:t>职称</w:t>
            </w:r>
          </w:p>
        </w:tc>
        <w:tc>
          <w:tcPr>
            <w:tcW w:w="5056" w:type="dxa"/>
            <w:gridSpan w:val="4"/>
            <w:vAlign w:val="center"/>
          </w:tcPr>
          <w:p w14:paraId="035F5055">
            <w:pPr>
              <w:widowControl/>
              <w:jc w:val="center"/>
              <w:rPr>
                <w:rFonts w:ascii="宋体" w:hAnsi="宋体" w:cs="宋体"/>
                <w:b/>
                <w:color w:val="auto"/>
                <w:kern w:val="0"/>
                <w:szCs w:val="21"/>
              </w:rPr>
            </w:pPr>
            <w:r>
              <w:rPr>
                <w:rFonts w:hint="eastAsia" w:ascii="宋体" w:hAnsi="宋体" w:cs="宋体"/>
                <w:b/>
                <w:color w:val="auto"/>
                <w:kern w:val="0"/>
                <w:szCs w:val="21"/>
              </w:rPr>
              <w:t>执业或职业资格证明</w:t>
            </w:r>
          </w:p>
        </w:tc>
        <w:tc>
          <w:tcPr>
            <w:tcW w:w="1522" w:type="dxa"/>
            <w:vMerge w:val="restart"/>
            <w:vAlign w:val="center"/>
          </w:tcPr>
          <w:p w14:paraId="11CED3A5">
            <w:pPr>
              <w:widowControl/>
              <w:jc w:val="center"/>
              <w:rPr>
                <w:rFonts w:ascii="宋体" w:hAnsi="宋体" w:cs="宋体"/>
                <w:b/>
                <w:color w:val="auto"/>
                <w:kern w:val="0"/>
                <w:szCs w:val="21"/>
              </w:rPr>
            </w:pPr>
            <w:r>
              <w:rPr>
                <w:rFonts w:hint="eastAsia" w:ascii="宋体" w:hAnsi="宋体" w:cs="宋体"/>
                <w:b/>
                <w:color w:val="auto"/>
                <w:kern w:val="0"/>
                <w:szCs w:val="21"/>
              </w:rPr>
              <w:t>备注</w:t>
            </w:r>
          </w:p>
        </w:tc>
      </w:tr>
      <w:tr w14:paraId="3207704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jc w:val="center"/>
        </w:trPr>
        <w:tc>
          <w:tcPr>
            <w:tcW w:w="920" w:type="dxa"/>
            <w:vMerge w:val="continue"/>
            <w:vAlign w:val="center"/>
          </w:tcPr>
          <w:p w14:paraId="78B1DC04">
            <w:pPr>
              <w:widowControl/>
              <w:jc w:val="center"/>
              <w:rPr>
                <w:rFonts w:ascii="宋体" w:hAnsi="宋体" w:cs="宋体"/>
                <w:b/>
                <w:color w:val="auto"/>
                <w:kern w:val="0"/>
                <w:szCs w:val="21"/>
              </w:rPr>
            </w:pPr>
          </w:p>
        </w:tc>
        <w:tc>
          <w:tcPr>
            <w:tcW w:w="709" w:type="dxa"/>
            <w:vMerge w:val="continue"/>
            <w:vAlign w:val="center"/>
          </w:tcPr>
          <w:p w14:paraId="25111459">
            <w:pPr>
              <w:widowControl/>
              <w:jc w:val="center"/>
              <w:rPr>
                <w:rFonts w:ascii="宋体" w:hAnsi="宋体" w:cs="宋体"/>
                <w:b/>
                <w:color w:val="auto"/>
                <w:kern w:val="0"/>
                <w:szCs w:val="21"/>
              </w:rPr>
            </w:pPr>
          </w:p>
        </w:tc>
        <w:tc>
          <w:tcPr>
            <w:tcW w:w="850" w:type="dxa"/>
            <w:vMerge w:val="continue"/>
            <w:vAlign w:val="center"/>
          </w:tcPr>
          <w:p w14:paraId="436831D6">
            <w:pPr>
              <w:widowControl/>
              <w:jc w:val="center"/>
              <w:rPr>
                <w:rFonts w:ascii="宋体" w:hAnsi="宋体" w:cs="宋体"/>
                <w:b/>
                <w:color w:val="auto"/>
                <w:kern w:val="0"/>
                <w:szCs w:val="21"/>
              </w:rPr>
            </w:pPr>
          </w:p>
        </w:tc>
        <w:tc>
          <w:tcPr>
            <w:tcW w:w="1223" w:type="dxa"/>
            <w:vAlign w:val="center"/>
          </w:tcPr>
          <w:p w14:paraId="08FD9A97">
            <w:pPr>
              <w:widowControl/>
              <w:jc w:val="center"/>
              <w:rPr>
                <w:rFonts w:ascii="宋体" w:hAnsi="宋体" w:cs="宋体"/>
                <w:b/>
                <w:color w:val="auto"/>
                <w:kern w:val="0"/>
                <w:szCs w:val="21"/>
              </w:rPr>
            </w:pPr>
            <w:r>
              <w:rPr>
                <w:rFonts w:hint="eastAsia" w:ascii="宋体" w:hAnsi="宋体" w:cs="宋体"/>
                <w:b/>
                <w:color w:val="auto"/>
                <w:kern w:val="0"/>
                <w:szCs w:val="21"/>
              </w:rPr>
              <w:t>证书名称</w:t>
            </w:r>
          </w:p>
        </w:tc>
        <w:tc>
          <w:tcPr>
            <w:tcW w:w="945" w:type="dxa"/>
            <w:vAlign w:val="center"/>
          </w:tcPr>
          <w:p w14:paraId="12243C81">
            <w:pPr>
              <w:widowControl/>
              <w:jc w:val="center"/>
              <w:rPr>
                <w:rFonts w:ascii="宋体" w:hAnsi="宋体" w:cs="宋体"/>
                <w:b/>
                <w:color w:val="auto"/>
                <w:kern w:val="0"/>
                <w:szCs w:val="21"/>
              </w:rPr>
            </w:pPr>
            <w:r>
              <w:rPr>
                <w:rFonts w:hint="eastAsia" w:ascii="宋体" w:hAnsi="宋体" w:cs="宋体"/>
                <w:b/>
                <w:color w:val="auto"/>
                <w:kern w:val="0"/>
                <w:szCs w:val="21"/>
              </w:rPr>
              <w:t>级别</w:t>
            </w:r>
          </w:p>
        </w:tc>
        <w:tc>
          <w:tcPr>
            <w:tcW w:w="1232" w:type="dxa"/>
            <w:vAlign w:val="center"/>
          </w:tcPr>
          <w:p w14:paraId="5781BC52">
            <w:pPr>
              <w:widowControl/>
              <w:jc w:val="center"/>
              <w:rPr>
                <w:rFonts w:ascii="宋体" w:hAnsi="宋体" w:cs="宋体"/>
                <w:b/>
                <w:color w:val="auto"/>
                <w:kern w:val="0"/>
                <w:szCs w:val="21"/>
              </w:rPr>
            </w:pPr>
            <w:r>
              <w:rPr>
                <w:rFonts w:hint="eastAsia" w:ascii="宋体" w:hAnsi="宋体" w:cs="宋体"/>
                <w:b/>
                <w:color w:val="auto"/>
                <w:kern w:val="0"/>
                <w:szCs w:val="21"/>
              </w:rPr>
              <w:t>证号</w:t>
            </w:r>
          </w:p>
        </w:tc>
        <w:tc>
          <w:tcPr>
            <w:tcW w:w="1656" w:type="dxa"/>
            <w:vAlign w:val="center"/>
          </w:tcPr>
          <w:p w14:paraId="06D1FC07">
            <w:pPr>
              <w:widowControl/>
              <w:jc w:val="center"/>
              <w:rPr>
                <w:rFonts w:ascii="宋体" w:hAnsi="宋体" w:cs="宋体"/>
                <w:b/>
                <w:color w:val="auto"/>
                <w:kern w:val="0"/>
                <w:szCs w:val="21"/>
              </w:rPr>
            </w:pPr>
            <w:r>
              <w:rPr>
                <w:rFonts w:hint="eastAsia" w:ascii="宋体" w:hAnsi="宋体" w:cs="宋体"/>
                <w:b/>
                <w:color w:val="auto"/>
                <w:kern w:val="0"/>
                <w:szCs w:val="21"/>
              </w:rPr>
              <w:t>专业</w:t>
            </w:r>
          </w:p>
        </w:tc>
        <w:tc>
          <w:tcPr>
            <w:tcW w:w="1522" w:type="dxa"/>
            <w:vMerge w:val="continue"/>
            <w:vAlign w:val="center"/>
          </w:tcPr>
          <w:p w14:paraId="71CC1AC4">
            <w:pPr>
              <w:widowControl/>
              <w:jc w:val="center"/>
              <w:rPr>
                <w:rFonts w:ascii="宋体" w:hAnsi="宋体" w:cs="宋体"/>
                <w:b/>
                <w:color w:val="auto"/>
                <w:kern w:val="0"/>
                <w:szCs w:val="21"/>
              </w:rPr>
            </w:pPr>
          </w:p>
        </w:tc>
      </w:tr>
      <w:tr w14:paraId="3C61838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75" w:hRule="atLeast"/>
          <w:jc w:val="center"/>
        </w:trPr>
        <w:tc>
          <w:tcPr>
            <w:tcW w:w="920" w:type="dxa"/>
            <w:vAlign w:val="center"/>
          </w:tcPr>
          <w:p w14:paraId="1748CF1A">
            <w:pPr>
              <w:widowControl/>
              <w:jc w:val="center"/>
              <w:rPr>
                <w:rFonts w:ascii="宋体" w:hAnsi="宋体" w:cs="宋体"/>
                <w:color w:val="auto"/>
                <w:kern w:val="0"/>
                <w:szCs w:val="21"/>
              </w:rPr>
            </w:pPr>
          </w:p>
        </w:tc>
        <w:tc>
          <w:tcPr>
            <w:tcW w:w="709" w:type="dxa"/>
            <w:vAlign w:val="center"/>
          </w:tcPr>
          <w:p w14:paraId="7C44E365">
            <w:pPr>
              <w:widowControl/>
              <w:jc w:val="center"/>
              <w:rPr>
                <w:rFonts w:ascii="宋体" w:hAnsi="宋体" w:cs="宋体"/>
                <w:color w:val="auto"/>
                <w:kern w:val="0"/>
                <w:szCs w:val="21"/>
              </w:rPr>
            </w:pPr>
          </w:p>
        </w:tc>
        <w:tc>
          <w:tcPr>
            <w:tcW w:w="850" w:type="dxa"/>
            <w:vAlign w:val="center"/>
          </w:tcPr>
          <w:p w14:paraId="62C4172E">
            <w:pPr>
              <w:widowControl/>
              <w:jc w:val="center"/>
              <w:rPr>
                <w:rFonts w:ascii="宋体" w:hAnsi="宋体" w:cs="宋体"/>
                <w:color w:val="auto"/>
                <w:kern w:val="0"/>
                <w:szCs w:val="21"/>
              </w:rPr>
            </w:pPr>
          </w:p>
        </w:tc>
        <w:tc>
          <w:tcPr>
            <w:tcW w:w="1223" w:type="dxa"/>
            <w:vAlign w:val="center"/>
          </w:tcPr>
          <w:p w14:paraId="2CF54E11">
            <w:pPr>
              <w:widowControl/>
              <w:jc w:val="center"/>
              <w:rPr>
                <w:rFonts w:ascii="宋体" w:hAnsi="宋体" w:cs="宋体"/>
                <w:color w:val="auto"/>
                <w:kern w:val="0"/>
                <w:szCs w:val="21"/>
              </w:rPr>
            </w:pPr>
          </w:p>
        </w:tc>
        <w:tc>
          <w:tcPr>
            <w:tcW w:w="945" w:type="dxa"/>
            <w:vAlign w:val="center"/>
          </w:tcPr>
          <w:p w14:paraId="22487554">
            <w:pPr>
              <w:widowControl/>
              <w:jc w:val="center"/>
              <w:rPr>
                <w:rFonts w:ascii="宋体" w:hAnsi="宋体" w:cs="宋体"/>
                <w:color w:val="auto"/>
                <w:kern w:val="0"/>
                <w:szCs w:val="21"/>
              </w:rPr>
            </w:pPr>
          </w:p>
        </w:tc>
        <w:tc>
          <w:tcPr>
            <w:tcW w:w="1232" w:type="dxa"/>
            <w:vAlign w:val="center"/>
          </w:tcPr>
          <w:p w14:paraId="5759F8C9">
            <w:pPr>
              <w:widowControl/>
              <w:jc w:val="center"/>
              <w:rPr>
                <w:rFonts w:ascii="宋体" w:hAnsi="宋体" w:cs="宋体"/>
                <w:color w:val="auto"/>
                <w:kern w:val="0"/>
                <w:szCs w:val="21"/>
              </w:rPr>
            </w:pPr>
          </w:p>
        </w:tc>
        <w:tc>
          <w:tcPr>
            <w:tcW w:w="1656" w:type="dxa"/>
            <w:vAlign w:val="center"/>
          </w:tcPr>
          <w:p w14:paraId="1C77C896">
            <w:pPr>
              <w:widowControl/>
              <w:jc w:val="center"/>
              <w:rPr>
                <w:rFonts w:ascii="宋体" w:hAnsi="宋体" w:cs="宋体"/>
                <w:color w:val="auto"/>
                <w:kern w:val="0"/>
                <w:szCs w:val="21"/>
              </w:rPr>
            </w:pPr>
          </w:p>
        </w:tc>
        <w:tc>
          <w:tcPr>
            <w:tcW w:w="1522" w:type="dxa"/>
            <w:vAlign w:val="center"/>
          </w:tcPr>
          <w:p w14:paraId="77784B2A">
            <w:pPr>
              <w:widowControl/>
              <w:jc w:val="center"/>
              <w:rPr>
                <w:rFonts w:ascii="宋体" w:hAnsi="宋体" w:cs="宋体"/>
                <w:color w:val="auto"/>
                <w:kern w:val="0"/>
                <w:szCs w:val="21"/>
              </w:rPr>
            </w:pPr>
          </w:p>
        </w:tc>
      </w:tr>
      <w:tr w14:paraId="063E12D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44" w:hRule="atLeast"/>
          <w:jc w:val="center"/>
        </w:trPr>
        <w:tc>
          <w:tcPr>
            <w:tcW w:w="920" w:type="dxa"/>
            <w:vAlign w:val="center"/>
          </w:tcPr>
          <w:p w14:paraId="2909388D">
            <w:pPr>
              <w:widowControl/>
              <w:jc w:val="center"/>
              <w:rPr>
                <w:rFonts w:ascii="宋体" w:hAnsi="宋体" w:cs="宋体"/>
                <w:color w:val="auto"/>
                <w:kern w:val="0"/>
                <w:szCs w:val="21"/>
              </w:rPr>
            </w:pPr>
          </w:p>
        </w:tc>
        <w:tc>
          <w:tcPr>
            <w:tcW w:w="709" w:type="dxa"/>
            <w:vAlign w:val="center"/>
          </w:tcPr>
          <w:p w14:paraId="5E2F332A">
            <w:pPr>
              <w:widowControl/>
              <w:jc w:val="center"/>
              <w:rPr>
                <w:rFonts w:ascii="宋体" w:hAnsi="宋体" w:cs="宋体"/>
                <w:color w:val="auto"/>
                <w:kern w:val="0"/>
                <w:szCs w:val="21"/>
              </w:rPr>
            </w:pPr>
          </w:p>
        </w:tc>
        <w:tc>
          <w:tcPr>
            <w:tcW w:w="850" w:type="dxa"/>
            <w:vAlign w:val="center"/>
          </w:tcPr>
          <w:p w14:paraId="2D7147B4">
            <w:pPr>
              <w:widowControl/>
              <w:jc w:val="center"/>
              <w:rPr>
                <w:rFonts w:ascii="宋体" w:hAnsi="宋体" w:cs="宋体"/>
                <w:color w:val="auto"/>
                <w:kern w:val="0"/>
                <w:szCs w:val="21"/>
              </w:rPr>
            </w:pPr>
          </w:p>
        </w:tc>
        <w:tc>
          <w:tcPr>
            <w:tcW w:w="1223" w:type="dxa"/>
            <w:vAlign w:val="center"/>
          </w:tcPr>
          <w:p w14:paraId="04EF3425">
            <w:pPr>
              <w:widowControl/>
              <w:jc w:val="center"/>
              <w:rPr>
                <w:rFonts w:ascii="宋体" w:hAnsi="宋体" w:cs="宋体"/>
                <w:color w:val="auto"/>
                <w:kern w:val="0"/>
                <w:szCs w:val="21"/>
              </w:rPr>
            </w:pPr>
          </w:p>
        </w:tc>
        <w:tc>
          <w:tcPr>
            <w:tcW w:w="945" w:type="dxa"/>
            <w:vAlign w:val="center"/>
          </w:tcPr>
          <w:p w14:paraId="2B042C58">
            <w:pPr>
              <w:widowControl/>
              <w:jc w:val="center"/>
              <w:rPr>
                <w:rFonts w:ascii="宋体" w:hAnsi="宋体" w:cs="宋体"/>
                <w:color w:val="auto"/>
                <w:kern w:val="0"/>
                <w:szCs w:val="21"/>
              </w:rPr>
            </w:pPr>
          </w:p>
        </w:tc>
        <w:tc>
          <w:tcPr>
            <w:tcW w:w="1232" w:type="dxa"/>
            <w:vAlign w:val="center"/>
          </w:tcPr>
          <w:p w14:paraId="663E4A96">
            <w:pPr>
              <w:widowControl/>
              <w:jc w:val="center"/>
              <w:rPr>
                <w:rFonts w:ascii="宋体" w:hAnsi="宋体" w:cs="宋体"/>
                <w:color w:val="auto"/>
                <w:kern w:val="0"/>
                <w:szCs w:val="21"/>
              </w:rPr>
            </w:pPr>
          </w:p>
        </w:tc>
        <w:tc>
          <w:tcPr>
            <w:tcW w:w="1656" w:type="dxa"/>
            <w:vAlign w:val="center"/>
          </w:tcPr>
          <w:p w14:paraId="11113C07">
            <w:pPr>
              <w:widowControl/>
              <w:jc w:val="center"/>
              <w:rPr>
                <w:rFonts w:ascii="宋体" w:hAnsi="宋体" w:cs="宋体"/>
                <w:color w:val="auto"/>
                <w:kern w:val="0"/>
                <w:szCs w:val="21"/>
              </w:rPr>
            </w:pPr>
          </w:p>
        </w:tc>
        <w:tc>
          <w:tcPr>
            <w:tcW w:w="1522" w:type="dxa"/>
            <w:vAlign w:val="center"/>
          </w:tcPr>
          <w:p w14:paraId="5A41210C">
            <w:pPr>
              <w:widowControl/>
              <w:jc w:val="center"/>
              <w:rPr>
                <w:rFonts w:ascii="宋体" w:hAnsi="宋体" w:cs="宋体"/>
                <w:color w:val="auto"/>
                <w:kern w:val="0"/>
                <w:szCs w:val="21"/>
              </w:rPr>
            </w:pPr>
          </w:p>
        </w:tc>
      </w:tr>
      <w:tr w14:paraId="43A6F75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27" w:hRule="atLeast"/>
          <w:jc w:val="center"/>
        </w:trPr>
        <w:tc>
          <w:tcPr>
            <w:tcW w:w="920" w:type="dxa"/>
            <w:vAlign w:val="center"/>
          </w:tcPr>
          <w:p w14:paraId="337C3C63">
            <w:pPr>
              <w:widowControl/>
              <w:jc w:val="center"/>
              <w:rPr>
                <w:rFonts w:ascii="宋体" w:hAnsi="宋体" w:cs="宋体"/>
                <w:color w:val="auto"/>
                <w:kern w:val="0"/>
                <w:szCs w:val="21"/>
              </w:rPr>
            </w:pPr>
          </w:p>
        </w:tc>
        <w:tc>
          <w:tcPr>
            <w:tcW w:w="709" w:type="dxa"/>
            <w:vAlign w:val="center"/>
          </w:tcPr>
          <w:p w14:paraId="03644B48">
            <w:pPr>
              <w:widowControl/>
              <w:jc w:val="center"/>
              <w:rPr>
                <w:rFonts w:ascii="宋体" w:hAnsi="宋体" w:cs="宋体"/>
                <w:color w:val="auto"/>
                <w:kern w:val="0"/>
                <w:szCs w:val="21"/>
              </w:rPr>
            </w:pPr>
          </w:p>
        </w:tc>
        <w:tc>
          <w:tcPr>
            <w:tcW w:w="850" w:type="dxa"/>
            <w:vAlign w:val="center"/>
          </w:tcPr>
          <w:p w14:paraId="0AFD484C">
            <w:pPr>
              <w:widowControl/>
              <w:jc w:val="center"/>
              <w:rPr>
                <w:rFonts w:ascii="宋体" w:hAnsi="宋体" w:cs="宋体"/>
                <w:color w:val="auto"/>
                <w:kern w:val="0"/>
                <w:szCs w:val="21"/>
              </w:rPr>
            </w:pPr>
          </w:p>
        </w:tc>
        <w:tc>
          <w:tcPr>
            <w:tcW w:w="1223" w:type="dxa"/>
            <w:vAlign w:val="center"/>
          </w:tcPr>
          <w:p w14:paraId="234BD506">
            <w:pPr>
              <w:widowControl/>
              <w:jc w:val="center"/>
              <w:rPr>
                <w:rFonts w:ascii="宋体" w:hAnsi="宋体" w:cs="宋体"/>
                <w:color w:val="auto"/>
                <w:kern w:val="0"/>
                <w:szCs w:val="21"/>
              </w:rPr>
            </w:pPr>
          </w:p>
        </w:tc>
        <w:tc>
          <w:tcPr>
            <w:tcW w:w="945" w:type="dxa"/>
            <w:vAlign w:val="center"/>
          </w:tcPr>
          <w:p w14:paraId="120BE5F3">
            <w:pPr>
              <w:widowControl/>
              <w:jc w:val="center"/>
              <w:rPr>
                <w:rFonts w:ascii="宋体" w:hAnsi="宋体" w:cs="宋体"/>
                <w:color w:val="auto"/>
                <w:kern w:val="0"/>
                <w:szCs w:val="21"/>
              </w:rPr>
            </w:pPr>
          </w:p>
        </w:tc>
        <w:tc>
          <w:tcPr>
            <w:tcW w:w="1232" w:type="dxa"/>
            <w:vAlign w:val="center"/>
          </w:tcPr>
          <w:p w14:paraId="71B6933F">
            <w:pPr>
              <w:widowControl/>
              <w:jc w:val="center"/>
              <w:rPr>
                <w:rFonts w:ascii="宋体" w:hAnsi="宋体" w:cs="宋体"/>
                <w:color w:val="auto"/>
                <w:kern w:val="0"/>
                <w:szCs w:val="21"/>
              </w:rPr>
            </w:pPr>
          </w:p>
        </w:tc>
        <w:tc>
          <w:tcPr>
            <w:tcW w:w="1656" w:type="dxa"/>
            <w:vAlign w:val="center"/>
          </w:tcPr>
          <w:p w14:paraId="64EB15BD">
            <w:pPr>
              <w:widowControl/>
              <w:jc w:val="center"/>
              <w:rPr>
                <w:rFonts w:ascii="宋体" w:hAnsi="宋体" w:cs="宋体"/>
                <w:color w:val="auto"/>
                <w:kern w:val="0"/>
                <w:szCs w:val="21"/>
              </w:rPr>
            </w:pPr>
          </w:p>
        </w:tc>
        <w:tc>
          <w:tcPr>
            <w:tcW w:w="1522" w:type="dxa"/>
            <w:vAlign w:val="center"/>
          </w:tcPr>
          <w:p w14:paraId="4860ADD1">
            <w:pPr>
              <w:widowControl/>
              <w:jc w:val="center"/>
              <w:rPr>
                <w:rFonts w:ascii="宋体" w:hAnsi="宋体" w:cs="宋体"/>
                <w:color w:val="auto"/>
                <w:kern w:val="0"/>
                <w:szCs w:val="21"/>
              </w:rPr>
            </w:pPr>
          </w:p>
        </w:tc>
      </w:tr>
      <w:tr w14:paraId="289459D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78" w:hRule="atLeast"/>
          <w:jc w:val="center"/>
        </w:trPr>
        <w:tc>
          <w:tcPr>
            <w:tcW w:w="920" w:type="dxa"/>
            <w:vAlign w:val="center"/>
          </w:tcPr>
          <w:p w14:paraId="5A7096C5">
            <w:pPr>
              <w:widowControl/>
              <w:jc w:val="center"/>
              <w:rPr>
                <w:rFonts w:ascii="宋体" w:hAnsi="宋体" w:cs="宋体"/>
                <w:color w:val="auto"/>
                <w:kern w:val="0"/>
                <w:szCs w:val="21"/>
              </w:rPr>
            </w:pPr>
          </w:p>
        </w:tc>
        <w:tc>
          <w:tcPr>
            <w:tcW w:w="709" w:type="dxa"/>
            <w:vAlign w:val="center"/>
          </w:tcPr>
          <w:p w14:paraId="4DDA7F36">
            <w:pPr>
              <w:widowControl/>
              <w:jc w:val="center"/>
              <w:rPr>
                <w:rFonts w:ascii="宋体" w:hAnsi="宋体" w:cs="宋体"/>
                <w:color w:val="auto"/>
                <w:kern w:val="0"/>
                <w:szCs w:val="21"/>
              </w:rPr>
            </w:pPr>
          </w:p>
        </w:tc>
        <w:tc>
          <w:tcPr>
            <w:tcW w:w="850" w:type="dxa"/>
            <w:vAlign w:val="center"/>
          </w:tcPr>
          <w:p w14:paraId="07CDE9F5">
            <w:pPr>
              <w:widowControl/>
              <w:jc w:val="center"/>
              <w:rPr>
                <w:rFonts w:ascii="宋体" w:hAnsi="宋体" w:cs="宋体"/>
                <w:color w:val="auto"/>
                <w:kern w:val="0"/>
                <w:szCs w:val="21"/>
              </w:rPr>
            </w:pPr>
          </w:p>
        </w:tc>
        <w:tc>
          <w:tcPr>
            <w:tcW w:w="1223" w:type="dxa"/>
            <w:vAlign w:val="center"/>
          </w:tcPr>
          <w:p w14:paraId="6BBA4592">
            <w:pPr>
              <w:widowControl/>
              <w:jc w:val="center"/>
              <w:rPr>
                <w:rFonts w:ascii="宋体" w:hAnsi="宋体" w:cs="宋体"/>
                <w:color w:val="auto"/>
                <w:kern w:val="0"/>
                <w:szCs w:val="21"/>
              </w:rPr>
            </w:pPr>
          </w:p>
        </w:tc>
        <w:tc>
          <w:tcPr>
            <w:tcW w:w="945" w:type="dxa"/>
            <w:vAlign w:val="center"/>
          </w:tcPr>
          <w:p w14:paraId="6A8A2462">
            <w:pPr>
              <w:widowControl/>
              <w:jc w:val="center"/>
              <w:rPr>
                <w:rFonts w:ascii="宋体" w:hAnsi="宋体" w:cs="宋体"/>
                <w:color w:val="auto"/>
                <w:kern w:val="0"/>
                <w:szCs w:val="21"/>
              </w:rPr>
            </w:pPr>
          </w:p>
        </w:tc>
        <w:tc>
          <w:tcPr>
            <w:tcW w:w="1232" w:type="dxa"/>
            <w:vAlign w:val="center"/>
          </w:tcPr>
          <w:p w14:paraId="6B1F5519">
            <w:pPr>
              <w:widowControl/>
              <w:jc w:val="center"/>
              <w:rPr>
                <w:rFonts w:ascii="宋体" w:hAnsi="宋体" w:cs="宋体"/>
                <w:color w:val="auto"/>
                <w:kern w:val="0"/>
                <w:szCs w:val="21"/>
              </w:rPr>
            </w:pPr>
          </w:p>
        </w:tc>
        <w:tc>
          <w:tcPr>
            <w:tcW w:w="1656" w:type="dxa"/>
            <w:vAlign w:val="center"/>
          </w:tcPr>
          <w:p w14:paraId="7088C909">
            <w:pPr>
              <w:widowControl/>
              <w:jc w:val="center"/>
              <w:rPr>
                <w:rFonts w:ascii="宋体" w:hAnsi="宋体" w:cs="宋体"/>
                <w:color w:val="auto"/>
                <w:kern w:val="0"/>
                <w:szCs w:val="21"/>
              </w:rPr>
            </w:pPr>
          </w:p>
        </w:tc>
        <w:tc>
          <w:tcPr>
            <w:tcW w:w="1522" w:type="dxa"/>
            <w:vAlign w:val="center"/>
          </w:tcPr>
          <w:p w14:paraId="5FA5E253">
            <w:pPr>
              <w:widowControl/>
              <w:jc w:val="center"/>
              <w:rPr>
                <w:rFonts w:ascii="宋体" w:hAnsi="宋体" w:cs="宋体"/>
                <w:color w:val="auto"/>
                <w:kern w:val="0"/>
                <w:szCs w:val="21"/>
              </w:rPr>
            </w:pPr>
          </w:p>
        </w:tc>
      </w:tr>
      <w:tr w14:paraId="5D0EEE5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61" w:hRule="atLeast"/>
          <w:jc w:val="center"/>
        </w:trPr>
        <w:tc>
          <w:tcPr>
            <w:tcW w:w="920" w:type="dxa"/>
            <w:vAlign w:val="center"/>
          </w:tcPr>
          <w:p w14:paraId="76B84A0F">
            <w:pPr>
              <w:widowControl/>
              <w:jc w:val="center"/>
              <w:rPr>
                <w:rFonts w:ascii="宋体" w:hAnsi="宋体" w:cs="宋体"/>
                <w:color w:val="auto"/>
                <w:kern w:val="0"/>
                <w:szCs w:val="21"/>
              </w:rPr>
            </w:pPr>
          </w:p>
        </w:tc>
        <w:tc>
          <w:tcPr>
            <w:tcW w:w="709" w:type="dxa"/>
            <w:vAlign w:val="center"/>
          </w:tcPr>
          <w:p w14:paraId="749ADF07">
            <w:pPr>
              <w:widowControl/>
              <w:jc w:val="center"/>
              <w:rPr>
                <w:rFonts w:ascii="宋体" w:hAnsi="宋体" w:cs="宋体"/>
                <w:color w:val="auto"/>
                <w:kern w:val="0"/>
                <w:szCs w:val="21"/>
              </w:rPr>
            </w:pPr>
          </w:p>
        </w:tc>
        <w:tc>
          <w:tcPr>
            <w:tcW w:w="850" w:type="dxa"/>
            <w:vAlign w:val="center"/>
          </w:tcPr>
          <w:p w14:paraId="679E09DA">
            <w:pPr>
              <w:widowControl/>
              <w:jc w:val="center"/>
              <w:rPr>
                <w:rFonts w:ascii="宋体" w:hAnsi="宋体" w:cs="宋体"/>
                <w:color w:val="auto"/>
                <w:kern w:val="0"/>
                <w:szCs w:val="21"/>
              </w:rPr>
            </w:pPr>
          </w:p>
        </w:tc>
        <w:tc>
          <w:tcPr>
            <w:tcW w:w="1223" w:type="dxa"/>
            <w:vAlign w:val="center"/>
          </w:tcPr>
          <w:p w14:paraId="6ABAC8F4">
            <w:pPr>
              <w:widowControl/>
              <w:jc w:val="center"/>
              <w:rPr>
                <w:rFonts w:ascii="宋体" w:hAnsi="宋体" w:cs="宋体"/>
                <w:color w:val="auto"/>
                <w:kern w:val="0"/>
                <w:szCs w:val="21"/>
              </w:rPr>
            </w:pPr>
          </w:p>
        </w:tc>
        <w:tc>
          <w:tcPr>
            <w:tcW w:w="945" w:type="dxa"/>
            <w:vAlign w:val="center"/>
          </w:tcPr>
          <w:p w14:paraId="26466893">
            <w:pPr>
              <w:widowControl/>
              <w:jc w:val="center"/>
              <w:rPr>
                <w:rFonts w:ascii="宋体" w:hAnsi="宋体" w:cs="宋体"/>
                <w:color w:val="auto"/>
                <w:kern w:val="0"/>
                <w:szCs w:val="21"/>
              </w:rPr>
            </w:pPr>
          </w:p>
        </w:tc>
        <w:tc>
          <w:tcPr>
            <w:tcW w:w="1232" w:type="dxa"/>
            <w:vAlign w:val="center"/>
          </w:tcPr>
          <w:p w14:paraId="6FD7A065">
            <w:pPr>
              <w:widowControl/>
              <w:jc w:val="center"/>
              <w:rPr>
                <w:rFonts w:ascii="宋体" w:hAnsi="宋体" w:cs="宋体"/>
                <w:color w:val="auto"/>
                <w:kern w:val="0"/>
                <w:szCs w:val="21"/>
              </w:rPr>
            </w:pPr>
          </w:p>
        </w:tc>
        <w:tc>
          <w:tcPr>
            <w:tcW w:w="1656" w:type="dxa"/>
            <w:vAlign w:val="center"/>
          </w:tcPr>
          <w:p w14:paraId="34C03CE4">
            <w:pPr>
              <w:widowControl/>
              <w:jc w:val="center"/>
              <w:rPr>
                <w:rFonts w:ascii="宋体" w:hAnsi="宋体" w:cs="宋体"/>
                <w:color w:val="auto"/>
                <w:kern w:val="0"/>
                <w:szCs w:val="21"/>
              </w:rPr>
            </w:pPr>
          </w:p>
        </w:tc>
        <w:tc>
          <w:tcPr>
            <w:tcW w:w="1522" w:type="dxa"/>
            <w:vAlign w:val="center"/>
          </w:tcPr>
          <w:p w14:paraId="1AF9B3AC">
            <w:pPr>
              <w:widowControl/>
              <w:jc w:val="center"/>
              <w:rPr>
                <w:rFonts w:ascii="宋体" w:hAnsi="宋体" w:cs="宋体"/>
                <w:color w:val="auto"/>
                <w:kern w:val="0"/>
                <w:szCs w:val="21"/>
              </w:rPr>
            </w:pPr>
          </w:p>
        </w:tc>
      </w:tr>
      <w:tr w14:paraId="39E9B54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71" w:hRule="atLeast"/>
          <w:jc w:val="center"/>
        </w:trPr>
        <w:tc>
          <w:tcPr>
            <w:tcW w:w="920" w:type="dxa"/>
            <w:vAlign w:val="center"/>
          </w:tcPr>
          <w:p w14:paraId="5D364D54">
            <w:pPr>
              <w:widowControl/>
              <w:jc w:val="center"/>
              <w:rPr>
                <w:rFonts w:ascii="宋体" w:hAnsi="宋体" w:cs="宋体"/>
                <w:color w:val="auto"/>
                <w:kern w:val="0"/>
                <w:szCs w:val="21"/>
              </w:rPr>
            </w:pPr>
          </w:p>
        </w:tc>
        <w:tc>
          <w:tcPr>
            <w:tcW w:w="709" w:type="dxa"/>
            <w:vAlign w:val="center"/>
          </w:tcPr>
          <w:p w14:paraId="0245EA53">
            <w:pPr>
              <w:widowControl/>
              <w:jc w:val="center"/>
              <w:rPr>
                <w:rFonts w:ascii="宋体" w:hAnsi="宋体" w:cs="宋体"/>
                <w:color w:val="auto"/>
                <w:kern w:val="0"/>
                <w:szCs w:val="21"/>
              </w:rPr>
            </w:pPr>
          </w:p>
        </w:tc>
        <w:tc>
          <w:tcPr>
            <w:tcW w:w="850" w:type="dxa"/>
            <w:vAlign w:val="center"/>
          </w:tcPr>
          <w:p w14:paraId="067E6410">
            <w:pPr>
              <w:widowControl/>
              <w:jc w:val="center"/>
              <w:rPr>
                <w:rFonts w:ascii="宋体" w:hAnsi="宋体" w:cs="宋体"/>
                <w:color w:val="auto"/>
                <w:kern w:val="0"/>
                <w:szCs w:val="21"/>
              </w:rPr>
            </w:pPr>
          </w:p>
        </w:tc>
        <w:tc>
          <w:tcPr>
            <w:tcW w:w="1223" w:type="dxa"/>
            <w:vAlign w:val="center"/>
          </w:tcPr>
          <w:p w14:paraId="7D881876">
            <w:pPr>
              <w:widowControl/>
              <w:jc w:val="center"/>
              <w:rPr>
                <w:rFonts w:ascii="宋体" w:hAnsi="宋体" w:cs="宋体"/>
                <w:color w:val="auto"/>
                <w:kern w:val="0"/>
                <w:szCs w:val="21"/>
              </w:rPr>
            </w:pPr>
          </w:p>
        </w:tc>
        <w:tc>
          <w:tcPr>
            <w:tcW w:w="945" w:type="dxa"/>
            <w:vAlign w:val="center"/>
          </w:tcPr>
          <w:p w14:paraId="150B751C">
            <w:pPr>
              <w:widowControl/>
              <w:jc w:val="center"/>
              <w:rPr>
                <w:rFonts w:ascii="宋体" w:hAnsi="宋体" w:cs="宋体"/>
                <w:color w:val="auto"/>
                <w:kern w:val="0"/>
                <w:szCs w:val="21"/>
              </w:rPr>
            </w:pPr>
          </w:p>
        </w:tc>
        <w:tc>
          <w:tcPr>
            <w:tcW w:w="1232" w:type="dxa"/>
            <w:vAlign w:val="center"/>
          </w:tcPr>
          <w:p w14:paraId="629D10E5">
            <w:pPr>
              <w:widowControl/>
              <w:jc w:val="center"/>
              <w:rPr>
                <w:rFonts w:ascii="宋体" w:hAnsi="宋体" w:cs="宋体"/>
                <w:color w:val="auto"/>
                <w:kern w:val="0"/>
                <w:szCs w:val="21"/>
              </w:rPr>
            </w:pPr>
          </w:p>
        </w:tc>
        <w:tc>
          <w:tcPr>
            <w:tcW w:w="1656" w:type="dxa"/>
            <w:vAlign w:val="center"/>
          </w:tcPr>
          <w:p w14:paraId="778B076D">
            <w:pPr>
              <w:widowControl/>
              <w:jc w:val="center"/>
              <w:rPr>
                <w:rFonts w:ascii="宋体" w:hAnsi="宋体" w:cs="宋体"/>
                <w:color w:val="auto"/>
                <w:kern w:val="0"/>
                <w:szCs w:val="21"/>
              </w:rPr>
            </w:pPr>
          </w:p>
        </w:tc>
        <w:tc>
          <w:tcPr>
            <w:tcW w:w="1522" w:type="dxa"/>
            <w:vAlign w:val="center"/>
          </w:tcPr>
          <w:p w14:paraId="3257F981">
            <w:pPr>
              <w:widowControl/>
              <w:jc w:val="center"/>
              <w:rPr>
                <w:rFonts w:ascii="宋体" w:hAnsi="宋体" w:cs="宋体"/>
                <w:color w:val="auto"/>
                <w:kern w:val="0"/>
                <w:szCs w:val="21"/>
              </w:rPr>
            </w:pPr>
          </w:p>
        </w:tc>
      </w:tr>
    </w:tbl>
    <w:p w14:paraId="5E59EC1E">
      <w:pPr>
        <w:rPr>
          <w:rFonts w:ascii="宋体" w:hAnsi="宋体"/>
          <w:b/>
          <w:bCs/>
          <w:color w:val="auto"/>
          <w:sz w:val="32"/>
        </w:rPr>
      </w:pPr>
      <w:r>
        <w:rPr>
          <w:rFonts w:hint="eastAsia" w:ascii="宋体" w:hAnsi="宋体"/>
          <w:b/>
          <w:bCs/>
          <w:color w:val="auto"/>
          <w:sz w:val="32"/>
        </w:rPr>
        <w:br w:type="page"/>
      </w:r>
    </w:p>
    <w:p w14:paraId="46C93AAE">
      <w:pPr>
        <w:pStyle w:val="20"/>
        <w:spacing w:line="360" w:lineRule="auto"/>
        <w:jc w:val="center"/>
        <w:outlineLvl w:val="1"/>
        <w:rPr>
          <w:rFonts w:hAnsi="宋体" w:cs="宋体"/>
          <w:b/>
          <w:bCs/>
          <w:color w:val="auto"/>
          <w:sz w:val="24"/>
          <w:szCs w:val="24"/>
        </w:rPr>
      </w:pPr>
      <w:bookmarkStart w:id="1102" w:name="_Toc14894"/>
      <w:bookmarkStart w:id="1103" w:name="_Toc21903"/>
      <w:bookmarkStart w:id="1104" w:name="_Toc4519"/>
      <w:bookmarkStart w:id="1105" w:name="_Toc12621"/>
      <w:bookmarkStart w:id="1106" w:name="_Toc21867"/>
      <w:r>
        <w:rPr>
          <w:rFonts w:hint="eastAsia" w:hAnsi="宋体" w:cs="宋体"/>
          <w:b/>
          <w:bCs/>
          <w:color w:val="auto"/>
          <w:sz w:val="24"/>
          <w:szCs w:val="24"/>
          <w:lang w:val="en-US" w:eastAsia="zh-CN"/>
        </w:rPr>
        <w:t>二十</w:t>
      </w:r>
      <w:r>
        <w:rPr>
          <w:rFonts w:hint="eastAsia" w:hAnsi="宋体" w:cs="宋体"/>
          <w:b/>
          <w:bCs/>
          <w:color w:val="auto"/>
          <w:sz w:val="24"/>
          <w:szCs w:val="24"/>
        </w:rPr>
        <w:t>、主要人员简历表</w:t>
      </w:r>
      <w:bookmarkEnd w:id="1102"/>
      <w:bookmarkEnd w:id="1103"/>
      <w:bookmarkEnd w:id="1104"/>
      <w:bookmarkEnd w:id="1105"/>
      <w:bookmarkEnd w:id="1106"/>
    </w:p>
    <w:p w14:paraId="7F79F508">
      <w:pPr>
        <w:spacing w:line="500" w:lineRule="exact"/>
        <w:rPr>
          <w:rFonts w:ascii="宋体" w:hAnsi="宋体"/>
          <w:caps/>
          <w:color w:val="auto"/>
          <w:szCs w:val="21"/>
        </w:rPr>
      </w:pPr>
      <w:r>
        <w:rPr>
          <w:rFonts w:hint="eastAsia" w:ascii="宋体" w:hAnsi="宋体"/>
          <w:caps/>
          <w:color w:val="auto"/>
          <w:szCs w:val="21"/>
        </w:rPr>
        <w:t>“主要人员简历表”中的各项目经理及其他主要人员应附相关证书。</w:t>
      </w:r>
    </w:p>
    <w:tbl>
      <w:tblPr>
        <w:tblStyle w:val="38"/>
        <w:tblW w:w="9450"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260"/>
        <w:gridCol w:w="1664"/>
        <w:gridCol w:w="960"/>
        <w:gridCol w:w="421"/>
        <w:gridCol w:w="945"/>
        <w:gridCol w:w="726"/>
        <w:gridCol w:w="1269"/>
        <w:gridCol w:w="2205"/>
      </w:tblGrid>
      <w:tr w14:paraId="2951477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260" w:type="dxa"/>
            <w:vAlign w:val="center"/>
          </w:tcPr>
          <w:p w14:paraId="7CE94E4F">
            <w:pPr>
              <w:spacing w:line="500" w:lineRule="exact"/>
              <w:jc w:val="center"/>
              <w:rPr>
                <w:rFonts w:ascii="宋体" w:hAnsi="宋体"/>
                <w:color w:val="auto"/>
                <w:szCs w:val="21"/>
              </w:rPr>
            </w:pPr>
            <w:r>
              <w:rPr>
                <w:rFonts w:hint="eastAsia" w:ascii="宋体" w:hAnsi="宋体"/>
                <w:color w:val="auto"/>
                <w:szCs w:val="21"/>
              </w:rPr>
              <w:t>姓名</w:t>
            </w:r>
          </w:p>
        </w:tc>
        <w:tc>
          <w:tcPr>
            <w:tcW w:w="1664" w:type="dxa"/>
            <w:vAlign w:val="center"/>
          </w:tcPr>
          <w:p w14:paraId="4B4B59F1">
            <w:pPr>
              <w:spacing w:line="500" w:lineRule="exact"/>
              <w:jc w:val="center"/>
              <w:rPr>
                <w:rFonts w:ascii="宋体" w:hAnsi="宋体"/>
                <w:color w:val="auto"/>
                <w:szCs w:val="21"/>
              </w:rPr>
            </w:pPr>
          </w:p>
        </w:tc>
        <w:tc>
          <w:tcPr>
            <w:tcW w:w="960" w:type="dxa"/>
            <w:vAlign w:val="center"/>
          </w:tcPr>
          <w:p w14:paraId="687F2942">
            <w:pPr>
              <w:spacing w:line="500" w:lineRule="exact"/>
              <w:jc w:val="center"/>
              <w:rPr>
                <w:rFonts w:ascii="宋体" w:hAnsi="宋体"/>
                <w:color w:val="auto"/>
                <w:szCs w:val="21"/>
              </w:rPr>
            </w:pPr>
            <w:r>
              <w:rPr>
                <w:rFonts w:hint="eastAsia" w:ascii="宋体" w:hAnsi="宋体"/>
                <w:color w:val="auto"/>
                <w:szCs w:val="21"/>
              </w:rPr>
              <w:t>年龄</w:t>
            </w:r>
          </w:p>
        </w:tc>
        <w:tc>
          <w:tcPr>
            <w:tcW w:w="1366" w:type="dxa"/>
            <w:gridSpan w:val="2"/>
            <w:vAlign w:val="center"/>
          </w:tcPr>
          <w:p w14:paraId="5079F166">
            <w:pPr>
              <w:spacing w:line="500" w:lineRule="exact"/>
              <w:jc w:val="center"/>
              <w:rPr>
                <w:rFonts w:ascii="宋体" w:hAnsi="宋体"/>
                <w:color w:val="auto"/>
                <w:szCs w:val="21"/>
              </w:rPr>
            </w:pPr>
          </w:p>
        </w:tc>
        <w:tc>
          <w:tcPr>
            <w:tcW w:w="1995" w:type="dxa"/>
            <w:gridSpan w:val="2"/>
            <w:vAlign w:val="center"/>
          </w:tcPr>
          <w:p w14:paraId="1CD51570">
            <w:pPr>
              <w:spacing w:line="500" w:lineRule="exact"/>
              <w:jc w:val="center"/>
              <w:rPr>
                <w:rFonts w:ascii="宋体" w:hAnsi="宋体"/>
                <w:color w:val="auto"/>
                <w:szCs w:val="21"/>
              </w:rPr>
            </w:pPr>
            <w:r>
              <w:rPr>
                <w:rFonts w:hint="eastAsia" w:ascii="宋体" w:hAnsi="宋体"/>
                <w:color w:val="auto"/>
                <w:szCs w:val="21"/>
              </w:rPr>
              <w:t>学历</w:t>
            </w:r>
          </w:p>
        </w:tc>
        <w:tc>
          <w:tcPr>
            <w:tcW w:w="2205" w:type="dxa"/>
            <w:vAlign w:val="center"/>
          </w:tcPr>
          <w:p w14:paraId="6A763E56">
            <w:pPr>
              <w:spacing w:line="500" w:lineRule="exact"/>
              <w:jc w:val="center"/>
              <w:rPr>
                <w:rFonts w:ascii="宋体" w:hAnsi="宋体"/>
                <w:color w:val="auto"/>
                <w:szCs w:val="21"/>
              </w:rPr>
            </w:pPr>
          </w:p>
        </w:tc>
      </w:tr>
      <w:tr w14:paraId="695433D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260" w:type="dxa"/>
            <w:vAlign w:val="center"/>
          </w:tcPr>
          <w:p w14:paraId="4713613E">
            <w:pPr>
              <w:spacing w:line="500" w:lineRule="exact"/>
              <w:jc w:val="center"/>
              <w:rPr>
                <w:rFonts w:ascii="宋体" w:hAnsi="宋体"/>
                <w:color w:val="auto"/>
                <w:szCs w:val="21"/>
              </w:rPr>
            </w:pPr>
            <w:r>
              <w:rPr>
                <w:rFonts w:hint="eastAsia" w:ascii="宋体" w:hAnsi="宋体"/>
                <w:color w:val="auto"/>
                <w:szCs w:val="21"/>
              </w:rPr>
              <w:t>职称</w:t>
            </w:r>
          </w:p>
        </w:tc>
        <w:tc>
          <w:tcPr>
            <w:tcW w:w="1664" w:type="dxa"/>
            <w:vAlign w:val="center"/>
          </w:tcPr>
          <w:p w14:paraId="5823EFF8">
            <w:pPr>
              <w:spacing w:line="500" w:lineRule="exact"/>
              <w:jc w:val="center"/>
              <w:rPr>
                <w:rFonts w:ascii="宋体" w:hAnsi="宋体"/>
                <w:color w:val="auto"/>
                <w:szCs w:val="21"/>
              </w:rPr>
            </w:pPr>
          </w:p>
        </w:tc>
        <w:tc>
          <w:tcPr>
            <w:tcW w:w="960" w:type="dxa"/>
            <w:vAlign w:val="center"/>
          </w:tcPr>
          <w:p w14:paraId="1EE84B1F">
            <w:pPr>
              <w:spacing w:line="500" w:lineRule="exact"/>
              <w:jc w:val="center"/>
              <w:rPr>
                <w:rFonts w:ascii="宋体" w:hAnsi="宋体"/>
                <w:color w:val="auto"/>
                <w:szCs w:val="21"/>
              </w:rPr>
            </w:pPr>
            <w:r>
              <w:rPr>
                <w:rFonts w:hint="eastAsia" w:ascii="宋体" w:hAnsi="宋体"/>
                <w:color w:val="auto"/>
                <w:szCs w:val="21"/>
              </w:rPr>
              <w:t>职务</w:t>
            </w:r>
          </w:p>
        </w:tc>
        <w:tc>
          <w:tcPr>
            <w:tcW w:w="1366" w:type="dxa"/>
            <w:gridSpan w:val="2"/>
            <w:vAlign w:val="center"/>
          </w:tcPr>
          <w:p w14:paraId="50691F77">
            <w:pPr>
              <w:spacing w:line="500" w:lineRule="exact"/>
              <w:jc w:val="center"/>
              <w:rPr>
                <w:rFonts w:ascii="宋体" w:hAnsi="宋体"/>
                <w:color w:val="auto"/>
                <w:szCs w:val="21"/>
              </w:rPr>
            </w:pPr>
          </w:p>
        </w:tc>
        <w:tc>
          <w:tcPr>
            <w:tcW w:w="1995" w:type="dxa"/>
            <w:gridSpan w:val="2"/>
            <w:vAlign w:val="center"/>
          </w:tcPr>
          <w:p w14:paraId="5458E4B3">
            <w:pPr>
              <w:spacing w:line="500" w:lineRule="exact"/>
              <w:jc w:val="center"/>
              <w:rPr>
                <w:rFonts w:ascii="宋体" w:hAnsi="宋体"/>
                <w:color w:val="auto"/>
                <w:szCs w:val="21"/>
              </w:rPr>
            </w:pPr>
            <w:r>
              <w:rPr>
                <w:rFonts w:hint="eastAsia" w:ascii="宋体" w:hAnsi="宋体"/>
                <w:color w:val="auto"/>
                <w:szCs w:val="21"/>
              </w:rPr>
              <w:t>拟在本合同任职</w:t>
            </w:r>
          </w:p>
        </w:tc>
        <w:tc>
          <w:tcPr>
            <w:tcW w:w="2205" w:type="dxa"/>
            <w:vAlign w:val="center"/>
          </w:tcPr>
          <w:p w14:paraId="00F990CC">
            <w:pPr>
              <w:spacing w:line="500" w:lineRule="exact"/>
              <w:jc w:val="center"/>
              <w:rPr>
                <w:rFonts w:ascii="宋体" w:hAnsi="宋体"/>
                <w:color w:val="auto"/>
                <w:szCs w:val="21"/>
              </w:rPr>
            </w:pPr>
          </w:p>
        </w:tc>
      </w:tr>
      <w:tr w14:paraId="7948A29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260" w:type="dxa"/>
            <w:vAlign w:val="center"/>
          </w:tcPr>
          <w:p w14:paraId="4E5AA8C7">
            <w:pPr>
              <w:spacing w:line="500" w:lineRule="exact"/>
              <w:jc w:val="center"/>
              <w:rPr>
                <w:rFonts w:ascii="宋体" w:hAnsi="宋体"/>
                <w:color w:val="auto"/>
                <w:szCs w:val="21"/>
              </w:rPr>
            </w:pPr>
            <w:r>
              <w:rPr>
                <w:rFonts w:hint="eastAsia" w:ascii="宋体" w:hAnsi="宋体"/>
                <w:color w:val="auto"/>
                <w:szCs w:val="21"/>
              </w:rPr>
              <w:t>毕业学校</w:t>
            </w:r>
          </w:p>
        </w:tc>
        <w:tc>
          <w:tcPr>
            <w:tcW w:w="8190" w:type="dxa"/>
            <w:gridSpan w:val="7"/>
            <w:vAlign w:val="center"/>
          </w:tcPr>
          <w:p w14:paraId="33D2FEC5">
            <w:pPr>
              <w:spacing w:line="500" w:lineRule="exact"/>
              <w:ind w:firstLine="1155" w:firstLineChars="550"/>
              <w:rPr>
                <w:rFonts w:ascii="宋体" w:hAnsi="宋体"/>
                <w:color w:val="auto"/>
                <w:szCs w:val="21"/>
              </w:rPr>
            </w:pPr>
            <w:r>
              <w:rPr>
                <w:rFonts w:hint="eastAsia" w:ascii="宋体" w:hAnsi="宋体"/>
                <w:color w:val="auto"/>
                <w:szCs w:val="21"/>
              </w:rPr>
              <w:t>年毕业于          学校          专业</w:t>
            </w:r>
          </w:p>
        </w:tc>
      </w:tr>
      <w:tr w14:paraId="02AA704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9450" w:type="dxa"/>
            <w:gridSpan w:val="8"/>
            <w:vAlign w:val="center"/>
          </w:tcPr>
          <w:p w14:paraId="66584BC8">
            <w:pPr>
              <w:spacing w:line="500" w:lineRule="exact"/>
              <w:jc w:val="center"/>
              <w:rPr>
                <w:rFonts w:ascii="宋体" w:hAnsi="宋体"/>
                <w:color w:val="auto"/>
                <w:szCs w:val="21"/>
              </w:rPr>
            </w:pPr>
            <w:r>
              <w:rPr>
                <w:rFonts w:hint="eastAsia" w:ascii="宋体" w:hAnsi="宋体"/>
                <w:color w:val="auto"/>
                <w:szCs w:val="21"/>
              </w:rPr>
              <w:t>主要工作经历</w:t>
            </w:r>
          </w:p>
        </w:tc>
      </w:tr>
      <w:tr w14:paraId="5347529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260" w:type="dxa"/>
            <w:vAlign w:val="center"/>
          </w:tcPr>
          <w:p w14:paraId="07C0EB94">
            <w:pPr>
              <w:spacing w:line="500" w:lineRule="exact"/>
              <w:jc w:val="center"/>
              <w:rPr>
                <w:rFonts w:ascii="宋体" w:hAnsi="宋体"/>
                <w:color w:val="auto"/>
                <w:szCs w:val="21"/>
              </w:rPr>
            </w:pPr>
            <w:r>
              <w:rPr>
                <w:rFonts w:hint="eastAsia" w:ascii="宋体" w:hAnsi="宋体"/>
                <w:color w:val="auto"/>
                <w:szCs w:val="21"/>
              </w:rPr>
              <w:t>时间</w:t>
            </w:r>
          </w:p>
        </w:tc>
        <w:tc>
          <w:tcPr>
            <w:tcW w:w="3045" w:type="dxa"/>
            <w:gridSpan w:val="3"/>
            <w:vAlign w:val="center"/>
          </w:tcPr>
          <w:p w14:paraId="60378CFB">
            <w:pPr>
              <w:spacing w:line="500" w:lineRule="exact"/>
              <w:jc w:val="center"/>
              <w:rPr>
                <w:rFonts w:ascii="宋体" w:hAnsi="宋体"/>
                <w:color w:val="auto"/>
                <w:szCs w:val="21"/>
              </w:rPr>
            </w:pPr>
            <w:r>
              <w:rPr>
                <w:rFonts w:hint="eastAsia" w:ascii="宋体" w:hAnsi="宋体"/>
                <w:color w:val="auto"/>
                <w:szCs w:val="21"/>
              </w:rPr>
              <w:t>参加过的类似项目</w:t>
            </w:r>
          </w:p>
        </w:tc>
        <w:tc>
          <w:tcPr>
            <w:tcW w:w="1671" w:type="dxa"/>
            <w:gridSpan w:val="2"/>
            <w:vAlign w:val="center"/>
          </w:tcPr>
          <w:p w14:paraId="160BFE5F">
            <w:pPr>
              <w:spacing w:line="500" w:lineRule="exact"/>
              <w:jc w:val="center"/>
              <w:rPr>
                <w:rFonts w:ascii="宋体" w:hAnsi="宋体"/>
                <w:color w:val="auto"/>
                <w:szCs w:val="21"/>
              </w:rPr>
            </w:pPr>
            <w:r>
              <w:rPr>
                <w:rFonts w:hint="eastAsia" w:ascii="宋体" w:hAnsi="宋体"/>
                <w:color w:val="auto"/>
                <w:szCs w:val="21"/>
              </w:rPr>
              <w:t>担任职务</w:t>
            </w:r>
          </w:p>
        </w:tc>
        <w:tc>
          <w:tcPr>
            <w:tcW w:w="3474" w:type="dxa"/>
            <w:gridSpan w:val="2"/>
            <w:vAlign w:val="center"/>
          </w:tcPr>
          <w:p w14:paraId="7E67C8D3">
            <w:pPr>
              <w:spacing w:line="500" w:lineRule="exact"/>
              <w:jc w:val="center"/>
              <w:rPr>
                <w:rFonts w:ascii="宋体" w:hAnsi="宋体"/>
                <w:color w:val="auto"/>
                <w:szCs w:val="21"/>
              </w:rPr>
            </w:pPr>
            <w:r>
              <w:rPr>
                <w:rFonts w:hint="eastAsia" w:ascii="宋体" w:hAnsi="宋体"/>
                <w:color w:val="auto"/>
                <w:szCs w:val="21"/>
              </w:rPr>
              <w:t>发包人及联系电话</w:t>
            </w:r>
          </w:p>
        </w:tc>
      </w:tr>
      <w:tr w14:paraId="3086367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260" w:type="dxa"/>
            <w:vAlign w:val="center"/>
          </w:tcPr>
          <w:p w14:paraId="12994E36">
            <w:pPr>
              <w:spacing w:line="500" w:lineRule="exact"/>
              <w:jc w:val="center"/>
              <w:rPr>
                <w:rFonts w:ascii="宋体" w:hAnsi="宋体"/>
                <w:color w:val="auto"/>
                <w:szCs w:val="21"/>
              </w:rPr>
            </w:pPr>
          </w:p>
        </w:tc>
        <w:tc>
          <w:tcPr>
            <w:tcW w:w="3045" w:type="dxa"/>
            <w:gridSpan w:val="3"/>
            <w:vAlign w:val="center"/>
          </w:tcPr>
          <w:p w14:paraId="080A4CA5">
            <w:pPr>
              <w:spacing w:line="500" w:lineRule="exact"/>
              <w:jc w:val="center"/>
              <w:rPr>
                <w:rFonts w:ascii="宋体" w:hAnsi="宋体"/>
                <w:color w:val="auto"/>
                <w:szCs w:val="21"/>
              </w:rPr>
            </w:pPr>
          </w:p>
        </w:tc>
        <w:tc>
          <w:tcPr>
            <w:tcW w:w="1671" w:type="dxa"/>
            <w:gridSpan w:val="2"/>
            <w:vAlign w:val="center"/>
          </w:tcPr>
          <w:p w14:paraId="00328EA3">
            <w:pPr>
              <w:spacing w:line="500" w:lineRule="exact"/>
              <w:jc w:val="center"/>
              <w:rPr>
                <w:rFonts w:ascii="宋体" w:hAnsi="宋体"/>
                <w:color w:val="auto"/>
                <w:szCs w:val="21"/>
              </w:rPr>
            </w:pPr>
          </w:p>
        </w:tc>
        <w:tc>
          <w:tcPr>
            <w:tcW w:w="3474" w:type="dxa"/>
            <w:gridSpan w:val="2"/>
            <w:vAlign w:val="center"/>
          </w:tcPr>
          <w:p w14:paraId="52C61F5A">
            <w:pPr>
              <w:spacing w:line="500" w:lineRule="exact"/>
              <w:jc w:val="center"/>
              <w:rPr>
                <w:rFonts w:ascii="宋体" w:hAnsi="宋体"/>
                <w:color w:val="auto"/>
                <w:szCs w:val="21"/>
              </w:rPr>
            </w:pPr>
          </w:p>
        </w:tc>
      </w:tr>
      <w:tr w14:paraId="0A867F2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260" w:type="dxa"/>
            <w:vAlign w:val="center"/>
          </w:tcPr>
          <w:p w14:paraId="1D9E8726">
            <w:pPr>
              <w:spacing w:line="500" w:lineRule="exact"/>
              <w:jc w:val="center"/>
              <w:rPr>
                <w:rFonts w:ascii="宋体" w:hAnsi="宋体"/>
                <w:color w:val="auto"/>
                <w:szCs w:val="21"/>
              </w:rPr>
            </w:pPr>
          </w:p>
        </w:tc>
        <w:tc>
          <w:tcPr>
            <w:tcW w:w="3045" w:type="dxa"/>
            <w:gridSpan w:val="3"/>
            <w:vAlign w:val="center"/>
          </w:tcPr>
          <w:p w14:paraId="496C7642">
            <w:pPr>
              <w:spacing w:line="500" w:lineRule="exact"/>
              <w:jc w:val="center"/>
              <w:rPr>
                <w:rFonts w:ascii="宋体" w:hAnsi="宋体"/>
                <w:color w:val="auto"/>
                <w:szCs w:val="21"/>
              </w:rPr>
            </w:pPr>
          </w:p>
        </w:tc>
        <w:tc>
          <w:tcPr>
            <w:tcW w:w="1671" w:type="dxa"/>
            <w:gridSpan w:val="2"/>
            <w:vAlign w:val="center"/>
          </w:tcPr>
          <w:p w14:paraId="686BBAF0">
            <w:pPr>
              <w:spacing w:line="500" w:lineRule="exact"/>
              <w:jc w:val="center"/>
              <w:rPr>
                <w:rFonts w:ascii="宋体" w:hAnsi="宋体"/>
                <w:color w:val="auto"/>
                <w:szCs w:val="21"/>
              </w:rPr>
            </w:pPr>
          </w:p>
        </w:tc>
        <w:tc>
          <w:tcPr>
            <w:tcW w:w="3474" w:type="dxa"/>
            <w:gridSpan w:val="2"/>
            <w:vAlign w:val="center"/>
          </w:tcPr>
          <w:p w14:paraId="469C9979">
            <w:pPr>
              <w:spacing w:line="500" w:lineRule="exact"/>
              <w:jc w:val="center"/>
              <w:rPr>
                <w:rFonts w:ascii="宋体" w:hAnsi="宋体"/>
                <w:color w:val="auto"/>
                <w:szCs w:val="21"/>
              </w:rPr>
            </w:pPr>
          </w:p>
        </w:tc>
      </w:tr>
    </w:tbl>
    <w:p w14:paraId="75A898A6">
      <w:pPr>
        <w:pStyle w:val="20"/>
        <w:keepNext w:val="0"/>
        <w:keepLines w:val="0"/>
        <w:pageBreakBefore w:val="0"/>
        <w:widowControl w:val="0"/>
        <w:kinsoku/>
        <w:wordWrap/>
        <w:overflowPunct/>
        <w:topLinePunct w:val="0"/>
        <w:autoSpaceDE/>
        <w:autoSpaceDN/>
        <w:bidi w:val="0"/>
        <w:adjustRightInd/>
        <w:snapToGrid/>
        <w:spacing w:line="360" w:lineRule="auto"/>
        <w:jc w:val="center"/>
        <w:textAlignment w:val="auto"/>
        <w:outlineLvl w:val="9"/>
        <w:rPr>
          <w:rFonts w:hAnsi="宋体" w:cs="宋体"/>
          <w:b/>
          <w:bCs/>
          <w:color w:val="auto"/>
          <w:sz w:val="24"/>
          <w:szCs w:val="24"/>
        </w:rPr>
      </w:pPr>
      <w:bookmarkStart w:id="1107" w:name="_Toc28752"/>
      <w:bookmarkStart w:id="1108" w:name="_Toc29645"/>
      <w:bookmarkStart w:id="1109" w:name="_Toc12655"/>
      <w:r>
        <w:rPr>
          <w:rFonts w:hint="eastAsia" w:hAnsi="宋体"/>
          <w:b/>
          <w:caps/>
          <w:color w:val="auto"/>
          <w:szCs w:val="21"/>
        </w:rPr>
        <w:t>注：</w:t>
      </w:r>
      <w:r>
        <w:rPr>
          <w:rFonts w:hint="eastAsia" w:hAnsi="宋体" w:cs="宋体"/>
          <w:b/>
          <w:bCs/>
          <w:color w:val="auto"/>
          <w:szCs w:val="21"/>
        </w:rPr>
        <w:t>此表须附拟投入主要人员的相关</w:t>
      </w:r>
      <w:r>
        <w:rPr>
          <w:rFonts w:hint="eastAsia" w:hAnsi="宋体" w:cs="宋体"/>
          <w:b/>
          <w:bCs/>
          <w:color w:val="auto"/>
          <w:szCs w:val="21"/>
          <w:lang w:eastAsia="zh-CN"/>
        </w:rPr>
        <w:t>从业</w:t>
      </w:r>
      <w:r>
        <w:rPr>
          <w:rFonts w:hint="eastAsia" w:hAnsi="宋体" w:cs="宋体"/>
          <w:b/>
          <w:bCs/>
          <w:color w:val="auto"/>
          <w:szCs w:val="21"/>
        </w:rPr>
        <w:t>（执业）资格证、职称证、身份证等相关资料的复印件</w:t>
      </w:r>
      <w:r>
        <w:rPr>
          <w:rFonts w:hint="eastAsia" w:hAnsi="宋体"/>
          <w:b/>
          <w:caps/>
          <w:color w:val="auto"/>
          <w:szCs w:val="21"/>
        </w:rPr>
        <w:t>。</w:t>
      </w:r>
      <w:bookmarkEnd w:id="1107"/>
      <w:bookmarkEnd w:id="1108"/>
      <w:bookmarkEnd w:id="1109"/>
    </w:p>
    <w:p w14:paraId="507D0571">
      <w:pPr>
        <w:rPr>
          <w:rFonts w:hint="eastAsia" w:hAnsi="宋体" w:cs="宋体"/>
          <w:b/>
          <w:bCs/>
          <w:color w:val="auto"/>
          <w:sz w:val="24"/>
          <w:szCs w:val="24"/>
          <w:lang w:val="en-US" w:eastAsia="zh-CN"/>
        </w:rPr>
      </w:pPr>
      <w:bookmarkStart w:id="1110" w:name="_Toc864"/>
      <w:bookmarkStart w:id="1111" w:name="_Toc25418"/>
      <w:bookmarkStart w:id="1112" w:name="_Toc16137"/>
      <w:bookmarkStart w:id="1113" w:name="_Toc22889"/>
      <w:bookmarkStart w:id="1114" w:name="_Toc20758"/>
    </w:p>
    <w:p w14:paraId="797EC95C">
      <w:pPr>
        <w:rPr>
          <w:rFonts w:hint="eastAsia" w:hAnsi="宋体" w:cs="宋体"/>
          <w:b/>
          <w:bCs/>
          <w:color w:val="auto"/>
          <w:sz w:val="24"/>
          <w:szCs w:val="24"/>
          <w:lang w:val="en-US" w:eastAsia="zh-CN"/>
        </w:rPr>
      </w:pPr>
    </w:p>
    <w:p w14:paraId="78779A48">
      <w:pPr>
        <w:rPr>
          <w:rFonts w:hint="eastAsia" w:hAnsi="宋体" w:cs="宋体"/>
          <w:b/>
          <w:bCs/>
          <w:color w:val="auto"/>
          <w:sz w:val="24"/>
          <w:szCs w:val="24"/>
          <w:lang w:val="en-US" w:eastAsia="zh-CN"/>
        </w:rPr>
      </w:pPr>
    </w:p>
    <w:p w14:paraId="2ED469F9">
      <w:pPr>
        <w:rPr>
          <w:rFonts w:hint="eastAsia" w:hAnsi="宋体" w:cs="宋体"/>
          <w:b/>
          <w:bCs/>
          <w:color w:val="auto"/>
          <w:sz w:val="24"/>
          <w:szCs w:val="24"/>
          <w:lang w:val="en-US" w:eastAsia="zh-CN"/>
        </w:rPr>
      </w:pPr>
    </w:p>
    <w:p w14:paraId="18679C81">
      <w:pPr>
        <w:pStyle w:val="20"/>
        <w:spacing w:line="360" w:lineRule="auto"/>
        <w:jc w:val="center"/>
        <w:outlineLvl w:val="1"/>
        <w:rPr>
          <w:rFonts w:hint="eastAsia" w:hAnsi="宋体" w:cs="宋体"/>
          <w:b/>
          <w:bCs/>
          <w:color w:val="auto"/>
          <w:sz w:val="24"/>
          <w:szCs w:val="24"/>
        </w:rPr>
      </w:pPr>
      <w:r>
        <w:rPr>
          <w:rFonts w:hint="eastAsia" w:hAnsi="宋体" w:cs="宋体"/>
          <w:b/>
          <w:bCs/>
          <w:color w:val="auto"/>
          <w:sz w:val="24"/>
          <w:szCs w:val="24"/>
          <w:lang w:val="en-US" w:eastAsia="zh-CN"/>
        </w:rPr>
        <w:t>二十一</w:t>
      </w:r>
      <w:r>
        <w:rPr>
          <w:rFonts w:hint="eastAsia" w:hAnsi="宋体" w:cs="宋体"/>
          <w:b/>
          <w:bCs/>
          <w:color w:val="auto"/>
          <w:sz w:val="24"/>
          <w:szCs w:val="24"/>
        </w:rPr>
        <w:t>、类似业绩</w:t>
      </w:r>
      <w:bookmarkEnd w:id="1110"/>
      <w:bookmarkEnd w:id="1111"/>
      <w:bookmarkEnd w:id="1112"/>
      <w:bookmarkEnd w:id="1113"/>
      <w:bookmarkEnd w:id="1114"/>
    </w:p>
    <w:tbl>
      <w:tblPr>
        <w:tblStyle w:val="38"/>
        <w:tblW w:w="9784"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664"/>
        <w:gridCol w:w="1232"/>
        <w:gridCol w:w="1785"/>
        <w:gridCol w:w="1707"/>
        <w:gridCol w:w="1843"/>
        <w:gridCol w:w="1293"/>
        <w:gridCol w:w="1260"/>
      </w:tblGrid>
      <w:tr w14:paraId="4DACADE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664" w:type="dxa"/>
            <w:vAlign w:val="center"/>
          </w:tcPr>
          <w:p w14:paraId="54AB14FB">
            <w:pPr>
              <w:jc w:val="center"/>
              <w:rPr>
                <w:rFonts w:ascii="宋体" w:hAnsi="宋体" w:cs="宋体"/>
                <w:color w:val="auto"/>
                <w:szCs w:val="21"/>
              </w:rPr>
            </w:pPr>
            <w:r>
              <w:rPr>
                <w:rFonts w:hint="eastAsia" w:ascii="宋体" w:hAnsi="宋体" w:cs="宋体"/>
                <w:color w:val="auto"/>
                <w:szCs w:val="21"/>
              </w:rPr>
              <w:t>序号</w:t>
            </w:r>
          </w:p>
        </w:tc>
        <w:tc>
          <w:tcPr>
            <w:tcW w:w="1232" w:type="dxa"/>
            <w:vAlign w:val="center"/>
          </w:tcPr>
          <w:p w14:paraId="7ED9EEAF">
            <w:pPr>
              <w:jc w:val="center"/>
              <w:rPr>
                <w:rFonts w:ascii="宋体" w:hAnsi="宋体" w:cs="宋体"/>
                <w:color w:val="auto"/>
                <w:szCs w:val="21"/>
              </w:rPr>
            </w:pPr>
            <w:r>
              <w:rPr>
                <w:rFonts w:hint="eastAsia" w:ascii="宋体" w:hAnsi="宋体" w:cs="宋体"/>
                <w:color w:val="auto"/>
                <w:szCs w:val="21"/>
              </w:rPr>
              <w:t>项目名称</w:t>
            </w:r>
          </w:p>
        </w:tc>
        <w:tc>
          <w:tcPr>
            <w:tcW w:w="1785" w:type="dxa"/>
            <w:vAlign w:val="center"/>
          </w:tcPr>
          <w:p w14:paraId="2EB89008">
            <w:pPr>
              <w:jc w:val="center"/>
              <w:rPr>
                <w:rFonts w:ascii="宋体" w:hAnsi="宋体" w:cs="宋体"/>
                <w:color w:val="auto"/>
                <w:szCs w:val="21"/>
              </w:rPr>
            </w:pPr>
            <w:r>
              <w:rPr>
                <w:rFonts w:hint="eastAsia" w:ascii="宋体" w:hAnsi="宋体" w:cs="宋体"/>
                <w:color w:val="auto"/>
                <w:szCs w:val="21"/>
              </w:rPr>
              <w:t>合同签订日期</w:t>
            </w:r>
          </w:p>
        </w:tc>
        <w:tc>
          <w:tcPr>
            <w:tcW w:w="1707" w:type="dxa"/>
            <w:vAlign w:val="center"/>
          </w:tcPr>
          <w:p w14:paraId="286AC916">
            <w:pPr>
              <w:jc w:val="center"/>
              <w:rPr>
                <w:rFonts w:ascii="宋体" w:hAnsi="宋体" w:cs="宋体"/>
                <w:color w:val="auto"/>
                <w:szCs w:val="21"/>
              </w:rPr>
            </w:pPr>
            <w:r>
              <w:rPr>
                <w:rFonts w:hint="eastAsia" w:ascii="宋体" w:hAnsi="宋体" w:cs="宋体"/>
                <w:color w:val="auto"/>
                <w:szCs w:val="21"/>
              </w:rPr>
              <w:t>服务内容</w:t>
            </w:r>
          </w:p>
        </w:tc>
        <w:tc>
          <w:tcPr>
            <w:tcW w:w="1843" w:type="dxa"/>
            <w:vAlign w:val="center"/>
          </w:tcPr>
          <w:p w14:paraId="607EB3CC">
            <w:pPr>
              <w:jc w:val="center"/>
              <w:rPr>
                <w:rFonts w:ascii="宋体" w:hAnsi="宋体" w:cs="宋体"/>
                <w:color w:val="auto"/>
                <w:szCs w:val="21"/>
              </w:rPr>
            </w:pPr>
            <w:r>
              <w:rPr>
                <w:rFonts w:hint="eastAsia" w:ascii="宋体" w:hAnsi="宋体" w:cs="宋体"/>
                <w:color w:val="auto"/>
                <w:szCs w:val="21"/>
              </w:rPr>
              <w:t>合同金额（万元）</w:t>
            </w:r>
          </w:p>
        </w:tc>
        <w:tc>
          <w:tcPr>
            <w:tcW w:w="1293" w:type="dxa"/>
            <w:vAlign w:val="center"/>
          </w:tcPr>
          <w:p w14:paraId="3C96ABBB">
            <w:pPr>
              <w:jc w:val="center"/>
              <w:rPr>
                <w:rFonts w:ascii="宋体" w:hAnsi="宋体" w:cs="宋体"/>
                <w:color w:val="auto"/>
                <w:szCs w:val="21"/>
              </w:rPr>
            </w:pPr>
            <w:r>
              <w:rPr>
                <w:rFonts w:hint="eastAsia" w:ascii="宋体" w:hAnsi="宋体" w:cs="宋体"/>
                <w:color w:val="auto"/>
                <w:szCs w:val="21"/>
              </w:rPr>
              <w:t>业主单位</w:t>
            </w:r>
          </w:p>
        </w:tc>
        <w:tc>
          <w:tcPr>
            <w:tcW w:w="1260" w:type="dxa"/>
            <w:vAlign w:val="center"/>
          </w:tcPr>
          <w:p w14:paraId="56EF3889">
            <w:pPr>
              <w:jc w:val="center"/>
              <w:rPr>
                <w:rFonts w:ascii="宋体" w:hAnsi="宋体" w:cs="宋体"/>
                <w:color w:val="auto"/>
                <w:szCs w:val="21"/>
              </w:rPr>
            </w:pPr>
            <w:r>
              <w:rPr>
                <w:rFonts w:hint="eastAsia" w:ascii="宋体" w:hAnsi="宋体" w:cs="宋体"/>
                <w:color w:val="auto"/>
                <w:szCs w:val="21"/>
              </w:rPr>
              <w:t>备注</w:t>
            </w:r>
          </w:p>
        </w:tc>
      </w:tr>
      <w:tr w14:paraId="07B3D8C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664" w:type="dxa"/>
            <w:vAlign w:val="center"/>
          </w:tcPr>
          <w:p w14:paraId="76C34394">
            <w:pPr>
              <w:jc w:val="center"/>
              <w:rPr>
                <w:rFonts w:ascii="宋体" w:hAnsi="宋体" w:cs="宋体"/>
                <w:color w:val="auto"/>
                <w:szCs w:val="21"/>
              </w:rPr>
            </w:pPr>
          </w:p>
        </w:tc>
        <w:tc>
          <w:tcPr>
            <w:tcW w:w="1232" w:type="dxa"/>
            <w:vAlign w:val="center"/>
          </w:tcPr>
          <w:p w14:paraId="426B16FB">
            <w:pPr>
              <w:jc w:val="center"/>
              <w:rPr>
                <w:rFonts w:ascii="宋体" w:hAnsi="宋体" w:cs="宋体"/>
                <w:color w:val="auto"/>
                <w:szCs w:val="21"/>
              </w:rPr>
            </w:pPr>
          </w:p>
        </w:tc>
        <w:tc>
          <w:tcPr>
            <w:tcW w:w="1785" w:type="dxa"/>
            <w:vAlign w:val="center"/>
          </w:tcPr>
          <w:p w14:paraId="0E56BA10">
            <w:pPr>
              <w:jc w:val="center"/>
              <w:rPr>
                <w:rFonts w:ascii="宋体" w:hAnsi="宋体" w:cs="宋体"/>
                <w:color w:val="auto"/>
                <w:szCs w:val="21"/>
              </w:rPr>
            </w:pPr>
          </w:p>
        </w:tc>
        <w:tc>
          <w:tcPr>
            <w:tcW w:w="1707" w:type="dxa"/>
            <w:vAlign w:val="center"/>
          </w:tcPr>
          <w:p w14:paraId="7215C2E8">
            <w:pPr>
              <w:jc w:val="center"/>
              <w:rPr>
                <w:rFonts w:ascii="宋体" w:hAnsi="宋体" w:cs="宋体"/>
                <w:color w:val="auto"/>
                <w:szCs w:val="21"/>
              </w:rPr>
            </w:pPr>
          </w:p>
        </w:tc>
        <w:tc>
          <w:tcPr>
            <w:tcW w:w="1843" w:type="dxa"/>
            <w:vAlign w:val="center"/>
          </w:tcPr>
          <w:p w14:paraId="407AF4C6">
            <w:pPr>
              <w:jc w:val="center"/>
              <w:rPr>
                <w:rFonts w:ascii="宋体" w:hAnsi="宋体" w:cs="宋体"/>
                <w:color w:val="auto"/>
                <w:szCs w:val="21"/>
              </w:rPr>
            </w:pPr>
          </w:p>
        </w:tc>
        <w:tc>
          <w:tcPr>
            <w:tcW w:w="1293" w:type="dxa"/>
            <w:vAlign w:val="center"/>
          </w:tcPr>
          <w:p w14:paraId="1E124EC2">
            <w:pPr>
              <w:jc w:val="center"/>
              <w:rPr>
                <w:rFonts w:ascii="宋体" w:hAnsi="宋体" w:cs="宋体"/>
                <w:color w:val="auto"/>
                <w:szCs w:val="21"/>
              </w:rPr>
            </w:pPr>
          </w:p>
        </w:tc>
        <w:tc>
          <w:tcPr>
            <w:tcW w:w="1260" w:type="dxa"/>
            <w:vAlign w:val="center"/>
          </w:tcPr>
          <w:p w14:paraId="5E094146">
            <w:pPr>
              <w:jc w:val="center"/>
              <w:rPr>
                <w:rFonts w:ascii="宋体" w:hAnsi="宋体" w:cs="宋体"/>
                <w:color w:val="auto"/>
                <w:szCs w:val="21"/>
              </w:rPr>
            </w:pPr>
          </w:p>
        </w:tc>
      </w:tr>
      <w:tr w14:paraId="2DAB0AB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664" w:type="dxa"/>
            <w:vAlign w:val="center"/>
          </w:tcPr>
          <w:p w14:paraId="4A7DD995">
            <w:pPr>
              <w:jc w:val="center"/>
              <w:rPr>
                <w:rFonts w:ascii="宋体" w:hAnsi="宋体" w:cs="宋体"/>
                <w:color w:val="auto"/>
                <w:szCs w:val="21"/>
              </w:rPr>
            </w:pPr>
          </w:p>
        </w:tc>
        <w:tc>
          <w:tcPr>
            <w:tcW w:w="1232" w:type="dxa"/>
            <w:vAlign w:val="center"/>
          </w:tcPr>
          <w:p w14:paraId="0A46CDAC">
            <w:pPr>
              <w:jc w:val="center"/>
              <w:rPr>
                <w:rFonts w:ascii="宋体" w:hAnsi="宋体" w:cs="宋体"/>
                <w:color w:val="auto"/>
                <w:szCs w:val="21"/>
              </w:rPr>
            </w:pPr>
          </w:p>
        </w:tc>
        <w:tc>
          <w:tcPr>
            <w:tcW w:w="1785" w:type="dxa"/>
            <w:vAlign w:val="center"/>
          </w:tcPr>
          <w:p w14:paraId="02CFE413">
            <w:pPr>
              <w:jc w:val="center"/>
              <w:rPr>
                <w:rFonts w:ascii="宋体" w:hAnsi="宋体" w:cs="宋体"/>
                <w:color w:val="auto"/>
                <w:szCs w:val="21"/>
              </w:rPr>
            </w:pPr>
          </w:p>
        </w:tc>
        <w:tc>
          <w:tcPr>
            <w:tcW w:w="1707" w:type="dxa"/>
            <w:vAlign w:val="center"/>
          </w:tcPr>
          <w:p w14:paraId="335FF074">
            <w:pPr>
              <w:jc w:val="center"/>
              <w:rPr>
                <w:rFonts w:ascii="宋体" w:hAnsi="宋体" w:cs="宋体"/>
                <w:color w:val="auto"/>
                <w:szCs w:val="21"/>
              </w:rPr>
            </w:pPr>
          </w:p>
        </w:tc>
        <w:tc>
          <w:tcPr>
            <w:tcW w:w="1843" w:type="dxa"/>
            <w:vAlign w:val="center"/>
          </w:tcPr>
          <w:p w14:paraId="347BFD02">
            <w:pPr>
              <w:jc w:val="center"/>
              <w:rPr>
                <w:rFonts w:ascii="宋体" w:hAnsi="宋体" w:cs="宋体"/>
                <w:color w:val="auto"/>
                <w:szCs w:val="21"/>
              </w:rPr>
            </w:pPr>
          </w:p>
        </w:tc>
        <w:tc>
          <w:tcPr>
            <w:tcW w:w="1293" w:type="dxa"/>
            <w:vAlign w:val="center"/>
          </w:tcPr>
          <w:p w14:paraId="4C34C4AF">
            <w:pPr>
              <w:jc w:val="center"/>
              <w:rPr>
                <w:rFonts w:ascii="宋体" w:hAnsi="宋体" w:cs="宋体"/>
                <w:color w:val="auto"/>
                <w:szCs w:val="21"/>
              </w:rPr>
            </w:pPr>
          </w:p>
        </w:tc>
        <w:tc>
          <w:tcPr>
            <w:tcW w:w="1260" w:type="dxa"/>
            <w:vAlign w:val="center"/>
          </w:tcPr>
          <w:p w14:paraId="31AC5AF2">
            <w:pPr>
              <w:jc w:val="center"/>
              <w:rPr>
                <w:rFonts w:ascii="宋体" w:hAnsi="宋体" w:cs="宋体"/>
                <w:color w:val="auto"/>
                <w:szCs w:val="21"/>
              </w:rPr>
            </w:pPr>
          </w:p>
        </w:tc>
      </w:tr>
      <w:tr w14:paraId="17E280C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664" w:type="dxa"/>
            <w:vAlign w:val="center"/>
          </w:tcPr>
          <w:p w14:paraId="56C13273">
            <w:pPr>
              <w:jc w:val="center"/>
              <w:rPr>
                <w:rFonts w:ascii="宋体" w:hAnsi="宋体" w:cs="宋体"/>
                <w:color w:val="auto"/>
                <w:szCs w:val="21"/>
              </w:rPr>
            </w:pPr>
          </w:p>
        </w:tc>
        <w:tc>
          <w:tcPr>
            <w:tcW w:w="1232" w:type="dxa"/>
            <w:vAlign w:val="center"/>
          </w:tcPr>
          <w:p w14:paraId="10BF75B2">
            <w:pPr>
              <w:jc w:val="center"/>
              <w:rPr>
                <w:rFonts w:ascii="宋体" w:hAnsi="宋体" w:cs="宋体"/>
                <w:color w:val="auto"/>
                <w:szCs w:val="21"/>
              </w:rPr>
            </w:pPr>
          </w:p>
        </w:tc>
        <w:tc>
          <w:tcPr>
            <w:tcW w:w="1785" w:type="dxa"/>
            <w:vAlign w:val="center"/>
          </w:tcPr>
          <w:p w14:paraId="55E5746A">
            <w:pPr>
              <w:jc w:val="center"/>
              <w:rPr>
                <w:rFonts w:ascii="宋体" w:hAnsi="宋体" w:cs="宋体"/>
                <w:color w:val="auto"/>
                <w:szCs w:val="21"/>
              </w:rPr>
            </w:pPr>
          </w:p>
        </w:tc>
        <w:tc>
          <w:tcPr>
            <w:tcW w:w="1707" w:type="dxa"/>
            <w:vAlign w:val="center"/>
          </w:tcPr>
          <w:p w14:paraId="6D84F340">
            <w:pPr>
              <w:jc w:val="center"/>
              <w:rPr>
                <w:rFonts w:ascii="宋体" w:hAnsi="宋体" w:cs="宋体"/>
                <w:color w:val="auto"/>
                <w:szCs w:val="21"/>
              </w:rPr>
            </w:pPr>
          </w:p>
        </w:tc>
        <w:tc>
          <w:tcPr>
            <w:tcW w:w="1843" w:type="dxa"/>
            <w:vAlign w:val="center"/>
          </w:tcPr>
          <w:p w14:paraId="6FBE7415">
            <w:pPr>
              <w:jc w:val="center"/>
              <w:rPr>
                <w:rFonts w:ascii="宋体" w:hAnsi="宋体" w:cs="宋体"/>
                <w:color w:val="auto"/>
                <w:szCs w:val="21"/>
              </w:rPr>
            </w:pPr>
          </w:p>
        </w:tc>
        <w:tc>
          <w:tcPr>
            <w:tcW w:w="1293" w:type="dxa"/>
            <w:vAlign w:val="center"/>
          </w:tcPr>
          <w:p w14:paraId="4EBF6AE8">
            <w:pPr>
              <w:jc w:val="center"/>
              <w:rPr>
                <w:rFonts w:ascii="宋体" w:hAnsi="宋体" w:cs="宋体"/>
                <w:color w:val="auto"/>
                <w:szCs w:val="21"/>
              </w:rPr>
            </w:pPr>
          </w:p>
        </w:tc>
        <w:tc>
          <w:tcPr>
            <w:tcW w:w="1260" w:type="dxa"/>
            <w:vAlign w:val="center"/>
          </w:tcPr>
          <w:p w14:paraId="0F0C5083">
            <w:pPr>
              <w:jc w:val="center"/>
              <w:rPr>
                <w:rFonts w:ascii="宋体" w:hAnsi="宋体" w:cs="宋体"/>
                <w:color w:val="auto"/>
                <w:szCs w:val="21"/>
              </w:rPr>
            </w:pPr>
          </w:p>
        </w:tc>
      </w:tr>
      <w:tr w14:paraId="3DFA12A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664" w:type="dxa"/>
            <w:vAlign w:val="center"/>
          </w:tcPr>
          <w:p w14:paraId="41A16040">
            <w:pPr>
              <w:jc w:val="center"/>
              <w:rPr>
                <w:rFonts w:ascii="宋体" w:hAnsi="宋体" w:cs="宋体"/>
                <w:color w:val="auto"/>
                <w:szCs w:val="21"/>
              </w:rPr>
            </w:pPr>
          </w:p>
        </w:tc>
        <w:tc>
          <w:tcPr>
            <w:tcW w:w="1232" w:type="dxa"/>
            <w:vAlign w:val="center"/>
          </w:tcPr>
          <w:p w14:paraId="27140BD0">
            <w:pPr>
              <w:jc w:val="center"/>
              <w:rPr>
                <w:rFonts w:ascii="宋体" w:hAnsi="宋体" w:cs="宋体"/>
                <w:color w:val="auto"/>
                <w:szCs w:val="21"/>
              </w:rPr>
            </w:pPr>
          </w:p>
        </w:tc>
        <w:tc>
          <w:tcPr>
            <w:tcW w:w="1785" w:type="dxa"/>
            <w:vAlign w:val="center"/>
          </w:tcPr>
          <w:p w14:paraId="2F68CD0D">
            <w:pPr>
              <w:jc w:val="center"/>
              <w:rPr>
                <w:rFonts w:ascii="宋体" w:hAnsi="宋体" w:cs="宋体"/>
                <w:color w:val="auto"/>
                <w:szCs w:val="21"/>
              </w:rPr>
            </w:pPr>
          </w:p>
        </w:tc>
        <w:tc>
          <w:tcPr>
            <w:tcW w:w="1707" w:type="dxa"/>
            <w:vAlign w:val="center"/>
          </w:tcPr>
          <w:p w14:paraId="2ED5159C">
            <w:pPr>
              <w:jc w:val="center"/>
              <w:rPr>
                <w:rFonts w:ascii="宋体" w:hAnsi="宋体" w:cs="宋体"/>
                <w:color w:val="auto"/>
                <w:szCs w:val="21"/>
              </w:rPr>
            </w:pPr>
          </w:p>
        </w:tc>
        <w:tc>
          <w:tcPr>
            <w:tcW w:w="1843" w:type="dxa"/>
            <w:vAlign w:val="center"/>
          </w:tcPr>
          <w:p w14:paraId="3392C53D">
            <w:pPr>
              <w:jc w:val="center"/>
              <w:rPr>
                <w:rFonts w:ascii="宋体" w:hAnsi="宋体" w:cs="宋体"/>
                <w:color w:val="auto"/>
                <w:szCs w:val="21"/>
              </w:rPr>
            </w:pPr>
          </w:p>
        </w:tc>
        <w:tc>
          <w:tcPr>
            <w:tcW w:w="1293" w:type="dxa"/>
            <w:vAlign w:val="center"/>
          </w:tcPr>
          <w:p w14:paraId="6977628E">
            <w:pPr>
              <w:jc w:val="center"/>
              <w:rPr>
                <w:rFonts w:ascii="宋体" w:hAnsi="宋体" w:cs="宋体"/>
                <w:color w:val="auto"/>
                <w:szCs w:val="21"/>
              </w:rPr>
            </w:pPr>
          </w:p>
        </w:tc>
        <w:tc>
          <w:tcPr>
            <w:tcW w:w="1260" w:type="dxa"/>
            <w:vAlign w:val="center"/>
          </w:tcPr>
          <w:p w14:paraId="408BF1B4">
            <w:pPr>
              <w:jc w:val="center"/>
              <w:rPr>
                <w:rFonts w:ascii="宋体" w:hAnsi="宋体" w:cs="宋体"/>
                <w:color w:val="auto"/>
                <w:szCs w:val="21"/>
              </w:rPr>
            </w:pPr>
          </w:p>
        </w:tc>
      </w:tr>
      <w:tr w14:paraId="008977A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664" w:type="dxa"/>
            <w:vAlign w:val="center"/>
          </w:tcPr>
          <w:p w14:paraId="53EA0645">
            <w:pPr>
              <w:jc w:val="center"/>
              <w:rPr>
                <w:rFonts w:ascii="宋体" w:hAnsi="宋体" w:cs="宋体"/>
                <w:color w:val="auto"/>
                <w:szCs w:val="21"/>
              </w:rPr>
            </w:pPr>
          </w:p>
        </w:tc>
        <w:tc>
          <w:tcPr>
            <w:tcW w:w="1232" w:type="dxa"/>
            <w:vAlign w:val="center"/>
          </w:tcPr>
          <w:p w14:paraId="5FEBB593">
            <w:pPr>
              <w:jc w:val="center"/>
              <w:rPr>
                <w:rFonts w:ascii="宋体" w:hAnsi="宋体" w:cs="宋体"/>
                <w:color w:val="auto"/>
                <w:szCs w:val="21"/>
              </w:rPr>
            </w:pPr>
          </w:p>
        </w:tc>
        <w:tc>
          <w:tcPr>
            <w:tcW w:w="1785" w:type="dxa"/>
            <w:vAlign w:val="center"/>
          </w:tcPr>
          <w:p w14:paraId="042802C2">
            <w:pPr>
              <w:jc w:val="center"/>
              <w:rPr>
                <w:rFonts w:ascii="宋体" w:hAnsi="宋体" w:cs="宋体"/>
                <w:color w:val="auto"/>
                <w:szCs w:val="21"/>
              </w:rPr>
            </w:pPr>
          </w:p>
        </w:tc>
        <w:tc>
          <w:tcPr>
            <w:tcW w:w="1707" w:type="dxa"/>
            <w:vAlign w:val="center"/>
          </w:tcPr>
          <w:p w14:paraId="7FD6614F">
            <w:pPr>
              <w:jc w:val="center"/>
              <w:rPr>
                <w:rFonts w:ascii="宋体" w:hAnsi="宋体" w:cs="宋体"/>
                <w:color w:val="auto"/>
                <w:szCs w:val="21"/>
              </w:rPr>
            </w:pPr>
          </w:p>
        </w:tc>
        <w:tc>
          <w:tcPr>
            <w:tcW w:w="1843" w:type="dxa"/>
            <w:vAlign w:val="center"/>
          </w:tcPr>
          <w:p w14:paraId="11428F7B">
            <w:pPr>
              <w:jc w:val="center"/>
              <w:rPr>
                <w:rFonts w:ascii="宋体" w:hAnsi="宋体" w:cs="宋体"/>
                <w:color w:val="auto"/>
                <w:szCs w:val="21"/>
              </w:rPr>
            </w:pPr>
          </w:p>
        </w:tc>
        <w:tc>
          <w:tcPr>
            <w:tcW w:w="1293" w:type="dxa"/>
            <w:vAlign w:val="center"/>
          </w:tcPr>
          <w:p w14:paraId="4BC0F2BC">
            <w:pPr>
              <w:jc w:val="center"/>
              <w:rPr>
                <w:rFonts w:ascii="宋体" w:hAnsi="宋体" w:cs="宋体"/>
                <w:color w:val="auto"/>
                <w:szCs w:val="21"/>
              </w:rPr>
            </w:pPr>
          </w:p>
        </w:tc>
        <w:tc>
          <w:tcPr>
            <w:tcW w:w="1260" w:type="dxa"/>
            <w:vAlign w:val="center"/>
          </w:tcPr>
          <w:p w14:paraId="065C492F">
            <w:pPr>
              <w:jc w:val="center"/>
              <w:rPr>
                <w:rFonts w:ascii="宋体" w:hAnsi="宋体" w:cs="宋体"/>
                <w:color w:val="auto"/>
                <w:szCs w:val="21"/>
              </w:rPr>
            </w:pPr>
          </w:p>
        </w:tc>
      </w:tr>
    </w:tbl>
    <w:p w14:paraId="798F0E96">
      <w:pPr>
        <w:rPr>
          <w:rFonts w:ascii="宋体" w:hAnsi="宋体" w:cs="宋体"/>
          <w:b/>
          <w:bCs/>
          <w:color w:val="auto"/>
          <w:szCs w:val="21"/>
        </w:rPr>
      </w:pPr>
      <w:r>
        <w:rPr>
          <w:rFonts w:hint="eastAsia" w:ascii="宋体" w:hAnsi="宋体" w:cs="宋体"/>
          <w:b/>
          <w:bCs/>
          <w:color w:val="auto"/>
          <w:szCs w:val="21"/>
        </w:rPr>
        <w:t>注：附业绩证明材料【业绩证明材料须附中标通知书或合同协议书或业主证明等相关证明材料复印件】。</w:t>
      </w:r>
    </w:p>
    <w:p w14:paraId="3E693526">
      <w:pPr>
        <w:rPr>
          <w:rFonts w:ascii="宋体" w:hAnsi="宋体" w:cs="宋体"/>
          <w:color w:val="auto"/>
          <w:szCs w:val="21"/>
        </w:rPr>
      </w:pPr>
    </w:p>
    <w:p w14:paraId="32D4A0B1">
      <w:pPr>
        <w:spacing w:line="360" w:lineRule="auto"/>
        <w:ind w:firstLine="211" w:firstLineChars="100"/>
        <w:jc w:val="left"/>
        <w:rPr>
          <w:rFonts w:ascii="宋体" w:hAnsi="宋体" w:cs="宋体"/>
          <w:b/>
          <w:bCs/>
          <w:color w:val="auto"/>
          <w:szCs w:val="21"/>
        </w:rPr>
      </w:pPr>
    </w:p>
    <w:p w14:paraId="7C7BFFBE">
      <w:pPr>
        <w:rPr>
          <w:rFonts w:hAnsi="宋体" w:cs="宋体"/>
          <w:b/>
          <w:bCs/>
          <w:color w:val="auto"/>
          <w:sz w:val="24"/>
          <w:szCs w:val="24"/>
        </w:rPr>
      </w:pPr>
      <w:bookmarkStart w:id="1115" w:name="_Toc58081296"/>
      <w:r>
        <w:rPr>
          <w:rFonts w:hint="eastAsia" w:hAnsi="宋体" w:cs="宋体"/>
          <w:b/>
          <w:bCs/>
          <w:color w:val="auto"/>
          <w:sz w:val="24"/>
          <w:szCs w:val="24"/>
        </w:rPr>
        <w:br w:type="page"/>
      </w:r>
    </w:p>
    <w:p w14:paraId="19F31F66">
      <w:pPr>
        <w:pStyle w:val="20"/>
        <w:spacing w:line="360" w:lineRule="auto"/>
        <w:jc w:val="center"/>
        <w:outlineLvl w:val="9"/>
        <w:rPr>
          <w:rFonts w:hAnsi="宋体" w:cs="宋体"/>
          <w:b/>
          <w:bCs/>
          <w:color w:val="auto"/>
          <w:sz w:val="24"/>
          <w:szCs w:val="24"/>
        </w:rPr>
      </w:pPr>
    </w:p>
    <w:p w14:paraId="56685E95">
      <w:pPr>
        <w:pStyle w:val="20"/>
        <w:spacing w:line="360" w:lineRule="auto"/>
        <w:jc w:val="center"/>
        <w:outlineLvl w:val="1"/>
        <w:rPr>
          <w:rFonts w:hAnsi="宋体" w:cs="宋体"/>
          <w:b/>
          <w:bCs/>
          <w:color w:val="auto"/>
          <w:sz w:val="24"/>
          <w:szCs w:val="24"/>
        </w:rPr>
      </w:pPr>
      <w:bookmarkStart w:id="1116" w:name="_Toc11789"/>
      <w:bookmarkStart w:id="1117" w:name="_Toc12316"/>
      <w:bookmarkStart w:id="1118" w:name="_Toc8876"/>
      <w:bookmarkStart w:id="1119" w:name="_Toc5497"/>
      <w:bookmarkStart w:id="1120" w:name="_Toc13233"/>
      <w:r>
        <w:rPr>
          <w:rFonts w:hint="eastAsia" w:hAnsi="宋体" w:cs="宋体"/>
          <w:b/>
          <w:bCs/>
          <w:color w:val="auto"/>
          <w:sz w:val="24"/>
          <w:szCs w:val="24"/>
        </w:rPr>
        <w:t>二十</w:t>
      </w:r>
      <w:r>
        <w:rPr>
          <w:rFonts w:hint="eastAsia" w:hAnsi="宋体" w:cs="宋体"/>
          <w:b/>
          <w:bCs/>
          <w:color w:val="auto"/>
          <w:sz w:val="24"/>
          <w:szCs w:val="24"/>
          <w:lang w:val="en-US" w:eastAsia="zh-CN"/>
        </w:rPr>
        <w:t>二</w:t>
      </w:r>
      <w:r>
        <w:rPr>
          <w:rFonts w:hint="eastAsia" w:hAnsi="宋体" w:cs="宋体"/>
          <w:b/>
          <w:bCs/>
          <w:color w:val="auto"/>
          <w:sz w:val="24"/>
          <w:szCs w:val="24"/>
        </w:rPr>
        <w:t>、构成磋商响应文件的其他资料</w:t>
      </w:r>
      <w:bookmarkEnd w:id="1089"/>
      <w:bookmarkEnd w:id="1090"/>
      <w:bookmarkEnd w:id="1091"/>
      <w:bookmarkEnd w:id="1092"/>
      <w:bookmarkEnd w:id="1093"/>
      <w:bookmarkEnd w:id="1094"/>
      <w:bookmarkEnd w:id="1095"/>
      <w:bookmarkEnd w:id="1096"/>
      <w:bookmarkEnd w:id="1115"/>
      <w:bookmarkEnd w:id="1116"/>
      <w:bookmarkEnd w:id="1117"/>
      <w:bookmarkEnd w:id="1118"/>
      <w:bookmarkEnd w:id="1119"/>
      <w:bookmarkEnd w:id="1120"/>
    </w:p>
    <w:p w14:paraId="1D32C0FB">
      <w:pPr>
        <w:jc w:val="center"/>
        <w:rPr>
          <w:rFonts w:ascii="宋体" w:hAnsi="宋体" w:cs="宋体"/>
          <w:color w:val="auto"/>
          <w:szCs w:val="21"/>
        </w:rPr>
      </w:pPr>
      <w:r>
        <w:rPr>
          <w:rFonts w:hint="eastAsia" w:ascii="宋体" w:hAnsi="宋体" w:cs="宋体"/>
          <w:color w:val="auto"/>
          <w:szCs w:val="21"/>
        </w:rPr>
        <w:t>(各供应商应自行承诺，格式自拟。</w:t>
      </w:r>
      <w:r>
        <w:rPr>
          <w:rFonts w:hint="eastAsia" w:ascii="宋体" w:hAnsi="宋体" w:cs="宋体"/>
          <w:color w:val="auto"/>
          <w:szCs w:val="21"/>
          <w:lang w:eastAsia="zh-CN"/>
        </w:rPr>
        <w:t>）</w:t>
      </w:r>
      <w:r>
        <w:rPr>
          <w:rFonts w:hint="eastAsia" w:ascii="宋体" w:hAnsi="宋体" w:cs="宋体"/>
          <w:color w:val="auto"/>
          <w:szCs w:val="21"/>
        </w:rPr>
        <w:t xml:space="preserve"> </w:t>
      </w:r>
    </w:p>
    <w:p w14:paraId="2C0F8957">
      <w:pPr>
        <w:rPr>
          <w:rFonts w:hint="eastAsia" w:ascii="宋体" w:hAnsi="宋体" w:cs="宋体"/>
          <w:b/>
          <w:kern w:val="0"/>
          <w:sz w:val="28"/>
          <w:szCs w:val="28"/>
          <w:lang w:bidi="en-US"/>
        </w:rPr>
      </w:pPr>
      <w:r>
        <w:rPr>
          <w:rFonts w:hint="eastAsia" w:ascii="宋体" w:hAnsi="宋体" w:cs="宋体"/>
          <w:color w:val="auto"/>
          <w:kern w:val="0"/>
          <w:szCs w:val="21"/>
        </w:rPr>
        <w:br w:type="page"/>
      </w:r>
    </w:p>
    <w:p w14:paraId="1E560077">
      <w:pPr>
        <w:widowControl/>
        <w:spacing w:line="360" w:lineRule="auto"/>
        <w:jc w:val="center"/>
        <w:outlineLvl w:val="0"/>
        <w:rPr>
          <w:rFonts w:ascii="宋体" w:hAnsi="宋体" w:cs="宋体"/>
          <w:b/>
          <w:kern w:val="0"/>
          <w:sz w:val="28"/>
          <w:szCs w:val="28"/>
          <w:lang w:bidi="en-US"/>
        </w:rPr>
      </w:pPr>
      <w:r>
        <w:rPr>
          <w:rFonts w:hint="eastAsia" w:ascii="宋体" w:hAnsi="宋体" w:cs="宋体"/>
          <w:b/>
          <w:kern w:val="0"/>
          <w:sz w:val="28"/>
          <w:szCs w:val="28"/>
          <w:lang w:bidi="en-US"/>
        </w:rPr>
        <w:t xml:space="preserve">第五章 </w:t>
      </w:r>
      <w:bookmarkEnd w:id="892"/>
      <w:bookmarkEnd w:id="893"/>
      <w:bookmarkEnd w:id="894"/>
      <w:bookmarkEnd w:id="895"/>
      <w:bookmarkEnd w:id="896"/>
      <w:bookmarkEnd w:id="897"/>
      <w:bookmarkEnd w:id="898"/>
      <w:bookmarkEnd w:id="899"/>
      <w:r>
        <w:rPr>
          <w:rFonts w:hint="eastAsia" w:ascii="宋体" w:hAnsi="宋体" w:cs="宋体"/>
          <w:b/>
          <w:kern w:val="0"/>
          <w:sz w:val="28"/>
          <w:szCs w:val="28"/>
          <w:lang w:bidi="en-US"/>
        </w:rPr>
        <w:t>采购要求</w:t>
      </w:r>
      <w:bookmarkEnd w:id="900"/>
      <w:bookmarkEnd w:id="901"/>
      <w:bookmarkStart w:id="1121" w:name="_Hlk37417525"/>
    </w:p>
    <w:bookmarkEnd w:id="1121"/>
    <w:p w14:paraId="73887B37">
      <w:pPr>
        <w:pStyle w:val="15"/>
        <w:spacing w:after="0" w:line="360" w:lineRule="auto"/>
        <w:rPr>
          <w:rFonts w:ascii="宋体" w:hAnsi="宋体" w:cs="宋体"/>
          <w:b/>
          <w:szCs w:val="21"/>
        </w:rPr>
      </w:pPr>
      <w:bookmarkStart w:id="1122" w:name="_Toc427339195"/>
      <w:bookmarkStart w:id="1123" w:name="_Toc427306820"/>
      <w:bookmarkStart w:id="1124" w:name="_Toc13523"/>
      <w:bookmarkStart w:id="1125" w:name="_Toc58081300"/>
      <w:r>
        <w:rPr>
          <w:rFonts w:hint="eastAsia" w:ascii="宋体" w:hAnsi="宋体" w:cs="宋体"/>
          <w:b/>
          <w:szCs w:val="21"/>
        </w:rPr>
        <w:t>（一）采购标的需实现的功能或者目标，以及为落实政府采购政策需满足的要求；</w:t>
      </w:r>
    </w:p>
    <w:p w14:paraId="764D08F2">
      <w:pPr>
        <w:pStyle w:val="215"/>
        <w:spacing w:line="360" w:lineRule="auto"/>
        <w:ind w:firstLine="420" w:firstLineChars="200"/>
        <w:rPr>
          <w:rFonts w:cs="宋体"/>
          <w:color w:val="auto"/>
          <w:sz w:val="21"/>
          <w:szCs w:val="21"/>
        </w:rPr>
      </w:pPr>
      <w:r>
        <w:rPr>
          <w:rFonts w:hint="eastAsia" w:cs="宋体"/>
          <w:color w:val="auto"/>
          <w:sz w:val="21"/>
          <w:szCs w:val="21"/>
        </w:rPr>
        <w:t>1.采购标的需实现的功能或者目标：</w:t>
      </w:r>
    </w:p>
    <w:p w14:paraId="62A1D198">
      <w:pPr>
        <w:pStyle w:val="215"/>
        <w:spacing w:line="360" w:lineRule="auto"/>
        <w:ind w:firstLine="420" w:firstLineChars="200"/>
        <w:rPr>
          <w:rFonts w:cs="宋体"/>
          <w:color w:val="auto"/>
          <w:sz w:val="21"/>
          <w:szCs w:val="21"/>
        </w:rPr>
      </w:pPr>
      <w:r>
        <w:rPr>
          <w:rFonts w:hint="eastAsia" w:cs="宋体"/>
          <w:color w:val="auto"/>
          <w:sz w:val="21"/>
          <w:szCs w:val="21"/>
        </w:rPr>
        <w:t>满足</w:t>
      </w:r>
      <w:r>
        <w:rPr>
          <w:rFonts w:hint="eastAsia" w:cs="宋体"/>
          <w:color w:val="auto"/>
          <w:sz w:val="21"/>
          <w:szCs w:val="21"/>
          <w:lang w:eastAsia="zh-CN"/>
        </w:rPr>
        <w:t>石屏县坝心镇2026年白浪村委会大过细村产业道路建设项目</w:t>
      </w:r>
      <w:r>
        <w:rPr>
          <w:rFonts w:hint="eastAsia" w:cs="宋体"/>
          <w:color w:val="auto"/>
          <w:sz w:val="21"/>
          <w:szCs w:val="21"/>
        </w:rPr>
        <w:t>采购的要求，符合国家、地方现行相关行业标准、规范及采购人（使用方）要求。</w:t>
      </w:r>
    </w:p>
    <w:p w14:paraId="0F5449D8">
      <w:pPr>
        <w:pStyle w:val="215"/>
        <w:spacing w:line="360" w:lineRule="auto"/>
        <w:ind w:firstLine="420" w:firstLineChars="200"/>
        <w:rPr>
          <w:rFonts w:cs="宋体"/>
          <w:color w:val="auto"/>
          <w:sz w:val="21"/>
          <w:szCs w:val="21"/>
        </w:rPr>
      </w:pPr>
      <w:r>
        <w:rPr>
          <w:rFonts w:hint="eastAsia" w:cs="宋体"/>
          <w:color w:val="auto"/>
          <w:sz w:val="21"/>
          <w:szCs w:val="21"/>
        </w:rPr>
        <w:t>2.为落实政府采购政策需满足的要求：本项目专门面向中小企业采购</w:t>
      </w:r>
      <w:r>
        <w:rPr>
          <w:rFonts w:hint="eastAsia" w:cs="宋体"/>
          <w:bCs w:val="0"/>
          <w:color w:val="auto"/>
          <w:kern w:val="0"/>
          <w:sz w:val="21"/>
          <w:szCs w:val="21"/>
        </w:rPr>
        <w:t>。</w:t>
      </w:r>
    </w:p>
    <w:p w14:paraId="2C90CEFE">
      <w:pPr>
        <w:pStyle w:val="215"/>
        <w:spacing w:line="360" w:lineRule="auto"/>
        <w:rPr>
          <w:rFonts w:cs="宋体"/>
          <w:color w:val="auto"/>
          <w:sz w:val="21"/>
          <w:szCs w:val="21"/>
          <w:shd w:val="clear" w:color="auto" w:fill="FFFFFF"/>
          <w:lang w:val="zh-CN"/>
        </w:rPr>
      </w:pPr>
      <w:r>
        <w:rPr>
          <w:rFonts w:hint="eastAsia" w:cs="宋体"/>
          <w:b/>
          <w:bCs w:val="0"/>
          <w:color w:val="auto"/>
          <w:sz w:val="21"/>
          <w:szCs w:val="21"/>
        </w:rPr>
        <w:t>（二）采购标的需执行的国家相关标准、行业标准、地方标准或者其他标准、规范；</w:t>
      </w:r>
    </w:p>
    <w:p w14:paraId="37AFA8F3">
      <w:pPr>
        <w:pStyle w:val="215"/>
        <w:spacing w:line="360" w:lineRule="auto"/>
        <w:ind w:firstLine="420" w:firstLineChars="200"/>
        <w:rPr>
          <w:rFonts w:hint="eastAsia" w:eastAsia="宋体" w:cs="宋体"/>
          <w:color w:val="auto"/>
          <w:sz w:val="21"/>
          <w:szCs w:val="21"/>
          <w:lang w:eastAsia="zh-CN"/>
        </w:rPr>
      </w:pPr>
      <w:r>
        <w:rPr>
          <w:rFonts w:hint="eastAsia" w:cs="宋体"/>
          <w:color w:val="auto"/>
          <w:sz w:val="21"/>
          <w:szCs w:val="21"/>
        </w:rPr>
        <w:t>质量标准：</w:t>
      </w:r>
      <w:r>
        <w:rPr>
          <w:rFonts w:hint="eastAsia" w:cs="宋体"/>
          <w:color w:val="auto"/>
          <w:sz w:val="21"/>
          <w:szCs w:val="21"/>
          <w:lang w:eastAsia="zh-CN"/>
        </w:rPr>
        <w:t>符合国家、行业及地方现行施工质量验收规范标准，竣工验收一次性验收合格。</w:t>
      </w:r>
    </w:p>
    <w:p w14:paraId="704F4DAF">
      <w:pPr>
        <w:pStyle w:val="15"/>
        <w:spacing w:after="0" w:line="360" w:lineRule="auto"/>
        <w:rPr>
          <w:rFonts w:ascii="宋体" w:hAnsi="宋体" w:cs="宋体"/>
          <w:szCs w:val="21"/>
          <w:lang w:val="zh-CN"/>
        </w:rPr>
      </w:pPr>
      <w:r>
        <w:rPr>
          <w:rFonts w:hint="eastAsia" w:ascii="宋体" w:hAnsi="宋体" w:cs="宋体"/>
          <w:b/>
          <w:szCs w:val="21"/>
        </w:rPr>
        <w:t>（三）采购标的需满足的质量、安全、技术规格、物理特性等要求</w:t>
      </w:r>
    </w:p>
    <w:p w14:paraId="0B92C9E3">
      <w:pPr>
        <w:keepNext w:val="0"/>
        <w:keepLines w:val="0"/>
        <w:pageBreakBefore w:val="0"/>
        <w:widowControl w:val="0"/>
        <w:tabs>
          <w:tab w:val="left" w:pos="381"/>
        </w:tabs>
        <w:overflowPunct/>
        <w:topLinePunct w:val="0"/>
        <w:bidi w:val="0"/>
        <w:adjustRightInd/>
        <w:snapToGrid/>
        <w:spacing w:line="327" w:lineRule="auto"/>
        <w:ind w:firstLine="422" w:firstLineChars="200"/>
        <w:textAlignment w:val="auto"/>
        <w:rPr>
          <w:rFonts w:hint="default" w:ascii="宋体" w:hAnsi="宋体" w:eastAsia="宋体" w:cs="宋体"/>
          <w:b w:val="0"/>
          <w:bCs w:val="0"/>
          <w:szCs w:val="21"/>
          <w:lang w:val="en-US" w:eastAsia="zh-CN"/>
        </w:rPr>
      </w:pPr>
      <w:r>
        <w:rPr>
          <w:rFonts w:hint="eastAsia" w:ascii="宋体" w:hAnsi="宋体" w:cs="宋体"/>
          <w:b/>
          <w:color w:val="000000" w:themeColor="text1"/>
          <w:szCs w:val="21"/>
          <w14:textFill>
            <w14:solidFill>
              <w14:schemeClr w14:val="tx1"/>
            </w14:solidFill>
          </w14:textFill>
        </w:rPr>
        <w:t>1.采购</w:t>
      </w:r>
      <w:r>
        <w:rPr>
          <w:rFonts w:hint="eastAsia" w:ascii="宋体" w:hAnsi="宋体" w:cs="宋体"/>
          <w:b/>
          <w:color w:val="000000" w:themeColor="text1"/>
          <w:szCs w:val="21"/>
          <w:lang w:val="en-US" w:eastAsia="zh-CN"/>
          <w14:textFill>
            <w14:solidFill>
              <w14:schemeClr w14:val="tx1"/>
            </w14:solidFill>
          </w14:textFill>
        </w:rPr>
        <w:t>范围</w:t>
      </w:r>
      <w:r>
        <w:rPr>
          <w:rFonts w:hint="eastAsia" w:ascii="宋体" w:hAnsi="宋体" w:cs="宋体"/>
          <w:b/>
          <w:color w:val="000000" w:themeColor="text1"/>
          <w:szCs w:val="21"/>
          <w14:textFill>
            <w14:solidFill>
              <w14:schemeClr w14:val="tx1"/>
            </w14:solidFill>
          </w14:textFill>
        </w:rPr>
        <w:t>：</w:t>
      </w:r>
      <w:r>
        <w:rPr>
          <w:rFonts w:hint="eastAsia" w:ascii="宋体" w:hAnsi="宋体" w:cs="宋体"/>
          <w:b w:val="0"/>
          <w:bCs w:val="0"/>
          <w:szCs w:val="21"/>
          <w:lang w:val="en-US" w:eastAsia="zh-CN"/>
        </w:rPr>
        <w:t>石屏县坝心镇2026年白浪村委会大过细村产业道路建设项目，位于坝心镇白浪村委会，本项目包含新建产业路1200米，宽3.5米；新建排水沟1200米；护坡680立方米等，</w:t>
      </w:r>
      <w:r>
        <w:rPr>
          <w:rFonts w:hint="eastAsia" w:ascii="宋体" w:hAnsi="宋体" w:eastAsia="宋体" w:cs="宋体"/>
          <w:color w:val="auto"/>
          <w:sz w:val="21"/>
          <w:szCs w:val="21"/>
          <w:highlight w:val="none"/>
        </w:rPr>
        <w:t>包括工程量清单所</w:t>
      </w:r>
      <w:r>
        <w:rPr>
          <w:rFonts w:hint="eastAsia" w:ascii="宋体" w:hAnsi="宋体" w:cs="宋体"/>
          <w:color w:val="auto"/>
          <w:sz w:val="21"/>
          <w:szCs w:val="21"/>
          <w:highlight w:val="none"/>
          <w:lang w:val="en-US" w:eastAsia="zh-CN"/>
        </w:rPr>
        <w:t>含全部</w:t>
      </w:r>
      <w:r>
        <w:rPr>
          <w:rFonts w:hint="eastAsia" w:ascii="宋体" w:hAnsi="宋体" w:cs="宋体"/>
          <w:color w:val="auto"/>
          <w:sz w:val="21"/>
          <w:szCs w:val="21"/>
          <w:highlight w:val="none"/>
          <w:lang w:eastAsia="zh-CN"/>
        </w:rPr>
        <w:t>内容</w:t>
      </w:r>
      <w:r>
        <w:rPr>
          <w:rFonts w:hint="eastAsia" w:ascii="宋体" w:hAnsi="宋体" w:eastAsia="宋体" w:cs="宋体"/>
          <w:color w:val="auto"/>
          <w:sz w:val="21"/>
          <w:szCs w:val="21"/>
          <w:highlight w:val="none"/>
        </w:rPr>
        <w:t>。</w:t>
      </w:r>
    </w:p>
    <w:p w14:paraId="17550B98">
      <w:pPr>
        <w:spacing w:line="360" w:lineRule="auto"/>
        <w:ind w:firstLine="474" w:firstLineChars="225"/>
        <w:rPr>
          <w:rFonts w:ascii="宋体" w:hAnsi="宋体" w:cs="宋体"/>
          <w:color w:val="FF0000"/>
          <w:szCs w:val="21"/>
        </w:rPr>
      </w:pPr>
      <w:r>
        <w:rPr>
          <w:rFonts w:hint="eastAsia" w:ascii="宋体" w:hAnsi="宋体" w:cs="宋体"/>
          <w:b/>
          <w:color w:val="000000" w:themeColor="text1"/>
          <w:szCs w:val="21"/>
          <w14:textFill>
            <w14:solidFill>
              <w14:schemeClr w14:val="tx1"/>
            </w14:solidFill>
          </w14:textFill>
        </w:rPr>
        <w:t>2.标段划分：</w:t>
      </w:r>
      <w:r>
        <w:rPr>
          <w:rFonts w:hint="eastAsia" w:ascii="宋体" w:hAnsi="宋体" w:cs="宋体"/>
          <w:color w:val="000000" w:themeColor="text1"/>
          <w:szCs w:val="21"/>
          <w14:textFill>
            <w14:solidFill>
              <w14:schemeClr w14:val="tx1"/>
            </w14:solidFill>
          </w14:textFill>
        </w:rPr>
        <w:t>本项目不划分标段。</w:t>
      </w:r>
    </w:p>
    <w:p w14:paraId="675E5A19">
      <w:pPr>
        <w:spacing w:line="360" w:lineRule="auto"/>
        <w:ind w:firstLine="474" w:firstLineChars="225"/>
        <w:rPr>
          <w:rFonts w:ascii="宋体" w:hAnsi="宋体" w:cs="宋体"/>
          <w:color w:val="FF0000"/>
          <w:szCs w:val="21"/>
        </w:rPr>
      </w:pPr>
      <w:r>
        <w:rPr>
          <w:rFonts w:hint="eastAsia" w:ascii="宋体" w:hAnsi="宋体" w:cs="宋体"/>
          <w:b/>
          <w:color w:val="000000" w:themeColor="text1"/>
          <w:szCs w:val="21"/>
          <w14:textFill>
            <w14:solidFill>
              <w14:schemeClr w14:val="tx1"/>
            </w14:solidFill>
          </w14:textFill>
        </w:rPr>
        <w:t>3.</w:t>
      </w:r>
      <w:r>
        <w:rPr>
          <w:rFonts w:hint="eastAsia" w:ascii="宋体" w:hAnsi="宋体" w:cs="宋体"/>
          <w:b/>
          <w:bCs/>
          <w:color w:val="000000" w:themeColor="text1"/>
          <w:szCs w:val="21"/>
          <w14:textFill>
            <w14:solidFill>
              <w14:schemeClr w14:val="tx1"/>
            </w14:solidFill>
          </w14:textFill>
        </w:rPr>
        <w:t>最高限价：</w:t>
      </w:r>
      <w:r>
        <w:rPr>
          <w:rFonts w:hint="eastAsia" w:ascii="宋体" w:hAnsi="宋体" w:cs="宋体"/>
          <w:b w:val="0"/>
          <w:bCs w:val="0"/>
          <w:color w:val="000000" w:themeColor="text1"/>
          <w:szCs w:val="21"/>
          <w:lang w:val="en-US" w:eastAsia="zh-CN"/>
          <w14:textFill>
            <w14:solidFill>
              <w14:schemeClr w14:val="tx1"/>
            </w14:solidFill>
          </w14:textFill>
        </w:rPr>
        <w:t>799299.37</w:t>
      </w:r>
      <w:r>
        <w:rPr>
          <w:rFonts w:hint="eastAsia" w:ascii="宋体" w:hAnsi="宋体" w:cs="宋体"/>
          <w:b w:val="0"/>
          <w:bCs w:val="0"/>
          <w:color w:val="auto"/>
          <w:szCs w:val="21"/>
        </w:rPr>
        <w:t>元。</w:t>
      </w:r>
    </w:p>
    <w:p w14:paraId="3581B78E">
      <w:pPr>
        <w:spacing w:line="360" w:lineRule="auto"/>
        <w:ind w:firstLine="474" w:firstLineChars="225"/>
        <w:rPr>
          <w:rFonts w:ascii="宋体" w:hAnsi="宋体" w:cs="宋体"/>
          <w:szCs w:val="21"/>
        </w:rPr>
      </w:pPr>
      <w:r>
        <w:rPr>
          <w:rFonts w:hint="eastAsia" w:ascii="宋体" w:hAnsi="宋体" w:cs="宋体"/>
          <w:b/>
          <w:szCs w:val="21"/>
        </w:rPr>
        <w:t>4.结算办法：</w:t>
      </w:r>
      <w:r>
        <w:rPr>
          <w:rFonts w:hint="eastAsia" w:ascii="宋体" w:hAnsi="宋体" w:cs="宋体"/>
          <w:szCs w:val="21"/>
        </w:rPr>
        <w:t>结算审计以承包人第一轮报价所报的响应文件中的“已标价工程量清单”进行审计，在审计后的结算价基础上乘以（1-工程结算价优惠价），即得到该工程审计结算价（应支付实际工程款）。</w:t>
      </w:r>
    </w:p>
    <w:p w14:paraId="16BF46D1">
      <w:pPr>
        <w:spacing w:line="360" w:lineRule="auto"/>
        <w:ind w:firstLine="472" w:firstLineChars="225"/>
        <w:rPr>
          <w:rFonts w:ascii="宋体" w:hAnsi="宋体" w:cs="宋体"/>
          <w:szCs w:val="21"/>
        </w:rPr>
      </w:pPr>
      <w:r>
        <w:rPr>
          <w:rFonts w:hint="eastAsia" w:ascii="宋体" w:hAnsi="宋体" w:cs="宋体"/>
          <w:szCs w:val="21"/>
        </w:rPr>
        <w:t>5.本工程项目的材料、设备、施工须达到现行中华人民共和国以及省、自治区、直辖市或行业的工程建设标准、规范的要求；严格遵照设计施工图及国家或行业有关标准、规范执行。</w:t>
      </w:r>
    </w:p>
    <w:p w14:paraId="2135CE6C">
      <w:pPr>
        <w:spacing w:line="360" w:lineRule="auto"/>
        <w:ind w:firstLine="472" w:firstLineChars="225"/>
        <w:rPr>
          <w:rFonts w:ascii="宋体" w:hAnsi="宋体" w:cs="宋体"/>
          <w:szCs w:val="21"/>
        </w:rPr>
      </w:pPr>
      <w:r>
        <w:rPr>
          <w:rFonts w:hint="eastAsia" w:ascii="宋体" w:hAnsi="宋体" w:cs="宋体"/>
          <w:szCs w:val="21"/>
        </w:rPr>
        <w:t>6.本工程项目的安全生产、文明施工、环境保护措施应符合中华人民共和国以及省、市、自治区、直辖市或行业以及当地政府的有关法律、法规的要求。</w:t>
      </w:r>
    </w:p>
    <w:p w14:paraId="50D1DD47">
      <w:pPr>
        <w:spacing w:line="360" w:lineRule="auto"/>
        <w:ind w:firstLine="472" w:firstLineChars="225"/>
        <w:rPr>
          <w:rFonts w:ascii="宋体" w:hAnsi="宋体" w:cs="宋体"/>
          <w:szCs w:val="21"/>
        </w:rPr>
      </w:pPr>
      <w:r>
        <w:rPr>
          <w:rFonts w:hint="eastAsia" w:ascii="宋体" w:hAnsi="宋体" w:cs="宋体"/>
          <w:szCs w:val="21"/>
        </w:rPr>
        <w:t>7.根据工程设计要求及所处地域当地政府的相关规定，适用本工程项目的材料、设备、施工必须达到但不限于以下现行标准或规范及其最新版本的要求。</w:t>
      </w:r>
    </w:p>
    <w:p w14:paraId="54AE028A">
      <w:pPr>
        <w:pStyle w:val="215"/>
        <w:spacing w:line="360" w:lineRule="auto"/>
        <w:rPr>
          <w:rFonts w:cs="宋体"/>
          <w:b/>
          <w:bCs w:val="0"/>
          <w:color w:val="auto"/>
          <w:sz w:val="21"/>
          <w:szCs w:val="21"/>
        </w:rPr>
      </w:pPr>
      <w:r>
        <w:rPr>
          <w:rFonts w:hint="eastAsia" w:cs="宋体"/>
          <w:b/>
          <w:bCs w:val="0"/>
          <w:color w:val="auto"/>
          <w:sz w:val="21"/>
          <w:szCs w:val="21"/>
        </w:rPr>
        <w:t>（四）采购标的的数量、采购项目交付或者实施的时间和地点；</w:t>
      </w:r>
    </w:p>
    <w:p w14:paraId="2BE69B12">
      <w:pPr>
        <w:spacing w:line="360" w:lineRule="auto"/>
        <w:ind w:firstLine="422" w:firstLineChars="200"/>
        <w:rPr>
          <w:rFonts w:hint="default" w:ascii="宋体" w:hAnsi="宋体" w:cs="宋体"/>
          <w:szCs w:val="21"/>
          <w:shd w:val="clear" w:color="auto" w:fill="FFFFFF"/>
          <w:lang w:val="en-US"/>
        </w:rPr>
      </w:pPr>
      <w:r>
        <w:rPr>
          <w:rFonts w:hint="eastAsia" w:ascii="宋体" w:hAnsi="宋体" w:cs="宋体"/>
          <w:b/>
          <w:bCs/>
          <w:szCs w:val="21"/>
        </w:rPr>
        <w:t>1.采购标的的数量：</w:t>
      </w:r>
      <w:r>
        <w:rPr>
          <w:rFonts w:hint="eastAsia" w:ascii="宋体" w:hAnsi="宋体" w:cs="宋体"/>
          <w:snapToGrid w:val="0"/>
          <w:kern w:val="21"/>
          <w:sz w:val="21"/>
          <w:szCs w:val="21"/>
          <w:highlight w:val="none"/>
          <w:lang w:val="en-US" w:eastAsia="zh-CN"/>
        </w:rPr>
        <w:t>1项</w:t>
      </w:r>
    </w:p>
    <w:p w14:paraId="2706DFFB">
      <w:pPr>
        <w:keepNext w:val="0"/>
        <w:keepLines w:val="0"/>
        <w:pageBreakBefore w:val="0"/>
        <w:widowControl w:val="0"/>
        <w:overflowPunct/>
        <w:topLinePunct w:val="0"/>
        <w:bidi w:val="0"/>
        <w:adjustRightInd/>
        <w:snapToGrid/>
        <w:spacing w:line="327" w:lineRule="auto"/>
        <w:ind w:firstLine="422" w:firstLineChars="200"/>
        <w:textAlignment w:val="auto"/>
        <w:rPr>
          <w:rFonts w:ascii="宋体" w:hAnsi="宋体" w:cs="宋体"/>
          <w:color w:val="000000" w:themeColor="text1"/>
          <w:szCs w:val="21"/>
          <w:highlight w:val="none"/>
          <w14:textFill>
            <w14:solidFill>
              <w14:schemeClr w14:val="tx1"/>
            </w14:solidFill>
          </w14:textFill>
        </w:rPr>
      </w:pPr>
      <w:r>
        <w:rPr>
          <w:rFonts w:hint="eastAsia" w:ascii="宋体" w:hAnsi="宋体" w:cs="宋体"/>
          <w:b/>
          <w:color w:val="000000" w:themeColor="text1"/>
          <w:szCs w:val="21"/>
          <w:highlight w:val="none"/>
          <w14:textFill>
            <w14:solidFill>
              <w14:schemeClr w14:val="tx1"/>
            </w14:solidFill>
          </w14:textFill>
        </w:rPr>
        <w:t>2.</w:t>
      </w:r>
      <w:r>
        <w:rPr>
          <w:rFonts w:hint="eastAsia" w:ascii="宋体" w:hAnsi="宋体" w:cs="宋体"/>
          <w:b/>
          <w:color w:val="000000" w:themeColor="text1"/>
          <w:szCs w:val="21"/>
          <w:highlight w:val="none"/>
          <w:lang w:val="en-US" w:eastAsia="zh-CN"/>
          <w14:textFill>
            <w14:solidFill>
              <w14:schemeClr w14:val="tx1"/>
            </w14:solidFill>
          </w14:textFill>
        </w:rPr>
        <w:t>工期</w:t>
      </w:r>
      <w:r>
        <w:rPr>
          <w:rFonts w:hint="eastAsia" w:ascii="宋体" w:hAnsi="宋体" w:cs="宋体"/>
          <w:color w:val="000000" w:themeColor="text1"/>
          <w:szCs w:val="21"/>
          <w:highlight w:val="none"/>
          <w14:textFill>
            <w14:solidFill>
              <w14:schemeClr w14:val="tx1"/>
            </w14:solidFill>
          </w14:textFill>
        </w:rPr>
        <w:t>：</w:t>
      </w:r>
      <w:r>
        <w:rPr>
          <w:rFonts w:hint="eastAsia" w:ascii="宋体" w:hAnsi="宋体" w:cs="宋体"/>
          <w:b w:val="0"/>
          <w:bCs w:val="0"/>
          <w:color w:val="auto"/>
          <w:szCs w:val="21"/>
          <w:highlight w:val="none"/>
          <w:lang w:val="en-US" w:eastAsia="zh-CN"/>
        </w:rPr>
        <w:t>60日历天</w:t>
      </w:r>
      <w:r>
        <w:rPr>
          <w:rFonts w:hint="eastAsia" w:ascii="宋体" w:hAnsi="宋体" w:cs="宋体"/>
          <w:color w:val="auto"/>
          <w:szCs w:val="21"/>
          <w:highlight w:val="none"/>
        </w:rPr>
        <w:t>。</w:t>
      </w:r>
    </w:p>
    <w:p w14:paraId="4C6A5E44">
      <w:pPr>
        <w:spacing w:line="360" w:lineRule="auto"/>
        <w:ind w:firstLine="422" w:firstLineChars="200"/>
        <w:rPr>
          <w:rFonts w:ascii="宋体" w:hAnsi="宋体" w:cs="宋体"/>
          <w:b w:val="0"/>
          <w:bCs/>
          <w:color w:val="FF0000"/>
          <w:szCs w:val="21"/>
        </w:rPr>
      </w:pPr>
      <w:r>
        <w:rPr>
          <w:rFonts w:hint="eastAsia" w:ascii="宋体" w:hAnsi="宋体" w:cs="宋体"/>
          <w:b/>
          <w:color w:val="000000" w:themeColor="text1"/>
          <w:szCs w:val="21"/>
          <w14:textFill>
            <w14:solidFill>
              <w14:schemeClr w14:val="tx1"/>
            </w14:solidFill>
          </w14:textFill>
        </w:rPr>
        <w:t>3.</w:t>
      </w:r>
      <w:r>
        <w:rPr>
          <w:rFonts w:hint="eastAsia" w:ascii="宋体" w:hAnsi="宋体" w:cs="宋体"/>
          <w:b/>
          <w:color w:val="000000" w:themeColor="text1"/>
          <w:szCs w:val="21"/>
          <w:lang w:val="en-US" w:eastAsia="zh-CN"/>
          <w14:textFill>
            <w14:solidFill>
              <w14:schemeClr w14:val="tx1"/>
            </w14:solidFill>
          </w14:textFill>
        </w:rPr>
        <w:t>项目</w:t>
      </w:r>
      <w:r>
        <w:rPr>
          <w:rFonts w:hint="eastAsia" w:ascii="宋体" w:hAnsi="宋体" w:cs="宋体"/>
          <w:b/>
          <w:color w:val="000000" w:themeColor="text1"/>
          <w:szCs w:val="21"/>
          <w14:textFill>
            <w14:solidFill>
              <w14:schemeClr w14:val="tx1"/>
            </w14:solidFill>
          </w14:textFill>
        </w:rPr>
        <w:t>地点：</w:t>
      </w:r>
      <w:r>
        <w:rPr>
          <w:rFonts w:hint="eastAsia" w:ascii="宋体" w:hAnsi="宋体" w:cs="宋体"/>
          <w:b w:val="0"/>
          <w:bCs w:val="0"/>
          <w:szCs w:val="21"/>
          <w:lang w:val="en-US" w:eastAsia="zh-CN"/>
        </w:rPr>
        <w:t>坝心镇白浪村委会</w:t>
      </w:r>
    </w:p>
    <w:p w14:paraId="5AF1B131">
      <w:pPr>
        <w:pStyle w:val="215"/>
        <w:spacing w:line="360" w:lineRule="auto"/>
        <w:rPr>
          <w:rFonts w:cs="宋体"/>
          <w:b/>
          <w:color w:val="auto"/>
          <w:sz w:val="21"/>
          <w:szCs w:val="21"/>
        </w:rPr>
      </w:pPr>
      <w:r>
        <w:rPr>
          <w:rFonts w:hint="eastAsia" w:cs="宋体"/>
          <w:b/>
          <w:bCs w:val="0"/>
          <w:color w:val="auto"/>
          <w:sz w:val="21"/>
          <w:szCs w:val="21"/>
        </w:rPr>
        <w:t>（五）</w:t>
      </w:r>
      <w:r>
        <w:rPr>
          <w:rFonts w:hint="eastAsia" w:cs="宋体"/>
          <w:b/>
          <w:color w:val="auto"/>
          <w:sz w:val="21"/>
          <w:szCs w:val="21"/>
        </w:rPr>
        <w:t>采购标的需满足的服务标准、期限、效率等要求；</w:t>
      </w:r>
    </w:p>
    <w:p w14:paraId="6718F035">
      <w:pPr>
        <w:spacing w:line="360" w:lineRule="auto"/>
        <w:ind w:firstLine="420" w:firstLineChars="200"/>
        <w:rPr>
          <w:rFonts w:ascii="宋体" w:hAnsi="宋体" w:cs="宋体"/>
          <w:szCs w:val="21"/>
        </w:rPr>
      </w:pPr>
      <w:r>
        <w:rPr>
          <w:rFonts w:hint="eastAsia" w:ascii="宋体" w:hAnsi="宋体" w:cs="宋体"/>
          <w:szCs w:val="21"/>
        </w:rPr>
        <w:t>项目（标准）要求：符合国家、地方现行相关行业标准、规范及采购人（使用方）要求，实施过程中充分考虑现场实际，切实做好安全防护措施，如发生任何安全事故，由供应商自行负责。</w:t>
      </w:r>
    </w:p>
    <w:p w14:paraId="25ECFCCE">
      <w:pPr>
        <w:pStyle w:val="215"/>
        <w:spacing w:line="360" w:lineRule="auto"/>
        <w:rPr>
          <w:rFonts w:cs="宋体"/>
          <w:b/>
          <w:color w:val="auto"/>
          <w:sz w:val="21"/>
          <w:szCs w:val="21"/>
        </w:rPr>
      </w:pPr>
      <w:r>
        <w:rPr>
          <w:rFonts w:hint="eastAsia" w:cs="宋体"/>
          <w:b/>
          <w:bCs w:val="0"/>
          <w:color w:val="auto"/>
          <w:sz w:val="21"/>
          <w:szCs w:val="21"/>
        </w:rPr>
        <w:t>（六）</w:t>
      </w:r>
      <w:r>
        <w:rPr>
          <w:rFonts w:hint="eastAsia" w:cs="宋体"/>
          <w:b/>
          <w:color w:val="auto"/>
          <w:sz w:val="21"/>
          <w:szCs w:val="21"/>
        </w:rPr>
        <w:t>采购标的的验收标准；</w:t>
      </w:r>
    </w:p>
    <w:p w14:paraId="257D8E02">
      <w:pPr>
        <w:spacing w:line="360" w:lineRule="auto"/>
        <w:ind w:firstLine="420" w:firstLineChars="200"/>
        <w:rPr>
          <w:rFonts w:ascii="宋体" w:hAnsi="宋体" w:cs="宋体"/>
          <w:szCs w:val="21"/>
        </w:rPr>
      </w:pPr>
      <w:r>
        <w:rPr>
          <w:rFonts w:hint="eastAsia" w:ascii="宋体" w:hAnsi="宋体" w:cs="宋体"/>
          <w:szCs w:val="21"/>
        </w:rPr>
        <w:t>项目完成后，按照国家及行业标准规范及采购人的要求进行验收。</w:t>
      </w:r>
    </w:p>
    <w:p w14:paraId="771F2A88">
      <w:pPr>
        <w:pStyle w:val="215"/>
        <w:spacing w:line="360" w:lineRule="auto"/>
        <w:rPr>
          <w:rFonts w:cs="宋体"/>
          <w:b/>
          <w:color w:val="auto"/>
          <w:sz w:val="21"/>
          <w:szCs w:val="21"/>
        </w:rPr>
      </w:pPr>
      <w:r>
        <w:rPr>
          <w:rFonts w:hint="eastAsia" w:cs="宋体"/>
          <w:b/>
          <w:color w:val="auto"/>
          <w:sz w:val="21"/>
          <w:szCs w:val="21"/>
        </w:rPr>
        <w:t>（七）采购标的的其他技术、服务等要求。</w:t>
      </w:r>
    </w:p>
    <w:p w14:paraId="4C94C12C">
      <w:pPr>
        <w:spacing w:line="360" w:lineRule="auto"/>
        <w:ind w:firstLine="420" w:firstLineChars="200"/>
        <w:rPr>
          <w:rFonts w:hint="eastAsia" w:ascii="宋体" w:hAnsi="宋体" w:cs="宋体"/>
          <w:szCs w:val="21"/>
        </w:rPr>
      </w:pPr>
      <w:r>
        <w:rPr>
          <w:rFonts w:hint="eastAsia" w:ascii="宋体" w:hAnsi="宋体" w:cs="宋体"/>
          <w:szCs w:val="21"/>
        </w:rPr>
        <w:t>工程量清单另附。</w:t>
      </w:r>
    </w:p>
    <w:p w14:paraId="5A8943E1">
      <w:pPr>
        <w:widowControl/>
        <w:spacing w:line="360" w:lineRule="auto"/>
        <w:jc w:val="center"/>
        <w:outlineLvl w:val="9"/>
        <w:rPr>
          <w:rFonts w:hint="eastAsia" w:ascii="宋体" w:hAnsi="宋体" w:cs="宋体"/>
          <w:b/>
          <w:kern w:val="0"/>
          <w:sz w:val="28"/>
          <w:szCs w:val="28"/>
          <w:lang w:bidi="en-US"/>
        </w:rPr>
      </w:pPr>
    </w:p>
    <w:p w14:paraId="3728F80A">
      <w:pPr>
        <w:widowControl/>
        <w:spacing w:line="360" w:lineRule="auto"/>
        <w:jc w:val="center"/>
        <w:outlineLvl w:val="9"/>
        <w:rPr>
          <w:rFonts w:hint="eastAsia" w:ascii="宋体" w:hAnsi="宋体" w:cs="宋体"/>
          <w:b/>
          <w:kern w:val="0"/>
          <w:sz w:val="28"/>
          <w:szCs w:val="28"/>
          <w:lang w:bidi="en-US"/>
        </w:rPr>
      </w:pPr>
    </w:p>
    <w:p w14:paraId="59CA5FAA">
      <w:pPr>
        <w:widowControl/>
        <w:spacing w:line="360" w:lineRule="auto"/>
        <w:jc w:val="center"/>
        <w:outlineLvl w:val="9"/>
        <w:rPr>
          <w:rFonts w:hint="eastAsia" w:ascii="宋体" w:hAnsi="宋体" w:cs="宋体"/>
          <w:b/>
          <w:kern w:val="0"/>
          <w:sz w:val="28"/>
          <w:szCs w:val="28"/>
          <w:lang w:bidi="en-US"/>
        </w:rPr>
      </w:pPr>
    </w:p>
    <w:p w14:paraId="1A8E4CB1">
      <w:pPr>
        <w:widowControl/>
        <w:spacing w:line="360" w:lineRule="auto"/>
        <w:jc w:val="center"/>
        <w:outlineLvl w:val="9"/>
        <w:rPr>
          <w:rFonts w:hint="eastAsia" w:ascii="宋体" w:hAnsi="宋体" w:cs="宋体"/>
          <w:b/>
          <w:kern w:val="0"/>
          <w:sz w:val="28"/>
          <w:szCs w:val="28"/>
          <w:lang w:bidi="en-US"/>
        </w:rPr>
      </w:pPr>
    </w:p>
    <w:p w14:paraId="194B1E8E">
      <w:pPr>
        <w:widowControl/>
        <w:spacing w:line="360" w:lineRule="auto"/>
        <w:jc w:val="center"/>
        <w:outlineLvl w:val="9"/>
        <w:rPr>
          <w:rFonts w:hint="eastAsia" w:ascii="宋体" w:hAnsi="宋体" w:cs="宋体"/>
          <w:b/>
          <w:kern w:val="0"/>
          <w:sz w:val="28"/>
          <w:szCs w:val="28"/>
          <w:lang w:bidi="en-US"/>
        </w:rPr>
      </w:pPr>
    </w:p>
    <w:p w14:paraId="5DCA5E98">
      <w:pPr>
        <w:widowControl/>
        <w:spacing w:line="360" w:lineRule="auto"/>
        <w:jc w:val="center"/>
        <w:outlineLvl w:val="9"/>
        <w:rPr>
          <w:rFonts w:hint="eastAsia" w:ascii="宋体" w:hAnsi="宋体" w:cs="宋体"/>
          <w:b/>
          <w:kern w:val="0"/>
          <w:sz w:val="28"/>
          <w:szCs w:val="28"/>
          <w:lang w:bidi="en-US"/>
        </w:rPr>
      </w:pPr>
    </w:p>
    <w:p w14:paraId="3F2DB889">
      <w:pPr>
        <w:widowControl/>
        <w:spacing w:line="360" w:lineRule="auto"/>
        <w:jc w:val="center"/>
        <w:outlineLvl w:val="9"/>
        <w:rPr>
          <w:rFonts w:hint="eastAsia" w:ascii="宋体" w:hAnsi="宋体" w:cs="宋体"/>
          <w:b/>
          <w:kern w:val="0"/>
          <w:sz w:val="28"/>
          <w:szCs w:val="28"/>
          <w:lang w:bidi="en-US"/>
        </w:rPr>
      </w:pPr>
    </w:p>
    <w:p w14:paraId="2A0ACE68">
      <w:pPr>
        <w:widowControl/>
        <w:spacing w:line="360" w:lineRule="auto"/>
        <w:jc w:val="center"/>
        <w:outlineLvl w:val="9"/>
        <w:rPr>
          <w:rFonts w:hint="eastAsia" w:ascii="宋体" w:hAnsi="宋体" w:cs="宋体"/>
          <w:b/>
          <w:kern w:val="0"/>
          <w:sz w:val="28"/>
          <w:szCs w:val="28"/>
          <w:lang w:bidi="en-US"/>
        </w:rPr>
      </w:pPr>
    </w:p>
    <w:p w14:paraId="4A634649">
      <w:pPr>
        <w:widowControl/>
        <w:spacing w:line="360" w:lineRule="auto"/>
        <w:jc w:val="center"/>
        <w:outlineLvl w:val="9"/>
        <w:rPr>
          <w:rFonts w:hint="eastAsia" w:ascii="宋体" w:hAnsi="宋体" w:cs="宋体"/>
          <w:b/>
          <w:kern w:val="0"/>
          <w:sz w:val="28"/>
          <w:szCs w:val="28"/>
          <w:lang w:bidi="en-US"/>
        </w:rPr>
      </w:pPr>
    </w:p>
    <w:p w14:paraId="5BC714E7">
      <w:pPr>
        <w:widowControl/>
        <w:spacing w:line="360" w:lineRule="auto"/>
        <w:jc w:val="center"/>
        <w:outlineLvl w:val="9"/>
        <w:rPr>
          <w:rFonts w:hint="eastAsia" w:ascii="宋体" w:hAnsi="宋体" w:cs="宋体"/>
          <w:b/>
          <w:kern w:val="0"/>
          <w:sz w:val="28"/>
          <w:szCs w:val="28"/>
          <w:lang w:bidi="en-US"/>
        </w:rPr>
      </w:pPr>
    </w:p>
    <w:p w14:paraId="1F434941">
      <w:pPr>
        <w:widowControl/>
        <w:spacing w:line="360" w:lineRule="auto"/>
        <w:jc w:val="center"/>
        <w:outlineLvl w:val="9"/>
        <w:rPr>
          <w:rFonts w:hint="eastAsia" w:ascii="宋体" w:hAnsi="宋体" w:cs="宋体"/>
          <w:b/>
          <w:kern w:val="0"/>
          <w:sz w:val="28"/>
          <w:szCs w:val="28"/>
          <w:lang w:bidi="en-US"/>
        </w:rPr>
      </w:pPr>
    </w:p>
    <w:p w14:paraId="27B3C79B">
      <w:pPr>
        <w:widowControl/>
        <w:spacing w:line="360" w:lineRule="auto"/>
        <w:jc w:val="center"/>
        <w:outlineLvl w:val="9"/>
        <w:rPr>
          <w:rFonts w:hint="eastAsia" w:ascii="宋体" w:hAnsi="宋体" w:cs="宋体"/>
          <w:b/>
          <w:kern w:val="0"/>
          <w:sz w:val="28"/>
          <w:szCs w:val="28"/>
          <w:lang w:bidi="en-US"/>
        </w:rPr>
      </w:pPr>
    </w:p>
    <w:p w14:paraId="54FE3E0D">
      <w:pPr>
        <w:widowControl/>
        <w:spacing w:line="360" w:lineRule="auto"/>
        <w:jc w:val="center"/>
        <w:outlineLvl w:val="9"/>
        <w:rPr>
          <w:rFonts w:hint="eastAsia" w:ascii="宋体" w:hAnsi="宋体" w:cs="宋体"/>
          <w:b/>
          <w:kern w:val="0"/>
          <w:sz w:val="28"/>
          <w:szCs w:val="28"/>
          <w:lang w:bidi="en-US"/>
        </w:rPr>
      </w:pPr>
    </w:p>
    <w:p w14:paraId="6327C0DE">
      <w:pPr>
        <w:widowControl/>
        <w:spacing w:line="360" w:lineRule="auto"/>
        <w:jc w:val="center"/>
        <w:outlineLvl w:val="9"/>
        <w:rPr>
          <w:rFonts w:hint="eastAsia" w:ascii="宋体" w:hAnsi="宋体" w:cs="宋体"/>
          <w:b/>
          <w:kern w:val="0"/>
          <w:sz w:val="28"/>
          <w:szCs w:val="28"/>
          <w:lang w:bidi="en-US"/>
        </w:rPr>
      </w:pPr>
    </w:p>
    <w:p w14:paraId="5B13E59D">
      <w:pPr>
        <w:widowControl/>
        <w:spacing w:line="360" w:lineRule="auto"/>
        <w:jc w:val="center"/>
        <w:outlineLvl w:val="9"/>
        <w:rPr>
          <w:rFonts w:hint="eastAsia" w:ascii="宋体" w:hAnsi="宋体" w:cs="宋体"/>
          <w:b/>
          <w:kern w:val="0"/>
          <w:sz w:val="28"/>
          <w:szCs w:val="28"/>
          <w:lang w:bidi="en-US"/>
        </w:rPr>
      </w:pPr>
    </w:p>
    <w:p w14:paraId="05433050">
      <w:pPr>
        <w:widowControl/>
        <w:spacing w:line="360" w:lineRule="auto"/>
        <w:jc w:val="center"/>
        <w:outlineLvl w:val="9"/>
        <w:rPr>
          <w:rFonts w:hint="eastAsia" w:ascii="宋体" w:hAnsi="宋体" w:cs="宋体"/>
          <w:b/>
          <w:kern w:val="0"/>
          <w:sz w:val="28"/>
          <w:szCs w:val="28"/>
          <w:lang w:bidi="en-US"/>
        </w:rPr>
      </w:pPr>
    </w:p>
    <w:p w14:paraId="4739E946">
      <w:pPr>
        <w:widowControl/>
        <w:spacing w:line="360" w:lineRule="auto"/>
        <w:jc w:val="center"/>
        <w:outlineLvl w:val="9"/>
        <w:rPr>
          <w:rFonts w:hint="eastAsia" w:ascii="宋体" w:hAnsi="宋体" w:cs="宋体"/>
          <w:b/>
          <w:kern w:val="0"/>
          <w:sz w:val="28"/>
          <w:szCs w:val="28"/>
          <w:lang w:bidi="en-US"/>
        </w:rPr>
      </w:pPr>
    </w:p>
    <w:p w14:paraId="29137519">
      <w:pPr>
        <w:widowControl/>
        <w:spacing w:line="360" w:lineRule="auto"/>
        <w:jc w:val="both"/>
        <w:outlineLvl w:val="9"/>
        <w:rPr>
          <w:rFonts w:hint="eastAsia" w:ascii="宋体" w:hAnsi="宋体" w:cs="宋体"/>
          <w:b/>
          <w:kern w:val="0"/>
          <w:sz w:val="28"/>
          <w:szCs w:val="28"/>
          <w:lang w:bidi="en-US"/>
        </w:rPr>
      </w:pPr>
    </w:p>
    <w:p w14:paraId="36FD1DE6">
      <w:pPr>
        <w:widowControl/>
        <w:spacing w:line="360" w:lineRule="auto"/>
        <w:jc w:val="both"/>
        <w:outlineLvl w:val="9"/>
        <w:rPr>
          <w:rFonts w:hint="eastAsia" w:ascii="宋体" w:hAnsi="宋体" w:cs="宋体"/>
          <w:b/>
          <w:kern w:val="0"/>
          <w:sz w:val="28"/>
          <w:szCs w:val="28"/>
          <w:lang w:bidi="en-US"/>
        </w:rPr>
      </w:pPr>
    </w:p>
    <w:p w14:paraId="3DA945C6">
      <w:pPr>
        <w:widowControl/>
        <w:spacing w:line="360" w:lineRule="auto"/>
        <w:jc w:val="center"/>
        <w:outlineLvl w:val="0"/>
        <w:rPr>
          <w:rFonts w:hint="eastAsia" w:ascii="宋体" w:hAnsi="宋体" w:cs="宋体"/>
          <w:b/>
          <w:kern w:val="0"/>
          <w:sz w:val="28"/>
          <w:szCs w:val="28"/>
          <w:lang w:bidi="en-US"/>
        </w:rPr>
      </w:pPr>
    </w:p>
    <w:p w14:paraId="1556A235">
      <w:pPr>
        <w:widowControl/>
        <w:spacing w:line="360" w:lineRule="auto"/>
        <w:jc w:val="center"/>
        <w:outlineLvl w:val="0"/>
        <w:rPr>
          <w:rFonts w:ascii="宋体" w:hAnsi="宋体" w:cs="宋体"/>
          <w:b/>
          <w:bCs/>
          <w:szCs w:val="21"/>
        </w:rPr>
      </w:pPr>
      <w:r>
        <w:rPr>
          <w:rFonts w:hint="eastAsia" w:ascii="宋体" w:hAnsi="宋体" w:cs="宋体"/>
          <w:b/>
          <w:kern w:val="0"/>
          <w:sz w:val="28"/>
          <w:szCs w:val="28"/>
          <w:lang w:bidi="en-US"/>
        </w:rPr>
        <w:t>第六章 磋商程序及方法</w:t>
      </w:r>
      <w:bookmarkEnd w:id="1122"/>
      <w:bookmarkEnd w:id="1123"/>
      <w:bookmarkEnd w:id="1124"/>
      <w:bookmarkEnd w:id="1125"/>
    </w:p>
    <w:tbl>
      <w:tblPr>
        <w:tblStyle w:val="38"/>
        <w:tblpPr w:leftFromText="180" w:rightFromText="180" w:vertAnchor="text" w:horzAnchor="page" w:tblpX="962" w:tblpY="443"/>
        <w:tblOverlap w:val="never"/>
        <w:tblW w:w="10010"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803"/>
        <w:gridCol w:w="850"/>
        <w:gridCol w:w="2235"/>
        <w:gridCol w:w="6122"/>
      </w:tblGrid>
      <w:tr w14:paraId="239E849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36" w:hRule="atLeast"/>
          <w:tblHeader/>
        </w:trPr>
        <w:tc>
          <w:tcPr>
            <w:tcW w:w="1653" w:type="dxa"/>
            <w:gridSpan w:val="2"/>
            <w:tcMar>
              <w:top w:w="28" w:type="dxa"/>
              <w:left w:w="28" w:type="dxa"/>
              <w:bottom w:w="28" w:type="dxa"/>
              <w:right w:w="28" w:type="dxa"/>
            </w:tcMar>
            <w:vAlign w:val="center"/>
          </w:tcPr>
          <w:p w14:paraId="73E156E9">
            <w:pPr>
              <w:jc w:val="center"/>
              <w:rPr>
                <w:rFonts w:ascii="宋体" w:hAnsi="宋体" w:cs="宋体"/>
                <w:b/>
                <w:color w:val="auto"/>
                <w:sz w:val="21"/>
                <w:szCs w:val="21"/>
                <w:highlight w:val="none"/>
              </w:rPr>
            </w:pPr>
            <w:bookmarkStart w:id="1126" w:name="_Toc58081302"/>
            <w:r>
              <w:rPr>
                <w:rFonts w:hint="eastAsia" w:ascii="宋体" w:hAnsi="宋体" w:cs="宋体"/>
                <w:b/>
                <w:color w:val="auto"/>
                <w:sz w:val="21"/>
                <w:szCs w:val="21"/>
                <w:highlight w:val="none"/>
              </w:rPr>
              <w:t>条款号</w:t>
            </w:r>
          </w:p>
        </w:tc>
        <w:tc>
          <w:tcPr>
            <w:tcW w:w="2235" w:type="dxa"/>
            <w:tcMar>
              <w:top w:w="28" w:type="dxa"/>
              <w:left w:w="28" w:type="dxa"/>
              <w:bottom w:w="28" w:type="dxa"/>
              <w:right w:w="28" w:type="dxa"/>
            </w:tcMar>
            <w:vAlign w:val="center"/>
          </w:tcPr>
          <w:p w14:paraId="6D221A78">
            <w:pPr>
              <w:jc w:val="center"/>
              <w:rPr>
                <w:rFonts w:ascii="宋体" w:hAnsi="宋体" w:cs="宋体"/>
                <w:b/>
                <w:color w:val="auto"/>
                <w:sz w:val="21"/>
                <w:szCs w:val="21"/>
                <w:highlight w:val="none"/>
              </w:rPr>
            </w:pPr>
            <w:r>
              <w:rPr>
                <w:rFonts w:hint="eastAsia" w:ascii="宋体" w:hAnsi="宋体" w:cs="宋体"/>
                <w:b/>
                <w:color w:val="auto"/>
                <w:sz w:val="21"/>
                <w:szCs w:val="21"/>
                <w:highlight w:val="none"/>
              </w:rPr>
              <w:t>评审因素</w:t>
            </w:r>
          </w:p>
        </w:tc>
        <w:tc>
          <w:tcPr>
            <w:tcW w:w="6122" w:type="dxa"/>
            <w:tcMar>
              <w:top w:w="28" w:type="dxa"/>
              <w:left w:w="28" w:type="dxa"/>
              <w:bottom w:w="28" w:type="dxa"/>
              <w:right w:w="28" w:type="dxa"/>
            </w:tcMar>
            <w:vAlign w:val="center"/>
          </w:tcPr>
          <w:p w14:paraId="7F6C05AF">
            <w:pPr>
              <w:jc w:val="center"/>
              <w:rPr>
                <w:rFonts w:ascii="宋体" w:hAnsi="宋体" w:cs="宋体"/>
                <w:b/>
                <w:color w:val="auto"/>
                <w:sz w:val="21"/>
                <w:szCs w:val="21"/>
                <w:highlight w:val="none"/>
              </w:rPr>
            </w:pPr>
            <w:r>
              <w:rPr>
                <w:rFonts w:hint="eastAsia" w:ascii="宋体" w:hAnsi="宋体" w:cs="宋体"/>
                <w:b/>
                <w:color w:val="auto"/>
                <w:sz w:val="21"/>
                <w:szCs w:val="21"/>
                <w:highlight w:val="none"/>
              </w:rPr>
              <w:t>评审标准</w:t>
            </w:r>
          </w:p>
        </w:tc>
      </w:tr>
      <w:tr w14:paraId="5B39218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20" w:hRule="atLeast"/>
        </w:trPr>
        <w:tc>
          <w:tcPr>
            <w:tcW w:w="803" w:type="dxa"/>
            <w:vMerge w:val="restart"/>
            <w:tcMar>
              <w:top w:w="28" w:type="dxa"/>
              <w:left w:w="28" w:type="dxa"/>
              <w:bottom w:w="28" w:type="dxa"/>
              <w:right w:w="28" w:type="dxa"/>
            </w:tcMar>
            <w:vAlign w:val="center"/>
          </w:tcPr>
          <w:p w14:paraId="2885A907">
            <w:pPr>
              <w:spacing w:before="100" w:beforeAutospacing="1" w:after="100" w:afterAutospacing="1"/>
              <w:jc w:val="center"/>
              <w:rPr>
                <w:rFonts w:hint="eastAsia" w:ascii="宋体" w:hAnsi="宋体" w:eastAsia="宋体" w:cs="宋体"/>
                <w:color w:val="auto"/>
                <w:sz w:val="21"/>
                <w:szCs w:val="21"/>
                <w:highlight w:val="none"/>
                <w:lang w:eastAsia="zh-CN"/>
              </w:rPr>
            </w:pPr>
            <w:r>
              <w:rPr>
                <w:rFonts w:hint="eastAsia" w:ascii="宋体" w:hAnsi="宋体" w:cs="宋体"/>
                <w:color w:val="auto"/>
                <w:sz w:val="21"/>
                <w:szCs w:val="21"/>
                <w:highlight w:val="none"/>
              </w:rPr>
              <w:t>2.1.</w:t>
            </w:r>
            <w:r>
              <w:rPr>
                <w:rFonts w:hint="eastAsia" w:ascii="宋体" w:hAnsi="宋体" w:cs="宋体"/>
                <w:color w:val="auto"/>
                <w:sz w:val="21"/>
                <w:szCs w:val="21"/>
                <w:highlight w:val="none"/>
                <w:lang w:val="en-US" w:eastAsia="zh-CN"/>
              </w:rPr>
              <w:t>1</w:t>
            </w:r>
          </w:p>
        </w:tc>
        <w:tc>
          <w:tcPr>
            <w:tcW w:w="850" w:type="dxa"/>
            <w:vMerge w:val="restart"/>
            <w:tcMar>
              <w:top w:w="28" w:type="dxa"/>
              <w:left w:w="28" w:type="dxa"/>
              <w:bottom w:w="28" w:type="dxa"/>
              <w:right w:w="28" w:type="dxa"/>
            </w:tcMar>
            <w:vAlign w:val="center"/>
          </w:tcPr>
          <w:p w14:paraId="56EA297A">
            <w:pPr>
              <w:spacing w:before="100" w:beforeAutospacing="1" w:after="100" w:afterAutospacing="1"/>
              <w:jc w:val="center"/>
              <w:rPr>
                <w:rFonts w:ascii="宋体" w:hAnsi="宋体" w:cs="宋体"/>
                <w:color w:val="auto"/>
                <w:sz w:val="21"/>
                <w:szCs w:val="21"/>
                <w:highlight w:val="none"/>
              </w:rPr>
            </w:pPr>
            <w:r>
              <w:rPr>
                <w:rFonts w:hint="eastAsia" w:ascii="宋体" w:hAnsi="宋体" w:cs="宋体"/>
                <w:color w:val="auto"/>
                <w:sz w:val="21"/>
                <w:szCs w:val="21"/>
                <w:highlight w:val="none"/>
              </w:rPr>
              <w:t>资格评审标准</w:t>
            </w:r>
          </w:p>
        </w:tc>
        <w:tc>
          <w:tcPr>
            <w:tcW w:w="2235" w:type="dxa"/>
            <w:tcMar>
              <w:top w:w="28" w:type="dxa"/>
              <w:left w:w="28" w:type="dxa"/>
              <w:bottom w:w="28" w:type="dxa"/>
              <w:right w:w="28" w:type="dxa"/>
            </w:tcMar>
            <w:vAlign w:val="center"/>
          </w:tcPr>
          <w:p w14:paraId="607765EC">
            <w:pPr>
              <w:jc w:val="center"/>
              <w:rPr>
                <w:rFonts w:ascii="宋体" w:hAnsi="宋体" w:cs="宋体"/>
                <w:color w:val="auto"/>
                <w:sz w:val="21"/>
                <w:szCs w:val="21"/>
                <w:highlight w:val="none"/>
              </w:rPr>
            </w:pPr>
            <w:r>
              <w:rPr>
                <w:rFonts w:hint="eastAsia" w:ascii="宋体" w:hAnsi="宋体" w:cs="宋体"/>
                <w:color w:val="auto"/>
                <w:sz w:val="21"/>
                <w:szCs w:val="21"/>
                <w:highlight w:val="none"/>
              </w:rPr>
              <w:t>《中华人民共和国政府采购法》第二十二条规定</w:t>
            </w:r>
          </w:p>
        </w:tc>
        <w:tc>
          <w:tcPr>
            <w:tcW w:w="6122" w:type="dxa"/>
            <w:tcMar>
              <w:top w:w="28" w:type="dxa"/>
              <w:left w:w="28" w:type="dxa"/>
              <w:bottom w:w="28" w:type="dxa"/>
              <w:right w:w="28" w:type="dxa"/>
            </w:tcMar>
            <w:vAlign w:val="center"/>
          </w:tcPr>
          <w:p w14:paraId="7C9FB886">
            <w:pPr>
              <w:ind w:right="-76" w:rightChars="-36"/>
              <w:jc w:val="both"/>
              <w:rPr>
                <w:rFonts w:ascii="宋体" w:hAnsi="宋体" w:cs="宋体"/>
                <w:color w:val="auto"/>
                <w:sz w:val="21"/>
                <w:szCs w:val="21"/>
                <w:highlight w:val="none"/>
              </w:rPr>
            </w:pPr>
            <w:r>
              <w:rPr>
                <w:rFonts w:hint="eastAsia" w:ascii="宋体" w:hAnsi="宋体" w:cs="宋体"/>
                <w:color w:val="auto"/>
                <w:sz w:val="21"/>
                <w:szCs w:val="21"/>
                <w:highlight w:val="none"/>
              </w:rPr>
              <w:t>符合第二章“供应商须知及供应商须知前附表” 第4.1 项规定。</w:t>
            </w:r>
          </w:p>
        </w:tc>
      </w:tr>
      <w:tr w14:paraId="556B27F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50" w:hRule="atLeast"/>
        </w:trPr>
        <w:tc>
          <w:tcPr>
            <w:tcW w:w="803" w:type="dxa"/>
            <w:vMerge w:val="continue"/>
            <w:tcMar>
              <w:top w:w="28" w:type="dxa"/>
              <w:left w:w="28" w:type="dxa"/>
              <w:bottom w:w="28" w:type="dxa"/>
              <w:right w:w="28" w:type="dxa"/>
            </w:tcMar>
            <w:vAlign w:val="center"/>
          </w:tcPr>
          <w:p w14:paraId="18F8C034">
            <w:pPr>
              <w:spacing w:before="100" w:beforeAutospacing="1" w:after="100" w:afterAutospacing="1"/>
              <w:jc w:val="center"/>
              <w:rPr>
                <w:rFonts w:ascii="宋体" w:hAnsi="宋体" w:cs="宋体"/>
                <w:color w:val="auto"/>
                <w:sz w:val="21"/>
                <w:szCs w:val="21"/>
                <w:highlight w:val="none"/>
              </w:rPr>
            </w:pPr>
          </w:p>
        </w:tc>
        <w:tc>
          <w:tcPr>
            <w:tcW w:w="850" w:type="dxa"/>
            <w:vMerge w:val="continue"/>
            <w:tcMar>
              <w:top w:w="28" w:type="dxa"/>
              <w:left w:w="28" w:type="dxa"/>
              <w:bottom w:w="28" w:type="dxa"/>
              <w:right w:w="28" w:type="dxa"/>
            </w:tcMar>
            <w:vAlign w:val="center"/>
          </w:tcPr>
          <w:p w14:paraId="43293E4D">
            <w:pPr>
              <w:spacing w:before="100" w:beforeAutospacing="1" w:after="100" w:afterAutospacing="1"/>
              <w:jc w:val="center"/>
              <w:rPr>
                <w:rFonts w:ascii="宋体" w:hAnsi="宋体" w:cs="宋体"/>
                <w:color w:val="auto"/>
                <w:sz w:val="21"/>
                <w:szCs w:val="21"/>
                <w:highlight w:val="none"/>
              </w:rPr>
            </w:pPr>
          </w:p>
        </w:tc>
        <w:tc>
          <w:tcPr>
            <w:tcW w:w="2235" w:type="dxa"/>
            <w:tcMar>
              <w:top w:w="28" w:type="dxa"/>
              <w:left w:w="28" w:type="dxa"/>
              <w:bottom w:w="28" w:type="dxa"/>
              <w:right w:w="28" w:type="dxa"/>
            </w:tcMar>
            <w:vAlign w:val="center"/>
          </w:tcPr>
          <w:p w14:paraId="469012DB">
            <w:pPr>
              <w:jc w:val="center"/>
              <w:rPr>
                <w:rFonts w:ascii="宋体" w:hAnsi="宋体" w:cs="宋体"/>
                <w:color w:val="auto"/>
                <w:sz w:val="21"/>
                <w:szCs w:val="21"/>
                <w:highlight w:val="none"/>
              </w:rPr>
            </w:pPr>
            <w:r>
              <w:rPr>
                <w:rFonts w:hint="eastAsia" w:ascii="宋体" w:hAnsi="宋体" w:cs="宋体"/>
                <w:b/>
                <w:bCs/>
                <w:color w:val="auto"/>
                <w:sz w:val="21"/>
                <w:szCs w:val="21"/>
                <w:highlight w:val="none"/>
              </w:rPr>
              <w:t>本项目的特定资格条件</w:t>
            </w:r>
          </w:p>
        </w:tc>
        <w:tc>
          <w:tcPr>
            <w:tcW w:w="6122" w:type="dxa"/>
            <w:tcMar>
              <w:top w:w="28" w:type="dxa"/>
              <w:left w:w="28" w:type="dxa"/>
              <w:bottom w:w="28" w:type="dxa"/>
              <w:right w:w="28" w:type="dxa"/>
            </w:tcMar>
            <w:vAlign w:val="center"/>
          </w:tcPr>
          <w:p w14:paraId="47908875">
            <w:pPr>
              <w:ind w:right="-76" w:rightChars="-36"/>
              <w:jc w:val="both"/>
              <w:rPr>
                <w:rFonts w:ascii="宋体" w:hAnsi="宋体" w:cs="宋体"/>
                <w:color w:val="auto"/>
                <w:sz w:val="21"/>
                <w:szCs w:val="21"/>
                <w:highlight w:val="none"/>
              </w:rPr>
            </w:pPr>
            <w:r>
              <w:rPr>
                <w:rFonts w:hint="eastAsia" w:ascii="宋体" w:hAnsi="宋体" w:cs="宋体"/>
                <w:color w:val="auto"/>
                <w:sz w:val="21"/>
                <w:szCs w:val="21"/>
                <w:highlight w:val="none"/>
              </w:rPr>
              <w:t>符合第二章“供应商须知及供应商须知前附表” 第4.1 项规定。</w:t>
            </w:r>
          </w:p>
        </w:tc>
      </w:tr>
      <w:tr w14:paraId="2D2FA55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15" w:hRule="atLeast"/>
        </w:trPr>
        <w:tc>
          <w:tcPr>
            <w:tcW w:w="803" w:type="dxa"/>
            <w:vMerge w:val="restart"/>
            <w:tcMar>
              <w:top w:w="28" w:type="dxa"/>
              <w:left w:w="28" w:type="dxa"/>
              <w:bottom w:w="28" w:type="dxa"/>
              <w:right w:w="28" w:type="dxa"/>
            </w:tcMar>
            <w:vAlign w:val="center"/>
          </w:tcPr>
          <w:p w14:paraId="568F8E27">
            <w:pPr>
              <w:spacing w:before="100" w:beforeAutospacing="1" w:after="100" w:afterAutospacing="1"/>
              <w:jc w:val="center"/>
              <w:rPr>
                <w:rFonts w:hint="eastAsia" w:ascii="宋体" w:hAnsi="宋体" w:eastAsia="宋体" w:cs="宋体"/>
                <w:color w:val="auto"/>
                <w:sz w:val="21"/>
                <w:szCs w:val="21"/>
                <w:highlight w:val="none"/>
                <w:lang w:eastAsia="zh-CN"/>
              </w:rPr>
            </w:pPr>
            <w:r>
              <w:rPr>
                <w:rFonts w:hint="eastAsia" w:ascii="宋体" w:hAnsi="宋体" w:cs="宋体"/>
                <w:color w:val="auto"/>
                <w:sz w:val="21"/>
                <w:szCs w:val="21"/>
                <w:highlight w:val="none"/>
              </w:rPr>
              <w:t>2.1.</w:t>
            </w:r>
            <w:r>
              <w:rPr>
                <w:rFonts w:hint="eastAsia" w:ascii="宋体" w:hAnsi="宋体" w:cs="宋体"/>
                <w:color w:val="auto"/>
                <w:sz w:val="21"/>
                <w:szCs w:val="21"/>
                <w:highlight w:val="none"/>
                <w:lang w:val="en-US" w:eastAsia="zh-CN"/>
              </w:rPr>
              <w:t>2</w:t>
            </w:r>
          </w:p>
        </w:tc>
        <w:tc>
          <w:tcPr>
            <w:tcW w:w="850" w:type="dxa"/>
            <w:vMerge w:val="restart"/>
            <w:tcMar>
              <w:top w:w="28" w:type="dxa"/>
              <w:left w:w="28" w:type="dxa"/>
              <w:bottom w:w="28" w:type="dxa"/>
              <w:right w:w="28" w:type="dxa"/>
            </w:tcMar>
            <w:vAlign w:val="center"/>
          </w:tcPr>
          <w:p w14:paraId="74EFFB69">
            <w:pPr>
              <w:spacing w:before="100" w:beforeAutospacing="1" w:after="100" w:afterAutospacing="1"/>
              <w:jc w:val="center"/>
              <w:rPr>
                <w:rFonts w:ascii="宋体" w:hAnsi="宋体" w:cs="宋体"/>
                <w:color w:val="auto"/>
                <w:sz w:val="21"/>
                <w:szCs w:val="21"/>
                <w:highlight w:val="none"/>
              </w:rPr>
            </w:pPr>
            <w:r>
              <w:rPr>
                <w:rFonts w:hint="eastAsia" w:ascii="宋体" w:hAnsi="宋体" w:cs="宋体"/>
                <w:color w:val="auto"/>
                <w:sz w:val="21"/>
                <w:szCs w:val="21"/>
                <w:highlight w:val="none"/>
                <w:lang w:val="en-US" w:eastAsia="zh-CN"/>
              </w:rPr>
              <w:t>符合性</w:t>
            </w:r>
            <w:r>
              <w:rPr>
                <w:rFonts w:hint="eastAsia" w:ascii="宋体" w:hAnsi="宋体" w:cs="宋体"/>
                <w:color w:val="auto"/>
                <w:sz w:val="21"/>
                <w:szCs w:val="21"/>
                <w:highlight w:val="none"/>
              </w:rPr>
              <w:t>评审标准</w:t>
            </w:r>
          </w:p>
        </w:tc>
        <w:tc>
          <w:tcPr>
            <w:tcW w:w="2235" w:type="dxa"/>
            <w:tcMar>
              <w:top w:w="28" w:type="dxa"/>
              <w:left w:w="28" w:type="dxa"/>
              <w:bottom w:w="28" w:type="dxa"/>
              <w:right w:w="28" w:type="dxa"/>
            </w:tcMar>
            <w:vAlign w:val="center"/>
          </w:tcPr>
          <w:p w14:paraId="1AFAD9D9">
            <w:pPr>
              <w:spacing w:before="100" w:beforeAutospacing="1" w:after="100" w:afterAutospacing="1"/>
              <w:jc w:val="center"/>
              <w:rPr>
                <w:rFonts w:ascii="宋体" w:hAnsi="宋体" w:eastAsia="宋体" w:cs="宋体"/>
                <w:color w:val="auto"/>
                <w:sz w:val="21"/>
                <w:szCs w:val="21"/>
                <w:highlight w:val="none"/>
                <w:lang w:val="en-US" w:eastAsia="zh-CN" w:bidi="ar-SA"/>
              </w:rPr>
            </w:pPr>
            <w:r>
              <w:rPr>
                <w:rFonts w:hint="eastAsia" w:ascii="宋体" w:hAnsi="宋体" w:cs="宋体"/>
                <w:color w:val="auto"/>
                <w:sz w:val="21"/>
                <w:szCs w:val="21"/>
                <w:highlight w:val="none"/>
              </w:rPr>
              <w:t>供应商名称</w:t>
            </w:r>
          </w:p>
        </w:tc>
        <w:tc>
          <w:tcPr>
            <w:tcW w:w="6122" w:type="dxa"/>
            <w:tcMar>
              <w:top w:w="28" w:type="dxa"/>
              <w:left w:w="28" w:type="dxa"/>
              <w:bottom w:w="28" w:type="dxa"/>
              <w:right w:w="28" w:type="dxa"/>
            </w:tcMar>
            <w:vAlign w:val="center"/>
          </w:tcPr>
          <w:p w14:paraId="56D58A5E">
            <w:pPr>
              <w:spacing w:before="100" w:beforeAutospacing="1" w:after="100" w:afterAutospacing="1"/>
              <w:rPr>
                <w:rFonts w:ascii="宋体" w:hAnsi="宋体" w:eastAsia="宋体" w:cs="宋体"/>
                <w:color w:val="auto"/>
                <w:sz w:val="21"/>
                <w:szCs w:val="21"/>
                <w:highlight w:val="none"/>
                <w:lang w:val="en-US" w:eastAsia="zh-CN" w:bidi="ar-SA"/>
              </w:rPr>
            </w:pPr>
            <w:r>
              <w:rPr>
                <w:rFonts w:hint="eastAsia" w:ascii="宋体" w:hAnsi="宋体" w:cs="宋体"/>
                <w:color w:val="auto"/>
                <w:sz w:val="21"/>
                <w:szCs w:val="21"/>
                <w:highlight w:val="none"/>
              </w:rPr>
              <w:t>与营业执照相关证件一致。</w:t>
            </w:r>
          </w:p>
        </w:tc>
      </w:tr>
      <w:tr w14:paraId="26C1497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1" w:hRule="atLeast"/>
        </w:trPr>
        <w:tc>
          <w:tcPr>
            <w:tcW w:w="803" w:type="dxa"/>
            <w:vMerge w:val="continue"/>
            <w:tcMar>
              <w:top w:w="28" w:type="dxa"/>
              <w:left w:w="28" w:type="dxa"/>
              <w:bottom w:w="28" w:type="dxa"/>
              <w:right w:w="28" w:type="dxa"/>
            </w:tcMar>
            <w:vAlign w:val="center"/>
          </w:tcPr>
          <w:p w14:paraId="039538F5">
            <w:pPr>
              <w:jc w:val="center"/>
              <w:rPr>
                <w:rFonts w:ascii="宋体" w:hAnsi="宋体" w:cs="宋体"/>
                <w:color w:val="auto"/>
                <w:sz w:val="21"/>
                <w:szCs w:val="21"/>
                <w:highlight w:val="none"/>
              </w:rPr>
            </w:pPr>
          </w:p>
        </w:tc>
        <w:tc>
          <w:tcPr>
            <w:tcW w:w="850" w:type="dxa"/>
            <w:vMerge w:val="continue"/>
            <w:tcMar>
              <w:top w:w="28" w:type="dxa"/>
              <w:left w:w="28" w:type="dxa"/>
              <w:bottom w:w="28" w:type="dxa"/>
              <w:right w:w="28" w:type="dxa"/>
            </w:tcMar>
            <w:vAlign w:val="center"/>
          </w:tcPr>
          <w:p w14:paraId="72B422F2">
            <w:pPr>
              <w:jc w:val="center"/>
              <w:rPr>
                <w:rFonts w:ascii="宋体" w:hAnsi="宋体" w:cs="宋体"/>
                <w:color w:val="auto"/>
                <w:sz w:val="21"/>
                <w:szCs w:val="21"/>
                <w:highlight w:val="none"/>
              </w:rPr>
            </w:pPr>
          </w:p>
        </w:tc>
        <w:tc>
          <w:tcPr>
            <w:tcW w:w="2235" w:type="dxa"/>
            <w:tcMar>
              <w:top w:w="28" w:type="dxa"/>
              <w:left w:w="28" w:type="dxa"/>
              <w:bottom w:w="28" w:type="dxa"/>
              <w:right w:w="28" w:type="dxa"/>
            </w:tcMar>
            <w:vAlign w:val="center"/>
          </w:tcPr>
          <w:p w14:paraId="27C89D1D">
            <w:pPr>
              <w:spacing w:before="100" w:beforeAutospacing="1" w:after="100" w:afterAutospacing="1"/>
              <w:jc w:val="center"/>
              <w:rPr>
                <w:rFonts w:hint="eastAsia" w:ascii="宋体" w:hAnsi="宋体" w:eastAsia="宋体" w:cs="宋体"/>
                <w:color w:val="auto"/>
                <w:sz w:val="21"/>
                <w:szCs w:val="21"/>
                <w:highlight w:val="none"/>
                <w:lang w:val="en-US" w:eastAsia="zh-CN" w:bidi="ar-SA"/>
              </w:rPr>
            </w:pPr>
            <w:r>
              <w:rPr>
                <w:rFonts w:hint="eastAsia" w:ascii="宋体" w:hAnsi="宋体" w:cs="宋体"/>
                <w:color w:val="auto"/>
                <w:sz w:val="21"/>
                <w:szCs w:val="21"/>
                <w:highlight w:val="none"/>
              </w:rPr>
              <w:t>签字盖章</w:t>
            </w:r>
          </w:p>
        </w:tc>
        <w:tc>
          <w:tcPr>
            <w:tcW w:w="6122" w:type="dxa"/>
            <w:tcMar>
              <w:top w:w="28" w:type="dxa"/>
              <w:left w:w="28" w:type="dxa"/>
              <w:bottom w:w="28" w:type="dxa"/>
              <w:right w:w="28" w:type="dxa"/>
            </w:tcMar>
            <w:vAlign w:val="center"/>
          </w:tcPr>
          <w:p w14:paraId="17C39B92">
            <w:pPr>
              <w:spacing w:before="100" w:beforeAutospacing="1" w:after="100" w:afterAutospacing="1"/>
              <w:rPr>
                <w:rFonts w:hint="eastAsia" w:ascii="宋体" w:hAnsi="宋体" w:eastAsia="宋体" w:cs="宋体"/>
                <w:color w:val="auto"/>
                <w:sz w:val="21"/>
                <w:szCs w:val="21"/>
                <w:highlight w:val="none"/>
                <w:lang w:val="en-US" w:eastAsia="zh-CN" w:bidi="ar-SA"/>
              </w:rPr>
            </w:pPr>
            <w:r>
              <w:rPr>
                <w:rFonts w:hint="eastAsia" w:ascii="宋体" w:hAnsi="宋体" w:cs="宋体"/>
                <w:color w:val="auto"/>
                <w:sz w:val="21"/>
                <w:szCs w:val="21"/>
                <w:highlight w:val="none"/>
              </w:rPr>
              <w:t>符合第二章“供应商须知”的规定。</w:t>
            </w:r>
          </w:p>
        </w:tc>
      </w:tr>
      <w:tr w14:paraId="44C90A2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1" w:hRule="atLeast"/>
        </w:trPr>
        <w:tc>
          <w:tcPr>
            <w:tcW w:w="803" w:type="dxa"/>
            <w:vMerge w:val="continue"/>
            <w:tcMar>
              <w:top w:w="28" w:type="dxa"/>
              <w:left w:w="28" w:type="dxa"/>
              <w:bottom w:w="28" w:type="dxa"/>
              <w:right w:w="28" w:type="dxa"/>
            </w:tcMar>
            <w:vAlign w:val="center"/>
          </w:tcPr>
          <w:p w14:paraId="774B8B94">
            <w:pPr>
              <w:jc w:val="center"/>
              <w:rPr>
                <w:rFonts w:ascii="宋体" w:hAnsi="宋体" w:cs="宋体"/>
                <w:color w:val="auto"/>
                <w:sz w:val="21"/>
                <w:szCs w:val="21"/>
                <w:highlight w:val="none"/>
              </w:rPr>
            </w:pPr>
          </w:p>
        </w:tc>
        <w:tc>
          <w:tcPr>
            <w:tcW w:w="850" w:type="dxa"/>
            <w:vMerge w:val="continue"/>
            <w:tcMar>
              <w:top w:w="28" w:type="dxa"/>
              <w:left w:w="28" w:type="dxa"/>
              <w:bottom w:w="28" w:type="dxa"/>
              <w:right w:w="28" w:type="dxa"/>
            </w:tcMar>
            <w:vAlign w:val="center"/>
          </w:tcPr>
          <w:p w14:paraId="6812754D">
            <w:pPr>
              <w:jc w:val="center"/>
              <w:rPr>
                <w:rFonts w:ascii="宋体" w:hAnsi="宋体" w:cs="宋体"/>
                <w:color w:val="auto"/>
                <w:sz w:val="21"/>
                <w:szCs w:val="21"/>
                <w:highlight w:val="none"/>
              </w:rPr>
            </w:pPr>
          </w:p>
        </w:tc>
        <w:tc>
          <w:tcPr>
            <w:tcW w:w="2235" w:type="dxa"/>
            <w:tcMar>
              <w:top w:w="28" w:type="dxa"/>
              <w:left w:w="28" w:type="dxa"/>
              <w:bottom w:w="28" w:type="dxa"/>
              <w:right w:w="28" w:type="dxa"/>
            </w:tcMar>
            <w:vAlign w:val="center"/>
          </w:tcPr>
          <w:p w14:paraId="6CEA0339">
            <w:pPr>
              <w:spacing w:before="100" w:beforeAutospacing="1" w:after="100" w:afterAutospacing="1"/>
              <w:jc w:val="center"/>
              <w:rPr>
                <w:rFonts w:hint="eastAsia" w:ascii="宋体" w:hAnsi="宋体" w:eastAsia="宋体" w:cs="宋体"/>
                <w:color w:val="auto"/>
                <w:sz w:val="21"/>
                <w:szCs w:val="21"/>
                <w:highlight w:val="none"/>
                <w:lang w:val="en-US" w:eastAsia="zh-CN" w:bidi="ar-SA"/>
              </w:rPr>
            </w:pPr>
            <w:r>
              <w:rPr>
                <w:rFonts w:hint="eastAsia" w:ascii="宋体" w:hAnsi="宋体" w:cs="宋体"/>
                <w:color w:val="auto"/>
                <w:sz w:val="21"/>
                <w:szCs w:val="21"/>
                <w:highlight w:val="none"/>
              </w:rPr>
              <w:t>响应文件格式</w:t>
            </w:r>
          </w:p>
        </w:tc>
        <w:tc>
          <w:tcPr>
            <w:tcW w:w="6122" w:type="dxa"/>
            <w:tcMar>
              <w:top w:w="28" w:type="dxa"/>
              <w:left w:w="28" w:type="dxa"/>
              <w:bottom w:w="28" w:type="dxa"/>
              <w:right w:w="28" w:type="dxa"/>
            </w:tcMar>
            <w:vAlign w:val="center"/>
          </w:tcPr>
          <w:p w14:paraId="17AF9262">
            <w:pPr>
              <w:spacing w:before="100" w:beforeAutospacing="1" w:after="100" w:afterAutospacing="1"/>
              <w:rPr>
                <w:rFonts w:hint="eastAsia" w:ascii="宋体" w:hAnsi="宋体" w:eastAsia="宋体" w:cs="宋体"/>
                <w:color w:val="auto"/>
                <w:sz w:val="21"/>
                <w:szCs w:val="21"/>
                <w:highlight w:val="none"/>
                <w:lang w:val="en-US" w:eastAsia="zh-CN" w:bidi="ar-SA"/>
              </w:rPr>
            </w:pPr>
            <w:r>
              <w:rPr>
                <w:rFonts w:hint="eastAsia" w:ascii="宋体" w:hAnsi="宋体" w:cs="宋体"/>
                <w:color w:val="auto"/>
                <w:sz w:val="21"/>
                <w:szCs w:val="21"/>
                <w:highlight w:val="none"/>
              </w:rPr>
              <w:t>符合第</w:t>
            </w:r>
            <w:r>
              <w:rPr>
                <w:rFonts w:hint="eastAsia" w:ascii="宋体" w:hAnsi="宋体" w:cs="宋体"/>
                <w:color w:val="auto"/>
                <w:sz w:val="21"/>
                <w:szCs w:val="21"/>
                <w:highlight w:val="none"/>
                <w:lang w:val="en-US" w:eastAsia="zh-CN"/>
              </w:rPr>
              <w:t>四</w:t>
            </w:r>
            <w:r>
              <w:rPr>
                <w:rFonts w:hint="eastAsia" w:ascii="宋体" w:hAnsi="宋体" w:cs="宋体"/>
                <w:color w:val="auto"/>
                <w:sz w:val="21"/>
                <w:szCs w:val="21"/>
                <w:highlight w:val="none"/>
              </w:rPr>
              <w:t>章“响应文件格式”的要求。</w:t>
            </w:r>
          </w:p>
        </w:tc>
      </w:tr>
      <w:tr w14:paraId="74A3D67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1" w:hRule="atLeast"/>
        </w:trPr>
        <w:tc>
          <w:tcPr>
            <w:tcW w:w="803" w:type="dxa"/>
            <w:vMerge w:val="continue"/>
            <w:tcMar>
              <w:top w:w="28" w:type="dxa"/>
              <w:left w:w="28" w:type="dxa"/>
              <w:bottom w:w="28" w:type="dxa"/>
              <w:right w:w="28" w:type="dxa"/>
            </w:tcMar>
            <w:vAlign w:val="center"/>
          </w:tcPr>
          <w:p w14:paraId="599D1F74">
            <w:pPr>
              <w:jc w:val="center"/>
              <w:rPr>
                <w:rFonts w:ascii="宋体" w:hAnsi="宋体" w:cs="宋体"/>
                <w:color w:val="auto"/>
                <w:sz w:val="21"/>
                <w:szCs w:val="21"/>
                <w:highlight w:val="none"/>
              </w:rPr>
            </w:pPr>
          </w:p>
        </w:tc>
        <w:tc>
          <w:tcPr>
            <w:tcW w:w="850" w:type="dxa"/>
            <w:vMerge w:val="continue"/>
            <w:tcMar>
              <w:top w:w="28" w:type="dxa"/>
              <w:left w:w="28" w:type="dxa"/>
              <w:bottom w:w="28" w:type="dxa"/>
              <w:right w:w="28" w:type="dxa"/>
            </w:tcMar>
            <w:vAlign w:val="center"/>
          </w:tcPr>
          <w:p w14:paraId="2F0FF628">
            <w:pPr>
              <w:jc w:val="center"/>
              <w:rPr>
                <w:rFonts w:ascii="宋体" w:hAnsi="宋体" w:cs="宋体"/>
                <w:color w:val="auto"/>
                <w:sz w:val="21"/>
                <w:szCs w:val="21"/>
                <w:highlight w:val="none"/>
              </w:rPr>
            </w:pPr>
          </w:p>
        </w:tc>
        <w:tc>
          <w:tcPr>
            <w:tcW w:w="2235" w:type="dxa"/>
            <w:tcMar>
              <w:top w:w="28" w:type="dxa"/>
              <w:left w:w="28" w:type="dxa"/>
              <w:bottom w:w="28" w:type="dxa"/>
              <w:right w:w="28" w:type="dxa"/>
            </w:tcMar>
            <w:vAlign w:val="center"/>
          </w:tcPr>
          <w:p w14:paraId="3DB25B57">
            <w:pPr>
              <w:spacing w:before="100" w:beforeAutospacing="1" w:after="100" w:afterAutospacing="1"/>
              <w:jc w:val="center"/>
              <w:rPr>
                <w:rFonts w:hint="eastAsia" w:ascii="宋体" w:hAnsi="宋体" w:eastAsia="宋体" w:cs="宋体"/>
                <w:color w:val="auto"/>
                <w:sz w:val="21"/>
                <w:szCs w:val="21"/>
                <w:highlight w:val="none"/>
                <w:lang w:val="en-US" w:eastAsia="zh-CN" w:bidi="ar-SA"/>
              </w:rPr>
            </w:pPr>
            <w:r>
              <w:rPr>
                <w:rFonts w:hint="eastAsia" w:ascii="宋体" w:hAnsi="宋体" w:cs="宋体"/>
                <w:color w:val="auto"/>
                <w:sz w:val="21"/>
                <w:szCs w:val="21"/>
                <w:highlight w:val="none"/>
              </w:rPr>
              <w:t>报价唯一</w:t>
            </w:r>
          </w:p>
        </w:tc>
        <w:tc>
          <w:tcPr>
            <w:tcW w:w="6122" w:type="dxa"/>
            <w:tcMar>
              <w:top w:w="28" w:type="dxa"/>
              <w:left w:w="28" w:type="dxa"/>
              <w:bottom w:w="28" w:type="dxa"/>
              <w:right w:w="28" w:type="dxa"/>
            </w:tcMar>
            <w:vAlign w:val="center"/>
          </w:tcPr>
          <w:p w14:paraId="6344DA51">
            <w:pPr>
              <w:spacing w:before="100" w:beforeAutospacing="1" w:after="100" w:afterAutospacing="1"/>
              <w:rPr>
                <w:rFonts w:hint="eastAsia" w:ascii="宋体" w:hAnsi="宋体" w:eastAsia="宋体" w:cs="宋体"/>
                <w:color w:val="auto"/>
                <w:sz w:val="21"/>
                <w:szCs w:val="21"/>
                <w:highlight w:val="none"/>
                <w:lang w:val="en-US" w:eastAsia="zh-CN" w:bidi="ar-SA"/>
              </w:rPr>
            </w:pPr>
            <w:r>
              <w:rPr>
                <w:rFonts w:hint="eastAsia" w:ascii="宋体" w:hAnsi="宋体" w:cs="宋体"/>
                <w:color w:val="auto"/>
                <w:sz w:val="21"/>
                <w:szCs w:val="21"/>
                <w:highlight w:val="none"/>
              </w:rPr>
              <w:t>供应商只能有一个磋商报价。</w:t>
            </w:r>
          </w:p>
        </w:tc>
      </w:tr>
      <w:tr w14:paraId="7821F69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1" w:hRule="atLeast"/>
        </w:trPr>
        <w:tc>
          <w:tcPr>
            <w:tcW w:w="803" w:type="dxa"/>
            <w:vMerge w:val="continue"/>
            <w:tcMar>
              <w:top w:w="28" w:type="dxa"/>
              <w:left w:w="28" w:type="dxa"/>
              <w:bottom w:w="28" w:type="dxa"/>
              <w:right w:w="28" w:type="dxa"/>
            </w:tcMar>
            <w:vAlign w:val="center"/>
          </w:tcPr>
          <w:p w14:paraId="4AB546C7">
            <w:pPr>
              <w:jc w:val="center"/>
              <w:rPr>
                <w:rFonts w:ascii="宋体" w:hAnsi="宋体" w:cs="宋体"/>
                <w:color w:val="auto"/>
                <w:sz w:val="21"/>
                <w:szCs w:val="21"/>
                <w:highlight w:val="none"/>
              </w:rPr>
            </w:pPr>
          </w:p>
        </w:tc>
        <w:tc>
          <w:tcPr>
            <w:tcW w:w="850" w:type="dxa"/>
            <w:vMerge w:val="continue"/>
            <w:tcMar>
              <w:top w:w="28" w:type="dxa"/>
              <w:left w:w="28" w:type="dxa"/>
              <w:bottom w:w="28" w:type="dxa"/>
              <w:right w:w="28" w:type="dxa"/>
            </w:tcMar>
            <w:vAlign w:val="center"/>
          </w:tcPr>
          <w:p w14:paraId="2CB2DF8C">
            <w:pPr>
              <w:jc w:val="center"/>
              <w:rPr>
                <w:rFonts w:ascii="宋体" w:hAnsi="宋体" w:cs="宋体"/>
                <w:color w:val="auto"/>
                <w:sz w:val="21"/>
                <w:szCs w:val="21"/>
                <w:highlight w:val="none"/>
              </w:rPr>
            </w:pPr>
          </w:p>
        </w:tc>
        <w:tc>
          <w:tcPr>
            <w:tcW w:w="2235" w:type="dxa"/>
            <w:tcMar>
              <w:top w:w="28" w:type="dxa"/>
              <w:left w:w="28" w:type="dxa"/>
              <w:bottom w:w="28" w:type="dxa"/>
              <w:right w:w="28" w:type="dxa"/>
            </w:tcMar>
            <w:vAlign w:val="center"/>
          </w:tcPr>
          <w:p w14:paraId="585953B6">
            <w:pPr>
              <w:keepNext w:val="0"/>
              <w:keepLines w:val="0"/>
              <w:pageBreakBefore w:val="0"/>
              <w:kinsoku/>
              <w:wordWrap/>
              <w:overflowPunct/>
              <w:topLinePunct w:val="0"/>
              <w:autoSpaceDE/>
              <w:autoSpaceDN/>
              <w:bidi w:val="0"/>
              <w:adjustRightInd/>
              <w:snapToGrid/>
              <w:spacing w:line="400" w:lineRule="exact"/>
              <w:jc w:val="center"/>
              <w:textAlignment w:val="auto"/>
              <w:rPr>
                <w:rFonts w:hint="eastAsia" w:ascii="宋体" w:hAnsi="宋体" w:eastAsia="宋体" w:cs="宋体"/>
                <w:color w:val="auto"/>
                <w:sz w:val="21"/>
                <w:szCs w:val="21"/>
                <w:highlight w:val="none"/>
                <w:lang w:val="en-US" w:eastAsia="zh-CN" w:bidi="ar-SA"/>
              </w:rPr>
            </w:pPr>
            <w:r>
              <w:rPr>
                <w:rFonts w:hint="eastAsia" w:ascii="宋体" w:hAnsi="宋体" w:cs="宋体"/>
                <w:color w:val="auto"/>
                <w:sz w:val="21"/>
                <w:szCs w:val="21"/>
                <w:highlight w:val="none"/>
              </w:rPr>
              <w:t>采购需求</w:t>
            </w:r>
          </w:p>
        </w:tc>
        <w:tc>
          <w:tcPr>
            <w:tcW w:w="6122" w:type="dxa"/>
            <w:tcMar>
              <w:top w:w="28" w:type="dxa"/>
              <w:left w:w="28" w:type="dxa"/>
              <w:bottom w:w="28" w:type="dxa"/>
              <w:right w:w="28" w:type="dxa"/>
            </w:tcMar>
            <w:vAlign w:val="center"/>
          </w:tcPr>
          <w:p w14:paraId="42E0DFF6">
            <w:pPr>
              <w:keepNext w:val="0"/>
              <w:keepLines w:val="0"/>
              <w:pageBreakBefore w:val="0"/>
              <w:widowControl w:val="0"/>
              <w:kinsoku/>
              <w:wordWrap/>
              <w:overflowPunct/>
              <w:topLinePunct w:val="0"/>
              <w:autoSpaceDE/>
              <w:autoSpaceDN/>
              <w:bidi w:val="0"/>
              <w:adjustRightInd/>
              <w:snapToGrid/>
              <w:spacing w:line="240" w:lineRule="auto"/>
              <w:textAlignment w:val="auto"/>
              <w:rPr>
                <w:rFonts w:hint="default" w:ascii="宋体" w:hAnsi="宋体" w:eastAsia="宋体" w:cs="宋体"/>
                <w:b w:val="0"/>
                <w:bCs/>
                <w:color w:val="auto"/>
                <w:sz w:val="21"/>
                <w:szCs w:val="21"/>
                <w:highlight w:val="none"/>
                <w:lang w:val="en-US" w:eastAsia="zh-CN"/>
              </w:rPr>
            </w:pPr>
            <w:r>
              <w:rPr>
                <w:rFonts w:hint="eastAsia" w:ascii="宋体" w:hAnsi="宋体" w:cs="宋体"/>
                <w:color w:val="auto"/>
                <w:sz w:val="21"/>
                <w:szCs w:val="21"/>
                <w:highlight w:val="none"/>
              </w:rPr>
              <w:t>符合第二章“供应商须知”第</w:t>
            </w:r>
            <w:r>
              <w:rPr>
                <w:rFonts w:hint="eastAsia" w:ascii="宋体" w:hAnsi="宋体" w:cs="宋体"/>
                <w:color w:val="auto"/>
                <w:sz w:val="21"/>
                <w:szCs w:val="21"/>
                <w:highlight w:val="none"/>
                <w:lang w:val="en-US" w:eastAsia="zh-CN"/>
              </w:rPr>
              <w:t>3.3</w:t>
            </w:r>
            <w:r>
              <w:rPr>
                <w:rFonts w:hint="eastAsia" w:ascii="宋体" w:hAnsi="宋体" w:cs="宋体"/>
                <w:color w:val="auto"/>
                <w:sz w:val="21"/>
                <w:szCs w:val="21"/>
                <w:highlight w:val="none"/>
              </w:rPr>
              <w:t>项规定。</w:t>
            </w:r>
          </w:p>
        </w:tc>
      </w:tr>
      <w:tr w14:paraId="6AAE72C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1" w:hRule="atLeast"/>
        </w:trPr>
        <w:tc>
          <w:tcPr>
            <w:tcW w:w="803" w:type="dxa"/>
            <w:vMerge w:val="continue"/>
            <w:tcMar>
              <w:top w:w="28" w:type="dxa"/>
              <w:left w:w="28" w:type="dxa"/>
              <w:bottom w:w="28" w:type="dxa"/>
              <w:right w:w="28" w:type="dxa"/>
            </w:tcMar>
            <w:vAlign w:val="center"/>
          </w:tcPr>
          <w:p w14:paraId="6B1A2C23">
            <w:pPr>
              <w:jc w:val="center"/>
              <w:rPr>
                <w:rFonts w:ascii="宋体" w:hAnsi="宋体" w:cs="宋体"/>
                <w:color w:val="auto"/>
                <w:sz w:val="21"/>
                <w:szCs w:val="21"/>
                <w:highlight w:val="none"/>
              </w:rPr>
            </w:pPr>
          </w:p>
        </w:tc>
        <w:tc>
          <w:tcPr>
            <w:tcW w:w="850" w:type="dxa"/>
            <w:vMerge w:val="continue"/>
            <w:tcMar>
              <w:top w:w="28" w:type="dxa"/>
              <w:left w:w="28" w:type="dxa"/>
              <w:bottom w:w="28" w:type="dxa"/>
              <w:right w:w="28" w:type="dxa"/>
            </w:tcMar>
            <w:vAlign w:val="center"/>
          </w:tcPr>
          <w:p w14:paraId="7F2F6EC7">
            <w:pPr>
              <w:jc w:val="center"/>
              <w:rPr>
                <w:rFonts w:ascii="宋体" w:hAnsi="宋体" w:cs="宋体"/>
                <w:color w:val="auto"/>
                <w:sz w:val="21"/>
                <w:szCs w:val="21"/>
                <w:highlight w:val="none"/>
              </w:rPr>
            </w:pPr>
          </w:p>
        </w:tc>
        <w:tc>
          <w:tcPr>
            <w:tcW w:w="2235" w:type="dxa"/>
            <w:tcMar>
              <w:top w:w="28" w:type="dxa"/>
              <w:left w:w="28" w:type="dxa"/>
              <w:bottom w:w="28" w:type="dxa"/>
              <w:right w:w="28" w:type="dxa"/>
            </w:tcMar>
            <w:vAlign w:val="center"/>
          </w:tcPr>
          <w:p w14:paraId="7AE5BB7E">
            <w:pPr>
              <w:spacing w:before="100" w:beforeAutospacing="1" w:after="100" w:afterAutospacing="1"/>
              <w:jc w:val="center"/>
              <w:rPr>
                <w:rFonts w:ascii="宋体" w:hAnsi="宋体" w:cs="宋体"/>
                <w:color w:val="auto"/>
                <w:sz w:val="21"/>
                <w:szCs w:val="21"/>
                <w:highlight w:val="none"/>
              </w:rPr>
            </w:pPr>
            <w:r>
              <w:rPr>
                <w:rFonts w:hint="eastAsia" w:ascii="宋体" w:hAnsi="宋体" w:cs="宋体"/>
                <w:color w:val="auto"/>
                <w:sz w:val="21"/>
                <w:szCs w:val="21"/>
                <w:highlight w:val="none"/>
              </w:rPr>
              <w:t>合同履行期限</w:t>
            </w:r>
          </w:p>
        </w:tc>
        <w:tc>
          <w:tcPr>
            <w:tcW w:w="6122" w:type="dxa"/>
            <w:tcMar>
              <w:top w:w="28" w:type="dxa"/>
              <w:left w:w="28" w:type="dxa"/>
              <w:bottom w:w="28" w:type="dxa"/>
              <w:right w:w="28" w:type="dxa"/>
            </w:tcMar>
            <w:vAlign w:val="center"/>
          </w:tcPr>
          <w:p w14:paraId="15D3A300">
            <w:pPr>
              <w:spacing w:before="100" w:beforeAutospacing="1" w:after="100" w:afterAutospacing="1"/>
              <w:rPr>
                <w:rFonts w:ascii="宋体" w:hAnsi="宋体" w:cs="宋体"/>
                <w:color w:val="auto"/>
                <w:sz w:val="21"/>
                <w:szCs w:val="21"/>
                <w:highlight w:val="none"/>
              </w:rPr>
            </w:pPr>
            <w:r>
              <w:rPr>
                <w:rFonts w:hint="eastAsia" w:ascii="宋体" w:hAnsi="宋体" w:cs="宋体"/>
                <w:color w:val="auto"/>
                <w:sz w:val="21"/>
                <w:szCs w:val="21"/>
                <w:highlight w:val="none"/>
              </w:rPr>
              <w:t>符合第二章“供应商须知”第</w:t>
            </w:r>
            <w:r>
              <w:rPr>
                <w:rFonts w:hint="eastAsia" w:ascii="宋体" w:hAnsi="宋体" w:cs="宋体"/>
                <w:color w:val="auto"/>
                <w:sz w:val="21"/>
                <w:szCs w:val="21"/>
                <w:highlight w:val="none"/>
                <w:lang w:val="en-US" w:eastAsia="zh-CN"/>
              </w:rPr>
              <w:t>3.4</w:t>
            </w:r>
            <w:r>
              <w:rPr>
                <w:rFonts w:hint="eastAsia" w:ascii="宋体" w:hAnsi="宋体" w:cs="宋体"/>
                <w:color w:val="auto"/>
                <w:sz w:val="21"/>
                <w:szCs w:val="21"/>
                <w:highlight w:val="none"/>
              </w:rPr>
              <w:t>项规定。</w:t>
            </w:r>
          </w:p>
        </w:tc>
      </w:tr>
      <w:tr w14:paraId="24CC4FB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8" w:hRule="atLeast"/>
        </w:trPr>
        <w:tc>
          <w:tcPr>
            <w:tcW w:w="803" w:type="dxa"/>
            <w:vMerge w:val="continue"/>
            <w:tcMar>
              <w:top w:w="28" w:type="dxa"/>
              <w:left w:w="28" w:type="dxa"/>
              <w:bottom w:w="28" w:type="dxa"/>
              <w:right w:w="28" w:type="dxa"/>
            </w:tcMar>
            <w:vAlign w:val="center"/>
          </w:tcPr>
          <w:p w14:paraId="63547283">
            <w:pPr>
              <w:jc w:val="center"/>
              <w:rPr>
                <w:rFonts w:ascii="宋体" w:hAnsi="宋体" w:cs="宋体"/>
                <w:color w:val="auto"/>
                <w:sz w:val="21"/>
                <w:szCs w:val="21"/>
                <w:highlight w:val="none"/>
              </w:rPr>
            </w:pPr>
          </w:p>
        </w:tc>
        <w:tc>
          <w:tcPr>
            <w:tcW w:w="850" w:type="dxa"/>
            <w:vMerge w:val="continue"/>
            <w:tcMar>
              <w:top w:w="28" w:type="dxa"/>
              <w:left w:w="28" w:type="dxa"/>
              <w:bottom w:w="28" w:type="dxa"/>
              <w:right w:w="28" w:type="dxa"/>
            </w:tcMar>
            <w:vAlign w:val="center"/>
          </w:tcPr>
          <w:p w14:paraId="53D05528">
            <w:pPr>
              <w:jc w:val="center"/>
              <w:rPr>
                <w:rFonts w:ascii="宋体" w:hAnsi="宋体" w:cs="宋体"/>
                <w:color w:val="auto"/>
                <w:sz w:val="21"/>
                <w:szCs w:val="21"/>
                <w:highlight w:val="none"/>
              </w:rPr>
            </w:pPr>
          </w:p>
        </w:tc>
        <w:tc>
          <w:tcPr>
            <w:tcW w:w="2235" w:type="dxa"/>
            <w:tcMar>
              <w:top w:w="28" w:type="dxa"/>
              <w:left w:w="28" w:type="dxa"/>
              <w:bottom w:w="28" w:type="dxa"/>
              <w:right w:w="28" w:type="dxa"/>
            </w:tcMar>
            <w:vAlign w:val="center"/>
          </w:tcPr>
          <w:p w14:paraId="6788F7E4">
            <w:pPr>
              <w:spacing w:before="100" w:beforeAutospacing="1" w:after="100" w:afterAutospacing="1"/>
              <w:jc w:val="center"/>
              <w:rPr>
                <w:rFonts w:hint="default" w:ascii="宋体" w:hAnsi="宋体" w:eastAsia="宋体" w:cs="宋体"/>
                <w:color w:val="auto"/>
                <w:sz w:val="21"/>
                <w:szCs w:val="21"/>
                <w:highlight w:val="none"/>
                <w:lang w:val="en-US" w:eastAsia="zh-CN"/>
              </w:rPr>
            </w:pPr>
            <w:r>
              <w:rPr>
                <w:rFonts w:hint="eastAsia" w:ascii="宋体" w:hAnsi="宋体" w:cs="宋体"/>
                <w:color w:val="auto"/>
                <w:sz w:val="21"/>
                <w:szCs w:val="21"/>
                <w:highlight w:val="none"/>
                <w:lang w:val="en-US" w:eastAsia="zh-CN"/>
              </w:rPr>
              <w:t>质量要求</w:t>
            </w:r>
          </w:p>
        </w:tc>
        <w:tc>
          <w:tcPr>
            <w:tcW w:w="6122" w:type="dxa"/>
            <w:tcMar>
              <w:top w:w="28" w:type="dxa"/>
              <w:left w:w="28" w:type="dxa"/>
              <w:bottom w:w="28" w:type="dxa"/>
              <w:right w:w="28" w:type="dxa"/>
            </w:tcMar>
            <w:vAlign w:val="center"/>
          </w:tcPr>
          <w:p w14:paraId="1C642939">
            <w:pPr>
              <w:spacing w:before="100" w:beforeAutospacing="1" w:after="100" w:afterAutospacing="1"/>
              <w:rPr>
                <w:rFonts w:hint="eastAsia" w:ascii="宋体" w:hAnsi="宋体" w:cs="宋体"/>
                <w:color w:val="auto"/>
                <w:sz w:val="21"/>
                <w:szCs w:val="21"/>
                <w:highlight w:val="none"/>
              </w:rPr>
            </w:pPr>
            <w:r>
              <w:rPr>
                <w:rFonts w:hint="eastAsia" w:ascii="宋体" w:hAnsi="宋体" w:cs="宋体"/>
                <w:color w:val="auto"/>
                <w:sz w:val="21"/>
                <w:szCs w:val="21"/>
                <w:highlight w:val="none"/>
              </w:rPr>
              <w:t>符合第二章“供应商须知”第</w:t>
            </w:r>
            <w:r>
              <w:rPr>
                <w:rFonts w:hint="eastAsia" w:ascii="宋体" w:hAnsi="宋体" w:cs="宋体"/>
                <w:color w:val="auto"/>
                <w:sz w:val="21"/>
                <w:szCs w:val="21"/>
                <w:highlight w:val="none"/>
                <w:lang w:val="en-US" w:eastAsia="zh-CN"/>
              </w:rPr>
              <w:t>3.5</w:t>
            </w:r>
            <w:r>
              <w:rPr>
                <w:rFonts w:hint="eastAsia" w:ascii="宋体" w:hAnsi="宋体" w:cs="宋体"/>
                <w:color w:val="auto"/>
                <w:sz w:val="21"/>
                <w:szCs w:val="21"/>
                <w:highlight w:val="none"/>
              </w:rPr>
              <w:t>项规定。</w:t>
            </w:r>
          </w:p>
        </w:tc>
      </w:tr>
      <w:tr w14:paraId="4B989A8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70" w:hRule="atLeast"/>
        </w:trPr>
        <w:tc>
          <w:tcPr>
            <w:tcW w:w="803" w:type="dxa"/>
            <w:vMerge w:val="continue"/>
            <w:tcMar>
              <w:top w:w="28" w:type="dxa"/>
              <w:left w:w="28" w:type="dxa"/>
              <w:bottom w:w="28" w:type="dxa"/>
              <w:right w:w="28" w:type="dxa"/>
            </w:tcMar>
            <w:vAlign w:val="center"/>
          </w:tcPr>
          <w:p w14:paraId="2CEBC792">
            <w:pPr>
              <w:jc w:val="center"/>
              <w:rPr>
                <w:rFonts w:ascii="宋体" w:hAnsi="宋体" w:cs="宋体"/>
                <w:color w:val="auto"/>
                <w:sz w:val="21"/>
                <w:szCs w:val="21"/>
                <w:highlight w:val="none"/>
              </w:rPr>
            </w:pPr>
          </w:p>
        </w:tc>
        <w:tc>
          <w:tcPr>
            <w:tcW w:w="850" w:type="dxa"/>
            <w:vMerge w:val="continue"/>
            <w:tcMar>
              <w:top w:w="28" w:type="dxa"/>
              <w:left w:w="28" w:type="dxa"/>
              <w:bottom w:w="28" w:type="dxa"/>
              <w:right w:w="28" w:type="dxa"/>
            </w:tcMar>
            <w:vAlign w:val="center"/>
          </w:tcPr>
          <w:p w14:paraId="7D43C379">
            <w:pPr>
              <w:jc w:val="center"/>
              <w:rPr>
                <w:rFonts w:ascii="宋体" w:hAnsi="宋体" w:cs="宋体"/>
                <w:color w:val="auto"/>
                <w:sz w:val="21"/>
                <w:szCs w:val="21"/>
                <w:highlight w:val="none"/>
              </w:rPr>
            </w:pPr>
          </w:p>
        </w:tc>
        <w:tc>
          <w:tcPr>
            <w:tcW w:w="2235" w:type="dxa"/>
            <w:tcMar>
              <w:top w:w="28" w:type="dxa"/>
              <w:left w:w="28" w:type="dxa"/>
              <w:bottom w:w="28" w:type="dxa"/>
              <w:right w:w="28" w:type="dxa"/>
            </w:tcMar>
            <w:vAlign w:val="center"/>
          </w:tcPr>
          <w:p w14:paraId="01FC6927">
            <w:pPr>
              <w:spacing w:before="100" w:beforeAutospacing="1" w:after="100" w:afterAutospacing="1"/>
              <w:jc w:val="center"/>
              <w:rPr>
                <w:rFonts w:ascii="宋体" w:hAnsi="宋体" w:cs="宋体"/>
                <w:color w:val="auto"/>
                <w:sz w:val="21"/>
                <w:szCs w:val="21"/>
                <w:highlight w:val="none"/>
              </w:rPr>
            </w:pPr>
            <w:r>
              <w:rPr>
                <w:rFonts w:hint="eastAsia" w:ascii="宋体" w:hAnsi="宋体" w:cs="宋体"/>
                <w:color w:val="auto"/>
                <w:sz w:val="21"/>
                <w:szCs w:val="21"/>
                <w:highlight w:val="none"/>
              </w:rPr>
              <w:t>磋商有效期</w:t>
            </w:r>
          </w:p>
        </w:tc>
        <w:tc>
          <w:tcPr>
            <w:tcW w:w="6122" w:type="dxa"/>
            <w:tcMar>
              <w:top w:w="28" w:type="dxa"/>
              <w:left w:w="28" w:type="dxa"/>
              <w:bottom w:w="28" w:type="dxa"/>
              <w:right w:w="28" w:type="dxa"/>
            </w:tcMar>
            <w:vAlign w:val="center"/>
          </w:tcPr>
          <w:p w14:paraId="42D8DD6D">
            <w:pPr>
              <w:spacing w:before="100" w:beforeAutospacing="1" w:after="100" w:afterAutospacing="1"/>
              <w:rPr>
                <w:rFonts w:ascii="宋体" w:hAnsi="宋体" w:cs="宋体"/>
                <w:color w:val="auto"/>
                <w:sz w:val="21"/>
                <w:szCs w:val="21"/>
                <w:highlight w:val="none"/>
              </w:rPr>
            </w:pPr>
            <w:r>
              <w:rPr>
                <w:rFonts w:hint="eastAsia" w:ascii="宋体" w:hAnsi="宋体" w:cs="宋体"/>
                <w:color w:val="auto"/>
                <w:sz w:val="21"/>
                <w:szCs w:val="21"/>
                <w:highlight w:val="none"/>
              </w:rPr>
              <w:t>符合第二章“供应商须知”第</w:t>
            </w:r>
            <w:r>
              <w:rPr>
                <w:rFonts w:hint="eastAsia" w:ascii="宋体" w:hAnsi="宋体" w:cs="宋体"/>
                <w:color w:val="auto"/>
                <w:sz w:val="21"/>
                <w:szCs w:val="21"/>
                <w:highlight w:val="none"/>
                <w:lang w:val="en-US" w:eastAsia="zh-CN"/>
              </w:rPr>
              <w:t>13</w:t>
            </w:r>
            <w:r>
              <w:rPr>
                <w:rFonts w:hint="eastAsia" w:ascii="宋体" w:hAnsi="宋体" w:cs="宋体"/>
                <w:color w:val="auto"/>
                <w:sz w:val="21"/>
                <w:szCs w:val="21"/>
                <w:highlight w:val="none"/>
              </w:rPr>
              <w:t>.1项规定。</w:t>
            </w:r>
          </w:p>
        </w:tc>
      </w:tr>
      <w:tr w14:paraId="5ACCD66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35" w:hRule="atLeast"/>
        </w:trPr>
        <w:tc>
          <w:tcPr>
            <w:tcW w:w="803" w:type="dxa"/>
            <w:vMerge w:val="continue"/>
            <w:tcMar>
              <w:top w:w="28" w:type="dxa"/>
              <w:left w:w="28" w:type="dxa"/>
              <w:bottom w:w="28" w:type="dxa"/>
              <w:right w:w="28" w:type="dxa"/>
            </w:tcMar>
            <w:vAlign w:val="center"/>
          </w:tcPr>
          <w:p w14:paraId="0A03BB36">
            <w:pPr>
              <w:jc w:val="center"/>
              <w:rPr>
                <w:rFonts w:ascii="宋体" w:hAnsi="宋体" w:cs="宋体"/>
                <w:color w:val="auto"/>
                <w:sz w:val="21"/>
                <w:szCs w:val="21"/>
                <w:highlight w:val="none"/>
              </w:rPr>
            </w:pPr>
          </w:p>
        </w:tc>
        <w:tc>
          <w:tcPr>
            <w:tcW w:w="850" w:type="dxa"/>
            <w:vMerge w:val="continue"/>
            <w:tcMar>
              <w:top w:w="28" w:type="dxa"/>
              <w:left w:w="28" w:type="dxa"/>
              <w:bottom w:w="28" w:type="dxa"/>
              <w:right w:w="28" w:type="dxa"/>
            </w:tcMar>
            <w:vAlign w:val="center"/>
          </w:tcPr>
          <w:p w14:paraId="36CC5949">
            <w:pPr>
              <w:jc w:val="center"/>
              <w:rPr>
                <w:rFonts w:ascii="宋体" w:hAnsi="宋体" w:cs="宋体"/>
                <w:color w:val="auto"/>
                <w:sz w:val="21"/>
                <w:szCs w:val="21"/>
                <w:highlight w:val="none"/>
              </w:rPr>
            </w:pPr>
          </w:p>
        </w:tc>
        <w:tc>
          <w:tcPr>
            <w:tcW w:w="2235" w:type="dxa"/>
            <w:tcMar>
              <w:top w:w="28" w:type="dxa"/>
              <w:left w:w="28" w:type="dxa"/>
              <w:bottom w:w="28" w:type="dxa"/>
              <w:right w:w="28" w:type="dxa"/>
            </w:tcMar>
            <w:vAlign w:val="center"/>
          </w:tcPr>
          <w:p w14:paraId="5A9C859E">
            <w:pPr>
              <w:keepNext w:val="0"/>
              <w:keepLines w:val="0"/>
              <w:pageBreakBefore w:val="0"/>
              <w:widowControl w:val="0"/>
              <w:kinsoku/>
              <w:wordWrap/>
              <w:overflowPunct/>
              <w:topLinePunct w:val="0"/>
              <w:autoSpaceDE/>
              <w:autoSpaceDN/>
              <w:bidi w:val="0"/>
              <w:adjustRightInd/>
              <w:snapToGrid/>
              <w:spacing w:before="100" w:beforeAutospacing="1" w:after="100" w:afterAutospacing="1"/>
              <w:ind w:firstLine="0" w:firstLineChars="0"/>
              <w:jc w:val="center"/>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磋商保证金</w:t>
            </w:r>
          </w:p>
        </w:tc>
        <w:tc>
          <w:tcPr>
            <w:tcW w:w="6122" w:type="dxa"/>
            <w:tcMar>
              <w:top w:w="28" w:type="dxa"/>
              <w:left w:w="28" w:type="dxa"/>
              <w:bottom w:w="28" w:type="dxa"/>
              <w:right w:w="28" w:type="dxa"/>
            </w:tcMar>
            <w:vAlign w:val="center"/>
          </w:tcPr>
          <w:p w14:paraId="4800A6A2">
            <w:pPr>
              <w:spacing w:before="100" w:beforeAutospacing="1" w:after="100" w:afterAutospacing="1"/>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符合第二章“供应商须知”第15.1项规定。</w:t>
            </w:r>
          </w:p>
        </w:tc>
      </w:tr>
      <w:tr w14:paraId="6C7B6D2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326" w:hRule="atLeast"/>
        </w:trPr>
        <w:tc>
          <w:tcPr>
            <w:tcW w:w="803" w:type="dxa"/>
            <w:vMerge w:val="continue"/>
            <w:tcMar>
              <w:top w:w="28" w:type="dxa"/>
              <w:left w:w="28" w:type="dxa"/>
              <w:bottom w:w="28" w:type="dxa"/>
              <w:right w:w="28" w:type="dxa"/>
            </w:tcMar>
            <w:vAlign w:val="center"/>
          </w:tcPr>
          <w:p w14:paraId="27C4052F">
            <w:pPr>
              <w:jc w:val="center"/>
              <w:rPr>
                <w:rFonts w:ascii="宋体" w:hAnsi="宋体" w:cs="宋体"/>
                <w:color w:val="auto"/>
                <w:sz w:val="21"/>
                <w:szCs w:val="21"/>
                <w:highlight w:val="none"/>
              </w:rPr>
            </w:pPr>
          </w:p>
        </w:tc>
        <w:tc>
          <w:tcPr>
            <w:tcW w:w="850" w:type="dxa"/>
            <w:vMerge w:val="continue"/>
            <w:tcMar>
              <w:top w:w="28" w:type="dxa"/>
              <w:left w:w="28" w:type="dxa"/>
              <w:bottom w:w="28" w:type="dxa"/>
              <w:right w:w="28" w:type="dxa"/>
            </w:tcMar>
            <w:vAlign w:val="center"/>
          </w:tcPr>
          <w:p w14:paraId="143EDD87">
            <w:pPr>
              <w:jc w:val="center"/>
              <w:rPr>
                <w:rFonts w:ascii="宋体" w:hAnsi="宋体" w:cs="宋体"/>
                <w:color w:val="auto"/>
                <w:sz w:val="21"/>
                <w:szCs w:val="21"/>
                <w:highlight w:val="none"/>
              </w:rPr>
            </w:pPr>
          </w:p>
        </w:tc>
        <w:tc>
          <w:tcPr>
            <w:tcW w:w="2235" w:type="dxa"/>
            <w:tcMar>
              <w:top w:w="28" w:type="dxa"/>
              <w:left w:w="28" w:type="dxa"/>
              <w:bottom w:w="28" w:type="dxa"/>
              <w:right w:w="28" w:type="dxa"/>
            </w:tcMar>
            <w:vAlign w:val="center"/>
          </w:tcPr>
          <w:p w14:paraId="50251CCF">
            <w:pPr>
              <w:keepNext w:val="0"/>
              <w:keepLines w:val="0"/>
              <w:pageBreakBefore w:val="0"/>
              <w:widowControl w:val="0"/>
              <w:kinsoku/>
              <w:wordWrap/>
              <w:overflowPunct/>
              <w:topLinePunct w:val="0"/>
              <w:autoSpaceDE/>
              <w:autoSpaceDN/>
              <w:bidi w:val="0"/>
              <w:adjustRightInd/>
              <w:snapToGrid/>
              <w:spacing w:before="100" w:beforeAutospacing="1" w:after="100" w:afterAutospacing="1"/>
              <w:ind w:firstLine="0" w:firstLineChars="0"/>
              <w:jc w:val="center"/>
              <w:textAlignment w:val="auto"/>
              <w:rPr>
                <w:rFonts w:ascii="宋体" w:hAnsi="宋体" w:cs="宋体"/>
                <w:color w:val="auto"/>
                <w:sz w:val="21"/>
                <w:szCs w:val="21"/>
                <w:highlight w:val="none"/>
              </w:rPr>
            </w:pPr>
            <w:r>
              <w:rPr>
                <w:rFonts w:hint="eastAsia" w:ascii="宋体" w:hAnsi="宋体" w:eastAsia="宋体" w:cs="宋体"/>
                <w:color w:val="auto"/>
                <w:sz w:val="21"/>
                <w:szCs w:val="21"/>
                <w:highlight w:val="none"/>
              </w:rPr>
              <w:t>其他实质性要求</w:t>
            </w:r>
          </w:p>
        </w:tc>
        <w:tc>
          <w:tcPr>
            <w:tcW w:w="6122" w:type="dxa"/>
            <w:tcMar>
              <w:top w:w="28" w:type="dxa"/>
              <w:left w:w="28" w:type="dxa"/>
              <w:bottom w:w="28" w:type="dxa"/>
              <w:right w:w="28" w:type="dxa"/>
            </w:tcMar>
            <w:vAlign w:val="center"/>
          </w:tcPr>
          <w:p w14:paraId="29C710B8">
            <w:pPr>
              <w:keepNext w:val="0"/>
              <w:keepLines w:val="0"/>
              <w:pageBreakBefore w:val="0"/>
              <w:widowControl w:val="0"/>
              <w:kinsoku/>
              <w:wordWrap/>
              <w:overflowPunct/>
              <w:topLinePunct w:val="0"/>
              <w:autoSpaceDE/>
              <w:autoSpaceDN/>
              <w:bidi w:val="0"/>
              <w:adjustRightInd/>
              <w:snapToGrid/>
              <w:spacing w:beforeAutospacing="0" w:afterAutospacing="0"/>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1）供应商须根据造价公司正式出具的《工程量清单》填报磋商报价，供应商所报的磋商报价不得超过《工程量清单》中招标控制价</w:t>
            </w:r>
            <w:r>
              <w:rPr>
                <w:rFonts w:hint="eastAsia" w:ascii="宋体" w:hAnsi="宋体" w:cs="宋体"/>
                <w:color w:val="auto"/>
                <w:sz w:val="21"/>
                <w:szCs w:val="21"/>
                <w:highlight w:val="none"/>
                <w:lang w:val="en-US" w:eastAsia="zh-CN"/>
              </w:rPr>
              <w:t>总价</w:t>
            </w:r>
            <w:r>
              <w:rPr>
                <w:rFonts w:hint="eastAsia" w:ascii="宋体" w:hAnsi="宋体" w:eastAsia="宋体" w:cs="宋体"/>
                <w:color w:val="auto"/>
                <w:sz w:val="21"/>
                <w:szCs w:val="21"/>
                <w:highlight w:val="none"/>
              </w:rPr>
              <w:t>。</w:t>
            </w:r>
          </w:p>
          <w:p w14:paraId="00D55500">
            <w:pPr>
              <w:widowControl w:val="0"/>
              <w:spacing w:after="0" w:line="240" w:lineRule="auto"/>
              <w:rPr>
                <w:rFonts w:ascii="宋体" w:hAnsi="宋体" w:cs="宋体"/>
                <w:b w:val="0"/>
                <w:bCs w:val="0"/>
                <w:color w:val="auto"/>
                <w:sz w:val="21"/>
                <w:szCs w:val="21"/>
                <w:lang w:eastAsia="zh-CN"/>
              </w:rPr>
            </w:pPr>
            <w:r>
              <w:rPr>
                <w:rFonts w:hint="eastAsia" w:ascii="宋体" w:hAnsi="宋体" w:cs="宋体"/>
                <w:b w:val="0"/>
                <w:bCs w:val="0"/>
                <w:color w:val="auto"/>
                <w:sz w:val="21"/>
                <w:szCs w:val="21"/>
                <w:lang w:val="en-US" w:eastAsia="zh-CN"/>
              </w:rPr>
              <w:t>2</w:t>
            </w:r>
            <w:r>
              <w:rPr>
                <w:rFonts w:hint="eastAsia" w:ascii="宋体" w:hAnsi="宋体" w:cs="宋体"/>
                <w:b w:val="0"/>
                <w:bCs w:val="0"/>
                <w:color w:val="auto"/>
                <w:sz w:val="21"/>
                <w:szCs w:val="21"/>
                <w:lang w:eastAsia="zh-CN"/>
              </w:rPr>
              <w:t>）</w:t>
            </w:r>
            <w:r>
              <w:rPr>
                <w:rFonts w:hint="eastAsia" w:ascii="宋体" w:hAnsi="宋体" w:cs="宋体"/>
                <w:b w:val="0"/>
                <w:bCs w:val="0"/>
                <w:color w:val="auto"/>
                <w:sz w:val="21"/>
                <w:szCs w:val="21"/>
                <w:lang w:eastAsia="zh-CN" w:bidi="ar"/>
              </w:rPr>
              <w:t>竞争性</w:t>
            </w:r>
            <w:r>
              <w:rPr>
                <w:rFonts w:hint="eastAsia" w:ascii="宋体" w:hAnsi="宋体" w:cs="宋体"/>
                <w:b w:val="0"/>
                <w:bCs w:val="0"/>
                <w:color w:val="auto"/>
                <w:sz w:val="21"/>
                <w:szCs w:val="21"/>
                <w:lang w:val="en-US" w:eastAsia="zh-CN" w:bidi="ar"/>
              </w:rPr>
              <w:t>磋商</w:t>
            </w:r>
            <w:r>
              <w:rPr>
                <w:rFonts w:hint="eastAsia" w:ascii="宋体" w:hAnsi="宋体" w:cs="宋体"/>
                <w:b w:val="0"/>
                <w:bCs w:val="0"/>
                <w:color w:val="auto"/>
                <w:sz w:val="21"/>
                <w:szCs w:val="21"/>
                <w:lang w:eastAsia="zh-CN" w:bidi="ar"/>
              </w:rPr>
              <w:t>文件中</w:t>
            </w:r>
            <w:r>
              <w:rPr>
                <w:rFonts w:hint="eastAsia" w:ascii="宋体" w:hAnsi="宋体" w:cs="宋体"/>
                <w:b w:val="0"/>
                <w:bCs w:val="0"/>
                <w:color w:val="auto"/>
                <w:sz w:val="21"/>
                <w:szCs w:val="21"/>
                <w:lang w:eastAsia="zh-CN"/>
              </w:rPr>
              <w:t>响应文件格式部分标注▲号的，供应商必须按</w:t>
            </w:r>
            <w:r>
              <w:rPr>
                <w:rFonts w:hint="eastAsia" w:ascii="宋体" w:hAnsi="宋体" w:cs="宋体"/>
                <w:b w:val="0"/>
                <w:bCs w:val="0"/>
                <w:color w:val="auto"/>
                <w:sz w:val="21"/>
                <w:szCs w:val="21"/>
                <w:lang w:eastAsia="zh-CN" w:bidi="ar"/>
              </w:rPr>
              <w:t>竞争性</w:t>
            </w:r>
            <w:r>
              <w:rPr>
                <w:rFonts w:hint="eastAsia" w:ascii="宋体" w:hAnsi="宋体" w:cs="宋体"/>
                <w:b w:val="0"/>
                <w:bCs w:val="0"/>
                <w:color w:val="auto"/>
                <w:sz w:val="21"/>
                <w:szCs w:val="21"/>
                <w:lang w:val="en-US" w:eastAsia="zh-CN" w:bidi="ar"/>
              </w:rPr>
              <w:t>磋商</w:t>
            </w:r>
            <w:r>
              <w:rPr>
                <w:rFonts w:hint="eastAsia" w:ascii="宋体" w:hAnsi="宋体" w:cs="宋体"/>
                <w:b w:val="0"/>
                <w:bCs w:val="0"/>
                <w:color w:val="auto"/>
                <w:sz w:val="21"/>
                <w:szCs w:val="21"/>
                <w:lang w:eastAsia="zh-CN" w:bidi="ar"/>
              </w:rPr>
              <w:t>文件</w:t>
            </w:r>
            <w:r>
              <w:rPr>
                <w:rFonts w:hint="eastAsia" w:ascii="宋体" w:hAnsi="宋体" w:cs="宋体"/>
                <w:b w:val="0"/>
                <w:bCs w:val="0"/>
                <w:color w:val="auto"/>
                <w:sz w:val="21"/>
                <w:szCs w:val="21"/>
                <w:lang w:eastAsia="zh-CN"/>
              </w:rPr>
              <w:t>要求填写，</w:t>
            </w:r>
            <w:r>
              <w:rPr>
                <w:rFonts w:hint="eastAsia" w:ascii="宋体" w:hAnsi="宋体" w:cs="宋体"/>
                <w:b w:val="0"/>
                <w:bCs w:val="0"/>
                <w:color w:val="auto"/>
                <w:sz w:val="21"/>
                <w:szCs w:val="21"/>
                <w:lang w:eastAsia="zh-CN" w:bidi="ar"/>
              </w:rPr>
              <w:t>否则其响应文件按无效响应处理</w:t>
            </w:r>
            <w:r>
              <w:rPr>
                <w:rFonts w:hint="eastAsia" w:ascii="宋体" w:hAnsi="宋体" w:cs="宋体"/>
                <w:b w:val="0"/>
                <w:bCs w:val="0"/>
                <w:color w:val="auto"/>
                <w:sz w:val="21"/>
                <w:szCs w:val="21"/>
                <w:lang w:eastAsia="zh-CN"/>
              </w:rPr>
              <w:t>；</w:t>
            </w:r>
          </w:p>
          <w:p w14:paraId="602EBA58">
            <w:pPr>
              <w:keepNext w:val="0"/>
              <w:keepLines w:val="0"/>
              <w:pageBreakBefore w:val="0"/>
              <w:widowControl w:val="0"/>
              <w:kinsoku/>
              <w:wordWrap/>
              <w:overflowPunct/>
              <w:topLinePunct w:val="0"/>
              <w:autoSpaceDE/>
              <w:autoSpaceDN/>
              <w:bidi w:val="0"/>
              <w:adjustRightInd/>
              <w:snapToGrid/>
              <w:spacing w:beforeAutospacing="0" w:afterAutospacing="0"/>
              <w:textAlignment w:val="auto"/>
              <w:rPr>
                <w:rFonts w:ascii="宋体" w:hAnsi="宋体" w:cs="宋体"/>
                <w:color w:val="auto"/>
                <w:sz w:val="21"/>
                <w:szCs w:val="21"/>
                <w:highlight w:val="none"/>
              </w:rPr>
            </w:pPr>
            <w:r>
              <w:rPr>
                <w:rFonts w:hint="eastAsia" w:ascii="宋体" w:hAnsi="宋体" w:cs="宋体"/>
                <w:color w:val="auto"/>
                <w:sz w:val="21"/>
                <w:szCs w:val="21"/>
                <w:highlight w:val="none"/>
                <w:lang w:val="en-US" w:eastAsia="zh-CN"/>
              </w:rPr>
              <w:t>3</w:t>
            </w:r>
            <w:r>
              <w:rPr>
                <w:rFonts w:hint="eastAsia" w:ascii="宋体" w:hAnsi="宋体" w:eastAsia="宋体" w:cs="宋体"/>
                <w:color w:val="auto"/>
                <w:sz w:val="21"/>
                <w:szCs w:val="21"/>
                <w:highlight w:val="none"/>
              </w:rPr>
              <w:t>）响应文件中没有采购人不能接受的附加条件的或法律法规规定的其他响应文件无效的情形。</w:t>
            </w:r>
          </w:p>
        </w:tc>
      </w:tr>
      <w:tr w14:paraId="11898AA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70" w:hRule="atLeast"/>
        </w:trPr>
        <w:tc>
          <w:tcPr>
            <w:tcW w:w="803" w:type="dxa"/>
            <w:vMerge w:val="continue"/>
            <w:tcMar>
              <w:top w:w="28" w:type="dxa"/>
              <w:left w:w="28" w:type="dxa"/>
              <w:bottom w:w="28" w:type="dxa"/>
              <w:right w:w="28" w:type="dxa"/>
            </w:tcMar>
            <w:vAlign w:val="center"/>
          </w:tcPr>
          <w:p w14:paraId="5EA8CD1D">
            <w:pPr>
              <w:jc w:val="center"/>
              <w:rPr>
                <w:rFonts w:ascii="宋体" w:hAnsi="宋体" w:cs="宋体"/>
                <w:color w:val="auto"/>
                <w:sz w:val="21"/>
                <w:szCs w:val="21"/>
                <w:highlight w:val="none"/>
              </w:rPr>
            </w:pPr>
          </w:p>
        </w:tc>
        <w:tc>
          <w:tcPr>
            <w:tcW w:w="850" w:type="dxa"/>
            <w:vMerge w:val="continue"/>
            <w:tcMar>
              <w:top w:w="28" w:type="dxa"/>
              <w:left w:w="28" w:type="dxa"/>
              <w:bottom w:w="28" w:type="dxa"/>
              <w:right w:w="28" w:type="dxa"/>
            </w:tcMar>
            <w:vAlign w:val="center"/>
          </w:tcPr>
          <w:p w14:paraId="18281711">
            <w:pPr>
              <w:jc w:val="center"/>
              <w:rPr>
                <w:rFonts w:ascii="宋体" w:hAnsi="宋体" w:cs="宋体"/>
                <w:color w:val="auto"/>
                <w:sz w:val="21"/>
                <w:szCs w:val="21"/>
                <w:highlight w:val="none"/>
              </w:rPr>
            </w:pPr>
          </w:p>
        </w:tc>
        <w:tc>
          <w:tcPr>
            <w:tcW w:w="2235" w:type="dxa"/>
            <w:tcMar>
              <w:top w:w="28" w:type="dxa"/>
              <w:left w:w="28" w:type="dxa"/>
              <w:bottom w:w="28" w:type="dxa"/>
              <w:right w:w="28" w:type="dxa"/>
            </w:tcMar>
            <w:vAlign w:val="center"/>
          </w:tcPr>
          <w:p w14:paraId="0E2E46C4">
            <w:pPr>
              <w:spacing w:before="100" w:beforeAutospacing="1" w:after="100" w:afterAutospacing="1"/>
              <w:jc w:val="center"/>
              <w:rPr>
                <w:rFonts w:ascii="宋体" w:hAnsi="宋体" w:cs="宋体"/>
                <w:color w:val="auto"/>
                <w:sz w:val="21"/>
                <w:szCs w:val="21"/>
                <w:highlight w:val="none"/>
              </w:rPr>
            </w:pPr>
            <w:r>
              <w:rPr>
                <w:rFonts w:hint="eastAsia" w:ascii="宋体" w:hAnsi="宋体" w:cs="宋体"/>
                <w:color w:val="auto"/>
                <w:sz w:val="21"/>
                <w:szCs w:val="21"/>
                <w:highlight w:val="none"/>
              </w:rPr>
              <w:t>否决磋商条件</w:t>
            </w:r>
          </w:p>
        </w:tc>
        <w:tc>
          <w:tcPr>
            <w:tcW w:w="6122" w:type="dxa"/>
            <w:tcMar>
              <w:top w:w="28" w:type="dxa"/>
              <w:left w:w="28" w:type="dxa"/>
              <w:bottom w:w="28" w:type="dxa"/>
              <w:right w:w="28" w:type="dxa"/>
            </w:tcMar>
            <w:vAlign w:val="center"/>
          </w:tcPr>
          <w:p w14:paraId="49A54B31">
            <w:pPr>
              <w:spacing w:before="100" w:beforeAutospacing="1" w:after="100" w:afterAutospacing="1"/>
              <w:rPr>
                <w:rFonts w:ascii="宋体" w:hAnsi="宋体" w:cs="宋体"/>
                <w:color w:val="auto"/>
                <w:sz w:val="21"/>
                <w:szCs w:val="21"/>
                <w:highlight w:val="none"/>
              </w:rPr>
            </w:pPr>
            <w:r>
              <w:rPr>
                <w:rFonts w:hint="eastAsia" w:ascii="宋体" w:hAnsi="宋体" w:cs="宋体"/>
                <w:color w:val="auto"/>
                <w:sz w:val="21"/>
                <w:szCs w:val="21"/>
                <w:highlight w:val="none"/>
              </w:rPr>
              <w:t>符合第</w:t>
            </w:r>
            <w:r>
              <w:rPr>
                <w:rFonts w:hint="eastAsia" w:ascii="宋体" w:hAnsi="宋体" w:cs="宋体"/>
                <w:color w:val="auto"/>
                <w:sz w:val="21"/>
                <w:szCs w:val="21"/>
                <w:highlight w:val="none"/>
                <w:lang w:val="en-US" w:eastAsia="zh-CN"/>
              </w:rPr>
              <w:t>六</w:t>
            </w:r>
            <w:r>
              <w:rPr>
                <w:rFonts w:hint="eastAsia" w:ascii="宋体" w:hAnsi="宋体" w:cs="宋体"/>
                <w:color w:val="auto"/>
                <w:sz w:val="21"/>
                <w:szCs w:val="21"/>
                <w:highlight w:val="none"/>
              </w:rPr>
              <w:t>章“评审办法”附件B的规定。</w:t>
            </w:r>
          </w:p>
        </w:tc>
      </w:tr>
      <w:tr w14:paraId="58C4FAC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16" w:hRule="atLeast"/>
        </w:trPr>
        <w:tc>
          <w:tcPr>
            <w:tcW w:w="1653" w:type="dxa"/>
            <w:gridSpan w:val="2"/>
            <w:tcMar>
              <w:top w:w="28" w:type="dxa"/>
              <w:left w:w="28" w:type="dxa"/>
              <w:bottom w:w="28" w:type="dxa"/>
              <w:right w:w="28" w:type="dxa"/>
            </w:tcMar>
            <w:vAlign w:val="center"/>
          </w:tcPr>
          <w:p w14:paraId="18197F22">
            <w:pPr>
              <w:adjustRightInd w:val="0"/>
              <w:snapToGrid w:val="0"/>
              <w:jc w:val="center"/>
              <w:rPr>
                <w:rFonts w:ascii="宋体" w:hAnsi="宋体" w:cs="宋体"/>
                <w:color w:val="auto"/>
                <w:sz w:val="21"/>
                <w:szCs w:val="21"/>
                <w:highlight w:val="none"/>
              </w:rPr>
            </w:pPr>
            <w:r>
              <w:rPr>
                <w:rFonts w:hint="eastAsia" w:ascii="宋体" w:hAnsi="宋体" w:cs="宋体"/>
                <w:b/>
                <w:color w:val="auto"/>
                <w:sz w:val="21"/>
                <w:szCs w:val="21"/>
                <w:highlight w:val="none"/>
              </w:rPr>
              <w:t>条款号</w:t>
            </w:r>
          </w:p>
        </w:tc>
        <w:tc>
          <w:tcPr>
            <w:tcW w:w="2235" w:type="dxa"/>
            <w:tcMar>
              <w:top w:w="28" w:type="dxa"/>
              <w:left w:w="28" w:type="dxa"/>
              <w:bottom w:w="28" w:type="dxa"/>
              <w:right w:w="28" w:type="dxa"/>
            </w:tcMar>
            <w:vAlign w:val="center"/>
          </w:tcPr>
          <w:p w14:paraId="09ED1202">
            <w:pPr>
              <w:adjustRightInd w:val="0"/>
              <w:snapToGrid w:val="0"/>
              <w:jc w:val="center"/>
              <w:rPr>
                <w:rFonts w:ascii="宋体" w:hAnsi="宋体" w:cs="宋体"/>
                <w:color w:val="auto"/>
                <w:sz w:val="21"/>
                <w:szCs w:val="21"/>
                <w:highlight w:val="none"/>
              </w:rPr>
            </w:pPr>
            <w:r>
              <w:rPr>
                <w:rFonts w:hint="eastAsia" w:ascii="宋体" w:hAnsi="宋体" w:cs="宋体"/>
                <w:b/>
                <w:color w:val="auto"/>
                <w:sz w:val="21"/>
                <w:szCs w:val="21"/>
                <w:highlight w:val="none"/>
              </w:rPr>
              <w:t>条款内容</w:t>
            </w:r>
          </w:p>
        </w:tc>
        <w:tc>
          <w:tcPr>
            <w:tcW w:w="6122" w:type="dxa"/>
            <w:tcMar>
              <w:top w:w="28" w:type="dxa"/>
              <w:left w:w="28" w:type="dxa"/>
              <w:bottom w:w="28" w:type="dxa"/>
              <w:right w:w="28" w:type="dxa"/>
            </w:tcMar>
            <w:vAlign w:val="center"/>
          </w:tcPr>
          <w:p w14:paraId="5D0588A0">
            <w:pPr>
              <w:adjustRightInd w:val="0"/>
              <w:snapToGrid w:val="0"/>
              <w:jc w:val="center"/>
              <w:rPr>
                <w:rFonts w:ascii="宋体" w:hAnsi="宋体" w:cs="宋体"/>
                <w:color w:val="auto"/>
                <w:sz w:val="21"/>
                <w:szCs w:val="21"/>
                <w:highlight w:val="none"/>
              </w:rPr>
            </w:pPr>
            <w:r>
              <w:rPr>
                <w:rFonts w:hint="eastAsia" w:ascii="宋体" w:hAnsi="宋体" w:cs="宋体"/>
                <w:b/>
                <w:color w:val="auto"/>
                <w:sz w:val="21"/>
                <w:szCs w:val="21"/>
                <w:highlight w:val="none"/>
              </w:rPr>
              <w:t>编列内容</w:t>
            </w:r>
          </w:p>
        </w:tc>
      </w:tr>
      <w:tr w14:paraId="7C6405B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trPr>
        <w:tc>
          <w:tcPr>
            <w:tcW w:w="1653" w:type="dxa"/>
            <w:gridSpan w:val="2"/>
            <w:tcMar>
              <w:top w:w="28" w:type="dxa"/>
              <w:left w:w="28" w:type="dxa"/>
              <w:bottom w:w="28" w:type="dxa"/>
              <w:right w:w="28" w:type="dxa"/>
            </w:tcMar>
            <w:vAlign w:val="center"/>
          </w:tcPr>
          <w:p w14:paraId="441A1CCB">
            <w:pPr>
              <w:adjustRightInd w:val="0"/>
              <w:snapToGrid w:val="0"/>
              <w:jc w:val="center"/>
              <w:rPr>
                <w:rFonts w:ascii="宋体" w:hAnsi="宋体" w:cs="宋体"/>
                <w:color w:val="auto"/>
                <w:sz w:val="21"/>
                <w:szCs w:val="21"/>
                <w:highlight w:val="none"/>
              </w:rPr>
            </w:pPr>
            <w:r>
              <w:rPr>
                <w:rFonts w:hint="eastAsia" w:ascii="宋体" w:hAnsi="宋体" w:cs="宋体"/>
                <w:color w:val="auto"/>
                <w:sz w:val="21"/>
                <w:szCs w:val="21"/>
                <w:highlight w:val="none"/>
              </w:rPr>
              <w:t>2.2.1</w:t>
            </w:r>
          </w:p>
        </w:tc>
        <w:tc>
          <w:tcPr>
            <w:tcW w:w="2235" w:type="dxa"/>
            <w:tcMar>
              <w:top w:w="28" w:type="dxa"/>
              <w:left w:w="28" w:type="dxa"/>
              <w:bottom w:w="28" w:type="dxa"/>
              <w:right w:w="28" w:type="dxa"/>
            </w:tcMar>
            <w:vAlign w:val="center"/>
          </w:tcPr>
          <w:p w14:paraId="1103C289">
            <w:pPr>
              <w:spacing w:before="100" w:beforeAutospacing="1" w:after="100" w:afterAutospacing="1"/>
              <w:ind w:firstLine="420" w:firstLineChars="200"/>
              <w:rPr>
                <w:rFonts w:ascii="宋体" w:hAnsi="宋体" w:cs="宋体"/>
                <w:b/>
                <w:color w:val="auto"/>
                <w:sz w:val="21"/>
                <w:szCs w:val="21"/>
                <w:highlight w:val="none"/>
              </w:rPr>
            </w:pPr>
            <w:r>
              <w:rPr>
                <w:rFonts w:hint="eastAsia" w:ascii="宋体" w:hAnsi="宋体" w:cs="宋体"/>
                <w:color w:val="auto"/>
                <w:sz w:val="21"/>
                <w:szCs w:val="21"/>
                <w:highlight w:val="none"/>
              </w:rPr>
              <w:t>评分办法及分值</w:t>
            </w:r>
          </w:p>
        </w:tc>
        <w:tc>
          <w:tcPr>
            <w:tcW w:w="6122" w:type="dxa"/>
            <w:tcMar>
              <w:top w:w="28" w:type="dxa"/>
              <w:left w:w="28" w:type="dxa"/>
              <w:bottom w:w="28" w:type="dxa"/>
              <w:right w:w="28" w:type="dxa"/>
            </w:tcMar>
            <w:vAlign w:val="center"/>
          </w:tcPr>
          <w:p w14:paraId="4ED19591">
            <w:pPr>
              <w:pStyle w:val="216"/>
              <w:contextualSpacing/>
              <w:jc w:val="left"/>
              <w:rPr>
                <w:rFonts w:ascii="宋体" w:hAnsi="宋体" w:cs="宋体"/>
                <w:color w:val="auto"/>
                <w:sz w:val="21"/>
                <w:szCs w:val="21"/>
                <w:highlight w:val="none"/>
              </w:rPr>
            </w:pPr>
            <w:r>
              <w:rPr>
                <w:rFonts w:hint="eastAsia" w:ascii="宋体" w:hAnsi="宋体" w:cs="宋体"/>
                <w:color w:val="auto"/>
                <w:sz w:val="21"/>
                <w:szCs w:val="21"/>
                <w:highlight w:val="none"/>
              </w:rPr>
              <w:t>综合评分法：是指响应文件满足磋商文件全部实质性要求且按评审因素的量化指标评审 得分最高的供应商为成交候选供应商的评审方法。本项目评审细则详见下表。</w:t>
            </w:r>
          </w:p>
          <w:p w14:paraId="46289D59">
            <w:pPr>
              <w:pStyle w:val="216"/>
              <w:contextualSpacing/>
              <w:jc w:val="left"/>
              <w:rPr>
                <w:rFonts w:ascii="宋体" w:hAnsi="宋体" w:cs="宋体"/>
                <w:color w:val="auto"/>
                <w:sz w:val="21"/>
                <w:szCs w:val="21"/>
                <w:highlight w:val="none"/>
              </w:rPr>
            </w:pPr>
            <w:r>
              <w:rPr>
                <w:rFonts w:hint="eastAsia" w:ascii="宋体" w:hAnsi="宋体" w:cs="宋体"/>
                <w:color w:val="auto"/>
                <w:sz w:val="21"/>
                <w:szCs w:val="21"/>
                <w:highlight w:val="none"/>
              </w:rPr>
              <w:t>评分因素权重</w:t>
            </w:r>
            <w:r>
              <w:rPr>
                <w:rFonts w:hint="eastAsia" w:ascii="宋体" w:hAnsi="宋体" w:cs="宋体"/>
                <w:color w:val="auto"/>
                <w:sz w:val="21"/>
                <w:szCs w:val="21"/>
                <w:highlight w:val="none"/>
                <w:lang w:eastAsia="zh-CN"/>
              </w:rPr>
              <w:t>：</w:t>
            </w:r>
          </w:p>
          <w:p w14:paraId="62C7A3F5">
            <w:pPr>
              <w:pStyle w:val="216"/>
              <w:contextualSpacing/>
              <w:jc w:val="left"/>
              <w:rPr>
                <w:rFonts w:ascii="宋体" w:hAnsi="宋体" w:cs="宋体"/>
                <w:color w:val="auto"/>
                <w:sz w:val="21"/>
                <w:szCs w:val="21"/>
                <w:highlight w:val="none"/>
              </w:rPr>
            </w:pPr>
            <w:r>
              <w:rPr>
                <w:rFonts w:hint="eastAsia" w:ascii="宋体" w:hAnsi="宋体" w:cs="宋体"/>
                <w:color w:val="auto"/>
                <w:sz w:val="21"/>
                <w:szCs w:val="21"/>
                <w:highlight w:val="none"/>
              </w:rPr>
              <w:t>磋商报价 F1</w:t>
            </w:r>
            <w:r>
              <w:rPr>
                <w:rFonts w:hint="eastAsia" w:ascii="宋体" w:hAnsi="宋体" w:cs="宋体"/>
                <w:color w:val="auto"/>
                <w:sz w:val="21"/>
                <w:szCs w:val="21"/>
                <w:highlight w:val="none"/>
                <w:lang w:eastAsia="zh-CN"/>
              </w:rPr>
              <w:t>:</w:t>
            </w:r>
            <w:r>
              <w:rPr>
                <w:rFonts w:hint="eastAsia" w:ascii="宋体" w:hAnsi="宋体" w:cs="宋体"/>
                <w:color w:val="auto"/>
                <w:sz w:val="21"/>
                <w:szCs w:val="21"/>
                <w:highlight w:val="none"/>
                <w:lang w:val="en-US" w:eastAsia="zh-CN"/>
              </w:rPr>
              <w:t>3</w:t>
            </w:r>
            <w:r>
              <w:rPr>
                <w:rFonts w:hint="eastAsia" w:ascii="宋体" w:hAnsi="宋体" w:cs="宋体"/>
                <w:color w:val="auto"/>
                <w:sz w:val="21"/>
                <w:szCs w:val="21"/>
                <w:highlight w:val="none"/>
              </w:rPr>
              <w:t>0 分；</w:t>
            </w:r>
          </w:p>
          <w:p w14:paraId="73260B60">
            <w:pPr>
              <w:pStyle w:val="216"/>
              <w:contextualSpacing/>
              <w:jc w:val="left"/>
              <w:rPr>
                <w:rFonts w:ascii="宋体" w:hAnsi="宋体" w:cs="宋体"/>
                <w:color w:val="auto"/>
                <w:sz w:val="21"/>
                <w:szCs w:val="21"/>
                <w:highlight w:val="none"/>
              </w:rPr>
            </w:pPr>
            <w:r>
              <w:rPr>
                <w:rFonts w:hint="eastAsia" w:ascii="宋体" w:hAnsi="宋体" w:cs="宋体"/>
                <w:color w:val="auto"/>
                <w:sz w:val="21"/>
                <w:szCs w:val="21"/>
                <w:highlight w:val="none"/>
              </w:rPr>
              <w:t>技术部分F2</w:t>
            </w:r>
            <w:r>
              <w:rPr>
                <w:rFonts w:hint="eastAsia" w:ascii="宋体" w:hAnsi="宋体" w:cs="宋体"/>
                <w:color w:val="auto"/>
                <w:sz w:val="21"/>
                <w:szCs w:val="21"/>
                <w:highlight w:val="none"/>
                <w:lang w:eastAsia="zh-CN"/>
              </w:rPr>
              <w:t>:</w:t>
            </w:r>
            <w:r>
              <w:rPr>
                <w:rFonts w:hint="eastAsia" w:ascii="宋体" w:hAnsi="宋体" w:cs="宋体"/>
                <w:color w:val="auto"/>
                <w:sz w:val="21"/>
                <w:szCs w:val="21"/>
                <w:highlight w:val="none"/>
                <w:lang w:val="en-US" w:eastAsia="zh-CN"/>
              </w:rPr>
              <w:t>7</w:t>
            </w:r>
            <w:r>
              <w:rPr>
                <w:rFonts w:ascii="宋体" w:hAnsi="宋体" w:cs="宋体"/>
                <w:color w:val="auto"/>
                <w:sz w:val="21"/>
                <w:szCs w:val="21"/>
                <w:highlight w:val="none"/>
              </w:rPr>
              <w:t>0</w:t>
            </w:r>
            <w:r>
              <w:rPr>
                <w:rFonts w:hint="eastAsia" w:ascii="宋体" w:hAnsi="宋体" w:cs="宋体"/>
                <w:color w:val="auto"/>
                <w:sz w:val="21"/>
                <w:szCs w:val="21"/>
                <w:highlight w:val="none"/>
              </w:rPr>
              <w:t>分；</w:t>
            </w:r>
          </w:p>
          <w:p w14:paraId="379AD646">
            <w:pPr>
              <w:pStyle w:val="216"/>
              <w:contextualSpacing/>
              <w:jc w:val="left"/>
              <w:rPr>
                <w:rFonts w:ascii="宋体" w:hAnsi="宋体" w:cs="宋体"/>
                <w:b/>
                <w:color w:val="auto"/>
                <w:sz w:val="21"/>
                <w:szCs w:val="21"/>
                <w:highlight w:val="none"/>
                <w:lang w:bidi="en-US"/>
              </w:rPr>
            </w:pPr>
            <w:r>
              <w:rPr>
                <w:rFonts w:hint="eastAsia" w:ascii="宋体" w:hAnsi="宋体" w:cs="宋体"/>
                <w:color w:val="auto"/>
                <w:sz w:val="21"/>
                <w:szCs w:val="21"/>
                <w:highlight w:val="none"/>
              </w:rPr>
              <w:t>供应商的评标总得分＝F1＋F2</w:t>
            </w:r>
            <w:r>
              <w:rPr>
                <w:rFonts w:ascii="宋体" w:hAnsi="宋体" w:cs="宋体"/>
                <w:b/>
                <w:color w:val="auto"/>
                <w:sz w:val="21"/>
                <w:szCs w:val="21"/>
                <w:highlight w:val="none"/>
                <w:lang w:bidi="en-US"/>
              </w:rPr>
              <w:t xml:space="preserve"> </w:t>
            </w:r>
          </w:p>
        </w:tc>
      </w:tr>
      <w:tr w14:paraId="1EFEAA5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32" w:hRule="atLeast"/>
        </w:trPr>
        <w:tc>
          <w:tcPr>
            <w:tcW w:w="1653" w:type="dxa"/>
            <w:gridSpan w:val="2"/>
            <w:tcMar>
              <w:top w:w="28" w:type="dxa"/>
              <w:left w:w="28" w:type="dxa"/>
              <w:bottom w:w="28" w:type="dxa"/>
              <w:right w:w="28" w:type="dxa"/>
            </w:tcMar>
            <w:vAlign w:val="center"/>
          </w:tcPr>
          <w:p w14:paraId="2090788D">
            <w:pPr>
              <w:adjustRightInd w:val="0"/>
              <w:snapToGrid w:val="0"/>
              <w:jc w:val="center"/>
              <w:rPr>
                <w:rFonts w:ascii="宋体" w:hAnsi="宋体" w:cs="宋体"/>
                <w:color w:val="auto"/>
                <w:sz w:val="21"/>
                <w:szCs w:val="21"/>
                <w:highlight w:val="none"/>
              </w:rPr>
            </w:pPr>
            <w:r>
              <w:rPr>
                <w:rFonts w:hint="eastAsia" w:ascii="宋体" w:hAnsi="宋体" w:cs="宋体"/>
                <w:color w:val="auto"/>
                <w:sz w:val="21"/>
                <w:szCs w:val="21"/>
                <w:highlight w:val="none"/>
              </w:rPr>
              <w:t>条款号</w:t>
            </w:r>
          </w:p>
        </w:tc>
        <w:tc>
          <w:tcPr>
            <w:tcW w:w="2235" w:type="dxa"/>
            <w:tcMar>
              <w:top w:w="28" w:type="dxa"/>
              <w:left w:w="28" w:type="dxa"/>
              <w:bottom w:w="28" w:type="dxa"/>
              <w:right w:w="28" w:type="dxa"/>
            </w:tcMar>
            <w:vAlign w:val="center"/>
          </w:tcPr>
          <w:p w14:paraId="1C495110">
            <w:pPr>
              <w:adjustRightInd w:val="0"/>
              <w:snapToGrid w:val="0"/>
              <w:jc w:val="center"/>
              <w:rPr>
                <w:rFonts w:ascii="宋体" w:hAnsi="宋体" w:cs="宋体"/>
                <w:color w:val="auto"/>
                <w:sz w:val="21"/>
                <w:szCs w:val="21"/>
                <w:highlight w:val="none"/>
              </w:rPr>
            </w:pPr>
            <w:r>
              <w:rPr>
                <w:rFonts w:hint="eastAsia" w:ascii="宋体" w:hAnsi="宋体" w:cs="宋体"/>
                <w:color w:val="auto"/>
                <w:sz w:val="21"/>
                <w:szCs w:val="21"/>
                <w:highlight w:val="none"/>
              </w:rPr>
              <w:t>评分因素</w:t>
            </w:r>
          </w:p>
        </w:tc>
        <w:tc>
          <w:tcPr>
            <w:tcW w:w="6122" w:type="dxa"/>
            <w:tcMar>
              <w:top w:w="28" w:type="dxa"/>
              <w:left w:w="28" w:type="dxa"/>
              <w:bottom w:w="28" w:type="dxa"/>
              <w:right w:w="28" w:type="dxa"/>
            </w:tcMar>
            <w:vAlign w:val="center"/>
          </w:tcPr>
          <w:p w14:paraId="2D5EA61D">
            <w:pPr>
              <w:adjustRightInd w:val="0"/>
              <w:snapToGrid w:val="0"/>
              <w:jc w:val="center"/>
              <w:rPr>
                <w:rFonts w:ascii="宋体" w:hAnsi="宋体" w:cs="宋体"/>
                <w:color w:val="auto"/>
                <w:sz w:val="21"/>
                <w:szCs w:val="21"/>
                <w:highlight w:val="none"/>
              </w:rPr>
            </w:pPr>
            <w:r>
              <w:rPr>
                <w:rFonts w:hint="eastAsia" w:ascii="宋体" w:hAnsi="宋体" w:cs="宋体"/>
                <w:color w:val="auto"/>
                <w:sz w:val="21"/>
                <w:szCs w:val="21"/>
                <w:highlight w:val="none"/>
              </w:rPr>
              <w:t>评分标准</w:t>
            </w:r>
          </w:p>
        </w:tc>
      </w:tr>
      <w:tr w14:paraId="78E8376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76" w:hRule="atLeast"/>
        </w:trPr>
        <w:tc>
          <w:tcPr>
            <w:tcW w:w="1653" w:type="dxa"/>
            <w:gridSpan w:val="2"/>
            <w:tcMar>
              <w:top w:w="28" w:type="dxa"/>
              <w:left w:w="28" w:type="dxa"/>
              <w:bottom w:w="28" w:type="dxa"/>
              <w:right w:w="28" w:type="dxa"/>
            </w:tcMar>
            <w:vAlign w:val="center"/>
          </w:tcPr>
          <w:p w14:paraId="61D2E565">
            <w:pPr>
              <w:adjustRightInd w:val="0"/>
              <w:snapToGrid w:val="0"/>
              <w:jc w:val="center"/>
              <w:rPr>
                <w:rFonts w:hint="eastAsia" w:ascii="宋体" w:hAnsi="宋体" w:cs="宋体"/>
                <w:color w:val="auto"/>
                <w:sz w:val="21"/>
                <w:szCs w:val="21"/>
                <w:highlight w:val="none"/>
              </w:rPr>
            </w:pPr>
            <w:r>
              <w:rPr>
                <w:rFonts w:hint="eastAsia" w:ascii="宋体" w:hAnsi="宋体" w:cs="宋体"/>
                <w:color w:val="auto"/>
                <w:sz w:val="21"/>
                <w:szCs w:val="21"/>
                <w:highlight w:val="none"/>
              </w:rPr>
              <w:t>2.2.2磋商报价评审标准</w:t>
            </w:r>
          </w:p>
          <w:p w14:paraId="4611B43A">
            <w:pPr>
              <w:adjustRightInd w:val="0"/>
              <w:snapToGrid w:val="0"/>
              <w:jc w:val="center"/>
              <w:rPr>
                <w:rFonts w:hint="eastAsia" w:ascii="宋体" w:hAnsi="宋体" w:cs="宋体"/>
                <w:color w:val="auto"/>
                <w:sz w:val="21"/>
                <w:szCs w:val="21"/>
                <w:highlight w:val="none"/>
              </w:rPr>
            </w:pPr>
            <w:r>
              <w:rPr>
                <w:rFonts w:hint="eastAsia" w:ascii="宋体" w:hAnsi="宋体" w:cs="宋体"/>
                <w:color w:val="auto"/>
                <w:sz w:val="21"/>
                <w:szCs w:val="21"/>
                <w:highlight w:val="none"/>
              </w:rPr>
              <w:t>（</w:t>
            </w:r>
            <w:r>
              <w:rPr>
                <w:rFonts w:hint="eastAsia" w:ascii="宋体" w:hAnsi="宋体" w:cs="宋体"/>
                <w:color w:val="auto"/>
                <w:sz w:val="21"/>
                <w:szCs w:val="21"/>
                <w:highlight w:val="none"/>
                <w:lang w:val="en-US" w:eastAsia="zh-CN"/>
              </w:rPr>
              <w:t>30</w:t>
            </w:r>
            <w:r>
              <w:rPr>
                <w:rFonts w:hint="eastAsia" w:ascii="宋体" w:hAnsi="宋体" w:cs="宋体"/>
                <w:color w:val="auto"/>
                <w:sz w:val="21"/>
                <w:szCs w:val="21"/>
                <w:highlight w:val="none"/>
              </w:rPr>
              <w:t>分）</w:t>
            </w:r>
          </w:p>
        </w:tc>
        <w:tc>
          <w:tcPr>
            <w:tcW w:w="2235" w:type="dxa"/>
            <w:tcMar>
              <w:top w:w="28" w:type="dxa"/>
              <w:left w:w="28" w:type="dxa"/>
              <w:bottom w:w="28" w:type="dxa"/>
              <w:right w:w="28" w:type="dxa"/>
            </w:tcMar>
            <w:vAlign w:val="center"/>
          </w:tcPr>
          <w:p w14:paraId="5E593071">
            <w:pPr>
              <w:adjustRightInd w:val="0"/>
              <w:snapToGrid w:val="0"/>
              <w:jc w:val="center"/>
              <w:rPr>
                <w:rFonts w:ascii="宋体" w:hAnsi="宋体" w:cs="宋体"/>
                <w:b w:val="0"/>
                <w:bCs w:val="0"/>
                <w:color w:val="auto"/>
                <w:sz w:val="21"/>
                <w:szCs w:val="21"/>
                <w:highlight w:val="none"/>
              </w:rPr>
            </w:pPr>
            <w:r>
              <w:rPr>
                <w:rFonts w:hint="eastAsia" w:ascii="宋体" w:hAnsi="宋体" w:cs="宋体"/>
                <w:b w:val="0"/>
                <w:bCs w:val="0"/>
                <w:color w:val="auto"/>
                <w:sz w:val="21"/>
                <w:szCs w:val="21"/>
                <w:highlight w:val="none"/>
              </w:rPr>
              <w:t>磋商报价评审</w:t>
            </w:r>
          </w:p>
          <w:p w14:paraId="6DAA0325">
            <w:pPr>
              <w:adjustRightInd w:val="0"/>
              <w:snapToGrid w:val="0"/>
              <w:jc w:val="center"/>
              <w:rPr>
                <w:rFonts w:hint="eastAsia" w:ascii="宋体" w:hAnsi="宋体" w:cs="宋体"/>
                <w:color w:val="auto"/>
                <w:sz w:val="21"/>
                <w:szCs w:val="21"/>
                <w:highlight w:val="none"/>
              </w:rPr>
            </w:pPr>
            <w:r>
              <w:rPr>
                <w:rFonts w:hint="eastAsia" w:ascii="宋体" w:hAnsi="宋体" w:cs="宋体"/>
                <w:b w:val="0"/>
                <w:bCs w:val="0"/>
                <w:color w:val="auto"/>
                <w:sz w:val="21"/>
                <w:szCs w:val="21"/>
                <w:highlight w:val="none"/>
              </w:rPr>
              <w:t>（满分</w:t>
            </w:r>
            <w:r>
              <w:rPr>
                <w:rFonts w:hint="eastAsia" w:ascii="宋体" w:hAnsi="宋体" w:cs="宋体"/>
                <w:b w:val="0"/>
                <w:bCs w:val="0"/>
                <w:color w:val="auto"/>
                <w:sz w:val="21"/>
                <w:szCs w:val="21"/>
                <w:highlight w:val="none"/>
                <w:lang w:val="en-US" w:eastAsia="zh-CN"/>
              </w:rPr>
              <w:t>30</w:t>
            </w:r>
            <w:r>
              <w:rPr>
                <w:rFonts w:hint="eastAsia" w:ascii="宋体" w:hAnsi="宋体" w:cs="宋体"/>
                <w:b w:val="0"/>
                <w:bCs w:val="0"/>
                <w:color w:val="auto"/>
                <w:sz w:val="21"/>
                <w:szCs w:val="21"/>
                <w:highlight w:val="none"/>
              </w:rPr>
              <w:t>分）</w:t>
            </w:r>
          </w:p>
        </w:tc>
        <w:tc>
          <w:tcPr>
            <w:tcW w:w="6122" w:type="dxa"/>
            <w:tcMar>
              <w:top w:w="28" w:type="dxa"/>
              <w:left w:w="28" w:type="dxa"/>
              <w:bottom w:w="28" w:type="dxa"/>
              <w:right w:w="28" w:type="dxa"/>
            </w:tcMar>
            <w:vAlign w:val="center"/>
          </w:tcPr>
          <w:p w14:paraId="2B91531F">
            <w:pPr>
              <w:adjustRightInd w:val="0"/>
              <w:snapToGrid w:val="0"/>
              <w:rPr>
                <w:rFonts w:hint="eastAsia" w:ascii="宋体" w:hAnsi="宋体" w:eastAsia="宋体" w:cs="宋体"/>
                <w:color w:val="auto"/>
                <w:sz w:val="21"/>
                <w:szCs w:val="21"/>
                <w:highlight w:val="none"/>
              </w:rPr>
            </w:pPr>
            <w:r>
              <w:rPr>
                <w:rFonts w:hint="eastAsia" w:ascii="宋体" w:hAnsi="宋体" w:cs="宋体"/>
                <w:color w:val="auto"/>
                <w:sz w:val="21"/>
                <w:szCs w:val="21"/>
                <w:highlight w:val="none"/>
              </w:rPr>
              <w:t>1</w:t>
            </w:r>
            <w:r>
              <w:rPr>
                <w:rFonts w:hint="eastAsia" w:ascii="宋体" w:hAnsi="宋体" w:eastAsia="宋体" w:cs="宋体"/>
                <w:color w:val="auto"/>
                <w:sz w:val="21"/>
                <w:szCs w:val="21"/>
                <w:highlight w:val="none"/>
              </w:rPr>
              <w:t>、商务部分评审以供应商的竞争性磋商二次报价为准。</w:t>
            </w:r>
          </w:p>
          <w:p w14:paraId="763C34CA">
            <w:pPr>
              <w:adjustRightInd w:val="0"/>
              <w:snapToGrid w:val="0"/>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rPr>
              <w:t>2、</w:t>
            </w:r>
            <w:r>
              <w:rPr>
                <w:rFonts w:hint="eastAsia" w:ascii="宋体" w:hAnsi="宋体" w:eastAsia="宋体" w:cs="宋体"/>
                <w:color w:val="auto"/>
                <w:sz w:val="21"/>
                <w:szCs w:val="21"/>
                <w:highlight w:val="none"/>
                <w:lang w:val="en-US" w:eastAsia="zh-CN"/>
              </w:rPr>
              <w:t>评标基准价：综合评分法中的价格分统一采用“低价优先法”计算，即满足竞争性磋商文件要求且磋商报价最低的供应商的价格为磋商基准价，其价格分为满分。</w:t>
            </w:r>
          </w:p>
          <w:p w14:paraId="7CB167E6">
            <w:pPr>
              <w:adjustRightInd w:val="0"/>
              <w:snapToGrid w:val="0"/>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2.磋商报价得分＝（评标基准价/磋商报价）×</w:t>
            </w:r>
            <w:r>
              <w:rPr>
                <w:rFonts w:hint="eastAsia" w:ascii="宋体" w:hAnsi="宋体" w:cs="宋体"/>
                <w:color w:val="auto"/>
                <w:sz w:val="21"/>
                <w:szCs w:val="21"/>
                <w:highlight w:val="none"/>
                <w:lang w:val="en-US" w:eastAsia="zh-CN"/>
              </w:rPr>
              <w:t>30</w:t>
            </w:r>
          </w:p>
          <w:p w14:paraId="0ABE2311">
            <w:pPr>
              <w:adjustRightInd w:val="0"/>
              <w:snapToGrid w:val="0"/>
              <w:rPr>
                <w:rFonts w:hint="eastAsia" w:ascii="宋体" w:hAnsi="宋体" w:cs="宋体"/>
                <w:color w:val="auto"/>
                <w:sz w:val="21"/>
                <w:szCs w:val="21"/>
                <w:highlight w:val="none"/>
              </w:rPr>
            </w:pPr>
            <w:r>
              <w:rPr>
                <w:rFonts w:hint="eastAsia" w:ascii="宋体" w:hAnsi="宋体" w:cs="宋体"/>
                <w:b w:val="0"/>
                <w:bCs w:val="0"/>
                <w:color w:val="auto"/>
                <w:sz w:val="21"/>
                <w:szCs w:val="21"/>
                <w:highlight w:val="none"/>
                <w:lang w:val="en-US" w:eastAsia="zh-CN"/>
              </w:rPr>
              <w:t>3.</w:t>
            </w:r>
            <w:r>
              <w:rPr>
                <w:rFonts w:hint="eastAsia" w:ascii="宋体" w:hAnsi="宋体" w:cs="宋体"/>
                <w:b w:val="0"/>
                <w:bCs w:val="0"/>
                <w:sz w:val="21"/>
                <w:szCs w:val="21"/>
                <w:highlight w:val="none"/>
                <w:lang w:val="en-US" w:eastAsia="zh-CN"/>
              </w:rPr>
              <w:t>项目</w:t>
            </w:r>
            <w:r>
              <w:rPr>
                <w:rFonts w:hint="eastAsia" w:ascii="宋体" w:hAnsi="宋体" w:cs="宋体"/>
                <w:b w:val="0"/>
                <w:bCs w:val="0"/>
                <w:sz w:val="21"/>
                <w:szCs w:val="21"/>
                <w:highlight w:val="none"/>
              </w:rPr>
              <w:t>属于专门面向中小微企业，磋商报价不再以优惠的价格参与评审</w:t>
            </w:r>
          </w:p>
        </w:tc>
      </w:tr>
      <w:tr w14:paraId="2BEF7CE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441" w:hRule="atLeast"/>
        </w:trPr>
        <w:tc>
          <w:tcPr>
            <w:tcW w:w="1653" w:type="dxa"/>
            <w:gridSpan w:val="2"/>
            <w:vMerge w:val="restart"/>
            <w:tcMar>
              <w:top w:w="28" w:type="dxa"/>
              <w:left w:w="28" w:type="dxa"/>
              <w:bottom w:w="28" w:type="dxa"/>
              <w:right w:w="28" w:type="dxa"/>
            </w:tcMar>
            <w:vAlign w:val="center"/>
          </w:tcPr>
          <w:p w14:paraId="4EF9C351">
            <w:pPr>
              <w:spacing w:before="100" w:beforeAutospacing="1" w:after="100" w:afterAutospacing="1"/>
              <w:jc w:val="center"/>
              <w:rPr>
                <w:rFonts w:hint="default" w:ascii="宋体" w:hAnsi="宋体" w:eastAsia="宋体" w:cs="宋体"/>
                <w:color w:val="auto"/>
                <w:sz w:val="21"/>
                <w:szCs w:val="21"/>
                <w:highlight w:val="none"/>
                <w:lang w:val="en-US" w:eastAsia="zh-CN"/>
              </w:rPr>
            </w:pPr>
            <w:r>
              <w:rPr>
                <w:rFonts w:hint="eastAsia" w:ascii="宋体" w:hAnsi="宋体" w:cs="宋体"/>
                <w:color w:val="auto"/>
                <w:sz w:val="21"/>
                <w:szCs w:val="21"/>
                <w:highlight w:val="none"/>
                <w:lang w:val="en-US" w:eastAsia="zh-CN"/>
              </w:rPr>
              <w:t>2.2.3技术部分</w:t>
            </w:r>
            <w:r>
              <w:rPr>
                <w:rFonts w:hint="eastAsia" w:ascii="宋体" w:hAnsi="宋体" w:cs="宋体"/>
                <w:color w:val="auto"/>
                <w:sz w:val="21"/>
                <w:szCs w:val="21"/>
                <w:highlight w:val="none"/>
              </w:rPr>
              <w:t>评审标准</w:t>
            </w:r>
            <w:r>
              <w:rPr>
                <w:rFonts w:hint="eastAsia" w:ascii="宋体" w:hAnsi="宋体" w:cs="宋体"/>
                <w:color w:val="auto"/>
                <w:sz w:val="21"/>
                <w:szCs w:val="21"/>
                <w:highlight w:val="none"/>
                <w:lang w:eastAsia="zh-CN"/>
              </w:rPr>
              <w:t>（</w:t>
            </w:r>
            <w:r>
              <w:rPr>
                <w:rFonts w:hint="eastAsia" w:ascii="宋体" w:hAnsi="宋体" w:cs="宋体"/>
                <w:color w:val="auto"/>
                <w:sz w:val="21"/>
                <w:szCs w:val="21"/>
                <w:highlight w:val="none"/>
                <w:lang w:val="en-US" w:eastAsia="zh-CN"/>
              </w:rPr>
              <w:t>70分）</w:t>
            </w:r>
          </w:p>
        </w:tc>
        <w:tc>
          <w:tcPr>
            <w:tcW w:w="2235" w:type="dxa"/>
            <w:tcMar>
              <w:top w:w="28" w:type="dxa"/>
              <w:left w:w="28" w:type="dxa"/>
              <w:bottom w:w="28" w:type="dxa"/>
              <w:right w:w="28" w:type="dxa"/>
            </w:tcMar>
            <w:vAlign w:val="center"/>
          </w:tcPr>
          <w:p w14:paraId="52A7F118">
            <w:pPr>
              <w:keepNext w:val="0"/>
              <w:keepLines w:val="0"/>
              <w:pageBreakBefore w:val="0"/>
              <w:widowControl w:val="0"/>
              <w:kinsoku/>
              <w:wordWrap/>
              <w:overflowPunct/>
              <w:topLinePunct w:val="0"/>
              <w:autoSpaceDE/>
              <w:autoSpaceDN/>
              <w:bidi w:val="0"/>
              <w:adjustRightInd/>
              <w:snapToGrid/>
              <w:spacing w:line="240" w:lineRule="auto"/>
              <w:jc w:val="center"/>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施工技术方案</w:t>
            </w:r>
          </w:p>
          <w:p w14:paraId="18C3895F">
            <w:pPr>
              <w:keepNext w:val="0"/>
              <w:keepLines w:val="0"/>
              <w:pageBreakBefore w:val="0"/>
              <w:widowControl w:val="0"/>
              <w:kinsoku/>
              <w:wordWrap/>
              <w:overflowPunct/>
              <w:topLinePunct w:val="0"/>
              <w:autoSpaceDE/>
              <w:autoSpaceDN/>
              <w:bidi w:val="0"/>
              <w:adjustRightInd/>
              <w:snapToGrid/>
              <w:spacing w:line="240" w:lineRule="auto"/>
              <w:jc w:val="center"/>
              <w:textAlignment w:val="auto"/>
              <w:rPr>
                <w:rFonts w:hint="eastAsia"/>
              </w:rPr>
            </w:pPr>
            <w:r>
              <w:rPr>
                <w:rFonts w:hint="eastAsia" w:ascii="宋体" w:hAnsi="宋体" w:eastAsia="宋体" w:cs="宋体"/>
                <w:color w:val="auto"/>
                <w:sz w:val="21"/>
                <w:szCs w:val="21"/>
                <w:highlight w:val="none"/>
              </w:rPr>
              <w:t>（满分</w:t>
            </w:r>
            <w:r>
              <w:rPr>
                <w:rFonts w:hint="eastAsia" w:ascii="宋体" w:hAnsi="宋体" w:cs="宋体"/>
                <w:color w:val="auto"/>
                <w:sz w:val="21"/>
                <w:szCs w:val="21"/>
                <w:highlight w:val="none"/>
                <w:lang w:val="en-US" w:eastAsia="zh-CN"/>
              </w:rPr>
              <w:t>20</w:t>
            </w:r>
            <w:r>
              <w:rPr>
                <w:rFonts w:hint="eastAsia" w:ascii="宋体" w:hAnsi="宋体" w:eastAsia="宋体" w:cs="宋体"/>
                <w:color w:val="auto"/>
                <w:sz w:val="21"/>
                <w:szCs w:val="21"/>
                <w:highlight w:val="none"/>
              </w:rPr>
              <w:t>分</w:t>
            </w:r>
            <w:r>
              <w:rPr>
                <w:rFonts w:hint="eastAsia" w:ascii="宋体" w:hAnsi="宋体" w:eastAsia="宋体" w:cs="宋体"/>
                <w:color w:val="auto"/>
                <w:sz w:val="21"/>
                <w:szCs w:val="21"/>
                <w:highlight w:val="none"/>
                <w:lang w:eastAsia="zh-CN"/>
              </w:rPr>
              <w:t>）</w:t>
            </w:r>
          </w:p>
        </w:tc>
        <w:tc>
          <w:tcPr>
            <w:tcW w:w="6122" w:type="dxa"/>
            <w:tcMar>
              <w:top w:w="28" w:type="dxa"/>
              <w:left w:w="28" w:type="dxa"/>
              <w:bottom w:w="28" w:type="dxa"/>
              <w:right w:w="28" w:type="dxa"/>
            </w:tcMar>
            <w:vAlign w:val="top"/>
          </w:tcPr>
          <w:p w14:paraId="53C537E4">
            <w:pPr>
              <w:keepNext w:val="0"/>
              <w:keepLines w:val="0"/>
              <w:pageBreakBefore w:val="0"/>
              <w:widowControl w:val="0"/>
              <w:kinsoku/>
              <w:wordWrap/>
              <w:overflowPunct/>
              <w:topLinePunct w:val="0"/>
              <w:autoSpaceDE/>
              <w:autoSpaceDN/>
              <w:bidi w:val="0"/>
              <w:adjustRightInd/>
              <w:snapToGrid/>
              <w:spacing w:line="240" w:lineRule="auto"/>
              <w:textAlignment w:val="auto"/>
              <w:rPr>
                <w:rFonts w:hint="eastAsia" w:ascii="宋体" w:hAnsi="宋体" w:cs="宋体"/>
                <w:color w:val="auto"/>
                <w:szCs w:val="21"/>
              </w:rPr>
            </w:pPr>
            <w:r>
              <w:rPr>
                <w:rFonts w:hint="eastAsia" w:ascii="宋体" w:hAnsi="宋体" w:cs="宋体"/>
                <w:color w:val="auto"/>
                <w:szCs w:val="21"/>
              </w:rPr>
              <w:t>根据响应文件中的施工方案与技术措施进行评审：</w:t>
            </w:r>
          </w:p>
          <w:p w14:paraId="241C1200">
            <w:pPr>
              <w:keepNext w:val="0"/>
              <w:keepLines w:val="0"/>
              <w:pageBreakBefore w:val="0"/>
              <w:widowControl w:val="0"/>
              <w:kinsoku/>
              <w:wordWrap/>
              <w:overflowPunct/>
              <w:topLinePunct w:val="0"/>
              <w:autoSpaceDE/>
              <w:autoSpaceDN/>
              <w:bidi w:val="0"/>
              <w:adjustRightInd/>
              <w:snapToGrid/>
              <w:spacing w:line="240" w:lineRule="auto"/>
              <w:textAlignment w:val="auto"/>
              <w:rPr>
                <w:rFonts w:hint="eastAsia" w:ascii="宋体" w:hAnsi="宋体" w:cs="宋体"/>
                <w:color w:val="auto"/>
                <w:szCs w:val="21"/>
              </w:rPr>
            </w:pPr>
            <w:r>
              <w:rPr>
                <w:rFonts w:hint="eastAsia" w:ascii="宋体" w:hAnsi="宋体" w:cs="宋体"/>
                <w:color w:val="auto"/>
                <w:szCs w:val="21"/>
              </w:rPr>
              <w:t>方案至少包括1.施工总体概况表述、2.施工技术方案及大纲、3.施工部署安排、4.施工方法及主要工序、5.施工技术措施。</w:t>
            </w:r>
          </w:p>
          <w:p w14:paraId="05FA364C">
            <w:pPr>
              <w:keepNext w:val="0"/>
              <w:keepLines w:val="0"/>
              <w:pageBreakBefore w:val="0"/>
              <w:widowControl w:val="0"/>
              <w:kinsoku/>
              <w:wordWrap/>
              <w:overflowPunct/>
              <w:topLinePunct w:val="0"/>
              <w:autoSpaceDE/>
              <w:autoSpaceDN/>
              <w:bidi w:val="0"/>
              <w:adjustRightInd/>
              <w:snapToGrid/>
              <w:spacing w:line="240" w:lineRule="auto"/>
              <w:textAlignment w:val="auto"/>
              <w:rPr>
                <w:rFonts w:hint="eastAsia" w:ascii="宋体" w:hAnsi="宋体" w:cs="宋体"/>
                <w:color w:val="auto"/>
                <w:szCs w:val="21"/>
              </w:rPr>
            </w:pPr>
            <w:r>
              <w:rPr>
                <w:rFonts w:hint="eastAsia" w:ascii="宋体" w:hAnsi="宋体" w:cs="宋体"/>
                <w:color w:val="auto"/>
                <w:szCs w:val="21"/>
              </w:rPr>
              <w:t>以上5项内容每项4分，无漏项、无缺陷得20分，每缺少一项扣4分；每有一项内容存在缺陷的扣2分，未提供相关内容的不得分。</w:t>
            </w:r>
          </w:p>
          <w:p w14:paraId="4A4A2512">
            <w:pPr>
              <w:keepNext w:val="0"/>
              <w:keepLines w:val="0"/>
              <w:pageBreakBefore w:val="0"/>
              <w:widowControl w:val="0"/>
              <w:kinsoku/>
              <w:wordWrap/>
              <w:overflowPunct/>
              <w:topLinePunct w:val="0"/>
              <w:autoSpaceDE/>
              <w:autoSpaceDN/>
              <w:bidi w:val="0"/>
              <w:adjustRightInd/>
              <w:snapToGrid/>
              <w:spacing w:line="240" w:lineRule="auto"/>
              <w:textAlignment w:val="auto"/>
              <w:rPr>
                <w:rFonts w:hint="eastAsia" w:ascii="宋体" w:hAnsi="宋体" w:cs="宋体"/>
                <w:color w:val="auto"/>
                <w:szCs w:val="21"/>
              </w:rPr>
            </w:pPr>
            <w:r>
              <w:rPr>
                <w:rFonts w:hint="eastAsia" w:ascii="宋体" w:hAnsi="宋体" w:cs="宋体"/>
                <w:color w:val="auto"/>
                <w:szCs w:val="21"/>
              </w:rPr>
              <w:t>（本项所称“缺陷”是指内容缺项、不完整或缺少关键点；非专门针对本项目或不适用本项目特性、套用其他项目内容；对同一问题前后表述矛盾；存在逻辑漏洞、科学原理或常识错误；不利于本项目目标的实现、现有技术条件下不可能出现的情形等任意一种情形）</w:t>
            </w:r>
          </w:p>
        </w:tc>
      </w:tr>
      <w:tr w14:paraId="7231422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599" w:hRule="atLeast"/>
        </w:trPr>
        <w:tc>
          <w:tcPr>
            <w:tcW w:w="1653" w:type="dxa"/>
            <w:gridSpan w:val="2"/>
            <w:vMerge w:val="continue"/>
            <w:tcMar>
              <w:top w:w="28" w:type="dxa"/>
              <w:left w:w="28" w:type="dxa"/>
              <w:bottom w:w="28" w:type="dxa"/>
              <w:right w:w="28" w:type="dxa"/>
            </w:tcMar>
            <w:vAlign w:val="center"/>
          </w:tcPr>
          <w:p w14:paraId="51C1462E">
            <w:pPr>
              <w:spacing w:before="100" w:beforeAutospacing="1" w:after="100" w:afterAutospacing="1"/>
              <w:jc w:val="center"/>
              <w:rPr>
                <w:rFonts w:hint="default" w:ascii="宋体" w:hAnsi="宋体" w:eastAsia="宋体" w:cs="宋体"/>
                <w:color w:val="auto"/>
                <w:sz w:val="21"/>
                <w:szCs w:val="21"/>
                <w:highlight w:val="none"/>
                <w:lang w:val="en-US" w:eastAsia="zh-CN"/>
              </w:rPr>
            </w:pPr>
          </w:p>
        </w:tc>
        <w:tc>
          <w:tcPr>
            <w:tcW w:w="2235" w:type="dxa"/>
            <w:tcMar>
              <w:top w:w="28" w:type="dxa"/>
              <w:left w:w="28" w:type="dxa"/>
              <w:bottom w:w="28" w:type="dxa"/>
              <w:right w:w="28" w:type="dxa"/>
            </w:tcMar>
            <w:vAlign w:val="center"/>
          </w:tcPr>
          <w:p w14:paraId="29AE975F">
            <w:pPr>
              <w:keepNext w:val="0"/>
              <w:keepLines w:val="0"/>
              <w:pageBreakBefore w:val="0"/>
              <w:widowControl w:val="0"/>
              <w:kinsoku/>
              <w:wordWrap/>
              <w:overflowPunct/>
              <w:topLinePunct w:val="0"/>
              <w:autoSpaceDE/>
              <w:autoSpaceDN/>
              <w:bidi w:val="0"/>
              <w:adjustRightInd/>
              <w:snapToGrid/>
              <w:spacing w:line="240" w:lineRule="auto"/>
              <w:jc w:val="center"/>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质量管理体系与措施</w:t>
            </w:r>
          </w:p>
          <w:p w14:paraId="27C87938">
            <w:pPr>
              <w:keepNext w:val="0"/>
              <w:keepLines w:val="0"/>
              <w:pageBreakBefore w:val="0"/>
              <w:widowControl w:val="0"/>
              <w:kinsoku/>
              <w:wordWrap/>
              <w:overflowPunct/>
              <w:topLinePunct w:val="0"/>
              <w:autoSpaceDE/>
              <w:autoSpaceDN/>
              <w:bidi w:val="0"/>
              <w:adjustRightInd/>
              <w:snapToGrid/>
              <w:spacing w:line="240" w:lineRule="auto"/>
              <w:jc w:val="center"/>
              <w:textAlignment w:val="auto"/>
              <w:rPr>
                <w:rFonts w:hint="eastAsia" w:ascii="宋体" w:hAnsi="宋体" w:eastAsia="宋体" w:cs="宋体"/>
                <w:b/>
                <w:color w:val="auto"/>
                <w:sz w:val="21"/>
                <w:szCs w:val="21"/>
                <w:highlight w:val="none"/>
                <w:lang w:val="zh-TW"/>
              </w:rPr>
            </w:pPr>
            <w:r>
              <w:rPr>
                <w:rFonts w:hint="eastAsia" w:ascii="宋体" w:hAnsi="宋体" w:eastAsia="宋体" w:cs="宋体"/>
                <w:color w:val="auto"/>
                <w:sz w:val="21"/>
                <w:szCs w:val="21"/>
                <w:highlight w:val="none"/>
              </w:rPr>
              <w:t>（满分</w:t>
            </w:r>
            <w:r>
              <w:rPr>
                <w:rFonts w:hint="eastAsia" w:ascii="宋体" w:hAnsi="宋体" w:cs="宋体"/>
                <w:color w:val="auto"/>
                <w:sz w:val="21"/>
                <w:szCs w:val="21"/>
                <w:highlight w:val="none"/>
                <w:lang w:val="en-US" w:eastAsia="zh-CN"/>
              </w:rPr>
              <w:t>8</w:t>
            </w:r>
            <w:r>
              <w:rPr>
                <w:rFonts w:hint="eastAsia" w:ascii="宋体" w:hAnsi="宋体" w:eastAsia="宋体" w:cs="宋体"/>
                <w:color w:val="auto"/>
                <w:sz w:val="21"/>
                <w:szCs w:val="21"/>
                <w:highlight w:val="none"/>
              </w:rPr>
              <w:t>分</w:t>
            </w:r>
            <w:r>
              <w:rPr>
                <w:rFonts w:hint="eastAsia" w:ascii="宋体" w:hAnsi="宋体" w:eastAsia="宋体" w:cs="宋体"/>
                <w:color w:val="auto"/>
                <w:sz w:val="21"/>
                <w:szCs w:val="21"/>
                <w:highlight w:val="none"/>
                <w:lang w:eastAsia="zh-CN"/>
              </w:rPr>
              <w:t>）</w:t>
            </w:r>
          </w:p>
        </w:tc>
        <w:tc>
          <w:tcPr>
            <w:tcW w:w="6122" w:type="dxa"/>
            <w:tcMar>
              <w:top w:w="28" w:type="dxa"/>
              <w:left w:w="28" w:type="dxa"/>
              <w:bottom w:w="28" w:type="dxa"/>
              <w:right w:w="28" w:type="dxa"/>
            </w:tcMar>
            <w:vAlign w:val="top"/>
          </w:tcPr>
          <w:p w14:paraId="16EF89BE">
            <w:pPr>
              <w:keepNext w:val="0"/>
              <w:keepLines w:val="0"/>
              <w:pageBreakBefore w:val="0"/>
              <w:widowControl w:val="0"/>
              <w:kinsoku/>
              <w:wordWrap/>
              <w:overflowPunct/>
              <w:topLinePunct w:val="0"/>
              <w:autoSpaceDE/>
              <w:autoSpaceDN/>
              <w:bidi w:val="0"/>
              <w:adjustRightInd/>
              <w:snapToGrid/>
              <w:spacing w:line="240" w:lineRule="auto"/>
              <w:textAlignment w:val="auto"/>
              <w:rPr>
                <w:rFonts w:hint="eastAsia" w:ascii="宋体" w:hAnsi="宋体" w:cs="宋体"/>
                <w:color w:val="auto"/>
                <w:szCs w:val="21"/>
              </w:rPr>
            </w:pPr>
            <w:r>
              <w:rPr>
                <w:rFonts w:hint="eastAsia" w:ascii="宋体" w:hAnsi="宋体" w:cs="宋体"/>
                <w:color w:val="auto"/>
                <w:szCs w:val="21"/>
              </w:rPr>
              <w:t>根据响应文件中的质量管理体系与措施进行评审：</w:t>
            </w:r>
          </w:p>
          <w:p w14:paraId="2EF6712E">
            <w:pPr>
              <w:keepNext w:val="0"/>
              <w:keepLines w:val="0"/>
              <w:pageBreakBefore w:val="0"/>
              <w:widowControl w:val="0"/>
              <w:kinsoku/>
              <w:wordWrap/>
              <w:overflowPunct/>
              <w:topLinePunct w:val="0"/>
              <w:autoSpaceDE/>
              <w:autoSpaceDN/>
              <w:bidi w:val="0"/>
              <w:adjustRightInd/>
              <w:snapToGrid/>
              <w:spacing w:line="240" w:lineRule="auto"/>
              <w:textAlignment w:val="auto"/>
              <w:rPr>
                <w:rFonts w:hint="eastAsia" w:ascii="宋体" w:hAnsi="宋体" w:cs="宋体"/>
                <w:color w:val="auto"/>
                <w:szCs w:val="21"/>
              </w:rPr>
            </w:pPr>
            <w:r>
              <w:rPr>
                <w:rFonts w:hint="eastAsia" w:ascii="宋体" w:hAnsi="宋体" w:cs="宋体"/>
                <w:color w:val="auto"/>
                <w:szCs w:val="21"/>
              </w:rPr>
              <w:t>至少包括1.施工质量目标保障措施及承诺、2.质量记录管理、3.履约及竣工验收管理、4.违约责任承诺及处罚措施。</w:t>
            </w:r>
          </w:p>
          <w:p w14:paraId="3C1A1F62">
            <w:pPr>
              <w:keepNext w:val="0"/>
              <w:keepLines w:val="0"/>
              <w:pageBreakBefore w:val="0"/>
              <w:widowControl w:val="0"/>
              <w:kinsoku/>
              <w:wordWrap/>
              <w:overflowPunct/>
              <w:topLinePunct w:val="0"/>
              <w:autoSpaceDE/>
              <w:autoSpaceDN/>
              <w:bidi w:val="0"/>
              <w:adjustRightInd/>
              <w:snapToGrid/>
              <w:spacing w:line="240" w:lineRule="auto"/>
              <w:textAlignment w:val="auto"/>
              <w:rPr>
                <w:rFonts w:hint="eastAsia" w:ascii="宋体" w:hAnsi="宋体" w:cs="宋体"/>
                <w:color w:val="auto"/>
                <w:szCs w:val="21"/>
              </w:rPr>
            </w:pPr>
            <w:r>
              <w:rPr>
                <w:rFonts w:hint="eastAsia" w:ascii="宋体" w:hAnsi="宋体" w:cs="宋体"/>
                <w:color w:val="auto"/>
                <w:szCs w:val="21"/>
              </w:rPr>
              <w:t>以上4项内容每项2分，无漏项、无缺陷得8分，每缺少一项扣2分；每有一项内容</w:t>
            </w:r>
            <w:r>
              <w:rPr>
                <w:rFonts w:hint="eastAsia" w:ascii="宋体" w:hAnsi="宋体" w:cs="宋体"/>
                <w:color w:val="auto"/>
                <w:szCs w:val="21"/>
                <w:lang w:val="en-US" w:eastAsia="zh-CN"/>
              </w:rPr>
              <w:t>存</w:t>
            </w:r>
            <w:r>
              <w:rPr>
                <w:rFonts w:hint="eastAsia" w:ascii="宋体" w:hAnsi="宋体" w:cs="宋体"/>
                <w:color w:val="auto"/>
                <w:szCs w:val="21"/>
              </w:rPr>
              <w:t>存在缺陷的扣1分，未提供相关内容的不得分。</w:t>
            </w:r>
          </w:p>
          <w:p w14:paraId="1A8A97FD">
            <w:pPr>
              <w:keepNext w:val="0"/>
              <w:keepLines w:val="0"/>
              <w:pageBreakBefore w:val="0"/>
              <w:widowControl w:val="0"/>
              <w:kinsoku/>
              <w:wordWrap/>
              <w:overflowPunct/>
              <w:topLinePunct w:val="0"/>
              <w:autoSpaceDE/>
              <w:autoSpaceDN/>
              <w:bidi w:val="0"/>
              <w:adjustRightInd/>
              <w:snapToGrid/>
              <w:spacing w:line="240" w:lineRule="auto"/>
              <w:textAlignment w:val="auto"/>
              <w:rPr>
                <w:rFonts w:hint="eastAsia" w:ascii="宋体" w:hAnsi="宋体" w:eastAsia="宋体" w:cs="宋体"/>
                <w:color w:val="auto"/>
                <w:sz w:val="21"/>
                <w:szCs w:val="21"/>
                <w:highlight w:val="none"/>
              </w:rPr>
            </w:pPr>
            <w:r>
              <w:rPr>
                <w:rFonts w:hint="eastAsia" w:ascii="宋体" w:hAnsi="宋体" w:cs="宋体"/>
                <w:color w:val="auto"/>
                <w:szCs w:val="21"/>
              </w:rPr>
              <w:t>（本项所称“缺陷”是指内容缺项、不完整或缺少关键点；非专门针对本项目或不适用本项目特性、套用其他项目内容；对同一问题前后表述矛盾；存在逻辑漏洞、科学原理或常识错误；不利于本项目目标的实现、现有技术条件下不可能出现的情形等任意一种情形）</w:t>
            </w:r>
          </w:p>
        </w:tc>
      </w:tr>
      <w:tr w14:paraId="6BBB825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trPr>
        <w:tc>
          <w:tcPr>
            <w:tcW w:w="1653" w:type="dxa"/>
            <w:gridSpan w:val="2"/>
            <w:vMerge w:val="continue"/>
            <w:tcMar>
              <w:top w:w="28" w:type="dxa"/>
              <w:left w:w="28" w:type="dxa"/>
              <w:bottom w:w="28" w:type="dxa"/>
              <w:right w:w="28" w:type="dxa"/>
            </w:tcMar>
            <w:vAlign w:val="center"/>
          </w:tcPr>
          <w:p w14:paraId="145E182F">
            <w:pPr>
              <w:spacing w:before="100" w:beforeAutospacing="1" w:after="100" w:afterAutospacing="1"/>
              <w:jc w:val="center"/>
              <w:rPr>
                <w:rFonts w:hint="eastAsia" w:ascii="宋体" w:hAnsi="宋体" w:cs="宋体"/>
                <w:color w:val="auto"/>
                <w:sz w:val="21"/>
                <w:szCs w:val="21"/>
                <w:highlight w:val="none"/>
              </w:rPr>
            </w:pPr>
          </w:p>
        </w:tc>
        <w:tc>
          <w:tcPr>
            <w:tcW w:w="2235" w:type="dxa"/>
            <w:tcMar>
              <w:top w:w="28" w:type="dxa"/>
              <w:left w:w="28" w:type="dxa"/>
              <w:bottom w:w="28" w:type="dxa"/>
              <w:right w:w="28" w:type="dxa"/>
            </w:tcMar>
            <w:vAlign w:val="center"/>
          </w:tcPr>
          <w:p w14:paraId="435755E2">
            <w:pPr>
              <w:keepNext w:val="0"/>
              <w:keepLines w:val="0"/>
              <w:pageBreakBefore w:val="0"/>
              <w:widowControl w:val="0"/>
              <w:kinsoku/>
              <w:wordWrap/>
              <w:overflowPunct/>
              <w:topLinePunct w:val="0"/>
              <w:autoSpaceDE/>
              <w:autoSpaceDN/>
              <w:bidi w:val="0"/>
              <w:adjustRightInd/>
              <w:snapToGrid/>
              <w:spacing w:line="240" w:lineRule="auto"/>
              <w:jc w:val="center"/>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工期及进度计划保障</w:t>
            </w:r>
          </w:p>
          <w:p w14:paraId="196E385E">
            <w:pPr>
              <w:keepNext w:val="0"/>
              <w:keepLines w:val="0"/>
              <w:pageBreakBefore w:val="0"/>
              <w:widowControl w:val="0"/>
              <w:kinsoku/>
              <w:wordWrap/>
              <w:overflowPunct/>
              <w:topLinePunct w:val="0"/>
              <w:autoSpaceDE/>
              <w:autoSpaceDN/>
              <w:bidi w:val="0"/>
              <w:adjustRightInd/>
              <w:snapToGrid/>
              <w:spacing w:line="240" w:lineRule="auto"/>
              <w:jc w:val="center"/>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措施</w:t>
            </w:r>
          </w:p>
          <w:p w14:paraId="26E0F3AF">
            <w:pPr>
              <w:keepNext w:val="0"/>
              <w:keepLines w:val="0"/>
              <w:pageBreakBefore w:val="0"/>
              <w:widowControl w:val="0"/>
              <w:kinsoku/>
              <w:wordWrap/>
              <w:overflowPunct/>
              <w:topLinePunct w:val="0"/>
              <w:autoSpaceDE/>
              <w:autoSpaceDN/>
              <w:bidi w:val="0"/>
              <w:adjustRightInd/>
              <w:snapToGrid/>
              <w:spacing w:line="240" w:lineRule="auto"/>
              <w:jc w:val="center"/>
              <w:textAlignment w:val="auto"/>
              <w:rPr>
                <w:rFonts w:hint="eastAsia" w:ascii="宋体" w:hAnsi="宋体" w:eastAsia="宋体" w:cs="宋体"/>
                <w:b w:val="0"/>
                <w:bCs/>
                <w:color w:val="auto"/>
                <w:sz w:val="21"/>
                <w:szCs w:val="21"/>
                <w:highlight w:val="none"/>
                <w:lang w:val="zh-TW" w:eastAsia="zh-CN"/>
              </w:rPr>
            </w:pPr>
            <w:r>
              <w:rPr>
                <w:rFonts w:hint="eastAsia" w:ascii="宋体" w:hAnsi="宋体" w:eastAsia="宋体" w:cs="宋体"/>
                <w:color w:val="auto"/>
                <w:sz w:val="21"/>
                <w:szCs w:val="21"/>
                <w:highlight w:val="none"/>
              </w:rPr>
              <w:t>（满分</w:t>
            </w:r>
            <w:r>
              <w:rPr>
                <w:rFonts w:hint="eastAsia" w:ascii="宋体" w:hAnsi="宋体" w:cs="宋体"/>
                <w:color w:val="auto"/>
                <w:sz w:val="21"/>
                <w:szCs w:val="21"/>
                <w:highlight w:val="none"/>
                <w:lang w:val="en-US" w:eastAsia="zh-CN"/>
              </w:rPr>
              <w:t>9</w:t>
            </w:r>
            <w:r>
              <w:rPr>
                <w:rFonts w:hint="eastAsia" w:ascii="宋体" w:hAnsi="宋体" w:eastAsia="宋体" w:cs="宋体"/>
                <w:color w:val="auto"/>
                <w:sz w:val="21"/>
                <w:szCs w:val="21"/>
                <w:highlight w:val="none"/>
              </w:rPr>
              <w:t>分</w:t>
            </w:r>
            <w:r>
              <w:rPr>
                <w:rFonts w:hint="eastAsia" w:ascii="宋体" w:hAnsi="宋体" w:eastAsia="宋体" w:cs="宋体"/>
                <w:color w:val="auto"/>
                <w:sz w:val="21"/>
                <w:szCs w:val="21"/>
                <w:highlight w:val="none"/>
                <w:lang w:eastAsia="zh-CN"/>
              </w:rPr>
              <w:t>）</w:t>
            </w:r>
          </w:p>
        </w:tc>
        <w:tc>
          <w:tcPr>
            <w:tcW w:w="6122" w:type="dxa"/>
            <w:tcMar>
              <w:top w:w="28" w:type="dxa"/>
              <w:left w:w="28" w:type="dxa"/>
              <w:bottom w:w="28" w:type="dxa"/>
              <w:right w:w="28" w:type="dxa"/>
            </w:tcMar>
            <w:vAlign w:val="top"/>
          </w:tcPr>
          <w:p w14:paraId="57AFBBCD">
            <w:pPr>
              <w:pStyle w:val="31"/>
              <w:keepNext w:val="0"/>
              <w:keepLines w:val="0"/>
              <w:pageBreakBefore w:val="0"/>
              <w:widowControl w:val="0"/>
              <w:kinsoku/>
              <w:wordWrap/>
              <w:overflowPunct/>
              <w:topLinePunct w:val="0"/>
              <w:autoSpaceDE/>
              <w:autoSpaceDN/>
              <w:bidi w:val="0"/>
              <w:adjustRightInd/>
              <w:snapToGrid/>
              <w:spacing w:after="0" w:line="240" w:lineRule="auto"/>
              <w:textAlignment w:val="auto"/>
              <w:rPr>
                <w:rFonts w:hint="eastAsia" w:ascii="宋体" w:hAnsi="宋体" w:cs="宋体"/>
                <w:color w:val="auto"/>
                <w:szCs w:val="21"/>
              </w:rPr>
            </w:pPr>
            <w:r>
              <w:rPr>
                <w:rFonts w:hint="eastAsia" w:ascii="宋体" w:hAnsi="宋体" w:cs="宋体"/>
                <w:color w:val="auto"/>
                <w:szCs w:val="21"/>
              </w:rPr>
              <w:t>根据响应文件中的工期及进度计划保障措施进行评审：</w:t>
            </w:r>
          </w:p>
          <w:p w14:paraId="51D8BCE1">
            <w:pPr>
              <w:pStyle w:val="31"/>
              <w:keepNext w:val="0"/>
              <w:keepLines w:val="0"/>
              <w:pageBreakBefore w:val="0"/>
              <w:widowControl w:val="0"/>
              <w:kinsoku/>
              <w:wordWrap/>
              <w:overflowPunct/>
              <w:topLinePunct w:val="0"/>
              <w:autoSpaceDE/>
              <w:autoSpaceDN/>
              <w:bidi w:val="0"/>
              <w:adjustRightInd/>
              <w:snapToGrid/>
              <w:spacing w:after="0" w:line="240" w:lineRule="auto"/>
              <w:textAlignment w:val="auto"/>
              <w:rPr>
                <w:rFonts w:hint="eastAsia" w:ascii="宋体" w:hAnsi="宋体" w:cs="宋体"/>
                <w:color w:val="auto"/>
                <w:szCs w:val="21"/>
              </w:rPr>
            </w:pPr>
            <w:r>
              <w:rPr>
                <w:rFonts w:hint="eastAsia" w:ascii="宋体" w:hAnsi="宋体" w:cs="宋体"/>
                <w:color w:val="auto"/>
                <w:szCs w:val="21"/>
              </w:rPr>
              <w:t>至少包括1.工期保障措施及承诺、2.项目实施进度计划安排及保障措施、3.工期、进度计划违约责任。</w:t>
            </w:r>
          </w:p>
          <w:p w14:paraId="2DB750A7">
            <w:pPr>
              <w:pStyle w:val="31"/>
              <w:keepNext w:val="0"/>
              <w:keepLines w:val="0"/>
              <w:pageBreakBefore w:val="0"/>
              <w:widowControl w:val="0"/>
              <w:kinsoku/>
              <w:wordWrap/>
              <w:overflowPunct/>
              <w:topLinePunct w:val="0"/>
              <w:autoSpaceDE/>
              <w:autoSpaceDN/>
              <w:bidi w:val="0"/>
              <w:adjustRightInd/>
              <w:snapToGrid/>
              <w:spacing w:after="0" w:line="240" w:lineRule="auto"/>
              <w:textAlignment w:val="auto"/>
              <w:rPr>
                <w:rFonts w:hint="eastAsia" w:ascii="宋体" w:hAnsi="宋体" w:cs="宋体"/>
                <w:color w:val="auto"/>
                <w:szCs w:val="21"/>
              </w:rPr>
            </w:pPr>
            <w:r>
              <w:rPr>
                <w:rFonts w:hint="eastAsia" w:ascii="宋体" w:hAnsi="宋体" w:cs="宋体"/>
                <w:color w:val="auto"/>
                <w:szCs w:val="21"/>
              </w:rPr>
              <w:t>以上3项内容每项3分，无漏项、无缺陷得9分，每缺少一项扣3分；每有一项内容存在缺陷的扣1.5分，未提供相关内容的不得分。</w:t>
            </w:r>
          </w:p>
          <w:p w14:paraId="3269551D">
            <w:pPr>
              <w:pStyle w:val="31"/>
              <w:keepNext w:val="0"/>
              <w:keepLines w:val="0"/>
              <w:pageBreakBefore w:val="0"/>
              <w:widowControl w:val="0"/>
              <w:kinsoku/>
              <w:wordWrap/>
              <w:overflowPunct/>
              <w:topLinePunct w:val="0"/>
              <w:autoSpaceDE/>
              <w:autoSpaceDN/>
              <w:bidi w:val="0"/>
              <w:adjustRightInd/>
              <w:snapToGrid/>
              <w:spacing w:after="0" w:line="240" w:lineRule="auto"/>
              <w:textAlignment w:val="auto"/>
              <w:rPr>
                <w:rFonts w:hint="eastAsia" w:ascii="宋体" w:hAnsi="宋体" w:eastAsia="宋体" w:cs="宋体"/>
                <w:color w:val="auto"/>
                <w:sz w:val="21"/>
                <w:szCs w:val="21"/>
                <w:highlight w:val="none"/>
              </w:rPr>
            </w:pPr>
            <w:r>
              <w:rPr>
                <w:rFonts w:hint="eastAsia" w:ascii="宋体" w:hAnsi="宋体" w:cs="宋体"/>
                <w:color w:val="auto"/>
                <w:szCs w:val="21"/>
              </w:rPr>
              <w:t>（本项所称“缺陷”是指内容缺项、不完整或缺少关键点；非专门针对本项目或不适用本项目特性、套用其他项目内容；对同一问题前后表述矛盾；存在逻辑漏洞、科学原理或常识错误；不利于本项目目标的实现、现有技术条件下不可能出现的情形等任意一种情形）</w:t>
            </w:r>
          </w:p>
        </w:tc>
      </w:tr>
      <w:tr w14:paraId="7AC6874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9" w:hRule="atLeast"/>
        </w:trPr>
        <w:tc>
          <w:tcPr>
            <w:tcW w:w="1653" w:type="dxa"/>
            <w:gridSpan w:val="2"/>
            <w:vMerge w:val="continue"/>
            <w:tcMar>
              <w:top w:w="28" w:type="dxa"/>
              <w:left w:w="28" w:type="dxa"/>
              <w:bottom w:w="28" w:type="dxa"/>
              <w:right w:w="28" w:type="dxa"/>
            </w:tcMar>
            <w:vAlign w:val="center"/>
          </w:tcPr>
          <w:p w14:paraId="5628F051">
            <w:pPr>
              <w:spacing w:before="100" w:beforeAutospacing="1" w:after="100" w:afterAutospacing="1"/>
              <w:jc w:val="center"/>
              <w:rPr>
                <w:rFonts w:ascii="宋体" w:hAnsi="宋体" w:cs="宋体"/>
                <w:color w:val="auto"/>
                <w:sz w:val="21"/>
                <w:szCs w:val="21"/>
                <w:highlight w:val="none"/>
              </w:rPr>
            </w:pPr>
          </w:p>
        </w:tc>
        <w:tc>
          <w:tcPr>
            <w:tcW w:w="2235" w:type="dxa"/>
            <w:tcMar>
              <w:top w:w="28" w:type="dxa"/>
              <w:left w:w="28" w:type="dxa"/>
              <w:bottom w:w="28" w:type="dxa"/>
              <w:right w:w="28" w:type="dxa"/>
            </w:tcMar>
            <w:vAlign w:val="center"/>
          </w:tcPr>
          <w:p w14:paraId="67789269">
            <w:pPr>
              <w:keepNext w:val="0"/>
              <w:keepLines w:val="0"/>
              <w:pageBreakBefore w:val="0"/>
              <w:widowControl w:val="0"/>
              <w:kinsoku/>
              <w:wordWrap/>
              <w:overflowPunct/>
              <w:topLinePunct w:val="0"/>
              <w:autoSpaceDE/>
              <w:autoSpaceDN/>
              <w:bidi w:val="0"/>
              <w:adjustRightInd/>
              <w:snapToGrid/>
              <w:spacing w:line="240" w:lineRule="auto"/>
              <w:jc w:val="center"/>
              <w:textAlignment w:val="auto"/>
              <w:rPr>
                <w:rFonts w:hint="eastAsia" w:ascii="宋体" w:hAnsi="宋体" w:eastAsia="宋体" w:cs="宋体"/>
                <w:b/>
                <w:bCs/>
                <w:color w:val="auto"/>
                <w:sz w:val="21"/>
                <w:szCs w:val="21"/>
                <w:highlight w:val="none"/>
              </w:rPr>
            </w:pPr>
            <w:r>
              <w:rPr>
                <w:rFonts w:hint="eastAsia" w:ascii="宋体" w:hAnsi="宋体" w:eastAsia="宋体" w:cs="宋体"/>
                <w:color w:val="auto"/>
                <w:sz w:val="21"/>
                <w:szCs w:val="21"/>
                <w:highlight w:val="none"/>
              </w:rPr>
              <w:t>安全文明施工保证措施（满分</w:t>
            </w:r>
            <w:r>
              <w:rPr>
                <w:rFonts w:hint="eastAsia" w:ascii="宋体" w:hAnsi="宋体" w:cs="宋体"/>
                <w:color w:val="auto"/>
                <w:sz w:val="21"/>
                <w:szCs w:val="21"/>
                <w:highlight w:val="none"/>
                <w:lang w:val="en-US" w:eastAsia="zh-CN"/>
              </w:rPr>
              <w:t>9</w:t>
            </w:r>
            <w:r>
              <w:rPr>
                <w:rFonts w:hint="eastAsia" w:ascii="宋体" w:hAnsi="宋体" w:eastAsia="宋体" w:cs="宋体"/>
                <w:color w:val="auto"/>
                <w:sz w:val="21"/>
                <w:szCs w:val="21"/>
                <w:highlight w:val="none"/>
              </w:rPr>
              <w:t>分</w:t>
            </w:r>
            <w:r>
              <w:rPr>
                <w:rFonts w:hint="eastAsia" w:ascii="宋体" w:hAnsi="宋体" w:eastAsia="宋体" w:cs="宋体"/>
                <w:color w:val="auto"/>
                <w:sz w:val="21"/>
                <w:szCs w:val="21"/>
                <w:highlight w:val="none"/>
                <w:lang w:eastAsia="zh-CN"/>
              </w:rPr>
              <w:t>）</w:t>
            </w:r>
          </w:p>
        </w:tc>
        <w:tc>
          <w:tcPr>
            <w:tcW w:w="6122" w:type="dxa"/>
            <w:tcMar>
              <w:top w:w="28" w:type="dxa"/>
              <w:left w:w="28" w:type="dxa"/>
              <w:bottom w:w="28" w:type="dxa"/>
              <w:right w:w="28" w:type="dxa"/>
            </w:tcMar>
            <w:vAlign w:val="top"/>
          </w:tcPr>
          <w:p w14:paraId="2E57FF97">
            <w:pPr>
              <w:keepNext w:val="0"/>
              <w:keepLines w:val="0"/>
              <w:pageBreakBefore w:val="0"/>
              <w:widowControl w:val="0"/>
              <w:kinsoku/>
              <w:wordWrap/>
              <w:overflowPunct/>
              <w:topLinePunct w:val="0"/>
              <w:autoSpaceDE/>
              <w:autoSpaceDN/>
              <w:bidi w:val="0"/>
              <w:adjustRightInd/>
              <w:snapToGrid/>
              <w:spacing w:line="240" w:lineRule="auto"/>
              <w:textAlignment w:val="auto"/>
              <w:rPr>
                <w:rFonts w:hint="eastAsia" w:ascii="宋体" w:hAnsi="宋体" w:cs="宋体"/>
                <w:color w:val="auto"/>
                <w:szCs w:val="21"/>
              </w:rPr>
            </w:pPr>
            <w:r>
              <w:rPr>
                <w:rFonts w:hint="eastAsia" w:ascii="宋体" w:hAnsi="宋体" w:cs="宋体"/>
                <w:color w:val="auto"/>
                <w:szCs w:val="21"/>
              </w:rPr>
              <w:t>根据响应文件中的安全文明施工保证措施进行评审：</w:t>
            </w:r>
          </w:p>
          <w:p w14:paraId="7C60B853">
            <w:pPr>
              <w:keepNext w:val="0"/>
              <w:keepLines w:val="0"/>
              <w:pageBreakBefore w:val="0"/>
              <w:widowControl w:val="0"/>
              <w:kinsoku/>
              <w:wordWrap/>
              <w:overflowPunct/>
              <w:topLinePunct w:val="0"/>
              <w:autoSpaceDE/>
              <w:autoSpaceDN/>
              <w:bidi w:val="0"/>
              <w:adjustRightInd/>
              <w:snapToGrid/>
              <w:spacing w:line="240" w:lineRule="auto"/>
              <w:textAlignment w:val="auto"/>
              <w:rPr>
                <w:rFonts w:hint="eastAsia" w:ascii="宋体" w:hAnsi="宋体" w:cs="宋体"/>
                <w:color w:val="auto"/>
                <w:szCs w:val="21"/>
              </w:rPr>
            </w:pPr>
            <w:r>
              <w:rPr>
                <w:rFonts w:hint="eastAsia" w:ascii="宋体" w:hAnsi="宋体" w:cs="宋体"/>
                <w:color w:val="auto"/>
                <w:szCs w:val="21"/>
              </w:rPr>
              <w:t>至少包括1.安全文明施工目标、2.安全文明管理人员设置、3.安全文明管理制度。</w:t>
            </w:r>
          </w:p>
          <w:p w14:paraId="474E59BA">
            <w:pPr>
              <w:keepNext w:val="0"/>
              <w:keepLines w:val="0"/>
              <w:pageBreakBefore w:val="0"/>
              <w:widowControl w:val="0"/>
              <w:kinsoku/>
              <w:wordWrap/>
              <w:overflowPunct/>
              <w:topLinePunct w:val="0"/>
              <w:autoSpaceDE/>
              <w:autoSpaceDN/>
              <w:bidi w:val="0"/>
              <w:adjustRightInd/>
              <w:snapToGrid/>
              <w:spacing w:line="240" w:lineRule="auto"/>
              <w:textAlignment w:val="auto"/>
              <w:rPr>
                <w:rFonts w:hint="eastAsia" w:ascii="宋体" w:hAnsi="宋体" w:cs="宋体"/>
                <w:color w:val="auto"/>
                <w:szCs w:val="21"/>
              </w:rPr>
            </w:pPr>
            <w:r>
              <w:rPr>
                <w:rFonts w:hint="eastAsia" w:ascii="宋体" w:hAnsi="宋体" w:cs="宋体"/>
                <w:color w:val="auto"/>
                <w:szCs w:val="21"/>
              </w:rPr>
              <w:t>以上3项内容每项3分，无漏项、无缺陷得9分，每缺少一项扣3分；每有一项内容存在缺陷的扣1.5分，未提供相关内容的不得分。</w:t>
            </w:r>
          </w:p>
          <w:p w14:paraId="14D6A34A">
            <w:pPr>
              <w:keepNext w:val="0"/>
              <w:keepLines w:val="0"/>
              <w:pageBreakBefore w:val="0"/>
              <w:widowControl w:val="0"/>
              <w:kinsoku/>
              <w:wordWrap/>
              <w:overflowPunct/>
              <w:topLinePunct w:val="0"/>
              <w:autoSpaceDE/>
              <w:autoSpaceDN/>
              <w:bidi w:val="0"/>
              <w:adjustRightInd/>
              <w:snapToGrid/>
              <w:spacing w:line="240" w:lineRule="auto"/>
              <w:textAlignment w:val="auto"/>
              <w:rPr>
                <w:rFonts w:hint="eastAsia" w:ascii="宋体" w:hAnsi="宋体" w:eastAsia="宋体" w:cs="宋体"/>
                <w:color w:val="auto"/>
                <w:sz w:val="21"/>
                <w:szCs w:val="21"/>
                <w:highlight w:val="none"/>
              </w:rPr>
            </w:pPr>
            <w:r>
              <w:rPr>
                <w:rFonts w:hint="eastAsia" w:ascii="宋体" w:hAnsi="宋体" w:cs="宋体"/>
                <w:color w:val="auto"/>
                <w:szCs w:val="21"/>
              </w:rPr>
              <w:t>（本项所称“缺陷”是指内容缺项、不完整或缺少关键点；非专门针对本项目或不适用本项目特性、套用其他项目内容；对同一问题前后表述矛盾；存在逻辑漏洞、科学原理或常识错误；不利于本项目目标的实现、现有技术条件下不可能出现的情形等任意一种情形）</w:t>
            </w:r>
          </w:p>
        </w:tc>
      </w:tr>
      <w:tr w14:paraId="31E609E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12" w:hRule="atLeast"/>
        </w:trPr>
        <w:tc>
          <w:tcPr>
            <w:tcW w:w="1653" w:type="dxa"/>
            <w:gridSpan w:val="2"/>
            <w:vMerge w:val="continue"/>
            <w:tcMar>
              <w:top w:w="28" w:type="dxa"/>
              <w:left w:w="28" w:type="dxa"/>
              <w:bottom w:w="28" w:type="dxa"/>
              <w:right w:w="28" w:type="dxa"/>
            </w:tcMar>
            <w:vAlign w:val="center"/>
          </w:tcPr>
          <w:p w14:paraId="3E47B5B9">
            <w:pPr>
              <w:adjustRightInd w:val="0"/>
              <w:snapToGrid w:val="0"/>
              <w:jc w:val="center"/>
              <w:rPr>
                <w:rFonts w:ascii="宋体" w:hAnsi="宋体" w:cs="宋体"/>
                <w:color w:val="auto"/>
                <w:sz w:val="21"/>
                <w:szCs w:val="21"/>
                <w:highlight w:val="none"/>
              </w:rPr>
            </w:pPr>
          </w:p>
        </w:tc>
        <w:tc>
          <w:tcPr>
            <w:tcW w:w="2235" w:type="dxa"/>
            <w:tcMar>
              <w:top w:w="28" w:type="dxa"/>
              <w:left w:w="28" w:type="dxa"/>
              <w:bottom w:w="28" w:type="dxa"/>
              <w:right w:w="28" w:type="dxa"/>
            </w:tcMar>
            <w:vAlign w:val="center"/>
          </w:tcPr>
          <w:p w14:paraId="7BF2E47C">
            <w:pPr>
              <w:keepNext w:val="0"/>
              <w:keepLines w:val="0"/>
              <w:pageBreakBefore w:val="0"/>
              <w:widowControl w:val="0"/>
              <w:kinsoku/>
              <w:wordWrap/>
              <w:overflowPunct/>
              <w:topLinePunct w:val="0"/>
              <w:autoSpaceDE/>
              <w:autoSpaceDN/>
              <w:bidi w:val="0"/>
              <w:adjustRightInd/>
              <w:snapToGrid/>
              <w:spacing w:line="240" w:lineRule="auto"/>
              <w:jc w:val="center"/>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施工机械及材料投入计划</w:t>
            </w:r>
          </w:p>
          <w:p w14:paraId="41B77841">
            <w:pPr>
              <w:keepNext w:val="0"/>
              <w:keepLines w:val="0"/>
              <w:pageBreakBefore w:val="0"/>
              <w:widowControl w:val="0"/>
              <w:kinsoku/>
              <w:wordWrap/>
              <w:overflowPunct/>
              <w:topLinePunct w:val="0"/>
              <w:autoSpaceDE/>
              <w:autoSpaceDN/>
              <w:bidi w:val="0"/>
              <w:adjustRightInd/>
              <w:snapToGrid/>
              <w:spacing w:line="240" w:lineRule="auto"/>
              <w:jc w:val="center"/>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（满分</w:t>
            </w:r>
            <w:r>
              <w:rPr>
                <w:rFonts w:hint="eastAsia" w:ascii="宋体" w:hAnsi="宋体" w:cs="宋体"/>
                <w:color w:val="auto"/>
                <w:sz w:val="21"/>
                <w:szCs w:val="21"/>
                <w:highlight w:val="none"/>
                <w:lang w:val="en-US" w:eastAsia="zh-CN"/>
              </w:rPr>
              <w:t>12</w:t>
            </w:r>
            <w:r>
              <w:rPr>
                <w:rFonts w:hint="eastAsia" w:ascii="宋体" w:hAnsi="宋体" w:eastAsia="宋体" w:cs="宋体"/>
                <w:color w:val="auto"/>
                <w:sz w:val="21"/>
                <w:szCs w:val="21"/>
                <w:highlight w:val="none"/>
              </w:rPr>
              <w:t>分</w:t>
            </w:r>
            <w:r>
              <w:rPr>
                <w:rFonts w:hint="eastAsia" w:ascii="宋体" w:hAnsi="宋体" w:eastAsia="宋体" w:cs="宋体"/>
                <w:color w:val="auto"/>
                <w:sz w:val="21"/>
                <w:szCs w:val="21"/>
                <w:highlight w:val="none"/>
                <w:lang w:eastAsia="zh-CN"/>
              </w:rPr>
              <w:t>）</w:t>
            </w:r>
          </w:p>
        </w:tc>
        <w:tc>
          <w:tcPr>
            <w:tcW w:w="6122" w:type="dxa"/>
            <w:tcMar>
              <w:top w:w="28" w:type="dxa"/>
              <w:left w:w="28" w:type="dxa"/>
              <w:bottom w:w="28" w:type="dxa"/>
              <w:right w:w="28" w:type="dxa"/>
            </w:tcMar>
            <w:vAlign w:val="top"/>
          </w:tcPr>
          <w:p w14:paraId="0E7C7691">
            <w:pPr>
              <w:keepNext w:val="0"/>
              <w:keepLines w:val="0"/>
              <w:pageBreakBefore w:val="0"/>
              <w:widowControl w:val="0"/>
              <w:kinsoku/>
              <w:wordWrap/>
              <w:overflowPunct/>
              <w:topLinePunct w:val="0"/>
              <w:autoSpaceDE/>
              <w:autoSpaceDN/>
              <w:bidi w:val="0"/>
              <w:adjustRightInd/>
              <w:snapToGrid/>
              <w:spacing w:line="240" w:lineRule="auto"/>
              <w:jc w:val="left"/>
              <w:textAlignment w:val="auto"/>
              <w:rPr>
                <w:rFonts w:hint="eastAsia" w:ascii="宋体" w:hAnsi="宋体" w:cs="宋体"/>
                <w:color w:val="auto"/>
                <w:szCs w:val="21"/>
              </w:rPr>
            </w:pPr>
            <w:r>
              <w:rPr>
                <w:rFonts w:hint="eastAsia" w:ascii="宋体" w:hAnsi="宋体" w:cs="宋体"/>
                <w:color w:val="auto"/>
                <w:szCs w:val="21"/>
              </w:rPr>
              <w:t>根据响应文件中的施工机械及材料投入计划进行评审：</w:t>
            </w:r>
          </w:p>
          <w:p w14:paraId="2EB22844">
            <w:pPr>
              <w:keepNext w:val="0"/>
              <w:keepLines w:val="0"/>
              <w:pageBreakBefore w:val="0"/>
              <w:widowControl w:val="0"/>
              <w:kinsoku/>
              <w:wordWrap/>
              <w:overflowPunct/>
              <w:topLinePunct w:val="0"/>
              <w:autoSpaceDE/>
              <w:autoSpaceDN/>
              <w:bidi w:val="0"/>
              <w:adjustRightInd/>
              <w:snapToGrid/>
              <w:spacing w:line="240" w:lineRule="auto"/>
              <w:jc w:val="left"/>
              <w:textAlignment w:val="auto"/>
              <w:rPr>
                <w:rFonts w:hint="eastAsia" w:ascii="宋体" w:hAnsi="宋体" w:cs="宋体"/>
                <w:color w:val="auto"/>
                <w:szCs w:val="21"/>
              </w:rPr>
            </w:pPr>
            <w:r>
              <w:rPr>
                <w:rFonts w:hint="eastAsia" w:ascii="宋体" w:hAnsi="宋体" w:cs="宋体"/>
                <w:color w:val="auto"/>
                <w:szCs w:val="21"/>
              </w:rPr>
              <w:t>至少包括1.施工机械投入明细及机械配置原则、2.施工机械进场安排及管理措施、3.采购计划及材料检测、4.周转料具投入保障措施。</w:t>
            </w:r>
          </w:p>
          <w:p w14:paraId="04499A7D">
            <w:pPr>
              <w:keepNext w:val="0"/>
              <w:keepLines w:val="0"/>
              <w:pageBreakBefore w:val="0"/>
              <w:widowControl w:val="0"/>
              <w:kinsoku/>
              <w:wordWrap/>
              <w:overflowPunct/>
              <w:topLinePunct w:val="0"/>
              <w:autoSpaceDE/>
              <w:autoSpaceDN/>
              <w:bidi w:val="0"/>
              <w:adjustRightInd/>
              <w:snapToGrid/>
              <w:spacing w:line="240" w:lineRule="auto"/>
              <w:jc w:val="left"/>
              <w:textAlignment w:val="auto"/>
              <w:rPr>
                <w:rFonts w:hint="eastAsia" w:ascii="宋体" w:hAnsi="宋体" w:cs="宋体"/>
                <w:color w:val="auto"/>
                <w:szCs w:val="21"/>
              </w:rPr>
            </w:pPr>
            <w:r>
              <w:rPr>
                <w:rFonts w:hint="eastAsia" w:ascii="宋体" w:hAnsi="宋体" w:cs="宋体"/>
                <w:color w:val="auto"/>
                <w:szCs w:val="21"/>
              </w:rPr>
              <w:t>以上4项内容每项3分，无漏项、无缺陷得12分，每缺少一项扣3分；每有一项内容存在缺陷的扣1.5分，未提供相关内容的不得分。</w:t>
            </w:r>
          </w:p>
          <w:p w14:paraId="19D28665">
            <w:pPr>
              <w:keepNext w:val="0"/>
              <w:keepLines w:val="0"/>
              <w:pageBreakBefore w:val="0"/>
              <w:widowControl w:val="0"/>
              <w:kinsoku/>
              <w:wordWrap/>
              <w:overflowPunct/>
              <w:topLinePunct w:val="0"/>
              <w:autoSpaceDE/>
              <w:autoSpaceDN/>
              <w:bidi w:val="0"/>
              <w:adjustRightInd/>
              <w:snapToGrid/>
              <w:spacing w:line="240" w:lineRule="auto"/>
              <w:jc w:val="left"/>
              <w:textAlignment w:val="auto"/>
              <w:rPr>
                <w:rFonts w:hint="eastAsia" w:ascii="宋体" w:hAnsi="宋体" w:eastAsia="宋体" w:cs="宋体"/>
                <w:b/>
                <w:bCs/>
                <w:color w:val="auto"/>
                <w:sz w:val="21"/>
                <w:szCs w:val="21"/>
                <w:highlight w:val="none"/>
              </w:rPr>
            </w:pPr>
            <w:r>
              <w:rPr>
                <w:rFonts w:hint="eastAsia" w:ascii="宋体" w:hAnsi="宋体" w:cs="宋体"/>
                <w:color w:val="auto"/>
                <w:szCs w:val="21"/>
              </w:rPr>
              <w:t>（本项所称“缺陷”是指内容缺项、不完整或缺少关键点；非专门针对本项目或不适用本项目特性、套用其他项目内容；对同一问题前后表述矛盾；存在逻辑漏洞、科学原理或常识错误；不利于本项目目标的实现、现有技术条件下不可能出现的情形等任意一种情形）</w:t>
            </w:r>
          </w:p>
        </w:tc>
      </w:tr>
      <w:tr w14:paraId="6E711C8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358" w:hRule="atLeast"/>
        </w:trPr>
        <w:tc>
          <w:tcPr>
            <w:tcW w:w="1653" w:type="dxa"/>
            <w:gridSpan w:val="2"/>
            <w:vMerge w:val="continue"/>
            <w:tcMar>
              <w:top w:w="28" w:type="dxa"/>
              <w:left w:w="28" w:type="dxa"/>
              <w:bottom w:w="28" w:type="dxa"/>
              <w:right w:w="28" w:type="dxa"/>
            </w:tcMar>
            <w:vAlign w:val="center"/>
          </w:tcPr>
          <w:p w14:paraId="12D8B6C5">
            <w:pPr>
              <w:adjustRightInd w:val="0"/>
              <w:snapToGrid w:val="0"/>
              <w:jc w:val="center"/>
              <w:rPr>
                <w:rFonts w:ascii="宋体" w:hAnsi="宋体" w:cs="宋体"/>
                <w:color w:val="auto"/>
                <w:sz w:val="21"/>
                <w:szCs w:val="21"/>
                <w:highlight w:val="none"/>
              </w:rPr>
            </w:pPr>
          </w:p>
        </w:tc>
        <w:tc>
          <w:tcPr>
            <w:tcW w:w="2235" w:type="dxa"/>
            <w:tcMar>
              <w:top w:w="28" w:type="dxa"/>
              <w:left w:w="28" w:type="dxa"/>
              <w:bottom w:w="28" w:type="dxa"/>
              <w:right w:w="28" w:type="dxa"/>
            </w:tcMar>
            <w:vAlign w:val="center"/>
          </w:tcPr>
          <w:p w14:paraId="5BEAF626">
            <w:pPr>
              <w:keepNext w:val="0"/>
              <w:keepLines w:val="0"/>
              <w:pageBreakBefore w:val="0"/>
              <w:widowControl w:val="0"/>
              <w:kinsoku/>
              <w:wordWrap/>
              <w:overflowPunct/>
              <w:topLinePunct w:val="0"/>
              <w:autoSpaceDE/>
              <w:autoSpaceDN/>
              <w:bidi w:val="0"/>
              <w:adjustRightInd/>
              <w:snapToGrid/>
              <w:spacing w:line="240" w:lineRule="auto"/>
              <w:jc w:val="center"/>
              <w:textAlignment w:val="auto"/>
              <w:rPr>
                <w:rFonts w:hint="eastAsia" w:ascii="宋体" w:hAnsi="宋体"/>
                <w:b w:val="0"/>
                <w:bCs/>
                <w:szCs w:val="21"/>
              </w:rPr>
            </w:pPr>
            <w:r>
              <w:rPr>
                <w:rFonts w:hint="eastAsia" w:ascii="宋体" w:hAnsi="宋体"/>
                <w:b w:val="0"/>
                <w:bCs/>
                <w:szCs w:val="21"/>
              </w:rPr>
              <w:t>项目管理人员配置</w:t>
            </w:r>
          </w:p>
          <w:p w14:paraId="44F0F63D">
            <w:pPr>
              <w:keepNext w:val="0"/>
              <w:keepLines w:val="0"/>
              <w:pageBreakBefore w:val="0"/>
              <w:widowControl w:val="0"/>
              <w:kinsoku/>
              <w:wordWrap/>
              <w:overflowPunct/>
              <w:topLinePunct w:val="0"/>
              <w:autoSpaceDE/>
              <w:autoSpaceDN/>
              <w:bidi w:val="0"/>
              <w:adjustRightInd/>
              <w:snapToGrid/>
              <w:spacing w:line="240" w:lineRule="auto"/>
              <w:jc w:val="center"/>
              <w:textAlignment w:val="auto"/>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rPr>
              <w:t>（满分</w:t>
            </w:r>
            <w:r>
              <w:rPr>
                <w:rFonts w:hint="eastAsia" w:ascii="宋体" w:hAnsi="宋体" w:cs="宋体"/>
                <w:color w:val="auto"/>
                <w:sz w:val="21"/>
                <w:szCs w:val="21"/>
                <w:highlight w:val="none"/>
                <w:lang w:val="en-US" w:eastAsia="zh-CN"/>
              </w:rPr>
              <w:t>10</w:t>
            </w:r>
            <w:r>
              <w:rPr>
                <w:rFonts w:hint="eastAsia" w:ascii="宋体" w:hAnsi="宋体" w:eastAsia="宋体" w:cs="宋体"/>
                <w:color w:val="auto"/>
                <w:sz w:val="21"/>
                <w:szCs w:val="21"/>
                <w:highlight w:val="none"/>
              </w:rPr>
              <w:t>分</w:t>
            </w:r>
            <w:r>
              <w:rPr>
                <w:rFonts w:hint="eastAsia" w:ascii="宋体" w:hAnsi="宋体" w:eastAsia="宋体" w:cs="宋体"/>
                <w:color w:val="auto"/>
                <w:sz w:val="21"/>
                <w:szCs w:val="21"/>
                <w:highlight w:val="none"/>
                <w:lang w:eastAsia="zh-CN"/>
              </w:rPr>
              <w:t>）</w:t>
            </w:r>
          </w:p>
        </w:tc>
        <w:tc>
          <w:tcPr>
            <w:tcW w:w="6122" w:type="dxa"/>
            <w:tcMar>
              <w:top w:w="28" w:type="dxa"/>
              <w:left w:w="28" w:type="dxa"/>
              <w:bottom w:w="28" w:type="dxa"/>
              <w:right w:w="28" w:type="dxa"/>
            </w:tcMar>
            <w:vAlign w:val="top"/>
          </w:tcPr>
          <w:p w14:paraId="7F4C0132">
            <w:pPr>
              <w:keepNext w:val="0"/>
              <w:keepLines w:val="0"/>
              <w:pageBreakBefore w:val="0"/>
              <w:widowControl w:val="0"/>
              <w:kinsoku/>
              <w:wordWrap/>
              <w:overflowPunct/>
              <w:topLinePunct w:val="0"/>
              <w:autoSpaceDE/>
              <w:autoSpaceDN/>
              <w:bidi w:val="0"/>
              <w:adjustRightInd/>
              <w:snapToGrid/>
              <w:spacing w:line="240" w:lineRule="auto"/>
              <w:textAlignment w:val="auto"/>
              <w:rPr>
                <w:rFonts w:hint="eastAsia" w:ascii="宋体" w:hAnsi="宋体" w:cs="宋体"/>
                <w:color w:val="auto"/>
                <w:szCs w:val="21"/>
              </w:rPr>
            </w:pPr>
            <w:r>
              <w:rPr>
                <w:rFonts w:hint="eastAsia" w:ascii="宋体" w:hAnsi="宋体" w:cs="宋体"/>
                <w:color w:val="auto"/>
                <w:szCs w:val="21"/>
              </w:rPr>
              <w:t>（1）项目负责人（满分4分）</w:t>
            </w:r>
          </w:p>
          <w:p w14:paraId="7D06E9E4">
            <w:pPr>
              <w:keepNext w:val="0"/>
              <w:keepLines w:val="0"/>
              <w:pageBreakBefore w:val="0"/>
              <w:widowControl w:val="0"/>
              <w:kinsoku/>
              <w:wordWrap/>
              <w:overflowPunct/>
              <w:topLinePunct w:val="0"/>
              <w:autoSpaceDE/>
              <w:autoSpaceDN/>
              <w:bidi w:val="0"/>
              <w:adjustRightInd/>
              <w:snapToGrid/>
              <w:spacing w:line="240" w:lineRule="auto"/>
              <w:textAlignment w:val="auto"/>
              <w:rPr>
                <w:rFonts w:hint="eastAsia" w:ascii="宋体" w:hAnsi="宋体" w:cs="宋体"/>
                <w:color w:val="auto"/>
                <w:szCs w:val="21"/>
              </w:rPr>
            </w:pPr>
            <w:r>
              <w:rPr>
                <w:rFonts w:hint="eastAsia" w:ascii="宋体" w:hAnsi="宋体" w:cs="宋体"/>
                <w:color w:val="auto"/>
                <w:szCs w:val="21"/>
              </w:rPr>
              <w:t>①项目负责人具备工程类中级及以上职称的得2分。</w:t>
            </w:r>
          </w:p>
          <w:p w14:paraId="172D13C8">
            <w:pPr>
              <w:keepNext w:val="0"/>
              <w:keepLines w:val="0"/>
              <w:pageBreakBefore w:val="0"/>
              <w:widowControl w:val="0"/>
              <w:kinsoku/>
              <w:wordWrap/>
              <w:overflowPunct/>
              <w:topLinePunct w:val="0"/>
              <w:autoSpaceDE/>
              <w:autoSpaceDN/>
              <w:bidi w:val="0"/>
              <w:adjustRightInd/>
              <w:snapToGrid/>
              <w:spacing w:line="240" w:lineRule="auto"/>
              <w:textAlignment w:val="auto"/>
              <w:rPr>
                <w:rFonts w:hint="eastAsia" w:ascii="宋体" w:hAnsi="宋体" w:cs="宋体"/>
                <w:color w:val="auto"/>
                <w:szCs w:val="21"/>
              </w:rPr>
            </w:pPr>
            <w:r>
              <w:rPr>
                <w:rFonts w:hint="eastAsia" w:ascii="宋体" w:hAnsi="宋体" w:cs="宋体"/>
                <w:color w:val="auto"/>
                <w:szCs w:val="21"/>
              </w:rPr>
              <w:t>②202</w:t>
            </w:r>
            <w:r>
              <w:rPr>
                <w:rFonts w:hint="eastAsia" w:ascii="宋体" w:hAnsi="宋体" w:cs="宋体"/>
                <w:color w:val="auto"/>
                <w:szCs w:val="21"/>
                <w:lang w:val="en-US" w:eastAsia="zh-CN"/>
              </w:rPr>
              <w:t>3</w:t>
            </w:r>
            <w:r>
              <w:rPr>
                <w:rFonts w:hint="eastAsia" w:ascii="宋体" w:hAnsi="宋体" w:cs="宋体"/>
                <w:color w:val="auto"/>
                <w:szCs w:val="21"/>
              </w:rPr>
              <w:t>年1月1日至今作为项目负责人承担过1个资质等级范围内类似的业绩得1分，最多得2分。</w:t>
            </w:r>
          </w:p>
          <w:p w14:paraId="052A97BA">
            <w:pPr>
              <w:keepNext w:val="0"/>
              <w:keepLines w:val="0"/>
              <w:pageBreakBefore w:val="0"/>
              <w:widowControl w:val="0"/>
              <w:kinsoku/>
              <w:wordWrap/>
              <w:overflowPunct/>
              <w:topLinePunct w:val="0"/>
              <w:autoSpaceDE/>
              <w:autoSpaceDN/>
              <w:bidi w:val="0"/>
              <w:adjustRightInd/>
              <w:snapToGrid/>
              <w:spacing w:line="240" w:lineRule="auto"/>
              <w:textAlignment w:val="auto"/>
              <w:rPr>
                <w:rFonts w:hint="eastAsia" w:ascii="宋体" w:hAnsi="宋体" w:cs="宋体"/>
                <w:color w:val="auto"/>
                <w:szCs w:val="21"/>
              </w:rPr>
            </w:pPr>
            <w:r>
              <w:rPr>
                <w:rFonts w:hint="eastAsia" w:ascii="宋体" w:hAnsi="宋体" w:cs="宋体"/>
                <w:color w:val="auto"/>
                <w:szCs w:val="21"/>
              </w:rPr>
              <w:t>注：业绩证明材料须提供中标通知书或合同书等证明材料复印件且内容清晰，并能够体现项目负责人姓名，否则不予认可。</w:t>
            </w:r>
          </w:p>
          <w:p w14:paraId="7FCE9ECE">
            <w:pPr>
              <w:keepNext w:val="0"/>
              <w:keepLines w:val="0"/>
              <w:pageBreakBefore w:val="0"/>
              <w:widowControl w:val="0"/>
              <w:kinsoku/>
              <w:wordWrap/>
              <w:overflowPunct/>
              <w:topLinePunct w:val="0"/>
              <w:autoSpaceDE/>
              <w:autoSpaceDN/>
              <w:bidi w:val="0"/>
              <w:adjustRightInd/>
              <w:snapToGrid/>
              <w:spacing w:line="240" w:lineRule="auto"/>
              <w:textAlignment w:val="auto"/>
              <w:rPr>
                <w:rFonts w:hint="eastAsia" w:ascii="宋体" w:hAnsi="宋体" w:cs="宋体"/>
                <w:color w:val="auto"/>
                <w:szCs w:val="21"/>
              </w:rPr>
            </w:pPr>
            <w:r>
              <w:rPr>
                <w:rFonts w:hint="eastAsia" w:ascii="宋体" w:hAnsi="宋体" w:cs="宋体"/>
                <w:color w:val="auto"/>
                <w:szCs w:val="21"/>
              </w:rPr>
              <w:t>（2）组织机构（满分6分）</w:t>
            </w:r>
          </w:p>
          <w:p w14:paraId="41644049">
            <w:pPr>
              <w:keepNext w:val="0"/>
              <w:keepLines w:val="0"/>
              <w:pageBreakBefore w:val="0"/>
              <w:widowControl w:val="0"/>
              <w:kinsoku/>
              <w:wordWrap/>
              <w:overflowPunct/>
              <w:topLinePunct w:val="0"/>
              <w:autoSpaceDE/>
              <w:autoSpaceDN/>
              <w:bidi w:val="0"/>
              <w:adjustRightInd/>
              <w:snapToGrid/>
              <w:spacing w:line="240" w:lineRule="auto"/>
              <w:textAlignment w:val="auto"/>
              <w:rPr>
                <w:rFonts w:hint="eastAsia" w:ascii="宋体" w:hAnsi="宋体" w:cs="宋体"/>
                <w:color w:val="auto"/>
                <w:szCs w:val="21"/>
              </w:rPr>
            </w:pPr>
            <w:r>
              <w:rPr>
                <w:rFonts w:hint="eastAsia" w:ascii="宋体" w:hAnsi="宋体" w:cs="宋体"/>
                <w:color w:val="auto"/>
                <w:szCs w:val="21"/>
              </w:rPr>
              <w:t>①项目团队配置；</w:t>
            </w:r>
          </w:p>
          <w:p w14:paraId="034D128F">
            <w:pPr>
              <w:keepNext w:val="0"/>
              <w:keepLines w:val="0"/>
              <w:pageBreakBefore w:val="0"/>
              <w:widowControl w:val="0"/>
              <w:kinsoku/>
              <w:wordWrap/>
              <w:overflowPunct/>
              <w:topLinePunct w:val="0"/>
              <w:autoSpaceDE/>
              <w:autoSpaceDN/>
              <w:bidi w:val="0"/>
              <w:adjustRightInd/>
              <w:snapToGrid/>
              <w:spacing w:line="240" w:lineRule="auto"/>
              <w:textAlignment w:val="auto"/>
              <w:rPr>
                <w:rFonts w:hint="eastAsia" w:ascii="宋体" w:hAnsi="宋体" w:cs="宋体"/>
                <w:color w:val="auto"/>
                <w:szCs w:val="21"/>
              </w:rPr>
            </w:pPr>
            <w:r>
              <w:rPr>
                <w:rFonts w:hint="eastAsia" w:ascii="宋体" w:hAnsi="宋体" w:cs="宋体"/>
                <w:color w:val="auto"/>
                <w:szCs w:val="21"/>
              </w:rPr>
              <w:t>②团队管理方案。</w:t>
            </w:r>
          </w:p>
          <w:p w14:paraId="7F6593DB">
            <w:pPr>
              <w:keepNext w:val="0"/>
              <w:keepLines w:val="0"/>
              <w:pageBreakBefore w:val="0"/>
              <w:widowControl w:val="0"/>
              <w:kinsoku/>
              <w:wordWrap/>
              <w:overflowPunct/>
              <w:topLinePunct w:val="0"/>
              <w:autoSpaceDE/>
              <w:autoSpaceDN/>
              <w:bidi w:val="0"/>
              <w:adjustRightInd/>
              <w:snapToGrid/>
              <w:spacing w:line="240" w:lineRule="auto"/>
              <w:textAlignment w:val="auto"/>
              <w:rPr>
                <w:rFonts w:hint="eastAsia" w:ascii="宋体" w:hAnsi="宋体" w:cs="宋体"/>
                <w:color w:val="auto"/>
                <w:szCs w:val="21"/>
              </w:rPr>
            </w:pPr>
            <w:r>
              <w:rPr>
                <w:rFonts w:hint="eastAsia" w:ascii="宋体" w:hAnsi="宋体" w:cs="宋体"/>
                <w:color w:val="auto"/>
                <w:szCs w:val="21"/>
              </w:rPr>
              <w:t>以上2项内容人员配置科学合理，岗位职责明确，工作经验丰富，专业能力强，方案切实可行，针对性强的每项得3分，共6分；否则评委根据以下原则进行扣分，扣完为止。</w:t>
            </w:r>
          </w:p>
          <w:p w14:paraId="17A5FEC3">
            <w:pPr>
              <w:keepNext w:val="0"/>
              <w:keepLines w:val="0"/>
              <w:pageBreakBefore w:val="0"/>
              <w:widowControl w:val="0"/>
              <w:kinsoku/>
              <w:wordWrap/>
              <w:overflowPunct/>
              <w:topLinePunct w:val="0"/>
              <w:autoSpaceDE/>
              <w:autoSpaceDN/>
              <w:bidi w:val="0"/>
              <w:adjustRightInd/>
              <w:snapToGrid/>
              <w:spacing w:line="240" w:lineRule="auto"/>
              <w:textAlignment w:val="auto"/>
              <w:rPr>
                <w:rFonts w:hint="eastAsia" w:ascii="宋体" w:hAnsi="宋体" w:cs="宋体"/>
                <w:color w:val="auto"/>
                <w:szCs w:val="21"/>
              </w:rPr>
            </w:pPr>
            <w:r>
              <w:rPr>
                <w:rFonts w:hint="eastAsia" w:ascii="宋体" w:hAnsi="宋体" w:cs="宋体"/>
                <w:color w:val="auto"/>
                <w:szCs w:val="21"/>
              </w:rPr>
              <w:t>①无对应内容或内容与本项目无关或不相符的每项扣3分；</w:t>
            </w:r>
          </w:p>
          <w:p w14:paraId="3E64BD5B">
            <w:pPr>
              <w:keepNext w:val="0"/>
              <w:keepLines w:val="0"/>
              <w:pageBreakBefore w:val="0"/>
              <w:widowControl w:val="0"/>
              <w:kinsoku/>
              <w:wordWrap/>
              <w:overflowPunct/>
              <w:topLinePunct w:val="0"/>
              <w:autoSpaceDE/>
              <w:autoSpaceDN/>
              <w:bidi w:val="0"/>
              <w:adjustRightInd/>
              <w:snapToGrid/>
              <w:spacing w:line="240" w:lineRule="auto"/>
              <w:textAlignment w:val="auto"/>
              <w:rPr>
                <w:rFonts w:hint="eastAsia" w:ascii="宋体" w:hAnsi="宋体" w:cs="宋体"/>
                <w:color w:val="auto"/>
                <w:szCs w:val="21"/>
              </w:rPr>
            </w:pPr>
            <w:r>
              <w:rPr>
                <w:rFonts w:hint="eastAsia" w:ascii="宋体" w:hAnsi="宋体" w:cs="宋体"/>
                <w:color w:val="auto"/>
                <w:szCs w:val="21"/>
              </w:rPr>
              <w:t>②内容不合理，无可行性、针对性或与项目实施不紧密的每项扣2分；</w:t>
            </w:r>
          </w:p>
          <w:p w14:paraId="702C5943">
            <w:pPr>
              <w:keepNext w:val="0"/>
              <w:keepLines w:val="0"/>
              <w:pageBreakBefore w:val="0"/>
              <w:widowControl w:val="0"/>
              <w:kinsoku/>
              <w:wordWrap/>
              <w:overflowPunct/>
              <w:topLinePunct w:val="0"/>
              <w:autoSpaceDE/>
              <w:autoSpaceDN/>
              <w:bidi w:val="0"/>
              <w:adjustRightInd/>
              <w:snapToGrid/>
              <w:spacing w:line="240" w:lineRule="auto"/>
              <w:textAlignment w:val="auto"/>
              <w:rPr>
                <w:rFonts w:hint="eastAsia" w:ascii="宋体" w:hAnsi="宋体" w:cs="宋体"/>
                <w:color w:val="auto"/>
                <w:szCs w:val="21"/>
              </w:rPr>
            </w:pPr>
            <w:r>
              <w:rPr>
                <w:rFonts w:hint="eastAsia" w:ascii="宋体" w:hAnsi="宋体" w:cs="宋体"/>
                <w:color w:val="auto"/>
                <w:szCs w:val="21"/>
              </w:rPr>
              <w:t>③内容合理，与项目实施不紧密，但可行性、针对性不强的的每项扣1分</w:t>
            </w:r>
          </w:p>
          <w:p w14:paraId="4CE321F0">
            <w:pPr>
              <w:keepNext w:val="0"/>
              <w:keepLines w:val="0"/>
              <w:pageBreakBefore w:val="0"/>
              <w:widowControl w:val="0"/>
              <w:kinsoku/>
              <w:wordWrap/>
              <w:overflowPunct/>
              <w:topLinePunct w:val="0"/>
              <w:autoSpaceDE/>
              <w:autoSpaceDN/>
              <w:bidi w:val="0"/>
              <w:adjustRightInd/>
              <w:snapToGrid/>
              <w:spacing w:line="240" w:lineRule="auto"/>
              <w:textAlignment w:val="auto"/>
              <w:rPr>
                <w:rFonts w:hint="eastAsia" w:ascii="宋体" w:hAnsi="宋体" w:cs="宋体"/>
                <w:color w:val="auto"/>
                <w:szCs w:val="21"/>
              </w:rPr>
            </w:pPr>
            <w:r>
              <w:rPr>
                <w:rFonts w:hint="eastAsia" w:ascii="宋体" w:hAnsi="宋体" w:cs="宋体"/>
                <w:color w:val="auto"/>
                <w:szCs w:val="21"/>
              </w:rPr>
              <w:t>④内容存在瑕疵的每项扣0.5分。</w:t>
            </w:r>
          </w:p>
          <w:p w14:paraId="26C6D4DC">
            <w:pPr>
              <w:keepNext w:val="0"/>
              <w:keepLines w:val="0"/>
              <w:pageBreakBefore w:val="0"/>
              <w:widowControl w:val="0"/>
              <w:kinsoku/>
              <w:wordWrap/>
              <w:overflowPunct/>
              <w:topLinePunct w:val="0"/>
              <w:autoSpaceDE/>
              <w:autoSpaceDN/>
              <w:bidi w:val="0"/>
              <w:adjustRightInd/>
              <w:snapToGrid/>
              <w:spacing w:line="240" w:lineRule="auto"/>
              <w:textAlignment w:val="auto"/>
              <w:rPr>
                <w:rFonts w:hint="eastAsia" w:ascii="宋体" w:hAnsi="宋体" w:eastAsia="宋体" w:cs="宋体"/>
                <w:color w:val="auto"/>
                <w:sz w:val="21"/>
                <w:szCs w:val="21"/>
                <w:highlight w:val="none"/>
              </w:rPr>
            </w:pPr>
            <w:r>
              <w:rPr>
                <w:rFonts w:hint="eastAsia" w:ascii="宋体" w:hAnsi="宋体" w:cs="宋体"/>
                <w:color w:val="auto"/>
                <w:szCs w:val="21"/>
              </w:rPr>
              <w:t>注：须提供项目团队人员的身份证、资质/职称证书(若有</w:t>
            </w:r>
            <w:r>
              <w:rPr>
                <w:rFonts w:hint="eastAsia" w:ascii="宋体" w:hAnsi="宋体" w:cs="宋体"/>
                <w:color w:val="auto"/>
                <w:szCs w:val="21"/>
                <w:lang w:eastAsia="zh-CN"/>
              </w:rPr>
              <w:t>）</w:t>
            </w:r>
            <w:r>
              <w:rPr>
                <w:rFonts w:hint="eastAsia" w:ascii="宋体" w:hAnsi="宋体" w:cs="宋体"/>
                <w:color w:val="auto"/>
                <w:szCs w:val="21"/>
              </w:rPr>
              <w:t>、所在投标单位的劳动合同，无人员资料或人员资料不明确、无法体现对应内容的不得分。</w:t>
            </w:r>
          </w:p>
        </w:tc>
      </w:tr>
      <w:tr w14:paraId="3C4CFDA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72" w:hRule="atLeast"/>
        </w:trPr>
        <w:tc>
          <w:tcPr>
            <w:tcW w:w="1653" w:type="dxa"/>
            <w:gridSpan w:val="2"/>
            <w:vMerge w:val="continue"/>
            <w:tcMar>
              <w:top w:w="28" w:type="dxa"/>
              <w:left w:w="28" w:type="dxa"/>
              <w:bottom w:w="28" w:type="dxa"/>
              <w:right w:w="28" w:type="dxa"/>
            </w:tcMar>
            <w:vAlign w:val="center"/>
          </w:tcPr>
          <w:p w14:paraId="1CD174FC">
            <w:pPr>
              <w:adjustRightInd w:val="0"/>
              <w:snapToGrid w:val="0"/>
              <w:jc w:val="center"/>
              <w:rPr>
                <w:rFonts w:ascii="宋体" w:hAnsi="宋体" w:cs="宋体"/>
                <w:color w:val="auto"/>
                <w:sz w:val="21"/>
                <w:szCs w:val="21"/>
                <w:highlight w:val="none"/>
              </w:rPr>
            </w:pPr>
          </w:p>
        </w:tc>
        <w:tc>
          <w:tcPr>
            <w:tcW w:w="2235" w:type="dxa"/>
            <w:tcMar>
              <w:top w:w="28" w:type="dxa"/>
              <w:left w:w="28" w:type="dxa"/>
              <w:bottom w:w="28" w:type="dxa"/>
              <w:right w:w="28" w:type="dxa"/>
            </w:tcMar>
            <w:vAlign w:val="center"/>
          </w:tcPr>
          <w:p w14:paraId="5CC7B690">
            <w:pPr>
              <w:keepNext w:val="0"/>
              <w:keepLines w:val="0"/>
              <w:pageBreakBefore w:val="0"/>
              <w:kinsoku/>
              <w:wordWrap/>
              <w:overflowPunct/>
              <w:topLinePunct w:val="0"/>
              <w:autoSpaceDE/>
              <w:autoSpaceDN/>
              <w:bidi w:val="0"/>
              <w:adjustRightInd/>
              <w:snapToGrid/>
              <w:spacing w:line="240" w:lineRule="auto"/>
              <w:jc w:val="center"/>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类似业绩</w:t>
            </w:r>
          </w:p>
          <w:p w14:paraId="1F168434">
            <w:pPr>
              <w:keepNext w:val="0"/>
              <w:keepLines w:val="0"/>
              <w:pageBreakBefore w:val="0"/>
              <w:kinsoku/>
              <w:wordWrap/>
              <w:overflowPunct/>
              <w:topLinePunct w:val="0"/>
              <w:autoSpaceDE/>
              <w:autoSpaceDN/>
              <w:bidi w:val="0"/>
              <w:adjustRightInd/>
              <w:snapToGrid/>
              <w:spacing w:line="240" w:lineRule="auto"/>
              <w:jc w:val="center"/>
              <w:textAlignment w:val="auto"/>
              <w:rPr>
                <w:rFonts w:hint="default" w:ascii="宋体" w:hAnsi="宋体" w:eastAsia="宋体" w:cs="宋体"/>
                <w:color w:val="auto"/>
                <w:sz w:val="21"/>
                <w:szCs w:val="21"/>
                <w:highlight w:val="none"/>
                <w:lang w:val="en-US" w:eastAsia="zh-CN"/>
              </w:rPr>
            </w:pPr>
            <w:r>
              <w:rPr>
                <w:rFonts w:hint="eastAsia" w:ascii="宋体" w:hAnsi="宋体" w:cs="宋体"/>
                <w:color w:val="auto"/>
                <w:sz w:val="21"/>
                <w:szCs w:val="21"/>
                <w:highlight w:val="none"/>
                <w:lang w:val="en-US" w:eastAsia="zh-CN"/>
              </w:rPr>
              <w:t>(2分）</w:t>
            </w:r>
          </w:p>
        </w:tc>
        <w:tc>
          <w:tcPr>
            <w:tcW w:w="6122" w:type="dxa"/>
            <w:tcMar>
              <w:top w:w="28" w:type="dxa"/>
              <w:left w:w="28" w:type="dxa"/>
              <w:bottom w:w="28" w:type="dxa"/>
              <w:right w:w="28" w:type="dxa"/>
            </w:tcMar>
            <w:vAlign w:val="center"/>
          </w:tcPr>
          <w:p w14:paraId="4A0A41E2">
            <w:pPr>
              <w:keepNext w:val="0"/>
              <w:keepLines w:val="0"/>
              <w:pageBreakBefore w:val="0"/>
              <w:kinsoku/>
              <w:wordWrap/>
              <w:overflowPunct/>
              <w:topLinePunct w:val="0"/>
              <w:autoSpaceDE/>
              <w:autoSpaceDN/>
              <w:bidi w:val="0"/>
              <w:adjustRightInd/>
              <w:snapToGrid/>
              <w:spacing w:line="240" w:lineRule="auto"/>
              <w:textAlignment w:val="auto"/>
              <w:rPr>
                <w:rFonts w:hint="eastAsia" w:ascii="宋体" w:hAnsi="宋体" w:eastAsia="宋体" w:cs="宋体"/>
                <w:color w:val="auto"/>
                <w:sz w:val="21"/>
                <w:szCs w:val="21"/>
                <w:highlight w:val="none"/>
                <w:lang w:val="en-US" w:eastAsia="zh-CN"/>
              </w:rPr>
            </w:pPr>
            <w:bookmarkStart w:id="1471" w:name="_GoBack"/>
            <w:r>
              <w:rPr>
                <w:rFonts w:hint="eastAsia" w:ascii="宋体" w:hAnsi="宋体" w:eastAsia="宋体" w:cs="宋体"/>
                <w:color w:val="auto"/>
                <w:sz w:val="21"/>
                <w:szCs w:val="21"/>
                <w:highlight w:val="none"/>
                <w:lang w:val="en-US" w:eastAsia="zh-CN"/>
              </w:rPr>
              <w:t>供应商（202</w:t>
            </w:r>
            <w:r>
              <w:rPr>
                <w:rFonts w:hint="eastAsia" w:ascii="宋体" w:hAnsi="宋体" w:cs="宋体"/>
                <w:color w:val="auto"/>
                <w:sz w:val="21"/>
                <w:szCs w:val="21"/>
                <w:highlight w:val="none"/>
                <w:lang w:val="en-US" w:eastAsia="zh-CN"/>
              </w:rPr>
              <w:t>3</w:t>
            </w:r>
            <w:r>
              <w:rPr>
                <w:rFonts w:hint="eastAsia" w:ascii="宋体" w:hAnsi="宋体" w:eastAsia="宋体" w:cs="宋体"/>
                <w:color w:val="auto"/>
                <w:sz w:val="21"/>
                <w:szCs w:val="21"/>
                <w:highlight w:val="none"/>
                <w:lang w:val="en-US" w:eastAsia="zh-CN"/>
              </w:rPr>
              <w:t>年1月1日-至今）每承担过1个资质等级范围内的类似项目业绩加1分，分数加满为止，满分2分。</w:t>
            </w:r>
          </w:p>
          <w:p w14:paraId="7EF033BF">
            <w:pPr>
              <w:keepNext w:val="0"/>
              <w:keepLines w:val="0"/>
              <w:pageBreakBefore w:val="0"/>
              <w:kinsoku/>
              <w:wordWrap/>
              <w:overflowPunct/>
              <w:topLinePunct w:val="0"/>
              <w:autoSpaceDE/>
              <w:autoSpaceDN/>
              <w:bidi w:val="0"/>
              <w:adjustRightInd/>
              <w:snapToGrid/>
              <w:spacing w:line="240" w:lineRule="auto"/>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rPr>
              <w:t>注：以所提供的证明材料签署时间为准，类似业绩证明材料为合同协议书或中标（成交）通知书或业主出具的证明材料（未提供证明材料的该项不得分）</w:t>
            </w:r>
            <w:bookmarkEnd w:id="1471"/>
          </w:p>
        </w:tc>
      </w:tr>
      <w:tr w14:paraId="2087273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trPr>
        <w:tc>
          <w:tcPr>
            <w:tcW w:w="1653" w:type="dxa"/>
            <w:gridSpan w:val="2"/>
            <w:tcMar>
              <w:top w:w="28" w:type="dxa"/>
              <w:left w:w="28" w:type="dxa"/>
              <w:bottom w:w="28" w:type="dxa"/>
              <w:right w:w="28" w:type="dxa"/>
            </w:tcMar>
            <w:vAlign w:val="center"/>
          </w:tcPr>
          <w:p w14:paraId="6DC21828">
            <w:pPr>
              <w:spacing w:before="100" w:beforeAutospacing="1" w:after="100" w:afterAutospacing="1"/>
              <w:jc w:val="center"/>
              <w:rPr>
                <w:rFonts w:ascii="宋体" w:hAnsi="宋体" w:cs="宋体"/>
                <w:color w:val="auto"/>
                <w:sz w:val="21"/>
                <w:szCs w:val="21"/>
                <w:highlight w:val="none"/>
              </w:rPr>
            </w:pPr>
            <w:r>
              <w:rPr>
                <w:rFonts w:hint="eastAsia" w:ascii="宋体" w:hAnsi="宋体" w:cs="宋体"/>
                <w:color w:val="auto"/>
                <w:sz w:val="21"/>
                <w:szCs w:val="21"/>
                <w:highlight w:val="none"/>
              </w:rPr>
              <w:t>磋商程序</w:t>
            </w:r>
          </w:p>
        </w:tc>
        <w:tc>
          <w:tcPr>
            <w:tcW w:w="8357" w:type="dxa"/>
            <w:gridSpan w:val="2"/>
            <w:tcMar>
              <w:top w:w="28" w:type="dxa"/>
              <w:left w:w="28" w:type="dxa"/>
              <w:bottom w:w="28" w:type="dxa"/>
              <w:right w:w="28" w:type="dxa"/>
            </w:tcMar>
            <w:vAlign w:val="center"/>
          </w:tcPr>
          <w:p w14:paraId="518580B5">
            <w:pPr>
              <w:spacing w:before="100" w:beforeAutospacing="1" w:after="100" w:afterAutospacing="1"/>
              <w:rPr>
                <w:rFonts w:ascii="宋体" w:hAnsi="宋体" w:cs="宋体"/>
                <w:color w:val="auto"/>
                <w:sz w:val="21"/>
                <w:szCs w:val="21"/>
                <w:highlight w:val="none"/>
              </w:rPr>
            </w:pPr>
            <w:r>
              <w:rPr>
                <w:rFonts w:hint="eastAsia" w:ascii="宋体" w:hAnsi="宋体" w:cs="宋体"/>
                <w:color w:val="auto"/>
                <w:sz w:val="21"/>
                <w:szCs w:val="21"/>
                <w:highlight w:val="none"/>
              </w:rPr>
              <w:t>详见本章附件A：评审详细程序</w:t>
            </w:r>
          </w:p>
        </w:tc>
      </w:tr>
      <w:tr w14:paraId="5E0DBEB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trPr>
        <w:tc>
          <w:tcPr>
            <w:tcW w:w="1653" w:type="dxa"/>
            <w:gridSpan w:val="2"/>
            <w:tcMar>
              <w:top w:w="28" w:type="dxa"/>
              <w:left w:w="28" w:type="dxa"/>
              <w:bottom w:w="28" w:type="dxa"/>
              <w:right w:w="28" w:type="dxa"/>
            </w:tcMar>
            <w:vAlign w:val="center"/>
          </w:tcPr>
          <w:p w14:paraId="05413A62">
            <w:pPr>
              <w:spacing w:before="100" w:beforeAutospacing="1" w:after="100" w:afterAutospacing="1"/>
              <w:jc w:val="center"/>
              <w:rPr>
                <w:rFonts w:ascii="宋体" w:hAnsi="宋体" w:cs="宋体"/>
                <w:color w:val="auto"/>
                <w:sz w:val="21"/>
                <w:szCs w:val="21"/>
                <w:highlight w:val="none"/>
              </w:rPr>
            </w:pPr>
            <w:r>
              <w:rPr>
                <w:rFonts w:hint="eastAsia" w:ascii="宋体" w:hAnsi="宋体" w:cs="宋体"/>
                <w:color w:val="auto"/>
                <w:sz w:val="21"/>
                <w:szCs w:val="21"/>
                <w:highlight w:val="none"/>
              </w:rPr>
              <w:t>否决磋商条款</w:t>
            </w:r>
          </w:p>
        </w:tc>
        <w:tc>
          <w:tcPr>
            <w:tcW w:w="8357" w:type="dxa"/>
            <w:gridSpan w:val="2"/>
            <w:tcMar>
              <w:top w:w="28" w:type="dxa"/>
              <w:left w:w="28" w:type="dxa"/>
              <w:bottom w:w="28" w:type="dxa"/>
              <w:right w:w="28" w:type="dxa"/>
            </w:tcMar>
            <w:vAlign w:val="center"/>
          </w:tcPr>
          <w:p w14:paraId="56C2958F">
            <w:pPr>
              <w:spacing w:before="100" w:beforeAutospacing="1" w:after="100" w:afterAutospacing="1"/>
              <w:rPr>
                <w:rFonts w:ascii="宋体" w:hAnsi="宋体" w:cs="宋体"/>
                <w:color w:val="auto"/>
                <w:sz w:val="21"/>
                <w:szCs w:val="21"/>
                <w:highlight w:val="none"/>
              </w:rPr>
            </w:pPr>
            <w:r>
              <w:rPr>
                <w:rFonts w:hint="eastAsia" w:ascii="宋体" w:hAnsi="宋体" w:cs="宋体"/>
                <w:color w:val="auto"/>
                <w:sz w:val="21"/>
                <w:szCs w:val="21"/>
                <w:highlight w:val="none"/>
              </w:rPr>
              <w:t>详见本章附件B：否决磋商申请条件</w:t>
            </w:r>
          </w:p>
        </w:tc>
      </w:tr>
      <w:bookmarkEnd w:id="1126"/>
    </w:tbl>
    <w:p w14:paraId="373AD617">
      <w:pPr>
        <w:rPr>
          <w:rFonts w:hint="eastAsia" w:ascii="宋体" w:hAnsi="宋体" w:eastAsia="宋体" w:cs="宋体"/>
          <w:bCs/>
          <w:iCs/>
          <w:color w:val="auto"/>
          <w:sz w:val="24"/>
          <w:szCs w:val="24"/>
          <w:highlight w:val="none"/>
          <w:lang w:bidi="en-US"/>
        </w:rPr>
      </w:pPr>
      <w:bookmarkStart w:id="1127" w:name="_Toc121152030"/>
      <w:bookmarkStart w:id="1128" w:name="_Toc26695"/>
      <w:bookmarkStart w:id="1129" w:name="_Toc121151890"/>
      <w:r>
        <w:rPr>
          <w:rFonts w:hint="eastAsia" w:ascii="宋体" w:hAnsi="宋体" w:eastAsia="宋体" w:cs="宋体"/>
          <w:bCs/>
          <w:iCs/>
          <w:color w:val="auto"/>
          <w:sz w:val="24"/>
          <w:szCs w:val="24"/>
          <w:highlight w:val="none"/>
          <w:lang w:bidi="en-US"/>
        </w:rPr>
        <w:br w:type="page"/>
      </w:r>
    </w:p>
    <w:p w14:paraId="519307CA">
      <w:pPr>
        <w:pStyle w:val="3"/>
        <w:spacing w:before="0" w:after="0" w:line="360" w:lineRule="auto"/>
        <w:ind w:left="479" w:hanging="479"/>
        <w:jc w:val="center"/>
        <w:rPr>
          <w:rFonts w:ascii="宋体" w:hAnsi="宋体" w:eastAsia="宋体" w:cs="宋体"/>
          <w:bCs/>
          <w:iCs/>
          <w:color w:val="auto"/>
          <w:sz w:val="24"/>
          <w:szCs w:val="24"/>
          <w:highlight w:val="none"/>
          <w:lang w:bidi="en-US"/>
        </w:rPr>
      </w:pPr>
      <w:r>
        <w:rPr>
          <w:rFonts w:hint="eastAsia" w:ascii="宋体" w:hAnsi="宋体" w:eastAsia="宋体" w:cs="宋体"/>
          <w:bCs/>
          <w:iCs/>
          <w:color w:val="auto"/>
          <w:sz w:val="24"/>
          <w:szCs w:val="24"/>
          <w:highlight w:val="none"/>
          <w:lang w:eastAsia="zh-CN" w:bidi="en-US"/>
        </w:rPr>
        <w:t>1.</w:t>
      </w:r>
      <w:r>
        <w:rPr>
          <w:rFonts w:hint="eastAsia" w:ascii="宋体" w:hAnsi="宋体" w:eastAsia="宋体" w:cs="宋体"/>
          <w:bCs/>
          <w:iCs/>
          <w:color w:val="auto"/>
          <w:sz w:val="24"/>
          <w:szCs w:val="24"/>
          <w:highlight w:val="none"/>
          <w:lang w:bidi="en-US"/>
        </w:rPr>
        <w:t>评审办法</w:t>
      </w:r>
      <w:bookmarkEnd w:id="1127"/>
      <w:bookmarkEnd w:id="1128"/>
      <w:bookmarkEnd w:id="1129"/>
    </w:p>
    <w:p w14:paraId="52F464EC">
      <w:pPr>
        <w:spacing w:line="360" w:lineRule="auto"/>
        <w:ind w:firstLine="420" w:firstLineChars="200"/>
        <w:rPr>
          <w:rFonts w:ascii="宋体" w:hAnsi="宋体" w:cs="宋体"/>
          <w:color w:val="auto"/>
          <w:sz w:val="21"/>
          <w:szCs w:val="21"/>
          <w:highlight w:val="none"/>
        </w:rPr>
      </w:pPr>
      <w:r>
        <w:rPr>
          <w:rFonts w:hint="eastAsia" w:ascii="宋体" w:hAnsi="宋体" w:cs="宋体"/>
          <w:color w:val="auto"/>
          <w:sz w:val="21"/>
          <w:szCs w:val="21"/>
          <w:highlight w:val="none"/>
        </w:rPr>
        <w:t>1.1</w:t>
      </w:r>
      <w:bookmarkStart w:id="1130" w:name="_Toc302769234"/>
      <w:r>
        <w:rPr>
          <w:rFonts w:hint="eastAsia" w:ascii="宋体" w:hAnsi="宋体" w:cs="宋体"/>
          <w:color w:val="auto"/>
          <w:sz w:val="21"/>
          <w:szCs w:val="21"/>
          <w:highlight w:val="none"/>
        </w:rPr>
        <w:t>本评审办法根据相关法律、法规、规章及结合本项目实际情况制定。</w:t>
      </w:r>
      <w:bookmarkEnd w:id="1130"/>
    </w:p>
    <w:p w14:paraId="6EC399DA">
      <w:pPr>
        <w:spacing w:line="360" w:lineRule="auto"/>
        <w:ind w:firstLine="420" w:firstLineChars="200"/>
        <w:rPr>
          <w:rFonts w:ascii="宋体" w:hAnsi="宋体" w:cs="宋体"/>
          <w:color w:val="auto"/>
          <w:sz w:val="21"/>
          <w:szCs w:val="21"/>
          <w:highlight w:val="none"/>
        </w:rPr>
      </w:pPr>
      <w:r>
        <w:rPr>
          <w:rFonts w:hint="eastAsia" w:ascii="宋体" w:hAnsi="宋体" w:cs="宋体"/>
          <w:color w:val="auto"/>
          <w:sz w:val="21"/>
          <w:szCs w:val="21"/>
          <w:highlight w:val="none"/>
        </w:rPr>
        <w:t>1.2 本办法是磋商小组确定工程成交候选人的依据，在评审过程中应充分体现公平、公正、科学、择优的原则。</w:t>
      </w:r>
    </w:p>
    <w:p w14:paraId="401046B6">
      <w:pPr>
        <w:spacing w:line="360" w:lineRule="auto"/>
        <w:ind w:firstLine="420" w:firstLineChars="200"/>
        <w:rPr>
          <w:rFonts w:ascii="宋体" w:hAnsi="宋体" w:cs="宋体"/>
          <w:color w:val="auto"/>
          <w:sz w:val="21"/>
          <w:szCs w:val="21"/>
          <w:highlight w:val="none"/>
        </w:rPr>
      </w:pPr>
      <w:r>
        <w:rPr>
          <w:rFonts w:hint="eastAsia" w:ascii="宋体" w:hAnsi="宋体" w:cs="宋体"/>
          <w:color w:val="auto"/>
          <w:sz w:val="21"/>
          <w:szCs w:val="21"/>
          <w:highlight w:val="none"/>
        </w:rPr>
        <w:t>1.3 磋商小组依据本章第2.1项规定的评审标准对响应文件进行初步评审，供应商只有通过初步评审后才能进入详细评审。</w:t>
      </w:r>
    </w:p>
    <w:p w14:paraId="30EAFD58">
      <w:pPr>
        <w:spacing w:line="360" w:lineRule="auto"/>
        <w:ind w:firstLine="420" w:firstLineChars="200"/>
        <w:rPr>
          <w:rFonts w:ascii="宋体" w:hAnsi="宋体" w:cs="宋体"/>
          <w:color w:val="auto"/>
          <w:sz w:val="21"/>
          <w:szCs w:val="21"/>
          <w:highlight w:val="none"/>
        </w:rPr>
      </w:pPr>
      <w:r>
        <w:rPr>
          <w:rFonts w:hint="eastAsia" w:ascii="宋体" w:hAnsi="宋体" w:cs="宋体"/>
          <w:color w:val="auto"/>
          <w:sz w:val="21"/>
          <w:szCs w:val="21"/>
          <w:highlight w:val="none"/>
        </w:rPr>
        <w:t>1.4 本项目详细评审办法采用综合评估法，磋商小组将按照详细评审的最后得分由高至低推荐前三名成交候选人。</w:t>
      </w:r>
    </w:p>
    <w:p w14:paraId="4A3D0795">
      <w:pPr>
        <w:spacing w:line="360" w:lineRule="auto"/>
        <w:ind w:firstLine="420" w:firstLineChars="200"/>
        <w:rPr>
          <w:rFonts w:ascii="宋体" w:hAnsi="宋体" w:cs="宋体"/>
          <w:color w:val="auto"/>
          <w:sz w:val="21"/>
          <w:szCs w:val="21"/>
          <w:highlight w:val="none"/>
        </w:rPr>
      </w:pPr>
      <w:r>
        <w:rPr>
          <w:rFonts w:hint="eastAsia" w:ascii="宋体" w:hAnsi="宋体" w:cs="宋体"/>
          <w:color w:val="auto"/>
          <w:sz w:val="21"/>
          <w:szCs w:val="21"/>
          <w:highlight w:val="none"/>
        </w:rPr>
        <w:t>1.5 磋商小组依据本竞争性磋商采购文件规定的评审标准和方法，对响应文件进行评审和比较，向采购人提出书面评审报告，</w:t>
      </w:r>
      <w:r>
        <w:rPr>
          <w:rFonts w:hint="eastAsia" w:ascii="宋体" w:hAnsi="宋体" w:cs="宋体"/>
          <w:color w:val="auto"/>
          <w:sz w:val="21"/>
          <w:szCs w:val="21"/>
          <w:highlight w:val="none"/>
          <w:lang w:eastAsia="zh-CN"/>
        </w:rPr>
        <w:t>并</w:t>
      </w:r>
      <w:r>
        <w:rPr>
          <w:rFonts w:hint="eastAsia" w:ascii="宋体" w:hAnsi="宋体" w:cs="宋体"/>
          <w:color w:val="auto"/>
          <w:sz w:val="21"/>
          <w:szCs w:val="21"/>
          <w:highlight w:val="none"/>
        </w:rPr>
        <w:t>按照最后得分的高低推荐三名成交候选人，并标明排列顺序。</w:t>
      </w:r>
    </w:p>
    <w:p w14:paraId="70188CB5">
      <w:pPr>
        <w:spacing w:line="360" w:lineRule="auto"/>
        <w:ind w:firstLine="420" w:firstLineChars="200"/>
        <w:rPr>
          <w:rFonts w:ascii="宋体" w:hAnsi="宋体" w:cs="宋体"/>
          <w:color w:val="auto"/>
          <w:sz w:val="21"/>
          <w:szCs w:val="21"/>
          <w:highlight w:val="none"/>
        </w:rPr>
      </w:pPr>
      <w:r>
        <w:rPr>
          <w:rFonts w:hint="eastAsia" w:ascii="宋体" w:hAnsi="宋体" w:cs="宋体"/>
          <w:color w:val="auto"/>
          <w:sz w:val="21"/>
          <w:szCs w:val="21"/>
          <w:highlight w:val="none"/>
        </w:rPr>
        <w:t>1.6 磋商小组应推荐最后得分最高的供应商为第一成交候选人。若出现得分并列时，磋商报价最低的靠前。</w:t>
      </w:r>
    </w:p>
    <w:p w14:paraId="1CC24251">
      <w:pPr>
        <w:spacing w:line="360" w:lineRule="auto"/>
        <w:ind w:firstLine="420" w:firstLineChars="200"/>
        <w:rPr>
          <w:rFonts w:ascii="宋体" w:hAnsi="宋体" w:cs="宋体"/>
          <w:color w:val="auto"/>
          <w:sz w:val="21"/>
          <w:szCs w:val="21"/>
          <w:highlight w:val="none"/>
        </w:rPr>
      </w:pPr>
      <w:r>
        <w:rPr>
          <w:rFonts w:hint="eastAsia" w:ascii="宋体" w:hAnsi="宋体" w:cs="宋体"/>
          <w:color w:val="auto"/>
          <w:sz w:val="21"/>
          <w:szCs w:val="21"/>
          <w:highlight w:val="none"/>
        </w:rPr>
        <w:t>1.7 评审过程的保密</w:t>
      </w:r>
    </w:p>
    <w:p w14:paraId="5C6A3D74">
      <w:pPr>
        <w:spacing w:line="360" w:lineRule="auto"/>
        <w:ind w:firstLine="420" w:firstLineChars="200"/>
        <w:rPr>
          <w:rFonts w:ascii="宋体" w:hAnsi="宋体" w:cs="宋体"/>
          <w:color w:val="auto"/>
          <w:sz w:val="21"/>
          <w:szCs w:val="21"/>
          <w:highlight w:val="none"/>
        </w:rPr>
      </w:pPr>
      <w:r>
        <w:rPr>
          <w:rFonts w:hint="eastAsia" w:ascii="宋体" w:hAnsi="宋体" w:cs="宋体"/>
          <w:color w:val="auto"/>
          <w:sz w:val="21"/>
          <w:szCs w:val="21"/>
          <w:highlight w:val="none"/>
        </w:rPr>
        <w:t>1.7.1 磋商申请文件开启后，直至授予成交供应商合同为止，凡属于对响应文件的审查、澄清、评价和比较的有关资料以及成交</w:t>
      </w:r>
      <w:r>
        <w:rPr>
          <w:rFonts w:hint="eastAsia" w:ascii="宋体" w:hAnsi="宋体" w:cs="宋体"/>
          <w:color w:val="auto"/>
          <w:sz w:val="21"/>
          <w:szCs w:val="21"/>
          <w:highlight w:val="none"/>
          <w:lang w:eastAsia="zh-CN"/>
        </w:rPr>
        <w:t>候选</w:t>
      </w:r>
      <w:r>
        <w:rPr>
          <w:rFonts w:hint="eastAsia" w:ascii="宋体" w:hAnsi="宋体" w:cs="宋体"/>
          <w:color w:val="auto"/>
          <w:sz w:val="21"/>
          <w:szCs w:val="21"/>
          <w:highlight w:val="none"/>
        </w:rPr>
        <w:t>人的推荐情况，与评审有关的其他任何情况均严格保密。</w:t>
      </w:r>
    </w:p>
    <w:p w14:paraId="56D74A7B">
      <w:pPr>
        <w:spacing w:line="360" w:lineRule="auto"/>
        <w:ind w:firstLine="420" w:firstLineChars="200"/>
        <w:rPr>
          <w:rFonts w:ascii="宋体" w:hAnsi="宋体" w:cs="宋体"/>
          <w:color w:val="auto"/>
          <w:sz w:val="21"/>
          <w:szCs w:val="21"/>
          <w:highlight w:val="none"/>
        </w:rPr>
      </w:pPr>
      <w:r>
        <w:rPr>
          <w:rFonts w:hint="eastAsia" w:ascii="宋体" w:hAnsi="宋体" w:cs="宋体"/>
          <w:color w:val="auto"/>
          <w:sz w:val="21"/>
          <w:szCs w:val="21"/>
          <w:highlight w:val="none"/>
        </w:rPr>
        <w:t>1.7.2 在响应文件的评审和比较、成交候选人推荐以及授予合同的过程中，供应商向采购人和磋商小组施加影响的任何行为，都将会导致其响应文件被拒绝。</w:t>
      </w:r>
    </w:p>
    <w:p w14:paraId="0C9994E0">
      <w:pPr>
        <w:spacing w:line="360" w:lineRule="auto"/>
        <w:ind w:firstLine="420" w:firstLineChars="200"/>
        <w:rPr>
          <w:rFonts w:ascii="宋体" w:hAnsi="宋体" w:cs="宋体"/>
          <w:color w:val="auto"/>
          <w:sz w:val="21"/>
          <w:szCs w:val="21"/>
          <w:highlight w:val="none"/>
        </w:rPr>
      </w:pPr>
      <w:r>
        <w:rPr>
          <w:rFonts w:hint="eastAsia" w:ascii="宋体" w:hAnsi="宋体" w:cs="宋体"/>
          <w:color w:val="auto"/>
          <w:sz w:val="21"/>
          <w:szCs w:val="21"/>
          <w:highlight w:val="none"/>
        </w:rPr>
        <w:t>1.7.3 成交供应商确定后，采购人不对未成交供应商就评审过程以及未能成交原因作出任何解释。未成交供应商不得向磋商小组组成人员或其他有关人员索问评审过程的情况和资料。</w:t>
      </w:r>
    </w:p>
    <w:p w14:paraId="3678559B">
      <w:pPr>
        <w:spacing w:line="360" w:lineRule="auto"/>
        <w:ind w:firstLine="420" w:firstLineChars="200"/>
        <w:rPr>
          <w:rFonts w:ascii="宋体" w:hAnsi="宋体" w:cs="宋体"/>
          <w:color w:val="auto"/>
          <w:sz w:val="21"/>
          <w:szCs w:val="21"/>
          <w:highlight w:val="none"/>
        </w:rPr>
      </w:pPr>
      <w:r>
        <w:rPr>
          <w:rFonts w:hint="eastAsia" w:ascii="宋体" w:hAnsi="宋体" w:cs="宋体"/>
          <w:color w:val="auto"/>
          <w:sz w:val="21"/>
          <w:szCs w:val="21"/>
          <w:highlight w:val="none"/>
        </w:rPr>
        <w:t>1.8 采购人或采购人代理机构应对评审过程进行书面记录，书面记录应如实地反映评审的全过程，特别是评审专家提出的各种意见和建议，并作为重要的应保密的资料存档，复印件作为书面报告的组成部分交招标管理部门备案。</w:t>
      </w:r>
    </w:p>
    <w:p w14:paraId="5FB14575">
      <w:pPr>
        <w:spacing w:line="360" w:lineRule="auto"/>
        <w:ind w:firstLine="420" w:firstLineChars="200"/>
        <w:rPr>
          <w:rFonts w:ascii="宋体" w:hAnsi="宋体" w:cs="宋体"/>
          <w:color w:val="auto"/>
          <w:sz w:val="21"/>
          <w:szCs w:val="21"/>
          <w:highlight w:val="none"/>
        </w:rPr>
      </w:pPr>
      <w:r>
        <w:rPr>
          <w:rFonts w:hint="eastAsia" w:ascii="宋体" w:hAnsi="宋体" w:cs="宋体"/>
          <w:color w:val="auto"/>
          <w:sz w:val="21"/>
          <w:szCs w:val="21"/>
          <w:highlight w:val="none"/>
        </w:rPr>
        <w:t>1.9 评审中若遇特殊问题，由磋商小组根据有关法律、法规研究决定。</w:t>
      </w:r>
    </w:p>
    <w:p w14:paraId="15D21F80">
      <w:pPr>
        <w:pStyle w:val="4"/>
        <w:keepNext/>
        <w:keepLines/>
        <w:pageBreakBefore w:val="0"/>
        <w:widowControl w:val="0"/>
        <w:tabs>
          <w:tab w:val="left" w:pos="0"/>
        </w:tabs>
        <w:kinsoku/>
        <w:wordWrap/>
        <w:overflowPunct/>
        <w:topLinePunct w:val="0"/>
        <w:autoSpaceDE/>
        <w:autoSpaceDN/>
        <w:bidi w:val="0"/>
        <w:adjustRightInd/>
        <w:snapToGrid/>
        <w:spacing w:before="0" w:after="0" w:line="360" w:lineRule="auto"/>
        <w:ind w:left="0" w:firstLine="424" w:firstLineChars="201"/>
        <w:jc w:val="center"/>
        <w:textAlignment w:val="auto"/>
        <w:rPr>
          <w:rFonts w:hint="eastAsia" w:ascii="宋体" w:hAnsi="宋体" w:cs="宋体"/>
          <w:bCs/>
          <w:color w:val="auto"/>
          <w:sz w:val="21"/>
          <w:szCs w:val="21"/>
          <w:highlight w:val="none"/>
          <w:lang w:bidi="en-US"/>
        </w:rPr>
      </w:pPr>
      <w:bookmarkStart w:id="1131" w:name="_Toc246831853"/>
      <w:bookmarkStart w:id="1132" w:name="_Toc493101405"/>
      <w:bookmarkStart w:id="1133" w:name="_Toc121151891"/>
      <w:bookmarkStart w:id="1134" w:name="_Toc20645"/>
      <w:bookmarkStart w:id="1135" w:name="_Toc121152031"/>
      <w:bookmarkStart w:id="1136" w:name="_Toc493101207"/>
      <w:bookmarkStart w:id="1137" w:name="_Toc521614479"/>
      <w:bookmarkStart w:id="1138" w:name="_Toc397008036"/>
      <w:bookmarkStart w:id="1139" w:name="_Toc17627"/>
      <w:r>
        <w:rPr>
          <w:rFonts w:hint="eastAsia" w:ascii="宋体" w:hAnsi="宋体" w:cs="宋体"/>
          <w:bCs/>
          <w:color w:val="auto"/>
          <w:sz w:val="21"/>
          <w:szCs w:val="21"/>
          <w:highlight w:val="none"/>
          <w:lang w:eastAsia="zh-CN" w:bidi="en-US"/>
        </w:rPr>
        <w:t>2.</w:t>
      </w:r>
      <w:bookmarkEnd w:id="1131"/>
      <w:r>
        <w:rPr>
          <w:rFonts w:hint="eastAsia" w:ascii="宋体" w:hAnsi="宋体" w:cs="宋体"/>
          <w:bCs/>
          <w:color w:val="auto"/>
          <w:sz w:val="21"/>
          <w:szCs w:val="21"/>
          <w:highlight w:val="none"/>
          <w:lang w:bidi="en-US"/>
        </w:rPr>
        <w:t>评审标准</w:t>
      </w:r>
      <w:bookmarkEnd w:id="1132"/>
      <w:bookmarkEnd w:id="1133"/>
      <w:bookmarkEnd w:id="1134"/>
      <w:bookmarkEnd w:id="1135"/>
      <w:bookmarkEnd w:id="1136"/>
      <w:bookmarkEnd w:id="1137"/>
      <w:bookmarkEnd w:id="1138"/>
      <w:bookmarkEnd w:id="1139"/>
    </w:p>
    <w:p w14:paraId="50D2560D">
      <w:pPr>
        <w:pStyle w:val="4"/>
        <w:keepNext/>
        <w:keepLines/>
        <w:pageBreakBefore w:val="0"/>
        <w:widowControl w:val="0"/>
        <w:tabs>
          <w:tab w:val="left" w:pos="0"/>
        </w:tabs>
        <w:kinsoku/>
        <w:wordWrap/>
        <w:overflowPunct/>
        <w:topLinePunct w:val="0"/>
        <w:autoSpaceDE/>
        <w:autoSpaceDN/>
        <w:bidi w:val="0"/>
        <w:adjustRightInd/>
        <w:snapToGrid/>
        <w:spacing w:before="0" w:after="0" w:line="360" w:lineRule="auto"/>
        <w:ind w:left="0" w:firstLine="424" w:firstLineChars="201"/>
        <w:jc w:val="left"/>
        <w:textAlignment w:val="auto"/>
        <w:rPr>
          <w:rFonts w:hint="eastAsia" w:ascii="宋体" w:hAnsi="宋体" w:cs="宋体"/>
          <w:bCs/>
          <w:color w:val="auto"/>
          <w:sz w:val="21"/>
          <w:szCs w:val="21"/>
          <w:highlight w:val="none"/>
          <w:lang w:bidi="en-US"/>
        </w:rPr>
      </w:pPr>
      <w:bookmarkStart w:id="1140" w:name="_Toc3374"/>
      <w:bookmarkStart w:id="1141" w:name="_Toc20750"/>
      <w:bookmarkStart w:id="1142" w:name="_Toc186513211"/>
      <w:bookmarkStart w:id="1143" w:name="_Toc397008037"/>
      <w:bookmarkStart w:id="1144" w:name="_Toc521614480"/>
      <w:bookmarkStart w:id="1145" w:name="_Toc493101406"/>
      <w:bookmarkStart w:id="1146" w:name="_Toc493101208"/>
      <w:bookmarkStart w:id="1147" w:name="_Toc302769237"/>
      <w:bookmarkStart w:id="1148" w:name="_Toc8146"/>
      <w:bookmarkStart w:id="1149" w:name="_Toc121151892"/>
      <w:bookmarkStart w:id="1150" w:name="_Toc26308"/>
      <w:bookmarkStart w:id="1151" w:name="_Toc121152032"/>
      <w:bookmarkStart w:id="1152" w:name="_Toc392522352"/>
      <w:bookmarkStart w:id="1153" w:name="_Toc382566730"/>
      <w:bookmarkStart w:id="1154" w:name="_Toc25026"/>
      <w:r>
        <w:rPr>
          <w:rFonts w:hint="eastAsia" w:ascii="宋体" w:hAnsi="宋体" w:cs="宋体"/>
          <w:bCs/>
          <w:color w:val="auto"/>
          <w:sz w:val="21"/>
          <w:szCs w:val="21"/>
          <w:highlight w:val="none"/>
          <w:lang w:bidi="en-US"/>
        </w:rPr>
        <w:t>2.1 初步评审标准</w:t>
      </w:r>
      <w:bookmarkEnd w:id="1140"/>
      <w:bookmarkEnd w:id="1141"/>
      <w:bookmarkEnd w:id="1142"/>
      <w:bookmarkEnd w:id="1143"/>
      <w:bookmarkEnd w:id="1144"/>
      <w:bookmarkEnd w:id="1145"/>
      <w:bookmarkEnd w:id="1146"/>
      <w:bookmarkEnd w:id="1147"/>
      <w:bookmarkEnd w:id="1148"/>
      <w:bookmarkEnd w:id="1149"/>
      <w:bookmarkEnd w:id="1150"/>
      <w:bookmarkEnd w:id="1151"/>
      <w:bookmarkEnd w:id="1152"/>
      <w:bookmarkEnd w:id="1153"/>
      <w:bookmarkEnd w:id="1154"/>
    </w:p>
    <w:p w14:paraId="7E1F4189">
      <w:pPr>
        <w:spacing w:line="360" w:lineRule="auto"/>
        <w:ind w:firstLine="420" w:firstLineChars="200"/>
        <w:rPr>
          <w:rFonts w:ascii="宋体" w:hAnsi="宋体" w:cs="宋体"/>
          <w:color w:val="auto"/>
          <w:sz w:val="21"/>
          <w:szCs w:val="21"/>
          <w:highlight w:val="none"/>
        </w:rPr>
      </w:pPr>
      <w:bookmarkStart w:id="1155" w:name="_Toc302769238"/>
      <w:r>
        <w:rPr>
          <w:rFonts w:hint="eastAsia" w:ascii="宋体" w:hAnsi="宋体" w:cs="宋体"/>
          <w:color w:val="auto"/>
          <w:sz w:val="21"/>
          <w:szCs w:val="21"/>
          <w:highlight w:val="none"/>
        </w:rPr>
        <w:t>2.1.1 资格评审标准：见评审办法前附表。</w:t>
      </w:r>
      <w:bookmarkEnd w:id="1155"/>
    </w:p>
    <w:p w14:paraId="5F75EE18">
      <w:pPr>
        <w:spacing w:line="360" w:lineRule="auto"/>
        <w:ind w:firstLine="420" w:firstLineChars="200"/>
        <w:rPr>
          <w:rFonts w:ascii="宋体" w:hAnsi="宋体" w:cs="宋体"/>
          <w:color w:val="auto"/>
          <w:sz w:val="21"/>
          <w:szCs w:val="21"/>
          <w:highlight w:val="none"/>
        </w:rPr>
      </w:pPr>
      <w:bookmarkStart w:id="1156" w:name="_Toc302769239"/>
      <w:r>
        <w:rPr>
          <w:rFonts w:hint="eastAsia" w:ascii="宋体" w:hAnsi="宋体" w:cs="宋体"/>
          <w:color w:val="auto"/>
          <w:sz w:val="21"/>
          <w:szCs w:val="21"/>
          <w:highlight w:val="none"/>
        </w:rPr>
        <w:t xml:space="preserve">2.1.2 </w:t>
      </w:r>
      <w:r>
        <w:rPr>
          <w:rFonts w:hint="eastAsia" w:ascii="宋体" w:hAnsi="宋体" w:cs="宋体"/>
          <w:color w:val="auto"/>
          <w:sz w:val="21"/>
          <w:szCs w:val="21"/>
          <w:highlight w:val="none"/>
          <w:lang w:val="en-US" w:eastAsia="zh-CN"/>
        </w:rPr>
        <w:t>符合性</w:t>
      </w:r>
      <w:r>
        <w:rPr>
          <w:rFonts w:hint="eastAsia" w:ascii="宋体" w:hAnsi="宋体" w:cs="宋体"/>
          <w:color w:val="auto"/>
          <w:sz w:val="21"/>
          <w:szCs w:val="21"/>
          <w:highlight w:val="none"/>
        </w:rPr>
        <w:t>评审标准：见评审办法前附表。</w:t>
      </w:r>
      <w:bookmarkEnd w:id="1156"/>
    </w:p>
    <w:p w14:paraId="2D61DE1D">
      <w:pPr>
        <w:pStyle w:val="4"/>
        <w:keepNext/>
        <w:keepLines/>
        <w:pageBreakBefore w:val="0"/>
        <w:widowControl w:val="0"/>
        <w:tabs>
          <w:tab w:val="left" w:pos="0"/>
        </w:tabs>
        <w:kinsoku/>
        <w:wordWrap/>
        <w:overflowPunct/>
        <w:topLinePunct w:val="0"/>
        <w:autoSpaceDE/>
        <w:autoSpaceDN/>
        <w:bidi w:val="0"/>
        <w:adjustRightInd/>
        <w:snapToGrid/>
        <w:spacing w:before="0" w:after="0" w:line="360" w:lineRule="auto"/>
        <w:ind w:left="0" w:firstLine="424" w:firstLineChars="201"/>
        <w:jc w:val="left"/>
        <w:textAlignment w:val="auto"/>
        <w:rPr>
          <w:rFonts w:hint="eastAsia" w:ascii="宋体" w:hAnsi="宋体" w:cs="宋体"/>
          <w:bCs/>
          <w:color w:val="auto"/>
          <w:sz w:val="21"/>
          <w:szCs w:val="21"/>
          <w:highlight w:val="none"/>
          <w:lang w:bidi="en-US"/>
        </w:rPr>
      </w:pPr>
      <w:bookmarkStart w:id="1157" w:name="_Toc121152033"/>
      <w:bookmarkStart w:id="1158" w:name="_Toc3067"/>
      <w:bookmarkStart w:id="1159" w:name="_Toc493101407"/>
      <w:bookmarkStart w:id="1160" w:name="_Toc121151893"/>
      <w:bookmarkStart w:id="1161" w:name="_Toc12893"/>
      <w:bookmarkStart w:id="1162" w:name="_Toc521614481"/>
      <w:bookmarkStart w:id="1163" w:name="_Toc382566731"/>
      <w:bookmarkStart w:id="1164" w:name="_Toc816"/>
      <w:bookmarkStart w:id="1165" w:name="_Toc20948"/>
      <w:bookmarkStart w:id="1166" w:name="_Toc24633"/>
      <w:bookmarkStart w:id="1167" w:name="_Toc392522353"/>
      <w:bookmarkStart w:id="1168" w:name="_Toc397008038"/>
      <w:bookmarkStart w:id="1169" w:name="_Toc493101209"/>
      <w:r>
        <w:rPr>
          <w:rFonts w:hint="eastAsia" w:ascii="宋体" w:hAnsi="宋体" w:cs="宋体"/>
          <w:bCs/>
          <w:color w:val="auto"/>
          <w:sz w:val="21"/>
          <w:szCs w:val="21"/>
          <w:highlight w:val="none"/>
          <w:lang w:bidi="en-US"/>
        </w:rPr>
        <w:t>2.2 详细评审标准</w:t>
      </w:r>
      <w:bookmarkEnd w:id="1157"/>
      <w:bookmarkEnd w:id="1158"/>
      <w:bookmarkEnd w:id="1159"/>
      <w:bookmarkEnd w:id="1160"/>
      <w:bookmarkEnd w:id="1161"/>
      <w:bookmarkEnd w:id="1162"/>
      <w:bookmarkEnd w:id="1163"/>
      <w:bookmarkEnd w:id="1164"/>
      <w:bookmarkEnd w:id="1165"/>
      <w:bookmarkEnd w:id="1166"/>
      <w:bookmarkEnd w:id="1167"/>
      <w:bookmarkEnd w:id="1168"/>
      <w:bookmarkEnd w:id="1169"/>
    </w:p>
    <w:p w14:paraId="5292E0CE">
      <w:pPr>
        <w:spacing w:line="360" w:lineRule="auto"/>
        <w:ind w:firstLine="420" w:firstLineChars="200"/>
        <w:rPr>
          <w:rFonts w:ascii="宋体" w:hAnsi="宋体" w:cs="宋体"/>
          <w:color w:val="auto"/>
          <w:sz w:val="21"/>
          <w:szCs w:val="21"/>
          <w:highlight w:val="none"/>
        </w:rPr>
      </w:pPr>
      <w:r>
        <w:rPr>
          <w:rFonts w:hint="eastAsia" w:ascii="宋体" w:hAnsi="宋体" w:cs="宋体"/>
          <w:color w:val="auto"/>
          <w:sz w:val="21"/>
          <w:szCs w:val="21"/>
          <w:highlight w:val="none"/>
        </w:rPr>
        <w:t>2.2.1 详细评审采用综合评估法，详见评审办法前附表。</w:t>
      </w:r>
    </w:p>
    <w:p w14:paraId="0C0B3005">
      <w:pPr>
        <w:spacing w:line="360" w:lineRule="auto"/>
        <w:ind w:firstLine="420" w:firstLineChars="200"/>
        <w:rPr>
          <w:rFonts w:ascii="宋体" w:hAnsi="宋体" w:cs="宋体"/>
          <w:color w:val="auto"/>
          <w:sz w:val="21"/>
          <w:szCs w:val="21"/>
          <w:highlight w:val="none"/>
        </w:rPr>
      </w:pPr>
      <w:r>
        <w:rPr>
          <w:rFonts w:hint="eastAsia" w:ascii="宋体" w:hAnsi="宋体" w:cs="宋体"/>
          <w:color w:val="auto"/>
          <w:sz w:val="21"/>
          <w:szCs w:val="21"/>
          <w:highlight w:val="none"/>
        </w:rPr>
        <w:t>2.2.2详细评审标准：见评审办法前附表。</w:t>
      </w:r>
    </w:p>
    <w:p w14:paraId="603397F3">
      <w:pPr>
        <w:pStyle w:val="3"/>
        <w:spacing w:before="0" w:after="0" w:line="360" w:lineRule="auto"/>
        <w:ind w:left="420" w:hanging="420" w:hangingChars="199"/>
        <w:jc w:val="center"/>
        <w:rPr>
          <w:rFonts w:ascii="宋体" w:hAnsi="宋体" w:eastAsia="宋体" w:cs="宋体"/>
          <w:bCs/>
          <w:iCs/>
          <w:color w:val="auto"/>
          <w:sz w:val="21"/>
          <w:szCs w:val="21"/>
          <w:highlight w:val="none"/>
          <w:lang w:bidi="en-US"/>
        </w:rPr>
      </w:pPr>
      <w:bookmarkStart w:id="1170" w:name="_Toc11433"/>
      <w:bookmarkStart w:id="1171" w:name="_Toc184635091"/>
      <w:bookmarkStart w:id="1172" w:name="_Toc493101408"/>
      <w:bookmarkStart w:id="1173" w:name="_Toc25263"/>
      <w:bookmarkStart w:id="1174" w:name="_Toc121151894"/>
      <w:bookmarkStart w:id="1175" w:name="_Toc493101210"/>
      <w:bookmarkStart w:id="1176" w:name="_Toc397008039"/>
      <w:bookmarkStart w:id="1177" w:name="_Toc121152034"/>
      <w:bookmarkStart w:id="1178" w:name="_Toc521614482"/>
      <w:r>
        <w:rPr>
          <w:rFonts w:hint="eastAsia" w:ascii="宋体" w:hAnsi="宋体" w:eastAsia="宋体" w:cs="宋体"/>
          <w:bCs/>
          <w:iCs/>
          <w:color w:val="auto"/>
          <w:sz w:val="21"/>
          <w:szCs w:val="21"/>
          <w:highlight w:val="none"/>
          <w:lang w:eastAsia="zh-CN" w:bidi="en-US"/>
        </w:rPr>
        <w:t>3.</w:t>
      </w:r>
      <w:r>
        <w:rPr>
          <w:rFonts w:hint="eastAsia" w:ascii="宋体" w:hAnsi="宋体" w:eastAsia="宋体" w:cs="宋体"/>
          <w:bCs/>
          <w:iCs/>
          <w:color w:val="auto"/>
          <w:sz w:val="21"/>
          <w:szCs w:val="21"/>
          <w:highlight w:val="none"/>
          <w:lang w:bidi="en-US"/>
        </w:rPr>
        <w:t>评审程序</w:t>
      </w:r>
      <w:bookmarkEnd w:id="1170"/>
      <w:bookmarkEnd w:id="1171"/>
      <w:bookmarkEnd w:id="1172"/>
      <w:bookmarkEnd w:id="1173"/>
      <w:bookmarkEnd w:id="1174"/>
      <w:bookmarkEnd w:id="1175"/>
      <w:bookmarkEnd w:id="1176"/>
      <w:bookmarkEnd w:id="1177"/>
      <w:bookmarkEnd w:id="1178"/>
    </w:p>
    <w:p w14:paraId="3F1CB2EB">
      <w:pPr>
        <w:pStyle w:val="4"/>
        <w:keepNext/>
        <w:keepLines/>
        <w:pageBreakBefore w:val="0"/>
        <w:widowControl w:val="0"/>
        <w:tabs>
          <w:tab w:val="left" w:pos="0"/>
        </w:tabs>
        <w:kinsoku/>
        <w:wordWrap/>
        <w:overflowPunct/>
        <w:topLinePunct w:val="0"/>
        <w:autoSpaceDE/>
        <w:autoSpaceDN/>
        <w:bidi w:val="0"/>
        <w:adjustRightInd/>
        <w:snapToGrid/>
        <w:spacing w:before="0" w:after="0" w:line="360" w:lineRule="auto"/>
        <w:ind w:left="0" w:firstLine="424" w:firstLineChars="201"/>
        <w:jc w:val="left"/>
        <w:textAlignment w:val="auto"/>
        <w:rPr>
          <w:rFonts w:ascii="宋体" w:hAnsi="宋体" w:cs="宋体"/>
          <w:bCs/>
          <w:color w:val="auto"/>
          <w:sz w:val="21"/>
          <w:szCs w:val="21"/>
          <w:highlight w:val="none"/>
          <w:lang w:bidi="en-US"/>
        </w:rPr>
      </w:pPr>
      <w:bookmarkStart w:id="1179" w:name="_Toc121151895"/>
      <w:bookmarkStart w:id="1180" w:name="_Toc397008040"/>
      <w:bookmarkStart w:id="1181" w:name="_Toc493101409"/>
      <w:bookmarkStart w:id="1182" w:name="_Toc28775"/>
      <w:bookmarkStart w:id="1183" w:name="_Toc24800"/>
      <w:bookmarkStart w:id="1184" w:name="_Toc121152035"/>
      <w:bookmarkStart w:id="1185" w:name="_Toc382566737"/>
      <w:bookmarkStart w:id="1186" w:name="_Toc493101211"/>
      <w:bookmarkStart w:id="1187" w:name="_Toc521614483"/>
      <w:bookmarkStart w:id="1188" w:name="_Toc287"/>
      <w:bookmarkStart w:id="1189" w:name="_Toc1135"/>
      <w:bookmarkStart w:id="1190" w:name="_Toc392522375"/>
      <w:bookmarkStart w:id="1191" w:name="_Toc13392"/>
      <w:r>
        <w:rPr>
          <w:rFonts w:hint="eastAsia" w:ascii="宋体" w:hAnsi="宋体" w:cs="宋体"/>
          <w:bCs/>
          <w:color w:val="auto"/>
          <w:sz w:val="21"/>
          <w:szCs w:val="21"/>
          <w:highlight w:val="none"/>
          <w:lang w:bidi="en-US"/>
        </w:rPr>
        <w:t>3.1 初步评审</w:t>
      </w:r>
      <w:bookmarkEnd w:id="1179"/>
      <w:bookmarkEnd w:id="1180"/>
      <w:bookmarkEnd w:id="1181"/>
      <w:bookmarkEnd w:id="1182"/>
      <w:bookmarkEnd w:id="1183"/>
      <w:bookmarkEnd w:id="1184"/>
      <w:bookmarkEnd w:id="1185"/>
      <w:bookmarkEnd w:id="1186"/>
      <w:bookmarkEnd w:id="1187"/>
      <w:bookmarkEnd w:id="1188"/>
      <w:bookmarkEnd w:id="1189"/>
      <w:bookmarkEnd w:id="1190"/>
      <w:bookmarkEnd w:id="1191"/>
    </w:p>
    <w:p w14:paraId="2861A98C">
      <w:pPr>
        <w:spacing w:line="360" w:lineRule="auto"/>
        <w:ind w:firstLine="420" w:firstLineChars="200"/>
        <w:rPr>
          <w:rFonts w:ascii="宋体" w:hAnsi="宋体" w:cs="宋体"/>
          <w:color w:val="auto"/>
          <w:sz w:val="21"/>
          <w:szCs w:val="21"/>
          <w:highlight w:val="none"/>
        </w:rPr>
      </w:pPr>
      <w:r>
        <w:rPr>
          <w:rFonts w:hint="eastAsia" w:ascii="宋体" w:hAnsi="宋体" w:cs="宋体"/>
          <w:color w:val="auto"/>
          <w:sz w:val="21"/>
          <w:szCs w:val="21"/>
          <w:highlight w:val="none"/>
        </w:rPr>
        <w:t>3.1.1 磋商小组依据本章第2.1款规定的标准对响应文件进行初步评审。有一项不符合评审标准的，磋商小组应当否决其磋商申请。</w:t>
      </w:r>
    </w:p>
    <w:p w14:paraId="14EF4865">
      <w:pPr>
        <w:spacing w:line="360" w:lineRule="auto"/>
        <w:ind w:firstLine="420" w:firstLineChars="200"/>
        <w:rPr>
          <w:rFonts w:ascii="宋体" w:hAnsi="宋体" w:cs="宋体"/>
          <w:color w:val="auto"/>
          <w:sz w:val="21"/>
          <w:szCs w:val="21"/>
          <w:highlight w:val="none"/>
        </w:rPr>
      </w:pPr>
      <w:r>
        <w:rPr>
          <w:rFonts w:hint="eastAsia" w:ascii="宋体" w:hAnsi="宋体" w:cs="宋体"/>
          <w:color w:val="auto"/>
          <w:sz w:val="21"/>
          <w:szCs w:val="21"/>
          <w:highlight w:val="none"/>
        </w:rPr>
        <w:t>3.1.2 供应商有以下情形之一的，其响应文件作否决磋商申请处理：</w:t>
      </w:r>
    </w:p>
    <w:p w14:paraId="0478E53A">
      <w:pPr>
        <w:spacing w:line="360" w:lineRule="auto"/>
        <w:ind w:firstLine="420" w:firstLineChars="200"/>
        <w:rPr>
          <w:rFonts w:ascii="宋体" w:hAnsi="宋体" w:cs="宋体"/>
          <w:color w:val="auto"/>
          <w:sz w:val="21"/>
          <w:szCs w:val="21"/>
          <w:highlight w:val="none"/>
        </w:rPr>
      </w:pPr>
      <w:r>
        <w:rPr>
          <w:rFonts w:hint="eastAsia" w:ascii="宋体" w:hAnsi="宋体" w:cs="宋体"/>
          <w:color w:val="auto"/>
          <w:sz w:val="21"/>
          <w:szCs w:val="21"/>
          <w:highlight w:val="none"/>
        </w:rPr>
        <w:t>（1）第二章“供应商须知”第4.2项规定的任何一种情形的；</w:t>
      </w:r>
    </w:p>
    <w:p w14:paraId="064FBEBB">
      <w:pPr>
        <w:spacing w:line="360" w:lineRule="auto"/>
        <w:ind w:firstLine="420" w:firstLineChars="200"/>
        <w:rPr>
          <w:rFonts w:ascii="宋体" w:hAnsi="宋体" w:cs="宋体"/>
          <w:color w:val="auto"/>
          <w:sz w:val="21"/>
          <w:szCs w:val="21"/>
          <w:highlight w:val="none"/>
        </w:rPr>
      </w:pPr>
      <w:r>
        <w:rPr>
          <w:rFonts w:hint="eastAsia" w:ascii="宋体" w:hAnsi="宋体" w:cs="宋体"/>
          <w:color w:val="auto"/>
          <w:sz w:val="21"/>
          <w:szCs w:val="21"/>
          <w:highlight w:val="none"/>
        </w:rPr>
        <w:t>（2）串通投标或弄虚作假或有其他违法行为的；</w:t>
      </w:r>
    </w:p>
    <w:p w14:paraId="7254B553">
      <w:pPr>
        <w:spacing w:line="360" w:lineRule="auto"/>
        <w:ind w:firstLine="420" w:firstLineChars="200"/>
        <w:rPr>
          <w:rFonts w:ascii="宋体" w:hAnsi="宋体" w:cs="宋体"/>
          <w:color w:val="auto"/>
          <w:sz w:val="21"/>
          <w:szCs w:val="21"/>
          <w:highlight w:val="none"/>
        </w:rPr>
      </w:pPr>
      <w:r>
        <w:rPr>
          <w:rFonts w:hint="eastAsia" w:ascii="宋体" w:hAnsi="宋体" w:cs="宋体"/>
          <w:color w:val="auto"/>
          <w:sz w:val="21"/>
          <w:szCs w:val="21"/>
          <w:highlight w:val="none"/>
        </w:rPr>
        <w:t>（3）不按磋商小组要求澄清、说明或补正的；</w:t>
      </w:r>
    </w:p>
    <w:p w14:paraId="616A4324">
      <w:pPr>
        <w:spacing w:line="360" w:lineRule="auto"/>
        <w:ind w:firstLine="420" w:firstLineChars="200"/>
        <w:rPr>
          <w:rFonts w:ascii="宋体" w:hAnsi="宋体" w:cs="宋体"/>
          <w:color w:val="auto"/>
          <w:sz w:val="21"/>
          <w:szCs w:val="21"/>
          <w:highlight w:val="none"/>
        </w:rPr>
      </w:pPr>
      <w:bookmarkStart w:id="1192" w:name="_Toc302769256"/>
      <w:r>
        <w:rPr>
          <w:rFonts w:hint="eastAsia" w:ascii="宋体" w:hAnsi="宋体" w:cs="宋体"/>
          <w:color w:val="auto"/>
          <w:sz w:val="21"/>
          <w:szCs w:val="21"/>
          <w:highlight w:val="none"/>
        </w:rPr>
        <w:t>（4）附件B“否决磋商申请条件”中规定的任何一种情形的。</w:t>
      </w:r>
      <w:bookmarkEnd w:id="1192"/>
    </w:p>
    <w:p w14:paraId="0713C290">
      <w:pPr>
        <w:spacing w:line="360" w:lineRule="auto"/>
        <w:ind w:firstLine="420" w:firstLineChars="200"/>
        <w:rPr>
          <w:rFonts w:ascii="宋体" w:hAnsi="宋体" w:cs="宋体"/>
          <w:color w:val="auto"/>
          <w:sz w:val="21"/>
          <w:szCs w:val="21"/>
          <w:highlight w:val="none"/>
        </w:rPr>
      </w:pPr>
      <w:r>
        <w:rPr>
          <w:rFonts w:hint="eastAsia" w:ascii="宋体" w:hAnsi="宋体" w:cs="宋体"/>
          <w:color w:val="auto"/>
          <w:sz w:val="21"/>
          <w:szCs w:val="21"/>
          <w:highlight w:val="none"/>
        </w:rPr>
        <w:t>3.1.3 磋商报价有算术错误的，磋商小组按以下原则对磋商报价进行修正，修正的价格经供应商书面确认后具有约束力。供应商不接受修正价格的，其磋商申请作否决处理。</w:t>
      </w:r>
    </w:p>
    <w:p w14:paraId="7C6214AB">
      <w:pPr>
        <w:spacing w:line="360" w:lineRule="auto"/>
        <w:ind w:firstLine="422" w:firstLineChars="200"/>
        <w:rPr>
          <w:rFonts w:ascii="宋体" w:hAnsi="宋体" w:cs="宋体"/>
          <w:b/>
          <w:bCs/>
          <w:color w:val="auto"/>
          <w:sz w:val="21"/>
          <w:szCs w:val="21"/>
          <w:highlight w:val="none"/>
        </w:rPr>
      </w:pPr>
      <w:r>
        <w:rPr>
          <w:rFonts w:hint="eastAsia" w:ascii="宋体" w:hAnsi="宋体" w:cs="宋体"/>
          <w:b/>
          <w:bCs/>
          <w:color w:val="auto"/>
          <w:sz w:val="21"/>
          <w:szCs w:val="21"/>
          <w:highlight w:val="none"/>
        </w:rPr>
        <w:t>（1）响应文件中的大写金额与小写金额不一致的，以大写金额为准；</w:t>
      </w:r>
    </w:p>
    <w:p w14:paraId="2BD5555C">
      <w:pPr>
        <w:spacing w:line="360" w:lineRule="auto"/>
        <w:ind w:firstLine="422" w:firstLineChars="200"/>
        <w:rPr>
          <w:rFonts w:ascii="宋体" w:hAnsi="宋体" w:cs="宋体"/>
          <w:b/>
          <w:bCs/>
          <w:color w:val="auto"/>
          <w:sz w:val="21"/>
          <w:szCs w:val="21"/>
          <w:highlight w:val="none"/>
        </w:rPr>
      </w:pPr>
      <w:r>
        <w:rPr>
          <w:rFonts w:hint="eastAsia" w:ascii="宋体" w:hAnsi="宋体" w:cs="宋体"/>
          <w:b/>
          <w:bCs/>
          <w:color w:val="auto"/>
          <w:sz w:val="21"/>
          <w:szCs w:val="21"/>
          <w:highlight w:val="none"/>
        </w:rPr>
        <w:t>（2）总价金额与依据单价计算出的结果不一致的，以单价金额为准修正总价，但单价金额小数点有明显错误的除外。</w:t>
      </w:r>
    </w:p>
    <w:p w14:paraId="28403C8E">
      <w:pPr>
        <w:pStyle w:val="4"/>
        <w:tabs>
          <w:tab w:val="left" w:pos="0"/>
        </w:tabs>
        <w:spacing w:before="0" w:after="0"/>
        <w:ind w:left="0" w:firstLine="424" w:firstLineChars="201"/>
        <w:jc w:val="left"/>
        <w:rPr>
          <w:rFonts w:ascii="宋体" w:hAnsi="宋体" w:cs="宋体"/>
          <w:bCs/>
          <w:color w:val="auto"/>
          <w:sz w:val="21"/>
          <w:szCs w:val="21"/>
          <w:highlight w:val="none"/>
          <w:lang w:bidi="en-US"/>
        </w:rPr>
      </w:pPr>
      <w:bookmarkStart w:id="1193" w:name="_Toc493101410"/>
      <w:bookmarkStart w:id="1194" w:name="_Toc31411"/>
      <w:bookmarkStart w:id="1195" w:name="_Toc521614484"/>
      <w:bookmarkStart w:id="1196" w:name="_Toc121152036"/>
      <w:bookmarkStart w:id="1197" w:name="_Toc607"/>
      <w:bookmarkStart w:id="1198" w:name="_Toc1313"/>
      <w:bookmarkStart w:id="1199" w:name="_Toc397008041"/>
      <w:bookmarkStart w:id="1200" w:name="_Toc4351"/>
      <w:bookmarkStart w:id="1201" w:name="_Toc493101212"/>
      <w:bookmarkStart w:id="1202" w:name="_Toc121151896"/>
      <w:bookmarkStart w:id="1203" w:name="_Toc382566738"/>
      <w:bookmarkStart w:id="1204" w:name="_Toc392522376"/>
      <w:bookmarkStart w:id="1205" w:name="_Toc8453"/>
      <w:r>
        <w:rPr>
          <w:rFonts w:hint="eastAsia" w:ascii="宋体" w:hAnsi="宋体" w:cs="宋体"/>
          <w:bCs/>
          <w:color w:val="auto"/>
          <w:sz w:val="21"/>
          <w:szCs w:val="21"/>
          <w:highlight w:val="none"/>
          <w:lang w:bidi="en-US"/>
        </w:rPr>
        <w:t>3.2 详细评审</w:t>
      </w:r>
      <w:bookmarkEnd w:id="1193"/>
      <w:bookmarkEnd w:id="1194"/>
      <w:bookmarkEnd w:id="1195"/>
      <w:bookmarkEnd w:id="1196"/>
      <w:bookmarkEnd w:id="1197"/>
      <w:bookmarkEnd w:id="1198"/>
      <w:bookmarkEnd w:id="1199"/>
      <w:bookmarkEnd w:id="1200"/>
      <w:bookmarkEnd w:id="1201"/>
      <w:bookmarkEnd w:id="1202"/>
      <w:bookmarkEnd w:id="1203"/>
      <w:bookmarkEnd w:id="1204"/>
      <w:bookmarkEnd w:id="1205"/>
    </w:p>
    <w:p w14:paraId="22EE0962">
      <w:pPr>
        <w:spacing w:line="360" w:lineRule="auto"/>
        <w:ind w:firstLine="420" w:firstLineChars="200"/>
        <w:rPr>
          <w:rFonts w:ascii="宋体" w:hAnsi="宋体" w:cs="宋体"/>
          <w:color w:val="auto"/>
          <w:sz w:val="21"/>
          <w:szCs w:val="21"/>
          <w:highlight w:val="none"/>
        </w:rPr>
      </w:pPr>
      <w:r>
        <w:rPr>
          <w:rFonts w:hint="eastAsia" w:ascii="宋体" w:hAnsi="宋体" w:cs="宋体"/>
          <w:color w:val="auto"/>
          <w:sz w:val="21"/>
          <w:szCs w:val="21"/>
          <w:highlight w:val="none"/>
        </w:rPr>
        <w:t>3.2.1 磋商小组按详细评审标准规定进行打分。</w:t>
      </w:r>
    </w:p>
    <w:p w14:paraId="47B31AC7">
      <w:pPr>
        <w:spacing w:line="360" w:lineRule="auto"/>
        <w:ind w:firstLine="420" w:firstLineChars="200"/>
        <w:rPr>
          <w:rFonts w:ascii="宋体" w:hAnsi="宋体" w:cs="宋体"/>
          <w:color w:val="auto"/>
          <w:sz w:val="21"/>
          <w:szCs w:val="21"/>
          <w:highlight w:val="none"/>
        </w:rPr>
      </w:pPr>
      <w:bookmarkStart w:id="1206" w:name="_Toc302769262"/>
      <w:r>
        <w:rPr>
          <w:rFonts w:hint="eastAsia" w:ascii="宋体" w:hAnsi="宋体" w:cs="宋体"/>
          <w:color w:val="auto"/>
          <w:sz w:val="21"/>
          <w:szCs w:val="21"/>
          <w:highlight w:val="none"/>
        </w:rPr>
        <w:t>3.2.2 统计分数原则：供应商各项评分因素得分为该项因素各评委评分的算术平均值。评分分值计算保留小数点后两位，小数点后第三位“四舍五入”。</w:t>
      </w:r>
      <w:bookmarkEnd w:id="1206"/>
    </w:p>
    <w:p w14:paraId="0D79452D">
      <w:pPr>
        <w:spacing w:line="360" w:lineRule="auto"/>
        <w:ind w:firstLine="420" w:firstLineChars="200"/>
        <w:rPr>
          <w:rFonts w:hint="eastAsia" w:ascii="宋体" w:hAnsi="宋体" w:cs="宋体"/>
          <w:color w:val="auto"/>
          <w:szCs w:val="21"/>
          <w:highlight w:val="none"/>
        </w:rPr>
      </w:pPr>
      <w:bookmarkStart w:id="1207" w:name="_Toc521614485"/>
      <w:bookmarkStart w:id="1208" w:name="_Toc121152037"/>
      <w:bookmarkStart w:id="1209" w:name="_Toc121151897"/>
      <w:bookmarkStart w:id="1210" w:name="_Toc9726"/>
      <w:bookmarkStart w:id="1211" w:name="_Toc493101213"/>
      <w:bookmarkStart w:id="1212" w:name="_Toc32415"/>
      <w:bookmarkStart w:id="1213" w:name="_Toc397008042"/>
      <w:bookmarkStart w:id="1214" w:name="_Toc493101411"/>
      <w:bookmarkStart w:id="1215" w:name="_Toc382566739"/>
      <w:bookmarkStart w:id="1216" w:name="_Toc24688"/>
      <w:bookmarkStart w:id="1217" w:name="_Toc2734"/>
      <w:bookmarkStart w:id="1218" w:name="_Toc392522377"/>
      <w:bookmarkStart w:id="1219" w:name="_Toc30367"/>
      <w:r>
        <w:rPr>
          <w:rFonts w:hint="eastAsia" w:ascii="宋体" w:hAnsi="宋体" w:cs="宋体"/>
          <w:color w:val="auto"/>
          <w:sz w:val="21"/>
          <w:szCs w:val="21"/>
          <w:highlight w:val="none"/>
        </w:rPr>
        <w:t xml:space="preserve">3.2.3 </w:t>
      </w:r>
      <w:r>
        <w:rPr>
          <w:rFonts w:hint="eastAsia" w:ascii="宋体" w:hAnsi="宋体" w:cs="宋体"/>
          <w:color w:val="auto"/>
          <w:szCs w:val="21"/>
          <w:highlight w:val="none"/>
        </w:rPr>
        <w:t>政府采购评审中出现下列情形之一的</w:t>
      </w:r>
      <w:r>
        <w:rPr>
          <w:rFonts w:hint="eastAsia" w:ascii="宋体" w:hAnsi="宋体" w:cs="宋体"/>
          <w:color w:val="auto"/>
          <w:szCs w:val="21"/>
          <w:highlight w:val="none"/>
          <w:lang w:eastAsia="zh-CN"/>
        </w:rPr>
        <w:t>，</w:t>
      </w:r>
      <w:r>
        <w:rPr>
          <w:rFonts w:hint="eastAsia" w:ascii="宋体" w:hAnsi="宋体" w:cs="宋体"/>
          <w:color w:val="auto"/>
          <w:szCs w:val="21"/>
          <w:highlight w:val="none"/>
          <w:lang w:val="en-US" w:eastAsia="zh-CN"/>
        </w:rPr>
        <w:t>竞争性磋商小组</w:t>
      </w:r>
      <w:r>
        <w:rPr>
          <w:rFonts w:hint="eastAsia" w:ascii="宋体" w:hAnsi="宋体" w:cs="宋体"/>
          <w:color w:val="auto"/>
          <w:szCs w:val="21"/>
          <w:highlight w:val="none"/>
        </w:rPr>
        <w:t>启动异常低价响应审查程序：</w:t>
      </w:r>
    </w:p>
    <w:p w14:paraId="4B689795">
      <w:pPr>
        <w:spacing w:line="360" w:lineRule="auto"/>
        <w:ind w:firstLine="420" w:firstLineChars="200"/>
        <w:rPr>
          <w:rFonts w:hint="eastAsia" w:ascii="宋体" w:hAnsi="宋体" w:cs="宋体"/>
          <w:color w:val="auto"/>
          <w:szCs w:val="21"/>
          <w:highlight w:val="none"/>
        </w:rPr>
      </w:pPr>
      <w:r>
        <w:rPr>
          <w:rFonts w:hint="eastAsia" w:ascii="宋体" w:hAnsi="宋体" w:cs="宋体"/>
          <w:color w:val="auto"/>
          <w:szCs w:val="21"/>
          <w:highlight w:val="none"/>
        </w:rPr>
        <w:t>1.响应报价低于全部通过符合性审查供应商响应报价平均值50%的，即响应报价</w:t>
      </w:r>
      <w:r>
        <w:rPr>
          <w:rFonts w:hint="eastAsia" w:ascii="宋体" w:hAnsi="宋体" w:cs="宋体"/>
          <w:color w:val="auto"/>
          <w:szCs w:val="21"/>
          <w:highlight w:val="none"/>
          <w:lang w:val="en-US" w:eastAsia="zh-CN"/>
        </w:rPr>
        <w:t>＜</w:t>
      </w:r>
      <w:r>
        <w:rPr>
          <w:rFonts w:hint="eastAsia" w:ascii="宋体" w:hAnsi="宋体" w:cs="宋体"/>
          <w:color w:val="auto"/>
          <w:szCs w:val="21"/>
          <w:highlight w:val="none"/>
        </w:rPr>
        <w:t>全部通过符合性审查供应商响应报价平均值×50%； </w:t>
      </w:r>
    </w:p>
    <w:p w14:paraId="77797500">
      <w:pPr>
        <w:spacing w:line="360" w:lineRule="auto"/>
        <w:rPr>
          <w:rFonts w:hint="eastAsia" w:ascii="宋体" w:hAnsi="宋体" w:cs="宋体"/>
          <w:color w:val="auto"/>
          <w:szCs w:val="21"/>
          <w:highlight w:val="none"/>
        </w:rPr>
      </w:pPr>
      <w:r>
        <w:rPr>
          <w:rFonts w:hint="eastAsia" w:ascii="宋体" w:hAnsi="宋体" w:cs="宋体"/>
          <w:color w:val="auto"/>
          <w:szCs w:val="21"/>
          <w:highlight w:val="none"/>
        </w:rPr>
        <w:t>　　2.响应报价低于通过符合性审查的次低报价供应商响应报价50%的，即投标（响应）报价</w:t>
      </w:r>
      <w:r>
        <w:rPr>
          <w:rFonts w:hint="eastAsia" w:ascii="宋体" w:hAnsi="宋体" w:cs="宋体"/>
          <w:color w:val="auto"/>
          <w:szCs w:val="21"/>
          <w:highlight w:val="none"/>
          <w:lang w:val="en-US" w:eastAsia="zh-CN"/>
        </w:rPr>
        <w:t>＜</w:t>
      </w:r>
      <w:r>
        <w:rPr>
          <w:rFonts w:hint="eastAsia" w:ascii="宋体" w:hAnsi="宋体" w:cs="宋体"/>
          <w:color w:val="auto"/>
          <w:szCs w:val="21"/>
          <w:highlight w:val="none"/>
        </w:rPr>
        <w:t>通过符合性审查的次低报价供应商响应报价×50%； </w:t>
      </w:r>
    </w:p>
    <w:p w14:paraId="4EB3DFAE">
      <w:pPr>
        <w:spacing w:line="360" w:lineRule="auto"/>
        <w:rPr>
          <w:rFonts w:hint="eastAsia" w:ascii="宋体" w:hAnsi="宋体" w:cs="宋体"/>
          <w:color w:val="auto"/>
          <w:szCs w:val="21"/>
          <w:highlight w:val="none"/>
        </w:rPr>
      </w:pPr>
      <w:r>
        <w:rPr>
          <w:rFonts w:hint="eastAsia" w:ascii="宋体" w:hAnsi="宋体" w:cs="宋体"/>
          <w:color w:val="auto"/>
          <w:szCs w:val="21"/>
          <w:highlight w:val="none"/>
        </w:rPr>
        <w:t>　　3.响应报价低于采购项目最高限价45%的，即响应报价</w:t>
      </w:r>
      <w:r>
        <w:rPr>
          <w:rFonts w:hint="eastAsia" w:ascii="宋体" w:hAnsi="宋体" w:cs="宋体"/>
          <w:color w:val="auto"/>
          <w:szCs w:val="21"/>
          <w:highlight w:val="none"/>
          <w:lang w:val="en-US" w:eastAsia="zh-CN"/>
        </w:rPr>
        <w:t>＜</w:t>
      </w:r>
      <w:r>
        <w:rPr>
          <w:rFonts w:hint="eastAsia" w:ascii="宋体" w:hAnsi="宋体" w:cs="宋体"/>
          <w:color w:val="auto"/>
          <w:szCs w:val="21"/>
          <w:highlight w:val="none"/>
        </w:rPr>
        <w:t>采购项目最高限价×45%； </w:t>
      </w:r>
    </w:p>
    <w:p w14:paraId="7535A557">
      <w:pPr>
        <w:spacing w:line="360" w:lineRule="auto"/>
        <w:rPr>
          <w:rFonts w:hint="eastAsia" w:ascii="宋体" w:hAnsi="宋体" w:cs="宋体"/>
          <w:color w:val="auto"/>
          <w:szCs w:val="21"/>
          <w:highlight w:val="none"/>
        </w:rPr>
      </w:pPr>
      <w:r>
        <w:rPr>
          <w:rFonts w:hint="eastAsia" w:ascii="宋体" w:hAnsi="宋体" w:cs="宋体"/>
          <w:color w:val="auto"/>
          <w:szCs w:val="21"/>
          <w:highlight w:val="none"/>
        </w:rPr>
        <w:t>　　4.</w:t>
      </w:r>
      <w:r>
        <w:rPr>
          <w:rFonts w:hint="eastAsia" w:ascii="宋体" w:hAnsi="宋体" w:cs="宋体"/>
          <w:color w:val="auto"/>
          <w:szCs w:val="21"/>
          <w:highlight w:val="none"/>
          <w:lang w:val="en-US" w:eastAsia="zh-CN"/>
        </w:rPr>
        <w:t>竞争性磋商小组</w:t>
      </w:r>
      <w:r>
        <w:rPr>
          <w:rFonts w:hint="eastAsia" w:ascii="宋体" w:hAnsi="宋体" w:cs="宋体"/>
          <w:color w:val="auto"/>
          <w:szCs w:val="21"/>
          <w:highlight w:val="none"/>
        </w:rPr>
        <w:t>基于专业判断，认为供应商报价过低，有可能影响产品质量或者不能诚信履约的其他情形。 </w:t>
      </w:r>
    </w:p>
    <w:p w14:paraId="15E0CFFA">
      <w:pPr>
        <w:spacing w:line="360" w:lineRule="auto"/>
        <w:ind w:firstLine="420" w:firstLineChars="200"/>
        <w:outlineLvl w:val="2"/>
        <w:rPr>
          <w:rFonts w:hint="eastAsia" w:ascii="宋体" w:hAnsi="宋体" w:cs="宋体"/>
          <w:b w:val="0"/>
          <w:bCs/>
          <w:color w:val="auto"/>
          <w:szCs w:val="21"/>
          <w:highlight w:val="none"/>
        </w:rPr>
      </w:pPr>
      <w:r>
        <w:rPr>
          <w:rFonts w:hint="eastAsia" w:ascii="宋体" w:hAnsi="宋体" w:cs="宋体"/>
          <w:b w:val="0"/>
          <w:bCs/>
          <w:color w:val="auto"/>
          <w:szCs w:val="21"/>
          <w:highlight w:val="none"/>
          <w:lang w:val="en-US" w:eastAsia="zh-CN"/>
        </w:rPr>
        <w:t>3.2.4竞争性磋商小组</w:t>
      </w:r>
      <w:r>
        <w:rPr>
          <w:rFonts w:hint="eastAsia" w:ascii="宋体" w:hAnsi="宋体" w:cs="宋体"/>
          <w:b w:val="0"/>
          <w:bCs/>
          <w:color w:val="auto"/>
          <w:szCs w:val="21"/>
          <w:highlight w:val="none"/>
        </w:rPr>
        <w:t>启动异常低价响应审查后，属于前述第1项至第4项情形的，通过</w:t>
      </w:r>
      <w:r>
        <w:rPr>
          <w:rFonts w:hint="eastAsia" w:ascii="宋体" w:hAnsi="宋体" w:cs="宋体"/>
          <w:b w:val="0"/>
          <w:bCs/>
          <w:color w:val="auto"/>
          <w:szCs w:val="21"/>
          <w:highlight w:val="none"/>
          <w:lang w:val="en-US" w:eastAsia="zh-CN"/>
        </w:rPr>
        <w:t>政采云平台</w:t>
      </w:r>
      <w:r>
        <w:rPr>
          <w:rFonts w:hint="eastAsia" w:ascii="宋体" w:hAnsi="宋体" w:cs="宋体"/>
          <w:b w:val="0"/>
          <w:bCs/>
          <w:color w:val="auto"/>
          <w:szCs w:val="21"/>
          <w:highlight w:val="none"/>
        </w:rPr>
        <w:t>在线询标要求相关供应商在评审现场30分钟内对响应价格作出解释，提供项目具体成本测算等与报价合理性相关的书面说明及必要的证明材料，包括但不限于原材料成本、人工成本、制造费用等。其中，属于第3项情形，供应商已随响应文件一并提交相关书面说明及必要的证明材料的，在评审现场可不再重复提交。 </w:t>
      </w:r>
    </w:p>
    <w:p w14:paraId="64075803">
      <w:pPr>
        <w:spacing w:line="360" w:lineRule="auto"/>
        <w:ind w:firstLine="420" w:firstLineChars="200"/>
        <w:outlineLvl w:val="2"/>
        <w:rPr>
          <w:rFonts w:hint="eastAsia" w:ascii="宋体" w:hAnsi="宋体" w:cs="宋体"/>
          <w:b w:val="0"/>
          <w:bCs/>
          <w:color w:val="auto"/>
          <w:szCs w:val="21"/>
          <w:highlight w:val="none"/>
        </w:rPr>
      </w:pPr>
      <w:r>
        <w:rPr>
          <w:rFonts w:hint="eastAsia" w:ascii="宋体" w:hAnsi="宋体" w:cs="宋体"/>
          <w:b w:val="0"/>
          <w:bCs/>
          <w:color w:val="auto"/>
          <w:szCs w:val="21"/>
          <w:highlight w:val="none"/>
          <w:lang w:val="en-US" w:eastAsia="zh-CN"/>
        </w:rPr>
        <w:t>3.2.5竞争性磋商小组</w:t>
      </w:r>
      <w:r>
        <w:rPr>
          <w:rFonts w:hint="eastAsia" w:ascii="宋体" w:hAnsi="宋体" w:cs="宋体"/>
          <w:b w:val="0"/>
          <w:bCs/>
          <w:color w:val="auto"/>
          <w:szCs w:val="21"/>
          <w:highlight w:val="none"/>
        </w:rPr>
        <w:t>依据专业经验，参考同类项目成交价格、类似产品市场价格水平、行业人工费用标准、国家有关部门指导行业协会发布的行业平均成本等情况，对报价合理性进行判断。响应供应商不能提供书面说明、证明材料，或者提供的书面说明、证明材料不能证明其报价合理性的，评审委员会应当将其作为无效响应处理。</w:t>
      </w:r>
    </w:p>
    <w:p w14:paraId="641987E9">
      <w:pPr>
        <w:pStyle w:val="4"/>
        <w:tabs>
          <w:tab w:val="left" w:pos="0"/>
        </w:tabs>
        <w:spacing w:before="0" w:after="0"/>
        <w:ind w:left="0" w:firstLine="424" w:firstLineChars="201"/>
        <w:jc w:val="left"/>
        <w:rPr>
          <w:rFonts w:ascii="宋体" w:hAnsi="宋体" w:cs="宋体"/>
          <w:bCs/>
          <w:color w:val="auto"/>
          <w:sz w:val="21"/>
          <w:szCs w:val="21"/>
          <w:highlight w:val="none"/>
          <w:lang w:bidi="en-US"/>
        </w:rPr>
      </w:pPr>
      <w:r>
        <w:rPr>
          <w:rFonts w:hint="eastAsia" w:ascii="宋体" w:hAnsi="宋体" w:cs="宋体"/>
          <w:bCs/>
          <w:color w:val="auto"/>
          <w:sz w:val="21"/>
          <w:szCs w:val="21"/>
          <w:highlight w:val="none"/>
          <w:lang w:bidi="en-US"/>
        </w:rPr>
        <w:t>3.3 响应文件的澄清和补正</w:t>
      </w:r>
      <w:bookmarkEnd w:id="1207"/>
      <w:bookmarkEnd w:id="1208"/>
      <w:bookmarkEnd w:id="1209"/>
      <w:bookmarkEnd w:id="1210"/>
      <w:bookmarkEnd w:id="1211"/>
      <w:bookmarkEnd w:id="1212"/>
      <w:bookmarkEnd w:id="1213"/>
      <w:bookmarkEnd w:id="1214"/>
      <w:bookmarkEnd w:id="1215"/>
      <w:bookmarkEnd w:id="1216"/>
      <w:bookmarkEnd w:id="1217"/>
      <w:bookmarkEnd w:id="1218"/>
      <w:bookmarkEnd w:id="1219"/>
    </w:p>
    <w:p w14:paraId="672482D6">
      <w:pPr>
        <w:spacing w:line="360" w:lineRule="auto"/>
        <w:ind w:firstLine="420" w:firstLineChars="200"/>
        <w:rPr>
          <w:rFonts w:ascii="宋体" w:hAnsi="宋体" w:cs="宋体"/>
          <w:color w:val="auto"/>
          <w:sz w:val="21"/>
          <w:szCs w:val="21"/>
          <w:highlight w:val="none"/>
        </w:rPr>
      </w:pPr>
      <w:r>
        <w:rPr>
          <w:rFonts w:hint="eastAsia" w:ascii="宋体" w:hAnsi="宋体" w:cs="宋体"/>
          <w:color w:val="auto"/>
          <w:sz w:val="21"/>
          <w:szCs w:val="21"/>
          <w:highlight w:val="none"/>
        </w:rPr>
        <w:t>3.3.1 在评审过程中，磋商小组可以书面形式要求供应商对所提交的响应文件中不明确的内容进行书面澄清或说明，或者对细微偏差进行补正。磋商小组不接受供应商主动提出的澄清、说明或补正。</w:t>
      </w:r>
    </w:p>
    <w:p w14:paraId="3D89EBB1">
      <w:pPr>
        <w:spacing w:line="360" w:lineRule="auto"/>
        <w:ind w:firstLine="420" w:firstLineChars="200"/>
        <w:rPr>
          <w:rFonts w:ascii="宋体" w:hAnsi="宋体" w:cs="宋体"/>
          <w:color w:val="auto"/>
          <w:sz w:val="21"/>
          <w:szCs w:val="21"/>
          <w:highlight w:val="none"/>
        </w:rPr>
      </w:pPr>
      <w:r>
        <w:rPr>
          <w:rFonts w:hint="eastAsia" w:ascii="宋体" w:hAnsi="宋体" w:cs="宋体"/>
          <w:color w:val="auto"/>
          <w:sz w:val="21"/>
          <w:szCs w:val="21"/>
          <w:highlight w:val="none"/>
        </w:rPr>
        <w:t>3.3.2 澄清、说明和补正不得改变响应文件的实质性内容（算术性错误修正的除外）。供应商的书面澄清、说明和补正属于响应文件的组成部分。</w:t>
      </w:r>
    </w:p>
    <w:p w14:paraId="7CC92481">
      <w:pPr>
        <w:spacing w:line="360" w:lineRule="auto"/>
        <w:ind w:firstLine="420" w:firstLineChars="200"/>
        <w:rPr>
          <w:rFonts w:ascii="宋体" w:hAnsi="宋体" w:cs="宋体"/>
          <w:color w:val="auto"/>
          <w:sz w:val="21"/>
          <w:szCs w:val="21"/>
          <w:highlight w:val="none"/>
        </w:rPr>
      </w:pPr>
      <w:r>
        <w:rPr>
          <w:rFonts w:hint="eastAsia" w:ascii="宋体" w:hAnsi="宋体" w:cs="宋体"/>
          <w:color w:val="auto"/>
          <w:sz w:val="21"/>
          <w:szCs w:val="21"/>
          <w:highlight w:val="none"/>
        </w:rPr>
        <w:t>3.3.3 磋商小组对供应商提交的澄清、说明或补正有疑问的，可以要求供应商进一步澄清、说明或补正，直至满足磋商小组的要求。</w:t>
      </w:r>
    </w:p>
    <w:p w14:paraId="1E61E38C">
      <w:pPr>
        <w:pStyle w:val="4"/>
        <w:tabs>
          <w:tab w:val="left" w:pos="0"/>
        </w:tabs>
        <w:spacing w:before="0" w:after="0"/>
        <w:ind w:left="0" w:firstLine="424" w:firstLineChars="201"/>
        <w:jc w:val="left"/>
        <w:rPr>
          <w:rFonts w:ascii="宋体" w:hAnsi="宋体" w:cs="宋体"/>
          <w:bCs/>
          <w:color w:val="auto"/>
          <w:sz w:val="21"/>
          <w:szCs w:val="21"/>
          <w:highlight w:val="none"/>
          <w:lang w:bidi="en-US"/>
        </w:rPr>
      </w:pPr>
      <w:bookmarkStart w:id="1220" w:name="_Toc9314"/>
      <w:bookmarkStart w:id="1221" w:name="_Toc15126"/>
      <w:bookmarkStart w:id="1222" w:name="_Toc397008043"/>
      <w:bookmarkStart w:id="1223" w:name="_Toc17421"/>
      <w:bookmarkStart w:id="1224" w:name="_Toc521614486"/>
      <w:bookmarkStart w:id="1225" w:name="_Toc382566740"/>
      <w:bookmarkStart w:id="1226" w:name="_Toc29459"/>
      <w:bookmarkStart w:id="1227" w:name="_Toc493101214"/>
      <w:bookmarkStart w:id="1228" w:name="_Toc493101412"/>
      <w:bookmarkStart w:id="1229" w:name="_Toc121151898"/>
      <w:bookmarkStart w:id="1230" w:name="_Toc392522378"/>
      <w:bookmarkStart w:id="1231" w:name="_Toc312"/>
      <w:bookmarkStart w:id="1232" w:name="_Toc121152038"/>
      <w:r>
        <w:rPr>
          <w:rFonts w:hint="eastAsia" w:ascii="宋体" w:hAnsi="宋体" w:cs="宋体"/>
          <w:bCs/>
          <w:color w:val="auto"/>
          <w:sz w:val="21"/>
          <w:szCs w:val="21"/>
          <w:highlight w:val="none"/>
          <w:lang w:bidi="en-US"/>
        </w:rPr>
        <w:t>3.4 评审结果</w:t>
      </w:r>
      <w:bookmarkEnd w:id="1220"/>
      <w:bookmarkEnd w:id="1221"/>
      <w:bookmarkEnd w:id="1222"/>
      <w:bookmarkEnd w:id="1223"/>
      <w:bookmarkEnd w:id="1224"/>
      <w:bookmarkEnd w:id="1225"/>
      <w:bookmarkEnd w:id="1226"/>
      <w:bookmarkEnd w:id="1227"/>
      <w:bookmarkEnd w:id="1228"/>
      <w:bookmarkEnd w:id="1229"/>
      <w:bookmarkEnd w:id="1230"/>
      <w:bookmarkEnd w:id="1231"/>
      <w:bookmarkEnd w:id="1232"/>
    </w:p>
    <w:p w14:paraId="4213B63F">
      <w:pPr>
        <w:spacing w:line="360" w:lineRule="auto"/>
        <w:ind w:firstLine="420" w:firstLineChars="200"/>
        <w:rPr>
          <w:rFonts w:ascii="宋体" w:hAnsi="宋体" w:cs="宋体"/>
          <w:color w:val="auto"/>
          <w:sz w:val="21"/>
          <w:szCs w:val="21"/>
          <w:highlight w:val="none"/>
        </w:rPr>
      </w:pPr>
      <w:r>
        <w:rPr>
          <w:rFonts w:hint="eastAsia" w:ascii="宋体" w:hAnsi="宋体" w:cs="宋体"/>
          <w:color w:val="auto"/>
          <w:sz w:val="21"/>
          <w:szCs w:val="21"/>
          <w:highlight w:val="none"/>
        </w:rPr>
        <w:t>3.4.1 除第二章“供应商须知”前附表授权直接确定成交供应商外，磋商小组按照最后得分由高到低的顺序推荐成交候选人。</w:t>
      </w:r>
    </w:p>
    <w:p w14:paraId="504E418A">
      <w:pPr>
        <w:spacing w:line="360" w:lineRule="auto"/>
        <w:ind w:firstLine="420" w:firstLineChars="200"/>
        <w:rPr>
          <w:rFonts w:ascii="宋体" w:hAnsi="宋体" w:cs="宋体"/>
          <w:color w:val="auto"/>
          <w:sz w:val="21"/>
          <w:szCs w:val="21"/>
          <w:highlight w:val="none"/>
        </w:rPr>
      </w:pPr>
      <w:r>
        <w:rPr>
          <w:rFonts w:hint="eastAsia" w:ascii="宋体" w:hAnsi="宋体" w:cs="宋体"/>
          <w:color w:val="auto"/>
          <w:sz w:val="21"/>
          <w:szCs w:val="21"/>
          <w:highlight w:val="none"/>
        </w:rPr>
        <w:t>3.4.2 磋商小组完成评审后，应当向采购人提交书面评审报告。</w:t>
      </w:r>
    </w:p>
    <w:p w14:paraId="2763E19C">
      <w:pPr>
        <w:pStyle w:val="20"/>
        <w:spacing w:line="0" w:lineRule="atLeast"/>
        <w:jc w:val="center"/>
        <w:rPr>
          <w:rFonts w:hAnsi="宋体" w:cs="宋体"/>
          <w:b/>
          <w:szCs w:val="21"/>
        </w:rPr>
      </w:pPr>
      <w:r>
        <w:rPr>
          <w:rFonts w:hint="eastAsia" w:hAnsi="宋体" w:cs="宋体"/>
          <w:b/>
          <w:szCs w:val="21"/>
        </w:rPr>
        <w:br w:type="page"/>
      </w:r>
    </w:p>
    <w:p w14:paraId="471CD5CC">
      <w:pPr>
        <w:pStyle w:val="3"/>
        <w:spacing w:before="0" w:after="0" w:line="360" w:lineRule="auto"/>
        <w:ind w:left="479" w:hanging="479" w:hangingChars="199"/>
        <w:rPr>
          <w:rFonts w:ascii="宋体" w:hAnsi="宋体" w:eastAsia="宋体" w:cs="宋体"/>
          <w:bCs/>
          <w:iCs/>
          <w:color w:val="auto"/>
          <w:sz w:val="24"/>
          <w:szCs w:val="24"/>
          <w:highlight w:val="none"/>
          <w:lang w:bidi="en-US"/>
        </w:rPr>
      </w:pPr>
      <w:bookmarkStart w:id="1233" w:name="_Toc521614487"/>
      <w:bookmarkStart w:id="1234" w:name="_Toc22287"/>
      <w:bookmarkStart w:id="1235" w:name="_Toc14272"/>
      <w:bookmarkStart w:id="1236" w:name="_Toc121151899"/>
      <w:bookmarkStart w:id="1237" w:name="_Toc25590"/>
      <w:bookmarkStart w:id="1238" w:name="_Toc493101413"/>
      <w:bookmarkStart w:id="1239" w:name="_Toc121152039"/>
      <w:bookmarkStart w:id="1240" w:name="_Toc397008044"/>
      <w:bookmarkStart w:id="1241" w:name="_Toc493101215"/>
      <w:bookmarkStart w:id="1242" w:name="_Toc7663"/>
      <w:r>
        <w:rPr>
          <w:rFonts w:hint="eastAsia" w:ascii="宋体" w:hAnsi="宋体" w:eastAsia="宋体" w:cs="宋体"/>
          <w:bCs/>
          <w:iCs/>
          <w:color w:val="auto"/>
          <w:sz w:val="24"/>
          <w:szCs w:val="24"/>
          <w:highlight w:val="none"/>
          <w:lang w:bidi="en-US"/>
        </w:rPr>
        <w:t>附件A：评审详细程序</w:t>
      </w:r>
      <w:bookmarkEnd w:id="1233"/>
      <w:bookmarkEnd w:id="1234"/>
      <w:bookmarkEnd w:id="1235"/>
      <w:bookmarkEnd w:id="1236"/>
      <w:bookmarkEnd w:id="1237"/>
      <w:bookmarkEnd w:id="1238"/>
      <w:bookmarkEnd w:id="1239"/>
      <w:bookmarkEnd w:id="1240"/>
      <w:bookmarkEnd w:id="1241"/>
    </w:p>
    <w:p w14:paraId="3E711945">
      <w:pPr>
        <w:pStyle w:val="4"/>
        <w:tabs>
          <w:tab w:val="left" w:pos="0"/>
        </w:tabs>
        <w:spacing w:before="0" w:after="0"/>
        <w:ind w:left="0" w:firstLine="424" w:firstLineChars="201"/>
        <w:jc w:val="left"/>
        <w:rPr>
          <w:rFonts w:ascii="宋体" w:hAnsi="宋体" w:cs="宋体"/>
          <w:bCs/>
          <w:color w:val="auto"/>
          <w:sz w:val="21"/>
          <w:szCs w:val="21"/>
          <w:highlight w:val="none"/>
          <w:lang w:bidi="en-US"/>
        </w:rPr>
      </w:pPr>
      <w:bookmarkStart w:id="1243" w:name="_Toc392522380"/>
      <w:bookmarkStart w:id="1244" w:name="_Toc493101414"/>
      <w:bookmarkStart w:id="1245" w:name="_Toc493101216"/>
      <w:bookmarkStart w:id="1246" w:name="_Toc18715"/>
      <w:bookmarkStart w:id="1247" w:name="_Toc6788"/>
      <w:bookmarkStart w:id="1248" w:name="_Toc521614488"/>
      <w:bookmarkStart w:id="1249" w:name="_Toc21468"/>
      <w:bookmarkStart w:id="1250" w:name="_Toc417899384"/>
      <w:bookmarkStart w:id="1251" w:name="_Toc397008045"/>
      <w:bookmarkStart w:id="1252" w:name="_Toc121152040"/>
      <w:bookmarkStart w:id="1253" w:name="_Toc10250"/>
      <w:bookmarkStart w:id="1254" w:name="_Toc21906"/>
      <w:bookmarkStart w:id="1255" w:name="_Toc121151900"/>
      <w:bookmarkStart w:id="1256" w:name="_Toc381778781"/>
      <w:r>
        <w:rPr>
          <w:rFonts w:hint="eastAsia" w:ascii="宋体" w:hAnsi="宋体" w:cs="宋体"/>
          <w:bCs/>
          <w:color w:val="auto"/>
          <w:sz w:val="21"/>
          <w:szCs w:val="21"/>
          <w:highlight w:val="none"/>
          <w:lang w:bidi="en-US"/>
        </w:rPr>
        <w:t>A0. 总则</w:t>
      </w:r>
      <w:bookmarkEnd w:id="1243"/>
      <w:bookmarkEnd w:id="1244"/>
      <w:bookmarkEnd w:id="1245"/>
      <w:bookmarkEnd w:id="1246"/>
      <w:bookmarkEnd w:id="1247"/>
      <w:bookmarkEnd w:id="1248"/>
      <w:bookmarkEnd w:id="1249"/>
      <w:bookmarkEnd w:id="1250"/>
      <w:bookmarkEnd w:id="1251"/>
      <w:bookmarkEnd w:id="1252"/>
      <w:bookmarkEnd w:id="1253"/>
      <w:bookmarkEnd w:id="1254"/>
      <w:bookmarkEnd w:id="1255"/>
      <w:bookmarkEnd w:id="1256"/>
    </w:p>
    <w:p w14:paraId="64FF565D">
      <w:pPr>
        <w:spacing w:line="360" w:lineRule="auto"/>
        <w:ind w:firstLine="420" w:firstLineChars="200"/>
        <w:rPr>
          <w:rFonts w:ascii="宋体" w:hAnsi="宋体" w:cs="宋体"/>
          <w:color w:val="auto"/>
          <w:sz w:val="21"/>
          <w:szCs w:val="21"/>
          <w:highlight w:val="none"/>
        </w:rPr>
      </w:pPr>
      <w:r>
        <w:rPr>
          <w:rFonts w:hint="eastAsia" w:ascii="宋体" w:hAnsi="宋体" w:cs="宋体"/>
          <w:color w:val="auto"/>
          <w:sz w:val="21"/>
          <w:szCs w:val="21"/>
          <w:highlight w:val="none"/>
        </w:rPr>
        <w:t>本附件是本章“评审办法”的组成部分，是对本章第3条所规定的评审程序的进一步细化，磋商小组应当按照本附件所规定的详细程序开展并完成评审工作。</w:t>
      </w:r>
    </w:p>
    <w:p w14:paraId="58AEAD9B">
      <w:pPr>
        <w:pStyle w:val="4"/>
        <w:tabs>
          <w:tab w:val="left" w:pos="0"/>
        </w:tabs>
        <w:spacing w:before="0" w:after="0"/>
        <w:ind w:left="0" w:firstLine="424" w:firstLineChars="201"/>
        <w:jc w:val="left"/>
        <w:rPr>
          <w:rFonts w:ascii="宋体" w:hAnsi="宋体" w:cs="宋体"/>
          <w:bCs/>
          <w:color w:val="auto"/>
          <w:sz w:val="21"/>
          <w:szCs w:val="21"/>
          <w:highlight w:val="none"/>
          <w:lang w:bidi="en-US"/>
        </w:rPr>
      </w:pPr>
      <w:bookmarkStart w:id="1257" w:name="_Toc381778782"/>
      <w:bookmarkStart w:id="1258" w:name="_Toc521614489"/>
      <w:bookmarkStart w:id="1259" w:name="_Toc30832"/>
      <w:bookmarkStart w:id="1260" w:name="_Toc23327"/>
      <w:bookmarkStart w:id="1261" w:name="_Toc121152041"/>
      <w:bookmarkStart w:id="1262" w:name="_Toc493101415"/>
      <w:bookmarkStart w:id="1263" w:name="_Toc17832"/>
      <w:bookmarkStart w:id="1264" w:name="_Toc14397"/>
      <w:bookmarkStart w:id="1265" w:name="_Toc121151901"/>
      <w:bookmarkStart w:id="1266" w:name="_Toc397008046"/>
      <w:bookmarkStart w:id="1267" w:name="_Toc392522381"/>
      <w:bookmarkStart w:id="1268" w:name="_Toc417899385"/>
      <w:bookmarkStart w:id="1269" w:name="_Toc493101217"/>
      <w:bookmarkStart w:id="1270" w:name="_Toc14599"/>
      <w:r>
        <w:rPr>
          <w:rFonts w:hint="eastAsia" w:ascii="宋体" w:hAnsi="宋体" w:cs="宋体"/>
          <w:bCs/>
          <w:color w:val="auto"/>
          <w:sz w:val="21"/>
          <w:szCs w:val="21"/>
          <w:highlight w:val="none"/>
          <w:lang w:bidi="en-US"/>
        </w:rPr>
        <w:t>A1. 基本程序</w:t>
      </w:r>
      <w:bookmarkEnd w:id="1257"/>
      <w:bookmarkEnd w:id="1258"/>
      <w:bookmarkEnd w:id="1259"/>
      <w:bookmarkEnd w:id="1260"/>
      <w:bookmarkEnd w:id="1261"/>
      <w:bookmarkEnd w:id="1262"/>
      <w:bookmarkEnd w:id="1263"/>
      <w:bookmarkEnd w:id="1264"/>
      <w:bookmarkEnd w:id="1265"/>
      <w:bookmarkEnd w:id="1266"/>
      <w:bookmarkEnd w:id="1267"/>
      <w:bookmarkEnd w:id="1268"/>
      <w:bookmarkEnd w:id="1269"/>
      <w:bookmarkEnd w:id="1270"/>
    </w:p>
    <w:p w14:paraId="2E61ED3F">
      <w:pPr>
        <w:spacing w:line="360" w:lineRule="auto"/>
        <w:ind w:firstLine="420" w:firstLineChars="200"/>
        <w:rPr>
          <w:rFonts w:ascii="宋体" w:hAnsi="宋体" w:cs="宋体"/>
          <w:color w:val="auto"/>
          <w:sz w:val="21"/>
          <w:szCs w:val="21"/>
          <w:highlight w:val="none"/>
        </w:rPr>
      </w:pPr>
      <w:r>
        <w:rPr>
          <w:rFonts w:hint="eastAsia" w:ascii="宋体" w:hAnsi="宋体" w:cs="宋体"/>
          <w:color w:val="auto"/>
          <w:sz w:val="21"/>
          <w:szCs w:val="21"/>
          <w:highlight w:val="none"/>
        </w:rPr>
        <w:t>评审活动将按以下五个步骤进行：</w:t>
      </w:r>
    </w:p>
    <w:p w14:paraId="03E9E5A2">
      <w:pPr>
        <w:spacing w:line="360" w:lineRule="auto"/>
        <w:ind w:firstLine="420" w:firstLineChars="200"/>
        <w:rPr>
          <w:rFonts w:ascii="宋体" w:hAnsi="宋体" w:cs="宋体"/>
          <w:color w:val="auto"/>
          <w:sz w:val="21"/>
          <w:szCs w:val="21"/>
          <w:highlight w:val="none"/>
        </w:rPr>
      </w:pPr>
      <w:r>
        <w:rPr>
          <w:rFonts w:hint="eastAsia" w:ascii="宋体" w:hAnsi="宋体" w:cs="宋体"/>
          <w:color w:val="auto"/>
          <w:sz w:val="21"/>
          <w:szCs w:val="21"/>
          <w:highlight w:val="none"/>
        </w:rPr>
        <w:t>（1）评审准备；</w:t>
      </w:r>
    </w:p>
    <w:p w14:paraId="5BB1394A">
      <w:pPr>
        <w:spacing w:line="360" w:lineRule="auto"/>
        <w:ind w:firstLine="420" w:firstLineChars="200"/>
        <w:rPr>
          <w:rFonts w:ascii="宋体" w:hAnsi="宋体" w:cs="宋体"/>
          <w:color w:val="auto"/>
          <w:sz w:val="21"/>
          <w:szCs w:val="21"/>
          <w:highlight w:val="none"/>
        </w:rPr>
      </w:pPr>
      <w:r>
        <w:rPr>
          <w:rFonts w:hint="eastAsia" w:ascii="宋体" w:hAnsi="宋体" w:cs="宋体"/>
          <w:color w:val="auto"/>
          <w:sz w:val="21"/>
          <w:szCs w:val="21"/>
          <w:highlight w:val="none"/>
        </w:rPr>
        <w:t>（2）初步评审；</w:t>
      </w:r>
    </w:p>
    <w:p w14:paraId="3E325FF3">
      <w:pPr>
        <w:spacing w:line="360" w:lineRule="auto"/>
        <w:ind w:firstLine="420" w:firstLineChars="200"/>
        <w:rPr>
          <w:rFonts w:ascii="宋体" w:hAnsi="宋体" w:cs="宋体"/>
          <w:color w:val="auto"/>
          <w:sz w:val="21"/>
          <w:szCs w:val="21"/>
          <w:highlight w:val="none"/>
        </w:rPr>
      </w:pPr>
      <w:r>
        <w:rPr>
          <w:rFonts w:hint="eastAsia" w:ascii="宋体" w:hAnsi="宋体" w:cs="宋体"/>
          <w:color w:val="auto"/>
          <w:sz w:val="21"/>
          <w:szCs w:val="21"/>
          <w:highlight w:val="none"/>
        </w:rPr>
        <w:t>（3）详细评审；</w:t>
      </w:r>
    </w:p>
    <w:p w14:paraId="0CE1D2EC">
      <w:pPr>
        <w:spacing w:line="360" w:lineRule="auto"/>
        <w:ind w:firstLine="420" w:firstLineChars="200"/>
        <w:rPr>
          <w:rFonts w:ascii="宋体" w:hAnsi="宋体" w:cs="宋体"/>
          <w:color w:val="auto"/>
          <w:sz w:val="21"/>
          <w:szCs w:val="21"/>
          <w:highlight w:val="none"/>
        </w:rPr>
      </w:pPr>
      <w:r>
        <w:rPr>
          <w:rFonts w:hint="eastAsia" w:ascii="宋体" w:hAnsi="宋体" w:cs="宋体"/>
          <w:color w:val="auto"/>
          <w:sz w:val="21"/>
          <w:szCs w:val="21"/>
          <w:highlight w:val="none"/>
        </w:rPr>
        <w:t>（4）澄清、说明或补正；</w:t>
      </w:r>
    </w:p>
    <w:p w14:paraId="4C819160">
      <w:pPr>
        <w:spacing w:line="360" w:lineRule="auto"/>
        <w:ind w:firstLine="420" w:firstLineChars="200"/>
        <w:rPr>
          <w:rFonts w:ascii="宋体" w:hAnsi="宋体" w:cs="宋体"/>
          <w:color w:val="auto"/>
          <w:sz w:val="21"/>
          <w:szCs w:val="21"/>
          <w:highlight w:val="none"/>
        </w:rPr>
      </w:pPr>
      <w:r>
        <w:rPr>
          <w:rFonts w:hint="eastAsia" w:ascii="宋体" w:hAnsi="宋体" w:cs="宋体"/>
          <w:color w:val="auto"/>
          <w:sz w:val="21"/>
          <w:szCs w:val="21"/>
          <w:highlight w:val="none"/>
        </w:rPr>
        <w:t>（5）推荐成交候选人或者直接确定成交供应商及提交评审报告。</w:t>
      </w:r>
    </w:p>
    <w:p w14:paraId="5169E9B5">
      <w:pPr>
        <w:pStyle w:val="4"/>
        <w:tabs>
          <w:tab w:val="left" w:pos="0"/>
        </w:tabs>
        <w:spacing w:before="0" w:after="0"/>
        <w:ind w:left="0" w:firstLine="424" w:firstLineChars="201"/>
        <w:jc w:val="left"/>
        <w:rPr>
          <w:rFonts w:ascii="宋体" w:hAnsi="宋体" w:cs="宋体"/>
          <w:bCs/>
          <w:color w:val="auto"/>
          <w:sz w:val="21"/>
          <w:szCs w:val="21"/>
          <w:highlight w:val="none"/>
          <w:lang w:bidi="en-US"/>
        </w:rPr>
      </w:pPr>
      <w:bookmarkStart w:id="1271" w:name="_Toc397008047"/>
      <w:bookmarkStart w:id="1272" w:name="_Toc493101416"/>
      <w:bookmarkStart w:id="1273" w:name="_Toc521614490"/>
      <w:bookmarkStart w:id="1274" w:name="_Toc17673"/>
      <w:bookmarkStart w:id="1275" w:name="_Toc121151902"/>
      <w:bookmarkStart w:id="1276" w:name="_Toc493101218"/>
      <w:bookmarkStart w:id="1277" w:name="_Toc392522382"/>
      <w:bookmarkStart w:id="1278" w:name="_Toc20538"/>
      <w:bookmarkStart w:id="1279" w:name="_Toc1521"/>
      <w:bookmarkStart w:id="1280" w:name="_Toc381778783"/>
      <w:bookmarkStart w:id="1281" w:name="_Toc417899386"/>
      <w:bookmarkStart w:id="1282" w:name="_Toc121152042"/>
      <w:bookmarkStart w:id="1283" w:name="_Toc5230"/>
      <w:bookmarkStart w:id="1284" w:name="_Toc962"/>
      <w:r>
        <w:rPr>
          <w:rFonts w:hint="eastAsia" w:ascii="宋体" w:hAnsi="宋体" w:cs="宋体"/>
          <w:bCs/>
          <w:color w:val="auto"/>
          <w:sz w:val="21"/>
          <w:szCs w:val="21"/>
          <w:highlight w:val="none"/>
          <w:lang w:bidi="en-US"/>
        </w:rPr>
        <w:t>A2. 评审准备</w:t>
      </w:r>
      <w:bookmarkEnd w:id="1271"/>
      <w:bookmarkEnd w:id="1272"/>
      <w:bookmarkEnd w:id="1273"/>
      <w:bookmarkEnd w:id="1274"/>
      <w:bookmarkEnd w:id="1275"/>
      <w:bookmarkEnd w:id="1276"/>
      <w:bookmarkEnd w:id="1277"/>
      <w:bookmarkEnd w:id="1278"/>
      <w:bookmarkEnd w:id="1279"/>
      <w:bookmarkEnd w:id="1280"/>
      <w:bookmarkEnd w:id="1281"/>
      <w:bookmarkEnd w:id="1282"/>
      <w:bookmarkEnd w:id="1283"/>
      <w:bookmarkEnd w:id="1284"/>
    </w:p>
    <w:p w14:paraId="0A4D48FB">
      <w:pPr>
        <w:spacing w:line="360" w:lineRule="auto"/>
        <w:ind w:firstLine="399" w:firstLineChars="190"/>
        <w:rPr>
          <w:rFonts w:ascii="宋体" w:hAnsi="宋体" w:cs="宋体"/>
          <w:color w:val="auto"/>
          <w:sz w:val="21"/>
          <w:szCs w:val="21"/>
          <w:highlight w:val="none"/>
        </w:rPr>
      </w:pPr>
      <w:bookmarkStart w:id="1285" w:name="_Toc493101219"/>
      <w:bookmarkStart w:id="1286" w:name="_Toc493101417"/>
      <w:bookmarkStart w:id="1287" w:name="_Toc381778784"/>
      <w:bookmarkStart w:id="1288" w:name="_Toc392522383"/>
      <w:bookmarkStart w:id="1289" w:name="_Toc382566745"/>
      <w:bookmarkStart w:id="1290" w:name="_Toc417899387"/>
      <w:bookmarkStart w:id="1291" w:name="_Toc521614491"/>
      <w:r>
        <w:rPr>
          <w:rFonts w:hint="eastAsia" w:ascii="宋体" w:hAnsi="宋体" w:cs="宋体"/>
          <w:color w:val="auto"/>
          <w:sz w:val="21"/>
          <w:szCs w:val="21"/>
          <w:highlight w:val="none"/>
        </w:rPr>
        <w:t>A2.1 磋商小组成员签到</w:t>
      </w:r>
      <w:bookmarkEnd w:id="1285"/>
      <w:bookmarkEnd w:id="1286"/>
      <w:bookmarkEnd w:id="1287"/>
      <w:bookmarkEnd w:id="1288"/>
      <w:bookmarkEnd w:id="1289"/>
      <w:bookmarkEnd w:id="1290"/>
      <w:bookmarkEnd w:id="1291"/>
    </w:p>
    <w:p w14:paraId="13796AF9">
      <w:pPr>
        <w:spacing w:line="360" w:lineRule="auto"/>
        <w:ind w:firstLine="399" w:firstLineChars="190"/>
        <w:rPr>
          <w:rFonts w:ascii="宋体" w:hAnsi="宋体" w:cs="宋体"/>
          <w:color w:val="auto"/>
          <w:sz w:val="21"/>
          <w:szCs w:val="21"/>
          <w:highlight w:val="none"/>
        </w:rPr>
      </w:pPr>
      <w:r>
        <w:rPr>
          <w:rFonts w:hint="eastAsia" w:ascii="宋体" w:hAnsi="宋体" w:cs="宋体"/>
          <w:color w:val="auto"/>
          <w:sz w:val="21"/>
          <w:szCs w:val="21"/>
          <w:highlight w:val="none"/>
        </w:rPr>
        <w:t>磋商小组成员到达评审现场时应在签到表上签到以证明其出席。</w:t>
      </w:r>
    </w:p>
    <w:p w14:paraId="21B846B3">
      <w:pPr>
        <w:spacing w:line="360" w:lineRule="auto"/>
        <w:ind w:firstLine="399" w:firstLineChars="190"/>
        <w:rPr>
          <w:rFonts w:ascii="宋体" w:hAnsi="宋体" w:cs="宋体"/>
          <w:color w:val="auto"/>
          <w:sz w:val="21"/>
          <w:szCs w:val="21"/>
          <w:highlight w:val="none"/>
        </w:rPr>
      </w:pPr>
      <w:bookmarkStart w:id="1292" w:name="_Toc493101418"/>
      <w:bookmarkStart w:id="1293" w:name="_Toc493101220"/>
      <w:bookmarkStart w:id="1294" w:name="_Toc381778785"/>
      <w:bookmarkStart w:id="1295" w:name="_Toc521614492"/>
      <w:bookmarkStart w:id="1296" w:name="_Toc417899388"/>
      <w:bookmarkStart w:id="1297" w:name="_Toc392522384"/>
      <w:bookmarkStart w:id="1298" w:name="_Toc382566746"/>
      <w:r>
        <w:rPr>
          <w:rFonts w:hint="eastAsia" w:ascii="宋体" w:hAnsi="宋体" w:cs="宋体"/>
          <w:color w:val="auto"/>
          <w:sz w:val="21"/>
          <w:szCs w:val="21"/>
          <w:highlight w:val="none"/>
        </w:rPr>
        <w:t>A2.2 磋商小组的分工</w:t>
      </w:r>
      <w:bookmarkEnd w:id="1292"/>
      <w:bookmarkEnd w:id="1293"/>
      <w:bookmarkEnd w:id="1294"/>
      <w:bookmarkEnd w:id="1295"/>
      <w:bookmarkEnd w:id="1296"/>
      <w:bookmarkEnd w:id="1297"/>
      <w:bookmarkEnd w:id="1298"/>
    </w:p>
    <w:p w14:paraId="41B8A41E">
      <w:pPr>
        <w:spacing w:line="360" w:lineRule="auto"/>
        <w:ind w:firstLine="399" w:firstLineChars="190"/>
        <w:rPr>
          <w:rFonts w:ascii="宋体" w:hAnsi="宋体" w:cs="宋体"/>
          <w:color w:val="auto"/>
          <w:sz w:val="21"/>
          <w:szCs w:val="21"/>
          <w:highlight w:val="none"/>
        </w:rPr>
      </w:pPr>
      <w:r>
        <w:rPr>
          <w:rFonts w:hint="eastAsia" w:ascii="宋体" w:hAnsi="宋体" w:cs="宋体"/>
          <w:color w:val="auto"/>
          <w:sz w:val="21"/>
          <w:szCs w:val="21"/>
          <w:highlight w:val="none"/>
        </w:rPr>
        <w:t>磋商小组首先推选一名磋商小组组长。采购人也可以直接指定磋商小组组长。磋商小组组长负责评审活动的组织领导工作。磋商小组组长在与其他磋商小组成员协商的基础上，可以将磋商小组划分为技术组和商务组。</w:t>
      </w:r>
    </w:p>
    <w:p w14:paraId="7C6A1CB0">
      <w:pPr>
        <w:spacing w:line="360" w:lineRule="auto"/>
        <w:ind w:firstLine="399" w:firstLineChars="190"/>
        <w:rPr>
          <w:rFonts w:ascii="宋体" w:hAnsi="宋体" w:cs="宋体"/>
          <w:color w:val="auto"/>
          <w:sz w:val="21"/>
          <w:szCs w:val="21"/>
          <w:highlight w:val="none"/>
        </w:rPr>
      </w:pPr>
      <w:bookmarkStart w:id="1299" w:name="_Toc381778786"/>
      <w:bookmarkStart w:id="1300" w:name="_Toc493101221"/>
      <w:bookmarkStart w:id="1301" w:name="_Toc493101419"/>
      <w:bookmarkStart w:id="1302" w:name="_Toc382566747"/>
      <w:bookmarkStart w:id="1303" w:name="_Toc521614493"/>
      <w:bookmarkStart w:id="1304" w:name="_Toc417899389"/>
      <w:bookmarkStart w:id="1305" w:name="_Toc392522385"/>
      <w:r>
        <w:rPr>
          <w:rFonts w:hint="eastAsia" w:ascii="宋体" w:hAnsi="宋体" w:cs="宋体"/>
          <w:color w:val="auto"/>
          <w:sz w:val="21"/>
          <w:szCs w:val="21"/>
          <w:highlight w:val="none"/>
        </w:rPr>
        <w:t>A2.3 熟悉文件资料</w:t>
      </w:r>
      <w:bookmarkEnd w:id="1299"/>
      <w:bookmarkEnd w:id="1300"/>
      <w:bookmarkEnd w:id="1301"/>
      <w:bookmarkEnd w:id="1302"/>
      <w:bookmarkEnd w:id="1303"/>
      <w:bookmarkEnd w:id="1304"/>
      <w:bookmarkEnd w:id="1305"/>
    </w:p>
    <w:p w14:paraId="6A209E52">
      <w:pPr>
        <w:spacing w:line="360" w:lineRule="auto"/>
        <w:ind w:firstLine="399" w:firstLineChars="190"/>
        <w:rPr>
          <w:rFonts w:ascii="宋体" w:hAnsi="宋体" w:cs="宋体"/>
          <w:color w:val="auto"/>
          <w:sz w:val="21"/>
          <w:szCs w:val="21"/>
          <w:highlight w:val="none"/>
        </w:rPr>
      </w:pPr>
      <w:r>
        <w:rPr>
          <w:rFonts w:hint="eastAsia" w:ascii="宋体" w:hAnsi="宋体" w:cs="宋体"/>
          <w:color w:val="auto"/>
          <w:sz w:val="21"/>
          <w:szCs w:val="21"/>
          <w:highlight w:val="none"/>
        </w:rPr>
        <w:t>A2.3.1 磋商小组组长应组织磋商小组成员认真研究竞争性磋商采购文件，了解和熟悉招标目的、采购需求、主要合同条件、采购需求、质量标准和监理周期等，掌握评审标准和方法，熟悉本章及附件中包括的评审表格的使用，如果本章及附件所附的表格不能满足评审所需时，磋商小组应补充编制评审所需的表格，尤其是用于详细分析计算的表格。未在竞争性磋商采购文件中规定的标准和方法不得作为评审的依据。</w:t>
      </w:r>
    </w:p>
    <w:p w14:paraId="48C462FE">
      <w:pPr>
        <w:spacing w:line="360" w:lineRule="auto"/>
        <w:ind w:firstLine="399" w:firstLineChars="190"/>
        <w:rPr>
          <w:rFonts w:ascii="宋体" w:hAnsi="宋体" w:cs="宋体"/>
          <w:color w:val="auto"/>
          <w:sz w:val="21"/>
          <w:szCs w:val="21"/>
          <w:highlight w:val="none"/>
        </w:rPr>
      </w:pPr>
      <w:r>
        <w:rPr>
          <w:rFonts w:hint="eastAsia" w:ascii="宋体" w:hAnsi="宋体" w:cs="宋体"/>
          <w:color w:val="auto"/>
          <w:sz w:val="21"/>
          <w:szCs w:val="21"/>
          <w:highlight w:val="none"/>
        </w:rPr>
        <w:t>A2.3.2 采购人或采购代理机构应向磋商小组提供评审所需的信息和数据，包括竞争性磋商采购文件、未在开标会上当场拒绝的各响应文件、磋商</w:t>
      </w:r>
      <w:r>
        <w:rPr>
          <w:rFonts w:hint="eastAsia" w:ascii="宋体" w:hAnsi="宋体" w:cs="宋体"/>
          <w:color w:val="auto"/>
          <w:sz w:val="21"/>
          <w:szCs w:val="21"/>
          <w:highlight w:val="none"/>
          <w:lang w:eastAsia="zh-CN"/>
        </w:rPr>
        <w:t>会议</w:t>
      </w:r>
      <w:r>
        <w:rPr>
          <w:rFonts w:hint="eastAsia" w:ascii="宋体" w:hAnsi="宋体" w:cs="宋体"/>
          <w:color w:val="auto"/>
          <w:sz w:val="21"/>
          <w:szCs w:val="21"/>
          <w:highlight w:val="none"/>
        </w:rPr>
        <w:t>记录、资格预审文件及各供应商在资格预审阶段递交的资格预审申请文件、招标控制价、工程所在地工程造价管理部门颁布的工程造价信息、定额（如作为计价依据时）、有关的法律、法规、规章、国家标准以及采购人或磋商小组认为必要的其他信息和数据。</w:t>
      </w:r>
    </w:p>
    <w:p w14:paraId="184FA7A2">
      <w:pPr>
        <w:spacing w:line="360" w:lineRule="auto"/>
        <w:ind w:firstLine="399" w:firstLineChars="190"/>
        <w:rPr>
          <w:rFonts w:ascii="宋体" w:hAnsi="宋体" w:cs="宋体"/>
          <w:color w:val="auto"/>
          <w:sz w:val="21"/>
          <w:szCs w:val="21"/>
          <w:highlight w:val="none"/>
        </w:rPr>
      </w:pPr>
      <w:bookmarkStart w:id="1306" w:name="_Toc381778787"/>
      <w:bookmarkStart w:id="1307" w:name="_Toc417899390"/>
      <w:bookmarkStart w:id="1308" w:name="_Toc521614494"/>
      <w:bookmarkStart w:id="1309" w:name="_Toc382566748"/>
      <w:bookmarkStart w:id="1310" w:name="_Toc493101222"/>
      <w:bookmarkStart w:id="1311" w:name="_Toc493101420"/>
      <w:bookmarkStart w:id="1312" w:name="_Toc392522386"/>
      <w:r>
        <w:rPr>
          <w:rFonts w:hint="eastAsia" w:ascii="宋体" w:hAnsi="宋体" w:cs="宋体"/>
          <w:color w:val="auto"/>
          <w:sz w:val="21"/>
          <w:szCs w:val="21"/>
          <w:highlight w:val="none"/>
        </w:rPr>
        <w:t>A2.4 对响应文件进行基础性数据分析和整理工作（清标）</w:t>
      </w:r>
      <w:bookmarkEnd w:id="1306"/>
      <w:bookmarkEnd w:id="1307"/>
      <w:bookmarkEnd w:id="1308"/>
      <w:bookmarkEnd w:id="1309"/>
      <w:bookmarkEnd w:id="1310"/>
      <w:bookmarkEnd w:id="1311"/>
      <w:bookmarkEnd w:id="1312"/>
    </w:p>
    <w:p w14:paraId="6E60D45D">
      <w:pPr>
        <w:spacing w:line="360" w:lineRule="auto"/>
        <w:ind w:firstLine="399" w:firstLineChars="190"/>
        <w:rPr>
          <w:rFonts w:ascii="宋体" w:hAnsi="宋体" w:cs="宋体"/>
          <w:color w:val="auto"/>
          <w:sz w:val="21"/>
          <w:szCs w:val="21"/>
          <w:highlight w:val="none"/>
        </w:rPr>
      </w:pPr>
      <w:r>
        <w:rPr>
          <w:rFonts w:hint="eastAsia" w:ascii="宋体" w:hAnsi="宋体" w:cs="宋体"/>
          <w:color w:val="auto"/>
          <w:sz w:val="21"/>
          <w:szCs w:val="21"/>
          <w:highlight w:val="none"/>
        </w:rPr>
        <w:t>A2.4.1 在不改变供应商响应文件实质性内容的前提下，磋商小组应当对响应文件进行基础性数据分析和整理（本章中简称为“清标”），从而发现并提取其中可能存在的对采购需求理解的偏差、磋商报价的算术性错误、错漏项、磋商报价构成不合理、不平衡报价等存在明显异常的问题，并就这些问题整理形成清标成果。磋商小组对清标成果审议后，决定需要供应商进行书面澄清、说明或补正的问题，形成质疑问卷，向供应商发出问题澄清通知（包括质疑问卷）。</w:t>
      </w:r>
    </w:p>
    <w:p w14:paraId="22370D56">
      <w:pPr>
        <w:spacing w:line="360" w:lineRule="auto"/>
        <w:ind w:firstLine="399" w:firstLineChars="190"/>
        <w:rPr>
          <w:rFonts w:ascii="宋体" w:hAnsi="宋体" w:cs="宋体"/>
          <w:color w:val="auto"/>
          <w:sz w:val="21"/>
          <w:szCs w:val="21"/>
          <w:highlight w:val="none"/>
        </w:rPr>
      </w:pPr>
      <w:r>
        <w:rPr>
          <w:rFonts w:hint="eastAsia" w:ascii="宋体" w:hAnsi="宋体" w:cs="宋体"/>
          <w:color w:val="auto"/>
          <w:sz w:val="21"/>
          <w:szCs w:val="21"/>
          <w:highlight w:val="none"/>
        </w:rPr>
        <w:t>A2.4.2 在不影响磋商小组成员的法定权利的前提下，磋商小组可委托由采购人专门成立的清标工作小组完成清标工作。在这种情况下，清标工作可以在评审工作开始之前完成，也可以与评审工作平行进行。清标工作小组成员应为具备相应执业资格的专业人员，且应当符合有关法律法规对评审专家的回避规定和要求，不得与任何供应商有利益、上下级等关系，不得代行依法应当由磋商小组及其成员行使的权利。清标成果应当经过磋商小组的审核确认，经过磋商小组审核确认的清标成果视同是磋商小组的工作成果，并由磋商小组以书面方式追加对清标工作小组的授权，书面授权委托书必须由磋商小组全体成员签名。</w:t>
      </w:r>
    </w:p>
    <w:p w14:paraId="76467FA9">
      <w:pPr>
        <w:spacing w:line="360" w:lineRule="auto"/>
        <w:ind w:firstLine="399" w:firstLineChars="190"/>
        <w:rPr>
          <w:rFonts w:ascii="宋体" w:hAnsi="宋体" w:cs="宋体"/>
          <w:color w:val="auto"/>
          <w:sz w:val="21"/>
          <w:szCs w:val="21"/>
          <w:highlight w:val="none"/>
        </w:rPr>
      </w:pPr>
      <w:r>
        <w:rPr>
          <w:rFonts w:hint="eastAsia" w:ascii="宋体" w:hAnsi="宋体" w:cs="宋体"/>
          <w:color w:val="auto"/>
          <w:sz w:val="21"/>
          <w:szCs w:val="21"/>
          <w:highlight w:val="none"/>
        </w:rPr>
        <w:t>A2.4.3 供应商接到磋商小组发出的问题澄清通知后，应按磋商小组的要求提供书面澄清资料并按要求进行密封，在规定的时</w:t>
      </w:r>
      <w:r>
        <w:rPr>
          <w:rFonts w:hint="eastAsia" w:ascii="宋体" w:hAnsi="宋体" w:cs="宋体"/>
          <w:color w:val="auto"/>
          <w:sz w:val="21"/>
          <w:szCs w:val="21"/>
          <w:highlight w:val="none"/>
          <w:lang w:eastAsia="zh-CN"/>
        </w:rPr>
        <w:t>间内</w:t>
      </w:r>
      <w:r>
        <w:rPr>
          <w:rFonts w:hint="eastAsia" w:ascii="宋体" w:hAnsi="宋体" w:cs="宋体"/>
          <w:color w:val="auto"/>
          <w:sz w:val="21"/>
          <w:szCs w:val="21"/>
          <w:highlight w:val="none"/>
        </w:rPr>
        <w:t>递交到指定地点。供应商递交的书面澄清资料由磋商小组开启。</w:t>
      </w:r>
    </w:p>
    <w:p w14:paraId="01DA2F84">
      <w:pPr>
        <w:spacing w:line="360" w:lineRule="auto"/>
        <w:ind w:firstLine="399" w:firstLineChars="190"/>
        <w:rPr>
          <w:rFonts w:ascii="宋体" w:hAnsi="宋体" w:cs="宋体"/>
          <w:bCs/>
          <w:color w:val="auto"/>
          <w:sz w:val="21"/>
          <w:szCs w:val="21"/>
          <w:highlight w:val="none"/>
          <w:lang w:bidi="en-US"/>
        </w:rPr>
      </w:pPr>
      <w:bookmarkStart w:id="1313" w:name="_Toc381778788"/>
      <w:bookmarkStart w:id="1314" w:name="_Toc493101421"/>
      <w:bookmarkStart w:id="1315" w:name="_Toc493101223"/>
      <w:bookmarkStart w:id="1316" w:name="_Toc521614495"/>
      <w:bookmarkStart w:id="1317" w:name="_Toc392522387"/>
      <w:bookmarkStart w:id="1318" w:name="_Toc417899391"/>
      <w:bookmarkStart w:id="1319" w:name="_Toc397008048"/>
      <w:r>
        <w:rPr>
          <w:rFonts w:hint="eastAsia" w:ascii="宋体" w:hAnsi="宋体" w:cs="宋体"/>
          <w:bCs/>
          <w:color w:val="auto"/>
          <w:sz w:val="21"/>
          <w:szCs w:val="21"/>
          <w:highlight w:val="none"/>
          <w:lang w:bidi="en-US"/>
        </w:rPr>
        <w:t>A3. 初步评审</w:t>
      </w:r>
      <w:bookmarkEnd w:id="1313"/>
      <w:bookmarkEnd w:id="1314"/>
      <w:bookmarkEnd w:id="1315"/>
      <w:bookmarkEnd w:id="1316"/>
      <w:bookmarkEnd w:id="1317"/>
      <w:bookmarkEnd w:id="1318"/>
      <w:bookmarkEnd w:id="1319"/>
    </w:p>
    <w:p w14:paraId="745534A3">
      <w:pPr>
        <w:spacing w:line="360" w:lineRule="auto"/>
        <w:ind w:firstLine="399" w:firstLineChars="190"/>
        <w:rPr>
          <w:rFonts w:ascii="宋体" w:hAnsi="宋体" w:cs="宋体"/>
          <w:color w:val="auto"/>
          <w:sz w:val="21"/>
          <w:szCs w:val="21"/>
          <w:highlight w:val="none"/>
        </w:rPr>
      </w:pPr>
      <w:bookmarkStart w:id="1320" w:name="_Toc521614496"/>
      <w:bookmarkStart w:id="1321" w:name="_Toc382566750"/>
      <w:bookmarkStart w:id="1322" w:name="_Toc493101422"/>
      <w:bookmarkStart w:id="1323" w:name="_Toc493101224"/>
      <w:bookmarkStart w:id="1324" w:name="_Toc392522388"/>
      <w:bookmarkStart w:id="1325" w:name="_Toc381778789"/>
      <w:bookmarkStart w:id="1326" w:name="_Toc417899392"/>
      <w:r>
        <w:rPr>
          <w:rFonts w:hint="eastAsia" w:ascii="宋体" w:hAnsi="宋体" w:cs="宋体"/>
          <w:color w:val="auto"/>
          <w:sz w:val="21"/>
          <w:szCs w:val="21"/>
          <w:highlight w:val="none"/>
        </w:rPr>
        <w:t xml:space="preserve">A3.1 </w:t>
      </w:r>
      <w:r>
        <w:rPr>
          <w:rFonts w:hint="eastAsia" w:ascii="宋体" w:hAnsi="宋体" w:cs="宋体"/>
          <w:color w:val="auto"/>
          <w:sz w:val="21"/>
          <w:szCs w:val="21"/>
          <w:highlight w:val="none"/>
          <w:lang w:val="en-US" w:eastAsia="zh-CN"/>
        </w:rPr>
        <w:t>资格</w:t>
      </w:r>
      <w:r>
        <w:rPr>
          <w:rFonts w:hint="eastAsia" w:ascii="宋体" w:hAnsi="宋体" w:cs="宋体"/>
          <w:color w:val="auto"/>
          <w:sz w:val="21"/>
          <w:szCs w:val="21"/>
          <w:highlight w:val="none"/>
        </w:rPr>
        <w:t>评审</w:t>
      </w:r>
      <w:bookmarkEnd w:id="1320"/>
      <w:bookmarkEnd w:id="1321"/>
      <w:bookmarkEnd w:id="1322"/>
      <w:bookmarkEnd w:id="1323"/>
      <w:bookmarkEnd w:id="1324"/>
      <w:bookmarkEnd w:id="1325"/>
      <w:bookmarkEnd w:id="1326"/>
    </w:p>
    <w:p w14:paraId="795A9819">
      <w:pPr>
        <w:spacing w:line="360" w:lineRule="auto"/>
        <w:ind w:firstLine="399" w:firstLineChars="190"/>
        <w:rPr>
          <w:rFonts w:ascii="宋体" w:hAnsi="宋体" w:cs="宋体"/>
          <w:color w:val="auto"/>
          <w:sz w:val="21"/>
          <w:szCs w:val="21"/>
          <w:highlight w:val="none"/>
        </w:rPr>
      </w:pPr>
      <w:r>
        <w:rPr>
          <w:rFonts w:hint="eastAsia" w:ascii="宋体" w:hAnsi="宋体" w:cs="宋体"/>
          <w:color w:val="auto"/>
          <w:sz w:val="21"/>
          <w:szCs w:val="21"/>
          <w:highlight w:val="none"/>
        </w:rPr>
        <w:t>磋商小组根据评审办法前附表中规定的评审因素和评审标准，对供应商的响应文件进行</w:t>
      </w:r>
      <w:r>
        <w:rPr>
          <w:rFonts w:hint="eastAsia" w:ascii="宋体" w:hAnsi="宋体" w:cs="宋体"/>
          <w:color w:val="auto"/>
          <w:sz w:val="21"/>
          <w:szCs w:val="21"/>
          <w:highlight w:val="none"/>
          <w:lang w:val="en-US" w:eastAsia="zh-CN"/>
        </w:rPr>
        <w:t>资格</w:t>
      </w:r>
      <w:r>
        <w:rPr>
          <w:rFonts w:hint="eastAsia" w:ascii="宋体" w:hAnsi="宋体" w:cs="宋体"/>
          <w:color w:val="auto"/>
          <w:sz w:val="21"/>
          <w:szCs w:val="21"/>
          <w:highlight w:val="none"/>
        </w:rPr>
        <w:t>评审，并记录评审结果。</w:t>
      </w:r>
    </w:p>
    <w:p w14:paraId="0E9C8860">
      <w:pPr>
        <w:spacing w:line="360" w:lineRule="auto"/>
        <w:ind w:firstLine="399" w:firstLineChars="190"/>
        <w:rPr>
          <w:rFonts w:ascii="宋体" w:hAnsi="宋体" w:cs="宋体"/>
          <w:color w:val="auto"/>
          <w:sz w:val="21"/>
          <w:szCs w:val="21"/>
          <w:highlight w:val="none"/>
        </w:rPr>
      </w:pPr>
      <w:bookmarkStart w:id="1327" w:name="_Toc521614498"/>
      <w:bookmarkStart w:id="1328" w:name="_Toc381778791"/>
      <w:bookmarkStart w:id="1329" w:name="_Toc392522390"/>
      <w:bookmarkStart w:id="1330" w:name="_Toc493101226"/>
      <w:bookmarkStart w:id="1331" w:name="_Toc382566752"/>
      <w:bookmarkStart w:id="1332" w:name="_Toc417899394"/>
      <w:bookmarkStart w:id="1333" w:name="_Toc493101424"/>
      <w:r>
        <w:rPr>
          <w:rFonts w:hint="eastAsia" w:ascii="宋体" w:hAnsi="宋体" w:cs="宋体"/>
          <w:color w:val="auto"/>
          <w:sz w:val="21"/>
          <w:szCs w:val="21"/>
          <w:highlight w:val="none"/>
        </w:rPr>
        <w:t>A3.</w:t>
      </w:r>
      <w:r>
        <w:rPr>
          <w:rFonts w:hint="eastAsia" w:ascii="宋体" w:hAnsi="宋体" w:cs="宋体"/>
          <w:color w:val="auto"/>
          <w:sz w:val="21"/>
          <w:szCs w:val="21"/>
          <w:highlight w:val="none"/>
          <w:lang w:val="en-US" w:eastAsia="zh-CN"/>
        </w:rPr>
        <w:t>2</w:t>
      </w:r>
      <w:r>
        <w:rPr>
          <w:rFonts w:hint="eastAsia" w:ascii="宋体" w:hAnsi="宋体" w:cs="宋体"/>
          <w:color w:val="auto"/>
          <w:sz w:val="21"/>
          <w:szCs w:val="21"/>
          <w:highlight w:val="none"/>
        </w:rPr>
        <w:t xml:space="preserve"> </w:t>
      </w:r>
      <w:r>
        <w:rPr>
          <w:rFonts w:hint="eastAsia" w:ascii="宋体" w:hAnsi="宋体" w:cs="宋体"/>
          <w:color w:val="auto"/>
          <w:sz w:val="21"/>
          <w:szCs w:val="21"/>
          <w:highlight w:val="none"/>
          <w:lang w:val="en-US" w:eastAsia="zh-CN"/>
        </w:rPr>
        <w:t>符合</w:t>
      </w:r>
      <w:r>
        <w:rPr>
          <w:rFonts w:hint="eastAsia" w:ascii="宋体" w:hAnsi="宋体" w:cs="宋体"/>
          <w:color w:val="auto"/>
          <w:sz w:val="21"/>
          <w:szCs w:val="21"/>
          <w:highlight w:val="none"/>
        </w:rPr>
        <w:t>性评审</w:t>
      </w:r>
      <w:bookmarkEnd w:id="1327"/>
      <w:bookmarkEnd w:id="1328"/>
      <w:bookmarkEnd w:id="1329"/>
      <w:bookmarkEnd w:id="1330"/>
      <w:bookmarkEnd w:id="1331"/>
      <w:bookmarkEnd w:id="1332"/>
      <w:bookmarkEnd w:id="1333"/>
    </w:p>
    <w:p w14:paraId="159814F2">
      <w:pPr>
        <w:spacing w:line="360" w:lineRule="auto"/>
        <w:ind w:firstLine="399" w:firstLineChars="190"/>
        <w:rPr>
          <w:rFonts w:ascii="宋体" w:hAnsi="宋体" w:cs="宋体"/>
          <w:color w:val="auto"/>
          <w:sz w:val="21"/>
          <w:szCs w:val="21"/>
          <w:highlight w:val="none"/>
        </w:rPr>
      </w:pPr>
      <w:r>
        <w:rPr>
          <w:rFonts w:hint="eastAsia" w:ascii="宋体" w:hAnsi="宋体" w:cs="宋体"/>
          <w:color w:val="auto"/>
          <w:sz w:val="21"/>
          <w:szCs w:val="21"/>
          <w:highlight w:val="none"/>
        </w:rPr>
        <w:t>A3.</w:t>
      </w:r>
      <w:r>
        <w:rPr>
          <w:rFonts w:hint="eastAsia" w:ascii="宋体" w:hAnsi="宋体" w:cs="宋体"/>
          <w:color w:val="auto"/>
          <w:sz w:val="21"/>
          <w:szCs w:val="21"/>
          <w:highlight w:val="none"/>
          <w:lang w:val="en-US" w:eastAsia="zh-CN"/>
        </w:rPr>
        <w:t>2</w:t>
      </w:r>
      <w:r>
        <w:rPr>
          <w:rFonts w:hint="eastAsia" w:ascii="宋体" w:hAnsi="宋体" w:cs="宋体"/>
          <w:color w:val="auto"/>
          <w:sz w:val="21"/>
          <w:szCs w:val="21"/>
          <w:highlight w:val="none"/>
        </w:rPr>
        <w:t>.1 磋商小组根据评审办法前附表中规定的评审因素和评审标准，对供应商的响应文件进行</w:t>
      </w:r>
      <w:r>
        <w:rPr>
          <w:rFonts w:hint="eastAsia" w:ascii="宋体" w:hAnsi="宋体" w:cs="宋体"/>
          <w:color w:val="auto"/>
          <w:sz w:val="21"/>
          <w:szCs w:val="21"/>
          <w:highlight w:val="none"/>
          <w:lang w:val="en-US" w:eastAsia="zh-CN"/>
        </w:rPr>
        <w:t>符合</w:t>
      </w:r>
      <w:r>
        <w:rPr>
          <w:rFonts w:hint="eastAsia" w:ascii="宋体" w:hAnsi="宋体" w:cs="宋体"/>
          <w:color w:val="auto"/>
          <w:sz w:val="21"/>
          <w:szCs w:val="21"/>
          <w:highlight w:val="none"/>
        </w:rPr>
        <w:t>性评审，并记录评审结果。</w:t>
      </w:r>
    </w:p>
    <w:p w14:paraId="46842CD2">
      <w:pPr>
        <w:spacing w:line="360" w:lineRule="auto"/>
        <w:ind w:firstLine="399" w:firstLineChars="190"/>
        <w:rPr>
          <w:rFonts w:ascii="宋体" w:hAnsi="宋体" w:cs="宋体"/>
          <w:color w:val="auto"/>
          <w:sz w:val="21"/>
          <w:szCs w:val="21"/>
          <w:highlight w:val="none"/>
        </w:rPr>
      </w:pPr>
      <w:r>
        <w:rPr>
          <w:rFonts w:hint="eastAsia" w:ascii="宋体" w:hAnsi="宋体" w:cs="宋体"/>
          <w:color w:val="auto"/>
          <w:sz w:val="21"/>
          <w:szCs w:val="21"/>
          <w:highlight w:val="none"/>
        </w:rPr>
        <w:t>A3.</w:t>
      </w:r>
      <w:r>
        <w:rPr>
          <w:rFonts w:hint="eastAsia" w:ascii="宋体" w:hAnsi="宋体" w:cs="宋体"/>
          <w:color w:val="auto"/>
          <w:sz w:val="21"/>
          <w:szCs w:val="21"/>
          <w:highlight w:val="none"/>
          <w:lang w:val="en-US" w:eastAsia="zh-CN"/>
        </w:rPr>
        <w:t>2</w:t>
      </w:r>
      <w:r>
        <w:rPr>
          <w:rFonts w:hint="eastAsia" w:ascii="宋体" w:hAnsi="宋体" w:cs="宋体"/>
          <w:color w:val="auto"/>
          <w:sz w:val="21"/>
          <w:szCs w:val="21"/>
          <w:highlight w:val="none"/>
        </w:rPr>
        <w:t>.2 供应商磋商价格不得超出（不含等于）按照本章前附表的规定计算的“招标控制价”，凡供应商的磋商价格超出“招标控制价”的，该供应商的响应文件不能通过响应性评审。</w:t>
      </w:r>
    </w:p>
    <w:p w14:paraId="510F2120">
      <w:pPr>
        <w:spacing w:line="360" w:lineRule="auto"/>
        <w:ind w:firstLine="399" w:firstLineChars="190"/>
        <w:rPr>
          <w:rFonts w:ascii="宋体" w:hAnsi="宋体" w:cs="宋体"/>
          <w:color w:val="auto"/>
          <w:sz w:val="21"/>
          <w:szCs w:val="21"/>
          <w:highlight w:val="none"/>
        </w:rPr>
      </w:pPr>
      <w:bookmarkStart w:id="1334" w:name="_Toc392522392"/>
      <w:bookmarkStart w:id="1335" w:name="_Toc417899395"/>
      <w:bookmarkStart w:id="1336" w:name="_Toc382566754"/>
      <w:bookmarkStart w:id="1337" w:name="_Toc381778793"/>
      <w:bookmarkStart w:id="1338" w:name="_Toc493101227"/>
      <w:bookmarkStart w:id="1339" w:name="_Toc521614499"/>
      <w:bookmarkStart w:id="1340" w:name="_Toc493101425"/>
      <w:r>
        <w:rPr>
          <w:rFonts w:hint="eastAsia" w:ascii="宋体" w:hAnsi="宋体" w:cs="宋体"/>
          <w:color w:val="auto"/>
          <w:sz w:val="21"/>
          <w:szCs w:val="21"/>
          <w:highlight w:val="none"/>
        </w:rPr>
        <w:t>A3.</w:t>
      </w:r>
      <w:r>
        <w:rPr>
          <w:rFonts w:hint="eastAsia" w:ascii="宋体" w:hAnsi="宋体" w:cs="宋体"/>
          <w:color w:val="auto"/>
          <w:sz w:val="21"/>
          <w:szCs w:val="21"/>
          <w:highlight w:val="none"/>
          <w:lang w:val="en-US" w:eastAsia="zh-CN"/>
        </w:rPr>
        <w:t>3</w:t>
      </w:r>
      <w:r>
        <w:rPr>
          <w:rFonts w:hint="eastAsia" w:ascii="宋体" w:hAnsi="宋体" w:cs="宋体"/>
          <w:color w:val="auto"/>
          <w:sz w:val="21"/>
          <w:szCs w:val="21"/>
          <w:highlight w:val="none"/>
        </w:rPr>
        <w:t xml:space="preserve"> 判断是否为否决</w:t>
      </w:r>
      <w:bookmarkEnd w:id="1334"/>
      <w:bookmarkEnd w:id="1335"/>
      <w:bookmarkEnd w:id="1336"/>
      <w:bookmarkEnd w:id="1337"/>
      <w:r>
        <w:rPr>
          <w:rFonts w:hint="eastAsia" w:ascii="宋体" w:hAnsi="宋体" w:cs="宋体"/>
          <w:color w:val="auto"/>
          <w:sz w:val="21"/>
          <w:szCs w:val="21"/>
          <w:highlight w:val="none"/>
        </w:rPr>
        <w:t>磋商条件</w:t>
      </w:r>
      <w:bookmarkEnd w:id="1338"/>
      <w:bookmarkEnd w:id="1339"/>
      <w:bookmarkEnd w:id="1340"/>
    </w:p>
    <w:p w14:paraId="133AAB95">
      <w:pPr>
        <w:spacing w:line="360" w:lineRule="auto"/>
        <w:ind w:firstLine="399" w:firstLineChars="190"/>
        <w:rPr>
          <w:rFonts w:ascii="宋体" w:hAnsi="宋体" w:cs="宋体"/>
          <w:color w:val="auto"/>
          <w:sz w:val="21"/>
          <w:szCs w:val="21"/>
          <w:highlight w:val="none"/>
        </w:rPr>
      </w:pPr>
      <w:r>
        <w:rPr>
          <w:rFonts w:hint="eastAsia" w:ascii="宋体" w:hAnsi="宋体" w:cs="宋体"/>
          <w:color w:val="auto"/>
          <w:sz w:val="21"/>
          <w:szCs w:val="21"/>
          <w:highlight w:val="none"/>
        </w:rPr>
        <w:t>A3.</w:t>
      </w:r>
      <w:r>
        <w:rPr>
          <w:rFonts w:hint="eastAsia" w:ascii="宋体" w:hAnsi="宋体" w:cs="宋体"/>
          <w:color w:val="auto"/>
          <w:sz w:val="21"/>
          <w:szCs w:val="21"/>
          <w:highlight w:val="none"/>
          <w:lang w:val="en-US" w:eastAsia="zh-CN"/>
        </w:rPr>
        <w:t>3</w:t>
      </w:r>
      <w:r>
        <w:rPr>
          <w:rFonts w:hint="eastAsia" w:ascii="宋体" w:hAnsi="宋体" w:cs="宋体"/>
          <w:color w:val="auto"/>
          <w:sz w:val="21"/>
          <w:szCs w:val="21"/>
          <w:highlight w:val="none"/>
        </w:rPr>
        <w:t>.1 判断供应商的磋商文件是否为否决磋商的全部条件（包括本章第3.1.2项中规定的条件），在本章附件B中集中列示。</w:t>
      </w:r>
    </w:p>
    <w:p w14:paraId="0079E1FA">
      <w:pPr>
        <w:spacing w:line="360" w:lineRule="auto"/>
        <w:ind w:firstLine="399" w:firstLineChars="190"/>
        <w:rPr>
          <w:rFonts w:ascii="宋体" w:hAnsi="宋体" w:cs="宋体"/>
          <w:color w:val="auto"/>
          <w:sz w:val="21"/>
          <w:szCs w:val="21"/>
          <w:highlight w:val="none"/>
        </w:rPr>
      </w:pPr>
      <w:r>
        <w:rPr>
          <w:rFonts w:hint="eastAsia" w:ascii="宋体" w:hAnsi="宋体" w:cs="宋体"/>
          <w:color w:val="auto"/>
          <w:sz w:val="21"/>
          <w:szCs w:val="21"/>
          <w:highlight w:val="none"/>
        </w:rPr>
        <w:t>A3.</w:t>
      </w:r>
      <w:r>
        <w:rPr>
          <w:rFonts w:hint="eastAsia" w:ascii="宋体" w:hAnsi="宋体" w:cs="宋体"/>
          <w:color w:val="auto"/>
          <w:sz w:val="21"/>
          <w:szCs w:val="21"/>
          <w:highlight w:val="none"/>
          <w:lang w:val="en-US" w:eastAsia="zh-CN"/>
        </w:rPr>
        <w:t>3</w:t>
      </w:r>
      <w:r>
        <w:rPr>
          <w:rFonts w:hint="eastAsia" w:ascii="宋体" w:hAnsi="宋体" w:cs="宋体"/>
          <w:color w:val="auto"/>
          <w:sz w:val="21"/>
          <w:szCs w:val="21"/>
          <w:highlight w:val="none"/>
        </w:rPr>
        <w:t>.2 本章附件B集中列示的否决磋商条件不应与第二章“供应商须知”和本章正文部分包括的否决磋商条件抵触，如果出现相互矛盾的情况，以第二章“供应商须知”和本章正文部分的规定为准。</w:t>
      </w:r>
    </w:p>
    <w:p w14:paraId="1572B41C">
      <w:pPr>
        <w:spacing w:line="360" w:lineRule="auto"/>
        <w:ind w:firstLine="399" w:firstLineChars="190"/>
        <w:rPr>
          <w:rFonts w:ascii="宋体" w:hAnsi="宋体" w:cs="宋体"/>
          <w:color w:val="auto"/>
          <w:sz w:val="21"/>
          <w:szCs w:val="21"/>
          <w:highlight w:val="none"/>
        </w:rPr>
      </w:pPr>
      <w:r>
        <w:rPr>
          <w:rFonts w:hint="eastAsia" w:ascii="宋体" w:hAnsi="宋体" w:cs="宋体"/>
          <w:color w:val="auto"/>
          <w:sz w:val="21"/>
          <w:szCs w:val="21"/>
          <w:highlight w:val="none"/>
        </w:rPr>
        <w:t>A3.</w:t>
      </w:r>
      <w:r>
        <w:rPr>
          <w:rFonts w:hint="eastAsia" w:ascii="宋体" w:hAnsi="宋体" w:cs="宋体"/>
          <w:color w:val="auto"/>
          <w:sz w:val="21"/>
          <w:szCs w:val="21"/>
          <w:highlight w:val="none"/>
          <w:lang w:val="en-US" w:eastAsia="zh-CN"/>
        </w:rPr>
        <w:t>3</w:t>
      </w:r>
      <w:r>
        <w:rPr>
          <w:rFonts w:hint="eastAsia" w:ascii="宋体" w:hAnsi="宋体" w:cs="宋体"/>
          <w:color w:val="auto"/>
          <w:sz w:val="21"/>
          <w:szCs w:val="21"/>
          <w:highlight w:val="none"/>
        </w:rPr>
        <w:t>.3 磋商小组在评审（包括初步评审和详细评审）过程中，依据本章附件B中规定的否决磋商条件判断供应商的磋商是否为否决磋商。</w:t>
      </w:r>
    </w:p>
    <w:p w14:paraId="4CA03654">
      <w:pPr>
        <w:spacing w:line="360" w:lineRule="auto"/>
        <w:ind w:firstLine="399" w:firstLineChars="190"/>
        <w:rPr>
          <w:rFonts w:ascii="宋体" w:hAnsi="宋体" w:cs="宋体"/>
          <w:color w:val="auto"/>
          <w:sz w:val="21"/>
          <w:szCs w:val="21"/>
          <w:highlight w:val="none"/>
        </w:rPr>
      </w:pPr>
      <w:bookmarkStart w:id="1341" w:name="_Toc493101228"/>
      <w:bookmarkStart w:id="1342" w:name="_Toc381778794"/>
      <w:bookmarkStart w:id="1343" w:name="_Toc521614500"/>
      <w:bookmarkStart w:id="1344" w:name="_Toc493101426"/>
      <w:bookmarkStart w:id="1345" w:name="_Toc382566755"/>
      <w:bookmarkStart w:id="1346" w:name="_Toc417899396"/>
      <w:bookmarkStart w:id="1347" w:name="_Toc392522393"/>
      <w:r>
        <w:rPr>
          <w:rFonts w:hint="eastAsia" w:ascii="宋体" w:hAnsi="宋体" w:cs="宋体"/>
          <w:color w:val="auto"/>
          <w:sz w:val="21"/>
          <w:szCs w:val="21"/>
          <w:highlight w:val="none"/>
        </w:rPr>
        <w:t>A3.</w:t>
      </w:r>
      <w:r>
        <w:rPr>
          <w:rFonts w:hint="eastAsia" w:ascii="宋体" w:hAnsi="宋体" w:cs="宋体"/>
          <w:color w:val="auto"/>
          <w:sz w:val="21"/>
          <w:szCs w:val="21"/>
          <w:highlight w:val="none"/>
          <w:lang w:val="en-US" w:eastAsia="zh-CN"/>
        </w:rPr>
        <w:t>4</w:t>
      </w:r>
      <w:r>
        <w:rPr>
          <w:rFonts w:hint="eastAsia" w:ascii="宋体" w:hAnsi="宋体" w:cs="宋体"/>
          <w:color w:val="auto"/>
          <w:sz w:val="21"/>
          <w:szCs w:val="21"/>
          <w:highlight w:val="none"/>
        </w:rPr>
        <w:t xml:space="preserve"> 算术错误修正</w:t>
      </w:r>
      <w:bookmarkEnd w:id="1341"/>
      <w:bookmarkEnd w:id="1342"/>
      <w:bookmarkEnd w:id="1343"/>
      <w:bookmarkEnd w:id="1344"/>
      <w:bookmarkEnd w:id="1345"/>
      <w:bookmarkEnd w:id="1346"/>
      <w:bookmarkEnd w:id="1347"/>
    </w:p>
    <w:p w14:paraId="58D12878">
      <w:pPr>
        <w:spacing w:line="360" w:lineRule="auto"/>
        <w:ind w:firstLine="399" w:firstLineChars="190"/>
        <w:rPr>
          <w:rFonts w:ascii="宋体" w:hAnsi="宋体" w:cs="宋体"/>
          <w:color w:val="auto"/>
          <w:sz w:val="21"/>
          <w:szCs w:val="21"/>
          <w:highlight w:val="none"/>
        </w:rPr>
      </w:pPr>
      <w:r>
        <w:rPr>
          <w:rFonts w:hint="eastAsia" w:ascii="宋体" w:hAnsi="宋体" w:cs="宋体"/>
          <w:color w:val="auto"/>
          <w:sz w:val="21"/>
          <w:szCs w:val="21"/>
          <w:highlight w:val="none"/>
        </w:rPr>
        <w:t>磋商小组依据本章中规定的相关原则对磋商报价中存在的算术错误进行修正，并根据算术错误修正结果计算评审价。</w:t>
      </w:r>
    </w:p>
    <w:p w14:paraId="5F4D89A9">
      <w:pPr>
        <w:spacing w:line="360" w:lineRule="auto"/>
        <w:ind w:firstLine="399" w:firstLineChars="190"/>
        <w:rPr>
          <w:rFonts w:ascii="宋体" w:hAnsi="宋体" w:cs="宋体"/>
          <w:color w:val="auto"/>
          <w:sz w:val="21"/>
          <w:szCs w:val="21"/>
          <w:highlight w:val="none"/>
        </w:rPr>
      </w:pPr>
      <w:bookmarkStart w:id="1348" w:name="_Toc493101427"/>
      <w:bookmarkStart w:id="1349" w:name="_Toc493101229"/>
      <w:bookmarkStart w:id="1350" w:name="_Toc392522394"/>
      <w:bookmarkStart w:id="1351" w:name="_Toc381778795"/>
      <w:bookmarkStart w:id="1352" w:name="_Toc382566756"/>
      <w:bookmarkStart w:id="1353" w:name="_Toc521614501"/>
      <w:bookmarkStart w:id="1354" w:name="_Toc417899397"/>
      <w:r>
        <w:rPr>
          <w:rFonts w:hint="eastAsia" w:ascii="宋体" w:hAnsi="宋体" w:cs="宋体"/>
          <w:color w:val="auto"/>
          <w:sz w:val="21"/>
          <w:szCs w:val="21"/>
          <w:highlight w:val="none"/>
        </w:rPr>
        <w:t>A3.</w:t>
      </w:r>
      <w:r>
        <w:rPr>
          <w:rFonts w:hint="eastAsia" w:ascii="宋体" w:hAnsi="宋体" w:cs="宋体"/>
          <w:color w:val="auto"/>
          <w:sz w:val="21"/>
          <w:szCs w:val="21"/>
          <w:highlight w:val="none"/>
          <w:lang w:val="en-US" w:eastAsia="zh-CN"/>
        </w:rPr>
        <w:t>5</w:t>
      </w:r>
      <w:r>
        <w:rPr>
          <w:rFonts w:hint="eastAsia" w:ascii="宋体" w:hAnsi="宋体" w:cs="宋体"/>
          <w:color w:val="auto"/>
          <w:sz w:val="21"/>
          <w:szCs w:val="21"/>
          <w:highlight w:val="none"/>
        </w:rPr>
        <w:t xml:space="preserve"> 澄清、说明或补正</w:t>
      </w:r>
      <w:bookmarkEnd w:id="1348"/>
      <w:bookmarkEnd w:id="1349"/>
      <w:bookmarkEnd w:id="1350"/>
      <w:bookmarkEnd w:id="1351"/>
      <w:bookmarkEnd w:id="1352"/>
      <w:bookmarkEnd w:id="1353"/>
      <w:bookmarkEnd w:id="1354"/>
    </w:p>
    <w:p w14:paraId="069FCFF2">
      <w:pPr>
        <w:spacing w:line="360" w:lineRule="auto"/>
        <w:ind w:firstLine="399" w:firstLineChars="190"/>
        <w:rPr>
          <w:rFonts w:ascii="宋体" w:hAnsi="宋体" w:cs="宋体"/>
          <w:color w:val="auto"/>
          <w:sz w:val="21"/>
          <w:szCs w:val="21"/>
          <w:highlight w:val="none"/>
        </w:rPr>
      </w:pPr>
      <w:r>
        <w:rPr>
          <w:rFonts w:hint="eastAsia" w:ascii="宋体" w:hAnsi="宋体" w:cs="宋体"/>
          <w:color w:val="auto"/>
          <w:sz w:val="21"/>
          <w:szCs w:val="21"/>
          <w:highlight w:val="none"/>
        </w:rPr>
        <w:t>在初步评审过程中，磋商小组应当就响应文件中不明确的内容要求供应商进行澄清、说明或者补正。供应商应当根据问题澄清通知要求，以书面形式予以澄清、说明或者补正。澄清、说明或补正根据本章第3.3款的规定进行。</w:t>
      </w:r>
    </w:p>
    <w:p w14:paraId="3E43ECF7">
      <w:pPr>
        <w:spacing w:line="360" w:lineRule="auto"/>
        <w:ind w:firstLine="399" w:firstLineChars="190"/>
        <w:rPr>
          <w:rFonts w:ascii="宋体" w:hAnsi="宋体" w:cs="宋体"/>
          <w:color w:val="auto"/>
          <w:sz w:val="21"/>
          <w:szCs w:val="21"/>
          <w:highlight w:val="none"/>
        </w:rPr>
      </w:pPr>
      <w:bookmarkStart w:id="1355" w:name="_Toc397008049"/>
      <w:bookmarkStart w:id="1356" w:name="_Toc521614502"/>
      <w:bookmarkStart w:id="1357" w:name="_Toc493101428"/>
      <w:bookmarkStart w:id="1358" w:name="_Toc493101230"/>
      <w:bookmarkStart w:id="1359" w:name="_Toc392522395"/>
      <w:bookmarkStart w:id="1360" w:name="_Toc381778796"/>
      <w:bookmarkStart w:id="1361" w:name="_Toc417899398"/>
      <w:r>
        <w:rPr>
          <w:rFonts w:hint="eastAsia" w:ascii="宋体" w:hAnsi="宋体" w:cs="宋体"/>
          <w:bCs/>
          <w:color w:val="auto"/>
          <w:sz w:val="21"/>
          <w:szCs w:val="21"/>
          <w:highlight w:val="none"/>
          <w:lang w:bidi="en-US"/>
        </w:rPr>
        <w:t>A4. 详细评审</w:t>
      </w:r>
      <w:bookmarkEnd w:id="1355"/>
      <w:bookmarkEnd w:id="1356"/>
      <w:bookmarkEnd w:id="1357"/>
      <w:bookmarkEnd w:id="1358"/>
      <w:bookmarkEnd w:id="1359"/>
      <w:bookmarkEnd w:id="1360"/>
      <w:bookmarkEnd w:id="1361"/>
    </w:p>
    <w:p w14:paraId="654040D4">
      <w:pPr>
        <w:spacing w:line="360" w:lineRule="auto"/>
        <w:ind w:firstLine="399" w:firstLineChars="190"/>
        <w:rPr>
          <w:rFonts w:ascii="宋体" w:hAnsi="宋体" w:cs="宋体"/>
          <w:color w:val="auto"/>
          <w:sz w:val="21"/>
          <w:szCs w:val="21"/>
          <w:highlight w:val="none"/>
        </w:rPr>
      </w:pPr>
      <w:bookmarkStart w:id="1362" w:name="_Toc382566760"/>
      <w:bookmarkStart w:id="1363" w:name="_Toc493101429"/>
      <w:bookmarkStart w:id="1364" w:name="_Toc493101231"/>
      <w:bookmarkStart w:id="1365" w:name="_Toc521614503"/>
      <w:bookmarkStart w:id="1366" w:name="_Toc392522398"/>
      <w:bookmarkStart w:id="1367" w:name="_Toc381778799"/>
      <w:bookmarkStart w:id="1368" w:name="_Toc417899399"/>
      <w:r>
        <w:rPr>
          <w:rFonts w:hint="eastAsia" w:ascii="宋体" w:hAnsi="宋体" w:cs="宋体"/>
          <w:color w:val="auto"/>
          <w:sz w:val="21"/>
          <w:szCs w:val="21"/>
          <w:highlight w:val="none"/>
        </w:rPr>
        <w:t>A4.</w:t>
      </w:r>
      <w:r>
        <w:rPr>
          <w:rFonts w:hint="eastAsia" w:ascii="宋体" w:hAnsi="宋体" w:cs="宋体"/>
          <w:color w:val="auto"/>
          <w:sz w:val="21"/>
          <w:szCs w:val="21"/>
          <w:highlight w:val="none"/>
          <w:lang w:val="en-US" w:eastAsia="zh-CN"/>
        </w:rPr>
        <w:t>1</w:t>
      </w:r>
      <w:r>
        <w:rPr>
          <w:rFonts w:hint="eastAsia" w:ascii="宋体" w:hAnsi="宋体" w:cs="宋体"/>
          <w:color w:val="auto"/>
          <w:sz w:val="21"/>
          <w:szCs w:val="21"/>
          <w:highlight w:val="none"/>
        </w:rPr>
        <w:t xml:space="preserve"> 澄清、说明或补正</w:t>
      </w:r>
      <w:bookmarkEnd w:id="1362"/>
      <w:bookmarkEnd w:id="1363"/>
      <w:bookmarkEnd w:id="1364"/>
      <w:bookmarkEnd w:id="1365"/>
      <w:bookmarkEnd w:id="1366"/>
      <w:bookmarkEnd w:id="1367"/>
      <w:bookmarkEnd w:id="1368"/>
    </w:p>
    <w:p w14:paraId="61657BB0">
      <w:pPr>
        <w:spacing w:line="360" w:lineRule="auto"/>
        <w:ind w:firstLine="399" w:firstLineChars="190"/>
        <w:rPr>
          <w:rFonts w:ascii="宋体" w:hAnsi="宋体" w:cs="宋体"/>
          <w:color w:val="auto"/>
          <w:sz w:val="21"/>
          <w:szCs w:val="21"/>
          <w:highlight w:val="none"/>
        </w:rPr>
      </w:pPr>
      <w:r>
        <w:rPr>
          <w:rFonts w:hint="eastAsia" w:ascii="宋体" w:hAnsi="宋体" w:cs="宋体"/>
          <w:color w:val="auto"/>
          <w:sz w:val="21"/>
          <w:szCs w:val="21"/>
          <w:highlight w:val="none"/>
        </w:rPr>
        <w:t>在初步评审过程中，磋商小组应当就响应文件中不明确的内容要求供应商进行澄清、说明或者补正。供应商应当根据问题澄清通知要求，以书面形式予以澄清、说明或者补正。澄清、说明或补正根据本章第3.3款的规定进行。</w:t>
      </w:r>
    </w:p>
    <w:p w14:paraId="73A58488">
      <w:pPr>
        <w:spacing w:line="360" w:lineRule="auto"/>
        <w:ind w:firstLine="399" w:firstLineChars="190"/>
        <w:rPr>
          <w:rFonts w:ascii="宋体" w:hAnsi="宋体" w:cs="宋体"/>
          <w:bCs/>
          <w:color w:val="auto"/>
          <w:sz w:val="21"/>
          <w:szCs w:val="21"/>
          <w:highlight w:val="none"/>
          <w:lang w:bidi="en-US"/>
        </w:rPr>
      </w:pPr>
      <w:bookmarkStart w:id="1369" w:name="_Toc493101430"/>
      <w:bookmarkStart w:id="1370" w:name="_Toc392522399"/>
      <w:bookmarkStart w:id="1371" w:name="_Toc397008050"/>
      <w:bookmarkStart w:id="1372" w:name="_Toc417899400"/>
      <w:bookmarkStart w:id="1373" w:name="_Toc521614504"/>
      <w:bookmarkStart w:id="1374" w:name="_Toc381778800"/>
      <w:bookmarkStart w:id="1375" w:name="_Toc493101232"/>
      <w:r>
        <w:rPr>
          <w:rFonts w:hint="eastAsia" w:ascii="宋体" w:hAnsi="宋体" w:cs="宋体"/>
          <w:bCs/>
          <w:color w:val="auto"/>
          <w:sz w:val="21"/>
          <w:szCs w:val="21"/>
          <w:highlight w:val="none"/>
          <w:lang w:bidi="en-US"/>
        </w:rPr>
        <w:t>A5. 推荐成交候选人或者直接确定成交供应商</w:t>
      </w:r>
      <w:bookmarkEnd w:id="1369"/>
      <w:bookmarkEnd w:id="1370"/>
      <w:bookmarkEnd w:id="1371"/>
      <w:bookmarkEnd w:id="1372"/>
      <w:bookmarkEnd w:id="1373"/>
      <w:bookmarkEnd w:id="1374"/>
      <w:bookmarkEnd w:id="1375"/>
    </w:p>
    <w:p w14:paraId="3B4C4F93">
      <w:pPr>
        <w:spacing w:line="360" w:lineRule="auto"/>
        <w:ind w:firstLine="399" w:firstLineChars="190"/>
        <w:rPr>
          <w:rFonts w:ascii="宋体" w:hAnsi="宋体" w:cs="宋体"/>
          <w:color w:val="auto"/>
          <w:sz w:val="21"/>
          <w:szCs w:val="21"/>
          <w:highlight w:val="none"/>
        </w:rPr>
      </w:pPr>
      <w:bookmarkStart w:id="1376" w:name="_Toc382566762"/>
      <w:bookmarkStart w:id="1377" w:name="_Toc417899401"/>
      <w:bookmarkStart w:id="1378" w:name="_Toc493101431"/>
      <w:bookmarkStart w:id="1379" w:name="_Toc521614505"/>
      <w:bookmarkStart w:id="1380" w:name="_Toc381778801"/>
      <w:bookmarkStart w:id="1381" w:name="_Toc493101233"/>
      <w:bookmarkStart w:id="1382" w:name="_Toc392522400"/>
      <w:r>
        <w:rPr>
          <w:rFonts w:hint="eastAsia" w:ascii="宋体" w:hAnsi="宋体" w:cs="宋体"/>
          <w:color w:val="auto"/>
          <w:sz w:val="21"/>
          <w:szCs w:val="21"/>
          <w:highlight w:val="none"/>
        </w:rPr>
        <w:t>A5.1 汇总评审结果</w:t>
      </w:r>
      <w:bookmarkEnd w:id="1376"/>
      <w:bookmarkEnd w:id="1377"/>
      <w:bookmarkEnd w:id="1378"/>
      <w:bookmarkEnd w:id="1379"/>
      <w:bookmarkEnd w:id="1380"/>
      <w:bookmarkEnd w:id="1381"/>
      <w:bookmarkEnd w:id="1382"/>
    </w:p>
    <w:p w14:paraId="3B6AAD75">
      <w:pPr>
        <w:spacing w:line="360" w:lineRule="auto"/>
        <w:ind w:firstLine="399" w:firstLineChars="190"/>
        <w:rPr>
          <w:rFonts w:ascii="宋体" w:hAnsi="宋体" w:cs="宋体"/>
          <w:color w:val="auto"/>
          <w:sz w:val="21"/>
          <w:szCs w:val="21"/>
          <w:highlight w:val="none"/>
        </w:rPr>
      </w:pPr>
      <w:r>
        <w:rPr>
          <w:rFonts w:hint="eastAsia" w:ascii="宋体" w:hAnsi="宋体" w:cs="宋体"/>
          <w:color w:val="auto"/>
          <w:sz w:val="21"/>
          <w:szCs w:val="21"/>
          <w:highlight w:val="none"/>
        </w:rPr>
        <w:t>磋商报价评审工作全部结束后，磋商小组应填写评审结果汇总表。</w:t>
      </w:r>
    </w:p>
    <w:p w14:paraId="4DF1233D">
      <w:pPr>
        <w:spacing w:line="360" w:lineRule="auto"/>
        <w:ind w:firstLine="399" w:firstLineChars="190"/>
        <w:rPr>
          <w:rFonts w:ascii="宋体" w:hAnsi="宋体" w:cs="宋体"/>
          <w:color w:val="auto"/>
          <w:sz w:val="21"/>
          <w:szCs w:val="21"/>
          <w:highlight w:val="none"/>
        </w:rPr>
      </w:pPr>
      <w:bookmarkStart w:id="1383" w:name="_Toc381778802"/>
      <w:bookmarkStart w:id="1384" w:name="_Toc521614506"/>
      <w:bookmarkStart w:id="1385" w:name="_Toc382566763"/>
      <w:bookmarkStart w:id="1386" w:name="_Toc493101234"/>
      <w:bookmarkStart w:id="1387" w:name="_Toc392522401"/>
      <w:bookmarkStart w:id="1388" w:name="_Toc417899402"/>
      <w:bookmarkStart w:id="1389" w:name="_Toc493101432"/>
      <w:bookmarkStart w:id="1390" w:name="_Toc493101235"/>
      <w:bookmarkStart w:id="1391" w:name="_Toc392522402"/>
      <w:bookmarkStart w:id="1392" w:name="_Toc382566764"/>
      <w:bookmarkStart w:id="1393" w:name="_Toc417899403"/>
      <w:bookmarkStart w:id="1394" w:name="_Toc381778803"/>
      <w:bookmarkStart w:id="1395" w:name="_Toc521614507"/>
      <w:bookmarkStart w:id="1396" w:name="_Toc493101433"/>
      <w:r>
        <w:rPr>
          <w:rFonts w:hint="eastAsia" w:ascii="宋体" w:hAnsi="宋体" w:cs="宋体"/>
          <w:color w:val="auto"/>
          <w:sz w:val="21"/>
          <w:szCs w:val="21"/>
          <w:highlight w:val="none"/>
        </w:rPr>
        <w:t>A5.2 推荐成交候选人</w:t>
      </w:r>
      <w:bookmarkEnd w:id="1383"/>
      <w:bookmarkEnd w:id="1384"/>
      <w:bookmarkEnd w:id="1385"/>
      <w:bookmarkEnd w:id="1386"/>
      <w:bookmarkEnd w:id="1387"/>
      <w:bookmarkEnd w:id="1388"/>
      <w:bookmarkEnd w:id="1389"/>
    </w:p>
    <w:p w14:paraId="5BD1149A">
      <w:pPr>
        <w:spacing w:line="360" w:lineRule="auto"/>
        <w:ind w:firstLine="399" w:firstLineChars="190"/>
        <w:rPr>
          <w:rFonts w:ascii="宋体" w:hAnsi="宋体" w:cs="宋体"/>
          <w:color w:val="auto"/>
          <w:sz w:val="21"/>
          <w:szCs w:val="21"/>
          <w:highlight w:val="none"/>
        </w:rPr>
      </w:pPr>
      <w:r>
        <w:rPr>
          <w:rFonts w:hint="eastAsia" w:ascii="宋体" w:hAnsi="宋体" w:cs="宋体"/>
          <w:color w:val="auto"/>
          <w:sz w:val="21"/>
          <w:szCs w:val="21"/>
          <w:highlight w:val="none"/>
        </w:rPr>
        <w:t>A5.2.1 除第二章“供应商须知”前附表授权直接确定成交供应商外，磋商小组在推荐成交候选人时，应遵照以下原则：</w:t>
      </w:r>
    </w:p>
    <w:p w14:paraId="333697E7">
      <w:pPr>
        <w:spacing w:line="360" w:lineRule="auto"/>
        <w:ind w:firstLine="399" w:firstLineChars="190"/>
        <w:rPr>
          <w:rFonts w:ascii="宋体" w:hAnsi="宋体" w:cs="宋体"/>
          <w:color w:val="auto"/>
          <w:sz w:val="21"/>
          <w:szCs w:val="21"/>
          <w:highlight w:val="none"/>
        </w:rPr>
      </w:pPr>
      <w:r>
        <w:rPr>
          <w:rFonts w:hint="eastAsia" w:ascii="宋体" w:hAnsi="宋体" w:cs="宋体"/>
          <w:color w:val="auto"/>
          <w:sz w:val="21"/>
          <w:szCs w:val="21"/>
          <w:highlight w:val="none"/>
        </w:rPr>
        <w:t>（1）磋商小组对有效的响应文件按照综合评分由低至高的次序排列，根据第二章“供应商须知”前附表第7.1款的规定推荐成交候选人。</w:t>
      </w:r>
    </w:p>
    <w:p w14:paraId="2F3C7F99">
      <w:pPr>
        <w:spacing w:line="360" w:lineRule="auto"/>
        <w:ind w:firstLine="399" w:firstLineChars="190"/>
        <w:rPr>
          <w:rFonts w:ascii="宋体" w:hAnsi="宋体" w:cs="宋体"/>
          <w:color w:val="auto"/>
          <w:sz w:val="21"/>
          <w:szCs w:val="21"/>
          <w:highlight w:val="none"/>
        </w:rPr>
      </w:pPr>
      <w:r>
        <w:rPr>
          <w:rFonts w:hint="eastAsia" w:ascii="宋体" w:hAnsi="宋体" w:cs="宋体"/>
          <w:color w:val="auto"/>
          <w:sz w:val="21"/>
          <w:szCs w:val="21"/>
          <w:highlight w:val="none"/>
        </w:rPr>
        <w:t>（2）如果磋商小组根据本章的规定作否决磋商处理后，有效磋商不足三个，且少于第二章“供应商须知”前附表第7.1款规定的成交候选人数量的，磋商小组可以建议采购人重新采购。</w:t>
      </w:r>
    </w:p>
    <w:p w14:paraId="318E9B31">
      <w:pPr>
        <w:spacing w:line="360" w:lineRule="auto"/>
        <w:ind w:firstLine="399" w:firstLineChars="190"/>
        <w:rPr>
          <w:rFonts w:ascii="宋体" w:hAnsi="宋体" w:cs="宋体"/>
          <w:color w:val="auto"/>
          <w:sz w:val="21"/>
          <w:szCs w:val="21"/>
          <w:highlight w:val="none"/>
        </w:rPr>
      </w:pPr>
      <w:r>
        <w:rPr>
          <w:rFonts w:hint="eastAsia" w:ascii="宋体" w:hAnsi="宋体" w:cs="宋体"/>
          <w:color w:val="auto"/>
          <w:sz w:val="21"/>
          <w:szCs w:val="21"/>
          <w:highlight w:val="none"/>
        </w:rPr>
        <w:t>A5.2.2 磋商截止时间前递交响应文件的供应商数量少于三个或者所有磋商申请被否决的，采购人应当依法重新采购。</w:t>
      </w:r>
    </w:p>
    <w:p w14:paraId="283CCC13">
      <w:pPr>
        <w:spacing w:line="360" w:lineRule="auto"/>
        <w:ind w:firstLine="399" w:firstLineChars="190"/>
        <w:rPr>
          <w:rFonts w:ascii="宋体" w:hAnsi="宋体" w:cs="宋体"/>
          <w:color w:val="auto"/>
          <w:sz w:val="21"/>
          <w:szCs w:val="21"/>
          <w:highlight w:val="none"/>
        </w:rPr>
      </w:pPr>
      <w:r>
        <w:rPr>
          <w:rFonts w:hint="eastAsia" w:ascii="宋体" w:hAnsi="宋体" w:cs="宋体"/>
          <w:color w:val="auto"/>
          <w:sz w:val="21"/>
          <w:szCs w:val="21"/>
          <w:highlight w:val="none"/>
        </w:rPr>
        <w:t>A5.3 直接确定成交供应商</w:t>
      </w:r>
      <w:bookmarkEnd w:id="1390"/>
      <w:bookmarkEnd w:id="1391"/>
      <w:bookmarkEnd w:id="1392"/>
      <w:bookmarkEnd w:id="1393"/>
      <w:bookmarkEnd w:id="1394"/>
      <w:bookmarkEnd w:id="1395"/>
      <w:bookmarkEnd w:id="1396"/>
    </w:p>
    <w:p w14:paraId="1BE03D05">
      <w:pPr>
        <w:spacing w:line="360" w:lineRule="auto"/>
        <w:ind w:firstLine="399" w:firstLineChars="190"/>
        <w:rPr>
          <w:rFonts w:ascii="宋体" w:hAnsi="宋体" w:cs="宋体"/>
          <w:color w:val="auto"/>
          <w:sz w:val="21"/>
          <w:szCs w:val="21"/>
          <w:highlight w:val="none"/>
        </w:rPr>
      </w:pPr>
      <w:r>
        <w:rPr>
          <w:rFonts w:hint="eastAsia" w:ascii="宋体" w:hAnsi="宋体" w:cs="宋体"/>
          <w:color w:val="auto"/>
          <w:sz w:val="21"/>
          <w:szCs w:val="21"/>
          <w:highlight w:val="none"/>
        </w:rPr>
        <w:t>第二章“供应商须知”前附表授权磋商小组直接确定成交供应商的，磋商小组对有效的磋商申请</w:t>
      </w:r>
      <w:r>
        <w:rPr>
          <w:rFonts w:hint="eastAsia" w:ascii="宋体" w:hAnsi="宋体" w:cs="宋体"/>
          <w:color w:val="auto"/>
          <w:sz w:val="21"/>
          <w:szCs w:val="21"/>
          <w:highlight w:val="none"/>
          <w:lang w:eastAsia="zh-CN"/>
        </w:rPr>
        <w:t>按照</w:t>
      </w:r>
      <w:r>
        <w:rPr>
          <w:rFonts w:hint="eastAsia" w:ascii="宋体" w:hAnsi="宋体" w:cs="宋体"/>
          <w:color w:val="auto"/>
          <w:sz w:val="21"/>
          <w:szCs w:val="21"/>
          <w:highlight w:val="none"/>
        </w:rPr>
        <w:t>最后得分由高至低的次序排列，并确定排名第一的供应商为成交供应商。</w:t>
      </w:r>
    </w:p>
    <w:p w14:paraId="6F0E076E">
      <w:pPr>
        <w:spacing w:line="360" w:lineRule="auto"/>
        <w:ind w:firstLine="399" w:firstLineChars="190"/>
        <w:rPr>
          <w:rFonts w:ascii="宋体" w:hAnsi="宋体" w:cs="宋体"/>
          <w:color w:val="auto"/>
          <w:sz w:val="21"/>
          <w:szCs w:val="21"/>
          <w:highlight w:val="none"/>
        </w:rPr>
      </w:pPr>
      <w:bookmarkStart w:id="1397" w:name="_Toc392522403"/>
      <w:bookmarkStart w:id="1398" w:name="_Toc417899404"/>
      <w:bookmarkStart w:id="1399" w:name="_Toc493101434"/>
      <w:bookmarkStart w:id="1400" w:name="_Toc381778804"/>
      <w:bookmarkStart w:id="1401" w:name="_Toc382566765"/>
      <w:bookmarkStart w:id="1402" w:name="_Toc493101236"/>
      <w:bookmarkStart w:id="1403" w:name="_Toc521614508"/>
      <w:r>
        <w:rPr>
          <w:rFonts w:hint="eastAsia" w:ascii="宋体" w:hAnsi="宋体" w:cs="宋体"/>
          <w:color w:val="auto"/>
          <w:sz w:val="21"/>
          <w:szCs w:val="21"/>
          <w:highlight w:val="none"/>
        </w:rPr>
        <w:t>A5.4 编制及提交评审报告</w:t>
      </w:r>
      <w:bookmarkEnd w:id="1397"/>
      <w:bookmarkEnd w:id="1398"/>
      <w:bookmarkEnd w:id="1399"/>
      <w:bookmarkEnd w:id="1400"/>
      <w:bookmarkEnd w:id="1401"/>
      <w:bookmarkEnd w:id="1402"/>
      <w:bookmarkEnd w:id="1403"/>
    </w:p>
    <w:p w14:paraId="10599450">
      <w:pPr>
        <w:spacing w:line="360" w:lineRule="auto"/>
        <w:ind w:firstLine="399" w:firstLineChars="190"/>
        <w:rPr>
          <w:rFonts w:ascii="宋体" w:hAnsi="宋体" w:cs="宋体"/>
          <w:color w:val="auto"/>
          <w:sz w:val="21"/>
          <w:szCs w:val="21"/>
          <w:highlight w:val="none"/>
        </w:rPr>
      </w:pPr>
      <w:r>
        <w:rPr>
          <w:rFonts w:hint="eastAsia" w:ascii="宋体" w:hAnsi="宋体" w:cs="宋体"/>
          <w:color w:val="auto"/>
          <w:sz w:val="21"/>
          <w:szCs w:val="21"/>
          <w:highlight w:val="none"/>
        </w:rPr>
        <w:t>磋商小组根据本章第3.4.2项的规定向采购人提交评审报告。评审报告应当由全体磋商小组成员签字。评审报告应当包括以下内容：</w:t>
      </w:r>
    </w:p>
    <w:p w14:paraId="4129FA51">
      <w:pPr>
        <w:spacing w:line="360" w:lineRule="auto"/>
        <w:ind w:firstLine="399" w:firstLineChars="190"/>
        <w:rPr>
          <w:rFonts w:ascii="宋体" w:hAnsi="宋体" w:cs="宋体"/>
          <w:color w:val="auto"/>
          <w:sz w:val="21"/>
          <w:szCs w:val="21"/>
          <w:highlight w:val="none"/>
        </w:rPr>
      </w:pPr>
      <w:r>
        <w:rPr>
          <w:rFonts w:hint="eastAsia" w:ascii="宋体" w:hAnsi="宋体" w:cs="宋体"/>
          <w:color w:val="auto"/>
          <w:sz w:val="21"/>
          <w:szCs w:val="21"/>
          <w:highlight w:val="none"/>
        </w:rPr>
        <w:t>（1）基本情况和数据表；</w:t>
      </w:r>
    </w:p>
    <w:p w14:paraId="3AFB8F29">
      <w:pPr>
        <w:spacing w:line="360" w:lineRule="auto"/>
        <w:ind w:firstLine="399" w:firstLineChars="190"/>
        <w:rPr>
          <w:rFonts w:ascii="宋体" w:hAnsi="宋体" w:cs="宋体"/>
          <w:color w:val="auto"/>
          <w:sz w:val="21"/>
          <w:szCs w:val="21"/>
          <w:highlight w:val="none"/>
        </w:rPr>
      </w:pPr>
      <w:r>
        <w:rPr>
          <w:rFonts w:hint="eastAsia" w:ascii="宋体" w:hAnsi="宋体" w:cs="宋体"/>
          <w:color w:val="auto"/>
          <w:sz w:val="21"/>
          <w:szCs w:val="21"/>
          <w:highlight w:val="none"/>
        </w:rPr>
        <w:t>（2）磋商小组成员名单；</w:t>
      </w:r>
    </w:p>
    <w:p w14:paraId="754631F0">
      <w:pPr>
        <w:spacing w:line="360" w:lineRule="auto"/>
        <w:ind w:firstLine="399" w:firstLineChars="190"/>
        <w:rPr>
          <w:rFonts w:ascii="宋体" w:hAnsi="宋体" w:cs="宋体"/>
          <w:color w:val="auto"/>
          <w:sz w:val="21"/>
          <w:szCs w:val="21"/>
          <w:highlight w:val="none"/>
        </w:rPr>
      </w:pPr>
      <w:r>
        <w:rPr>
          <w:rFonts w:hint="eastAsia" w:ascii="宋体" w:hAnsi="宋体" w:cs="宋体"/>
          <w:color w:val="auto"/>
          <w:sz w:val="21"/>
          <w:szCs w:val="21"/>
          <w:highlight w:val="none"/>
        </w:rPr>
        <w:t>（3）开标记录；</w:t>
      </w:r>
    </w:p>
    <w:p w14:paraId="3A40E689">
      <w:pPr>
        <w:spacing w:line="360" w:lineRule="auto"/>
        <w:ind w:firstLine="399" w:firstLineChars="190"/>
        <w:rPr>
          <w:rFonts w:ascii="宋体" w:hAnsi="宋体" w:cs="宋体"/>
          <w:color w:val="auto"/>
          <w:sz w:val="21"/>
          <w:szCs w:val="21"/>
          <w:highlight w:val="none"/>
        </w:rPr>
      </w:pPr>
      <w:r>
        <w:rPr>
          <w:rFonts w:hint="eastAsia" w:ascii="宋体" w:hAnsi="宋体" w:cs="宋体"/>
          <w:color w:val="auto"/>
          <w:sz w:val="21"/>
          <w:szCs w:val="21"/>
          <w:highlight w:val="none"/>
        </w:rPr>
        <w:t>（4）符合要求的磋商一览表；</w:t>
      </w:r>
    </w:p>
    <w:p w14:paraId="1F70DFB7">
      <w:pPr>
        <w:spacing w:line="360" w:lineRule="auto"/>
        <w:ind w:firstLine="399" w:firstLineChars="190"/>
        <w:rPr>
          <w:rFonts w:ascii="宋体" w:hAnsi="宋体" w:cs="宋体"/>
          <w:color w:val="auto"/>
          <w:sz w:val="21"/>
          <w:szCs w:val="21"/>
          <w:highlight w:val="none"/>
        </w:rPr>
      </w:pPr>
      <w:r>
        <w:rPr>
          <w:rFonts w:hint="eastAsia" w:ascii="宋体" w:hAnsi="宋体" w:cs="宋体"/>
          <w:color w:val="auto"/>
          <w:sz w:val="21"/>
          <w:szCs w:val="21"/>
          <w:highlight w:val="none"/>
        </w:rPr>
        <w:t>（5）否决磋商情况说明；</w:t>
      </w:r>
    </w:p>
    <w:p w14:paraId="65C3DB92">
      <w:pPr>
        <w:spacing w:line="360" w:lineRule="auto"/>
        <w:ind w:firstLine="399" w:firstLineChars="190"/>
        <w:rPr>
          <w:rFonts w:ascii="宋体" w:hAnsi="宋体" w:cs="宋体"/>
          <w:color w:val="auto"/>
          <w:sz w:val="21"/>
          <w:szCs w:val="21"/>
          <w:highlight w:val="none"/>
        </w:rPr>
      </w:pPr>
      <w:r>
        <w:rPr>
          <w:rFonts w:hint="eastAsia" w:ascii="宋体" w:hAnsi="宋体" w:cs="宋体"/>
          <w:color w:val="auto"/>
          <w:sz w:val="21"/>
          <w:szCs w:val="21"/>
          <w:highlight w:val="none"/>
        </w:rPr>
        <w:t>（6）评审标准、评审方法或者评审因素一览表；</w:t>
      </w:r>
    </w:p>
    <w:p w14:paraId="6183231D">
      <w:pPr>
        <w:spacing w:line="360" w:lineRule="auto"/>
        <w:ind w:firstLine="399" w:firstLineChars="190"/>
        <w:rPr>
          <w:rFonts w:ascii="宋体" w:hAnsi="宋体" w:cs="宋体"/>
          <w:color w:val="auto"/>
          <w:sz w:val="21"/>
          <w:szCs w:val="21"/>
          <w:highlight w:val="none"/>
        </w:rPr>
      </w:pPr>
      <w:r>
        <w:rPr>
          <w:rFonts w:hint="eastAsia" w:ascii="宋体" w:hAnsi="宋体" w:cs="宋体"/>
          <w:color w:val="auto"/>
          <w:sz w:val="21"/>
          <w:szCs w:val="21"/>
          <w:highlight w:val="none"/>
        </w:rPr>
        <w:t>（7）经评审的价格一览表（包括磋商小组在评审过程中所形成的所有记载评审结果、结论的表格、说明、记录等文件）：</w:t>
      </w:r>
    </w:p>
    <w:p w14:paraId="26DA8035">
      <w:pPr>
        <w:spacing w:line="360" w:lineRule="auto"/>
        <w:ind w:firstLine="399" w:firstLineChars="190"/>
        <w:rPr>
          <w:rFonts w:ascii="宋体" w:hAnsi="宋体" w:cs="宋体"/>
          <w:color w:val="auto"/>
          <w:sz w:val="21"/>
          <w:szCs w:val="21"/>
          <w:highlight w:val="none"/>
        </w:rPr>
      </w:pPr>
      <w:bookmarkStart w:id="1404" w:name="_Toc521614509"/>
      <w:bookmarkStart w:id="1405" w:name="_Toc493101435"/>
      <w:bookmarkStart w:id="1406" w:name="_Toc493101237"/>
      <w:bookmarkStart w:id="1407" w:name="_Toc417899405"/>
      <w:bookmarkStart w:id="1408" w:name="_Toc392522404"/>
      <w:r>
        <w:rPr>
          <w:rFonts w:hint="eastAsia" w:ascii="宋体" w:hAnsi="宋体" w:cs="宋体"/>
          <w:color w:val="auto"/>
          <w:sz w:val="21"/>
          <w:szCs w:val="21"/>
          <w:highlight w:val="none"/>
        </w:rPr>
        <w:t>（8）经评审的供应商排序；</w:t>
      </w:r>
      <w:bookmarkEnd w:id="1404"/>
      <w:bookmarkEnd w:id="1405"/>
      <w:bookmarkEnd w:id="1406"/>
      <w:bookmarkEnd w:id="1407"/>
      <w:bookmarkEnd w:id="1408"/>
    </w:p>
    <w:p w14:paraId="03D28D8F">
      <w:pPr>
        <w:spacing w:line="360" w:lineRule="auto"/>
        <w:ind w:firstLine="399" w:firstLineChars="190"/>
        <w:rPr>
          <w:rFonts w:ascii="宋体" w:hAnsi="宋体" w:cs="宋体"/>
          <w:color w:val="auto"/>
          <w:sz w:val="21"/>
          <w:szCs w:val="21"/>
          <w:highlight w:val="none"/>
        </w:rPr>
      </w:pPr>
      <w:r>
        <w:rPr>
          <w:rFonts w:hint="eastAsia" w:ascii="宋体" w:hAnsi="宋体" w:cs="宋体"/>
          <w:color w:val="auto"/>
          <w:sz w:val="21"/>
          <w:szCs w:val="21"/>
          <w:highlight w:val="none"/>
        </w:rPr>
        <w:t>（9）推荐的成交候选人名单（如果第二章“供应商须知”前附表授权磋商小组直接确定成交供应商，则为“确定的成交供应商”）与签订合同前要处理的事宜；</w:t>
      </w:r>
    </w:p>
    <w:p w14:paraId="69A38EB7">
      <w:pPr>
        <w:spacing w:line="360" w:lineRule="auto"/>
        <w:ind w:firstLine="399" w:firstLineChars="190"/>
        <w:rPr>
          <w:rFonts w:ascii="宋体" w:hAnsi="宋体" w:cs="宋体"/>
          <w:color w:val="auto"/>
          <w:sz w:val="21"/>
          <w:szCs w:val="21"/>
          <w:highlight w:val="none"/>
        </w:rPr>
      </w:pPr>
      <w:r>
        <w:rPr>
          <w:rFonts w:hint="eastAsia" w:ascii="宋体" w:hAnsi="宋体" w:cs="宋体"/>
          <w:color w:val="auto"/>
          <w:sz w:val="21"/>
          <w:szCs w:val="21"/>
          <w:highlight w:val="none"/>
        </w:rPr>
        <w:t>（10）澄清、说明或补正事项纪要。</w:t>
      </w:r>
    </w:p>
    <w:p w14:paraId="0C5E1828">
      <w:pPr>
        <w:spacing w:line="360" w:lineRule="auto"/>
        <w:ind w:firstLine="399" w:firstLineChars="190"/>
        <w:rPr>
          <w:rFonts w:ascii="宋体" w:hAnsi="宋体" w:cs="宋体"/>
          <w:bCs/>
          <w:color w:val="auto"/>
          <w:sz w:val="21"/>
          <w:szCs w:val="21"/>
          <w:highlight w:val="none"/>
          <w:lang w:bidi="en-US"/>
        </w:rPr>
      </w:pPr>
      <w:bookmarkStart w:id="1409" w:name="_Toc417899406"/>
      <w:bookmarkStart w:id="1410" w:name="_Toc493101436"/>
      <w:bookmarkStart w:id="1411" w:name="_Toc381778805"/>
      <w:bookmarkStart w:id="1412" w:name="_Toc397008051"/>
      <w:bookmarkStart w:id="1413" w:name="_Toc392522405"/>
      <w:bookmarkStart w:id="1414" w:name="_Toc521614510"/>
      <w:bookmarkStart w:id="1415" w:name="_Toc493101238"/>
      <w:r>
        <w:rPr>
          <w:rFonts w:hint="eastAsia" w:ascii="宋体" w:hAnsi="宋体" w:cs="宋体"/>
          <w:bCs/>
          <w:color w:val="auto"/>
          <w:sz w:val="21"/>
          <w:szCs w:val="21"/>
          <w:highlight w:val="none"/>
          <w:lang w:bidi="en-US"/>
        </w:rPr>
        <w:t>A6. 特殊情况的处置程序</w:t>
      </w:r>
      <w:bookmarkEnd w:id="1409"/>
      <w:bookmarkEnd w:id="1410"/>
      <w:bookmarkEnd w:id="1411"/>
      <w:bookmarkEnd w:id="1412"/>
      <w:bookmarkEnd w:id="1413"/>
      <w:bookmarkEnd w:id="1414"/>
      <w:bookmarkEnd w:id="1415"/>
    </w:p>
    <w:p w14:paraId="2BBC2143">
      <w:pPr>
        <w:spacing w:line="360" w:lineRule="auto"/>
        <w:ind w:firstLine="399" w:firstLineChars="190"/>
        <w:rPr>
          <w:rFonts w:ascii="宋体" w:hAnsi="宋体" w:cs="宋体"/>
          <w:color w:val="auto"/>
          <w:sz w:val="21"/>
          <w:szCs w:val="21"/>
          <w:highlight w:val="none"/>
        </w:rPr>
      </w:pPr>
      <w:bookmarkStart w:id="1416" w:name="_Toc392522406"/>
      <w:bookmarkStart w:id="1417" w:name="_Toc493101239"/>
      <w:bookmarkStart w:id="1418" w:name="_Toc493101437"/>
      <w:bookmarkStart w:id="1419" w:name="_Toc381778806"/>
      <w:bookmarkStart w:id="1420" w:name="_Toc417899407"/>
      <w:bookmarkStart w:id="1421" w:name="_Toc382566767"/>
      <w:bookmarkStart w:id="1422" w:name="_Toc521614511"/>
      <w:r>
        <w:rPr>
          <w:rFonts w:hint="eastAsia" w:ascii="宋体" w:hAnsi="宋体" w:cs="宋体"/>
          <w:color w:val="auto"/>
          <w:sz w:val="21"/>
          <w:szCs w:val="21"/>
          <w:highlight w:val="none"/>
        </w:rPr>
        <w:t>A6.1 关于评审活动暂停</w:t>
      </w:r>
      <w:bookmarkEnd w:id="1416"/>
      <w:bookmarkEnd w:id="1417"/>
      <w:bookmarkEnd w:id="1418"/>
      <w:bookmarkEnd w:id="1419"/>
      <w:bookmarkEnd w:id="1420"/>
      <w:bookmarkEnd w:id="1421"/>
      <w:bookmarkEnd w:id="1422"/>
    </w:p>
    <w:p w14:paraId="46C10937">
      <w:pPr>
        <w:spacing w:line="360" w:lineRule="auto"/>
        <w:ind w:firstLine="399" w:firstLineChars="190"/>
        <w:rPr>
          <w:rFonts w:ascii="宋体" w:hAnsi="宋体" w:cs="宋体"/>
          <w:color w:val="auto"/>
          <w:sz w:val="21"/>
          <w:szCs w:val="21"/>
          <w:highlight w:val="none"/>
        </w:rPr>
      </w:pPr>
      <w:r>
        <w:rPr>
          <w:rFonts w:hint="eastAsia" w:ascii="宋体" w:hAnsi="宋体" w:cs="宋体"/>
          <w:color w:val="auto"/>
          <w:sz w:val="21"/>
          <w:szCs w:val="21"/>
          <w:highlight w:val="none"/>
        </w:rPr>
        <w:t>A6.1.1 磋商小组应当执行连续评审的原则，按评审办法中规定的程序、内容、方法、标准完成全部评审工作。只有发生不可抗力导致评审工作无法继续时，评审活动方可暂停。</w:t>
      </w:r>
    </w:p>
    <w:p w14:paraId="0E639620">
      <w:pPr>
        <w:spacing w:line="360" w:lineRule="auto"/>
        <w:ind w:firstLine="399" w:firstLineChars="190"/>
        <w:rPr>
          <w:rFonts w:ascii="宋体" w:hAnsi="宋体" w:cs="宋体"/>
          <w:color w:val="auto"/>
          <w:sz w:val="21"/>
          <w:szCs w:val="21"/>
          <w:highlight w:val="none"/>
        </w:rPr>
      </w:pPr>
      <w:r>
        <w:rPr>
          <w:rFonts w:hint="eastAsia" w:ascii="宋体" w:hAnsi="宋体" w:cs="宋体"/>
          <w:color w:val="auto"/>
          <w:sz w:val="21"/>
          <w:szCs w:val="21"/>
          <w:highlight w:val="none"/>
        </w:rPr>
        <w:t>A6.1.2 发生评审暂停情况时，磋商小组应当封存全部响应文件和评审记录，待不可抗力的影响结束且具备继续评审的条件时，由原磋商小组继续评审。</w:t>
      </w:r>
    </w:p>
    <w:p w14:paraId="191EA256">
      <w:pPr>
        <w:spacing w:line="360" w:lineRule="auto"/>
        <w:ind w:firstLine="399" w:firstLineChars="190"/>
        <w:rPr>
          <w:rFonts w:ascii="宋体" w:hAnsi="宋体" w:cs="宋体"/>
          <w:color w:val="auto"/>
          <w:sz w:val="21"/>
          <w:szCs w:val="21"/>
          <w:highlight w:val="none"/>
        </w:rPr>
      </w:pPr>
      <w:bookmarkStart w:id="1423" w:name="_Toc521614512"/>
      <w:bookmarkStart w:id="1424" w:name="_Toc417899408"/>
      <w:bookmarkStart w:id="1425" w:name="_Toc382566768"/>
      <w:bookmarkStart w:id="1426" w:name="_Toc392522407"/>
      <w:bookmarkStart w:id="1427" w:name="_Toc381778807"/>
      <w:bookmarkStart w:id="1428" w:name="_Toc493101240"/>
      <w:bookmarkStart w:id="1429" w:name="_Toc493101438"/>
      <w:r>
        <w:rPr>
          <w:rFonts w:hint="eastAsia" w:ascii="宋体" w:hAnsi="宋体" w:cs="宋体"/>
          <w:color w:val="auto"/>
          <w:sz w:val="21"/>
          <w:szCs w:val="21"/>
          <w:highlight w:val="none"/>
        </w:rPr>
        <w:t>A6.2 关于评审中途更换磋商小组成员</w:t>
      </w:r>
      <w:bookmarkEnd w:id="1423"/>
      <w:bookmarkEnd w:id="1424"/>
      <w:bookmarkEnd w:id="1425"/>
      <w:bookmarkEnd w:id="1426"/>
      <w:bookmarkEnd w:id="1427"/>
      <w:bookmarkEnd w:id="1428"/>
      <w:bookmarkEnd w:id="1429"/>
    </w:p>
    <w:p w14:paraId="2230DB17">
      <w:pPr>
        <w:spacing w:line="360" w:lineRule="auto"/>
        <w:ind w:firstLine="399" w:firstLineChars="190"/>
        <w:rPr>
          <w:rFonts w:ascii="宋体" w:hAnsi="宋体" w:cs="宋体"/>
          <w:color w:val="auto"/>
          <w:sz w:val="21"/>
          <w:szCs w:val="21"/>
          <w:highlight w:val="none"/>
        </w:rPr>
      </w:pPr>
      <w:r>
        <w:rPr>
          <w:rFonts w:hint="eastAsia" w:ascii="宋体" w:hAnsi="宋体" w:cs="宋体"/>
          <w:color w:val="auto"/>
          <w:sz w:val="21"/>
          <w:szCs w:val="21"/>
          <w:highlight w:val="none"/>
        </w:rPr>
        <w:t>A6.2.1 除非发生下列情况之一，磋商小组成员不得在评审中途更换：</w:t>
      </w:r>
    </w:p>
    <w:p w14:paraId="6C20048B">
      <w:pPr>
        <w:spacing w:line="360" w:lineRule="auto"/>
        <w:ind w:firstLine="399" w:firstLineChars="190"/>
        <w:rPr>
          <w:rFonts w:ascii="宋体" w:hAnsi="宋体" w:cs="宋体"/>
          <w:color w:val="auto"/>
          <w:sz w:val="21"/>
          <w:szCs w:val="21"/>
          <w:highlight w:val="none"/>
        </w:rPr>
      </w:pPr>
      <w:r>
        <w:rPr>
          <w:rFonts w:hint="eastAsia" w:ascii="宋体" w:hAnsi="宋体" w:cs="宋体"/>
          <w:color w:val="auto"/>
          <w:sz w:val="21"/>
          <w:szCs w:val="21"/>
          <w:highlight w:val="none"/>
        </w:rPr>
        <w:t>（1）因不可抗拒的客观原因，不能到场或需在评审中途退出评审活动。</w:t>
      </w:r>
    </w:p>
    <w:p w14:paraId="404AE0BC">
      <w:pPr>
        <w:spacing w:line="360" w:lineRule="auto"/>
        <w:ind w:firstLine="399" w:firstLineChars="190"/>
        <w:rPr>
          <w:rFonts w:ascii="宋体" w:hAnsi="宋体" w:cs="宋体"/>
          <w:color w:val="auto"/>
          <w:sz w:val="21"/>
          <w:szCs w:val="21"/>
          <w:highlight w:val="none"/>
        </w:rPr>
      </w:pPr>
      <w:r>
        <w:rPr>
          <w:rFonts w:hint="eastAsia" w:ascii="宋体" w:hAnsi="宋体" w:cs="宋体"/>
          <w:color w:val="auto"/>
          <w:sz w:val="21"/>
          <w:szCs w:val="21"/>
          <w:highlight w:val="none"/>
        </w:rPr>
        <w:t>（2）根据法律法规规定，某个或某几个磋商小组成员需要回避。</w:t>
      </w:r>
    </w:p>
    <w:p w14:paraId="30C23286">
      <w:pPr>
        <w:spacing w:line="360" w:lineRule="auto"/>
        <w:ind w:firstLine="399" w:firstLineChars="190"/>
        <w:rPr>
          <w:rFonts w:ascii="宋体" w:hAnsi="宋体" w:cs="宋体"/>
          <w:color w:val="auto"/>
          <w:sz w:val="21"/>
          <w:szCs w:val="21"/>
          <w:highlight w:val="none"/>
        </w:rPr>
      </w:pPr>
      <w:r>
        <w:rPr>
          <w:rFonts w:hint="eastAsia" w:ascii="宋体" w:hAnsi="宋体" w:cs="宋体"/>
          <w:color w:val="auto"/>
          <w:sz w:val="21"/>
          <w:szCs w:val="21"/>
          <w:highlight w:val="none"/>
        </w:rPr>
        <w:t>A6.2.2 退出评审的磋商小组成员，其已完成的评审行为无效。由采购人根据本竞争性磋商采购文件规定的磋商小组成员产生方式另行确定替代者进行评审。</w:t>
      </w:r>
    </w:p>
    <w:p w14:paraId="7942C0EB">
      <w:pPr>
        <w:spacing w:line="360" w:lineRule="auto"/>
        <w:ind w:firstLine="399" w:firstLineChars="190"/>
        <w:rPr>
          <w:rFonts w:ascii="宋体" w:hAnsi="宋体" w:cs="宋体"/>
          <w:color w:val="auto"/>
          <w:sz w:val="21"/>
          <w:szCs w:val="21"/>
          <w:highlight w:val="none"/>
        </w:rPr>
      </w:pPr>
      <w:bookmarkStart w:id="1430" w:name="_Toc493101439"/>
      <w:bookmarkStart w:id="1431" w:name="_Toc381778808"/>
      <w:bookmarkStart w:id="1432" w:name="_Toc493101241"/>
      <w:bookmarkStart w:id="1433" w:name="_Toc392522408"/>
      <w:bookmarkStart w:id="1434" w:name="_Toc382566769"/>
      <w:bookmarkStart w:id="1435" w:name="_Toc417899409"/>
      <w:bookmarkStart w:id="1436" w:name="_Toc521614513"/>
      <w:r>
        <w:rPr>
          <w:rFonts w:hint="eastAsia" w:ascii="宋体" w:hAnsi="宋体" w:cs="宋体"/>
          <w:color w:val="auto"/>
          <w:sz w:val="21"/>
          <w:szCs w:val="21"/>
          <w:highlight w:val="none"/>
        </w:rPr>
        <w:t>A6.3 记名投票</w:t>
      </w:r>
      <w:bookmarkEnd w:id="1430"/>
      <w:bookmarkEnd w:id="1431"/>
      <w:bookmarkEnd w:id="1432"/>
      <w:bookmarkEnd w:id="1433"/>
      <w:bookmarkEnd w:id="1434"/>
      <w:bookmarkEnd w:id="1435"/>
      <w:bookmarkEnd w:id="1436"/>
    </w:p>
    <w:p w14:paraId="3B9B28BA">
      <w:pPr>
        <w:spacing w:line="360" w:lineRule="auto"/>
        <w:ind w:firstLine="399" w:firstLineChars="190"/>
        <w:rPr>
          <w:rFonts w:ascii="宋体" w:hAnsi="宋体" w:cs="宋体"/>
          <w:color w:val="auto"/>
          <w:sz w:val="21"/>
          <w:szCs w:val="21"/>
          <w:highlight w:val="none"/>
        </w:rPr>
      </w:pPr>
      <w:r>
        <w:rPr>
          <w:rFonts w:hint="eastAsia" w:ascii="宋体" w:hAnsi="宋体" w:cs="宋体"/>
          <w:color w:val="auto"/>
          <w:sz w:val="21"/>
          <w:szCs w:val="21"/>
          <w:highlight w:val="none"/>
        </w:rPr>
        <w:t>在任何评审环节中，需磋商小组就某项定性的评审结论做出表决的，由磋商小组全体成员按照少数服从多数的原则，以记名投票方式表决。</w:t>
      </w:r>
      <w:r>
        <w:rPr>
          <w:rFonts w:hint="eastAsia" w:ascii="宋体" w:hAnsi="宋体" w:cs="宋体"/>
          <w:color w:val="auto"/>
          <w:sz w:val="21"/>
          <w:szCs w:val="21"/>
          <w:highlight w:val="none"/>
        </w:rPr>
        <w:br w:type="page"/>
      </w:r>
    </w:p>
    <w:p w14:paraId="6A651FF3">
      <w:pPr>
        <w:pStyle w:val="3"/>
        <w:keepNext/>
        <w:keepLines/>
        <w:pageBreakBefore w:val="0"/>
        <w:widowControl w:val="0"/>
        <w:kinsoku/>
        <w:wordWrap/>
        <w:overflowPunct/>
        <w:topLinePunct w:val="0"/>
        <w:autoSpaceDE/>
        <w:autoSpaceDN/>
        <w:bidi w:val="0"/>
        <w:adjustRightInd/>
        <w:snapToGrid/>
        <w:spacing w:before="0" w:after="0" w:line="360" w:lineRule="auto"/>
        <w:textAlignment w:val="auto"/>
        <w:rPr>
          <w:rFonts w:ascii="宋体" w:hAnsi="宋体" w:eastAsia="宋体" w:cs="宋体"/>
          <w:color w:val="auto"/>
          <w:sz w:val="28"/>
          <w:szCs w:val="18"/>
          <w:highlight w:val="none"/>
        </w:rPr>
      </w:pPr>
      <w:bookmarkStart w:id="1437" w:name="_Toc521614514"/>
      <w:bookmarkStart w:id="1438" w:name="_Toc493101440"/>
      <w:bookmarkStart w:id="1439" w:name="_Toc25430"/>
      <w:bookmarkStart w:id="1440" w:name="_Toc121152043"/>
      <w:bookmarkStart w:id="1441" w:name="_Toc397008052"/>
      <w:bookmarkStart w:id="1442" w:name="_Toc18203"/>
      <w:bookmarkStart w:id="1443" w:name="_Toc493101242"/>
      <w:bookmarkStart w:id="1444" w:name="_Toc121151903"/>
      <w:r>
        <w:rPr>
          <w:rFonts w:hint="eastAsia" w:ascii="宋体" w:hAnsi="宋体" w:eastAsia="宋体" w:cs="宋体"/>
          <w:color w:val="auto"/>
          <w:sz w:val="28"/>
          <w:szCs w:val="18"/>
          <w:highlight w:val="none"/>
        </w:rPr>
        <w:t>附件B：否决磋商条件</w:t>
      </w:r>
      <w:bookmarkEnd w:id="1437"/>
      <w:bookmarkEnd w:id="1438"/>
      <w:bookmarkEnd w:id="1439"/>
      <w:bookmarkEnd w:id="1440"/>
      <w:bookmarkEnd w:id="1441"/>
      <w:bookmarkEnd w:id="1442"/>
      <w:bookmarkEnd w:id="1443"/>
      <w:bookmarkEnd w:id="1444"/>
    </w:p>
    <w:p w14:paraId="32907C03">
      <w:pPr>
        <w:spacing w:line="360" w:lineRule="auto"/>
        <w:ind w:firstLine="399" w:firstLineChars="190"/>
        <w:rPr>
          <w:rFonts w:ascii="宋体" w:hAnsi="宋体" w:cs="宋体"/>
          <w:bCs/>
          <w:color w:val="auto"/>
          <w:sz w:val="21"/>
          <w:szCs w:val="21"/>
          <w:highlight w:val="none"/>
          <w:lang w:bidi="en-US"/>
        </w:rPr>
      </w:pPr>
      <w:bookmarkStart w:id="1445" w:name="_Toc417899411"/>
      <w:bookmarkStart w:id="1446" w:name="_Toc493101441"/>
      <w:bookmarkStart w:id="1447" w:name="_Toc392522411"/>
      <w:bookmarkStart w:id="1448" w:name="_Toc493101243"/>
      <w:bookmarkStart w:id="1449" w:name="_Toc521614515"/>
      <w:bookmarkStart w:id="1450" w:name="_Toc397008053"/>
      <w:bookmarkStart w:id="1451" w:name="_Toc381778811"/>
      <w:r>
        <w:rPr>
          <w:rFonts w:hint="eastAsia" w:ascii="宋体" w:hAnsi="宋体" w:cs="宋体"/>
          <w:bCs/>
          <w:color w:val="auto"/>
          <w:sz w:val="21"/>
          <w:szCs w:val="21"/>
          <w:highlight w:val="none"/>
          <w:lang w:bidi="en-US"/>
        </w:rPr>
        <w:t>B0. 总则</w:t>
      </w:r>
      <w:bookmarkEnd w:id="1445"/>
      <w:bookmarkEnd w:id="1446"/>
      <w:bookmarkEnd w:id="1447"/>
      <w:bookmarkEnd w:id="1448"/>
      <w:bookmarkEnd w:id="1449"/>
      <w:bookmarkEnd w:id="1450"/>
      <w:bookmarkEnd w:id="1451"/>
    </w:p>
    <w:p w14:paraId="6D0774D2">
      <w:pPr>
        <w:spacing w:line="360" w:lineRule="auto"/>
        <w:ind w:firstLine="399" w:firstLineChars="190"/>
        <w:rPr>
          <w:rFonts w:ascii="宋体" w:hAnsi="宋体" w:cs="宋体"/>
          <w:color w:val="auto"/>
          <w:sz w:val="21"/>
          <w:szCs w:val="21"/>
          <w:highlight w:val="none"/>
        </w:rPr>
      </w:pPr>
      <w:r>
        <w:rPr>
          <w:rFonts w:hint="eastAsia" w:ascii="宋体" w:hAnsi="宋体" w:cs="宋体"/>
          <w:color w:val="auto"/>
          <w:sz w:val="21"/>
          <w:szCs w:val="21"/>
          <w:highlight w:val="none"/>
        </w:rPr>
        <w:t>本附件所集中列示的否决磋商条件，是本章“评审办法”的组成部分，是对第二章“供应商须知”和本章正文部分所规定的否决磋商条件的总结和补充，如果出现相互矛盾的情况，以附件B为准。除附件B所列的否决磋商条件外，其他部分的否决磋商条件不成为否决磋商的依据。</w:t>
      </w:r>
    </w:p>
    <w:p w14:paraId="2EA07ADE">
      <w:pPr>
        <w:spacing w:line="360" w:lineRule="auto"/>
        <w:ind w:firstLine="399" w:firstLineChars="190"/>
        <w:rPr>
          <w:rFonts w:ascii="宋体" w:hAnsi="宋体" w:cs="宋体"/>
          <w:bCs/>
          <w:color w:val="auto"/>
          <w:sz w:val="21"/>
          <w:szCs w:val="21"/>
          <w:highlight w:val="none"/>
          <w:lang w:bidi="en-US"/>
        </w:rPr>
      </w:pPr>
      <w:bookmarkStart w:id="1452" w:name="_Toc493101442"/>
      <w:bookmarkStart w:id="1453" w:name="_Toc397008054"/>
      <w:bookmarkStart w:id="1454" w:name="_Toc493101244"/>
      <w:bookmarkStart w:id="1455" w:name="_Toc392522412"/>
      <w:bookmarkStart w:id="1456" w:name="_Toc521614516"/>
      <w:bookmarkStart w:id="1457" w:name="_Toc417899412"/>
      <w:bookmarkStart w:id="1458" w:name="_Toc381778812"/>
      <w:r>
        <w:rPr>
          <w:rFonts w:hint="eastAsia" w:ascii="宋体" w:hAnsi="宋体" w:cs="宋体"/>
          <w:bCs/>
          <w:color w:val="auto"/>
          <w:sz w:val="21"/>
          <w:szCs w:val="21"/>
          <w:highlight w:val="none"/>
          <w:lang w:bidi="en-US"/>
        </w:rPr>
        <w:t>B1. 否决磋商条件</w:t>
      </w:r>
      <w:bookmarkEnd w:id="1452"/>
      <w:bookmarkEnd w:id="1453"/>
      <w:bookmarkEnd w:id="1454"/>
      <w:bookmarkEnd w:id="1455"/>
      <w:bookmarkEnd w:id="1456"/>
      <w:bookmarkEnd w:id="1457"/>
      <w:bookmarkEnd w:id="1458"/>
    </w:p>
    <w:p w14:paraId="7C71CC07">
      <w:pPr>
        <w:spacing w:line="360" w:lineRule="auto"/>
        <w:ind w:firstLine="399" w:firstLineChars="190"/>
        <w:rPr>
          <w:rFonts w:ascii="宋体" w:hAnsi="宋体" w:cs="宋体"/>
          <w:color w:val="auto"/>
          <w:sz w:val="21"/>
          <w:szCs w:val="21"/>
          <w:highlight w:val="none"/>
        </w:rPr>
      </w:pPr>
      <w:r>
        <w:rPr>
          <w:rFonts w:hint="eastAsia" w:ascii="宋体" w:hAnsi="宋体" w:cs="宋体"/>
          <w:color w:val="auto"/>
          <w:sz w:val="21"/>
          <w:szCs w:val="21"/>
          <w:highlight w:val="none"/>
        </w:rPr>
        <w:t>供应商或响应文件有下列情形之一的</w:t>
      </w:r>
      <w:r>
        <w:rPr>
          <w:rFonts w:hint="eastAsia" w:ascii="宋体" w:hAnsi="宋体" w:cs="宋体"/>
          <w:color w:val="auto"/>
          <w:sz w:val="21"/>
          <w:szCs w:val="21"/>
          <w:highlight w:val="none"/>
          <w:lang w:eastAsia="zh-CN"/>
        </w:rPr>
        <w:t>，</w:t>
      </w:r>
      <w:r>
        <w:rPr>
          <w:rFonts w:hint="eastAsia" w:ascii="宋体" w:hAnsi="宋体" w:cs="宋体"/>
          <w:color w:val="auto"/>
          <w:sz w:val="21"/>
          <w:szCs w:val="21"/>
          <w:highlight w:val="none"/>
        </w:rPr>
        <w:t>其磋商申请作否决磋商处理：</w:t>
      </w:r>
    </w:p>
    <w:p w14:paraId="260D136C">
      <w:pPr>
        <w:spacing w:line="360" w:lineRule="auto"/>
        <w:ind w:firstLine="399" w:firstLineChars="190"/>
        <w:rPr>
          <w:rFonts w:ascii="宋体" w:hAnsi="宋体" w:cs="宋体"/>
          <w:color w:val="auto"/>
          <w:sz w:val="21"/>
          <w:szCs w:val="21"/>
          <w:highlight w:val="none"/>
        </w:rPr>
      </w:pPr>
      <w:bookmarkStart w:id="1459" w:name="_Toc392522413"/>
      <w:r>
        <w:rPr>
          <w:rFonts w:hint="eastAsia" w:ascii="宋体" w:hAnsi="宋体" w:cs="宋体"/>
          <w:color w:val="auto"/>
          <w:sz w:val="21"/>
          <w:szCs w:val="21"/>
          <w:highlight w:val="none"/>
        </w:rPr>
        <w:t>B1.1 有第二章“供应商须知”第1.4.2项规定的任何一种情形的。</w:t>
      </w:r>
      <w:bookmarkEnd w:id="1459"/>
    </w:p>
    <w:p w14:paraId="79A017DA">
      <w:pPr>
        <w:spacing w:line="360" w:lineRule="auto"/>
        <w:ind w:firstLine="399" w:firstLineChars="190"/>
        <w:rPr>
          <w:rFonts w:ascii="宋体" w:hAnsi="宋体" w:cs="宋体"/>
          <w:color w:val="auto"/>
          <w:sz w:val="21"/>
          <w:szCs w:val="21"/>
          <w:highlight w:val="none"/>
        </w:rPr>
      </w:pPr>
      <w:bookmarkStart w:id="1460" w:name="_Toc392522414"/>
      <w:r>
        <w:rPr>
          <w:rFonts w:hint="eastAsia" w:ascii="宋体" w:hAnsi="宋体" w:cs="宋体"/>
          <w:color w:val="auto"/>
          <w:sz w:val="21"/>
          <w:szCs w:val="21"/>
          <w:highlight w:val="none"/>
        </w:rPr>
        <w:t>B1.2 有串通投标或弄虚作假或有其他违法行为的。</w:t>
      </w:r>
      <w:bookmarkEnd w:id="1460"/>
    </w:p>
    <w:p w14:paraId="2B42EF08">
      <w:pPr>
        <w:spacing w:line="360" w:lineRule="auto"/>
        <w:ind w:firstLine="399" w:firstLineChars="190"/>
        <w:rPr>
          <w:rFonts w:ascii="宋体" w:hAnsi="宋体" w:cs="宋体"/>
          <w:color w:val="auto"/>
          <w:sz w:val="21"/>
          <w:szCs w:val="21"/>
          <w:highlight w:val="none"/>
        </w:rPr>
      </w:pPr>
      <w:bookmarkStart w:id="1461" w:name="_Toc392522415"/>
      <w:r>
        <w:rPr>
          <w:rFonts w:hint="eastAsia" w:ascii="宋体" w:hAnsi="宋体" w:cs="宋体"/>
          <w:color w:val="auto"/>
          <w:sz w:val="21"/>
          <w:szCs w:val="21"/>
          <w:highlight w:val="none"/>
        </w:rPr>
        <w:t>B1.3 不按磋商小组要求澄清、说明或补正的。</w:t>
      </w:r>
      <w:bookmarkEnd w:id="1461"/>
    </w:p>
    <w:p w14:paraId="7F2A940F">
      <w:pPr>
        <w:spacing w:line="360" w:lineRule="auto"/>
        <w:ind w:firstLine="399" w:firstLineChars="190"/>
        <w:rPr>
          <w:rFonts w:ascii="宋体" w:hAnsi="宋体" w:cs="宋体"/>
          <w:color w:val="auto"/>
          <w:sz w:val="21"/>
          <w:szCs w:val="21"/>
          <w:highlight w:val="none"/>
        </w:rPr>
      </w:pPr>
      <w:r>
        <w:rPr>
          <w:rFonts w:hint="eastAsia" w:ascii="宋体" w:hAnsi="宋体" w:cs="宋体"/>
          <w:color w:val="auto"/>
          <w:sz w:val="21"/>
          <w:szCs w:val="21"/>
          <w:highlight w:val="none"/>
        </w:rPr>
        <w:t>B1.4 在形式评审、资格评审、响应性评审、价格评审中，磋商小组认定供应商的响应文件不符合评审办法前附表中规定的任何一项评审标准的。</w:t>
      </w:r>
    </w:p>
    <w:p w14:paraId="78D4E90C">
      <w:pPr>
        <w:spacing w:line="360" w:lineRule="auto"/>
        <w:ind w:firstLine="399" w:firstLineChars="190"/>
        <w:rPr>
          <w:rFonts w:ascii="宋体" w:hAnsi="宋体" w:cs="宋体"/>
          <w:color w:val="auto"/>
          <w:sz w:val="21"/>
          <w:szCs w:val="21"/>
          <w:highlight w:val="none"/>
        </w:rPr>
      </w:pPr>
      <w:bookmarkStart w:id="1462" w:name="_Toc392522417"/>
      <w:r>
        <w:rPr>
          <w:rFonts w:hint="eastAsia" w:ascii="宋体" w:hAnsi="宋体" w:cs="宋体"/>
          <w:color w:val="auto"/>
          <w:sz w:val="21"/>
          <w:szCs w:val="21"/>
          <w:highlight w:val="none"/>
        </w:rPr>
        <w:t>B1.5 磋商小组认定供应商以低于成本报价竞标的。</w:t>
      </w:r>
      <w:bookmarkEnd w:id="1462"/>
    </w:p>
    <w:p w14:paraId="55E9B030">
      <w:pPr>
        <w:spacing w:line="360" w:lineRule="auto"/>
        <w:ind w:firstLine="399" w:firstLineChars="190"/>
        <w:rPr>
          <w:rFonts w:ascii="宋体" w:hAnsi="宋体" w:cs="宋体"/>
          <w:color w:val="auto"/>
          <w:sz w:val="21"/>
          <w:szCs w:val="21"/>
          <w:highlight w:val="none"/>
        </w:rPr>
      </w:pPr>
      <w:bookmarkStart w:id="1463" w:name="_Toc392522418"/>
      <w:r>
        <w:rPr>
          <w:rFonts w:hint="eastAsia" w:ascii="宋体" w:hAnsi="宋体" w:cs="宋体"/>
          <w:color w:val="auto"/>
          <w:sz w:val="21"/>
          <w:szCs w:val="21"/>
          <w:highlight w:val="none"/>
        </w:rPr>
        <w:t>B1.6</w:t>
      </w:r>
      <w:bookmarkEnd w:id="1463"/>
      <w:r>
        <w:rPr>
          <w:rFonts w:hint="eastAsia" w:ascii="宋体" w:hAnsi="宋体" w:cs="宋体"/>
          <w:color w:val="auto"/>
          <w:sz w:val="21"/>
          <w:szCs w:val="21"/>
          <w:highlight w:val="none"/>
        </w:rPr>
        <w:t xml:space="preserve"> 供应商针对磋商小组询标所提问题，在询标完毕后，未作出书面说明并按要求提供相关证明材料或不能合理说明、提供相关证明材料的，将被认定以低于成本报价竞标的。</w:t>
      </w:r>
    </w:p>
    <w:p w14:paraId="001C79C4">
      <w:pPr>
        <w:spacing w:line="360" w:lineRule="auto"/>
        <w:ind w:firstLine="399" w:firstLineChars="190"/>
        <w:rPr>
          <w:rFonts w:ascii="宋体" w:hAnsi="宋体" w:cs="宋体"/>
          <w:color w:val="auto"/>
          <w:sz w:val="21"/>
          <w:szCs w:val="21"/>
          <w:highlight w:val="none"/>
        </w:rPr>
      </w:pPr>
      <w:r>
        <w:rPr>
          <w:rFonts w:hint="eastAsia" w:ascii="宋体" w:hAnsi="宋体" w:cs="宋体"/>
          <w:color w:val="auto"/>
          <w:sz w:val="21"/>
          <w:szCs w:val="21"/>
          <w:highlight w:val="none"/>
        </w:rPr>
        <w:t>B1.7无单位盖章或无法定代表人或法定代表人授权的代理人签字或盖章的。</w:t>
      </w:r>
    </w:p>
    <w:p w14:paraId="259D6A88">
      <w:pPr>
        <w:spacing w:line="360" w:lineRule="auto"/>
        <w:ind w:firstLine="399" w:firstLineChars="190"/>
        <w:rPr>
          <w:rFonts w:ascii="宋体" w:hAnsi="宋体" w:cs="宋体"/>
          <w:color w:val="auto"/>
          <w:sz w:val="21"/>
          <w:szCs w:val="21"/>
          <w:highlight w:val="none"/>
        </w:rPr>
      </w:pPr>
      <w:bookmarkStart w:id="1464" w:name="_Toc392522420"/>
      <w:r>
        <w:rPr>
          <w:rFonts w:hint="eastAsia" w:ascii="宋体" w:hAnsi="宋体" w:cs="宋体"/>
          <w:color w:val="auto"/>
          <w:sz w:val="21"/>
          <w:szCs w:val="21"/>
          <w:highlight w:val="none"/>
        </w:rPr>
        <w:t>B1.8 响应文件载明的招标项目完成期限超过竞争性磋商采购文件规定的期限的。</w:t>
      </w:r>
      <w:bookmarkEnd w:id="1464"/>
    </w:p>
    <w:p w14:paraId="7CFB6D19">
      <w:pPr>
        <w:spacing w:line="360" w:lineRule="auto"/>
        <w:ind w:firstLine="399" w:firstLineChars="190"/>
        <w:rPr>
          <w:rFonts w:ascii="宋体" w:hAnsi="宋体" w:cs="宋体"/>
          <w:color w:val="auto"/>
          <w:sz w:val="21"/>
          <w:szCs w:val="21"/>
          <w:highlight w:val="none"/>
        </w:rPr>
      </w:pPr>
      <w:bookmarkStart w:id="1465" w:name="_Toc392522421"/>
      <w:r>
        <w:rPr>
          <w:rFonts w:hint="eastAsia" w:ascii="宋体" w:hAnsi="宋体" w:cs="宋体"/>
          <w:color w:val="auto"/>
          <w:sz w:val="21"/>
          <w:szCs w:val="21"/>
          <w:highlight w:val="none"/>
        </w:rPr>
        <w:t>B1.9 明显不符合采购人采购需求的。</w:t>
      </w:r>
      <w:bookmarkEnd w:id="1465"/>
    </w:p>
    <w:p w14:paraId="54F451D1">
      <w:pPr>
        <w:spacing w:line="360" w:lineRule="auto"/>
        <w:ind w:firstLine="399" w:firstLineChars="190"/>
        <w:rPr>
          <w:rFonts w:ascii="宋体" w:hAnsi="宋体" w:cs="宋体"/>
          <w:color w:val="auto"/>
          <w:sz w:val="21"/>
          <w:szCs w:val="21"/>
          <w:highlight w:val="none"/>
        </w:rPr>
      </w:pPr>
      <w:bookmarkStart w:id="1466" w:name="_Toc392522423"/>
      <w:r>
        <w:rPr>
          <w:rFonts w:hint="eastAsia" w:ascii="宋体" w:hAnsi="宋体" w:cs="宋体"/>
          <w:color w:val="auto"/>
          <w:sz w:val="21"/>
          <w:szCs w:val="21"/>
          <w:highlight w:val="none"/>
        </w:rPr>
        <w:t>B1.10未按规定的格式填写，内容不全或关键字模糊、无法辨认的。</w:t>
      </w:r>
      <w:bookmarkEnd w:id="1466"/>
    </w:p>
    <w:p w14:paraId="35BC6CFA">
      <w:pPr>
        <w:spacing w:line="360" w:lineRule="auto"/>
        <w:ind w:firstLine="399" w:firstLineChars="190"/>
        <w:rPr>
          <w:rFonts w:ascii="宋体" w:hAnsi="宋体" w:cs="宋体"/>
          <w:color w:val="auto"/>
          <w:sz w:val="21"/>
          <w:szCs w:val="21"/>
          <w:highlight w:val="none"/>
        </w:rPr>
      </w:pPr>
      <w:r>
        <w:rPr>
          <w:rFonts w:hint="eastAsia" w:ascii="宋体" w:hAnsi="宋体" w:cs="宋体"/>
          <w:color w:val="auto"/>
          <w:sz w:val="21"/>
          <w:szCs w:val="21"/>
          <w:highlight w:val="none"/>
        </w:rPr>
        <w:t>B1.11供应商递交两份或多份内容不同的响应文件，或在一份响应文件中对同一招标项目报有两个或多个报价，且未声明哪一个有效的。</w:t>
      </w:r>
    </w:p>
    <w:p w14:paraId="22777ECF">
      <w:pPr>
        <w:spacing w:line="360" w:lineRule="auto"/>
        <w:ind w:firstLine="399" w:firstLineChars="190"/>
        <w:rPr>
          <w:rFonts w:ascii="宋体" w:hAnsi="宋体" w:cs="宋体"/>
          <w:color w:val="auto"/>
          <w:sz w:val="21"/>
          <w:szCs w:val="21"/>
          <w:highlight w:val="none"/>
        </w:rPr>
      </w:pPr>
      <w:bookmarkStart w:id="1467" w:name="_Toc392522425"/>
      <w:r>
        <w:rPr>
          <w:rFonts w:hint="eastAsia" w:ascii="宋体" w:hAnsi="宋体" w:cs="宋体"/>
          <w:color w:val="auto"/>
          <w:sz w:val="21"/>
          <w:szCs w:val="21"/>
          <w:highlight w:val="none"/>
        </w:rPr>
        <w:t>B1.12供应商未按照竞争性磋商采购文件的要求提供保证金的。</w:t>
      </w:r>
      <w:bookmarkEnd w:id="1467"/>
    </w:p>
    <w:p w14:paraId="01FCAE32">
      <w:pPr>
        <w:spacing w:line="360" w:lineRule="auto"/>
        <w:ind w:firstLine="399" w:firstLineChars="190"/>
        <w:rPr>
          <w:rFonts w:ascii="宋体" w:hAnsi="宋体" w:cs="宋体"/>
          <w:color w:val="auto"/>
          <w:sz w:val="21"/>
          <w:szCs w:val="21"/>
          <w:highlight w:val="none"/>
        </w:rPr>
      </w:pPr>
      <w:r>
        <w:rPr>
          <w:rFonts w:hint="eastAsia" w:ascii="宋体" w:hAnsi="宋体" w:cs="宋体"/>
          <w:color w:val="auto"/>
          <w:sz w:val="21"/>
          <w:szCs w:val="21"/>
          <w:highlight w:val="none"/>
        </w:rPr>
        <w:t>B1.</w:t>
      </w:r>
      <w:bookmarkStart w:id="1468" w:name="_Toc392522426"/>
      <w:r>
        <w:rPr>
          <w:rFonts w:hint="eastAsia" w:ascii="宋体" w:hAnsi="宋体" w:cs="宋体"/>
          <w:color w:val="auto"/>
          <w:sz w:val="21"/>
          <w:szCs w:val="21"/>
          <w:highlight w:val="none"/>
        </w:rPr>
        <w:t>13未按竞争性磋商采购文件要求进行报价的。</w:t>
      </w:r>
      <w:bookmarkEnd w:id="1468"/>
    </w:p>
    <w:p w14:paraId="772A67F1">
      <w:pPr>
        <w:spacing w:line="360" w:lineRule="auto"/>
        <w:ind w:firstLine="399" w:firstLineChars="190"/>
        <w:rPr>
          <w:rFonts w:hint="eastAsia" w:ascii="宋体" w:hAnsi="宋体" w:cs="宋体"/>
          <w:color w:val="auto"/>
          <w:sz w:val="21"/>
          <w:szCs w:val="21"/>
          <w:highlight w:val="none"/>
        </w:rPr>
      </w:pPr>
      <w:bookmarkStart w:id="1469" w:name="_Toc392522427"/>
      <w:r>
        <w:rPr>
          <w:rFonts w:hint="eastAsia" w:ascii="宋体" w:hAnsi="宋体" w:cs="宋体"/>
          <w:color w:val="auto"/>
          <w:sz w:val="21"/>
          <w:szCs w:val="21"/>
          <w:highlight w:val="none"/>
        </w:rPr>
        <w:t>B1.</w:t>
      </w:r>
      <w:bookmarkEnd w:id="1469"/>
      <w:bookmarkStart w:id="1470" w:name="_Toc392522430"/>
      <w:r>
        <w:rPr>
          <w:rFonts w:hint="eastAsia" w:ascii="宋体" w:hAnsi="宋体" w:cs="宋体"/>
          <w:color w:val="auto"/>
          <w:sz w:val="21"/>
          <w:szCs w:val="21"/>
          <w:highlight w:val="none"/>
        </w:rPr>
        <w:t>14供应商填报的磋商报价超过采购人规定的最高限价（总价或单价）的。</w:t>
      </w:r>
      <w:bookmarkEnd w:id="1470"/>
    </w:p>
    <w:p w14:paraId="2D2F067B">
      <w:pPr>
        <w:rPr>
          <w:rFonts w:hint="eastAsia" w:ascii="宋体" w:hAnsi="宋体" w:cs="宋体"/>
          <w:kern w:val="0"/>
          <w:szCs w:val="21"/>
          <w:shd w:val="clear" w:color="auto" w:fill="FFFFFF"/>
        </w:rPr>
      </w:pPr>
      <w:r>
        <w:rPr>
          <w:rFonts w:hint="eastAsia" w:ascii="宋体" w:hAnsi="宋体" w:cs="宋体"/>
          <w:kern w:val="0"/>
          <w:szCs w:val="21"/>
          <w:shd w:val="clear" w:color="auto" w:fill="FFFFFF"/>
        </w:rPr>
        <w:br w:type="page"/>
      </w:r>
    </w:p>
    <w:bookmarkEnd w:id="1242"/>
    <w:p w14:paraId="52780392">
      <w:pPr>
        <w:widowControl/>
        <w:shd w:val="clear" w:color="auto" w:fill="FFFFFF"/>
        <w:spacing w:line="360" w:lineRule="auto"/>
        <w:jc w:val="left"/>
        <w:rPr>
          <w:rFonts w:ascii="宋体" w:hAnsi="宋体" w:cs="宋体"/>
          <w:color w:val="auto"/>
          <w:kern w:val="0"/>
          <w:szCs w:val="21"/>
          <w:shd w:val="clear" w:color="auto" w:fill="FFFFFF"/>
        </w:rPr>
      </w:pPr>
      <w:r>
        <w:rPr>
          <w:rFonts w:hint="eastAsia" w:ascii="宋体" w:hAnsi="宋体" w:cs="宋体"/>
          <w:color w:val="auto"/>
          <w:kern w:val="0"/>
          <w:szCs w:val="21"/>
          <w:shd w:val="clear" w:color="auto" w:fill="FFFFFF"/>
        </w:rPr>
        <w:t>附件一：</w:t>
      </w:r>
    </w:p>
    <w:p w14:paraId="30458FC3">
      <w:pPr>
        <w:pStyle w:val="20"/>
        <w:spacing w:line="0" w:lineRule="atLeast"/>
        <w:jc w:val="left"/>
        <w:rPr>
          <w:rFonts w:hint="eastAsia" w:hAnsi="宋体" w:cs="宋体"/>
          <w:b/>
          <w:color w:val="auto"/>
          <w:sz w:val="21"/>
          <w:szCs w:val="21"/>
        </w:rPr>
      </w:pPr>
    </w:p>
    <w:p w14:paraId="37681A97">
      <w:pPr>
        <w:pStyle w:val="20"/>
        <w:spacing w:line="0" w:lineRule="atLeast"/>
        <w:jc w:val="center"/>
        <w:rPr>
          <w:rFonts w:hAnsi="宋体" w:cs="宋体"/>
          <w:b/>
          <w:color w:val="auto"/>
          <w:szCs w:val="21"/>
        </w:rPr>
      </w:pPr>
      <w:r>
        <w:rPr>
          <w:rFonts w:hint="eastAsia" w:hAnsi="宋体" w:cs="宋体"/>
          <w:b/>
          <w:color w:val="auto"/>
          <w:sz w:val="32"/>
          <w:szCs w:val="32"/>
        </w:rPr>
        <w:t>最终报价及承诺</w:t>
      </w:r>
    </w:p>
    <w:p w14:paraId="61AB0DFA">
      <w:pPr>
        <w:pStyle w:val="20"/>
        <w:spacing w:line="0" w:lineRule="atLeast"/>
        <w:ind w:firstLine="210" w:firstLineChars="100"/>
        <w:jc w:val="left"/>
        <w:rPr>
          <w:rFonts w:hAnsi="宋体" w:cs="宋体"/>
          <w:bCs/>
          <w:color w:val="auto"/>
          <w:szCs w:val="21"/>
        </w:rPr>
      </w:pPr>
      <w:r>
        <w:rPr>
          <w:rFonts w:hint="eastAsia" w:hAnsi="宋体" w:cs="宋体"/>
          <w:bCs/>
          <w:color w:val="auto"/>
          <w:szCs w:val="21"/>
        </w:rPr>
        <w:t>项目名称：</w:t>
      </w:r>
    </w:p>
    <w:tbl>
      <w:tblPr>
        <w:tblStyle w:val="38"/>
        <w:tblW w:w="8939" w:type="dxa"/>
        <w:jc w:val="center"/>
        <w:tblCellSpacing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0" w:type="dxa"/>
          <w:bottom w:w="0" w:type="dxa"/>
          <w:right w:w="0" w:type="dxa"/>
        </w:tblCellMar>
      </w:tblPr>
      <w:tblGrid>
        <w:gridCol w:w="826"/>
        <w:gridCol w:w="2563"/>
        <w:gridCol w:w="2683"/>
        <w:gridCol w:w="2867"/>
      </w:tblGrid>
      <w:tr w14:paraId="1A9E30E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745" w:hRule="atLeast"/>
          <w:tblCellSpacing w:w="0" w:type="dxa"/>
          <w:jc w:val="center"/>
        </w:trPr>
        <w:tc>
          <w:tcPr>
            <w:tcW w:w="826" w:type="dxa"/>
            <w:vMerge w:val="restart"/>
            <w:vAlign w:val="center"/>
          </w:tcPr>
          <w:p w14:paraId="3FD6EC5D">
            <w:pPr>
              <w:jc w:val="center"/>
              <w:textAlignment w:val="center"/>
              <w:rPr>
                <w:rFonts w:ascii="宋体" w:hAnsi="宋体" w:cs="宋体"/>
                <w:color w:val="auto"/>
                <w:szCs w:val="21"/>
              </w:rPr>
            </w:pPr>
            <w:r>
              <w:rPr>
                <w:rFonts w:hint="eastAsia" w:ascii="宋体" w:hAnsi="宋体" w:cs="宋体"/>
                <w:color w:val="auto"/>
                <w:szCs w:val="21"/>
              </w:rPr>
              <w:t>序号</w:t>
            </w:r>
          </w:p>
        </w:tc>
        <w:tc>
          <w:tcPr>
            <w:tcW w:w="2563" w:type="dxa"/>
            <w:vMerge w:val="restart"/>
            <w:vAlign w:val="center"/>
          </w:tcPr>
          <w:p w14:paraId="30688461">
            <w:pPr>
              <w:jc w:val="center"/>
              <w:textAlignment w:val="center"/>
              <w:rPr>
                <w:rFonts w:ascii="宋体" w:hAnsi="宋体" w:cs="宋体"/>
                <w:color w:val="auto"/>
                <w:szCs w:val="21"/>
              </w:rPr>
            </w:pPr>
            <w:r>
              <w:rPr>
                <w:rFonts w:hint="eastAsia" w:ascii="宋体" w:hAnsi="宋体" w:cs="宋体"/>
                <w:color w:val="auto"/>
                <w:szCs w:val="21"/>
              </w:rPr>
              <w:t>项  目</w:t>
            </w:r>
          </w:p>
        </w:tc>
        <w:tc>
          <w:tcPr>
            <w:tcW w:w="5550" w:type="dxa"/>
            <w:gridSpan w:val="2"/>
            <w:vAlign w:val="center"/>
          </w:tcPr>
          <w:p w14:paraId="29F2D3C2">
            <w:pPr>
              <w:jc w:val="center"/>
              <w:textAlignment w:val="center"/>
              <w:rPr>
                <w:rFonts w:ascii="宋体" w:hAnsi="宋体" w:cs="宋体"/>
                <w:color w:val="auto"/>
                <w:szCs w:val="21"/>
              </w:rPr>
            </w:pPr>
            <w:r>
              <w:rPr>
                <w:rFonts w:hint="eastAsia" w:ascii="宋体" w:hAnsi="宋体" w:cs="宋体"/>
                <w:color w:val="auto"/>
                <w:szCs w:val="21"/>
              </w:rPr>
              <w:t>金        额</w:t>
            </w:r>
          </w:p>
        </w:tc>
      </w:tr>
      <w:tr w14:paraId="55ABC58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714" w:hRule="atLeast"/>
          <w:tblCellSpacing w:w="0" w:type="dxa"/>
          <w:jc w:val="center"/>
        </w:trPr>
        <w:tc>
          <w:tcPr>
            <w:tcW w:w="826" w:type="dxa"/>
            <w:vMerge w:val="continue"/>
            <w:vAlign w:val="center"/>
          </w:tcPr>
          <w:p w14:paraId="2BE6B55A">
            <w:pPr>
              <w:jc w:val="center"/>
              <w:textAlignment w:val="center"/>
              <w:rPr>
                <w:rFonts w:ascii="宋体" w:hAnsi="宋体" w:cs="宋体"/>
                <w:color w:val="auto"/>
                <w:szCs w:val="21"/>
              </w:rPr>
            </w:pPr>
          </w:p>
        </w:tc>
        <w:tc>
          <w:tcPr>
            <w:tcW w:w="2563" w:type="dxa"/>
            <w:vMerge w:val="continue"/>
            <w:vAlign w:val="center"/>
          </w:tcPr>
          <w:p w14:paraId="61558495">
            <w:pPr>
              <w:jc w:val="center"/>
              <w:textAlignment w:val="center"/>
              <w:rPr>
                <w:rFonts w:ascii="宋体" w:hAnsi="宋体" w:cs="宋体"/>
                <w:color w:val="auto"/>
                <w:szCs w:val="21"/>
              </w:rPr>
            </w:pPr>
          </w:p>
        </w:tc>
        <w:tc>
          <w:tcPr>
            <w:tcW w:w="2683" w:type="dxa"/>
            <w:vAlign w:val="center"/>
          </w:tcPr>
          <w:p w14:paraId="079E40DA">
            <w:pPr>
              <w:jc w:val="center"/>
              <w:textAlignment w:val="center"/>
              <w:rPr>
                <w:rFonts w:ascii="宋体" w:hAnsi="宋体" w:cs="宋体"/>
                <w:color w:val="auto"/>
                <w:szCs w:val="21"/>
              </w:rPr>
            </w:pPr>
            <w:r>
              <w:rPr>
                <w:rFonts w:hint="eastAsia" w:ascii="宋体" w:hAnsi="宋体" w:cs="宋体"/>
                <w:color w:val="auto"/>
                <w:szCs w:val="21"/>
              </w:rPr>
              <w:t>小    写</w:t>
            </w:r>
          </w:p>
        </w:tc>
        <w:tc>
          <w:tcPr>
            <w:tcW w:w="2867" w:type="dxa"/>
            <w:vAlign w:val="center"/>
          </w:tcPr>
          <w:p w14:paraId="7F790F48">
            <w:pPr>
              <w:jc w:val="center"/>
              <w:textAlignment w:val="center"/>
              <w:rPr>
                <w:rFonts w:ascii="宋体" w:hAnsi="宋体" w:cs="宋体"/>
                <w:color w:val="auto"/>
                <w:szCs w:val="21"/>
              </w:rPr>
            </w:pPr>
            <w:r>
              <w:rPr>
                <w:rFonts w:hint="eastAsia" w:ascii="宋体" w:hAnsi="宋体" w:cs="宋体"/>
                <w:color w:val="auto"/>
                <w:szCs w:val="21"/>
              </w:rPr>
              <w:t>大    写</w:t>
            </w:r>
          </w:p>
        </w:tc>
      </w:tr>
      <w:tr w14:paraId="2F69023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714" w:hRule="atLeast"/>
          <w:tblCellSpacing w:w="0" w:type="dxa"/>
          <w:jc w:val="center"/>
        </w:trPr>
        <w:tc>
          <w:tcPr>
            <w:tcW w:w="826" w:type="dxa"/>
            <w:vAlign w:val="center"/>
          </w:tcPr>
          <w:p w14:paraId="140B1339">
            <w:pPr>
              <w:jc w:val="center"/>
              <w:textAlignment w:val="center"/>
              <w:rPr>
                <w:rFonts w:ascii="宋体" w:hAnsi="宋体" w:cs="宋体"/>
                <w:color w:val="auto"/>
                <w:szCs w:val="21"/>
              </w:rPr>
            </w:pPr>
            <w:r>
              <w:rPr>
                <w:rFonts w:hint="eastAsia" w:ascii="宋体" w:hAnsi="宋体" w:cs="宋体"/>
                <w:color w:val="auto"/>
                <w:szCs w:val="21"/>
              </w:rPr>
              <w:t>1</w:t>
            </w:r>
          </w:p>
        </w:tc>
        <w:tc>
          <w:tcPr>
            <w:tcW w:w="2563" w:type="dxa"/>
            <w:vAlign w:val="center"/>
          </w:tcPr>
          <w:p w14:paraId="2F5628A5">
            <w:pPr>
              <w:jc w:val="center"/>
              <w:rPr>
                <w:rFonts w:ascii="宋体" w:hAnsi="宋体" w:cs="宋体"/>
                <w:color w:val="auto"/>
                <w:szCs w:val="21"/>
              </w:rPr>
            </w:pPr>
            <w:r>
              <w:rPr>
                <w:rFonts w:hint="eastAsia" w:ascii="Times New Roman" w:hAnsi="Times New Roman"/>
                <w:color w:val="auto"/>
                <w:szCs w:val="21"/>
              </w:rPr>
              <w:t>竞争性磋商报价（元）</w:t>
            </w:r>
          </w:p>
        </w:tc>
        <w:tc>
          <w:tcPr>
            <w:tcW w:w="2683" w:type="dxa"/>
            <w:vAlign w:val="center"/>
          </w:tcPr>
          <w:p w14:paraId="3429A465">
            <w:pPr>
              <w:jc w:val="center"/>
              <w:textAlignment w:val="center"/>
              <w:rPr>
                <w:rFonts w:ascii="宋体" w:hAnsi="宋体" w:cs="宋体"/>
                <w:color w:val="auto"/>
                <w:position w:val="-6"/>
                <w:szCs w:val="21"/>
                <w:lang w:val="zh-CN"/>
              </w:rPr>
            </w:pPr>
          </w:p>
        </w:tc>
        <w:tc>
          <w:tcPr>
            <w:tcW w:w="2867" w:type="dxa"/>
            <w:vAlign w:val="center"/>
          </w:tcPr>
          <w:p w14:paraId="7E70B3AF">
            <w:pPr>
              <w:jc w:val="center"/>
              <w:textAlignment w:val="center"/>
              <w:rPr>
                <w:rFonts w:ascii="宋体" w:hAnsi="宋体" w:cs="宋体"/>
                <w:color w:val="auto"/>
                <w:szCs w:val="21"/>
              </w:rPr>
            </w:pPr>
          </w:p>
        </w:tc>
      </w:tr>
      <w:tr w14:paraId="2F3C85D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834" w:hRule="atLeast"/>
          <w:tblCellSpacing w:w="0" w:type="dxa"/>
          <w:jc w:val="center"/>
        </w:trPr>
        <w:tc>
          <w:tcPr>
            <w:tcW w:w="826" w:type="dxa"/>
            <w:vAlign w:val="center"/>
          </w:tcPr>
          <w:p w14:paraId="0C8DC9DB">
            <w:pPr>
              <w:jc w:val="center"/>
              <w:textAlignment w:val="center"/>
              <w:rPr>
                <w:rFonts w:ascii="宋体" w:hAnsi="宋体" w:cs="宋体"/>
                <w:color w:val="auto"/>
                <w:szCs w:val="21"/>
              </w:rPr>
            </w:pPr>
            <w:r>
              <w:rPr>
                <w:rFonts w:hint="eastAsia" w:ascii="宋体" w:hAnsi="宋体" w:cs="宋体"/>
                <w:color w:val="auto"/>
                <w:szCs w:val="21"/>
              </w:rPr>
              <w:t>2</w:t>
            </w:r>
          </w:p>
        </w:tc>
        <w:tc>
          <w:tcPr>
            <w:tcW w:w="2563" w:type="dxa"/>
            <w:vAlign w:val="center"/>
          </w:tcPr>
          <w:p w14:paraId="22AF5361">
            <w:pPr>
              <w:keepNext w:val="0"/>
              <w:keepLines w:val="0"/>
              <w:pageBreakBefore w:val="0"/>
              <w:widowControl w:val="0"/>
              <w:kinsoku/>
              <w:wordWrap/>
              <w:overflowPunct/>
              <w:topLinePunct w:val="0"/>
              <w:autoSpaceDE/>
              <w:autoSpaceDN/>
              <w:bidi w:val="0"/>
              <w:adjustRightInd/>
              <w:snapToGrid/>
              <w:ind w:firstLine="0" w:firstLineChars="0"/>
              <w:jc w:val="center"/>
              <w:textAlignment w:val="center"/>
              <w:rPr>
                <w:rFonts w:ascii="宋体" w:hAnsi="宋体" w:cs="宋体"/>
                <w:color w:val="auto"/>
                <w:szCs w:val="21"/>
              </w:rPr>
            </w:pPr>
            <w:r>
              <w:rPr>
                <w:rFonts w:hint="eastAsia" w:ascii="宋体" w:hAnsi="宋体" w:cs="宋体"/>
                <w:color w:val="auto"/>
                <w:szCs w:val="21"/>
              </w:rPr>
              <w:t>项目经理</w:t>
            </w:r>
          </w:p>
        </w:tc>
        <w:tc>
          <w:tcPr>
            <w:tcW w:w="5550" w:type="dxa"/>
            <w:gridSpan w:val="2"/>
            <w:vAlign w:val="center"/>
          </w:tcPr>
          <w:p w14:paraId="260A4F89">
            <w:pPr>
              <w:pStyle w:val="20"/>
              <w:spacing w:line="320" w:lineRule="exact"/>
              <w:jc w:val="left"/>
              <w:rPr>
                <w:rFonts w:hAnsi="宋体"/>
                <w:color w:val="auto"/>
                <w:sz w:val="21"/>
                <w:szCs w:val="20"/>
              </w:rPr>
            </w:pPr>
            <w:r>
              <w:rPr>
                <w:rFonts w:hint="eastAsia" w:hAnsi="宋体"/>
                <w:color w:val="auto"/>
                <w:sz w:val="21"/>
                <w:szCs w:val="20"/>
              </w:rPr>
              <w:t xml:space="preserve">姓名：  </w:t>
            </w:r>
          </w:p>
          <w:p w14:paraId="57C50068">
            <w:pPr>
              <w:textAlignment w:val="center"/>
              <w:rPr>
                <w:rFonts w:ascii="宋体" w:hAnsi="宋体" w:cs="宋体"/>
                <w:color w:val="auto"/>
                <w:szCs w:val="21"/>
              </w:rPr>
            </w:pPr>
            <w:r>
              <w:rPr>
                <w:rFonts w:hint="eastAsia" w:hAnsi="宋体"/>
                <w:color w:val="auto"/>
                <w:sz w:val="21"/>
                <w:szCs w:val="20"/>
              </w:rPr>
              <w:t>证书名称及编号：</w:t>
            </w:r>
          </w:p>
        </w:tc>
      </w:tr>
      <w:tr w14:paraId="515B11B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714" w:hRule="atLeast"/>
          <w:tblCellSpacing w:w="0" w:type="dxa"/>
          <w:jc w:val="center"/>
        </w:trPr>
        <w:tc>
          <w:tcPr>
            <w:tcW w:w="826" w:type="dxa"/>
            <w:vAlign w:val="center"/>
          </w:tcPr>
          <w:p w14:paraId="751223D5">
            <w:pPr>
              <w:jc w:val="center"/>
              <w:textAlignment w:val="center"/>
              <w:rPr>
                <w:rFonts w:ascii="宋体" w:hAnsi="宋体" w:cs="宋体"/>
                <w:color w:val="auto"/>
                <w:szCs w:val="21"/>
              </w:rPr>
            </w:pPr>
            <w:r>
              <w:rPr>
                <w:rFonts w:hint="eastAsia" w:ascii="宋体" w:hAnsi="宋体" w:cs="宋体"/>
                <w:color w:val="auto"/>
                <w:szCs w:val="21"/>
              </w:rPr>
              <w:t>3</w:t>
            </w:r>
          </w:p>
        </w:tc>
        <w:tc>
          <w:tcPr>
            <w:tcW w:w="2563" w:type="dxa"/>
            <w:vAlign w:val="center"/>
          </w:tcPr>
          <w:p w14:paraId="4E126F84">
            <w:pPr>
              <w:jc w:val="center"/>
              <w:textAlignment w:val="center"/>
              <w:rPr>
                <w:rFonts w:ascii="宋体" w:hAnsi="宋体" w:cs="宋体"/>
                <w:color w:val="auto"/>
                <w:szCs w:val="21"/>
              </w:rPr>
            </w:pPr>
            <w:r>
              <w:rPr>
                <w:rFonts w:hint="eastAsia" w:ascii="宋体" w:hAnsi="宋体" w:cs="宋体"/>
                <w:color w:val="auto"/>
                <w:szCs w:val="21"/>
              </w:rPr>
              <w:t>合同履行期限</w:t>
            </w:r>
          </w:p>
        </w:tc>
        <w:tc>
          <w:tcPr>
            <w:tcW w:w="5550" w:type="dxa"/>
            <w:gridSpan w:val="2"/>
            <w:vAlign w:val="center"/>
          </w:tcPr>
          <w:p w14:paraId="22BEC309">
            <w:pPr>
              <w:jc w:val="center"/>
              <w:textAlignment w:val="center"/>
              <w:rPr>
                <w:rFonts w:ascii="宋体" w:hAnsi="宋体" w:cs="宋体"/>
                <w:color w:val="auto"/>
                <w:szCs w:val="21"/>
              </w:rPr>
            </w:pPr>
          </w:p>
        </w:tc>
      </w:tr>
      <w:tr w14:paraId="20DCAE3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714" w:hRule="atLeast"/>
          <w:tblCellSpacing w:w="0" w:type="dxa"/>
          <w:jc w:val="center"/>
        </w:trPr>
        <w:tc>
          <w:tcPr>
            <w:tcW w:w="826" w:type="dxa"/>
            <w:vAlign w:val="center"/>
          </w:tcPr>
          <w:p w14:paraId="7D9B2CEA">
            <w:pPr>
              <w:jc w:val="center"/>
              <w:textAlignment w:val="center"/>
              <w:rPr>
                <w:rFonts w:ascii="宋体" w:hAnsi="宋体" w:cs="宋体"/>
                <w:color w:val="auto"/>
                <w:szCs w:val="21"/>
              </w:rPr>
            </w:pPr>
            <w:r>
              <w:rPr>
                <w:rFonts w:hint="eastAsia" w:ascii="宋体" w:hAnsi="宋体" w:cs="宋体"/>
                <w:color w:val="auto"/>
                <w:szCs w:val="21"/>
              </w:rPr>
              <w:t>4</w:t>
            </w:r>
          </w:p>
        </w:tc>
        <w:tc>
          <w:tcPr>
            <w:tcW w:w="2563" w:type="dxa"/>
            <w:vAlign w:val="center"/>
          </w:tcPr>
          <w:p w14:paraId="477672A6">
            <w:pPr>
              <w:jc w:val="center"/>
              <w:textAlignment w:val="center"/>
              <w:rPr>
                <w:rFonts w:hint="eastAsia" w:ascii="宋体" w:hAnsi="宋体" w:eastAsia="宋体" w:cs="宋体"/>
                <w:color w:val="auto"/>
                <w:szCs w:val="21"/>
                <w:lang w:val="en-US" w:eastAsia="zh-CN"/>
              </w:rPr>
            </w:pPr>
            <w:r>
              <w:rPr>
                <w:rFonts w:hint="eastAsia" w:ascii="宋体" w:hAnsi="宋体" w:cs="宋体"/>
                <w:color w:val="auto"/>
                <w:szCs w:val="21"/>
              </w:rPr>
              <w:t>质量</w:t>
            </w:r>
            <w:r>
              <w:rPr>
                <w:rFonts w:hint="eastAsia" w:ascii="宋体" w:hAnsi="宋体" w:cs="宋体"/>
                <w:color w:val="auto"/>
                <w:szCs w:val="21"/>
                <w:lang w:val="en-US" w:eastAsia="zh-CN"/>
              </w:rPr>
              <w:t>承诺</w:t>
            </w:r>
          </w:p>
        </w:tc>
        <w:tc>
          <w:tcPr>
            <w:tcW w:w="5550" w:type="dxa"/>
            <w:gridSpan w:val="2"/>
            <w:vAlign w:val="center"/>
          </w:tcPr>
          <w:p w14:paraId="5D49F8DF">
            <w:pPr>
              <w:jc w:val="center"/>
              <w:textAlignment w:val="center"/>
              <w:rPr>
                <w:rFonts w:ascii="宋体" w:hAnsi="宋体" w:cs="宋体"/>
                <w:color w:val="auto"/>
                <w:szCs w:val="21"/>
              </w:rPr>
            </w:pPr>
          </w:p>
        </w:tc>
      </w:tr>
      <w:tr w14:paraId="3175FAC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1768" w:hRule="atLeast"/>
          <w:tblCellSpacing w:w="0" w:type="dxa"/>
          <w:jc w:val="center"/>
        </w:trPr>
        <w:tc>
          <w:tcPr>
            <w:tcW w:w="826" w:type="dxa"/>
            <w:vAlign w:val="center"/>
          </w:tcPr>
          <w:p w14:paraId="6D4DA10F">
            <w:pPr>
              <w:jc w:val="center"/>
              <w:textAlignment w:val="center"/>
              <w:rPr>
                <w:rFonts w:ascii="宋体" w:hAnsi="宋体" w:cs="宋体"/>
                <w:color w:val="auto"/>
                <w:szCs w:val="21"/>
              </w:rPr>
            </w:pPr>
            <w:r>
              <w:rPr>
                <w:rFonts w:hint="eastAsia" w:ascii="宋体" w:hAnsi="宋体" w:cs="宋体"/>
                <w:color w:val="auto"/>
                <w:szCs w:val="21"/>
              </w:rPr>
              <w:t>5</w:t>
            </w:r>
          </w:p>
        </w:tc>
        <w:tc>
          <w:tcPr>
            <w:tcW w:w="2563" w:type="dxa"/>
            <w:vAlign w:val="center"/>
          </w:tcPr>
          <w:p w14:paraId="7B828687">
            <w:pPr>
              <w:jc w:val="center"/>
              <w:textAlignment w:val="center"/>
              <w:rPr>
                <w:rFonts w:ascii="宋体" w:hAnsi="宋体" w:cs="宋体"/>
                <w:color w:val="auto"/>
                <w:szCs w:val="21"/>
              </w:rPr>
            </w:pPr>
            <w:r>
              <w:rPr>
                <w:rFonts w:hint="eastAsia" w:ascii="宋体" w:hAnsi="宋体" w:cs="宋体"/>
                <w:color w:val="auto"/>
                <w:szCs w:val="21"/>
              </w:rPr>
              <w:t>说   明</w:t>
            </w:r>
          </w:p>
        </w:tc>
        <w:tc>
          <w:tcPr>
            <w:tcW w:w="5550" w:type="dxa"/>
            <w:gridSpan w:val="2"/>
          </w:tcPr>
          <w:p w14:paraId="47161046">
            <w:pPr>
              <w:textAlignment w:val="center"/>
              <w:rPr>
                <w:rFonts w:ascii="宋体" w:hAnsi="宋体" w:cs="宋体"/>
                <w:color w:val="auto"/>
                <w:szCs w:val="21"/>
              </w:rPr>
            </w:pPr>
            <w:r>
              <w:rPr>
                <w:rFonts w:hint="eastAsia" w:ascii="宋体" w:hAnsi="宋体" w:cs="宋体"/>
                <w:color w:val="auto"/>
                <w:szCs w:val="21"/>
              </w:rPr>
              <w:t>1、我单位承诺完全满足竞争性磋商采购文件及采购人的要求。</w:t>
            </w:r>
          </w:p>
          <w:p w14:paraId="6D857ABE">
            <w:pPr>
              <w:textAlignment w:val="center"/>
              <w:rPr>
                <w:rFonts w:ascii="宋体" w:hAnsi="宋体" w:cs="宋体"/>
                <w:color w:val="auto"/>
                <w:szCs w:val="21"/>
              </w:rPr>
            </w:pPr>
            <w:r>
              <w:rPr>
                <w:rFonts w:hint="eastAsia" w:ascii="宋体" w:hAnsi="宋体" w:cs="宋体"/>
                <w:color w:val="auto"/>
                <w:szCs w:val="21"/>
              </w:rPr>
              <w:t>2、</w:t>
            </w:r>
            <w:r>
              <w:rPr>
                <w:rFonts w:hint="eastAsia" w:ascii="宋体" w:hAnsi="宋体" w:cs="宋体"/>
                <w:color w:val="auto"/>
                <w:szCs w:val="21"/>
                <w:lang w:eastAsia="zh-CN"/>
              </w:rPr>
              <w:t>其他</w:t>
            </w:r>
            <w:r>
              <w:rPr>
                <w:rFonts w:hint="eastAsia" w:ascii="宋体" w:hAnsi="宋体" w:cs="宋体"/>
                <w:color w:val="auto"/>
                <w:szCs w:val="21"/>
              </w:rPr>
              <w:t>承诺如下：</w:t>
            </w:r>
          </w:p>
        </w:tc>
      </w:tr>
    </w:tbl>
    <w:p w14:paraId="569032E1">
      <w:pPr>
        <w:spacing w:line="360" w:lineRule="auto"/>
        <w:ind w:firstLine="211" w:firstLineChars="100"/>
        <w:rPr>
          <w:rFonts w:ascii="宋体" w:hAnsi="宋体" w:cs="宋体"/>
          <w:b/>
          <w:color w:val="auto"/>
          <w:sz w:val="21"/>
          <w:szCs w:val="21"/>
          <w:highlight w:val="none"/>
        </w:rPr>
      </w:pPr>
      <w:r>
        <w:rPr>
          <w:rFonts w:hint="eastAsia" w:ascii="宋体" w:hAnsi="宋体" w:cs="宋体"/>
          <w:b/>
          <w:color w:val="auto"/>
          <w:sz w:val="21"/>
          <w:szCs w:val="21"/>
          <w:highlight w:val="none"/>
        </w:rPr>
        <w:t>注：无需装订在供应商响应文件中</w:t>
      </w:r>
      <w:r>
        <w:rPr>
          <w:rFonts w:hint="eastAsia" w:ascii="宋体" w:hAnsi="宋体" w:cs="宋体"/>
          <w:b/>
          <w:color w:val="auto"/>
          <w:sz w:val="21"/>
          <w:szCs w:val="21"/>
          <w:highlight w:val="none"/>
          <w:lang w:eastAsia="zh-CN"/>
        </w:rPr>
        <w:t>，供应商可在线进行报价</w:t>
      </w:r>
      <w:r>
        <w:rPr>
          <w:rFonts w:hint="eastAsia" w:ascii="宋体" w:hAnsi="宋体" w:cs="宋体"/>
          <w:b/>
          <w:color w:val="auto"/>
          <w:sz w:val="21"/>
          <w:szCs w:val="21"/>
          <w:highlight w:val="none"/>
        </w:rPr>
        <w:t>。</w:t>
      </w:r>
    </w:p>
    <w:p w14:paraId="75AEA99E">
      <w:pPr>
        <w:spacing w:line="360" w:lineRule="auto"/>
        <w:rPr>
          <w:rFonts w:ascii="宋体" w:hAnsi="宋体" w:cs="宋体"/>
          <w:color w:val="auto"/>
          <w:szCs w:val="21"/>
        </w:rPr>
      </w:pPr>
    </w:p>
    <w:p w14:paraId="16FC19FE">
      <w:pPr>
        <w:tabs>
          <w:tab w:val="left" w:pos="0"/>
        </w:tabs>
        <w:spacing w:line="360" w:lineRule="auto"/>
        <w:ind w:right="-212" w:firstLine="504" w:firstLineChars="240"/>
        <w:rPr>
          <w:rFonts w:ascii="宋体" w:hAnsi="宋体" w:cs="宋体"/>
          <w:color w:val="auto"/>
          <w:szCs w:val="21"/>
          <w:u w:val="single"/>
        </w:rPr>
      </w:pPr>
      <w:r>
        <w:rPr>
          <w:rFonts w:hint="eastAsia" w:ascii="宋体" w:hAnsi="宋体" w:cs="宋体"/>
          <w:color w:val="auto"/>
          <w:szCs w:val="21"/>
        </w:rPr>
        <w:t>供应商：</w:t>
      </w:r>
    </w:p>
    <w:p w14:paraId="7CA8F0E5">
      <w:pPr>
        <w:tabs>
          <w:tab w:val="left" w:pos="0"/>
        </w:tabs>
        <w:spacing w:line="360" w:lineRule="auto"/>
        <w:ind w:right="-212" w:firstLine="504" w:firstLineChars="240"/>
        <w:rPr>
          <w:rFonts w:ascii="宋体" w:hAnsi="宋体" w:cs="宋体"/>
          <w:color w:val="auto"/>
          <w:szCs w:val="21"/>
        </w:rPr>
      </w:pPr>
      <w:r>
        <w:rPr>
          <w:rFonts w:hint="eastAsia" w:ascii="宋体" w:hAnsi="宋体" w:cs="宋体"/>
          <w:color w:val="auto"/>
          <w:szCs w:val="21"/>
        </w:rPr>
        <w:t>法定代表人或其委托代理人：（签字或盖章）</w:t>
      </w:r>
    </w:p>
    <w:p w14:paraId="186FADF2">
      <w:pPr>
        <w:tabs>
          <w:tab w:val="left" w:pos="0"/>
        </w:tabs>
        <w:spacing w:line="360" w:lineRule="auto"/>
        <w:ind w:right="-212" w:firstLine="504"/>
        <w:rPr>
          <w:rFonts w:ascii="宋体" w:hAnsi="宋体" w:cs="宋体"/>
          <w:color w:val="auto"/>
          <w:szCs w:val="21"/>
        </w:rPr>
      </w:pPr>
      <w:r>
        <w:rPr>
          <w:rFonts w:hint="eastAsia" w:ascii="宋体" w:hAnsi="宋体" w:cs="宋体"/>
          <w:color w:val="auto"/>
          <w:szCs w:val="21"/>
        </w:rPr>
        <w:t>日期：   年  月  日</w:t>
      </w:r>
    </w:p>
    <w:p w14:paraId="107A7986">
      <w:pPr>
        <w:rPr>
          <w:rFonts w:ascii="宋体" w:hAnsi="宋体" w:cs="宋体"/>
          <w:kern w:val="0"/>
          <w:szCs w:val="21"/>
          <w:shd w:val="clear" w:color="auto" w:fill="FFFFFF"/>
        </w:rPr>
      </w:pPr>
    </w:p>
    <w:sectPr>
      <w:headerReference r:id="rId4" w:type="first"/>
      <w:footerReference r:id="rId6" w:type="first"/>
      <w:headerReference r:id="rId3" w:type="default"/>
      <w:footerReference r:id="rId5" w:type="default"/>
      <w:pgSz w:w="11906" w:h="16838"/>
      <w:pgMar w:top="1417" w:right="1417" w:bottom="1417" w:left="1417" w:header="850" w:footer="850" w:gutter="0"/>
      <w:cols w:space="720" w:num="1"/>
      <w:titlePg/>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4D"/>
    <w:family w:val="roman"/>
    <w:pitch w:val="default"/>
    <w:sig w:usb0="E0002EFF" w:usb1="C000785B" w:usb2="00000009" w:usb3="00000000" w:csb0="400001FF" w:csb1="FFFF0000"/>
  </w:font>
  <w:font w:name="宋体">
    <w:panose1 w:val="02010600030101010101"/>
    <w:charset w:val="B1"/>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华文中宋">
    <w:panose1 w:val="02010600040101010101"/>
    <w:charset w:val="86"/>
    <w:family w:val="auto"/>
    <w:pitch w:val="default"/>
    <w:sig w:usb0="00000287" w:usb1="080F0000" w:usb2="00000000" w:usb3="00000000" w:csb0="0004009F" w:csb1="DFD70000"/>
  </w:font>
  <w:font w:name="Cambria">
    <w:panose1 w:val="02040503050406030204"/>
    <w:charset w:val="00"/>
    <w:family w:val="roman"/>
    <w:pitch w:val="default"/>
    <w:sig w:usb0="E00006FF" w:usb1="420024FF" w:usb2="02000000" w:usb3="00000000" w:csb0="2000019F" w:csb1="00000000"/>
  </w:font>
  <w:font w:name="Arial Unicode MS">
    <w:altName w:val="宋体"/>
    <w:panose1 w:val="020B0604020202020204"/>
    <w:charset w:val="86"/>
    <w:family w:val="swiss"/>
    <w:pitch w:val="default"/>
    <w:sig w:usb0="00000000" w:usb1="00000000" w:usb2="0000003F" w:usb3="00000000" w:csb0="603F01FF" w:csb1="FFFF0000"/>
  </w:font>
  <w:font w:name="金山简黑体">
    <w:altName w:val="宋体"/>
    <w:panose1 w:val="020B0604020202020204"/>
    <w:charset w:val="86"/>
    <w:family w:val="auto"/>
    <w:pitch w:val="default"/>
    <w:sig w:usb0="00000000" w:usb1="00000000" w:usb2="00000000" w:usb3="00000000" w:csb0="00040001" w:csb1="00000000"/>
  </w:font>
  <w:font w:name="ˎ̥">
    <w:altName w:val="Times New Roman"/>
    <w:panose1 w:val="00000000000000000000"/>
    <w:charset w:val="00"/>
    <w:family w:val="roman"/>
    <w:pitch w:val="default"/>
    <w:sig w:usb0="00000000" w:usb1="00000000" w:usb2="00000000" w:usb3="00000000" w:csb0="00000000" w:csb1="00000000"/>
  </w:font>
  <w:font w:name="等线 Light">
    <w:panose1 w:val="02010600030101010101"/>
    <w:charset w:val="86"/>
    <w:family w:val="auto"/>
    <w:pitch w:val="default"/>
    <w:sig w:usb0="A00002BF" w:usb1="38CF7CFA" w:usb2="00000016" w:usb3="00000000" w:csb0="0004000F" w:csb1="00000000"/>
  </w:font>
  <w:font w:name="创艺繁线体">
    <w:altName w:val="黑体"/>
    <w:panose1 w:val="00000000000000000000"/>
    <w:charset w:val="86"/>
    <w:family w:val="auto"/>
    <w:pitch w:val="default"/>
    <w:sig w:usb0="00000000" w:usb1="00000000" w:usb2="00000010" w:usb3="00000000" w:csb0="00040000" w:csb1="00000000"/>
  </w:font>
  <w:font w:name="Tahoma">
    <w:panose1 w:val="020B0604030504040204"/>
    <w:charset w:val="00"/>
    <w:family w:val="swiss"/>
    <w:pitch w:val="default"/>
    <w:sig w:usb0="E1002EFF" w:usb1="C000605B" w:usb2="00000029" w:usb3="00000000" w:csb0="200101FF" w:csb1="20280000"/>
  </w:font>
  <w:font w:name="Verdana">
    <w:panose1 w:val="020B0604030504040204"/>
    <w:charset w:val="00"/>
    <w:family w:val="swiss"/>
    <w:pitch w:val="default"/>
    <w:sig w:usb0="A00006FF" w:usb1="4000205B" w:usb2="00000010" w:usb3="00000000" w:csb0="2000019F" w:csb1="00000000"/>
  </w:font>
  <w:font w:name="楷体_GB2312">
    <w:altName w:val="楷体"/>
    <w:panose1 w:val="00000000000000000000"/>
    <w:charset w:val="86"/>
    <w:family w:val="modern"/>
    <w:pitch w:val="default"/>
    <w:sig w:usb0="00000000" w:usb1="00000000" w:usb2="00000000" w:usb3="00000000" w:csb0="00040000" w:csb1="00000000"/>
  </w:font>
  <w:font w:name="楷体">
    <w:panose1 w:val="02010609060101010101"/>
    <w:charset w:val="86"/>
    <w:family w:val="auto"/>
    <w:pitch w:val="default"/>
    <w:sig w:usb0="800002BF" w:usb1="38CF7CFA" w:usb2="00000016" w:usb3="00000000" w:csb0="00040001" w:csb1="00000000"/>
  </w:font>
  <w:font w:name="仿宋_GB2312">
    <w:altName w:val="仿宋"/>
    <w:panose1 w:val="02010609030101010101"/>
    <w:charset w:val="86"/>
    <w:family w:val="auto"/>
    <w:pitch w:val="default"/>
    <w:sig w:usb0="00000000" w:usb1="00000000" w:usb2="00000000" w:usb3="00000000" w:csb0="00040000" w:csb1="00000000"/>
  </w:font>
  <w:font w:name="仿宋">
    <w:panose1 w:val="02010609060101010101"/>
    <w:charset w:val="86"/>
    <w:family w:val="auto"/>
    <w:pitch w:val="default"/>
    <w:sig w:usb0="800002BF" w:usb1="38CF7CFA" w:usb2="00000016" w:usb3="00000000" w:csb0="00040001" w:csb1="00000000"/>
  </w:font>
  <w:font w:name="Malgun Gothic">
    <w:panose1 w:val="020B0503020000020004"/>
    <w:charset w:val="81"/>
    <w:family w:val="swiss"/>
    <w:pitch w:val="default"/>
    <w:sig w:usb0="9000002F" w:usb1="29D77CFB" w:usb2="00000012" w:usb3="00000000" w:csb0="00080001" w:csb1="00000000"/>
  </w:font>
  <w:font w:name="微软雅黑">
    <w:panose1 w:val="020B0503020204020204"/>
    <w:charset w:val="86"/>
    <w:family w:val="swiss"/>
    <w:pitch w:val="default"/>
    <w:sig w:usb0="80000287" w:usb1="2ACF3C50" w:usb2="00000016" w:usb3="00000000" w:csb0="0004001F" w:csb1="00000000"/>
  </w:font>
  <w:font w:name="KSOFE44F9426">
    <w:panose1 w:val="02010609060101010101"/>
    <w:charset w:val="86"/>
    <w:family w:val="auto"/>
    <w:pitch w:val="default"/>
    <w:sig w:usb0="00000001" w:usb1="00000000" w:usb2="00000000" w:usb3="00000000" w:csb0="00040001" w:csb1="00000000"/>
  </w:font>
  <w:font w:name="Microsoft YaHei UI">
    <w:panose1 w:val="020B0503020204020204"/>
    <w:charset w:val="86"/>
    <w:family w:val="auto"/>
    <w:pitch w:val="default"/>
    <w:sig w:usb0="80000287" w:usb1="2ACF3C50" w:usb2="00000016" w:usb3="00000000" w:csb0="0004001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B6E60D8">
    <w:pPr>
      <w:pStyle w:val="24"/>
      <w:framePr w:wrap="around" w:vAnchor="text" w:hAnchor="page" w:x="9035" w:y="-30"/>
      <w:ind w:firstLine="360"/>
      <w:rPr>
        <w:rStyle w:val="42"/>
        <w:rFonts w:ascii="仿宋" w:hAnsi="仿宋" w:eastAsia="仿宋" w:cs="仿宋"/>
      </w:rPr>
    </w:pPr>
  </w:p>
  <w:p w14:paraId="253AC2D8">
    <w:pPr>
      <w:pStyle w:val="24"/>
      <w:jc w:val="both"/>
      <w:rPr>
        <w:rFonts w:ascii="仿宋" w:hAnsi="仿宋" w:eastAsia="仿宋" w:cs="仿宋"/>
      </w:rPr>
    </w:pPr>
    <w:r>
      <mc:AlternateContent>
        <mc:Choice Requires="wps">
          <w:drawing>
            <wp:anchor distT="0" distB="0" distL="114300" distR="114300" simplePos="0" relativeHeight="251659264" behindDoc="0" locked="0" layoutInCell="1" allowOverlap="1">
              <wp:simplePos x="0" y="0"/>
              <wp:positionH relativeFrom="margin">
                <wp:posOffset>2743835</wp:posOffset>
              </wp:positionH>
              <wp:positionV relativeFrom="paragraph">
                <wp:posOffset>46990</wp:posOffset>
              </wp:positionV>
              <wp:extent cx="1828800" cy="1828800"/>
              <wp:effectExtent l="0" t="0" r="0" b="0"/>
              <wp:wrapNone/>
              <wp:docPr id="2" name="文本框 2"/>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a:effectLst/>
                    </wps:spPr>
                    <wps:txbx>
                      <w:txbxContent>
                        <w:p w14:paraId="52ABD5C9">
                          <w:pPr>
                            <w:pStyle w:val="24"/>
                            <w:ind w:firstLine="360"/>
                            <w:rPr>
                              <w:rStyle w:val="42"/>
                              <w:rFonts w:ascii="仿宋" w:hAnsi="仿宋" w:eastAsia="仿宋" w:cs="仿宋"/>
                            </w:rPr>
                          </w:pPr>
                          <w:r>
                            <w:rPr>
                              <w:rFonts w:hint="eastAsia" w:ascii="仿宋" w:hAnsi="仿宋" w:eastAsia="仿宋" w:cs="仿宋"/>
                            </w:rPr>
                            <w:fldChar w:fldCharType="begin"/>
                          </w:r>
                          <w:r>
                            <w:rPr>
                              <w:rStyle w:val="42"/>
                              <w:rFonts w:hint="eastAsia" w:ascii="仿宋" w:hAnsi="仿宋" w:eastAsia="仿宋" w:cs="仿宋"/>
                            </w:rPr>
                            <w:instrText xml:space="preserve">PAGE  </w:instrText>
                          </w:r>
                          <w:r>
                            <w:rPr>
                              <w:rFonts w:hint="eastAsia" w:ascii="仿宋" w:hAnsi="仿宋" w:eastAsia="仿宋" w:cs="仿宋"/>
                            </w:rPr>
                            <w:fldChar w:fldCharType="separate"/>
                          </w:r>
                          <w:r>
                            <w:rPr>
                              <w:rStyle w:val="42"/>
                              <w:rFonts w:ascii="仿宋" w:hAnsi="仿宋" w:eastAsia="仿宋" w:cs="仿宋"/>
                            </w:rPr>
                            <w:t>53</w:t>
                          </w:r>
                          <w:r>
                            <w:rPr>
                              <w:rFonts w:hint="eastAsia" w:ascii="仿宋" w:hAnsi="仿宋" w:eastAsia="仿宋" w:cs="仿宋"/>
                            </w:rP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left:216.05pt;margin-top:3.7pt;height:144pt;width:144pt;mso-position-horizontal-relative:margin;mso-wrap-style:none;z-index:251659264;mso-width-relative:page;mso-height-relative:page;" filled="f" stroked="f" coordsize="21600,21600" o:gfxdata="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">
              <v:fill on="f" focussize="0,0"/>
              <v:stroke on="f" weight="0.5pt"/>
              <v:imagedata o:title=""/>
              <o:lock v:ext="edit" aspectratio="f"/>
              <v:textbox inset="0mm,0mm,0mm,0mm" style="mso-fit-shape-to-text:t;">
                <w:txbxContent>
                  <w:p w14:paraId="52ABD5C9">
                    <w:pPr>
                      <w:pStyle w:val="24"/>
                      <w:ind w:firstLine="360"/>
                      <w:rPr>
                        <w:rStyle w:val="42"/>
                        <w:rFonts w:ascii="仿宋" w:hAnsi="仿宋" w:eastAsia="仿宋" w:cs="仿宋"/>
                      </w:rPr>
                    </w:pPr>
                    <w:r>
                      <w:rPr>
                        <w:rFonts w:hint="eastAsia" w:ascii="仿宋" w:hAnsi="仿宋" w:eastAsia="仿宋" w:cs="仿宋"/>
                      </w:rPr>
                      <w:fldChar w:fldCharType="begin"/>
                    </w:r>
                    <w:r>
                      <w:rPr>
                        <w:rStyle w:val="42"/>
                        <w:rFonts w:hint="eastAsia" w:ascii="仿宋" w:hAnsi="仿宋" w:eastAsia="仿宋" w:cs="仿宋"/>
                      </w:rPr>
                      <w:instrText xml:space="preserve">PAGE  </w:instrText>
                    </w:r>
                    <w:r>
                      <w:rPr>
                        <w:rFonts w:hint="eastAsia" w:ascii="仿宋" w:hAnsi="仿宋" w:eastAsia="仿宋" w:cs="仿宋"/>
                      </w:rPr>
                      <w:fldChar w:fldCharType="separate"/>
                    </w:r>
                    <w:r>
                      <w:rPr>
                        <w:rStyle w:val="42"/>
                        <w:rFonts w:ascii="仿宋" w:hAnsi="仿宋" w:eastAsia="仿宋" w:cs="仿宋"/>
                      </w:rPr>
                      <w:t>53</w:t>
                    </w:r>
                    <w:r>
                      <w:rPr>
                        <w:rFonts w:hint="eastAsia" w:ascii="仿宋" w:hAnsi="仿宋" w:eastAsia="仿宋" w:cs="仿宋"/>
                      </w:rPr>
                      <w:fldChar w:fldCharType="end"/>
                    </w:r>
                  </w:p>
                </w:txbxContent>
              </v:textbox>
            </v:shape>
          </w:pict>
        </mc:Fallback>
      </mc:AlternateContent>
    </w:r>
    <w:r>
      <w:rPr>
        <w:rFonts w:hint="eastAsia"/>
        <w:sz w:val="21"/>
        <w:szCs w:val="21"/>
        <w:u w:val="dotDash"/>
        <w:lang w:val="en-US" w:eastAsia="zh-CN"/>
      </w:rPr>
      <w:drawing>
        <wp:anchor distT="0" distB="0" distL="114300" distR="114300" simplePos="0" relativeHeight="251661312" behindDoc="0" locked="0" layoutInCell="1" allowOverlap="1">
          <wp:simplePos x="0" y="0"/>
          <wp:positionH relativeFrom="column">
            <wp:posOffset>21590</wp:posOffset>
          </wp:positionH>
          <wp:positionV relativeFrom="paragraph">
            <wp:posOffset>-24130</wp:posOffset>
          </wp:positionV>
          <wp:extent cx="1368425" cy="303530"/>
          <wp:effectExtent l="0" t="0" r="3175" b="1270"/>
          <wp:wrapNone/>
          <wp:docPr id="1" name="图片 2" descr="微信图片_20220818093846_副本"/>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图片 2" descr="微信图片_20220818093846_副本"/>
                  <pic:cNvPicPr>
                    <a:picLocks noChangeAspect="1"/>
                  </pic:cNvPicPr>
                </pic:nvPicPr>
                <pic:blipFill>
                  <a:blip r:embed="rId1"/>
                  <a:stretch>
                    <a:fillRect/>
                  </a:stretch>
                </pic:blipFill>
                <pic:spPr>
                  <a:xfrm>
                    <a:off x="0" y="0"/>
                    <a:ext cx="1368425" cy="303530"/>
                  </a:xfrm>
                  <a:prstGeom prst="rect">
                    <a:avLst/>
                  </a:prstGeom>
                  <a:noFill/>
                  <a:ln>
                    <a:noFill/>
                  </a:ln>
                </pic:spPr>
              </pic:pic>
            </a:graphicData>
          </a:graphic>
        </wp:anchor>
      </w:drawing>
    </w:r>
  </w:p>
  <w:p w14:paraId="34418FBF">
    <w:pPr>
      <w:rPr>
        <w:rFonts w:ascii="仿宋" w:hAnsi="仿宋" w:eastAsia="仿宋" w:cs="仿宋"/>
      </w:rP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CBA7CDA">
    <w:pPr>
      <w:pStyle w:val="24"/>
    </w:pPr>
    <w:r>
      <mc:AlternateContent>
        <mc:Choice Requires="wps">
          <w:drawing>
            <wp:anchor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3" name="文本框 3"/>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a:effectLst/>
                    </wps:spPr>
                    <wps:txbx>
                      <w:txbxContent>
                        <w:p w14:paraId="1F382E7F">
                          <w:pPr>
                            <w:pStyle w:val="24"/>
                          </w:pPr>
                          <w:r>
                            <w:fldChar w:fldCharType="begin"/>
                          </w:r>
                          <w:r>
                            <w:instrText xml:space="preserve"> PAGE  \* MERGEFORMAT </w:instrText>
                          </w:r>
                          <w:r>
                            <w:fldChar w:fldCharType="separate"/>
                          </w:r>
                          <w:r>
                            <w:t>1</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0288;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">
              <v:fill on="f" focussize="0,0"/>
              <v:stroke on="f" weight="0.5pt"/>
              <v:imagedata o:title=""/>
              <o:lock v:ext="edit" aspectratio="f"/>
              <v:textbox inset="0mm,0mm,0mm,0mm" style="mso-fit-shape-to-text:t;">
                <w:txbxContent>
                  <w:p w14:paraId="1F382E7F">
                    <w:pPr>
                      <w:pStyle w:val="24"/>
                    </w:pPr>
                    <w:r>
                      <w:fldChar w:fldCharType="begin"/>
                    </w:r>
                    <w:r>
                      <w:instrText xml:space="preserve"> PAGE  \* MERGEFORMAT </w:instrText>
                    </w:r>
                    <w:r>
                      <w:fldChar w:fldCharType="separate"/>
                    </w:r>
                    <w:r>
                      <w:t>1</w:t>
                    </w:r>
                    <w:r>
                      <w:fldChar w:fldCharType="end"/>
                    </w:r>
                  </w:p>
                </w:txbxContent>
              </v:textbox>
            </v:shape>
          </w:pict>
        </mc:Fallback>
      </mc:AlternateContent>
    </w: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589EFD5">
    <w:pPr>
      <w:pStyle w:val="25"/>
      <w:jc w:val="left"/>
    </w:pPr>
    <w:r>
      <w:rPr>
        <w:rFonts w:hint="eastAsia" w:ascii="宋体" w:hAnsi="宋体" w:cs="宋体"/>
        <w:lang w:eastAsia="zh-CN"/>
      </w:rPr>
      <w:t>石屏县坝心镇2026年白浪村委会大过细村产业道路建设项目</w:t>
    </w:r>
    <w:r>
      <w:rPr>
        <w:rFonts w:hint="eastAsia"/>
        <w:lang w:val="en-US" w:eastAsia="zh-CN"/>
      </w:rPr>
      <w:t xml:space="preserve">                                  </w:t>
    </w:r>
    <w:r>
      <w:rPr>
        <w:rFonts w:hint="eastAsia"/>
      </w:rPr>
      <w:t>竞争性磋商文件</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ECF10C4">
    <w:pPr>
      <w:pStyle w:val="25"/>
      <w:jc w:val="both"/>
    </w:pPr>
    <w:r>
      <w:rPr>
        <w:rFonts w:hint="eastAsia" w:ascii="宋体" w:hAnsi="宋体" w:cs="宋体"/>
        <w:szCs w:val="21"/>
        <w:lang w:eastAsia="zh-CN"/>
      </w:rPr>
      <w:t>石屏县坝心镇2026年白浪村委会大过细村产业道路建设项目</w:t>
    </w:r>
    <w:r>
      <w:rPr>
        <w:rFonts w:hint="eastAsia"/>
      </w:rPr>
      <w:t xml:space="preserve">         </w:t>
    </w:r>
    <w:r>
      <w:rPr>
        <w:rFonts w:hint="eastAsia"/>
        <w:lang w:val="en-US" w:eastAsia="zh-CN"/>
      </w:rPr>
      <w:t xml:space="preserve">        </w:t>
    </w:r>
    <w:r>
      <w:rPr>
        <w:rFonts w:hint="eastAsia"/>
      </w:rPr>
      <w:t xml:space="preserve">   </w:t>
    </w:r>
    <w:r>
      <w:rPr>
        <w:rFonts w:hint="eastAsia"/>
        <w:lang w:val="en-US" w:eastAsia="zh-CN"/>
      </w:rPr>
      <w:t xml:space="preserve">              </w:t>
    </w:r>
    <w:r>
      <w:rPr>
        <w:rFonts w:hint="eastAsia"/>
      </w:rPr>
      <w:t>竞争性磋商文件</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88F35028"/>
    <w:multiLevelType w:val="singleLevel"/>
    <w:tmpl w:val="88F35028"/>
    <w:lvl w:ilvl="0" w:tentative="0">
      <w:start w:val="1"/>
      <w:numFmt w:val="decimal"/>
      <w:lvlText w:val="3.2.%1"/>
      <w:lvlJc w:val="left"/>
      <w:pPr>
        <w:tabs>
          <w:tab w:val="left" w:pos="210"/>
        </w:tabs>
        <w:ind w:left="0" w:firstLine="480"/>
      </w:pPr>
      <w:rPr>
        <w:rFonts w:hint="default"/>
      </w:rPr>
    </w:lvl>
  </w:abstractNum>
  <w:abstractNum w:abstractNumId="1">
    <w:nsid w:val="8B98F353"/>
    <w:multiLevelType w:val="singleLevel"/>
    <w:tmpl w:val="8B98F353"/>
    <w:lvl w:ilvl="0" w:tentative="0">
      <w:start w:val="1"/>
      <w:numFmt w:val="decimal"/>
      <w:lvlText w:val="12.2.%1"/>
      <w:lvlJc w:val="left"/>
      <w:pPr>
        <w:tabs>
          <w:tab w:val="left" w:pos="210"/>
        </w:tabs>
        <w:ind w:left="0" w:firstLine="0"/>
      </w:pPr>
      <w:rPr>
        <w:rFonts w:hint="default"/>
      </w:rPr>
    </w:lvl>
  </w:abstractNum>
  <w:abstractNum w:abstractNumId="2">
    <w:nsid w:val="92E09C97"/>
    <w:multiLevelType w:val="singleLevel"/>
    <w:tmpl w:val="92E09C97"/>
    <w:lvl w:ilvl="0" w:tentative="0">
      <w:start w:val="1"/>
      <w:numFmt w:val="decimal"/>
      <w:suff w:val="nothing"/>
      <w:lvlText w:val="（%1）"/>
      <w:lvlJc w:val="left"/>
      <w:pPr>
        <w:ind w:left="0" w:firstLine="480"/>
      </w:pPr>
      <w:rPr>
        <w:rFonts w:hint="default"/>
      </w:rPr>
    </w:lvl>
  </w:abstractNum>
  <w:abstractNum w:abstractNumId="3">
    <w:nsid w:val="966843A9"/>
    <w:multiLevelType w:val="singleLevel"/>
    <w:tmpl w:val="966843A9"/>
    <w:lvl w:ilvl="0" w:tentative="0">
      <w:start w:val="1"/>
      <w:numFmt w:val="decimal"/>
      <w:lvlText w:val="1.1.%1"/>
      <w:lvlJc w:val="left"/>
      <w:pPr>
        <w:tabs>
          <w:tab w:val="left" w:pos="210"/>
        </w:tabs>
        <w:ind w:left="0" w:firstLine="0"/>
      </w:pPr>
      <w:rPr>
        <w:rFonts w:hint="default"/>
      </w:rPr>
    </w:lvl>
  </w:abstractNum>
  <w:abstractNum w:abstractNumId="4">
    <w:nsid w:val="A7139B53"/>
    <w:multiLevelType w:val="singleLevel"/>
    <w:tmpl w:val="A7139B53"/>
    <w:lvl w:ilvl="0" w:tentative="0">
      <w:start w:val="1"/>
      <w:numFmt w:val="decimal"/>
      <w:lvlText w:val="1.7.%1"/>
      <w:lvlJc w:val="left"/>
      <w:pPr>
        <w:tabs>
          <w:tab w:val="left" w:pos="210"/>
        </w:tabs>
        <w:ind w:left="0" w:firstLine="480"/>
      </w:pPr>
      <w:rPr>
        <w:rFonts w:hint="default"/>
      </w:rPr>
    </w:lvl>
  </w:abstractNum>
  <w:abstractNum w:abstractNumId="5">
    <w:nsid w:val="AB33B921"/>
    <w:multiLevelType w:val="singleLevel"/>
    <w:tmpl w:val="AB33B921"/>
    <w:lvl w:ilvl="0" w:tentative="0">
      <w:start w:val="1"/>
      <w:numFmt w:val="decimal"/>
      <w:suff w:val="nothing"/>
      <w:lvlText w:val="（%1）"/>
      <w:lvlJc w:val="left"/>
      <w:pPr>
        <w:ind w:left="0" w:firstLine="0"/>
      </w:pPr>
      <w:rPr>
        <w:rFonts w:hint="default"/>
      </w:rPr>
    </w:lvl>
  </w:abstractNum>
  <w:abstractNum w:abstractNumId="6">
    <w:nsid w:val="B10E7975"/>
    <w:multiLevelType w:val="singleLevel"/>
    <w:tmpl w:val="B10E7975"/>
    <w:lvl w:ilvl="0" w:tentative="0">
      <w:start w:val="1"/>
      <w:numFmt w:val="decimal"/>
      <w:lvlText w:val="12.4.%1"/>
      <w:lvlJc w:val="left"/>
      <w:pPr>
        <w:tabs>
          <w:tab w:val="left" w:pos="210"/>
        </w:tabs>
        <w:ind w:left="0" w:firstLine="0"/>
      </w:pPr>
      <w:rPr>
        <w:rFonts w:hint="default"/>
      </w:rPr>
    </w:lvl>
  </w:abstractNum>
  <w:abstractNum w:abstractNumId="7">
    <w:nsid w:val="BE11809D"/>
    <w:multiLevelType w:val="singleLevel"/>
    <w:tmpl w:val="BE11809D"/>
    <w:lvl w:ilvl="0" w:tentative="0">
      <w:start w:val="1"/>
      <w:numFmt w:val="decimal"/>
      <w:suff w:val="nothing"/>
      <w:lvlText w:val="（%1）"/>
      <w:lvlJc w:val="left"/>
      <w:pPr>
        <w:ind w:left="0" w:firstLine="480"/>
      </w:pPr>
      <w:rPr>
        <w:rFonts w:hint="default"/>
      </w:rPr>
    </w:lvl>
  </w:abstractNum>
  <w:abstractNum w:abstractNumId="8">
    <w:nsid w:val="C535F126"/>
    <w:multiLevelType w:val="singleLevel"/>
    <w:tmpl w:val="C535F126"/>
    <w:lvl w:ilvl="0" w:tentative="0">
      <w:start w:val="2"/>
      <w:numFmt w:val="decimal"/>
      <w:suff w:val="nothing"/>
      <w:lvlText w:val="%1、"/>
      <w:lvlJc w:val="left"/>
      <w:pPr>
        <w:ind w:left="0" w:firstLine="0"/>
      </w:pPr>
      <w:rPr>
        <w:rFonts w:hint="default"/>
      </w:rPr>
    </w:lvl>
  </w:abstractNum>
  <w:abstractNum w:abstractNumId="9">
    <w:nsid w:val="C9C8013B"/>
    <w:multiLevelType w:val="singleLevel"/>
    <w:tmpl w:val="C9C8013B"/>
    <w:lvl w:ilvl="0" w:tentative="0">
      <w:start w:val="2"/>
      <w:numFmt w:val="decimal"/>
      <w:suff w:val="nothing"/>
      <w:lvlText w:val="（%1）"/>
      <w:lvlJc w:val="left"/>
      <w:pPr>
        <w:ind w:left="0" w:firstLine="0"/>
      </w:pPr>
      <w:rPr>
        <w:rFonts w:hint="default"/>
      </w:rPr>
    </w:lvl>
  </w:abstractNum>
  <w:abstractNum w:abstractNumId="10">
    <w:nsid w:val="DB800D98"/>
    <w:multiLevelType w:val="singleLevel"/>
    <w:tmpl w:val="DB800D98"/>
    <w:lvl w:ilvl="0" w:tentative="0">
      <w:start w:val="2"/>
      <w:numFmt w:val="decimal"/>
      <w:lvlText w:val="2.%1"/>
      <w:lvlJc w:val="left"/>
      <w:pPr>
        <w:tabs>
          <w:tab w:val="left" w:pos="210"/>
        </w:tabs>
        <w:ind w:left="0" w:firstLine="0"/>
      </w:pPr>
      <w:rPr>
        <w:rFonts w:hint="default"/>
      </w:rPr>
    </w:lvl>
  </w:abstractNum>
  <w:abstractNum w:abstractNumId="11">
    <w:nsid w:val="F761B9F3"/>
    <w:multiLevelType w:val="singleLevel"/>
    <w:tmpl w:val="F761B9F3"/>
    <w:lvl w:ilvl="0" w:tentative="0">
      <w:start w:val="1"/>
      <w:numFmt w:val="decimal"/>
      <w:lvlText w:val="%1."/>
      <w:lvlJc w:val="left"/>
      <w:pPr>
        <w:tabs>
          <w:tab w:val="left" w:pos="210"/>
        </w:tabs>
        <w:ind w:left="0" w:firstLine="0"/>
      </w:pPr>
      <w:rPr>
        <w:rFonts w:hint="default"/>
      </w:rPr>
    </w:lvl>
  </w:abstractNum>
  <w:abstractNum w:abstractNumId="12">
    <w:nsid w:val="0EB0AEB2"/>
    <w:multiLevelType w:val="singleLevel"/>
    <w:tmpl w:val="0EB0AEB2"/>
    <w:lvl w:ilvl="0" w:tentative="0">
      <w:start w:val="1"/>
      <w:numFmt w:val="decimal"/>
      <w:lvlText w:val="3.3.%1"/>
      <w:lvlJc w:val="left"/>
      <w:pPr>
        <w:tabs>
          <w:tab w:val="left" w:pos="210"/>
        </w:tabs>
        <w:ind w:left="0" w:firstLine="480"/>
      </w:pPr>
      <w:rPr>
        <w:rFonts w:hint="default"/>
      </w:rPr>
    </w:lvl>
  </w:abstractNum>
  <w:abstractNum w:abstractNumId="13">
    <w:nsid w:val="1119641A"/>
    <w:multiLevelType w:val="singleLevel"/>
    <w:tmpl w:val="1119641A"/>
    <w:lvl w:ilvl="0" w:tentative="0">
      <w:start w:val="1"/>
      <w:numFmt w:val="decimal"/>
      <w:suff w:val="nothing"/>
      <w:lvlText w:val="（%1）"/>
      <w:lvlJc w:val="left"/>
      <w:pPr>
        <w:ind w:left="0" w:firstLine="0"/>
      </w:pPr>
      <w:rPr>
        <w:rFonts w:hint="default"/>
      </w:rPr>
    </w:lvl>
  </w:abstractNum>
  <w:abstractNum w:abstractNumId="14">
    <w:nsid w:val="1C9AAA28"/>
    <w:multiLevelType w:val="singleLevel"/>
    <w:tmpl w:val="1C9AAA28"/>
    <w:lvl w:ilvl="0" w:tentative="0">
      <w:start w:val="4"/>
      <w:numFmt w:val="decimal"/>
      <w:lvlText w:val="1.1.2.%1"/>
      <w:lvlJc w:val="left"/>
      <w:pPr>
        <w:tabs>
          <w:tab w:val="left" w:pos="210"/>
        </w:tabs>
        <w:ind w:left="0" w:firstLine="0"/>
      </w:pPr>
      <w:rPr>
        <w:rFonts w:hint="default"/>
      </w:rPr>
    </w:lvl>
  </w:abstractNum>
  <w:abstractNum w:abstractNumId="15">
    <w:nsid w:val="1F1655BF"/>
    <w:multiLevelType w:val="singleLevel"/>
    <w:tmpl w:val="1F1655BF"/>
    <w:lvl w:ilvl="0" w:tentative="0">
      <w:start w:val="7"/>
      <w:numFmt w:val="decimal"/>
      <w:lvlText w:val="1.1.3.%1"/>
      <w:lvlJc w:val="left"/>
      <w:pPr>
        <w:tabs>
          <w:tab w:val="left" w:pos="210"/>
        </w:tabs>
        <w:ind w:left="0" w:firstLine="480"/>
      </w:pPr>
      <w:rPr>
        <w:rFonts w:hint="default"/>
      </w:rPr>
    </w:lvl>
  </w:abstractNum>
  <w:abstractNum w:abstractNumId="16">
    <w:nsid w:val="45F3B5CB"/>
    <w:multiLevelType w:val="singleLevel"/>
    <w:tmpl w:val="45F3B5CB"/>
    <w:lvl w:ilvl="0" w:tentative="0">
      <w:start w:val="1"/>
      <w:numFmt w:val="decimal"/>
      <w:lvlText w:val="21.%1"/>
      <w:lvlJc w:val="left"/>
      <w:pPr>
        <w:tabs>
          <w:tab w:val="left" w:pos="210"/>
        </w:tabs>
        <w:ind w:left="0" w:firstLine="480"/>
      </w:pPr>
      <w:rPr>
        <w:rFonts w:hint="default"/>
      </w:rPr>
    </w:lvl>
  </w:abstractNum>
  <w:abstractNum w:abstractNumId="17">
    <w:nsid w:val="4B038EDC"/>
    <w:multiLevelType w:val="singleLevel"/>
    <w:tmpl w:val="4B038EDC"/>
    <w:lvl w:ilvl="0" w:tentative="0">
      <w:start w:val="1"/>
      <w:numFmt w:val="decimal"/>
      <w:lvlText w:val="12.1.%1"/>
      <w:lvlJc w:val="left"/>
      <w:pPr>
        <w:tabs>
          <w:tab w:val="left" w:pos="210"/>
        </w:tabs>
        <w:ind w:left="0" w:firstLine="480"/>
      </w:pPr>
      <w:rPr>
        <w:rFonts w:hint="default"/>
      </w:rPr>
    </w:lvl>
  </w:abstractNum>
  <w:abstractNum w:abstractNumId="18">
    <w:nsid w:val="4E4E11A7"/>
    <w:multiLevelType w:val="singleLevel"/>
    <w:tmpl w:val="4E4E11A7"/>
    <w:lvl w:ilvl="0" w:tentative="0">
      <w:start w:val="1"/>
      <w:numFmt w:val="decimal"/>
      <w:lvlText w:val="12.%1"/>
      <w:lvlJc w:val="left"/>
      <w:pPr>
        <w:tabs>
          <w:tab w:val="left" w:pos="210"/>
        </w:tabs>
        <w:ind w:left="0" w:firstLine="0"/>
      </w:pPr>
      <w:rPr>
        <w:rFonts w:hint="default"/>
      </w:rPr>
    </w:lvl>
  </w:abstractNum>
  <w:abstractNum w:abstractNumId="19">
    <w:nsid w:val="54326AA7"/>
    <w:multiLevelType w:val="singleLevel"/>
    <w:tmpl w:val="54326AA7"/>
    <w:lvl w:ilvl="0" w:tentative="0">
      <w:start w:val="2"/>
      <w:numFmt w:val="decimal"/>
      <w:lvlText w:val="15.%1"/>
      <w:lvlJc w:val="left"/>
      <w:pPr>
        <w:tabs>
          <w:tab w:val="left" w:pos="210"/>
        </w:tabs>
        <w:ind w:left="0" w:firstLine="0"/>
      </w:pPr>
      <w:rPr>
        <w:rFonts w:hint="default"/>
      </w:rPr>
    </w:lvl>
  </w:abstractNum>
  <w:abstractNum w:abstractNumId="20">
    <w:nsid w:val="5B6FA911"/>
    <w:multiLevelType w:val="singleLevel"/>
    <w:tmpl w:val="5B6FA911"/>
    <w:lvl w:ilvl="0" w:tentative="0">
      <w:start w:val="1"/>
      <w:numFmt w:val="decimal"/>
      <w:lvlText w:val="3.%1"/>
      <w:lvlJc w:val="left"/>
      <w:pPr>
        <w:tabs>
          <w:tab w:val="left" w:pos="210"/>
        </w:tabs>
        <w:ind w:left="0" w:firstLine="0"/>
      </w:pPr>
      <w:rPr>
        <w:rFonts w:hint="default"/>
      </w:rPr>
    </w:lvl>
  </w:abstractNum>
  <w:abstractNum w:abstractNumId="21">
    <w:nsid w:val="5BA1458D"/>
    <w:multiLevelType w:val="singleLevel"/>
    <w:tmpl w:val="5BA1458D"/>
    <w:lvl w:ilvl="0" w:tentative="0">
      <w:start w:val="1"/>
      <w:numFmt w:val="decimal"/>
      <w:lvlText w:val="4.%1"/>
      <w:lvlJc w:val="left"/>
      <w:pPr>
        <w:tabs>
          <w:tab w:val="left" w:pos="210"/>
        </w:tabs>
        <w:ind w:left="0" w:firstLine="0"/>
      </w:pPr>
      <w:rPr>
        <w:rFonts w:hint="default"/>
      </w:rPr>
    </w:lvl>
  </w:abstractNum>
  <w:abstractNum w:abstractNumId="22">
    <w:nsid w:val="6F201BD3"/>
    <w:multiLevelType w:val="singleLevel"/>
    <w:tmpl w:val="6F201BD3"/>
    <w:lvl w:ilvl="0" w:tentative="0">
      <w:start w:val="1"/>
      <w:numFmt w:val="decimal"/>
      <w:suff w:val="space"/>
      <w:lvlText w:val="%1."/>
      <w:lvlJc w:val="left"/>
    </w:lvl>
  </w:abstractNum>
  <w:abstractNum w:abstractNumId="23">
    <w:nsid w:val="7897E819"/>
    <w:multiLevelType w:val="singleLevel"/>
    <w:tmpl w:val="7897E819"/>
    <w:lvl w:ilvl="0" w:tentative="0">
      <w:start w:val="1"/>
      <w:numFmt w:val="decimal"/>
      <w:lvlText w:val="1.4.%1"/>
      <w:lvlJc w:val="left"/>
      <w:pPr>
        <w:tabs>
          <w:tab w:val="left" w:pos="210"/>
        </w:tabs>
        <w:ind w:left="0" w:firstLine="480"/>
      </w:pPr>
      <w:rPr>
        <w:rFonts w:hint="default"/>
      </w:rPr>
    </w:lvl>
  </w:abstractNum>
  <w:abstractNum w:abstractNumId="24">
    <w:nsid w:val="7A078968"/>
    <w:multiLevelType w:val="singleLevel"/>
    <w:tmpl w:val="7A078968"/>
    <w:lvl w:ilvl="0" w:tentative="0">
      <w:start w:val="1"/>
      <w:numFmt w:val="decimal"/>
      <w:suff w:val="nothing"/>
      <w:lvlText w:val="（%1）"/>
      <w:lvlJc w:val="left"/>
      <w:pPr>
        <w:ind w:left="0" w:firstLine="480"/>
      </w:pPr>
      <w:rPr>
        <w:rFonts w:hint="default"/>
      </w:rPr>
    </w:lvl>
  </w:abstractNum>
  <w:abstractNum w:abstractNumId="25">
    <w:nsid w:val="7ABAB3B4"/>
    <w:multiLevelType w:val="singleLevel"/>
    <w:tmpl w:val="7ABAB3B4"/>
    <w:lvl w:ilvl="0" w:tentative="0">
      <w:start w:val="1"/>
      <w:numFmt w:val="decimal"/>
      <w:suff w:val="nothing"/>
      <w:lvlText w:val="（%1）"/>
      <w:lvlJc w:val="left"/>
      <w:pPr>
        <w:ind w:left="0" w:firstLine="480"/>
      </w:pPr>
      <w:rPr>
        <w:rFonts w:hint="default"/>
      </w:rPr>
    </w:lvl>
  </w:abstractNum>
  <w:num w:numId="1">
    <w:abstractNumId w:val="11"/>
  </w:num>
  <w:num w:numId="2">
    <w:abstractNumId w:val="3"/>
  </w:num>
  <w:num w:numId="3">
    <w:abstractNumId w:val="24"/>
  </w:num>
  <w:num w:numId="4">
    <w:abstractNumId w:val="14"/>
  </w:num>
  <w:num w:numId="5">
    <w:abstractNumId w:val="15"/>
  </w:num>
  <w:num w:numId="6">
    <w:abstractNumId w:val="23"/>
  </w:num>
  <w:num w:numId="7">
    <w:abstractNumId w:val="4"/>
  </w:num>
  <w:num w:numId="8">
    <w:abstractNumId w:val="10"/>
  </w:num>
  <w:num w:numId="9">
    <w:abstractNumId w:val="20"/>
  </w:num>
  <w:num w:numId="10">
    <w:abstractNumId w:val="13"/>
  </w:num>
  <w:num w:numId="11">
    <w:abstractNumId w:val="0"/>
  </w:num>
  <w:num w:numId="12">
    <w:abstractNumId w:val="12"/>
  </w:num>
  <w:num w:numId="13">
    <w:abstractNumId w:val="21"/>
  </w:num>
  <w:num w:numId="14">
    <w:abstractNumId w:val="25"/>
  </w:num>
  <w:num w:numId="15">
    <w:abstractNumId w:val="18"/>
  </w:num>
  <w:num w:numId="16">
    <w:abstractNumId w:val="17"/>
  </w:num>
  <w:num w:numId="17">
    <w:abstractNumId w:val="1"/>
  </w:num>
  <w:num w:numId="18">
    <w:abstractNumId w:val="6"/>
  </w:num>
  <w:num w:numId="19">
    <w:abstractNumId w:val="9"/>
  </w:num>
  <w:num w:numId="20">
    <w:abstractNumId w:val="5"/>
  </w:num>
  <w:num w:numId="21">
    <w:abstractNumId w:val="8"/>
  </w:num>
  <w:num w:numId="22">
    <w:abstractNumId w:val="19"/>
  </w:num>
  <w:num w:numId="23">
    <w:abstractNumId w:val="2"/>
  </w:num>
  <w:num w:numId="24">
    <w:abstractNumId w:val="16"/>
  </w:num>
  <w:num w:numId="25">
    <w:abstractNumId w:val="7"/>
  </w:num>
  <w:num w:numId="26">
    <w:abstractNumId w:val="2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73"/>
  <w:bordersDoNotSurroundHeader w:val="0"/>
  <w:bordersDoNotSurroundFooter w:val="0"/>
  <w:documentProtection w:enforcement="0"/>
  <w:defaultTabStop w:val="420"/>
  <w:drawingGridVerticalSpacing w:val="156"/>
  <w:displayHorizontalDrawingGridEvery w:val="1"/>
  <w:displayVerticalDrawingGridEvery w:val="1"/>
  <w:noPunctuationKerning w:val="1"/>
  <w:characterSpacingControl w:val="compressPunctuation"/>
  <w:hdrShapeDefaults>
    <o:shapelayout v:ext="edit">
      <o:idmap v:ext="edit" data="3,4"/>
    </o:shapelayout>
  </w:hdrShapeDefaults>
  <w:compat>
    <w:spaceForUL/>
    <w:balanceSingleByteDoubleByteWidth/>
    <w:doNotLeaveBackslashAlone/>
    <w:ulTrailSpace/>
    <w:doNotExpandShiftReturn/>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NWIyMDdkMDMxMDYyODg2NDE4OWI4OTE2YjYyNzgxMDQifQ=="/>
  </w:docVars>
  <w:rsids>
    <w:rsidRoot w:val="00BB3D2E"/>
    <w:rsid w:val="0000356C"/>
    <w:rsid w:val="0004525B"/>
    <w:rsid w:val="00050FC0"/>
    <w:rsid w:val="00063972"/>
    <w:rsid w:val="000747DE"/>
    <w:rsid w:val="0008289A"/>
    <w:rsid w:val="000831D5"/>
    <w:rsid w:val="00086179"/>
    <w:rsid w:val="00094322"/>
    <w:rsid w:val="000A4E32"/>
    <w:rsid w:val="000B7659"/>
    <w:rsid w:val="000D1EDD"/>
    <w:rsid w:val="000E5332"/>
    <w:rsid w:val="000F2267"/>
    <w:rsid w:val="0011129B"/>
    <w:rsid w:val="00112E6C"/>
    <w:rsid w:val="001165F3"/>
    <w:rsid w:val="00123345"/>
    <w:rsid w:val="001412D5"/>
    <w:rsid w:val="0015262B"/>
    <w:rsid w:val="0016009B"/>
    <w:rsid w:val="001617B1"/>
    <w:rsid w:val="00163077"/>
    <w:rsid w:val="001A4D7E"/>
    <w:rsid w:val="001B4520"/>
    <w:rsid w:val="001E394D"/>
    <w:rsid w:val="001E65D3"/>
    <w:rsid w:val="001F232D"/>
    <w:rsid w:val="001F257A"/>
    <w:rsid w:val="001F2741"/>
    <w:rsid w:val="001F4973"/>
    <w:rsid w:val="00224E0E"/>
    <w:rsid w:val="002566CF"/>
    <w:rsid w:val="00257A15"/>
    <w:rsid w:val="00263C6C"/>
    <w:rsid w:val="0027065C"/>
    <w:rsid w:val="00271505"/>
    <w:rsid w:val="00280552"/>
    <w:rsid w:val="0028279C"/>
    <w:rsid w:val="00284928"/>
    <w:rsid w:val="00284A89"/>
    <w:rsid w:val="00287FBD"/>
    <w:rsid w:val="0029161F"/>
    <w:rsid w:val="002A093B"/>
    <w:rsid w:val="002A0BA8"/>
    <w:rsid w:val="002B2200"/>
    <w:rsid w:val="002C59FE"/>
    <w:rsid w:val="002D07A1"/>
    <w:rsid w:val="002E13A3"/>
    <w:rsid w:val="002E620B"/>
    <w:rsid w:val="002E7A16"/>
    <w:rsid w:val="002F45A3"/>
    <w:rsid w:val="00302FBD"/>
    <w:rsid w:val="0030613D"/>
    <w:rsid w:val="00306CAD"/>
    <w:rsid w:val="00313AE6"/>
    <w:rsid w:val="0032273F"/>
    <w:rsid w:val="00324C0E"/>
    <w:rsid w:val="003369B9"/>
    <w:rsid w:val="0033758E"/>
    <w:rsid w:val="0034022F"/>
    <w:rsid w:val="00340A9B"/>
    <w:rsid w:val="00350608"/>
    <w:rsid w:val="003666E3"/>
    <w:rsid w:val="003677BB"/>
    <w:rsid w:val="0037002D"/>
    <w:rsid w:val="00382282"/>
    <w:rsid w:val="0039089B"/>
    <w:rsid w:val="003934AB"/>
    <w:rsid w:val="003940CB"/>
    <w:rsid w:val="003B034D"/>
    <w:rsid w:val="003B6728"/>
    <w:rsid w:val="003C196B"/>
    <w:rsid w:val="003C1D8E"/>
    <w:rsid w:val="003C1DF8"/>
    <w:rsid w:val="003E079F"/>
    <w:rsid w:val="003E3BC0"/>
    <w:rsid w:val="003E663D"/>
    <w:rsid w:val="003F2374"/>
    <w:rsid w:val="00406FBF"/>
    <w:rsid w:val="00407551"/>
    <w:rsid w:val="00410545"/>
    <w:rsid w:val="00410C9B"/>
    <w:rsid w:val="00422BD5"/>
    <w:rsid w:val="00430F7C"/>
    <w:rsid w:val="0043373A"/>
    <w:rsid w:val="0043510F"/>
    <w:rsid w:val="00437E3B"/>
    <w:rsid w:val="00440434"/>
    <w:rsid w:val="004468B0"/>
    <w:rsid w:val="0045242A"/>
    <w:rsid w:val="004538D2"/>
    <w:rsid w:val="004941E5"/>
    <w:rsid w:val="004A365A"/>
    <w:rsid w:val="004A555A"/>
    <w:rsid w:val="004B10F8"/>
    <w:rsid w:val="004B6CB5"/>
    <w:rsid w:val="004B6EFD"/>
    <w:rsid w:val="004B7E89"/>
    <w:rsid w:val="004C026C"/>
    <w:rsid w:val="004D3363"/>
    <w:rsid w:val="004D4E2B"/>
    <w:rsid w:val="004D7109"/>
    <w:rsid w:val="004E26E1"/>
    <w:rsid w:val="004E421C"/>
    <w:rsid w:val="004E7388"/>
    <w:rsid w:val="004F1DA4"/>
    <w:rsid w:val="004F3625"/>
    <w:rsid w:val="004F441E"/>
    <w:rsid w:val="00502867"/>
    <w:rsid w:val="005033F1"/>
    <w:rsid w:val="00505910"/>
    <w:rsid w:val="00523DBB"/>
    <w:rsid w:val="00527331"/>
    <w:rsid w:val="00527FBD"/>
    <w:rsid w:val="00530764"/>
    <w:rsid w:val="0053540A"/>
    <w:rsid w:val="00551DFF"/>
    <w:rsid w:val="00551EEC"/>
    <w:rsid w:val="00553905"/>
    <w:rsid w:val="00556285"/>
    <w:rsid w:val="00557472"/>
    <w:rsid w:val="00560D2B"/>
    <w:rsid w:val="00564E05"/>
    <w:rsid w:val="005667F0"/>
    <w:rsid w:val="00575A1E"/>
    <w:rsid w:val="00576CDD"/>
    <w:rsid w:val="00577D6B"/>
    <w:rsid w:val="00582698"/>
    <w:rsid w:val="00586CBF"/>
    <w:rsid w:val="005C5BC5"/>
    <w:rsid w:val="005C6B8B"/>
    <w:rsid w:val="005E3327"/>
    <w:rsid w:val="00600521"/>
    <w:rsid w:val="00614681"/>
    <w:rsid w:val="0063032E"/>
    <w:rsid w:val="00637F18"/>
    <w:rsid w:val="0064060A"/>
    <w:rsid w:val="00641EA9"/>
    <w:rsid w:val="0064223E"/>
    <w:rsid w:val="006501A4"/>
    <w:rsid w:val="00664603"/>
    <w:rsid w:val="00664BB5"/>
    <w:rsid w:val="00685860"/>
    <w:rsid w:val="006972F5"/>
    <w:rsid w:val="006A3576"/>
    <w:rsid w:val="006A3EF4"/>
    <w:rsid w:val="006B7F41"/>
    <w:rsid w:val="006C1B11"/>
    <w:rsid w:val="006E1AEA"/>
    <w:rsid w:val="006E59B2"/>
    <w:rsid w:val="006F1E77"/>
    <w:rsid w:val="006F6811"/>
    <w:rsid w:val="006F7BE7"/>
    <w:rsid w:val="00701509"/>
    <w:rsid w:val="0071748D"/>
    <w:rsid w:val="007174C9"/>
    <w:rsid w:val="00722BBD"/>
    <w:rsid w:val="00725895"/>
    <w:rsid w:val="0072732E"/>
    <w:rsid w:val="00731F95"/>
    <w:rsid w:val="007402FC"/>
    <w:rsid w:val="007411E7"/>
    <w:rsid w:val="00753B24"/>
    <w:rsid w:val="00762785"/>
    <w:rsid w:val="00771F22"/>
    <w:rsid w:val="00777551"/>
    <w:rsid w:val="007805B6"/>
    <w:rsid w:val="00782628"/>
    <w:rsid w:val="007B21C3"/>
    <w:rsid w:val="007B6E78"/>
    <w:rsid w:val="007C19DE"/>
    <w:rsid w:val="007D18C8"/>
    <w:rsid w:val="007D2018"/>
    <w:rsid w:val="007D7DA8"/>
    <w:rsid w:val="007E1620"/>
    <w:rsid w:val="007E2BF2"/>
    <w:rsid w:val="007E42AD"/>
    <w:rsid w:val="007E6AAB"/>
    <w:rsid w:val="007E71DF"/>
    <w:rsid w:val="008028E9"/>
    <w:rsid w:val="0081380A"/>
    <w:rsid w:val="00820865"/>
    <w:rsid w:val="008345D8"/>
    <w:rsid w:val="00841C51"/>
    <w:rsid w:val="00842CDA"/>
    <w:rsid w:val="0084441D"/>
    <w:rsid w:val="00851943"/>
    <w:rsid w:val="00863292"/>
    <w:rsid w:val="00866179"/>
    <w:rsid w:val="00876D96"/>
    <w:rsid w:val="00881C01"/>
    <w:rsid w:val="00893A6B"/>
    <w:rsid w:val="0089612D"/>
    <w:rsid w:val="008A446E"/>
    <w:rsid w:val="008A4EAE"/>
    <w:rsid w:val="008C038B"/>
    <w:rsid w:val="008C5996"/>
    <w:rsid w:val="008C5DD7"/>
    <w:rsid w:val="008C78CC"/>
    <w:rsid w:val="008D4B42"/>
    <w:rsid w:val="008D4D95"/>
    <w:rsid w:val="008F1299"/>
    <w:rsid w:val="008F7731"/>
    <w:rsid w:val="008F7FC0"/>
    <w:rsid w:val="0090309C"/>
    <w:rsid w:val="00910B9B"/>
    <w:rsid w:val="00927BAB"/>
    <w:rsid w:val="00931222"/>
    <w:rsid w:val="00934369"/>
    <w:rsid w:val="00946072"/>
    <w:rsid w:val="00950532"/>
    <w:rsid w:val="009510F1"/>
    <w:rsid w:val="009557B0"/>
    <w:rsid w:val="009621C3"/>
    <w:rsid w:val="009723CD"/>
    <w:rsid w:val="009743BE"/>
    <w:rsid w:val="00985341"/>
    <w:rsid w:val="009A6380"/>
    <w:rsid w:val="009B0ED0"/>
    <w:rsid w:val="009B4D2F"/>
    <w:rsid w:val="009C5CFC"/>
    <w:rsid w:val="009D23F5"/>
    <w:rsid w:val="009D328F"/>
    <w:rsid w:val="009D6760"/>
    <w:rsid w:val="009D6A96"/>
    <w:rsid w:val="009E072B"/>
    <w:rsid w:val="009E3597"/>
    <w:rsid w:val="009E3B43"/>
    <w:rsid w:val="009F5FC1"/>
    <w:rsid w:val="00A102EA"/>
    <w:rsid w:val="00A3093C"/>
    <w:rsid w:val="00A44761"/>
    <w:rsid w:val="00A57930"/>
    <w:rsid w:val="00A6756A"/>
    <w:rsid w:val="00A724D0"/>
    <w:rsid w:val="00A75873"/>
    <w:rsid w:val="00A765E4"/>
    <w:rsid w:val="00A77A62"/>
    <w:rsid w:val="00A800FF"/>
    <w:rsid w:val="00A8600E"/>
    <w:rsid w:val="00A965B1"/>
    <w:rsid w:val="00A96E85"/>
    <w:rsid w:val="00AA0909"/>
    <w:rsid w:val="00AA298E"/>
    <w:rsid w:val="00AB31F7"/>
    <w:rsid w:val="00AB7F4B"/>
    <w:rsid w:val="00AC2860"/>
    <w:rsid w:val="00AC2985"/>
    <w:rsid w:val="00AC3138"/>
    <w:rsid w:val="00AC57F7"/>
    <w:rsid w:val="00AC60F4"/>
    <w:rsid w:val="00AD0C80"/>
    <w:rsid w:val="00AE07C3"/>
    <w:rsid w:val="00AF02EF"/>
    <w:rsid w:val="00AF4295"/>
    <w:rsid w:val="00B00A19"/>
    <w:rsid w:val="00B017C0"/>
    <w:rsid w:val="00B02250"/>
    <w:rsid w:val="00B049CF"/>
    <w:rsid w:val="00B076A0"/>
    <w:rsid w:val="00B1279A"/>
    <w:rsid w:val="00B1309D"/>
    <w:rsid w:val="00B20A2D"/>
    <w:rsid w:val="00B21CB2"/>
    <w:rsid w:val="00B36DF9"/>
    <w:rsid w:val="00B41B2F"/>
    <w:rsid w:val="00B41CE0"/>
    <w:rsid w:val="00BA5743"/>
    <w:rsid w:val="00BA6173"/>
    <w:rsid w:val="00BB3D2E"/>
    <w:rsid w:val="00BC136C"/>
    <w:rsid w:val="00BC14D2"/>
    <w:rsid w:val="00BD175D"/>
    <w:rsid w:val="00BF5C9F"/>
    <w:rsid w:val="00BF5D80"/>
    <w:rsid w:val="00C03F3B"/>
    <w:rsid w:val="00C0573D"/>
    <w:rsid w:val="00C13120"/>
    <w:rsid w:val="00C227CB"/>
    <w:rsid w:val="00C24BF9"/>
    <w:rsid w:val="00C35819"/>
    <w:rsid w:val="00C55635"/>
    <w:rsid w:val="00C634BF"/>
    <w:rsid w:val="00C641A1"/>
    <w:rsid w:val="00C7280F"/>
    <w:rsid w:val="00C84781"/>
    <w:rsid w:val="00CA120B"/>
    <w:rsid w:val="00CA2FD2"/>
    <w:rsid w:val="00CB2138"/>
    <w:rsid w:val="00CC03AE"/>
    <w:rsid w:val="00CC3A41"/>
    <w:rsid w:val="00CC4346"/>
    <w:rsid w:val="00CC595C"/>
    <w:rsid w:val="00CD5EB0"/>
    <w:rsid w:val="00CE3136"/>
    <w:rsid w:val="00CF5320"/>
    <w:rsid w:val="00D17A1B"/>
    <w:rsid w:val="00D21941"/>
    <w:rsid w:val="00D3041D"/>
    <w:rsid w:val="00D563E2"/>
    <w:rsid w:val="00D607C8"/>
    <w:rsid w:val="00D750B7"/>
    <w:rsid w:val="00D84681"/>
    <w:rsid w:val="00DA5F12"/>
    <w:rsid w:val="00DA76CD"/>
    <w:rsid w:val="00DA7FFD"/>
    <w:rsid w:val="00DB4F2E"/>
    <w:rsid w:val="00DC3115"/>
    <w:rsid w:val="00DE5DE9"/>
    <w:rsid w:val="00DF7FED"/>
    <w:rsid w:val="00E00EB6"/>
    <w:rsid w:val="00E04EC4"/>
    <w:rsid w:val="00E05F52"/>
    <w:rsid w:val="00E102ED"/>
    <w:rsid w:val="00E15D7E"/>
    <w:rsid w:val="00E22948"/>
    <w:rsid w:val="00E23D1E"/>
    <w:rsid w:val="00E26B7D"/>
    <w:rsid w:val="00E42DE2"/>
    <w:rsid w:val="00E43FB6"/>
    <w:rsid w:val="00E47585"/>
    <w:rsid w:val="00E644E8"/>
    <w:rsid w:val="00E64FCC"/>
    <w:rsid w:val="00E7369C"/>
    <w:rsid w:val="00E810C6"/>
    <w:rsid w:val="00E81D5A"/>
    <w:rsid w:val="00E950AF"/>
    <w:rsid w:val="00E97B97"/>
    <w:rsid w:val="00EA4E71"/>
    <w:rsid w:val="00EA6FB9"/>
    <w:rsid w:val="00EB05E5"/>
    <w:rsid w:val="00EB1201"/>
    <w:rsid w:val="00EB4DA9"/>
    <w:rsid w:val="00EB60ED"/>
    <w:rsid w:val="00EB7158"/>
    <w:rsid w:val="00ED0CEB"/>
    <w:rsid w:val="00ED733F"/>
    <w:rsid w:val="00EE4AEA"/>
    <w:rsid w:val="00EF1EE6"/>
    <w:rsid w:val="00EF2AF9"/>
    <w:rsid w:val="00EF75B5"/>
    <w:rsid w:val="00F001A9"/>
    <w:rsid w:val="00F11F15"/>
    <w:rsid w:val="00F26D4E"/>
    <w:rsid w:val="00F31891"/>
    <w:rsid w:val="00F32AE4"/>
    <w:rsid w:val="00F56560"/>
    <w:rsid w:val="00F6036C"/>
    <w:rsid w:val="00F61691"/>
    <w:rsid w:val="00F624D2"/>
    <w:rsid w:val="00F635AA"/>
    <w:rsid w:val="00F7541A"/>
    <w:rsid w:val="00F939D9"/>
    <w:rsid w:val="00FA407A"/>
    <w:rsid w:val="00FB672E"/>
    <w:rsid w:val="00FC2229"/>
    <w:rsid w:val="00FC2970"/>
    <w:rsid w:val="00FD3313"/>
    <w:rsid w:val="00FD75BF"/>
    <w:rsid w:val="00FE0E98"/>
    <w:rsid w:val="00FE3E9F"/>
    <w:rsid w:val="00FF7CA6"/>
    <w:rsid w:val="0107589E"/>
    <w:rsid w:val="01335DA9"/>
    <w:rsid w:val="01783F0D"/>
    <w:rsid w:val="01E054EB"/>
    <w:rsid w:val="02F4514A"/>
    <w:rsid w:val="0403750F"/>
    <w:rsid w:val="05355BB9"/>
    <w:rsid w:val="058644B7"/>
    <w:rsid w:val="062B54F8"/>
    <w:rsid w:val="06E17D3B"/>
    <w:rsid w:val="06EB6FC9"/>
    <w:rsid w:val="077E2852"/>
    <w:rsid w:val="08002443"/>
    <w:rsid w:val="08756449"/>
    <w:rsid w:val="08B10286"/>
    <w:rsid w:val="08B770F0"/>
    <w:rsid w:val="09420839"/>
    <w:rsid w:val="099A2A42"/>
    <w:rsid w:val="0A5E4FC5"/>
    <w:rsid w:val="0A6842D0"/>
    <w:rsid w:val="0BBA2E59"/>
    <w:rsid w:val="0C2B0802"/>
    <w:rsid w:val="0D375952"/>
    <w:rsid w:val="0D9C0F87"/>
    <w:rsid w:val="0EB25028"/>
    <w:rsid w:val="0EF01A7B"/>
    <w:rsid w:val="0F114F36"/>
    <w:rsid w:val="0F3A6F2A"/>
    <w:rsid w:val="0F4C0D9E"/>
    <w:rsid w:val="1000438D"/>
    <w:rsid w:val="107B75BB"/>
    <w:rsid w:val="11A2154B"/>
    <w:rsid w:val="11DC3E02"/>
    <w:rsid w:val="123245E6"/>
    <w:rsid w:val="12922832"/>
    <w:rsid w:val="12DA3653"/>
    <w:rsid w:val="136928D2"/>
    <w:rsid w:val="139768DB"/>
    <w:rsid w:val="139E2E9A"/>
    <w:rsid w:val="13C126F4"/>
    <w:rsid w:val="15806971"/>
    <w:rsid w:val="166133E4"/>
    <w:rsid w:val="173F2704"/>
    <w:rsid w:val="174340FA"/>
    <w:rsid w:val="17AB74B7"/>
    <w:rsid w:val="18D67574"/>
    <w:rsid w:val="18E15DAF"/>
    <w:rsid w:val="18E62B82"/>
    <w:rsid w:val="198D78AF"/>
    <w:rsid w:val="1A8E575F"/>
    <w:rsid w:val="1C0618D7"/>
    <w:rsid w:val="1EB61656"/>
    <w:rsid w:val="1EFA060C"/>
    <w:rsid w:val="1FAE057F"/>
    <w:rsid w:val="1FB654D6"/>
    <w:rsid w:val="1FD91A3E"/>
    <w:rsid w:val="205F08B5"/>
    <w:rsid w:val="211C279C"/>
    <w:rsid w:val="21336F8E"/>
    <w:rsid w:val="21594DE2"/>
    <w:rsid w:val="216E6194"/>
    <w:rsid w:val="219A234E"/>
    <w:rsid w:val="22356295"/>
    <w:rsid w:val="224470AB"/>
    <w:rsid w:val="22CB4A1D"/>
    <w:rsid w:val="230E7F09"/>
    <w:rsid w:val="233F4832"/>
    <w:rsid w:val="23B95266"/>
    <w:rsid w:val="24471377"/>
    <w:rsid w:val="248708A6"/>
    <w:rsid w:val="253F2236"/>
    <w:rsid w:val="25EF23B4"/>
    <w:rsid w:val="273B2923"/>
    <w:rsid w:val="274D61CC"/>
    <w:rsid w:val="27766AE6"/>
    <w:rsid w:val="279F584E"/>
    <w:rsid w:val="28DC615D"/>
    <w:rsid w:val="299603A0"/>
    <w:rsid w:val="2B430715"/>
    <w:rsid w:val="2B9E1CE5"/>
    <w:rsid w:val="2BAC0C6C"/>
    <w:rsid w:val="2BC33781"/>
    <w:rsid w:val="2BEA0B91"/>
    <w:rsid w:val="2CF04918"/>
    <w:rsid w:val="2D560F91"/>
    <w:rsid w:val="2F5549B6"/>
    <w:rsid w:val="2FEE4F27"/>
    <w:rsid w:val="301C445C"/>
    <w:rsid w:val="308D6C8E"/>
    <w:rsid w:val="309B5C6C"/>
    <w:rsid w:val="314305C0"/>
    <w:rsid w:val="31455A34"/>
    <w:rsid w:val="31B60DF3"/>
    <w:rsid w:val="31EC540E"/>
    <w:rsid w:val="32304152"/>
    <w:rsid w:val="32375C48"/>
    <w:rsid w:val="32384404"/>
    <w:rsid w:val="327458EB"/>
    <w:rsid w:val="32F11E1B"/>
    <w:rsid w:val="3318333F"/>
    <w:rsid w:val="334F49A5"/>
    <w:rsid w:val="33C905FB"/>
    <w:rsid w:val="33D4504C"/>
    <w:rsid w:val="34903056"/>
    <w:rsid w:val="34E77F0E"/>
    <w:rsid w:val="367C4ADB"/>
    <w:rsid w:val="36F31649"/>
    <w:rsid w:val="374A7538"/>
    <w:rsid w:val="374B734C"/>
    <w:rsid w:val="37DD1B7F"/>
    <w:rsid w:val="393743E0"/>
    <w:rsid w:val="395C1DE2"/>
    <w:rsid w:val="39D82C7C"/>
    <w:rsid w:val="3A320F54"/>
    <w:rsid w:val="3A6A26F6"/>
    <w:rsid w:val="3AAF1D63"/>
    <w:rsid w:val="3B0A6F43"/>
    <w:rsid w:val="3BC00E47"/>
    <w:rsid w:val="3BCD4AF6"/>
    <w:rsid w:val="3C8C1F1C"/>
    <w:rsid w:val="3D1C206E"/>
    <w:rsid w:val="3E5720B6"/>
    <w:rsid w:val="3F874C1D"/>
    <w:rsid w:val="3FAD4DFC"/>
    <w:rsid w:val="403272B5"/>
    <w:rsid w:val="42197352"/>
    <w:rsid w:val="42DE6F84"/>
    <w:rsid w:val="43000E72"/>
    <w:rsid w:val="432B78B1"/>
    <w:rsid w:val="4338313B"/>
    <w:rsid w:val="4385118F"/>
    <w:rsid w:val="450816A7"/>
    <w:rsid w:val="45D71D2E"/>
    <w:rsid w:val="46B91BEB"/>
    <w:rsid w:val="49997A26"/>
    <w:rsid w:val="49A71D16"/>
    <w:rsid w:val="4A2937FC"/>
    <w:rsid w:val="4A770942"/>
    <w:rsid w:val="4AC80C08"/>
    <w:rsid w:val="4AE119A1"/>
    <w:rsid w:val="4B334CC1"/>
    <w:rsid w:val="4B6776B0"/>
    <w:rsid w:val="4C6F3F7F"/>
    <w:rsid w:val="4C8F1E4E"/>
    <w:rsid w:val="4CCB5AAF"/>
    <w:rsid w:val="4D7849BE"/>
    <w:rsid w:val="4D957FF1"/>
    <w:rsid w:val="4DF16639"/>
    <w:rsid w:val="4E2B2C17"/>
    <w:rsid w:val="4E2B39BC"/>
    <w:rsid w:val="4EE64285"/>
    <w:rsid w:val="50074D28"/>
    <w:rsid w:val="50646767"/>
    <w:rsid w:val="516B3C89"/>
    <w:rsid w:val="51B27923"/>
    <w:rsid w:val="52234D72"/>
    <w:rsid w:val="522424BE"/>
    <w:rsid w:val="52BE22AC"/>
    <w:rsid w:val="534C395E"/>
    <w:rsid w:val="535111B8"/>
    <w:rsid w:val="537265B3"/>
    <w:rsid w:val="537E008C"/>
    <w:rsid w:val="538616A1"/>
    <w:rsid w:val="546226CC"/>
    <w:rsid w:val="550311CF"/>
    <w:rsid w:val="555242EB"/>
    <w:rsid w:val="55F506FE"/>
    <w:rsid w:val="56277340"/>
    <w:rsid w:val="56292132"/>
    <w:rsid w:val="571A5941"/>
    <w:rsid w:val="57BF367B"/>
    <w:rsid w:val="57CB38B8"/>
    <w:rsid w:val="58215911"/>
    <w:rsid w:val="5937586B"/>
    <w:rsid w:val="59B317C0"/>
    <w:rsid w:val="5A232B0E"/>
    <w:rsid w:val="5A2E5F69"/>
    <w:rsid w:val="5ABF6B4D"/>
    <w:rsid w:val="5B951A12"/>
    <w:rsid w:val="5C4413D7"/>
    <w:rsid w:val="5C71038F"/>
    <w:rsid w:val="5CFD4795"/>
    <w:rsid w:val="5D2348D5"/>
    <w:rsid w:val="5F141515"/>
    <w:rsid w:val="5F432E51"/>
    <w:rsid w:val="5F8C7B05"/>
    <w:rsid w:val="5F8E3006"/>
    <w:rsid w:val="60F84563"/>
    <w:rsid w:val="6339259A"/>
    <w:rsid w:val="63C90AB0"/>
    <w:rsid w:val="64607667"/>
    <w:rsid w:val="65B167CE"/>
    <w:rsid w:val="65D8539B"/>
    <w:rsid w:val="65F36AC6"/>
    <w:rsid w:val="66AE7612"/>
    <w:rsid w:val="690F19A1"/>
    <w:rsid w:val="69454560"/>
    <w:rsid w:val="69B85BE0"/>
    <w:rsid w:val="69F86CDC"/>
    <w:rsid w:val="6B452C89"/>
    <w:rsid w:val="6B82622F"/>
    <w:rsid w:val="6BAE5055"/>
    <w:rsid w:val="6D353574"/>
    <w:rsid w:val="6DE47844"/>
    <w:rsid w:val="71291BBA"/>
    <w:rsid w:val="72ED0003"/>
    <w:rsid w:val="732D014F"/>
    <w:rsid w:val="739553D7"/>
    <w:rsid w:val="741C47E6"/>
    <w:rsid w:val="75730A5F"/>
    <w:rsid w:val="75EC3415"/>
    <w:rsid w:val="769C0744"/>
    <w:rsid w:val="77BE04D4"/>
    <w:rsid w:val="77C4233B"/>
    <w:rsid w:val="78781443"/>
    <w:rsid w:val="789A1831"/>
    <w:rsid w:val="78CC60C2"/>
    <w:rsid w:val="78E636B9"/>
    <w:rsid w:val="7A7D2ACC"/>
    <w:rsid w:val="7ADA283F"/>
    <w:rsid w:val="7B12673A"/>
    <w:rsid w:val="7E2C3CBE"/>
    <w:rsid w:val="7EC32B03"/>
    <w:rsid w:val="7F902A52"/>
  </w:rsids>
  <m:mathPr>
    <m:mathFont m:val="Cambria Math"/>
    <m:brkBin m:val="before"/>
    <m:brkBinSub m:val="--"/>
    <m:smallFrac m:val="1"/>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mc:AlternateContent>
    <mc:Choice Requires="wpsCustomData">
      <wpsCustomData:typoFeatureVersion val="1"/>
    </mc:Choice>
  </mc:AlternateConten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nhideWhenUsed="0" w:uiPriority="0" w:semiHidden="0" w:name="heading 2"/>
    <w:lsdException w:qFormat="1" w:unhideWhenUsed="0" w:uiPriority="0" w:semiHidden="0" w:name="heading 3"/>
    <w:lsdException w:qFormat="1" w:unhideWhenUsed="0" w:uiPriority="0" w:semiHidden="0" w:name="heading 4"/>
    <w:lsdException w:qFormat="1" w:unhideWhenUsed="0" w:uiPriority="0" w:semiHidden="0" w:name="heading 5"/>
    <w:lsdException w:qFormat="1" w:unhideWhenUsed="0" w:uiPriority="0" w:semiHidden="0" w:name="heading 6"/>
    <w:lsdException w:qFormat="1" w:uiPriority="0" w:name="heading 7"/>
    <w:lsdException w:qFormat="1" w:uiPriority="0" w:name="heading 8"/>
    <w:lsdException w:qFormat="1" w:uiPriority="0" w:name="heading 9"/>
    <w:lsdException w:uiPriority="0" w:name="index 1"/>
    <w:lsdException w:uiPriority="0" w:name="index 2"/>
    <w:lsdException w:uiPriority="0" w:name="index 3"/>
    <w:lsdException w:uiPriority="0" w:name="index 4"/>
    <w:lsdException w:uiPriority="0" w:name="index 5"/>
    <w:lsdException w:uiPriority="0" w:name="index 6"/>
    <w:lsdException w:uiPriority="0" w:name="index 7"/>
    <w:lsdException w:uiPriority="0" w:name="index 8"/>
    <w:lsdException w:uiPriority="0" w:name="index 9"/>
    <w:lsdException w:qFormat="1" w:uiPriority="39" w:semiHidden="0" w:name="toc 1"/>
    <w:lsdException w:qFormat="1" w:uiPriority="39" w:semiHidden="0" w:name="toc 2"/>
    <w:lsdException w:qFormat="1" w:uiPriority="39" w:semiHidden="0" w:name="toc 3"/>
    <w:lsdException w:qFormat="1" w:uiPriority="0" w:name="toc 4"/>
    <w:lsdException w:qFormat="1" w:uiPriority="0" w:name="toc 5"/>
    <w:lsdException w:qFormat="1" w:uiPriority="0" w:name="toc 6"/>
    <w:lsdException w:qFormat="1" w:uiPriority="0" w:name="toc 7"/>
    <w:lsdException w:qFormat="1" w:uiPriority="0" w:name="toc 8"/>
    <w:lsdException w:qFormat="1" w:uiPriority="0" w:name="toc 9"/>
    <w:lsdException w:qFormat="1" w:unhideWhenUsed="0" w:uiPriority="0" w:semiHidden="0" w:name="Normal Indent"/>
    <w:lsdException w:qFormat="1" w:unhideWhenUsed="0" w:uiPriority="0" w:semiHidden="0" w:name="footnote text"/>
    <w:lsdException w:qFormat="1" w:unhideWhenUsed="0" w:uiPriority="0" w:semiHidden="0" w:name="annotation text"/>
    <w:lsdException w:qFormat="1" w:unhideWhenUsed="0" w:uiPriority="0" w:semiHidden="0" w:name="header"/>
    <w:lsdException w:qFormat="1" w:unhideWhenUsed="0" w:uiPriority="99" w:semiHidden="0" w:name="footer"/>
    <w:lsdException w:uiPriority="0" w:name="index heading"/>
    <w:lsdException w:qFormat="1" w:uiPriority="0" w:name="caption"/>
    <w:lsdException w:uiPriority="0" w:name="table of figures"/>
    <w:lsdException w:uiPriority="0" w:name="envelope address"/>
    <w:lsdException w:uiPriority="0" w:name="envelope return"/>
    <w:lsdException w:uiPriority="0" w:name="footnote reference"/>
    <w:lsdException w:qFormat="1" w:unhideWhenUsed="0" w:uiPriority="0" w:semiHidden="0" w:name="annotation reference"/>
    <w:lsdException w:uiPriority="0" w:name="line number"/>
    <w:lsdException w:qFormat="1" w:unhideWhenUsed="0" w:uiPriority="0" w:semiHidden="0" w:name="page number"/>
    <w:lsdException w:uiPriority="0" w:name="endnote reference"/>
    <w:lsdException w:uiPriority="0" w:name="endnote text"/>
    <w:lsdException w:uiPriority="0" w:name="table of authorities"/>
    <w:lsdException w:uiPriority="0" w:name="macro"/>
    <w:lsdException w:uiPriority="0" w:name="toa heading"/>
    <w:lsdException w:uiPriority="0" w:name="List"/>
    <w:lsdException w:qFormat="1" w:unhideWhenUsed="0" w:uiPriority="0" w:semiHidden="0" w:name="List Bullet"/>
    <w:lsdException w:uiPriority="0" w:name="List Number"/>
    <w:lsdException w:uiPriority="0" w:name="List 2"/>
    <w:lsdException w:qFormat="1" w:unhideWhenUsed="0" w:uiPriority="0" w:semiHidden="0" w:name="List 3"/>
    <w:lsdException w:uiPriority="0" w:name="List 4"/>
    <w:lsdException w:uiPriority="0" w:name="List 5"/>
    <w:lsdException w:qFormat="1" w:unhideWhenUsed="0" w:uiPriority="0" w:semiHidden="0" w:name="List Bullet 2"/>
    <w:lsdException w:uiPriority="0" w:name="List Bullet 3"/>
    <w:lsdException w:qFormat="1" w:unhideWhenUsed="0" w:uiPriority="0" w:semiHidden="0" w:name="List Bullet 4"/>
    <w:lsdException w:uiPriority="0" w:name="List Bullet 5"/>
    <w:lsdException w:uiPriority="0" w:name="List Number 2"/>
    <w:lsdException w:uiPriority="0" w:name="List Number 3"/>
    <w:lsdException w:uiPriority="0" w:name="List Number 4"/>
    <w:lsdException w:uiPriority="0" w:name="List Number 5"/>
    <w:lsdException w:qFormat="1" w:unhideWhenUsed="0" w:uiPriority="0" w:semiHidden="0" w:name="Title"/>
    <w:lsdException w:uiPriority="0" w:name="Closing"/>
    <w:lsdException w:uiPriority="0" w:name="Signature"/>
    <w:lsdException w:qFormat="1" w:uiPriority="1" w:semiHidden="0" w:name="Default Paragraph Font"/>
    <w:lsdException w:qFormat="1" w:unhideWhenUsed="0" w:uiPriority="0" w:semiHidden="0" w:name="Body Text"/>
    <w:lsdException w:qFormat="1" w:unhideWhenUsed="0" w:uiPriority="0" w:semiHidden="0" w:name="Body Text Indent"/>
    <w:lsdException w:uiPriority="0" w:name="List Continue"/>
    <w:lsdException w:uiPriority="0" w:name="List Continue 2"/>
    <w:lsdException w:unhideWhenUsed="0" w:uiPriority="0" w:semiHidden="0" w:name="List Continue 3"/>
    <w:lsdException w:unhideWhenUsed="0" w:uiPriority="0" w:semiHidden="0" w:name="List Continue 4"/>
    <w:lsdException w:unhideWhenUsed="0" w:uiPriority="0" w:semiHidden="0" w:name="List Continue 5"/>
    <w:lsdException w:uiPriority="0" w:name="Message Header"/>
    <w:lsdException w:qFormat="1" w:unhideWhenUsed="0" w:uiPriority="0" w:semiHidden="0" w:name="Subtitle"/>
    <w:lsdException w:uiPriority="0" w:name="Salutation"/>
    <w:lsdException w:qFormat="1" w:unhideWhenUsed="0" w:uiPriority="0" w:semiHidden="0" w:name="Date"/>
    <w:lsdException w:qFormat="1" w:unhideWhenUsed="0" w:uiPriority="0" w:semiHidden="0" w:name="Body Text First Indent"/>
    <w:lsdException w:qFormat="1" w:unhideWhenUsed="0" w:uiPriority="0" w:semiHidden="0" w:name="Body Text First Indent 2"/>
    <w:lsdException w:uiPriority="0" w:name="Note Heading"/>
    <w:lsdException w:qFormat="1" w:unhideWhenUsed="0" w:uiPriority="0" w:semiHidden="0" w:name="Body Text 2"/>
    <w:lsdException w:qFormat="1" w:unhideWhenUsed="0" w:uiPriority="0" w:semiHidden="0" w:name="Body Text 3"/>
    <w:lsdException w:qFormat="1" w:unhideWhenUsed="0" w:uiPriority="0" w:semiHidden="0" w:name="Body Text Indent 2"/>
    <w:lsdException w:qFormat="1" w:unhideWhenUsed="0" w:uiPriority="0" w:semiHidden="0" w:name="Body Text Indent 3"/>
    <w:lsdException w:qFormat="1" w:unhideWhenUsed="0" w:uiPriority="0" w:semiHidden="0" w:name="Block Text"/>
    <w:lsdException w:qFormat="1" w:unhideWhenUsed="0" w:uiPriority="99" w:semiHidden="0" w:name="Hyperlink"/>
    <w:lsdException w:qFormat="1" w:uiPriority="99" w:name="FollowedHyperlink"/>
    <w:lsdException w:qFormat="1" w:unhideWhenUsed="0" w:uiPriority="0" w:semiHidden="0" w:name="Strong"/>
    <w:lsdException w:qFormat="1" w:unhideWhenUsed="0" w:uiPriority="0" w:semiHidden="0" w:name="Emphasis"/>
    <w:lsdException w:qFormat="1" w:unhideWhenUsed="0" w:uiPriority="0" w:semiHidden="0" w:name="Document Map"/>
    <w:lsdException w:qFormat="1" w:unhideWhenUsed="0" w:uiPriority="0" w:semiHidden="0" w:name="Plain Text"/>
    <w:lsdException w:uiPriority="0" w:name="E-mail Signature"/>
    <w:lsdException w:qFormat="1" w:unhideWhenUsed="0" w:uiPriority="0" w:semiHidden="0" w:name="Normal (Web)"/>
    <w:lsdException w:uiPriority="0" w:name="HTML Acronym"/>
    <w:lsdException w:uiPriority="0" w:name="HTML Address"/>
    <w:lsdException w:uiPriority="0" w:name="HTML Cite"/>
    <w:lsdException w:uiPriority="0" w:name="HTML Code"/>
    <w:lsdException w:uiPriority="0" w:name="HTML Definition"/>
    <w:lsdException w:uiPriority="0" w:name="HTML Keyboard"/>
    <w:lsdException w:qFormat="1" w:unhideWhenUsed="0" w:uiPriority="0" w:semiHidden="0" w:name="HTML Preformatted"/>
    <w:lsdException w:uiPriority="0" w:name="HTML Sample"/>
    <w:lsdException w:uiPriority="0" w:name="HTML Typewriter"/>
    <w:lsdException w:uiPriority="0" w:name="HTML Variable"/>
    <w:lsdException w:qFormat="1" w:uiPriority="99" w:semiHidden="0" w:name="Normal Table"/>
    <w:lsdException w:qFormat="1" w:unhideWhenUsed="0" w:uiPriority="0" w:semiHidden="0" w:name="annotation subject"/>
    <w:lsdException w:uiPriority="0" w:name="Table Simple 1"/>
    <w:lsdException w:uiPriority="0" w:name="Table Simple 2"/>
    <w:lsdException w:uiPriority="0" w:name="Table Simple 3"/>
    <w:lsdException w:uiPriority="0" w:name="Table Classic 1"/>
    <w:lsdException w:uiPriority="0" w:name="Table Classic 2"/>
    <w:lsdException w:uiPriority="0" w:name="Table Classic 3"/>
    <w:lsdException w:uiPriority="0" w:name="Table Classic 4"/>
    <w:lsdException w:uiPriority="0" w:name="Table Colorful 1"/>
    <w:lsdException w:uiPriority="0" w:name="Table Colorful 2"/>
    <w:lsdException w:uiPriority="0" w:name="Table Colorful 3"/>
    <w:lsdException w:uiPriority="0" w:name="Table Columns 1"/>
    <w:lsdException w:uiPriority="0" w:name="Table Columns 2"/>
    <w:lsdException w:uiPriority="0" w:name="Table Columns 3"/>
    <w:lsdException w:uiPriority="0" w:name="Table Columns 4"/>
    <w:lsdException w:uiPriority="0" w:name="Table Columns 5"/>
    <w:lsdException w:uiPriority="0" w:name="Table Grid 1"/>
    <w:lsdException w:uiPriority="0" w:name="Table Grid 2"/>
    <w:lsdException w:uiPriority="0" w:name="Table Grid 3"/>
    <w:lsdException w:uiPriority="0" w:name="Table Grid 4"/>
    <w:lsdException w:uiPriority="0" w:name="Table Grid 5"/>
    <w:lsdException w:uiPriority="0" w:name="Table Grid 6"/>
    <w:lsdException w:uiPriority="0" w:name="Table Grid 7"/>
    <w:lsdException w:uiPriority="0" w:name="Table Grid 8"/>
    <w:lsdException w:uiPriority="0" w:name="Table List 1"/>
    <w:lsdException w:uiPriority="0" w:name="Table List 2"/>
    <w:lsdException w:uiPriority="0" w:name="Table List 3"/>
    <w:lsdException w:uiPriority="0" w:name="Table List 4"/>
    <w:lsdException w:uiPriority="0" w:name="Table List 5"/>
    <w:lsdException w:uiPriority="0" w:name="Table List 6"/>
    <w:lsdException w:uiPriority="0" w:name="Table List 7"/>
    <w:lsdException w:uiPriority="0" w:name="Table List 8"/>
    <w:lsdException w:uiPriority="0" w:name="Table 3D effects 1"/>
    <w:lsdException w:uiPriority="0" w:name="Table 3D effects 2"/>
    <w:lsdException w:uiPriority="0" w:name="Table 3D effects 3"/>
    <w:lsdException w:uiPriority="0" w:name="Table Contemporary"/>
    <w:lsdException w:uiPriority="0" w:name="Table Elegant"/>
    <w:lsdException w:uiPriority="0" w:name="Table Professional"/>
    <w:lsdException w:uiPriority="0" w:name="Table Subtle 1"/>
    <w:lsdException w:uiPriority="0" w:name="Table Subtle 2"/>
    <w:lsdException w:uiPriority="0" w:name="Table Web 1"/>
    <w:lsdException w:uiPriority="0" w:name="Table Web 2"/>
    <w:lsdException w:uiPriority="0" w:name="Table Web 3"/>
    <w:lsdException w:qFormat="1" w:unhideWhenUsed="0" w:uiPriority="0" w:semiHidden="0" w:name="Balloon Text"/>
    <w:lsdException w:qFormat="1" w:unhideWhenUsed="0" w:uiPriority="0" w:semiHidden="0" w:name="Table Grid"/>
    <w:lsdException w:uiPriority="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Calibri" w:hAnsi="Calibri" w:eastAsia="宋体" w:cs="Times New Roman"/>
      <w:kern w:val="2"/>
      <w:sz w:val="21"/>
      <w:lang w:val="en-US" w:eastAsia="zh-CN" w:bidi="ar-SA"/>
    </w:rPr>
  </w:style>
  <w:style w:type="paragraph" w:styleId="2">
    <w:name w:val="heading 1"/>
    <w:basedOn w:val="1"/>
    <w:next w:val="1"/>
    <w:link w:val="49"/>
    <w:autoRedefine/>
    <w:qFormat/>
    <w:uiPriority w:val="0"/>
    <w:pPr>
      <w:keepNext/>
      <w:autoSpaceDE w:val="0"/>
      <w:autoSpaceDN w:val="0"/>
      <w:adjustRightInd w:val="0"/>
      <w:jc w:val="center"/>
      <w:outlineLvl w:val="0"/>
    </w:pPr>
    <w:rPr>
      <w:rFonts w:ascii="宋体"/>
      <w:color w:val="000000"/>
      <w:sz w:val="28"/>
    </w:rPr>
  </w:style>
  <w:style w:type="paragraph" w:styleId="3">
    <w:name w:val="heading 2"/>
    <w:basedOn w:val="1"/>
    <w:next w:val="1"/>
    <w:link w:val="46"/>
    <w:autoRedefine/>
    <w:qFormat/>
    <w:uiPriority w:val="0"/>
    <w:pPr>
      <w:keepNext/>
      <w:keepLines/>
      <w:spacing w:before="260" w:after="260" w:line="413" w:lineRule="auto"/>
      <w:outlineLvl w:val="1"/>
    </w:pPr>
    <w:rPr>
      <w:rFonts w:ascii="Arial" w:hAnsi="Arial" w:eastAsia="黑体"/>
      <w:b/>
      <w:sz w:val="32"/>
    </w:rPr>
  </w:style>
  <w:style w:type="paragraph" w:styleId="4">
    <w:name w:val="heading 3"/>
    <w:basedOn w:val="1"/>
    <w:next w:val="1"/>
    <w:link w:val="72"/>
    <w:autoRedefine/>
    <w:qFormat/>
    <w:uiPriority w:val="0"/>
    <w:pPr>
      <w:keepNext/>
      <w:keepLines/>
      <w:spacing w:before="260" w:after="260" w:line="413" w:lineRule="auto"/>
      <w:outlineLvl w:val="2"/>
    </w:pPr>
    <w:rPr>
      <w:b/>
      <w:bCs/>
      <w:sz w:val="32"/>
      <w:szCs w:val="32"/>
    </w:rPr>
  </w:style>
  <w:style w:type="paragraph" w:styleId="5">
    <w:name w:val="heading 4"/>
    <w:basedOn w:val="1"/>
    <w:next w:val="1"/>
    <w:link w:val="82"/>
    <w:autoRedefine/>
    <w:qFormat/>
    <w:uiPriority w:val="0"/>
    <w:pPr>
      <w:keepNext/>
      <w:tabs>
        <w:tab w:val="left" w:pos="840"/>
        <w:tab w:val="left" w:pos="1353"/>
      </w:tabs>
      <w:ind w:left="1353" w:hanging="360"/>
      <w:outlineLvl w:val="3"/>
    </w:pPr>
    <w:rPr>
      <w:rFonts w:ascii="华文中宋" w:hAnsi="华文中宋" w:eastAsia="华文中宋"/>
      <w:b/>
      <w:bCs/>
      <w:sz w:val="28"/>
    </w:rPr>
  </w:style>
  <w:style w:type="paragraph" w:styleId="6">
    <w:name w:val="heading 5"/>
    <w:basedOn w:val="1"/>
    <w:next w:val="1"/>
    <w:link w:val="73"/>
    <w:autoRedefine/>
    <w:qFormat/>
    <w:uiPriority w:val="0"/>
    <w:pPr>
      <w:keepNext/>
      <w:keepLines/>
      <w:spacing w:before="280" w:after="290" w:line="372" w:lineRule="auto"/>
      <w:outlineLvl w:val="4"/>
    </w:pPr>
    <w:rPr>
      <w:b/>
      <w:bCs/>
      <w:sz w:val="28"/>
      <w:szCs w:val="28"/>
    </w:rPr>
  </w:style>
  <w:style w:type="paragraph" w:styleId="7">
    <w:name w:val="heading 6"/>
    <w:basedOn w:val="1"/>
    <w:next w:val="1"/>
    <w:link w:val="83"/>
    <w:autoRedefine/>
    <w:qFormat/>
    <w:uiPriority w:val="0"/>
    <w:pPr>
      <w:ind w:left="40" w:firstLine="680"/>
      <w:outlineLvl w:val="5"/>
    </w:pPr>
    <w:rPr>
      <w:sz w:val="28"/>
    </w:rPr>
  </w:style>
  <w:style w:type="character" w:default="1" w:styleId="40">
    <w:name w:val="Default Paragraph Font"/>
    <w:autoRedefine/>
    <w:unhideWhenUsed/>
    <w:qFormat/>
    <w:uiPriority w:val="1"/>
  </w:style>
  <w:style w:type="table" w:default="1" w:styleId="38">
    <w:name w:val="Normal Table"/>
    <w:autoRedefine/>
    <w:unhideWhenUsed/>
    <w:qFormat/>
    <w:uiPriority w:val="99"/>
    <w:tblPr>
      <w:tblCellMar>
        <w:top w:w="0" w:type="dxa"/>
        <w:left w:w="108" w:type="dxa"/>
        <w:bottom w:w="0" w:type="dxa"/>
        <w:right w:w="108" w:type="dxa"/>
      </w:tblCellMar>
    </w:tblPr>
  </w:style>
  <w:style w:type="paragraph" w:styleId="8">
    <w:name w:val="List 3"/>
    <w:basedOn w:val="1"/>
    <w:autoRedefine/>
    <w:qFormat/>
    <w:uiPriority w:val="0"/>
    <w:pPr>
      <w:adjustRightInd w:val="0"/>
      <w:spacing w:line="312" w:lineRule="atLeast"/>
      <w:ind w:left="1260" w:hanging="420"/>
      <w:textAlignment w:val="baseline"/>
    </w:pPr>
    <w:rPr>
      <w:kern w:val="0"/>
    </w:rPr>
  </w:style>
  <w:style w:type="paragraph" w:styleId="9">
    <w:name w:val="List Bullet 4"/>
    <w:basedOn w:val="1"/>
    <w:autoRedefine/>
    <w:qFormat/>
    <w:uiPriority w:val="0"/>
    <w:pPr>
      <w:tabs>
        <w:tab w:val="left" w:pos="375"/>
      </w:tabs>
      <w:ind w:left="375" w:hanging="375"/>
    </w:pPr>
  </w:style>
  <w:style w:type="paragraph" w:styleId="10">
    <w:name w:val="Normal Indent"/>
    <w:basedOn w:val="1"/>
    <w:link w:val="52"/>
    <w:autoRedefine/>
    <w:qFormat/>
    <w:uiPriority w:val="0"/>
    <w:pPr>
      <w:ind w:firstLine="420" w:firstLineChars="200"/>
    </w:pPr>
  </w:style>
  <w:style w:type="paragraph" w:styleId="11">
    <w:name w:val="List Bullet"/>
    <w:basedOn w:val="1"/>
    <w:autoRedefine/>
    <w:qFormat/>
    <w:uiPriority w:val="0"/>
    <w:pPr>
      <w:tabs>
        <w:tab w:val="left" w:pos="1284"/>
      </w:tabs>
      <w:ind w:left="1284" w:hanging="720"/>
    </w:pPr>
  </w:style>
  <w:style w:type="paragraph" w:styleId="12">
    <w:name w:val="Document Map"/>
    <w:basedOn w:val="1"/>
    <w:link w:val="87"/>
    <w:qFormat/>
    <w:uiPriority w:val="0"/>
    <w:pPr>
      <w:shd w:val="clear" w:color="auto" w:fill="000080"/>
    </w:pPr>
  </w:style>
  <w:style w:type="paragraph" w:styleId="13">
    <w:name w:val="annotation text"/>
    <w:basedOn w:val="1"/>
    <w:link w:val="71"/>
    <w:qFormat/>
    <w:uiPriority w:val="0"/>
    <w:pPr>
      <w:jc w:val="left"/>
    </w:pPr>
    <w:rPr>
      <w:szCs w:val="24"/>
    </w:rPr>
  </w:style>
  <w:style w:type="paragraph" w:styleId="14">
    <w:name w:val="Body Text 3"/>
    <w:basedOn w:val="1"/>
    <w:link w:val="89"/>
    <w:qFormat/>
    <w:uiPriority w:val="0"/>
    <w:pPr>
      <w:spacing w:after="120"/>
    </w:pPr>
    <w:rPr>
      <w:sz w:val="16"/>
      <w:szCs w:val="16"/>
    </w:rPr>
  </w:style>
  <w:style w:type="paragraph" w:styleId="15">
    <w:name w:val="Body Text"/>
    <w:basedOn w:val="1"/>
    <w:link w:val="55"/>
    <w:qFormat/>
    <w:uiPriority w:val="0"/>
    <w:pPr>
      <w:spacing w:after="120"/>
    </w:pPr>
    <w:rPr>
      <w:szCs w:val="24"/>
    </w:rPr>
  </w:style>
  <w:style w:type="paragraph" w:styleId="16">
    <w:name w:val="Body Text Indent"/>
    <w:basedOn w:val="1"/>
    <w:next w:val="1"/>
    <w:link w:val="67"/>
    <w:autoRedefine/>
    <w:qFormat/>
    <w:uiPriority w:val="0"/>
    <w:pPr>
      <w:ind w:firstLine="540"/>
    </w:pPr>
    <w:rPr>
      <w:sz w:val="28"/>
    </w:rPr>
  </w:style>
  <w:style w:type="paragraph" w:styleId="17">
    <w:name w:val="Block Text"/>
    <w:basedOn w:val="1"/>
    <w:qFormat/>
    <w:uiPriority w:val="0"/>
    <w:pPr>
      <w:widowControl/>
      <w:spacing w:after="120"/>
      <w:ind w:left="1440" w:leftChars="700" w:right="1440" w:rightChars="700"/>
      <w:jc w:val="left"/>
    </w:pPr>
    <w:rPr>
      <w:kern w:val="0"/>
      <w:sz w:val="20"/>
    </w:rPr>
  </w:style>
  <w:style w:type="paragraph" w:styleId="18">
    <w:name w:val="List Bullet 2"/>
    <w:basedOn w:val="1"/>
    <w:autoRedefine/>
    <w:qFormat/>
    <w:uiPriority w:val="0"/>
    <w:pPr>
      <w:tabs>
        <w:tab w:val="left" w:pos="1265"/>
      </w:tabs>
      <w:ind w:left="1265" w:hanging="705"/>
    </w:pPr>
  </w:style>
  <w:style w:type="paragraph" w:styleId="19">
    <w:name w:val="toc 3"/>
    <w:basedOn w:val="1"/>
    <w:next w:val="1"/>
    <w:autoRedefine/>
    <w:unhideWhenUsed/>
    <w:qFormat/>
    <w:uiPriority w:val="39"/>
    <w:pPr>
      <w:ind w:left="840" w:leftChars="400"/>
    </w:pPr>
  </w:style>
  <w:style w:type="paragraph" w:styleId="20">
    <w:name w:val="Plain Text"/>
    <w:basedOn w:val="1"/>
    <w:link w:val="51"/>
    <w:autoRedefine/>
    <w:qFormat/>
    <w:uiPriority w:val="0"/>
    <w:rPr>
      <w:rFonts w:ascii="宋体" w:hAnsi="Courier New"/>
    </w:rPr>
  </w:style>
  <w:style w:type="paragraph" w:styleId="21">
    <w:name w:val="Date"/>
    <w:basedOn w:val="1"/>
    <w:next w:val="1"/>
    <w:link w:val="88"/>
    <w:autoRedefine/>
    <w:qFormat/>
    <w:uiPriority w:val="0"/>
    <w:pPr>
      <w:ind w:left="100" w:leftChars="2500"/>
    </w:pPr>
  </w:style>
  <w:style w:type="paragraph" w:styleId="22">
    <w:name w:val="Body Text Indent 2"/>
    <w:basedOn w:val="1"/>
    <w:link w:val="79"/>
    <w:autoRedefine/>
    <w:qFormat/>
    <w:uiPriority w:val="0"/>
    <w:pPr>
      <w:adjustRightInd w:val="0"/>
      <w:snapToGrid w:val="0"/>
      <w:spacing w:line="300" w:lineRule="auto"/>
      <w:ind w:firstLine="630" w:firstLineChars="300"/>
    </w:pPr>
    <w:rPr>
      <w:snapToGrid w:val="0"/>
      <w:kern w:val="0"/>
      <w:szCs w:val="24"/>
    </w:rPr>
  </w:style>
  <w:style w:type="paragraph" w:styleId="23">
    <w:name w:val="Balloon Text"/>
    <w:basedOn w:val="1"/>
    <w:link w:val="78"/>
    <w:autoRedefine/>
    <w:qFormat/>
    <w:uiPriority w:val="0"/>
    <w:rPr>
      <w:sz w:val="18"/>
      <w:szCs w:val="18"/>
    </w:rPr>
  </w:style>
  <w:style w:type="paragraph" w:styleId="24">
    <w:name w:val="footer"/>
    <w:basedOn w:val="1"/>
    <w:link w:val="58"/>
    <w:autoRedefine/>
    <w:qFormat/>
    <w:uiPriority w:val="99"/>
    <w:pPr>
      <w:tabs>
        <w:tab w:val="center" w:pos="4153"/>
        <w:tab w:val="right" w:pos="8306"/>
      </w:tabs>
      <w:snapToGrid w:val="0"/>
      <w:jc w:val="left"/>
    </w:pPr>
    <w:rPr>
      <w:sz w:val="18"/>
      <w:szCs w:val="18"/>
    </w:rPr>
  </w:style>
  <w:style w:type="paragraph" w:styleId="25">
    <w:name w:val="header"/>
    <w:basedOn w:val="1"/>
    <w:link w:val="54"/>
    <w:autoRedefine/>
    <w:qFormat/>
    <w:uiPriority w:val="0"/>
    <w:pPr>
      <w:pBdr>
        <w:bottom w:val="single" w:color="auto" w:sz="6" w:space="1"/>
      </w:pBdr>
      <w:tabs>
        <w:tab w:val="center" w:pos="4153"/>
        <w:tab w:val="right" w:pos="8306"/>
      </w:tabs>
      <w:snapToGrid w:val="0"/>
      <w:jc w:val="center"/>
    </w:pPr>
    <w:rPr>
      <w:sz w:val="18"/>
      <w:szCs w:val="18"/>
    </w:rPr>
  </w:style>
  <w:style w:type="paragraph" w:styleId="26">
    <w:name w:val="toc 1"/>
    <w:basedOn w:val="1"/>
    <w:next w:val="1"/>
    <w:autoRedefine/>
    <w:unhideWhenUsed/>
    <w:qFormat/>
    <w:uiPriority w:val="39"/>
  </w:style>
  <w:style w:type="paragraph" w:styleId="27">
    <w:name w:val="Subtitle"/>
    <w:basedOn w:val="1"/>
    <w:next w:val="1"/>
    <w:link w:val="61"/>
    <w:autoRedefine/>
    <w:qFormat/>
    <w:uiPriority w:val="0"/>
    <w:pPr>
      <w:spacing w:before="240" w:after="60" w:line="312" w:lineRule="auto"/>
      <w:jc w:val="center"/>
      <w:outlineLvl w:val="1"/>
    </w:pPr>
    <w:rPr>
      <w:rFonts w:ascii="Cambria" w:hAnsi="Cambria"/>
      <w:b/>
      <w:bCs/>
      <w:kern w:val="28"/>
      <w:sz w:val="32"/>
      <w:szCs w:val="32"/>
    </w:rPr>
  </w:style>
  <w:style w:type="paragraph" w:styleId="28">
    <w:name w:val="footnote text"/>
    <w:basedOn w:val="1"/>
    <w:autoRedefine/>
    <w:qFormat/>
    <w:uiPriority w:val="0"/>
    <w:rPr>
      <w:sz w:val="20"/>
    </w:rPr>
  </w:style>
  <w:style w:type="paragraph" w:styleId="29">
    <w:name w:val="Body Text Indent 3"/>
    <w:basedOn w:val="1"/>
    <w:link w:val="80"/>
    <w:autoRedefine/>
    <w:qFormat/>
    <w:uiPriority w:val="0"/>
    <w:pPr>
      <w:spacing w:line="360" w:lineRule="auto"/>
      <w:ind w:firstLine="570"/>
    </w:pPr>
    <w:rPr>
      <w:rFonts w:ascii="宋体"/>
      <w:sz w:val="28"/>
    </w:rPr>
  </w:style>
  <w:style w:type="paragraph" w:styleId="30">
    <w:name w:val="toc 2"/>
    <w:basedOn w:val="1"/>
    <w:next w:val="1"/>
    <w:autoRedefine/>
    <w:unhideWhenUsed/>
    <w:qFormat/>
    <w:uiPriority w:val="39"/>
    <w:pPr>
      <w:ind w:left="420" w:leftChars="200"/>
    </w:pPr>
  </w:style>
  <w:style w:type="paragraph" w:styleId="31">
    <w:name w:val="Body Text 2"/>
    <w:basedOn w:val="1"/>
    <w:link w:val="81"/>
    <w:autoRedefine/>
    <w:qFormat/>
    <w:uiPriority w:val="0"/>
    <w:pPr>
      <w:spacing w:after="120" w:line="480" w:lineRule="auto"/>
    </w:pPr>
    <w:rPr>
      <w:szCs w:val="24"/>
    </w:rPr>
  </w:style>
  <w:style w:type="paragraph" w:styleId="32">
    <w:name w:val="HTML Preformatted"/>
    <w:basedOn w:val="1"/>
    <w:link w:val="90"/>
    <w:autoRedefine/>
    <w:qFormat/>
    <w:uiPriority w:val="0"/>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pPr>
    <w:rPr>
      <w:rFonts w:ascii="Arial Unicode MS" w:hAnsi="Arial Unicode MS" w:eastAsia="Arial Unicode MS"/>
      <w:color w:val="000000"/>
      <w:kern w:val="0"/>
      <w:sz w:val="20"/>
    </w:rPr>
  </w:style>
  <w:style w:type="paragraph" w:styleId="33">
    <w:name w:val="Normal (Web)"/>
    <w:basedOn w:val="1"/>
    <w:link w:val="63"/>
    <w:autoRedefine/>
    <w:qFormat/>
    <w:uiPriority w:val="0"/>
    <w:rPr>
      <w:sz w:val="24"/>
      <w:szCs w:val="24"/>
    </w:rPr>
  </w:style>
  <w:style w:type="paragraph" w:styleId="34">
    <w:name w:val="Title"/>
    <w:basedOn w:val="1"/>
    <w:next w:val="1"/>
    <w:autoRedefine/>
    <w:qFormat/>
    <w:uiPriority w:val="0"/>
    <w:pPr>
      <w:jc w:val="center"/>
      <w:outlineLvl w:val="0"/>
    </w:pPr>
    <w:rPr>
      <w:rFonts w:ascii="Arial" w:hAnsi="Arial"/>
      <w:b/>
      <w:bCs/>
      <w:sz w:val="32"/>
      <w:szCs w:val="32"/>
    </w:rPr>
  </w:style>
  <w:style w:type="paragraph" w:styleId="35">
    <w:name w:val="annotation subject"/>
    <w:basedOn w:val="13"/>
    <w:next w:val="13"/>
    <w:link w:val="60"/>
    <w:autoRedefine/>
    <w:qFormat/>
    <w:uiPriority w:val="0"/>
    <w:rPr>
      <w:b/>
      <w:bCs/>
    </w:rPr>
  </w:style>
  <w:style w:type="paragraph" w:styleId="36">
    <w:name w:val="Body Text First Indent"/>
    <w:basedOn w:val="15"/>
    <w:next w:val="1"/>
    <w:qFormat/>
    <w:uiPriority w:val="0"/>
    <w:pPr>
      <w:tabs>
        <w:tab w:val="left" w:pos="-1698"/>
      </w:tabs>
      <w:spacing w:before="0" w:after="120" w:line="360" w:lineRule="auto"/>
      <w:ind w:firstLine="420" w:firstLineChars="100"/>
    </w:pPr>
    <w:rPr>
      <w:rFonts w:ascii="金山简黑体" w:hAnsi="金山简黑体"/>
      <w:b/>
      <w:spacing w:val="-8"/>
      <w:szCs w:val="20"/>
    </w:rPr>
  </w:style>
  <w:style w:type="paragraph" w:styleId="37">
    <w:name w:val="Body Text First Indent 2"/>
    <w:basedOn w:val="16"/>
    <w:next w:val="1"/>
    <w:qFormat/>
    <w:uiPriority w:val="0"/>
    <w:pPr>
      <w:spacing w:after="120"/>
      <w:ind w:left="420" w:leftChars="200" w:firstLine="420"/>
      <w:jc w:val="both"/>
    </w:pPr>
    <w:rPr>
      <w:rFonts w:ascii="Times New Roman" w:eastAsia="宋体"/>
      <w:sz w:val="20"/>
    </w:rPr>
  </w:style>
  <w:style w:type="table" w:styleId="39">
    <w:name w:val="Table Grid"/>
    <w:basedOn w:val="38"/>
    <w:autoRedefine/>
    <w:qFormat/>
    <w:uiPriority w:val="0"/>
    <w:pPr>
      <w:widowControl w:val="0"/>
      <w:jc w:val="both"/>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
  </w:style>
  <w:style w:type="character" w:styleId="41">
    <w:name w:val="Strong"/>
    <w:autoRedefine/>
    <w:qFormat/>
    <w:uiPriority w:val="0"/>
    <w:rPr>
      <w:b/>
      <w:bCs/>
    </w:rPr>
  </w:style>
  <w:style w:type="character" w:styleId="42">
    <w:name w:val="page number"/>
    <w:basedOn w:val="40"/>
    <w:autoRedefine/>
    <w:qFormat/>
    <w:uiPriority w:val="0"/>
  </w:style>
  <w:style w:type="character" w:styleId="43">
    <w:name w:val="Emphasis"/>
    <w:autoRedefine/>
    <w:qFormat/>
    <w:uiPriority w:val="0"/>
    <w:rPr>
      <w:i/>
      <w:iCs/>
    </w:rPr>
  </w:style>
  <w:style w:type="character" w:styleId="44">
    <w:name w:val="Hyperlink"/>
    <w:autoRedefine/>
    <w:qFormat/>
    <w:uiPriority w:val="99"/>
    <w:rPr>
      <w:color w:val="0000FF"/>
      <w:u w:val="single"/>
    </w:rPr>
  </w:style>
  <w:style w:type="character" w:styleId="45">
    <w:name w:val="annotation reference"/>
    <w:autoRedefine/>
    <w:qFormat/>
    <w:uiPriority w:val="0"/>
    <w:rPr>
      <w:sz w:val="21"/>
      <w:szCs w:val="21"/>
    </w:rPr>
  </w:style>
  <w:style w:type="character" w:customStyle="1" w:styleId="46">
    <w:name w:val="标题 2 Char1"/>
    <w:link w:val="3"/>
    <w:autoRedefine/>
    <w:qFormat/>
    <w:uiPriority w:val="0"/>
    <w:rPr>
      <w:rFonts w:ascii="Arial" w:hAnsi="Arial" w:eastAsia="黑体"/>
      <w:b/>
      <w:kern w:val="2"/>
      <w:sz w:val="32"/>
    </w:rPr>
  </w:style>
  <w:style w:type="paragraph" w:customStyle="1" w:styleId="47">
    <w:name w:val="Default"/>
    <w:basedOn w:val="34"/>
    <w:autoRedefine/>
    <w:qFormat/>
    <w:uiPriority w:val="0"/>
    <w:pPr>
      <w:widowControl w:val="0"/>
      <w:autoSpaceDE w:val="0"/>
      <w:autoSpaceDN w:val="0"/>
      <w:adjustRightInd w:val="0"/>
    </w:pPr>
    <w:rPr>
      <w:rFonts w:ascii="宋体" w:hAnsi="Calibri" w:eastAsia="宋体" w:cs="宋体"/>
      <w:color w:val="000000"/>
      <w:sz w:val="24"/>
      <w:szCs w:val="24"/>
      <w:lang w:val="en-US" w:eastAsia="zh-CN" w:bidi="ar-SA"/>
    </w:rPr>
  </w:style>
  <w:style w:type="paragraph" w:customStyle="1" w:styleId="48">
    <w:name w:val="样式1"/>
    <w:basedOn w:val="1"/>
    <w:next w:val="1"/>
    <w:link w:val="65"/>
    <w:autoRedefine/>
    <w:qFormat/>
    <w:uiPriority w:val="0"/>
    <w:pPr>
      <w:tabs>
        <w:tab w:val="left" w:pos="1620"/>
      </w:tabs>
      <w:autoSpaceDE w:val="0"/>
      <w:autoSpaceDN w:val="0"/>
      <w:adjustRightInd w:val="0"/>
      <w:spacing w:line="440" w:lineRule="atLeast"/>
      <w:ind w:firstLine="601"/>
      <w:textAlignment w:val="baseline"/>
    </w:pPr>
    <w:rPr>
      <w:rFonts w:ascii="宋体"/>
      <w:sz w:val="28"/>
      <w:szCs w:val="18"/>
    </w:rPr>
  </w:style>
  <w:style w:type="character" w:customStyle="1" w:styleId="49">
    <w:name w:val="标题 1 Char"/>
    <w:link w:val="2"/>
    <w:autoRedefine/>
    <w:qFormat/>
    <w:uiPriority w:val="9"/>
    <w:rPr>
      <w:rFonts w:ascii="宋体" w:eastAsia="宋体"/>
      <w:color w:val="000000"/>
      <w:kern w:val="2"/>
      <w:sz w:val="28"/>
      <w:lang w:val="en-US" w:eastAsia="zh-CN" w:bidi="ar-SA"/>
    </w:rPr>
  </w:style>
  <w:style w:type="character" w:customStyle="1" w:styleId="50">
    <w:name w:val="Char1"/>
    <w:autoRedefine/>
    <w:qFormat/>
    <w:uiPriority w:val="0"/>
    <w:rPr>
      <w:rFonts w:ascii="宋体" w:hAnsi="Courier New" w:eastAsia="宋体"/>
      <w:kern w:val="2"/>
      <w:sz w:val="21"/>
      <w:lang w:val="en-US" w:eastAsia="zh-CN" w:bidi="ar-SA"/>
    </w:rPr>
  </w:style>
  <w:style w:type="character" w:customStyle="1" w:styleId="51">
    <w:name w:val="纯文本 Char1"/>
    <w:link w:val="20"/>
    <w:autoRedefine/>
    <w:qFormat/>
    <w:uiPriority w:val="0"/>
    <w:rPr>
      <w:rFonts w:ascii="宋体" w:hAnsi="Courier New" w:eastAsia="宋体"/>
      <w:kern w:val="2"/>
      <w:sz w:val="21"/>
      <w:lang w:val="en-US" w:eastAsia="zh-CN" w:bidi="ar-SA"/>
    </w:rPr>
  </w:style>
  <w:style w:type="character" w:customStyle="1" w:styleId="52">
    <w:name w:val="正文缩进 Char"/>
    <w:link w:val="10"/>
    <w:autoRedefine/>
    <w:qFormat/>
    <w:uiPriority w:val="0"/>
    <w:rPr>
      <w:kern w:val="2"/>
      <w:sz w:val="21"/>
    </w:rPr>
  </w:style>
  <w:style w:type="character" w:customStyle="1" w:styleId="53">
    <w:name w:val="正文文本 Char Char"/>
    <w:autoRedefine/>
    <w:qFormat/>
    <w:uiPriority w:val="0"/>
    <w:rPr>
      <w:rFonts w:eastAsia="宋体"/>
      <w:kern w:val="2"/>
      <w:sz w:val="24"/>
      <w:lang w:val="en-US" w:eastAsia="zh-CN" w:bidi="ar-SA"/>
    </w:rPr>
  </w:style>
  <w:style w:type="character" w:customStyle="1" w:styleId="54">
    <w:name w:val="页眉 Char"/>
    <w:link w:val="25"/>
    <w:autoRedefine/>
    <w:qFormat/>
    <w:uiPriority w:val="0"/>
    <w:rPr>
      <w:rFonts w:eastAsia="宋体"/>
      <w:kern w:val="2"/>
      <w:sz w:val="18"/>
      <w:szCs w:val="18"/>
      <w:lang w:val="en-US" w:eastAsia="zh-CN" w:bidi="ar-SA"/>
    </w:rPr>
  </w:style>
  <w:style w:type="character" w:customStyle="1" w:styleId="55">
    <w:name w:val="正文文本 Char"/>
    <w:link w:val="15"/>
    <w:autoRedefine/>
    <w:qFormat/>
    <w:uiPriority w:val="0"/>
    <w:rPr>
      <w:rFonts w:eastAsia="宋体"/>
      <w:kern w:val="2"/>
      <w:sz w:val="21"/>
      <w:szCs w:val="24"/>
      <w:lang w:val="en-US" w:eastAsia="zh-CN" w:bidi="ar-SA"/>
    </w:rPr>
  </w:style>
  <w:style w:type="character" w:customStyle="1" w:styleId="56">
    <w:name w:val="普通文字 Char1"/>
    <w:autoRedefine/>
    <w:qFormat/>
    <w:uiPriority w:val="0"/>
    <w:rPr>
      <w:rFonts w:ascii="宋体" w:hAnsi="Courier New"/>
    </w:rPr>
  </w:style>
  <w:style w:type="character" w:customStyle="1" w:styleId="57">
    <w:name w:val="unnamed21"/>
    <w:basedOn w:val="40"/>
    <w:autoRedefine/>
    <w:qFormat/>
    <w:uiPriority w:val="0"/>
  </w:style>
  <w:style w:type="character" w:customStyle="1" w:styleId="58">
    <w:name w:val="页脚 Char"/>
    <w:link w:val="24"/>
    <w:autoRedefine/>
    <w:qFormat/>
    <w:uiPriority w:val="99"/>
    <w:rPr>
      <w:rFonts w:eastAsia="宋体"/>
      <w:kern w:val="2"/>
      <w:sz w:val="18"/>
      <w:szCs w:val="18"/>
      <w:lang w:val="en-US" w:eastAsia="zh-CN" w:bidi="ar-SA"/>
    </w:rPr>
  </w:style>
  <w:style w:type="character" w:customStyle="1" w:styleId="59">
    <w:name w:val="HTML Markup"/>
    <w:autoRedefine/>
    <w:qFormat/>
    <w:uiPriority w:val="0"/>
    <w:rPr>
      <w:vanish/>
      <w:color w:val="FF0000"/>
    </w:rPr>
  </w:style>
  <w:style w:type="character" w:customStyle="1" w:styleId="60">
    <w:name w:val="批注主题 Char"/>
    <w:link w:val="35"/>
    <w:autoRedefine/>
    <w:qFormat/>
    <w:uiPriority w:val="0"/>
    <w:rPr>
      <w:b/>
      <w:bCs/>
      <w:kern w:val="2"/>
      <w:sz w:val="21"/>
      <w:szCs w:val="24"/>
    </w:rPr>
  </w:style>
  <w:style w:type="character" w:customStyle="1" w:styleId="61">
    <w:name w:val="副标题 Char"/>
    <w:link w:val="27"/>
    <w:autoRedefine/>
    <w:qFormat/>
    <w:uiPriority w:val="0"/>
    <w:rPr>
      <w:rFonts w:ascii="Cambria" w:hAnsi="Cambria"/>
      <w:b/>
      <w:bCs/>
      <w:kern w:val="28"/>
      <w:sz w:val="32"/>
      <w:szCs w:val="32"/>
    </w:rPr>
  </w:style>
  <w:style w:type="character" w:customStyle="1" w:styleId="62">
    <w:name w:val="black1"/>
    <w:autoRedefine/>
    <w:qFormat/>
    <w:uiPriority w:val="0"/>
    <w:rPr>
      <w:rFonts w:hint="default" w:ascii="ˎ̥" w:hAnsi="ˎ̥"/>
      <w:color w:val="333333"/>
      <w:sz w:val="18"/>
      <w:szCs w:val="18"/>
      <w:u w:val="none"/>
    </w:rPr>
  </w:style>
  <w:style w:type="character" w:customStyle="1" w:styleId="63">
    <w:name w:val="普通(网站) Char"/>
    <w:link w:val="33"/>
    <w:autoRedefine/>
    <w:qFormat/>
    <w:locked/>
    <w:uiPriority w:val="0"/>
    <w:rPr>
      <w:kern w:val="2"/>
      <w:sz w:val="24"/>
      <w:szCs w:val="24"/>
    </w:rPr>
  </w:style>
  <w:style w:type="character" w:customStyle="1" w:styleId="64">
    <w:name w:val="fontstyle01"/>
    <w:autoRedefine/>
    <w:qFormat/>
    <w:uiPriority w:val="0"/>
    <w:rPr>
      <w:rFonts w:hint="eastAsia" w:ascii="宋体" w:hAnsi="宋体" w:eastAsia="宋体"/>
      <w:color w:val="0D0D0D"/>
      <w:sz w:val="22"/>
      <w:szCs w:val="22"/>
    </w:rPr>
  </w:style>
  <w:style w:type="character" w:customStyle="1" w:styleId="65">
    <w:name w:val="样式1 Char"/>
    <w:link w:val="48"/>
    <w:autoRedefine/>
    <w:qFormat/>
    <w:uiPriority w:val="0"/>
    <w:rPr>
      <w:rFonts w:ascii="宋体"/>
      <w:kern w:val="2"/>
      <w:sz w:val="28"/>
      <w:szCs w:val="18"/>
    </w:rPr>
  </w:style>
  <w:style w:type="character" w:customStyle="1" w:styleId="66">
    <w:name w:val="副标题 字符1"/>
    <w:autoRedefine/>
    <w:qFormat/>
    <w:uiPriority w:val="0"/>
    <w:rPr>
      <w:rFonts w:ascii="等线 Light" w:hAnsi="等线 Light" w:cs="Times New Roman"/>
      <w:b/>
      <w:bCs/>
      <w:kern w:val="28"/>
      <w:sz w:val="32"/>
      <w:szCs w:val="32"/>
    </w:rPr>
  </w:style>
  <w:style w:type="character" w:customStyle="1" w:styleId="67">
    <w:name w:val="正文文本缩进 Char"/>
    <w:link w:val="16"/>
    <w:autoRedefine/>
    <w:qFormat/>
    <w:uiPriority w:val="0"/>
    <w:rPr>
      <w:rFonts w:eastAsia="宋体"/>
      <w:kern w:val="2"/>
      <w:sz w:val="28"/>
      <w:lang w:val="en-US" w:eastAsia="zh-CN" w:bidi="ar-SA"/>
    </w:rPr>
  </w:style>
  <w:style w:type="character" w:customStyle="1" w:styleId="68">
    <w:name w:val="访问过的超链接1"/>
    <w:autoRedefine/>
    <w:qFormat/>
    <w:uiPriority w:val="99"/>
    <w:rPr>
      <w:color w:val="800080"/>
      <w:u w:val="single"/>
    </w:rPr>
  </w:style>
  <w:style w:type="character" w:customStyle="1" w:styleId="69">
    <w:name w:val="contents1"/>
    <w:autoRedefine/>
    <w:qFormat/>
    <w:uiPriority w:val="0"/>
    <w:rPr>
      <w:rFonts w:hint="default" w:ascii="Times New Roman" w:hAnsi="Times New Roman" w:cs="Times New Roman"/>
      <w:sz w:val="23"/>
      <w:szCs w:val="23"/>
    </w:rPr>
  </w:style>
  <w:style w:type="character" w:customStyle="1" w:styleId="70">
    <w:name w:val="grame"/>
    <w:basedOn w:val="40"/>
    <w:autoRedefine/>
    <w:qFormat/>
    <w:uiPriority w:val="0"/>
  </w:style>
  <w:style w:type="character" w:customStyle="1" w:styleId="71">
    <w:name w:val="批注文字 Char"/>
    <w:link w:val="13"/>
    <w:autoRedefine/>
    <w:qFormat/>
    <w:uiPriority w:val="0"/>
    <w:rPr>
      <w:kern w:val="2"/>
      <w:sz w:val="21"/>
      <w:szCs w:val="24"/>
    </w:rPr>
  </w:style>
  <w:style w:type="character" w:customStyle="1" w:styleId="72">
    <w:name w:val="标题 3 Char"/>
    <w:link w:val="4"/>
    <w:autoRedefine/>
    <w:qFormat/>
    <w:uiPriority w:val="0"/>
    <w:rPr>
      <w:b/>
      <w:bCs/>
      <w:kern w:val="2"/>
      <w:sz w:val="32"/>
      <w:szCs w:val="32"/>
    </w:rPr>
  </w:style>
  <w:style w:type="character" w:customStyle="1" w:styleId="73">
    <w:name w:val="标题 5 Char"/>
    <w:link w:val="6"/>
    <w:autoRedefine/>
    <w:qFormat/>
    <w:uiPriority w:val="0"/>
    <w:rPr>
      <w:b/>
      <w:bCs/>
      <w:kern w:val="2"/>
      <w:sz w:val="28"/>
      <w:szCs w:val="28"/>
    </w:rPr>
  </w:style>
  <w:style w:type="character" w:customStyle="1" w:styleId="74">
    <w:name w:val="正文文本 字符1"/>
    <w:autoRedefine/>
    <w:semiHidden/>
    <w:qFormat/>
    <w:uiPriority w:val="99"/>
    <w:rPr>
      <w:rFonts w:ascii="Calibri" w:hAnsi="Calibri" w:eastAsia="宋体" w:cs="Times New Roman"/>
      <w:szCs w:val="20"/>
    </w:rPr>
  </w:style>
  <w:style w:type="character" w:customStyle="1" w:styleId="75">
    <w:name w:val="纯文本 字符1"/>
    <w:autoRedefine/>
    <w:qFormat/>
    <w:uiPriority w:val="0"/>
    <w:rPr>
      <w:rFonts w:ascii="宋体" w:hAnsi="Courier New" w:cs="Courier New"/>
      <w:szCs w:val="20"/>
    </w:rPr>
  </w:style>
  <w:style w:type="character" w:customStyle="1" w:styleId="76">
    <w:name w:val="正文文本缩进 字符1"/>
    <w:autoRedefine/>
    <w:semiHidden/>
    <w:qFormat/>
    <w:uiPriority w:val="99"/>
    <w:rPr>
      <w:rFonts w:ascii="Calibri" w:hAnsi="Calibri" w:eastAsia="宋体" w:cs="Times New Roman"/>
      <w:szCs w:val="20"/>
    </w:rPr>
  </w:style>
  <w:style w:type="character" w:customStyle="1" w:styleId="77">
    <w:name w:val="副标题 字符2"/>
    <w:autoRedefine/>
    <w:qFormat/>
    <w:uiPriority w:val="11"/>
    <w:rPr>
      <w:b/>
      <w:bCs/>
      <w:kern w:val="28"/>
      <w:sz w:val="32"/>
      <w:szCs w:val="32"/>
    </w:rPr>
  </w:style>
  <w:style w:type="character" w:customStyle="1" w:styleId="78">
    <w:name w:val="批注框文本 Char"/>
    <w:link w:val="23"/>
    <w:autoRedefine/>
    <w:qFormat/>
    <w:uiPriority w:val="0"/>
    <w:rPr>
      <w:kern w:val="2"/>
      <w:sz w:val="18"/>
      <w:szCs w:val="18"/>
    </w:rPr>
  </w:style>
  <w:style w:type="character" w:customStyle="1" w:styleId="79">
    <w:name w:val="正文文本缩进 2 Char"/>
    <w:link w:val="22"/>
    <w:autoRedefine/>
    <w:qFormat/>
    <w:uiPriority w:val="0"/>
    <w:rPr>
      <w:snapToGrid w:val="0"/>
      <w:sz w:val="21"/>
      <w:szCs w:val="24"/>
    </w:rPr>
  </w:style>
  <w:style w:type="character" w:customStyle="1" w:styleId="80">
    <w:name w:val="正文文本缩进 3 Char"/>
    <w:link w:val="29"/>
    <w:autoRedefine/>
    <w:qFormat/>
    <w:uiPriority w:val="0"/>
    <w:rPr>
      <w:rFonts w:ascii="宋体"/>
      <w:kern w:val="2"/>
      <w:sz w:val="28"/>
    </w:rPr>
  </w:style>
  <w:style w:type="character" w:customStyle="1" w:styleId="81">
    <w:name w:val="正文文本 2 Char"/>
    <w:link w:val="31"/>
    <w:autoRedefine/>
    <w:qFormat/>
    <w:uiPriority w:val="0"/>
    <w:rPr>
      <w:kern w:val="2"/>
      <w:sz w:val="21"/>
      <w:szCs w:val="24"/>
    </w:rPr>
  </w:style>
  <w:style w:type="character" w:customStyle="1" w:styleId="82">
    <w:name w:val="标题 4 Char"/>
    <w:link w:val="5"/>
    <w:autoRedefine/>
    <w:qFormat/>
    <w:uiPriority w:val="0"/>
    <w:rPr>
      <w:rFonts w:ascii="华文中宋" w:hAnsi="华文中宋" w:eastAsia="华文中宋"/>
      <w:b/>
      <w:bCs/>
      <w:kern w:val="2"/>
      <w:sz w:val="28"/>
    </w:rPr>
  </w:style>
  <w:style w:type="character" w:customStyle="1" w:styleId="83">
    <w:name w:val="标题 6 Char"/>
    <w:link w:val="7"/>
    <w:autoRedefine/>
    <w:qFormat/>
    <w:uiPriority w:val="0"/>
    <w:rPr>
      <w:kern w:val="2"/>
      <w:sz w:val="28"/>
    </w:rPr>
  </w:style>
  <w:style w:type="character" w:customStyle="1" w:styleId="84">
    <w:name w:val="批注主题 字符1"/>
    <w:autoRedefine/>
    <w:semiHidden/>
    <w:qFormat/>
    <w:uiPriority w:val="99"/>
    <w:rPr>
      <w:rFonts w:ascii="Calibri" w:hAnsi="Calibri" w:eastAsia="宋体" w:cs="Times New Roman"/>
      <w:b/>
      <w:bCs/>
      <w:kern w:val="2"/>
      <w:sz w:val="21"/>
      <w:szCs w:val="20"/>
    </w:rPr>
  </w:style>
  <w:style w:type="character" w:customStyle="1" w:styleId="85">
    <w:name w:val="页眉 字符1"/>
    <w:autoRedefine/>
    <w:semiHidden/>
    <w:qFormat/>
    <w:uiPriority w:val="99"/>
    <w:rPr>
      <w:rFonts w:ascii="Calibri" w:hAnsi="Calibri" w:eastAsia="宋体" w:cs="Times New Roman"/>
      <w:sz w:val="18"/>
      <w:szCs w:val="18"/>
    </w:rPr>
  </w:style>
  <w:style w:type="character" w:customStyle="1" w:styleId="86">
    <w:name w:val="页脚 字符1"/>
    <w:autoRedefine/>
    <w:semiHidden/>
    <w:qFormat/>
    <w:uiPriority w:val="99"/>
    <w:rPr>
      <w:rFonts w:ascii="Calibri" w:hAnsi="Calibri" w:eastAsia="宋体" w:cs="Times New Roman"/>
      <w:sz w:val="18"/>
      <w:szCs w:val="18"/>
    </w:rPr>
  </w:style>
  <w:style w:type="character" w:customStyle="1" w:styleId="87">
    <w:name w:val="文档结构图 Char"/>
    <w:link w:val="12"/>
    <w:autoRedefine/>
    <w:qFormat/>
    <w:uiPriority w:val="0"/>
    <w:rPr>
      <w:kern w:val="2"/>
      <w:sz w:val="21"/>
      <w:shd w:val="clear" w:color="auto" w:fill="000080"/>
    </w:rPr>
  </w:style>
  <w:style w:type="character" w:customStyle="1" w:styleId="88">
    <w:name w:val="日期 Char"/>
    <w:link w:val="21"/>
    <w:autoRedefine/>
    <w:qFormat/>
    <w:uiPriority w:val="0"/>
    <w:rPr>
      <w:kern w:val="2"/>
      <w:sz w:val="21"/>
    </w:rPr>
  </w:style>
  <w:style w:type="character" w:customStyle="1" w:styleId="89">
    <w:name w:val="正文文本 3 Char"/>
    <w:link w:val="14"/>
    <w:autoRedefine/>
    <w:qFormat/>
    <w:uiPriority w:val="0"/>
    <w:rPr>
      <w:kern w:val="2"/>
      <w:sz w:val="16"/>
      <w:szCs w:val="16"/>
    </w:rPr>
  </w:style>
  <w:style w:type="character" w:customStyle="1" w:styleId="90">
    <w:name w:val="HTML 预设格式 Char"/>
    <w:link w:val="32"/>
    <w:autoRedefine/>
    <w:qFormat/>
    <w:uiPriority w:val="0"/>
    <w:rPr>
      <w:rFonts w:ascii="Arial Unicode MS" w:hAnsi="Arial Unicode MS" w:eastAsia="Arial Unicode MS" w:cs="Arial Unicode MS"/>
      <w:color w:val="000000"/>
    </w:rPr>
  </w:style>
  <w:style w:type="paragraph" w:customStyle="1" w:styleId="91">
    <w:name w:val="xl48"/>
    <w:basedOn w:val="1"/>
    <w:autoRedefine/>
    <w:qFormat/>
    <w:uiPriority w:val="0"/>
    <w:pPr>
      <w:widowControl/>
      <w:pBdr>
        <w:bottom w:val="single" w:color="auto" w:sz="4" w:space="0"/>
      </w:pBdr>
      <w:spacing w:before="100" w:beforeAutospacing="1" w:after="100" w:afterAutospacing="1"/>
      <w:jc w:val="center"/>
      <w:textAlignment w:val="center"/>
    </w:pPr>
    <w:rPr>
      <w:rFonts w:eastAsia="Arial Unicode MS"/>
      <w:kern w:val="0"/>
      <w:sz w:val="24"/>
      <w:szCs w:val="24"/>
    </w:rPr>
  </w:style>
  <w:style w:type="paragraph" w:customStyle="1" w:styleId="92">
    <w:name w:val="正文文本首行缩进1"/>
    <w:basedOn w:val="15"/>
    <w:autoRedefine/>
    <w:qFormat/>
    <w:uiPriority w:val="0"/>
    <w:pPr>
      <w:ind w:firstLine="420" w:firstLineChars="100"/>
    </w:pPr>
    <w:rPr>
      <w:szCs w:val="20"/>
    </w:rPr>
  </w:style>
  <w:style w:type="paragraph" w:customStyle="1" w:styleId="93">
    <w:name w:val="Definition Term"/>
    <w:basedOn w:val="1"/>
    <w:next w:val="1"/>
    <w:autoRedefine/>
    <w:qFormat/>
    <w:uiPriority w:val="0"/>
    <w:pPr>
      <w:autoSpaceDE w:val="0"/>
      <w:autoSpaceDN w:val="0"/>
      <w:adjustRightInd w:val="0"/>
      <w:jc w:val="left"/>
    </w:pPr>
    <w:rPr>
      <w:kern w:val="0"/>
      <w:sz w:val="24"/>
    </w:rPr>
  </w:style>
  <w:style w:type="paragraph" w:customStyle="1" w:styleId="94">
    <w:name w:val="TOC 81"/>
    <w:basedOn w:val="1"/>
    <w:next w:val="1"/>
    <w:autoRedefine/>
    <w:semiHidden/>
    <w:qFormat/>
    <w:uiPriority w:val="0"/>
    <w:pPr>
      <w:spacing w:line="440" w:lineRule="exact"/>
      <w:ind w:left="1260" w:firstLine="200" w:firstLineChars="200"/>
      <w:jc w:val="left"/>
    </w:pPr>
    <w:rPr>
      <w:sz w:val="20"/>
    </w:rPr>
  </w:style>
  <w:style w:type="paragraph" w:customStyle="1" w:styleId="95">
    <w:name w:val="样式 标题 2 + Times New Roman 四号 非加粗 段前: 5 磅 段后: 0 磅 行距: 固定值 20..."/>
    <w:basedOn w:val="3"/>
    <w:autoRedefine/>
    <w:qFormat/>
    <w:uiPriority w:val="0"/>
    <w:pPr>
      <w:spacing w:before="100" w:after="0" w:line="400" w:lineRule="exact"/>
    </w:pPr>
    <w:rPr>
      <w:rFonts w:ascii="Times New Roman" w:hAnsi="Times New Roman" w:cs="宋体"/>
      <w:b w:val="0"/>
      <w:sz w:val="28"/>
    </w:rPr>
  </w:style>
  <w:style w:type="paragraph" w:customStyle="1" w:styleId="96">
    <w:name w:val="xl52"/>
    <w:basedOn w:val="1"/>
    <w:autoRedefine/>
    <w:qFormat/>
    <w:uiPriority w:val="0"/>
    <w:pPr>
      <w:widowControl/>
      <w:pBdr>
        <w:top w:val="single" w:color="auto" w:sz="4" w:space="0"/>
        <w:left w:val="single" w:color="auto" w:sz="4" w:space="0"/>
        <w:right w:val="single" w:color="auto" w:sz="4" w:space="0"/>
      </w:pBdr>
      <w:spacing w:before="100" w:beforeAutospacing="1" w:after="100" w:afterAutospacing="1"/>
      <w:jc w:val="left"/>
      <w:textAlignment w:val="center"/>
    </w:pPr>
    <w:rPr>
      <w:rFonts w:ascii="宋体" w:hAnsi="宋体"/>
      <w:kern w:val="0"/>
      <w:sz w:val="24"/>
      <w:szCs w:val="24"/>
    </w:rPr>
  </w:style>
  <w:style w:type="paragraph" w:customStyle="1" w:styleId="97">
    <w:name w:val="xl79"/>
    <w:basedOn w:val="1"/>
    <w:autoRedefine/>
    <w:qFormat/>
    <w:uiPriority w:val="0"/>
    <w:pPr>
      <w:widowControl/>
      <w:pBdr>
        <w:top w:val="single" w:color="auto" w:sz="4" w:space="0"/>
        <w:left w:val="single" w:color="auto" w:sz="8" w:space="0"/>
        <w:bottom w:val="single" w:color="auto" w:sz="4" w:space="0"/>
        <w:right w:val="single" w:color="auto" w:sz="4" w:space="0"/>
      </w:pBdr>
      <w:shd w:val="clear" w:color="auto" w:fill="C0C0C0"/>
      <w:spacing w:before="100" w:beforeAutospacing="1" w:after="100" w:afterAutospacing="1"/>
      <w:jc w:val="left"/>
      <w:textAlignment w:val="center"/>
    </w:pPr>
    <w:rPr>
      <w:rFonts w:hint="eastAsia" w:ascii="创艺繁线体" w:hAnsi="宋体" w:eastAsia="创艺繁线体"/>
      <w:kern w:val="0"/>
      <w:sz w:val="24"/>
      <w:szCs w:val="24"/>
    </w:rPr>
  </w:style>
  <w:style w:type="paragraph" w:customStyle="1" w:styleId="98">
    <w:name w:val="xl69"/>
    <w:basedOn w:val="1"/>
    <w:autoRedefine/>
    <w:qFormat/>
    <w:uiPriority w:val="0"/>
    <w:pPr>
      <w:widowControl/>
      <w:pBdr>
        <w:top w:val="single" w:color="auto" w:sz="8" w:space="0"/>
        <w:left w:val="single" w:color="auto" w:sz="8" w:space="0"/>
        <w:right w:val="single" w:color="auto" w:sz="4" w:space="0"/>
      </w:pBdr>
      <w:spacing w:before="100" w:beforeAutospacing="1" w:after="100" w:afterAutospacing="1"/>
      <w:jc w:val="center"/>
      <w:textAlignment w:val="center"/>
    </w:pPr>
    <w:rPr>
      <w:kern w:val="0"/>
      <w:sz w:val="24"/>
      <w:szCs w:val="24"/>
    </w:rPr>
  </w:style>
  <w:style w:type="paragraph" w:customStyle="1" w:styleId="99">
    <w:name w:val="xl74"/>
    <w:basedOn w:val="1"/>
    <w:autoRedefine/>
    <w:qFormat/>
    <w:uiPriority w:val="0"/>
    <w:pPr>
      <w:widowControl/>
      <w:pBdr>
        <w:top w:val="single" w:color="auto" w:sz="8" w:space="0"/>
        <w:left w:val="single" w:color="auto" w:sz="4" w:space="0"/>
        <w:bottom w:val="single" w:color="auto" w:sz="4" w:space="0"/>
        <w:right w:val="single" w:color="auto" w:sz="4" w:space="0"/>
      </w:pBdr>
      <w:spacing w:before="100" w:beforeAutospacing="1" w:after="100" w:afterAutospacing="1"/>
      <w:jc w:val="right"/>
      <w:textAlignment w:val="center"/>
    </w:pPr>
    <w:rPr>
      <w:rFonts w:ascii="宋体" w:hAnsi="宋体"/>
      <w:kern w:val="0"/>
      <w:sz w:val="24"/>
      <w:szCs w:val="24"/>
    </w:rPr>
  </w:style>
  <w:style w:type="paragraph" w:customStyle="1" w:styleId="100">
    <w:name w:val="Table Heading"/>
    <w:basedOn w:val="1"/>
    <w:autoRedefine/>
    <w:qFormat/>
    <w:uiPriority w:val="0"/>
    <w:pPr>
      <w:widowControl/>
      <w:jc w:val="center"/>
    </w:pPr>
    <w:rPr>
      <w:rFonts w:ascii="Arial" w:hAnsi="Arial"/>
      <w:b/>
      <w:kern w:val="0"/>
      <w:sz w:val="18"/>
    </w:rPr>
  </w:style>
  <w:style w:type="paragraph" w:customStyle="1" w:styleId="101">
    <w:name w:val="xl66"/>
    <w:basedOn w:val="1"/>
    <w:autoRedefine/>
    <w:qFormat/>
    <w:uiPriority w:val="0"/>
    <w:pPr>
      <w:widowControl/>
      <w:pBdr>
        <w:top w:val="single" w:color="auto" w:sz="4" w:space="0"/>
        <w:left w:val="single" w:color="auto" w:sz="4" w:space="0"/>
        <w:bottom w:val="single" w:color="auto" w:sz="8" w:space="0"/>
        <w:right w:val="single" w:color="auto" w:sz="8" w:space="0"/>
      </w:pBdr>
      <w:spacing w:before="100" w:beforeAutospacing="1" w:after="100" w:afterAutospacing="1"/>
      <w:jc w:val="right"/>
      <w:textAlignment w:val="center"/>
    </w:pPr>
    <w:rPr>
      <w:rFonts w:ascii="宋体" w:hAnsi="宋体"/>
      <w:b/>
      <w:bCs/>
      <w:kern w:val="0"/>
      <w:sz w:val="24"/>
      <w:szCs w:val="24"/>
    </w:rPr>
  </w:style>
  <w:style w:type="paragraph" w:customStyle="1" w:styleId="102">
    <w:name w:val="xl88"/>
    <w:basedOn w:val="1"/>
    <w:autoRedefine/>
    <w:qFormat/>
    <w:uiPriority w:val="0"/>
    <w:pPr>
      <w:widowControl/>
      <w:pBdr>
        <w:top w:val="single" w:color="auto" w:sz="4" w:space="0"/>
        <w:left w:val="single" w:color="auto" w:sz="4" w:space="0"/>
        <w:bottom w:val="single" w:color="auto" w:sz="8" w:space="0"/>
        <w:right w:val="single" w:color="auto" w:sz="8" w:space="0"/>
      </w:pBdr>
      <w:spacing w:before="100" w:beforeAutospacing="1" w:after="100" w:afterAutospacing="1"/>
      <w:jc w:val="right"/>
      <w:textAlignment w:val="center"/>
    </w:pPr>
    <w:rPr>
      <w:rFonts w:ascii="宋体" w:hAnsi="宋体"/>
      <w:kern w:val="0"/>
      <w:sz w:val="24"/>
      <w:szCs w:val="24"/>
    </w:rPr>
  </w:style>
  <w:style w:type="paragraph" w:customStyle="1" w:styleId="103">
    <w:name w:val="xl86"/>
    <w:basedOn w:val="1"/>
    <w:autoRedefine/>
    <w:qFormat/>
    <w:uiPriority w:val="0"/>
    <w:pPr>
      <w:widowControl/>
      <w:pBdr>
        <w:top w:val="single" w:color="auto" w:sz="4" w:space="0"/>
        <w:left w:val="single" w:color="auto" w:sz="4" w:space="0"/>
        <w:bottom w:val="single" w:color="auto" w:sz="8" w:space="0"/>
        <w:right w:val="single" w:color="auto" w:sz="4" w:space="0"/>
      </w:pBdr>
      <w:spacing w:before="100" w:beforeAutospacing="1" w:after="100" w:afterAutospacing="1"/>
      <w:jc w:val="center"/>
      <w:textAlignment w:val="center"/>
    </w:pPr>
    <w:rPr>
      <w:rFonts w:ascii="宋体" w:hAnsi="宋体"/>
      <w:kern w:val="0"/>
      <w:sz w:val="24"/>
      <w:szCs w:val="24"/>
    </w:rPr>
  </w:style>
  <w:style w:type="paragraph" w:customStyle="1" w:styleId="104">
    <w:name w:val="xl55"/>
    <w:basedOn w:val="1"/>
    <w:autoRedefine/>
    <w:qFormat/>
    <w:uiPriority w:val="0"/>
    <w:pPr>
      <w:widowControl/>
      <w:pBdr>
        <w:top w:val="single" w:color="auto" w:sz="4" w:space="0"/>
        <w:left w:val="single" w:color="auto" w:sz="4" w:space="0"/>
        <w:bottom w:val="single" w:color="auto" w:sz="4" w:space="0"/>
        <w:right w:val="single" w:color="auto" w:sz="8" w:space="0"/>
      </w:pBdr>
      <w:spacing w:before="100" w:beforeAutospacing="1" w:after="100" w:afterAutospacing="1"/>
      <w:jc w:val="right"/>
      <w:textAlignment w:val="center"/>
    </w:pPr>
    <w:rPr>
      <w:rFonts w:ascii="宋体" w:hAnsi="宋体"/>
      <w:color w:val="000000"/>
      <w:kern w:val="0"/>
      <w:sz w:val="24"/>
      <w:szCs w:val="24"/>
    </w:rPr>
  </w:style>
  <w:style w:type="paragraph" w:customStyle="1" w:styleId="105">
    <w:name w:val="xl73"/>
    <w:basedOn w:val="1"/>
    <w:autoRedefine/>
    <w:qFormat/>
    <w:uiPriority w:val="0"/>
    <w:pPr>
      <w:widowControl/>
      <w:pBdr>
        <w:top w:val="single" w:color="auto" w:sz="8" w:space="0"/>
        <w:left w:val="single" w:color="auto" w:sz="4" w:space="0"/>
        <w:bottom w:val="single" w:color="auto" w:sz="4" w:space="0"/>
        <w:right w:val="single" w:color="auto" w:sz="4" w:space="0"/>
      </w:pBdr>
      <w:spacing w:before="100" w:beforeAutospacing="1" w:after="100" w:afterAutospacing="1"/>
      <w:jc w:val="center"/>
      <w:textAlignment w:val="center"/>
    </w:pPr>
    <w:rPr>
      <w:rFonts w:ascii="宋体" w:hAnsi="宋体"/>
      <w:kern w:val="0"/>
      <w:sz w:val="24"/>
      <w:szCs w:val="24"/>
    </w:rPr>
  </w:style>
  <w:style w:type="paragraph" w:customStyle="1" w:styleId="106">
    <w:name w:val="xl56"/>
    <w:basedOn w:val="1"/>
    <w:autoRedefine/>
    <w:qFormat/>
    <w:uiPriority w:val="0"/>
    <w:pPr>
      <w:widowControl/>
      <w:pBdr>
        <w:top w:val="single" w:color="auto" w:sz="4" w:space="0"/>
        <w:left w:val="single" w:color="auto" w:sz="4" w:space="0"/>
        <w:bottom w:val="single" w:color="auto" w:sz="4" w:space="0"/>
        <w:right w:val="single" w:color="auto" w:sz="8" w:space="0"/>
      </w:pBdr>
      <w:spacing w:before="100" w:beforeAutospacing="1" w:after="100" w:afterAutospacing="1"/>
      <w:jc w:val="right"/>
      <w:textAlignment w:val="center"/>
    </w:pPr>
    <w:rPr>
      <w:rFonts w:ascii="宋体" w:hAnsi="宋体"/>
      <w:kern w:val="0"/>
      <w:sz w:val="24"/>
      <w:szCs w:val="24"/>
    </w:rPr>
  </w:style>
  <w:style w:type="paragraph" w:customStyle="1" w:styleId="107">
    <w:name w:val="xl35"/>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right"/>
      <w:textAlignment w:val="center"/>
    </w:pPr>
    <w:rPr>
      <w:rFonts w:eastAsia="Arial Unicode MS"/>
      <w:kern w:val="0"/>
      <w:sz w:val="24"/>
      <w:szCs w:val="24"/>
    </w:rPr>
  </w:style>
  <w:style w:type="paragraph" w:customStyle="1" w:styleId="108">
    <w:name w:val="Char Char Char"/>
    <w:basedOn w:val="1"/>
    <w:autoRedefine/>
    <w:qFormat/>
    <w:uiPriority w:val="0"/>
    <w:rPr>
      <w:rFonts w:ascii="Tahoma" w:hAnsi="Tahoma"/>
      <w:sz w:val="24"/>
    </w:rPr>
  </w:style>
  <w:style w:type="paragraph" w:customStyle="1" w:styleId="109">
    <w:name w:val="xl36"/>
    <w:basedOn w:val="1"/>
    <w:autoRedefine/>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right"/>
      <w:textAlignment w:val="center"/>
    </w:pPr>
    <w:rPr>
      <w:rFonts w:ascii="Arial Unicode MS" w:hAnsi="Arial Unicode MS" w:eastAsia="Arial Unicode MS" w:cs="Arial Unicode MS"/>
      <w:kern w:val="0"/>
      <w:sz w:val="24"/>
      <w:szCs w:val="24"/>
    </w:rPr>
  </w:style>
  <w:style w:type="paragraph" w:customStyle="1" w:styleId="110">
    <w:name w:val="正文 2"/>
    <w:basedOn w:val="1"/>
    <w:autoRedefine/>
    <w:qFormat/>
    <w:uiPriority w:val="0"/>
    <w:pPr>
      <w:tabs>
        <w:tab w:val="left" w:pos="360"/>
      </w:tabs>
      <w:autoSpaceDE w:val="0"/>
      <w:autoSpaceDN w:val="0"/>
      <w:adjustRightInd w:val="0"/>
      <w:snapToGrid w:val="0"/>
      <w:spacing w:before="80" w:after="40" w:line="360" w:lineRule="auto"/>
      <w:ind w:left="1134"/>
      <w:jc w:val="left"/>
    </w:pPr>
    <w:rPr>
      <w:kern w:val="0"/>
      <w:sz w:val="24"/>
    </w:rPr>
  </w:style>
  <w:style w:type="paragraph" w:customStyle="1" w:styleId="111">
    <w:name w:val="TOC 41"/>
    <w:basedOn w:val="1"/>
    <w:next w:val="1"/>
    <w:autoRedefine/>
    <w:semiHidden/>
    <w:qFormat/>
    <w:uiPriority w:val="0"/>
    <w:pPr>
      <w:spacing w:line="440" w:lineRule="exact"/>
      <w:ind w:left="420" w:firstLine="200" w:firstLineChars="200"/>
      <w:jc w:val="left"/>
    </w:pPr>
    <w:rPr>
      <w:sz w:val="20"/>
    </w:rPr>
  </w:style>
  <w:style w:type="paragraph" w:customStyle="1" w:styleId="112">
    <w:name w:val="xl77"/>
    <w:basedOn w:val="1"/>
    <w:autoRedefine/>
    <w:qFormat/>
    <w:uiPriority w:val="0"/>
    <w:pPr>
      <w:widowControl/>
      <w:pBdr>
        <w:top w:val="single" w:color="auto" w:sz="8" w:space="0"/>
        <w:left w:val="single" w:color="auto" w:sz="4" w:space="0"/>
        <w:bottom w:val="single" w:color="auto" w:sz="4" w:space="0"/>
        <w:right w:val="single" w:color="auto" w:sz="4" w:space="0"/>
      </w:pBdr>
      <w:spacing w:before="100" w:beforeAutospacing="1" w:after="100" w:afterAutospacing="1"/>
      <w:jc w:val="left"/>
      <w:textAlignment w:val="center"/>
    </w:pPr>
    <w:rPr>
      <w:b/>
      <w:bCs/>
      <w:i/>
      <w:iCs/>
      <w:kern w:val="0"/>
      <w:sz w:val="24"/>
      <w:szCs w:val="24"/>
    </w:rPr>
  </w:style>
  <w:style w:type="paragraph" w:customStyle="1" w:styleId="113">
    <w:name w:val="xl24"/>
    <w:basedOn w:val="1"/>
    <w:autoRedefine/>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textAlignment w:val="center"/>
    </w:pPr>
    <w:rPr>
      <w:rFonts w:ascii="宋体" w:hAnsi="宋体"/>
      <w:kern w:val="0"/>
      <w:szCs w:val="21"/>
    </w:rPr>
  </w:style>
  <w:style w:type="paragraph" w:customStyle="1" w:styleId="114">
    <w:name w:val="xl23"/>
    <w:next w:val="115"/>
    <w:autoRedefine/>
    <w:qFormat/>
    <w:uiPriority w:val="0"/>
    <w:pPr>
      <w:spacing w:before="100" w:beforeAutospacing="1" w:after="100" w:afterAutospacing="1"/>
      <w:jc w:val="center"/>
    </w:pPr>
    <w:rPr>
      <w:rFonts w:ascii="Arial Unicode MS" w:hAnsi="Arial Unicode MS" w:eastAsia="Arial Unicode MS" w:cs="Times New Roman"/>
      <w:sz w:val="24"/>
      <w:lang w:val="en-US" w:eastAsia="zh-CN" w:bidi="ar-SA"/>
    </w:rPr>
  </w:style>
  <w:style w:type="paragraph" w:customStyle="1" w:styleId="115">
    <w:name w:val="xl28"/>
    <w:basedOn w:val="1"/>
    <w:autoRedefine/>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textAlignment w:val="center"/>
    </w:pPr>
    <w:rPr>
      <w:rFonts w:ascii="Arial Unicode MS" w:hAnsi="Arial Unicode MS" w:eastAsia="Arial Unicode MS" w:cs="Arial Unicode MS"/>
      <w:kern w:val="0"/>
      <w:sz w:val="24"/>
      <w:szCs w:val="24"/>
    </w:rPr>
  </w:style>
  <w:style w:type="paragraph" w:customStyle="1" w:styleId="116">
    <w:name w:val="xl82"/>
    <w:basedOn w:val="1"/>
    <w:autoRedefine/>
    <w:qFormat/>
    <w:uiPriority w:val="0"/>
    <w:pPr>
      <w:widowControl/>
      <w:pBdr>
        <w:top w:val="single" w:color="auto" w:sz="4" w:space="0"/>
        <w:left w:val="single" w:color="auto" w:sz="8" w:space="0"/>
        <w:bottom w:val="single" w:color="auto" w:sz="4" w:space="0"/>
        <w:right w:val="single" w:color="auto" w:sz="4" w:space="0"/>
      </w:pBdr>
      <w:shd w:val="clear" w:color="auto" w:fill="C0C0C0"/>
      <w:spacing w:before="100" w:beforeAutospacing="1" w:after="100" w:afterAutospacing="1"/>
      <w:jc w:val="left"/>
      <w:textAlignment w:val="center"/>
    </w:pPr>
    <w:rPr>
      <w:rFonts w:ascii="宋体" w:hAnsi="宋体"/>
      <w:color w:val="000000"/>
      <w:kern w:val="0"/>
      <w:sz w:val="24"/>
      <w:szCs w:val="24"/>
    </w:rPr>
  </w:style>
  <w:style w:type="paragraph" w:customStyle="1" w:styleId="117">
    <w:name w:val="xl30"/>
    <w:basedOn w:val="1"/>
    <w:autoRedefine/>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textAlignment w:val="center"/>
    </w:pPr>
    <w:rPr>
      <w:rFonts w:ascii="Arial Unicode MS" w:hAnsi="Arial Unicode MS" w:eastAsia="Arial Unicode MS" w:cs="Arial Unicode MS"/>
      <w:kern w:val="0"/>
      <w:sz w:val="24"/>
      <w:szCs w:val="24"/>
    </w:rPr>
  </w:style>
  <w:style w:type="paragraph" w:customStyle="1" w:styleId="118">
    <w:name w:val="Char"/>
    <w:basedOn w:val="1"/>
    <w:autoRedefine/>
    <w:qFormat/>
    <w:uiPriority w:val="0"/>
    <w:pPr>
      <w:widowControl/>
      <w:spacing w:after="160" w:line="240" w:lineRule="exact"/>
      <w:jc w:val="left"/>
    </w:pPr>
    <w:rPr>
      <w:rFonts w:ascii="Verdana" w:hAnsi="Verdana" w:eastAsia="楷体_GB2312"/>
      <w:b/>
      <w:i/>
      <w:iCs/>
      <w:color w:val="000000"/>
      <w:kern w:val="0"/>
      <w:sz w:val="20"/>
      <w:lang w:eastAsia="en-US"/>
    </w:rPr>
  </w:style>
  <w:style w:type="paragraph" w:customStyle="1" w:styleId="119">
    <w:name w:val="xl53"/>
    <w:basedOn w:val="1"/>
    <w:autoRedefine/>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right"/>
      <w:textAlignment w:val="center"/>
    </w:pPr>
    <w:rPr>
      <w:rFonts w:ascii="宋体" w:hAnsi="宋体"/>
      <w:kern w:val="0"/>
      <w:sz w:val="24"/>
      <w:szCs w:val="24"/>
    </w:rPr>
  </w:style>
  <w:style w:type="paragraph" w:customStyle="1" w:styleId="120">
    <w:name w:val="TOC 21"/>
    <w:basedOn w:val="1"/>
    <w:next w:val="1"/>
    <w:autoRedefine/>
    <w:qFormat/>
    <w:uiPriority w:val="39"/>
    <w:pPr>
      <w:tabs>
        <w:tab w:val="left" w:pos="840"/>
        <w:tab w:val="right" w:leader="dot" w:pos="8640"/>
      </w:tabs>
      <w:ind w:left="420" w:leftChars="200"/>
    </w:pPr>
  </w:style>
  <w:style w:type="paragraph" w:customStyle="1" w:styleId="121">
    <w:name w:val="xl58"/>
    <w:basedOn w:val="1"/>
    <w:autoRedefine/>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right"/>
      <w:textAlignment w:val="center"/>
    </w:pPr>
    <w:rPr>
      <w:rFonts w:ascii="宋体" w:hAnsi="宋体"/>
      <w:kern w:val="0"/>
      <w:sz w:val="24"/>
      <w:szCs w:val="24"/>
    </w:rPr>
  </w:style>
  <w:style w:type="paragraph" w:customStyle="1" w:styleId="122">
    <w:name w:val="xl47"/>
    <w:basedOn w:val="1"/>
    <w:autoRedefine/>
    <w:qFormat/>
    <w:uiPriority w:val="0"/>
    <w:pPr>
      <w:widowControl/>
      <w:spacing w:before="100" w:beforeAutospacing="1" w:after="100" w:afterAutospacing="1"/>
      <w:jc w:val="center"/>
      <w:textAlignment w:val="center"/>
    </w:pPr>
    <w:rPr>
      <w:rFonts w:ascii="Arial Unicode MS" w:hAnsi="Arial Unicode MS" w:eastAsia="Arial Unicode MS" w:cs="Arial Unicode MS"/>
      <w:b/>
      <w:bCs/>
      <w:kern w:val="0"/>
      <w:sz w:val="40"/>
      <w:szCs w:val="40"/>
    </w:rPr>
  </w:style>
  <w:style w:type="paragraph" w:customStyle="1" w:styleId="123">
    <w:name w:val="font6"/>
    <w:basedOn w:val="1"/>
    <w:autoRedefine/>
    <w:qFormat/>
    <w:uiPriority w:val="0"/>
    <w:pPr>
      <w:widowControl/>
      <w:spacing w:before="100" w:beforeAutospacing="1" w:after="100" w:afterAutospacing="1"/>
      <w:jc w:val="left"/>
    </w:pPr>
    <w:rPr>
      <w:rFonts w:hint="eastAsia" w:ascii="宋体" w:hAnsi="宋体" w:cs="Arial Unicode MS"/>
      <w:kern w:val="0"/>
      <w:sz w:val="18"/>
      <w:szCs w:val="18"/>
    </w:rPr>
  </w:style>
  <w:style w:type="paragraph" w:customStyle="1" w:styleId="124">
    <w:name w:val="1"/>
    <w:basedOn w:val="1"/>
    <w:next w:val="20"/>
    <w:autoRedefine/>
    <w:qFormat/>
    <w:uiPriority w:val="0"/>
    <w:rPr>
      <w:rFonts w:ascii="宋体" w:hAnsi="Courier New"/>
    </w:rPr>
  </w:style>
  <w:style w:type="paragraph" w:customStyle="1" w:styleId="125">
    <w:name w:val="TOC 71"/>
    <w:basedOn w:val="1"/>
    <w:next w:val="1"/>
    <w:autoRedefine/>
    <w:semiHidden/>
    <w:qFormat/>
    <w:uiPriority w:val="0"/>
    <w:pPr>
      <w:spacing w:line="440" w:lineRule="exact"/>
      <w:ind w:left="1050" w:firstLine="200" w:firstLineChars="200"/>
      <w:jc w:val="left"/>
    </w:pPr>
    <w:rPr>
      <w:sz w:val="20"/>
    </w:rPr>
  </w:style>
  <w:style w:type="paragraph" w:customStyle="1" w:styleId="126">
    <w:name w:val="TOC 11"/>
    <w:basedOn w:val="1"/>
    <w:next w:val="1"/>
    <w:autoRedefine/>
    <w:qFormat/>
    <w:uiPriority w:val="39"/>
    <w:pPr>
      <w:tabs>
        <w:tab w:val="right" w:leader="dot" w:pos="8729"/>
      </w:tabs>
      <w:ind w:firstLine="548" w:firstLineChars="171"/>
    </w:pPr>
    <w:rPr>
      <w:b/>
      <w:kern w:val="0"/>
      <w:sz w:val="32"/>
      <w:szCs w:val="32"/>
    </w:rPr>
  </w:style>
  <w:style w:type="paragraph" w:customStyle="1" w:styleId="127">
    <w:name w:val="TOC 31"/>
    <w:basedOn w:val="1"/>
    <w:next w:val="1"/>
    <w:autoRedefine/>
    <w:qFormat/>
    <w:uiPriority w:val="39"/>
    <w:pPr>
      <w:spacing w:line="440" w:lineRule="exact"/>
      <w:ind w:firstLine="400" w:firstLineChars="400"/>
      <w:jc w:val="left"/>
    </w:pPr>
    <w:rPr>
      <w:rFonts w:eastAsia="黑体"/>
    </w:rPr>
  </w:style>
  <w:style w:type="paragraph" w:customStyle="1" w:styleId="128">
    <w:name w:val="TOC 51"/>
    <w:basedOn w:val="1"/>
    <w:next w:val="1"/>
    <w:autoRedefine/>
    <w:semiHidden/>
    <w:qFormat/>
    <w:uiPriority w:val="0"/>
    <w:pPr>
      <w:spacing w:line="440" w:lineRule="exact"/>
      <w:ind w:left="630" w:firstLine="200" w:firstLineChars="200"/>
      <w:jc w:val="left"/>
    </w:pPr>
    <w:rPr>
      <w:sz w:val="20"/>
    </w:rPr>
  </w:style>
  <w:style w:type="paragraph" w:customStyle="1" w:styleId="129">
    <w:name w:val="font0"/>
    <w:basedOn w:val="1"/>
    <w:autoRedefine/>
    <w:qFormat/>
    <w:uiPriority w:val="0"/>
    <w:pPr>
      <w:widowControl/>
      <w:spacing w:before="100" w:beforeAutospacing="1" w:after="100" w:afterAutospacing="1"/>
      <w:jc w:val="left"/>
    </w:pPr>
    <w:rPr>
      <w:rFonts w:hint="eastAsia" w:ascii="宋体" w:hAnsi="宋体" w:cs="Arial Unicode MS"/>
      <w:kern w:val="0"/>
      <w:sz w:val="24"/>
      <w:szCs w:val="24"/>
    </w:rPr>
  </w:style>
  <w:style w:type="paragraph" w:customStyle="1" w:styleId="130">
    <w:name w:val="xl26"/>
    <w:basedOn w:val="1"/>
    <w:autoRedefine/>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textAlignment w:val="center"/>
    </w:pPr>
    <w:rPr>
      <w:rFonts w:ascii="Arial Unicode MS" w:hAnsi="Arial Unicode MS" w:eastAsia="Arial Unicode MS" w:cs="Arial Unicode MS"/>
      <w:kern w:val="0"/>
      <w:sz w:val="24"/>
      <w:szCs w:val="24"/>
    </w:rPr>
  </w:style>
  <w:style w:type="paragraph" w:customStyle="1" w:styleId="131">
    <w:name w:val="xl85"/>
    <w:basedOn w:val="1"/>
    <w:autoRedefine/>
    <w:qFormat/>
    <w:uiPriority w:val="0"/>
    <w:pPr>
      <w:widowControl/>
      <w:pBdr>
        <w:top w:val="single" w:color="auto" w:sz="4" w:space="0"/>
        <w:left w:val="single" w:color="auto" w:sz="8" w:space="0"/>
        <w:bottom w:val="single" w:color="auto" w:sz="4" w:space="0"/>
        <w:right w:val="single" w:color="auto" w:sz="4" w:space="0"/>
      </w:pBdr>
      <w:shd w:val="clear" w:color="auto" w:fill="C0C0C0"/>
      <w:spacing w:before="100" w:beforeAutospacing="1" w:after="100" w:afterAutospacing="1"/>
      <w:jc w:val="left"/>
      <w:textAlignment w:val="center"/>
    </w:pPr>
    <w:rPr>
      <w:rFonts w:ascii="宋体" w:hAnsi="宋体"/>
      <w:kern w:val="0"/>
      <w:sz w:val="24"/>
      <w:szCs w:val="24"/>
    </w:rPr>
  </w:style>
  <w:style w:type="paragraph" w:customStyle="1" w:styleId="132">
    <w:name w:val="TOC 标题1"/>
    <w:basedOn w:val="2"/>
    <w:next w:val="1"/>
    <w:autoRedefine/>
    <w:qFormat/>
    <w:uiPriority w:val="39"/>
    <w:pPr>
      <w:keepLines/>
      <w:widowControl/>
      <w:autoSpaceDE/>
      <w:autoSpaceDN/>
      <w:adjustRightInd/>
      <w:spacing w:before="480" w:line="276" w:lineRule="auto"/>
      <w:jc w:val="left"/>
      <w:outlineLvl w:val="9"/>
    </w:pPr>
    <w:rPr>
      <w:rFonts w:ascii="Cambria" w:hAnsi="Cambria"/>
      <w:b/>
      <w:bCs/>
      <w:color w:val="365F91"/>
      <w:kern w:val="0"/>
      <w:szCs w:val="28"/>
    </w:rPr>
  </w:style>
  <w:style w:type="paragraph" w:customStyle="1" w:styleId="133">
    <w:name w:val="font10"/>
    <w:basedOn w:val="1"/>
    <w:autoRedefine/>
    <w:qFormat/>
    <w:uiPriority w:val="0"/>
    <w:pPr>
      <w:widowControl/>
      <w:spacing w:before="100" w:beforeAutospacing="1" w:after="100" w:afterAutospacing="1"/>
      <w:jc w:val="left"/>
    </w:pPr>
    <w:rPr>
      <w:rFonts w:hint="eastAsia" w:ascii="宋体" w:hAnsi="宋体"/>
      <w:b/>
      <w:bCs/>
      <w:color w:val="000000"/>
      <w:kern w:val="0"/>
      <w:sz w:val="18"/>
      <w:szCs w:val="18"/>
    </w:rPr>
  </w:style>
  <w:style w:type="paragraph" w:customStyle="1" w:styleId="134">
    <w:name w:val="xl43"/>
    <w:basedOn w:val="1"/>
    <w:autoRedefine/>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right"/>
      <w:textAlignment w:val="center"/>
    </w:pPr>
    <w:rPr>
      <w:rFonts w:ascii="Arial Unicode MS" w:hAnsi="Arial Unicode MS" w:eastAsia="Arial Unicode MS" w:cs="Arial Unicode MS"/>
      <w:kern w:val="0"/>
      <w:sz w:val="24"/>
      <w:szCs w:val="24"/>
    </w:rPr>
  </w:style>
  <w:style w:type="paragraph" w:customStyle="1" w:styleId="135">
    <w:name w:val="xl65"/>
    <w:basedOn w:val="1"/>
    <w:autoRedefine/>
    <w:qFormat/>
    <w:uiPriority w:val="0"/>
    <w:pPr>
      <w:widowControl/>
      <w:pBdr>
        <w:top w:val="single" w:color="auto" w:sz="4" w:space="0"/>
        <w:left w:val="single" w:color="auto" w:sz="4" w:space="0"/>
        <w:bottom w:val="single" w:color="auto" w:sz="8" w:space="0"/>
        <w:right w:val="single" w:color="auto" w:sz="4" w:space="0"/>
      </w:pBdr>
      <w:spacing w:before="100" w:beforeAutospacing="1" w:after="100" w:afterAutospacing="1"/>
      <w:jc w:val="center"/>
      <w:textAlignment w:val="center"/>
    </w:pPr>
    <w:rPr>
      <w:rFonts w:ascii="宋体" w:hAnsi="宋体"/>
      <w:b/>
      <w:bCs/>
      <w:kern w:val="0"/>
      <w:sz w:val="24"/>
      <w:szCs w:val="24"/>
    </w:rPr>
  </w:style>
  <w:style w:type="paragraph" w:customStyle="1" w:styleId="136">
    <w:name w:val="小标题"/>
    <w:basedOn w:val="1"/>
    <w:autoRedefine/>
    <w:qFormat/>
    <w:uiPriority w:val="0"/>
    <w:pPr>
      <w:tabs>
        <w:tab w:val="left" w:pos="1404"/>
      </w:tabs>
      <w:ind w:left="1404" w:hanging="420"/>
    </w:pPr>
    <w:rPr>
      <w:szCs w:val="24"/>
    </w:rPr>
  </w:style>
  <w:style w:type="paragraph" w:customStyle="1" w:styleId="137">
    <w:name w:val="xl67"/>
    <w:basedOn w:val="1"/>
    <w:autoRedefine/>
    <w:qFormat/>
    <w:uiPriority w:val="0"/>
    <w:pPr>
      <w:widowControl/>
      <w:pBdr>
        <w:bottom w:val="single" w:color="auto" w:sz="8" w:space="0"/>
      </w:pBdr>
      <w:spacing w:before="100" w:beforeAutospacing="1" w:after="100" w:afterAutospacing="1"/>
      <w:jc w:val="left"/>
      <w:textAlignment w:val="center"/>
    </w:pPr>
    <w:rPr>
      <w:rFonts w:ascii="宋体" w:hAnsi="宋体"/>
      <w:b/>
      <w:bCs/>
      <w:kern w:val="0"/>
      <w:sz w:val="40"/>
      <w:szCs w:val="40"/>
    </w:rPr>
  </w:style>
  <w:style w:type="paragraph" w:customStyle="1" w:styleId="138">
    <w:name w:val="xl78"/>
    <w:basedOn w:val="1"/>
    <w:autoRedefine/>
    <w:qFormat/>
    <w:uiPriority w:val="0"/>
    <w:pPr>
      <w:widowControl/>
      <w:pBdr>
        <w:top w:val="single" w:color="auto" w:sz="8" w:space="0"/>
        <w:left w:val="single" w:color="auto" w:sz="4" w:space="0"/>
        <w:bottom w:val="single" w:color="auto" w:sz="4" w:space="0"/>
        <w:right w:val="single" w:color="auto" w:sz="8" w:space="0"/>
      </w:pBdr>
      <w:spacing w:before="100" w:beforeAutospacing="1" w:after="100" w:afterAutospacing="1"/>
      <w:jc w:val="left"/>
      <w:textAlignment w:val="center"/>
    </w:pPr>
    <w:rPr>
      <w:b/>
      <w:bCs/>
      <w:i/>
      <w:iCs/>
      <w:kern w:val="0"/>
      <w:sz w:val="24"/>
      <w:szCs w:val="24"/>
    </w:rPr>
  </w:style>
  <w:style w:type="paragraph" w:customStyle="1" w:styleId="139">
    <w:name w:val="xl41"/>
    <w:basedOn w:val="1"/>
    <w:autoRedefine/>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textAlignment w:val="center"/>
    </w:pPr>
    <w:rPr>
      <w:rFonts w:ascii="Arial Unicode MS" w:hAnsi="Arial Unicode MS" w:eastAsia="Arial Unicode MS" w:cs="Arial Unicode MS"/>
      <w:kern w:val="0"/>
      <w:sz w:val="24"/>
      <w:szCs w:val="24"/>
    </w:rPr>
  </w:style>
  <w:style w:type="paragraph" w:customStyle="1" w:styleId="140">
    <w:name w:val="xl45"/>
    <w:basedOn w:val="1"/>
    <w:autoRedefine/>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textAlignment w:val="center"/>
    </w:pPr>
    <w:rPr>
      <w:rFonts w:eastAsia="Arial Unicode MS"/>
      <w:color w:val="FF0000"/>
      <w:kern w:val="0"/>
      <w:sz w:val="24"/>
      <w:szCs w:val="24"/>
    </w:rPr>
  </w:style>
  <w:style w:type="paragraph" w:customStyle="1" w:styleId="141">
    <w:name w:val="TOC 61"/>
    <w:basedOn w:val="1"/>
    <w:next w:val="1"/>
    <w:autoRedefine/>
    <w:semiHidden/>
    <w:qFormat/>
    <w:uiPriority w:val="0"/>
    <w:pPr>
      <w:spacing w:line="440" w:lineRule="exact"/>
      <w:ind w:left="840" w:firstLine="200" w:firstLineChars="200"/>
      <w:jc w:val="left"/>
    </w:pPr>
    <w:rPr>
      <w:sz w:val="20"/>
    </w:rPr>
  </w:style>
  <w:style w:type="paragraph" w:customStyle="1" w:styleId="142">
    <w:name w:val="xl38"/>
    <w:basedOn w:val="1"/>
    <w:autoRedefine/>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textAlignment w:val="center"/>
    </w:pPr>
    <w:rPr>
      <w:rFonts w:ascii="Arial Unicode MS" w:hAnsi="Arial Unicode MS" w:eastAsia="Arial Unicode MS" w:cs="Arial Unicode MS"/>
      <w:b/>
      <w:bCs/>
      <w:kern w:val="0"/>
      <w:sz w:val="24"/>
      <w:szCs w:val="24"/>
    </w:rPr>
  </w:style>
  <w:style w:type="paragraph" w:customStyle="1" w:styleId="143">
    <w:name w:val="xl60"/>
    <w:basedOn w:val="1"/>
    <w:autoRedefine/>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right"/>
      <w:textAlignment w:val="center"/>
    </w:pPr>
    <w:rPr>
      <w:rFonts w:ascii="宋体" w:hAnsi="宋体"/>
      <w:kern w:val="0"/>
      <w:sz w:val="24"/>
      <w:szCs w:val="24"/>
    </w:rPr>
  </w:style>
  <w:style w:type="paragraph" w:customStyle="1" w:styleId="144">
    <w:name w:val="xl68"/>
    <w:basedOn w:val="1"/>
    <w:autoRedefine/>
    <w:qFormat/>
    <w:uiPriority w:val="0"/>
    <w:pPr>
      <w:widowControl/>
      <w:pBdr>
        <w:bottom w:val="single" w:color="auto" w:sz="8" w:space="0"/>
      </w:pBdr>
      <w:spacing w:before="100" w:beforeAutospacing="1" w:after="100" w:afterAutospacing="1"/>
      <w:jc w:val="left"/>
      <w:textAlignment w:val="center"/>
    </w:pPr>
    <w:rPr>
      <w:b/>
      <w:bCs/>
      <w:kern w:val="0"/>
      <w:sz w:val="36"/>
      <w:szCs w:val="36"/>
    </w:rPr>
  </w:style>
  <w:style w:type="paragraph" w:customStyle="1" w:styleId="145">
    <w:name w:val="xl62"/>
    <w:basedOn w:val="1"/>
    <w:autoRedefine/>
    <w:qFormat/>
    <w:uiPriority w:val="0"/>
    <w:pPr>
      <w:widowControl/>
      <w:pBdr>
        <w:top w:val="single" w:color="auto" w:sz="4" w:space="0"/>
        <w:left w:val="single" w:color="auto" w:sz="4" w:space="0"/>
        <w:bottom w:val="single" w:color="auto" w:sz="4" w:space="0"/>
        <w:right w:val="single" w:color="auto" w:sz="8" w:space="0"/>
      </w:pBdr>
      <w:spacing w:before="100" w:beforeAutospacing="1" w:after="100" w:afterAutospacing="1"/>
      <w:jc w:val="center"/>
      <w:textAlignment w:val="center"/>
    </w:pPr>
    <w:rPr>
      <w:rFonts w:ascii="宋体" w:hAnsi="宋体"/>
      <w:kern w:val="0"/>
      <w:sz w:val="24"/>
      <w:szCs w:val="24"/>
    </w:rPr>
  </w:style>
  <w:style w:type="paragraph" w:customStyle="1" w:styleId="146">
    <w:name w:val="px16"/>
    <w:basedOn w:val="1"/>
    <w:autoRedefine/>
    <w:qFormat/>
    <w:uiPriority w:val="0"/>
    <w:pPr>
      <w:widowControl/>
      <w:spacing w:before="100" w:beforeAutospacing="1" w:after="100" w:afterAutospacing="1" w:line="360" w:lineRule="auto"/>
      <w:jc w:val="left"/>
    </w:pPr>
    <w:rPr>
      <w:rFonts w:ascii="宋体" w:hAnsi="宋体"/>
      <w:kern w:val="0"/>
      <w:sz w:val="24"/>
      <w:szCs w:val="24"/>
    </w:rPr>
  </w:style>
  <w:style w:type="paragraph" w:customStyle="1" w:styleId="147">
    <w:name w:val="xl40"/>
    <w:basedOn w:val="1"/>
    <w:autoRedefine/>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textAlignment w:val="center"/>
    </w:pPr>
    <w:rPr>
      <w:rFonts w:eastAsia="Arial Unicode MS"/>
      <w:kern w:val="0"/>
      <w:sz w:val="24"/>
      <w:szCs w:val="24"/>
    </w:rPr>
  </w:style>
  <w:style w:type="paragraph" w:customStyle="1" w:styleId="148">
    <w:name w:val="TOC 91"/>
    <w:basedOn w:val="1"/>
    <w:next w:val="1"/>
    <w:autoRedefine/>
    <w:semiHidden/>
    <w:qFormat/>
    <w:uiPriority w:val="0"/>
    <w:pPr>
      <w:spacing w:line="440" w:lineRule="exact"/>
      <w:ind w:left="1470" w:firstLine="200" w:firstLineChars="200"/>
      <w:jc w:val="left"/>
    </w:pPr>
    <w:rPr>
      <w:sz w:val="20"/>
    </w:rPr>
  </w:style>
  <w:style w:type="paragraph" w:customStyle="1" w:styleId="149">
    <w:name w:val="xl27"/>
    <w:basedOn w:val="1"/>
    <w:autoRedefine/>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textAlignment w:val="center"/>
    </w:pPr>
    <w:rPr>
      <w:rFonts w:ascii="Arial Unicode MS" w:hAnsi="Arial Unicode MS" w:eastAsia="Arial Unicode MS" w:cs="Arial Unicode MS"/>
      <w:color w:val="FF0000"/>
      <w:kern w:val="0"/>
      <w:sz w:val="24"/>
      <w:szCs w:val="24"/>
    </w:rPr>
  </w:style>
  <w:style w:type="paragraph" w:customStyle="1" w:styleId="150">
    <w:name w:val="xl32"/>
    <w:basedOn w:val="1"/>
    <w:autoRedefine/>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textAlignment w:val="center"/>
    </w:pPr>
    <w:rPr>
      <w:rFonts w:eastAsia="Arial Unicode MS"/>
      <w:kern w:val="0"/>
      <w:sz w:val="24"/>
      <w:szCs w:val="24"/>
    </w:rPr>
  </w:style>
  <w:style w:type="paragraph" w:customStyle="1" w:styleId="151">
    <w:name w:val="xl63"/>
    <w:basedOn w:val="1"/>
    <w:autoRedefine/>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pPr>
    <w:rPr>
      <w:rFonts w:ascii="宋体" w:hAnsi="宋体"/>
      <w:kern w:val="0"/>
      <w:sz w:val="24"/>
      <w:szCs w:val="24"/>
    </w:rPr>
  </w:style>
  <w:style w:type="paragraph" w:customStyle="1" w:styleId="152">
    <w:name w:val="xl29"/>
    <w:basedOn w:val="1"/>
    <w:autoRedefine/>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textAlignment w:val="center"/>
    </w:pPr>
    <w:rPr>
      <w:rFonts w:ascii="Arial Unicode MS" w:hAnsi="Arial Unicode MS" w:eastAsia="Arial Unicode MS" w:cs="Arial Unicode MS"/>
      <w:kern w:val="0"/>
      <w:sz w:val="24"/>
      <w:szCs w:val="24"/>
    </w:rPr>
  </w:style>
  <w:style w:type="paragraph" w:customStyle="1" w:styleId="153">
    <w:name w:val="Char Char Char Char Char Char Char"/>
    <w:basedOn w:val="1"/>
    <w:autoRedefine/>
    <w:qFormat/>
    <w:uiPriority w:val="0"/>
    <w:pPr>
      <w:widowControl/>
      <w:tabs>
        <w:tab w:val="left" w:pos="360"/>
      </w:tabs>
      <w:snapToGrid w:val="0"/>
      <w:spacing w:after="160" w:line="360" w:lineRule="auto"/>
      <w:ind w:firstLine="200" w:firstLineChars="200"/>
      <w:jc w:val="left"/>
    </w:pPr>
    <w:rPr>
      <w:kern w:val="0"/>
      <w:sz w:val="24"/>
      <w:szCs w:val="24"/>
      <w:lang w:eastAsia="en-US"/>
    </w:rPr>
  </w:style>
  <w:style w:type="paragraph" w:customStyle="1" w:styleId="154">
    <w:name w:val="font7"/>
    <w:basedOn w:val="1"/>
    <w:autoRedefine/>
    <w:qFormat/>
    <w:uiPriority w:val="0"/>
    <w:pPr>
      <w:widowControl/>
      <w:spacing w:before="100" w:beforeAutospacing="1" w:after="100" w:afterAutospacing="1"/>
      <w:jc w:val="left"/>
    </w:pPr>
    <w:rPr>
      <w:rFonts w:eastAsia="Arial Unicode MS"/>
      <w:kern w:val="0"/>
      <w:sz w:val="24"/>
      <w:szCs w:val="24"/>
    </w:rPr>
  </w:style>
  <w:style w:type="paragraph" w:customStyle="1" w:styleId="155">
    <w:name w:val="Char Char Char Char Char Char Char Char Char Char1"/>
    <w:basedOn w:val="1"/>
    <w:autoRedefine/>
    <w:qFormat/>
    <w:uiPriority w:val="0"/>
    <w:pPr>
      <w:tabs>
        <w:tab w:val="left" w:pos="425"/>
      </w:tabs>
      <w:ind w:left="425" w:hanging="425"/>
    </w:pPr>
    <w:rPr>
      <w:rFonts w:ascii="Arial" w:hAnsi="Arial" w:eastAsia="黑体" w:cs="宋体"/>
      <w:b/>
      <w:bCs/>
      <w:sz w:val="32"/>
      <w:szCs w:val="32"/>
    </w:rPr>
  </w:style>
  <w:style w:type="paragraph" w:customStyle="1" w:styleId="156">
    <w:name w:val="xl33"/>
    <w:basedOn w:val="1"/>
    <w:autoRedefine/>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textAlignment w:val="center"/>
    </w:pPr>
    <w:rPr>
      <w:rFonts w:ascii="Arial Unicode MS" w:hAnsi="Arial Unicode MS" w:eastAsia="Arial Unicode MS" w:cs="Arial Unicode MS"/>
      <w:kern w:val="0"/>
      <w:sz w:val="24"/>
      <w:szCs w:val="24"/>
    </w:rPr>
  </w:style>
  <w:style w:type="paragraph" w:customStyle="1" w:styleId="157">
    <w:name w:val="p9"/>
    <w:basedOn w:val="1"/>
    <w:autoRedefine/>
    <w:qFormat/>
    <w:uiPriority w:val="0"/>
    <w:pPr>
      <w:widowControl/>
      <w:spacing w:before="100" w:beforeAutospacing="1" w:after="100" w:afterAutospacing="1"/>
      <w:jc w:val="left"/>
    </w:pPr>
    <w:rPr>
      <w:rFonts w:eastAsia="Arial Unicode MS" w:cs="Arial Unicode MS"/>
      <w:color w:val="000000"/>
      <w:kern w:val="0"/>
      <w:sz w:val="18"/>
      <w:szCs w:val="18"/>
    </w:rPr>
  </w:style>
  <w:style w:type="paragraph" w:customStyle="1" w:styleId="158">
    <w:name w:val="Char2 Char Char Char Char Char Char"/>
    <w:basedOn w:val="12"/>
    <w:autoRedefine/>
    <w:qFormat/>
    <w:uiPriority w:val="0"/>
    <w:rPr>
      <w:rFonts w:ascii="Tahoma" w:hAnsi="Tahoma"/>
      <w:sz w:val="24"/>
      <w:szCs w:val="24"/>
    </w:rPr>
  </w:style>
  <w:style w:type="paragraph" w:customStyle="1" w:styleId="159">
    <w:name w:val="Char6"/>
    <w:basedOn w:val="1"/>
    <w:autoRedefine/>
    <w:qFormat/>
    <w:uiPriority w:val="0"/>
    <w:pPr>
      <w:tabs>
        <w:tab w:val="left" w:pos="794"/>
        <w:tab w:val="left" w:pos="1191"/>
        <w:tab w:val="left" w:pos="1588"/>
        <w:tab w:val="left" w:pos="1985"/>
      </w:tabs>
      <w:autoSpaceDE w:val="0"/>
      <w:autoSpaceDN w:val="0"/>
      <w:adjustRightInd w:val="0"/>
      <w:spacing w:before="136"/>
    </w:pPr>
    <w:rPr>
      <w:rFonts w:ascii="Tahoma" w:hAnsi="Tahoma"/>
      <w:kern w:val="0"/>
      <w:sz w:val="24"/>
      <w:lang w:val="en-GB"/>
    </w:rPr>
  </w:style>
  <w:style w:type="paragraph" w:customStyle="1" w:styleId="160">
    <w:name w:val="xl83"/>
    <w:basedOn w:val="1"/>
    <w:autoRedefine/>
    <w:qFormat/>
    <w:uiPriority w:val="0"/>
    <w:pPr>
      <w:widowControl/>
      <w:pBdr>
        <w:top w:val="single" w:color="auto" w:sz="4" w:space="0"/>
        <w:left w:val="single" w:color="auto" w:sz="4" w:space="0"/>
        <w:bottom w:val="single" w:color="auto" w:sz="4" w:space="0"/>
        <w:right w:val="single" w:color="auto" w:sz="4" w:space="0"/>
      </w:pBdr>
      <w:shd w:val="clear" w:color="auto" w:fill="C0C0C0"/>
      <w:spacing w:before="100" w:beforeAutospacing="1" w:after="100" w:afterAutospacing="1"/>
      <w:jc w:val="left"/>
      <w:textAlignment w:val="center"/>
    </w:pPr>
    <w:rPr>
      <w:rFonts w:ascii="宋体" w:hAnsi="宋体"/>
      <w:kern w:val="0"/>
      <w:sz w:val="24"/>
      <w:szCs w:val="24"/>
    </w:rPr>
  </w:style>
  <w:style w:type="paragraph" w:customStyle="1" w:styleId="161">
    <w:name w:val="xl84"/>
    <w:basedOn w:val="1"/>
    <w:autoRedefine/>
    <w:qFormat/>
    <w:uiPriority w:val="0"/>
    <w:pPr>
      <w:widowControl/>
      <w:pBdr>
        <w:top w:val="single" w:color="auto" w:sz="4" w:space="0"/>
        <w:left w:val="single" w:color="auto" w:sz="4" w:space="0"/>
        <w:bottom w:val="single" w:color="auto" w:sz="4" w:space="0"/>
        <w:right w:val="single" w:color="auto" w:sz="8" w:space="0"/>
      </w:pBdr>
      <w:shd w:val="clear" w:color="auto" w:fill="C0C0C0"/>
      <w:spacing w:before="100" w:beforeAutospacing="1" w:after="100" w:afterAutospacing="1"/>
      <w:jc w:val="left"/>
      <w:textAlignment w:val="center"/>
    </w:pPr>
    <w:rPr>
      <w:rFonts w:ascii="宋体" w:hAnsi="宋体"/>
      <w:kern w:val="0"/>
      <w:sz w:val="24"/>
      <w:szCs w:val="24"/>
    </w:rPr>
  </w:style>
  <w:style w:type="paragraph" w:customStyle="1" w:styleId="162">
    <w:name w:val="Char Char Char Char"/>
    <w:basedOn w:val="1"/>
    <w:autoRedefine/>
    <w:qFormat/>
    <w:uiPriority w:val="0"/>
    <w:pPr>
      <w:widowControl/>
      <w:spacing w:after="160" w:line="240" w:lineRule="exact"/>
      <w:jc w:val="left"/>
    </w:pPr>
  </w:style>
  <w:style w:type="paragraph" w:customStyle="1" w:styleId="163">
    <w:name w:val="xl64"/>
    <w:basedOn w:val="1"/>
    <w:autoRedefine/>
    <w:qFormat/>
    <w:uiPriority w:val="0"/>
    <w:pPr>
      <w:widowControl/>
      <w:pBdr>
        <w:top w:val="single" w:color="auto" w:sz="4" w:space="0"/>
        <w:left w:val="single" w:color="auto" w:sz="4" w:space="0"/>
        <w:bottom w:val="single" w:color="auto" w:sz="8" w:space="0"/>
        <w:right w:val="single" w:color="auto" w:sz="4" w:space="0"/>
      </w:pBdr>
      <w:spacing w:before="100" w:beforeAutospacing="1" w:after="100" w:afterAutospacing="1"/>
      <w:jc w:val="left"/>
      <w:textAlignment w:val="center"/>
    </w:pPr>
    <w:rPr>
      <w:kern w:val="0"/>
      <w:sz w:val="24"/>
      <w:szCs w:val="24"/>
    </w:rPr>
  </w:style>
  <w:style w:type="paragraph" w:customStyle="1" w:styleId="164">
    <w:name w:val="xl25"/>
    <w:basedOn w:val="1"/>
    <w:autoRedefine/>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textAlignment w:val="center"/>
    </w:pPr>
    <w:rPr>
      <w:rFonts w:ascii="宋体" w:hAnsi="宋体"/>
      <w:b/>
      <w:bCs/>
      <w:i/>
      <w:iCs/>
      <w:kern w:val="0"/>
      <w:szCs w:val="21"/>
    </w:rPr>
  </w:style>
  <w:style w:type="paragraph" w:customStyle="1" w:styleId="165">
    <w:name w:val="xl80"/>
    <w:basedOn w:val="1"/>
    <w:autoRedefine/>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textAlignment w:val="center"/>
    </w:pPr>
    <w:rPr>
      <w:rFonts w:ascii="宋体" w:hAnsi="宋体"/>
      <w:kern w:val="0"/>
      <w:sz w:val="24"/>
      <w:szCs w:val="24"/>
    </w:rPr>
  </w:style>
  <w:style w:type="paragraph" w:customStyle="1" w:styleId="166">
    <w:name w:val="xl76"/>
    <w:basedOn w:val="1"/>
    <w:autoRedefine/>
    <w:qFormat/>
    <w:uiPriority w:val="0"/>
    <w:pPr>
      <w:widowControl/>
      <w:pBdr>
        <w:top w:val="single" w:color="auto" w:sz="8" w:space="0"/>
        <w:left w:val="single" w:color="auto" w:sz="8" w:space="0"/>
        <w:bottom w:val="single" w:color="auto" w:sz="4" w:space="0"/>
        <w:right w:val="single" w:color="auto" w:sz="4" w:space="0"/>
      </w:pBdr>
      <w:spacing w:before="100" w:beforeAutospacing="1" w:after="100" w:afterAutospacing="1"/>
      <w:jc w:val="left"/>
      <w:textAlignment w:val="center"/>
    </w:pPr>
    <w:rPr>
      <w:rFonts w:ascii="宋体" w:hAnsi="宋体"/>
      <w:b/>
      <w:bCs/>
      <w:i/>
      <w:iCs/>
      <w:kern w:val="0"/>
      <w:sz w:val="28"/>
      <w:szCs w:val="28"/>
    </w:rPr>
  </w:style>
  <w:style w:type="paragraph" w:customStyle="1" w:styleId="167">
    <w:name w:val="Char Char Char Char Char Char1 Char"/>
    <w:basedOn w:val="1"/>
    <w:autoRedefine/>
    <w:qFormat/>
    <w:uiPriority w:val="0"/>
    <w:pPr>
      <w:widowControl/>
      <w:spacing w:after="160" w:line="240" w:lineRule="exact"/>
      <w:jc w:val="left"/>
    </w:pPr>
    <w:rPr>
      <w:rFonts w:ascii="宋体" w:hAnsi="宋体"/>
      <w:kern w:val="0"/>
      <w:sz w:val="24"/>
      <w:lang w:eastAsia="en-US"/>
    </w:rPr>
  </w:style>
  <w:style w:type="paragraph" w:customStyle="1" w:styleId="168">
    <w:name w:val="xl31"/>
    <w:basedOn w:val="1"/>
    <w:autoRedefine/>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right"/>
      <w:textAlignment w:val="center"/>
    </w:pPr>
    <w:rPr>
      <w:rFonts w:ascii="Arial Unicode MS" w:hAnsi="Arial Unicode MS" w:eastAsia="Arial Unicode MS" w:cs="Arial Unicode MS"/>
      <w:kern w:val="0"/>
      <w:sz w:val="24"/>
      <w:szCs w:val="24"/>
    </w:rPr>
  </w:style>
  <w:style w:type="paragraph" w:customStyle="1" w:styleId="169">
    <w:name w:val="纯文本1"/>
    <w:basedOn w:val="1"/>
    <w:autoRedefine/>
    <w:qFormat/>
    <w:uiPriority w:val="0"/>
    <w:pPr>
      <w:adjustRightInd w:val="0"/>
      <w:textAlignment w:val="baseline"/>
    </w:pPr>
    <w:rPr>
      <w:rFonts w:ascii="宋体" w:hAnsi="Courier New"/>
    </w:rPr>
  </w:style>
  <w:style w:type="paragraph" w:customStyle="1" w:styleId="170">
    <w:name w:val="xl81"/>
    <w:basedOn w:val="1"/>
    <w:autoRedefine/>
    <w:qFormat/>
    <w:uiPriority w:val="0"/>
    <w:pPr>
      <w:widowControl/>
      <w:pBdr>
        <w:top w:val="single" w:color="auto" w:sz="4" w:space="0"/>
        <w:left w:val="single" w:color="auto" w:sz="4" w:space="0"/>
        <w:bottom w:val="single" w:color="auto" w:sz="4" w:space="0"/>
        <w:right w:val="single" w:color="auto" w:sz="8" w:space="0"/>
      </w:pBdr>
      <w:spacing w:before="100" w:beforeAutospacing="1" w:after="100" w:afterAutospacing="1"/>
      <w:jc w:val="left"/>
      <w:textAlignment w:val="center"/>
    </w:pPr>
    <w:rPr>
      <w:rFonts w:ascii="宋体" w:hAnsi="宋体"/>
      <w:kern w:val="0"/>
      <w:sz w:val="24"/>
      <w:szCs w:val="24"/>
    </w:rPr>
  </w:style>
  <w:style w:type="paragraph" w:customStyle="1" w:styleId="171">
    <w:name w:val="Char Char Char1 Char Char Char Char Char Char Char Char Char Char Char Char Char"/>
    <w:basedOn w:val="12"/>
    <w:autoRedefine/>
    <w:qFormat/>
    <w:uiPriority w:val="0"/>
    <w:rPr>
      <w:shd w:val="clear" w:color="auto" w:fill="000080"/>
    </w:rPr>
  </w:style>
  <w:style w:type="paragraph" w:customStyle="1" w:styleId="172">
    <w:name w:val="xl39"/>
    <w:basedOn w:val="1"/>
    <w:autoRedefine/>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right"/>
      <w:textAlignment w:val="center"/>
    </w:pPr>
    <w:rPr>
      <w:rFonts w:ascii="Arial Unicode MS" w:hAnsi="Arial Unicode MS" w:eastAsia="Arial Unicode MS" w:cs="Arial Unicode MS"/>
      <w:b/>
      <w:bCs/>
      <w:kern w:val="0"/>
      <w:sz w:val="24"/>
      <w:szCs w:val="24"/>
    </w:rPr>
  </w:style>
  <w:style w:type="paragraph" w:customStyle="1" w:styleId="173">
    <w:name w:val="xl59"/>
    <w:basedOn w:val="1"/>
    <w:autoRedefine/>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right"/>
      <w:textAlignment w:val="center"/>
    </w:pPr>
    <w:rPr>
      <w:rFonts w:ascii="宋体" w:hAnsi="宋体"/>
      <w:kern w:val="0"/>
      <w:sz w:val="24"/>
      <w:szCs w:val="24"/>
    </w:rPr>
  </w:style>
  <w:style w:type="paragraph" w:customStyle="1" w:styleId="174">
    <w:name w:val="font5"/>
    <w:basedOn w:val="1"/>
    <w:autoRedefine/>
    <w:qFormat/>
    <w:uiPriority w:val="0"/>
    <w:pPr>
      <w:widowControl/>
      <w:spacing w:before="100" w:beforeAutospacing="1" w:after="100" w:afterAutospacing="1"/>
      <w:jc w:val="left"/>
    </w:pPr>
    <w:rPr>
      <w:rFonts w:hint="eastAsia" w:ascii="宋体" w:hAnsi="宋体" w:cs="Arial Unicode MS"/>
      <w:kern w:val="0"/>
      <w:sz w:val="24"/>
      <w:szCs w:val="24"/>
    </w:rPr>
  </w:style>
  <w:style w:type="paragraph" w:customStyle="1" w:styleId="175">
    <w:name w:val="xl72"/>
    <w:basedOn w:val="1"/>
    <w:autoRedefine/>
    <w:qFormat/>
    <w:uiPriority w:val="0"/>
    <w:pPr>
      <w:widowControl/>
      <w:pBdr>
        <w:top w:val="single" w:color="auto" w:sz="8" w:space="0"/>
        <w:left w:val="single" w:color="auto" w:sz="4" w:space="0"/>
        <w:right w:val="single" w:color="auto" w:sz="4" w:space="0"/>
      </w:pBdr>
      <w:spacing w:before="100" w:beforeAutospacing="1" w:after="100" w:afterAutospacing="1"/>
      <w:jc w:val="center"/>
      <w:textAlignment w:val="center"/>
    </w:pPr>
    <w:rPr>
      <w:kern w:val="0"/>
      <w:sz w:val="24"/>
      <w:szCs w:val="24"/>
    </w:rPr>
  </w:style>
  <w:style w:type="paragraph" w:customStyle="1" w:styleId="176">
    <w:name w:val="xl51"/>
    <w:basedOn w:val="1"/>
    <w:autoRedefine/>
    <w:qFormat/>
    <w:uiPriority w:val="0"/>
    <w:pPr>
      <w:widowControl/>
      <w:pBdr>
        <w:top w:val="single" w:color="auto" w:sz="4" w:space="0"/>
        <w:left w:val="single" w:color="auto" w:sz="4" w:space="0"/>
        <w:right w:val="single" w:color="auto" w:sz="4" w:space="0"/>
      </w:pBdr>
      <w:spacing w:before="100" w:beforeAutospacing="1" w:after="100" w:afterAutospacing="1"/>
      <w:jc w:val="center"/>
      <w:textAlignment w:val="center"/>
    </w:pPr>
    <w:rPr>
      <w:kern w:val="0"/>
      <w:sz w:val="24"/>
      <w:szCs w:val="24"/>
    </w:rPr>
  </w:style>
  <w:style w:type="paragraph" w:customStyle="1" w:styleId="177">
    <w:name w:val="xl87"/>
    <w:basedOn w:val="1"/>
    <w:autoRedefine/>
    <w:qFormat/>
    <w:uiPriority w:val="0"/>
    <w:pPr>
      <w:widowControl/>
      <w:pBdr>
        <w:top w:val="single" w:color="auto" w:sz="4" w:space="0"/>
        <w:left w:val="single" w:color="auto" w:sz="4" w:space="0"/>
        <w:bottom w:val="single" w:color="auto" w:sz="8" w:space="0"/>
        <w:right w:val="single" w:color="auto" w:sz="4" w:space="0"/>
      </w:pBdr>
      <w:spacing w:before="100" w:beforeAutospacing="1" w:after="100" w:afterAutospacing="1"/>
      <w:jc w:val="right"/>
      <w:textAlignment w:val="center"/>
    </w:pPr>
    <w:rPr>
      <w:rFonts w:ascii="宋体" w:hAnsi="宋体"/>
      <w:kern w:val="0"/>
      <w:sz w:val="24"/>
      <w:szCs w:val="24"/>
    </w:rPr>
  </w:style>
  <w:style w:type="paragraph" w:customStyle="1" w:styleId="178">
    <w:name w:val="xl44"/>
    <w:basedOn w:val="1"/>
    <w:autoRedefine/>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textAlignment w:val="center"/>
    </w:pPr>
    <w:rPr>
      <w:rFonts w:eastAsia="Arial Unicode MS"/>
      <w:kern w:val="0"/>
      <w:sz w:val="24"/>
      <w:szCs w:val="24"/>
    </w:rPr>
  </w:style>
  <w:style w:type="paragraph" w:customStyle="1" w:styleId="179">
    <w:name w:val="font9"/>
    <w:basedOn w:val="1"/>
    <w:autoRedefine/>
    <w:qFormat/>
    <w:uiPriority w:val="0"/>
    <w:pPr>
      <w:widowControl/>
      <w:spacing w:before="100" w:beforeAutospacing="1" w:after="100" w:afterAutospacing="1"/>
      <w:jc w:val="left"/>
    </w:pPr>
    <w:rPr>
      <w:rFonts w:hint="eastAsia" w:ascii="宋体" w:hAnsi="宋体" w:cs="Arial Unicode MS"/>
      <w:color w:val="000000"/>
      <w:kern w:val="0"/>
      <w:sz w:val="24"/>
      <w:szCs w:val="24"/>
    </w:rPr>
  </w:style>
  <w:style w:type="paragraph" w:customStyle="1" w:styleId="180">
    <w:name w:val="xl61"/>
    <w:basedOn w:val="1"/>
    <w:autoRedefine/>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textAlignment w:val="center"/>
    </w:pPr>
    <w:rPr>
      <w:rFonts w:ascii="宋体" w:hAnsi="宋体"/>
      <w:kern w:val="0"/>
      <w:sz w:val="24"/>
      <w:szCs w:val="24"/>
    </w:rPr>
  </w:style>
  <w:style w:type="paragraph" w:customStyle="1" w:styleId="181">
    <w:name w:val="xl75"/>
    <w:basedOn w:val="1"/>
    <w:autoRedefine/>
    <w:qFormat/>
    <w:uiPriority w:val="0"/>
    <w:pPr>
      <w:widowControl/>
      <w:pBdr>
        <w:top w:val="single" w:color="auto" w:sz="8" w:space="0"/>
        <w:left w:val="single" w:color="auto" w:sz="4" w:space="0"/>
        <w:bottom w:val="single" w:color="auto" w:sz="4" w:space="0"/>
        <w:right w:val="single" w:color="auto" w:sz="8" w:space="0"/>
      </w:pBdr>
      <w:spacing w:before="100" w:beforeAutospacing="1" w:after="100" w:afterAutospacing="1"/>
      <w:jc w:val="right"/>
      <w:textAlignment w:val="center"/>
    </w:pPr>
    <w:rPr>
      <w:rFonts w:ascii="宋体" w:hAnsi="宋体"/>
      <w:kern w:val="0"/>
      <w:sz w:val="24"/>
      <w:szCs w:val="24"/>
    </w:rPr>
  </w:style>
  <w:style w:type="paragraph" w:customStyle="1" w:styleId="182">
    <w:name w:val="text1"/>
    <w:basedOn w:val="1"/>
    <w:autoRedefine/>
    <w:qFormat/>
    <w:uiPriority w:val="0"/>
    <w:pPr>
      <w:widowControl/>
      <w:spacing w:before="100" w:beforeAutospacing="1" w:after="100" w:afterAutospacing="1"/>
      <w:jc w:val="left"/>
    </w:pPr>
    <w:rPr>
      <w:rFonts w:ascii="宋体" w:hAnsi="宋体" w:cs="宋体"/>
      <w:kern w:val="0"/>
      <w:sz w:val="24"/>
      <w:szCs w:val="24"/>
    </w:rPr>
  </w:style>
  <w:style w:type="paragraph" w:customStyle="1" w:styleId="183">
    <w:name w:val="Char Char Char Char Char Char Char Char Char Char Char Char Char Char Char Char Char Char"/>
    <w:basedOn w:val="1"/>
    <w:autoRedefine/>
    <w:qFormat/>
    <w:uiPriority w:val="0"/>
    <w:pPr>
      <w:widowControl/>
      <w:spacing w:after="160" w:line="240" w:lineRule="exact"/>
      <w:jc w:val="left"/>
    </w:pPr>
    <w:rPr>
      <w:rFonts w:ascii="Verdana" w:hAnsi="Verdana" w:eastAsia="仿宋_GB2312" w:cs="Verdana"/>
      <w:kern w:val="0"/>
      <w:sz w:val="24"/>
      <w:szCs w:val="24"/>
      <w:lang w:eastAsia="en-US"/>
    </w:rPr>
  </w:style>
  <w:style w:type="paragraph" w:customStyle="1" w:styleId="184">
    <w:name w:val="Char13"/>
    <w:basedOn w:val="1"/>
    <w:autoRedefine/>
    <w:qFormat/>
    <w:uiPriority w:val="0"/>
    <w:rPr>
      <w:szCs w:val="24"/>
    </w:rPr>
  </w:style>
  <w:style w:type="paragraph" w:customStyle="1" w:styleId="185">
    <w:name w:val="xl54"/>
    <w:basedOn w:val="1"/>
    <w:autoRedefine/>
    <w:qFormat/>
    <w:uiPriority w:val="0"/>
    <w:pPr>
      <w:widowControl/>
      <w:pBdr>
        <w:top w:val="single" w:color="auto" w:sz="4" w:space="0"/>
        <w:left w:val="single" w:color="auto" w:sz="4" w:space="0"/>
        <w:bottom w:val="single" w:color="auto" w:sz="4" w:space="0"/>
        <w:right w:val="single" w:color="auto" w:sz="8" w:space="0"/>
      </w:pBdr>
      <w:spacing w:before="100" w:beforeAutospacing="1" w:after="100" w:afterAutospacing="1"/>
      <w:jc w:val="right"/>
      <w:textAlignment w:val="center"/>
    </w:pPr>
    <w:rPr>
      <w:rFonts w:ascii="宋体" w:hAnsi="宋体"/>
      <w:color w:val="000000"/>
      <w:kern w:val="0"/>
      <w:sz w:val="24"/>
      <w:szCs w:val="24"/>
    </w:rPr>
  </w:style>
  <w:style w:type="paragraph" w:customStyle="1" w:styleId="186">
    <w:name w:val="目录文字"/>
    <w:basedOn w:val="1"/>
    <w:autoRedefine/>
    <w:qFormat/>
    <w:uiPriority w:val="0"/>
    <w:pPr>
      <w:widowControl/>
      <w:spacing w:line="480" w:lineRule="auto"/>
      <w:jc w:val="left"/>
    </w:pPr>
    <w:rPr>
      <w:rFonts w:ascii="宋体" w:hAnsi="宋体"/>
      <w:kern w:val="0"/>
      <w:sz w:val="24"/>
    </w:rPr>
  </w:style>
  <w:style w:type="paragraph" w:customStyle="1" w:styleId="187">
    <w:name w:val="xl46"/>
    <w:basedOn w:val="1"/>
    <w:autoRedefine/>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textAlignment w:val="center"/>
    </w:pPr>
    <w:rPr>
      <w:rFonts w:eastAsia="Arial Unicode MS"/>
      <w:color w:val="FF0000"/>
      <w:kern w:val="0"/>
      <w:sz w:val="24"/>
      <w:szCs w:val="24"/>
    </w:rPr>
  </w:style>
  <w:style w:type="paragraph" w:customStyle="1" w:styleId="188">
    <w:name w:val="xl70"/>
    <w:basedOn w:val="1"/>
    <w:autoRedefine/>
    <w:qFormat/>
    <w:uiPriority w:val="0"/>
    <w:pPr>
      <w:widowControl/>
      <w:pBdr>
        <w:top w:val="single" w:color="auto" w:sz="8" w:space="0"/>
        <w:left w:val="single" w:color="auto" w:sz="4" w:space="0"/>
        <w:right w:val="single" w:color="auto" w:sz="4" w:space="0"/>
      </w:pBdr>
      <w:spacing w:before="100" w:beforeAutospacing="1" w:after="100" w:afterAutospacing="1"/>
      <w:jc w:val="left"/>
      <w:textAlignment w:val="center"/>
    </w:pPr>
    <w:rPr>
      <w:rFonts w:ascii="宋体" w:hAnsi="宋体"/>
      <w:kern w:val="0"/>
      <w:sz w:val="24"/>
      <w:szCs w:val="24"/>
    </w:rPr>
  </w:style>
  <w:style w:type="paragraph" w:customStyle="1" w:styleId="189">
    <w:name w:val="xl49"/>
    <w:basedOn w:val="1"/>
    <w:autoRedefine/>
    <w:qFormat/>
    <w:uiPriority w:val="0"/>
    <w:pPr>
      <w:widowControl/>
      <w:pBdr>
        <w:top w:val="single" w:color="auto" w:sz="4" w:space="0"/>
        <w:left w:val="single" w:color="auto" w:sz="8" w:space="0"/>
        <w:right w:val="single" w:color="auto" w:sz="4" w:space="0"/>
      </w:pBdr>
      <w:spacing w:before="100" w:beforeAutospacing="1" w:after="100" w:afterAutospacing="1"/>
      <w:jc w:val="center"/>
      <w:textAlignment w:val="center"/>
    </w:pPr>
    <w:rPr>
      <w:kern w:val="0"/>
      <w:sz w:val="24"/>
      <w:szCs w:val="24"/>
    </w:rPr>
  </w:style>
  <w:style w:type="paragraph" w:customStyle="1" w:styleId="190">
    <w:name w:val="xl37"/>
    <w:basedOn w:val="1"/>
    <w:autoRedefine/>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textAlignment w:val="center"/>
    </w:pPr>
    <w:rPr>
      <w:rFonts w:ascii="Arial Unicode MS" w:hAnsi="Arial Unicode MS" w:eastAsia="Arial Unicode MS" w:cs="Arial Unicode MS"/>
      <w:color w:val="000000"/>
      <w:kern w:val="0"/>
      <w:sz w:val="24"/>
      <w:szCs w:val="24"/>
    </w:rPr>
  </w:style>
  <w:style w:type="paragraph" w:customStyle="1" w:styleId="191">
    <w:name w:val="xl71"/>
    <w:basedOn w:val="1"/>
    <w:autoRedefine/>
    <w:qFormat/>
    <w:uiPriority w:val="0"/>
    <w:pPr>
      <w:widowControl/>
      <w:pBdr>
        <w:top w:val="single" w:color="auto" w:sz="8" w:space="0"/>
        <w:left w:val="single" w:color="auto" w:sz="4" w:space="0"/>
        <w:right w:val="single" w:color="auto" w:sz="4" w:space="0"/>
      </w:pBdr>
      <w:spacing w:before="100" w:beforeAutospacing="1" w:after="100" w:afterAutospacing="1"/>
      <w:jc w:val="left"/>
      <w:textAlignment w:val="center"/>
    </w:pPr>
    <w:rPr>
      <w:kern w:val="0"/>
      <w:sz w:val="24"/>
      <w:szCs w:val="24"/>
    </w:rPr>
  </w:style>
  <w:style w:type="paragraph" w:customStyle="1" w:styleId="192">
    <w:name w:val="我的正文"/>
    <w:basedOn w:val="1"/>
    <w:autoRedefine/>
    <w:qFormat/>
    <w:uiPriority w:val="0"/>
    <w:pPr>
      <w:spacing w:line="360" w:lineRule="auto"/>
      <w:ind w:firstLine="200" w:firstLineChars="200"/>
    </w:pPr>
    <w:rPr>
      <w:sz w:val="24"/>
      <w:szCs w:val="24"/>
    </w:rPr>
  </w:style>
  <w:style w:type="paragraph" w:customStyle="1" w:styleId="193">
    <w:name w:val="xl57"/>
    <w:basedOn w:val="1"/>
    <w:autoRedefine/>
    <w:qFormat/>
    <w:uiPriority w:val="0"/>
    <w:pPr>
      <w:widowControl/>
      <w:pBdr>
        <w:top w:val="single" w:color="auto" w:sz="4" w:space="0"/>
        <w:left w:val="single" w:color="auto" w:sz="4" w:space="0"/>
        <w:bottom w:val="single" w:color="auto" w:sz="4" w:space="0"/>
        <w:right w:val="single" w:color="auto" w:sz="8" w:space="0"/>
      </w:pBdr>
      <w:spacing w:before="100" w:beforeAutospacing="1" w:after="100" w:afterAutospacing="1"/>
      <w:jc w:val="right"/>
      <w:textAlignment w:val="center"/>
    </w:pPr>
    <w:rPr>
      <w:rFonts w:ascii="宋体" w:hAnsi="宋体"/>
      <w:kern w:val="0"/>
      <w:sz w:val="24"/>
      <w:szCs w:val="24"/>
    </w:rPr>
  </w:style>
  <w:style w:type="paragraph" w:customStyle="1" w:styleId="194">
    <w:name w:val="xl34"/>
    <w:basedOn w:val="1"/>
    <w:autoRedefine/>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right"/>
      <w:textAlignment w:val="center"/>
    </w:pPr>
    <w:rPr>
      <w:rFonts w:eastAsia="Arial Unicode MS"/>
      <w:kern w:val="0"/>
      <w:sz w:val="24"/>
      <w:szCs w:val="24"/>
    </w:rPr>
  </w:style>
  <w:style w:type="paragraph" w:customStyle="1" w:styleId="195">
    <w:name w:val="Char Char1"/>
    <w:basedOn w:val="1"/>
    <w:autoRedefine/>
    <w:qFormat/>
    <w:uiPriority w:val="0"/>
    <w:pPr>
      <w:widowControl/>
      <w:spacing w:after="160" w:line="240" w:lineRule="exact"/>
      <w:jc w:val="left"/>
    </w:pPr>
    <w:rPr>
      <w:rFonts w:ascii="Verdana" w:hAnsi="Verdana" w:eastAsia="楷体_GB2312"/>
      <w:b/>
      <w:i/>
      <w:iCs/>
      <w:color w:val="000000"/>
      <w:kern w:val="0"/>
      <w:sz w:val="20"/>
      <w:lang w:eastAsia="en-US"/>
    </w:rPr>
  </w:style>
  <w:style w:type="paragraph" w:customStyle="1" w:styleId="196">
    <w:name w:val="xl42"/>
    <w:basedOn w:val="1"/>
    <w:autoRedefine/>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textAlignment w:val="center"/>
    </w:pPr>
    <w:rPr>
      <w:rFonts w:ascii="Arial Unicode MS" w:hAnsi="Arial Unicode MS" w:eastAsia="Arial Unicode MS" w:cs="Arial Unicode MS"/>
      <w:kern w:val="0"/>
      <w:sz w:val="24"/>
      <w:szCs w:val="24"/>
    </w:rPr>
  </w:style>
  <w:style w:type="paragraph" w:customStyle="1" w:styleId="197">
    <w:name w:val="font8"/>
    <w:basedOn w:val="1"/>
    <w:autoRedefine/>
    <w:qFormat/>
    <w:uiPriority w:val="0"/>
    <w:pPr>
      <w:widowControl/>
      <w:spacing w:before="100" w:beforeAutospacing="1" w:after="100" w:afterAutospacing="1"/>
      <w:jc w:val="left"/>
    </w:pPr>
    <w:rPr>
      <w:rFonts w:hint="eastAsia" w:ascii="宋体" w:hAnsi="宋体" w:cs="Arial Unicode MS"/>
      <w:color w:val="FF0000"/>
      <w:kern w:val="0"/>
      <w:sz w:val="24"/>
      <w:szCs w:val="24"/>
    </w:rPr>
  </w:style>
  <w:style w:type="paragraph" w:customStyle="1" w:styleId="198">
    <w:name w:val="标题1"/>
    <w:basedOn w:val="2"/>
    <w:autoRedefine/>
    <w:qFormat/>
    <w:uiPriority w:val="0"/>
    <w:pPr>
      <w:keepLines/>
      <w:autoSpaceDE/>
      <w:autoSpaceDN/>
      <w:adjustRightInd/>
      <w:spacing w:before="100" w:beforeAutospacing="1" w:after="100" w:afterAutospacing="1" w:line="0" w:lineRule="atLeast"/>
    </w:pPr>
    <w:rPr>
      <w:rFonts w:ascii="Times New Roman"/>
      <w:b/>
      <w:bCs/>
      <w:sz w:val="30"/>
      <w:szCs w:val="30"/>
    </w:rPr>
  </w:style>
  <w:style w:type="paragraph" w:customStyle="1" w:styleId="199">
    <w:name w:val="xl50"/>
    <w:basedOn w:val="1"/>
    <w:autoRedefine/>
    <w:qFormat/>
    <w:uiPriority w:val="0"/>
    <w:pPr>
      <w:widowControl/>
      <w:pBdr>
        <w:top w:val="single" w:color="auto" w:sz="4" w:space="0"/>
        <w:left w:val="single" w:color="auto" w:sz="4" w:space="0"/>
        <w:right w:val="single" w:color="auto" w:sz="4" w:space="0"/>
      </w:pBdr>
      <w:spacing w:before="100" w:beforeAutospacing="1" w:after="100" w:afterAutospacing="1"/>
      <w:jc w:val="left"/>
      <w:textAlignment w:val="center"/>
    </w:pPr>
    <w:rPr>
      <w:kern w:val="0"/>
      <w:sz w:val="24"/>
      <w:szCs w:val="24"/>
    </w:rPr>
  </w:style>
  <w:style w:type="paragraph" w:customStyle="1" w:styleId="200">
    <w:name w:val="目录"/>
    <w:basedOn w:val="1"/>
    <w:autoRedefine/>
    <w:qFormat/>
    <w:uiPriority w:val="0"/>
    <w:pPr>
      <w:widowControl/>
      <w:jc w:val="center"/>
    </w:pPr>
    <w:rPr>
      <w:rFonts w:ascii="宋体" w:hAnsi="Times New Roman"/>
      <w:b/>
      <w:kern w:val="0"/>
      <w:sz w:val="36"/>
    </w:rPr>
  </w:style>
  <w:style w:type="paragraph" w:customStyle="1" w:styleId="201">
    <w:name w:val="List Paragraph"/>
    <w:basedOn w:val="1"/>
    <w:autoRedefine/>
    <w:qFormat/>
    <w:uiPriority w:val="99"/>
    <w:pPr>
      <w:ind w:firstLine="420" w:firstLineChars="200"/>
    </w:pPr>
    <w:rPr>
      <w:rFonts w:ascii="宋体" w:hAnsi="Times New Roman"/>
      <w:snapToGrid w:val="0"/>
      <w:kern w:val="21"/>
      <w:szCs w:val="24"/>
    </w:rPr>
  </w:style>
  <w:style w:type="character" w:customStyle="1" w:styleId="202">
    <w:name w:val="标题 2 Char"/>
    <w:autoRedefine/>
    <w:qFormat/>
    <w:uiPriority w:val="0"/>
    <w:rPr>
      <w:rFonts w:ascii="黑体" w:hAnsi="Times New Roman" w:eastAsia="黑体" w:cs="Times New Roman"/>
      <w:bCs/>
      <w:sz w:val="32"/>
      <w:szCs w:val="36"/>
    </w:rPr>
  </w:style>
  <w:style w:type="character" w:customStyle="1" w:styleId="203">
    <w:name w:val="纯文本 Char"/>
    <w:autoRedefine/>
    <w:qFormat/>
    <w:uiPriority w:val="0"/>
    <w:rPr>
      <w:rFonts w:ascii="宋体" w:hAnsi="Courier New" w:eastAsia="宋体"/>
      <w:kern w:val="2"/>
      <w:sz w:val="21"/>
      <w:lang w:val="en-US" w:eastAsia="zh-CN" w:bidi="ar-SA"/>
    </w:rPr>
  </w:style>
  <w:style w:type="paragraph" w:customStyle="1" w:styleId="204">
    <w:name w:val="_Style 199"/>
    <w:basedOn w:val="1"/>
    <w:next w:val="201"/>
    <w:autoRedefine/>
    <w:qFormat/>
    <w:uiPriority w:val="99"/>
    <w:pPr>
      <w:ind w:firstLine="420" w:firstLineChars="200"/>
    </w:pPr>
    <w:rPr>
      <w:rFonts w:ascii="宋体" w:hAnsi="Times New Roman"/>
      <w:snapToGrid w:val="0"/>
      <w:kern w:val="21"/>
      <w:szCs w:val="24"/>
    </w:rPr>
  </w:style>
  <w:style w:type="paragraph" w:customStyle="1" w:styleId="205">
    <w:name w:val="_Style 1"/>
    <w:autoRedefine/>
    <w:qFormat/>
    <w:uiPriority w:val="1"/>
    <w:pPr>
      <w:widowControl w:val="0"/>
      <w:jc w:val="both"/>
    </w:pPr>
    <w:rPr>
      <w:rFonts w:ascii="Times New Roman" w:hAnsi="Times New Roman" w:eastAsia="宋体" w:cs="Times New Roman"/>
      <w:kern w:val="2"/>
      <w:sz w:val="21"/>
      <w:szCs w:val="22"/>
      <w:lang w:val="en-US" w:eastAsia="zh-CN" w:bidi="ar-SA"/>
    </w:rPr>
  </w:style>
  <w:style w:type="paragraph" w:customStyle="1" w:styleId="206">
    <w:name w:val="无间隔11"/>
    <w:autoRedefine/>
    <w:qFormat/>
    <w:uiPriority w:val="0"/>
    <w:pPr>
      <w:widowControl w:val="0"/>
      <w:jc w:val="both"/>
    </w:pPr>
    <w:rPr>
      <w:rFonts w:ascii="Times New Roman" w:hAnsi="Times New Roman" w:eastAsia="宋体" w:cs="黑体"/>
      <w:kern w:val="2"/>
      <w:sz w:val="21"/>
      <w:szCs w:val="22"/>
      <w:lang w:val="en-US" w:eastAsia="zh-CN" w:bidi="ar-SA"/>
    </w:rPr>
  </w:style>
  <w:style w:type="paragraph" w:customStyle="1" w:styleId="207">
    <w:name w:val="Preformatted"/>
    <w:basedOn w:val="1"/>
    <w:autoRedefine/>
    <w:qFormat/>
    <w:uiPriority w:val="0"/>
    <w:pPr>
      <w:tabs>
        <w:tab w:val="left" w:pos="0"/>
        <w:tab w:val="left" w:pos="959"/>
        <w:tab w:val="left" w:pos="1918"/>
        <w:tab w:val="left" w:pos="2877"/>
        <w:tab w:val="left" w:pos="3836"/>
        <w:tab w:val="left" w:pos="4795"/>
        <w:tab w:val="left" w:pos="5754"/>
        <w:tab w:val="left" w:pos="6713"/>
        <w:tab w:val="left" w:pos="7672"/>
        <w:tab w:val="left" w:pos="8631"/>
        <w:tab w:val="left" w:pos="9590"/>
      </w:tabs>
      <w:autoSpaceDE w:val="0"/>
      <w:autoSpaceDN w:val="0"/>
      <w:adjustRightInd w:val="0"/>
      <w:jc w:val="left"/>
    </w:pPr>
    <w:rPr>
      <w:rFonts w:ascii="Courier New" w:hAnsi="Courier New"/>
      <w:kern w:val="0"/>
      <w:sz w:val="20"/>
    </w:rPr>
  </w:style>
  <w:style w:type="paragraph" w:customStyle="1" w:styleId="208">
    <w:name w:val="WPSOffice手动目录 1"/>
    <w:autoRedefine/>
    <w:qFormat/>
    <w:uiPriority w:val="0"/>
    <w:rPr>
      <w:rFonts w:ascii="Times New Roman" w:hAnsi="Times New Roman" w:eastAsia="宋体" w:cs="Times New Roman"/>
      <w:lang w:val="en-US" w:eastAsia="zh-CN" w:bidi="ar-SA"/>
    </w:rPr>
  </w:style>
  <w:style w:type="paragraph" w:customStyle="1" w:styleId="209">
    <w:name w:val="WPSOffice手动目录 2"/>
    <w:autoRedefine/>
    <w:qFormat/>
    <w:uiPriority w:val="0"/>
    <w:pPr>
      <w:ind w:left="200" w:leftChars="200"/>
    </w:pPr>
    <w:rPr>
      <w:rFonts w:ascii="Times New Roman" w:hAnsi="Times New Roman" w:eastAsia="宋体" w:cs="Times New Roman"/>
      <w:lang w:val="en-US" w:eastAsia="zh-CN" w:bidi="ar-SA"/>
    </w:rPr>
  </w:style>
  <w:style w:type="paragraph" w:customStyle="1" w:styleId="210">
    <w:name w:val="WPSOffice手动目录 3"/>
    <w:autoRedefine/>
    <w:qFormat/>
    <w:uiPriority w:val="0"/>
    <w:pPr>
      <w:ind w:left="400" w:leftChars="400"/>
    </w:pPr>
    <w:rPr>
      <w:rFonts w:ascii="Times New Roman" w:hAnsi="Times New Roman" w:eastAsia="宋体" w:cs="Times New Roman"/>
      <w:lang w:val="en-US" w:eastAsia="zh-CN" w:bidi="ar-SA"/>
    </w:rPr>
  </w:style>
  <w:style w:type="paragraph" w:customStyle="1" w:styleId="211">
    <w:name w:val="PlainText"/>
    <w:basedOn w:val="1"/>
    <w:next w:val="1"/>
    <w:autoRedefine/>
    <w:qFormat/>
    <w:uiPriority w:val="0"/>
    <w:pPr>
      <w:textAlignment w:val="baseline"/>
    </w:pPr>
    <w:rPr>
      <w:rFonts w:hAnsi="Courier New"/>
      <w:szCs w:val="21"/>
    </w:rPr>
  </w:style>
  <w:style w:type="paragraph" w:customStyle="1" w:styleId="212">
    <w:name w:val="修订1"/>
    <w:autoRedefine/>
    <w:hidden/>
    <w:semiHidden/>
    <w:qFormat/>
    <w:uiPriority w:val="99"/>
    <w:rPr>
      <w:rFonts w:ascii="Calibri" w:hAnsi="Calibri" w:eastAsia="宋体" w:cs="Times New Roman"/>
      <w:kern w:val="2"/>
      <w:sz w:val="21"/>
      <w:lang w:val="en-US" w:eastAsia="zh-CN" w:bidi="ar-SA"/>
    </w:rPr>
  </w:style>
  <w:style w:type="paragraph" w:customStyle="1" w:styleId="213">
    <w:name w:val="Normal_0"/>
    <w:autoRedefine/>
    <w:qFormat/>
    <w:uiPriority w:val="0"/>
    <w:pPr>
      <w:widowControl w:val="0"/>
      <w:jc w:val="both"/>
    </w:pPr>
    <w:rPr>
      <w:rFonts w:ascii="Times New Roman" w:hAnsi="Times New Roman" w:eastAsia="宋体" w:cs="Times New Roman"/>
      <w:kern w:val="2"/>
      <w:sz w:val="21"/>
      <w:lang w:val="en-US" w:eastAsia="zh-CN" w:bidi="ar-SA"/>
    </w:rPr>
  </w:style>
  <w:style w:type="paragraph" w:customStyle="1" w:styleId="214">
    <w:name w:val="Table Paragraph"/>
    <w:basedOn w:val="1"/>
    <w:autoRedefine/>
    <w:qFormat/>
    <w:uiPriority w:val="1"/>
    <w:rPr>
      <w:rFonts w:ascii="仿宋" w:hAnsi="仿宋" w:eastAsia="仿宋" w:cs="仿宋"/>
      <w:lang w:val="zh-CN" w:bidi="zh-CN"/>
    </w:rPr>
  </w:style>
  <w:style w:type="paragraph" w:customStyle="1" w:styleId="215">
    <w:name w:val="_Style 33"/>
    <w:basedOn w:val="1"/>
    <w:next w:val="15"/>
    <w:autoRedefine/>
    <w:qFormat/>
    <w:uiPriority w:val="0"/>
    <w:pPr>
      <w:adjustRightInd w:val="0"/>
      <w:spacing w:line="440" w:lineRule="exact"/>
    </w:pPr>
    <w:rPr>
      <w:rFonts w:ascii="宋体" w:hAnsi="宋体"/>
      <w:bCs/>
      <w:color w:val="000000"/>
      <w:sz w:val="24"/>
    </w:rPr>
  </w:style>
  <w:style w:type="paragraph" w:customStyle="1" w:styleId="216">
    <w:name w:val="Normal_1"/>
    <w:autoRedefine/>
    <w:qFormat/>
    <w:uiPriority w:val="0"/>
    <w:pPr>
      <w:widowControl w:val="0"/>
      <w:jc w:val="both"/>
    </w:pPr>
    <w:rPr>
      <w:rFonts w:ascii="Times New Roman" w:hAnsi="Times New Roman" w:eastAsia="宋体" w:cs="Times New Roman"/>
      <w:lang w:val="en-US" w:eastAsia="zh-CN" w:bidi="ar-SA"/>
    </w:rPr>
  </w:style>
  <w:style w:type="paragraph" w:customStyle="1" w:styleId="217">
    <w:name w:val="正文_3"/>
    <w:qFormat/>
    <w:uiPriority w:val="0"/>
    <w:pPr>
      <w:widowControl w:val="0"/>
      <w:jc w:val="both"/>
    </w:pPr>
    <w:rPr>
      <w:rFonts w:ascii="Calibri" w:hAnsi="Calibri" w:eastAsia="宋体" w:cs="Times New Roman"/>
      <w:kern w:val="2"/>
      <w:sz w:val="21"/>
      <w:szCs w:val="22"/>
      <w:lang w:val="en-US" w:eastAsia="zh-CN" w:bidi="ar-SA"/>
    </w:rPr>
  </w:style>
  <w:style w:type="paragraph" w:customStyle="1" w:styleId="218">
    <w:name w:val="正文_2"/>
    <w:qFormat/>
    <w:uiPriority w:val="0"/>
    <w:pPr>
      <w:widowControl w:val="0"/>
      <w:jc w:val="both"/>
    </w:pPr>
    <w:rPr>
      <w:rFonts w:ascii="Calibri" w:hAnsi="Calibri" w:eastAsia="宋体" w:cs="Times New Roman"/>
      <w:kern w:val="2"/>
      <w:sz w:val="21"/>
      <w:szCs w:val="22"/>
      <w:lang w:val="en-US" w:eastAsia="zh-CN" w:bidi="ar-SA"/>
    </w:rPr>
  </w:style>
  <w:style w:type="paragraph" w:customStyle="1" w:styleId="219">
    <w:name w:val="正文空2字"/>
    <w:basedOn w:val="220"/>
    <w:qFormat/>
    <w:uiPriority w:val="99"/>
    <w:pPr>
      <w:widowControl w:val="0"/>
      <w:snapToGrid w:val="0"/>
      <w:spacing w:line="560" w:lineRule="exact"/>
      <w:ind w:firstLine="640" w:firstLineChars="200"/>
    </w:pPr>
    <w:rPr>
      <w:rFonts w:ascii="仿宋_GB2312" w:hAnsi="仿宋_GB2312" w:cs="仿宋_GB2312"/>
      <w:lang w:val="zh-TW"/>
    </w:rPr>
  </w:style>
  <w:style w:type="paragraph" w:customStyle="1" w:styleId="220">
    <w:name w:val="左对齐正文"/>
    <w:qFormat/>
    <w:uiPriority w:val="99"/>
    <w:rPr>
      <w:rFonts w:ascii="Calibri" w:hAnsi="Calibri" w:eastAsia="仿宋_GB2312" w:cs="Calibri"/>
      <w:kern w:val="2"/>
      <w:sz w:val="32"/>
      <w:szCs w:val="32"/>
      <w:lang w:val="en-US" w:eastAsia="zh-CN" w:bidi="ar-SA"/>
    </w:rPr>
  </w:style>
  <w:style w:type="paragraph" w:customStyle="1" w:styleId="221">
    <w:name w:val="章节标题"/>
    <w:next w:val="1"/>
    <w:qFormat/>
    <w:uiPriority w:val="0"/>
    <w:pPr>
      <w:pageBreakBefore w:val="0"/>
      <w:widowControl w:val="0"/>
      <w:spacing w:before="240" w:after="240" w:line="360" w:lineRule="auto"/>
      <w:jc w:val="center"/>
      <w:outlineLvl w:val="0"/>
    </w:pPr>
    <w:rPr>
      <w:rFonts w:ascii="Times New Roman" w:hAnsi="Times New Roman" w:eastAsia="黑体" w:cs="Times New Roman"/>
      <w:kern w:val="44"/>
      <w:sz w:val="30"/>
      <w:szCs w:val="36"/>
    </w:rPr>
  </w:style>
  <w:style w:type="paragraph" w:customStyle="1" w:styleId="222">
    <w:name w:val="正文1"/>
    <w:qFormat/>
    <w:uiPriority w:val="0"/>
    <w:pPr>
      <w:widowControl w:val="0"/>
      <w:adjustRightInd w:val="0"/>
      <w:spacing w:after="200" w:line="312" w:lineRule="atLeast"/>
      <w:jc w:val="both"/>
    </w:pPr>
    <w:rPr>
      <w:rFonts w:ascii="宋体" w:hAnsi="Calibri" w:eastAsia="宋体" w:cs="Times New Roman"/>
      <w:sz w:val="34"/>
      <w:szCs w:val="22"/>
      <w:lang w:val="en-US" w:eastAsia="zh-CN" w:bidi="ar-SA"/>
    </w:rPr>
  </w:style>
  <w:style w:type="paragraph" w:customStyle="1" w:styleId="223">
    <w:name w:val="表格样式2"/>
    <w:basedOn w:val="1"/>
    <w:qFormat/>
    <w:uiPriority w:val="99"/>
    <w:pPr>
      <w:widowControl/>
      <w:spacing w:line="276" w:lineRule="auto"/>
      <w:jc w:val="left"/>
    </w:pPr>
    <w:rPr>
      <w:rFonts w:ascii="仿宋_GB2312" w:eastAsia="仿宋_GB2312"/>
      <w:kern w:val="0"/>
      <w:sz w:val="18"/>
      <w:szCs w:val="18"/>
    </w:rPr>
  </w:style>
</w:styles>
</file>

<file path=word/_rels/document.xml.rels><?xml version="1.0" encoding="UTF-8" standalone="yes"?>
<Relationships xmlns="http://schemas.openxmlformats.org/package/2006/relationships"><Relationship Id="rId9" Type="http://schemas.openxmlformats.org/officeDocument/2006/relationships/numbering" Target="numbering.xml"/><Relationship Id="rId8" Type="http://schemas.openxmlformats.org/officeDocument/2006/relationships/customXml" Target="../customXml/item1.xml"/><Relationship Id="rId7" Type="http://schemas.openxmlformats.org/officeDocument/2006/relationships/theme" Target="theme/theme1.xml"/><Relationship Id="rId6" Type="http://schemas.openxmlformats.org/officeDocument/2006/relationships/footer" Target="footer2.xml"/><Relationship Id="rId5" Type="http://schemas.openxmlformats.org/officeDocument/2006/relationships/footer" Target="footer1.xml"/><Relationship Id="rId4" Type="http://schemas.openxmlformats.org/officeDocument/2006/relationships/header" Target="header2.xml"/><Relationship Id="rId3" Type="http://schemas.openxmlformats.org/officeDocument/2006/relationships/header" Target="header1.xml"/><Relationship Id="rId2" Type="http://schemas.openxmlformats.org/officeDocument/2006/relationships/settings" Target="settings.xml"/><Relationship Id="rId11" Type="http://schemas.openxmlformats.org/officeDocument/2006/relationships/fontTable" Target="fontTable.xml"/><Relationship Id="rId10" Type="http://schemas.openxmlformats.org/officeDocument/2006/relationships/customXml" Target="../customXml/item2.xml"/><Relationship Id="rId1" Type="http://schemas.openxmlformats.org/officeDocument/2006/relationships/styles" Target="styles.xml"/></Relationships>
</file>

<file path=word/_rels/foot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s:customData xmlns="http://www.wps.cn/officeDocument/2013/wpsCustomData" xmlns:s="http://www.wps.cn/officeDocument/2013/wpsCustomData">
  <customSectProps/>
  <customShpExts>
    <customShpInfo spid="_x0000_s1026" textRotate="1"/>
  </customShpExts>
</s:customData>
</file>

<file path=customXml/item2.xml><?xml version="1.0" encoding="utf-8"?>
<contractReview xmlns="http://schemas.wps.cn/vas-ai-hub/contract-review">
  <reviewItems>
    <reviewItem>
      <errorID>0d954f49-f4c9-4b65-bc84-c3a9f5bf772e</errorID>
      <errorWord>2026年06月15日</errorWord>
      <group>L1_Knowledge</group>
      <groupName>知识性问题</groupName>
      <ability>L2_Time</ability>
      <abilityName>日期时间</abilityName>
      <candidateList>
        <item>2026年6月15日</item>
      </candidateList>
      <explain>根据日常书写习惯，月份一般会省略前导零。</explain>
      <paraID>16DEA407</paraID>
      <start>68</start>
      <end>79</end>
      <status>ignored</status>
      <modifiedWord/>
      <trackRevisions>false</trackRevisions>
    </reviewItem>
    <reviewItem>
      <errorID>e5f52b75-86bf-40ca-a1f6-269ead1c1371</errorID>
      <errorWord>2026年06月03日</errorWord>
      <group>L1_Knowledge</group>
      <groupName>知识性问题</groupName>
      <ability>L2_Time</ability>
      <abilityName>日期时间</abilityName>
      <candidateList>
        <item>2026年6月3日</item>
      </candidateList>
      <explain>根据日常书写习惯，月份和日期一般会省略前导零。</explain>
      <paraID>74C3C921</paraID>
      <start>12</start>
      <end>23</end>
      <status>ignored</status>
      <modifiedWord/>
      <trackRevisions>false</trackRevisions>
    </reviewItem>
    <reviewItem>
      <errorID>be765c57-4f75-454d-b006-1b841f2a6fc5</errorID>
      <errorWord>2026年06月10日</errorWord>
      <group>L1_Knowledge</group>
      <groupName>知识性问题</groupName>
      <ability>L2_Time</ability>
      <abilityName>日期时间</abilityName>
      <candidateList>
        <item>2026年6月10日</item>
      </candidateList>
      <explain>根据日常书写习惯，月份一般会省略前导零。</explain>
      <paraID>74C3C921</paraID>
      <start>30</start>
      <end>41</end>
      <status>ignored</status>
      <modifiedWord/>
      <trackRevisions>false</trackRevisions>
    </reviewItem>
    <reviewItem>
      <errorID>8957b48f-a076-4ecb-8193-6af64920f729</errorID>
      <errorWord>2026年06月15日</errorWord>
      <group>L1_Knowledge</group>
      <groupName>知识性问题</groupName>
      <ability>L2_Time</ability>
      <abilityName>日期时间</abilityName>
      <candidateList>
        <item>2026年6月15日</item>
      </candidateList>
      <explain>根据日常书写习惯，月份一般会省略前导零。</explain>
      <paraID>32366901</paraID>
      <start>5</start>
      <end>16</end>
      <status>ignored</status>
      <modifiedWord/>
      <trackRevisions>false</trackRevisions>
    </reviewItem>
    <reviewItem>
      <errorID>c0595396-7d92-4929-8180-3ec7dc6ed7f3</errorID>
      <errorWord>2026年06月15日</errorWord>
      <group>L1_Knowledge</group>
      <groupName>知识性问题</groupName>
      <ability>L2_Time</ability>
      <abilityName>日期时间</abilityName>
      <candidateList>
        <item>2026年6月15日</item>
      </candidateList>
      <explain>根据日常书写习惯，月份一般会省略前导零。</explain>
      <paraID>6394A9C8</paraID>
      <start>3</start>
      <end>14</end>
      <status>ignored</status>
      <modifiedWord/>
      <trackRevisions>false</trackRevisions>
    </reviewItem>
    <reviewItem>
      <errorID>890fb8b5-d841-435d-9c70-093a76f3748c</errorID>
      <errorWord>（</errorWord>
      <group>L1_Punc</group>
      <groupName>标点问题</groupName>
      <ability>L2_Punc_CN</ability>
      <abilityName>标点符号检查</abilityName>
      <candidateList/>
      <explain>同一形式括号套用。</explain>
      <paraID>756CFB2D</paraID>
      <start>20</start>
      <end>21</end>
      <status>ignored</status>
      <modifiedWord/>
      <trackRevisions>false</trackRevisions>
    </reviewItem>
    <reviewItem>
      <errorID>d20d8dc2-2420-49ef-ac93-4fdfdfdb4f7f</errorID>
      <errorWord>）</errorWord>
      <group>L1_Punc</group>
      <groupName>标点问题</groupName>
      <ability>L2_Punc_CN</ability>
      <abilityName>标点符号检查</abilityName>
      <candidateList/>
      <explain>同一形式括号套用。</explain>
      <paraID>756CFB2D</paraID>
      <start>25</start>
      <end>26</end>
      <status>ignored</status>
      <modifiedWord/>
      <trackRevisions>false</trackRevisions>
    </reviewItem>
    <reviewItem>
      <errorID>3f8c0bf8-e9fa-4e59-85be-20afa6b93479</errorID>
      <errorWord>建筑业</errorWord>
      <group>L1_Word</group>
      <groupName>字词问题</groupName>
      <ability>L2_Typo</ability>
      <abilityName>字词错误</abilityName>
      <candidateList>
        <item>建筑</item>
      </candidateList>
      <explain/>
      <paraID>2AD2E186</paraID>
      <start>32</start>
      <end>35</end>
      <status>ignored</status>
      <modifiedWord/>
      <trackRevisions>false</trackRevisions>
    </reviewItem>
    <reviewItem>
      <errorID>b839724a-005e-4e83-a323-db5d6db52c56</errorID>
      <errorWord>台湾地区</errorWord>
      <group>L1_Word</group>
      <groupName>字词问题</groupName>
      <ability>L2_Typo</ability>
      <abilityName>字词错误</abilityName>
      <candidateList>
        <item>中国台湾地区</item>
      </candidateList>
      <explain/>
      <paraID>4B187833</paraID>
      <start>186</start>
      <end>190</end>
      <status>ignored</status>
      <modifiedWord/>
      <trackRevisions>false</trackRevisions>
    </reviewItem>
    <reviewItem>
      <errorID>de8802e7-0e84-4fbc-9c35-bdcfa5f80f8e</errorID>
      <errorWord>程</errorWord>
      <group>L1_Word</group>
      <groupName>字词问题</groupName>
      <ability>L2_Typo</ability>
      <abilityName>字词错误</abilityName>
      <candidateList>
        <item>程中</item>
      </candidateList>
      <explain/>
      <paraID> 263A105</paraID>
      <start>18</start>
      <end>19</end>
      <status>ignored</status>
      <modifiedWord/>
      <trackRevisions>false</trackRevisions>
    </reviewItem>
    <reviewItem>
      <errorID>b3236eb9-c7d5-42ee-b1da-ac820e17c74b</errorID>
      <errorWord>：</errorWord>
      <group>L1_Word</group>
      <groupName>字词问题</groupName>
      <ability>L2_Typo</ability>
      <abilityName>字词错误</abilityName>
      <candidateList>
        <item>：在</item>
      </candidateList>
      <explain/>
      <paraID>60A8DED1</paraID>
      <start>14</start>
      <end>15</end>
      <status>ignored</status>
      <modifiedWord/>
      <trackRevisions>false</trackRevisions>
    </reviewItem>
    <reviewItem>
      <errorID>ba8ba01e-884b-4098-8147-31964de6e58e</errorID>
      <errorWord>临近</errorWord>
      <group>L1_Word</group>
      <groupName>字词问题</groupName>
      <ability>L2_Typo</ability>
      <abilityName>字词错误</abilityName>
      <candidateList>
        <item>邻近</item>
      </candidateList>
      <explain>存在发音相同字词的误用。</explain>
      <paraID>1CE1642D</paraID>
      <start>11</start>
      <end>13</end>
      <status>ignored</status>
      <modifiedWord/>
      <trackRevisions>false</trackRevisions>
    </reviewItem>
    <reviewItem>
      <errorID>70025e04-f0c1-4b9a-9122-63ce072d02ae</errorID>
      <errorWord>自由</errorWord>
      <group>L1_Word</group>
      <groupName>字词问题</groupName>
      <ability>L2_Typo</ability>
      <abilityName>字词错误</abilityName>
      <candidateList>
        <item>自有</item>
      </candidateList>
      <explain>存在发音相同字词的误用。</explain>
      <paraID>471D6EFE</paraID>
      <start>8</start>
      <end>10</end>
      <status>ignored</status>
      <modifiedWord/>
      <trackRevisions>false</trackRevisions>
    </reviewItem>
    <reviewItem>
      <errorID>0a178171-95b6-4121-bd2b-58a313d00a08</errorID>
      <errorWord>.</errorWord>
      <group>L1_Format</group>
      <groupName>格式问题</groupName>
      <ability>L2_HalfPunc_CN</ability>
      <abilityName>全半角检查</abilityName>
      <candidateList>
        <item>。</item>
      </candidateList>
      <explain>文本全半角错误。</explain>
      <paraID>52ABB5A9</paraID>
      <start>62</start>
      <end>63</end>
      <status>ignored</status>
      <modifiedWord/>
      <trackRevisions>false</trackRevisions>
    </reviewItem>
    <reviewItem>
      <errorID>de853676-f313-4d85-806d-e23f9d992e9a</errorID>
      <errorWord>.</errorWord>
      <group>L1_Format</group>
      <groupName>格式问题</groupName>
      <ability>L2_HalfPunc_CN</ability>
      <abilityName>全半角检查</abilityName>
      <candidateList>
        <item>。</item>
      </candidateList>
      <explain>文本全半角错误。</explain>
      <paraID>74FB4F3A</paraID>
      <start>87</start>
      <end>88</end>
      <status>ignored</status>
      <modifiedWord/>
      <trackRevisions>false</trackRevisions>
    </reviewItem>
    <reviewItem>
      <errorID>b69b992f-f82a-4e73-a97f-51832730f8c1</errorID>
      <errorWord>进行实施</errorWord>
      <group>L1_Word</group>
      <groupName>字词问题</groupName>
      <ability>L2_Typo</ability>
      <abilityName>字词错误</abilityName>
      <candidateList>
        <item>实施</item>
      </candidateList>
      <explain>〈动〉实行（法令、政策等）：付诸～｜～细则｜～新的办法。</explain>
      <paraID>2B6F5962</paraID>
      <start>59</start>
      <end>63</end>
      <status>ignored</status>
      <modifiedWord/>
      <trackRevisions>false</trackRevisions>
    </reviewItem>
    <reviewItem>
      <errorID>11ffda97-6aa0-454b-923b-bb21c56b2fa9</errorID>
      <errorWord>，</errorWord>
      <group>L1_Word</group>
      <groupName>字词问题</groupName>
      <ability>L2_Typo</ability>
      <abilityName>字词错误</abilityName>
      <candidateList>
        <item>，除</item>
      </candidateList>
      <explain/>
      <paraID>1AD49180</paraID>
      <start>158</start>
      <end>160</end>
      <status>modified</status>
      <modifiedWord>，除</modifiedWord>
      <trackRevisions>false</trackRevisions>
    </reviewItem>
    <reviewItem>
      <errorID>e16208c3-374f-4ca4-9aaa-7dd70f173842</errorID>
      <errorWord>人</errorWord>
      <group>L1_Word</group>
      <groupName>字词问题</groupName>
      <ability>L2_Typo</ability>
      <abilityName>字词错误</abilityName>
      <candidateList>
        <item>人在</item>
      </candidateList>
      <explain/>
      <paraID>299F3B77</paraID>
      <start>61</start>
      <end>63</end>
      <status>modified</status>
      <modifiedWord>人在</modifiedWord>
      <trackRevisions>false</trackRevisions>
    </reviewItem>
    <reviewItem>
      <errorID>0f162cd0-950e-4bf0-81ca-d02605d2ace5</errorID>
      <errorWord>/。</errorWord>
      <group>L1_Punc</group>
      <groupName>标点问题</groupName>
      <ability>L2_Punc_CN</ability>
      <abilityName>标点符号检查</abilityName>
      <candidateList>
        <item>/</item>
      </candidateList>
      <explain/>
      <paraID> 4C336C0</paraID>
      <start>15</start>
      <end>17</end>
      <status>ignored</status>
      <modifiedWord/>
      <trackRevisions>false</trackRevisions>
    </reviewItem>
    <reviewItem>
      <errorID>c4d8816c-6ad2-4296-a3d6-c462560019d3</errorID>
      <errorWord>/。</errorWord>
      <group>L1_Punc</group>
      <groupName>标点问题</groupName>
      <ability>L2_Punc_CN</ability>
      <abilityName>标点符号检查</abilityName>
      <candidateList>
        <item>/</item>
      </candidateList>
      <explain/>
      <paraID> 1C33ADB</paraID>
      <start>15</start>
      <end>17</end>
      <status>ignored</status>
      <modifiedWord/>
      <trackRevisions>false</trackRevisions>
    </reviewItem>
    <reviewItem>
      <errorID>13f68d46-af4e-4bb8-9851-70a794d8ff5e</errorID>
      <errorWord>/。</errorWord>
      <group>L1_Punc</group>
      <groupName>标点问题</groupName>
      <ability>L2_Punc_CN</ability>
      <abilityName>标点符号检查</abilityName>
      <candidateList>
        <item>/</item>
      </candidateList>
      <explain/>
      <paraID>6A6A556F</paraID>
      <start>17</start>
      <end>19</end>
      <status>ignored</status>
      <modifiedWord/>
      <trackRevisions>false</trackRevisions>
    </reviewItem>
    <reviewItem>
      <errorID>11f80c46-8df7-46f8-84f0-70279366ae5d</errorID>
      <errorWord>作</errorWord>
      <group>L1_Word</group>
      <groupName>字词问题</groupName>
      <ability>L2_Typo</ability>
      <abilityName>字词错误</abilityName>
      <candidateList>
        <item>做</item>
      </candidateList>
      <explain>存在发音相同字词的误用。</explain>
      <paraID> 1D38417</paraID>
      <start>98</start>
      <end>99</end>
      <status>ignored</status>
      <modifiedWord/>
      <trackRevisions>false</trackRevisions>
    </reviewItem>
    <reviewItem>
      <errorID>ba201333-4820-4f2b-8f5d-9576dd36301d</errorID>
      <errorWord>涉及到</errorWord>
      <group>L1_Grammar</group>
      <groupName>语法问题</groupName>
      <ability>L2_Grammar</ability>
      <abilityName>语法错误</abilityName>
      <candidateList>
        <item>涉及</item>
      </candidateList>
      <explain>该表达中的“涉及到”存在语义重复。【词汇解析】涉及：牵涉到，关联到。包含了“到”的意思。</explain>
      <paraID>33B6C2CA</paraID>
      <start>11</start>
      <end>14</end>
      <status>ignored</status>
      <modifiedWord/>
      <trackRevisions>false</trackRevisions>
    </reviewItem>
    <reviewItem>
      <errorID>361a286f-e57a-40bf-8cd7-1c7b7e125037</errorID>
      <errorWord>间</errorWord>
      <group>L1_Word</group>
      <groupName>字词问题</groupName>
      <ability>L2_Typo</ability>
      <abilityName>字词错误</abilityName>
      <candidateList>
        <item>间内</item>
      </candidateList>
      <explain/>
      <paraID>7C20D3B1</paraID>
      <start>47</start>
      <end>48</end>
      <status>ignored</status>
      <modifiedWord/>
      <trackRevisions>false</trackRevisions>
    </reviewItem>
    <reviewItem>
      <errorID>e062077d-1a04-4210-ab49-ea1cdd7b843a</errorID>
      <errorWord>涉及到</errorWord>
      <group>L1_Grammar</group>
      <groupName>语法问题</groupName>
      <ability>L2_Grammar</ability>
      <abilityName>语法错误</abilityName>
      <candidateList>
        <item>涉及</item>
      </candidateList>
      <explain>该表达中的“涉及到”存在语义重复。【词汇解析】涉及：牵涉到，关联到。包含了“到”的意思。</explain>
      <paraID> E9D5BC7</paraID>
      <start>79</start>
      <end>82</end>
      <status>ignored</status>
      <modifiedWord/>
      <trackRevisions>false</trackRevisions>
    </reviewItem>
    <reviewItem>
      <errorID>46155c30-25e5-4c00-99b2-fadb890075c1</errorID>
      <errorWord>办</errorWord>
      <group>L1_Word</group>
      <groupName>字词问题</groupName>
      <ability>L2_Typo</ability>
      <abilityName>字词错误</abilityName>
      <candidateList>
        <item>办理</item>
      </candidateList>
      <explain/>
      <paraID>365BACDC</paraID>
      <start>25</start>
      <end>26</end>
      <status>ignored</status>
      <modifiedWord/>
      <trackRevisions>false</trackRevisions>
    </reviewItem>
    <reviewItem>
      <errorID>3ba09194-686e-4776-8379-7c6bc4752fff</errorID>
      <errorWord>涉及到</errorWord>
      <group>L1_Grammar</group>
      <groupName>语法问题</groupName>
      <ability>L2_Grammar</ability>
      <abilityName>语法错误</abilityName>
      <candidateList>
        <item>涉及</item>
      </candidateList>
      <explain>该表达中的“涉及到”存在语义重复。【词汇解析】涉及：牵涉到，关联到。包含了“到”的意思。</explain>
      <paraID> 9AC226A</paraID>
      <start>4</start>
      <end>7</end>
      <status>ignored</status>
      <modifiedWord/>
      <trackRevisions>false</trackRevisions>
    </reviewItem>
    <reviewItem>
      <errorID>1cb1dda8-d730-4511-93e1-5fd0388c4b97</errorID>
      <errorWord>作</errorWord>
      <group>L1_Word</group>
      <groupName>字词问题</groupName>
      <ability>L2_Typo</ability>
      <abilityName>字词错误</abilityName>
      <candidateList>
        <item>做</item>
      </candidateList>
      <explain>存在发音相同字词的误用。</explain>
      <paraID> 9AC226A</paraID>
      <start>59</start>
      <end>60</end>
      <status>ignored</status>
      <modifiedWord/>
      <trackRevisions>false</trackRevisions>
    </reviewItem>
    <reviewItem>
      <errorID>4bfa3e56-ee11-4493-9967-a407addddfc6</errorID>
      <errorWord>涉及到</errorWord>
      <group>L1_Grammar</group>
      <groupName>语法问题</groupName>
      <ability>L2_Grammar</ability>
      <abilityName>语法错误</abilityName>
      <candidateList>
        <item>涉及</item>
      </candidateList>
      <explain>该表达中的“涉及到”存在语义重复。【词汇解析】涉及：牵涉到，关联到。包含了“到”的意思。</explain>
      <paraID> 9AC226A</paraID>
      <start>68</start>
      <end>71</end>
      <status>ignored</status>
      <modifiedWord/>
      <trackRevisions>false</trackRevisions>
    </reviewItem>
    <reviewItem>
      <errorID>c0e5c1d2-e3d9-454b-8e5c-6d9ecf007c80</errorID>
      <errorWord>涉及到</errorWord>
      <group>L1_Grammar</group>
      <groupName>语法问题</groupName>
      <ability>L2_Grammar</ability>
      <abilityName>语法错误</abilityName>
      <candidateList>
        <item>涉及</item>
      </candidateList>
      <explain>该表达中的“涉及到”存在语义重复。【词汇解析】涉及：牵涉到，关联到。包含了“到”的意思。</explain>
      <paraID>27CCEC35</paraID>
      <start>68</start>
      <end>71</end>
      <status>ignored</status>
      <modifiedWord/>
      <trackRevisions>false</trackRevisions>
    </reviewItem>
    <reviewItem>
      <errorID>aa538fec-ac44-4ff9-8ffd-25152484220e</errorID>
      <errorWord>：/。</errorWord>
      <group>L1_Punc</group>
      <groupName>标点问题</groupName>
      <ability>L2_Punc_CN</ability>
      <abilityName>标点符号检查</abilityName>
      <candidateList>
        <item>：</item>
      </candidateList>
      <explain/>
      <paraID>52115D81</paraID>
      <start>6</start>
      <end>9</end>
      <status>ignored</status>
      <modifiedWord/>
      <trackRevisions>false</trackRevisions>
    </reviewItem>
    <reviewItem>
      <errorID>060955ff-c704-4d58-a419-7c48d8422dba</errorID>
      <errorWord>（</errorWord>
      <group>L1_Punc</group>
      <groupName>标点问题</groupName>
      <ability>L2_Punc_CN</ability>
      <abilityName>标点符号检查</abilityName>
      <candidateList/>
      <explain>同一形式括号套用。</explain>
      <paraID>38977ADD</paraID>
      <start>48</start>
      <end>49</end>
      <status>ignored</status>
      <modifiedWord/>
      <trackRevisions>false</trackRevisions>
    </reviewItem>
    <reviewItem>
      <errorID>817bf88c-949e-4f35-8ef3-0d15444ff2cd</errorID>
      <errorWord>）</errorWord>
      <group>L1_Punc</group>
      <groupName>标点问题</groupName>
      <ability>L2_Punc_CN</ability>
      <abilityName>标点符号检查</abilityName>
      <candidateList/>
      <explain>同一形式括号套用。</explain>
      <paraID>38977ADD</paraID>
      <start>52</start>
      <end>53</end>
      <status>ignored</status>
      <modifiedWord/>
      <trackRevisions>false</trackRevisions>
    </reviewItem>
    <reviewItem>
      <errorID>1b1afa7c-4b71-4404-bfa6-7f3a48bee7f7</errorID>
      <errorWord>需具备</errorWord>
      <group>L1_Word</group>
      <groupName>字词问题</groupName>
      <ability>L2_Typo</ability>
      <abilityName>字词错误</abilityName>
      <candidateList>
        <item>须具备</item>
      </candidateList>
      <explain/>
      <paraID>1CFF1F27</paraID>
      <start>20</start>
      <end>23</end>
      <status>modified</status>
      <modifiedWord>须具备</modifiedWord>
      <trackRevisions>false</trackRevisions>
    </reviewItem>
    <reviewItem>
      <errorID>e12cc623-cb4d-4755-8a51-b039bcc310ff</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45F40687</paraID>
      <start>0</start>
      <end>2</end>
      <status>modified</status>
      <modifiedWord>1.</modifiedWord>
      <trackRevisions>false</trackRevisions>
    </reviewItem>
    <reviewItem>
      <errorID>dbdf96a6-f43c-41d4-8d7f-75e9f674c031</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3EAD2492</paraID>
      <start>0</start>
      <end>2</end>
      <status>modified</status>
      <modifiedWord>2.</modifiedWord>
      <trackRevisions>false</trackRevisions>
    </reviewItem>
    <reviewItem>
      <errorID>e4d13187-0312-4524-a535-d3220e2a7f8a</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713F150D</paraID>
      <start>0</start>
      <end>2</end>
      <status>modified</status>
      <modifiedWord>3.</modifiedWord>
      <trackRevisions>false</trackRevisions>
    </reviewItem>
    <reviewItem>
      <errorID>c9f1212e-fdd0-4e5c-84cc-daaa1475555d</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2A6962F3</paraID>
      <start>0</start>
      <end>2</end>
      <status>modified</status>
      <modifiedWord>4.</modifiedWord>
      <trackRevisions>false</trackRevisions>
    </reviewItem>
    <reviewItem>
      <errorID>679a46f9-a828-4aa4-b0db-3b01b1a4d114</errorID>
      <errorWord>规</errorWord>
      <group>L1_Word</group>
      <groupName>字词问题</groupName>
      <ability>L2_Typo</ability>
      <abilityName>字词错误</abilityName>
      <candidateList>
        <item>规定</item>
      </candidateList>
      <explain>❶〈动〉对某一事物做出关于方式、方法或数量、质量的决定：～产品的质量标准｜不得超过～的日期。❷〈名〉所规定的内容：关于下岗职工的安排问题，上级已经有了新的～。</explain>
      <paraID>7C9FB886</paraID>
      <start>28</start>
      <end>29</end>
      <status>ignored</status>
      <modifiedWord/>
      <trackRevisions>false</trackRevisions>
    </reviewItem>
    <reviewItem>
      <errorID>1709b34e-ca0b-428a-a9ce-20c4dd67035e</errorID>
      <errorWord>规</errorWord>
      <group>L1_Word</group>
      <groupName>字词问题</groupName>
      <ability>L2_Typo</ability>
      <abilityName>字词错误</abilityName>
      <candidateList>
        <item>规定</item>
      </candidateList>
      <explain>❶〈动〉对某一事物做出关于方式、方法或数量、质量的决定：～产品的质量标准｜不得超过～的日期。❷〈名〉所规定的内容：关于下岗职工的安排问题，上级已经有了新的～。</explain>
      <paraID>47908875</paraID>
      <start>28</start>
      <end>29</end>
      <status>ignored</status>
      <modifiedWord/>
      <trackRevisions>false</trackRevisions>
    </reviewItem>
    <reviewItem>
      <errorID>4670982f-674c-43f8-b091-84b7fdc48070</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519307CA</paraID>
      <start>0</start>
      <end>2</end>
      <status>modified</status>
      <modifiedWord>1.</modifiedWord>
      <trackRevisions>false</trackRevisions>
    </reviewItem>
    <reviewItem>
      <errorID>a68c3a5e-3f55-444c-b78c-6908aacac30a</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15D21F80</paraID>
      <start>0</start>
      <end>2</end>
      <status>modified</status>
      <modifiedWord>2.</modifiedWord>
      <trackRevisions>false</trackRevisions>
    </reviewItem>
    <reviewItem>
      <errorID>33b76eb5-eae6-41af-8419-b43de3981f26</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603397F3</paraID>
      <start>0</start>
      <end>2</end>
      <status>modified</status>
      <modifiedWord>3.</modifiedWord>
      <trackRevisions>false</trackRevisions>
    </reviewItem>
    <reviewItem>
      <errorID>4514fbbe-b42f-4365-80b9-25c74c7742e5</errorID>
      <errorWord>间</errorWord>
      <group>L1_Word</group>
      <groupName>字词问题</groupName>
      <ability>L2_Typo</ability>
      <abilityName>字词错误</abilityName>
      <candidateList>
        <item>间内</item>
      </candidateList>
      <explain/>
      <paraID>76467FA9</paraID>
      <start>58</start>
      <end>60</end>
      <status>modified</status>
      <modifiedWord>间内</modifiedWord>
      <trackRevisions>false</trackRevisions>
    </reviewItem>
    <reviewItem>
      <errorID>2dee06b0-dbe4-4864-b72e-b75b126e398e</errorID>
      <errorWord>按照按</errorWord>
      <group>L1_Word</group>
      <groupName>字词问题</groupName>
      <ability>L2_Typo</ability>
      <abilityName>字词错误</abilityName>
      <candidateList>
        <item>按照</item>
      </candidateList>
      <explain>〈介〉根据；依照：～法规办理｜～预定的计划执行。</explain>
      <paraID>1BE03D05</paraID>
      <start>42</start>
      <end>44</end>
      <status>modified</status>
      <modifiedWord>按照</modifiedWord>
      <trackRevisions>false</trackRevisions>
    </reviewItem>
    <reviewItem>
      <errorID>05340738-4806-4970-b574-f10260d2279b</errorID>
      <errorWord>因不可抗拒</errorWord>
      <group>L1_Word</group>
      <groupName>字词问题</groupName>
      <ability>L2_Typo</ability>
      <abilityName>字词错误</abilityName>
      <candidateList>
        <item>因不可抗力</item>
      </candidateList>
      <explain/>
      <paraID>6C20048B</paraID>
      <start>3</start>
      <end>8</end>
      <status>ignored</status>
      <modifiedWord/>
      <trackRevisions>false</trackRevisions>
    </reviewItem>
  </reviewItems>
  <config/>
</contractReview>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customXml/itemProps2.xml><?xml version="1.0" encoding="utf-8"?>
<ds:datastoreItem xmlns:ds="http://schemas.openxmlformats.org/officeDocument/2006/customXml" ds:itemID="{29c6e1b8-aeca-42f2-9548-25ff0b6b9c38}">
  <ds:schemaRefs/>
</ds:datastoreItem>
</file>

<file path=docProps/app.xml><?xml version="1.0" encoding="utf-8"?>
<Properties xmlns="http://schemas.openxmlformats.org/officeDocument/2006/extended-properties" xmlns:vt="http://schemas.openxmlformats.org/officeDocument/2006/docPropsVTypes">
  <Template>Normal</Template>
  <Company>P R C</Company>
  <Pages>77</Pages>
  <Words>17301</Words>
  <Characters>18739</Characters>
  <Lines>237</Lines>
  <Paragraphs>66</Paragraphs>
  <TotalTime>25</TotalTime>
  <ScaleCrop>false</ScaleCrop>
  <LinksUpToDate>false</LinksUpToDate>
  <CharactersWithSpaces>19817</CharactersWithSpaces>
  <Application>WPS Office_12.1.0.28043_F1E327BC-269C-435d-A152-05C5408002CA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2022-04-07T03:16:00Z</dcterms:created>
  <dc:creator>yy</dc:creator>
  <cp:lastModifiedBy>admin</cp:lastModifiedBy>
  <cp:lastPrinted>2021-01-25T08:56:00Z</cp:lastPrinted>
  <dcterms:modified xsi:type="dcterms:W3CDTF">2026-08-11T05:43:28Z</dcterms:modified>
  <dc:title>谈判文件</dc:title>
  <cp:revision>18</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2052-12.1.0.28043</vt:lpwstr>
  </property>
  <property fmtid="{D5CDD505-2E9C-101B-9397-08002B2CF9AE}" pid="3" name="ICV">
    <vt:lpwstr>4A407D6431A34BD581DFEB65EBD7DA5A_13</vt:lpwstr>
  </property>
  <property fmtid="{D5CDD505-2E9C-101B-9397-08002B2CF9AE}" pid="4" name="KSOTemplateDocerSaveRecord">
    <vt:lpwstr>eyJoZGlkIjoiMjBhMDJiOTU4ZjA0ZTZlNjIxNTAzNTFmNGQ5MWU5MDUiLCJ1c2VySWQiOiI4NTk2MjAxODMifQ==</vt:lpwstr>
  </property>
</Properties>
</file>